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7F76" w:rsidRPr="00C47F76" w:rsidRDefault="00C47F76" w:rsidP="00C40A23">
      <w:pPr>
        <w:spacing w:after="0" w:line="240" w:lineRule="auto"/>
        <w:contextualSpacing/>
        <w:jc w:val="center"/>
        <w:rPr>
          <w:rFonts w:ascii="Times New Roman" w:eastAsia="Times New Roman" w:hAnsi="Times New Roman" w:cs="Times New Roman"/>
          <w:b/>
          <w:sz w:val="26"/>
          <w:szCs w:val="26"/>
        </w:rPr>
      </w:pPr>
      <w:r w:rsidRPr="00C47F76">
        <w:rPr>
          <w:rFonts w:ascii="Times New Roman" w:eastAsia="Times New Roman" w:hAnsi="Times New Roman" w:cs="Times New Roman"/>
          <w:b/>
          <w:sz w:val="26"/>
          <w:szCs w:val="26"/>
        </w:rPr>
        <w:t>PENNSYLVANIA</w:t>
      </w:r>
    </w:p>
    <w:p w:rsidR="00C47F76" w:rsidRPr="00C47F76" w:rsidRDefault="00C47F76" w:rsidP="00C40A23">
      <w:pPr>
        <w:spacing w:after="0" w:line="240" w:lineRule="auto"/>
        <w:contextualSpacing/>
        <w:jc w:val="center"/>
        <w:rPr>
          <w:rFonts w:ascii="Times New Roman" w:eastAsia="Times New Roman" w:hAnsi="Times New Roman" w:cs="Times New Roman"/>
          <w:b/>
          <w:sz w:val="26"/>
          <w:szCs w:val="26"/>
        </w:rPr>
      </w:pPr>
      <w:r w:rsidRPr="00C47F76">
        <w:rPr>
          <w:rFonts w:ascii="Times New Roman" w:eastAsia="Times New Roman" w:hAnsi="Times New Roman" w:cs="Times New Roman"/>
          <w:b/>
          <w:sz w:val="26"/>
          <w:szCs w:val="26"/>
        </w:rPr>
        <w:t>PUBLIC UTILITY COMMISSION</w:t>
      </w:r>
    </w:p>
    <w:p w:rsidR="00C47F76" w:rsidRPr="00C47F76" w:rsidRDefault="00C47F76" w:rsidP="00C40A23">
      <w:pPr>
        <w:keepNext/>
        <w:spacing w:after="0" w:line="240" w:lineRule="auto"/>
        <w:contextualSpacing/>
        <w:jc w:val="center"/>
        <w:outlineLvl w:val="6"/>
        <w:rPr>
          <w:rFonts w:ascii="Times New Roman" w:eastAsia="Times New Roman" w:hAnsi="Times New Roman" w:cs="Times New Roman"/>
          <w:b/>
          <w:sz w:val="26"/>
          <w:szCs w:val="26"/>
        </w:rPr>
      </w:pPr>
      <w:r w:rsidRPr="00C47F76">
        <w:rPr>
          <w:rFonts w:ascii="Times New Roman" w:eastAsia="Times New Roman" w:hAnsi="Times New Roman" w:cs="Times New Roman"/>
          <w:b/>
          <w:sz w:val="26"/>
          <w:szCs w:val="26"/>
        </w:rPr>
        <w:t>Harrisburg, PA  17105-3265</w:t>
      </w:r>
    </w:p>
    <w:p w:rsidR="00C47F76" w:rsidRPr="00C47F76" w:rsidRDefault="00C47F76" w:rsidP="00231829">
      <w:pPr>
        <w:spacing w:after="0" w:line="360" w:lineRule="auto"/>
        <w:contextualSpacing/>
        <w:rPr>
          <w:rFonts w:ascii="Times New Roman" w:eastAsia="Times New Roman" w:hAnsi="Times New Roman" w:cs="Times New Roman"/>
          <w:sz w:val="26"/>
          <w:szCs w:val="26"/>
        </w:rPr>
      </w:pPr>
    </w:p>
    <w:tbl>
      <w:tblPr>
        <w:tblW w:w="0" w:type="auto"/>
        <w:tblLook w:val="01E0" w:firstRow="1" w:lastRow="1" w:firstColumn="1" w:lastColumn="1" w:noHBand="0" w:noVBand="0"/>
      </w:tblPr>
      <w:tblGrid>
        <w:gridCol w:w="5238"/>
        <w:gridCol w:w="4338"/>
      </w:tblGrid>
      <w:tr w:rsidR="00F349C0" w:rsidRPr="00C47F76" w:rsidTr="00CB7CED">
        <w:tc>
          <w:tcPr>
            <w:tcW w:w="9576" w:type="dxa"/>
            <w:gridSpan w:val="2"/>
            <w:vAlign w:val="center"/>
          </w:tcPr>
          <w:p w:rsidR="00F349C0" w:rsidRPr="00C47F76" w:rsidRDefault="00A90DA6" w:rsidP="004E006C">
            <w:pPr>
              <w:spacing w:after="0" w:line="240" w:lineRule="auto"/>
              <w:contextualSpacing/>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Public Meeting held</w:t>
            </w:r>
            <w:r w:rsidR="007C1608">
              <w:rPr>
                <w:rFonts w:ascii="Times New Roman" w:eastAsia="Times New Roman" w:hAnsi="Times New Roman" w:cs="Times New Roman"/>
                <w:sz w:val="26"/>
                <w:szCs w:val="26"/>
              </w:rPr>
              <w:t xml:space="preserve"> August </w:t>
            </w:r>
            <w:r w:rsidR="00151399">
              <w:rPr>
                <w:rFonts w:ascii="Times New Roman" w:eastAsia="Times New Roman" w:hAnsi="Times New Roman" w:cs="Times New Roman"/>
                <w:sz w:val="26"/>
                <w:szCs w:val="26"/>
              </w:rPr>
              <w:t>3, 2017</w:t>
            </w:r>
            <w:r w:rsidR="004E006C">
              <w:rPr>
                <w:rFonts w:ascii="Times New Roman" w:eastAsia="Times New Roman" w:hAnsi="Times New Roman" w:cs="Times New Roman"/>
                <w:sz w:val="26"/>
                <w:szCs w:val="26"/>
              </w:rPr>
              <w:t xml:space="preserve">                             </w:t>
            </w:r>
          </w:p>
        </w:tc>
      </w:tr>
      <w:tr w:rsidR="00F349C0" w:rsidRPr="00C47F76" w:rsidTr="00CB7CED">
        <w:trPr>
          <w:trHeight w:val="1907"/>
        </w:trPr>
        <w:tc>
          <w:tcPr>
            <w:tcW w:w="9576" w:type="dxa"/>
            <w:gridSpan w:val="2"/>
          </w:tcPr>
          <w:p w:rsidR="00F349C0" w:rsidRPr="00C47F76" w:rsidRDefault="00F349C0" w:rsidP="00C40A23">
            <w:pPr>
              <w:spacing w:after="0" w:line="240" w:lineRule="auto"/>
              <w:contextualSpacing/>
              <w:rPr>
                <w:rFonts w:ascii="Times New Roman" w:eastAsia="Times New Roman" w:hAnsi="Times New Roman" w:cs="Times New Roman"/>
                <w:sz w:val="26"/>
                <w:szCs w:val="26"/>
              </w:rPr>
            </w:pPr>
          </w:p>
          <w:p w:rsidR="00F349C0" w:rsidRPr="00C47F76" w:rsidRDefault="00F349C0" w:rsidP="00C40A23">
            <w:pPr>
              <w:spacing w:after="0" w:line="240" w:lineRule="auto"/>
              <w:contextualSpacing/>
              <w:rPr>
                <w:rFonts w:ascii="Times New Roman" w:eastAsia="Times New Roman" w:hAnsi="Times New Roman" w:cs="Times New Roman"/>
                <w:color w:val="0D0D0D"/>
                <w:sz w:val="26"/>
                <w:szCs w:val="26"/>
              </w:rPr>
            </w:pPr>
            <w:r w:rsidRPr="00C47F76">
              <w:rPr>
                <w:rFonts w:ascii="Times New Roman" w:eastAsia="Times New Roman" w:hAnsi="Times New Roman" w:cs="Times New Roman"/>
                <w:color w:val="0D0D0D"/>
                <w:sz w:val="26"/>
                <w:szCs w:val="26"/>
              </w:rPr>
              <w:t>Commissioners Present:</w:t>
            </w:r>
          </w:p>
          <w:p w:rsidR="00F349C0" w:rsidRPr="00FF6F27" w:rsidRDefault="00F349C0" w:rsidP="00C40A23">
            <w:pPr>
              <w:spacing w:after="0" w:line="240" w:lineRule="auto"/>
              <w:ind w:left="720"/>
              <w:contextualSpacing/>
              <w:rPr>
                <w:rFonts w:ascii="Times New Roman" w:eastAsia="Times New Roman" w:hAnsi="Times New Roman" w:cs="Times New Roman"/>
                <w:color w:val="0D0D0D"/>
                <w:sz w:val="26"/>
                <w:szCs w:val="26"/>
              </w:rPr>
            </w:pPr>
            <w:r w:rsidRPr="00FF6F27">
              <w:rPr>
                <w:rFonts w:ascii="Times New Roman" w:eastAsia="Times New Roman" w:hAnsi="Times New Roman" w:cs="Times New Roman"/>
                <w:color w:val="0D0D0D"/>
                <w:sz w:val="26"/>
                <w:szCs w:val="26"/>
              </w:rPr>
              <w:t>Gladys M. Brown, Chairman</w:t>
            </w:r>
          </w:p>
          <w:p w:rsidR="00F349C0" w:rsidRPr="00FF6F27" w:rsidRDefault="00F349C0" w:rsidP="00C40A23">
            <w:pPr>
              <w:spacing w:after="0" w:line="240" w:lineRule="auto"/>
              <w:ind w:left="720"/>
              <w:contextualSpacing/>
              <w:rPr>
                <w:rFonts w:ascii="Times New Roman" w:eastAsia="Times New Roman" w:hAnsi="Times New Roman" w:cs="Times New Roman"/>
                <w:color w:val="0D0D0D"/>
                <w:sz w:val="26"/>
                <w:szCs w:val="26"/>
              </w:rPr>
            </w:pPr>
            <w:r w:rsidRPr="00FF6F27">
              <w:rPr>
                <w:rFonts w:ascii="Times New Roman" w:eastAsia="Times New Roman" w:hAnsi="Times New Roman" w:cs="Times New Roman"/>
                <w:color w:val="0D0D0D"/>
                <w:sz w:val="26"/>
                <w:szCs w:val="26"/>
              </w:rPr>
              <w:t>Andrew G. Place, Vice Chairman</w:t>
            </w:r>
          </w:p>
          <w:p w:rsidR="00F349C0" w:rsidRPr="00FF6F27" w:rsidRDefault="00F349C0" w:rsidP="00C40A23">
            <w:pPr>
              <w:spacing w:after="0" w:line="240" w:lineRule="auto"/>
              <w:ind w:left="720"/>
              <w:contextualSpacing/>
              <w:rPr>
                <w:rFonts w:ascii="Times New Roman" w:eastAsia="Times New Roman" w:hAnsi="Times New Roman" w:cs="Times New Roman"/>
                <w:color w:val="0D0D0D"/>
                <w:sz w:val="26"/>
                <w:szCs w:val="26"/>
              </w:rPr>
            </w:pPr>
            <w:r w:rsidRPr="00FF6F27">
              <w:rPr>
                <w:rFonts w:ascii="Times New Roman" w:eastAsia="Times New Roman" w:hAnsi="Times New Roman" w:cs="Times New Roman"/>
                <w:color w:val="0D0D0D"/>
                <w:sz w:val="26"/>
                <w:szCs w:val="26"/>
              </w:rPr>
              <w:t>Robert F. Powelson</w:t>
            </w:r>
          </w:p>
          <w:p w:rsidR="00F349C0" w:rsidRDefault="00F349C0" w:rsidP="00C40A23">
            <w:pPr>
              <w:spacing w:after="0" w:line="240" w:lineRule="auto"/>
              <w:ind w:left="720"/>
              <w:contextualSpacing/>
              <w:rPr>
                <w:rFonts w:ascii="Times New Roman" w:eastAsia="Times New Roman" w:hAnsi="Times New Roman" w:cs="Times New Roman"/>
                <w:color w:val="0D0D0D"/>
                <w:sz w:val="26"/>
                <w:szCs w:val="26"/>
              </w:rPr>
            </w:pPr>
            <w:r w:rsidRPr="00FF6F27">
              <w:rPr>
                <w:rFonts w:ascii="Times New Roman" w:eastAsia="Times New Roman" w:hAnsi="Times New Roman" w:cs="Times New Roman"/>
                <w:color w:val="0D0D0D"/>
                <w:sz w:val="26"/>
                <w:szCs w:val="26"/>
              </w:rPr>
              <w:t>David W. Sweet</w:t>
            </w:r>
          </w:p>
          <w:p w:rsidR="00725980" w:rsidRPr="00C47F76" w:rsidRDefault="00725980" w:rsidP="00C40A23">
            <w:pPr>
              <w:spacing w:after="0" w:line="240" w:lineRule="auto"/>
              <w:ind w:left="720"/>
              <w:contextualSpacing/>
              <w:rPr>
                <w:rFonts w:ascii="Times New Roman" w:eastAsia="Times New Roman" w:hAnsi="Times New Roman" w:cs="Times New Roman"/>
                <w:color w:val="0D0D0D"/>
                <w:sz w:val="26"/>
                <w:szCs w:val="26"/>
              </w:rPr>
            </w:pPr>
            <w:r w:rsidRPr="00FF6F27">
              <w:rPr>
                <w:rFonts w:ascii="Times New Roman" w:eastAsia="Times New Roman" w:hAnsi="Times New Roman" w:cs="Times New Roman"/>
                <w:color w:val="0D0D0D"/>
                <w:sz w:val="26"/>
                <w:szCs w:val="26"/>
              </w:rPr>
              <w:t>John F. Coleman, Jr.</w:t>
            </w:r>
          </w:p>
          <w:p w:rsidR="00F349C0" w:rsidRPr="00C47F76" w:rsidRDefault="00F349C0" w:rsidP="00C40A23">
            <w:pPr>
              <w:spacing w:after="0" w:line="240" w:lineRule="auto"/>
              <w:contextualSpacing/>
              <w:rPr>
                <w:rFonts w:ascii="Times New Roman" w:eastAsia="Times New Roman" w:hAnsi="Times New Roman" w:cs="Times New Roman"/>
                <w:sz w:val="26"/>
                <w:szCs w:val="26"/>
              </w:rPr>
            </w:pPr>
          </w:p>
        </w:tc>
      </w:tr>
      <w:tr w:rsidR="00C47F76" w:rsidRPr="00C47F76" w:rsidTr="00F349C0">
        <w:tc>
          <w:tcPr>
            <w:tcW w:w="5238" w:type="dxa"/>
          </w:tcPr>
          <w:p w:rsidR="00C47F76" w:rsidRPr="00C47F76" w:rsidRDefault="00C47F76" w:rsidP="00C40A23">
            <w:pPr>
              <w:spacing w:after="0" w:line="240" w:lineRule="auto"/>
              <w:contextualSpacing/>
              <w:rPr>
                <w:rFonts w:ascii="Times New Roman" w:eastAsia="Times New Roman" w:hAnsi="Times New Roman" w:cs="Times New Roman"/>
                <w:sz w:val="26"/>
                <w:szCs w:val="26"/>
              </w:rPr>
            </w:pPr>
          </w:p>
        </w:tc>
        <w:tc>
          <w:tcPr>
            <w:tcW w:w="4338" w:type="dxa"/>
          </w:tcPr>
          <w:p w:rsidR="00C47F76" w:rsidRPr="00C47F76" w:rsidRDefault="00C47F76" w:rsidP="00C40A23">
            <w:pPr>
              <w:spacing w:after="0" w:line="240" w:lineRule="auto"/>
              <w:contextualSpacing/>
              <w:jc w:val="right"/>
              <w:rPr>
                <w:rFonts w:ascii="Times New Roman" w:eastAsia="Times New Roman" w:hAnsi="Times New Roman" w:cs="Times New Roman"/>
                <w:sz w:val="26"/>
                <w:szCs w:val="26"/>
              </w:rPr>
            </w:pPr>
          </w:p>
        </w:tc>
      </w:tr>
      <w:tr w:rsidR="00C47F76" w:rsidRPr="00C47F76" w:rsidTr="00F349C0">
        <w:tc>
          <w:tcPr>
            <w:tcW w:w="5238" w:type="dxa"/>
          </w:tcPr>
          <w:p w:rsidR="00F349C0" w:rsidRDefault="00C47F76" w:rsidP="00C40A23">
            <w:pPr>
              <w:spacing w:after="0" w:line="240" w:lineRule="auto"/>
              <w:contextualSpacing/>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 xml:space="preserve">Philadelphia Gas Works Universal Service </w:t>
            </w:r>
          </w:p>
          <w:p w:rsidR="00F349C0" w:rsidRDefault="00C47F76" w:rsidP="00C40A23">
            <w:pPr>
              <w:spacing w:after="0" w:line="240" w:lineRule="auto"/>
              <w:contextualSpacing/>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and E</w:t>
            </w:r>
            <w:r w:rsidR="00443018">
              <w:rPr>
                <w:rFonts w:ascii="Times New Roman" w:eastAsia="Times New Roman" w:hAnsi="Times New Roman" w:cs="Times New Roman"/>
                <w:sz w:val="26"/>
                <w:szCs w:val="26"/>
              </w:rPr>
              <w:t>nergy Conservation Plan for 2017</w:t>
            </w:r>
            <w:r w:rsidR="00443018">
              <w:rPr>
                <w:rFonts w:ascii="Times New Roman" w:eastAsia="Times New Roman" w:hAnsi="Times New Roman" w:cs="Times New Roman"/>
                <w:sz w:val="26"/>
                <w:szCs w:val="26"/>
              </w:rPr>
              <w:noBreakHyphen/>
              <w:t>2020</w:t>
            </w:r>
            <w:r w:rsidRPr="00C47F76">
              <w:rPr>
                <w:rFonts w:ascii="Times New Roman" w:eastAsia="Times New Roman" w:hAnsi="Times New Roman" w:cs="Times New Roman"/>
                <w:sz w:val="26"/>
                <w:szCs w:val="26"/>
              </w:rPr>
              <w:t xml:space="preserve"> </w:t>
            </w:r>
          </w:p>
          <w:p w:rsidR="00C47F76" w:rsidRPr="00C47F76" w:rsidRDefault="00C47F76" w:rsidP="004E006C">
            <w:pPr>
              <w:spacing w:after="0" w:line="240" w:lineRule="auto"/>
              <w:contextualSpacing/>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Submitted in Compliance with 52 Pa. Code §</w:t>
            </w:r>
            <w:r w:rsidR="004E006C">
              <w:rPr>
                <w:rFonts w:ascii="Times New Roman" w:eastAsia="Times New Roman" w:hAnsi="Times New Roman" w:cs="Times New Roman"/>
                <w:sz w:val="26"/>
                <w:szCs w:val="26"/>
              </w:rPr>
              <w:t> </w:t>
            </w:r>
            <w:r w:rsidRPr="00C47F76">
              <w:rPr>
                <w:rFonts w:ascii="Times New Roman" w:eastAsia="Times New Roman" w:hAnsi="Times New Roman" w:cs="Times New Roman"/>
                <w:sz w:val="26"/>
                <w:szCs w:val="26"/>
              </w:rPr>
              <w:t xml:space="preserve">62.4 </w:t>
            </w:r>
          </w:p>
        </w:tc>
        <w:tc>
          <w:tcPr>
            <w:tcW w:w="4338" w:type="dxa"/>
          </w:tcPr>
          <w:p w:rsidR="00C47F76" w:rsidRPr="00C47F76" w:rsidRDefault="00F349C0" w:rsidP="00F349C0">
            <w:pP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443018">
              <w:rPr>
                <w:rFonts w:ascii="Times New Roman" w:eastAsia="Times New Roman" w:hAnsi="Times New Roman" w:cs="Times New Roman"/>
                <w:sz w:val="26"/>
                <w:szCs w:val="26"/>
              </w:rPr>
              <w:t>Docket No. M-2016</w:t>
            </w:r>
            <w:r w:rsidR="00C47F76" w:rsidRPr="00C47F76">
              <w:rPr>
                <w:rFonts w:ascii="Times New Roman" w:eastAsia="Times New Roman" w:hAnsi="Times New Roman" w:cs="Times New Roman"/>
                <w:sz w:val="26"/>
                <w:szCs w:val="26"/>
              </w:rPr>
              <w:t>-</w:t>
            </w:r>
            <w:r w:rsidR="00443018">
              <w:rPr>
                <w:rFonts w:ascii="Times New Roman" w:eastAsia="Times New Roman" w:hAnsi="Times New Roman" w:cs="Times New Roman"/>
                <w:sz w:val="26"/>
                <w:szCs w:val="26"/>
              </w:rPr>
              <w:t>2542415</w:t>
            </w:r>
          </w:p>
        </w:tc>
      </w:tr>
    </w:tbl>
    <w:p w:rsidR="00C47F76" w:rsidRPr="00C47F76" w:rsidRDefault="00C47F76" w:rsidP="00231829">
      <w:pPr>
        <w:spacing w:after="0" w:line="360" w:lineRule="auto"/>
        <w:contextualSpacing/>
        <w:jc w:val="center"/>
        <w:rPr>
          <w:rFonts w:ascii="Times New Roman" w:eastAsia="Times New Roman" w:hAnsi="Times New Roman" w:cs="Times New Roman"/>
          <w:sz w:val="26"/>
          <w:szCs w:val="26"/>
        </w:rPr>
      </w:pPr>
    </w:p>
    <w:p w:rsidR="00C47F76" w:rsidRPr="00C47F76" w:rsidRDefault="00C47F76" w:rsidP="00231829">
      <w:pPr>
        <w:spacing w:after="0" w:line="360" w:lineRule="auto"/>
        <w:contextualSpacing/>
        <w:jc w:val="center"/>
        <w:rPr>
          <w:rFonts w:ascii="Times New Roman" w:eastAsia="Times New Roman" w:hAnsi="Times New Roman" w:cs="Times New Roman"/>
          <w:b/>
          <w:sz w:val="26"/>
          <w:szCs w:val="26"/>
        </w:rPr>
      </w:pPr>
      <w:r w:rsidRPr="00C47F76">
        <w:rPr>
          <w:rFonts w:ascii="Times New Roman" w:eastAsia="Times New Roman" w:hAnsi="Times New Roman" w:cs="Times New Roman"/>
          <w:b/>
          <w:sz w:val="26"/>
          <w:szCs w:val="26"/>
        </w:rPr>
        <w:t>ORDER</w:t>
      </w:r>
    </w:p>
    <w:p w:rsidR="00C47F76" w:rsidRPr="00C47F76" w:rsidRDefault="00C47F76" w:rsidP="00231829">
      <w:pPr>
        <w:spacing w:after="0" w:line="360" w:lineRule="auto"/>
        <w:contextualSpacing/>
        <w:rPr>
          <w:rFonts w:ascii="Times New Roman" w:eastAsia="Times New Roman" w:hAnsi="Times New Roman" w:cs="Times New Roman"/>
          <w:b/>
          <w:sz w:val="26"/>
          <w:szCs w:val="26"/>
        </w:rPr>
      </w:pPr>
    </w:p>
    <w:p w:rsidR="00C47F76" w:rsidRPr="00C47F76" w:rsidRDefault="00C47F76" w:rsidP="00231829">
      <w:pPr>
        <w:spacing w:after="0" w:line="360" w:lineRule="auto"/>
        <w:contextualSpacing/>
        <w:rPr>
          <w:rFonts w:ascii="Times New Roman" w:eastAsia="Times New Roman" w:hAnsi="Times New Roman" w:cs="Times New Roman"/>
          <w:b/>
          <w:sz w:val="26"/>
          <w:szCs w:val="26"/>
        </w:rPr>
      </w:pPr>
      <w:r w:rsidRPr="00C47F76">
        <w:rPr>
          <w:rFonts w:ascii="Times New Roman" w:eastAsia="Times New Roman" w:hAnsi="Times New Roman" w:cs="Times New Roman"/>
          <w:b/>
          <w:sz w:val="26"/>
          <w:szCs w:val="26"/>
        </w:rPr>
        <w:t>BY THE COMMISSION</w:t>
      </w:r>
    </w:p>
    <w:p w:rsidR="00C47F76" w:rsidRPr="00C47F76" w:rsidRDefault="00C47F76" w:rsidP="00231829">
      <w:pPr>
        <w:spacing w:after="0" w:line="360" w:lineRule="auto"/>
        <w:ind w:firstLine="720"/>
        <w:contextualSpacing/>
        <w:rPr>
          <w:rFonts w:ascii="Times New Roman" w:eastAsia="Times New Roman" w:hAnsi="Times New Roman" w:cs="Times New Roman"/>
          <w:sz w:val="26"/>
          <w:szCs w:val="26"/>
        </w:rPr>
      </w:pPr>
    </w:p>
    <w:p w:rsidR="00CD4268" w:rsidRPr="00C47F76" w:rsidRDefault="00C47F76" w:rsidP="00CD4268">
      <w:pPr>
        <w:tabs>
          <w:tab w:val="left" w:pos="720"/>
        </w:tabs>
        <w:autoSpaceDE w:val="0"/>
        <w:autoSpaceDN w:val="0"/>
        <w:adjustRightInd w:val="0"/>
        <w:spacing w:after="0" w:line="360" w:lineRule="auto"/>
        <w:contextualSpacing/>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ab/>
      </w:r>
      <w:r w:rsidR="00A90DA6" w:rsidRPr="00DE2C6C">
        <w:rPr>
          <w:rFonts w:ascii="Times New Roman" w:eastAsia="Times New Roman" w:hAnsi="Times New Roman" w:cs="Times New Roman"/>
          <w:color w:val="0D0D0D" w:themeColor="text1" w:themeTint="F2"/>
          <w:sz w:val="26"/>
          <w:szCs w:val="26"/>
        </w:rPr>
        <w:t xml:space="preserve">On </w:t>
      </w:r>
      <w:r w:rsidR="003C393C">
        <w:rPr>
          <w:rFonts w:ascii="Times New Roman" w:eastAsia="Times New Roman" w:hAnsi="Times New Roman" w:cs="Times New Roman"/>
          <w:color w:val="0D0D0D" w:themeColor="text1" w:themeTint="F2"/>
          <w:sz w:val="26"/>
          <w:szCs w:val="26"/>
        </w:rPr>
        <w:t>January 26</w:t>
      </w:r>
      <w:r w:rsidR="00A90DA6" w:rsidRPr="00DE2C6C">
        <w:rPr>
          <w:rFonts w:ascii="Times New Roman" w:eastAsia="Times New Roman" w:hAnsi="Times New Roman" w:cs="Times New Roman"/>
          <w:color w:val="0D0D0D" w:themeColor="text1" w:themeTint="F2"/>
          <w:sz w:val="26"/>
          <w:szCs w:val="26"/>
        </w:rPr>
        <w:t>,</w:t>
      </w:r>
      <w:r w:rsidR="00A90DA6">
        <w:rPr>
          <w:rFonts w:ascii="Times New Roman" w:eastAsia="Times New Roman" w:hAnsi="Times New Roman" w:cs="Times New Roman"/>
          <w:color w:val="0D0D0D" w:themeColor="text1" w:themeTint="F2"/>
          <w:sz w:val="26"/>
          <w:szCs w:val="26"/>
        </w:rPr>
        <w:t xml:space="preserve"> 2017</w:t>
      </w:r>
      <w:r w:rsidR="00B6565C">
        <w:rPr>
          <w:rFonts w:ascii="Times New Roman" w:eastAsia="Times New Roman" w:hAnsi="Times New Roman" w:cs="Times New Roman"/>
          <w:color w:val="0D0D0D" w:themeColor="text1" w:themeTint="F2"/>
          <w:sz w:val="26"/>
          <w:szCs w:val="26"/>
        </w:rPr>
        <w:t>,</w:t>
      </w:r>
      <w:r w:rsidR="00A90DA6" w:rsidRPr="00DE2C6C">
        <w:rPr>
          <w:rFonts w:ascii="Times New Roman" w:eastAsia="Times New Roman" w:hAnsi="Times New Roman" w:cs="Times New Roman"/>
          <w:color w:val="0D0D0D" w:themeColor="text1" w:themeTint="F2"/>
          <w:sz w:val="26"/>
          <w:szCs w:val="26"/>
        </w:rPr>
        <w:t xml:space="preserve"> the Pennsylvania Public Utility Commission (Commission) entered a Tenta</w:t>
      </w:r>
      <w:r w:rsidR="00721771">
        <w:rPr>
          <w:rFonts w:ascii="Times New Roman" w:eastAsia="Times New Roman" w:hAnsi="Times New Roman" w:cs="Times New Roman"/>
          <w:color w:val="0D0D0D" w:themeColor="text1" w:themeTint="F2"/>
          <w:sz w:val="26"/>
          <w:szCs w:val="26"/>
        </w:rPr>
        <w:t>tive Order, requesting additional information prior to approving</w:t>
      </w:r>
      <w:r w:rsidR="00A90DA6" w:rsidRPr="00DE2C6C">
        <w:rPr>
          <w:rFonts w:ascii="Times New Roman" w:eastAsia="Times New Roman" w:hAnsi="Times New Roman" w:cs="Times New Roman"/>
          <w:color w:val="0D0D0D" w:themeColor="text1" w:themeTint="F2"/>
          <w:sz w:val="26"/>
          <w:szCs w:val="26"/>
        </w:rPr>
        <w:t xml:space="preserve"> the proposed </w:t>
      </w:r>
      <w:r w:rsidR="00A90DA6">
        <w:rPr>
          <w:rFonts w:ascii="Times New Roman" w:eastAsia="Times New Roman" w:hAnsi="Times New Roman" w:cs="Times New Roman"/>
          <w:color w:val="0D0D0D" w:themeColor="text1" w:themeTint="F2"/>
          <w:sz w:val="26"/>
          <w:szCs w:val="26"/>
        </w:rPr>
        <w:t>2017-2020</w:t>
      </w:r>
      <w:r w:rsidR="00A90DA6" w:rsidRPr="00DE2C6C">
        <w:rPr>
          <w:rFonts w:ascii="Times New Roman" w:eastAsia="Times New Roman" w:hAnsi="Times New Roman" w:cs="Times New Roman"/>
          <w:color w:val="0D0D0D" w:themeColor="text1" w:themeTint="F2"/>
          <w:sz w:val="26"/>
          <w:szCs w:val="26"/>
        </w:rPr>
        <w:t xml:space="preserve"> universal service and energy conservation plan (</w:t>
      </w:r>
      <w:r w:rsidR="00A90DA6">
        <w:rPr>
          <w:rFonts w:ascii="Times New Roman" w:eastAsia="Times New Roman" w:hAnsi="Times New Roman" w:cs="Times New Roman"/>
          <w:color w:val="0D0D0D" w:themeColor="text1" w:themeTint="F2"/>
          <w:sz w:val="26"/>
          <w:szCs w:val="26"/>
        </w:rPr>
        <w:t xml:space="preserve">Proposed 2017-2020 </w:t>
      </w:r>
      <w:r w:rsidR="00A90DA6" w:rsidRPr="00DE2C6C">
        <w:rPr>
          <w:rFonts w:ascii="Times New Roman" w:eastAsia="Times New Roman" w:hAnsi="Times New Roman" w:cs="Times New Roman"/>
          <w:color w:val="0D0D0D" w:themeColor="text1" w:themeTint="F2"/>
          <w:sz w:val="26"/>
          <w:szCs w:val="26"/>
        </w:rPr>
        <w:t>Plan or USECP) for</w:t>
      </w:r>
      <w:r w:rsidR="00A90DA6">
        <w:rPr>
          <w:rFonts w:ascii="Times New Roman" w:eastAsia="Times New Roman" w:hAnsi="Times New Roman" w:cs="Times New Roman"/>
          <w:color w:val="0D0D0D" w:themeColor="text1" w:themeTint="F2"/>
          <w:sz w:val="26"/>
          <w:szCs w:val="26"/>
        </w:rPr>
        <w:t xml:space="preserve"> </w:t>
      </w:r>
      <w:r w:rsidRPr="00C47F76">
        <w:rPr>
          <w:rFonts w:ascii="Times New Roman" w:eastAsia="Times New Roman" w:hAnsi="Times New Roman" w:cs="Times New Roman"/>
          <w:sz w:val="26"/>
          <w:szCs w:val="26"/>
        </w:rPr>
        <w:t>Philadelphia Gas Works (PGW or Company)</w:t>
      </w:r>
      <w:r w:rsidR="00A90DA6">
        <w:rPr>
          <w:rFonts w:ascii="Times New Roman" w:eastAsia="Times New Roman" w:hAnsi="Times New Roman" w:cs="Times New Roman"/>
          <w:sz w:val="26"/>
          <w:szCs w:val="26"/>
        </w:rPr>
        <w:t xml:space="preserve">.  </w:t>
      </w:r>
      <w:r w:rsidR="00A90DA6" w:rsidRPr="001E428D">
        <w:rPr>
          <w:rFonts w:ascii="Times New Roman" w:eastAsia="Times New Roman" w:hAnsi="Times New Roman" w:cs="Times New Roman"/>
          <w:color w:val="0D0D0D" w:themeColor="text1" w:themeTint="F2"/>
          <w:sz w:val="26"/>
          <w:szCs w:val="26"/>
        </w:rPr>
        <w:t xml:space="preserve">The Tentative Order indicated issues </w:t>
      </w:r>
      <w:r w:rsidR="00A90DA6">
        <w:rPr>
          <w:rFonts w:ascii="Times New Roman" w:eastAsia="Times New Roman" w:hAnsi="Times New Roman" w:cs="Times New Roman"/>
          <w:color w:val="0D0D0D" w:themeColor="text1" w:themeTint="F2"/>
          <w:sz w:val="26"/>
          <w:szCs w:val="26"/>
        </w:rPr>
        <w:t xml:space="preserve">concerning the </w:t>
      </w:r>
      <w:r w:rsidR="00A90DA6" w:rsidRPr="00787AE2">
        <w:rPr>
          <w:rFonts w:ascii="Times New Roman" w:eastAsia="Times New Roman" w:hAnsi="Times New Roman" w:cs="Times New Roman"/>
          <w:color w:val="0D0D0D" w:themeColor="text1" w:themeTint="F2"/>
          <w:sz w:val="26"/>
          <w:szCs w:val="26"/>
        </w:rPr>
        <w:t>P</w:t>
      </w:r>
      <w:r w:rsidR="00A90DA6" w:rsidRPr="00976459">
        <w:rPr>
          <w:rFonts w:ascii="Times New Roman" w:eastAsia="Times New Roman" w:hAnsi="Times New Roman" w:cs="Times New Roman"/>
          <w:color w:val="0D0D0D" w:themeColor="text1" w:themeTint="F2"/>
          <w:sz w:val="26"/>
          <w:szCs w:val="26"/>
        </w:rPr>
        <w:t xml:space="preserve">roposed </w:t>
      </w:r>
      <w:r w:rsidR="00A90DA6">
        <w:rPr>
          <w:rFonts w:ascii="Times New Roman" w:eastAsia="Times New Roman" w:hAnsi="Times New Roman" w:cs="Times New Roman"/>
          <w:color w:val="0D0D0D" w:themeColor="text1" w:themeTint="F2"/>
          <w:sz w:val="26"/>
          <w:szCs w:val="26"/>
        </w:rPr>
        <w:t>2017-2020</w:t>
      </w:r>
      <w:r w:rsidR="00A90DA6" w:rsidRPr="00976459">
        <w:rPr>
          <w:rFonts w:ascii="Times New Roman" w:eastAsia="Times New Roman" w:hAnsi="Times New Roman" w:cs="Times New Roman"/>
          <w:color w:val="0D0D0D" w:themeColor="text1" w:themeTint="F2"/>
          <w:sz w:val="26"/>
          <w:szCs w:val="26"/>
        </w:rPr>
        <w:t xml:space="preserve"> Plan</w:t>
      </w:r>
      <w:r w:rsidR="00A90DA6">
        <w:rPr>
          <w:rFonts w:ascii="Times New Roman" w:eastAsia="Times New Roman" w:hAnsi="Times New Roman" w:cs="Times New Roman"/>
          <w:color w:val="0D0D0D" w:themeColor="text1" w:themeTint="F2"/>
          <w:sz w:val="26"/>
          <w:szCs w:val="26"/>
        </w:rPr>
        <w:t xml:space="preserve"> that required modification or clarification</w:t>
      </w:r>
      <w:r w:rsidR="00A90DA6" w:rsidRPr="00976459">
        <w:rPr>
          <w:rFonts w:ascii="Times New Roman" w:eastAsia="Times New Roman" w:hAnsi="Times New Roman" w:cs="Times New Roman"/>
          <w:color w:val="0D0D0D" w:themeColor="text1" w:themeTint="F2"/>
          <w:sz w:val="26"/>
          <w:szCs w:val="26"/>
        </w:rPr>
        <w:t xml:space="preserve">.  </w:t>
      </w:r>
      <w:r w:rsidR="00A90DA6">
        <w:rPr>
          <w:rFonts w:ascii="Times New Roman" w:eastAsia="Times New Roman" w:hAnsi="Times New Roman" w:cs="Times New Roman"/>
          <w:color w:val="0D0D0D" w:themeColor="text1" w:themeTint="F2"/>
          <w:sz w:val="26"/>
          <w:szCs w:val="26"/>
        </w:rPr>
        <w:t xml:space="preserve">PGW filed supplemental information in response to the </w:t>
      </w:r>
      <w:r w:rsidR="0072616A">
        <w:rPr>
          <w:rFonts w:ascii="Times New Roman" w:eastAsia="Times New Roman" w:hAnsi="Times New Roman" w:cs="Times New Roman"/>
          <w:color w:val="0D0D0D" w:themeColor="text1" w:themeTint="F2"/>
          <w:sz w:val="26"/>
          <w:szCs w:val="26"/>
        </w:rPr>
        <w:t>Tentative Order.</w:t>
      </w:r>
      <w:r w:rsidR="00A90DA6" w:rsidRPr="00D11D34">
        <w:rPr>
          <w:rFonts w:ascii="Times New Roman" w:eastAsia="Times New Roman" w:hAnsi="Times New Roman" w:cs="Times New Roman"/>
          <w:color w:val="0D0D0D" w:themeColor="text1" w:themeTint="F2"/>
          <w:sz w:val="26"/>
          <w:szCs w:val="26"/>
        </w:rPr>
        <w:t xml:space="preserve">  </w:t>
      </w:r>
      <w:r w:rsidR="00F94F23" w:rsidRPr="00FA1360">
        <w:rPr>
          <w:rFonts w:ascii="Times New Roman" w:eastAsia="Times New Roman" w:hAnsi="Times New Roman" w:cs="Times New Roman"/>
          <w:color w:val="0D0D0D"/>
          <w:sz w:val="26"/>
          <w:szCs w:val="26"/>
        </w:rPr>
        <w:t>PGW subsequently filed a response to a staff request for additional informati</w:t>
      </w:r>
      <w:r w:rsidR="00254F78">
        <w:rPr>
          <w:rFonts w:ascii="Times New Roman" w:eastAsia="Times New Roman" w:hAnsi="Times New Roman" w:cs="Times New Roman"/>
          <w:color w:val="0D0D0D"/>
          <w:sz w:val="26"/>
          <w:szCs w:val="26"/>
        </w:rPr>
        <w:t>on</w:t>
      </w:r>
      <w:r w:rsidR="00F94F23" w:rsidRPr="00FA1360">
        <w:rPr>
          <w:rFonts w:ascii="Times New Roman" w:eastAsia="Times New Roman" w:hAnsi="Times New Roman" w:cs="Times New Roman"/>
          <w:color w:val="0D0D0D"/>
          <w:sz w:val="26"/>
          <w:szCs w:val="26"/>
        </w:rPr>
        <w:t>.</w:t>
      </w:r>
      <w:r w:rsidR="00F94F23">
        <w:rPr>
          <w:rFonts w:ascii="Times New Roman" w:eastAsia="Times New Roman" w:hAnsi="Times New Roman" w:cs="Times New Roman"/>
          <w:color w:val="0D0D0D"/>
          <w:sz w:val="26"/>
          <w:szCs w:val="26"/>
        </w:rPr>
        <w:t xml:space="preserve">  </w:t>
      </w:r>
      <w:r w:rsidR="003C393C" w:rsidRPr="00FA1360">
        <w:rPr>
          <w:rFonts w:ascii="Times New Roman" w:eastAsia="Times New Roman" w:hAnsi="Times New Roman" w:cs="Times New Roman"/>
          <w:color w:val="0D0D0D"/>
          <w:sz w:val="26"/>
          <w:szCs w:val="26"/>
        </w:rPr>
        <w:t xml:space="preserve">The Office of Consumer Advocate (OCA), the Coalition for Affordable Utility Services and Energy Efficiency in Pennsylvania (CAUSE-PA), the Tenant Union Representative Network and Action Alliance of Senior Citizens of Greater Philadelphia (TURN </w:t>
      </w:r>
      <w:r w:rsidR="00A9778A" w:rsidRPr="00A9778A">
        <w:rPr>
          <w:rFonts w:ascii="Times New Roman" w:eastAsia="Times New Roman" w:hAnsi="Times New Roman" w:cs="Times New Roman"/>
          <w:i/>
          <w:color w:val="0D0D0D"/>
          <w:sz w:val="26"/>
          <w:szCs w:val="26"/>
        </w:rPr>
        <w:t>et al</w:t>
      </w:r>
      <w:r w:rsidR="003C393C" w:rsidRPr="00FA1360">
        <w:rPr>
          <w:rFonts w:ascii="Times New Roman" w:eastAsia="Times New Roman" w:hAnsi="Times New Roman" w:cs="Times New Roman"/>
          <w:color w:val="0D0D0D"/>
          <w:sz w:val="26"/>
          <w:szCs w:val="26"/>
        </w:rPr>
        <w:t>.)</w:t>
      </w:r>
      <w:r w:rsidR="00A90DA6" w:rsidRPr="004B0BF6">
        <w:rPr>
          <w:rFonts w:ascii="Times New Roman" w:eastAsia="Times New Roman" w:hAnsi="Times New Roman" w:cs="Times New Roman"/>
          <w:color w:val="0D0D0D"/>
          <w:sz w:val="26"/>
          <w:szCs w:val="26"/>
        </w:rPr>
        <w:t xml:space="preserve"> </w:t>
      </w:r>
      <w:r w:rsidR="00BC7F6C">
        <w:rPr>
          <w:rFonts w:ascii="Times New Roman" w:eastAsia="Times New Roman" w:hAnsi="Times New Roman" w:cs="Times New Roman"/>
          <w:color w:val="0D0D0D"/>
          <w:sz w:val="26"/>
          <w:szCs w:val="26"/>
        </w:rPr>
        <w:t xml:space="preserve">individually </w:t>
      </w:r>
      <w:r w:rsidR="00A90DA6" w:rsidRPr="004B0BF6">
        <w:rPr>
          <w:rFonts w:ascii="Times New Roman" w:eastAsia="Times New Roman" w:hAnsi="Times New Roman" w:cs="Times New Roman"/>
          <w:color w:val="0D0D0D"/>
          <w:sz w:val="26"/>
          <w:szCs w:val="26"/>
        </w:rPr>
        <w:t xml:space="preserve">filed </w:t>
      </w:r>
      <w:r w:rsidR="00A90DA6" w:rsidRPr="00076C59">
        <w:rPr>
          <w:rFonts w:ascii="Times New Roman" w:eastAsia="Times New Roman" w:hAnsi="Times New Roman" w:cs="Times New Roman"/>
          <w:color w:val="0D0D0D"/>
          <w:sz w:val="26"/>
          <w:szCs w:val="26"/>
        </w:rPr>
        <w:t>c</w:t>
      </w:r>
      <w:r w:rsidR="0072616A">
        <w:rPr>
          <w:rFonts w:ascii="Times New Roman" w:eastAsia="Times New Roman" w:hAnsi="Times New Roman" w:cs="Times New Roman"/>
          <w:color w:val="0D0D0D"/>
          <w:sz w:val="26"/>
          <w:szCs w:val="26"/>
        </w:rPr>
        <w:t xml:space="preserve">omments </w:t>
      </w:r>
      <w:r w:rsidR="003C393C">
        <w:rPr>
          <w:rFonts w:ascii="Times New Roman" w:eastAsia="Times New Roman" w:hAnsi="Times New Roman" w:cs="Times New Roman"/>
          <w:color w:val="0D0D0D"/>
          <w:sz w:val="26"/>
          <w:szCs w:val="26"/>
        </w:rPr>
        <w:t xml:space="preserve">on PGW’s </w:t>
      </w:r>
      <w:r w:rsidR="0072616A">
        <w:rPr>
          <w:rFonts w:ascii="Times New Roman" w:eastAsia="Times New Roman" w:hAnsi="Times New Roman" w:cs="Times New Roman"/>
          <w:color w:val="0D0D0D"/>
          <w:sz w:val="26"/>
          <w:szCs w:val="26"/>
        </w:rPr>
        <w:t xml:space="preserve">Proposed 2017-2020 USECP and </w:t>
      </w:r>
      <w:r w:rsidR="0001418D">
        <w:rPr>
          <w:rFonts w:ascii="Times New Roman" w:eastAsia="Times New Roman" w:hAnsi="Times New Roman" w:cs="Times New Roman"/>
          <w:color w:val="0D0D0D"/>
          <w:sz w:val="26"/>
          <w:szCs w:val="26"/>
        </w:rPr>
        <w:lastRenderedPageBreak/>
        <w:t>responses to Commission requests for information</w:t>
      </w:r>
      <w:r w:rsidR="00A90DA6" w:rsidRPr="00DE2C6C">
        <w:rPr>
          <w:rFonts w:ascii="Times New Roman" w:eastAsia="Times New Roman" w:hAnsi="Times New Roman" w:cs="Times New Roman"/>
          <w:color w:val="0D0D0D"/>
          <w:sz w:val="26"/>
          <w:szCs w:val="26"/>
        </w:rPr>
        <w:t>.</w:t>
      </w:r>
      <w:r w:rsidR="00A90DA6" w:rsidRPr="00DE2C6C">
        <w:rPr>
          <w:rFonts w:ascii="Times New Roman" w:eastAsia="Times New Roman" w:hAnsi="Times New Roman" w:cs="Times New Roman"/>
          <w:color w:val="0D0D0D" w:themeColor="text1" w:themeTint="F2"/>
          <w:sz w:val="26"/>
          <w:szCs w:val="26"/>
        </w:rPr>
        <w:t xml:space="preserve">  </w:t>
      </w:r>
      <w:r w:rsidR="003C393C">
        <w:rPr>
          <w:rFonts w:ascii="Times New Roman" w:eastAsia="Times New Roman" w:hAnsi="Times New Roman" w:cs="Times New Roman"/>
          <w:color w:val="0D0D0D" w:themeColor="text1" w:themeTint="F2"/>
          <w:sz w:val="26"/>
          <w:szCs w:val="26"/>
        </w:rPr>
        <w:t xml:space="preserve">OCA, TURN </w:t>
      </w:r>
      <w:r w:rsidR="006656B5" w:rsidRPr="006656B5">
        <w:rPr>
          <w:rFonts w:ascii="Times New Roman" w:eastAsia="Times New Roman" w:hAnsi="Times New Roman" w:cs="Times New Roman"/>
          <w:i/>
          <w:color w:val="0D0D0D" w:themeColor="text1" w:themeTint="F2"/>
          <w:sz w:val="26"/>
          <w:szCs w:val="26"/>
        </w:rPr>
        <w:t>et al</w:t>
      </w:r>
      <w:r w:rsidR="003C393C">
        <w:rPr>
          <w:rFonts w:ascii="Times New Roman" w:eastAsia="Times New Roman" w:hAnsi="Times New Roman" w:cs="Times New Roman"/>
          <w:color w:val="0D0D0D" w:themeColor="text1" w:themeTint="F2"/>
          <w:sz w:val="26"/>
          <w:szCs w:val="26"/>
        </w:rPr>
        <w:t xml:space="preserve">., and </w:t>
      </w:r>
      <w:r w:rsidR="0072616A">
        <w:rPr>
          <w:rFonts w:ascii="Times New Roman" w:eastAsia="Times New Roman" w:hAnsi="Times New Roman" w:cs="Times New Roman"/>
          <w:color w:val="0D0D0D"/>
          <w:sz w:val="26"/>
          <w:szCs w:val="26"/>
        </w:rPr>
        <w:t>PGW</w:t>
      </w:r>
      <w:r w:rsidR="00A90DA6" w:rsidRPr="00DE2C6C">
        <w:rPr>
          <w:rFonts w:ascii="Times New Roman" w:eastAsia="Times New Roman" w:hAnsi="Times New Roman" w:cs="Times New Roman"/>
          <w:color w:val="0D0D0D"/>
          <w:sz w:val="26"/>
          <w:szCs w:val="26"/>
        </w:rPr>
        <w:t xml:space="preserve"> also </w:t>
      </w:r>
      <w:r w:rsidR="00BC7F6C">
        <w:rPr>
          <w:rFonts w:ascii="Times New Roman" w:eastAsia="Times New Roman" w:hAnsi="Times New Roman" w:cs="Times New Roman"/>
          <w:color w:val="0D0D0D"/>
          <w:sz w:val="26"/>
          <w:szCs w:val="26"/>
        </w:rPr>
        <w:t xml:space="preserve">individually </w:t>
      </w:r>
      <w:r w:rsidR="00A90DA6" w:rsidRPr="00DE2C6C">
        <w:rPr>
          <w:rFonts w:ascii="Times New Roman" w:eastAsia="Times New Roman" w:hAnsi="Times New Roman" w:cs="Times New Roman"/>
          <w:color w:val="0D0D0D"/>
          <w:sz w:val="26"/>
          <w:szCs w:val="26"/>
        </w:rPr>
        <w:t xml:space="preserve">filed </w:t>
      </w:r>
      <w:r w:rsidR="0072616A">
        <w:rPr>
          <w:rFonts w:ascii="Times New Roman" w:eastAsia="Times New Roman" w:hAnsi="Times New Roman" w:cs="Times New Roman"/>
          <w:color w:val="0D0D0D"/>
          <w:sz w:val="26"/>
          <w:szCs w:val="26"/>
        </w:rPr>
        <w:t xml:space="preserve">reply comments.  </w:t>
      </w:r>
      <w:r w:rsidR="00A90DA6" w:rsidRPr="00976459">
        <w:rPr>
          <w:rFonts w:ascii="Times New Roman" w:eastAsia="Times New Roman" w:hAnsi="Times New Roman" w:cs="Times New Roman"/>
          <w:color w:val="0D0D0D" w:themeColor="text1" w:themeTint="F2"/>
          <w:sz w:val="26"/>
          <w:szCs w:val="26"/>
        </w:rPr>
        <w:t xml:space="preserve">We have considered the comments filed by the </w:t>
      </w:r>
      <w:r w:rsidR="0072616A">
        <w:rPr>
          <w:rFonts w:ascii="Times New Roman" w:eastAsia="Times New Roman" w:hAnsi="Times New Roman" w:cs="Times New Roman"/>
          <w:color w:val="0D0D0D" w:themeColor="text1" w:themeTint="F2"/>
          <w:sz w:val="26"/>
          <w:szCs w:val="26"/>
        </w:rPr>
        <w:t>parties and direct that PGW</w:t>
      </w:r>
      <w:r w:rsidR="00A90DA6" w:rsidRPr="00976459">
        <w:rPr>
          <w:rFonts w:ascii="Times New Roman" w:eastAsia="Times New Roman" w:hAnsi="Times New Roman" w:cs="Times New Roman"/>
          <w:color w:val="0D0D0D" w:themeColor="text1" w:themeTint="F2"/>
          <w:sz w:val="26"/>
          <w:szCs w:val="26"/>
        </w:rPr>
        <w:t xml:space="preserve"> submit a Revised 2017-2</w:t>
      </w:r>
      <w:r w:rsidR="0072616A">
        <w:rPr>
          <w:rFonts w:ascii="Times New Roman" w:eastAsia="Times New Roman" w:hAnsi="Times New Roman" w:cs="Times New Roman"/>
          <w:color w:val="0D0D0D" w:themeColor="text1" w:themeTint="F2"/>
          <w:sz w:val="26"/>
          <w:szCs w:val="26"/>
        </w:rPr>
        <w:t>020</w:t>
      </w:r>
      <w:r w:rsidR="00A90DA6" w:rsidRPr="003D3CF4">
        <w:rPr>
          <w:rFonts w:ascii="Times New Roman" w:eastAsia="Times New Roman" w:hAnsi="Times New Roman" w:cs="Times New Roman"/>
          <w:color w:val="0D0D0D" w:themeColor="text1" w:themeTint="F2"/>
          <w:sz w:val="26"/>
          <w:szCs w:val="26"/>
        </w:rPr>
        <w:t xml:space="preserve"> Plan, consistent with this Order, for the reasons described herein.</w:t>
      </w:r>
    </w:p>
    <w:p w:rsidR="00C47F76" w:rsidRPr="00C47F76" w:rsidRDefault="00C47F76" w:rsidP="00231829">
      <w:pPr>
        <w:tabs>
          <w:tab w:val="left" w:pos="720"/>
        </w:tabs>
        <w:autoSpaceDE w:val="0"/>
        <w:autoSpaceDN w:val="0"/>
        <w:adjustRightInd w:val="0"/>
        <w:spacing w:after="0" w:line="360" w:lineRule="auto"/>
        <w:contextualSpacing/>
        <w:rPr>
          <w:rFonts w:ascii="Times New Roman" w:eastAsia="Times New Roman" w:hAnsi="Times New Roman" w:cs="Times New Roman"/>
          <w:sz w:val="26"/>
          <w:szCs w:val="26"/>
        </w:rPr>
      </w:pPr>
    </w:p>
    <w:p w:rsidR="00C47F76" w:rsidRPr="00C47F76" w:rsidRDefault="00C47F76" w:rsidP="00231829">
      <w:pPr>
        <w:keepNext/>
        <w:numPr>
          <w:ilvl w:val="0"/>
          <w:numId w:val="30"/>
        </w:numPr>
        <w:tabs>
          <w:tab w:val="left" w:pos="720"/>
        </w:tabs>
        <w:autoSpaceDE w:val="0"/>
        <w:autoSpaceDN w:val="0"/>
        <w:adjustRightInd w:val="0"/>
        <w:spacing w:after="0" w:line="360" w:lineRule="auto"/>
        <w:contextualSpacing/>
        <w:rPr>
          <w:rFonts w:ascii="Times New Roman" w:eastAsia="Times New Roman" w:hAnsi="Times New Roman" w:cs="Times New Roman"/>
          <w:b/>
          <w:sz w:val="26"/>
          <w:szCs w:val="26"/>
        </w:rPr>
      </w:pPr>
      <w:r w:rsidRPr="00C47F76">
        <w:rPr>
          <w:rFonts w:ascii="Times New Roman" w:eastAsia="Times New Roman" w:hAnsi="Times New Roman" w:cs="Times New Roman"/>
          <w:b/>
          <w:sz w:val="26"/>
          <w:szCs w:val="26"/>
        </w:rPr>
        <w:t>BACKGROUND</w:t>
      </w:r>
    </w:p>
    <w:p w:rsidR="00C47F76" w:rsidRPr="00C47F76" w:rsidRDefault="00C47F76" w:rsidP="00231829">
      <w:pPr>
        <w:keepNext/>
        <w:tabs>
          <w:tab w:val="left" w:pos="720"/>
        </w:tabs>
        <w:autoSpaceDE w:val="0"/>
        <w:autoSpaceDN w:val="0"/>
        <w:adjustRightInd w:val="0"/>
        <w:spacing w:after="0" w:line="360" w:lineRule="auto"/>
        <w:contextualSpacing/>
        <w:jc w:val="center"/>
        <w:rPr>
          <w:rFonts w:ascii="Times New Roman" w:eastAsia="Times New Roman" w:hAnsi="Times New Roman" w:cs="Times New Roman"/>
          <w:b/>
          <w:sz w:val="26"/>
          <w:szCs w:val="26"/>
        </w:rPr>
      </w:pPr>
    </w:p>
    <w:p w:rsidR="00023E26" w:rsidRPr="00614442" w:rsidRDefault="00023E26" w:rsidP="00231829">
      <w:pPr>
        <w:tabs>
          <w:tab w:val="left" w:pos="720"/>
        </w:tabs>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T</w:t>
      </w:r>
      <w:r w:rsidRPr="005F4CC0">
        <w:rPr>
          <w:rFonts w:ascii="Times New Roman" w:eastAsia="Times New Roman" w:hAnsi="Times New Roman" w:cs="Times New Roman"/>
          <w:sz w:val="26"/>
          <w:szCs w:val="26"/>
        </w:rPr>
        <w:t xml:space="preserve">his Commission and various stakeholders </w:t>
      </w:r>
      <w:r>
        <w:rPr>
          <w:rFonts w:ascii="Times New Roman" w:eastAsia="Times New Roman" w:hAnsi="Times New Roman" w:cs="Times New Roman"/>
          <w:sz w:val="26"/>
          <w:szCs w:val="26"/>
        </w:rPr>
        <w:t xml:space="preserve">began </w:t>
      </w:r>
      <w:r w:rsidRPr="005F4CC0">
        <w:rPr>
          <w:rFonts w:ascii="Times New Roman" w:eastAsia="Times New Roman" w:hAnsi="Times New Roman" w:cs="Times New Roman"/>
          <w:sz w:val="26"/>
          <w:szCs w:val="26"/>
        </w:rPr>
        <w:t xml:space="preserve">to address </w:t>
      </w:r>
      <w:r>
        <w:rPr>
          <w:rFonts w:ascii="Times New Roman" w:eastAsia="Times New Roman" w:hAnsi="Times New Roman" w:cs="Times New Roman"/>
          <w:sz w:val="26"/>
          <w:szCs w:val="26"/>
        </w:rPr>
        <w:t xml:space="preserve">formally </w:t>
      </w:r>
      <w:r w:rsidRPr="005F4CC0">
        <w:rPr>
          <w:rFonts w:ascii="Times New Roman" w:eastAsia="Times New Roman" w:hAnsi="Times New Roman" w:cs="Times New Roman"/>
          <w:sz w:val="26"/>
          <w:szCs w:val="26"/>
        </w:rPr>
        <w:t>low</w:t>
      </w:r>
      <w:r>
        <w:rPr>
          <w:rFonts w:ascii="Times New Roman" w:eastAsia="Times New Roman" w:hAnsi="Times New Roman" w:cs="Times New Roman"/>
          <w:sz w:val="26"/>
          <w:szCs w:val="26"/>
        </w:rPr>
        <w:t>-</w:t>
      </w:r>
      <w:r w:rsidRPr="005F4CC0">
        <w:rPr>
          <w:rFonts w:ascii="Times New Roman" w:eastAsia="Times New Roman" w:hAnsi="Times New Roman" w:cs="Times New Roman"/>
          <w:sz w:val="26"/>
          <w:szCs w:val="26"/>
        </w:rPr>
        <w:t xml:space="preserve">income policies, practices, and services </w:t>
      </w:r>
      <w:r>
        <w:rPr>
          <w:rFonts w:ascii="Times New Roman" w:eastAsia="Times New Roman" w:hAnsi="Times New Roman" w:cs="Times New Roman"/>
          <w:sz w:val="26"/>
          <w:szCs w:val="26"/>
        </w:rPr>
        <w:t xml:space="preserve">at </w:t>
      </w:r>
      <w:r w:rsidRPr="005F4CC0">
        <w:rPr>
          <w:rFonts w:ascii="Times New Roman" w:eastAsia="Times New Roman" w:hAnsi="Times New Roman" w:cs="Times New Roman"/>
          <w:sz w:val="26"/>
          <w:szCs w:val="26"/>
        </w:rPr>
        <w:t xml:space="preserve">least as early as 1984.  </w:t>
      </w:r>
      <w:r>
        <w:rPr>
          <w:rFonts w:ascii="Times New Roman" w:eastAsia="Times New Roman" w:hAnsi="Times New Roman" w:cs="Times New Roman"/>
          <w:i/>
          <w:sz w:val="26"/>
          <w:szCs w:val="26"/>
        </w:rPr>
        <w:t xml:space="preserve">See </w:t>
      </w:r>
      <w:r w:rsidRPr="005F4CC0">
        <w:rPr>
          <w:rFonts w:ascii="Times New Roman" w:eastAsia="Times New Roman" w:hAnsi="Times New Roman" w:cs="Times New Roman"/>
          <w:i/>
          <w:sz w:val="26"/>
          <w:szCs w:val="26"/>
        </w:rPr>
        <w:t>Recommendations for Dealing with Payment Troubled Customers</w:t>
      </w:r>
      <w:r w:rsidRPr="005F4CC0">
        <w:rPr>
          <w:rFonts w:ascii="Times New Roman" w:eastAsia="Times New Roman" w:hAnsi="Times New Roman" w:cs="Times New Roman"/>
          <w:sz w:val="26"/>
          <w:szCs w:val="26"/>
        </w:rPr>
        <w:t>, Docket No. M-840403.  As a result of that proceeding, the energy utilities began filing low-income usage reduction plans (LIURPs) and considering how to address arrearages for low-income customers.</w:t>
      </w:r>
      <w:r>
        <w:rPr>
          <w:rFonts w:ascii="Times New Roman" w:eastAsia="Times New Roman" w:hAnsi="Times New Roman" w:cs="Times New Roman"/>
          <w:sz w:val="26"/>
          <w:szCs w:val="26"/>
        </w:rPr>
        <w:t xml:space="preserve">  </w:t>
      </w:r>
    </w:p>
    <w:p w:rsidR="00023E26" w:rsidRPr="005F4CC0" w:rsidRDefault="00023E26" w:rsidP="00231829">
      <w:pPr>
        <w:tabs>
          <w:tab w:val="left" w:pos="720"/>
        </w:tabs>
        <w:spacing w:after="0" w:line="360" w:lineRule="auto"/>
        <w:ind w:firstLine="720"/>
        <w:contextualSpacing/>
        <w:rPr>
          <w:rFonts w:ascii="Times New Roman" w:eastAsia="Times New Roman" w:hAnsi="Times New Roman" w:cs="Times New Roman"/>
          <w:sz w:val="26"/>
          <w:szCs w:val="26"/>
        </w:rPr>
      </w:pPr>
    </w:p>
    <w:p w:rsidR="00023E26" w:rsidRPr="005F4CC0" w:rsidRDefault="00023E26" w:rsidP="00231829">
      <w:pPr>
        <w:tabs>
          <w:tab w:val="left" w:pos="720"/>
        </w:tabs>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sz w:val="26"/>
          <w:szCs w:val="26"/>
        </w:rPr>
        <w:tab/>
      </w:r>
      <w:r w:rsidRPr="005F4CC0">
        <w:rPr>
          <w:rFonts w:ascii="Times New Roman" w:eastAsia="Times New Roman" w:hAnsi="Times New Roman" w:cs="Times New Roman"/>
          <w:sz w:val="26"/>
          <w:szCs w:val="26"/>
        </w:rPr>
        <w:t>The Commission</w:t>
      </w:r>
      <w:r>
        <w:rPr>
          <w:rFonts w:ascii="Times New Roman" w:eastAsia="Times New Roman" w:hAnsi="Times New Roman" w:cs="Times New Roman"/>
          <w:sz w:val="26"/>
          <w:szCs w:val="26"/>
        </w:rPr>
        <w:t>’s</w:t>
      </w:r>
      <w:r w:rsidRPr="005F4CC0">
        <w:rPr>
          <w:rFonts w:ascii="Times New Roman" w:eastAsia="Times New Roman" w:hAnsi="Times New Roman" w:cs="Times New Roman"/>
          <w:sz w:val="26"/>
          <w:szCs w:val="26"/>
        </w:rPr>
        <w:t xml:space="preserve"> Customer Assistance Programs (CAP) Policy Statement at 52</w:t>
      </w:r>
      <w:r>
        <w:rPr>
          <w:rFonts w:ascii="Times New Roman" w:eastAsia="Times New Roman" w:hAnsi="Times New Roman" w:cs="Times New Roman"/>
          <w:sz w:val="26"/>
          <w:szCs w:val="26"/>
        </w:rPr>
        <w:t> </w:t>
      </w:r>
      <w:r w:rsidRPr="005F4CC0">
        <w:rPr>
          <w:rFonts w:ascii="Times New Roman" w:eastAsia="Times New Roman" w:hAnsi="Times New Roman" w:cs="Times New Roman"/>
          <w:sz w:val="26"/>
          <w:szCs w:val="26"/>
        </w:rPr>
        <w:t>Pa. Code §§ 69.261-69.267</w:t>
      </w:r>
      <w:r>
        <w:rPr>
          <w:rFonts w:ascii="Times New Roman" w:eastAsia="Times New Roman" w:hAnsi="Times New Roman" w:cs="Times New Roman"/>
          <w:sz w:val="26"/>
          <w:szCs w:val="26"/>
        </w:rPr>
        <w:t xml:space="preserve"> (adopted</w:t>
      </w:r>
      <w:r w:rsidRPr="005F4CC0">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in</w:t>
      </w:r>
      <w:r w:rsidRPr="005F4CC0">
        <w:rPr>
          <w:rFonts w:ascii="Times New Roman" w:eastAsia="Times New Roman" w:hAnsi="Times New Roman" w:cs="Times New Roman"/>
          <w:sz w:val="26"/>
          <w:szCs w:val="26"/>
        </w:rPr>
        <w:t xml:space="preserve"> 1992</w:t>
      </w:r>
      <w:r>
        <w:rPr>
          <w:rFonts w:ascii="Times New Roman" w:eastAsia="Times New Roman" w:hAnsi="Times New Roman" w:cs="Times New Roman"/>
          <w:sz w:val="26"/>
          <w:szCs w:val="26"/>
        </w:rPr>
        <w:t xml:space="preserve"> and last </w:t>
      </w:r>
      <w:r w:rsidRPr="005F4CC0">
        <w:rPr>
          <w:rFonts w:ascii="Times New Roman" w:eastAsia="Times New Roman" w:hAnsi="Times New Roman" w:cs="Times New Roman"/>
          <w:sz w:val="26"/>
          <w:szCs w:val="26"/>
        </w:rPr>
        <w:t>amended</w:t>
      </w:r>
      <w:r>
        <w:rPr>
          <w:rFonts w:ascii="Times New Roman" w:eastAsia="Times New Roman" w:hAnsi="Times New Roman" w:cs="Times New Roman"/>
          <w:sz w:val="26"/>
          <w:szCs w:val="26"/>
        </w:rPr>
        <w:t xml:space="preserve"> it in </w:t>
      </w:r>
      <w:r w:rsidRPr="005F4CC0">
        <w:rPr>
          <w:rFonts w:ascii="Times New Roman" w:eastAsia="Times New Roman" w:hAnsi="Times New Roman" w:cs="Times New Roman"/>
          <w:sz w:val="26"/>
          <w:szCs w:val="26"/>
        </w:rPr>
        <w:t>1999</w:t>
      </w:r>
      <w:r>
        <w:rPr>
          <w:rFonts w:ascii="Times New Roman" w:eastAsia="Times New Roman" w:hAnsi="Times New Roman" w:cs="Times New Roman"/>
          <w:sz w:val="26"/>
          <w:szCs w:val="26"/>
        </w:rPr>
        <w:t xml:space="preserve">) </w:t>
      </w:r>
      <w:r w:rsidRPr="005F4CC0">
        <w:rPr>
          <w:rFonts w:ascii="Times New Roman" w:eastAsia="Times New Roman" w:hAnsi="Times New Roman" w:cs="Times New Roman"/>
          <w:sz w:val="26"/>
          <w:szCs w:val="26"/>
        </w:rPr>
        <w:t>appli</w:t>
      </w:r>
      <w:r>
        <w:rPr>
          <w:rFonts w:ascii="Times New Roman" w:eastAsia="Times New Roman" w:hAnsi="Times New Roman" w:cs="Times New Roman"/>
          <w:sz w:val="26"/>
          <w:szCs w:val="26"/>
        </w:rPr>
        <w:t>es</w:t>
      </w:r>
      <w:r w:rsidRPr="005F4CC0">
        <w:rPr>
          <w:rFonts w:ascii="Times New Roman" w:eastAsia="Times New Roman" w:hAnsi="Times New Roman" w:cs="Times New Roman"/>
          <w:sz w:val="26"/>
          <w:szCs w:val="26"/>
        </w:rPr>
        <w:t xml:space="preserve"> to class A </w:t>
      </w:r>
      <w:r>
        <w:rPr>
          <w:rFonts w:ascii="Times New Roman" w:eastAsia="Times New Roman" w:hAnsi="Times New Roman" w:cs="Times New Roman"/>
          <w:sz w:val="26"/>
          <w:szCs w:val="26"/>
        </w:rPr>
        <w:t>e</w:t>
      </w:r>
      <w:r w:rsidRPr="005F4CC0">
        <w:rPr>
          <w:rFonts w:ascii="Times New Roman" w:eastAsia="Times New Roman" w:hAnsi="Times New Roman" w:cs="Times New Roman"/>
          <w:sz w:val="26"/>
          <w:szCs w:val="26"/>
        </w:rPr>
        <w:t xml:space="preserve">lectric </w:t>
      </w:r>
      <w:r>
        <w:rPr>
          <w:rFonts w:ascii="Times New Roman" w:eastAsia="Times New Roman" w:hAnsi="Times New Roman" w:cs="Times New Roman"/>
          <w:sz w:val="26"/>
          <w:szCs w:val="26"/>
        </w:rPr>
        <w:t>d</w:t>
      </w:r>
      <w:r w:rsidRPr="005F4CC0">
        <w:rPr>
          <w:rFonts w:ascii="Times New Roman" w:eastAsia="Times New Roman" w:hAnsi="Times New Roman" w:cs="Times New Roman"/>
          <w:sz w:val="26"/>
          <w:szCs w:val="26"/>
        </w:rPr>
        <w:t xml:space="preserve">istribution </w:t>
      </w:r>
      <w:r>
        <w:rPr>
          <w:rFonts w:ascii="Times New Roman" w:eastAsia="Times New Roman" w:hAnsi="Times New Roman" w:cs="Times New Roman"/>
          <w:sz w:val="26"/>
          <w:szCs w:val="26"/>
        </w:rPr>
        <w:t>c</w:t>
      </w:r>
      <w:r w:rsidRPr="005F4CC0">
        <w:rPr>
          <w:rFonts w:ascii="Times New Roman" w:eastAsia="Times New Roman" w:hAnsi="Times New Roman" w:cs="Times New Roman"/>
          <w:sz w:val="26"/>
          <w:szCs w:val="26"/>
        </w:rPr>
        <w:t xml:space="preserve">ompanies (EDCs) and </w:t>
      </w:r>
      <w:r>
        <w:rPr>
          <w:rFonts w:ascii="Times New Roman" w:eastAsia="Times New Roman" w:hAnsi="Times New Roman" w:cs="Times New Roman"/>
          <w:sz w:val="26"/>
          <w:szCs w:val="26"/>
        </w:rPr>
        <w:t>n</w:t>
      </w:r>
      <w:r w:rsidRPr="005F4CC0">
        <w:rPr>
          <w:rFonts w:ascii="Times New Roman" w:eastAsia="Times New Roman" w:hAnsi="Times New Roman" w:cs="Times New Roman"/>
          <w:sz w:val="26"/>
          <w:szCs w:val="26"/>
        </w:rPr>
        <w:t xml:space="preserve">atural </w:t>
      </w:r>
      <w:r>
        <w:rPr>
          <w:rFonts w:ascii="Times New Roman" w:eastAsia="Times New Roman" w:hAnsi="Times New Roman" w:cs="Times New Roman"/>
          <w:sz w:val="26"/>
          <w:szCs w:val="26"/>
        </w:rPr>
        <w:t>g</w:t>
      </w:r>
      <w:r w:rsidRPr="005F4CC0">
        <w:rPr>
          <w:rFonts w:ascii="Times New Roman" w:eastAsia="Times New Roman" w:hAnsi="Times New Roman" w:cs="Times New Roman"/>
          <w:sz w:val="26"/>
          <w:szCs w:val="26"/>
        </w:rPr>
        <w:t xml:space="preserve">as </w:t>
      </w:r>
      <w:r>
        <w:rPr>
          <w:rFonts w:ascii="Times New Roman" w:eastAsia="Times New Roman" w:hAnsi="Times New Roman" w:cs="Times New Roman"/>
          <w:sz w:val="26"/>
          <w:szCs w:val="26"/>
        </w:rPr>
        <w:t>d</w:t>
      </w:r>
      <w:r w:rsidRPr="005F4CC0">
        <w:rPr>
          <w:rFonts w:ascii="Times New Roman" w:eastAsia="Times New Roman" w:hAnsi="Times New Roman" w:cs="Times New Roman"/>
          <w:sz w:val="26"/>
          <w:szCs w:val="26"/>
        </w:rPr>
        <w:t xml:space="preserve">istribution </w:t>
      </w:r>
      <w:r>
        <w:rPr>
          <w:rFonts w:ascii="Times New Roman" w:eastAsia="Times New Roman" w:hAnsi="Times New Roman" w:cs="Times New Roman"/>
          <w:sz w:val="26"/>
          <w:szCs w:val="26"/>
        </w:rPr>
        <w:t>c</w:t>
      </w:r>
      <w:r w:rsidRPr="005F4CC0">
        <w:rPr>
          <w:rFonts w:ascii="Times New Roman" w:eastAsia="Times New Roman" w:hAnsi="Times New Roman" w:cs="Times New Roman"/>
          <w:sz w:val="26"/>
          <w:szCs w:val="26"/>
        </w:rPr>
        <w:t xml:space="preserve">ompanies (NGDCs) with gross annual operating revenue in excess of $40 million.  </w:t>
      </w:r>
      <w:r>
        <w:rPr>
          <w:rFonts w:ascii="Times New Roman" w:eastAsia="Times New Roman" w:hAnsi="Times New Roman" w:cs="Times New Roman"/>
          <w:sz w:val="26"/>
          <w:szCs w:val="26"/>
        </w:rPr>
        <w:t xml:space="preserve">It </w:t>
      </w:r>
      <w:r w:rsidRPr="005F4CC0">
        <w:rPr>
          <w:rFonts w:ascii="Times New Roman" w:eastAsia="Times New Roman" w:hAnsi="Times New Roman" w:cs="Times New Roman"/>
          <w:sz w:val="26"/>
          <w:szCs w:val="26"/>
        </w:rPr>
        <w:t xml:space="preserve">provides guidance on affordable payments </w:t>
      </w:r>
      <w:r>
        <w:rPr>
          <w:rFonts w:ascii="Times New Roman" w:eastAsia="Times New Roman" w:hAnsi="Times New Roman" w:cs="Times New Roman"/>
          <w:sz w:val="26"/>
          <w:szCs w:val="26"/>
        </w:rPr>
        <w:t xml:space="preserve">and arrearages </w:t>
      </w:r>
      <w:r w:rsidRPr="005F4CC0">
        <w:rPr>
          <w:rFonts w:ascii="Times New Roman" w:eastAsia="Times New Roman" w:hAnsi="Times New Roman" w:cs="Times New Roman"/>
          <w:sz w:val="26"/>
          <w:szCs w:val="26"/>
        </w:rPr>
        <w:t>and establishes a process for utilit</w:t>
      </w:r>
      <w:r>
        <w:rPr>
          <w:rFonts w:ascii="Times New Roman" w:eastAsia="Times New Roman" w:hAnsi="Times New Roman" w:cs="Times New Roman"/>
          <w:sz w:val="26"/>
          <w:szCs w:val="26"/>
        </w:rPr>
        <w:t xml:space="preserve">ies </w:t>
      </w:r>
      <w:r w:rsidRPr="005F4CC0">
        <w:rPr>
          <w:rFonts w:ascii="Times New Roman" w:eastAsia="Times New Roman" w:hAnsi="Times New Roman" w:cs="Times New Roman"/>
          <w:sz w:val="26"/>
          <w:szCs w:val="26"/>
        </w:rPr>
        <w:t xml:space="preserve">to work with the Commission’s Bureau of Consumer Services (BCS) </w:t>
      </w:r>
      <w:r>
        <w:rPr>
          <w:rFonts w:ascii="Times New Roman" w:eastAsia="Times New Roman" w:hAnsi="Times New Roman" w:cs="Times New Roman"/>
          <w:sz w:val="26"/>
          <w:szCs w:val="26"/>
        </w:rPr>
        <w:t xml:space="preserve">to </w:t>
      </w:r>
      <w:r w:rsidRPr="005F4CC0">
        <w:rPr>
          <w:rFonts w:ascii="Times New Roman" w:eastAsia="Times New Roman" w:hAnsi="Times New Roman" w:cs="Times New Roman"/>
          <w:sz w:val="26"/>
          <w:szCs w:val="26"/>
        </w:rPr>
        <w:t>develop CAP</w:t>
      </w:r>
      <w:r>
        <w:rPr>
          <w:rFonts w:ascii="Times New Roman" w:eastAsia="Times New Roman" w:hAnsi="Times New Roman" w:cs="Times New Roman"/>
          <w:sz w:val="26"/>
          <w:szCs w:val="26"/>
        </w:rPr>
        <w:t>s</w:t>
      </w:r>
      <w:r w:rsidRPr="005F4CC0">
        <w:rPr>
          <w:rFonts w:ascii="Times New Roman" w:eastAsia="Times New Roman" w:hAnsi="Times New Roman" w:cs="Times New Roman"/>
          <w:sz w:val="26"/>
          <w:szCs w:val="26"/>
        </w:rPr>
        <w:t xml:space="preserve">.  The Commission balances the interests of customers who benefit from </w:t>
      </w:r>
      <w:r>
        <w:rPr>
          <w:rFonts w:ascii="Times New Roman" w:eastAsia="Times New Roman" w:hAnsi="Times New Roman" w:cs="Times New Roman"/>
          <w:sz w:val="26"/>
          <w:szCs w:val="26"/>
        </w:rPr>
        <w:t xml:space="preserve">CAPs </w:t>
      </w:r>
      <w:r w:rsidRPr="005F4CC0">
        <w:rPr>
          <w:rFonts w:ascii="Times New Roman" w:eastAsia="Times New Roman" w:hAnsi="Times New Roman" w:cs="Times New Roman"/>
          <w:sz w:val="26"/>
          <w:szCs w:val="26"/>
        </w:rPr>
        <w:t xml:space="preserve">with the interests of the </w:t>
      </w:r>
      <w:r>
        <w:rPr>
          <w:rFonts w:ascii="Times New Roman" w:eastAsia="Times New Roman" w:hAnsi="Times New Roman" w:cs="Times New Roman"/>
          <w:sz w:val="26"/>
          <w:szCs w:val="26"/>
        </w:rPr>
        <w:t xml:space="preserve">other residential </w:t>
      </w:r>
      <w:r w:rsidRPr="005F4CC0">
        <w:rPr>
          <w:rFonts w:ascii="Times New Roman" w:eastAsia="Times New Roman" w:hAnsi="Times New Roman" w:cs="Times New Roman"/>
          <w:sz w:val="26"/>
          <w:szCs w:val="26"/>
        </w:rPr>
        <w:t xml:space="preserve">customers who pay for </w:t>
      </w:r>
      <w:r>
        <w:rPr>
          <w:rFonts w:ascii="Times New Roman" w:eastAsia="Times New Roman" w:hAnsi="Times New Roman" w:cs="Times New Roman"/>
          <w:sz w:val="26"/>
          <w:szCs w:val="26"/>
        </w:rPr>
        <w:t xml:space="preserve">such </w:t>
      </w:r>
      <w:r w:rsidRPr="005F4CC0">
        <w:rPr>
          <w:rFonts w:ascii="Times New Roman" w:eastAsia="Times New Roman" w:hAnsi="Times New Roman" w:cs="Times New Roman"/>
          <w:sz w:val="26"/>
          <w:szCs w:val="26"/>
        </w:rPr>
        <w:t xml:space="preserve">programs.  </w:t>
      </w:r>
      <w:r w:rsidRPr="005F4CC0">
        <w:rPr>
          <w:rFonts w:ascii="Times New Roman" w:eastAsia="Times New Roman" w:hAnsi="Times New Roman" w:cs="Times New Roman"/>
          <w:i/>
          <w:sz w:val="26"/>
          <w:szCs w:val="26"/>
        </w:rPr>
        <w:t>See</w:t>
      </w:r>
      <w:r w:rsidRPr="005F4CC0">
        <w:rPr>
          <w:rFonts w:ascii="Times New Roman" w:eastAsia="Times New Roman" w:hAnsi="Times New Roman" w:cs="Times New Roman"/>
          <w:sz w:val="26"/>
          <w:szCs w:val="26"/>
        </w:rPr>
        <w:t xml:space="preserve"> </w:t>
      </w:r>
      <w:r w:rsidRPr="005F4CC0">
        <w:rPr>
          <w:rFonts w:ascii="Times New Roman" w:eastAsia="Times New Roman" w:hAnsi="Times New Roman" w:cs="Times New Roman"/>
          <w:i/>
          <w:sz w:val="26"/>
          <w:szCs w:val="26"/>
        </w:rPr>
        <w:t>Final Investigatory Order on CAPs: Funding Levels and Cost Recovery Mechanisms</w:t>
      </w:r>
      <w:r w:rsidRPr="005F4CC0">
        <w:rPr>
          <w:rFonts w:ascii="Times New Roman" w:eastAsia="Times New Roman" w:hAnsi="Times New Roman" w:cs="Times New Roman"/>
          <w:sz w:val="26"/>
          <w:szCs w:val="26"/>
        </w:rPr>
        <w:t>, Docket No. M-00051923 (Dec. 18, 2006), (</w:t>
      </w:r>
      <w:r w:rsidRPr="005F4CC0">
        <w:rPr>
          <w:rFonts w:ascii="Times New Roman" w:eastAsia="Times New Roman" w:hAnsi="Times New Roman" w:cs="Times New Roman"/>
          <w:i/>
          <w:sz w:val="26"/>
          <w:szCs w:val="26"/>
        </w:rPr>
        <w:t>Final CAP Investigatory Order</w:t>
      </w:r>
      <w:r w:rsidRPr="005F4CC0">
        <w:rPr>
          <w:rFonts w:ascii="Times New Roman" w:eastAsia="Times New Roman" w:hAnsi="Times New Roman" w:cs="Times New Roman"/>
          <w:sz w:val="26"/>
          <w:szCs w:val="26"/>
        </w:rPr>
        <w:t>), at 6-7.</w:t>
      </w:r>
      <w:r w:rsidRPr="005F4CC0">
        <w:rPr>
          <w:rFonts w:ascii="Times New Roman" w:eastAsia="Times New Roman" w:hAnsi="Times New Roman" w:cs="Times New Roman"/>
          <w:color w:val="0D0D0D" w:themeColor="text1" w:themeTint="F2"/>
          <w:sz w:val="26"/>
          <w:szCs w:val="26"/>
        </w:rPr>
        <w:t xml:space="preserve">  </w:t>
      </w:r>
    </w:p>
    <w:p w:rsidR="00023E26" w:rsidRDefault="00023E26" w:rsidP="00231829">
      <w:pPr>
        <w:tabs>
          <w:tab w:val="left" w:pos="720"/>
        </w:tabs>
        <w:spacing w:after="0" w:line="360" w:lineRule="auto"/>
        <w:ind w:firstLine="720"/>
        <w:contextualSpacing/>
        <w:rPr>
          <w:rFonts w:ascii="Times New Roman" w:eastAsia="Times New Roman" w:hAnsi="Times New Roman" w:cs="Times New Roman"/>
          <w:sz w:val="26"/>
          <w:szCs w:val="26"/>
        </w:rPr>
      </w:pPr>
    </w:p>
    <w:p w:rsidR="00023E26" w:rsidRDefault="00023E26" w:rsidP="00231829">
      <w:pPr>
        <w:tabs>
          <w:tab w:val="left" w:pos="720"/>
        </w:tabs>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The Commission’s LIURP regulations at 52 Pa. Code §§ 58.1 – 58.18 (adopted in 1993 and </w:t>
      </w:r>
      <w:r w:rsidRPr="00614442">
        <w:rPr>
          <w:rFonts w:ascii="Times New Roman" w:eastAsia="Times New Roman" w:hAnsi="Times New Roman" w:cs="Times New Roman"/>
          <w:sz w:val="26"/>
          <w:szCs w:val="26"/>
        </w:rPr>
        <w:t xml:space="preserve">last amended in 1998) </w:t>
      </w:r>
      <w:r w:rsidRPr="00614442">
        <w:rPr>
          <w:rFonts w:ascii="Times New Roman" w:hAnsi="Times New Roman" w:cs="Times New Roman"/>
          <w:sz w:val="26"/>
          <w:szCs w:val="26"/>
        </w:rPr>
        <w:t>require covered utilities to establish fair, effective</w:t>
      </w:r>
      <w:r>
        <w:rPr>
          <w:rFonts w:ascii="Times New Roman" w:hAnsi="Times New Roman" w:cs="Times New Roman"/>
          <w:sz w:val="26"/>
          <w:szCs w:val="26"/>
        </w:rPr>
        <w:t>,</w:t>
      </w:r>
      <w:r w:rsidRPr="00614442">
        <w:rPr>
          <w:rFonts w:ascii="Times New Roman" w:hAnsi="Times New Roman" w:cs="Times New Roman"/>
          <w:sz w:val="26"/>
          <w:szCs w:val="26"/>
        </w:rPr>
        <w:t xml:space="preserve"> and efficient energy usage reduction programs for their low</w:t>
      </w:r>
      <w:r>
        <w:rPr>
          <w:rFonts w:ascii="Times New Roman" w:hAnsi="Times New Roman" w:cs="Times New Roman"/>
          <w:sz w:val="26"/>
          <w:szCs w:val="26"/>
        </w:rPr>
        <w:t>-</w:t>
      </w:r>
      <w:r w:rsidRPr="00614442">
        <w:rPr>
          <w:rFonts w:ascii="Times New Roman" w:hAnsi="Times New Roman" w:cs="Times New Roman"/>
          <w:sz w:val="26"/>
          <w:szCs w:val="26"/>
        </w:rPr>
        <w:t xml:space="preserve">income customers. </w:t>
      </w:r>
      <w:r>
        <w:rPr>
          <w:rFonts w:ascii="Times New Roman" w:hAnsi="Times New Roman" w:cs="Times New Roman"/>
          <w:sz w:val="26"/>
          <w:szCs w:val="26"/>
        </w:rPr>
        <w:t xml:space="preserve"> </w:t>
      </w:r>
      <w:r w:rsidRPr="00614442">
        <w:rPr>
          <w:rFonts w:ascii="Times New Roman" w:hAnsi="Times New Roman" w:cs="Times New Roman"/>
          <w:sz w:val="26"/>
          <w:szCs w:val="26"/>
        </w:rPr>
        <w:t>The programs are intended to assist low income customers conserve energy and reduce residential energy bills</w:t>
      </w:r>
      <w:r>
        <w:rPr>
          <w:rFonts w:ascii="Times New Roman" w:hAnsi="Times New Roman" w:cs="Times New Roman"/>
          <w:sz w:val="26"/>
          <w:szCs w:val="26"/>
        </w:rPr>
        <w:t>.</w:t>
      </w:r>
      <w:r w:rsidR="00CD4268">
        <w:rPr>
          <w:rFonts w:ascii="Times New Roman" w:hAnsi="Times New Roman" w:cs="Times New Roman"/>
          <w:sz w:val="26"/>
          <w:szCs w:val="26"/>
        </w:rPr>
        <w:t xml:space="preserve">  The Commission is currently reviewing its LIURP regulations at </w:t>
      </w:r>
      <w:r w:rsidR="00CD4268" w:rsidRPr="00663632">
        <w:rPr>
          <w:rFonts w:ascii="Times New Roman" w:hAnsi="Times New Roman" w:cs="Times New Roman"/>
          <w:i/>
          <w:sz w:val="26"/>
          <w:szCs w:val="26"/>
        </w:rPr>
        <w:lastRenderedPageBreak/>
        <w:t>Initiative to Review and Revise the Existing LIURP Regulations at 52 Pa. Code §§ 58.1 – 58.18</w:t>
      </w:r>
      <w:r w:rsidR="00CD4268">
        <w:rPr>
          <w:rFonts w:ascii="Times New Roman" w:hAnsi="Times New Roman" w:cs="Times New Roman"/>
          <w:sz w:val="26"/>
          <w:szCs w:val="26"/>
        </w:rPr>
        <w:t xml:space="preserve">, </w:t>
      </w:r>
      <w:r w:rsidR="00CD4268" w:rsidRPr="00663632">
        <w:rPr>
          <w:rFonts w:ascii="Times New Roman" w:hAnsi="Times New Roman" w:cs="Times New Roman"/>
          <w:sz w:val="26"/>
          <w:szCs w:val="26"/>
        </w:rPr>
        <w:t>Docket No. L-2016-2557886</w:t>
      </w:r>
      <w:r w:rsidR="00CD4268">
        <w:rPr>
          <w:rFonts w:ascii="Times New Roman" w:hAnsi="Times New Roman" w:cs="Times New Roman"/>
          <w:sz w:val="26"/>
          <w:szCs w:val="26"/>
        </w:rPr>
        <w:t>.</w:t>
      </w:r>
    </w:p>
    <w:p w:rsidR="00023E26" w:rsidRDefault="00023E26" w:rsidP="00231829">
      <w:pPr>
        <w:tabs>
          <w:tab w:val="left" w:pos="720"/>
        </w:tabs>
        <w:spacing w:after="0" w:line="360" w:lineRule="auto"/>
        <w:contextualSpacing/>
        <w:rPr>
          <w:rFonts w:ascii="Times New Roman" w:eastAsia="Times New Roman" w:hAnsi="Times New Roman" w:cs="Times New Roman"/>
          <w:sz w:val="26"/>
          <w:szCs w:val="26"/>
        </w:rPr>
      </w:pPr>
    </w:p>
    <w:p w:rsidR="00C47F76" w:rsidRDefault="00B421DD" w:rsidP="00231829">
      <w:pPr>
        <w:tabs>
          <w:tab w:val="left" w:pos="720"/>
        </w:tabs>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C47F76" w:rsidRPr="00C47F76">
        <w:rPr>
          <w:rFonts w:ascii="Times New Roman" w:eastAsia="Times New Roman" w:hAnsi="Times New Roman" w:cs="Times New Roman"/>
          <w:sz w:val="26"/>
          <w:szCs w:val="26"/>
        </w:rPr>
        <w:t>The Natural Gas Choice and Competition Act (Competition Act), effective July 1, 1999, opened the natural gas supply market to competition</w:t>
      </w:r>
      <w:r w:rsidR="00023E26">
        <w:rPr>
          <w:rFonts w:ascii="Times New Roman" w:eastAsia="Times New Roman" w:hAnsi="Times New Roman" w:cs="Times New Roman"/>
          <w:sz w:val="26"/>
          <w:szCs w:val="26"/>
        </w:rPr>
        <w:t xml:space="preserve">.  </w:t>
      </w:r>
      <w:r w:rsidR="004A5A38" w:rsidRPr="006127CD">
        <w:rPr>
          <w:rFonts w:ascii="Times New Roman" w:eastAsia="Times New Roman" w:hAnsi="Times New Roman" w:cs="Times New Roman"/>
          <w:sz w:val="26"/>
          <w:szCs w:val="26"/>
        </w:rPr>
        <w:t xml:space="preserve">The </w:t>
      </w:r>
      <w:r w:rsidR="00023E26" w:rsidRPr="006127CD">
        <w:rPr>
          <w:rFonts w:ascii="Times New Roman" w:eastAsia="Times New Roman" w:hAnsi="Times New Roman" w:cs="Times New Roman"/>
          <w:sz w:val="26"/>
          <w:szCs w:val="26"/>
        </w:rPr>
        <w:t xml:space="preserve">universal service provisions </w:t>
      </w:r>
      <w:r w:rsidR="004A5A38" w:rsidRPr="006127CD">
        <w:rPr>
          <w:rFonts w:ascii="Times New Roman" w:eastAsia="Times New Roman" w:hAnsi="Times New Roman" w:cs="Times New Roman"/>
          <w:sz w:val="26"/>
          <w:szCs w:val="26"/>
        </w:rPr>
        <w:t>of the Competition Act</w:t>
      </w:r>
      <w:r w:rsidR="004A5A38">
        <w:rPr>
          <w:rFonts w:ascii="Times New Roman" w:eastAsia="Times New Roman" w:hAnsi="Times New Roman" w:cs="Times New Roman"/>
          <w:sz w:val="26"/>
          <w:szCs w:val="26"/>
        </w:rPr>
        <w:t xml:space="preserve"> </w:t>
      </w:r>
      <w:r w:rsidR="00023E26" w:rsidRPr="005F4CC0">
        <w:rPr>
          <w:rFonts w:ascii="Times New Roman" w:eastAsia="Times New Roman" w:hAnsi="Times New Roman" w:cs="Times New Roman"/>
          <w:sz w:val="26"/>
          <w:szCs w:val="26"/>
        </w:rPr>
        <w:t>t</w:t>
      </w:r>
      <w:r w:rsidR="008851D2">
        <w:rPr>
          <w:rFonts w:ascii="Times New Roman" w:eastAsia="Times New Roman" w:hAnsi="Times New Roman" w:cs="Times New Roman"/>
          <w:sz w:val="26"/>
          <w:szCs w:val="26"/>
        </w:rPr>
        <w:t>ie the affordability of gas</w:t>
      </w:r>
      <w:r w:rsidR="00023E26" w:rsidRPr="005F4CC0">
        <w:rPr>
          <w:rFonts w:ascii="Times New Roman" w:eastAsia="Times New Roman" w:hAnsi="Times New Roman" w:cs="Times New Roman"/>
          <w:sz w:val="26"/>
          <w:szCs w:val="26"/>
        </w:rPr>
        <w:t xml:space="preserve"> service to a customer’s ability to maintain utility service.</w:t>
      </w:r>
      <w:r w:rsidR="00C47F76" w:rsidRPr="00C47F76">
        <w:rPr>
          <w:rFonts w:ascii="Times New Roman" w:eastAsia="Times New Roman" w:hAnsi="Times New Roman" w:cs="Times New Roman"/>
          <w:sz w:val="26"/>
          <w:szCs w:val="26"/>
        </w:rPr>
        <w:t xml:space="preserve"> </w:t>
      </w:r>
      <w:r w:rsidR="00023E26">
        <w:rPr>
          <w:rFonts w:ascii="Times New Roman" w:eastAsia="Times New Roman" w:hAnsi="Times New Roman" w:cs="Times New Roman"/>
          <w:sz w:val="26"/>
          <w:szCs w:val="26"/>
        </w:rPr>
        <w:t xml:space="preserve"> </w:t>
      </w:r>
      <w:r w:rsidR="00C47F76" w:rsidRPr="00C47F76">
        <w:rPr>
          <w:rFonts w:ascii="Times New Roman" w:eastAsia="Times New Roman" w:hAnsi="Times New Roman" w:cs="Times New Roman"/>
          <w:sz w:val="26"/>
          <w:szCs w:val="26"/>
        </w:rPr>
        <w:t>“Universal service and energy conservation” is defined as “policies, practices, and services that help low-income customers maintain their natural gas service” and includes</w:t>
      </w:r>
      <w:r w:rsidR="00023E26" w:rsidRPr="005F4CC0">
        <w:rPr>
          <w:rFonts w:ascii="Times New Roman" w:eastAsia="Times New Roman" w:hAnsi="Times New Roman" w:cs="Times New Roman"/>
          <w:sz w:val="26"/>
          <w:szCs w:val="26"/>
        </w:rPr>
        <w:t xml:space="preserve"> CAPs, usage reduction programs, service termination protections</w:t>
      </w:r>
      <w:r w:rsidR="00023E26">
        <w:rPr>
          <w:rFonts w:ascii="Times New Roman" w:eastAsia="Times New Roman" w:hAnsi="Times New Roman" w:cs="Times New Roman"/>
          <w:sz w:val="26"/>
          <w:szCs w:val="26"/>
        </w:rPr>
        <w:t>,</w:t>
      </w:r>
      <w:r w:rsidR="00023E26" w:rsidRPr="005F4CC0">
        <w:rPr>
          <w:rFonts w:ascii="Times New Roman" w:eastAsia="Times New Roman" w:hAnsi="Times New Roman" w:cs="Times New Roman"/>
          <w:sz w:val="26"/>
          <w:szCs w:val="26"/>
        </w:rPr>
        <w:t xml:space="preserve"> and consumer edu</w:t>
      </w:r>
      <w:r w:rsidR="00023E26">
        <w:rPr>
          <w:rFonts w:ascii="Times New Roman" w:eastAsia="Times New Roman" w:hAnsi="Times New Roman" w:cs="Times New Roman"/>
          <w:sz w:val="26"/>
          <w:szCs w:val="26"/>
        </w:rPr>
        <w:t>cation</w:t>
      </w:r>
      <w:r w:rsidR="00C47F76" w:rsidRPr="00C47F76">
        <w:rPr>
          <w:rFonts w:ascii="Times New Roman" w:eastAsia="Times New Roman" w:hAnsi="Times New Roman" w:cs="Times New Roman"/>
          <w:sz w:val="26"/>
          <w:szCs w:val="26"/>
        </w:rPr>
        <w:t>.  66 Pa.</w:t>
      </w:r>
      <w:r w:rsidR="002F186F">
        <w:rPr>
          <w:rFonts w:ascii="Times New Roman" w:eastAsia="Times New Roman" w:hAnsi="Times New Roman" w:cs="Times New Roman"/>
          <w:sz w:val="26"/>
          <w:szCs w:val="26"/>
        </w:rPr>
        <w:t xml:space="preserve"> </w:t>
      </w:r>
      <w:r w:rsidR="00C47F76" w:rsidRPr="00C47F76">
        <w:rPr>
          <w:rFonts w:ascii="Times New Roman" w:eastAsia="Times New Roman" w:hAnsi="Times New Roman" w:cs="Times New Roman"/>
          <w:sz w:val="26"/>
          <w:szCs w:val="26"/>
        </w:rPr>
        <w:t xml:space="preserve">C.S. §§ 2202 and 2203.  </w:t>
      </w:r>
      <w:r w:rsidR="00023E26">
        <w:rPr>
          <w:rFonts w:ascii="Times New Roman" w:eastAsia="Times New Roman" w:hAnsi="Times New Roman" w:cs="Times New Roman"/>
          <w:sz w:val="26"/>
          <w:szCs w:val="26"/>
        </w:rPr>
        <w:t>U</w:t>
      </w:r>
      <w:r w:rsidR="00023E26" w:rsidRPr="005F4CC0">
        <w:rPr>
          <w:rFonts w:ascii="Times New Roman" w:eastAsia="Times New Roman" w:hAnsi="Times New Roman" w:cs="Times New Roman"/>
          <w:sz w:val="26"/>
          <w:szCs w:val="26"/>
        </w:rPr>
        <w:t>niversal service programs are subject to the administrative oversight of the Commission, which must ensure that the utilities run the programs in a cost-effective manner</w:t>
      </w:r>
      <w:r w:rsidR="00023E26">
        <w:rPr>
          <w:rFonts w:ascii="Times New Roman" w:eastAsia="Times New Roman" w:hAnsi="Times New Roman" w:cs="Times New Roman"/>
          <w:sz w:val="26"/>
          <w:szCs w:val="26"/>
        </w:rPr>
        <w:t xml:space="preserve"> and that </w:t>
      </w:r>
      <w:r w:rsidR="00023E26" w:rsidRPr="005F4CC0">
        <w:rPr>
          <w:rFonts w:ascii="Times New Roman" w:eastAsia="Times New Roman" w:hAnsi="Times New Roman" w:cs="Times New Roman"/>
          <w:sz w:val="26"/>
          <w:szCs w:val="26"/>
        </w:rPr>
        <w:t>services are appropriately funded and available in each utility distribution territory.</w:t>
      </w:r>
      <w:r w:rsidR="00C47F76" w:rsidRPr="00C47F76">
        <w:rPr>
          <w:rFonts w:ascii="Times New Roman" w:eastAsia="Times New Roman" w:hAnsi="Times New Roman" w:cs="Times New Roman"/>
          <w:sz w:val="26"/>
          <w:szCs w:val="26"/>
        </w:rPr>
        <w:t xml:space="preserve">  66 Pa.</w:t>
      </w:r>
      <w:r w:rsidR="002F186F">
        <w:rPr>
          <w:rFonts w:ascii="Times New Roman" w:eastAsia="Times New Roman" w:hAnsi="Times New Roman" w:cs="Times New Roman"/>
          <w:sz w:val="26"/>
          <w:szCs w:val="26"/>
        </w:rPr>
        <w:t xml:space="preserve"> </w:t>
      </w:r>
      <w:r w:rsidR="00C47F76" w:rsidRPr="00C47F76">
        <w:rPr>
          <w:rFonts w:ascii="Times New Roman" w:eastAsia="Times New Roman" w:hAnsi="Times New Roman" w:cs="Times New Roman"/>
          <w:sz w:val="26"/>
          <w:szCs w:val="26"/>
        </w:rPr>
        <w:t xml:space="preserve">C.S. § 2203(8).  </w:t>
      </w:r>
    </w:p>
    <w:p w:rsidR="00B421DD" w:rsidRPr="00C47F76" w:rsidRDefault="00B421DD" w:rsidP="00231829">
      <w:pPr>
        <w:tabs>
          <w:tab w:val="left" w:pos="720"/>
        </w:tabs>
        <w:spacing w:after="0" w:line="360" w:lineRule="auto"/>
        <w:contextualSpacing/>
        <w:rPr>
          <w:rFonts w:ascii="Times New Roman" w:eastAsia="Times New Roman" w:hAnsi="Times New Roman" w:cs="Times New Roman"/>
          <w:sz w:val="26"/>
          <w:szCs w:val="26"/>
        </w:rPr>
      </w:pPr>
    </w:p>
    <w:p w:rsidR="00CD4268" w:rsidRDefault="00C47F76" w:rsidP="00CD4268">
      <w:pPr>
        <w:tabs>
          <w:tab w:val="left" w:pos="720"/>
        </w:tabs>
        <w:spacing w:after="360" w:line="360" w:lineRule="auto"/>
        <w:contextualSpacing/>
        <w:rPr>
          <w:rFonts w:ascii="Times New Roman" w:eastAsia="Times New Roman" w:hAnsi="Times New Roman" w:cs="Times New Roman"/>
          <w:sz w:val="26"/>
          <w:szCs w:val="26"/>
        </w:rPr>
      </w:pPr>
      <w:r w:rsidRPr="00C47F76">
        <w:rPr>
          <w:rFonts w:ascii="Times New Roman" w:eastAsia="Times New Roman" w:hAnsi="Times New Roman" w:cs="Times New Roman"/>
          <w:color w:val="0D0D0D"/>
          <w:sz w:val="26"/>
          <w:szCs w:val="26"/>
        </w:rPr>
        <w:tab/>
      </w:r>
      <w:r w:rsidR="00B421DD">
        <w:rPr>
          <w:rFonts w:ascii="Times New Roman" w:eastAsia="Times New Roman" w:hAnsi="Times New Roman" w:cs="Times New Roman"/>
          <w:color w:val="0D0D0D" w:themeColor="text1" w:themeTint="F2"/>
          <w:sz w:val="26"/>
          <w:szCs w:val="26"/>
        </w:rPr>
        <w:t>T</w:t>
      </w:r>
      <w:r w:rsidR="00B421DD" w:rsidRPr="005F4CC0">
        <w:rPr>
          <w:rFonts w:ascii="Times New Roman" w:eastAsia="Times New Roman" w:hAnsi="Times New Roman" w:cs="Times New Roman"/>
          <w:color w:val="0D0D0D" w:themeColor="text1" w:themeTint="F2"/>
          <w:sz w:val="26"/>
          <w:szCs w:val="26"/>
        </w:rPr>
        <w:t>he Commission</w:t>
      </w:r>
      <w:r w:rsidR="00B421DD">
        <w:rPr>
          <w:rFonts w:ascii="Times New Roman" w:eastAsia="Times New Roman" w:hAnsi="Times New Roman" w:cs="Times New Roman"/>
          <w:color w:val="0D0D0D" w:themeColor="text1" w:themeTint="F2"/>
          <w:sz w:val="26"/>
          <w:szCs w:val="26"/>
        </w:rPr>
        <w:t>’s</w:t>
      </w:r>
      <w:r w:rsidR="00B421DD" w:rsidRPr="005F4CC0">
        <w:rPr>
          <w:rFonts w:ascii="Times New Roman" w:eastAsia="Times New Roman" w:hAnsi="Times New Roman" w:cs="Times New Roman"/>
          <w:color w:val="0D0D0D" w:themeColor="text1" w:themeTint="F2"/>
          <w:sz w:val="26"/>
          <w:szCs w:val="26"/>
        </w:rPr>
        <w:t xml:space="preserve"> </w:t>
      </w:r>
      <w:r w:rsidR="00B421DD" w:rsidRPr="00B421DD">
        <w:rPr>
          <w:rFonts w:ascii="Times New Roman" w:eastAsia="Times New Roman" w:hAnsi="Times New Roman" w:cs="Times New Roman"/>
          <w:i/>
          <w:color w:val="0D0D0D" w:themeColor="text1" w:themeTint="F2"/>
          <w:sz w:val="26"/>
          <w:szCs w:val="26"/>
        </w:rPr>
        <w:t>Universal Service and Energy Conservation Reporting Requirements</w:t>
      </w:r>
      <w:r w:rsidR="00B421DD" w:rsidRPr="005F4CC0">
        <w:rPr>
          <w:rFonts w:ascii="Times New Roman" w:eastAsia="Times New Roman" w:hAnsi="Times New Roman" w:cs="Times New Roman"/>
          <w:color w:val="0D0D0D" w:themeColor="text1" w:themeTint="F2"/>
          <w:sz w:val="26"/>
          <w:szCs w:val="26"/>
        </w:rPr>
        <w:t xml:space="preserve"> at </w:t>
      </w:r>
      <w:r w:rsidR="00B421DD" w:rsidRPr="00B421DD">
        <w:rPr>
          <w:rFonts w:ascii="Times New Roman" w:eastAsia="Times New Roman" w:hAnsi="Times New Roman" w:cs="Times New Roman"/>
          <w:color w:val="0D0D0D" w:themeColor="text1" w:themeTint="F2"/>
          <w:sz w:val="26"/>
          <w:szCs w:val="26"/>
        </w:rPr>
        <w:t>52 Pa. Code §§ 62.1-62.8</w:t>
      </w:r>
      <w:r w:rsidR="00B421DD">
        <w:rPr>
          <w:rFonts w:ascii="Times New Roman" w:eastAsia="Times New Roman" w:hAnsi="Times New Roman" w:cs="Times New Roman"/>
          <w:color w:val="0D0D0D" w:themeColor="text1" w:themeTint="F2"/>
          <w:sz w:val="26"/>
          <w:szCs w:val="26"/>
        </w:rPr>
        <w:t xml:space="preserve"> </w:t>
      </w:r>
      <w:r w:rsidR="00B421DD" w:rsidRPr="005F4CC0">
        <w:rPr>
          <w:rFonts w:ascii="Times New Roman" w:eastAsia="Times New Roman" w:hAnsi="Times New Roman" w:cs="Times New Roman"/>
          <w:color w:val="0D0D0D" w:themeColor="text1" w:themeTint="F2"/>
          <w:sz w:val="26"/>
          <w:szCs w:val="26"/>
        </w:rPr>
        <w:t>requi</w:t>
      </w:r>
      <w:r w:rsidR="00B421DD">
        <w:rPr>
          <w:rFonts w:ascii="Times New Roman" w:eastAsia="Times New Roman" w:hAnsi="Times New Roman" w:cs="Times New Roman"/>
          <w:color w:val="0D0D0D" w:themeColor="text1" w:themeTint="F2"/>
          <w:sz w:val="26"/>
          <w:szCs w:val="26"/>
        </w:rPr>
        <w:t>re each NGDC serving more than 100</w:t>
      </w:r>
      <w:r w:rsidR="00B421DD" w:rsidRPr="005F4CC0">
        <w:rPr>
          <w:rFonts w:ascii="Times New Roman" w:eastAsia="Times New Roman" w:hAnsi="Times New Roman" w:cs="Times New Roman"/>
          <w:color w:val="0D0D0D" w:themeColor="text1" w:themeTint="F2"/>
          <w:sz w:val="26"/>
          <w:szCs w:val="26"/>
        </w:rPr>
        <w:t xml:space="preserve">,000 residential accounts to submit an updated </w:t>
      </w:r>
      <w:r w:rsidR="00B421DD">
        <w:rPr>
          <w:rFonts w:ascii="Times New Roman" w:eastAsia="Times New Roman" w:hAnsi="Times New Roman" w:cs="Times New Roman"/>
          <w:color w:val="0D0D0D" w:themeColor="text1" w:themeTint="F2"/>
          <w:sz w:val="26"/>
          <w:szCs w:val="26"/>
        </w:rPr>
        <w:t xml:space="preserve">USECP </w:t>
      </w:r>
      <w:r w:rsidR="00B421DD" w:rsidRPr="005F4CC0">
        <w:rPr>
          <w:rFonts w:ascii="Times New Roman" w:eastAsia="Times New Roman" w:hAnsi="Times New Roman" w:cs="Times New Roman"/>
          <w:color w:val="0D0D0D" w:themeColor="text1" w:themeTint="F2"/>
          <w:sz w:val="26"/>
          <w:szCs w:val="26"/>
        </w:rPr>
        <w:t xml:space="preserve">every three years to the Commission for approval.  </w:t>
      </w:r>
      <w:r w:rsidR="00B421DD" w:rsidRPr="005F4CC0">
        <w:rPr>
          <w:rFonts w:ascii="Times New Roman" w:eastAsia="Times New Roman" w:hAnsi="Times New Roman" w:cs="Times New Roman"/>
          <w:sz w:val="26"/>
          <w:szCs w:val="26"/>
        </w:rPr>
        <w:t>52 Pa. Code §</w:t>
      </w:r>
      <w:r w:rsidR="00B421DD">
        <w:rPr>
          <w:rFonts w:ascii="Times New Roman" w:eastAsia="Times New Roman" w:hAnsi="Times New Roman" w:cs="Times New Roman"/>
          <w:sz w:val="26"/>
          <w:szCs w:val="26"/>
        </w:rPr>
        <w:t> 62.4.  As an NGDC serving over 470</w:t>
      </w:r>
      <w:r w:rsidR="00B421DD" w:rsidRPr="005F4CC0">
        <w:rPr>
          <w:rFonts w:ascii="Times New Roman" w:eastAsia="Times New Roman" w:hAnsi="Times New Roman" w:cs="Times New Roman"/>
          <w:sz w:val="26"/>
          <w:szCs w:val="26"/>
        </w:rPr>
        <w:t>,000 customers</w:t>
      </w:r>
      <w:r w:rsidR="00B421DD">
        <w:rPr>
          <w:rFonts w:ascii="Times New Roman" w:eastAsia="Times New Roman" w:hAnsi="Times New Roman" w:cs="Times New Roman"/>
          <w:sz w:val="26"/>
          <w:szCs w:val="26"/>
        </w:rPr>
        <w:t>,</w:t>
      </w:r>
      <w:r w:rsidR="00B421DD" w:rsidRPr="005F4CC0">
        <w:rPr>
          <w:rStyle w:val="FootnoteReference"/>
          <w:rFonts w:ascii="Times New Roman" w:eastAsia="Times New Roman" w:hAnsi="Times New Roman" w:cs="Times New Roman"/>
          <w:sz w:val="26"/>
          <w:szCs w:val="26"/>
        </w:rPr>
        <w:footnoteReference w:id="1"/>
      </w:r>
      <w:r w:rsidR="00B421DD">
        <w:rPr>
          <w:rFonts w:ascii="Times New Roman" w:eastAsia="Times New Roman" w:hAnsi="Times New Roman" w:cs="Times New Roman"/>
          <w:sz w:val="26"/>
          <w:szCs w:val="26"/>
        </w:rPr>
        <w:t xml:space="preserve"> PGW</w:t>
      </w:r>
      <w:r w:rsidR="00B421DD" w:rsidRPr="005F4CC0">
        <w:rPr>
          <w:rFonts w:ascii="Times New Roman" w:eastAsia="Times New Roman" w:hAnsi="Times New Roman" w:cs="Times New Roman"/>
          <w:sz w:val="26"/>
          <w:szCs w:val="26"/>
        </w:rPr>
        <w:t xml:space="preserve"> is required to maintain an approved triennial USECP</w:t>
      </w:r>
      <w:r w:rsidR="00CD4268">
        <w:rPr>
          <w:rFonts w:ascii="Times New Roman" w:eastAsia="Times New Roman" w:hAnsi="Times New Roman" w:cs="Times New Roman"/>
          <w:sz w:val="26"/>
          <w:szCs w:val="26"/>
        </w:rPr>
        <w:t xml:space="preserve"> and obtain an independent third-party review at least every six years</w:t>
      </w:r>
      <w:r w:rsidR="00CD4268" w:rsidRPr="005F4CC0">
        <w:rPr>
          <w:rFonts w:ascii="Times New Roman" w:eastAsia="Times New Roman" w:hAnsi="Times New Roman" w:cs="Times New Roman"/>
          <w:sz w:val="26"/>
          <w:szCs w:val="26"/>
        </w:rPr>
        <w:t>.</w:t>
      </w:r>
      <w:r w:rsidR="00CD4268" w:rsidRPr="00C47F76">
        <w:rPr>
          <w:rFonts w:ascii="Times New Roman" w:eastAsia="Times New Roman" w:hAnsi="Times New Roman" w:cs="Times New Roman"/>
          <w:sz w:val="26"/>
          <w:szCs w:val="26"/>
        </w:rPr>
        <w:t xml:space="preserve">  </w:t>
      </w:r>
      <w:r w:rsidR="00CD4268">
        <w:rPr>
          <w:rFonts w:ascii="Times New Roman" w:eastAsia="Times New Roman" w:hAnsi="Times New Roman" w:cs="Times New Roman"/>
          <w:sz w:val="26"/>
          <w:szCs w:val="26"/>
        </w:rPr>
        <w:t xml:space="preserve">The Competition Act mandates that the Commission “ensure </w:t>
      </w:r>
      <w:bookmarkStart w:id="0" w:name="62.1."/>
      <w:r w:rsidR="00CD4268">
        <w:rPr>
          <w:rFonts w:ascii="Times New Roman" w:eastAsia="Times New Roman" w:hAnsi="Times New Roman" w:cs="Times New Roman"/>
          <w:sz w:val="26"/>
          <w:szCs w:val="26"/>
        </w:rPr>
        <w:t xml:space="preserve">[that] </w:t>
      </w:r>
      <w:r w:rsidR="00CD4268" w:rsidRPr="00D72498">
        <w:rPr>
          <w:rFonts w:ascii="Times New Roman" w:eastAsia="Times New Roman" w:hAnsi="Times New Roman" w:cs="Times New Roman"/>
          <w:sz w:val="26"/>
          <w:szCs w:val="26"/>
        </w:rPr>
        <w:t>universal service and energy conservation policies, activities and services for residential natural gas customers are appropriately funded and available in each NGDC territory.</w:t>
      </w:r>
      <w:r w:rsidR="00CD4268">
        <w:rPr>
          <w:rFonts w:ascii="Times New Roman" w:eastAsia="Times New Roman" w:hAnsi="Times New Roman" w:cs="Times New Roman"/>
          <w:sz w:val="26"/>
          <w:szCs w:val="26"/>
        </w:rPr>
        <w:t xml:space="preserve">”  </w:t>
      </w:r>
      <w:bookmarkEnd w:id="0"/>
      <w:r w:rsidR="00CD4268">
        <w:rPr>
          <w:rFonts w:ascii="Times New Roman" w:eastAsia="Times New Roman" w:hAnsi="Times New Roman" w:cs="Times New Roman"/>
          <w:sz w:val="26"/>
          <w:szCs w:val="26"/>
        </w:rPr>
        <w:t>66 Pa. C.S, § 2203(8).</w:t>
      </w:r>
    </w:p>
    <w:p w:rsidR="00C47F76" w:rsidRDefault="00C47F76" w:rsidP="00231829">
      <w:pPr>
        <w:tabs>
          <w:tab w:val="left" w:pos="720"/>
        </w:tabs>
        <w:spacing w:after="360" w:line="360" w:lineRule="auto"/>
        <w:contextualSpacing/>
        <w:rPr>
          <w:rFonts w:ascii="Times New Roman" w:eastAsia="Times New Roman" w:hAnsi="Times New Roman" w:cs="Times New Roman"/>
          <w:sz w:val="26"/>
          <w:szCs w:val="26"/>
        </w:rPr>
      </w:pPr>
    </w:p>
    <w:p w:rsidR="00C47F76" w:rsidRPr="00C47F76" w:rsidRDefault="00C47F76" w:rsidP="00F52D95">
      <w:pPr>
        <w:keepNext/>
        <w:numPr>
          <w:ilvl w:val="0"/>
          <w:numId w:val="30"/>
        </w:numPr>
        <w:tabs>
          <w:tab w:val="left" w:pos="720"/>
        </w:tabs>
        <w:spacing w:after="360" w:line="360" w:lineRule="auto"/>
        <w:contextualSpacing/>
        <w:rPr>
          <w:rFonts w:ascii="Times New Roman" w:eastAsia="Times New Roman" w:hAnsi="Times New Roman" w:cs="Times New Roman"/>
          <w:sz w:val="26"/>
          <w:szCs w:val="26"/>
        </w:rPr>
      </w:pPr>
      <w:r w:rsidRPr="00C47F76">
        <w:rPr>
          <w:rFonts w:ascii="Times New Roman" w:eastAsia="Times New Roman" w:hAnsi="Times New Roman" w:cs="Times New Roman"/>
          <w:b/>
          <w:sz w:val="26"/>
          <w:szCs w:val="26"/>
        </w:rPr>
        <w:lastRenderedPageBreak/>
        <w:t>HISTORY</w:t>
      </w:r>
      <w:r w:rsidRPr="00C47F76">
        <w:rPr>
          <w:rFonts w:ascii="Times New Roman" w:eastAsia="Times New Roman" w:hAnsi="Times New Roman" w:cs="Times New Roman"/>
          <w:sz w:val="26"/>
          <w:szCs w:val="26"/>
        </w:rPr>
        <w:tab/>
      </w:r>
    </w:p>
    <w:p w:rsidR="00C47F76" w:rsidRPr="00C47F76" w:rsidRDefault="00C47F76" w:rsidP="00F52D95">
      <w:pPr>
        <w:keepNext/>
        <w:tabs>
          <w:tab w:val="left" w:pos="720"/>
        </w:tabs>
        <w:spacing w:after="360" w:line="360" w:lineRule="auto"/>
        <w:ind w:left="720"/>
        <w:contextualSpacing/>
        <w:rPr>
          <w:rFonts w:ascii="Times New Roman" w:eastAsia="Times New Roman" w:hAnsi="Times New Roman" w:cs="Times New Roman"/>
          <w:sz w:val="26"/>
          <w:szCs w:val="26"/>
        </w:rPr>
      </w:pPr>
    </w:p>
    <w:p w:rsidR="00C47F76" w:rsidRDefault="00C47F76" w:rsidP="00F52D95">
      <w:pPr>
        <w:keepNext/>
        <w:tabs>
          <w:tab w:val="left" w:pos="0"/>
        </w:tabs>
        <w:spacing w:after="360" w:line="360" w:lineRule="auto"/>
        <w:contextualSpacing/>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 xml:space="preserve">1.  </w:t>
      </w:r>
      <w:r w:rsidR="00A605E3">
        <w:rPr>
          <w:rFonts w:ascii="Times New Roman" w:eastAsia="Times New Roman" w:hAnsi="Times New Roman" w:cs="Times New Roman"/>
          <w:sz w:val="26"/>
          <w:szCs w:val="26"/>
        </w:rPr>
        <w:t>2014-2016</w:t>
      </w:r>
      <w:r w:rsidRPr="00C47F76">
        <w:rPr>
          <w:rFonts w:ascii="Times New Roman" w:eastAsia="Times New Roman" w:hAnsi="Times New Roman" w:cs="Times New Roman"/>
          <w:sz w:val="26"/>
          <w:szCs w:val="26"/>
        </w:rPr>
        <w:t xml:space="preserve"> </w:t>
      </w:r>
      <w:r w:rsidR="00A605E3">
        <w:rPr>
          <w:rFonts w:ascii="Times New Roman" w:eastAsia="Times New Roman" w:hAnsi="Times New Roman" w:cs="Times New Roman"/>
          <w:sz w:val="26"/>
          <w:szCs w:val="26"/>
        </w:rPr>
        <w:t>USECP</w:t>
      </w:r>
      <w:r w:rsidR="00D142B6">
        <w:rPr>
          <w:rFonts w:ascii="Times New Roman" w:eastAsia="Times New Roman" w:hAnsi="Times New Roman" w:cs="Times New Roman"/>
          <w:sz w:val="26"/>
          <w:szCs w:val="26"/>
        </w:rPr>
        <w:t xml:space="preserve"> (M-2013-2366301)</w:t>
      </w:r>
    </w:p>
    <w:p w:rsidR="004F5DF9" w:rsidRPr="00C47F76" w:rsidRDefault="004F5DF9" w:rsidP="00F52D95">
      <w:pPr>
        <w:keepNext/>
        <w:tabs>
          <w:tab w:val="left" w:pos="0"/>
        </w:tabs>
        <w:spacing w:after="360" w:line="360" w:lineRule="auto"/>
        <w:contextualSpacing/>
        <w:rPr>
          <w:rFonts w:ascii="Times New Roman" w:eastAsia="Times New Roman" w:hAnsi="Times New Roman" w:cs="Times New Roman"/>
          <w:sz w:val="26"/>
          <w:szCs w:val="26"/>
        </w:rPr>
      </w:pPr>
    </w:p>
    <w:p w:rsidR="004F5DF9" w:rsidRDefault="00C47F76" w:rsidP="00231829">
      <w:pPr>
        <w:tabs>
          <w:tab w:val="left" w:pos="720"/>
        </w:tabs>
        <w:spacing w:after="360" w:line="360" w:lineRule="auto"/>
        <w:contextualSpacing/>
        <w:rPr>
          <w:rFonts w:ascii="Times New Roman" w:hAnsi="Times New Roman" w:cs="Times New Roman"/>
          <w:sz w:val="26"/>
          <w:szCs w:val="26"/>
        </w:rPr>
      </w:pPr>
      <w:r w:rsidRPr="00C47F76">
        <w:rPr>
          <w:rFonts w:ascii="Times New Roman" w:eastAsia="Times New Roman" w:hAnsi="Times New Roman" w:cs="Times New Roman"/>
          <w:sz w:val="26"/>
          <w:szCs w:val="26"/>
        </w:rPr>
        <w:tab/>
        <w:t>PGW’s mos</w:t>
      </w:r>
      <w:r w:rsidR="00B421DD">
        <w:rPr>
          <w:rFonts w:ascii="Times New Roman" w:eastAsia="Times New Roman" w:hAnsi="Times New Roman" w:cs="Times New Roman"/>
          <w:sz w:val="26"/>
          <w:szCs w:val="26"/>
        </w:rPr>
        <w:t>t recent prior plan was its 2014-2016</w:t>
      </w:r>
      <w:r w:rsidRPr="00C47F76">
        <w:rPr>
          <w:rFonts w:ascii="Times New Roman" w:eastAsia="Times New Roman" w:hAnsi="Times New Roman" w:cs="Times New Roman"/>
          <w:sz w:val="26"/>
          <w:szCs w:val="26"/>
        </w:rPr>
        <w:t xml:space="preserve"> Plan, approved by the Commission at Docket No. </w:t>
      </w:r>
      <w:r w:rsidR="00B421DD" w:rsidRPr="00B421DD">
        <w:rPr>
          <w:rFonts w:ascii="Times New Roman" w:eastAsia="Times New Roman" w:hAnsi="Times New Roman" w:cs="Times New Roman"/>
          <w:sz w:val="26"/>
          <w:szCs w:val="26"/>
        </w:rPr>
        <w:t>M-2013-2366301</w:t>
      </w:r>
      <w:r w:rsidRPr="00C47F76">
        <w:rPr>
          <w:rFonts w:ascii="Times New Roman" w:eastAsia="Times New Roman" w:hAnsi="Times New Roman" w:cs="Times New Roman"/>
          <w:sz w:val="26"/>
          <w:szCs w:val="26"/>
        </w:rPr>
        <w:t xml:space="preserve">, by </w:t>
      </w:r>
      <w:r w:rsidR="00E6460F">
        <w:rPr>
          <w:rFonts w:ascii="Times New Roman" w:eastAsia="Times New Roman" w:hAnsi="Times New Roman" w:cs="Times New Roman"/>
          <w:sz w:val="26"/>
          <w:szCs w:val="26"/>
        </w:rPr>
        <w:t xml:space="preserve">Final Order </w:t>
      </w:r>
      <w:r w:rsidRPr="00C47F76">
        <w:rPr>
          <w:rFonts w:ascii="Times New Roman" w:eastAsia="Times New Roman" w:hAnsi="Times New Roman" w:cs="Times New Roman"/>
          <w:sz w:val="26"/>
          <w:szCs w:val="26"/>
        </w:rPr>
        <w:t xml:space="preserve">entered on </w:t>
      </w:r>
      <w:r w:rsidR="00F7452F" w:rsidRPr="00F7452F">
        <w:rPr>
          <w:rFonts w:ascii="Times New Roman" w:eastAsia="Times New Roman" w:hAnsi="Times New Roman" w:cs="Times New Roman"/>
          <w:sz w:val="26"/>
          <w:szCs w:val="26"/>
        </w:rPr>
        <w:t>August 22, 2014</w:t>
      </w:r>
      <w:r w:rsidR="00E6460F">
        <w:rPr>
          <w:rFonts w:ascii="Times New Roman" w:eastAsia="Times New Roman" w:hAnsi="Times New Roman" w:cs="Times New Roman"/>
          <w:sz w:val="26"/>
          <w:szCs w:val="26"/>
        </w:rPr>
        <w:t xml:space="preserve">.  </w:t>
      </w:r>
      <w:r w:rsidR="00E6460F" w:rsidRPr="002C465D">
        <w:rPr>
          <w:rFonts w:ascii="Times New Roman" w:eastAsia="Calibri" w:hAnsi="Times New Roman" w:cs="Times New Roman"/>
          <w:sz w:val="26"/>
          <w:szCs w:val="26"/>
        </w:rPr>
        <w:t xml:space="preserve">Based on </w:t>
      </w:r>
      <w:r w:rsidR="00E6460F">
        <w:rPr>
          <w:rFonts w:ascii="Times New Roman" w:eastAsia="Calibri" w:hAnsi="Times New Roman" w:cs="Times New Roman"/>
          <w:sz w:val="26"/>
          <w:szCs w:val="26"/>
        </w:rPr>
        <w:t>changes directed in the Final Order</w:t>
      </w:r>
      <w:r w:rsidR="00E6460F" w:rsidRPr="002C465D">
        <w:rPr>
          <w:rFonts w:ascii="Times New Roman" w:eastAsia="Calibri" w:hAnsi="Times New Roman" w:cs="Times New Roman"/>
          <w:sz w:val="26"/>
          <w:szCs w:val="26"/>
        </w:rPr>
        <w:t xml:space="preserve">, PGW </w:t>
      </w:r>
      <w:r w:rsidR="00E6460F">
        <w:rPr>
          <w:rFonts w:ascii="Times New Roman" w:eastAsia="Calibri" w:hAnsi="Times New Roman" w:cs="Times New Roman"/>
          <w:sz w:val="26"/>
          <w:szCs w:val="26"/>
        </w:rPr>
        <w:t xml:space="preserve">filed a </w:t>
      </w:r>
      <w:r w:rsidR="00E6460F" w:rsidRPr="002C465D">
        <w:rPr>
          <w:rFonts w:ascii="Times New Roman" w:eastAsia="Calibri" w:hAnsi="Times New Roman" w:cs="Times New Roman"/>
          <w:sz w:val="26"/>
          <w:szCs w:val="26"/>
        </w:rPr>
        <w:t xml:space="preserve">Revised </w:t>
      </w:r>
      <w:r w:rsidR="00231829">
        <w:rPr>
          <w:rFonts w:ascii="Times New Roman" w:eastAsia="Calibri" w:hAnsi="Times New Roman" w:cs="Times New Roman"/>
          <w:sz w:val="26"/>
          <w:szCs w:val="26"/>
        </w:rPr>
        <w:t xml:space="preserve">2014-2016 </w:t>
      </w:r>
      <w:r w:rsidR="000001E1">
        <w:rPr>
          <w:rFonts w:ascii="Times New Roman" w:eastAsia="Calibri" w:hAnsi="Times New Roman" w:cs="Times New Roman"/>
          <w:sz w:val="26"/>
          <w:szCs w:val="26"/>
        </w:rPr>
        <w:t xml:space="preserve">Plan </w:t>
      </w:r>
      <w:r w:rsidR="00E6460F" w:rsidRPr="002C465D">
        <w:rPr>
          <w:rFonts w:ascii="Times New Roman" w:eastAsia="Calibri" w:hAnsi="Times New Roman" w:cs="Times New Roman"/>
          <w:sz w:val="26"/>
          <w:szCs w:val="26"/>
        </w:rPr>
        <w:t>for 2014-2016 on September 22, 2014.</w:t>
      </w:r>
      <w:r w:rsidR="00E6460F">
        <w:rPr>
          <w:rFonts w:ascii="Times New Roman" w:eastAsia="Calibri" w:hAnsi="Times New Roman" w:cs="Times New Roman"/>
          <w:sz w:val="26"/>
          <w:szCs w:val="26"/>
        </w:rPr>
        <w:t xml:space="preserve">  </w:t>
      </w:r>
      <w:r w:rsidR="00E6460F" w:rsidRPr="002C465D">
        <w:rPr>
          <w:rFonts w:ascii="Times New Roman" w:eastAsia="Calibri" w:hAnsi="Times New Roman" w:cs="Times New Roman"/>
          <w:sz w:val="26"/>
          <w:szCs w:val="26"/>
        </w:rPr>
        <w:t xml:space="preserve">On October </w:t>
      </w:r>
      <w:r w:rsidR="00932F04">
        <w:rPr>
          <w:rFonts w:ascii="Times New Roman" w:eastAsia="Calibri" w:hAnsi="Times New Roman" w:cs="Times New Roman"/>
          <w:sz w:val="26"/>
          <w:szCs w:val="26"/>
        </w:rPr>
        <w:t>3</w:t>
      </w:r>
      <w:r w:rsidR="00E6460F" w:rsidRPr="002C465D">
        <w:rPr>
          <w:rFonts w:ascii="Times New Roman" w:eastAsia="Calibri" w:hAnsi="Times New Roman" w:cs="Times New Roman"/>
          <w:sz w:val="26"/>
          <w:szCs w:val="26"/>
        </w:rPr>
        <w:t xml:space="preserve">, 2014, </w:t>
      </w:r>
      <w:r w:rsidR="0001418D">
        <w:rPr>
          <w:rFonts w:ascii="Times New Roman" w:eastAsia="Calibri" w:hAnsi="Times New Roman" w:cs="Times New Roman"/>
          <w:sz w:val="26"/>
          <w:szCs w:val="26"/>
        </w:rPr>
        <w:t>CAUSE-PA and TURN</w:t>
      </w:r>
      <w:r w:rsidR="00932F04">
        <w:rPr>
          <w:rStyle w:val="FootnoteReference"/>
          <w:rFonts w:ascii="Times New Roman" w:eastAsia="Calibri" w:hAnsi="Times New Roman" w:cs="Times New Roman"/>
          <w:sz w:val="26"/>
          <w:szCs w:val="26"/>
        </w:rPr>
        <w:footnoteReference w:id="2"/>
      </w:r>
      <w:r w:rsidR="00E6460F" w:rsidRPr="002C465D">
        <w:rPr>
          <w:rFonts w:ascii="Times New Roman" w:eastAsia="Calibri" w:hAnsi="Times New Roman" w:cs="Times New Roman"/>
          <w:sz w:val="26"/>
          <w:szCs w:val="26"/>
        </w:rPr>
        <w:t xml:space="preserve"> filed an</w:t>
      </w:r>
      <w:r w:rsidR="00E6460F">
        <w:rPr>
          <w:rFonts w:ascii="Times New Roman" w:eastAsia="Calibri" w:hAnsi="Times New Roman" w:cs="Times New Roman"/>
          <w:sz w:val="26"/>
          <w:szCs w:val="26"/>
        </w:rPr>
        <w:t xml:space="preserve">d served joint comments at </w:t>
      </w:r>
      <w:r w:rsidR="00E6460F" w:rsidRPr="00C47F76">
        <w:rPr>
          <w:rFonts w:ascii="Times New Roman" w:eastAsia="Times New Roman" w:hAnsi="Times New Roman" w:cs="Times New Roman"/>
          <w:sz w:val="26"/>
          <w:szCs w:val="26"/>
        </w:rPr>
        <w:t xml:space="preserve">Docket No. </w:t>
      </w:r>
      <w:r w:rsidR="00E6460F" w:rsidRPr="00B421DD">
        <w:rPr>
          <w:rFonts w:ascii="Times New Roman" w:eastAsia="Times New Roman" w:hAnsi="Times New Roman" w:cs="Times New Roman"/>
          <w:sz w:val="26"/>
          <w:szCs w:val="26"/>
        </w:rPr>
        <w:t>M-2013-2366301</w:t>
      </w:r>
      <w:r w:rsidR="00E6460F" w:rsidRPr="002C465D">
        <w:rPr>
          <w:rFonts w:ascii="Times New Roman" w:eastAsia="Calibri" w:hAnsi="Times New Roman" w:cs="Times New Roman"/>
          <w:sz w:val="26"/>
          <w:szCs w:val="26"/>
        </w:rPr>
        <w:t xml:space="preserve"> alleging that PGW’</w:t>
      </w:r>
      <w:r w:rsidR="00E6460F">
        <w:rPr>
          <w:rFonts w:ascii="Times New Roman" w:eastAsia="Calibri" w:hAnsi="Times New Roman" w:cs="Times New Roman"/>
          <w:sz w:val="26"/>
          <w:szCs w:val="26"/>
        </w:rPr>
        <w:t xml:space="preserve">s Revised </w:t>
      </w:r>
      <w:r w:rsidR="000001E1">
        <w:rPr>
          <w:rFonts w:ascii="Times New Roman" w:eastAsia="Calibri" w:hAnsi="Times New Roman" w:cs="Times New Roman"/>
          <w:sz w:val="26"/>
          <w:szCs w:val="26"/>
        </w:rPr>
        <w:t xml:space="preserve">2014-2016 Plan </w:t>
      </w:r>
      <w:r w:rsidR="00E6460F">
        <w:rPr>
          <w:rFonts w:ascii="Times New Roman" w:eastAsia="Calibri" w:hAnsi="Times New Roman" w:cs="Times New Roman"/>
          <w:sz w:val="26"/>
          <w:szCs w:val="26"/>
        </w:rPr>
        <w:t>was</w:t>
      </w:r>
      <w:r w:rsidR="00E6460F" w:rsidRPr="002C465D">
        <w:rPr>
          <w:rFonts w:ascii="Times New Roman" w:eastAsia="Calibri" w:hAnsi="Times New Roman" w:cs="Times New Roman"/>
          <w:sz w:val="26"/>
          <w:szCs w:val="26"/>
        </w:rPr>
        <w:t xml:space="preserve"> not consistent with the </w:t>
      </w:r>
      <w:r w:rsidR="00E6460F" w:rsidRPr="00E6460F">
        <w:rPr>
          <w:rFonts w:ascii="Times New Roman" w:eastAsia="Calibri" w:hAnsi="Times New Roman" w:cs="Times New Roman"/>
          <w:sz w:val="26"/>
          <w:szCs w:val="26"/>
        </w:rPr>
        <w:t>Final Order</w:t>
      </w:r>
      <w:r w:rsidR="00E6460F" w:rsidRPr="002C465D">
        <w:rPr>
          <w:rFonts w:ascii="Times New Roman" w:eastAsia="Calibri" w:hAnsi="Times New Roman" w:cs="Times New Roman"/>
          <w:sz w:val="26"/>
          <w:szCs w:val="26"/>
        </w:rPr>
        <w:t>.</w:t>
      </w:r>
      <w:r w:rsidR="00E6460F">
        <w:rPr>
          <w:rFonts w:ascii="Times New Roman" w:eastAsia="Calibri" w:hAnsi="Times New Roman" w:cs="Times New Roman"/>
          <w:sz w:val="26"/>
          <w:szCs w:val="26"/>
        </w:rPr>
        <w:t xml:space="preserve">  </w:t>
      </w:r>
      <w:r w:rsidR="00F46983" w:rsidRPr="002C465D">
        <w:rPr>
          <w:rFonts w:ascii="Times New Roman" w:eastAsia="Calibri" w:hAnsi="Times New Roman" w:cs="Times New Roman"/>
          <w:sz w:val="26"/>
          <w:szCs w:val="26"/>
        </w:rPr>
        <w:t>On October 9, 2014, PGW filed and served reply comments</w:t>
      </w:r>
      <w:r w:rsidR="00F46983">
        <w:rPr>
          <w:rFonts w:ascii="Times New Roman" w:eastAsia="Times New Roman" w:hAnsi="Times New Roman" w:cs="Times New Roman"/>
          <w:sz w:val="26"/>
          <w:szCs w:val="26"/>
        </w:rPr>
        <w:t xml:space="preserve">.  On </w:t>
      </w:r>
      <w:r w:rsidR="00BC0E95">
        <w:rPr>
          <w:rFonts w:ascii="Times New Roman" w:eastAsia="Times New Roman" w:hAnsi="Times New Roman" w:cs="Times New Roman"/>
          <w:sz w:val="26"/>
          <w:szCs w:val="26"/>
        </w:rPr>
        <w:t xml:space="preserve">November 13, 2014, the Commission issued an Order dismissing the issues raised </w:t>
      </w:r>
      <w:r w:rsidR="00231829">
        <w:rPr>
          <w:rFonts w:ascii="Times New Roman" w:eastAsia="Times New Roman" w:hAnsi="Times New Roman" w:cs="Times New Roman"/>
          <w:sz w:val="26"/>
          <w:szCs w:val="26"/>
        </w:rPr>
        <w:t xml:space="preserve">by </w:t>
      </w:r>
      <w:r w:rsidR="00231829" w:rsidRPr="002C465D">
        <w:rPr>
          <w:rFonts w:ascii="Times New Roman" w:eastAsia="Calibri" w:hAnsi="Times New Roman" w:cs="Times New Roman"/>
          <w:sz w:val="26"/>
          <w:szCs w:val="26"/>
        </w:rPr>
        <w:t>CAUSE-PA and TURN</w:t>
      </w:r>
      <w:r w:rsidR="00231829">
        <w:rPr>
          <w:rFonts w:ascii="Times New Roman" w:eastAsia="Times New Roman" w:hAnsi="Times New Roman" w:cs="Times New Roman"/>
          <w:sz w:val="26"/>
          <w:szCs w:val="26"/>
        </w:rPr>
        <w:t xml:space="preserve"> </w:t>
      </w:r>
      <w:r w:rsidR="00BC0E95">
        <w:rPr>
          <w:rFonts w:ascii="Times New Roman" w:eastAsia="Times New Roman" w:hAnsi="Times New Roman" w:cs="Times New Roman"/>
          <w:sz w:val="26"/>
          <w:szCs w:val="26"/>
        </w:rPr>
        <w:t xml:space="preserve">and approving the </w:t>
      </w:r>
      <w:r w:rsidR="0001418D">
        <w:rPr>
          <w:rFonts w:ascii="Times New Roman" w:eastAsia="Times New Roman" w:hAnsi="Times New Roman" w:cs="Times New Roman"/>
          <w:sz w:val="26"/>
          <w:szCs w:val="26"/>
        </w:rPr>
        <w:t xml:space="preserve">Company’s </w:t>
      </w:r>
      <w:r w:rsidR="00BC0E95">
        <w:rPr>
          <w:rFonts w:ascii="Times New Roman" w:eastAsia="Times New Roman" w:hAnsi="Times New Roman" w:cs="Times New Roman"/>
          <w:sz w:val="26"/>
          <w:szCs w:val="26"/>
        </w:rPr>
        <w:t xml:space="preserve">Revised </w:t>
      </w:r>
      <w:r w:rsidR="000001E1">
        <w:rPr>
          <w:rFonts w:ascii="Times New Roman" w:eastAsia="Times New Roman" w:hAnsi="Times New Roman" w:cs="Times New Roman"/>
          <w:sz w:val="26"/>
          <w:szCs w:val="26"/>
        </w:rPr>
        <w:t>2014-2016 Plan</w:t>
      </w:r>
      <w:r w:rsidR="00BC0E95">
        <w:rPr>
          <w:rFonts w:ascii="Times New Roman" w:eastAsia="Times New Roman" w:hAnsi="Times New Roman" w:cs="Times New Roman"/>
          <w:sz w:val="26"/>
          <w:szCs w:val="26"/>
        </w:rPr>
        <w:t xml:space="preserve">.  Thereafter, the </w:t>
      </w:r>
      <w:r w:rsidR="00231829">
        <w:rPr>
          <w:rFonts w:ascii="Times New Roman" w:eastAsia="Times New Roman" w:hAnsi="Times New Roman" w:cs="Times New Roman"/>
          <w:sz w:val="26"/>
          <w:szCs w:val="26"/>
        </w:rPr>
        <w:t xml:space="preserve">Revised </w:t>
      </w:r>
      <w:r w:rsidR="00BC0E95">
        <w:rPr>
          <w:rFonts w:ascii="Times New Roman" w:eastAsia="Times New Roman" w:hAnsi="Times New Roman" w:cs="Times New Roman"/>
          <w:sz w:val="26"/>
          <w:szCs w:val="26"/>
        </w:rPr>
        <w:t>2014-2016</w:t>
      </w:r>
      <w:r w:rsidRPr="00C47F76">
        <w:rPr>
          <w:rFonts w:ascii="Times New Roman" w:eastAsia="Times New Roman" w:hAnsi="Times New Roman" w:cs="Times New Roman"/>
          <w:sz w:val="26"/>
          <w:szCs w:val="26"/>
        </w:rPr>
        <w:t xml:space="preserve"> </w:t>
      </w:r>
      <w:r w:rsidR="000001E1">
        <w:rPr>
          <w:rFonts w:ascii="Times New Roman" w:eastAsia="Times New Roman" w:hAnsi="Times New Roman" w:cs="Times New Roman"/>
          <w:sz w:val="26"/>
          <w:szCs w:val="26"/>
        </w:rPr>
        <w:t xml:space="preserve">Plan </w:t>
      </w:r>
      <w:r w:rsidRPr="00C47F76">
        <w:rPr>
          <w:rFonts w:ascii="Times New Roman" w:eastAsia="Times New Roman" w:hAnsi="Times New Roman" w:cs="Times New Roman"/>
          <w:sz w:val="26"/>
          <w:szCs w:val="26"/>
        </w:rPr>
        <w:t>was implemented</w:t>
      </w:r>
      <w:r w:rsidR="00BC0E95">
        <w:rPr>
          <w:rFonts w:ascii="Times New Roman" w:hAnsi="Times New Roman" w:cs="Times New Roman"/>
          <w:sz w:val="26"/>
          <w:szCs w:val="26"/>
        </w:rPr>
        <w:t>.</w:t>
      </w:r>
    </w:p>
    <w:p w:rsidR="00EF10A6" w:rsidRPr="00580484" w:rsidRDefault="00EF10A6" w:rsidP="00231829">
      <w:pPr>
        <w:tabs>
          <w:tab w:val="left" w:pos="720"/>
        </w:tabs>
        <w:spacing w:after="360" w:line="360" w:lineRule="auto"/>
        <w:contextualSpacing/>
        <w:rPr>
          <w:rFonts w:ascii="Times New Roman" w:hAnsi="Times New Roman" w:cs="Times New Roman"/>
          <w:sz w:val="26"/>
          <w:szCs w:val="26"/>
        </w:rPr>
      </w:pPr>
    </w:p>
    <w:p w:rsidR="00C47F76" w:rsidRDefault="009F2397" w:rsidP="00231829">
      <w:pPr>
        <w:tabs>
          <w:tab w:val="left" w:pos="720"/>
        </w:tabs>
        <w:spacing w:after="360" w:line="360" w:lineRule="auto"/>
        <w:contextualSpacing/>
        <w:rPr>
          <w:rFonts w:ascii="Times New Roman" w:hAnsi="Times New Roman" w:cs="Times New Roman"/>
          <w:sz w:val="26"/>
          <w:szCs w:val="26"/>
        </w:rPr>
      </w:pPr>
      <w:r>
        <w:rPr>
          <w:rFonts w:ascii="Times New Roman" w:hAnsi="Times New Roman" w:cs="Times New Roman"/>
          <w:sz w:val="26"/>
          <w:szCs w:val="26"/>
        </w:rPr>
        <w:t xml:space="preserve">2.  </w:t>
      </w:r>
      <w:r w:rsidR="001E14EF">
        <w:rPr>
          <w:rFonts w:ascii="Times New Roman" w:hAnsi="Times New Roman" w:cs="Times New Roman"/>
          <w:sz w:val="26"/>
          <w:szCs w:val="26"/>
        </w:rPr>
        <w:t xml:space="preserve">DSM I (P-2009-2097639) and </w:t>
      </w:r>
      <w:r w:rsidR="00E87161">
        <w:rPr>
          <w:rFonts w:ascii="Times New Roman" w:hAnsi="Times New Roman" w:cs="Times New Roman"/>
          <w:sz w:val="26"/>
          <w:szCs w:val="26"/>
        </w:rPr>
        <w:t>DSM</w:t>
      </w:r>
      <w:r w:rsidR="001E14EF">
        <w:rPr>
          <w:rFonts w:ascii="Times New Roman" w:hAnsi="Times New Roman" w:cs="Times New Roman"/>
          <w:sz w:val="26"/>
          <w:szCs w:val="26"/>
        </w:rPr>
        <w:t xml:space="preserve"> II</w:t>
      </w:r>
      <w:r w:rsidR="00651CBB">
        <w:rPr>
          <w:rFonts w:ascii="Times New Roman" w:hAnsi="Times New Roman" w:cs="Times New Roman"/>
          <w:sz w:val="26"/>
          <w:szCs w:val="26"/>
        </w:rPr>
        <w:t>/DSM Continuation Order</w:t>
      </w:r>
      <w:r w:rsidR="001E14EF">
        <w:rPr>
          <w:rFonts w:ascii="Times New Roman" w:hAnsi="Times New Roman" w:cs="Times New Roman"/>
          <w:sz w:val="26"/>
          <w:szCs w:val="26"/>
        </w:rPr>
        <w:t xml:space="preserve"> (P-2014-2459362)</w:t>
      </w:r>
    </w:p>
    <w:p w:rsidR="009F2397" w:rsidRPr="00C47F76" w:rsidRDefault="009F2397" w:rsidP="00231829">
      <w:pPr>
        <w:tabs>
          <w:tab w:val="left" w:pos="720"/>
        </w:tabs>
        <w:spacing w:after="360" w:line="360" w:lineRule="auto"/>
        <w:contextualSpacing/>
        <w:rPr>
          <w:rFonts w:ascii="Times New Roman" w:hAnsi="Times New Roman" w:cs="Times New Roman"/>
          <w:sz w:val="26"/>
          <w:szCs w:val="26"/>
        </w:rPr>
      </w:pPr>
    </w:p>
    <w:p w:rsidR="00CD4268" w:rsidRDefault="00CD4268" w:rsidP="00CD4268">
      <w:pPr>
        <w:tabs>
          <w:tab w:val="left" w:pos="720"/>
        </w:tabs>
        <w:spacing w:after="36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Pr="00C47F76">
        <w:rPr>
          <w:rFonts w:ascii="Times New Roman" w:eastAsia="Times New Roman" w:hAnsi="Times New Roman" w:cs="Times New Roman"/>
          <w:sz w:val="26"/>
          <w:szCs w:val="26"/>
        </w:rPr>
        <w:t xml:space="preserve">On July 29, 2010, the Commission approved a </w:t>
      </w:r>
      <w:r>
        <w:rPr>
          <w:rFonts w:ascii="Times New Roman" w:eastAsia="Times New Roman" w:hAnsi="Times New Roman" w:cs="Times New Roman"/>
          <w:sz w:val="26"/>
          <w:szCs w:val="26"/>
        </w:rPr>
        <w:t>s</w:t>
      </w:r>
      <w:r w:rsidRPr="00C47F76">
        <w:rPr>
          <w:rFonts w:ascii="Times New Roman" w:eastAsia="Times New Roman" w:hAnsi="Times New Roman" w:cs="Times New Roman"/>
          <w:sz w:val="26"/>
          <w:szCs w:val="26"/>
        </w:rPr>
        <w:t xml:space="preserve">ettlement </w:t>
      </w:r>
      <w:r>
        <w:rPr>
          <w:rFonts w:ascii="Times New Roman" w:eastAsia="Times New Roman" w:hAnsi="Times New Roman" w:cs="Times New Roman"/>
          <w:sz w:val="26"/>
          <w:szCs w:val="26"/>
        </w:rPr>
        <w:t xml:space="preserve">related to PGW’s </w:t>
      </w:r>
      <w:r w:rsidRPr="00BC4530">
        <w:rPr>
          <w:rFonts w:ascii="Times New Roman" w:eastAsia="Times New Roman" w:hAnsi="Times New Roman" w:cs="Times New Roman"/>
          <w:sz w:val="26"/>
          <w:szCs w:val="26"/>
        </w:rPr>
        <w:t>Demand Side Management (DSM</w:t>
      </w:r>
      <w:r>
        <w:rPr>
          <w:rFonts w:ascii="Times New Roman" w:eastAsia="Times New Roman" w:hAnsi="Times New Roman" w:cs="Times New Roman"/>
          <w:sz w:val="26"/>
          <w:szCs w:val="26"/>
        </w:rPr>
        <w:t xml:space="preserve"> I</w:t>
      </w:r>
      <w:r w:rsidRPr="00BC4530">
        <w:rPr>
          <w:rFonts w:ascii="Times New Roman" w:eastAsia="Times New Roman" w:hAnsi="Times New Roman" w:cs="Times New Roman"/>
          <w:sz w:val="26"/>
          <w:szCs w:val="26"/>
        </w:rPr>
        <w:t>)</w:t>
      </w:r>
      <w:r w:rsidRPr="00C47F76">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proceeding</w:t>
      </w:r>
      <w:r w:rsidRPr="00C47F76">
        <w:rPr>
          <w:rFonts w:ascii="Times New Roman" w:eastAsia="Times New Roman" w:hAnsi="Times New Roman" w:cs="Times New Roman"/>
          <w:sz w:val="26"/>
          <w:szCs w:val="26"/>
        </w:rPr>
        <w:t xml:space="preserve"> at Docket Nos. R-2009-2139884 and P</w:t>
      </w:r>
      <w:r>
        <w:rPr>
          <w:rFonts w:ascii="Times New Roman" w:eastAsia="Times New Roman" w:hAnsi="Times New Roman" w:cs="Times New Roman"/>
          <w:sz w:val="26"/>
          <w:szCs w:val="26"/>
        </w:rPr>
        <w:noBreakHyphen/>
      </w:r>
      <w:r w:rsidRPr="00C47F76">
        <w:rPr>
          <w:rFonts w:ascii="Times New Roman" w:eastAsia="Times New Roman" w:hAnsi="Times New Roman" w:cs="Times New Roman"/>
          <w:sz w:val="26"/>
          <w:szCs w:val="26"/>
        </w:rPr>
        <w:t>2009-2097639</w:t>
      </w:r>
      <w:r>
        <w:rPr>
          <w:rFonts w:ascii="Times New Roman" w:eastAsia="Times New Roman" w:hAnsi="Times New Roman" w:cs="Times New Roman"/>
          <w:sz w:val="26"/>
          <w:szCs w:val="26"/>
        </w:rPr>
        <w:t>.</w:t>
      </w:r>
      <w:r w:rsidRPr="00C47F76">
        <w:rPr>
          <w:rFonts w:ascii="Times New Roman" w:eastAsia="Times New Roman" w:hAnsi="Times New Roman" w:cs="Times New Roman"/>
          <w:sz w:val="26"/>
          <w:szCs w:val="26"/>
          <w:vertAlign w:val="superscript"/>
        </w:rPr>
        <w:footnoteReference w:id="3"/>
      </w:r>
      <w:r w:rsidRPr="00C47F76">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Under the terms of the DSM I Settlement, PGW</w:t>
      </w:r>
      <w:r w:rsidRPr="00C47F76">
        <w:rPr>
          <w:rFonts w:ascii="Times New Roman" w:eastAsia="Times New Roman" w:hAnsi="Times New Roman" w:cs="Times New Roman"/>
          <w:sz w:val="26"/>
          <w:szCs w:val="26"/>
        </w:rPr>
        <w:t xml:space="preserve"> replaced </w:t>
      </w:r>
      <w:r>
        <w:rPr>
          <w:rFonts w:ascii="Times New Roman" w:eastAsia="Times New Roman" w:hAnsi="Times New Roman" w:cs="Times New Roman"/>
          <w:sz w:val="26"/>
          <w:szCs w:val="26"/>
        </w:rPr>
        <w:t>its</w:t>
      </w:r>
      <w:r w:rsidRPr="00C47F76">
        <w:rPr>
          <w:rFonts w:ascii="Times New Roman" w:eastAsia="Times New Roman" w:hAnsi="Times New Roman" w:cs="Times New Roman"/>
          <w:sz w:val="26"/>
          <w:szCs w:val="26"/>
        </w:rPr>
        <w:t xml:space="preserve"> LIURP Conservation Works Program (CWP) with </w:t>
      </w:r>
      <w:r>
        <w:rPr>
          <w:rFonts w:ascii="Times New Roman" w:eastAsia="Times New Roman" w:hAnsi="Times New Roman" w:cs="Times New Roman"/>
          <w:sz w:val="26"/>
          <w:szCs w:val="26"/>
        </w:rPr>
        <w:t xml:space="preserve">its </w:t>
      </w:r>
      <w:r w:rsidRPr="00C47F76">
        <w:rPr>
          <w:rFonts w:ascii="Times New Roman" w:eastAsia="Times New Roman" w:hAnsi="Times New Roman" w:cs="Times New Roman"/>
          <w:sz w:val="26"/>
          <w:szCs w:val="26"/>
        </w:rPr>
        <w:t>Enhanced Low Income Retrofit Program (ELIRP)</w:t>
      </w:r>
      <w:r>
        <w:rPr>
          <w:rFonts w:ascii="Times New Roman" w:eastAsia="Times New Roman" w:hAnsi="Times New Roman" w:cs="Times New Roman"/>
          <w:sz w:val="26"/>
          <w:szCs w:val="26"/>
        </w:rPr>
        <w:t xml:space="preserve"> and incorporated ELIRP into its DSM I</w:t>
      </w:r>
      <w:r w:rsidRPr="00C47F76">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As part of the DSM I, </w:t>
      </w:r>
      <w:r w:rsidRPr="00C47F76">
        <w:rPr>
          <w:rFonts w:ascii="Times New Roman" w:eastAsia="Times New Roman" w:hAnsi="Times New Roman" w:cs="Times New Roman"/>
          <w:sz w:val="26"/>
          <w:szCs w:val="26"/>
        </w:rPr>
        <w:t xml:space="preserve">ELIRP </w:t>
      </w:r>
      <w:r w:rsidR="001E14EF">
        <w:rPr>
          <w:rFonts w:ascii="Times New Roman" w:eastAsia="Times New Roman" w:hAnsi="Times New Roman" w:cs="Times New Roman"/>
          <w:sz w:val="26"/>
          <w:szCs w:val="26"/>
        </w:rPr>
        <w:t xml:space="preserve">identified and </w:t>
      </w:r>
      <w:r w:rsidRPr="00C47F76">
        <w:rPr>
          <w:rFonts w:ascii="Times New Roman" w:eastAsia="Times New Roman" w:hAnsi="Times New Roman" w:cs="Times New Roman"/>
          <w:sz w:val="26"/>
          <w:szCs w:val="26"/>
        </w:rPr>
        <w:t>target</w:t>
      </w:r>
      <w:r>
        <w:rPr>
          <w:rFonts w:ascii="Times New Roman" w:eastAsia="Times New Roman" w:hAnsi="Times New Roman" w:cs="Times New Roman"/>
          <w:sz w:val="26"/>
          <w:szCs w:val="26"/>
        </w:rPr>
        <w:t>ed</w:t>
      </w:r>
      <w:r w:rsidR="0029786A">
        <w:rPr>
          <w:rFonts w:ascii="Times New Roman" w:eastAsia="Times New Roman" w:hAnsi="Times New Roman" w:cs="Times New Roman"/>
          <w:sz w:val="26"/>
          <w:szCs w:val="26"/>
        </w:rPr>
        <w:t xml:space="preserve"> </w:t>
      </w:r>
      <w:r w:rsidR="001E14EF">
        <w:rPr>
          <w:rFonts w:ascii="Times New Roman" w:eastAsia="Times New Roman" w:hAnsi="Times New Roman" w:cs="Times New Roman"/>
          <w:sz w:val="26"/>
          <w:szCs w:val="26"/>
        </w:rPr>
        <w:t xml:space="preserve">its </w:t>
      </w:r>
      <w:r w:rsidR="0029786A">
        <w:rPr>
          <w:rFonts w:ascii="Times New Roman" w:eastAsia="Times New Roman" w:hAnsi="Times New Roman" w:cs="Times New Roman"/>
          <w:sz w:val="26"/>
          <w:szCs w:val="26"/>
        </w:rPr>
        <w:t>Customer Responsibility Program (CRP)</w:t>
      </w:r>
      <w:r w:rsidRPr="00C47F76">
        <w:rPr>
          <w:rFonts w:ascii="Times New Roman" w:eastAsia="Times New Roman" w:hAnsi="Times New Roman" w:cs="Times New Roman"/>
          <w:sz w:val="26"/>
          <w:szCs w:val="26"/>
        </w:rPr>
        <w:t xml:space="preserve"> customers with high usage</w:t>
      </w:r>
      <w:r w:rsidR="001E14EF">
        <w:rPr>
          <w:rFonts w:ascii="Times New Roman" w:eastAsia="Times New Roman" w:hAnsi="Times New Roman" w:cs="Times New Roman"/>
          <w:sz w:val="26"/>
          <w:szCs w:val="26"/>
        </w:rPr>
        <w:t xml:space="preserve">.  PGW offered qualified </w:t>
      </w:r>
      <w:r w:rsidR="0078474B">
        <w:rPr>
          <w:rFonts w:ascii="Times New Roman" w:eastAsia="Times New Roman" w:hAnsi="Times New Roman" w:cs="Times New Roman"/>
          <w:sz w:val="26"/>
          <w:szCs w:val="26"/>
        </w:rPr>
        <w:t xml:space="preserve">CRP </w:t>
      </w:r>
      <w:r w:rsidR="001E14EF">
        <w:rPr>
          <w:rFonts w:ascii="Times New Roman" w:eastAsia="Times New Roman" w:hAnsi="Times New Roman" w:cs="Times New Roman"/>
          <w:sz w:val="26"/>
          <w:szCs w:val="26"/>
        </w:rPr>
        <w:t xml:space="preserve">customers </w:t>
      </w:r>
      <w:r w:rsidRPr="00C47F76">
        <w:rPr>
          <w:rFonts w:ascii="Times New Roman" w:eastAsia="Times New Roman" w:hAnsi="Times New Roman" w:cs="Times New Roman"/>
          <w:sz w:val="26"/>
          <w:szCs w:val="26"/>
        </w:rPr>
        <w:t xml:space="preserve">weatherization services such as energy </w:t>
      </w:r>
      <w:r w:rsidRPr="00C47F76">
        <w:rPr>
          <w:rFonts w:ascii="Times New Roman" w:eastAsia="Times New Roman" w:hAnsi="Times New Roman" w:cs="Times New Roman"/>
          <w:sz w:val="26"/>
          <w:szCs w:val="26"/>
        </w:rPr>
        <w:lastRenderedPageBreak/>
        <w:t>audits, weather stripping, insulation heating system improvement and replacement, and water heating sys</w:t>
      </w:r>
      <w:r>
        <w:rPr>
          <w:rFonts w:ascii="Times New Roman" w:eastAsia="Times New Roman" w:hAnsi="Times New Roman" w:cs="Times New Roman"/>
          <w:sz w:val="26"/>
          <w:szCs w:val="26"/>
        </w:rPr>
        <w:t xml:space="preserve">tem improvements.  </w:t>
      </w:r>
      <w:r w:rsidR="0078474B">
        <w:rPr>
          <w:rFonts w:ascii="Times New Roman" w:eastAsia="Times New Roman" w:hAnsi="Times New Roman" w:cs="Times New Roman"/>
          <w:sz w:val="26"/>
          <w:szCs w:val="26"/>
        </w:rPr>
        <w:t xml:space="preserve">PGW </w:t>
      </w:r>
      <w:r w:rsidRPr="00C47F76">
        <w:rPr>
          <w:rFonts w:ascii="Times New Roman" w:eastAsia="Times New Roman" w:hAnsi="Times New Roman" w:cs="Times New Roman"/>
          <w:sz w:val="26"/>
          <w:szCs w:val="26"/>
        </w:rPr>
        <w:t xml:space="preserve">began providing these weatherization services </w:t>
      </w:r>
      <w:r w:rsidR="0078474B">
        <w:rPr>
          <w:rFonts w:ascii="Times New Roman" w:eastAsia="Times New Roman" w:hAnsi="Times New Roman" w:cs="Times New Roman"/>
          <w:sz w:val="26"/>
          <w:szCs w:val="26"/>
        </w:rPr>
        <w:t xml:space="preserve">at no cost </w:t>
      </w:r>
      <w:r w:rsidRPr="00C47F76">
        <w:rPr>
          <w:rFonts w:ascii="Times New Roman" w:eastAsia="Times New Roman" w:hAnsi="Times New Roman" w:cs="Times New Roman"/>
          <w:sz w:val="26"/>
          <w:szCs w:val="26"/>
        </w:rPr>
        <w:t>to CRP customers on January</w:t>
      </w:r>
      <w:r>
        <w:rPr>
          <w:rFonts w:ascii="Times New Roman" w:eastAsia="Times New Roman" w:hAnsi="Times New Roman" w:cs="Times New Roman"/>
          <w:sz w:val="26"/>
          <w:szCs w:val="26"/>
        </w:rPr>
        <w:t xml:space="preserve"> 1, 2011.  PGW Revised 2014-2016 USECP at 3</w:t>
      </w:r>
      <w:r w:rsidRPr="00C47F76">
        <w:rPr>
          <w:rFonts w:ascii="Times New Roman" w:eastAsia="Times New Roman" w:hAnsi="Times New Roman" w:cs="Times New Roman"/>
          <w:sz w:val="26"/>
          <w:szCs w:val="26"/>
        </w:rPr>
        <w:t xml:space="preserve">.  </w:t>
      </w:r>
    </w:p>
    <w:p w:rsidR="00CD4268" w:rsidRPr="00C47F76" w:rsidRDefault="00CD4268" w:rsidP="00CD4268">
      <w:pPr>
        <w:tabs>
          <w:tab w:val="left" w:pos="720"/>
        </w:tabs>
        <w:spacing w:after="360" w:line="360" w:lineRule="auto"/>
        <w:contextualSpacing/>
        <w:rPr>
          <w:rFonts w:ascii="Times New Roman" w:eastAsia="Times New Roman" w:hAnsi="Times New Roman" w:cs="Times New Roman"/>
          <w:sz w:val="26"/>
          <w:szCs w:val="26"/>
        </w:rPr>
      </w:pPr>
    </w:p>
    <w:p w:rsidR="00CD4268" w:rsidRPr="001A0316" w:rsidRDefault="00CD4268" w:rsidP="00CD4268">
      <w:pPr>
        <w:spacing w:line="360" w:lineRule="auto"/>
        <w:contextualSpacing/>
        <w:rPr>
          <w:rFonts w:ascii="Times New Roman" w:hAnsi="Times New Roman" w:cs="Times New Roman"/>
          <w:sz w:val="26"/>
          <w:szCs w:val="26"/>
        </w:rPr>
      </w:pPr>
      <w:r w:rsidRPr="00C47F76">
        <w:rPr>
          <w:rFonts w:ascii="Times New Roman" w:eastAsia="Times New Roman" w:hAnsi="Times New Roman" w:cs="Times New Roman"/>
          <w:sz w:val="26"/>
          <w:szCs w:val="26"/>
        </w:rPr>
        <w:tab/>
      </w:r>
      <w:r>
        <w:rPr>
          <w:rFonts w:ascii="Times New Roman" w:hAnsi="Times New Roman" w:cs="Times New Roman"/>
          <w:sz w:val="26"/>
          <w:szCs w:val="26"/>
        </w:rPr>
        <w:t>On</w:t>
      </w:r>
      <w:r w:rsidRPr="001A0316">
        <w:rPr>
          <w:rFonts w:ascii="Times New Roman" w:hAnsi="Times New Roman" w:cs="Times New Roman"/>
          <w:sz w:val="26"/>
          <w:szCs w:val="26"/>
        </w:rPr>
        <w:t xml:space="preserve"> December 23, 2014, PGW </w:t>
      </w:r>
      <w:r>
        <w:rPr>
          <w:rFonts w:ascii="Times New Roman" w:hAnsi="Times New Roman" w:cs="Times New Roman"/>
          <w:sz w:val="26"/>
          <w:szCs w:val="26"/>
        </w:rPr>
        <w:t xml:space="preserve">filed its proposed </w:t>
      </w:r>
      <w:r w:rsidRPr="001A0316">
        <w:rPr>
          <w:rFonts w:ascii="Times New Roman" w:hAnsi="Times New Roman" w:cs="Times New Roman"/>
          <w:sz w:val="26"/>
          <w:szCs w:val="26"/>
        </w:rPr>
        <w:t xml:space="preserve">DSM </w:t>
      </w:r>
      <w:r>
        <w:rPr>
          <w:rFonts w:ascii="Times New Roman" w:hAnsi="Times New Roman" w:cs="Times New Roman"/>
          <w:sz w:val="26"/>
          <w:szCs w:val="26"/>
        </w:rPr>
        <w:t xml:space="preserve">II </w:t>
      </w:r>
      <w:r w:rsidRPr="001A0316">
        <w:rPr>
          <w:rFonts w:ascii="Times New Roman" w:hAnsi="Times New Roman" w:cs="Times New Roman"/>
          <w:sz w:val="26"/>
          <w:szCs w:val="26"/>
        </w:rPr>
        <w:t xml:space="preserve">Plan for 2015 through 2020 </w:t>
      </w:r>
      <w:r>
        <w:rPr>
          <w:rFonts w:ascii="Times New Roman" w:hAnsi="Times New Roman" w:cs="Times New Roman"/>
          <w:sz w:val="26"/>
          <w:szCs w:val="26"/>
        </w:rPr>
        <w:t xml:space="preserve">at </w:t>
      </w:r>
      <w:r w:rsidRPr="001A0316">
        <w:rPr>
          <w:rFonts w:ascii="Times New Roman" w:hAnsi="Times New Roman" w:cs="Times New Roman"/>
          <w:sz w:val="26"/>
          <w:szCs w:val="26"/>
        </w:rPr>
        <w:t>Docket No. P-2014-2459362 (</w:t>
      </w:r>
      <w:r>
        <w:rPr>
          <w:rFonts w:ascii="Times New Roman" w:hAnsi="Times New Roman" w:cs="Times New Roman"/>
          <w:sz w:val="26"/>
          <w:szCs w:val="26"/>
        </w:rPr>
        <w:t xml:space="preserve">DSM II </w:t>
      </w:r>
      <w:r w:rsidRPr="001A0316">
        <w:rPr>
          <w:rFonts w:ascii="Times New Roman" w:hAnsi="Times New Roman" w:cs="Times New Roman"/>
          <w:sz w:val="26"/>
          <w:szCs w:val="26"/>
        </w:rPr>
        <w:t>Petition)</w:t>
      </w:r>
      <w:r>
        <w:rPr>
          <w:rFonts w:ascii="Times New Roman" w:hAnsi="Times New Roman" w:cs="Times New Roman"/>
          <w:sz w:val="26"/>
          <w:szCs w:val="26"/>
        </w:rPr>
        <w:t>.</w:t>
      </w:r>
      <w:r w:rsidR="0078474B" w:rsidRPr="0078474B">
        <w:rPr>
          <w:rFonts w:ascii="Times New Roman" w:hAnsi="Times New Roman" w:cs="Times New Roman"/>
          <w:sz w:val="26"/>
          <w:szCs w:val="26"/>
          <w:vertAlign w:val="superscript"/>
        </w:rPr>
        <w:footnoteReference w:id="4"/>
      </w:r>
      <w:r w:rsidRPr="001A0316">
        <w:rPr>
          <w:rFonts w:ascii="Times New Roman" w:hAnsi="Times New Roman" w:cs="Times New Roman"/>
          <w:sz w:val="26"/>
          <w:szCs w:val="26"/>
        </w:rPr>
        <w:t xml:space="preserve">  </w:t>
      </w:r>
      <w:r>
        <w:rPr>
          <w:rFonts w:ascii="Times New Roman" w:hAnsi="Times New Roman" w:cs="Times New Roman"/>
          <w:sz w:val="26"/>
          <w:szCs w:val="26"/>
        </w:rPr>
        <w:t xml:space="preserve">PGW initially proposed, </w:t>
      </w:r>
      <w:r w:rsidRPr="0069349A">
        <w:rPr>
          <w:rFonts w:ascii="Times New Roman" w:hAnsi="Times New Roman" w:cs="Times New Roman"/>
          <w:i/>
          <w:sz w:val="26"/>
          <w:szCs w:val="26"/>
        </w:rPr>
        <w:t>inter alia</w:t>
      </w:r>
      <w:r>
        <w:rPr>
          <w:rFonts w:ascii="Times New Roman" w:hAnsi="Times New Roman" w:cs="Times New Roman"/>
          <w:sz w:val="26"/>
          <w:szCs w:val="26"/>
        </w:rPr>
        <w:t xml:space="preserve">, </w:t>
      </w:r>
      <w:r w:rsidRPr="001A0316">
        <w:rPr>
          <w:rFonts w:ascii="Times New Roman" w:hAnsi="Times New Roman" w:cs="Times New Roman"/>
          <w:sz w:val="26"/>
          <w:szCs w:val="26"/>
        </w:rPr>
        <w:t>to continue</w:t>
      </w:r>
      <w:r>
        <w:rPr>
          <w:rFonts w:ascii="Times New Roman" w:hAnsi="Times New Roman" w:cs="Times New Roman"/>
          <w:sz w:val="26"/>
          <w:szCs w:val="26"/>
        </w:rPr>
        <w:t xml:space="preserve"> to offer LIURP</w:t>
      </w:r>
      <w:r w:rsidR="0078474B">
        <w:rPr>
          <w:rFonts w:ascii="Times New Roman" w:hAnsi="Times New Roman" w:cs="Times New Roman"/>
          <w:sz w:val="26"/>
          <w:szCs w:val="26"/>
        </w:rPr>
        <w:t>/ELIRP</w:t>
      </w:r>
      <w:r>
        <w:rPr>
          <w:rFonts w:ascii="Times New Roman" w:hAnsi="Times New Roman" w:cs="Times New Roman"/>
          <w:sz w:val="26"/>
          <w:szCs w:val="26"/>
        </w:rPr>
        <w:t xml:space="preserve"> services as part of its DSM II but to change the name from ELIRP to CRP Home Comfort program.  Petition at 3.  </w:t>
      </w:r>
      <w:r w:rsidR="0078474B">
        <w:rPr>
          <w:rFonts w:ascii="Times New Roman" w:hAnsi="Times New Roman" w:cs="Times New Roman"/>
          <w:sz w:val="26"/>
          <w:szCs w:val="26"/>
        </w:rPr>
        <w:t>Th</w:t>
      </w:r>
      <w:r w:rsidR="009C5F29">
        <w:rPr>
          <w:rFonts w:ascii="Times New Roman" w:hAnsi="Times New Roman" w:cs="Times New Roman"/>
          <w:sz w:val="26"/>
          <w:szCs w:val="26"/>
        </w:rPr>
        <w:t xml:space="preserve">e </w:t>
      </w:r>
      <w:r w:rsidR="00E42A54">
        <w:rPr>
          <w:rFonts w:ascii="Times New Roman" w:hAnsi="Times New Roman" w:cs="Times New Roman"/>
          <w:sz w:val="26"/>
          <w:szCs w:val="26"/>
        </w:rPr>
        <w:t>program</w:t>
      </w:r>
      <w:r w:rsidR="0078474B">
        <w:rPr>
          <w:rFonts w:ascii="Times New Roman" w:hAnsi="Times New Roman" w:cs="Times New Roman"/>
          <w:sz w:val="26"/>
          <w:szCs w:val="26"/>
        </w:rPr>
        <w:t xml:space="preserve"> name change took place.</w:t>
      </w:r>
    </w:p>
    <w:p w:rsidR="00CD4268" w:rsidRPr="00C47F76" w:rsidRDefault="00CD4268" w:rsidP="00CD4268">
      <w:pPr>
        <w:tabs>
          <w:tab w:val="left" w:pos="720"/>
        </w:tabs>
        <w:spacing w:after="360" w:line="360" w:lineRule="auto"/>
        <w:contextualSpacing/>
        <w:rPr>
          <w:rFonts w:ascii="Times New Roman" w:eastAsia="Times New Roman" w:hAnsi="Times New Roman" w:cs="Times New Roman"/>
          <w:sz w:val="26"/>
          <w:szCs w:val="26"/>
        </w:rPr>
      </w:pPr>
    </w:p>
    <w:p w:rsidR="00CD4268" w:rsidRDefault="00CD4268" w:rsidP="00CD4268">
      <w:pPr>
        <w:tabs>
          <w:tab w:val="left" w:pos="720"/>
        </w:tabs>
        <w:spacing w:after="360" w:line="360" w:lineRule="auto"/>
        <w:contextualSpacing/>
        <w:rPr>
          <w:rFonts w:ascii="Times New Roman" w:hAnsi="Times New Roman" w:cs="Times New Roman"/>
          <w:sz w:val="26"/>
          <w:szCs w:val="26"/>
        </w:rPr>
      </w:pPr>
      <w:r>
        <w:rPr>
          <w:rFonts w:ascii="Times New Roman" w:hAnsi="Times New Roman" w:cs="Times New Roman"/>
          <w:sz w:val="26"/>
          <w:szCs w:val="26"/>
        </w:rPr>
        <w:tab/>
      </w:r>
      <w:r w:rsidR="00CA12D0">
        <w:rPr>
          <w:rFonts w:ascii="Times New Roman" w:hAnsi="Times New Roman" w:cs="Times New Roman"/>
          <w:sz w:val="26"/>
          <w:szCs w:val="26"/>
        </w:rPr>
        <w:t>A t</w:t>
      </w:r>
      <w:r>
        <w:rPr>
          <w:rFonts w:ascii="Times New Roman" w:hAnsi="Times New Roman" w:cs="Times New Roman"/>
          <w:sz w:val="26"/>
          <w:szCs w:val="26"/>
        </w:rPr>
        <w:t xml:space="preserve">entative </w:t>
      </w:r>
      <w:r w:rsidR="00CA12D0">
        <w:rPr>
          <w:rFonts w:ascii="Times New Roman" w:hAnsi="Times New Roman" w:cs="Times New Roman"/>
          <w:sz w:val="26"/>
          <w:szCs w:val="26"/>
        </w:rPr>
        <w:t>o</w:t>
      </w:r>
      <w:r>
        <w:rPr>
          <w:rFonts w:ascii="Times New Roman" w:hAnsi="Times New Roman" w:cs="Times New Roman"/>
          <w:sz w:val="26"/>
          <w:szCs w:val="26"/>
        </w:rPr>
        <w:t>rder</w:t>
      </w:r>
      <w:r w:rsidR="00CA12D0">
        <w:rPr>
          <w:rFonts w:ascii="Times New Roman" w:hAnsi="Times New Roman" w:cs="Times New Roman"/>
          <w:sz w:val="26"/>
          <w:szCs w:val="26"/>
        </w:rPr>
        <w:t xml:space="preserve"> in PGW’s DSM II proceeding </w:t>
      </w:r>
      <w:r w:rsidR="0078474B">
        <w:rPr>
          <w:rFonts w:ascii="Times New Roman" w:hAnsi="Times New Roman" w:cs="Times New Roman"/>
          <w:sz w:val="26"/>
          <w:szCs w:val="26"/>
        </w:rPr>
        <w:t>proposed</w:t>
      </w:r>
      <w:r>
        <w:rPr>
          <w:rFonts w:ascii="Times New Roman" w:hAnsi="Times New Roman" w:cs="Times New Roman"/>
          <w:sz w:val="26"/>
          <w:szCs w:val="26"/>
        </w:rPr>
        <w:t xml:space="preserve">, </w:t>
      </w:r>
      <w:r w:rsidRPr="007774A3">
        <w:rPr>
          <w:rFonts w:ascii="Times New Roman" w:hAnsi="Times New Roman" w:cs="Times New Roman"/>
          <w:i/>
          <w:sz w:val="26"/>
          <w:szCs w:val="26"/>
        </w:rPr>
        <w:t>inter alia</w:t>
      </w:r>
      <w:r>
        <w:rPr>
          <w:rFonts w:ascii="Times New Roman" w:hAnsi="Times New Roman" w:cs="Times New Roman"/>
          <w:sz w:val="26"/>
          <w:szCs w:val="26"/>
        </w:rPr>
        <w:t xml:space="preserve">, modifying PGW’s annual LIURP/CRP Home Comfort budget.  </w:t>
      </w:r>
      <w:r w:rsidR="00CA12D0" w:rsidRPr="00CA12D0">
        <w:rPr>
          <w:rFonts w:ascii="Times New Roman" w:hAnsi="Times New Roman" w:cs="Times New Roman"/>
          <w:i/>
          <w:sz w:val="26"/>
          <w:szCs w:val="26"/>
        </w:rPr>
        <w:t>PGW’s Petition for Approval of DSM II</w:t>
      </w:r>
      <w:r w:rsidR="00CA12D0">
        <w:rPr>
          <w:rFonts w:ascii="Times New Roman" w:hAnsi="Times New Roman" w:cs="Times New Roman"/>
          <w:i/>
          <w:sz w:val="26"/>
          <w:szCs w:val="26"/>
        </w:rPr>
        <w:t xml:space="preserve"> for 2015-2020</w:t>
      </w:r>
      <w:r w:rsidR="00CA12D0">
        <w:rPr>
          <w:rFonts w:ascii="Times New Roman" w:hAnsi="Times New Roman" w:cs="Times New Roman"/>
          <w:sz w:val="26"/>
          <w:szCs w:val="26"/>
        </w:rPr>
        <w:t xml:space="preserve">, Docket No. </w:t>
      </w:r>
      <w:r w:rsidR="00CA12D0" w:rsidRPr="001A0316">
        <w:rPr>
          <w:rFonts w:ascii="Times New Roman" w:hAnsi="Times New Roman" w:cs="Times New Roman"/>
          <w:sz w:val="26"/>
          <w:szCs w:val="26"/>
        </w:rPr>
        <w:t xml:space="preserve">P-2014-2459362 </w:t>
      </w:r>
      <w:r w:rsidR="00CA12D0">
        <w:rPr>
          <w:rFonts w:ascii="Times New Roman" w:hAnsi="Times New Roman" w:cs="Times New Roman"/>
          <w:sz w:val="26"/>
          <w:szCs w:val="26"/>
        </w:rPr>
        <w:t>(</w:t>
      </w:r>
      <w:r w:rsidR="00737E80">
        <w:rPr>
          <w:rFonts w:ascii="Times New Roman" w:hAnsi="Times New Roman" w:cs="Times New Roman"/>
          <w:sz w:val="26"/>
          <w:szCs w:val="26"/>
        </w:rPr>
        <w:t xml:space="preserve">Order entered </w:t>
      </w:r>
      <w:r w:rsidR="00CA12D0">
        <w:rPr>
          <w:rFonts w:ascii="Times New Roman" w:hAnsi="Times New Roman" w:cs="Times New Roman"/>
          <w:sz w:val="26"/>
          <w:szCs w:val="26"/>
        </w:rPr>
        <w:t>August</w:t>
      </w:r>
      <w:r w:rsidR="00737E80">
        <w:rPr>
          <w:rFonts w:ascii="Times New Roman" w:hAnsi="Times New Roman" w:cs="Times New Roman"/>
          <w:sz w:val="26"/>
          <w:szCs w:val="26"/>
        </w:rPr>
        <w:t> </w:t>
      </w:r>
      <w:r w:rsidR="00CA12D0">
        <w:rPr>
          <w:rFonts w:ascii="Times New Roman" w:hAnsi="Times New Roman" w:cs="Times New Roman"/>
          <w:sz w:val="26"/>
          <w:szCs w:val="26"/>
        </w:rPr>
        <w:t xml:space="preserve">4, 2016).  </w:t>
      </w:r>
      <w:r>
        <w:rPr>
          <w:rFonts w:ascii="Times New Roman" w:hAnsi="Times New Roman" w:cs="Times New Roman"/>
          <w:sz w:val="26"/>
          <w:szCs w:val="26"/>
        </w:rPr>
        <w:t>In comments to the DSM II Tentative Order, PGW expressed support for moving CRP Home Comfort from its DSM II back into its USECP.  PGW DSM II Tentative Order Comments at 20.</w:t>
      </w:r>
    </w:p>
    <w:p w:rsidR="00CD4268" w:rsidRDefault="00CD4268" w:rsidP="00CD4268">
      <w:pPr>
        <w:tabs>
          <w:tab w:val="left" w:pos="720"/>
        </w:tabs>
        <w:spacing w:after="360" w:line="360" w:lineRule="auto"/>
        <w:contextualSpacing/>
        <w:rPr>
          <w:rFonts w:ascii="Times New Roman" w:hAnsi="Times New Roman" w:cs="Times New Roman"/>
          <w:sz w:val="26"/>
          <w:szCs w:val="26"/>
        </w:rPr>
      </w:pPr>
    </w:p>
    <w:p w:rsidR="007774A3" w:rsidRPr="00F26212" w:rsidRDefault="001E14EF" w:rsidP="007774A3">
      <w:pPr>
        <w:tabs>
          <w:tab w:val="left" w:pos="720"/>
        </w:tabs>
        <w:spacing w:after="360" w:line="360" w:lineRule="auto"/>
        <w:contextualSpacing/>
        <w:rPr>
          <w:rFonts w:ascii="Times New Roman" w:hAnsi="Times New Roman" w:cs="Times New Roman"/>
          <w:sz w:val="26"/>
          <w:szCs w:val="26"/>
        </w:rPr>
      </w:pPr>
      <w:r w:rsidRPr="001E14EF">
        <w:rPr>
          <w:rFonts w:ascii="Times New Roman" w:hAnsi="Times New Roman" w:cs="Times New Roman"/>
          <w:sz w:val="26"/>
          <w:szCs w:val="26"/>
        </w:rPr>
        <w:tab/>
      </w:r>
      <w:r w:rsidR="0078474B">
        <w:rPr>
          <w:rFonts w:ascii="Times New Roman" w:hAnsi="Times New Roman" w:cs="Times New Roman"/>
          <w:sz w:val="26"/>
          <w:szCs w:val="26"/>
        </w:rPr>
        <w:t xml:space="preserve">In </w:t>
      </w:r>
      <w:r w:rsidR="00F86651">
        <w:rPr>
          <w:rFonts w:ascii="Times New Roman" w:hAnsi="Times New Roman" w:cs="Times New Roman"/>
          <w:sz w:val="26"/>
          <w:szCs w:val="26"/>
        </w:rPr>
        <w:t xml:space="preserve">November 1, 2016 </w:t>
      </w:r>
      <w:r w:rsidRPr="001E14EF">
        <w:rPr>
          <w:rFonts w:ascii="Times New Roman" w:hAnsi="Times New Roman" w:cs="Times New Roman"/>
          <w:sz w:val="26"/>
          <w:szCs w:val="26"/>
        </w:rPr>
        <w:t xml:space="preserve">DSM II </w:t>
      </w:r>
      <w:r>
        <w:rPr>
          <w:rFonts w:ascii="Times New Roman" w:hAnsi="Times New Roman" w:cs="Times New Roman"/>
          <w:sz w:val="26"/>
          <w:szCs w:val="26"/>
        </w:rPr>
        <w:t xml:space="preserve">Final </w:t>
      </w:r>
      <w:r w:rsidRPr="001E14EF">
        <w:rPr>
          <w:rFonts w:ascii="Times New Roman" w:hAnsi="Times New Roman" w:cs="Times New Roman"/>
          <w:sz w:val="26"/>
          <w:szCs w:val="26"/>
        </w:rPr>
        <w:t>Order at Docket No. P-2014-2459362, the Commission directed PGW to transition its LIURP</w:t>
      </w:r>
      <w:r w:rsidR="0078474B">
        <w:rPr>
          <w:rFonts w:ascii="Times New Roman" w:hAnsi="Times New Roman" w:cs="Times New Roman"/>
          <w:sz w:val="26"/>
          <w:szCs w:val="26"/>
        </w:rPr>
        <w:t>/</w:t>
      </w:r>
      <w:r w:rsidRPr="001E14EF">
        <w:rPr>
          <w:rFonts w:ascii="Times New Roman" w:hAnsi="Times New Roman" w:cs="Times New Roman"/>
          <w:sz w:val="26"/>
          <w:szCs w:val="26"/>
        </w:rPr>
        <w:t xml:space="preserve">CRP Home Comfort program, including </w:t>
      </w:r>
      <w:r w:rsidR="0078474B">
        <w:rPr>
          <w:rFonts w:ascii="Times New Roman" w:hAnsi="Times New Roman" w:cs="Times New Roman"/>
          <w:sz w:val="26"/>
          <w:szCs w:val="26"/>
        </w:rPr>
        <w:t xml:space="preserve">PGW’s </w:t>
      </w:r>
      <w:r w:rsidRPr="001E14EF">
        <w:rPr>
          <w:rFonts w:ascii="Times New Roman" w:hAnsi="Times New Roman" w:cs="Times New Roman"/>
          <w:sz w:val="26"/>
          <w:szCs w:val="26"/>
        </w:rPr>
        <w:t xml:space="preserve">Low-Income Multifamily Efficiency Program (LIME), back into </w:t>
      </w:r>
      <w:r w:rsidR="0078474B">
        <w:rPr>
          <w:rFonts w:ascii="Times New Roman" w:hAnsi="Times New Roman" w:cs="Times New Roman"/>
          <w:sz w:val="26"/>
          <w:szCs w:val="26"/>
        </w:rPr>
        <w:t>its then</w:t>
      </w:r>
      <w:r w:rsidR="00F86651">
        <w:rPr>
          <w:rFonts w:ascii="Times New Roman" w:hAnsi="Times New Roman" w:cs="Times New Roman"/>
          <w:sz w:val="26"/>
          <w:szCs w:val="26"/>
        </w:rPr>
        <w:t>-</w:t>
      </w:r>
      <w:r w:rsidR="0078474B">
        <w:rPr>
          <w:rFonts w:ascii="Times New Roman" w:hAnsi="Times New Roman" w:cs="Times New Roman"/>
          <w:sz w:val="26"/>
          <w:szCs w:val="26"/>
        </w:rPr>
        <w:t xml:space="preserve">pending </w:t>
      </w:r>
      <w:r w:rsidR="00F86651">
        <w:rPr>
          <w:rFonts w:ascii="Times New Roman" w:hAnsi="Times New Roman" w:cs="Times New Roman"/>
          <w:sz w:val="26"/>
          <w:szCs w:val="26"/>
        </w:rPr>
        <w:t xml:space="preserve">proposed 2017-2020 </w:t>
      </w:r>
      <w:r w:rsidRPr="001E14EF">
        <w:rPr>
          <w:rFonts w:ascii="Times New Roman" w:hAnsi="Times New Roman" w:cs="Times New Roman"/>
          <w:sz w:val="26"/>
          <w:szCs w:val="26"/>
        </w:rPr>
        <w:t xml:space="preserve">USECP </w:t>
      </w:r>
      <w:r w:rsidR="00F86651">
        <w:rPr>
          <w:rFonts w:ascii="Times New Roman" w:hAnsi="Times New Roman" w:cs="Times New Roman"/>
          <w:sz w:val="26"/>
          <w:szCs w:val="26"/>
        </w:rPr>
        <w:t>(</w:t>
      </w:r>
      <w:r w:rsidR="00F86651" w:rsidRPr="00F86651">
        <w:rPr>
          <w:rFonts w:ascii="Times New Roman" w:hAnsi="Times New Roman" w:cs="Times New Roman"/>
          <w:i/>
          <w:sz w:val="26"/>
          <w:szCs w:val="26"/>
        </w:rPr>
        <w:t>i.e.</w:t>
      </w:r>
      <w:r w:rsidR="00F86651">
        <w:rPr>
          <w:rFonts w:ascii="Times New Roman" w:hAnsi="Times New Roman" w:cs="Times New Roman"/>
          <w:sz w:val="26"/>
          <w:szCs w:val="26"/>
        </w:rPr>
        <w:t xml:space="preserve">, this instant docket) </w:t>
      </w:r>
      <w:r w:rsidRPr="001E14EF">
        <w:rPr>
          <w:rFonts w:ascii="Times New Roman" w:hAnsi="Times New Roman" w:cs="Times New Roman"/>
          <w:sz w:val="26"/>
          <w:szCs w:val="26"/>
        </w:rPr>
        <w:t xml:space="preserve">and to provide details for a seamless integration.  </w:t>
      </w:r>
      <w:r w:rsidR="00CD4268">
        <w:rPr>
          <w:rFonts w:ascii="Times New Roman" w:hAnsi="Times New Roman" w:cs="Times New Roman"/>
          <w:sz w:val="26"/>
          <w:szCs w:val="26"/>
        </w:rPr>
        <w:t>The DSM II Final Order</w:t>
      </w:r>
      <w:r w:rsidR="002F186F">
        <w:rPr>
          <w:rFonts w:ascii="Times New Roman" w:hAnsi="Times New Roman" w:cs="Times New Roman"/>
          <w:sz w:val="26"/>
          <w:szCs w:val="26"/>
        </w:rPr>
        <w:t>, however, did</w:t>
      </w:r>
      <w:r w:rsidR="00CD4268">
        <w:rPr>
          <w:rFonts w:ascii="Times New Roman" w:hAnsi="Times New Roman" w:cs="Times New Roman"/>
          <w:sz w:val="26"/>
          <w:szCs w:val="26"/>
        </w:rPr>
        <w:t xml:space="preserve"> direct PGW to set its 2017 Fiscal Year (FY) CRP Home Comfort budget at $5,860,506.  </w:t>
      </w:r>
      <w:r w:rsidR="00CD4268" w:rsidRPr="00BB6CFB">
        <w:rPr>
          <w:rFonts w:ascii="Times New Roman" w:hAnsi="Times New Roman" w:cs="Times New Roman"/>
          <w:i/>
          <w:sz w:val="26"/>
          <w:szCs w:val="26"/>
        </w:rPr>
        <w:t>DSM II Final Order</w:t>
      </w:r>
      <w:r w:rsidR="00CD4268">
        <w:rPr>
          <w:rFonts w:ascii="Times New Roman" w:hAnsi="Times New Roman" w:cs="Times New Roman"/>
          <w:sz w:val="26"/>
          <w:szCs w:val="26"/>
        </w:rPr>
        <w:t xml:space="preserve"> (</w:t>
      </w:r>
      <w:r w:rsidR="00737E80">
        <w:rPr>
          <w:rFonts w:ascii="Times New Roman" w:hAnsi="Times New Roman" w:cs="Times New Roman"/>
          <w:sz w:val="26"/>
          <w:szCs w:val="26"/>
        </w:rPr>
        <w:t xml:space="preserve">Order entered </w:t>
      </w:r>
      <w:r w:rsidR="00CD4268">
        <w:rPr>
          <w:rFonts w:ascii="Times New Roman" w:hAnsi="Times New Roman" w:cs="Times New Roman"/>
          <w:sz w:val="26"/>
          <w:szCs w:val="26"/>
        </w:rPr>
        <w:t>November 1, 2016) at 34-35.</w:t>
      </w:r>
      <w:r w:rsidR="002F186F">
        <w:rPr>
          <w:rFonts w:ascii="Times New Roman" w:hAnsi="Times New Roman" w:cs="Times New Roman"/>
          <w:sz w:val="26"/>
          <w:szCs w:val="26"/>
        </w:rPr>
        <w:t xml:space="preserve">  As a result of these changes, there is a four-month transition period between the end of the FY2017 budget and the beginning of the 2018 calendar year budget for PGW’s LIURP. </w:t>
      </w:r>
    </w:p>
    <w:p w:rsidR="00E6486E" w:rsidRDefault="00E6486E" w:rsidP="00231829">
      <w:pPr>
        <w:tabs>
          <w:tab w:val="left" w:pos="720"/>
        </w:tabs>
        <w:spacing w:after="360" w:line="360" w:lineRule="auto"/>
        <w:contextualSpacing/>
        <w:rPr>
          <w:rFonts w:ascii="Times New Roman" w:eastAsia="Times New Roman" w:hAnsi="Times New Roman" w:cs="Times New Roman"/>
          <w:sz w:val="26"/>
          <w:szCs w:val="26"/>
        </w:rPr>
      </w:pPr>
    </w:p>
    <w:p w:rsidR="00A605E3" w:rsidRDefault="009E7F4D" w:rsidP="00A4206F">
      <w:pPr>
        <w:keepNext/>
        <w:tabs>
          <w:tab w:val="left" w:pos="720"/>
        </w:tabs>
        <w:spacing w:after="36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3. </w:t>
      </w:r>
      <w:r w:rsidR="00E87161">
        <w:rPr>
          <w:rFonts w:ascii="Times New Roman" w:eastAsia="Times New Roman" w:hAnsi="Times New Roman" w:cs="Times New Roman"/>
          <w:sz w:val="26"/>
          <w:szCs w:val="26"/>
        </w:rPr>
        <w:t xml:space="preserve">Amended Proposed </w:t>
      </w:r>
      <w:r>
        <w:rPr>
          <w:rFonts w:ascii="Times New Roman" w:eastAsia="Times New Roman" w:hAnsi="Times New Roman" w:cs="Times New Roman"/>
          <w:sz w:val="26"/>
          <w:szCs w:val="26"/>
        </w:rPr>
        <w:t>2017-2020</w:t>
      </w:r>
      <w:r w:rsidR="00A605E3">
        <w:rPr>
          <w:rFonts w:ascii="Times New Roman" w:eastAsia="Times New Roman" w:hAnsi="Times New Roman" w:cs="Times New Roman"/>
          <w:sz w:val="26"/>
          <w:szCs w:val="26"/>
        </w:rPr>
        <w:t xml:space="preserve"> USECP</w:t>
      </w:r>
      <w:r w:rsidR="00D142B6">
        <w:rPr>
          <w:rFonts w:ascii="Times New Roman" w:eastAsia="Times New Roman" w:hAnsi="Times New Roman" w:cs="Times New Roman"/>
          <w:sz w:val="26"/>
          <w:szCs w:val="26"/>
        </w:rPr>
        <w:t xml:space="preserve"> (M-2016-2542415)</w:t>
      </w:r>
    </w:p>
    <w:p w:rsidR="00A605E3" w:rsidRDefault="00A605E3" w:rsidP="00A4206F">
      <w:pPr>
        <w:keepNext/>
        <w:tabs>
          <w:tab w:val="left" w:pos="720"/>
        </w:tabs>
        <w:spacing w:after="360" w:line="360" w:lineRule="auto"/>
        <w:contextualSpacing/>
        <w:rPr>
          <w:rFonts w:ascii="Times New Roman" w:eastAsia="Times New Roman" w:hAnsi="Times New Roman" w:cs="Times New Roman"/>
          <w:sz w:val="26"/>
          <w:szCs w:val="26"/>
        </w:rPr>
      </w:pPr>
    </w:p>
    <w:p w:rsidR="00F26212" w:rsidRDefault="00A4206F" w:rsidP="00231829">
      <w:pPr>
        <w:tabs>
          <w:tab w:val="left" w:pos="720"/>
        </w:tabs>
        <w:spacing w:after="36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A605E3" w:rsidRPr="005F4CC0">
        <w:rPr>
          <w:rFonts w:ascii="Times New Roman" w:eastAsia="Times New Roman" w:hAnsi="Times New Roman" w:cs="Times New Roman"/>
          <w:sz w:val="26"/>
          <w:szCs w:val="26"/>
        </w:rPr>
        <w:t xml:space="preserve">In compliance with Commission regulations, </w:t>
      </w:r>
      <w:r w:rsidR="00A605E3">
        <w:rPr>
          <w:rFonts w:ascii="Times New Roman" w:eastAsia="Times New Roman" w:hAnsi="Times New Roman" w:cs="Times New Roman"/>
          <w:sz w:val="26"/>
          <w:szCs w:val="26"/>
        </w:rPr>
        <w:t>PGW</w:t>
      </w:r>
      <w:r w:rsidR="00A605E3" w:rsidRPr="005F4CC0">
        <w:rPr>
          <w:rFonts w:ascii="Times New Roman" w:eastAsia="Times New Roman" w:hAnsi="Times New Roman" w:cs="Times New Roman"/>
          <w:sz w:val="26"/>
          <w:szCs w:val="26"/>
        </w:rPr>
        <w:t xml:space="preserve"> </w:t>
      </w:r>
      <w:r w:rsidR="00BB6CFB">
        <w:rPr>
          <w:rFonts w:ascii="Times New Roman" w:eastAsia="Times New Roman" w:hAnsi="Times New Roman" w:cs="Times New Roman"/>
          <w:sz w:val="26"/>
          <w:szCs w:val="26"/>
        </w:rPr>
        <w:t xml:space="preserve">had </w:t>
      </w:r>
      <w:r w:rsidR="00A605E3" w:rsidRPr="005F4CC0">
        <w:rPr>
          <w:rFonts w:ascii="Times New Roman" w:eastAsia="Times New Roman" w:hAnsi="Times New Roman" w:cs="Times New Roman"/>
          <w:sz w:val="26"/>
          <w:szCs w:val="26"/>
        </w:rPr>
        <w:t xml:space="preserve">submitted its </w:t>
      </w:r>
      <w:r w:rsidR="00A605E3">
        <w:rPr>
          <w:rFonts w:ascii="Times New Roman" w:eastAsia="Times New Roman" w:hAnsi="Times New Roman" w:cs="Times New Roman"/>
          <w:sz w:val="26"/>
          <w:szCs w:val="26"/>
        </w:rPr>
        <w:t>Proposed 2017-2020</w:t>
      </w:r>
      <w:r w:rsidR="00A605E3" w:rsidRPr="005F4CC0">
        <w:rPr>
          <w:rFonts w:ascii="Times New Roman" w:eastAsia="Times New Roman" w:hAnsi="Times New Roman" w:cs="Times New Roman"/>
          <w:sz w:val="26"/>
          <w:szCs w:val="26"/>
        </w:rPr>
        <w:t xml:space="preserve"> Plan on </w:t>
      </w:r>
      <w:r w:rsidR="00A605E3">
        <w:rPr>
          <w:rFonts w:ascii="Times New Roman" w:eastAsia="Times New Roman" w:hAnsi="Times New Roman" w:cs="Times New Roman"/>
          <w:sz w:val="26"/>
          <w:szCs w:val="26"/>
        </w:rPr>
        <w:t>April 28, 2016</w:t>
      </w:r>
      <w:r w:rsidR="00A605E3" w:rsidRPr="005F4CC0">
        <w:rPr>
          <w:rFonts w:ascii="Times New Roman" w:eastAsia="Times New Roman" w:hAnsi="Times New Roman" w:cs="Times New Roman"/>
          <w:sz w:val="26"/>
          <w:szCs w:val="26"/>
        </w:rPr>
        <w:t xml:space="preserve">, and served OCA, </w:t>
      </w:r>
      <w:r w:rsidR="00A605E3">
        <w:rPr>
          <w:rFonts w:ascii="Times New Roman" w:eastAsia="Times New Roman" w:hAnsi="Times New Roman" w:cs="Times New Roman"/>
          <w:sz w:val="26"/>
          <w:szCs w:val="26"/>
        </w:rPr>
        <w:t xml:space="preserve">Community Legal Services (CLS), </w:t>
      </w:r>
      <w:r w:rsidR="00A605E3" w:rsidRPr="005F4CC0">
        <w:rPr>
          <w:rFonts w:ascii="Times New Roman" w:eastAsia="Times New Roman" w:hAnsi="Times New Roman" w:cs="Times New Roman"/>
          <w:sz w:val="26"/>
          <w:szCs w:val="26"/>
        </w:rPr>
        <w:t>the Pennsylvania Utility Law Project (PULP), the Office of Small Business Advocate (OSBA)</w:t>
      </w:r>
      <w:r w:rsidR="00A605E3">
        <w:rPr>
          <w:rFonts w:ascii="Times New Roman" w:eastAsia="Times New Roman" w:hAnsi="Times New Roman" w:cs="Times New Roman"/>
          <w:sz w:val="26"/>
          <w:szCs w:val="26"/>
        </w:rPr>
        <w:t>,</w:t>
      </w:r>
      <w:r w:rsidR="00A605E3" w:rsidRPr="005F4CC0">
        <w:rPr>
          <w:rFonts w:ascii="Times New Roman" w:eastAsia="Times New Roman" w:hAnsi="Times New Roman" w:cs="Times New Roman"/>
          <w:sz w:val="26"/>
          <w:szCs w:val="26"/>
        </w:rPr>
        <w:t xml:space="preserve"> and the Bureau of Investigation and Enforcement (BIE).</w:t>
      </w:r>
      <w:r w:rsidR="00D10FFB">
        <w:rPr>
          <w:rFonts w:ascii="Times New Roman" w:eastAsia="Times New Roman" w:hAnsi="Times New Roman" w:cs="Times New Roman"/>
          <w:sz w:val="26"/>
          <w:szCs w:val="26"/>
        </w:rPr>
        <w:t xml:space="preserve">  </w:t>
      </w:r>
      <w:r w:rsidR="00F26212">
        <w:rPr>
          <w:rFonts w:ascii="Times New Roman" w:eastAsia="Times New Roman" w:hAnsi="Times New Roman" w:cs="Times New Roman"/>
          <w:sz w:val="26"/>
          <w:szCs w:val="26"/>
        </w:rPr>
        <w:t xml:space="preserve">On November 16, 2016, in compliance with the DSM </w:t>
      </w:r>
      <w:r w:rsidR="00D10FFB">
        <w:rPr>
          <w:rFonts w:ascii="Times New Roman" w:eastAsia="Times New Roman" w:hAnsi="Times New Roman" w:cs="Times New Roman"/>
          <w:sz w:val="26"/>
          <w:szCs w:val="26"/>
        </w:rPr>
        <w:t xml:space="preserve">II </w:t>
      </w:r>
      <w:r w:rsidR="00F26212">
        <w:rPr>
          <w:rFonts w:ascii="Times New Roman" w:eastAsia="Times New Roman" w:hAnsi="Times New Roman" w:cs="Times New Roman"/>
          <w:sz w:val="26"/>
          <w:szCs w:val="26"/>
        </w:rPr>
        <w:t xml:space="preserve">Final Order, PGW filed </w:t>
      </w:r>
      <w:r w:rsidR="00737E80">
        <w:rPr>
          <w:rFonts w:ascii="Times New Roman" w:eastAsia="Times New Roman" w:hAnsi="Times New Roman" w:cs="Times New Roman"/>
          <w:sz w:val="26"/>
          <w:szCs w:val="26"/>
        </w:rPr>
        <w:t xml:space="preserve">and served </w:t>
      </w:r>
      <w:r w:rsidR="00F26212">
        <w:rPr>
          <w:rFonts w:ascii="Times New Roman" w:eastAsia="Times New Roman" w:hAnsi="Times New Roman" w:cs="Times New Roman"/>
          <w:sz w:val="26"/>
          <w:szCs w:val="26"/>
        </w:rPr>
        <w:t xml:space="preserve">an Amended Proposed 2017-2020 Plan, which incorporated LIURP </w:t>
      </w:r>
      <w:r w:rsidR="00D10FFB">
        <w:rPr>
          <w:rFonts w:ascii="Times New Roman" w:eastAsia="Times New Roman" w:hAnsi="Times New Roman" w:cs="Times New Roman"/>
          <w:sz w:val="26"/>
          <w:szCs w:val="26"/>
        </w:rPr>
        <w:t xml:space="preserve">in the form of CRP Home Comfort </w:t>
      </w:r>
      <w:r w:rsidR="00F26212">
        <w:rPr>
          <w:rFonts w:ascii="Times New Roman" w:eastAsia="Times New Roman" w:hAnsi="Times New Roman" w:cs="Times New Roman"/>
          <w:sz w:val="26"/>
          <w:szCs w:val="26"/>
        </w:rPr>
        <w:t xml:space="preserve">back into its </w:t>
      </w:r>
      <w:r w:rsidR="00D10FFB">
        <w:rPr>
          <w:rFonts w:ascii="Times New Roman" w:eastAsia="Times New Roman" w:hAnsi="Times New Roman" w:cs="Times New Roman"/>
          <w:sz w:val="26"/>
          <w:szCs w:val="26"/>
        </w:rPr>
        <w:t xml:space="preserve">Proposed 2017-2020 USECP as a </w:t>
      </w:r>
      <w:r w:rsidR="00F26212">
        <w:rPr>
          <w:rFonts w:ascii="Times New Roman" w:eastAsia="Times New Roman" w:hAnsi="Times New Roman" w:cs="Times New Roman"/>
          <w:sz w:val="26"/>
          <w:szCs w:val="26"/>
        </w:rPr>
        <w:t>universal service program.</w:t>
      </w:r>
    </w:p>
    <w:p w:rsidR="00C77AF8" w:rsidRDefault="00C77AF8" w:rsidP="00231829">
      <w:pPr>
        <w:tabs>
          <w:tab w:val="left" w:pos="720"/>
        </w:tabs>
        <w:spacing w:after="360" w:line="360" w:lineRule="auto"/>
        <w:contextualSpacing/>
        <w:rPr>
          <w:rFonts w:ascii="Times New Roman" w:eastAsia="Times New Roman" w:hAnsi="Times New Roman" w:cs="Times New Roman"/>
          <w:sz w:val="26"/>
          <w:szCs w:val="26"/>
        </w:rPr>
      </w:pPr>
    </w:p>
    <w:p w:rsidR="00C77AF8" w:rsidRDefault="00262B3A" w:rsidP="00231829">
      <w:pPr>
        <w:tabs>
          <w:tab w:val="left" w:pos="720"/>
        </w:tabs>
        <w:spacing w:after="36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C77AF8" w:rsidRPr="00FA1360">
        <w:rPr>
          <w:rFonts w:ascii="Times New Roman" w:eastAsia="Times New Roman" w:hAnsi="Times New Roman" w:cs="Times New Roman"/>
          <w:sz w:val="26"/>
          <w:szCs w:val="26"/>
        </w:rPr>
        <w:t xml:space="preserve">On </w:t>
      </w:r>
      <w:r w:rsidR="00C77AF8" w:rsidRPr="00C77AF8">
        <w:rPr>
          <w:rFonts w:ascii="Times New Roman" w:eastAsia="Times New Roman" w:hAnsi="Times New Roman" w:cs="Times New Roman"/>
          <w:color w:val="0D0D0D" w:themeColor="text1" w:themeTint="F2"/>
          <w:sz w:val="26"/>
          <w:szCs w:val="26"/>
        </w:rPr>
        <w:t>January 26, 2017</w:t>
      </w:r>
      <w:r w:rsidR="00C77AF8" w:rsidRPr="00FA1360">
        <w:rPr>
          <w:rFonts w:ascii="Times New Roman" w:eastAsia="Times New Roman" w:hAnsi="Times New Roman" w:cs="Times New Roman"/>
          <w:sz w:val="26"/>
          <w:szCs w:val="26"/>
        </w:rPr>
        <w:t xml:space="preserve">, the Commission entered a Tentative Order, </w:t>
      </w:r>
      <w:r w:rsidR="00C77AF8">
        <w:rPr>
          <w:rFonts w:ascii="Times New Roman" w:eastAsia="Times New Roman" w:hAnsi="Times New Roman" w:cs="Times New Roman"/>
          <w:sz w:val="26"/>
          <w:szCs w:val="26"/>
        </w:rPr>
        <w:t>identifying issues where modifications and clarifications are needed</w:t>
      </w:r>
      <w:r w:rsidR="00C77AF8" w:rsidRPr="00FA1360">
        <w:rPr>
          <w:rFonts w:ascii="Times New Roman" w:eastAsia="Times New Roman" w:hAnsi="Times New Roman" w:cs="Times New Roman"/>
          <w:sz w:val="26"/>
          <w:szCs w:val="26"/>
        </w:rPr>
        <w:t>.</w:t>
      </w:r>
      <w:r w:rsidR="00C77AF8" w:rsidRPr="00FA1360">
        <w:rPr>
          <w:rFonts w:ascii="Times New Roman" w:eastAsia="Calibri" w:hAnsi="Times New Roman" w:cs="Times New Roman"/>
          <w:sz w:val="26"/>
          <w:szCs w:val="26"/>
        </w:rPr>
        <w:t xml:space="preserve">  </w:t>
      </w:r>
      <w:r w:rsidR="00CC7A55">
        <w:rPr>
          <w:rFonts w:ascii="Times New Roman" w:eastAsia="Calibri" w:hAnsi="Times New Roman" w:cs="Times New Roman"/>
          <w:sz w:val="26"/>
          <w:szCs w:val="26"/>
        </w:rPr>
        <w:t xml:space="preserve">On February 15, 2017, </w:t>
      </w:r>
      <w:r w:rsidR="00C77AF8">
        <w:rPr>
          <w:rFonts w:ascii="Times New Roman" w:eastAsia="Calibri" w:hAnsi="Times New Roman" w:cs="Times New Roman"/>
          <w:sz w:val="26"/>
          <w:szCs w:val="26"/>
        </w:rPr>
        <w:t xml:space="preserve">PGW filed supplemental information addressing </w:t>
      </w:r>
      <w:r w:rsidR="00CC7A55">
        <w:rPr>
          <w:rFonts w:ascii="Times New Roman" w:eastAsia="Calibri" w:hAnsi="Times New Roman" w:cs="Times New Roman"/>
          <w:sz w:val="26"/>
          <w:szCs w:val="26"/>
        </w:rPr>
        <w:t xml:space="preserve">the </w:t>
      </w:r>
      <w:r w:rsidR="00C77AF8">
        <w:rPr>
          <w:rFonts w:ascii="Times New Roman" w:eastAsia="Calibri" w:hAnsi="Times New Roman" w:cs="Times New Roman"/>
          <w:sz w:val="26"/>
          <w:szCs w:val="26"/>
        </w:rPr>
        <w:t>issue</w:t>
      </w:r>
      <w:r w:rsidR="00CC7A55">
        <w:rPr>
          <w:rFonts w:ascii="Times New Roman" w:eastAsia="Calibri" w:hAnsi="Times New Roman" w:cs="Times New Roman"/>
          <w:sz w:val="26"/>
          <w:szCs w:val="26"/>
        </w:rPr>
        <w:t>s</w:t>
      </w:r>
      <w:r w:rsidR="00C77AF8">
        <w:rPr>
          <w:rFonts w:ascii="Times New Roman" w:eastAsia="Calibri" w:hAnsi="Times New Roman" w:cs="Times New Roman"/>
          <w:sz w:val="26"/>
          <w:szCs w:val="26"/>
        </w:rPr>
        <w:t xml:space="preserve"> raised in the Tentative Order.  </w:t>
      </w:r>
      <w:r w:rsidR="00C77AF8" w:rsidRPr="00FA1360">
        <w:rPr>
          <w:rFonts w:ascii="Times New Roman" w:eastAsia="Times New Roman" w:hAnsi="Times New Roman" w:cs="Times New Roman"/>
          <w:sz w:val="26"/>
          <w:szCs w:val="26"/>
        </w:rPr>
        <w:t xml:space="preserve">CAUSE-PA, </w:t>
      </w:r>
      <w:r w:rsidR="00C77AF8">
        <w:rPr>
          <w:rFonts w:ascii="Times New Roman" w:eastAsia="Times New Roman" w:hAnsi="Times New Roman" w:cs="Times New Roman"/>
          <w:sz w:val="26"/>
          <w:szCs w:val="26"/>
        </w:rPr>
        <w:t xml:space="preserve">OCA, and TURN </w:t>
      </w:r>
      <w:r w:rsidR="006656B5" w:rsidRPr="006656B5">
        <w:rPr>
          <w:rFonts w:ascii="Times New Roman" w:eastAsia="Times New Roman" w:hAnsi="Times New Roman" w:cs="Times New Roman"/>
          <w:i/>
          <w:sz w:val="26"/>
          <w:szCs w:val="26"/>
        </w:rPr>
        <w:t>et al</w:t>
      </w:r>
      <w:r w:rsidR="00C77AF8">
        <w:rPr>
          <w:rFonts w:ascii="Times New Roman" w:eastAsia="Times New Roman" w:hAnsi="Times New Roman" w:cs="Times New Roman"/>
          <w:sz w:val="26"/>
          <w:szCs w:val="26"/>
        </w:rPr>
        <w:t xml:space="preserve">. </w:t>
      </w:r>
      <w:r w:rsidR="00C77AF8" w:rsidRPr="00FA1360">
        <w:rPr>
          <w:rFonts w:ascii="Times New Roman" w:eastAsia="Times New Roman" w:hAnsi="Times New Roman" w:cs="Times New Roman"/>
          <w:sz w:val="26"/>
          <w:szCs w:val="26"/>
        </w:rPr>
        <w:t xml:space="preserve">individually filed </w:t>
      </w:r>
      <w:r w:rsidR="00C77AF8">
        <w:rPr>
          <w:rFonts w:ascii="Times New Roman" w:eastAsia="Times New Roman" w:hAnsi="Times New Roman" w:cs="Times New Roman"/>
          <w:sz w:val="26"/>
          <w:szCs w:val="26"/>
        </w:rPr>
        <w:t>c</w:t>
      </w:r>
      <w:r w:rsidR="00C77AF8" w:rsidRPr="00FA1360">
        <w:rPr>
          <w:rFonts w:ascii="Times New Roman" w:eastAsia="Times New Roman" w:hAnsi="Times New Roman" w:cs="Times New Roman"/>
          <w:sz w:val="26"/>
          <w:szCs w:val="26"/>
        </w:rPr>
        <w:t>ommen</w:t>
      </w:r>
      <w:r>
        <w:rPr>
          <w:rFonts w:ascii="Times New Roman" w:eastAsia="Times New Roman" w:hAnsi="Times New Roman" w:cs="Times New Roman"/>
          <w:sz w:val="26"/>
          <w:szCs w:val="26"/>
        </w:rPr>
        <w:t xml:space="preserve">ts on March 7, 2017. </w:t>
      </w:r>
      <w:r w:rsidR="00C77AF8">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OCA, TURN </w:t>
      </w:r>
      <w:r w:rsidR="006656B5" w:rsidRPr="006656B5">
        <w:rPr>
          <w:rFonts w:ascii="Times New Roman" w:eastAsia="Times New Roman" w:hAnsi="Times New Roman" w:cs="Times New Roman"/>
          <w:i/>
          <w:sz w:val="26"/>
          <w:szCs w:val="26"/>
        </w:rPr>
        <w:t>et al</w:t>
      </w:r>
      <w:r>
        <w:rPr>
          <w:rFonts w:ascii="Times New Roman" w:eastAsia="Times New Roman" w:hAnsi="Times New Roman" w:cs="Times New Roman"/>
          <w:sz w:val="26"/>
          <w:szCs w:val="26"/>
        </w:rPr>
        <w:t>., and PGW individually filed reply comments on March 22, 2017</w:t>
      </w:r>
      <w:r w:rsidR="00C77AF8" w:rsidRPr="00FA1360">
        <w:rPr>
          <w:rFonts w:ascii="Times New Roman" w:eastAsia="Times New Roman" w:hAnsi="Times New Roman" w:cs="Times New Roman"/>
          <w:sz w:val="26"/>
          <w:szCs w:val="26"/>
        </w:rPr>
        <w:t>.</w:t>
      </w:r>
    </w:p>
    <w:p w:rsidR="00262B3A" w:rsidRDefault="00262B3A" w:rsidP="00231829">
      <w:pPr>
        <w:tabs>
          <w:tab w:val="left" w:pos="720"/>
        </w:tabs>
        <w:spacing w:after="360" w:line="360" w:lineRule="auto"/>
        <w:contextualSpacing/>
        <w:rPr>
          <w:rFonts w:ascii="Times New Roman" w:eastAsia="Times New Roman" w:hAnsi="Times New Roman" w:cs="Times New Roman"/>
          <w:sz w:val="26"/>
          <w:szCs w:val="26"/>
        </w:rPr>
      </w:pPr>
    </w:p>
    <w:p w:rsidR="00262B3A" w:rsidRDefault="00247CFD" w:rsidP="00231829">
      <w:pPr>
        <w:tabs>
          <w:tab w:val="left" w:pos="720"/>
        </w:tabs>
        <w:spacing w:after="36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A57D68">
        <w:rPr>
          <w:rFonts w:ascii="Times New Roman" w:eastAsia="Times New Roman" w:hAnsi="Times New Roman" w:cs="Times New Roman"/>
          <w:sz w:val="26"/>
          <w:szCs w:val="26"/>
        </w:rPr>
        <w:t>In the Tentative Order</w:t>
      </w:r>
      <w:r w:rsidR="005258B4">
        <w:rPr>
          <w:rFonts w:ascii="Times New Roman" w:eastAsia="Times New Roman" w:hAnsi="Times New Roman" w:cs="Times New Roman"/>
          <w:sz w:val="26"/>
          <w:szCs w:val="26"/>
        </w:rPr>
        <w:t xml:space="preserve"> at this docket</w:t>
      </w:r>
      <w:r w:rsidR="00A57D68">
        <w:rPr>
          <w:rFonts w:ascii="Times New Roman" w:eastAsia="Times New Roman" w:hAnsi="Times New Roman" w:cs="Times New Roman"/>
          <w:sz w:val="26"/>
          <w:szCs w:val="26"/>
        </w:rPr>
        <w:t xml:space="preserve">, the Commission </w:t>
      </w:r>
      <w:r w:rsidR="00A57D68" w:rsidRPr="00A57D68">
        <w:rPr>
          <w:rFonts w:ascii="Times New Roman" w:eastAsia="Times New Roman" w:hAnsi="Times New Roman" w:cs="Times New Roman"/>
          <w:sz w:val="26"/>
          <w:szCs w:val="26"/>
        </w:rPr>
        <w:t>urge</w:t>
      </w:r>
      <w:r w:rsidR="00A57D68">
        <w:rPr>
          <w:rFonts w:ascii="Times New Roman" w:eastAsia="Times New Roman" w:hAnsi="Times New Roman" w:cs="Times New Roman"/>
          <w:sz w:val="26"/>
          <w:szCs w:val="26"/>
        </w:rPr>
        <w:t>d “</w:t>
      </w:r>
      <w:r w:rsidR="00A57D68" w:rsidRPr="00A57D68">
        <w:rPr>
          <w:rFonts w:ascii="Times New Roman" w:eastAsia="Times New Roman" w:hAnsi="Times New Roman" w:cs="Times New Roman"/>
          <w:sz w:val="26"/>
          <w:szCs w:val="26"/>
        </w:rPr>
        <w:t>parties to be cooperative in the exchange of information and data relative to this formal proceeding.</w:t>
      </w:r>
      <w:r w:rsidR="00A57D68">
        <w:rPr>
          <w:rFonts w:ascii="Times New Roman" w:eastAsia="Times New Roman" w:hAnsi="Times New Roman" w:cs="Times New Roman"/>
          <w:sz w:val="26"/>
          <w:szCs w:val="26"/>
        </w:rPr>
        <w:t xml:space="preserve">”  </w:t>
      </w:r>
      <w:r w:rsidR="00CD502F">
        <w:rPr>
          <w:rFonts w:ascii="Times New Roman" w:eastAsia="Times New Roman" w:hAnsi="Times New Roman" w:cs="Times New Roman"/>
          <w:sz w:val="26"/>
          <w:szCs w:val="26"/>
        </w:rPr>
        <w:t xml:space="preserve">Tentative Order at 1.  </w:t>
      </w:r>
      <w:r w:rsidR="00A57D68">
        <w:rPr>
          <w:rFonts w:ascii="Times New Roman" w:eastAsia="Times New Roman" w:hAnsi="Times New Roman" w:cs="Times New Roman"/>
          <w:sz w:val="26"/>
          <w:szCs w:val="26"/>
        </w:rPr>
        <w:t xml:space="preserve">On March 2, 2017, CAUSE-PA sent a letter to PGW requesting information and data on various aspects of its universal service programs.  </w:t>
      </w:r>
      <w:r w:rsidR="004E296F">
        <w:rPr>
          <w:rFonts w:ascii="Times New Roman" w:eastAsia="Times New Roman" w:hAnsi="Times New Roman" w:cs="Times New Roman"/>
          <w:sz w:val="26"/>
          <w:szCs w:val="26"/>
        </w:rPr>
        <w:t>CAUSE-PA included a copy of th</w:t>
      </w:r>
      <w:r w:rsidR="00B24DAD">
        <w:rPr>
          <w:rFonts w:ascii="Times New Roman" w:eastAsia="Times New Roman" w:hAnsi="Times New Roman" w:cs="Times New Roman"/>
          <w:sz w:val="26"/>
          <w:szCs w:val="26"/>
        </w:rPr>
        <w:t xml:space="preserve">is letter </w:t>
      </w:r>
      <w:r w:rsidR="005258B4">
        <w:rPr>
          <w:rFonts w:ascii="Times New Roman" w:eastAsia="Times New Roman" w:hAnsi="Times New Roman" w:cs="Times New Roman"/>
          <w:sz w:val="26"/>
          <w:szCs w:val="26"/>
        </w:rPr>
        <w:t xml:space="preserve">with </w:t>
      </w:r>
      <w:r w:rsidR="00B24DAD">
        <w:rPr>
          <w:rFonts w:ascii="Times New Roman" w:eastAsia="Times New Roman" w:hAnsi="Times New Roman" w:cs="Times New Roman"/>
          <w:sz w:val="26"/>
          <w:szCs w:val="26"/>
        </w:rPr>
        <w:t xml:space="preserve">its </w:t>
      </w:r>
      <w:r w:rsidR="004E296F">
        <w:rPr>
          <w:rFonts w:ascii="Times New Roman" w:eastAsia="Times New Roman" w:hAnsi="Times New Roman" w:cs="Times New Roman"/>
          <w:sz w:val="26"/>
          <w:szCs w:val="26"/>
        </w:rPr>
        <w:t xml:space="preserve">comments submitted on March 7, 2017.  </w:t>
      </w:r>
      <w:r w:rsidR="00B24DAD">
        <w:rPr>
          <w:rFonts w:ascii="Times New Roman" w:eastAsia="Times New Roman" w:hAnsi="Times New Roman" w:cs="Times New Roman"/>
          <w:sz w:val="26"/>
          <w:szCs w:val="26"/>
        </w:rPr>
        <w:t>CAUSE-PA Comments at Attachment A.</w:t>
      </w:r>
      <w:r w:rsidR="00254F78">
        <w:rPr>
          <w:rFonts w:ascii="Times New Roman" w:eastAsia="Times New Roman" w:hAnsi="Times New Roman" w:cs="Times New Roman"/>
          <w:sz w:val="26"/>
          <w:szCs w:val="26"/>
        </w:rPr>
        <w:t xml:space="preserve">  On March 9, 2017, PGW filed a letter objecting to the CAUSE-PA discovery request on the grounds that (1) the requested information is beyond the scope of the issues raised in the Tentative Order; and (2) </w:t>
      </w:r>
      <w:r w:rsidR="00CD502F">
        <w:rPr>
          <w:rFonts w:ascii="Times New Roman" w:eastAsia="Times New Roman" w:hAnsi="Times New Roman" w:cs="Times New Roman"/>
          <w:sz w:val="26"/>
          <w:szCs w:val="26"/>
        </w:rPr>
        <w:t>the request is not consistent with the C</w:t>
      </w:r>
      <w:r w:rsidR="009554DC">
        <w:rPr>
          <w:rFonts w:ascii="Times New Roman" w:eastAsia="Times New Roman" w:hAnsi="Times New Roman" w:cs="Times New Roman"/>
          <w:sz w:val="26"/>
          <w:szCs w:val="26"/>
        </w:rPr>
        <w:t xml:space="preserve">ommission’s discovery rules in </w:t>
      </w:r>
      <w:r w:rsidR="00CD502F">
        <w:rPr>
          <w:rFonts w:ascii="Times New Roman" w:eastAsia="Times New Roman" w:hAnsi="Times New Roman" w:cs="Times New Roman"/>
          <w:sz w:val="26"/>
          <w:szCs w:val="26"/>
        </w:rPr>
        <w:t>a USECP proceeding.  PGW March</w:t>
      </w:r>
      <w:r w:rsidR="005258B4">
        <w:rPr>
          <w:rFonts w:ascii="Times New Roman" w:eastAsia="Times New Roman" w:hAnsi="Times New Roman" w:cs="Times New Roman"/>
          <w:sz w:val="26"/>
          <w:szCs w:val="26"/>
        </w:rPr>
        <w:t> </w:t>
      </w:r>
      <w:r w:rsidR="00CD502F">
        <w:rPr>
          <w:rFonts w:ascii="Times New Roman" w:eastAsia="Times New Roman" w:hAnsi="Times New Roman" w:cs="Times New Roman"/>
          <w:sz w:val="26"/>
          <w:szCs w:val="26"/>
        </w:rPr>
        <w:t xml:space="preserve">9 Letter at 1-2.  </w:t>
      </w:r>
      <w:r w:rsidR="00CD502F" w:rsidRPr="00CD502F">
        <w:rPr>
          <w:rFonts w:ascii="Times New Roman" w:eastAsia="Times New Roman" w:hAnsi="Times New Roman" w:cs="Times New Roman"/>
          <w:sz w:val="26"/>
          <w:szCs w:val="26"/>
        </w:rPr>
        <w:t>On March 20, 2017, CAUSE-PA filed a letter asserting that the requested information is relevant to the review of PGW’s proposed 2017-2020 USECP.</w:t>
      </w:r>
    </w:p>
    <w:p w:rsidR="00A605E3" w:rsidRDefault="00A605E3" w:rsidP="00231829">
      <w:pPr>
        <w:tabs>
          <w:tab w:val="left" w:pos="720"/>
        </w:tabs>
        <w:spacing w:after="360" w:line="360" w:lineRule="auto"/>
        <w:contextualSpacing/>
        <w:rPr>
          <w:rFonts w:ascii="Times New Roman" w:eastAsia="Times New Roman" w:hAnsi="Times New Roman" w:cs="Times New Roman"/>
          <w:sz w:val="26"/>
          <w:szCs w:val="26"/>
        </w:rPr>
      </w:pPr>
    </w:p>
    <w:p w:rsidR="00CD502F" w:rsidRDefault="00C86FF7" w:rsidP="00231829">
      <w:pPr>
        <w:tabs>
          <w:tab w:val="left" w:pos="720"/>
        </w:tabs>
        <w:spacing w:after="36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ab/>
        <w:t>Following a</w:t>
      </w:r>
      <w:r w:rsidR="000D1DA9">
        <w:rPr>
          <w:rFonts w:ascii="Times New Roman" w:eastAsia="Times New Roman" w:hAnsi="Times New Roman" w:cs="Times New Roman"/>
          <w:sz w:val="26"/>
          <w:szCs w:val="26"/>
        </w:rPr>
        <w:t xml:space="preserve"> review of PGW’s supplemental information, </w:t>
      </w:r>
      <w:r>
        <w:rPr>
          <w:rFonts w:ascii="Times New Roman" w:eastAsia="Times New Roman" w:hAnsi="Times New Roman" w:cs="Times New Roman"/>
          <w:sz w:val="26"/>
          <w:szCs w:val="26"/>
        </w:rPr>
        <w:t xml:space="preserve">the </w:t>
      </w:r>
      <w:r w:rsidR="00CD502F" w:rsidRPr="00CD502F">
        <w:rPr>
          <w:rFonts w:ascii="Times New Roman" w:eastAsia="Times New Roman" w:hAnsi="Times New Roman" w:cs="Times New Roman"/>
          <w:sz w:val="26"/>
          <w:szCs w:val="26"/>
        </w:rPr>
        <w:t>comments and reply comments from PGW and other stakeholders, a</w:t>
      </w:r>
      <w:r>
        <w:rPr>
          <w:rFonts w:ascii="Times New Roman" w:eastAsia="Times New Roman" w:hAnsi="Times New Roman" w:cs="Times New Roman"/>
          <w:sz w:val="26"/>
          <w:szCs w:val="26"/>
        </w:rPr>
        <w:t xml:space="preserve">nd </w:t>
      </w:r>
      <w:r w:rsidR="000D1DA9">
        <w:rPr>
          <w:rFonts w:ascii="Times New Roman" w:eastAsia="Times New Roman" w:hAnsi="Times New Roman" w:cs="Times New Roman"/>
          <w:sz w:val="26"/>
          <w:szCs w:val="26"/>
        </w:rPr>
        <w:t xml:space="preserve">the </w:t>
      </w:r>
      <w:r w:rsidR="00CD502F" w:rsidRPr="00CD502F">
        <w:rPr>
          <w:rFonts w:ascii="Times New Roman" w:eastAsia="Times New Roman" w:hAnsi="Times New Roman" w:cs="Times New Roman"/>
          <w:sz w:val="26"/>
          <w:szCs w:val="26"/>
        </w:rPr>
        <w:t xml:space="preserve">information </w:t>
      </w:r>
      <w:r>
        <w:rPr>
          <w:rFonts w:ascii="Times New Roman" w:eastAsia="Times New Roman" w:hAnsi="Times New Roman" w:cs="Times New Roman"/>
          <w:sz w:val="26"/>
          <w:szCs w:val="26"/>
        </w:rPr>
        <w:t xml:space="preserve">requested by CAUSE-PA, </w:t>
      </w:r>
      <w:r w:rsidR="00CD502F" w:rsidRPr="00CD502F">
        <w:rPr>
          <w:rFonts w:ascii="Times New Roman" w:eastAsia="Times New Roman" w:hAnsi="Times New Roman" w:cs="Times New Roman"/>
          <w:sz w:val="26"/>
          <w:szCs w:val="26"/>
        </w:rPr>
        <w:t>PG</w:t>
      </w:r>
      <w:r w:rsidR="000D1DA9">
        <w:rPr>
          <w:rFonts w:ascii="Times New Roman" w:eastAsia="Times New Roman" w:hAnsi="Times New Roman" w:cs="Times New Roman"/>
          <w:sz w:val="26"/>
          <w:szCs w:val="26"/>
        </w:rPr>
        <w:t xml:space="preserve">W </w:t>
      </w:r>
      <w:r>
        <w:rPr>
          <w:rFonts w:ascii="Times New Roman" w:eastAsia="Times New Roman" w:hAnsi="Times New Roman" w:cs="Times New Roman"/>
          <w:sz w:val="26"/>
          <w:szCs w:val="26"/>
        </w:rPr>
        <w:t>was directed</w:t>
      </w:r>
      <w:r w:rsidR="005258B4">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005258B4">
        <w:rPr>
          <w:rFonts w:ascii="Times New Roman" w:eastAsia="Times New Roman" w:hAnsi="Times New Roman" w:cs="Times New Roman"/>
          <w:sz w:val="26"/>
          <w:szCs w:val="26"/>
        </w:rPr>
        <w:t>by</w:t>
      </w:r>
      <w:r w:rsidR="000D1DA9">
        <w:rPr>
          <w:rFonts w:ascii="Times New Roman" w:eastAsia="Times New Roman" w:hAnsi="Times New Roman" w:cs="Times New Roman"/>
          <w:sz w:val="26"/>
          <w:szCs w:val="26"/>
        </w:rPr>
        <w:t xml:space="preserve"> Secretarial Letter dated April 11, 2017</w:t>
      </w:r>
      <w:r w:rsidR="005258B4">
        <w:rPr>
          <w:rFonts w:ascii="Times New Roman" w:eastAsia="Times New Roman" w:hAnsi="Times New Roman" w:cs="Times New Roman"/>
          <w:sz w:val="26"/>
          <w:szCs w:val="26"/>
        </w:rPr>
        <w:t xml:space="preserve">, </w:t>
      </w:r>
      <w:r w:rsidR="005258B4" w:rsidRPr="005258B4">
        <w:rPr>
          <w:rFonts w:ascii="Times New Roman" w:eastAsia="Times New Roman" w:hAnsi="Times New Roman" w:cs="Times New Roman"/>
          <w:sz w:val="26"/>
          <w:szCs w:val="26"/>
        </w:rPr>
        <w:t>to provide additional information</w:t>
      </w:r>
      <w:r w:rsidR="000D1DA9">
        <w:rPr>
          <w:rFonts w:ascii="Times New Roman" w:eastAsia="Times New Roman" w:hAnsi="Times New Roman" w:cs="Times New Roman"/>
          <w:sz w:val="26"/>
          <w:szCs w:val="26"/>
        </w:rPr>
        <w:t xml:space="preserve">.  PGW filed a response on April 21, 2017.  CAUSE-PA and TURN </w:t>
      </w:r>
      <w:r w:rsidR="000D1DA9" w:rsidRPr="009B5772">
        <w:rPr>
          <w:rFonts w:ascii="Times New Roman" w:eastAsia="Times New Roman" w:hAnsi="Times New Roman" w:cs="Times New Roman"/>
          <w:i/>
          <w:sz w:val="26"/>
          <w:szCs w:val="26"/>
        </w:rPr>
        <w:t>et al.</w:t>
      </w:r>
      <w:r w:rsidR="000D1DA9">
        <w:rPr>
          <w:rFonts w:ascii="Times New Roman" w:eastAsia="Times New Roman" w:hAnsi="Times New Roman" w:cs="Times New Roman"/>
          <w:sz w:val="26"/>
          <w:szCs w:val="26"/>
        </w:rPr>
        <w:t xml:space="preserve"> separately f</w:t>
      </w:r>
      <w:r w:rsidR="00446930">
        <w:rPr>
          <w:rFonts w:ascii="Times New Roman" w:eastAsia="Times New Roman" w:hAnsi="Times New Roman" w:cs="Times New Roman"/>
          <w:sz w:val="26"/>
          <w:szCs w:val="26"/>
        </w:rPr>
        <w:t xml:space="preserve">iled </w:t>
      </w:r>
      <w:r w:rsidR="00CC68AB">
        <w:rPr>
          <w:rFonts w:ascii="Times New Roman" w:eastAsia="Times New Roman" w:hAnsi="Times New Roman" w:cs="Times New Roman"/>
          <w:sz w:val="26"/>
          <w:szCs w:val="26"/>
        </w:rPr>
        <w:t xml:space="preserve">supplemental </w:t>
      </w:r>
      <w:r w:rsidR="00446930">
        <w:rPr>
          <w:rFonts w:ascii="Times New Roman" w:eastAsia="Times New Roman" w:hAnsi="Times New Roman" w:cs="Times New Roman"/>
          <w:sz w:val="26"/>
          <w:szCs w:val="26"/>
        </w:rPr>
        <w:t xml:space="preserve">comments </w:t>
      </w:r>
      <w:r w:rsidR="000D1DA9">
        <w:rPr>
          <w:rFonts w:ascii="Times New Roman" w:eastAsia="Times New Roman" w:hAnsi="Times New Roman" w:cs="Times New Roman"/>
          <w:sz w:val="26"/>
          <w:szCs w:val="26"/>
        </w:rPr>
        <w:t xml:space="preserve">on </w:t>
      </w:r>
      <w:r>
        <w:rPr>
          <w:rFonts w:ascii="Times New Roman" w:eastAsia="Times New Roman" w:hAnsi="Times New Roman" w:cs="Times New Roman"/>
          <w:sz w:val="26"/>
          <w:szCs w:val="26"/>
        </w:rPr>
        <w:t>April</w:t>
      </w:r>
      <w:r w:rsidR="005258B4">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28, 2017.  </w:t>
      </w:r>
      <w:r w:rsidR="00446930">
        <w:rPr>
          <w:rFonts w:ascii="Times New Roman" w:eastAsia="Times New Roman" w:hAnsi="Times New Roman" w:cs="Times New Roman"/>
          <w:sz w:val="26"/>
          <w:szCs w:val="26"/>
        </w:rPr>
        <w:t xml:space="preserve">OCA and PGW filed </w:t>
      </w:r>
      <w:r w:rsidR="00CC68AB">
        <w:rPr>
          <w:rFonts w:ascii="Times New Roman" w:eastAsia="Times New Roman" w:hAnsi="Times New Roman" w:cs="Times New Roman"/>
          <w:sz w:val="26"/>
          <w:szCs w:val="26"/>
        </w:rPr>
        <w:t xml:space="preserve">supplemental </w:t>
      </w:r>
      <w:r w:rsidR="00446930">
        <w:rPr>
          <w:rFonts w:ascii="Times New Roman" w:eastAsia="Times New Roman" w:hAnsi="Times New Roman" w:cs="Times New Roman"/>
          <w:sz w:val="26"/>
          <w:szCs w:val="26"/>
        </w:rPr>
        <w:t xml:space="preserve">reply comments on May 5, 2017. </w:t>
      </w:r>
      <w:r w:rsidR="005258B4">
        <w:rPr>
          <w:rFonts w:ascii="Times New Roman" w:eastAsia="Times New Roman" w:hAnsi="Times New Roman" w:cs="Times New Roman"/>
          <w:sz w:val="26"/>
          <w:szCs w:val="26"/>
        </w:rPr>
        <w:t xml:space="preserve"> </w:t>
      </w:r>
    </w:p>
    <w:p w:rsidR="00CD502F" w:rsidRDefault="00CD502F" w:rsidP="00231829">
      <w:pPr>
        <w:tabs>
          <w:tab w:val="left" w:pos="720"/>
        </w:tabs>
        <w:spacing w:after="360" w:line="360" w:lineRule="auto"/>
        <w:contextualSpacing/>
        <w:rPr>
          <w:rFonts w:ascii="Times New Roman" w:eastAsia="Times New Roman" w:hAnsi="Times New Roman" w:cs="Times New Roman"/>
          <w:sz w:val="26"/>
          <w:szCs w:val="26"/>
        </w:rPr>
      </w:pPr>
    </w:p>
    <w:p w:rsidR="00C412B7" w:rsidRDefault="009554DC" w:rsidP="009554DC">
      <w:pPr>
        <w:tabs>
          <w:tab w:val="left" w:pos="720"/>
        </w:tabs>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F16482" w:rsidRPr="00C47F76">
        <w:rPr>
          <w:rFonts w:ascii="Times New Roman" w:eastAsia="Times New Roman" w:hAnsi="Times New Roman" w:cs="Times New Roman"/>
          <w:sz w:val="26"/>
          <w:szCs w:val="26"/>
        </w:rPr>
        <w:t>The four ma</w:t>
      </w:r>
      <w:r w:rsidR="00F16482">
        <w:rPr>
          <w:rFonts w:ascii="Times New Roman" w:eastAsia="Times New Roman" w:hAnsi="Times New Roman" w:cs="Times New Roman"/>
          <w:sz w:val="26"/>
          <w:szCs w:val="26"/>
        </w:rPr>
        <w:t>jor components</w:t>
      </w:r>
      <w:r w:rsidR="007306BC" w:rsidRPr="00C47F76">
        <w:rPr>
          <w:rFonts w:ascii="Times New Roman" w:eastAsia="Times New Roman" w:hAnsi="Times New Roman" w:cs="Times New Roman"/>
          <w:sz w:val="26"/>
          <w:szCs w:val="26"/>
          <w:vertAlign w:val="superscript"/>
        </w:rPr>
        <w:footnoteReference w:id="5"/>
      </w:r>
      <w:r w:rsidR="00F16482">
        <w:rPr>
          <w:rFonts w:ascii="Times New Roman" w:eastAsia="Times New Roman" w:hAnsi="Times New Roman" w:cs="Times New Roman"/>
          <w:sz w:val="26"/>
          <w:szCs w:val="26"/>
        </w:rPr>
        <w:t xml:space="preserve"> in PGW’s</w:t>
      </w:r>
      <w:r w:rsidR="00F16482" w:rsidRPr="00C47F76">
        <w:rPr>
          <w:rFonts w:ascii="Times New Roman" w:eastAsia="Times New Roman" w:hAnsi="Times New Roman" w:cs="Times New Roman"/>
          <w:sz w:val="26"/>
          <w:szCs w:val="26"/>
        </w:rPr>
        <w:t xml:space="preserve"> </w:t>
      </w:r>
      <w:r w:rsidR="00F16482">
        <w:rPr>
          <w:rFonts w:ascii="Times New Roman" w:eastAsia="Times New Roman" w:hAnsi="Times New Roman" w:cs="Times New Roman"/>
          <w:sz w:val="26"/>
          <w:szCs w:val="26"/>
        </w:rPr>
        <w:t xml:space="preserve">Amended Proposed 2017-2020 </w:t>
      </w:r>
      <w:r w:rsidR="00F16482" w:rsidRPr="00C47F76">
        <w:rPr>
          <w:rFonts w:ascii="Times New Roman" w:eastAsia="Times New Roman" w:hAnsi="Times New Roman" w:cs="Times New Roman"/>
          <w:sz w:val="26"/>
          <w:szCs w:val="26"/>
        </w:rPr>
        <w:t xml:space="preserve">Plan </w:t>
      </w:r>
      <w:r w:rsidR="00F16482">
        <w:rPr>
          <w:rFonts w:ascii="Times New Roman" w:eastAsia="Times New Roman" w:hAnsi="Times New Roman" w:cs="Times New Roman"/>
          <w:sz w:val="26"/>
          <w:szCs w:val="26"/>
        </w:rPr>
        <w:t xml:space="preserve">are: </w:t>
      </w:r>
      <w:r w:rsidR="00F16482" w:rsidRPr="00C47F76">
        <w:rPr>
          <w:rFonts w:ascii="Times New Roman" w:eastAsia="Times New Roman" w:hAnsi="Times New Roman" w:cs="Times New Roman"/>
          <w:sz w:val="26"/>
          <w:szCs w:val="26"/>
        </w:rPr>
        <w:t xml:space="preserve">(1) </w:t>
      </w:r>
      <w:r w:rsidR="0029786A">
        <w:rPr>
          <w:rFonts w:ascii="Times New Roman" w:eastAsia="Times New Roman" w:hAnsi="Times New Roman" w:cs="Times New Roman"/>
          <w:sz w:val="26"/>
          <w:szCs w:val="26"/>
        </w:rPr>
        <w:t>the CRP</w:t>
      </w:r>
      <w:r w:rsidR="00F16482">
        <w:rPr>
          <w:rFonts w:ascii="Times New Roman" w:eastAsia="Times New Roman" w:hAnsi="Times New Roman" w:cs="Times New Roman"/>
          <w:sz w:val="26"/>
          <w:szCs w:val="26"/>
        </w:rPr>
        <w:t>, (</w:t>
      </w:r>
      <w:r w:rsidR="00F16482" w:rsidRPr="00D10FFB">
        <w:rPr>
          <w:rFonts w:ascii="Times New Roman" w:eastAsia="Times New Roman" w:hAnsi="Times New Roman" w:cs="Times New Roman"/>
          <w:i/>
          <w:sz w:val="26"/>
          <w:szCs w:val="26"/>
        </w:rPr>
        <w:t>i.e.</w:t>
      </w:r>
      <w:r w:rsidR="00F16482">
        <w:rPr>
          <w:rFonts w:ascii="Times New Roman" w:eastAsia="Times New Roman" w:hAnsi="Times New Roman" w:cs="Times New Roman"/>
          <w:sz w:val="26"/>
          <w:szCs w:val="26"/>
        </w:rPr>
        <w:t xml:space="preserve">, PGW’s CAP), </w:t>
      </w:r>
      <w:r w:rsidR="00F16482" w:rsidRPr="00C47F76">
        <w:rPr>
          <w:rFonts w:ascii="Times New Roman" w:eastAsia="Times New Roman" w:hAnsi="Times New Roman" w:cs="Times New Roman"/>
          <w:sz w:val="26"/>
          <w:szCs w:val="26"/>
        </w:rPr>
        <w:t>which provides discount</w:t>
      </w:r>
      <w:r w:rsidR="00F16482">
        <w:rPr>
          <w:rFonts w:ascii="Times New Roman" w:eastAsia="Times New Roman" w:hAnsi="Times New Roman" w:cs="Times New Roman"/>
          <w:sz w:val="26"/>
          <w:szCs w:val="26"/>
        </w:rPr>
        <w:t xml:space="preserve">s from tariff </w:t>
      </w:r>
      <w:r w:rsidR="00F16482" w:rsidRPr="00C47F76">
        <w:rPr>
          <w:rFonts w:ascii="Times New Roman" w:eastAsia="Times New Roman" w:hAnsi="Times New Roman" w:cs="Times New Roman"/>
          <w:sz w:val="26"/>
          <w:szCs w:val="26"/>
        </w:rPr>
        <w:t xml:space="preserve">rates </w:t>
      </w:r>
      <w:r w:rsidR="00F16482">
        <w:rPr>
          <w:rFonts w:ascii="Times New Roman" w:eastAsia="Times New Roman" w:hAnsi="Times New Roman" w:cs="Times New Roman"/>
          <w:sz w:val="26"/>
          <w:szCs w:val="26"/>
        </w:rPr>
        <w:t xml:space="preserve">and arrearage forgiveness </w:t>
      </w:r>
      <w:r w:rsidR="00F16482" w:rsidRPr="00C47F76">
        <w:rPr>
          <w:rFonts w:ascii="Times New Roman" w:eastAsia="Times New Roman" w:hAnsi="Times New Roman" w:cs="Times New Roman"/>
          <w:sz w:val="26"/>
          <w:szCs w:val="26"/>
        </w:rPr>
        <w:t>for low-income re</w:t>
      </w:r>
      <w:r w:rsidR="00F16482">
        <w:rPr>
          <w:rFonts w:ascii="Times New Roman" w:eastAsia="Times New Roman" w:hAnsi="Times New Roman" w:cs="Times New Roman"/>
          <w:sz w:val="26"/>
          <w:szCs w:val="26"/>
        </w:rPr>
        <w:t>sidential customers; (2) CRP Home Comfort, (</w:t>
      </w:r>
      <w:r w:rsidR="00F16482" w:rsidRPr="00D10FFB">
        <w:rPr>
          <w:rFonts w:ascii="Times New Roman" w:eastAsia="Times New Roman" w:hAnsi="Times New Roman" w:cs="Times New Roman"/>
          <w:i/>
          <w:sz w:val="26"/>
          <w:szCs w:val="26"/>
        </w:rPr>
        <w:t>i.e.</w:t>
      </w:r>
      <w:r w:rsidR="00F16482">
        <w:rPr>
          <w:rFonts w:ascii="Times New Roman" w:eastAsia="Times New Roman" w:hAnsi="Times New Roman" w:cs="Times New Roman"/>
          <w:sz w:val="26"/>
          <w:szCs w:val="26"/>
        </w:rPr>
        <w:t xml:space="preserve">, PGW’s LIURP), which </w:t>
      </w:r>
      <w:r w:rsidR="00F16482" w:rsidRPr="00C47F76">
        <w:rPr>
          <w:rFonts w:ascii="Times New Roman" w:eastAsia="Times New Roman" w:hAnsi="Times New Roman" w:cs="Times New Roman"/>
          <w:sz w:val="26"/>
          <w:szCs w:val="26"/>
        </w:rPr>
        <w:t xml:space="preserve">provides weatherization and usage reduction services to help CRP customers reduce their utility bills; (3) </w:t>
      </w:r>
      <w:r w:rsidR="00F16482" w:rsidRPr="005F4CC0">
        <w:rPr>
          <w:rFonts w:ascii="Times New Roman" w:eastAsia="Times New Roman" w:hAnsi="Times New Roman" w:cs="Times New Roman"/>
          <w:color w:val="0D0D0D" w:themeColor="text1" w:themeTint="F2"/>
          <w:sz w:val="26"/>
          <w:szCs w:val="26"/>
        </w:rPr>
        <w:t>the Customer Assistance and Referral Evaluation Services (CARES) Program</w:t>
      </w:r>
      <w:r w:rsidR="00F16482" w:rsidRPr="00C47F76">
        <w:rPr>
          <w:rFonts w:ascii="Times New Roman" w:eastAsia="Times New Roman" w:hAnsi="Times New Roman" w:cs="Times New Roman"/>
          <w:sz w:val="26"/>
          <w:szCs w:val="26"/>
        </w:rPr>
        <w:t xml:space="preserve">, which provides referral services for low-income, special needs customers; and (4) a Hardship Fund, which provides grants to customers who have had their utility service terminated or are in danger of termination.  </w:t>
      </w:r>
      <w:r w:rsidR="00C412B7" w:rsidRPr="005F4CC0">
        <w:rPr>
          <w:rFonts w:ascii="Times New Roman" w:eastAsia="Times New Roman" w:hAnsi="Times New Roman" w:cs="Times New Roman"/>
          <w:color w:val="0D0D0D" w:themeColor="text1" w:themeTint="F2"/>
          <w:sz w:val="26"/>
          <w:szCs w:val="26"/>
        </w:rPr>
        <w:t>We shall discuss each program in greater detail below.</w:t>
      </w:r>
      <w:r w:rsidR="00C412B7" w:rsidRPr="00C47F76">
        <w:rPr>
          <w:rFonts w:ascii="Times New Roman" w:eastAsia="Times New Roman" w:hAnsi="Times New Roman" w:cs="Times New Roman"/>
          <w:sz w:val="26"/>
          <w:szCs w:val="26"/>
        </w:rPr>
        <w:t xml:space="preserve">  </w:t>
      </w:r>
    </w:p>
    <w:p w:rsidR="00C412B7" w:rsidRPr="00C47F76" w:rsidRDefault="00C412B7" w:rsidP="00231829">
      <w:pPr>
        <w:tabs>
          <w:tab w:val="left" w:pos="720"/>
        </w:tabs>
        <w:spacing w:after="360" w:line="360" w:lineRule="auto"/>
        <w:contextualSpacing/>
        <w:rPr>
          <w:rFonts w:ascii="Times New Roman" w:eastAsia="Times New Roman" w:hAnsi="Times New Roman" w:cs="Times New Roman"/>
          <w:sz w:val="26"/>
          <w:szCs w:val="26"/>
        </w:rPr>
      </w:pPr>
    </w:p>
    <w:p w:rsidR="00561AE1" w:rsidRPr="00C412B7" w:rsidRDefault="00C47F76" w:rsidP="00BB6CFB">
      <w:pPr>
        <w:keepNext/>
        <w:numPr>
          <w:ilvl w:val="0"/>
          <w:numId w:val="30"/>
        </w:numPr>
        <w:spacing w:after="0" w:line="360" w:lineRule="auto"/>
        <w:contextualSpacing/>
        <w:outlineLvl w:val="1"/>
        <w:rPr>
          <w:rFonts w:ascii="Times New Roman" w:eastAsia="Times New Roman" w:hAnsi="Times New Roman" w:cs="Times New Roman"/>
          <w:b/>
          <w:sz w:val="26"/>
          <w:szCs w:val="26"/>
        </w:rPr>
      </w:pPr>
      <w:r w:rsidRPr="00C47F76">
        <w:rPr>
          <w:rFonts w:ascii="Times New Roman" w:eastAsia="Times New Roman" w:hAnsi="Times New Roman" w:cs="Times New Roman"/>
          <w:b/>
          <w:sz w:val="26"/>
          <w:szCs w:val="26"/>
        </w:rPr>
        <w:t>DISCUSSION</w:t>
      </w:r>
    </w:p>
    <w:p w:rsidR="00C47F76" w:rsidRPr="00C47F76" w:rsidRDefault="00561AE1" w:rsidP="00BB6CFB">
      <w:pPr>
        <w:keepNext/>
        <w:tabs>
          <w:tab w:val="left" w:pos="990"/>
        </w:tabs>
        <w:spacing w:after="360" w:line="360" w:lineRule="auto"/>
        <w:contextualSpacing/>
        <w:rPr>
          <w:rFonts w:ascii="Times New Roman" w:eastAsia="Times New Roman" w:hAnsi="Times New Roman" w:cs="Times New Roman"/>
          <w:sz w:val="26"/>
          <w:szCs w:val="26"/>
        </w:rPr>
      </w:pPr>
      <w:r w:rsidRPr="00C47F76">
        <w:rPr>
          <w:rFonts w:ascii="Times New Roman" w:eastAsia="Times New Roman" w:hAnsi="Times New Roman" w:cs="Times New Roman"/>
          <w:color w:val="0D0D0D" w:themeColor="text1" w:themeTint="F2"/>
          <w:sz w:val="26"/>
          <w:szCs w:val="26"/>
        </w:rPr>
        <w:tab/>
      </w:r>
    </w:p>
    <w:p w:rsidR="00C47F76" w:rsidRPr="00C47F76" w:rsidRDefault="00C412B7" w:rsidP="00231829">
      <w:pPr>
        <w:keepNext/>
        <w:numPr>
          <w:ilvl w:val="0"/>
          <w:numId w:val="21"/>
        </w:numPr>
        <w:spacing w:after="0" w:line="360" w:lineRule="auto"/>
        <w:contextualSpacing/>
        <w:rPr>
          <w:rFonts w:ascii="Times New Roman" w:eastAsia="Times New Roman" w:hAnsi="Times New Roman" w:cs="Times New Roman"/>
          <w:sz w:val="26"/>
          <w:szCs w:val="26"/>
          <w:u w:val="single"/>
        </w:rPr>
      </w:pPr>
      <w:r>
        <w:rPr>
          <w:rFonts w:ascii="Times New Roman" w:eastAsia="Times New Roman" w:hAnsi="Times New Roman" w:cs="Times New Roman"/>
          <w:b/>
          <w:sz w:val="26"/>
          <w:szCs w:val="26"/>
          <w:u w:val="single"/>
        </w:rPr>
        <w:t>USECP Modifications for the 2017</w:t>
      </w:r>
      <w:r w:rsidR="007411EA">
        <w:rPr>
          <w:rFonts w:ascii="Times New Roman" w:eastAsia="Times New Roman" w:hAnsi="Times New Roman" w:cs="Times New Roman"/>
          <w:b/>
          <w:sz w:val="26"/>
          <w:szCs w:val="26"/>
          <w:u w:val="single"/>
        </w:rPr>
        <w:t>-2020</w:t>
      </w:r>
      <w:r w:rsidR="00C47F76" w:rsidRPr="00C47F76">
        <w:rPr>
          <w:rFonts w:ascii="Times New Roman" w:eastAsia="Times New Roman" w:hAnsi="Times New Roman" w:cs="Times New Roman"/>
          <w:b/>
          <w:sz w:val="26"/>
          <w:szCs w:val="26"/>
          <w:u w:val="single"/>
        </w:rPr>
        <w:t xml:space="preserve"> Plan </w:t>
      </w:r>
    </w:p>
    <w:p w:rsidR="00C47F76" w:rsidRPr="00C47F76" w:rsidRDefault="00C47F76" w:rsidP="00231829">
      <w:pPr>
        <w:keepNext/>
        <w:spacing w:after="0" w:line="360" w:lineRule="auto"/>
        <w:ind w:firstLine="720"/>
        <w:contextualSpacing/>
        <w:rPr>
          <w:rFonts w:ascii="Times New Roman" w:eastAsia="Times New Roman" w:hAnsi="Times New Roman" w:cs="Times New Roman"/>
          <w:sz w:val="26"/>
          <w:szCs w:val="26"/>
        </w:rPr>
      </w:pPr>
    </w:p>
    <w:p w:rsidR="0098702C" w:rsidRDefault="00BB2FD8" w:rsidP="00231829">
      <w:pPr>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With the exception of changes specifically addressed in this Order, the Commission approves the following proposed changes to PGW’s Universal Service program in its Proposed 2017-2020 Plan.</w:t>
      </w:r>
    </w:p>
    <w:p w:rsidR="0098702C" w:rsidRPr="00C47F76" w:rsidRDefault="0098702C" w:rsidP="0098702C">
      <w:pPr>
        <w:spacing w:after="0" w:line="360" w:lineRule="auto"/>
        <w:contextualSpacing/>
        <w:rPr>
          <w:rFonts w:ascii="Times New Roman" w:eastAsia="Times New Roman" w:hAnsi="Times New Roman" w:cs="Times New Roman"/>
          <w:color w:val="0D0D0D"/>
          <w:sz w:val="26"/>
          <w:szCs w:val="26"/>
        </w:rPr>
      </w:pPr>
    </w:p>
    <w:p w:rsidR="008B34AB" w:rsidRPr="008B34AB" w:rsidRDefault="00B11B40" w:rsidP="008B34AB">
      <w:pPr>
        <w:pStyle w:val="ListParagraph"/>
        <w:numPr>
          <w:ilvl w:val="0"/>
          <w:numId w:val="38"/>
        </w:numPr>
        <w:spacing w:line="360" w:lineRule="auto"/>
        <w:rPr>
          <w:color w:val="0D0D0D"/>
          <w:sz w:val="26"/>
          <w:szCs w:val="26"/>
        </w:rPr>
      </w:pPr>
      <w:r>
        <w:rPr>
          <w:color w:val="0D0D0D"/>
          <w:sz w:val="26"/>
          <w:szCs w:val="26"/>
        </w:rPr>
        <w:t xml:space="preserve">The </w:t>
      </w:r>
      <w:r w:rsidR="009E01B8">
        <w:rPr>
          <w:color w:val="0D0D0D"/>
          <w:sz w:val="26"/>
          <w:szCs w:val="26"/>
        </w:rPr>
        <w:t>CRP r</w:t>
      </w:r>
      <w:r w:rsidR="00212CD7">
        <w:rPr>
          <w:color w:val="0D0D0D"/>
          <w:sz w:val="26"/>
          <w:szCs w:val="26"/>
        </w:rPr>
        <w:t xml:space="preserve">ecertification period </w:t>
      </w:r>
      <w:r w:rsidR="0098702C" w:rsidRPr="00D3067C">
        <w:rPr>
          <w:color w:val="0D0D0D"/>
          <w:sz w:val="26"/>
          <w:szCs w:val="26"/>
        </w:rPr>
        <w:t>is extended from 30 days to 45 days.</w:t>
      </w:r>
      <w:r w:rsidR="00C362B0">
        <w:rPr>
          <w:color w:val="0D0D0D"/>
          <w:sz w:val="26"/>
          <w:szCs w:val="26"/>
        </w:rPr>
        <w:t xml:space="preserve">  PGW is also enhancing its employee training to include a focus on recertification </w:t>
      </w:r>
      <w:r w:rsidR="00083E3E">
        <w:rPr>
          <w:color w:val="0D0D0D"/>
          <w:sz w:val="26"/>
          <w:szCs w:val="26"/>
        </w:rPr>
        <w:t>to</w:t>
      </w:r>
      <w:r w:rsidR="00C362B0">
        <w:rPr>
          <w:color w:val="0D0D0D"/>
          <w:sz w:val="26"/>
          <w:szCs w:val="26"/>
        </w:rPr>
        <w:t xml:space="preserve"> decrease the number of CRP defaults.</w:t>
      </w:r>
    </w:p>
    <w:p w:rsidR="0098702C" w:rsidRDefault="0098702C" w:rsidP="0098702C">
      <w:pPr>
        <w:spacing w:after="0" w:line="360" w:lineRule="auto"/>
        <w:contextualSpacing/>
        <w:rPr>
          <w:rFonts w:ascii="Times New Roman" w:eastAsia="Times New Roman" w:hAnsi="Times New Roman" w:cs="Times New Roman"/>
          <w:color w:val="0D0D0D"/>
          <w:sz w:val="26"/>
          <w:szCs w:val="26"/>
        </w:rPr>
      </w:pPr>
    </w:p>
    <w:p w:rsidR="0098702C" w:rsidRPr="00D3067C" w:rsidRDefault="0098702C" w:rsidP="00D3067C">
      <w:pPr>
        <w:pStyle w:val="ListParagraph"/>
        <w:numPr>
          <w:ilvl w:val="0"/>
          <w:numId w:val="38"/>
        </w:numPr>
        <w:spacing w:line="360" w:lineRule="auto"/>
        <w:rPr>
          <w:color w:val="0D0D0D"/>
          <w:sz w:val="26"/>
          <w:szCs w:val="26"/>
        </w:rPr>
      </w:pPr>
      <w:r w:rsidRPr="00D3067C">
        <w:rPr>
          <w:color w:val="0D0D0D"/>
          <w:sz w:val="26"/>
          <w:szCs w:val="26"/>
        </w:rPr>
        <w:t xml:space="preserve">CRP customers who receive a </w:t>
      </w:r>
      <w:r w:rsidR="00C3122E">
        <w:rPr>
          <w:color w:val="0D0D0D"/>
          <w:sz w:val="26"/>
          <w:szCs w:val="26"/>
        </w:rPr>
        <w:t>Low-Income Home Energy Assistance Program (</w:t>
      </w:r>
      <w:r w:rsidRPr="00D3067C">
        <w:rPr>
          <w:color w:val="0D0D0D"/>
          <w:sz w:val="26"/>
          <w:szCs w:val="26"/>
        </w:rPr>
        <w:t>LIHEAP</w:t>
      </w:r>
      <w:r w:rsidR="00C3122E">
        <w:rPr>
          <w:color w:val="0D0D0D"/>
          <w:sz w:val="26"/>
          <w:szCs w:val="26"/>
        </w:rPr>
        <w:t>)</w:t>
      </w:r>
      <w:r w:rsidRPr="00D3067C">
        <w:rPr>
          <w:color w:val="0D0D0D"/>
          <w:sz w:val="26"/>
          <w:szCs w:val="26"/>
        </w:rPr>
        <w:t xml:space="preserve"> grant annuall</w:t>
      </w:r>
      <w:r w:rsidR="00650B90">
        <w:rPr>
          <w:color w:val="0D0D0D"/>
          <w:sz w:val="26"/>
          <w:szCs w:val="26"/>
        </w:rPr>
        <w:t xml:space="preserve">y and assign it to PGW are </w:t>
      </w:r>
      <w:r w:rsidRPr="00D3067C">
        <w:rPr>
          <w:color w:val="0D0D0D"/>
          <w:sz w:val="26"/>
          <w:szCs w:val="26"/>
        </w:rPr>
        <w:t xml:space="preserve">required to recertify </w:t>
      </w:r>
      <w:r w:rsidR="00B11B40">
        <w:rPr>
          <w:color w:val="0D0D0D"/>
          <w:sz w:val="26"/>
          <w:szCs w:val="26"/>
        </w:rPr>
        <w:t xml:space="preserve">only </w:t>
      </w:r>
      <w:r w:rsidRPr="00D3067C">
        <w:rPr>
          <w:color w:val="0D0D0D"/>
          <w:sz w:val="26"/>
          <w:szCs w:val="26"/>
        </w:rPr>
        <w:t xml:space="preserve">once every three years. </w:t>
      </w:r>
    </w:p>
    <w:p w:rsidR="0098702C" w:rsidRDefault="0098702C" w:rsidP="0098702C">
      <w:pPr>
        <w:spacing w:after="0" w:line="360" w:lineRule="auto"/>
        <w:contextualSpacing/>
        <w:rPr>
          <w:rFonts w:ascii="Times New Roman" w:eastAsia="Times New Roman" w:hAnsi="Times New Roman" w:cs="Times New Roman"/>
          <w:color w:val="0D0D0D"/>
          <w:sz w:val="26"/>
          <w:szCs w:val="26"/>
        </w:rPr>
      </w:pPr>
    </w:p>
    <w:p w:rsidR="00EC51C3" w:rsidRDefault="0098702C" w:rsidP="00EF0560">
      <w:pPr>
        <w:pStyle w:val="ListParagraph"/>
        <w:numPr>
          <w:ilvl w:val="0"/>
          <w:numId w:val="38"/>
        </w:numPr>
        <w:spacing w:line="360" w:lineRule="auto"/>
        <w:rPr>
          <w:sz w:val="26"/>
          <w:szCs w:val="26"/>
        </w:rPr>
      </w:pPr>
      <w:r w:rsidRPr="00D3067C">
        <w:rPr>
          <w:color w:val="0D0D0D"/>
          <w:sz w:val="26"/>
          <w:szCs w:val="26"/>
        </w:rPr>
        <w:t xml:space="preserve">CRP outreach to customers who </w:t>
      </w:r>
      <w:r w:rsidR="00C362B0">
        <w:rPr>
          <w:color w:val="0D0D0D"/>
          <w:sz w:val="26"/>
          <w:szCs w:val="26"/>
        </w:rPr>
        <w:t xml:space="preserve">receive a LIHEAP grant, are on a low-income payment agreement, or </w:t>
      </w:r>
      <w:r w:rsidRPr="00D3067C">
        <w:rPr>
          <w:color w:val="0D0D0D"/>
          <w:sz w:val="26"/>
          <w:szCs w:val="26"/>
        </w:rPr>
        <w:t>speak Spanish</w:t>
      </w:r>
      <w:r w:rsidR="00B11B40">
        <w:rPr>
          <w:color w:val="0D0D0D"/>
          <w:sz w:val="26"/>
          <w:szCs w:val="26"/>
        </w:rPr>
        <w:t xml:space="preserve"> will be enhanced</w:t>
      </w:r>
      <w:r w:rsidRPr="00D3067C">
        <w:rPr>
          <w:color w:val="0D0D0D"/>
          <w:sz w:val="26"/>
          <w:szCs w:val="26"/>
        </w:rPr>
        <w:t>.</w:t>
      </w:r>
      <w:r w:rsidR="00EC51C3" w:rsidRPr="00EC51C3">
        <w:rPr>
          <w:sz w:val="26"/>
          <w:szCs w:val="26"/>
        </w:rPr>
        <w:t xml:space="preserve"> </w:t>
      </w:r>
    </w:p>
    <w:p w:rsidR="0098702C" w:rsidRPr="00EC51C3" w:rsidRDefault="0098702C" w:rsidP="00EC51C3">
      <w:pPr>
        <w:spacing w:after="0" w:line="360" w:lineRule="auto"/>
        <w:contextualSpacing/>
        <w:rPr>
          <w:rFonts w:ascii="Times New Roman" w:eastAsia="Times New Roman" w:hAnsi="Times New Roman" w:cs="Times New Roman"/>
          <w:color w:val="0D0D0D"/>
          <w:sz w:val="26"/>
          <w:szCs w:val="26"/>
        </w:rPr>
      </w:pPr>
    </w:p>
    <w:p w:rsidR="00EC51C3" w:rsidRDefault="00EC51C3" w:rsidP="00EC51C3">
      <w:pPr>
        <w:pStyle w:val="ListParagraph"/>
        <w:numPr>
          <w:ilvl w:val="0"/>
          <w:numId w:val="38"/>
        </w:numPr>
        <w:spacing w:line="360" w:lineRule="auto"/>
        <w:rPr>
          <w:sz w:val="26"/>
          <w:szCs w:val="26"/>
        </w:rPr>
      </w:pPr>
      <w:r>
        <w:rPr>
          <w:sz w:val="26"/>
          <w:szCs w:val="26"/>
        </w:rPr>
        <w:t>The intake process will be modified to allow customers to apply for CRP online, beginning August 2017.</w:t>
      </w:r>
    </w:p>
    <w:p w:rsidR="00EF0560" w:rsidRDefault="00EF0560" w:rsidP="00EF0560">
      <w:pPr>
        <w:pStyle w:val="ListParagraph"/>
        <w:spacing w:line="360" w:lineRule="auto"/>
        <w:rPr>
          <w:sz w:val="26"/>
          <w:szCs w:val="26"/>
        </w:rPr>
      </w:pPr>
    </w:p>
    <w:p w:rsidR="00C47F76" w:rsidRDefault="00095F83" w:rsidP="00D3067C">
      <w:pPr>
        <w:pStyle w:val="ListParagraph"/>
        <w:numPr>
          <w:ilvl w:val="0"/>
          <w:numId w:val="38"/>
        </w:numPr>
        <w:spacing w:line="360" w:lineRule="auto"/>
        <w:rPr>
          <w:sz w:val="26"/>
          <w:szCs w:val="26"/>
        </w:rPr>
      </w:pPr>
      <w:r w:rsidRPr="00D3067C">
        <w:rPr>
          <w:sz w:val="26"/>
          <w:szCs w:val="26"/>
        </w:rPr>
        <w:t xml:space="preserve">CRP customers that use more than 2,125 CCF annually will receive energy education material and </w:t>
      </w:r>
      <w:r w:rsidR="007774B5">
        <w:rPr>
          <w:sz w:val="26"/>
          <w:szCs w:val="26"/>
        </w:rPr>
        <w:t xml:space="preserve">be </w:t>
      </w:r>
      <w:r w:rsidRPr="00D3067C">
        <w:rPr>
          <w:sz w:val="26"/>
          <w:szCs w:val="26"/>
        </w:rPr>
        <w:t>referred to the CRP Home Comfort Program</w:t>
      </w:r>
      <w:r w:rsidR="007774B5">
        <w:rPr>
          <w:sz w:val="26"/>
          <w:szCs w:val="26"/>
        </w:rPr>
        <w:t xml:space="preserve"> if appropriate</w:t>
      </w:r>
      <w:r w:rsidRPr="00D3067C">
        <w:rPr>
          <w:sz w:val="26"/>
          <w:szCs w:val="26"/>
        </w:rPr>
        <w:t>.</w:t>
      </w:r>
    </w:p>
    <w:p w:rsidR="007774B5" w:rsidRDefault="007774B5" w:rsidP="007774B5">
      <w:pPr>
        <w:pStyle w:val="ListParagraph"/>
        <w:spacing w:line="360" w:lineRule="auto"/>
        <w:rPr>
          <w:sz w:val="26"/>
          <w:szCs w:val="26"/>
        </w:rPr>
      </w:pPr>
    </w:p>
    <w:p w:rsidR="009E01B8" w:rsidRDefault="00B11B40" w:rsidP="00D3067C">
      <w:pPr>
        <w:pStyle w:val="ListParagraph"/>
        <w:numPr>
          <w:ilvl w:val="0"/>
          <w:numId w:val="38"/>
        </w:numPr>
        <w:spacing w:line="360" w:lineRule="auto"/>
        <w:rPr>
          <w:sz w:val="26"/>
          <w:szCs w:val="26"/>
        </w:rPr>
      </w:pPr>
      <w:r>
        <w:rPr>
          <w:sz w:val="26"/>
          <w:szCs w:val="26"/>
        </w:rPr>
        <w:t>T</w:t>
      </w:r>
      <w:r w:rsidR="002E6F5E">
        <w:rPr>
          <w:sz w:val="26"/>
          <w:szCs w:val="26"/>
        </w:rPr>
        <w:t xml:space="preserve">he CRP Home Comfort health and safety allowance </w:t>
      </w:r>
      <w:r>
        <w:rPr>
          <w:sz w:val="26"/>
          <w:szCs w:val="26"/>
        </w:rPr>
        <w:t xml:space="preserve">will be increased </w:t>
      </w:r>
      <w:r w:rsidR="002E6F5E">
        <w:rPr>
          <w:sz w:val="26"/>
          <w:szCs w:val="26"/>
        </w:rPr>
        <w:t>to</w:t>
      </w:r>
      <w:r w:rsidR="00321F7F">
        <w:rPr>
          <w:sz w:val="26"/>
          <w:szCs w:val="26"/>
        </w:rPr>
        <w:t xml:space="preserve"> $2,000 as a temporary pilot</w:t>
      </w:r>
      <w:r w:rsidR="002E6F5E">
        <w:rPr>
          <w:sz w:val="26"/>
          <w:szCs w:val="26"/>
        </w:rPr>
        <w:t>.</w:t>
      </w:r>
    </w:p>
    <w:p w:rsidR="002E6F5E" w:rsidRDefault="002E6F5E" w:rsidP="002E6F5E">
      <w:pPr>
        <w:pStyle w:val="ListParagraph"/>
        <w:spacing w:line="360" w:lineRule="auto"/>
        <w:rPr>
          <w:sz w:val="26"/>
          <w:szCs w:val="26"/>
        </w:rPr>
      </w:pPr>
    </w:p>
    <w:p w:rsidR="002E6F5E" w:rsidRPr="00D3067C" w:rsidRDefault="002E6F5E" w:rsidP="002E6F5E">
      <w:pPr>
        <w:pStyle w:val="ListParagraph"/>
        <w:numPr>
          <w:ilvl w:val="0"/>
          <w:numId w:val="38"/>
        </w:numPr>
        <w:spacing w:line="360" w:lineRule="auto"/>
        <w:rPr>
          <w:sz w:val="26"/>
          <w:szCs w:val="26"/>
        </w:rPr>
      </w:pPr>
      <w:r>
        <w:rPr>
          <w:sz w:val="26"/>
          <w:szCs w:val="26"/>
        </w:rPr>
        <w:t>LIME</w:t>
      </w:r>
      <w:r w:rsidR="00AB470D">
        <w:rPr>
          <w:sz w:val="26"/>
          <w:szCs w:val="26"/>
        </w:rPr>
        <w:t xml:space="preserve"> </w:t>
      </w:r>
      <w:r w:rsidR="00B11B40">
        <w:rPr>
          <w:sz w:val="26"/>
          <w:szCs w:val="26"/>
        </w:rPr>
        <w:t xml:space="preserve">will be implemented </w:t>
      </w:r>
      <w:r w:rsidR="00AB470D">
        <w:rPr>
          <w:sz w:val="26"/>
          <w:szCs w:val="26"/>
        </w:rPr>
        <w:t xml:space="preserve">as a pilot for the </w:t>
      </w:r>
      <w:r>
        <w:rPr>
          <w:sz w:val="26"/>
          <w:szCs w:val="26"/>
        </w:rPr>
        <w:t>CRP</w:t>
      </w:r>
      <w:r w:rsidR="00321F7F">
        <w:rPr>
          <w:sz w:val="26"/>
          <w:szCs w:val="26"/>
        </w:rPr>
        <w:t xml:space="preserve"> Home Comfort program.</w:t>
      </w:r>
    </w:p>
    <w:p w:rsidR="00095F83" w:rsidRPr="00095F83" w:rsidRDefault="00095F83" w:rsidP="00231829">
      <w:pPr>
        <w:spacing w:after="0" w:line="360" w:lineRule="auto"/>
        <w:contextualSpacing/>
        <w:rPr>
          <w:rFonts w:ascii="Times New Roman" w:eastAsia="Times New Roman" w:hAnsi="Times New Roman" w:cs="Times New Roman"/>
          <w:sz w:val="26"/>
          <w:szCs w:val="26"/>
        </w:rPr>
      </w:pPr>
    </w:p>
    <w:p w:rsidR="00D3067C" w:rsidRPr="00D3067C" w:rsidRDefault="00C47F76" w:rsidP="00B11B40">
      <w:pPr>
        <w:keepNext/>
        <w:numPr>
          <w:ilvl w:val="0"/>
          <w:numId w:val="21"/>
        </w:numPr>
        <w:spacing w:after="0" w:line="360" w:lineRule="auto"/>
        <w:contextualSpacing/>
        <w:rPr>
          <w:rFonts w:ascii="Times New Roman" w:eastAsia="Times New Roman" w:hAnsi="Times New Roman" w:cs="Times New Roman"/>
          <w:sz w:val="26"/>
          <w:szCs w:val="26"/>
          <w:u w:val="single"/>
        </w:rPr>
      </w:pPr>
      <w:r w:rsidRPr="00C47F76">
        <w:rPr>
          <w:rFonts w:ascii="Times New Roman" w:eastAsia="Times New Roman" w:hAnsi="Times New Roman" w:cs="Times New Roman"/>
          <w:b/>
          <w:sz w:val="26"/>
          <w:szCs w:val="26"/>
          <w:u w:val="single"/>
        </w:rPr>
        <w:lastRenderedPageBreak/>
        <w:t>Program Descriptions</w:t>
      </w:r>
      <w:r w:rsidR="00D3067C">
        <w:rPr>
          <w:rFonts w:ascii="Times New Roman" w:eastAsia="Times New Roman" w:hAnsi="Times New Roman" w:cs="Times New Roman"/>
          <w:b/>
          <w:sz w:val="26"/>
          <w:szCs w:val="26"/>
          <w:u w:val="single"/>
        </w:rPr>
        <w:t xml:space="preserve"> as Proposed</w:t>
      </w:r>
      <w:r w:rsidR="00B11B40">
        <w:rPr>
          <w:rFonts w:ascii="Times New Roman" w:eastAsia="Times New Roman" w:hAnsi="Times New Roman" w:cs="Times New Roman"/>
          <w:b/>
          <w:sz w:val="26"/>
          <w:szCs w:val="26"/>
          <w:u w:val="single"/>
        </w:rPr>
        <w:t xml:space="preserve"> for 2017-2020</w:t>
      </w:r>
    </w:p>
    <w:p w:rsidR="00C47F76" w:rsidRPr="00C47F76" w:rsidRDefault="00C47F76" w:rsidP="00B11B40">
      <w:pPr>
        <w:keepNext/>
        <w:tabs>
          <w:tab w:val="left" w:pos="990"/>
        </w:tabs>
        <w:spacing w:after="360" w:line="360" w:lineRule="auto"/>
        <w:contextualSpacing/>
        <w:rPr>
          <w:rFonts w:ascii="Times New Roman" w:eastAsia="Times New Roman" w:hAnsi="Times New Roman" w:cs="Times New Roman"/>
          <w:sz w:val="26"/>
          <w:szCs w:val="26"/>
        </w:rPr>
      </w:pPr>
    </w:p>
    <w:p w:rsidR="00C47F76" w:rsidRPr="00C47F76" w:rsidRDefault="00C47F76" w:rsidP="00231829">
      <w:pPr>
        <w:keepNext/>
        <w:spacing w:after="0" w:line="360" w:lineRule="auto"/>
        <w:contextualSpacing/>
        <w:rPr>
          <w:rFonts w:ascii="Times New Roman" w:eastAsia="Times New Roman" w:hAnsi="Times New Roman" w:cs="Times New Roman"/>
          <w:sz w:val="26"/>
          <w:szCs w:val="26"/>
          <w:u w:val="single"/>
        </w:rPr>
      </w:pPr>
      <w:r w:rsidRPr="00C47F76">
        <w:rPr>
          <w:rFonts w:ascii="Times New Roman" w:eastAsia="Times New Roman" w:hAnsi="Times New Roman" w:cs="Times New Roman"/>
          <w:sz w:val="26"/>
          <w:szCs w:val="26"/>
          <w:u w:val="single"/>
        </w:rPr>
        <w:t xml:space="preserve">1.  Customer </w:t>
      </w:r>
      <w:r w:rsidR="00D3067C">
        <w:rPr>
          <w:rFonts w:ascii="Times New Roman" w:eastAsia="Times New Roman" w:hAnsi="Times New Roman" w:cs="Times New Roman"/>
          <w:sz w:val="26"/>
          <w:szCs w:val="26"/>
          <w:u w:val="single"/>
        </w:rPr>
        <w:t>Responsibility Program (CRP)</w:t>
      </w:r>
      <w:r w:rsidR="0083364D">
        <w:rPr>
          <w:rFonts w:ascii="Times New Roman" w:eastAsia="Times New Roman" w:hAnsi="Times New Roman" w:cs="Times New Roman"/>
          <w:sz w:val="26"/>
          <w:szCs w:val="26"/>
          <w:u w:val="single"/>
        </w:rPr>
        <w:t xml:space="preserve"> (</w:t>
      </w:r>
      <w:r w:rsidR="0083364D" w:rsidRPr="0083364D">
        <w:rPr>
          <w:rFonts w:ascii="Times New Roman" w:eastAsia="Times New Roman" w:hAnsi="Times New Roman" w:cs="Times New Roman"/>
          <w:i/>
          <w:sz w:val="26"/>
          <w:szCs w:val="26"/>
          <w:u w:val="single"/>
        </w:rPr>
        <w:t>i.e.</w:t>
      </w:r>
      <w:r w:rsidR="0083364D">
        <w:rPr>
          <w:rFonts w:ascii="Times New Roman" w:eastAsia="Times New Roman" w:hAnsi="Times New Roman" w:cs="Times New Roman"/>
          <w:sz w:val="26"/>
          <w:szCs w:val="26"/>
          <w:u w:val="single"/>
        </w:rPr>
        <w:t>, PGW’s CAP)</w:t>
      </w:r>
    </w:p>
    <w:p w:rsidR="00C47F76" w:rsidRPr="00C47F76" w:rsidRDefault="00C47F76" w:rsidP="00231829">
      <w:pPr>
        <w:keepNext/>
        <w:spacing w:after="0" w:line="360" w:lineRule="auto"/>
        <w:ind w:left="720" w:firstLine="720"/>
        <w:contextualSpacing/>
        <w:rPr>
          <w:rFonts w:ascii="Times New Roman" w:eastAsia="Times New Roman" w:hAnsi="Times New Roman" w:cs="Times New Roman"/>
          <w:color w:val="002060"/>
          <w:sz w:val="26"/>
          <w:szCs w:val="26"/>
          <w:u w:val="single"/>
        </w:rPr>
      </w:pPr>
    </w:p>
    <w:p w:rsidR="00C47F76" w:rsidRPr="00C47F76" w:rsidRDefault="00C47F76" w:rsidP="00231829">
      <w:pPr>
        <w:spacing w:after="0" w:line="360" w:lineRule="auto"/>
        <w:ind w:firstLine="720"/>
        <w:contextualSpacing/>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 xml:space="preserve">PGW’s CRP program offers discounts off residential tariff rates to payment-troubled customers </w:t>
      </w:r>
      <w:r w:rsidR="00EF0560">
        <w:rPr>
          <w:rFonts w:ascii="Times New Roman" w:eastAsia="Times New Roman" w:hAnsi="Times New Roman" w:cs="Times New Roman"/>
          <w:sz w:val="26"/>
          <w:szCs w:val="26"/>
        </w:rPr>
        <w:t xml:space="preserve">if their </w:t>
      </w:r>
      <w:r w:rsidRPr="00C47F76">
        <w:rPr>
          <w:rFonts w:ascii="Times New Roman" w:eastAsia="Times New Roman" w:hAnsi="Times New Roman" w:cs="Times New Roman"/>
          <w:sz w:val="26"/>
          <w:szCs w:val="26"/>
        </w:rPr>
        <w:t>income is less than 150% of the Federal Poverty Income Guidelines (FPIG)</w:t>
      </w:r>
      <w:r w:rsidR="00B11B40" w:rsidRPr="00C47F76">
        <w:rPr>
          <w:rFonts w:ascii="Times New Roman" w:eastAsia="Times New Roman" w:hAnsi="Times New Roman" w:cs="Times New Roman"/>
          <w:sz w:val="26"/>
          <w:szCs w:val="26"/>
        </w:rPr>
        <w:t xml:space="preserve"> </w:t>
      </w:r>
      <w:r w:rsidR="00EF0560">
        <w:rPr>
          <w:rFonts w:ascii="Times New Roman" w:eastAsia="Times New Roman" w:hAnsi="Times New Roman" w:cs="Times New Roman"/>
          <w:sz w:val="26"/>
          <w:szCs w:val="26"/>
        </w:rPr>
        <w:t xml:space="preserve">and </w:t>
      </w:r>
      <w:r w:rsidR="00B11B40" w:rsidRPr="00C47F76">
        <w:rPr>
          <w:rFonts w:ascii="Times New Roman" w:eastAsia="Times New Roman" w:hAnsi="Times New Roman" w:cs="Times New Roman"/>
          <w:sz w:val="26"/>
          <w:szCs w:val="26"/>
        </w:rPr>
        <w:t>the program will result in the most affordable payment option</w:t>
      </w:r>
      <w:r w:rsidRPr="00C47F76">
        <w:rPr>
          <w:rFonts w:ascii="Times New Roman" w:eastAsia="Times New Roman" w:hAnsi="Times New Roman" w:cs="Times New Roman"/>
          <w:sz w:val="26"/>
          <w:szCs w:val="26"/>
        </w:rPr>
        <w:t xml:space="preserve">.  </w:t>
      </w:r>
      <w:r w:rsidR="00B11B40" w:rsidRPr="00C47F76">
        <w:rPr>
          <w:rFonts w:ascii="Times New Roman" w:eastAsia="Times New Roman" w:hAnsi="Times New Roman" w:cs="Times New Roman"/>
          <w:sz w:val="26"/>
          <w:szCs w:val="26"/>
        </w:rPr>
        <w:t>Households already receiving a discounted payment through PGW’s Senior Citizen Discount (SCD) program are not eligible for CRP.</w:t>
      </w:r>
      <w:r w:rsidR="00B11B40">
        <w:rPr>
          <w:rFonts w:ascii="Times New Roman" w:eastAsia="Times New Roman" w:hAnsi="Times New Roman" w:cs="Times New Roman"/>
          <w:sz w:val="26"/>
          <w:szCs w:val="26"/>
        </w:rPr>
        <w:t xml:space="preserve">  </w:t>
      </w:r>
      <w:r w:rsidRPr="00C47F76">
        <w:rPr>
          <w:rFonts w:ascii="Times New Roman" w:eastAsia="Times New Roman" w:hAnsi="Times New Roman" w:cs="Times New Roman"/>
          <w:sz w:val="26"/>
          <w:szCs w:val="26"/>
        </w:rPr>
        <w:t xml:space="preserve">The program is intended </w:t>
      </w:r>
      <w:r w:rsidR="00E13A5D">
        <w:rPr>
          <w:rFonts w:ascii="Times New Roman" w:eastAsia="Times New Roman" w:hAnsi="Times New Roman" w:cs="Times New Roman"/>
          <w:sz w:val="26"/>
          <w:szCs w:val="26"/>
        </w:rPr>
        <w:t>to improve payment behavior, prevent loss of service, assist participants in conserving energy, reduce collection costs, and minimize the financial burden o</w:t>
      </w:r>
      <w:r w:rsidR="00B11B40">
        <w:rPr>
          <w:rFonts w:ascii="Times New Roman" w:eastAsia="Times New Roman" w:hAnsi="Times New Roman" w:cs="Times New Roman"/>
          <w:sz w:val="26"/>
          <w:szCs w:val="26"/>
        </w:rPr>
        <w:t>n</w:t>
      </w:r>
      <w:r w:rsidR="00E13A5D">
        <w:rPr>
          <w:rFonts w:ascii="Times New Roman" w:eastAsia="Times New Roman" w:hAnsi="Times New Roman" w:cs="Times New Roman"/>
          <w:sz w:val="26"/>
          <w:szCs w:val="26"/>
        </w:rPr>
        <w:t xml:space="preserve"> non-CRP ratepayers. </w:t>
      </w:r>
      <w:r w:rsidR="00E26E0D">
        <w:rPr>
          <w:rFonts w:ascii="Times New Roman" w:eastAsia="Times New Roman" w:hAnsi="Times New Roman" w:cs="Times New Roman"/>
          <w:sz w:val="26"/>
          <w:szCs w:val="26"/>
        </w:rPr>
        <w:t xml:space="preserve"> </w:t>
      </w:r>
      <w:r w:rsidRPr="00C47F76">
        <w:rPr>
          <w:rFonts w:ascii="Times New Roman" w:eastAsia="Times New Roman" w:hAnsi="Times New Roman" w:cs="Times New Roman"/>
          <w:sz w:val="26"/>
          <w:szCs w:val="26"/>
        </w:rPr>
        <w:t xml:space="preserve">CRP is primarily funded by the </w:t>
      </w:r>
      <w:r w:rsidR="00852C44">
        <w:rPr>
          <w:rFonts w:ascii="Times New Roman" w:eastAsia="Times New Roman" w:hAnsi="Times New Roman" w:cs="Times New Roman"/>
          <w:sz w:val="26"/>
          <w:szCs w:val="26"/>
        </w:rPr>
        <w:t>C</w:t>
      </w:r>
      <w:r w:rsidRPr="00C47F76">
        <w:rPr>
          <w:rFonts w:ascii="Times New Roman" w:eastAsia="Times New Roman" w:hAnsi="Times New Roman" w:cs="Times New Roman"/>
          <w:sz w:val="26"/>
          <w:szCs w:val="26"/>
        </w:rPr>
        <w:t xml:space="preserve">ompany’s residential ratepayers via a </w:t>
      </w:r>
      <w:r w:rsidR="003B7114">
        <w:rPr>
          <w:rFonts w:ascii="Times New Roman" w:hAnsi="Times New Roman" w:cs="Times New Roman"/>
          <w:sz w:val="26"/>
          <w:szCs w:val="26"/>
        </w:rPr>
        <w:t>Universal Service and Energy Conservation (USC) surcharge</w:t>
      </w:r>
      <w:r w:rsidRPr="00C47F76">
        <w:rPr>
          <w:rFonts w:ascii="Times New Roman" w:eastAsia="Times New Roman" w:hAnsi="Times New Roman" w:cs="Times New Roman"/>
          <w:sz w:val="26"/>
          <w:szCs w:val="26"/>
        </w:rPr>
        <w:t xml:space="preserve"> in the </w:t>
      </w:r>
      <w:r w:rsidR="00852C44">
        <w:rPr>
          <w:rFonts w:ascii="Times New Roman" w:eastAsia="Times New Roman" w:hAnsi="Times New Roman" w:cs="Times New Roman"/>
          <w:sz w:val="26"/>
          <w:szCs w:val="26"/>
        </w:rPr>
        <w:t>C</w:t>
      </w:r>
      <w:r w:rsidRPr="00C47F76">
        <w:rPr>
          <w:rFonts w:ascii="Times New Roman" w:eastAsia="Times New Roman" w:hAnsi="Times New Roman" w:cs="Times New Roman"/>
          <w:sz w:val="26"/>
          <w:szCs w:val="26"/>
        </w:rPr>
        <w:t>ompany’s tariff.</w:t>
      </w:r>
      <w:r w:rsidR="00120823">
        <w:rPr>
          <w:rStyle w:val="FootnoteReference"/>
          <w:rFonts w:ascii="Times New Roman" w:eastAsia="Times New Roman" w:hAnsi="Times New Roman" w:cs="Times New Roman"/>
          <w:sz w:val="26"/>
          <w:szCs w:val="26"/>
        </w:rPr>
        <w:footnoteReference w:id="6"/>
      </w:r>
    </w:p>
    <w:p w:rsidR="00C47F76" w:rsidRPr="00C47F76" w:rsidRDefault="00C47F76" w:rsidP="00231829">
      <w:pPr>
        <w:spacing w:after="0" w:line="360" w:lineRule="auto"/>
        <w:contextualSpacing/>
        <w:rPr>
          <w:rFonts w:ascii="Times New Roman" w:eastAsia="Times New Roman" w:hAnsi="Times New Roman" w:cs="Times New Roman"/>
          <w:sz w:val="26"/>
          <w:szCs w:val="26"/>
        </w:rPr>
      </w:pPr>
    </w:p>
    <w:p w:rsidR="00C47F76" w:rsidRPr="00C47F76" w:rsidRDefault="00C47F76" w:rsidP="00231829">
      <w:pPr>
        <w:tabs>
          <w:tab w:val="left" w:pos="720"/>
        </w:tabs>
        <w:spacing w:after="0" w:line="360" w:lineRule="auto"/>
        <w:contextualSpacing/>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ab/>
        <w:t>The primary features of PGW’s CRP program include:</w:t>
      </w:r>
    </w:p>
    <w:p w:rsidR="00C47F76" w:rsidRPr="00C47F76" w:rsidRDefault="00E13A5D" w:rsidP="00231829">
      <w:pPr>
        <w:numPr>
          <w:ilvl w:val="0"/>
          <w:numId w:val="1"/>
        </w:numPr>
        <w:spacing w:after="0" w:line="360" w:lineRule="auto"/>
        <w:ind w:firstLine="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Reduced monthly payments </w:t>
      </w:r>
      <w:r w:rsidR="00C47F76" w:rsidRPr="00C47F76">
        <w:rPr>
          <w:rFonts w:ascii="Times New Roman" w:eastAsia="Times New Roman" w:hAnsi="Times New Roman" w:cs="Times New Roman"/>
          <w:sz w:val="26"/>
          <w:szCs w:val="26"/>
        </w:rPr>
        <w:t xml:space="preserve">based on a percentage of income.  </w:t>
      </w:r>
    </w:p>
    <w:p w:rsidR="00C47F76" w:rsidRPr="00E13A5D" w:rsidRDefault="00C47F76" w:rsidP="00E13A5D">
      <w:pPr>
        <w:numPr>
          <w:ilvl w:val="0"/>
          <w:numId w:val="1"/>
        </w:numPr>
        <w:spacing w:after="0" w:line="360" w:lineRule="auto"/>
        <w:ind w:left="1440"/>
        <w:contextualSpacing/>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 xml:space="preserve">Complete arrearage forgiveness over a period of 36 months.   </w:t>
      </w:r>
    </w:p>
    <w:p w:rsidR="00C47F76" w:rsidRPr="00C47F76" w:rsidRDefault="00C47F76" w:rsidP="00231829">
      <w:pPr>
        <w:numPr>
          <w:ilvl w:val="0"/>
          <w:numId w:val="1"/>
        </w:numPr>
        <w:spacing w:after="0" w:line="360" w:lineRule="auto"/>
        <w:ind w:left="1440"/>
        <w:contextualSpacing/>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Referrals to other community programs and services.</w:t>
      </w:r>
    </w:p>
    <w:p w:rsidR="00C47F76" w:rsidRPr="00C47F76" w:rsidRDefault="00C47F76" w:rsidP="00231829">
      <w:pPr>
        <w:spacing w:after="0" w:line="360" w:lineRule="auto"/>
        <w:contextualSpacing/>
        <w:rPr>
          <w:rFonts w:ascii="Times New Roman" w:eastAsia="Times New Roman" w:hAnsi="Times New Roman" w:cs="Times New Roman"/>
          <w:sz w:val="26"/>
          <w:szCs w:val="26"/>
        </w:rPr>
      </w:pPr>
    </w:p>
    <w:p w:rsidR="00C47F76" w:rsidRPr="00C47F76" w:rsidRDefault="00C47F76" w:rsidP="00231829">
      <w:pPr>
        <w:keepNext/>
        <w:spacing w:after="0" w:line="360" w:lineRule="auto"/>
        <w:contextualSpacing/>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 xml:space="preserve">Customers in the CRP program are required to: </w:t>
      </w:r>
    </w:p>
    <w:p w:rsidR="00C47F76" w:rsidRPr="00C47F76" w:rsidRDefault="00C47F76" w:rsidP="00231829">
      <w:pPr>
        <w:numPr>
          <w:ilvl w:val="0"/>
          <w:numId w:val="35"/>
        </w:numPr>
        <w:spacing w:after="0" w:line="360" w:lineRule="auto"/>
        <w:ind w:firstLine="360"/>
        <w:contextualSpacing/>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Make timely and in-full payments as billed;</w:t>
      </w:r>
    </w:p>
    <w:p w:rsidR="00C47F76" w:rsidRPr="00C47F76" w:rsidRDefault="00C47F76" w:rsidP="00231829">
      <w:pPr>
        <w:numPr>
          <w:ilvl w:val="0"/>
          <w:numId w:val="35"/>
        </w:numPr>
        <w:spacing w:after="0" w:line="360" w:lineRule="auto"/>
        <w:ind w:firstLine="360"/>
        <w:contextualSpacing/>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Report changes to income and/or household size</w:t>
      </w:r>
    </w:p>
    <w:p w:rsidR="00C47F76" w:rsidRPr="00C47F76" w:rsidRDefault="00C47F76" w:rsidP="00231829">
      <w:pPr>
        <w:numPr>
          <w:ilvl w:val="0"/>
          <w:numId w:val="35"/>
        </w:numPr>
        <w:spacing w:after="0" w:line="360" w:lineRule="auto"/>
        <w:ind w:firstLine="360"/>
        <w:contextualSpacing/>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Apply for LIHEA</w:t>
      </w:r>
      <w:r w:rsidR="007774B5">
        <w:rPr>
          <w:rFonts w:ascii="Times New Roman" w:eastAsia="Times New Roman" w:hAnsi="Times New Roman" w:cs="Times New Roman"/>
          <w:sz w:val="26"/>
          <w:szCs w:val="26"/>
        </w:rPr>
        <w:t xml:space="preserve">P each year and assign the </w:t>
      </w:r>
      <w:r w:rsidRPr="00C47F76">
        <w:rPr>
          <w:rFonts w:ascii="Times New Roman" w:eastAsia="Times New Roman" w:hAnsi="Times New Roman" w:cs="Times New Roman"/>
          <w:sz w:val="26"/>
          <w:szCs w:val="26"/>
        </w:rPr>
        <w:t>grant to PGW;</w:t>
      </w:r>
    </w:p>
    <w:p w:rsidR="00C47F76" w:rsidRPr="00C47F76" w:rsidRDefault="00C47F76" w:rsidP="00231829">
      <w:pPr>
        <w:numPr>
          <w:ilvl w:val="0"/>
          <w:numId w:val="35"/>
        </w:numPr>
        <w:spacing w:after="0" w:line="360" w:lineRule="auto"/>
        <w:ind w:left="1440"/>
        <w:contextualSpacing/>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 xml:space="preserve">Recertify annually (households who receive LIHEAP </w:t>
      </w:r>
      <w:r w:rsidR="007774B5">
        <w:rPr>
          <w:rFonts w:ascii="Times New Roman" w:eastAsia="Times New Roman" w:hAnsi="Times New Roman" w:cs="Times New Roman"/>
          <w:sz w:val="26"/>
          <w:szCs w:val="26"/>
        </w:rPr>
        <w:t xml:space="preserve">annually </w:t>
      </w:r>
      <w:r w:rsidRPr="00C47F76">
        <w:rPr>
          <w:rFonts w:ascii="Times New Roman" w:eastAsia="Times New Roman" w:hAnsi="Times New Roman" w:cs="Times New Roman"/>
          <w:sz w:val="26"/>
          <w:szCs w:val="26"/>
        </w:rPr>
        <w:t xml:space="preserve">may recertify </w:t>
      </w:r>
      <w:r w:rsidR="007774B5">
        <w:rPr>
          <w:rFonts w:ascii="Times New Roman" w:eastAsia="Times New Roman" w:hAnsi="Times New Roman" w:cs="Times New Roman"/>
          <w:sz w:val="26"/>
          <w:szCs w:val="26"/>
        </w:rPr>
        <w:t>every three years</w:t>
      </w:r>
      <w:r w:rsidRPr="00C47F76">
        <w:rPr>
          <w:rFonts w:ascii="Times New Roman" w:eastAsia="Times New Roman" w:hAnsi="Times New Roman" w:cs="Times New Roman"/>
          <w:sz w:val="26"/>
          <w:szCs w:val="26"/>
        </w:rPr>
        <w:t>);</w:t>
      </w:r>
    </w:p>
    <w:p w:rsidR="00E13A5D" w:rsidRDefault="00E13A5D" w:rsidP="00231829">
      <w:pPr>
        <w:numPr>
          <w:ilvl w:val="0"/>
          <w:numId w:val="35"/>
        </w:numPr>
        <w:spacing w:after="0" w:line="360" w:lineRule="auto"/>
        <w:ind w:firstLine="36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Accept CRP Home Comfort Program</w:t>
      </w:r>
      <w:r w:rsidR="00C47F76" w:rsidRPr="00C47F76">
        <w:rPr>
          <w:rFonts w:ascii="Times New Roman" w:eastAsia="Times New Roman" w:hAnsi="Times New Roman" w:cs="Times New Roman"/>
          <w:sz w:val="26"/>
          <w:szCs w:val="26"/>
        </w:rPr>
        <w:t xml:space="preserve"> services</w:t>
      </w:r>
      <w:r w:rsidR="00E660A4">
        <w:rPr>
          <w:rFonts w:ascii="Times New Roman" w:eastAsia="Times New Roman" w:hAnsi="Times New Roman" w:cs="Times New Roman"/>
          <w:sz w:val="26"/>
          <w:szCs w:val="26"/>
        </w:rPr>
        <w:t>,</w:t>
      </w:r>
      <w:r w:rsidR="00C47F76" w:rsidRPr="00C47F76">
        <w:rPr>
          <w:rFonts w:ascii="Times New Roman" w:eastAsia="Times New Roman" w:hAnsi="Times New Roman" w:cs="Times New Roman"/>
          <w:sz w:val="26"/>
          <w:szCs w:val="26"/>
        </w:rPr>
        <w:t xml:space="preserve"> if offered</w:t>
      </w:r>
      <w:r>
        <w:rPr>
          <w:rFonts w:ascii="Times New Roman" w:eastAsia="Times New Roman" w:hAnsi="Times New Roman" w:cs="Times New Roman"/>
          <w:sz w:val="26"/>
          <w:szCs w:val="26"/>
        </w:rPr>
        <w:t>;</w:t>
      </w:r>
    </w:p>
    <w:p w:rsidR="00E13A5D" w:rsidRDefault="00E13A5D" w:rsidP="00231829">
      <w:pPr>
        <w:numPr>
          <w:ilvl w:val="0"/>
          <w:numId w:val="35"/>
        </w:numPr>
        <w:spacing w:after="0" w:line="360" w:lineRule="auto"/>
        <w:ind w:firstLine="36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Maintain usage within consumption limits</w:t>
      </w:r>
      <w:r w:rsidR="007774B5">
        <w:rPr>
          <w:rFonts w:ascii="Times New Roman" w:eastAsia="Times New Roman" w:hAnsi="Times New Roman" w:cs="Times New Roman"/>
          <w:sz w:val="26"/>
          <w:szCs w:val="26"/>
        </w:rPr>
        <w:t>;</w:t>
      </w:r>
    </w:p>
    <w:p w:rsidR="00C47F76" w:rsidRPr="00C47F76" w:rsidRDefault="00E13A5D" w:rsidP="00231829">
      <w:pPr>
        <w:numPr>
          <w:ilvl w:val="0"/>
          <w:numId w:val="35"/>
        </w:numPr>
        <w:spacing w:after="0" w:line="360" w:lineRule="auto"/>
        <w:ind w:firstLine="36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Provide PGW access to the meter if requested</w:t>
      </w:r>
      <w:r w:rsidR="00C47F76" w:rsidRPr="00C47F76">
        <w:rPr>
          <w:rFonts w:ascii="Times New Roman" w:eastAsia="Times New Roman" w:hAnsi="Times New Roman" w:cs="Times New Roman"/>
          <w:sz w:val="26"/>
          <w:szCs w:val="26"/>
        </w:rPr>
        <w:t>; and</w:t>
      </w:r>
    </w:p>
    <w:p w:rsidR="00C47F76" w:rsidRPr="00C47F76" w:rsidRDefault="00C47F76" w:rsidP="00231829">
      <w:pPr>
        <w:numPr>
          <w:ilvl w:val="0"/>
          <w:numId w:val="35"/>
        </w:numPr>
        <w:spacing w:after="0" w:line="360" w:lineRule="auto"/>
        <w:ind w:left="1440"/>
        <w:contextualSpacing/>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Authorize PGW to use external sources to verify household composition and income.</w:t>
      </w:r>
    </w:p>
    <w:p w:rsidR="00C47F76" w:rsidRPr="00C47F76" w:rsidRDefault="00C47F76" w:rsidP="00231829">
      <w:pPr>
        <w:spacing w:after="0" w:line="360" w:lineRule="auto"/>
        <w:contextualSpacing/>
        <w:rPr>
          <w:rFonts w:ascii="Times New Roman" w:eastAsia="Times New Roman" w:hAnsi="Times New Roman" w:cs="Times New Roman"/>
          <w:sz w:val="26"/>
          <w:szCs w:val="26"/>
        </w:rPr>
      </w:pPr>
    </w:p>
    <w:p w:rsidR="00C47F76" w:rsidRPr="00C47F76" w:rsidRDefault="00C47F76" w:rsidP="00231829">
      <w:pPr>
        <w:spacing w:after="0" w:line="360" w:lineRule="auto"/>
        <w:ind w:firstLine="720"/>
        <w:contextualSpacing/>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The CRP payment amount is based on a percentage of</w:t>
      </w:r>
      <w:r w:rsidR="00E26E0D">
        <w:rPr>
          <w:rFonts w:ascii="Times New Roman" w:eastAsia="Times New Roman" w:hAnsi="Times New Roman" w:cs="Times New Roman"/>
          <w:sz w:val="26"/>
          <w:szCs w:val="26"/>
        </w:rPr>
        <w:t xml:space="preserve"> the household’s gross income.</w:t>
      </w:r>
      <w:r w:rsidR="00113210">
        <w:rPr>
          <w:rFonts w:ascii="Times New Roman" w:eastAsia="Times New Roman" w:hAnsi="Times New Roman" w:cs="Times New Roman"/>
          <w:sz w:val="26"/>
          <w:szCs w:val="26"/>
        </w:rPr>
        <w:t xml:space="preserve">  </w:t>
      </w:r>
      <w:r w:rsidR="00113210" w:rsidRPr="00EF0560">
        <w:rPr>
          <w:rFonts w:ascii="Times New Roman" w:eastAsia="Times New Roman" w:hAnsi="Times New Roman" w:cs="Times New Roman"/>
          <w:sz w:val="26"/>
          <w:szCs w:val="26"/>
        </w:rPr>
        <w:t>Customers are ineligible for the program if the monthly CRP bill exceeds the customer’s budget/payment arrangement amount.</w:t>
      </w:r>
      <w:r w:rsidR="00113210">
        <w:rPr>
          <w:rFonts w:ascii="Times New Roman" w:eastAsia="Times New Roman" w:hAnsi="Times New Roman" w:cs="Times New Roman"/>
          <w:sz w:val="26"/>
          <w:szCs w:val="26"/>
        </w:rPr>
        <w:t xml:space="preserve">  </w:t>
      </w:r>
      <w:r w:rsidRPr="00C47F76">
        <w:rPr>
          <w:rFonts w:ascii="Times New Roman" w:eastAsia="Times New Roman" w:hAnsi="Times New Roman" w:cs="Times New Roman"/>
          <w:color w:val="0D0D0D" w:themeColor="text1" w:themeTint="F2"/>
          <w:sz w:val="26"/>
          <w:szCs w:val="26"/>
        </w:rPr>
        <w:t>Table 1 d</w:t>
      </w:r>
      <w:r w:rsidR="00592B6E">
        <w:rPr>
          <w:rFonts w:ascii="Times New Roman" w:eastAsia="Times New Roman" w:hAnsi="Times New Roman" w:cs="Times New Roman"/>
          <w:color w:val="0D0D0D" w:themeColor="text1" w:themeTint="F2"/>
          <w:sz w:val="26"/>
          <w:szCs w:val="26"/>
        </w:rPr>
        <w:t xml:space="preserve">escribes the Percent of Income </w:t>
      </w:r>
      <w:r w:rsidR="006F61A8">
        <w:rPr>
          <w:rFonts w:ascii="Times New Roman" w:eastAsia="Times New Roman" w:hAnsi="Times New Roman" w:cs="Times New Roman"/>
          <w:color w:val="0D0D0D" w:themeColor="text1" w:themeTint="F2"/>
          <w:sz w:val="26"/>
          <w:szCs w:val="26"/>
        </w:rPr>
        <w:t>p</w:t>
      </w:r>
      <w:r w:rsidRPr="00C47F76">
        <w:rPr>
          <w:rFonts w:ascii="Times New Roman" w:eastAsia="Times New Roman" w:hAnsi="Times New Roman" w:cs="Times New Roman"/>
          <w:color w:val="0D0D0D" w:themeColor="text1" w:themeTint="F2"/>
          <w:sz w:val="26"/>
          <w:szCs w:val="26"/>
        </w:rPr>
        <w:t xml:space="preserve">ayment </w:t>
      </w:r>
      <w:r w:rsidR="006F61A8">
        <w:rPr>
          <w:rFonts w:ascii="Times New Roman" w:eastAsia="Times New Roman" w:hAnsi="Times New Roman" w:cs="Times New Roman"/>
          <w:color w:val="0D0D0D" w:themeColor="text1" w:themeTint="F2"/>
          <w:sz w:val="26"/>
          <w:szCs w:val="26"/>
        </w:rPr>
        <w:t xml:space="preserve">(PIP) </w:t>
      </w:r>
      <w:r w:rsidRPr="00C47F76">
        <w:rPr>
          <w:rFonts w:ascii="Times New Roman" w:eastAsia="Times New Roman" w:hAnsi="Times New Roman" w:cs="Times New Roman"/>
          <w:color w:val="0D0D0D" w:themeColor="text1" w:themeTint="F2"/>
          <w:sz w:val="26"/>
          <w:szCs w:val="26"/>
        </w:rPr>
        <w:t>for each income level.</w:t>
      </w:r>
      <w:r w:rsidRPr="00C47F76">
        <w:rPr>
          <w:rFonts w:ascii="Times New Roman" w:eastAsia="Times New Roman" w:hAnsi="Times New Roman" w:cs="Times New Roman"/>
          <w:sz w:val="26"/>
          <w:szCs w:val="26"/>
        </w:rPr>
        <w:t xml:space="preserve"> </w:t>
      </w:r>
    </w:p>
    <w:p w:rsidR="00C47F76" w:rsidRPr="00C47F76" w:rsidRDefault="00C47F76" w:rsidP="00231829">
      <w:pPr>
        <w:spacing w:after="0" w:line="360" w:lineRule="auto"/>
        <w:ind w:firstLine="720"/>
        <w:contextualSpacing/>
        <w:rPr>
          <w:rFonts w:ascii="Times New Roman" w:eastAsia="Times New Roman" w:hAnsi="Times New Roman" w:cs="Times New Roman"/>
          <w:sz w:val="26"/>
          <w:szCs w:val="26"/>
        </w:rPr>
      </w:pPr>
    </w:p>
    <w:p w:rsidR="00C47F76" w:rsidRPr="00C47F76" w:rsidRDefault="00C47F76" w:rsidP="00353561">
      <w:pPr>
        <w:keepNext/>
        <w:spacing w:after="0" w:line="240" w:lineRule="auto"/>
        <w:ind w:firstLine="720"/>
        <w:contextualSpacing/>
        <w:jc w:val="center"/>
        <w:rPr>
          <w:rFonts w:ascii="Times New Roman" w:eastAsia="Times New Roman" w:hAnsi="Times New Roman" w:cs="Times New Roman"/>
          <w:sz w:val="26"/>
          <w:szCs w:val="26"/>
        </w:rPr>
      </w:pPr>
      <w:r w:rsidRPr="00C47F76">
        <w:rPr>
          <w:rFonts w:ascii="Times New Roman" w:hAnsi="Times New Roman" w:cs="Times New Roman"/>
          <w:b/>
          <w:sz w:val="26"/>
          <w:szCs w:val="26"/>
        </w:rPr>
        <w:t>Table 1</w:t>
      </w:r>
    </w:p>
    <w:p w:rsidR="00C47F76" w:rsidRPr="00C47F76" w:rsidRDefault="00592B6E" w:rsidP="00353561">
      <w:pPr>
        <w:keepNext/>
        <w:spacing w:after="0" w:line="240" w:lineRule="auto"/>
        <w:ind w:firstLine="720"/>
        <w:contextualSpacing/>
        <w:jc w:val="center"/>
        <w:rPr>
          <w:rFonts w:ascii="Times New Roman" w:eastAsia="Times New Roman" w:hAnsi="Times New Roman" w:cs="Times New Roman"/>
          <w:sz w:val="26"/>
          <w:szCs w:val="26"/>
        </w:rPr>
      </w:pPr>
      <w:r>
        <w:rPr>
          <w:rFonts w:ascii="Times New Roman" w:hAnsi="Times New Roman" w:cs="Times New Roman"/>
          <w:b/>
          <w:bCs/>
          <w:sz w:val="26"/>
          <w:szCs w:val="26"/>
        </w:rPr>
        <w:t>Percent of Income CRP payment</w:t>
      </w:r>
    </w:p>
    <w:tbl>
      <w:tblPr>
        <w:tblW w:w="5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2520"/>
      </w:tblGrid>
      <w:tr w:rsidR="00C47F76" w:rsidRPr="00C47F76" w:rsidTr="005E1E54">
        <w:trPr>
          <w:jc w:val="center"/>
        </w:trPr>
        <w:tc>
          <w:tcPr>
            <w:tcW w:w="2825" w:type="dxa"/>
            <w:vAlign w:val="center"/>
          </w:tcPr>
          <w:p w:rsidR="00C47F76" w:rsidRPr="00C47F76" w:rsidRDefault="00C47F76" w:rsidP="00353561">
            <w:pPr>
              <w:keepNext/>
              <w:spacing w:after="0" w:line="240" w:lineRule="auto"/>
              <w:contextualSpacing/>
              <w:jc w:val="center"/>
              <w:rPr>
                <w:rFonts w:ascii="Times New Roman" w:hAnsi="Times New Roman" w:cs="Times New Roman"/>
                <w:sz w:val="26"/>
                <w:szCs w:val="26"/>
              </w:rPr>
            </w:pPr>
            <w:r w:rsidRPr="00C47F76">
              <w:rPr>
                <w:rFonts w:ascii="Times New Roman" w:hAnsi="Times New Roman" w:cs="Times New Roman"/>
                <w:b/>
                <w:sz w:val="26"/>
                <w:szCs w:val="26"/>
              </w:rPr>
              <w:t>Income Category</w:t>
            </w:r>
          </w:p>
        </w:tc>
        <w:tc>
          <w:tcPr>
            <w:tcW w:w="2520" w:type="dxa"/>
            <w:vAlign w:val="center"/>
          </w:tcPr>
          <w:p w:rsidR="00C47F76" w:rsidRPr="00C47F76" w:rsidRDefault="00C47F76" w:rsidP="00353561">
            <w:pPr>
              <w:keepNext/>
              <w:spacing w:after="0" w:line="240" w:lineRule="auto"/>
              <w:contextualSpacing/>
              <w:jc w:val="center"/>
              <w:rPr>
                <w:rFonts w:ascii="Times New Roman" w:hAnsi="Times New Roman" w:cs="Times New Roman"/>
                <w:b/>
                <w:sz w:val="26"/>
                <w:szCs w:val="26"/>
              </w:rPr>
            </w:pPr>
            <w:r w:rsidRPr="00C47F76">
              <w:rPr>
                <w:rFonts w:ascii="Times New Roman" w:hAnsi="Times New Roman" w:cs="Times New Roman"/>
                <w:b/>
                <w:sz w:val="26"/>
                <w:szCs w:val="26"/>
              </w:rPr>
              <w:t xml:space="preserve">Percentage of </w:t>
            </w:r>
            <w:r w:rsidR="00592B6E">
              <w:rPr>
                <w:rFonts w:ascii="Times New Roman" w:hAnsi="Times New Roman" w:cs="Times New Roman"/>
                <w:b/>
                <w:sz w:val="26"/>
                <w:szCs w:val="26"/>
              </w:rPr>
              <w:t>Income</w:t>
            </w:r>
            <w:r w:rsidRPr="00C47F76">
              <w:rPr>
                <w:rFonts w:ascii="Times New Roman" w:hAnsi="Times New Roman" w:cs="Times New Roman"/>
                <w:b/>
                <w:sz w:val="26"/>
                <w:szCs w:val="26"/>
              </w:rPr>
              <w:t xml:space="preserve"> Payment</w:t>
            </w:r>
          </w:p>
        </w:tc>
      </w:tr>
      <w:tr w:rsidR="00C47F76" w:rsidRPr="00C47F76" w:rsidTr="005E1E54">
        <w:trPr>
          <w:jc w:val="center"/>
        </w:trPr>
        <w:tc>
          <w:tcPr>
            <w:tcW w:w="2825" w:type="dxa"/>
          </w:tcPr>
          <w:p w:rsidR="00C47F76" w:rsidRPr="00C47F76" w:rsidRDefault="00C47F76" w:rsidP="00353561">
            <w:pPr>
              <w:keepNext/>
              <w:spacing w:after="0" w:line="240" w:lineRule="auto"/>
              <w:contextualSpacing/>
              <w:rPr>
                <w:rFonts w:ascii="Times New Roman" w:hAnsi="Times New Roman" w:cs="Times New Roman"/>
                <w:sz w:val="26"/>
                <w:szCs w:val="26"/>
              </w:rPr>
            </w:pPr>
            <w:r w:rsidRPr="00C47F76">
              <w:rPr>
                <w:rFonts w:ascii="Times New Roman" w:hAnsi="Times New Roman" w:cs="Times New Roman"/>
                <w:sz w:val="26"/>
                <w:szCs w:val="26"/>
              </w:rPr>
              <w:t>0 - 50% FPIG</w:t>
            </w:r>
          </w:p>
        </w:tc>
        <w:tc>
          <w:tcPr>
            <w:tcW w:w="2520" w:type="dxa"/>
          </w:tcPr>
          <w:p w:rsidR="00C47F76" w:rsidRPr="00C47F76" w:rsidRDefault="00C47F76" w:rsidP="00353561">
            <w:pPr>
              <w:keepNext/>
              <w:spacing w:after="0" w:line="240" w:lineRule="auto"/>
              <w:contextualSpacing/>
              <w:jc w:val="center"/>
              <w:rPr>
                <w:rFonts w:ascii="Times New Roman" w:hAnsi="Times New Roman" w:cs="Times New Roman"/>
                <w:sz w:val="26"/>
                <w:szCs w:val="26"/>
              </w:rPr>
            </w:pPr>
            <w:r w:rsidRPr="00C47F76">
              <w:rPr>
                <w:rFonts w:ascii="Times New Roman" w:hAnsi="Times New Roman" w:cs="Times New Roman"/>
                <w:sz w:val="26"/>
                <w:szCs w:val="26"/>
              </w:rPr>
              <w:t>8%</w:t>
            </w:r>
          </w:p>
        </w:tc>
      </w:tr>
      <w:tr w:rsidR="00C47F76" w:rsidRPr="00C47F76" w:rsidTr="005E1E54">
        <w:trPr>
          <w:jc w:val="center"/>
        </w:trPr>
        <w:tc>
          <w:tcPr>
            <w:tcW w:w="2825" w:type="dxa"/>
          </w:tcPr>
          <w:p w:rsidR="00C47F76" w:rsidRPr="00C47F76" w:rsidRDefault="00C47F76" w:rsidP="00353561">
            <w:pPr>
              <w:keepNext/>
              <w:spacing w:after="0" w:line="240" w:lineRule="auto"/>
              <w:contextualSpacing/>
              <w:rPr>
                <w:rFonts w:ascii="Times New Roman" w:hAnsi="Times New Roman" w:cs="Times New Roman"/>
                <w:sz w:val="26"/>
                <w:szCs w:val="26"/>
              </w:rPr>
            </w:pPr>
            <w:r w:rsidRPr="00C47F76">
              <w:rPr>
                <w:rFonts w:ascii="Times New Roman" w:hAnsi="Times New Roman" w:cs="Times New Roman"/>
                <w:sz w:val="26"/>
                <w:szCs w:val="26"/>
              </w:rPr>
              <w:t>51 - 100% FPIG</w:t>
            </w:r>
          </w:p>
        </w:tc>
        <w:tc>
          <w:tcPr>
            <w:tcW w:w="2520" w:type="dxa"/>
          </w:tcPr>
          <w:p w:rsidR="00C47F76" w:rsidRPr="00C47F76" w:rsidRDefault="00C47F76" w:rsidP="00353561">
            <w:pPr>
              <w:keepNext/>
              <w:spacing w:after="0" w:line="240" w:lineRule="auto"/>
              <w:contextualSpacing/>
              <w:jc w:val="center"/>
              <w:rPr>
                <w:rFonts w:ascii="Times New Roman" w:hAnsi="Times New Roman" w:cs="Times New Roman"/>
                <w:sz w:val="26"/>
                <w:szCs w:val="26"/>
              </w:rPr>
            </w:pPr>
            <w:r w:rsidRPr="00C47F76">
              <w:rPr>
                <w:rFonts w:ascii="Times New Roman" w:hAnsi="Times New Roman" w:cs="Times New Roman"/>
                <w:sz w:val="26"/>
                <w:szCs w:val="26"/>
              </w:rPr>
              <w:t>9%</w:t>
            </w:r>
          </w:p>
        </w:tc>
      </w:tr>
      <w:tr w:rsidR="00C47F76" w:rsidRPr="00C47F76" w:rsidTr="005E1E54">
        <w:trPr>
          <w:jc w:val="center"/>
        </w:trPr>
        <w:tc>
          <w:tcPr>
            <w:tcW w:w="2825" w:type="dxa"/>
          </w:tcPr>
          <w:p w:rsidR="00C47F76" w:rsidRPr="00C47F76" w:rsidRDefault="00C47F76" w:rsidP="00353561">
            <w:pPr>
              <w:spacing w:after="0" w:line="240" w:lineRule="auto"/>
              <w:contextualSpacing/>
              <w:rPr>
                <w:rFonts w:ascii="Times New Roman" w:hAnsi="Times New Roman" w:cs="Times New Roman"/>
                <w:sz w:val="26"/>
                <w:szCs w:val="26"/>
              </w:rPr>
            </w:pPr>
            <w:r w:rsidRPr="00C47F76">
              <w:rPr>
                <w:rFonts w:ascii="Times New Roman" w:hAnsi="Times New Roman" w:cs="Times New Roman"/>
                <w:sz w:val="26"/>
                <w:szCs w:val="26"/>
              </w:rPr>
              <w:t>101 - 150% FPIG</w:t>
            </w:r>
          </w:p>
        </w:tc>
        <w:tc>
          <w:tcPr>
            <w:tcW w:w="2520" w:type="dxa"/>
          </w:tcPr>
          <w:p w:rsidR="00C47F76" w:rsidRPr="00C47F76" w:rsidRDefault="00C47F76" w:rsidP="00353561">
            <w:pPr>
              <w:spacing w:after="0" w:line="240" w:lineRule="auto"/>
              <w:contextualSpacing/>
              <w:jc w:val="center"/>
              <w:rPr>
                <w:rFonts w:ascii="Times New Roman" w:hAnsi="Times New Roman" w:cs="Times New Roman"/>
                <w:sz w:val="26"/>
                <w:szCs w:val="26"/>
              </w:rPr>
            </w:pPr>
            <w:r w:rsidRPr="00C47F76">
              <w:rPr>
                <w:rFonts w:ascii="Times New Roman" w:hAnsi="Times New Roman" w:cs="Times New Roman"/>
                <w:sz w:val="26"/>
                <w:szCs w:val="26"/>
              </w:rPr>
              <w:t>10%</w:t>
            </w:r>
          </w:p>
        </w:tc>
      </w:tr>
    </w:tbl>
    <w:p w:rsidR="00C47F76" w:rsidRPr="00C47F76" w:rsidRDefault="00C47F76" w:rsidP="00231829">
      <w:pPr>
        <w:spacing w:after="0" w:line="360" w:lineRule="auto"/>
        <w:contextualSpacing/>
        <w:rPr>
          <w:rFonts w:ascii="Times New Roman" w:eastAsia="Times New Roman" w:hAnsi="Times New Roman" w:cs="Times New Roman"/>
          <w:sz w:val="26"/>
          <w:szCs w:val="26"/>
        </w:rPr>
      </w:pPr>
    </w:p>
    <w:p w:rsidR="00C64B1C" w:rsidRDefault="00617327" w:rsidP="00231829">
      <w:pPr>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592B6E">
        <w:rPr>
          <w:rFonts w:ascii="Times New Roman" w:eastAsia="Times New Roman" w:hAnsi="Times New Roman" w:cs="Times New Roman"/>
          <w:sz w:val="26"/>
          <w:szCs w:val="26"/>
        </w:rPr>
        <w:t xml:space="preserve">PGW also charges CRP customers </w:t>
      </w:r>
      <w:r w:rsidR="00C47F76" w:rsidRPr="00C47F76">
        <w:rPr>
          <w:rFonts w:ascii="Times New Roman" w:eastAsia="Times New Roman" w:hAnsi="Times New Roman" w:cs="Times New Roman"/>
          <w:sz w:val="26"/>
          <w:szCs w:val="26"/>
        </w:rPr>
        <w:t xml:space="preserve">an </w:t>
      </w:r>
      <w:r w:rsidR="00150E77">
        <w:rPr>
          <w:rFonts w:ascii="Times New Roman" w:eastAsia="Times New Roman" w:hAnsi="Times New Roman" w:cs="Times New Roman"/>
          <w:sz w:val="26"/>
          <w:szCs w:val="26"/>
        </w:rPr>
        <w:t xml:space="preserve">additional </w:t>
      </w:r>
      <w:r w:rsidR="00C47F76" w:rsidRPr="00C47F76">
        <w:rPr>
          <w:rFonts w:ascii="Times New Roman" w:eastAsia="Times New Roman" w:hAnsi="Times New Roman" w:cs="Times New Roman"/>
          <w:sz w:val="26"/>
          <w:szCs w:val="26"/>
        </w:rPr>
        <w:t xml:space="preserve">$5 each month toward pre-program arrearages, if any.  </w:t>
      </w:r>
      <w:r w:rsidR="00C47F76" w:rsidRPr="00C47F76">
        <w:rPr>
          <w:rFonts w:ascii="Times New Roman" w:eastAsia="Times New Roman" w:hAnsi="Times New Roman" w:cs="Times New Roman"/>
          <w:color w:val="000000"/>
          <w:spacing w:val="7"/>
          <w:sz w:val="26"/>
          <w:szCs w:val="26"/>
        </w:rPr>
        <w:t xml:space="preserve">CRP customers can have their remaining pre-program arrearages completely forgiven within three years of entering the program.  For each month </w:t>
      </w:r>
      <w:r w:rsidR="00B11B40">
        <w:rPr>
          <w:rFonts w:ascii="Times New Roman" w:eastAsia="Times New Roman" w:hAnsi="Times New Roman" w:cs="Times New Roman"/>
          <w:color w:val="000000"/>
          <w:spacing w:val="7"/>
          <w:sz w:val="26"/>
          <w:szCs w:val="26"/>
        </w:rPr>
        <w:t xml:space="preserve">that </w:t>
      </w:r>
      <w:r w:rsidR="00C47F76" w:rsidRPr="00C47F76">
        <w:rPr>
          <w:rFonts w:ascii="Times New Roman" w:eastAsia="Times New Roman" w:hAnsi="Times New Roman" w:cs="Times New Roman"/>
          <w:color w:val="000000"/>
          <w:spacing w:val="7"/>
          <w:sz w:val="26"/>
          <w:szCs w:val="26"/>
        </w:rPr>
        <w:t>the customer pa</w:t>
      </w:r>
      <w:r w:rsidR="00592B6E">
        <w:rPr>
          <w:rFonts w:ascii="Times New Roman" w:eastAsia="Times New Roman" w:hAnsi="Times New Roman" w:cs="Times New Roman"/>
          <w:color w:val="000000"/>
          <w:spacing w:val="7"/>
          <w:sz w:val="26"/>
          <w:szCs w:val="26"/>
        </w:rPr>
        <w:t>ys his or her monthly CRP bill</w:t>
      </w:r>
      <w:r w:rsidR="00F00288">
        <w:rPr>
          <w:rFonts w:ascii="Times New Roman" w:eastAsia="Times New Roman" w:hAnsi="Times New Roman" w:cs="Times New Roman"/>
          <w:color w:val="000000"/>
          <w:spacing w:val="7"/>
          <w:sz w:val="26"/>
          <w:szCs w:val="26"/>
        </w:rPr>
        <w:t xml:space="preserve"> </w:t>
      </w:r>
      <w:r w:rsidR="00C47F76" w:rsidRPr="00C47F76">
        <w:rPr>
          <w:rFonts w:ascii="Times New Roman" w:eastAsia="Times New Roman" w:hAnsi="Times New Roman" w:cs="Times New Roman"/>
          <w:color w:val="000000"/>
          <w:spacing w:val="7"/>
          <w:sz w:val="26"/>
          <w:szCs w:val="26"/>
        </w:rPr>
        <w:t xml:space="preserve">in full and on time, </w:t>
      </w:r>
      <w:r w:rsidR="007774B5">
        <w:rPr>
          <w:rFonts w:ascii="Times New Roman" w:eastAsia="Times New Roman" w:hAnsi="Times New Roman" w:cs="Times New Roman"/>
          <w:color w:val="000000"/>
          <w:spacing w:val="7"/>
          <w:sz w:val="26"/>
          <w:szCs w:val="26"/>
        </w:rPr>
        <w:t xml:space="preserve">regardless of any existing CRP arrears, </w:t>
      </w:r>
      <w:r w:rsidR="00C47F76" w:rsidRPr="00C47F76">
        <w:rPr>
          <w:rFonts w:ascii="Times New Roman" w:eastAsia="Times New Roman" w:hAnsi="Times New Roman" w:cs="Times New Roman"/>
          <w:color w:val="000000"/>
          <w:spacing w:val="7"/>
          <w:sz w:val="26"/>
          <w:szCs w:val="26"/>
        </w:rPr>
        <w:t>the Company will forgive 1/36</w:t>
      </w:r>
      <w:r w:rsidR="00C47F76" w:rsidRPr="00C47F76">
        <w:rPr>
          <w:rFonts w:ascii="Times New Roman" w:eastAsia="Times New Roman" w:hAnsi="Times New Roman" w:cs="Times New Roman"/>
          <w:color w:val="000000"/>
          <w:spacing w:val="7"/>
          <w:sz w:val="26"/>
          <w:szCs w:val="26"/>
          <w:vertAlign w:val="superscript"/>
        </w:rPr>
        <w:t>th</w:t>
      </w:r>
      <w:r w:rsidR="00C47F76" w:rsidRPr="00C47F76">
        <w:rPr>
          <w:rFonts w:ascii="Times New Roman" w:eastAsia="Times New Roman" w:hAnsi="Times New Roman" w:cs="Times New Roman"/>
          <w:color w:val="000000"/>
          <w:spacing w:val="7"/>
          <w:sz w:val="26"/>
          <w:szCs w:val="26"/>
        </w:rPr>
        <w:t xml:space="preserve"> of the customer’s pre-program arrearage</w:t>
      </w:r>
      <w:r w:rsidR="00C47F76" w:rsidRPr="00C47F76">
        <w:rPr>
          <w:rFonts w:ascii="Times New Roman" w:eastAsia="Times New Roman" w:hAnsi="Times New Roman" w:cs="Times New Roman"/>
          <w:sz w:val="26"/>
          <w:szCs w:val="26"/>
        </w:rPr>
        <w:t xml:space="preserve">.  </w:t>
      </w:r>
      <w:r w:rsidR="007774B5">
        <w:rPr>
          <w:rFonts w:ascii="Times New Roman" w:eastAsia="Times New Roman" w:hAnsi="Times New Roman" w:cs="Times New Roman"/>
          <w:sz w:val="26"/>
          <w:szCs w:val="26"/>
        </w:rPr>
        <w:t>Payments made</w:t>
      </w:r>
      <w:r w:rsidR="00D0158F">
        <w:rPr>
          <w:rFonts w:ascii="Times New Roman" w:eastAsia="Times New Roman" w:hAnsi="Times New Roman" w:cs="Times New Roman"/>
          <w:sz w:val="26"/>
          <w:szCs w:val="26"/>
        </w:rPr>
        <w:t xml:space="preserve"> in excess of the monthly CRP amount </w:t>
      </w:r>
      <w:r w:rsidR="00AE47BF">
        <w:rPr>
          <w:rFonts w:ascii="Times New Roman" w:eastAsia="Times New Roman" w:hAnsi="Times New Roman" w:cs="Times New Roman"/>
          <w:sz w:val="26"/>
          <w:szCs w:val="26"/>
        </w:rPr>
        <w:t xml:space="preserve">are </w:t>
      </w:r>
      <w:r w:rsidR="00D0158F">
        <w:rPr>
          <w:rFonts w:ascii="Times New Roman" w:eastAsia="Times New Roman" w:hAnsi="Times New Roman" w:cs="Times New Roman"/>
          <w:sz w:val="26"/>
          <w:szCs w:val="26"/>
        </w:rPr>
        <w:t xml:space="preserve">first </w:t>
      </w:r>
      <w:r w:rsidR="00AE47BF">
        <w:rPr>
          <w:rFonts w:ascii="Times New Roman" w:eastAsia="Times New Roman" w:hAnsi="Times New Roman" w:cs="Times New Roman"/>
          <w:sz w:val="26"/>
          <w:szCs w:val="26"/>
        </w:rPr>
        <w:t xml:space="preserve">applied </w:t>
      </w:r>
      <w:r w:rsidR="00D0158F">
        <w:rPr>
          <w:rFonts w:ascii="Times New Roman" w:eastAsia="Times New Roman" w:hAnsi="Times New Roman" w:cs="Times New Roman"/>
          <w:sz w:val="26"/>
          <w:szCs w:val="26"/>
        </w:rPr>
        <w:t xml:space="preserve">to any </w:t>
      </w:r>
      <w:r w:rsidR="00EF0560">
        <w:rPr>
          <w:rFonts w:ascii="Times New Roman" w:eastAsia="Times New Roman" w:hAnsi="Times New Roman" w:cs="Times New Roman"/>
          <w:sz w:val="26"/>
          <w:szCs w:val="26"/>
        </w:rPr>
        <w:t>in-</w:t>
      </w:r>
      <w:r w:rsidR="00D0158F">
        <w:rPr>
          <w:rFonts w:ascii="Times New Roman" w:eastAsia="Times New Roman" w:hAnsi="Times New Roman" w:cs="Times New Roman"/>
          <w:sz w:val="26"/>
          <w:szCs w:val="26"/>
        </w:rPr>
        <w:t>program arrears and then as a credit toward the next month’s bill.</w:t>
      </w:r>
      <w:r w:rsidR="00E26E0D">
        <w:rPr>
          <w:rFonts w:ascii="Times New Roman" w:eastAsia="Times New Roman" w:hAnsi="Times New Roman" w:cs="Times New Roman"/>
          <w:sz w:val="26"/>
          <w:szCs w:val="26"/>
        </w:rPr>
        <w:t xml:space="preserve">  The minimum monthly CRP payment i</w:t>
      </w:r>
      <w:r w:rsidR="00A97F73">
        <w:rPr>
          <w:rFonts w:ascii="Times New Roman" w:eastAsia="Times New Roman" w:hAnsi="Times New Roman" w:cs="Times New Roman"/>
          <w:sz w:val="26"/>
          <w:szCs w:val="26"/>
        </w:rPr>
        <w:t>s</w:t>
      </w:r>
      <w:r w:rsidR="00E26E0D">
        <w:rPr>
          <w:rFonts w:ascii="Times New Roman" w:eastAsia="Times New Roman" w:hAnsi="Times New Roman" w:cs="Times New Roman"/>
          <w:sz w:val="26"/>
          <w:szCs w:val="26"/>
        </w:rPr>
        <w:t xml:space="preserve"> $25, not including the $5 toward pre-program arrears.</w:t>
      </w:r>
    </w:p>
    <w:p w:rsidR="00F00288" w:rsidRDefault="00F00288" w:rsidP="00231829">
      <w:pPr>
        <w:spacing w:after="0" w:line="360" w:lineRule="auto"/>
        <w:contextualSpacing/>
        <w:rPr>
          <w:rFonts w:ascii="Times New Roman" w:eastAsia="Times New Roman" w:hAnsi="Times New Roman" w:cs="Times New Roman"/>
          <w:sz w:val="26"/>
          <w:szCs w:val="26"/>
        </w:rPr>
      </w:pPr>
    </w:p>
    <w:p w:rsidR="006C37AA" w:rsidRDefault="00617327" w:rsidP="00231829">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ab/>
      </w:r>
      <w:r w:rsidR="00AE47BF">
        <w:rPr>
          <w:rFonts w:ascii="Times New Roman" w:hAnsi="Times New Roman" w:cs="Times New Roman"/>
          <w:sz w:val="26"/>
          <w:szCs w:val="26"/>
        </w:rPr>
        <w:t>Customers are</w:t>
      </w:r>
      <w:r w:rsidR="00DC6BA4">
        <w:rPr>
          <w:rFonts w:ascii="Times New Roman" w:hAnsi="Times New Roman" w:cs="Times New Roman"/>
          <w:sz w:val="26"/>
          <w:szCs w:val="26"/>
        </w:rPr>
        <w:t xml:space="preserve"> unable to</w:t>
      </w:r>
      <w:r w:rsidR="00AA1665">
        <w:rPr>
          <w:rFonts w:ascii="Times New Roman" w:hAnsi="Times New Roman" w:cs="Times New Roman"/>
          <w:sz w:val="26"/>
          <w:szCs w:val="26"/>
        </w:rPr>
        <w:t xml:space="preserve"> re-enroll in CRP </w:t>
      </w:r>
      <w:r w:rsidR="00AE47BF">
        <w:rPr>
          <w:rFonts w:ascii="Times New Roman" w:hAnsi="Times New Roman" w:cs="Times New Roman"/>
          <w:sz w:val="26"/>
          <w:szCs w:val="26"/>
        </w:rPr>
        <w:t xml:space="preserve">for a specified period </w:t>
      </w:r>
      <w:r w:rsidR="00AA1665">
        <w:rPr>
          <w:rFonts w:ascii="Times New Roman" w:hAnsi="Times New Roman" w:cs="Times New Roman"/>
          <w:sz w:val="26"/>
          <w:szCs w:val="26"/>
        </w:rPr>
        <w:t xml:space="preserve">if they are </w:t>
      </w:r>
      <w:r w:rsidR="00C64B1C" w:rsidRPr="00FA1360">
        <w:rPr>
          <w:rFonts w:ascii="Times New Roman" w:hAnsi="Times New Roman" w:cs="Times New Roman"/>
          <w:sz w:val="26"/>
          <w:szCs w:val="26"/>
        </w:rPr>
        <w:t xml:space="preserve">removed from the program for the following reasons: voluntary </w:t>
      </w:r>
      <w:r w:rsidR="00C64B1C" w:rsidRPr="0026743A">
        <w:rPr>
          <w:rFonts w:ascii="Times New Roman" w:hAnsi="Times New Roman" w:cs="Times New Roman"/>
          <w:sz w:val="26"/>
          <w:szCs w:val="26"/>
        </w:rPr>
        <w:t>removal (stay</w:t>
      </w:r>
      <w:r w:rsidR="00DC6BA4" w:rsidRPr="0026743A">
        <w:rPr>
          <w:rFonts w:ascii="Times New Roman" w:hAnsi="Times New Roman" w:cs="Times New Roman"/>
          <w:sz w:val="26"/>
          <w:szCs w:val="26"/>
        </w:rPr>
        <w:t xml:space="preserve">-out for one </w:t>
      </w:r>
      <w:r w:rsidR="00DC6BA4" w:rsidRPr="0026743A">
        <w:rPr>
          <w:rFonts w:ascii="Times New Roman" w:hAnsi="Times New Roman" w:cs="Times New Roman"/>
          <w:sz w:val="26"/>
          <w:szCs w:val="26"/>
        </w:rPr>
        <w:lastRenderedPageBreak/>
        <w:t>year)</w:t>
      </w:r>
      <w:r w:rsidR="00C64B1C" w:rsidRPr="0026743A">
        <w:rPr>
          <w:rFonts w:ascii="Times New Roman" w:hAnsi="Times New Roman" w:cs="Times New Roman"/>
          <w:sz w:val="26"/>
          <w:szCs w:val="26"/>
        </w:rPr>
        <w:t>, refusing access to the meter</w:t>
      </w:r>
      <w:r w:rsidR="00DC6BA4" w:rsidRPr="0026743A">
        <w:rPr>
          <w:rFonts w:ascii="Times New Roman" w:hAnsi="Times New Roman" w:cs="Times New Roman"/>
          <w:sz w:val="26"/>
          <w:szCs w:val="26"/>
        </w:rPr>
        <w:t xml:space="preserve"> (stay-out until access is granted)</w:t>
      </w:r>
      <w:r w:rsidR="00C64B1C" w:rsidRPr="0026743A">
        <w:rPr>
          <w:rFonts w:ascii="Times New Roman" w:hAnsi="Times New Roman" w:cs="Times New Roman"/>
          <w:sz w:val="26"/>
          <w:szCs w:val="26"/>
        </w:rPr>
        <w:t>, c</w:t>
      </w:r>
      <w:r w:rsidR="00C64B1C" w:rsidRPr="00FA1360">
        <w:rPr>
          <w:rFonts w:ascii="Times New Roman" w:hAnsi="Times New Roman" w:cs="Times New Roman"/>
          <w:sz w:val="26"/>
          <w:szCs w:val="26"/>
        </w:rPr>
        <w:t>ommitting two or more incidents of unauthorized usage</w:t>
      </w:r>
      <w:r w:rsidR="00DC6BA4">
        <w:rPr>
          <w:rFonts w:ascii="Times New Roman" w:hAnsi="Times New Roman" w:cs="Times New Roman"/>
          <w:sz w:val="26"/>
          <w:szCs w:val="26"/>
        </w:rPr>
        <w:t xml:space="preserve"> (stay-out for one year)</w:t>
      </w:r>
      <w:r w:rsidR="00C64B1C" w:rsidRPr="00FA1360">
        <w:rPr>
          <w:rFonts w:ascii="Times New Roman" w:hAnsi="Times New Roman" w:cs="Times New Roman"/>
          <w:sz w:val="26"/>
          <w:szCs w:val="26"/>
        </w:rPr>
        <w:t>, submitting fraudulent information at application/recertification</w:t>
      </w:r>
      <w:r w:rsidR="00DC6BA4">
        <w:rPr>
          <w:rFonts w:ascii="Times New Roman" w:hAnsi="Times New Roman" w:cs="Times New Roman"/>
          <w:sz w:val="26"/>
          <w:szCs w:val="26"/>
        </w:rPr>
        <w:t xml:space="preserve"> (stay-out for one year)</w:t>
      </w:r>
      <w:r w:rsidR="00C64B1C" w:rsidRPr="00FA1360">
        <w:rPr>
          <w:rFonts w:ascii="Times New Roman" w:hAnsi="Times New Roman" w:cs="Times New Roman"/>
          <w:sz w:val="26"/>
          <w:szCs w:val="26"/>
        </w:rPr>
        <w:t>, or refusing weatherization services</w:t>
      </w:r>
      <w:r w:rsidR="00DC6BA4">
        <w:rPr>
          <w:rFonts w:ascii="Times New Roman" w:hAnsi="Times New Roman" w:cs="Times New Roman"/>
          <w:sz w:val="26"/>
          <w:szCs w:val="26"/>
        </w:rPr>
        <w:t xml:space="preserve"> (stay-out until services are accepted)</w:t>
      </w:r>
      <w:r w:rsidR="00C64B1C" w:rsidRPr="00FA1360">
        <w:rPr>
          <w:rFonts w:ascii="Times New Roman" w:hAnsi="Times New Roman" w:cs="Times New Roman"/>
          <w:sz w:val="26"/>
          <w:szCs w:val="26"/>
        </w:rPr>
        <w:t>.</w:t>
      </w:r>
      <w:r w:rsidR="00AA1665">
        <w:rPr>
          <w:rStyle w:val="FootnoteReference"/>
          <w:rFonts w:ascii="Times New Roman" w:hAnsi="Times New Roman" w:cs="Times New Roman"/>
          <w:sz w:val="26"/>
          <w:szCs w:val="26"/>
        </w:rPr>
        <w:footnoteReference w:id="7"/>
      </w:r>
    </w:p>
    <w:p w:rsidR="00617327" w:rsidRDefault="00617327" w:rsidP="00231829">
      <w:pPr>
        <w:spacing w:after="0" w:line="360" w:lineRule="auto"/>
        <w:contextualSpacing/>
        <w:rPr>
          <w:rFonts w:ascii="Times New Roman" w:hAnsi="Times New Roman" w:cs="Times New Roman"/>
          <w:sz w:val="26"/>
          <w:szCs w:val="26"/>
        </w:rPr>
      </w:pPr>
    </w:p>
    <w:p w:rsidR="00AE47BF" w:rsidRDefault="00DD38CE" w:rsidP="00231829">
      <w:pPr>
        <w:spacing w:after="0" w:line="360" w:lineRule="auto"/>
        <w:contextualSpacing/>
        <w:rPr>
          <w:rFonts w:ascii="Times New Roman" w:hAnsi="Times New Roman" w:cs="Times New Roman"/>
          <w:sz w:val="26"/>
          <w:szCs w:val="26"/>
        </w:rPr>
      </w:pPr>
      <w:r>
        <w:rPr>
          <w:rFonts w:ascii="Times New Roman" w:eastAsia="Times New Roman" w:hAnsi="Times New Roman" w:cs="Times New Roman"/>
          <w:sz w:val="26"/>
          <w:szCs w:val="26"/>
        </w:rPr>
        <w:tab/>
      </w:r>
      <w:r w:rsidR="001040D5">
        <w:rPr>
          <w:rFonts w:ascii="Times New Roman" w:eastAsia="Times New Roman" w:hAnsi="Times New Roman" w:cs="Times New Roman"/>
          <w:sz w:val="26"/>
          <w:szCs w:val="26"/>
        </w:rPr>
        <w:t>As noted in the Tentative Order, b</w:t>
      </w:r>
      <w:r w:rsidR="00F52663">
        <w:rPr>
          <w:rFonts w:ascii="Times New Roman" w:eastAsia="Times New Roman" w:hAnsi="Times New Roman" w:cs="Times New Roman"/>
          <w:sz w:val="26"/>
          <w:szCs w:val="26"/>
        </w:rPr>
        <w:t>ased on</w:t>
      </w:r>
      <w:r w:rsidR="00F52663" w:rsidRPr="00611128">
        <w:rPr>
          <w:rFonts w:ascii="Times New Roman" w:eastAsia="Times New Roman" w:hAnsi="Times New Roman" w:cs="Times New Roman"/>
          <w:sz w:val="26"/>
          <w:szCs w:val="26"/>
        </w:rPr>
        <w:t xml:space="preserve"> o</w:t>
      </w:r>
      <w:r w:rsidR="00F52663">
        <w:rPr>
          <w:rFonts w:ascii="Times New Roman" w:eastAsia="Times New Roman" w:hAnsi="Times New Roman" w:cs="Times New Roman"/>
          <w:sz w:val="26"/>
          <w:szCs w:val="26"/>
        </w:rPr>
        <w:t>ur analysis</w:t>
      </w:r>
      <w:r w:rsidR="00A97F73">
        <w:rPr>
          <w:rFonts w:ascii="Times New Roman" w:eastAsia="Times New Roman" w:hAnsi="Times New Roman" w:cs="Times New Roman"/>
          <w:sz w:val="26"/>
          <w:szCs w:val="26"/>
        </w:rPr>
        <w:t xml:space="preserve"> of</w:t>
      </w:r>
      <w:r w:rsidR="00FF481B">
        <w:rPr>
          <w:rFonts w:ascii="Times New Roman" w:eastAsia="Times New Roman" w:hAnsi="Times New Roman" w:cs="Times New Roman"/>
          <w:sz w:val="26"/>
          <w:szCs w:val="26"/>
        </w:rPr>
        <w:t xml:space="preserve"> PGW’s CRP and a review of 399</w:t>
      </w:r>
      <w:r w:rsidR="00F52663" w:rsidRPr="00611128">
        <w:rPr>
          <w:rFonts w:ascii="Times New Roman" w:eastAsia="Times New Roman" w:hAnsi="Times New Roman" w:cs="Times New Roman"/>
          <w:sz w:val="26"/>
          <w:szCs w:val="26"/>
        </w:rPr>
        <w:t xml:space="preserve"> informal </w:t>
      </w:r>
      <w:r w:rsidR="00F52663">
        <w:rPr>
          <w:rFonts w:ascii="Times New Roman" w:eastAsia="Times New Roman" w:hAnsi="Times New Roman" w:cs="Times New Roman"/>
          <w:sz w:val="26"/>
          <w:szCs w:val="26"/>
        </w:rPr>
        <w:t xml:space="preserve">PUC complaints from </w:t>
      </w:r>
      <w:r w:rsidR="00F52663" w:rsidRPr="00611128">
        <w:rPr>
          <w:rFonts w:ascii="Times New Roman" w:eastAsia="Times New Roman" w:hAnsi="Times New Roman" w:cs="Times New Roman"/>
          <w:sz w:val="26"/>
          <w:szCs w:val="26"/>
        </w:rPr>
        <w:t>CRP custo</w:t>
      </w:r>
      <w:r w:rsidR="00F52663">
        <w:rPr>
          <w:rFonts w:ascii="Times New Roman" w:eastAsia="Times New Roman" w:hAnsi="Times New Roman" w:cs="Times New Roman"/>
          <w:sz w:val="26"/>
          <w:szCs w:val="26"/>
        </w:rPr>
        <w:t xml:space="preserve">mers opened between January 2015 and August 2016, we identified areas of concern requiring </w:t>
      </w:r>
      <w:r w:rsidR="00F52663" w:rsidRPr="00A80583">
        <w:rPr>
          <w:rFonts w:ascii="Times New Roman" w:eastAsia="Times New Roman" w:hAnsi="Times New Roman" w:cs="Times New Roman"/>
          <w:color w:val="0D0D0D" w:themeColor="text1" w:themeTint="F2"/>
          <w:sz w:val="26"/>
          <w:szCs w:val="26"/>
        </w:rPr>
        <w:t>clarification and/or correction</w:t>
      </w:r>
      <w:r w:rsidR="00F52663" w:rsidRPr="00611128">
        <w:rPr>
          <w:rFonts w:ascii="Times New Roman" w:eastAsia="Times New Roman" w:hAnsi="Times New Roman" w:cs="Times New Roman"/>
          <w:sz w:val="26"/>
          <w:szCs w:val="26"/>
        </w:rPr>
        <w:t xml:space="preserve"> </w:t>
      </w:r>
      <w:r w:rsidR="00F52663">
        <w:rPr>
          <w:rFonts w:ascii="Times New Roman" w:eastAsia="Times New Roman" w:hAnsi="Times New Roman" w:cs="Times New Roman"/>
          <w:sz w:val="26"/>
          <w:szCs w:val="26"/>
        </w:rPr>
        <w:t xml:space="preserve">as </w:t>
      </w:r>
      <w:r w:rsidR="00617327" w:rsidRPr="00A80583">
        <w:rPr>
          <w:rFonts w:ascii="Times New Roman" w:eastAsia="Times New Roman" w:hAnsi="Times New Roman" w:cs="Times New Roman"/>
          <w:color w:val="0D0D0D" w:themeColor="text1" w:themeTint="F2"/>
          <w:sz w:val="26"/>
          <w:szCs w:val="26"/>
        </w:rPr>
        <w:t>detailed below.</w:t>
      </w:r>
    </w:p>
    <w:p w:rsidR="00AE47BF" w:rsidRPr="00AE47BF" w:rsidRDefault="00AE47BF" w:rsidP="00231829">
      <w:pPr>
        <w:spacing w:after="0" w:line="360" w:lineRule="auto"/>
        <w:contextualSpacing/>
        <w:rPr>
          <w:rFonts w:ascii="Times New Roman" w:hAnsi="Times New Roman" w:cs="Times New Roman"/>
          <w:sz w:val="26"/>
          <w:szCs w:val="26"/>
        </w:rPr>
      </w:pPr>
    </w:p>
    <w:p w:rsidR="00C47F76" w:rsidRPr="00967EEC" w:rsidRDefault="006F61A8" w:rsidP="00E27657">
      <w:pPr>
        <w:keepNext/>
        <w:spacing w:after="0" w:line="360" w:lineRule="auto"/>
        <w:contextualSpacing/>
        <w:rPr>
          <w:rFonts w:ascii="Times New Roman" w:eastAsia="Times New Roman" w:hAnsi="Times New Roman" w:cs="Times New Roman"/>
          <w:sz w:val="26"/>
          <w:szCs w:val="26"/>
        </w:rPr>
      </w:pPr>
      <w:r w:rsidRPr="000C0B68">
        <w:rPr>
          <w:rFonts w:ascii="Times New Roman" w:eastAsia="Times New Roman" w:hAnsi="Times New Roman" w:cs="Times New Roman"/>
          <w:i/>
          <w:sz w:val="26"/>
          <w:szCs w:val="26"/>
        </w:rPr>
        <w:t>a.  Percent of Income vs. Budget Bill</w:t>
      </w:r>
    </w:p>
    <w:p w:rsidR="006F61A8" w:rsidRDefault="006F61A8" w:rsidP="00E27657">
      <w:pPr>
        <w:keepNext/>
        <w:spacing w:after="0" w:line="360" w:lineRule="auto"/>
        <w:contextualSpacing/>
        <w:rPr>
          <w:rFonts w:ascii="Times New Roman" w:eastAsia="Times New Roman" w:hAnsi="Times New Roman" w:cs="Times New Roman"/>
          <w:sz w:val="26"/>
          <w:szCs w:val="26"/>
        </w:rPr>
      </w:pPr>
    </w:p>
    <w:p w:rsidR="009D5D8F" w:rsidRDefault="000C0B68" w:rsidP="009D5D8F">
      <w:pPr>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191A09">
        <w:rPr>
          <w:rFonts w:ascii="Times New Roman" w:eastAsia="Times New Roman" w:hAnsi="Times New Roman" w:cs="Times New Roman"/>
          <w:sz w:val="26"/>
          <w:szCs w:val="26"/>
        </w:rPr>
        <w:t>BCS ha</w:t>
      </w:r>
      <w:r w:rsidR="009D5D8F">
        <w:rPr>
          <w:rFonts w:ascii="Times New Roman" w:eastAsia="Times New Roman" w:hAnsi="Times New Roman" w:cs="Times New Roman"/>
          <w:sz w:val="26"/>
          <w:szCs w:val="26"/>
        </w:rPr>
        <w:t>d</w:t>
      </w:r>
      <w:r w:rsidR="00191A09">
        <w:rPr>
          <w:rFonts w:ascii="Times New Roman" w:eastAsia="Times New Roman" w:hAnsi="Times New Roman" w:cs="Times New Roman"/>
          <w:sz w:val="26"/>
          <w:szCs w:val="26"/>
        </w:rPr>
        <w:t xml:space="preserve"> </w:t>
      </w:r>
      <w:r w:rsidR="009D5D8F">
        <w:rPr>
          <w:rFonts w:ascii="Times New Roman" w:eastAsia="Times New Roman" w:hAnsi="Times New Roman" w:cs="Times New Roman"/>
          <w:sz w:val="26"/>
          <w:szCs w:val="26"/>
        </w:rPr>
        <w:t xml:space="preserve">informally </w:t>
      </w:r>
      <w:r w:rsidR="00191A09">
        <w:rPr>
          <w:rFonts w:ascii="Times New Roman" w:eastAsia="Times New Roman" w:hAnsi="Times New Roman" w:cs="Times New Roman"/>
          <w:sz w:val="26"/>
          <w:szCs w:val="26"/>
        </w:rPr>
        <w:t xml:space="preserve">asked PGW to consider </w:t>
      </w:r>
      <w:r w:rsidR="00AE47BF">
        <w:rPr>
          <w:rFonts w:ascii="Times New Roman" w:eastAsia="Times New Roman" w:hAnsi="Times New Roman" w:cs="Times New Roman"/>
          <w:sz w:val="26"/>
          <w:szCs w:val="26"/>
        </w:rPr>
        <w:t xml:space="preserve">modifying the CRP to </w:t>
      </w:r>
      <w:r w:rsidR="00191A09">
        <w:rPr>
          <w:rFonts w:ascii="Times New Roman" w:eastAsia="Times New Roman" w:hAnsi="Times New Roman" w:cs="Times New Roman"/>
          <w:sz w:val="26"/>
          <w:szCs w:val="26"/>
        </w:rPr>
        <w:t>allo</w:t>
      </w:r>
      <w:r w:rsidR="00AE47BF">
        <w:rPr>
          <w:rFonts w:ascii="Times New Roman" w:eastAsia="Times New Roman" w:hAnsi="Times New Roman" w:cs="Times New Roman"/>
          <w:sz w:val="26"/>
          <w:szCs w:val="26"/>
        </w:rPr>
        <w:t>w</w:t>
      </w:r>
      <w:r w:rsidR="00292CD7">
        <w:rPr>
          <w:rFonts w:ascii="Times New Roman" w:eastAsia="Times New Roman" w:hAnsi="Times New Roman" w:cs="Times New Roman"/>
          <w:sz w:val="26"/>
          <w:szCs w:val="26"/>
        </w:rPr>
        <w:t xml:space="preserve"> customer</w:t>
      </w:r>
      <w:r w:rsidR="00AE47BF">
        <w:rPr>
          <w:rFonts w:ascii="Times New Roman" w:eastAsia="Times New Roman" w:hAnsi="Times New Roman" w:cs="Times New Roman"/>
          <w:sz w:val="26"/>
          <w:szCs w:val="26"/>
        </w:rPr>
        <w:t>s to enroll in CRP at</w:t>
      </w:r>
      <w:r w:rsidR="00292CD7">
        <w:rPr>
          <w:rFonts w:ascii="Times New Roman" w:eastAsia="Times New Roman" w:hAnsi="Times New Roman" w:cs="Times New Roman"/>
          <w:sz w:val="26"/>
          <w:szCs w:val="26"/>
        </w:rPr>
        <w:t xml:space="preserve"> </w:t>
      </w:r>
      <w:r w:rsidR="00860F3F">
        <w:rPr>
          <w:rFonts w:ascii="Times New Roman" w:eastAsia="Times New Roman" w:hAnsi="Times New Roman" w:cs="Times New Roman"/>
          <w:sz w:val="26"/>
          <w:szCs w:val="26"/>
        </w:rPr>
        <w:t xml:space="preserve">their </w:t>
      </w:r>
      <w:r w:rsidR="00292CD7">
        <w:rPr>
          <w:rFonts w:ascii="Times New Roman" w:eastAsia="Times New Roman" w:hAnsi="Times New Roman" w:cs="Times New Roman"/>
          <w:sz w:val="26"/>
          <w:szCs w:val="26"/>
        </w:rPr>
        <w:t>budget bill</w:t>
      </w:r>
      <w:r w:rsidR="00AE47BF">
        <w:rPr>
          <w:rFonts w:ascii="Times New Roman" w:eastAsia="Times New Roman" w:hAnsi="Times New Roman" w:cs="Times New Roman"/>
          <w:sz w:val="26"/>
          <w:szCs w:val="26"/>
        </w:rPr>
        <w:t>ing</w:t>
      </w:r>
      <w:r w:rsidR="00292CD7">
        <w:rPr>
          <w:rFonts w:ascii="Times New Roman" w:eastAsia="Times New Roman" w:hAnsi="Times New Roman" w:cs="Times New Roman"/>
          <w:sz w:val="26"/>
          <w:szCs w:val="26"/>
        </w:rPr>
        <w:t xml:space="preserve"> </w:t>
      </w:r>
      <w:r w:rsidR="00860F3F">
        <w:rPr>
          <w:rFonts w:ascii="Times New Roman" w:eastAsia="Times New Roman" w:hAnsi="Times New Roman" w:cs="Times New Roman"/>
          <w:sz w:val="26"/>
          <w:szCs w:val="26"/>
        </w:rPr>
        <w:t xml:space="preserve">level </w:t>
      </w:r>
      <w:r w:rsidR="00292CD7">
        <w:rPr>
          <w:rFonts w:ascii="Times New Roman" w:eastAsia="Times New Roman" w:hAnsi="Times New Roman" w:cs="Times New Roman"/>
          <w:sz w:val="26"/>
          <w:szCs w:val="26"/>
        </w:rPr>
        <w:t xml:space="preserve">if it is lower than the PIP.  This would allow low-income customers who </w:t>
      </w:r>
      <w:r w:rsidR="00326B9A">
        <w:rPr>
          <w:rFonts w:ascii="Times New Roman" w:eastAsia="Times New Roman" w:hAnsi="Times New Roman" w:cs="Times New Roman"/>
          <w:sz w:val="26"/>
          <w:szCs w:val="26"/>
        </w:rPr>
        <w:t xml:space="preserve">do not </w:t>
      </w:r>
      <w:r w:rsidR="00292CD7">
        <w:rPr>
          <w:rFonts w:ascii="Times New Roman" w:eastAsia="Times New Roman" w:hAnsi="Times New Roman" w:cs="Times New Roman"/>
          <w:sz w:val="26"/>
          <w:szCs w:val="26"/>
        </w:rPr>
        <w:t xml:space="preserve">currently qualify for CRP to enroll in the program and </w:t>
      </w:r>
      <w:r w:rsidR="00860F3F">
        <w:rPr>
          <w:rFonts w:ascii="Times New Roman" w:eastAsia="Times New Roman" w:hAnsi="Times New Roman" w:cs="Times New Roman"/>
          <w:sz w:val="26"/>
          <w:szCs w:val="26"/>
        </w:rPr>
        <w:t xml:space="preserve">thereby </w:t>
      </w:r>
      <w:r w:rsidR="00292CD7">
        <w:rPr>
          <w:rFonts w:ascii="Times New Roman" w:eastAsia="Times New Roman" w:hAnsi="Times New Roman" w:cs="Times New Roman"/>
          <w:sz w:val="26"/>
          <w:szCs w:val="26"/>
        </w:rPr>
        <w:t xml:space="preserve">receive </w:t>
      </w:r>
      <w:r w:rsidR="00AE47BF">
        <w:rPr>
          <w:rFonts w:ascii="Times New Roman" w:eastAsia="Times New Roman" w:hAnsi="Times New Roman" w:cs="Times New Roman"/>
          <w:sz w:val="26"/>
          <w:szCs w:val="26"/>
        </w:rPr>
        <w:t xml:space="preserve">the </w:t>
      </w:r>
      <w:r w:rsidR="00292CD7">
        <w:rPr>
          <w:rFonts w:ascii="Times New Roman" w:eastAsia="Times New Roman" w:hAnsi="Times New Roman" w:cs="Times New Roman"/>
          <w:sz w:val="26"/>
          <w:szCs w:val="26"/>
        </w:rPr>
        <w:t xml:space="preserve">other benefits of the program, such as arrearage forgiveness and waived late payment charges.  </w:t>
      </w:r>
      <w:r w:rsidR="009D5D8F">
        <w:rPr>
          <w:rFonts w:ascii="Times New Roman" w:eastAsia="Times New Roman" w:hAnsi="Times New Roman" w:cs="Times New Roman"/>
          <w:sz w:val="26"/>
          <w:szCs w:val="26"/>
        </w:rPr>
        <w:t xml:space="preserve">Low-income customers with monthly budget bill amounts lower than the CRP PIP would then be able to have their arrears deferred </w:t>
      </w:r>
      <w:r w:rsidR="00120823">
        <w:rPr>
          <w:rFonts w:ascii="Times New Roman" w:eastAsia="Times New Roman" w:hAnsi="Times New Roman" w:cs="Times New Roman"/>
          <w:sz w:val="26"/>
          <w:szCs w:val="26"/>
        </w:rPr>
        <w:t xml:space="preserve">for forgiveness </w:t>
      </w:r>
      <w:r w:rsidR="009D5D8F">
        <w:rPr>
          <w:rFonts w:ascii="Times New Roman" w:eastAsia="Times New Roman" w:hAnsi="Times New Roman" w:cs="Times New Roman"/>
          <w:sz w:val="26"/>
          <w:szCs w:val="26"/>
        </w:rPr>
        <w:t xml:space="preserve">– or at least partially re-deferred if they were previously enrolled in CRP – and </w:t>
      </w:r>
      <w:r w:rsidR="00860F3F">
        <w:rPr>
          <w:rFonts w:ascii="Times New Roman" w:eastAsia="Times New Roman" w:hAnsi="Times New Roman" w:cs="Times New Roman"/>
          <w:sz w:val="26"/>
          <w:szCs w:val="26"/>
        </w:rPr>
        <w:t xml:space="preserve">to </w:t>
      </w:r>
      <w:r w:rsidR="009D5D8F">
        <w:rPr>
          <w:rFonts w:ascii="Times New Roman" w:eastAsia="Times New Roman" w:hAnsi="Times New Roman" w:cs="Times New Roman"/>
          <w:sz w:val="26"/>
          <w:szCs w:val="26"/>
        </w:rPr>
        <w:t>pay only their monthly budget bill amount</w:t>
      </w:r>
      <w:r w:rsidR="005B11B7">
        <w:rPr>
          <w:rFonts w:ascii="Times New Roman" w:eastAsia="Times New Roman" w:hAnsi="Times New Roman" w:cs="Times New Roman"/>
          <w:sz w:val="26"/>
          <w:szCs w:val="26"/>
        </w:rPr>
        <w:t xml:space="preserve"> while earning arrearage forgiveness</w:t>
      </w:r>
      <w:r w:rsidR="009D5D8F">
        <w:rPr>
          <w:rFonts w:ascii="Times New Roman" w:eastAsia="Times New Roman" w:hAnsi="Times New Roman" w:cs="Times New Roman"/>
          <w:sz w:val="26"/>
          <w:szCs w:val="26"/>
        </w:rPr>
        <w:t xml:space="preserve">.  Further, if a low-income customer cannot enroll in CRP, PGW </w:t>
      </w:r>
      <w:r w:rsidR="0026743A">
        <w:rPr>
          <w:rFonts w:ascii="Times New Roman" w:eastAsia="Times New Roman" w:hAnsi="Times New Roman" w:cs="Times New Roman"/>
          <w:sz w:val="26"/>
          <w:szCs w:val="26"/>
        </w:rPr>
        <w:t>does</w:t>
      </w:r>
      <w:r w:rsidR="009D5D8F">
        <w:rPr>
          <w:rFonts w:ascii="Times New Roman" w:eastAsia="Times New Roman" w:hAnsi="Times New Roman" w:cs="Times New Roman"/>
          <w:sz w:val="26"/>
          <w:szCs w:val="26"/>
        </w:rPr>
        <w:t xml:space="preserve"> not allow that customer to enroll in its LIURP. </w:t>
      </w:r>
    </w:p>
    <w:p w:rsidR="00860F3F" w:rsidRDefault="00860F3F" w:rsidP="009D5D8F">
      <w:pPr>
        <w:spacing w:after="0" w:line="360" w:lineRule="auto"/>
        <w:contextualSpacing/>
        <w:rPr>
          <w:rFonts w:ascii="Times New Roman" w:eastAsia="Times New Roman" w:hAnsi="Times New Roman" w:cs="Times New Roman"/>
          <w:sz w:val="26"/>
          <w:szCs w:val="26"/>
        </w:rPr>
      </w:pPr>
    </w:p>
    <w:p w:rsidR="006F61A8" w:rsidRDefault="00292CD7" w:rsidP="00374E7B">
      <w:pPr>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In its </w:t>
      </w:r>
      <w:r w:rsidR="0026743A">
        <w:rPr>
          <w:rFonts w:ascii="Times New Roman" w:eastAsia="Times New Roman" w:hAnsi="Times New Roman" w:cs="Times New Roman"/>
          <w:sz w:val="26"/>
          <w:szCs w:val="26"/>
        </w:rPr>
        <w:t xml:space="preserve">Amended </w:t>
      </w:r>
      <w:r w:rsidR="0091375C">
        <w:rPr>
          <w:rFonts w:ascii="Times New Roman" w:eastAsia="Times New Roman" w:hAnsi="Times New Roman" w:cs="Times New Roman"/>
          <w:sz w:val="26"/>
          <w:szCs w:val="26"/>
        </w:rPr>
        <w:t xml:space="preserve">Proposed </w:t>
      </w:r>
      <w:r>
        <w:rPr>
          <w:rFonts w:ascii="Times New Roman" w:eastAsia="Times New Roman" w:hAnsi="Times New Roman" w:cs="Times New Roman"/>
          <w:sz w:val="26"/>
          <w:szCs w:val="26"/>
        </w:rPr>
        <w:t xml:space="preserve">2017-2020 Plan, PGW reports it has evaluated </w:t>
      </w:r>
      <w:r w:rsidR="00E27657">
        <w:rPr>
          <w:rFonts w:ascii="Times New Roman" w:eastAsia="Times New Roman" w:hAnsi="Times New Roman" w:cs="Times New Roman"/>
          <w:sz w:val="26"/>
          <w:szCs w:val="26"/>
        </w:rPr>
        <w:t xml:space="preserve">this suggestion and found </w:t>
      </w:r>
      <w:r w:rsidR="00860F3F">
        <w:rPr>
          <w:rFonts w:ascii="Times New Roman" w:eastAsia="Times New Roman" w:hAnsi="Times New Roman" w:cs="Times New Roman"/>
          <w:sz w:val="26"/>
          <w:szCs w:val="26"/>
        </w:rPr>
        <w:t xml:space="preserve">that </w:t>
      </w:r>
      <w:r w:rsidR="00E27657">
        <w:rPr>
          <w:rFonts w:ascii="Times New Roman" w:eastAsia="Times New Roman" w:hAnsi="Times New Roman" w:cs="Times New Roman"/>
          <w:sz w:val="26"/>
          <w:szCs w:val="26"/>
        </w:rPr>
        <w:t xml:space="preserve">it would increase the cost of CRP by approximately $26 million to $36 million annually.  </w:t>
      </w:r>
      <w:r w:rsidR="004527FB">
        <w:rPr>
          <w:rFonts w:ascii="Times New Roman" w:eastAsia="Times New Roman" w:hAnsi="Times New Roman" w:cs="Times New Roman"/>
          <w:sz w:val="26"/>
          <w:szCs w:val="26"/>
        </w:rPr>
        <w:t xml:space="preserve">PGW </w:t>
      </w:r>
      <w:r w:rsidR="009D5D8F">
        <w:rPr>
          <w:rFonts w:ascii="Times New Roman" w:eastAsia="Times New Roman" w:hAnsi="Times New Roman" w:cs="Times New Roman"/>
          <w:sz w:val="26"/>
          <w:szCs w:val="26"/>
        </w:rPr>
        <w:t xml:space="preserve">asserts </w:t>
      </w:r>
      <w:r w:rsidR="004527FB">
        <w:rPr>
          <w:rFonts w:ascii="Times New Roman" w:eastAsia="Times New Roman" w:hAnsi="Times New Roman" w:cs="Times New Roman"/>
          <w:sz w:val="26"/>
          <w:szCs w:val="26"/>
        </w:rPr>
        <w:t>that this additional cost would pla</w:t>
      </w:r>
      <w:r w:rsidR="00AE47BF">
        <w:rPr>
          <w:rFonts w:ascii="Times New Roman" w:eastAsia="Times New Roman" w:hAnsi="Times New Roman" w:cs="Times New Roman"/>
          <w:sz w:val="26"/>
          <w:szCs w:val="26"/>
        </w:rPr>
        <w:t xml:space="preserve">ce an </w:t>
      </w:r>
      <w:r w:rsidR="00AE47BF">
        <w:rPr>
          <w:rFonts w:ascii="Times New Roman" w:eastAsia="Times New Roman" w:hAnsi="Times New Roman" w:cs="Times New Roman"/>
          <w:sz w:val="26"/>
          <w:szCs w:val="26"/>
        </w:rPr>
        <w:lastRenderedPageBreak/>
        <w:t xml:space="preserve">unnecessary burden on </w:t>
      </w:r>
      <w:r w:rsidR="004527FB">
        <w:rPr>
          <w:rFonts w:ascii="Times New Roman" w:eastAsia="Times New Roman" w:hAnsi="Times New Roman" w:cs="Times New Roman"/>
          <w:sz w:val="26"/>
          <w:szCs w:val="26"/>
        </w:rPr>
        <w:t xml:space="preserve">non-CRP </w:t>
      </w:r>
      <w:r w:rsidR="00860F3F">
        <w:rPr>
          <w:rFonts w:ascii="Times New Roman" w:eastAsia="Times New Roman" w:hAnsi="Times New Roman" w:cs="Times New Roman"/>
          <w:sz w:val="26"/>
          <w:szCs w:val="26"/>
        </w:rPr>
        <w:t xml:space="preserve">residential </w:t>
      </w:r>
      <w:r w:rsidR="004527FB">
        <w:rPr>
          <w:rFonts w:ascii="Times New Roman" w:eastAsia="Times New Roman" w:hAnsi="Times New Roman" w:cs="Times New Roman"/>
          <w:sz w:val="26"/>
          <w:szCs w:val="26"/>
        </w:rPr>
        <w:t xml:space="preserve">customers who subsidize the cost of this program.  PGW maintains that </w:t>
      </w:r>
      <w:r w:rsidR="00F524D7">
        <w:rPr>
          <w:rFonts w:ascii="Times New Roman" w:eastAsia="Times New Roman" w:hAnsi="Times New Roman" w:cs="Times New Roman"/>
          <w:sz w:val="26"/>
          <w:szCs w:val="26"/>
        </w:rPr>
        <w:t xml:space="preserve">allowing customers to satisfy arrearages through a payment arrangement if it is lower </w:t>
      </w:r>
      <w:r w:rsidR="00AE47BF">
        <w:rPr>
          <w:rFonts w:ascii="Times New Roman" w:eastAsia="Times New Roman" w:hAnsi="Times New Roman" w:cs="Times New Roman"/>
          <w:sz w:val="26"/>
          <w:szCs w:val="26"/>
        </w:rPr>
        <w:t xml:space="preserve">than the </w:t>
      </w:r>
      <w:r w:rsidR="00456FBA">
        <w:rPr>
          <w:rFonts w:ascii="Times New Roman" w:eastAsia="Times New Roman" w:hAnsi="Times New Roman" w:cs="Times New Roman"/>
          <w:sz w:val="26"/>
          <w:szCs w:val="26"/>
        </w:rPr>
        <w:t>CRP payment</w:t>
      </w:r>
      <w:r w:rsidR="00F524D7">
        <w:rPr>
          <w:rFonts w:ascii="Times New Roman" w:eastAsia="Times New Roman" w:hAnsi="Times New Roman" w:cs="Times New Roman"/>
          <w:sz w:val="26"/>
          <w:szCs w:val="26"/>
        </w:rPr>
        <w:t xml:space="preserve"> is preferable to increasing the cost of the program.  </w:t>
      </w:r>
      <w:r w:rsidR="00326B9A">
        <w:rPr>
          <w:rFonts w:ascii="Times New Roman" w:eastAsia="Times New Roman" w:hAnsi="Times New Roman" w:cs="Times New Roman"/>
          <w:sz w:val="26"/>
          <w:szCs w:val="26"/>
        </w:rPr>
        <w:t xml:space="preserve">Amended Proposed </w:t>
      </w:r>
      <w:r w:rsidR="00365AE5">
        <w:rPr>
          <w:rFonts w:ascii="Times New Roman" w:eastAsia="Times New Roman" w:hAnsi="Times New Roman" w:cs="Times New Roman"/>
          <w:sz w:val="26"/>
          <w:szCs w:val="26"/>
        </w:rPr>
        <w:t>2017-2020 Plan at 4</w:t>
      </w:r>
      <w:r w:rsidR="00F524D7">
        <w:rPr>
          <w:rFonts w:ascii="Times New Roman" w:eastAsia="Times New Roman" w:hAnsi="Times New Roman" w:cs="Times New Roman"/>
          <w:sz w:val="26"/>
          <w:szCs w:val="26"/>
        </w:rPr>
        <w:t xml:space="preserve">.  </w:t>
      </w:r>
    </w:p>
    <w:p w:rsidR="00686C68" w:rsidRDefault="00686C68" w:rsidP="00506DDA">
      <w:pPr>
        <w:spacing w:after="0" w:line="360" w:lineRule="auto"/>
        <w:contextualSpacing/>
        <w:rPr>
          <w:rFonts w:ascii="Times New Roman" w:eastAsia="Times New Roman" w:hAnsi="Times New Roman" w:cs="Times New Roman"/>
          <w:sz w:val="26"/>
          <w:szCs w:val="26"/>
        </w:rPr>
      </w:pPr>
    </w:p>
    <w:p w:rsidR="00911999" w:rsidRDefault="000C0B68" w:rsidP="00506DDA">
      <w:pPr>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506DDA">
        <w:rPr>
          <w:rFonts w:ascii="Times New Roman" w:eastAsia="Times New Roman" w:hAnsi="Times New Roman" w:cs="Times New Roman"/>
          <w:sz w:val="26"/>
          <w:szCs w:val="26"/>
        </w:rPr>
        <w:t xml:space="preserve">Out of the 399 CRP </w:t>
      </w:r>
      <w:r w:rsidR="00FF481B">
        <w:rPr>
          <w:rFonts w:ascii="Times New Roman" w:eastAsia="Times New Roman" w:hAnsi="Times New Roman" w:cs="Times New Roman"/>
          <w:sz w:val="26"/>
          <w:szCs w:val="26"/>
        </w:rPr>
        <w:t xml:space="preserve">informal </w:t>
      </w:r>
      <w:r w:rsidR="00506DDA">
        <w:rPr>
          <w:rFonts w:ascii="Times New Roman" w:eastAsia="Times New Roman" w:hAnsi="Times New Roman" w:cs="Times New Roman"/>
          <w:sz w:val="26"/>
          <w:szCs w:val="26"/>
        </w:rPr>
        <w:t xml:space="preserve">complaints reviewed by BCS for this Order, </w:t>
      </w:r>
      <w:r w:rsidR="003D1CB3">
        <w:rPr>
          <w:rFonts w:ascii="Times New Roman" w:eastAsia="Times New Roman" w:hAnsi="Times New Roman" w:cs="Times New Roman"/>
          <w:sz w:val="26"/>
          <w:szCs w:val="26"/>
        </w:rPr>
        <w:t>76</w:t>
      </w:r>
      <w:r w:rsidR="009D5D8F">
        <w:rPr>
          <w:rFonts w:ascii="Times New Roman" w:eastAsia="Times New Roman" w:hAnsi="Times New Roman" w:cs="Times New Roman"/>
          <w:sz w:val="26"/>
          <w:szCs w:val="26"/>
        </w:rPr>
        <w:t> </w:t>
      </w:r>
      <w:r w:rsidR="00456FBA">
        <w:rPr>
          <w:rFonts w:ascii="Times New Roman" w:eastAsia="Times New Roman" w:hAnsi="Times New Roman" w:cs="Times New Roman"/>
          <w:sz w:val="26"/>
          <w:szCs w:val="26"/>
        </w:rPr>
        <w:t>(19</w:t>
      </w:r>
      <w:r w:rsidR="009D5D8F">
        <w:rPr>
          <w:rFonts w:ascii="Times New Roman" w:eastAsia="Times New Roman" w:hAnsi="Times New Roman" w:cs="Times New Roman"/>
          <w:sz w:val="26"/>
          <w:szCs w:val="26"/>
        </w:rPr>
        <w:t> </w:t>
      </w:r>
      <w:r w:rsidR="00456FBA">
        <w:rPr>
          <w:rFonts w:ascii="Times New Roman" w:eastAsia="Times New Roman" w:hAnsi="Times New Roman" w:cs="Times New Roman"/>
          <w:sz w:val="26"/>
          <w:szCs w:val="26"/>
        </w:rPr>
        <w:t xml:space="preserve">percent) </w:t>
      </w:r>
      <w:r w:rsidR="009D5D8F">
        <w:rPr>
          <w:rFonts w:ascii="Times New Roman" w:eastAsia="Times New Roman" w:hAnsi="Times New Roman" w:cs="Times New Roman"/>
          <w:sz w:val="26"/>
          <w:szCs w:val="26"/>
        </w:rPr>
        <w:t xml:space="preserve">of the complaints </w:t>
      </w:r>
      <w:r w:rsidR="00506DDA">
        <w:rPr>
          <w:rFonts w:ascii="Times New Roman" w:eastAsia="Times New Roman" w:hAnsi="Times New Roman" w:cs="Times New Roman"/>
          <w:sz w:val="26"/>
          <w:szCs w:val="26"/>
        </w:rPr>
        <w:t>were from customers who were determined ineligible for CRP because their monthly budget or payment arrangement bills were lower</w:t>
      </w:r>
      <w:r w:rsidR="00456FBA">
        <w:rPr>
          <w:rFonts w:ascii="Times New Roman" w:eastAsia="Times New Roman" w:hAnsi="Times New Roman" w:cs="Times New Roman"/>
          <w:sz w:val="26"/>
          <w:szCs w:val="26"/>
        </w:rPr>
        <w:t xml:space="preserve"> than the CRP </w:t>
      </w:r>
      <w:r w:rsidR="00FF481B">
        <w:rPr>
          <w:rFonts w:ascii="Times New Roman" w:eastAsia="Times New Roman" w:hAnsi="Times New Roman" w:cs="Times New Roman"/>
          <w:sz w:val="26"/>
          <w:szCs w:val="26"/>
        </w:rPr>
        <w:t>PIP</w:t>
      </w:r>
      <w:r w:rsidR="00456FBA">
        <w:rPr>
          <w:rFonts w:ascii="Times New Roman" w:eastAsia="Times New Roman" w:hAnsi="Times New Roman" w:cs="Times New Roman"/>
          <w:sz w:val="26"/>
          <w:szCs w:val="26"/>
        </w:rPr>
        <w:t xml:space="preserve"> amount</w:t>
      </w:r>
      <w:r w:rsidR="00506DDA">
        <w:rPr>
          <w:rFonts w:ascii="Times New Roman" w:eastAsia="Times New Roman" w:hAnsi="Times New Roman" w:cs="Times New Roman"/>
          <w:sz w:val="26"/>
          <w:szCs w:val="26"/>
        </w:rPr>
        <w:t xml:space="preserve">.  </w:t>
      </w:r>
      <w:r w:rsidR="00506DDA" w:rsidRPr="00B16A30">
        <w:rPr>
          <w:rFonts w:ascii="Times New Roman" w:eastAsia="Times New Roman" w:hAnsi="Times New Roman" w:cs="Times New Roman"/>
          <w:sz w:val="26"/>
          <w:szCs w:val="26"/>
        </w:rPr>
        <w:t xml:space="preserve">However, in order to qualify for the budget bill or payment arrangement, </w:t>
      </w:r>
      <w:r w:rsidR="00686C68" w:rsidRPr="00B16A30">
        <w:rPr>
          <w:rFonts w:ascii="Times New Roman" w:eastAsia="Times New Roman" w:hAnsi="Times New Roman" w:cs="Times New Roman"/>
          <w:sz w:val="26"/>
          <w:szCs w:val="26"/>
        </w:rPr>
        <w:t xml:space="preserve">many of these </w:t>
      </w:r>
      <w:r w:rsidR="00506DDA" w:rsidRPr="00B16A30">
        <w:rPr>
          <w:rFonts w:ascii="Times New Roman" w:eastAsia="Times New Roman" w:hAnsi="Times New Roman" w:cs="Times New Roman"/>
          <w:sz w:val="26"/>
          <w:szCs w:val="26"/>
        </w:rPr>
        <w:t xml:space="preserve">customers were often </w:t>
      </w:r>
      <w:r w:rsidR="00686C68" w:rsidRPr="00B16A30">
        <w:rPr>
          <w:rFonts w:ascii="Times New Roman" w:eastAsia="Times New Roman" w:hAnsi="Times New Roman" w:cs="Times New Roman"/>
          <w:sz w:val="26"/>
          <w:szCs w:val="26"/>
        </w:rPr>
        <w:t>required to make up-front payments</w:t>
      </w:r>
      <w:r w:rsidR="00365AE5" w:rsidRPr="00B16A30">
        <w:rPr>
          <w:rFonts w:ascii="Times New Roman" w:eastAsia="Times New Roman" w:hAnsi="Times New Roman" w:cs="Times New Roman"/>
          <w:sz w:val="26"/>
          <w:szCs w:val="26"/>
        </w:rPr>
        <w:t xml:space="preserve"> that were beyond their means.</w:t>
      </w:r>
      <w:r w:rsidR="00EE62FE">
        <w:rPr>
          <w:rFonts w:ascii="Times New Roman" w:eastAsia="Times New Roman" w:hAnsi="Times New Roman" w:cs="Times New Roman"/>
          <w:sz w:val="26"/>
          <w:szCs w:val="26"/>
        </w:rPr>
        <w:t xml:space="preserve">  </w:t>
      </w:r>
      <w:r w:rsidR="00EE62FE" w:rsidDel="00860F3F">
        <w:rPr>
          <w:rFonts w:ascii="Times New Roman" w:eastAsia="Times New Roman" w:hAnsi="Times New Roman" w:cs="Times New Roman"/>
          <w:sz w:val="26"/>
          <w:szCs w:val="26"/>
        </w:rPr>
        <w:t xml:space="preserve">If a customer has already broken two or more payment agreements – and is therefore ineligible for further payment arrangements – PGW will only </w:t>
      </w:r>
      <w:r w:rsidR="00FF481B" w:rsidDel="00860F3F">
        <w:rPr>
          <w:rFonts w:ascii="Times New Roman" w:eastAsia="Times New Roman" w:hAnsi="Times New Roman" w:cs="Times New Roman"/>
          <w:sz w:val="26"/>
          <w:szCs w:val="26"/>
        </w:rPr>
        <w:t xml:space="preserve">consider whether the CRP PIP amount is lower than the </w:t>
      </w:r>
      <w:r w:rsidR="00EE62FE" w:rsidDel="00860F3F">
        <w:rPr>
          <w:rFonts w:ascii="Times New Roman" w:eastAsia="Times New Roman" w:hAnsi="Times New Roman" w:cs="Times New Roman"/>
          <w:sz w:val="26"/>
          <w:szCs w:val="26"/>
        </w:rPr>
        <w:t>budget bill, regardless of existing arrears.</w:t>
      </w:r>
    </w:p>
    <w:p w:rsidR="009F0DAD" w:rsidRDefault="009F0DAD" w:rsidP="00506DDA">
      <w:pPr>
        <w:spacing w:after="0" w:line="360" w:lineRule="auto"/>
        <w:contextualSpacing/>
        <w:rPr>
          <w:rFonts w:ascii="Times New Roman" w:eastAsia="Times New Roman" w:hAnsi="Times New Roman" w:cs="Times New Roman"/>
          <w:sz w:val="26"/>
          <w:szCs w:val="26"/>
        </w:rPr>
      </w:pPr>
    </w:p>
    <w:p w:rsidR="009F0DAD" w:rsidRDefault="009F0DAD" w:rsidP="00506DDA">
      <w:pPr>
        <w:spacing w:after="0" w:line="360" w:lineRule="auto"/>
        <w:contextualSpacing/>
        <w:rPr>
          <w:rFonts w:ascii="Times New Roman" w:eastAsia="Times New Roman" w:hAnsi="Times New Roman" w:cs="Times New Roman"/>
          <w:b/>
          <w:sz w:val="26"/>
          <w:szCs w:val="26"/>
        </w:rPr>
      </w:pPr>
      <w:r>
        <w:rPr>
          <w:rFonts w:ascii="Times New Roman" w:eastAsia="Times New Roman" w:hAnsi="Times New Roman" w:cs="Times New Roman"/>
          <w:sz w:val="26"/>
          <w:szCs w:val="26"/>
        </w:rPr>
        <w:tab/>
        <w:t>Out of th</w:t>
      </w:r>
      <w:r w:rsidR="00D142B6">
        <w:rPr>
          <w:rFonts w:ascii="Times New Roman" w:eastAsia="Times New Roman" w:hAnsi="Times New Roman" w:cs="Times New Roman"/>
          <w:sz w:val="26"/>
          <w:szCs w:val="26"/>
        </w:rPr>
        <w:t>ose</w:t>
      </w:r>
      <w:r>
        <w:rPr>
          <w:rFonts w:ascii="Times New Roman" w:eastAsia="Times New Roman" w:hAnsi="Times New Roman" w:cs="Times New Roman"/>
          <w:sz w:val="26"/>
          <w:szCs w:val="26"/>
        </w:rPr>
        <w:t xml:space="preserve"> 76 complaints received from customers denied CRP enrollment because of this issue, 13 were instructed to immediately pay balances between $500 and $1,000; 11 were instructed to pay balances between $1,000 and $2,000; </w:t>
      </w:r>
      <w:r w:rsidR="001040D5">
        <w:rPr>
          <w:rFonts w:ascii="Times New Roman" w:eastAsia="Times New Roman" w:hAnsi="Times New Roman" w:cs="Times New Roman"/>
          <w:sz w:val="26"/>
          <w:szCs w:val="26"/>
        </w:rPr>
        <w:t>seven (</w:t>
      </w:r>
      <w:r>
        <w:rPr>
          <w:rFonts w:ascii="Times New Roman" w:eastAsia="Times New Roman" w:hAnsi="Times New Roman" w:cs="Times New Roman"/>
          <w:sz w:val="26"/>
          <w:szCs w:val="26"/>
        </w:rPr>
        <w:t>7</w:t>
      </w:r>
      <w:r w:rsidR="001040D5">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were instructed to pay balances between $2,000 and $3,000; and </w:t>
      </w:r>
      <w:r w:rsidR="001040D5">
        <w:rPr>
          <w:rFonts w:ascii="Times New Roman" w:eastAsia="Times New Roman" w:hAnsi="Times New Roman" w:cs="Times New Roman"/>
          <w:sz w:val="26"/>
          <w:szCs w:val="26"/>
        </w:rPr>
        <w:t>six (</w:t>
      </w:r>
      <w:r>
        <w:rPr>
          <w:rFonts w:ascii="Times New Roman" w:eastAsia="Times New Roman" w:hAnsi="Times New Roman" w:cs="Times New Roman"/>
          <w:sz w:val="26"/>
          <w:szCs w:val="26"/>
        </w:rPr>
        <w:t>6</w:t>
      </w:r>
      <w:r w:rsidR="001040D5">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customers were instructed to pay balances exceeding $3,000.  These customers were ineligible for further payment arrangements and faced termination.</w:t>
      </w:r>
    </w:p>
    <w:p w:rsidR="005449CC" w:rsidRPr="005449CC" w:rsidRDefault="005449CC" w:rsidP="00506DDA">
      <w:pPr>
        <w:spacing w:after="0" w:line="360" w:lineRule="auto"/>
        <w:contextualSpacing/>
        <w:rPr>
          <w:rFonts w:ascii="Times New Roman" w:eastAsia="Times New Roman" w:hAnsi="Times New Roman" w:cs="Times New Roman"/>
          <w:b/>
          <w:sz w:val="26"/>
          <w:szCs w:val="26"/>
        </w:rPr>
      </w:pPr>
    </w:p>
    <w:p w:rsidR="00FA21CC" w:rsidRDefault="000C0B68" w:rsidP="003309A7">
      <w:pPr>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F472D6">
        <w:rPr>
          <w:rFonts w:ascii="Times New Roman" w:eastAsia="Times New Roman" w:hAnsi="Times New Roman" w:cs="Times New Roman"/>
          <w:sz w:val="26"/>
          <w:szCs w:val="26"/>
        </w:rPr>
        <w:t>In the Tentative Order, we asked PGW to</w:t>
      </w:r>
      <w:r w:rsidR="00D55612">
        <w:rPr>
          <w:rFonts w:ascii="Times New Roman" w:eastAsia="Times New Roman" w:hAnsi="Times New Roman" w:cs="Times New Roman"/>
          <w:sz w:val="26"/>
          <w:szCs w:val="26"/>
        </w:rPr>
        <w:t xml:space="preserve"> provide a cost breakdown </w:t>
      </w:r>
      <w:r w:rsidR="00FA21CC">
        <w:rPr>
          <w:rFonts w:ascii="Times New Roman" w:eastAsia="Times New Roman" w:hAnsi="Times New Roman" w:cs="Times New Roman"/>
          <w:sz w:val="26"/>
          <w:szCs w:val="26"/>
        </w:rPr>
        <w:t xml:space="preserve">estimate </w:t>
      </w:r>
      <w:r w:rsidR="00D55612">
        <w:rPr>
          <w:rFonts w:ascii="Times New Roman" w:eastAsia="Times New Roman" w:hAnsi="Times New Roman" w:cs="Times New Roman"/>
          <w:sz w:val="26"/>
          <w:szCs w:val="26"/>
        </w:rPr>
        <w:t xml:space="preserve">that explains how </w:t>
      </w:r>
      <w:r w:rsidR="003309A7">
        <w:rPr>
          <w:rFonts w:ascii="Times New Roman" w:eastAsia="Times New Roman" w:hAnsi="Times New Roman" w:cs="Times New Roman"/>
          <w:sz w:val="26"/>
          <w:szCs w:val="26"/>
        </w:rPr>
        <w:t xml:space="preserve">allowing customers to enroll in CRP based on a </w:t>
      </w:r>
      <w:r w:rsidR="00E660A4">
        <w:rPr>
          <w:rFonts w:ascii="Times New Roman" w:eastAsia="Times New Roman" w:hAnsi="Times New Roman" w:cs="Times New Roman"/>
          <w:sz w:val="26"/>
          <w:szCs w:val="26"/>
        </w:rPr>
        <w:t xml:space="preserve">budget bill amount </w:t>
      </w:r>
      <w:r w:rsidR="00D55612">
        <w:rPr>
          <w:rFonts w:ascii="Times New Roman" w:eastAsia="Times New Roman" w:hAnsi="Times New Roman" w:cs="Times New Roman"/>
          <w:sz w:val="26"/>
          <w:szCs w:val="26"/>
        </w:rPr>
        <w:t xml:space="preserve">would </w:t>
      </w:r>
      <w:r w:rsidR="008C0367">
        <w:rPr>
          <w:rFonts w:ascii="Times New Roman" w:eastAsia="Times New Roman" w:hAnsi="Times New Roman" w:cs="Times New Roman"/>
          <w:sz w:val="26"/>
          <w:szCs w:val="26"/>
        </w:rPr>
        <w:t xml:space="preserve">increase program costs </w:t>
      </w:r>
      <w:r w:rsidR="00E660A4">
        <w:rPr>
          <w:rFonts w:ascii="Times New Roman" w:eastAsia="Times New Roman" w:hAnsi="Times New Roman" w:cs="Times New Roman"/>
          <w:sz w:val="26"/>
          <w:szCs w:val="26"/>
        </w:rPr>
        <w:t>by</w:t>
      </w:r>
      <w:r w:rsidR="00D55612">
        <w:rPr>
          <w:rFonts w:ascii="Times New Roman" w:eastAsia="Times New Roman" w:hAnsi="Times New Roman" w:cs="Times New Roman"/>
          <w:sz w:val="26"/>
          <w:szCs w:val="26"/>
        </w:rPr>
        <w:t xml:space="preserve"> </w:t>
      </w:r>
      <w:r w:rsidR="00E5666E">
        <w:rPr>
          <w:rFonts w:ascii="Times New Roman" w:eastAsia="Times New Roman" w:hAnsi="Times New Roman" w:cs="Times New Roman"/>
          <w:sz w:val="26"/>
          <w:szCs w:val="26"/>
        </w:rPr>
        <w:t>approximately $26 million to $36</w:t>
      </w:r>
      <w:r w:rsidR="00C22E96">
        <w:rPr>
          <w:rFonts w:ascii="Times New Roman" w:eastAsia="Times New Roman" w:hAnsi="Times New Roman" w:cs="Times New Roman"/>
          <w:sz w:val="26"/>
          <w:szCs w:val="26"/>
        </w:rPr>
        <w:t> </w:t>
      </w:r>
      <w:r w:rsidR="00E5666E">
        <w:rPr>
          <w:rFonts w:ascii="Times New Roman" w:eastAsia="Times New Roman" w:hAnsi="Times New Roman" w:cs="Times New Roman"/>
          <w:sz w:val="26"/>
          <w:szCs w:val="26"/>
        </w:rPr>
        <w:t>million.</w:t>
      </w:r>
      <w:r w:rsidR="003309A7">
        <w:rPr>
          <w:rFonts w:ascii="Times New Roman" w:eastAsia="Times New Roman" w:hAnsi="Times New Roman" w:cs="Times New Roman"/>
          <w:sz w:val="26"/>
          <w:szCs w:val="26"/>
        </w:rPr>
        <w:t xml:space="preserve">  </w:t>
      </w:r>
      <w:r w:rsidR="00FA21CC">
        <w:rPr>
          <w:rFonts w:ascii="Times New Roman" w:eastAsia="Times New Roman" w:hAnsi="Times New Roman" w:cs="Times New Roman"/>
          <w:sz w:val="26"/>
          <w:szCs w:val="26"/>
        </w:rPr>
        <w:t xml:space="preserve">We also </w:t>
      </w:r>
      <w:r w:rsidR="003309A7">
        <w:rPr>
          <w:rFonts w:ascii="Times New Roman" w:eastAsia="Times New Roman" w:hAnsi="Times New Roman" w:cs="Times New Roman"/>
          <w:sz w:val="26"/>
          <w:szCs w:val="26"/>
        </w:rPr>
        <w:t>asked</w:t>
      </w:r>
      <w:r w:rsidR="00C22E96">
        <w:rPr>
          <w:rFonts w:ascii="Times New Roman" w:eastAsia="Times New Roman" w:hAnsi="Times New Roman" w:cs="Times New Roman"/>
          <w:sz w:val="26"/>
          <w:szCs w:val="26"/>
        </w:rPr>
        <w:t xml:space="preserve"> </w:t>
      </w:r>
      <w:r w:rsidR="00FA21CC">
        <w:rPr>
          <w:rFonts w:ascii="Times New Roman" w:eastAsia="Times New Roman" w:hAnsi="Times New Roman" w:cs="Times New Roman"/>
          <w:sz w:val="26"/>
          <w:szCs w:val="26"/>
        </w:rPr>
        <w:t xml:space="preserve">PGW to </w:t>
      </w:r>
      <w:r w:rsidR="003309A7">
        <w:rPr>
          <w:rFonts w:ascii="Times New Roman" w:eastAsia="Times New Roman" w:hAnsi="Times New Roman" w:cs="Times New Roman"/>
          <w:sz w:val="26"/>
          <w:szCs w:val="26"/>
        </w:rPr>
        <w:t xml:space="preserve">provide </w:t>
      </w:r>
      <w:r w:rsidR="00792D68">
        <w:rPr>
          <w:rFonts w:ascii="Times New Roman" w:eastAsia="Times New Roman" w:hAnsi="Times New Roman" w:cs="Times New Roman"/>
          <w:sz w:val="26"/>
          <w:szCs w:val="26"/>
        </w:rPr>
        <w:t xml:space="preserve">information about the impact of its current CRP policy on customers.  Specifically: </w:t>
      </w:r>
    </w:p>
    <w:p w:rsidR="00792D68" w:rsidRDefault="00792D68" w:rsidP="00792D68">
      <w:pPr>
        <w:pStyle w:val="ListParagraph"/>
        <w:spacing w:line="360" w:lineRule="auto"/>
        <w:rPr>
          <w:sz w:val="26"/>
          <w:szCs w:val="26"/>
        </w:rPr>
      </w:pPr>
    </w:p>
    <w:p w:rsidR="00792D68" w:rsidRDefault="00C1359D" w:rsidP="008921A5">
      <w:pPr>
        <w:pStyle w:val="ListParagraph"/>
        <w:numPr>
          <w:ilvl w:val="0"/>
          <w:numId w:val="43"/>
        </w:numPr>
        <w:spacing w:line="360" w:lineRule="auto"/>
        <w:rPr>
          <w:sz w:val="26"/>
          <w:szCs w:val="26"/>
        </w:rPr>
      </w:pPr>
      <w:r>
        <w:rPr>
          <w:sz w:val="26"/>
          <w:szCs w:val="26"/>
        </w:rPr>
        <w:lastRenderedPageBreak/>
        <w:t>How many low-</w:t>
      </w:r>
      <w:r w:rsidR="00FA21CC" w:rsidRPr="00C1359D">
        <w:rPr>
          <w:sz w:val="26"/>
          <w:szCs w:val="26"/>
        </w:rPr>
        <w:t xml:space="preserve">income customers were denied CRP enrollment in </w:t>
      </w:r>
      <w:r w:rsidR="00120823">
        <w:rPr>
          <w:sz w:val="26"/>
          <w:szCs w:val="26"/>
        </w:rPr>
        <w:t xml:space="preserve">2013, </w:t>
      </w:r>
      <w:r w:rsidR="00FA21CC" w:rsidRPr="00C1359D">
        <w:rPr>
          <w:sz w:val="26"/>
          <w:szCs w:val="26"/>
        </w:rPr>
        <w:t>2014</w:t>
      </w:r>
      <w:r w:rsidR="00120823">
        <w:rPr>
          <w:sz w:val="26"/>
          <w:szCs w:val="26"/>
        </w:rPr>
        <w:t>,</w:t>
      </w:r>
      <w:r w:rsidR="00FA21CC" w:rsidRPr="00C1359D">
        <w:rPr>
          <w:sz w:val="26"/>
          <w:szCs w:val="26"/>
        </w:rPr>
        <w:t xml:space="preserve"> and 2015 due to the CRP rate not being the most advantageous?</w:t>
      </w:r>
    </w:p>
    <w:p w:rsidR="00792D68" w:rsidRDefault="00071AAC" w:rsidP="008921A5">
      <w:pPr>
        <w:pStyle w:val="ListParagraph"/>
        <w:numPr>
          <w:ilvl w:val="0"/>
          <w:numId w:val="43"/>
        </w:numPr>
        <w:spacing w:line="360" w:lineRule="auto"/>
        <w:rPr>
          <w:sz w:val="26"/>
          <w:szCs w:val="26"/>
        </w:rPr>
      </w:pPr>
      <w:r w:rsidRPr="00792D68">
        <w:rPr>
          <w:sz w:val="26"/>
          <w:szCs w:val="26"/>
        </w:rPr>
        <w:t xml:space="preserve">How </w:t>
      </w:r>
      <w:r w:rsidR="00792D68">
        <w:rPr>
          <w:sz w:val="26"/>
          <w:szCs w:val="26"/>
        </w:rPr>
        <w:t>customers denied CRP enrollment for this reason</w:t>
      </w:r>
      <w:r w:rsidRPr="00792D68">
        <w:rPr>
          <w:sz w:val="26"/>
          <w:szCs w:val="26"/>
        </w:rPr>
        <w:t xml:space="preserve"> were entered into payment arrangements?  How many of these pa</w:t>
      </w:r>
      <w:r w:rsidR="00792D68">
        <w:rPr>
          <w:sz w:val="26"/>
          <w:szCs w:val="26"/>
        </w:rPr>
        <w:t>yment arrangements were broken?</w:t>
      </w:r>
    </w:p>
    <w:p w:rsidR="00FA21CC" w:rsidRPr="00C1359D" w:rsidRDefault="00071AAC" w:rsidP="008921A5">
      <w:pPr>
        <w:pStyle w:val="ListParagraph"/>
        <w:numPr>
          <w:ilvl w:val="0"/>
          <w:numId w:val="43"/>
        </w:numPr>
        <w:spacing w:line="360" w:lineRule="auto"/>
        <w:rPr>
          <w:sz w:val="26"/>
          <w:szCs w:val="26"/>
        </w:rPr>
      </w:pPr>
      <w:r>
        <w:rPr>
          <w:sz w:val="26"/>
          <w:szCs w:val="26"/>
        </w:rPr>
        <w:t>H</w:t>
      </w:r>
      <w:r w:rsidR="00792D68">
        <w:rPr>
          <w:sz w:val="26"/>
          <w:szCs w:val="26"/>
        </w:rPr>
        <w:t>ow many of these customers were</w:t>
      </w:r>
      <w:r w:rsidR="00FA21CC" w:rsidRPr="00C1359D">
        <w:rPr>
          <w:sz w:val="26"/>
          <w:szCs w:val="26"/>
        </w:rPr>
        <w:t xml:space="preserve"> ineligible for further payment arrangements</w:t>
      </w:r>
      <w:r w:rsidR="00881C18" w:rsidRPr="00C1359D">
        <w:rPr>
          <w:sz w:val="26"/>
          <w:szCs w:val="26"/>
        </w:rPr>
        <w:t xml:space="preserve"> and were rejected based on their budget bill amount</w:t>
      </w:r>
      <w:r w:rsidR="00FA21CC" w:rsidRPr="00C1359D">
        <w:rPr>
          <w:sz w:val="26"/>
          <w:szCs w:val="26"/>
        </w:rPr>
        <w:t>?</w:t>
      </w:r>
    </w:p>
    <w:p w:rsidR="00120823" w:rsidRDefault="005B11B7" w:rsidP="008921A5">
      <w:pPr>
        <w:pStyle w:val="ListParagraph"/>
        <w:numPr>
          <w:ilvl w:val="0"/>
          <w:numId w:val="43"/>
        </w:numPr>
        <w:spacing w:line="360" w:lineRule="auto"/>
        <w:rPr>
          <w:sz w:val="26"/>
          <w:szCs w:val="26"/>
        </w:rPr>
      </w:pPr>
      <w:r>
        <w:rPr>
          <w:sz w:val="26"/>
          <w:szCs w:val="26"/>
        </w:rPr>
        <w:t>How many low-</w:t>
      </w:r>
      <w:r w:rsidRPr="00C1359D">
        <w:rPr>
          <w:sz w:val="26"/>
          <w:szCs w:val="26"/>
        </w:rPr>
        <w:t xml:space="preserve">income customers </w:t>
      </w:r>
      <w:r>
        <w:rPr>
          <w:sz w:val="26"/>
          <w:szCs w:val="26"/>
        </w:rPr>
        <w:t>with usage levels above 2</w:t>
      </w:r>
      <w:r w:rsidR="00341ADB">
        <w:rPr>
          <w:sz w:val="26"/>
          <w:szCs w:val="26"/>
        </w:rPr>
        <w:t>,</w:t>
      </w:r>
      <w:r>
        <w:rPr>
          <w:sz w:val="26"/>
          <w:szCs w:val="26"/>
        </w:rPr>
        <w:t xml:space="preserve">125 CCF </w:t>
      </w:r>
      <w:r w:rsidRPr="00C1359D">
        <w:rPr>
          <w:sz w:val="26"/>
          <w:szCs w:val="26"/>
        </w:rPr>
        <w:t xml:space="preserve">were denied </w:t>
      </w:r>
      <w:r>
        <w:rPr>
          <w:sz w:val="26"/>
          <w:szCs w:val="26"/>
        </w:rPr>
        <w:t xml:space="preserve">CRP Home Comfort </w:t>
      </w:r>
      <w:r w:rsidRPr="00C1359D">
        <w:rPr>
          <w:sz w:val="26"/>
          <w:szCs w:val="26"/>
        </w:rPr>
        <w:t xml:space="preserve">enrollment in </w:t>
      </w:r>
      <w:r w:rsidR="00120823">
        <w:rPr>
          <w:sz w:val="26"/>
          <w:szCs w:val="26"/>
        </w:rPr>
        <w:t xml:space="preserve">2013, </w:t>
      </w:r>
      <w:r w:rsidRPr="00C1359D">
        <w:rPr>
          <w:sz w:val="26"/>
          <w:szCs w:val="26"/>
        </w:rPr>
        <w:t>2014</w:t>
      </w:r>
      <w:r w:rsidR="00120823">
        <w:rPr>
          <w:sz w:val="26"/>
          <w:szCs w:val="26"/>
        </w:rPr>
        <w:t>,</w:t>
      </w:r>
      <w:r w:rsidRPr="00C1359D">
        <w:rPr>
          <w:sz w:val="26"/>
          <w:szCs w:val="26"/>
        </w:rPr>
        <w:t xml:space="preserve"> and 2015 </w:t>
      </w:r>
      <w:r>
        <w:rPr>
          <w:sz w:val="26"/>
          <w:szCs w:val="26"/>
        </w:rPr>
        <w:t xml:space="preserve">because they could not enroll in CRP </w:t>
      </w:r>
      <w:r w:rsidRPr="00C1359D">
        <w:rPr>
          <w:sz w:val="26"/>
          <w:szCs w:val="26"/>
        </w:rPr>
        <w:t xml:space="preserve">due to the CRP rate </w:t>
      </w:r>
      <w:r w:rsidR="00120823">
        <w:rPr>
          <w:sz w:val="26"/>
          <w:szCs w:val="26"/>
        </w:rPr>
        <w:t>not being the most advantageous?</w:t>
      </w:r>
    </w:p>
    <w:p w:rsidR="005B11B7" w:rsidRPr="001969C9" w:rsidRDefault="008921A5" w:rsidP="00967EEC">
      <w:pPr>
        <w:pStyle w:val="ListParagraph"/>
        <w:numPr>
          <w:ilvl w:val="0"/>
          <w:numId w:val="43"/>
        </w:numPr>
        <w:spacing w:line="360" w:lineRule="auto"/>
        <w:rPr>
          <w:sz w:val="26"/>
          <w:szCs w:val="26"/>
        </w:rPr>
      </w:pPr>
      <w:r>
        <w:rPr>
          <w:sz w:val="26"/>
          <w:szCs w:val="26"/>
        </w:rPr>
        <w:t>And</w:t>
      </w:r>
      <w:r w:rsidR="00120823">
        <w:rPr>
          <w:sz w:val="26"/>
          <w:szCs w:val="26"/>
        </w:rPr>
        <w:t xml:space="preserve"> </w:t>
      </w:r>
      <w:r>
        <w:rPr>
          <w:sz w:val="26"/>
          <w:szCs w:val="26"/>
        </w:rPr>
        <w:t xml:space="preserve">the </w:t>
      </w:r>
      <w:r w:rsidR="00071AAC">
        <w:rPr>
          <w:sz w:val="26"/>
          <w:szCs w:val="26"/>
        </w:rPr>
        <w:t xml:space="preserve">total </w:t>
      </w:r>
      <w:r w:rsidR="00120823">
        <w:rPr>
          <w:sz w:val="26"/>
          <w:szCs w:val="26"/>
        </w:rPr>
        <w:t xml:space="preserve">amount of deferred arrears and in-program arrears </w:t>
      </w:r>
      <w:r w:rsidR="00071AAC">
        <w:rPr>
          <w:sz w:val="26"/>
          <w:szCs w:val="26"/>
        </w:rPr>
        <w:t xml:space="preserve">for CRP customers at the end of 2013, 2014, and 2015, broken down by income level. </w:t>
      </w:r>
    </w:p>
    <w:p w:rsidR="005449CC" w:rsidRDefault="005449CC" w:rsidP="00BE4096">
      <w:pPr>
        <w:spacing w:line="360" w:lineRule="auto"/>
        <w:contextualSpacing/>
        <w:rPr>
          <w:rFonts w:ascii="Times New Roman" w:hAnsi="Times New Roman" w:cs="Times New Roman"/>
          <w:sz w:val="26"/>
          <w:szCs w:val="26"/>
        </w:rPr>
      </w:pPr>
    </w:p>
    <w:p w:rsidR="00BE4096" w:rsidRDefault="005449CC" w:rsidP="00BE4096">
      <w:pPr>
        <w:spacing w:line="360" w:lineRule="auto"/>
        <w:contextualSpacing/>
        <w:rPr>
          <w:rFonts w:ascii="Times New Roman" w:hAnsi="Times New Roman" w:cs="Times New Roman"/>
          <w:sz w:val="26"/>
          <w:szCs w:val="26"/>
        </w:rPr>
      </w:pPr>
      <w:r>
        <w:rPr>
          <w:rFonts w:ascii="Times New Roman" w:hAnsi="Times New Roman" w:cs="Times New Roman"/>
          <w:sz w:val="26"/>
          <w:szCs w:val="26"/>
        </w:rPr>
        <w:tab/>
      </w:r>
      <w:r w:rsidR="00BE4096">
        <w:rPr>
          <w:rFonts w:ascii="Times New Roman" w:hAnsi="Times New Roman" w:cs="Times New Roman"/>
          <w:sz w:val="26"/>
          <w:szCs w:val="26"/>
        </w:rPr>
        <w:t xml:space="preserve">PGW </w:t>
      </w:r>
      <w:r w:rsidR="00A9778A">
        <w:rPr>
          <w:rFonts w:ascii="Times New Roman" w:hAnsi="Times New Roman" w:cs="Times New Roman"/>
          <w:sz w:val="26"/>
          <w:szCs w:val="26"/>
        </w:rPr>
        <w:t>explains</w:t>
      </w:r>
      <w:r w:rsidR="00BE4096">
        <w:rPr>
          <w:rFonts w:ascii="Times New Roman" w:hAnsi="Times New Roman" w:cs="Times New Roman"/>
          <w:sz w:val="26"/>
          <w:szCs w:val="26"/>
        </w:rPr>
        <w:t xml:space="preserve"> that customers are currently ineligible for CRP if their budget bill plus payment arrangement (Budget Plus) monthly amount is lower than the energy burden level established in the CRP PIP.  Deferring existing arrears and requiring only the budget bill amount may reduce the </w:t>
      </w:r>
      <w:r w:rsidR="009F0DAD">
        <w:rPr>
          <w:rFonts w:ascii="Times New Roman" w:hAnsi="Times New Roman" w:cs="Times New Roman"/>
          <w:sz w:val="26"/>
          <w:szCs w:val="26"/>
        </w:rPr>
        <w:t xml:space="preserve">household’s </w:t>
      </w:r>
      <w:r w:rsidR="00BE4096">
        <w:rPr>
          <w:rFonts w:ascii="Times New Roman" w:hAnsi="Times New Roman" w:cs="Times New Roman"/>
          <w:sz w:val="26"/>
          <w:szCs w:val="26"/>
        </w:rPr>
        <w:t xml:space="preserve">energy burden level </w:t>
      </w:r>
      <w:r w:rsidR="003B7114">
        <w:rPr>
          <w:rFonts w:ascii="Times New Roman" w:hAnsi="Times New Roman" w:cs="Times New Roman"/>
          <w:sz w:val="26"/>
          <w:szCs w:val="26"/>
        </w:rPr>
        <w:t xml:space="preserve">below </w:t>
      </w:r>
      <w:r w:rsidR="00BE4096">
        <w:rPr>
          <w:rFonts w:ascii="Times New Roman" w:hAnsi="Times New Roman" w:cs="Times New Roman"/>
          <w:sz w:val="26"/>
          <w:szCs w:val="26"/>
        </w:rPr>
        <w:t xml:space="preserve">the affordable guidelines in the CAP Policy Statement.  </w:t>
      </w:r>
      <w:r w:rsidR="00231902">
        <w:rPr>
          <w:rFonts w:ascii="Times New Roman" w:hAnsi="Times New Roman" w:cs="Times New Roman"/>
          <w:sz w:val="26"/>
          <w:szCs w:val="26"/>
        </w:rPr>
        <w:t xml:space="preserve">The Company argues that “there may be an inherent unfairness in such a result.”  </w:t>
      </w:r>
      <w:r w:rsidR="00BE4096">
        <w:rPr>
          <w:rFonts w:ascii="Times New Roman" w:hAnsi="Times New Roman" w:cs="Times New Roman"/>
          <w:sz w:val="26"/>
          <w:szCs w:val="26"/>
        </w:rPr>
        <w:t>PGW Supplemental Information at 7.</w:t>
      </w:r>
    </w:p>
    <w:p w:rsidR="00BE4096" w:rsidRDefault="00BE4096" w:rsidP="00BE4096">
      <w:pPr>
        <w:spacing w:line="360" w:lineRule="auto"/>
        <w:contextualSpacing/>
        <w:rPr>
          <w:rFonts w:ascii="Times New Roman" w:hAnsi="Times New Roman" w:cs="Times New Roman"/>
          <w:sz w:val="26"/>
          <w:szCs w:val="26"/>
        </w:rPr>
      </w:pPr>
    </w:p>
    <w:p w:rsidR="00BE4096" w:rsidRDefault="00BE4096" w:rsidP="00BE4096">
      <w:pPr>
        <w:spacing w:line="360" w:lineRule="auto"/>
        <w:contextualSpacing/>
        <w:rPr>
          <w:rFonts w:ascii="Times New Roman" w:hAnsi="Times New Roman" w:cs="Times New Roman"/>
          <w:sz w:val="26"/>
          <w:szCs w:val="26"/>
        </w:rPr>
      </w:pPr>
      <w:r>
        <w:rPr>
          <w:rFonts w:ascii="Times New Roman" w:hAnsi="Times New Roman" w:cs="Times New Roman"/>
          <w:sz w:val="26"/>
          <w:szCs w:val="26"/>
        </w:rPr>
        <w:tab/>
        <w:t xml:space="preserve">PGW reports it hired Gil Peach </w:t>
      </w:r>
      <w:r w:rsidR="00D142B6">
        <w:rPr>
          <w:rFonts w:ascii="Times New Roman" w:hAnsi="Times New Roman" w:cs="Times New Roman"/>
          <w:sz w:val="26"/>
          <w:szCs w:val="26"/>
        </w:rPr>
        <w:t xml:space="preserve">(Peach) </w:t>
      </w:r>
      <w:r>
        <w:rPr>
          <w:rFonts w:ascii="Times New Roman" w:hAnsi="Times New Roman" w:cs="Times New Roman"/>
          <w:sz w:val="26"/>
          <w:szCs w:val="26"/>
        </w:rPr>
        <w:t xml:space="preserve">to study, </w:t>
      </w:r>
      <w:r w:rsidRPr="00A9778A">
        <w:rPr>
          <w:rFonts w:ascii="Times New Roman" w:hAnsi="Times New Roman" w:cs="Times New Roman"/>
          <w:i/>
          <w:sz w:val="26"/>
          <w:szCs w:val="26"/>
        </w:rPr>
        <w:t>inter alia</w:t>
      </w:r>
      <w:r>
        <w:rPr>
          <w:rFonts w:ascii="Times New Roman" w:hAnsi="Times New Roman" w:cs="Times New Roman"/>
          <w:sz w:val="26"/>
          <w:szCs w:val="26"/>
        </w:rPr>
        <w:t xml:space="preserve">, the impact of allowing customers to enroll in CRP at their average bill amount.  Peach Study at </w:t>
      </w:r>
      <w:r w:rsidR="00AB7459">
        <w:rPr>
          <w:rFonts w:ascii="Times New Roman" w:hAnsi="Times New Roman" w:cs="Times New Roman"/>
          <w:sz w:val="26"/>
          <w:szCs w:val="26"/>
        </w:rPr>
        <w:t xml:space="preserve">PGW Supplemental Information, </w:t>
      </w:r>
      <w:r>
        <w:rPr>
          <w:rFonts w:ascii="Times New Roman" w:hAnsi="Times New Roman" w:cs="Times New Roman"/>
          <w:sz w:val="26"/>
          <w:szCs w:val="26"/>
        </w:rPr>
        <w:t xml:space="preserve">Attachment B.  The Peach Study estimated the cost of enrolling 42% of PGW’s identified low-income customers (35,399) into CRP with average billing would be approximately $26.3 million.  This estimate includes customers who would qualify for either PIP or average bill CRP rates, so it does not reflect the anticipated cost of enrolling only budget bill customers into CRP.  PGW Supplemental Information at 6-7, </w:t>
      </w:r>
      <w:r w:rsidRPr="00AF6173">
        <w:rPr>
          <w:rFonts w:ascii="Times New Roman" w:hAnsi="Times New Roman" w:cs="Times New Roman"/>
          <w:i/>
          <w:sz w:val="26"/>
          <w:szCs w:val="26"/>
        </w:rPr>
        <w:t>citing</w:t>
      </w:r>
      <w:r>
        <w:rPr>
          <w:rFonts w:ascii="Times New Roman" w:hAnsi="Times New Roman" w:cs="Times New Roman"/>
          <w:sz w:val="26"/>
          <w:szCs w:val="26"/>
        </w:rPr>
        <w:t xml:space="preserve"> Peach Study at 26.  The Peach Study estimates it will cost approximately $648,000 to modify existing CRP PIP bills to budget billing and $5 million annually in additional arrearage forgiveness to enroll new customers into CRP </w:t>
      </w:r>
      <w:r>
        <w:rPr>
          <w:rFonts w:ascii="Times New Roman" w:hAnsi="Times New Roman" w:cs="Times New Roman"/>
          <w:sz w:val="26"/>
          <w:szCs w:val="26"/>
        </w:rPr>
        <w:lastRenderedPageBreak/>
        <w:t xml:space="preserve">at budget billing.  PGW Supplemental Information at 7, </w:t>
      </w:r>
      <w:r w:rsidRPr="00AF6173">
        <w:rPr>
          <w:rFonts w:ascii="Times New Roman" w:hAnsi="Times New Roman" w:cs="Times New Roman"/>
          <w:i/>
          <w:sz w:val="26"/>
          <w:szCs w:val="26"/>
        </w:rPr>
        <w:t>citing</w:t>
      </w:r>
      <w:r>
        <w:rPr>
          <w:rFonts w:ascii="Times New Roman" w:hAnsi="Times New Roman" w:cs="Times New Roman"/>
          <w:sz w:val="26"/>
          <w:szCs w:val="26"/>
        </w:rPr>
        <w:t xml:space="preserve"> Peach Study</w:t>
      </w:r>
      <w:r w:rsidR="00EC41DB">
        <w:rPr>
          <w:rFonts w:ascii="Times New Roman" w:hAnsi="Times New Roman" w:cs="Times New Roman"/>
          <w:sz w:val="26"/>
          <w:szCs w:val="26"/>
        </w:rPr>
        <w:t xml:space="preserve"> at 28</w:t>
      </w:r>
      <w:r>
        <w:rPr>
          <w:rFonts w:ascii="Times New Roman" w:hAnsi="Times New Roman" w:cs="Times New Roman"/>
          <w:sz w:val="26"/>
          <w:szCs w:val="26"/>
        </w:rPr>
        <w:t>, Amendment at 2.</w:t>
      </w:r>
    </w:p>
    <w:p w:rsidR="00BE4096" w:rsidRDefault="00BE4096" w:rsidP="00BE4096">
      <w:pPr>
        <w:spacing w:line="360" w:lineRule="auto"/>
        <w:contextualSpacing/>
        <w:rPr>
          <w:rFonts w:ascii="Times New Roman" w:hAnsi="Times New Roman" w:cs="Times New Roman"/>
          <w:sz w:val="26"/>
          <w:szCs w:val="26"/>
        </w:rPr>
      </w:pPr>
    </w:p>
    <w:p w:rsidR="00BE4096" w:rsidRPr="000B5BF7" w:rsidRDefault="00BE4096" w:rsidP="00BE4096">
      <w:pPr>
        <w:spacing w:line="360" w:lineRule="auto"/>
        <w:contextualSpacing/>
        <w:rPr>
          <w:rFonts w:ascii="Times New Roman" w:hAnsi="Times New Roman" w:cs="Times New Roman"/>
          <w:sz w:val="26"/>
          <w:szCs w:val="26"/>
        </w:rPr>
      </w:pPr>
      <w:r>
        <w:rPr>
          <w:rFonts w:ascii="Times New Roman" w:hAnsi="Times New Roman" w:cs="Times New Roman"/>
          <w:sz w:val="26"/>
          <w:szCs w:val="26"/>
        </w:rPr>
        <w:tab/>
        <w:t>If the Commission requires PGW to enroll customers into CRP at budget billing,</w:t>
      </w:r>
      <w:r w:rsidR="00231902">
        <w:rPr>
          <w:rFonts w:ascii="Times New Roman" w:hAnsi="Times New Roman" w:cs="Times New Roman"/>
          <w:sz w:val="26"/>
          <w:szCs w:val="26"/>
        </w:rPr>
        <w:t xml:space="preserve"> system and operational changes will be necessary.  T</w:t>
      </w:r>
      <w:r>
        <w:rPr>
          <w:rFonts w:ascii="Times New Roman" w:hAnsi="Times New Roman" w:cs="Times New Roman"/>
          <w:sz w:val="26"/>
          <w:szCs w:val="26"/>
        </w:rPr>
        <w:t>he Company requests tha</w:t>
      </w:r>
      <w:r w:rsidR="00231902">
        <w:rPr>
          <w:rFonts w:ascii="Times New Roman" w:hAnsi="Times New Roman" w:cs="Times New Roman"/>
          <w:sz w:val="26"/>
          <w:szCs w:val="26"/>
        </w:rPr>
        <w:t xml:space="preserve">t it be allowed to recover these </w:t>
      </w:r>
      <w:r>
        <w:rPr>
          <w:rFonts w:ascii="Times New Roman" w:hAnsi="Times New Roman" w:cs="Times New Roman"/>
          <w:sz w:val="26"/>
          <w:szCs w:val="26"/>
        </w:rPr>
        <w:t xml:space="preserve">costs through its USC surcharge.  PGW Supplemental Information at 8.  </w:t>
      </w:r>
    </w:p>
    <w:p w:rsidR="00BE4096" w:rsidRDefault="00BE4096" w:rsidP="00BE4096">
      <w:pPr>
        <w:spacing w:line="360" w:lineRule="auto"/>
        <w:contextualSpacing/>
        <w:rPr>
          <w:rFonts w:ascii="Times New Roman" w:hAnsi="Times New Roman" w:cs="Times New Roman"/>
          <w:sz w:val="26"/>
          <w:szCs w:val="26"/>
        </w:rPr>
      </w:pPr>
    </w:p>
    <w:p w:rsidR="00BE4096" w:rsidRDefault="00BE4096" w:rsidP="00BE4096">
      <w:pPr>
        <w:spacing w:line="360" w:lineRule="auto"/>
        <w:contextualSpacing/>
        <w:rPr>
          <w:rFonts w:ascii="Times New Roman" w:hAnsi="Times New Roman" w:cs="Times New Roman"/>
          <w:sz w:val="26"/>
          <w:szCs w:val="26"/>
        </w:rPr>
      </w:pPr>
      <w:r>
        <w:rPr>
          <w:rFonts w:ascii="Times New Roman" w:hAnsi="Times New Roman" w:cs="Times New Roman"/>
          <w:sz w:val="26"/>
          <w:szCs w:val="26"/>
        </w:rPr>
        <w:tab/>
        <w:t xml:space="preserve">PGW reports that it does not track the number of customers denied CRP enrollment due to the CRP </w:t>
      </w:r>
      <w:r w:rsidR="00DE564C">
        <w:rPr>
          <w:rFonts w:ascii="Times New Roman" w:hAnsi="Times New Roman" w:cs="Times New Roman"/>
          <w:sz w:val="26"/>
          <w:szCs w:val="26"/>
        </w:rPr>
        <w:t>PIP</w:t>
      </w:r>
      <w:r w:rsidR="001A7795">
        <w:rPr>
          <w:rFonts w:ascii="Times New Roman" w:hAnsi="Times New Roman" w:cs="Times New Roman"/>
          <w:sz w:val="26"/>
          <w:szCs w:val="26"/>
        </w:rPr>
        <w:t xml:space="preserve"> </w:t>
      </w:r>
      <w:r>
        <w:rPr>
          <w:rFonts w:ascii="Times New Roman" w:hAnsi="Times New Roman" w:cs="Times New Roman"/>
          <w:sz w:val="26"/>
          <w:szCs w:val="26"/>
        </w:rPr>
        <w:t xml:space="preserve">not being the most advantageous </w:t>
      </w:r>
      <w:r w:rsidR="00DE564C">
        <w:rPr>
          <w:rFonts w:ascii="Times New Roman" w:hAnsi="Times New Roman" w:cs="Times New Roman"/>
          <w:sz w:val="26"/>
          <w:szCs w:val="26"/>
        </w:rPr>
        <w:t xml:space="preserve">rate </w:t>
      </w:r>
      <w:r>
        <w:rPr>
          <w:rFonts w:ascii="Times New Roman" w:hAnsi="Times New Roman" w:cs="Times New Roman"/>
          <w:sz w:val="26"/>
          <w:szCs w:val="26"/>
        </w:rPr>
        <w:t xml:space="preserve">and cannot provide any information about these specific accounts, including energy usage levels.  PGW Supplemental Information at 8-9.  However, the Company provided the number of confirmed low-income customers issued payment arrangements in 2013, 2014, and 2015: </w:t>
      </w:r>
    </w:p>
    <w:p w:rsidR="00BE4096" w:rsidRDefault="00BE4096" w:rsidP="00BE4096">
      <w:pPr>
        <w:spacing w:line="360" w:lineRule="auto"/>
        <w:contextualSpacing/>
        <w:rPr>
          <w:rFonts w:ascii="Times New Roman" w:hAnsi="Times New Roman" w:cs="Times New Roman"/>
          <w:sz w:val="26"/>
          <w:szCs w:val="26"/>
        </w:rPr>
      </w:pPr>
    </w:p>
    <w:p w:rsidR="000B09F5" w:rsidRDefault="000B09F5" w:rsidP="005449CC">
      <w:pPr>
        <w:keepNext/>
        <w:spacing w:line="240" w:lineRule="auto"/>
        <w:contextualSpacing/>
        <w:jc w:val="center"/>
        <w:rPr>
          <w:rFonts w:ascii="Times New Roman" w:hAnsi="Times New Roman" w:cs="Times New Roman"/>
          <w:b/>
          <w:sz w:val="26"/>
          <w:szCs w:val="26"/>
        </w:rPr>
      </w:pPr>
      <w:r>
        <w:rPr>
          <w:rFonts w:ascii="Times New Roman" w:hAnsi="Times New Roman" w:cs="Times New Roman"/>
          <w:b/>
          <w:sz w:val="26"/>
          <w:szCs w:val="26"/>
        </w:rPr>
        <w:t>Table 2</w:t>
      </w:r>
    </w:p>
    <w:p w:rsidR="00BE4096" w:rsidRPr="00781A28" w:rsidRDefault="00BE4096" w:rsidP="005449CC">
      <w:pPr>
        <w:keepNext/>
        <w:spacing w:line="240" w:lineRule="auto"/>
        <w:contextualSpacing/>
        <w:jc w:val="center"/>
        <w:rPr>
          <w:rFonts w:ascii="Times New Roman" w:hAnsi="Times New Roman" w:cs="Times New Roman"/>
          <w:b/>
          <w:sz w:val="26"/>
          <w:szCs w:val="26"/>
        </w:rPr>
      </w:pPr>
      <w:r w:rsidRPr="00781A28">
        <w:rPr>
          <w:rFonts w:ascii="Times New Roman" w:hAnsi="Times New Roman" w:cs="Times New Roman"/>
          <w:b/>
          <w:sz w:val="26"/>
          <w:szCs w:val="26"/>
        </w:rPr>
        <w:t>Payment Arrangements Issued to Confirmed Low-Income Customers</w:t>
      </w:r>
    </w:p>
    <w:tbl>
      <w:tblPr>
        <w:tblStyle w:val="TableGrid"/>
        <w:tblW w:w="0" w:type="auto"/>
        <w:tblInd w:w="2988" w:type="dxa"/>
        <w:tblLook w:val="04A0" w:firstRow="1" w:lastRow="0" w:firstColumn="1" w:lastColumn="0" w:noHBand="0" w:noVBand="1"/>
      </w:tblPr>
      <w:tblGrid>
        <w:gridCol w:w="1800"/>
        <w:gridCol w:w="1890"/>
      </w:tblGrid>
      <w:tr w:rsidR="00BE4096" w:rsidTr="009F0DAD">
        <w:tc>
          <w:tcPr>
            <w:tcW w:w="1800" w:type="dxa"/>
            <w:vAlign w:val="center"/>
          </w:tcPr>
          <w:p w:rsidR="00BE4096" w:rsidRDefault="00BE4096" w:rsidP="005449CC">
            <w:pPr>
              <w:keepNext/>
              <w:contextualSpacing/>
              <w:jc w:val="center"/>
              <w:rPr>
                <w:sz w:val="26"/>
                <w:szCs w:val="26"/>
              </w:rPr>
            </w:pPr>
            <w:r>
              <w:rPr>
                <w:sz w:val="26"/>
                <w:szCs w:val="26"/>
              </w:rPr>
              <w:t>2013</w:t>
            </w:r>
          </w:p>
        </w:tc>
        <w:tc>
          <w:tcPr>
            <w:tcW w:w="1890" w:type="dxa"/>
            <w:vAlign w:val="center"/>
          </w:tcPr>
          <w:p w:rsidR="00BE4096" w:rsidRDefault="00BE4096" w:rsidP="005449CC">
            <w:pPr>
              <w:keepNext/>
              <w:contextualSpacing/>
              <w:jc w:val="center"/>
              <w:rPr>
                <w:sz w:val="26"/>
                <w:szCs w:val="26"/>
              </w:rPr>
            </w:pPr>
            <w:r>
              <w:rPr>
                <w:sz w:val="26"/>
                <w:szCs w:val="26"/>
              </w:rPr>
              <w:t>37,883</w:t>
            </w:r>
            <w:r>
              <w:rPr>
                <w:rStyle w:val="FootnoteReference"/>
                <w:sz w:val="26"/>
                <w:szCs w:val="26"/>
              </w:rPr>
              <w:footnoteReference w:id="8"/>
            </w:r>
          </w:p>
        </w:tc>
      </w:tr>
      <w:tr w:rsidR="00BE4096" w:rsidTr="009F0DAD">
        <w:tc>
          <w:tcPr>
            <w:tcW w:w="1800" w:type="dxa"/>
            <w:vAlign w:val="center"/>
          </w:tcPr>
          <w:p w:rsidR="00BE4096" w:rsidRDefault="00BE4096" w:rsidP="005449CC">
            <w:pPr>
              <w:keepNext/>
              <w:contextualSpacing/>
              <w:jc w:val="center"/>
              <w:rPr>
                <w:sz w:val="26"/>
                <w:szCs w:val="26"/>
              </w:rPr>
            </w:pPr>
            <w:r>
              <w:rPr>
                <w:sz w:val="26"/>
                <w:szCs w:val="26"/>
              </w:rPr>
              <w:t>2014</w:t>
            </w:r>
          </w:p>
        </w:tc>
        <w:tc>
          <w:tcPr>
            <w:tcW w:w="1890" w:type="dxa"/>
            <w:vAlign w:val="center"/>
          </w:tcPr>
          <w:p w:rsidR="00BE4096" w:rsidRDefault="00BE4096" w:rsidP="005449CC">
            <w:pPr>
              <w:keepNext/>
              <w:contextualSpacing/>
              <w:jc w:val="center"/>
              <w:rPr>
                <w:sz w:val="26"/>
                <w:szCs w:val="26"/>
              </w:rPr>
            </w:pPr>
            <w:r>
              <w:rPr>
                <w:sz w:val="26"/>
                <w:szCs w:val="26"/>
              </w:rPr>
              <w:t>53,491</w:t>
            </w:r>
            <w:r>
              <w:rPr>
                <w:rStyle w:val="FootnoteReference"/>
                <w:sz w:val="26"/>
                <w:szCs w:val="26"/>
              </w:rPr>
              <w:footnoteReference w:id="9"/>
            </w:r>
          </w:p>
        </w:tc>
      </w:tr>
      <w:tr w:rsidR="00BE4096" w:rsidTr="009F0DAD">
        <w:tc>
          <w:tcPr>
            <w:tcW w:w="1800" w:type="dxa"/>
            <w:vAlign w:val="center"/>
          </w:tcPr>
          <w:p w:rsidR="00BE4096" w:rsidRDefault="00BE4096" w:rsidP="000B09F5">
            <w:pPr>
              <w:contextualSpacing/>
              <w:jc w:val="center"/>
              <w:rPr>
                <w:sz w:val="26"/>
                <w:szCs w:val="26"/>
              </w:rPr>
            </w:pPr>
            <w:r>
              <w:rPr>
                <w:sz w:val="26"/>
                <w:szCs w:val="26"/>
              </w:rPr>
              <w:t>2015</w:t>
            </w:r>
          </w:p>
        </w:tc>
        <w:tc>
          <w:tcPr>
            <w:tcW w:w="1890" w:type="dxa"/>
            <w:vAlign w:val="center"/>
          </w:tcPr>
          <w:p w:rsidR="00BE4096" w:rsidRDefault="00BE4096" w:rsidP="000B09F5">
            <w:pPr>
              <w:contextualSpacing/>
              <w:jc w:val="center"/>
              <w:rPr>
                <w:sz w:val="26"/>
                <w:szCs w:val="26"/>
              </w:rPr>
            </w:pPr>
            <w:r>
              <w:rPr>
                <w:sz w:val="26"/>
                <w:szCs w:val="26"/>
              </w:rPr>
              <w:t>52,309</w:t>
            </w:r>
            <w:r>
              <w:rPr>
                <w:rStyle w:val="FootnoteReference"/>
                <w:sz w:val="26"/>
                <w:szCs w:val="26"/>
              </w:rPr>
              <w:footnoteReference w:id="10"/>
            </w:r>
          </w:p>
        </w:tc>
      </w:tr>
    </w:tbl>
    <w:p w:rsidR="00BE4096" w:rsidRPr="000B5BF7" w:rsidRDefault="00BE4096" w:rsidP="00BE4096">
      <w:pPr>
        <w:spacing w:line="360" w:lineRule="auto"/>
        <w:contextualSpacing/>
        <w:rPr>
          <w:rFonts w:ascii="Times New Roman" w:hAnsi="Times New Roman" w:cs="Times New Roman"/>
          <w:sz w:val="26"/>
          <w:szCs w:val="26"/>
        </w:rPr>
      </w:pPr>
    </w:p>
    <w:p w:rsidR="00BE4096" w:rsidRDefault="00BE4096" w:rsidP="00BE4096">
      <w:pPr>
        <w:spacing w:line="360" w:lineRule="auto"/>
        <w:contextualSpacing/>
        <w:rPr>
          <w:rFonts w:ascii="Times New Roman" w:hAnsi="Times New Roman" w:cs="Times New Roman"/>
          <w:sz w:val="26"/>
          <w:szCs w:val="26"/>
        </w:rPr>
      </w:pPr>
      <w:r>
        <w:rPr>
          <w:rFonts w:ascii="Times New Roman" w:hAnsi="Times New Roman" w:cs="Times New Roman"/>
          <w:sz w:val="26"/>
          <w:szCs w:val="26"/>
        </w:rPr>
        <w:tab/>
        <w:t>PGW cautions that customers may elect to enroll in a payment arrangement instead of enrolling in CRP for a number of reasons (</w:t>
      </w:r>
      <w:r w:rsidRPr="00392730">
        <w:rPr>
          <w:rFonts w:ascii="Times New Roman" w:hAnsi="Times New Roman" w:cs="Times New Roman"/>
          <w:i/>
          <w:sz w:val="26"/>
          <w:szCs w:val="26"/>
        </w:rPr>
        <w:t>i.e.</w:t>
      </w:r>
      <w:r w:rsidR="00147018">
        <w:rPr>
          <w:rFonts w:ascii="Times New Roman" w:hAnsi="Times New Roman" w:cs="Times New Roman"/>
          <w:sz w:val="26"/>
          <w:szCs w:val="26"/>
        </w:rPr>
        <w:t xml:space="preserve">, </w:t>
      </w:r>
      <w:r>
        <w:rPr>
          <w:rFonts w:ascii="Times New Roman" w:hAnsi="Times New Roman" w:cs="Times New Roman"/>
          <w:sz w:val="26"/>
          <w:szCs w:val="26"/>
        </w:rPr>
        <w:t>reasons other than CRP ineligibility).  PGW Supplemental Information at 8.</w:t>
      </w:r>
    </w:p>
    <w:p w:rsidR="00BE4096" w:rsidRDefault="00BE4096" w:rsidP="00BE4096">
      <w:pPr>
        <w:spacing w:line="360" w:lineRule="auto"/>
        <w:contextualSpacing/>
        <w:rPr>
          <w:rFonts w:ascii="Times New Roman" w:hAnsi="Times New Roman" w:cs="Times New Roman"/>
          <w:sz w:val="26"/>
          <w:szCs w:val="26"/>
        </w:rPr>
      </w:pPr>
    </w:p>
    <w:p w:rsidR="00BE4096" w:rsidRDefault="00BE4096" w:rsidP="00BE4096">
      <w:pPr>
        <w:spacing w:line="360" w:lineRule="auto"/>
        <w:contextualSpacing/>
        <w:rPr>
          <w:rFonts w:ascii="Times New Roman" w:hAnsi="Times New Roman" w:cs="Times New Roman"/>
          <w:sz w:val="26"/>
          <w:szCs w:val="26"/>
        </w:rPr>
      </w:pPr>
      <w:r>
        <w:rPr>
          <w:rFonts w:ascii="Times New Roman" w:hAnsi="Times New Roman" w:cs="Times New Roman"/>
          <w:sz w:val="26"/>
          <w:szCs w:val="26"/>
        </w:rPr>
        <w:tab/>
        <w:t>In response to the Commission’s request for information on deferred arrears and in-program arrears in CRP, PGW provided the following information:</w:t>
      </w:r>
    </w:p>
    <w:p w:rsidR="000B09F5" w:rsidRDefault="000B09F5" w:rsidP="00BE4096">
      <w:pPr>
        <w:spacing w:line="360" w:lineRule="auto"/>
        <w:contextualSpacing/>
        <w:rPr>
          <w:rFonts w:ascii="Times New Roman" w:hAnsi="Times New Roman" w:cs="Times New Roman"/>
          <w:sz w:val="26"/>
          <w:szCs w:val="26"/>
        </w:rPr>
      </w:pPr>
    </w:p>
    <w:p w:rsidR="000B09F5" w:rsidRDefault="000B09F5" w:rsidP="000B09F5">
      <w:pPr>
        <w:keepNext/>
        <w:spacing w:line="240" w:lineRule="auto"/>
        <w:contextualSpacing/>
        <w:jc w:val="center"/>
        <w:rPr>
          <w:rFonts w:ascii="Times New Roman" w:hAnsi="Times New Roman" w:cs="Times New Roman"/>
          <w:b/>
          <w:sz w:val="26"/>
          <w:szCs w:val="26"/>
        </w:rPr>
      </w:pPr>
      <w:r>
        <w:rPr>
          <w:rFonts w:ascii="Times New Roman" w:hAnsi="Times New Roman" w:cs="Times New Roman"/>
          <w:b/>
          <w:sz w:val="26"/>
          <w:szCs w:val="26"/>
        </w:rPr>
        <w:lastRenderedPageBreak/>
        <w:t>Table 3</w:t>
      </w:r>
    </w:p>
    <w:p w:rsidR="00BE4096" w:rsidRPr="00FD193F" w:rsidRDefault="00BE4096" w:rsidP="000B09F5">
      <w:pPr>
        <w:keepNext/>
        <w:spacing w:line="240" w:lineRule="auto"/>
        <w:contextualSpacing/>
        <w:jc w:val="center"/>
        <w:rPr>
          <w:rFonts w:ascii="Times New Roman" w:hAnsi="Times New Roman" w:cs="Times New Roman"/>
          <w:b/>
          <w:sz w:val="26"/>
          <w:szCs w:val="26"/>
        </w:rPr>
      </w:pPr>
      <w:r w:rsidRPr="00FD193F">
        <w:rPr>
          <w:rFonts w:ascii="Times New Roman" w:hAnsi="Times New Roman" w:cs="Times New Roman"/>
          <w:b/>
          <w:sz w:val="26"/>
          <w:szCs w:val="26"/>
        </w:rPr>
        <w:t>CRP Deferred Arrears</w:t>
      </w:r>
    </w:p>
    <w:tbl>
      <w:tblPr>
        <w:tblStyle w:val="TableGrid"/>
        <w:tblW w:w="0" w:type="auto"/>
        <w:tblLook w:val="04A0" w:firstRow="1" w:lastRow="0" w:firstColumn="1" w:lastColumn="0" w:noHBand="0" w:noVBand="1"/>
      </w:tblPr>
      <w:tblGrid>
        <w:gridCol w:w="2394"/>
        <w:gridCol w:w="2394"/>
        <w:gridCol w:w="2394"/>
        <w:gridCol w:w="2394"/>
      </w:tblGrid>
      <w:tr w:rsidR="00BE4096" w:rsidTr="009F0DAD">
        <w:tc>
          <w:tcPr>
            <w:tcW w:w="2394" w:type="dxa"/>
            <w:vAlign w:val="center"/>
          </w:tcPr>
          <w:p w:rsidR="00BE4096" w:rsidRPr="00FD193F" w:rsidRDefault="00BE4096" w:rsidP="000B09F5">
            <w:pPr>
              <w:keepNext/>
              <w:spacing w:after="200"/>
              <w:contextualSpacing/>
              <w:jc w:val="center"/>
              <w:rPr>
                <w:b/>
                <w:sz w:val="26"/>
                <w:szCs w:val="26"/>
              </w:rPr>
            </w:pPr>
            <w:r w:rsidRPr="00FD193F">
              <w:rPr>
                <w:b/>
                <w:sz w:val="26"/>
                <w:szCs w:val="26"/>
              </w:rPr>
              <w:t>Level</w:t>
            </w:r>
          </w:p>
        </w:tc>
        <w:tc>
          <w:tcPr>
            <w:tcW w:w="2394" w:type="dxa"/>
            <w:vAlign w:val="bottom"/>
          </w:tcPr>
          <w:p w:rsidR="00BE4096" w:rsidRPr="00FD193F" w:rsidRDefault="00BE4096" w:rsidP="000B09F5">
            <w:pPr>
              <w:keepNext/>
              <w:spacing w:after="200"/>
              <w:contextualSpacing/>
              <w:jc w:val="center"/>
              <w:rPr>
                <w:b/>
                <w:sz w:val="26"/>
                <w:szCs w:val="26"/>
              </w:rPr>
            </w:pPr>
            <w:r w:rsidRPr="00FD193F">
              <w:rPr>
                <w:b/>
                <w:sz w:val="26"/>
                <w:szCs w:val="26"/>
              </w:rPr>
              <w:t>2013</w:t>
            </w:r>
          </w:p>
        </w:tc>
        <w:tc>
          <w:tcPr>
            <w:tcW w:w="2394" w:type="dxa"/>
            <w:vAlign w:val="bottom"/>
          </w:tcPr>
          <w:p w:rsidR="00BE4096" w:rsidRPr="00FD193F" w:rsidRDefault="00BE4096" w:rsidP="000B09F5">
            <w:pPr>
              <w:keepNext/>
              <w:spacing w:after="200"/>
              <w:contextualSpacing/>
              <w:jc w:val="center"/>
              <w:rPr>
                <w:b/>
                <w:sz w:val="26"/>
                <w:szCs w:val="26"/>
              </w:rPr>
            </w:pPr>
            <w:r w:rsidRPr="00FD193F">
              <w:rPr>
                <w:b/>
                <w:sz w:val="26"/>
                <w:szCs w:val="26"/>
              </w:rPr>
              <w:t>2014</w:t>
            </w:r>
          </w:p>
        </w:tc>
        <w:tc>
          <w:tcPr>
            <w:tcW w:w="2394" w:type="dxa"/>
            <w:vAlign w:val="bottom"/>
          </w:tcPr>
          <w:p w:rsidR="00BE4096" w:rsidRPr="00FD193F" w:rsidRDefault="00BE4096" w:rsidP="000B09F5">
            <w:pPr>
              <w:keepNext/>
              <w:spacing w:after="200"/>
              <w:contextualSpacing/>
              <w:jc w:val="center"/>
              <w:rPr>
                <w:b/>
                <w:sz w:val="26"/>
                <w:szCs w:val="26"/>
              </w:rPr>
            </w:pPr>
            <w:r w:rsidRPr="00FD193F">
              <w:rPr>
                <w:b/>
                <w:sz w:val="26"/>
                <w:szCs w:val="26"/>
              </w:rPr>
              <w:t>2015</w:t>
            </w:r>
          </w:p>
        </w:tc>
      </w:tr>
      <w:tr w:rsidR="00BE4096" w:rsidTr="009F0DAD">
        <w:tc>
          <w:tcPr>
            <w:tcW w:w="2394" w:type="dxa"/>
            <w:vAlign w:val="center"/>
          </w:tcPr>
          <w:p w:rsidR="00BE4096" w:rsidRPr="00FD193F" w:rsidRDefault="00BE4096" w:rsidP="000B09F5">
            <w:pPr>
              <w:keepNext/>
              <w:spacing w:after="200"/>
              <w:contextualSpacing/>
              <w:jc w:val="center"/>
              <w:rPr>
                <w:sz w:val="26"/>
                <w:szCs w:val="26"/>
              </w:rPr>
            </w:pPr>
            <w:r w:rsidRPr="00FD193F">
              <w:rPr>
                <w:sz w:val="26"/>
                <w:szCs w:val="26"/>
              </w:rPr>
              <w:t>$25 min</w:t>
            </w:r>
          </w:p>
        </w:tc>
        <w:tc>
          <w:tcPr>
            <w:tcW w:w="2394" w:type="dxa"/>
            <w:vAlign w:val="bottom"/>
          </w:tcPr>
          <w:p w:rsidR="00BE4096" w:rsidRPr="00FD193F" w:rsidRDefault="00BE4096" w:rsidP="000B09F5">
            <w:pPr>
              <w:keepNext/>
              <w:spacing w:after="200"/>
              <w:contextualSpacing/>
              <w:jc w:val="center"/>
              <w:rPr>
                <w:sz w:val="26"/>
                <w:szCs w:val="26"/>
              </w:rPr>
            </w:pPr>
            <w:r w:rsidRPr="00FD193F">
              <w:rPr>
                <w:sz w:val="26"/>
                <w:szCs w:val="26"/>
              </w:rPr>
              <w:t>$1,772,349</w:t>
            </w:r>
          </w:p>
        </w:tc>
        <w:tc>
          <w:tcPr>
            <w:tcW w:w="2394" w:type="dxa"/>
            <w:vAlign w:val="bottom"/>
          </w:tcPr>
          <w:p w:rsidR="00BE4096" w:rsidRPr="00FD193F" w:rsidRDefault="00BE4096" w:rsidP="000B09F5">
            <w:pPr>
              <w:keepNext/>
              <w:spacing w:after="200"/>
              <w:contextualSpacing/>
              <w:jc w:val="center"/>
              <w:rPr>
                <w:sz w:val="26"/>
                <w:szCs w:val="26"/>
              </w:rPr>
            </w:pPr>
            <w:r w:rsidRPr="00FD193F">
              <w:rPr>
                <w:sz w:val="26"/>
                <w:szCs w:val="26"/>
              </w:rPr>
              <w:t>$1,570,173</w:t>
            </w:r>
          </w:p>
        </w:tc>
        <w:tc>
          <w:tcPr>
            <w:tcW w:w="2394" w:type="dxa"/>
            <w:vAlign w:val="bottom"/>
          </w:tcPr>
          <w:p w:rsidR="00BE4096" w:rsidRPr="00FD193F" w:rsidRDefault="00BE4096" w:rsidP="000B09F5">
            <w:pPr>
              <w:keepNext/>
              <w:spacing w:after="200"/>
              <w:contextualSpacing/>
              <w:jc w:val="center"/>
              <w:rPr>
                <w:sz w:val="26"/>
                <w:szCs w:val="26"/>
              </w:rPr>
            </w:pPr>
            <w:r w:rsidRPr="00FD193F">
              <w:rPr>
                <w:sz w:val="26"/>
                <w:szCs w:val="26"/>
              </w:rPr>
              <w:t>$2,709,106</w:t>
            </w:r>
          </w:p>
        </w:tc>
      </w:tr>
      <w:tr w:rsidR="00BE4096" w:rsidTr="009F0DAD">
        <w:tc>
          <w:tcPr>
            <w:tcW w:w="2394" w:type="dxa"/>
            <w:vAlign w:val="center"/>
          </w:tcPr>
          <w:p w:rsidR="00BE4096" w:rsidRPr="00FD193F" w:rsidRDefault="00BE4096" w:rsidP="000B09F5">
            <w:pPr>
              <w:keepNext/>
              <w:spacing w:after="200"/>
              <w:contextualSpacing/>
              <w:jc w:val="center"/>
              <w:rPr>
                <w:sz w:val="26"/>
                <w:szCs w:val="26"/>
              </w:rPr>
            </w:pPr>
            <w:r w:rsidRPr="00FD193F">
              <w:rPr>
                <w:sz w:val="26"/>
                <w:szCs w:val="26"/>
              </w:rPr>
              <w:t>0-50%</w:t>
            </w:r>
          </w:p>
        </w:tc>
        <w:tc>
          <w:tcPr>
            <w:tcW w:w="2394" w:type="dxa"/>
            <w:vAlign w:val="bottom"/>
          </w:tcPr>
          <w:p w:rsidR="00BE4096" w:rsidRPr="00FD193F" w:rsidRDefault="00BE4096" w:rsidP="000B09F5">
            <w:pPr>
              <w:keepNext/>
              <w:spacing w:after="200"/>
              <w:contextualSpacing/>
              <w:jc w:val="center"/>
              <w:rPr>
                <w:sz w:val="26"/>
                <w:szCs w:val="26"/>
              </w:rPr>
            </w:pPr>
            <w:r w:rsidRPr="00FD193F">
              <w:rPr>
                <w:sz w:val="26"/>
                <w:szCs w:val="26"/>
              </w:rPr>
              <w:t>$11,855,628</w:t>
            </w:r>
          </w:p>
        </w:tc>
        <w:tc>
          <w:tcPr>
            <w:tcW w:w="2394" w:type="dxa"/>
            <w:vAlign w:val="bottom"/>
          </w:tcPr>
          <w:p w:rsidR="00BE4096" w:rsidRPr="00FD193F" w:rsidRDefault="00BE4096" w:rsidP="000B09F5">
            <w:pPr>
              <w:keepNext/>
              <w:spacing w:after="200"/>
              <w:contextualSpacing/>
              <w:jc w:val="center"/>
              <w:rPr>
                <w:sz w:val="26"/>
                <w:szCs w:val="26"/>
              </w:rPr>
            </w:pPr>
            <w:r w:rsidRPr="00FD193F">
              <w:rPr>
                <w:sz w:val="26"/>
                <w:szCs w:val="26"/>
              </w:rPr>
              <w:t>$10,505,288</w:t>
            </w:r>
          </w:p>
        </w:tc>
        <w:tc>
          <w:tcPr>
            <w:tcW w:w="2394" w:type="dxa"/>
            <w:vAlign w:val="bottom"/>
          </w:tcPr>
          <w:p w:rsidR="00BE4096" w:rsidRPr="00FD193F" w:rsidRDefault="00BE4096" w:rsidP="000B09F5">
            <w:pPr>
              <w:keepNext/>
              <w:spacing w:after="200"/>
              <w:contextualSpacing/>
              <w:jc w:val="center"/>
              <w:rPr>
                <w:sz w:val="26"/>
                <w:szCs w:val="26"/>
              </w:rPr>
            </w:pPr>
            <w:r w:rsidRPr="00FD193F">
              <w:rPr>
                <w:sz w:val="26"/>
                <w:szCs w:val="26"/>
              </w:rPr>
              <w:t>$11,283,441</w:t>
            </w:r>
          </w:p>
        </w:tc>
      </w:tr>
      <w:tr w:rsidR="00BE4096" w:rsidTr="009F0DAD">
        <w:tc>
          <w:tcPr>
            <w:tcW w:w="2394" w:type="dxa"/>
            <w:vAlign w:val="center"/>
          </w:tcPr>
          <w:p w:rsidR="00BE4096" w:rsidRPr="00FD193F" w:rsidRDefault="00BE4096" w:rsidP="000B09F5">
            <w:pPr>
              <w:keepNext/>
              <w:spacing w:after="200"/>
              <w:contextualSpacing/>
              <w:jc w:val="center"/>
              <w:rPr>
                <w:sz w:val="26"/>
                <w:szCs w:val="26"/>
              </w:rPr>
            </w:pPr>
            <w:r w:rsidRPr="00FD193F">
              <w:rPr>
                <w:sz w:val="26"/>
                <w:szCs w:val="26"/>
              </w:rPr>
              <w:t>51-100%</w:t>
            </w:r>
          </w:p>
        </w:tc>
        <w:tc>
          <w:tcPr>
            <w:tcW w:w="2394" w:type="dxa"/>
            <w:vAlign w:val="bottom"/>
          </w:tcPr>
          <w:p w:rsidR="00BE4096" w:rsidRPr="00FD193F" w:rsidRDefault="00BE4096" w:rsidP="000B09F5">
            <w:pPr>
              <w:keepNext/>
              <w:spacing w:after="200"/>
              <w:contextualSpacing/>
              <w:jc w:val="center"/>
              <w:rPr>
                <w:sz w:val="26"/>
                <w:szCs w:val="26"/>
              </w:rPr>
            </w:pPr>
            <w:r w:rsidRPr="00FD193F">
              <w:rPr>
                <w:sz w:val="26"/>
                <w:szCs w:val="26"/>
              </w:rPr>
              <w:t>$20,339,783</w:t>
            </w:r>
          </w:p>
        </w:tc>
        <w:tc>
          <w:tcPr>
            <w:tcW w:w="2394" w:type="dxa"/>
            <w:vAlign w:val="bottom"/>
          </w:tcPr>
          <w:p w:rsidR="00BE4096" w:rsidRPr="00FD193F" w:rsidRDefault="00BE4096" w:rsidP="000B09F5">
            <w:pPr>
              <w:keepNext/>
              <w:spacing w:after="200"/>
              <w:contextualSpacing/>
              <w:jc w:val="center"/>
              <w:rPr>
                <w:sz w:val="26"/>
                <w:szCs w:val="26"/>
              </w:rPr>
            </w:pPr>
            <w:r w:rsidRPr="00FD193F">
              <w:rPr>
                <w:sz w:val="26"/>
                <w:szCs w:val="26"/>
              </w:rPr>
              <w:t>$20,202,960</w:t>
            </w:r>
          </w:p>
        </w:tc>
        <w:tc>
          <w:tcPr>
            <w:tcW w:w="2394" w:type="dxa"/>
            <w:vAlign w:val="bottom"/>
          </w:tcPr>
          <w:p w:rsidR="00BE4096" w:rsidRPr="00FD193F" w:rsidRDefault="00BE4096" w:rsidP="000B09F5">
            <w:pPr>
              <w:keepNext/>
              <w:spacing w:after="200"/>
              <w:contextualSpacing/>
              <w:jc w:val="center"/>
              <w:rPr>
                <w:sz w:val="26"/>
                <w:szCs w:val="26"/>
              </w:rPr>
            </w:pPr>
            <w:r w:rsidRPr="00FD193F">
              <w:rPr>
                <w:sz w:val="26"/>
                <w:szCs w:val="26"/>
              </w:rPr>
              <w:t>$18,450,713</w:t>
            </w:r>
          </w:p>
        </w:tc>
      </w:tr>
      <w:tr w:rsidR="00BE4096" w:rsidTr="009F0DAD">
        <w:tc>
          <w:tcPr>
            <w:tcW w:w="2394" w:type="dxa"/>
            <w:vAlign w:val="center"/>
          </w:tcPr>
          <w:p w:rsidR="00BE4096" w:rsidRPr="00FD193F" w:rsidRDefault="00BE4096" w:rsidP="000B09F5">
            <w:pPr>
              <w:keepNext/>
              <w:spacing w:after="200"/>
              <w:contextualSpacing/>
              <w:jc w:val="center"/>
              <w:rPr>
                <w:sz w:val="26"/>
                <w:szCs w:val="26"/>
              </w:rPr>
            </w:pPr>
            <w:r w:rsidRPr="00FD193F">
              <w:rPr>
                <w:sz w:val="26"/>
                <w:szCs w:val="26"/>
              </w:rPr>
              <w:t>101-150%</w:t>
            </w:r>
          </w:p>
        </w:tc>
        <w:tc>
          <w:tcPr>
            <w:tcW w:w="2394" w:type="dxa"/>
            <w:vAlign w:val="bottom"/>
          </w:tcPr>
          <w:p w:rsidR="00BE4096" w:rsidRPr="00FD193F" w:rsidRDefault="00BE4096" w:rsidP="000B09F5">
            <w:pPr>
              <w:keepNext/>
              <w:spacing w:after="200"/>
              <w:contextualSpacing/>
              <w:jc w:val="center"/>
              <w:rPr>
                <w:sz w:val="26"/>
                <w:szCs w:val="26"/>
              </w:rPr>
            </w:pPr>
            <w:r w:rsidRPr="00FD193F">
              <w:rPr>
                <w:sz w:val="26"/>
                <w:szCs w:val="26"/>
              </w:rPr>
              <w:t>$8,438,741</w:t>
            </w:r>
          </w:p>
        </w:tc>
        <w:tc>
          <w:tcPr>
            <w:tcW w:w="2394" w:type="dxa"/>
            <w:vAlign w:val="bottom"/>
          </w:tcPr>
          <w:p w:rsidR="00BE4096" w:rsidRPr="00FD193F" w:rsidRDefault="00BE4096" w:rsidP="000B09F5">
            <w:pPr>
              <w:keepNext/>
              <w:spacing w:after="200"/>
              <w:contextualSpacing/>
              <w:jc w:val="center"/>
              <w:rPr>
                <w:sz w:val="26"/>
                <w:szCs w:val="26"/>
              </w:rPr>
            </w:pPr>
            <w:r w:rsidRPr="00FD193F">
              <w:rPr>
                <w:sz w:val="26"/>
                <w:szCs w:val="26"/>
              </w:rPr>
              <w:t>$8,420,041</w:t>
            </w:r>
          </w:p>
        </w:tc>
        <w:tc>
          <w:tcPr>
            <w:tcW w:w="2394" w:type="dxa"/>
            <w:vAlign w:val="bottom"/>
          </w:tcPr>
          <w:p w:rsidR="00BE4096" w:rsidRPr="00FD193F" w:rsidRDefault="00BE4096" w:rsidP="000B09F5">
            <w:pPr>
              <w:keepNext/>
              <w:spacing w:after="200"/>
              <w:contextualSpacing/>
              <w:jc w:val="center"/>
              <w:rPr>
                <w:sz w:val="26"/>
                <w:szCs w:val="26"/>
              </w:rPr>
            </w:pPr>
            <w:r w:rsidRPr="00FD193F">
              <w:rPr>
                <w:sz w:val="26"/>
                <w:szCs w:val="26"/>
              </w:rPr>
              <w:t>$6,370,157</w:t>
            </w:r>
          </w:p>
        </w:tc>
      </w:tr>
      <w:tr w:rsidR="00BE4096" w:rsidTr="009F0DAD">
        <w:tc>
          <w:tcPr>
            <w:tcW w:w="2394" w:type="dxa"/>
            <w:vAlign w:val="center"/>
          </w:tcPr>
          <w:p w:rsidR="00BE4096" w:rsidRPr="00FD193F" w:rsidRDefault="00BE4096" w:rsidP="000B09F5">
            <w:pPr>
              <w:contextualSpacing/>
              <w:jc w:val="center"/>
              <w:rPr>
                <w:b/>
                <w:sz w:val="26"/>
                <w:szCs w:val="26"/>
              </w:rPr>
            </w:pPr>
            <w:r w:rsidRPr="00FD193F">
              <w:rPr>
                <w:b/>
                <w:sz w:val="26"/>
                <w:szCs w:val="26"/>
              </w:rPr>
              <w:t>Total</w:t>
            </w:r>
          </w:p>
        </w:tc>
        <w:tc>
          <w:tcPr>
            <w:tcW w:w="2394" w:type="dxa"/>
            <w:vAlign w:val="bottom"/>
          </w:tcPr>
          <w:p w:rsidR="00BE4096" w:rsidRPr="00FD193F" w:rsidRDefault="00BE4096" w:rsidP="000B09F5">
            <w:pPr>
              <w:contextualSpacing/>
              <w:jc w:val="center"/>
              <w:rPr>
                <w:b/>
                <w:color w:val="000000"/>
                <w:sz w:val="26"/>
                <w:szCs w:val="26"/>
              </w:rPr>
            </w:pPr>
            <w:r w:rsidRPr="00FD193F">
              <w:rPr>
                <w:b/>
                <w:color w:val="000000"/>
                <w:sz w:val="26"/>
                <w:szCs w:val="26"/>
              </w:rPr>
              <w:t>$42,406,501</w:t>
            </w:r>
          </w:p>
        </w:tc>
        <w:tc>
          <w:tcPr>
            <w:tcW w:w="2394" w:type="dxa"/>
            <w:vAlign w:val="bottom"/>
          </w:tcPr>
          <w:p w:rsidR="00BE4096" w:rsidRPr="00FD193F" w:rsidRDefault="00BE4096" w:rsidP="000B09F5">
            <w:pPr>
              <w:contextualSpacing/>
              <w:jc w:val="center"/>
              <w:rPr>
                <w:b/>
                <w:color w:val="000000"/>
                <w:sz w:val="26"/>
                <w:szCs w:val="26"/>
              </w:rPr>
            </w:pPr>
            <w:r w:rsidRPr="00FD193F">
              <w:rPr>
                <w:b/>
                <w:color w:val="000000"/>
                <w:sz w:val="26"/>
                <w:szCs w:val="26"/>
              </w:rPr>
              <w:t>$40,698,462</w:t>
            </w:r>
          </w:p>
        </w:tc>
        <w:tc>
          <w:tcPr>
            <w:tcW w:w="2394" w:type="dxa"/>
            <w:vAlign w:val="bottom"/>
          </w:tcPr>
          <w:p w:rsidR="00BE4096" w:rsidRPr="00FD193F" w:rsidRDefault="00BE4096" w:rsidP="000B09F5">
            <w:pPr>
              <w:contextualSpacing/>
              <w:jc w:val="center"/>
              <w:rPr>
                <w:b/>
                <w:color w:val="000000"/>
                <w:sz w:val="26"/>
                <w:szCs w:val="26"/>
              </w:rPr>
            </w:pPr>
            <w:r w:rsidRPr="00FD193F">
              <w:rPr>
                <w:b/>
                <w:color w:val="000000"/>
                <w:sz w:val="26"/>
                <w:szCs w:val="26"/>
              </w:rPr>
              <w:t>$38,813,417</w:t>
            </w:r>
          </w:p>
        </w:tc>
      </w:tr>
    </w:tbl>
    <w:p w:rsidR="00BE4096" w:rsidRDefault="00BE4096" w:rsidP="00BE4096">
      <w:pPr>
        <w:spacing w:line="360" w:lineRule="auto"/>
        <w:contextualSpacing/>
        <w:rPr>
          <w:rFonts w:ascii="Times New Roman" w:hAnsi="Times New Roman" w:cs="Times New Roman"/>
          <w:sz w:val="26"/>
          <w:szCs w:val="26"/>
        </w:rPr>
      </w:pPr>
      <w:r w:rsidRPr="00700610">
        <w:rPr>
          <w:rFonts w:ascii="Times New Roman" w:hAnsi="Times New Roman" w:cs="Times New Roman"/>
          <w:sz w:val="26"/>
          <w:szCs w:val="26"/>
        </w:rPr>
        <w:t xml:space="preserve">Source: </w:t>
      </w:r>
      <w:r>
        <w:rPr>
          <w:rFonts w:ascii="Times New Roman" w:hAnsi="Times New Roman" w:cs="Times New Roman"/>
          <w:sz w:val="26"/>
          <w:szCs w:val="26"/>
        </w:rPr>
        <w:t>PGW Supplemental Information</w:t>
      </w:r>
      <w:r w:rsidRPr="00700610">
        <w:rPr>
          <w:rFonts w:ascii="Times New Roman" w:hAnsi="Times New Roman" w:cs="Times New Roman"/>
          <w:sz w:val="26"/>
          <w:szCs w:val="26"/>
        </w:rPr>
        <w:t xml:space="preserve"> at 9.</w:t>
      </w:r>
    </w:p>
    <w:p w:rsidR="005449CC" w:rsidRPr="00700610" w:rsidRDefault="005449CC" w:rsidP="00BE4096">
      <w:pPr>
        <w:spacing w:line="360" w:lineRule="auto"/>
        <w:contextualSpacing/>
        <w:rPr>
          <w:rFonts w:ascii="Times New Roman" w:hAnsi="Times New Roman" w:cs="Times New Roman"/>
          <w:sz w:val="26"/>
          <w:szCs w:val="26"/>
        </w:rPr>
      </w:pPr>
    </w:p>
    <w:p w:rsidR="000B09F5" w:rsidRDefault="000B09F5" w:rsidP="000B09F5">
      <w:pPr>
        <w:keepNext/>
        <w:spacing w:line="240" w:lineRule="auto"/>
        <w:contextualSpacing/>
        <w:jc w:val="center"/>
        <w:rPr>
          <w:rFonts w:ascii="Times New Roman" w:hAnsi="Times New Roman" w:cs="Times New Roman"/>
          <w:b/>
          <w:sz w:val="26"/>
          <w:szCs w:val="26"/>
        </w:rPr>
      </w:pPr>
      <w:r>
        <w:rPr>
          <w:rFonts w:ascii="Times New Roman" w:hAnsi="Times New Roman" w:cs="Times New Roman"/>
          <w:b/>
          <w:sz w:val="26"/>
          <w:szCs w:val="26"/>
        </w:rPr>
        <w:t>Table 4</w:t>
      </w:r>
    </w:p>
    <w:p w:rsidR="00BE4096" w:rsidRPr="00FD193F" w:rsidRDefault="00BE4096" w:rsidP="000B09F5">
      <w:pPr>
        <w:keepNext/>
        <w:spacing w:line="240" w:lineRule="auto"/>
        <w:contextualSpacing/>
        <w:jc w:val="center"/>
        <w:rPr>
          <w:rFonts w:ascii="Times New Roman" w:hAnsi="Times New Roman" w:cs="Times New Roman"/>
          <w:b/>
          <w:sz w:val="26"/>
          <w:szCs w:val="26"/>
        </w:rPr>
      </w:pPr>
      <w:r>
        <w:rPr>
          <w:rFonts w:ascii="Times New Roman" w:hAnsi="Times New Roman" w:cs="Times New Roman"/>
          <w:b/>
          <w:sz w:val="26"/>
          <w:szCs w:val="26"/>
        </w:rPr>
        <w:t>CRP In-Program Arrears</w:t>
      </w:r>
    </w:p>
    <w:tbl>
      <w:tblPr>
        <w:tblStyle w:val="TableGrid"/>
        <w:tblW w:w="0" w:type="auto"/>
        <w:tblLook w:val="04A0" w:firstRow="1" w:lastRow="0" w:firstColumn="1" w:lastColumn="0" w:noHBand="0" w:noVBand="1"/>
      </w:tblPr>
      <w:tblGrid>
        <w:gridCol w:w="2394"/>
        <w:gridCol w:w="2394"/>
        <w:gridCol w:w="2394"/>
        <w:gridCol w:w="2394"/>
      </w:tblGrid>
      <w:tr w:rsidR="00BE4096" w:rsidTr="009F0DAD">
        <w:tc>
          <w:tcPr>
            <w:tcW w:w="2394" w:type="dxa"/>
            <w:vAlign w:val="center"/>
          </w:tcPr>
          <w:p w:rsidR="00BE4096" w:rsidRPr="00FD193F" w:rsidRDefault="00BE4096" w:rsidP="000B09F5">
            <w:pPr>
              <w:keepNext/>
              <w:spacing w:after="200"/>
              <w:contextualSpacing/>
              <w:jc w:val="center"/>
              <w:rPr>
                <w:b/>
                <w:sz w:val="26"/>
                <w:szCs w:val="26"/>
              </w:rPr>
            </w:pPr>
            <w:r w:rsidRPr="00FD193F">
              <w:rPr>
                <w:b/>
                <w:sz w:val="26"/>
                <w:szCs w:val="26"/>
              </w:rPr>
              <w:t>Level</w:t>
            </w:r>
          </w:p>
        </w:tc>
        <w:tc>
          <w:tcPr>
            <w:tcW w:w="2394" w:type="dxa"/>
            <w:vAlign w:val="center"/>
          </w:tcPr>
          <w:p w:rsidR="00BE4096" w:rsidRPr="00FD193F" w:rsidRDefault="00BE4096" w:rsidP="000B09F5">
            <w:pPr>
              <w:keepNext/>
              <w:spacing w:after="200"/>
              <w:contextualSpacing/>
              <w:jc w:val="center"/>
              <w:rPr>
                <w:b/>
                <w:sz w:val="26"/>
                <w:szCs w:val="26"/>
              </w:rPr>
            </w:pPr>
            <w:r w:rsidRPr="00FD193F">
              <w:rPr>
                <w:b/>
                <w:sz w:val="26"/>
                <w:szCs w:val="26"/>
              </w:rPr>
              <w:t>2013</w:t>
            </w:r>
          </w:p>
        </w:tc>
        <w:tc>
          <w:tcPr>
            <w:tcW w:w="2394" w:type="dxa"/>
            <w:vAlign w:val="center"/>
          </w:tcPr>
          <w:p w:rsidR="00BE4096" w:rsidRPr="00FD193F" w:rsidRDefault="00BE4096" w:rsidP="000B09F5">
            <w:pPr>
              <w:keepNext/>
              <w:spacing w:after="200"/>
              <w:contextualSpacing/>
              <w:jc w:val="center"/>
              <w:rPr>
                <w:b/>
                <w:sz w:val="26"/>
                <w:szCs w:val="26"/>
              </w:rPr>
            </w:pPr>
            <w:r w:rsidRPr="00FD193F">
              <w:rPr>
                <w:b/>
                <w:sz w:val="26"/>
                <w:szCs w:val="26"/>
              </w:rPr>
              <w:t>2014</w:t>
            </w:r>
          </w:p>
        </w:tc>
        <w:tc>
          <w:tcPr>
            <w:tcW w:w="2394" w:type="dxa"/>
            <w:vAlign w:val="center"/>
          </w:tcPr>
          <w:p w:rsidR="00BE4096" w:rsidRPr="00FD193F" w:rsidRDefault="00BE4096" w:rsidP="000B09F5">
            <w:pPr>
              <w:keepNext/>
              <w:spacing w:after="200"/>
              <w:contextualSpacing/>
              <w:jc w:val="center"/>
              <w:rPr>
                <w:b/>
                <w:sz w:val="26"/>
                <w:szCs w:val="26"/>
              </w:rPr>
            </w:pPr>
            <w:r w:rsidRPr="00FD193F">
              <w:rPr>
                <w:b/>
                <w:sz w:val="26"/>
                <w:szCs w:val="26"/>
              </w:rPr>
              <w:t>2015</w:t>
            </w:r>
          </w:p>
        </w:tc>
      </w:tr>
      <w:tr w:rsidR="00BE4096" w:rsidTr="009F0DAD">
        <w:tc>
          <w:tcPr>
            <w:tcW w:w="2394" w:type="dxa"/>
            <w:vAlign w:val="center"/>
          </w:tcPr>
          <w:p w:rsidR="00BE4096" w:rsidRPr="00FD193F" w:rsidRDefault="00BE4096" w:rsidP="000B09F5">
            <w:pPr>
              <w:keepNext/>
              <w:spacing w:after="200"/>
              <w:contextualSpacing/>
              <w:jc w:val="center"/>
              <w:rPr>
                <w:sz w:val="26"/>
                <w:szCs w:val="26"/>
              </w:rPr>
            </w:pPr>
            <w:r w:rsidRPr="00FD193F">
              <w:rPr>
                <w:sz w:val="26"/>
                <w:szCs w:val="26"/>
              </w:rPr>
              <w:t>$25 min</w:t>
            </w:r>
          </w:p>
        </w:tc>
        <w:tc>
          <w:tcPr>
            <w:tcW w:w="2394" w:type="dxa"/>
            <w:vAlign w:val="center"/>
          </w:tcPr>
          <w:p w:rsidR="00BE4096" w:rsidRPr="00FD193F" w:rsidRDefault="00BE4096" w:rsidP="000B09F5">
            <w:pPr>
              <w:keepNext/>
              <w:spacing w:after="200"/>
              <w:contextualSpacing/>
              <w:jc w:val="center"/>
              <w:rPr>
                <w:sz w:val="26"/>
                <w:szCs w:val="26"/>
              </w:rPr>
            </w:pPr>
            <w:r w:rsidRPr="00FD193F">
              <w:rPr>
                <w:sz w:val="26"/>
                <w:szCs w:val="26"/>
              </w:rPr>
              <w:t>$104,753</w:t>
            </w:r>
          </w:p>
        </w:tc>
        <w:tc>
          <w:tcPr>
            <w:tcW w:w="2394" w:type="dxa"/>
            <w:vAlign w:val="center"/>
          </w:tcPr>
          <w:p w:rsidR="00BE4096" w:rsidRPr="00FD193F" w:rsidRDefault="00BE4096" w:rsidP="000B09F5">
            <w:pPr>
              <w:keepNext/>
              <w:spacing w:after="200"/>
              <w:contextualSpacing/>
              <w:jc w:val="center"/>
              <w:rPr>
                <w:sz w:val="26"/>
                <w:szCs w:val="26"/>
              </w:rPr>
            </w:pPr>
            <w:r w:rsidRPr="00FD193F">
              <w:rPr>
                <w:sz w:val="26"/>
                <w:szCs w:val="26"/>
              </w:rPr>
              <w:t>$85,057</w:t>
            </w:r>
          </w:p>
        </w:tc>
        <w:tc>
          <w:tcPr>
            <w:tcW w:w="2394" w:type="dxa"/>
            <w:vAlign w:val="center"/>
          </w:tcPr>
          <w:p w:rsidR="00BE4096" w:rsidRPr="00FD193F" w:rsidRDefault="00BE4096" w:rsidP="000B09F5">
            <w:pPr>
              <w:keepNext/>
              <w:spacing w:after="200"/>
              <w:contextualSpacing/>
              <w:jc w:val="center"/>
              <w:rPr>
                <w:sz w:val="26"/>
                <w:szCs w:val="26"/>
              </w:rPr>
            </w:pPr>
            <w:r w:rsidRPr="00FD193F">
              <w:rPr>
                <w:sz w:val="26"/>
                <w:szCs w:val="26"/>
              </w:rPr>
              <w:t>$132,792</w:t>
            </w:r>
          </w:p>
        </w:tc>
      </w:tr>
      <w:tr w:rsidR="00BE4096" w:rsidTr="009F0DAD">
        <w:tc>
          <w:tcPr>
            <w:tcW w:w="2394" w:type="dxa"/>
            <w:vAlign w:val="center"/>
          </w:tcPr>
          <w:p w:rsidR="00BE4096" w:rsidRPr="00FD193F" w:rsidRDefault="00BE4096" w:rsidP="000B09F5">
            <w:pPr>
              <w:keepNext/>
              <w:spacing w:after="200"/>
              <w:contextualSpacing/>
              <w:jc w:val="center"/>
              <w:rPr>
                <w:sz w:val="26"/>
                <w:szCs w:val="26"/>
              </w:rPr>
            </w:pPr>
            <w:r w:rsidRPr="00FD193F">
              <w:rPr>
                <w:sz w:val="26"/>
                <w:szCs w:val="26"/>
              </w:rPr>
              <w:t>0-50%</w:t>
            </w:r>
          </w:p>
        </w:tc>
        <w:tc>
          <w:tcPr>
            <w:tcW w:w="2394" w:type="dxa"/>
            <w:vAlign w:val="center"/>
          </w:tcPr>
          <w:p w:rsidR="00BE4096" w:rsidRPr="00FD193F" w:rsidRDefault="00BE4096" w:rsidP="000B09F5">
            <w:pPr>
              <w:keepNext/>
              <w:spacing w:after="200"/>
              <w:contextualSpacing/>
              <w:jc w:val="center"/>
              <w:rPr>
                <w:sz w:val="26"/>
                <w:szCs w:val="26"/>
              </w:rPr>
            </w:pPr>
            <w:r w:rsidRPr="00FD193F">
              <w:rPr>
                <w:sz w:val="26"/>
                <w:szCs w:val="26"/>
              </w:rPr>
              <w:t>$1,761,106</w:t>
            </w:r>
          </w:p>
        </w:tc>
        <w:tc>
          <w:tcPr>
            <w:tcW w:w="2394" w:type="dxa"/>
            <w:vAlign w:val="center"/>
          </w:tcPr>
          <w:p w:rsidR="00BE4096" w:rsidRPr="00FD193F" w:rsidRDefault="00BE4096" w:rsidP="000B09F5">
            <w:pPr>
              <w:keepNext/>
              <w:spacing w:after="200"/>
              <w:contextualSpacing/>
              <w:jc w:val="center"/>
              <w:rPr>
                <w:sz w:val="26"/>
                <w:szCs w:val="26"/>
              </w:rPr>
            </w:pPr>
            <w:r w:rsidRPr="00FD193F">
              <w:rPr>
                <w:sz w:val="26"/>
                <w:szCs w:val="26"/>
              </w:rPr>
              <w:t>$1,353,084</w:t>
            </w:r>
          </w:p>
        </w:tc>
        <w:tc>
          <w:tcPr>
            <w:tcW w:w="2394" w:type="dxa"/>
            <w:vAlign w:val="center"/>
          </w:tcPr>
          <w:p w:rsidR="00BE4096" w:rsidRPr="00FD193F" w:rsidRDefault="00BE4096" w:rsidP="000B09F5">
            <w:pPr>
              <w:keepNext/>
              <w:spacing w:after="200"/>
              <w:contextualSpacing/>
              <w:jc w:val="center"/>
              <w:rPr>
                <w:sz w:val="26"/>
                <w:szCs w:val="26"/>
              </w:rPr>
            </w:pPr>
            <w:r w:rsidRPr="00FD193F">
              <w:rPr>
                <w:sz w:val="26"/>
                <w:szCs w:val="26"/>
              </w:rPr>
              <w:t>$1,286,857</w:t>
            </w:r>
          </w:p>
        </w:tc>
      </w:tr>
      <w:tr w:rsidR="00BE4096" w:rsidTr="009F0DAD">
        <w:tc>
          <w:tcPr>
            <w:tcW w:w="2394" w:type="dxa"/>
            <w:vAlign w:val="center"/>
          </w:tcPr>
          <w:p w:rsidR="00BE4096" w:rsidRPr="00FD193F" w:rsidRDefault="00BE4096" w:rsidP="000B09F5">
            <w:pPr>
              <w:keepNext/>
              <w:spacing w:after="200"/>
              <w:contextualSpacing/>
              <w:jc w:val="center"/>
              <w:rPr>
                <w:sz w:val="26"/>
                <w:szCs w:val="26"/>
              </w:rPr>
            </w:pPr>
            <w:r w:rsidRPr="00FD193F">
              <w:rPr>
                <w:sz w:val="26"/>
                <w:szCs w:val="26"/>
              </w:rPr>
              <w:t>51-100%</w:t>
            </w:r>
          </w:p>
        </w:tc>
        <w:tc>
          <w:tcPr>
            <w:tcW w:w="2394" w:type="dxa"/>
            <w:vAlign w:val="center"/>
          </w:tcPr>
          <w:p w:rsidR="00BE4096" w:rsidRPr="00FD193F" w:rsidRDefault="00BE4096" w:rsidP="000B09F5">
            <w:pPr>
              <w:keepNext/>
              <w:spacing w:after="200"/>
              <w:contextualSpacing/>
              <w:jc w:val="center"/>
              <w:rPr>
                <w:sz w:val="26"/>
                <w:szCs w:val="26"/>
              </w:rPr>
            </w:pPr>
            <w:r w:rsidRPr="00FD193F">
              <w:rPr>
                <w:sz w:val="26"/>
                <w:szCs w:val="26"/>
              </w:rPr>
              <w:t>$6,320,605</w:t>
            </w:r>
          </w:p>
        </w:tc>
        <w:tc>
          <w:tcPr>
            <w:tcW w:w="2394" w:type="dxa"/>
            <w:vAlign w:val="center"/>
          </w:tcPr>
          <w:p w:rsidR="00BE4096" w:rsidRPr="00FD193F" w:rsidRDefault="00BE4096" w:rsidP="000B09F5">
            <w:pPr>
              <w:keepNext/>
              <w:spacing w:after="200"/>
              <w:contextualSpacing/>
              <w:jc w:val="center"/>
              <w:rPr>
                <w:sz w:val="26"/>
                <w:szCs w:val="26"/>
              </w:rPr>
            </w:pPr>
            <w:r w:rsidRPr="00FD193F">
              <w:rPr>
                <w:sz w:val="26"/>
                <w:szCs w:val="26"/>
              </w:rPr>
              <w:t>$5,007,387</w:t>
            </w:r>
          </w:p>
        </w:tc>
        <w:tc>
          <w:tcPr>
            <w:tcW w:w="2394" w:type="dxa"/>
            <w:vAlign w:val="center"/>
          </w:tcPr>
          <w:p w:rsidR="00BE4096" w:rsidRPr="00FD193F" w:rsidRDefault="00BE4096" w:rsidP="000B09F5">
            <w:pPr>
              <w:keepNext/>
              <w:spacing w:after="200"/>
              <w:contextualSpacing/>
              <w:jc w:val="center"/>
              <w:rPr>
                <w:sz w:val="26"/>
                <w:szCs w:val="26"/>
              </w:rPr>
            </w:pPr>
            <w:r w:rsidRPr="00FD193F">
              <w:rPr>
                <w:sz w:val="26"/>
                <w:szCs w:val="26"/>
              </w:rPr>
              <w:t>$4,191,555</w:t>
            </w:r>
          </w:p>
        </w:tc>
      </w:tr>
      <w:tr w:rsidR="00BE4096" w:rsidTr="009F0DAD">
        <w:tc>
          <w:tcPr>
            <w:tcW w:w="2394" w:type="dxa"/>
            <w:vAlign w:val="center"/>
          </w:tcPr>
          <w:p w:rsidR="00BE4096" w:rsidRPr="00FD193F" w:rsidRDefault="00BE4096" w:rsidP="000B09F5">
            <w:pPr>
              <w:keepNext/>
              <w:spacing w:after="200"/>
              <w:contextualSpacing/>
              <w:jc w:val="center"/>
              <w:rPr>
                <w:sz w:val="26"/>
                <w:szCs w:val="26"/>
              </w:rPr>
            </w:pPr>
            <w:r w:rsidRPr="00FD193F">
              <w:rPr>
                <w:sz w:val="26"/>
                <w:szCs w:val="26"/>
              </w:rPr>
              <w:t>101-150%</w:t>
            </w:r>
          </w:p>
        </w:tc>
        <w:tc>
          <w:tcPr>
            <w:tcW w:w="2394" w:type="dxa"/>
            <w:vAlign w:val="center"/>
          </w:tcPr>
          <w:p w:rsidR="00BE4096" w:rsidRPr="00FD193F" w:rsidRDefault="00BE4096" w:rsidP="000B09F5">
            <w:pPr>
              <w:keepNext/>
              <w:spacing w:after="200"/>
              <w:contextualSpacing/>
              <w:jc w:val="center"/>
              <w:rPr>
                <w:sz w:val="26"/>
                <w:szCs w:val="26"/>
              </w:rPr>
            </w:pPr>
            <w:r w:rsidRPr="00FD193F">
              <w:rPr>
                <w:sz w:val="26"/>
                <w:szCs w:val="26"/>
              </w:rPr>
              <w:t>$3,273,826</w:t>
            </w:r>
          </w:p>
        </w:tc>
        <w:tc>
          <w:tcPr>
            <w:tcW w:w="2394" w:type="dxa"/>
            <w:vAlign w:val="center"/>
          </w:tcPr>
          <w:p w:rsidR="00BE4096" w:rsidRPr="00FD193F" w:rsidRDefault="00BE4096" w:rsidP="000B09F5">
            <w:pPr>
              <w:keepNext/>
              <w:spacing w:after="200"/>
              <w:contextualSpacing/>
              <w:jc w:val="center"/>
              <w:rPr>
                <w:sz w:val="26"/>
                <w:szCs w:val="26"/>
              </w:rPr>
            </w:pPr>
            <w:r w:rsidRPr="00FD193F">
              <w:rPr>
                <w:sz w:val="26"/>
                <w:szCs w:val="26"/>
              </w:rPr>
              <w:t>$2,427,391</w:t>
            </w:r>
          </w:p>
        </w:tc>
        <w:tc>
          <w:tcPr>
            <w:tcW w:w="2394" w:type="dxa"/>
            <w:vAlign w:val="center"/>
          </w:tcPr>
          <w:p w:rsidR="00BE4096" w:rsidRPr="00FD193F" w:rsidRDefault="00BE4096" w:rsidP="000B09F5">
            <w:pPr>
              <w:keepNext/>
              <w:spacing w:after="200"/>
              <w:contextualSpacing/>
              <w:jc w:val="center"/>
              <w:rPr>
                <w:sz w:val="26"/>
                <w:szCs w:val="26"/>
              </w:rPr>
            </w:pPr>
            <w:r w:rsidRPr="00FD193F">
              <w:rPr>
                <w:sz w:val="26"/>
                <w:szCs w:val="26"/>
              </w:rPr>
              <w:t>$1,682,339</w:t>
            </w:r>
          </w:p>
        </w:tc>
      </w:tr>
      <w:tr w:rsidR="00BE4096" w:rsidTr="009F0DAD">
        <w:tc>
          <w:tcPr>
            <w:tcW w:w="2394" w:type="dxa"/>
            <w:vAlign w:val="center"/>
          </w:tcPr>
          <w:p w:rsidR="00BE4096" w:rsidRPr="00FD193F" w:rsidRDefault="00BE4096" w:rsidP="000B09F5">
            <w:pPr>
              <w:contextualSpacing/>
              <w:jc w:val="center"/>
              <w:rPr>
                <w:b/>
                <w:sz w:val="26"/>
                <w:szCs w:val="26"/>
              </w:rPr>
            </w:pPr>
            <w:r w:rsidRPr="00FD193F">
              <w:rPr>
                <w:b/>
                <w:sz w:val="26"/>
                <w:szCs w:val="26"/>
              </w:rPr>
              <w:t>Total</w:t>
            </w:r>
          </w:p>
        </w:tc>
        <w:tc>
          <w:tcPr>
            <w:tcW w:w="2394" w:type="dxa"/>
            <w:vAlign w:val="center"/>
          </w:tcPr>
          <w:p w:rsidR="00BE4096" w:rsidRPr="00FD193F" w:rsidRDefault="00BE4096" w:rsidP="000B09F5">
            <w:pPr>
              <w:contextualSpacing/>
              <w:jc w:val="center"/>
              <w:rPr>
                <w:b/>
                <w:color w:val="000000"/>
                <w:sz w:val="26"/>
                <w:szCs w:val="26"/>
              </w:rPr>
            </w:pPr>
            <w:r w:rsidRPr="00FD193F">
              <w:rPr>
                <w:b/>
                <w:color w:val="000000"/>
                <w:sz w:val="26"/>
                <w:szCs w:val="26"/>
              </w:rPr>
              <w:t>$11,460,290</w:t>
            </w:r>
          </w:p>
        </w:tc>
        <w:tc>
          <w:tcPr>
            <w:tcW w:w="2394" w:type="dxa"/>
            <w:vAlign w:val="center"/>
          </w:tcPr>
          <w:p w:rsidR="00BE4096" w:rsidRPr="00FD193F" w:rsidRDefault="00BE4096" w:rsidP="000B09F5">
            <w:pPr>
              <w:contextualSpacing/>
              <w:jc w:val="center"/>
              <w:rPr>
                <w:b/>
                <w:color w:val="000000"/>
                <w:sz w:val="26"/>
                <w:szCs w:val="26"/>
              </w:rPr>
            </w:pPr>
            <w:r w:rsidRPr="00FD193F">
              <w:rPr>
                <w:b/>
                <w:color w:val="000000"/>
                <w:sz w:val="26"/>
                <w:szCs w:val="26"/>
              </w:rPr>
              <w:t>$8,872,919</w:t>
            </w:r>
          </w:p>
        </w:tc>
        <w:tc>
          <w:tcPr>
            <w:tcW w:w="2394" w:type="dxa"/>
            <w:vAlign w:val="center"/>
          </w:tcPr>
          <w:p w:rsidR="00BE4096" w:rsidRPr="00FD193F" w:rsidRDefault="00BE4096" w:rsidP="000B09F5">
            <w:pPr>
              <w:contextualSpacing/>
              <w:jc w:val="center"/>
              <w:rPr>
                <w:b/>
                <w:color w:val="000000"/>
                <w:sz w:val="26"/>
                <w:szCs w:val="26"/>
              </w:rPr>
            </w:pPr>
            <w:r w:rsidRPr="00FD193F">
              <w:rPr>
                <w:b/>
                <w:color w:val="000000"/>
                <w:sz w:val="26"/>
                <w:szCs w:val="26"/>
              </w:rPr>
              <w:t>$7,293,543</w:t>
            </w:r>
          </w:p>
        </w:tc>
      </w:tr>
    </w:tbl>
    <w:p w:rsidR="00BE4096" w:rsidRDefault="00BE4096" w:rsidP="000B09F5">
      <w:pPr>
        <w:spacing w:line="240" w:lineRule="auto"/>
        <w:contextualSpacing/>
        <w:jc w:val="both"/>
        <w:rPr>
          <w:rFonts w:ascii="Times New Roman" w:hAnsi="Times New Roman" w:cs="Times New Roman"/>
          <w:sz w:val="26"/>
          <w:szCs w:val="26"/>
        </w:rPr>
      </w:pPr>
      <w:r>
        <w:rPr>
          <w:rFonts w:ascii="Times New Roman" w:hAnsi="Times New Roman" w:cs="Times New Roman"/>
          <w:sz w:val="26"/>
          <w:szCs w:val="26"/>
        </w:rPr>
        <w:t>Source: PGW Supplemental Information at 9.</w:t>
      </w:r>
    </w:p>
    <w:p w:rsidR="00BE4096" w:rsidRDefault="00BE4096" w:rsidP="00BE4096">
      <w:pPr>
        <w:spacing w:line="360" w:lineRule="auto"/>
        <w:contextualSpacing/>
        <w:rPr>
          <w:rFonts w:ascii="Times New Roman" w:hAnsi="Times New Roman" w:cs="Times New Roman"/>
          <w:sz w:val="26"/>
          <w:szCs w:val="26"/>
        </w:rPr>
      </w:pPr>
    </w:p>
    <w:p w:rsidR="00BE4096" w:rsidRDefault="000B09F5" w:rsidP="00BE4096">
      <w:pPr>
        <w:spacing w:line="360" w:lineRule="auto"/>
        <w:contextualSpacing/>
        <w:rPr>
          <w:rFonts w:ascii="Times New Roman" w:hAnsi="Times New Roman" w:cs="Times New Roman"/>
          <w:sz w:val="26"/>
          <w:szCs w:val="26"/>
        </w:rPr>
      </w:pPr>
      <w:r>
        <w:rPr>
          <w:rFonts w:ascii="Times New Roman" w:hAnsi="Times New Roman" w:cs="Times New Roman"/>
          <w:sz w:val="26"/>
          <w:szCs w:val="26"/>
        </w:rPr>
        <w:tab/>
      </w:r>
      <w:r w:rsidR="00BE4096">
        <w:rPr>
          <w:rFonts w:ascii="Times New Roman" w:hAnsi="Times New Roman" w:cs="Times New Roman"/>
          <w:sz w:val="26"/>
          <w:szCs w:val="26"/>
        </w:rPr>
        <w:t xml:space="preserve">CAUSE-PA, OCA, and TURN </w:t>
      </w:r>
      <w:r w:rsidR="006656B5" w:rsidRPr="006656B5">
        <w:rPr>
          <w:rFonts w:ascii="Times New Roman" w:hAnsi="Times New Roman" w:cs="Times New Roman"/>
          <w:i/>
          <w:sz w:val="26"/>
          <w:szCs w:val="26"/>
        </w:rPr>
        <w:t>et al</w:t>
      </w:r>
      <w:r w:rsidR="00BE4096">
        <w:rPr>
          <w:rFonts w:ascii="Times New Roman" w:hAnsi="Times New Roman" w:cs="Times New Roman"/>
          <w:sz w:val="26"/>
          <w:szCs w:val="26"/>
        </w:rPr>
        <w:t xml:space="preserve">. separately support allowing customers to enroll in CRP at the PIP or budget bill rate, whichever is lower.  CAUSE-PA Comments at 5; OCA Comments at 5; and TURN </w:t>
      </w:r>
      <w:r w:rsidR="006656B5" w:rsidRPr="006656B5">
        <w:rPr>
          <w:rFonts w:ascii="Times New Roman" w:hAnsi="Times New Roman" w:cs="Times New Roman"/>
          <w:i/>
          <w:sz w:val="26"/>
          <w:szCs w:val="26"/>
        </w:rPr>
        <w:t>et al</w:t>
      </w:r>
      <w:r w:rsidR="00BE4096">
        <w:rPr>
          <w:rFonts w:ascii="Times New Roman" w:hAnsi="Times New Roman" w:cs="Times New Roman"/>
          <w:sz w:val="26"/>
          <w:szCs w:val="26"/>
        </w:rPr>
        <w:t xml:space="preserve">. Comments at 3.  CAUSE-PA and TURN </w:t>
      </w:r>
      <w:r w:rsidR="006656B5" w:rsidRPr="006656B5">
        <w:rPr>
          <w:rFonts w:ascii="Times New Roman" w:hAnsi="Times New Roman" w:cs="Times New Roman"/>
          <w:i/>
          <w:sz w:val="26"/>
          <w:szCs w:val="26"/>
        </w:rPr>
        <w:t>et al</w:t>
      </w:r>
      <w:r w:rsidR="00BE4096">
        <w:rPr>
          <w:rFonts w:ascii="Times New Roman" w:hAnsi="Times New Roman" w:cs="Times New Roman"/>
          <w:sz w:val="26"/>
          <w:szCs w:val="26"/>
        </w:rPr>
        <w:t xml:space="preserve">. separately disagree with PGW’s assertion that allowing customers to enroll in CRP at budget billing would be inconsistent with the affordability guidelines in the CAP Policy Statement.  They note that the </w:t>
      </w:r>
      <w:r w:rsidR="0037608C">
        <w:rPr>
          <w:rFonts w:ascii="Times New Roman" w:hAnsi="Times New Roman" w:cs="Times New Roman"/>
          <w:sz w:val="26"/>
          <w:szCs w:val="26"/>
        </w:rPr>
        <w:t xml:space="preserve">CAP </w:t>
      </w:r>
      <w:r w:rsidR="00BE4096">
        <w:rPr>
          <w:rFonts w:ascii="Times New Roman" w:hAnsi="Times New Roman" w:cs="Times New Roman"/>
          <w:sz w:val="26"/>
          <w:szCs w:val="26"/>
        </w:rPr>
        <w:t>Policy Statement identifies the maximum percentage of income a customer should pay for electric and natu</w:t>
      </w:r>
      <w:r w:rsidR="00F84099">
        <w:rPr>
          <w:rFonts w:ascii="Times New Roman" w:hAnsi="Times New Roman" w:cs="Times New Roman"/>
          <w:sz w:val="26"/>
          <w:szCs w:val="26"/>
        </w:rPr>
        <w:t>ral gas service; it does not establish</w:t>
      </w:r>
      <w:r w:rsidR="00BE4096">
        <w:rPr>
          <w:rFonts w:ascii="Times New Roman" w:hAnsi="Times New Roman" w:cs="Times New Roman"/>
          <w:sz w:val="26"/>
          <w:szCs w:val="26"/>
        </w:rPr>
        <w:t xml:space="preserve"> minimum energy burden thresholds.  CAUSE-PA Comments at 8-9 and TURN </w:t>
      </w:r>
      <w:r w:rsidR="006656B5" w:rsidRPr="006656B5">
        <w:rPr>
          <w:rFonts w:ascii="Times New Roman" w:hAnsi="Times New Roman" w:cs="Times New Roman"/>
          <w:i/>
          <w:sz w:val="26"/>
          <w:szCs w:val="26"/>
        </w:rPr>
        <w:t>et al</w:t>
      </w:r>
      <w:r w:rsidR="00BE4096">
        <w:rPr>
          <w:rFonts w:ascii="Times New Roman" w:hAnsi="Times New Roman" w:cs="Times New Roman"/>
          <w:sz w:val="26"/>
          <w:szCs w:val="26"/>
        </w:rPr>
        <w:t xml:space="preserve">. Comments at 5. </w:t>
      </w:r>
    </w:p>
    <w:p w:rsidR="00BE4096" w:rsidRDefault="00BE4096" w:rsidP="00BE4096">
      <w:pPr>
        <w:spacing w:line="360" w:lineRule="auto"/>
        <w:contextualSpacing/>
        <w:rPr>
          <w:rFonts w:ascii="Times New Roman" w:hAnsi="Times New Roman" w:cs="Times New Roman"/>
          <w:sz w:val="26"/>
          <w:szCs w:val="26"/>
        </w:rPr>
      </w:pPr>
    </w:p>
    <w:p w:rsidR="00BE4096" w:rsidRDefault="00BE4096" w:rsidP="00BE4096">
      <w:pPr>
        <w:spacing w:line="360" w:lineRule="auto"/>
        <w:contextualSpacing/>
        <w:rPr>
          <w:rFonts w:ascii="Times New Roman" w:hAnsi="Times New Roman" w:cs="Times New Roman"/>
          <w:sz w:val="26"/>
          <w:szCs w:val="26"/>
        </w:rPr>
      </w:pPr>
      <w:r>
        <w:rPr>
          <w:rFonts w:ascii="Times New Roman" w:hAnsi="Times New Roman" w:cs="Times New Roman"/>
          <w:sz w:val="26"/>
          <w:szCs w:val="26"/>
        </w:rPr>
        <w:tab/>
        <w:t xml:space="preserve">CAUSE-PA notes that the eligibility criteria in the CAP Policy Statement only requires a customer to be a ratepayer, low-income (at or below 150% of the FPIG), and payment troubled to qualify for the program.  CAUSE-PA Comments at 6, </w:t>
      </w:r>
      <w:r w:rsidRPr="00764737">
        <w:rPr>
          <w:rFonts w:ascii="Times New Roman" w:hAnsi="Times New Roman" w:cs="Times New Roman"/>
          <w:i/>
          <w:sz w:val="26"/>
          <w:szCs w:val="26"/>
        </w:rPr>
        <w:t>citing</w:t>
      </w:r>
      <w:r>
        <w:rPr>
          <w:rFonts w:ascii="Times New Roman" w:hAnsi="Times New Roman" w:cs="Times New Roman"/>
          <w:sz w:val="26"/>
          <w:szCs w:val="26"/>
        </w:rPr>
        <w:t xml:space="preserve"> Section</w:t>
      </w:r>
      <w:r w:rsidR="0051619C">
        <w:rPr>
          <w:rFonts w:ascii="Times New Roman" w:hAnsi="Times New Roman" w:cs="Times New Roman"/>
          <w:sz w:val="26"/>
          <w:szCs w:val="26"/>
        </w:rPr>
        <w:t> </w:t>
      </w:r>
      <w:r w:rsidRPr="00764737">
        <w:rPr>
          <w:rFonts w:ascii="Times New Roman" w:hAnsi="Times New Roman" w:cs="Times New Roman"/>
          <w:sz w:val="26"/>
          <w:szCs w:val="26"/>
        </w:rPr>
        <w:t>69.265(4)</w:t>
      </w:r>
      <w:r>
        <w:rPr>
          <w:rFonts w:ascii="Times New Roman" w:hAnsi="Times New Roman" w:cs="Times New Roman"/>
          <w:sz w:val="26"/>
          <w:szCs w:val="26"/>
        </w:rPr>
        <w:t xml:space="preserve">(i-iii).  CAUSE-PA argues that PGW should not deny low-income </w:t>
      </w:r>
      <w:r>
        <w:rPr>
          <w:rFonts w:ascii="Times New Roman" w:hAnsi="Times New Roman" w:cs="Times New Roman"/>
          <w:sz w:val="26"/>
          <w:szCs w:val="26"/>
        </w:rPr>
        <w:lastRenderedPageBreak/>
        <w:t>customers the benefits of arrearage forgiveness and access to CRP Home Comfort services due to their gas usage not exceeding a certain percentage of their income.  CAUSE-PA Comments at 6.  CAUSE-PA recommends PGW allow customers to pay the lesser of the PIP or budget bill amount and review this payment amount monthly to confirm the customer continues to pay the most affordable bill.  CAUSE-PA Comments at 7.</w:t>
      </w:r>
    </w:p>
    <w:p w:rsidR="00BE4096" w:rsidRDefault="00BE4096" w:rsidP="00BE4096">
      <w:pPr>
        <w:spacing w:line="360" w:lineRule="auto"/>
        <w:contextualSpacing/>
        <w:rPr>
          <w:rFonts w:ascii="Times New Roman" w:hAnsi="Times New Roman" w:cs="Times New Roman"/>
          <w:sz w:val="26"/>
          <w:szCs w:val="26"/>
        </w:rPr>
      </w:pPr>
    </w:p>
    <w:p w:rsidR="00BE4096" w:rsidRDefault="00BE4096" w:rsidP="00BE4096">
      <w:pPr>
        <w:spacing w:line="360" w:lineRule="auto"/>
        <w:contextualSpacing/>
        <w:rPr>
          <w:rFonts w:ascii="Times New Roman" w:hAnsi="Times New Roman" w:cs="Times New Roman"/>
          <w:sz w:val="26"/>
          <w:szCs w:val="26"/>
        </w:rPr>
      </w:pPr>
      <w:r>
        <w:rPr>
          <w:rFonts w:ascii="Times New Roman" w:hAnsi="Times New Roman" w:cs="Times New Roman"/>
          <w:sz w:val="26"/>
          <w:szCs w:val="26"/>
        </w:rPr>
        <w:tab/>
        <w:t xml:space="preserve">CAUSE-PA and TURN </w:t>
      </w:r>
      <w:r w:rsidR="006656B5" w:rsidRPr="006656B5">
        <w:rPr>
          <w:rFonts w:ascii="Times New Roman" w:hAnsi="Times New Roman" w:cs="Times New Roman"/>
          <w:i/>
          <w:sz w:val="26"/>
          <w:szCs w:val="26"/>
        </w:rPr>
        <w:t>et al</w:t>
      </w:r>
      <w:r>
        <w:rPr>
          <w:rFonts w:ascii="Times New Roman" w:hAnsi="Times New Roman" w:cs="Times New Roman"/>
          <w:sz w:val="26"/>
          <w:szCs w:val="26"/>
        </w:rPr>
        <w:t xml:space="preserve">. separately recommend that the Commission refer this matter to the OALJ for an evidentiary proceeding.  CAUSE-PA Comments at 9-10 and TURN </w:t>
      </w:r>
      <w:r w:rsidR="006656B5" w:rsidRPr="006656B5">
        <w:rPr>
          <w:rFonts w:ascii="Times New Roman" w:hAnsi="Times New Roman" w:cs="Times New Roman"/>
          <w:i/>
          <w:sz w:val="26"/>
          <w:szCs w:val="26"/>
        </w:rPr>
        <w:t>et al</w:t>
      </w:r>
      <w:r>
        <w:rPr>
          <w:rFonts w:ascii="Times New Roman" w:hAnsi="Times New Roman" w:cs="Times New Roman"/>
          <w:sz w:val="26"/>
          <w:szCs w:val="26"/>
        </w:rPr>
        <w:t xml:space="preserve">. Comments at 3.  </w:t>
      </w:r>
    </w:p>
    <w:p w:rsidR="00BE4096" w:rsidRDefault="00BE4096" w:rsidP="00BE4096">
      <w:pPr>
        <w:spacing w:line="360" w:lineRule="auto"/>
        <w:contextualSpacing/>
        <w:rPr>
          <w:rFonts w:ascii="Times New Roman" w:hAnsi="Times New Roman" w:cs="Times New Roman"/>
          <w:sz w:val="26"/>
          <w:szCs w:val="26"/>
        </w:rPr>
      </w:pPr>
    </w:p>
    <w:p w:rsidR="008921A5" w:rsidRDefault="000B09F5" w:rsidP="00BE4096">
      <w:pPr>
        <w:spacing w:line="360" w:lineRule="auto"/>
        <w:contextualSpacing/>
        <w:rPr>
          <w:rFonts w:ascii="Times New Roman" w:hAnsi="Times New Roman" w:cs="Times New Roman"/>
          <w:sz w:val="26"/>
          <w:szCs w:val="26"/>
        </w:rPr>
      </w:pPr>
      <w:r>
        <w:rPr>
          <w:rFonts w:ascii="Times New Roman" w:hAnsi="Times New Roman" w:cs="Times New Roman"/>
          <w:sz w:val="26"/>
          <w:szCs w:val="26"/>
        </w:rPr>
        <w:tab/>
      </w:r>
      <w:r w:rsidR="00BE4096">
        <w:rPr>
          <w:rFonts w:ascii="Times New Roman" w:hAnsi="Times New Roman" w:cs="Times New Roman"/>
          <w:sz w:val="26"/>
          <w:szCs w:val="26"/>
        </w:rPr>
        <w:t xml:space="preserve">PGW maintains that enrolling customers into CRP at budget bill would result in customers paying different percentages of income.  Some participants would </w:t>
      </w:r>
      <w:r w:rsidR="00F84099">
        <w:rPr>
          <w:rFonts w:ascii="Times New Roman" w:hAnsi="Times New Roman" w:cs="Times New Roman"/>
          <w:sz w:val="26"/>
          <w:szCs w:val="26"/>
        </w:rPr>
        <w:t xml:space="preserve">have </w:t>
      </w:r>
      <w:r w:rsidR="00BE4096">
        <w:rPr>
          <w:rFonts w:ascii="Times New Roman" w:hAnsi="Times New Roman" w:cs="Times New Roman"/>
          <w:sz w:val="26"/>
          <w:szCs w:val="26"/>
        </w:rPr>
        <w:t>pay</w:t>
      </w:r>
      <w:r w:rsidR="00F84099">
        <w:rPr>
          <w:rFonts w:ascii="Times New Roman" w:hAnsi="Times New Roman" w:cs="Times New Roman"/>
          <w:sz w:val="26"/>
          <w:szCs w:val="26"/>
        </w:rPr>
        <w:t>ments at</w:t>
      </w:r>
      <w:r w:rsidR="00BE4096">
        <w:rPr>
          <w:rFonts w:ascii="Times New Roman" w:hAnsi="Times New Roman" w:cs="Times New Roman"/>
          <w:sz w:val="26"/>
          <w:szCs w:val="26"/>
        </w:rPr>
        <w:t xml:space="preserve"> the maximum allowable energy burden level and others would pay less.</w:t>
      </w:r>
      <w:r w:rsidR="00F84099">
        <w:rPr>
          <w:rFonts w:ascii="Times New Roman" w:hAnsi="Times New Roman" w:cs="Times New Roman"/>
          <w:sz w:val="26"/>
          <w:szCs w:val="26"/>
        </w:rPr>
        <w:t xml:space="preserve">  PGW recommends the Commission determine </w:t>
      </w:r>
      <w:r w:rsidR="00434783">
        <w:rPr>
          <w:rFonts w:ascii="Times New Roman" w:hAnsi="Times New Roman" w:cs="Times New Roman"/>
          <w:sz w:val="26"/>
          <w:szCs w:val="26"/>
        </w:rPr>
        <w:t xml:space="preserve">what </w:t>
      </w:r>
      <w:r w:rsidR="0037608C">
        <w:rPr>
          <w:rFonts w:ascii="Times New Roman" w:hAnsi="Times New Roman" w:cs="Times New Roman"/>
          <w:sz w:val="26"/>
          <w:szCs w:val="26"/>
        </w:rPr>
        <w:t>energy burden level</w:t>
      </w:r>
      <w:r w:rsidR="00434783">
        <w:rPr>
          <w:rFonts w:ascii="Times New Roman" w:hAnsi="Times New Roman" w:cs="Times New Roman"/>
          <w:sz w:val="26"/>
          <w:szCs w:val="26"/>
        </w:rPr>
        <w:t xml:space="preserve"> is affordable and applicable for all CAP customers.  </w:t>
      </w:r>
      <w:r w:rsidR="00F84099">
        <w:rPr>
          <w:rFonts w:ascii="Times New Roman" w:hAnsi="Times New Roman" w:cs="Times New Roman"/>
          <w:sz w:val="26"/>
          <w:szCs w:val="26"/>
        </w:rPr>
        <w:t>PGW Reply Comments at 12</w:t>
      </w:r>
      <w:r w:rsidR="00434783">
        <w:rPr>
          <w:rFonts w:ascii="Times New Roman" w:hAnsi="Times New Roman" w:cs="Times New Roman"/>
          <w:sz w:val="26"/>
          <w:szCs w:val="26"/>
        </w:rPr>
        <w:t>-13</w:t>
      </w:r>
      <w:r w:rsidR="00F84099">
        <w:rPr>
          <w:rFonts w:ascii="Times New Roman" w:hAnsi="Times New Roman" w:cs="Times New Roman"/>
          <w:sz w:val="26"/>
          <w:szCs w:val="26"/>
        </w:rPr>
        <w:t xml:space="preserve">.  </w:t>
      </w:r>
    </w:p>
    <w:p w:rsidR="00BE4096" w:rsidRPr="00BE4096" w:rsidRDefault="00BE4096" w:rsidP="00BE4096">
      <w:pPr>
        <w:spacing w:line="360" w:lineRule="auto"/>
        <w:contextualSpacing/>
        <w:rPr>
          <w:rFonts w:ascii="Times New Roman" w:hAnsi="Times New Roman" w:cs="Times New Roman"/>
          <w:sz w:val="26"/>
          <w:szCs w:val="26"/>
        </w:rPr>
      </w:pPr>
    </w:p>
    <w:p w:rsidR="00D3385F" w:rsidRDefault="00BE4096" w:rsidP="00BE4096">
      <w:pPr>
        <w:spacing w:line="360" w:lineRule="auto"/>
        <w:contextualSpacing/>
        <w:rPr>
          <w:rFonts w:ascii="Times New Roman" w:hAnsi="Times New Roman" w:cs="Times New Roman"/>
          <w:sz w:val="26"/>
          <w:szCs w:val="26"/>
        </w:rPr>
      </w:pPr>
      <w:r w:rsidRPr="00EC41DB">
        <w:rPr>
          <w:rFonts w:ascii="Times New Roman" w:hAnsi="Times New Roman" w:cs="Times New Roman"/>
          <w:i/>
          <w:sz w:val="26"/>
          <w:szCs w:val="26"/>
        </w:rPr>
        <w:t>Resolution</w:t>
      </w:r>
      <w:r w:rsidRPr="00BE4096">
        <w:rPr>
          <w:rFonts w:ascii="Times New Roman" w:hAnsi="Times New Roman" w:cs="Times New Roman"/>
          <w:sz w:val="26"/>
          <w:szCs w:val="26"/>
        </w:rPr>
        <w:t>:</w:t>
      </w:r>
      <w:r>
        <w:rPr>
          <w:rFonts w:ascii="Times New Roman" w:hAnsi="Times New Roman" w:cs="Times New Roman"/>
          <w:sz w:val="26"/>
          <w:szCs w:val="26"/>
        </w:rPr>
        <w:t xml:space="preserve"> </w:t>
      </w:r>
      <w:r w:rsidR="00434783">
        <w:rPr>
          <w:rFonts w:ascii="Times New Roman" w:hAnsi="Times New Roman" w:cs="Times New Roman"/>
          <w:sz w:val="26"/>
          <w:szCs w:val="26"/>
        </w:rPr>
        <w:t xml:space="preserve">As noted by CAUSE-PA, the eligibility criterion in the CAP Policy Statement does not include determining whether </w:t>
      </w:r>
      <w:r w:rsidR="00342178">
        <w:rPr>
          <w:rFonts w:ascii="Times New Roman" w:hAnsi="Times New Roman" w:cs="Times New Roman"/>
          <w:sz w:val="26"/>
          <w:szCs w:val="26"/>
        </w:rPr>
        <w:t>a household</w:t>
      </w:r>
      <w:r w:rsidR="00434783">
        <w:rPr>
          <w:rFonts w:ascii="Times New Roman" w:hAnsi="Times New Roman" w:cs="Times New Roman"/>
          <w:sz w:val="26"/>
          <w:szCs w:val="26"/>
        </w:rPr>
        <w:t xml:space="preserve"> is paying over a certain percentage of income</w:t>
      </w:r>
      <w:r w:rsidR="00342178">
        <w:rPr>
          <w:rFonts w:ascii="Times New Roman" w:hAnsi="Times New Roman" w:cs="Times New Roman"/>
          <w:sz w:val="26"/>
          <w:szCs w:val="26"/>
        </w:rPr>
        <w:t xml:space="preserve"> for their utility service</w:t>
      </w:r>
      <w:r w:rsidR="00434783">
        <w:rPr>
          <w:rFonts w:ascii="Times New Roman" w:hAnsi="Times New Roman" w:cs="Times New Roman"/>
          <w:sz w:val="26"/>
          <w:szCs w:val="26"/>
        </w:rPr>
        <w:t>.  The CAP Policy State</w:t>
      </w:r>
      <w:r w:rsidR="00342178">
        <w:rPr>
          <w:rFonts w:ascii="Times New Roman" w:hAnsi="Times New Roman" w:cs="Times New Roman"/>
          <w:sz w:val="26"/>
          <w:szCs w:val="26"/>
        </w:rPr>
        <w:t xml:space="preserve">ment </w:t>
      </w:r>
      <w:r w:rsidR="004C7B9F">
        <w:rPr>
          <w:rFonts w:ascii="Times New Roman" w:hAnsi="Times New Roman" w:cs="Times New Roman"/>
          <w:sz w:val="26"/>
          <w:szCs w:val="26"/>
        </w:rPr>
        <w:t>states that program</w:t>
      </w:r>
      <w:r w:rsidR="00342178">
        <w:rPr>
          <w:rFonts w:ascii="Times New Roman" w:hAnsi="Times New Roman" w:cs="Times New Roman"/>
          <w:sz w:val="26"/>
          <w:szCs w:val="26"/>
        </w:rPr>
        <w:t xml:space="preserve"> applicants should</w:t>
      </w:r>
      <w:r w:rsidR="004C7B9F">
        <w:rPr>
          <w:rFonts w:ascii="Times New Roman" w:hAnsi="Times New Roman" w:cs="Times New Roman"/>
          <w:sz w:val="26"/>
          <w:szCs w:val="26"/>
        </w:rPr>
        <w:t xml:space="preserve"> be utility ratepayers, low-income (</w:t>
      </w:r>
      <w:r w:rsidR="004C7B9F" w:rsidRPr="006D1583">
        <w:rPr>
          <w:rFonts w:ascii="Times New Roman" w:hAnsi="Times New Roman" w:cs="Times New Roman"/>
          <w:i/>
          <w:sz w:val="26"/>
          <w:szCs w:val="26"/>
        </w:rPr>
        <w:t>i.e.</w:t>
      </w:r>
      <w:r w:rsidR="004C7B9F">
        <w:rPr>
          <w:rFonts w:ascii="Times New Roman" w:hAnsi="Times New Roman" w:cs="Times New Roman"/>
          <w:sz w:val="26"/>
          <w:szCs w:val="26"/>
        </w:rPr>
        <w:t>, household income at or below 150% of the FPIG), and payment troubled.</w:t>
      </w:r>
      <w:r w:rsidR="004C7B9F">
        <w:rPr>
          <w:rStyle w:val="FootnoteReference"/>
          <w:rFonts w:ascii="Times New Roman" w:hAnsi="Times New Roman" w:cs="Times New Roman"/>
          <w:sz w:val="26"/>
          <w:szCs w:val="26"/>
        </w:rPr>
        <w:footnoteReference w:id="11"/>
      </w:r>
      <w:r w:rsidR="004C7B9F">
        <w:rPr>
          <w:rFonts w:ascii="Times New Roman" w:hAnsi="Times New Roman" w:cs="Times New Roman"/>
          <w:sz w:val="26"/>
          <w:szCs w:val="26"/>
        </w:rPr>
        <w:t xml:space="preserve">  </w:t>
      </w:r>
      <w:r w:rsidR="00D7328F">
        <w:rPr>
          <w:rFonts w:ascii="Times New Roman" w:hAnsi="Times New Roman" w:cs="Times New Roman"/>
          <w:sz w:val="26"/>
          <w:szCs w:val="26"/>
        </w:rPr>
        <w:t xml:space="preserve">Section 69.265(4).  </w:t>
      </w:r>
    </w:p>
    <w:p w:rsidR="00D3385F" w:rsidRDefault="00D3385F" w:rsidP="00BE4096">
      <w:pPr>
        <w:spacing w:line="360" w:lineRule="auto"/>
        <w:contextualSpacing/>
        <w:rPr>
          <w:rFonts w:ascii="Times New Roman" w:hAnsi="Times New Roman" w:cs="Times New Roman"/>
          <w:sz w:val="26"/>
          <w:szCs w:val="26"/>
        </w:rPr>
      </w:pPr>
    </w:p>
    <w:p w:rsidR="00D3385F" w:rsidRDefault="00CA2F7A" w:rsidP="00BE4096">
      <w:pPr>
        <w:spacing w:line="360" w:lineRule="auto"/>
        <w:contextualSpacing/>
        <w:rPr>
          <w:rFonts w:ascii="Times New Roman" w:hAnsi="Times New Roman" w:cs="Times New Roman"/>
          <w:sz w:val="26"/>
          <w:szCs w:val="26"/>
        </w:rPr>
      </w:pPr>
      <w:r>
        <w:rPr>
          <w:rFonts w:ascii="Times New Roman" w:hAnsi="Times New Roman" w:cs="Times New Roman"/>
          <w:sz w:val="26"/>
          <w:szCs w:val="26"/>
        </w:rPr>
        <w:lastRenderedPageBreak/>
        <w:tab/>
      </w:r>
      <w:r w:rsidR="00862BAA">
        <w:rPr>
          <w:rFonts w:ascii="Times New Roman" w:hAnsi="Times New Roman" w:cs="Times New Roman"/>
          <w:sz w:val="26"/>
          <w:szCs w:val="26"/>
        </w:rPr>
        <w:t xml:space="preserve">PGW </w:t>
      </w:r>
      <w:r w:rsidR="00D7328F">
        <w:rPr>
          <w:rFonts w:ascii="Times New Roman" w:hAnsi="Times New Roman" w:cs="Times New Roman"/>
          <w:sz w:val="26"/>
          <w:szCs w:val="26"/>
        </w:rPr>
        <w:t xml:space="preserve">is the </w:t>
      </w:r>
      <w:r w:rsidR="00D7328F" w:rsidRPr="001A7795">
        <w:rPr>
          <w:rFonts w:ascii="Times New Roman" w:hAnsi="Times New Roman" w:cs="Times New Roman"/>
          <w:sz w:val="26"/>
          <w:szCs w:val="26"/>
          <w:u w:val="single"/>
        </w:rPr>
        <w:t>only</w:t>
      </w:r>
      <w:r w:rsidR="00D7328F">
        <w:rPr>
          <w:rFonts w:ascii="Times New Roman" w:hAnsi="Times New Roman" w:cs="Times New Roman"/>
          <w:sz w:val="26"/>
          <w:szCs w:val="26"/>
        </w:rPr>
        <w:t xml:space="preserve"> Pennsylvania utility that rejects low-income customers for CAP </w:t>
      </w:r>
      <w:r w:rsidR="00022CBB">
        <w:rPr>
          <w:rFonts w:ascii="Times New Roman" w:hAnsi="Times New Roman" w:cs="Times New Roman"/>
          <w:sz w:val="26"/>
          <w:szCs w:val="26"/>
        </w:rPr>
        <w:t>based on their energy burden level</w:t>
      </w:r>
      <w:r w:rsidR="00D7328F">
        <w:rPr>
          <w:rFonts w:ascii="Times New Roman" w:hAnsi="Times New Roman" w:cs="Times New Roman"/>
          <w:sz w:val="26"/>
          <w:szCs w:val="26"/>
        </w:rPr>
        <w:t xml:space="preserve">.  </w:t>
      </w:r>
      <w:r w:rsidR="00D3385F">
        <w:rPr>
          <w:rFonts w:ascii="Times New Roman" w:hAnsi="Times New Roman" w:cs="Times New Roman"/>
          <w:sz w:val="26"/>
          <w:szCs w:val="26"/>
        </w:rPr>
        <w:t>Other gas and electric utilities allow customers to enroll in its CAPs</w:t>
      </w:r>
      <w:r w:rsidR="00022CBB">
        <w:rPr>
          <w:rFonts w:ascii="Times New Roman" w:hAnsi="Times New Roman" w:cs="Times New Roman"/>
          <w:sz w:val="26"/>
          <w:szCs w:val="26"/>
        </w:rPr>
        <w:t xml:space="preserve"> even if fall</w:t>
      </w:r>
      <w:r w:rsidR="00D3385F">
        <w:rPr>
          <w:rFonts w:ascii="Times New Roman" w:hAnsi="Times New Roman" w:cs="Times New Roman"/>
          <w:sz w:val="26"/>
          <w:szCs w:val="26"/>
        </w:rPr>
        <w:t xml:space="preserve"> below the program’s energy burden threshold.  For example:</w:t>
      </w:r>
    </w:p>
    <w:p w:rsidR="00D3385F" w:rsidRDefault="00D3385F" w:rsidP="00BE4096">
      <w:pPr>
        <w:spacing w:line="360" w:lineRule="auto"/>
        <w:contextualSpacing/>
        <w:rPr>
          <w:rFonts w:ascii="Times New Roman" w:hAnsi="Times New Roman" w:cs="Times New Roman"/>
          <w:sz w:val="26"/>
          <w:szCs w:val="26"/>
        </w:rPr>
      </w:pPr>
    </w:p>
    <w:p w:rsidR="00D7328F" w:rsidRPr="00EC41DB" w:rsidRDefault="00D3385F" w:rsidP="004B212E">
      <w:pPr>
        <w:pStyle w:val="ListParagraph"/>
        <w:numPr>
          <w:ilvl w:val="0"/>
          <w:numId w:val="44"/>
        </w:numPr>
        <w:spacing w:line="360" w:lineRule="auto"/>
        <w:rPr>
          <w:sz w:val="26"/>
          <w:szCs w:val="26"/>
        </w:rPr>
      </w:pPr>
      <w:r w:rsidRPr="00EC41DB">
        <w:rPr>
          <w:sz w:val="26"/>
          <w:szCs w:val="26"/>
        </w:rPr>
        <w:t>The UGI Companies (UGI Utilities, Inc.- Gas Division, UGI Penn Natural Gas, Inc., UGI Central Penn Gas, Inc. and UGI Utilities, Inc.-Electric Division)</w:t>
      </w:r>
      <w:r w:rsidR="00AF00AE" w:rsidRPr="00EC41DB">
        <w:rPr>
          <w:sz w:val="26"/>
          <w:szCs w:val="26"/>
        </w:rPr>
        <w:t xml:space="preserve"> allow all eligible low-income customers to enroll in </w:t>
      </w:r>
      <w:r w:rsidR="0051619C">
        <w:rPr>
          <w:sz w:val="26"/>
          <w:szCs w:val="26"/>
        </w:rPr>
        <w:t xml:space="preserve">their </w:t>
      </w:r>
      <w:r w:rsidR="00AF00AE" w:rsidRPr="00EC41DB">
        <w:rPr>
          <w:sz w:val="26"/>
          <w:szCs w:val="26"/>
        </w:rPr>
        <w:t xml:space="preserve">CAPs at a PIP (7%, 8%, or 9%) or average bill amount, whichever is lower.  </w:t>
      </w:r>
      <w:r w:rsidR="00904110" w:rsidRPr="00EC41DB">
        <w:rPr>
          <w:i/>
          <w:sz w:val="26"/>
          <w:szCs w:val="26"/>
        </w:rPr>
        <w:t>See</w:t>
      </w:r>
      <w:r w:rsidR="00904110" w:rsidRPr="00EC41DB">
        <w:rPr>
          <w:sz w:val="26"/>
          <w:szCs w:val="26"/>
        </w:rPr>
        <w:t xml:space="preserve"> </w:t>
      </w:r>
      <w:r w:rsidR="00AF00AE" w:rsidRPr="00EC41DB">
        <w:rPr>
          <w:sz w:val="26"/>
          <w:szCs w:val="26"/>
        </w:rPr>
        <w:t>UGI Companies</w:t>
      </w:r>
      <w:r w:rsidR="00861A51" w:rsidRPr="00EC41DB">
        <w:rPr>
          <w:sz w:val="26"/>
          <w:szCs w:val="26"/>
        </w:rPr>
        <w:t>’</w:t>
      </w:r>
      <w:r w:rsidR="00AF00AE" w:rsidRPr="00EC41DB">
        <w:rPr>
          <w:sz w:val="26"/>
          <w:szCs w:val="26"/>
        </w:rPr>
        <w:t xml:space="preserve"> 2014-2017 USECP</w:t>
      </w:r>
      <w:r w:rsidR="004B212E">
        <w:rPr>
          <w:sz w:val="26"/>
          <w:szCs w:val="26"/>
        </w:rPr>
        <w:t>, Docket No.</w:t>
      </w:r>
      <w:r w:rsidR="004B212E" w:rsidRPr="004B212E">
        <w:rPr>
          <w:sz w:val="26"/>
          <w:szCs w:val="26"/>
        </w:rPr>
        <w:t xml:space="preserve"> M-2013-2371824</w:t>
      </w:r>
      <w:r w:rsidR="004B212E">
        <w:rPr>
          <w:sz w:val="26"/>
          <w:szCs w:val="26"/>
        </w:rPr>
        <w:t>,</w:t>
      </w:r>
      <w:r w:rsidR="00AF00AE" w:rsidRPr="00EC41DB">
        <w:rPr>
          <w:sz w:val="26"/>
          <w:szCs w:val="26"/>
        </w:rPr>
        <w:t xml:space="preserve"> at 14-15.</w:t>
      </w:r>
    </w:p>
    <w:p w:rsidR="00AF00AE" w:rsidRDefault="00AF00AE" w:rsidP="00BE4096">
      <w:pPr>
        <w:spacing w:line="360" w:lineRule="auto"/>
        <w:contextualSpacing/>
        <w:rPr>
          <w:rFonts w:ascii="Times New Roman" w:eastAsia="Times New Roman" w:hAnsi="Times New Roman" w:cs="Times New Roman"/>
          <w:sz w:val="26"/>
          <w:szCs w:val="26"/>
        </w:rPr>
      </w:pPr>
    </w:p>
    <w:p w:rsidR="00AF00AE" w:rsidRPr="00EC41DB" w:rsidRDefault="00AF00AE" w:rsidP="004B212E">
      <w:pPr>
        <w:pStyle w:val="ListParagraph"/>
        <w:numPr>
          <w:ilvl w:val="0"/>
          <w:numId w:val="44"/>
        </w:numPr>
        <w:spacing w:line="360" w:lineRule="auto"/>
        <w:rPr>
          <w:sz w:val="26"/>
          <w:szCs w:val="26"/>
        </w:rPr>
      </w:pPr>
      <w:r w:rsidRPr="00EC41DB">
        <w:rPr>
          <w:sz w:val="26"/>
          <w:szCs w:val="26"/>
        </w:rPr>
        <w:t xml:space="preserve">Peoples Natural Gas and Peoples Equitable Gas allow all eligible low-income customers to enroll in </w:t>
      </w:r>
      <w:r w:rsidR="0051619C">
        <w:rPr>
          <w:sz w:val="26"/>
          <w:szCs w:val="26"/>
        </w:rPr>
        <w:t xml:space="preserve">their </w:t>
      </w:r>
      <w:r w:rsidRPr="00EC41DB">
        <w:rPr>
          <w:sz w:val="26"/>
          <w:szCs w:val="26"/>
        </w:rPr>
        <w:t xml:space="preserve">CAPs at a PIP (8%, 9%, or 10%) or budget bill amount, whichever is lower.  </w:t>
      </w:r>
      <w:r w:rsidR="00904110" w:rsidRPr="00EC41DB">
        <w:rPr>
          <w:i/>
          <w:sz w:val="26"/>
          <w:szCs w:val="26"/>
        </w:rPr>
        <w:t>See</w:t>
      </w:r>
      <w:r w:rsidR="00904110" w:rsidRPr="00EC41DB">
        <w:rPr>
          <w:sz w:val="26"/>
          <w:szCs w:val="26"/>
        </w:rPr>
        <w:t xml:space="preserve"> </w:t>
      </w:r>
      <w:r w:rsidRPr="00EC41DB">
        <w:rPr>
          <w:sz w:val="26"/>
          <w:szCs w:val="26"/>
        </w:rPr>
        <w:t>Peoples</w:t>
      </w:r>
      <w:r w:rsidR="00861A51" w:rsidRPr="00EC41DB">
        <w:rPr>
          <w:sz w:val="26"/>
          <w:szCs w:val="26"/>
        </w:rPr>
        <w:t xml:space="preserve"> Natural Gas Company’s</w:t>
      </w:r>
      <w:r w:rsidRPr="00EC41DB">
        <w:rPr>
          <w:sz w:val="26"/>
          <w:szCs w:val="26"/>
        </w:rPr>
        <w:t xml:space="preserve"> 2015-2018 USECP</w:t>
      </w:r>
      <w:r w:rsidR="004B212E">
        <w:rPr>
          <w:sz w:val="26"/>
          <w:szCs w:val="26"/>
        </w:rPr>
        <w:t xml:space="preserve">, </w:t>
      </w:r>
      <w:r w:rsidR="004B212E" w:rsidRPr="004B212E">
        <w:rPr>
          <w:sz w:val="26"/>
          <w:szCs w:val="26"/>
        </w:rPr>
        <w:t xml:space="preserve">Docket </w:t>
      </w:r>
      <w:r w:rsidR="004B212E">
        <w:rPr>
          <w:sz w:val="26"/>
          <w:szCs w:val="26"/>
        </w:rPr>
        <w:t xml:space="preserve">No. </w:t>
      </w:r>
      <w:r w:rsidR="004B212E" w:rsidRPr="004B212E">
        <w:rPr>
          <w:sz w:val="26"/>
          <w:szCs w:val="26"/>
        </w:rPr>
        <w:t>M-2014-2432515</w:t>
      </w:r>
      <w:r w:rsidR="004B212E">
        <w:rPr>
          <w:sz w:val="26"/>
          <w:szCs w:val="26"/>
        </w:rPr>
        <w:t>,</w:t>
      </w:r>
      <w:r w:rsidRPr="00EC41DB">
        <w:rPr>
          <w:sz w:val="26"/>
          <w:szCs w:val="26"/>
        </w:rPr>
        <w:t xml:space="preserve"> at 9-10.</w:t>
      </w:r>
    </w:p>
    <w:p w:rsidR="00FA03C0" w:rsidRDefault="00FA03C0" w:rsidP="00BE4096">
      <w:pPr>
        <w:spacing w:line="360" w:lineRule="auto"/>
        <w:contextualSpacing/>
        <w:rPr>
          <w:rFonts w:ascii="Times New Roman" w:eastAsia="Times New Roman" w:hAnsi="Times New Roman" w:cs="Times New Roman"/>
          <w:sz w:val="26"/>
          <w:szCs w:val="26"/>
        </w:rPr>
      </w:pPr>
    </w:p>
    <w:p w:rsidR="00FA03C0" w:rsidRPr="00EC41DB" w:rsidRDefault="00FA03C0" w:rsidP="004B212E">
      <w:pPr>
        <w:pStyle w:val="ListParagraph"/>
        <w:numPr>
          <w:ilvl w:val="0"/>
          <w:numId w:val="44"/>
        </w:numPr>
        <w:spacing w:line="360" w:lineRule="auto"/>
        <w:rPr>
          <w:sz w:val="26"/>
          <w:szCs w:val="26"/>
        </w:rPr>
      </w:pPr>
      <w:r w:rsidRPr="00EC41DB">
        <w:rPr>
          <w:sz w:val="26"/>
          <w:szCs w:val="26"/>
        </w:rPr>
        <w:t xml:space="preserve">The First Energy Companies (Metropolitan Edison Company, Pennsylvania Electric Company, Pennsylvania Power Company, and West Penn Power) and PECO Energy allow all eligible low-income customers to enroll in </w:t>
      </w:r>
      <w:r w:rsidR="0051619C">
        <w:rPr>
          <w:sz w:val="26"/>
          <w:szCs w:val="26"/>
        </w:rPr>
        <w:t xml:space="preserve">their </w:t>
      </w:r>
      <w:r w:rsidRPr="00EC41DB">
        <w:rPr>
          <w:sz w:val="26"/>
          <w:szCs w:val="26"/>
        </w:rPr>
        <w:t xml:space="preserve">CAPs.  If participants already pay less than the CAP energy burden threshold for utility </w:t>
      </w:r>
      <w:r w:rsidR="00AE617C" w:rsidRPr="00EC41DB">
        <w:rPr>
          <w:sz w:val="26"/>
          <w:szCs w:val="26"/>
        </w:rPr>
        <w:t>service, they can still receive</w:t>
      </w:r>
      <w:r w:rsidRPr="00EC41DB">
        <w:rPr>
          <w:sz w:val="26"/>
          <w:szCs w:val="26"/>
        </w:rPr>
        <w:t xml:space="preserve"> arrearage forgiveness</w:t>
      </w:r>
      <w:r w:rsidR="00AE617C" w:rsidRPr="00EC41DB">
        <w:rPr>
          <w:sz w:val="26"/>
          <w:szCs w:val="26"/>
        </w:rPr>
        <w:t xml:space="preserve"> and other benefits of CAP</w:t>
      </w:r>
      <w:r w:rsidRPr="00EC41DB">
        <w:rPr>
          <w:sz w:val="26"/>
          <w:szCs w:val="26"/>
        </w:rPr>
        <w:t xml:space="preserve">.  </w:t>
      </w:r>
      <w:r w:rsidR="00904110" w:rsidRPr="00EC41DB">
        <w:rPr>
          <w:i/>
          <w:sz w:val="26"/>
          <w:szCs w:val="26"/>
        </w:rPr>
        <w:t>See</w:t>
      </w:r>
      <w:r w:rsidR="00904110" w:rsidRPr="00EC41DB">
        <w:rPr>
          <w:sz w:val="26"/>
          <w:szCs w:val="26"/>
        </w:rPr>
        <w:t xml:space="preserve"> Metropolitan Edison Company 2015-2018 USECP</w:t>
      </w:r>
      <w:r w:rsidR="004B212E">
        <w:rPr>
          <w:sz w:val="26"/>
          <w:szCs w:val="26"/>
        </w:rPr>
        <w:t xml:space="preserve">, Docket No. </w:t>
      </w:r>
      <w:r w:rsidR="004B212E" w:rsidRPr="00E40C01">
        <w:rPr>
          <w:sz w:val="26"/>
          <w:szCs w:val="26"/>
        </w:rPr>
        <w:t>M-201</w:t>
      </w:r>
      <w:r w:rsidR="004B212E">
        <w:rPr>
          <w:sz w:val="26"/>
          <w:szCs w:val="26"/>
        </w:rPr>
        <w:t>4-2407729,</w:t>
      </w:r>
      <w:r w:rsidR="00904110" w:rsidRPr="00EC41DB">
        <w:rPr>
          <w:sz w:val="26"/>
          <w:szCs w:val="26"/>
        </w:rPr>
        <w:t xml:space="preserve"> at 9; Pennsylvania Electric Company 2015-2018 USECP</w:t>
      </w:r>
      <w:r w:rsidR="004B212E">
        <w:rPr>
          <w:sz w:val="26"/>
          <w:szCs w:val="26"/>
        </w:rPr>
        <w:t xml:space="preserve">, </w:t>
      </w:r>
      <w:r w:rsidR="004B212E" w:rsidRPr="00076495">
        <w:rPr>
          <w:sz w:val="26"/>
          <w:szCs w:val="26"/>
        </w:rPr>
        <w:t xml:space="preserve">Docket No. </w:t>
      </w:r>
      <w:r w:rsidR="004B212E" w:rsidRPr="00E40C01">
        <w:rPr>
          <w:sz w:val="26"/>
          <w:szCs w:val="26"/>
        </w:rPr>
        <w:t>M-201</w:t>
      </w:r>
      <w:r w:rsidR="004B212E">
        <w:rPr>
          <w:sz w:val="26"/>
          <w:szCs w:val="26"/>
        </w:rPr>
        <w:t>4-2407730,</w:t>
      </w:r>
      <w:r w:rsidR="00904110" w:rsidRPr="00EC41DB">
        <w:rPr>
          <w:sz w:val="26"/>
          <w:szCs w:val="26"/>
        </w:rPr>
        <w:t xml:space="preserve"> at 9; Pennsylvania Power Company 2015-2018 USECP</w:t>
      </w:r>
      <w:r w:rsidR="004B212E">
        <w:rPr>
          <w:sz w:val="26"/>
          <w:szCs w:val="26"/>
        </w:rPr>
        <w:t xml:space="preserve">, Docket No. </w:t>
      </w:r>
      <w:r w:rsidR="004B212E" w:rsidRPr="00E40C01">
        <w:rPr>
          <w:sz w:val="26"/>
          <w:szCs w:val="26"/>
        </w:rPr>
        <w:t>M-201</w:t>
      </w:r>
      <w:r w:rsidR="004B212E">
        <w:rPr>
          <w:sz w:val="26"/>
          <w:szCs w:val="26"/>
        </w:rPr>
        <w:t>4-2407731,</w:t>
      </w:r>
      <w:r w:rsidR="00904110" w:rsidRPr="00EC41DB">
        <w:rPr>
          <w:sz w:val="26"/>
          <w:szCs w:val="26"/>
        </w:rPr>
        <w:t xml:space="preserve"> at 9; West Penn Power 2015-2018 USECP</w:t>
      </w:r>
      <w:r w:rsidR="004B212E">
        <w:rPr>
          <w:sz w:val="26"/>
          <w:szCs w:val="26"/>
        </w:rPr>
        <w:t xml:space="preserve">, Docket No. Docket No. </w:t>
      </w:r>
      <w:r w:rsidR="004B212E" w:rsidRPr="004B212E">
        <w:rPr>
          <w:sz w:val="26"/>
          <w:szCs w:val="26"/>
        </w:rPr>
        <w:t>M-2014-2407728</w:t>
      </w:r>
      <w:r w:rsidR="00904110" w:rsidRPr="00EC41DB">
        <w:rPr>
          <w:sz w:val="26"/>
          <w:szCs w:val="26"/>
        </w:rPr>
        <w:t xml:space="preserve"> at 9-10; and PECO 2016-2018 USECP</w:t>
      </w:r>
      <w:r w:rsidR="004B212E">
        <w:rPr>
          <w:sz w:val="26"/>
          <w:szCs w:val="26"/>
        </w:rPr>
        <w:t xml:space="preserve">, Docket No. </w:t>
      </w:r>
      <w:r w:rsidR="004B212E" w:rsidRPr="004B212E">
        <w:rPr>
          <w:sz w:val="26"/>
          <w:szCs w:val="26"/>
        </w:rPr>
        <w:t>M-2015-2507139</w:t>
      </w:r>
      <w:r w:rsidR="004B212E">
        <w:rPr>
          <w:sz w:val="26"/>
          <w:szCs w:val="26"/>
        </w:rPr>
        <w:t>,</w:t>
      </w:r>
      <w:r w:rsidR="00904110" w:rsidRPr="00EC41DB">
        <w:rPr>
          <w:sz w:val="26"/>
          <w:szCs w:val="26"/>
        </w:rPr>
        <w:t xml:space="preserve"> at 29-35.</w:t>
      </w:r>
    </w:p>
    <w:p w:rsidR="00861A51" w:rsidRDefault="00861A51" w:rsidP="00BE4096">
      <w:pPr>
        <w:spacing w:line="360" w:lineRule="auto"/>
        <w:contextualSpacing/>
        <w:rPr>
          <w:rFonts w:ascii="Times New Roman" w:eastAsia="Times New Roman" w:hAnsi="Times New Roman" w:cs="Times New Roman"/>
          <w:sz w:val="26"/>
          <w:szCs w:val="26"/>
        </w:rPr>
      </w:pPr>
    </w:p>
    <w:p w:rsidR="00861A51" w:rsidRDefault="00EC41DB" w:rsidP="00BE4096">
      <w:pPr>
        <w:spacing w:line="360" w:lineRule="auto"/>
        <w:contextualSpacing/>
        <w:rPr>
          <w:rFonts w:ascii="Times New Roman" w:hAnsi="Times New Roman" w:cs="Times New Roman"/>
          <w:sz w:val="26"/>
          <w:szCs w:val="26"/>
        </w:rPr>
      </w:pPr>
      <w:r>
        <w:rPr>
          <w:rFonts w:ascii="Times New Roman" w:hAnsi="Times New Roman" w:cs="Times New Roman"/>
          <w:sz w:val="26"/>
          <w:szCs w:val="26"/>
        </w:rPr>
        <w:tab/>
      </w:r>
      <w:r w:rsidR="00F17CF2">
        <w:rPr>
          <w:rFonts w:ascii="Times New Roman" w:hAnsi="Times New Roman" w:cs="Times New Roman"/>
          <w:sz w:val="26"/>
          <w:szCs w:val="26"/>
        </w:rPr>
        <w:t xml:space="preserve">Only low-income customers in PGW’s service territory are denied access to arrearage forgiveness – and LIURP (CRP Home Comfort) services – if they do not </w:t>
      </w:r>
      <w:r w:rsidR="0051619C">
        <w:rPr>
          <w:rFonts w:ascii="Times New Roman" w:hAnsi="Times New Roman" w:cs="Times New Roman"/>
          <w:sz w:val="26"/>
          <w:szCs w:val="26"/>
        </w:rPr>
        <w:t>“</w:t>
      </w:r>
      <w:r w:rsidR="00F17CF2">
        <w:rPr>
          <w:rFonts w:ascii="Times New Roman" w:hAnsi="Times New Roman" w:cs="Times New Roman"/>
          <w:sz w:val="26"/>
          <w:szCs w:val="26"/>
        </w:rPr>
        <w:t>meet</w:t>
      </w:r>
      <w:r w:rsidR="0051619C">
        <w:rPr>
          <w:rFonts w:ascii="Times New Roman" w:hAnsi="Times New Roman" w:cs="Times New Roman"/>
          <w:sz w:val="26"/>
          <w:szCs w:val="26"/>
        </w:rPr>
        <w:t>”</w:t>
      </w:r>
      <w:r w:rsidR="00F17CF2">
        <w:rPr>
          <w:rFonts w:ascii="Times New Roman" w:hAnsi="Times New Roman" w:cs="Times New Roman"/>
          <w:sz w:val="26"/>
          <w:szCs w:val="26"/>
        </w:rPr>
        <w:t xml:space="preserve"> the energy burden threshold for the Company’s CAP (CRP).  </w:t>
      </w:r>
      <w:r w:rsidR="001946B6">
        <w:rPr>
          <w:rFonts w:ascii="Times New Roman" w:hAnsi="Times New Roman" w:cs="Times New Roman"/>
          <w:sz w:val="26"/>
          <w:szCs w:val="26"/>
        </w:rPr>
        <w:t xml:space="preserve">This requirement is not consistent with the CAP Policy Statement, which – as noted by CAUSE-PA and TURN </w:t>
      </w:r>
      <w:r w:rsidR="001946B6" w:rsidRPr="001946B6">
        <w:rPr>
          <w:rFonts w:ascii="Times New Roman" w:hAnsi="Times New Roman" w:cs="Times New Roman"/>
          <w:i/>
          <w:sz w:val="26"/>
          <w:szCs w:val="26"/>
        </w:rPr>
        <w:t>et al</w:t>
      </w:r>
      <w:r w:rsidR="001946B6">
        <w:rPr>
          <w:rFonts w:ascii="Times New Roman" w:hAnsi="Times New Roman" w:cs="Times New Roman"/>
          <w:sz w:val="26"/>
          <w:szCs w:val="26"/>
        </w:rPr>
        <w:t>. – does not establish minimum energy burden levels as a prec</w:t>
      </w:r>
      <w:r w:rsidR="001968C0">
        <w:rPr>
          <w:rFonts w:ascii="Times New Roman" w:hAnsi="Times New Roman" w:cs="Times New Roman"/>
          <w:sz w:val="26"/>
          <w:szCs w:val="26"/>
        </w:rPr>
        <w:t>ondition for CAP eligibility.</w:t>
      </w:r>
      <w:r w:rsidR="001968C0">
        <w:rPr>
          <w:rStyle w:val="FootnoteReference"/>
          <w:rFonts w:ascii="Times New Roman" w:hAnsi="Times New Roman" w:cs="Times New Roman"/>
          <w:sz w:val="26"/>
          <w:szCs w:val="26"/>
        </w:rPr>
        <w:footnoteReference w:id="12"/>
      </w:r>
      <w:r w:rsidR="001968C0">
        <w:rPr>
          <w:rFonts w:ascii="Times New Roman" w:hAnsi="Times New Roman" w:cs="Times New Roman"/>
          <w:sz w:val="26"/>
          <w:szCs w:val="26"/>
        </w:rPr>
        <w:t xml:space="preserve">  </w:t>
      </w:r>
      <w:r w:rsidR="001B494E">
        <w:rPr>
          <w:rFonts w:ascii="Times New Roman" w:hAnsi="Times New Roman" w:cs="Times New Roman"/>
          <w:sz w:val="26"/>
          <w:szCs w:val="26"/>
        </w:rPr>
        <w:t xml:space="preserve">Further, PGW’s policy prohibits some low-income customers with high balances from enrolling in CRP even when access to payment arrangements or budget billing is not available or affordable.  </w:t>
      </w:r>
    </w:p>
    <w:p w:rsidR="00D7328F" w:rsidRDefault="00D7328F" w:rsidP="00BE4096">
      <w:pPr>
        <w:spacing w:line="360" w:lineRule="auto"/>
        <w:contextualSpacing/>
        <w:rPr>
          <w:rFonts w:ascii="Times New Roman" w:hAnsi="Times New Roman" w:cs="Times New Roman"/>
          <w:sz w:val="26"/>
          <w:szCs w:val="26"/>
        </w:rPr>
      </w:pPr>
    </w:p>
    <w:p w:rsidR="00544FA6" w:rsidRDefault="00CA2F7A" w:rsidP="00BE4096">
      <w:pPr>
        <w:spacing w:line="360" w:lineRule="auto"/>
        <w:contextualSpacing/>
        <w:rPr>
          <w:rFonts w:ascii="Times New Roman" w:hAnsi="Times New Roman" w:cs="Times New Roman"/>
          <w:sz w:val="26"/>
          <w:szCs w:val="26"/>
        </w:rPr>
      </w:pPr>
      <w:r>
        <w:rPr>
          <w:rFonts w:ascii="Times New Roman" w:hAnsi="Times New Roman" w:cs="Times New Roman"/>
          <w:sz w:val="26"/>
          <w:szCs w:val="26"/>
        </w:rPr>
        <w:tab/>
      </w:r>
      <w:r w:rsidR="00AA25A3">
        <w:rPr>
          <w:rFonts w:ascii="Times New Roman" w:hAnsi="Times New Roman" w:cs="Times New Roman"/>
          <w:sz w:val="26"/>
          <w:szCs w:val="26"/>
        </w:rPr>
        <w:t xml:space="preserve">The Peach Study </w:t>
      </w:r>
      <w:r w:rsidR="004F08D4">
        <w:rPr>
          <w:rFonts w:ascii="Times New Roman" w:hAnsi="Times New Roman" w:cs="Times New Roman"/>
          <w:sz w:val="26"/>
          <w:szCs w:val="26"/>
        </w:rPr>
        <w:t xml:space="preserve">estimated CRP </w:t>
      </w:r>
      <w:r w:rsidR="00AA25A3">
        <w:rPr>
          <w:rFonts w:ascii="Times New Roman" w:hAnsi="Times New Roman" w:cs="Times New Roman"/>
          <w:sz w:val="26"/>
          <w:szCs w:val="26"/>
        </w:rPr>
        <w:t xml:space="preserve">costs would increase by </w:t>
      </w:r>
      <w:r w:rsidR="004F08D4">
        <w:rPr>
          <w:rFonts w:ascii="Times New Roman" w:hAnsi="Times New Roman" w:cs="Times New Roman"/>
          <w:sz w:val="26"/>
          <w:szCs w:val="26"/>
        </w:rPr>
        <w:t xml:space="preserve">$5 million annually if </w:t>
      </w:r>
      <w:r w:rsidR="004F08D4" w:rsidRPr="004F08D4">
        <w:rPr>
          <w:rFonts w:ascii="Times New Roman" w:hAnsi="Times New Roman" w:cs="Times New Roman"/>
          <w:sz w:val="26"/>
          <w:szCs w:val="26"/>
          <w:u w:val="single"/>
        </w:rPr>
        <w:t>all</w:t>
      </w:r>
      <w:r w:rsidR="004F08D4">
        <w:rPr>
          <w:rFonts w:ascii="Times New Roman" w:hAnsi="Times New Roman" w:cs="Times New Roman"/>
          <w:sz w:val="26"/>
          <w:szCs w:val="26"/>
        </w:rPr>
        <w:t xml:space="preserve"> </w:t>
      </w:r>
      <w:r w:rsidR="00D763C2">
        <w:rPr>
          <w:rFonts w:ascii="Times New Roman" w:hAnsi="Times New Roman" w:cs="Times New Roman"/>
          <w:sz w:val="26"/>
          <w:szCs w:val="26"/>
        </w:rPr>
        <w:t xml:space="preserve">40,000 </w:t>
      </w:r>
      <w:r w:rsidR="004F08D4">
        <w:rPr>
          <w:rFonts w:ascii="Times New Roman" w:hAnsi="Times New Roman" w:cs="Times New Roman"/>
          <w:sz w:val="26"/>
          <w:szCs w:val="26"/>
        </w:rPr>
        <w:t>known non-CRP low-income accounts enrolled in the program</w:t>
      </w:r>
      <w:r w:rsidR="00AA25A3">
        <w:rPr>
          <w:rFonts w:ascii="Times New Roman" w:hAnsi="Times New Roman" w:cs="Times New Roman"/>
          <w:sz w:val="26"/>
          <w:szCs w:val="26"/>
        </w:rPr>
        <w:t xml:space="preserve"> </w:t>
      </w:r>
      <w:r w:rsidR="00544FA6">
        <w:rPr>
          <w:rFonts w:ascii="Times New Roman" w:hAnsi="Times New Roman" w:cs="Times New Roman"/>
          <w:sz w:val="26"/>
          <w:szCs w:val="26"/>
        </w:rPr>
        <w:t>at budget billing and receive</w:t>
      </w:r>
      <w:r w:rsidR="00C76769">
        <w:rPr>
          <w:rFonts w:ascii="Times New Roman" w:hAnsi="Times New Roman" w:cs="Times New Roman"/>
          <w:sz w:val="26"/>
          <w:szCs w:val="26"/>
        </w:rPr>
        <w:t>d</w:t>
      </w:r>
      <w:r w:rsidR="00AA25A3">
        <w:rPr>
          <w:rFonts w:ascii="Times New Roman" w:hAnsi="Times New Roman" w:cs="Times New Roman"/>
          <w:sz w:val="26"/>
          <w:szCs w:val="26"/>
        </w:rPr>
        <w:t xml:space="preserve"> arrearage forgiveness</w:t>
      </w:r>
      <w:r w:rsidR="004F08D4">
        <w:rPr>
          <w:rFonts w:ascii="Times New Roman" w:hAnsi="Times New Roman" w:cs="Times New Roman"/>
          <w:sz w:val="26"/>
          <w:szCs w:val="26"/>
        </w:rPr>
        <w:t>.</w:t>
      </w:r>
      <w:r w:rsidR="00AA25A3">
        <w:rPr>
          <w:rFonts w:ascii="Times New Roman" w:hAnsi="Times New Roman" w:cs="Times New Roman"/>
          <w:sz w:val="26"/>
          <w:szCs w:val="26"/>
        </w:rPr>
        <w:t xml:space="preserve">  </w:t>
      </w:r>
      <w:r w:rsidR="00C61496">
        <w:rPr>
          <w:rFonts w:ascii="Times New Roman" w:hAnsi="Times New Roman" w:cs="Times New Roman"/>
          <w:sz w:val="26"/>
          <w:szCs w:val="26"/>
        </w:rPr>
        <w:t xml:space="preserve">We find this </w:t>
      </w:r>
      <w:r w:rsidR="00D763C2">
        <w:rPr>
          <w:rFonts w:ascii="Times New Roman" w:hAnsi="Times New Roman" w:cs="Times New Roman"/>
          <w:sz w:val="26"/>
          <w:szCs w:val="26"/>
        </w:rPr>
        <w:t>estimate unrealistic</w:t>
      </w:r>
      <w:r w:rsidR="00C61496">
        <w:rPr>
          <w:rFonts w:ascii="Times New Roman" w:hAnsi="Times New Roman" w:cs="Times New Roman"/>
          <w:sz w:val="26"/>
          <w:szCs w:val="26"/>
        </w:rPr>
        <w:t xml:space="preserve">.  The average CAP participation rate by confirmed low-income gas customers in 2015 was 35%.  </w:t>
      </w:r>
      <w:r w:rsidR="00C61496" w:rsidRPr="00C61496">
        <w:rPr>
          <w:rFonts w:ascii="Times New Roman" w:hAnsi="Times New Roman" w:cs="Times New Roman"/>
          <w:sz w:val="26"/>
          <w:szCs w:val="26"/>
        </w:rPr>
        <w:t>2015</w:t>
      </w:r>
      <w:r w:rsidR="00C76769">
        <w:rPr>
          <w:rFonts w:ascii="Times New Roman" w:hAnsi="Times New Roman" w:cs="Times New Roman"/>
          <w:sz w:val="26"/>
          <w:szCs w:val="26"/>
        </w:rPr>
        <w:t> </w:t>
      </w:r>
      <w:r w:rsidR="00C61496" w:rsidRPr="00C61496">
        <w:rPr>
          <w:rFonts w:ascii="Times New Roman" w:hAnsi="Times New Roman" w:cs="Times New Roman"/>
          <w:sz w:val="26"/>
          <w:szCs w:val="26"/>
        </w:rPr>
        <w:t>Report on Universal Service Program</w:t>
      </w:r>
      <w:r w:rsidR="00D763C2">
        <w:rPr>
          <w:rFonts w:ascii="Times New Roman" w:hAnsi="Times New Roman" w:cs="Times New Roman"/>
          <w:sz w:val="26"/>
          <w:szCs w:val="26"/>
        </w:rPr>
        <w:t>s &amp; Collections Performance at 42</w:t>
      </w:r>
      <w:r w:rsidR="00C61496" w:rsidRPr="00C61496">
        <w:rPr>
          <w:rFonts w:ascii="Times New Roman" w:hAnsi="Times New Roman" w:cs="Times New Roman"/>
          <w:sz w:val="26"/>
          <w:szCs w:val="26"/>
        </w:rPr>
        <w:t>.</w:t>
      </w:r>
      <w:r w:rsidR="00D763C2">
        <w:rPr>
          <w:rFonts w:ascii="Times New Roman" w:hAnsi="Times New Roman" w:cs="Times New Roman"/>
          <w:sz w:val="26"/>
          <w:szCs w:val="26"/>
        </w:rPr>
        <w:t xml:space="preserve">  Assuming </w:t>
      </w:r>
      <w:r w:rsidR="00544FA6">
        <w:rPr>
          <w:rFonts w:ascii="Times New Roman" w:hAnsi="Times New Roman" w:cs="Times New Roman"/>
          <w:sz w:val="26"/>
          <w:szCs w:val="26"/>
        </w:rPr>
        <w:t xml:space="preserve">only </w:t>
      </w:r>
      <w:r w:rsidR="00D763C2">
        <w:rPr>
          <w:rFonts w:ascii="Times New Roman" w:hAnsi="Times New Roman" w:cs="Times New Roman"/>
          <w:sz w:val="26"/>
          <w:szCs w:val="26"/>
        </w:rPr>
        <w:t xml:space="preserve">35% of </w:t>
      </w:r>
      <w:r w:rsidR="00544FA6">
        <w:rPr>
          <w:rFonts w:ascii="Times New Roman" w:hAnsi="Times New Roman" w:cs="Times New Roman"/>
          <w:sz w:val="26"/>
          <w:szCs w:val="26"/>
        </w:rPr>
        <w:t xml:space="preserve">the 40,000 </w:t>
      </w:r>
      <w:r w:rsidR="00D763C2">
        <w:rPr>
          <w:rFonts w:ascii="Times New Roman" w:hAnsi="Times New Roman" w:cs="Times New Roman"/>
          <w:sz w:val="26"/>
          <w:szCs w:val="26"/>
        </w:rPr>
        <w:t xml:space="preserve">non-CRP low income </w:t>
      </w:r>
      <w:r w:rsidR="00544FA6">
        <w:rPr>
          <w:rFonts w:ascii="Times New Roman" w:hAnsi="Times New Roman" w:cs="Times New Roman"/>
          <w:sz w:val="26"/>
          <w:szCs w:val="26"/>
        </w:rPr>
        <w:t xml:space="preserve">accounts enroll in the program, we estimate arrearage forgiveness costs to CRP could increase by $1.75 million annually.  </w:t>
      </w:r>
      <w:r w:rsidR="003067B1">
        <w:rPr>
          <w:rFonts w:ascii="Times New Roman" w:hAnsi="Times New Roman" w:cs="Times New Roman"/>
          <w:sz w:val="26"/>
          <w:szCs w:val="26"/>
        </w:rPr>
        <w:t xml:space="preserve">This increased cost to non-CRP ratepayers </w:t>
      </w:r>
      <w:r w:rsidR="0009205A">
        <w:rPr>
          <w:rFonts w:ascii="Times New Roman" w:hAnsi="Times New Roman" w:cs="Times New Roman"/>
          <w:sz w:val="26"/>
          <w:szCs w:val="26"/>
        </w:rPr>
        <w:t>may</w:t>
      </w:r>
      <w:r w:rsidR="003067B1">
        <w:rPr>
          <w:rFonts w:ascii="Times New Roman" w:hAnsi="Times New Roman" w:cs="Times New Roman"/>
          <w:sz w:val="26"/>
          <w:szCs w:val="26"/>
        </w:rPr>
        <w:t xml:space="preserve"> be at least partially offset by a decrease in collection costs and write-offs caused by customers defaulting on budget bill and payment arrangements. </w:t>
      </w:r>
    </w:p>
    <w:p w:rsidR="00544FA6" w:rsidRDefault="00544FA6" w:rsidP="00BE4096">
      <w:pPr>
        <w:spacing w:line="360" w:lineRule="auto"/>
        <w:contextualSpacing/>
        <w:rPr>
          <w:rFonts w:ascii="Times New Roman" w:hAnsi="Times New Roman" w:cs="Times New Roman"/>
          <w:sz w:val="26"/>
          <w:szCs w:val="26"/>
        </w:rPr>
      </w:pPr>
    </w:p>
    <w:p w:rsidR="00693298" w:rsidRDefault="00CA2F7A" w:rsidP="00BE4096">
      <w:pPr>
        <w:spacing w:line="360" w:lineRule="auto"/>
        <w:contextualSpacing/>
        <w:rPr>
          <w:rFonts w:ascii="Times New Roman" w:hAnsi="Times New Roman" w:cs="Times New Roman"/>
          <w:sz w:val="26"/>
          <w:szCs w:val="26"/>
        </w:rPr>
      </w:pPr>
      <w:r>
        <w:rPr>
          <w:rFonts w:ascii="Times New Roman" w:hAnsi="Times New Roman" w:cs="Times New Roman"/>
          <w:sz w:val="26"/>
          <w:szCs w:val="26"/>
        </w:rPr>
        <w:tab/>
      </w:r>
      <w:r w:rsidR="003067B1">
        <w:rPr>
          <w:rFonts w:ascii="Times New Roman" w:hAnsi="Times New Roman" w:cs="Times New Roman"/>
          <w:sz w:val="26"/>
          <w:szCs w:val="26"/>
        </w:rPr>
        <w:t>Citing the decreasing cost of natural gas, the</w:t>
      </w:r>
      <w:r w:rsidR="00544FA6">
        <w:rPr>
          <w:rFonts w:ascii="Times New Roman" w:hAnsi="Times New Roman" w:cs="Times New Roman"/>
          <w:sz w:val="26"/>
          <w:szCs w:val="26"/>
        </w:rPr>
        <w:t xml:space="preserve"> Peach</w:t>
      </w:r>
      <w:r w:rsidR="003067B1">
        <w:rPr>
          <w:rFonts w:ascii="Times New Roman" w:hAnsi="Times New Roman" w:cs="Times New Roman"/>
          <w:sz w:val="26"/>
          <w:szCs w:val="26"/>
        </w:rPr>
        <w:t xml:space="preserve"> Study </w:t>
      </w:r>
      <w:r w:rsidR="00C436FB">
        <w:rPr>
          <w:rFonts w:ascii="Times New Roman" w:hAnsi="Times New Roman" w:cs="Times New Roman"/>
          <w:sz w:val="26"/>
          <w:szCs w:val="26"/>
        </w:rPr>
        <w:t xml:space="preserve">estimates that </w:t>
      </w:r>
      <w:r w:rsidR="00E2043E">
        <w:rPr>
          <w:rFonts w:ascii="Times New Roman" w:hAnsi="Times New Roman" w:cs="Times New Roman"/>
          <w:sz w:val="26"/>
          <w:szCs w:val="26"/>
        </w:rPr>
        <w:t xml:space="preserve">14% </w:t>
      </w:r>
      <w:r w:rsidR="003067B1">
        <w:rPr>
          <w:rFonts w:ascii="Times New Roman" w:hAnsi="Times New Roman" w:cs="Times New Roman"/>
          <w:sz w:val="26"/>
          <w:szCs w:val="26"/>
        </w:rPr>
        <w:t xml:space="preserve">(2,959) </w:t>
      </w:r>
      <w:r w:rsidR="00E2043E">
        <w:rPr>
          <w:rFonts w:ascii="Times New Roman" w:hAnsi="Times New Roman" w:cs="Times New Roman"/>
          <w:sz w:val="26"/>
          <w:szCs w:val="26"/>
        </w:rPr>
        <w:t xml:space="preserve">of </w:t>
      </w:r>
      <w:r w:rsidR="00544FA6">
        <w:rPr>
          <w:rFonts w:ascii="Times New Roman" w:hAnsi="Times New Roman" w:cs="Times New Roman"/>
          <w:sz w:val="26"/>
          <w:szCs w:val="26"/>
        </w:rPr>
        <w:t>CRP participant</w:t>
      </w:r>
      <w:r w:rsidR="00C436FB">
        <w:rPr>
          <w:rFonts w:ascii="Times New Roman" w:hAnsi="Times New Roman" w:cs="Times New Roman"/>
          <w:sz w:val="26"/>
          <w:szCs w:val="26"/>
        </w:rPr>
        <w:t xml:space="preserve">s </w:t>
      </w:r>
      <w:r w:rsidR="00E2043E">
        <w:rPr>
          <w:rFonts w:ascii="Times New Roman" w:hAnsi="Times New Roman" w:cs="Times New Roman"/>
          <w:sz w:val="26"/>
          <w:szCs w:val="26"/>
        </w:rPr>
        <w:t>currently pay more on PIP than they would on</w:t>
      </w:r>
      <w:r w:rsidR="003067B1">
        <w:rPr>
          <w:rFonts w:ascii="Times New Roman" w:hAnsi="Times New Roman" w:cs="Times New Roman"/>
          <w:sz w:val="26"/>
          <w:szCs w:val="26"/>
        </w:rPr>
        <w:t xml:space="preserve"> budget billing.  Peach projects that converting</w:t>
      </w:r>
      <w:r w:rsidR="00E2043E">
        <w:rPr>
          <w:rFonts w:ascii="Times New Roman" w:hAnsi="Times New Roman" w:cs="Times New Roman"/>
          <w:sz w:val="26"/>
          <w:szCs w:val="26"/>
        </w:rPr>
        <w:t xml:space="preserve"> all of these customers</w:t>
      </w:r>
      <w:r w:rsidR="003067B1">
        <w:rPr>
          <w:rFonts w:ascii="Times New Roman" w:hAnsi="Times New Roman" w:cs="Times New Roman"/>
          <w:sz w:val="26"/>
          <w:szCs w:val="26"/>
        </w:rPr>
        <w:t xml:space="preserve"> into budget billing and maintaining </w:t>
      </w:r>
      <w:r w:rsidR="00EE01B1">
        <w:rPr>
          <w:rFonts w:ascii="Times New Roman" w:hAnsi="Times New Roman" w:cs="Times New Roman"/>
          <w:sz w:val="26"/>
          <w:szCs w:val="26"/>
        </w:rPr>
        <w:t xml:space="preserve">their </w:t>
      </w:r>
      <w:r w:rsidR="003067B1">
        <w:rPr>
          <w:rFonts w:ascii="Times New Roman" w:hAnsi="Times New Roman" w:cs="Times New Roman"/>
          <w:sz w:val="26"/>
          <w:szCs w:val="26"/>
        </w:rPr>
        <w:t>arrearage forgiveness</w:t>
      </w:r>
      <w:r w:rsidR="00E2043E">
        <w:rPr>
          <w:rFonts w:ascii="Times New Roman" w:hAnsi="Times New Roman" w:cs="Times New Roman"/>
          <w:sz w:val="26"/>
          <w:szCs w:val="26"/>
        </w:rPr>
        <w:t xml:space="preserve"> </w:t>
      </w:r>
      <w:r w:rsidR="00C436FB">
        <w:rPr>
          <w:rFonts w:ascii="Times New Roman" w:hAnsi="Times New Roman" w:cs="Times New Roman"/>
          <w:sz w:val="26"/>
          <w:szCs w:val="26"/>
        </w:rPr>
        <w:t xml:space="preserve">would </w:t>
      </w:r>
      <w:r w:rsidR="00EE01B1">
        <w:rPr>
          <w:rFonts w:ascii="Times New Roman" w:hAnsi="Times New Roman" w:cs="Times New Roman"/>
          <w:sz w:val="26"/>
          <w:szCs w:val="26"/>
        </w:rPr>
        <w:t xml:space="preserve">decrease their </w:t>
      </w:r>
      <w:r w:rsidR="006D1583">
        <w:rPr>
          <w:rFonts w:ascii="Times New Roman" w:hAnsi="Times New Roman" w:cs="Times New Roman"/>
          <w:sz w:val="26"/>
          <w:szCs w:val="26"/>
        </w:rPr>
        <w:t xml:space="preserve">average </w:t>
      </w:r>
      <w:r w:rsidR="00EE01B1">
        <w:rPr>
          <w:rFonts w:ascii="Times New Roman" w:hAnsi="Times New Roman" w:cs="Times New Roman"/>
          <w:sz w:val="26"/>
          <w:szCs w:val="26"/>
        </w:rPr>
        <w:t xml:space="preserve">annual CRP payments by $219 and thus </w:t>
      </w:r>
      <w:r w:rsidR="003067B1">
        <w:rPr>
          <w:rFonts w:ascii="Times New Roman" w:hAnsi="Times New Roman" w:cs="Times New Roman"/>
          <w:sz w:val="26"/>
          <w:szCs w:val="26"/>
        </w:rPr>
        <w:t xml:space="preserve">increase </w:t>
      </w:r>
      <w:r w:rsidR="00EE01B1">
        <w:rPr>
          <w:rFonts w:ascii="Times New Roman" w:hAnsi="Times New Roman" w:cs="Times New Roman"/>
          <w:sz w:val="26"/>
          <w:szCs w:val="26"/>
        </w:rPr>
        <w:t xml:space="preserve">annual </w:t>
      </w:r>
      <w:r w:rsidR="003067B1">
        <w:rPr>
          <w:rFonts w:ascii="Times New Roman" w:hAnsi="Times New Roman" w:cs="Times New Roman"/>
          <w:sz w:val="26"/>
          <w:szCs w:val="26"/>
        </w:rPr>
        <w:t>program costs by</w:t>
      </w:r>
      <w:r w:rsidR="00C436FB">
        <w:rPr>
          <w:rFonts w:ascii="Times New Roman" w:hAnsi="Times New Roman" w:cs="Times New Roman"/>
          <w:sz w:val="26"/>
          <w:szCs w:val="26"/>
        </w:rPr>
        <w:t xml:space="preserve"> </w:t>
      </w:r>
      <w:r w:rsidR="00EE01B1">
        <w:rPr>
          <w:rFonts w:ascii="Times New Roman" w:hAnsi="Times New Roman" w:cs="Times New Roman"/>
          <w:sz w:val="26"/>
          <w:szCs w:val="26"/>
        </w:rPr>
        <w:t xml:space="preserve">approximately </w:t>
      </w:r>
      <w:r w:rsidR="004C5857">
        <w:rPr>
          <w:rFonts w:ascii="Times New Roman" w:hAnsi="Times New Roman" w:cs="Times New Roman"/>
          <w:sz w:val="26"/>
          <w:szCs w:val="26"/>
        </w:rPr>
        <w:t xml:space="preserve">$648,000.  </w:t>
      </w:r>
      <w:r w:rsidR="00EE01B1">
        <w:rPr>
          <w:rFonts w:ascii="Times New Roman" w:hAnsi="Times New Roman" w:cs="Times New Roman"/>
          <w:sz w:val="26"/>
          <w:szCs w:val="26"/>
        </w:rPr>
        <w:t xml:space="preserve">Peach Study at 28.  </w:t>
      </w:r>
    </w:p>
    <w:p w:rsidR="00693298" w:rsidRDefault="00693298" w:rsidP="00BE4096">
      <w:pPr>
        <w:spacing w:line="360" w:lineRule="auto"/>
        <w:contextualSpacing/>
        <w:rPr>
          <w:rFonts w:ascii="Times New Roman" w:hAnsi="Times New Roman" w:cs="Times New Roman"/>
          <w:sz w:val="26"/>
          <w:szCs w:val="26"/>
        </w:rPr>
      </w:pPr>
    </w:p>
    <w:p w:rsidR="00BE4096" w:rsidRDefault="00CA2F7A" w:rsidP="00BE4096">
      <w:pPr>
        <w:spacing w:line="360" w:lineRule="auto"/>
        <w:contextualSpacing/>
        <w:rPr>
          <w:rFonts w:ascii="Times New Roman" w:hAnsi="Times New Roman" w:cs="Times New Roman"/>
          <w:sz w:val="26"/>
          <w:szCs w:val="26"/>
        </w:rPr>
      </w:pPr>
      <w:r>
        <w:rPr>
          <w:rFonts w:ascii="Times New Roman" w:hAnsi="Times New Roman" w:cs="Times New Roman"/>
          <w:sz w:val="26"/>
          <w:szCs w:val="26"/>
        </w:rPr>
        <w:lastRenderedPageBreak/>
        <w:tab/>
      </w:r>
      <w:r w:rsidR="001968C0">
        <w:rPr>
          <w:rFonts w:ascii="Times New Roman" w:hAnsi="Times New Roman" w:cs="Times New Roman"/>
          <w:sz w:val="26"/>
          <w:szCs w:val="26"/>
        </w:rPr>
        <w:t xml:space="preserve">While we </w:t>
      </w:r>
      <w:r w:rsidR="006F7E08">
        <w:rPr>
          <w:rFonts w:ascii="Times New Roman" w:hAnsi="Times New Roman" w:cs="Times New Roman"/>
          <w:sz w:val="26"/>
          <w:szCs w:val="26"/>
        </w:rPr>
        <w:t>find fault</w:t>
      </w:r>
      <w:r w:rsidR="001968C0">
        <w:rPr>
          <w:rFonts w:ascii="Times New Roman" w:hAnsi="Times New Roman" w:cs="Times New Roman"/>
          <w:sz w:val="26"/>
          <w:szCs w:val="26"/>
        </w:rPr>
        <w:t xml:space="preserve"> with</w:t>
      </w:r>
      <w:r w:rsidR="008F3EC9">
        <w:rPr>
          <w:rFonts w:ascii="Times New Roman" w:hAnsi="Times New Roman" w:cs="Times New Roman"/>
          <w:sz w:val="26"/>
          <w:szCs w:val="26"/>
        </w:rPr>
        <w:t xml:space="preserve"> this estimate</w:t>
      </w:r>
      <w:r w:rsidR="008F3EC9">
        <w:rPr>
          <w:rStyle w:val="FootnoteReference"/>
          <w:rFonts w:ascii="Times New Roman" w:hAnsi="Times New Roman" w:cs="Times New Roman"/>
          <w:sz w:val="26"/>
          <w:szCs w:val="26"/>
        </w:rPr>
        <w:footnoteReference w:id="13"/>
      </w:r>
      <w:r w:rsidR="008F3EC9">
        <w:rPr>
          <w:rFonts w:ascii="Times New Roman" w:hAnsi="Times New Roman" w:cs="Times New Roman"/>
          <w:sz w:val="26"/>
          <w:szCs w:val="26"/>
        </w:rPr>
        <w:t xml:space="preserve">, our main concern </w:t>
      </w:r>
      <w:r w:rsidR="00773714">
        <w:rPr>
          <w:rFonts w:ascii="Times New Roman" w:hAnsi="Times New Roman" w:cs="Times New Roman"/>
          <w:sz w:val="26"/>
          <w:szCs w:val="26"/>
        </w:rPr>
        <w:t>is</w:t>
      </w:r>
      <w:r w:rsidR="00196042">
        <w:rPr>
          <w:rFonts w:ascii="Times New Roman" w:hAnsi="Times New Roman" w:cs="Times New Roman"/>
          <w:sz w:val="26"/>
          <w:szCs w:val="26"/>
        </w:rPr>
        <w:t xml:space="preserve"> that</w:t>
      </w:r>
      <w:r w:rsidR="00424DA6">
        <w:rPr>
          <w:rFonts w:ascii="Times New Roman" w:hAnsi="Times New Roman" w:cs="Times New Roman"/>
          <w:sz w:val="26"/>
          <w:szCs w:val="26"/>
        </w:rPr>
        <w:t xml:space="preserve"> </w:t>
      </w:r>
      <w:r w:rsidR="00E8083D">
        <w:rPr>
          <w:rFonts w:ascii="Times New Roman" w:hAnsi="Times New Roman" w:cs="Times New Roman"/>
          <w:sz w:val="26"/>
          <w:szCs w:val="26"/>
        </w:rPr>
        <w:t>many</w:t>
      </w:r>
      <w:r w:rsidR="00196042">
        <w:rPr>
          <w:rFonts w:ascii="Times New Roman" w:hAnsi="Times New Roman" w:cs="Times New Roman"/>
          <w:sz w:val="26"/>
          <w:szCs w:val="26"/>
        </w:rPr>
        <w:t xml:space="preserve"> CRP customers are </w:t>
      </w:r>
      <w:r w:rsidR="00E8083D">
        <w:rPr>
          <w:rFonts w:ascii="Times New Roman" w:hAnsi="Times New Roman" w:cs="Times New Roman"/>
          <w:sz w:val="26"/>
          <w:szCs w:val="26"/>
        </w:rPr>
        <w:t>currently</w:t>
      </w:r>
      <w:r w:rsidR="00196042">
        <w:rPr>
          <w:rFonts w:ascii="Times New Roman" w:hAnsi="Times New Roman" w:cs="Times New Roman"/>
          <w:sz w:val="26"/>
          <w:szCs w:val="26"/>
        </w:rPr>
        <w:t xml:space="preserve"> paying more than the actual cost of their gas usage over the course </w:t>
      </w:r>
      <w:r w:rsidR="00E8083D">
        <w:rPr>
          <w:rFonts w:ascii="Times New Roman" w:hAnsi="Times New Roman" w:cs="Times New Roman"/>
          <w:sz w:val="26"/>
          <w:szCs w:val="26"/>
        </w:rPr>
        <w:t>of the</w:t>
      </w:r>
      <w:r w:rsidR="00196042">
        <w:rPr>
          <w:rFonts w:ascii="Times New Roman" w:hAnsi="Times New Roman" w:cs="Times New Roman"/>
          <w:sz w:val="26"/>
          <w:szCs w:val="26"/>
        </w:rPr>
        <w:t xml:space="preserve"> program year.  </w:t>
      </w:r>
      <w:r w:rsidR="009C097E">
        <w:rPr>
          <w:rFonts w:ascii="Times New Roman" w:hAnsi="Times New Roman" w:cs="Times New Roman"/>
          <w:sz w:val="26"/>
          <w:szCs w:val="26"/>
        </w:rPr>
        <w:t>Low-income customers enroll in CRP to rec</w:t>
      </w:r>
      <w:r w:rsidR="009506FF">
        <w:rPr>
          <w:rFonts w:ascii="Times New Roman" w:hAnsi="Times New Roman" w:cs="Times New Roman"/>
          <w:sz w:val="26"/>
          <w:szCs w:val="26"/>
        </w:rPr>
        <w:t>eive the most affordable gas payment and achieve debt forgiveness</w:t>
      </w:r>
      <w:r w:rsidR="009C097E">
        <w:rPr>
          <w:rFonts w:ascii="Times New Roman" w:hAnsi="Times New Roman" w:cs="Times New Roman"/>
          <w:sz w:val="26"/>
          <w:szCs w:val="26"/>
        </w:rPr>
        <w:t xml:space="preserve">.  </w:t>
      </w:r>
      <w:r w:rsidR="009506FF">
        <w:rPr>
          <w:rFonts w:ascii="Times New Roman" w:hAnsi="Times New Roman" w:cs="Times New Roman"/>
          <w:sz w:val="26"/>
          <w:szCs w:val="26"/>
        </w:rPr>
        <w:t xml:space="preserve">PGW should periodically </w:t>
      </w:r>
      <w:r w:rsidR="00E75436">
        <w:rPr>
          <w:rFonts w:ascii="Times New Roman" w:hAnsi="Times New Roman" w:cs="Times New Roman"/>
          <w:sz w:val="26"/>
          <w:szCs w:val="26"/>
        </w:rPr>
        <w:t xml:space="preserve">review CRP accounts to </w:t>
      </w:r>
      <w:r w:rsidR="009506FF">
        <w:rPr>
          <w:rFonts w:ascii="Times New Roman" w:hAnsi="Times New Roman" w:cs="Times New Roman"/>
          <w:sz w:val="26"/>
          <w:szCs w:val="26"/>
        </w:rPr>
        <w:t xml:space="preserve">ensure </w:t>
      </w:r>
      <w:r w:rsidR="00E75436">
        <w:rPr>
          <w:rFonts w:ascii="Times New Roman" w:hAnsi="Times New Roman" w:cs="Times New Roman"/>
          <w:sz w:val="26"/>
          <w:szCs w:val="26"/>
        </w:rPr>
        <w:t>customers are paying the most affordable rate.</w:t>
      </w:r>
    </w:p>
    <w:p w:rsidR="00EA1085" w:rsidRDefault="00EA1085" w:rsidP="00BE4096">
      <w:pPr>
        <w:spacing w:line="360" w:lineRule="auto"/>
        <w:contextualSpacing/>
        <w:rPr>
          <w:rFonts w:ascii="Times New Roman" w:hAnsi="Times New Roman" w:cs="Times New Roman"/>
          <w:sz w:val="26"/>
          <w:szCs w:val="26"/>
        </w:rPr>
      </w:pPr>
    </w:p>
    <w:p w:rsidR="00CE33D3" w:rsidRDefault="00CA2F7A" w:rsidP="00BE4096">
      <w:pPr>
        <w:spacing w:line="360" w:lineRule="auto"/>
        <w:contextualSpacing/>
        <w:rPr>
          <w:rFonts w:ascii="Times New Roman" w:hAnsi="Times New Roman" w:cs="Times New Roman"/>
          <w:sz w:val="26"/>
          <w:szCs w:val="26"/>
        </w:rPr>
      </w:pPr>
      <w:r>
        <w:rPr>
          <w:rFonts w:ascii="Times New Roman" w:hAnsi="Times New Roman" w:cs="Times New Roman"/>
          <w:sz w:val="26"/>
          <w:szCs w:val="26"/>
        </w:rPr>
        <w:tab/>
      </w:r>
      <w:r w:rsidR="00EA1085">
        <w:rPr>
          <w:rFonts w:ascii="Times New Roman" w:hAnsi="Times New Roman" w:cs="Times New Roman"/>
          <w:sz w:val="26"/>
          <w:szCs w:val="26"/>
        </w:rPr>
        <w:t>Allowing customers to enroll in CRP at budget billing will allow more low-income accounts to achieve arrearage forgiveness and ensure that customers are given the lowest payment option (</w:t>
      </w:r>
      <w:r w:rsidR="00EA1085" w:rsidRPr="001968C0">
        <w:rPr>
          <w:rFonts w:ascii="Times New Roman" w:hAnsi="Times New Roman" w:cs="Times New Roman"/>
          <w:i/>
          <w:sz w:val="26"/>
          <w:szCs w:val="26"/>
        </w:rPr>
        <w:t>i.e.,</w:t>
      </w:r>
      <w:r w:rsidR="00EA1085">
        <w:rPr>
          <w:rFonts w:ascii="Times New Roman" w:hAnsi="Times New Roman" w:cs="Times New Roman"/>
          <w:sz w:val="26"/>
          <w:szCs w:val="26"/>
        </w:rPr>
        <w:t xml:space="preserve"> PIP or budget bill) at </w:t>
      </w:r>
      <w:r w:rsidR="00A6147B">
        <w:rPr>
          <w:rFonts w:ascii="Times New Roman" w:hAnsi="Times New Roman" w:cs="Times New Roman"/>
          <w:sz w:val="26"/>
          <w:szCs w:val="26"/>
        </w:rPr>
        <w:t>application, recertification, or periodic review.</w:t>
      </w:r>
      <w:r w:rsidR="00EA1085">
        <w:rPr>
          <w:rFonts w:ascii="Times New Roman" w:hAnsi="Times New Roman" w:cs="Times New Roman"/>
          <w:sz w:val="26"/>
          <w:szCs w:val="26"/>
        </w:rPr>
        <w:t xml:space="preserve">  </w:t>
      </w:r>
      <w:r w:rsidR="00A6147B">
        <w:rPr>
          <w:rFonts w:ascii="Times New Roman" w:hAnsi="Times New Roman" w:cs="Times New Roman"/>
          <w:sz w:val="26"/>
          <w:szCs w:val="26"/>
        </w:rPr>
        <w:t xml:space="preserve">Accordingly, we direct PGW to allow eligible low-income customers to enroll in CRP at the PIP or </w:t>
      </w:r>
      <w:r w:rsidR="007D4A16">
        <w:rPr>
          <w:rFonts w:ascii="Times New Roman" w:hAnsi="Times New Roman" w:cs="Times New Roman"/>
          <w:sz w:val="26"/>
          <w:szCs w:val="26"/>
        </w:rPr>
        <w:t xml:space="preserve">the </w:t>
      </w:r>
      <w:r w:rsidR="00A6147B">
        <w:rPr>
          <w:rFonts w:ascii="Times New Roman" w:hAnsi="Times New Roman" w:cs="Times New Roman"/>
          <w:sz w:val="26"/>
          <w:szCs w:val="26"/>
        </w:rPr>
        <w:t xml:space="preserve">budget bill </w:t>
      </w:r>
      <w:r w:rsidR="007D4A16">
        <w:rPr>
          <w:rFonts w:ascii="Times New Roman" w:hAnsi="Times New Roman" w:cs="Times New Roman"/>
          <w:sz w:val="26"/>
          <w:szCs w:val="26"/>
        </w:rPr>
        <w:t>amount</w:t>
      </w:r>
      <w:r w:rsidR="00A6147B">
        <w:rPr>
          <w:rFonts w:ascii="Times New Roman" w:hAnsi="Times New Roman" w:cs="Times New Roman"/>
          <w:sz w:val="26"/>
          <w:szCs w:val="26"/>
        </w:rPr>
        <w:t xml:space="preserve">, whichever is lower, within six months of the </w:t>
      </w:r>
      <w:r w:rsidR="009C1ACE">
        <w:rPr>
          <w:rFonts w:ascii="Times New Roman" w:hAnsi="Times New Roman" w:cs="Times New Roman"/>
          <w:sz w:val="26"/>
          <w:szCs w:val="26"/>
        </w:rPr>
        <w:t>final approval of the 2017-2020 Plan</w:t>
      </w:r>
      <w:r w:rsidR="00A6147B">
        <w:rPr>
          <w:rFonts w:ascii="Times New Roman" w:hAnsi="Times New Roman" w:cs="Times New Roman"/>
          <w:sz w:val="26"/>
          <w:szCs w:val="26"/>
        </w:rPr>
        <w:t>.  PGW should also re</w:t>
      </w:r>
      <w:r w:rsidR="001968C0">
        <w:rPr>
          <w:rFonts w:ascii="Times New Roman" w:hAnsi="Times New Roman" w:cs="Times New Roman"/>
          <w:sz w:val="26"/>
          <w:szCs w:val="26"/>
        </w:rPr>
        <w:t>view</w:t>
      </w:r>
      <w:r w:rsidR="007D4A16">
        <w:rPr>
          <w:rFonts w:ascii="Times New Roman" w:hAnsi="Times New Roman" w:cs="Times New Roman"/>
          <w:sz w:val="26"/>
          <w:szCs w:val="26"/>
        </w:rPr>
        <w:t xml:space="preserve">, </w:t>
      </w:r>
      <w:r w:rsidR="007D4A16" w:rsidRPr="007D4A16">
        <w:rPr>
          <w:rFonts w:ascii="Times New Roman" w:hAnsi="Times New Roman" w:cs="Times New Roman"/>
          <w:sz w:val="26"/>
          <w:szCs w:val="26"/>
        </w:rPr>
        <w:t>at least once per year</w:t>
      </w:r>
      <w:r w:rsidR="007D4A16">
        <w:rPr>
          <w:rFonts w:ascii="Times New Roman" w:hAnsi="Times New Roman" w:cs="Times New Roman"/>
          <w:sz w:val="26"/>
          <w:szCs w:val="26"/>
        </w:rPr>
        <w:t>,</w:t>
      </w:r>
      <w:r w:rsidR="001968C0">
        <w:rPr>
          <w:rFonts w:ascii="Times New Roman" w:hAnsi="Times New Roman" w:cs="Times New Roman"/>
          <w:sz w:val="26"/>
          <w:szCs w:val="26"/>
        </w:rPr>
        <w:t xml:space="preserve"> CRP accounts to ensure </w:t>
      </w:r>
      <w:r w:rsidR="00A6147B">
        <w:rPr>
          <w:rFonts w:ascii="Times New Roman" w:hAnsi="Times New Roman" w:cs="Times New Roman"/>
          <w:sz w:val="26"/>
          <w:szCs w:val="26"/>
        </w:rPr>
        <w:t>customer</w:t>
      </w:r>
      <w:r w:rsidR="001968C0">
        <w:rPr>
          <w:rFonts w:ascii="Times New Roman" w:hAnsi="Times New Roman" w:cs="Times New Roman"/>
          <w:sz w:val="26"/>
          <w:szCs w:val="26"/>
        </w:rPr>
        <w:t>s</w:t>
      </w:r>
      <w:r w:rsidR="00A6147B">
        <w:rPr>
          <w:rFonts w:ascii="Times New Roman" w:hAnsi="Times New Roman" w:cs="Times New Roman"/>
          <w:sz w:val="26"/>
          <w:szCs w:val="26"/>
        </w:rPr>
        <w:t xml:space="preserve"> </w:t>
      </w:r>
      <w:r w:rsidR="001968C0">
        <w:rPr>
          <w:rFonts w:ascii="Times New Roman" w:hAnsi="Times New Roman" w:cs="Times New Roman"/>
          <w:sz w:val="26"/>
          <w:szCs w:val="26"/>
        </w:rPr>
        <w:t>are paying the most affordable CRP rate (</w:t>
      </w:r>
      <w:r w:rsidR="001968C0" w:rsidRPr="007E6229">
        <w:rPr>
          <w:rFonts w:ascii="Times New Roman" w:hAnsi="Times New Roman" w:cs="Times New Roman"/>
          <w:i/>
          <w:sz w:val="26"/>
          <w:szCs w:val="26"/>
        </w:rPr>
        <w:t>i.e.</w:t>
      </w:r>
      <w:r w:rsidR="001968C0">
        <w:rPr>
          <w:rFonts w:ascii="Times New Roman" w:hAnsi="Times New Roman" w:cs="Times New Roman"/>
          <w:sz w:val="26"/>
          <w:szCs w:val="26"/>
        </w:rPr>
        <w:t xml:space="preserve">, PIP or budget billing).  </w:t>
      </w:r>
      <w:r w:rsidR="009C1ACE">
        <w:rPr>
          <w:rFonts w:ascii="Times New Roman" w:hAnsi="Times New Roman" w:cs="Times New Roman"/>
          <w:sz w:val="26"/>
          <w:szCs w:val="26"/>
        </w:rPr>
        <w:t>The Company should identify these</w:t>
      </w:r>
      <w:r w:rsidR="009C1ACE" w:rsidRPr="009C1ACE">
        <w:rPr>
          <w:rFonts w:ascii="Times New Roman" w:hAnsi="Times New Roman" w:cs="Times New Roman"/>
          <w:sz w:val="26"/>
          <w:szCs w:val="26"/>
        </w:rPr>
        <w:t xml:space="preserve"> change</w:t>
      </w:r>
      <w:r w:rsidR="009C1ACE">
        <w:rPr>
          <w:rFonts w:ascii="Times New Roman" w:hAnsi="Times New Roman" w:cs="Times New Roman"/>
          <w:sz w:val="26"/>
          <w:szCs w:val="26"/>
        </w:rPr>
        <w:t>s</w:t>
      </w:r>
      <w:r w:rsidR="009C1ACE" w:rsidRPr="009C1ACE">
        <w:rPr>
          <w:rFonts w:ascii="Times New Roman" w:hAnsi="Times New Roman" w:cs="Times New Roman"/>
          <w:sz w:val="26"/>
          <w:szCs w:val="26"/>
        </w:rPr>
        <w:t xml:space="preserve"> in its Revised 2017-2019 Plan.</w:t>
      </w:r>
      <w:r w:rsidR="009C1ACE">
        <w:rPr>
          <w:rFonts w:ascii="Times New Roman" w:hAnsi="Times New Roman" w:cs="Times New Roman"/>
          <w:sz w:val="26"/>
          <w:szCs w:val="26"/>
        </w:rPr>
        <w:t xml:space="preserve">  </w:t>
      </w:r>
      <w:r w:rsidR="00CE33D3">
        <w:rPr>
          <w:rFonts w:ascii="Times New Roman" w:hAnsi="Times New Roman" w:cs="Times New Roman"/>
          <w:sz w:val="26"/>
          <w:szCs w:val="26"/>
        </w:rPr>
        <w:t>We do not find that it is necessary to refer this matter to the OALJ for hearings.</w:t>
      </w:r>
    </w:p>
    <w:p w:rsidR="00CE33D3" w:rsidRDefault="00CE33D3" w:rsidP="00BE4096">
      <w:pPr>
        <w:spacing w:line="360" w:lineRule="auto"/>
        <w:contextualSpacing/>
        <w:rPr>
          <w:rFonts w:ascii="Times New Roman" w:hAnsi="Times New Roman" w:cs="Times New Roman"/>
          <w:sz w:val="26"/>
          <w:szCs w:val="26"/>
        </w:rPr>
      </w:pPr>
    </w:p>
    <w:p w:rsidR="00EA1085" w:rsidRPr="00BE4096" w:rsidRDefault="00CE33D3" w:rsidP="00CC7151">
      <w:pPr>
        <w:spacing w:line="360" w:lineRule="auto"/>
        <w:ind w:firstLine="720"/>
        <w:contextualSpacing/>
        <w:rPr>
          <w:rFonts w:ascii="Times New Roman" w:hAnsi="Times New Roman" w:cs="Times New Roman"/>
          <w:sz w:val="26"/>
          <w:szCs w:val="26"/>
        </w:rPr>
      </w:pPr>
      <w:r>
        <w:rPr>
          <w:rFonts w:ascii="Times New Roman" w:hAnsi="Times New Roman" w:cs="Times New Roman"/>
          <w:sz w:val="26"/>
          <w:szCs w:val="26"/>
        </w:rPr>
        <w:t>The Company has articulated that there will be programing costs and customer-related costs associated with this change.  Consistent with the requisites for establishing its USC surcharge, t</w:t>
      </w:r>
      <w:r w:rsidR="00CA2F7A">
        <w:rPr>
          <w:rFonts w:ascii="Times New Roman" w:hAnsi="Times New Roman" w:cs="Times New Roman"/>
          <w:sz w:val="26"/>
          <w:szCs w:val="26"/>
        </w:rPr>
        <w:t xml:space="preserve">he Company may </w:t>
      </w:r>
      <w:r w:rsidR="007D4A16">
        <w:rPr>
          <w:rFonts w:ascii="Times New Roman" w:hAnsi="Times New Roman" w:cs="Times New Roman"/>
          <w:sz w:val="26"/>
          <w:szCs w:val="26"/>
        </w:rPr>
        <w:t xml:space="preserve">petition to </w:t>
      </w:r>
      <w:r w:rsidR="00CA2F7A">
        <w:rPr>
          <w:rFonts w:ascii="Times New Roman" w:hAnsi="Times New Roman" w:cs="Times New Roman"/>
          <w:sz w:val="26"/>
          <w:szCs w:val="26"/>
        </w:rPr>
        <w:t xml:space="preserve">recover the </w:t>
      </w:r>
      <w:r w:rsidR="006F7E08">
        <w:rPr>
          <w:rFonts w:ascii="Times New Roman" w:hAnsi="Times New Roman" w:cs="Times New Roman"/>
          <w:sz w:val="26"/>
          <w:szCs w:val="26"/>
        </w:rPr>
        <w:t xml:space="preserve">prudent </w:t>
      </w:r>
      <w:r w:rsidR="00CA2F7A">
        <w:rPr>
          <w:rFonts w:ascii="Times New Roman" w:hAnsi="Times New Roman" w:cs="Times New Roman"/>
          <w:sz w:val="26"/>
          <w:szCs w:val="26"/>
        </w:rPr>
        <w:t>costs associated with this change through its USC surcharge.</w:t>
      </w:r>
    </w:p>
    <w:p w:rsidR="00BE4096" w:rsidRPr="00BE4096" w:rsidRDefault="00BE4096" w:rsidP="00BE4096">
      <w:pPr>
        <w:spacing w:line="360" w:lineRule="auto"/>
        <w:contextualSpacing/>
        <w:rPr>
          <w:rFonts w:ascii="Times New Roman" w:hAnsi="Times New Roman" w:cs="Times New Roman"/>
          <w:sz w:val="26"/>
          <w:szCs w:val="26"/>
        </w:rPr>
      </w:pPr>
    </w:p>
    <w:p w:rsidR="0064759C" w:rsidRPr="00840785" w:rsidRDefault="0064759C" w:rsidP="008C0367">
      <w:pPr>
        <w:keepNext/>
        <w:spacing w:after="0" w:line="360" w:lineRule="auto"/>
        <w:contextualSpacing/>
        <w:rPr>
          <w:rFonts w:ascii="Times New Roman" w:eastAsia="Times New Roman" w:hAnsi="Times New Roman" w:cs="Times New Roman"/>
          <w:i/>
          <w:color w:val="0D0D0D" w:themeColor="text1" w:themeTint="F2"/>
          <w:sz w:val="26"/>
          <w:szCs w:val="26"/>
        </w:rPr>
      </w:pPr>
      <w:r w:rsidRPr="00840785">
        <w:rPr>
          <w:rFonts w:ascii="Times New Roman" w:eastAsia="Times New Roman" w:hAnsi="Times New Roman" w:cs="Times New Roman"/>
          <w:i/>
          <w:color w:val="0D0D0D" w:themeColor="text1" w:themeTint="F2"/>
          <w:sz w:val="26"/>
          <w:szCs w:val="26"/>
        </w:rPr>
        <w:lastRenderedPageBreak/>
        <w:t>b.  Pilot Consumption Limits</w:t>
      </w:r>
    </w:p>
    <w:p w:rsidR="0064759C" w:rsidRDefault="0064759C" w:rsidP="008C0367">
      <w:pPr>
        <w:keepNext/>
        <w:spacing w:after="0" w:line="360" w:lineRule="auto"/>
        <w:contextualSpacing/>
        <w:rPr>
          <w:rFonts w:ascii="Times New Roman" w:eastAsia="Times New Roman" w:hAnsi="Times New Roman" w:cs="Times New Roman"/>
          <w:color w:val="0D0D0D" w:themeColor="text1" w:themeTint="F2"/>
          <w:sz w:val="26"/>
          <w:szCs w:val="26"/>
        </w:rPr>
      </w:pPr>
    </w:p>
    <w:p w:rsidR="003A0D61" w:rsidRDefault="00617327" w:rsidP="00927162">
      <w:pPr>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ab/>
      </w:r>
      <w:r w:rsidR="00245474">
        <w:rPr>
          <w:rFonts w:ascii="Times New Roman" w:eastAsia="Times New Roman" w:hAnsi="Times New Roman" w:cs="Times New Roman"/>
          <w:color w:val="0D0D0D" w:themeColor="text1" w:themeTint="F2"/>
          <w:sz w:val="26"/>
          <w:szCs w:val="26"/>
        </w:rPr>
        <w:t>PGW proposes</w:t>
      </w:r>
      <w:r w:rsidR="0064759C">
        <w:rPr>
          <w:rFonts w:ascii="Times New Roman" w:eastAsia="Times New Roman" w:hAnsi="Times New Roman" w:cs="Times New Roman"/>
          <w:color w:val="0D0D0D" w:themeColor="text1" w:themeTint="F2"/>
          <w:sz w:val="26"/>
          <w:szCs w:val="26"/>
        </w:rPr>
        <w:t xml:space="preserve"> </w:t>
      </w:r>
      <w:r w:rsidR="003A0D61">
        <w:rPr>
          <w:rFonts w:ascii="Times New Roman" w:eastAsia="Times New Roman" w:hAnsi="Times New Roman" w:cs="Times New Roman"/>
          <w:color w:val="0D0D0D" w:themeColor="text1" w:themeTint="F2"/>
          <w:sz w:val="26"/>
          <w:szCs w:val="26"/>
        </w:rPr>
        <w:t>implementing a consumption limit pilot</w:t>
      </w:r>
      <w:r w:rsidR="00E26E0D">
        <w:rPr>
          <w:rFonts w:ascii="Times New Roman" w:eastAsia="Times New Roman" w:hAnsi="Times New Roman" w:cs="Times New Roman"/>
          <w:color w:val="0D0D0D" w:themeColor="text1" w:themeTint="F2"/>
          <w:sz w:val="26"/>
          <w:szCs w:val="26"/>
        </w:rPr>
        <w:t xml:space="preserve"> for CRP participants.  If household annual gas consumption exceeds 2,125 CCF</w:t>
      </w:r>
      <w:r w:rsidR="00391AB0">
        <w:rPr>
          <w:rFonts w:ascii="Times New Roman" w:eastAsia="Times New Roman" w:hAnsi="Times New Roman" w:cs="Times New Roman"/>
          <w:color w:val="0D0D0D" w:themeColor="text1" w:themeTint="F2"/>
          <w:sz w:val="26"/>
          <w:szCs w:val="26"/>
        </w:rPr>
        <w:t>,</w:t>
      </w:r>
      <w:r w:rsidR="003A0D61">
        <w:rPr>
          <w:rStyle w:val="FootnoteReference"/>
          <w:rFonts w:ascii="Times New Roman" w:eastAsia="Times New Roman" w:hAnsi="Times New Roman" w:cs="Times New Roman"/>
          <w:color w:val="0D0D0D" w:themeColor="text1" w:themeTint="F2"/>
          <w:sz w:val="26"/>
          <w:szCs w:val="26"/>
        </w:rPr>
        <w:footnoteReference w:id="14"/>
      </w:r>
      <w:r w:rsidR="00E26E0D">
        <w:rPr>
          <w:rFonts w:ascii="Times New Roman" w:eastAsia="Times New Roman" w:hAnsi="Times New Roman" w:cs="Times New Roman"/>
          <w:color w:val="0D0D0D" w:themeColor="text1" w:themeTint="F2"/>
          <w:sz w:val="26"/>
          <w:szCs w:val="26"/>
        </w:rPr>
        <w:t xml:space="preserve"> the </w:t>
      </w:r>
      <w:r w:rsidR="00245474">
        <w:rPr>
          <w:rFonts w:ascii="Times New Roman" w:eastAsia="Times New Roman" w:hAnsi="Times New Roman" w:cs="Times New Roman"/>
          <w:color w:val="0D0D0D" w:themeColor="text1" w:themeTint="F2"/>
          <w:sz w:val="26"/>
          <w:szCs w:val="26"/>
        </w:rPr>
        <w:t xml:space="preserve">Company will send the </w:t>
      </w:r>
      <w:r w:rsidR="00E26E0D">
        <w:rPr>
          <w:rFonts w:ascii="Times New Roman" w:eastAsia="Times New Roman" w:hAnsi="Times New Roman" w:cs="Times New Roman"/>
          <w:color w:val="0D0D0D" w:themeColor="text1" w:themeTint="F2"/>
          <w:sz w:val="26"/>
          <w:szCs w:val="26"/>
        </w:rPr>
        <w:t xml:space="preserve">CRP customer </w:t>
      </w:r>
      <w:r w:rsidR="00245474">
        <w:rPr>
          <w:rFonts w:ascii="Times New Roman" w:eastAsia="Times New Roman" w:hAnsi="Times New Roman" w:cs="Times New Roman"/>
          <w:color w:val="0D0D0D" w:themeColor="text1" w:themeTint="F2"/>
          <w:sz w:val="26"/>
          <w:szCs w:val="26"/>
        </w:rPr>
        <w:t xml:space="preserve">a letter explaining </w:t>
      </w:r>
      <w:r w:rsidR="003A0D61">
        <w:rPr>
          <w:rFonts w:ascii="Times New Roman" w:eastAsia="Times New Roman" w:hAnsi="Times New Roman" w:cs="Times New Roman"/>
          <w:color w:val="0D0D0D" w:themeColor="text1" w:themeTint="F2"/>
          <w:sz w:val="26"/>
          <w:szCs w:val="26"/>
        </w:rPr>
        <w:t xml:space="preserve">CAP Policy Statement exceptions to </w:t>
      </w:r>
      <w:r w:rsidR="00E26E0D">
        <w:rPr>
          <w:rFonts w:ascii="Times New Roman" w:eastAsia="Times New Roman" w:hAnsi="Times New Roman" w:cs="Times New Roman"/>
          <w:color w:val="0D0D0D" w:themeColor="text1" w:themeTint="F2"/>
          <w:sz w:val="26"/>
          <w:szCs w:val="26"/>
        </w:rPr>
        <w:t>consumption limit</w:t>
      </w:r>
      <w:r w:rsidR="003A0D61">
        <w:rPr>
          <w:rFonts w:ascii="Times New Roman" w:eastAsia="Times New Roman" w:hAnsi="Times New Roman" w:cs="Times New Roman"/>
          <w:color w:val="0D0D0D" w:themeColor="text1" w:themeTint="F2"/>
          <w:sz w:val="26"/>
          <w:szCs w:val="26"/>
        </w:rPr>
        <w:t>s</w:t>
      </w:r>
      <w:r w:rsidR="00245474">
        <w:rPr>
          <w:rStyle w:val="FootnoteReference"/>
          <w:rFonts w:ascii="Times New Roman" w:eastAsia="Times New Roman" w:hAnsi="Times New Roman" w:cs="Times New Roman"/>
          <w:color w:val="0D0D0D" w:themeColor="text1" w:themeTint="F2"/>
          <w:sz w:val="26"/>
          <w:szCs w:val="26"/>
        </w:rPr>
        <w:footnoteReference w:id="15"/>
      </w:r>
      <w:r w:rsidR="00E26E0D">
        <w:rPr>
          <w:rFonts w:ascii="Times New Roman" w:eastAsia="Times New Roman" w:hAnsi="Times New Roman" w:cs="Times New Roman"/>
          <w:color w:val="0D0D0D" w:themeColor="text1" w:themeTint="F2"/>
          <w:sz w:val="26"/>
          <w:szCs w:val="26"/>
        </w:rPr>
        <w:t xml:space="preserve"> and</w:t>
      </w:r>
      <w:r w:rsidR="00245474">
        <w:rPr>
          <w:rFonts w:ascii="Times New Roman" w:eastAsia="Times New Roman" w:hAnsi="Times New Roman" w:cs="Times New Roman"/>
          <w:color w:val="0D0D0D" w:themeColor="text1" w:themeTint="F2"/>
          <w:sz w:val="26"/>
          <w:szCs w:val="26"/>
        </w:rPr>
        <w:t xml:space="preserve"> providing conservation tips.  PGW will also refer the household to CRP Home Comfort</w:t>
      </w:r>
      <w:r w:rsidR="003A0D61">
        <w:rPr>
          <w:rFonts w:ascii="Times New Roman" w:eastAsia="Times New Roman" w:hAnsi="Times New Roman" w:cs="Times New Roman"/>
          <w:color w:val="0D0D0D" w:themeColor="text1" w:themeTint="F2"/>
          <w:sz w:val="26"/>
          <w:szCs w:val="26"/>
        </w:rPr>
        <w:t xml:space="preserve"> for weatherization</w:t>
      </w:r>
      <w:r w:rsidR="00245474">
        <w:rPr>
          <w:rFonts w:ascii="Times New Roman" w:eastAsia="Times New Roman" w:hAnsi="Times New Roman" w:cs="Times New Roman"/>
          <w:color w:val="0D0D0D" w:themeColor="text1" w:themeTint="F2"/>
          <w:sz w:val="26"/>
          <w:szCs w:val="26"/>
        </w:rPr>
        <w:t>.</w:t>
      </w:r>
      <w:r w:rsidR="003A0D61">
        <w:rPr>
          <w:rFonts w:ascii="Times New Roman" w:eastAsia="Times New Roman" w:hAnsi="Times New Roman" w:cs="Times New Roman"/>
          <w:color w:val="0D0D0D" w:themeColor="text1" w:themeTint="F2"/>
          <w:sz w:val="26"/>
          <w:szCs w:val="26"/>
        </w:rPr>
        <w:t xml:space="preserve">  If customers who exceed the consumption limit decline CRP Home Comfort services, the Company will remove them from CRP.  </w:t>
      </w:r>
      <w:r w:rsidR="00B65EDB">
        <w:rPr>
          <w:rFonts w:ascii="Times New Roman" w:eastAsia="Times New Roman" w:hAnsi="Times New Roman" w:cs="Times New Roman"/>
          <w:color w:val="0D0D0D" w:themeColor="text1" w:themeTint="F2"/>
          <w:sz w:val="26"/>
          <w:szCs w:val="26"/>
        </w:rPr>
        <w:t>Amended Proposed 2017-2020 Plan at 18</w:t>
      </w:r>
      <w:r w:rsidR="003A0D61">
        <w:rPr>
          <w:rFonts w:ascii="Times New Roman" w:eastAsia="Times New Roman" w:hAnsi="Times New Roman" w:cs="Times New Roman"/>
          <w:color w:val="0D0D0D" w:themeColor="text1" w:themeTint="F2"/>
          <w:sz w:val="26"/>
          <w:szCs w:val="26"/>
        </w:rPr>
        <w:t>.</w:t>
      </w:r>
    </w:p>
    <w:p w:rsidR="003A0D61" w:rsidRDefault="003A0D61" w:rsidP="00927162">
      <w:pPr>
        <w:spacing w:after="0" w:line="360" w:lineRule="auto"/>
        <w:contextualSpacing/>
        <w:rPr>
          <w:rFonts w:ascii="Times New Roman" w:eastAsia="Times New Roman" w:hAnsi="Times New Roman" w:cs="Times New Roman"/>
          <w:color w:val="0D0D0D" w:themeColor="text1" w:themeTint="F2"/>
          <w:sz w:val="26"/>
          <w:szCs w:val="26"/>
        </w:rPr>
      </w:pPr>
    </w:p>
    <w:p w:rsidR="0064759C" w:rsidRDefault="00617327" w:rsidP="00927162">
      <w:pPr>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ab/>
      </w:r>
      <w:r w:rsidR="00391AB0">
        <w:rPr>
          <w:rFonts w:ascii="Times New Roman" w:eastAsia="Times New Roman" w:hAnsi="Times New Roman" w:cs="Times New Roman"/>
          <w:color w:val="0D0D0D" w:themeColor="text1" w:themeTint="F2"/>
          <w:sz w:val="26"/>
          <w:szCs w:val="26"/>
        </w:rPr>
        <w:t xml:space="preserve">For </w:t>
      </w:r>
      <w:r w:rsidR="00C05EC8">
        <w:rPr>
          <w:rFonts w:ascii="Times New Roman" w:eastAsia="Times New Roman" w:hAnsi="Times New Roman" w:cs="Times New Roman"/>
          <w:color w:val="0D0D0D" w:themeColor="text1" w:themeTint="F2"/>
          <w:sz w:val="26"/>
          <w:szCs w:val="26"/>
        </w:rPr>
        <w:t xml:space="preserve">the 2017-2020 pilot, PGW proposes to develop a “Reason Analysis” </w:t>
      </w:r>
      <w:r w:rsidR="00CE1A6E">
        <w:rPr>
          <w:rFonts w:ascii="Times New Roman" w:eastAsia="Times New Roman" w:hAnsi="Times New Roman" w:cs="Times New Roman"/>
          <w:color w:val="0D0D0D" w:themeColor="text1" w:themeTint="F2"/>
          <w:sz w:val="26"/>
          <w:szCs w:val="26"/>
        </w:rPr>
        <w:t>to explore the causes of excess gas usage and use this information, as well as the other results of the pilot, to propose a final consumption limit policy in its next USECP filing.  PGW p</w:t>
      </w:r>
      <w:r w:rsidR="00277A94">
        <w:rPr>
          <w:rFonts w:ascii="Times New Roman" w:eastAsia="Times New Roman" w:hAnsi="Times New Roman" w:cs="Times New Roman"/>
          <w:color w:val="0D0D0D" w:themeColor="text1" w:themeTint="F2"/>
          <w:sz w:val="26"/>
          <w:szCs w:val="26"/>
        </w:rPr>
        <w:t>roposes</w:t>
      </w:r>
      <w:r w:rsidR="00CE1A6E">
        <w:rPr>
          <w:rFonts w:ascii="Times New Roman" w:eastAsia="Times New Roman" w:hAnsi="Times New Roman" w:cs="Times New Roman"/>
          <w:color w:val="0D0D0D" w:themeColor="text1" w:themeTint="F2"/>
          <w:sz w:val="26"/>
          <w:szCs w:val="26"/>
        </w:rPr>
        <w:t xml:space="preserve"> to develop </w:t>
      </w:r>
      <w:r w:rsidR="00277A94">
        <w:rPr>
          <w:rFonts w:ascii="Times New Roman" w:eastAsia="Times New Roman" w:hAnsi="Times New Roman" w:cs="Times New Roman"/>
          <w:color w:val="0D0D0D" w:themeColor="text1" w:themeTint="F2"/>
          <w:sz w:val="26"/>
          <w:szCs w:val="26"/>
        </w:rPr>
        <w:t xml:space="preserve">usage </w:t>
      </w:r>
      <w:r w:rsidR="00CE1A6E">
        <w:rPr>
          <w:rFonts w:ascii="Times New Roman" w:eastAsia="Times New Roman" w:hAnsi="Times New Roman" w:cs="Times New Roman"/>
          <w:color w:val="0D0D0D" w:themeColor="text1" w:themeTint="F2"/>
          <w:sz w:val="26"/>
          <w:szCs w:val="26"/>
        </w:rPr>
        <w:t xml:space="preserve">consumption or CAP credit limits </w:t>
      </w:r>
      <w:r w:rsidR="00391AB0">
        <w:rPr>
          <w:rFonts w:ascii="Times New Roman" w:eastAsia="Times New Roman" w:hAnsi="Times New Roman" w:cs="Times New Roman"/>
          <w:color w:val="0D0D0D" w:themeColor="text1" w:themeTint="F2"/>
          <w:sz w:val="26"/>
          <w:szCs w:val="26"/>
        </w:rPr>
        <w:t xml:space="preserve">for its CRP </w:t>
      </w:r>
      <w:r w:rsidR="00CE1A6E">
        <w:rPr>
          <w:rFonts w:ascii="Times New Roman" w:eastAsia="Times New Roman" w:hAnsi="Times New Roman" w:cs="Times New Roman"/>
          <w:color w:val="0D0D0D" w:themeColor="text1" w:themeTint="F2"/>
          <w:sz w:val="26"/>
          <w:szCs w:val="26"/>
        </w:rPr>
        <w:t>that will be recalculated each year based on a usage distribution analysis</w:t>
      </w:r>
      <w:r w:rsidR="00B65EDB">
        <w:rPr>
          <w:rFonts w:ascii="Times New Roman" w:eastAsia="Times New Roman" w:hAnsi="Times New Roman" w:cs="Times New Roman"/>
          <w:color w:val="0D0D0D" w:themeColor="text1" w:themeTint="F2"/>
          <w:sz w:val="26"/>
          <w:szCs w:val="26"/>
        </w:rPr>
        <w:t>.  Amended Proposed 2017-2020 Plan at 19</w:t>
      </w:r>
      <w:r w:rsidR="00CE1A6E">
        <w:rPr>
          <w:rFonts w:ascii="Times New Roman" w:eastAsia="Times New Roman" w:hAnsi="Times New Roman" w:cs="Times New Roman"/>
          <w:color w:val="0D0D0D" w:themeColor="text1" w:themeTint="F2"/>
          <w:sz w:val="26"/>
          <w:szCs w:val="26"/>
        </w:rPr>
        <w:t xml:space="preserve">.  </w:t>
      </w:r>
    </w:p>
    <w:p w:rsidR="003771AA" w:rsidRDefault="003771AA" w:rsidP="00927162">
      <w:pPr>
        <w:spacing w:after="0" w:line="360" w:lineRule="auto"/>
        <w:contextualSpacing/>
        <w:rPr>
          <w:rFonts w:ascii="Times New Roman" w:eastAsia="Times New Roman" w:hAnsi="Times New Roman" w:cs="Times New Roman"/>
          <w:color w:val="0D0D0D" w:themeColor="text1" w:themeTint="F2"/>
          <w:sz w:val="26"/>
          <w:szCs w:val="26"/>
        </w:rPr>
      </w:pPr>
    </w:p>
    <w:p w:rsidR="00BE4096" w:rsidRDefault="00B57588" w:rsidP="00B57588">
      <w:pPr>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ab/>
      </w:r>
      <w:r w:rsidRPr="00967EEC">
        <w:rPr>
          <w:rFonts w:ascii="Times New Roman" w:eastAsia="Times New Roman" w:hAnsi="Times New Roman" w:cs="Times New Roman"/>
          <w:color w:val="0D0D0D" w:themeColor="text1" w:themeTint="F2"/>
          <w:sz w:val="26"/>
          <w:szCs w:val="26"/>
        </w:rPr>
        <w:t>In the Tentative Order,</w:t>
      </w:r>
      <w:r>
        <w:rPr>
          <w:rFonts w:ascii="Times New Roman" w:eastAsia="Times New Roman" w:hAnsi="Times New Roman" w:cs="Times New Roman"/>
          <w:color w:val="0D0D0D" w:themeColor="text1" w:themeTint="F2"/>
          <w:sz w:val="26"/>
          <w:szCs w:val="26"/>
        </w:rPr>
        <w:t xml:space="preserve"> we asked PGW to explain how it will inform customers about the consumption limit, </w:t>
      </w:r>
      <w:r w:rsidR="00CC7151">
        <w:rPr>
          <w:rFonts w:ascii="Times New Roman" w:eastAsia="Times New Roman" w:hAnsi="Times New Roman" w:cs="Times New Roman"/>
          <w:color w:val="0D0D0D" w:themeColor="text1" w:themeTint="F2"/>
          <w:sz w:val="26"/>
          <w:szCs w:val="26"/>
        </w:rPr>
        <w:t xml:space="preserve">to detail </w:t>
      </w:r>
      <w:r>
        <w:rPr>
          <w:rFonts w:ascii="Times New Roman" w:eastAsia="Times New Roman" w:hAnsi="Times New Roman" w:cs="Times New Roman"/>
          <w:color w:val="0D0D0D" w:themeColor="text1" w:themeTint="F2"/>
          <w:sz w:val="26"/>
          <w:szCs w:val="26"/>
        </w:rPr>
        <w:t>what happens to customers that continue to exceed the consumption limit, and to identify the projected annual cost for its “Reason Analysis.”</w:t>
      </w:r>
    </w:p>
    <w:p w:rsidR="00B57588" w:rsidRPr="00B57588" w:rsidRDefault="00B57588" w:rsidP="00B57588">
      <w:pPr>
        <w:spacing w:after="0" w:line="360" w:lineRule="auto"/>
        <w:contextualSpacing/>
        <w:rPr>
          <w:color w:val="0D0D0D" w:themeColor="text1" w:themeTint="F2"/>
          <w:sz w:val="26"/>
          <w:szCs w:val="26"/>
        </w:rPr>
      </w:pPr>
    </w:p>
    <w:p w:rsidR="00BE4096" w:rsidRDefault="00BE4096" w:rsidP="00BE4096">
      <w:pPr>
        <w:spacing w:line="360" w:lineRule="auto"/>
        <w:contextualSpacing/>
        <w:rPr>
          <w:rFonts w:ascii="Times New Roman" w:hAnsi="Times New Roman" w:cs="Times New Roman"/>
          <w:sz w:val="26"/>
          <w:szCs w:val="26"/>
        </w:rPr>
      </w:pPr>
      <w:r>
        <w:rPr>
          <w:rFonts w:ascii="Times New Roman" w:hAnsi="Times New Roman" w:cs="Times New Roman"/>
          <w:i/>
          <w:sz w:val="26"/>
          <w:szCs w:val="26"/>
        </w:rPr>
        <w:tab/>
      </w:r>
      <w:r>
        <w:rPr>
          <w:rFonts w:ascii="Times New Roman" w:hAnsi="Times New Roman" w:cs="Times New Roman"/>
          <w:sz w:val="26"/>
          <w:szCs w:val="26"/>
        </w:rPr>
        <w:t xml:space="preserve">PGW reports it will inform all active CRP participants about its consumption limit pilot through mailings.  New CRP enrollees will be informed at application.  At this time, the Company has not developed policies for this program.  PGW plans to analyze the </w:t>
      </w:r>
      <w:r>
        <w:rPr>
          <w:rFonts w:ascii="Times New Roman" w:hAnsi="Times New Roman" w:cs="Times New Roman"/>
          <w:sz w:val="26"/>
          <w:szCs w:val="26"/>
        </w:rPr>
        <w:lastRenderedPageBreak/>
        <w:t xml:space="preserve">results of its Reason Analysis and conduct a stakeholder meeting in 2019 or 2020 before proposing a policy for this program in its 2021-2023 USECP.  PGW anticipates that it can conduct the Reason Analysis internally, but will utilize a Request for Proposal (RFP) process if a consultant is needed.  The Company is not proposing cost recovery for the Reason Analysis through </w:t>
      </w:r>
      <w:r w:rsidR="00DC3D40">
        <w:rPr>
          <w:rFonts w:ascii="Times New Roman" w:hAnsi="Times New Roman" w:cs="Times New Roman"/>
          <w:sz w:val="26"/>
          <w:szCs w:val="26"/>
        </w:rPr>
        <w:t xml:space="preserve">its </w:t>
      </w:r>
      <w:r>
        <w:rPr>
          <w:rFonts w:ascii="Times New Roman" w:hAnsi="Times New Roman" w:cs="Times New Roman"/>
          <w:sz w:val="26"/>
          <w:szCs w:val="26"/>
        </w:rPr>
        <w:t xml:space="preserve">USC surcharge.  PGW Supplemental Information at 10.  </w:t>
      </w:r>
    </w:p>
    <w:p w:rsidR="00BE4096" w:rsidRDefault="00BE4096" w:rsidP="00BE4096">
      <w:pPr>
        <w:spacing w:line="360" w:lineRule="auto"/>
        <w:contextualSpacing/>
        <w:rPr>
          <w:rFonts w:ascii="Times New Roman" w:hAnsi="Times New Roman" w:cs="Times New Roman"/>
          <w:sz w:val="26"/>
          <w:szCs w:val="26"/>
        </w:rPr>
      </w:pPr>
    </w:p>
    <w:p w:rsidR="00BE4096" w:rsidRDefault="00BE4096" w:rsidP="00BE4096">
      <w:pPr>
        <w:spacing w:line="360" w:lineRule="auto"/>
        <w:contextualSpacing/>
        <w:rPr>
          <w:rFonts w:ascii="Times New Roman" w:hAnsi="Times New Roman" w:cs="Times New Roman"/>
          <w:sz w:val="26"/>
          <w:szCs w:val="26"/>
        </w:rPr>
      </w:pPr>
      <w:r>
        <w:rPr>
          <w:rFonts w:ascii="Times New Roman" w:hAnsi="Times New Roman" w:cs="Times New Roman"/>
          <w:i/>
          <w:sz w:val="26"/>
          <w:szCs w:val="26"/>
        </w:rPr>
        <w:tab/>
      </w:r>
      <w:r>
        <w:rPr>
          <w:rFonts w:ascii="Times New Roman" w:hAnsi="Times New Roman" w:cs="Times New Roman"/>
          <w:sz w:val="26"/>
          <w:szCs w:val="26"/>
        </w:rPr>
        <w:t xml:space="preserve">CAUSE-PA </w:t>
      </w:r>
      <w:r w:rsidR="00873161">
        <w:rPr>
          <w:rFonts w:ascii="Times New Roman" w:hAnsi="Times New Roman" w:cs="Times New Roman"/>
          <w:sz w:val="26"/>
          <w:szCs w:val="26"/>
        </w:rPr>
        <w:t xml:space="preserve">expresses reservations about consumption limits and agrees that a pilot program is a prudent approach.  CAUSE-PA </w:t>
      </w:r>
      <w:r>
        <w:rPr>
          <w:rFonts w:ascii="Times New Roman" w:hAnsi="Times New Roman" w:cs="Times New Roman"/>
          <w:sz w:val="26"/>
          <w:szCs w:val="26"/>
        </w:rPr>
        <w:t xml:space="preserve">recommends </w:t>
      </w:r>
      <w:r w:rsidR="00873161">
        <w:rPr>
          <w:rFonts w:ascii="Times New Roman" w:hAnsi="Times New Roman" w:cs="Times New Roman"/>
          <w:sz w:val="26"/>
          <w:szCs w:val="26"/>
        </w:rPr>
        <w:t xml:space="preserve">that </w:t>
      </w:r>
      <w:r>
        <w:rPr>
          <w:rFonts w:ascii="Times New Roman" w:hAnsi="Times New Roman" w:cs="Times New Roman"/>
          <w:sz w:val="26"/>
          <w:szCs w:val="26"/>
        </w:rPr>
        <w:t xml:space="preserve">the Commission require PGW to notify customers when they reach 50%, 80%, and 100% of the consumption limit.  This notification should encourage enrollment in CRP Home Comfort, provide energy conservation tips, and identify allowable exemptions to the consumption limits and how to exercise them.  CAUSE-PA supports PGW’s proposal to conduct an analysis of this pilot prior to establishing a final consumption limit policy.  CAUSE-PA Comments at 10-12.  </w:t>
      </w:r>
    </w:p>
    <w:p w:rsidR="00BE4096" w:rsidRDefault="00BE4096" w:rsidP="00BE4096">
      <w:pPr>
        <w:spacing w:line="360" w:lineRule="auto"/>
        <w:contextualSpacing/>
        <w:rPr>
          <w:rFonts w:ascii="Times New Roman" w:hAnsi="Times New Roman" w:cs="Times New Roman"/>
          <w:sz w:val="26"/>
          <w:szCs w:val="26"/>
        </w:rPr>
      </w:pPr>
    </w:p>
    <w:p w:rsidR="00BE4096" w:rsidRDefault="00BE4096" w:rsidP="00BE4096">
      <w:pPr>
        <w:spacing w:line="360" w:lineRule="auto"/>
        <w:contextualSpacing/>
        <w:rPr>
          <w:rFonts w:ascii="Times New Roman" w:hAnsi="Times New Roman" w:cs="Times New Roman"/>
          <w:sz w:val="26"/>
          <w:szCs w:val="26"/>
        </w:rPr>
      </w:pPr>
      <w:r>
        <w:rPr>
          <w:rFonts w:ascii="Times New Roman" w:hAnsi="Times New Roman" w:cs="Times New Roman"/>
          <w:sz w:val="26"/>
          <w:szCs w:val="26"/>
        </w:rPr>
        <w:tab/>
        <w:t>OCA supports establishing a final consumption limit level for CRP customers in PGW’s next USECP after conducting the Reason Analysis.  OCA asserts that Reason Analysis should examine the costs of implementing a consumption limit.  OCA recommends the Company notify customers when they are in danger of exceeding their consumption limit and include energy education information to assist them in reducing energy consumption.  Customers should be exempt from the consumption limit if they meet the exceptions listed in the CAP Policy Statement at Section 69.265(3)(vi)(A-E).</w:t>
      </w:r>
      <w:r>
        <w:rPr>
          <w:rStyle w:val="FootnoteReference"/>
          <w:sz w:val="26"/>
          <w:szCs w:val="26"/>
        </w:rPr>
        <w:footnoteReference w:id="16"/>
      </w:r>
      <w:r>
        <w:rPr>
          <w:rFonts w:ascii="Times New Roman" w:hAnsi="Times New Roman" w:cs="Times New Roman"/>
          <w:sz w:val="26"/>
          <w:szCs w:val="26"/>
        </w:rPr>
        <w:t xml:space="preserve">  OCA Comments at 7-9.  </w:t>
      </w:r>
    </w:p>
    <w:p w:rsidR="00BE4096" w:rsidRDefault="00BE4096" w:rsidP="00BE4096">
      <w:pPr>
        <w:spacing w:line="360" w:lineRule="auto"/>
        <w:contextualSpacing/>
        <w:rPr>
          <w:rFonts w:ascii="Times New Roman" w:hAnsi="Times New Roman" w:cs="Times New Roman"/>
          <w:sz w:val="26"/>
          <w:szCs w:val="26"/>
        </w:rPr>
      </w:pPr>
    </w:p>
    <w:p w:rsidR="00BE4096" w:rsidRDefault="00BE4096" w:rsidP="00BE4096">
      <w:pPr>
        <w:spacing w:line="360" w:lineRule="auto"/>
        <w:contextualSpacing/>
        <w:rPr>
          <w:rFonts w:ascii="Times New Roman" w:hAnsi="Times New Roman" w:cs="Times New Roman"/>
          <w:sz w:val="26"/>
          <w:szCs w:val="26"/>
        </w:rPr>
      </w:pPr>
      <w:r>
        <w:rPr>
          <w:rFonts w:ascii="Times New Roman" w:hAnsi="Times New Roman" w:cs="Times New Roman"/>
          <w:sz w:val="26"/>
          <w:szCs w:val="26"/>
        </w:rPr>
        <w:lastRenderedPageBreak/>
        <w:tab/>
        <w:t xml:space="preserve">TURN </w:t>
      </w:r>
      <w:r w:rsidR="006656B5" w:rsidRPr="006656B5">
        <w:rPr>
          <w:rFonts w:ascii="Times New Roman" w:hAnsi="Times New Roman" w:cs="Times New Roman"/>
          <w:i/>
          <w:sz w:val="26"/>
          <w:szCs w:val="26"/>
        </w:rPr>
        <w:t>et al</w:t>
      </w:r>
      <w:r>
        <w:rPr>
          <w:rFonts w:ascii="Times New Roman" w:hAnsi="Times New Roman" w:cs="Times New Roman"/>
          <w:sz w:val="26"/>
          <w:szCs w:val="26"/>
        </w:rPr>
        <w:t xml:space="preserve">. </w:t>
      </w:r>
      <w:r w:rsidR="00277A94">
        <w:rPr>
          <w:rFonts w:ascii="Times New Roman" w:hAnsi="Times New Roman" w:cs="Times New Roman"/>
          <w:sz w:val="26"/>
          <w:szCs w:val="26"/>
        </w:rPr>
        <w:t xml:space="preserve">questions whether </w:t>
      </w:r>
      <w:r>
        <w:rPr>
          <w:rFonts w:ascii="Times New Roman" w:hAnsi="Times New Roman" w:cs="Times New Roman"/>
          <w:sz w:val="26"/>
          <w:szCs w:val="26"/>
        </w:rPr>
        <w:t>the pilot consumption limit will confuse PGW customers.  First, the notices sent to customers will inform them they have exceeded a usage limit, but no such limit has been proposed or approved.  Second, converting the CCF limit to dollar</w:t>
      </w:r>
      <w:r w:rsidR="00DC3D40">
        <w:rPr>
          <w:rFonts w:ascii="Times New Roman" w:hAnsi="Times New Roman" w:cs="Times New Roman"/>
          <w:sz w:val="26"/>
          <w:szCs w:val="26"/>
        </w:rPr>
        <w:t xml:space="preserve">s may suggest </w:t>
      </w:r>
      <w:r>
        <w:rPr>
          <w:rFonts w:ascii="Times New Roman" w:hAnsi="Times New Roman" w:cs="Times New Roman"/>
          <w:sz w:val="26"/>
          <w:szCs w:val="26"/>
        </w:rPr>
        <w:t xml:space="preserve">the limit is associated with the financial impact to the household.  TURN </w:t>
      </w:r>
      <w:r w:rsidR="006656B5" w:rsidRPr="006656B5">
        <w:rPr>
          <w:rFonts w:ascii="Times New Roman" w:hAnsi="Times New Roman" w:cs="Times New Roman"/>
          <w:i/>
          <w:sz w:val="26"/>
          <w:szCs w:val="26"/>
        </w:rPr>
        <w:t>et al</w:t>
      </w:r>
      <w:r>
        <w:rPr>
          <w:rFonts w:ascii="Times New Roman" w:hAnsi="Times New Roman" w:cs="Times New Roman"/>
          <w:sz w:val="26"/>
          <w:szCs w:val="26"/>
        </w:rPr>
        <w:t xml:space="preserve">. recommends that PGW inform customers that this is a pilot program and </w:t>
      </w:r>
      <w:r w:rsidR="00873161">
        <w:rPr>
          <w:rFonts w:ascii="Times New Roman" w:hAnsi="Times New Roman" w:cs="Times New Roman"/>
          <w:sz w:val="26"/>
          <w:szCs w:val="26"/>
        </w:rPr>
        <w:t xml:space="preserve">that </w:t>
      </w:r>
      <w:r>
        <w:rPr>
          <w:rFonts w:ascii="Times New Roman" w:hAnsi="Times New Roman" w:cs="Times New Roman"/>
          <w:sz w:val="26"/>
          <w:szCs w:val="26"/>
        </w:rPr>
        <w:t>they will not be removed for e</w:t>
      </w:r>
      <w:r w:rsidR="00DC3D40">
        <w:rPr>
          <w:rFonts w:ascii="Times New Roman" w:hAnsi="Times New Roman" w:cs="Times New Roman"/>
          <w:sz w:val="26"/>
          <w:szCs w:val="26"/>
        </w:rPr>
        <w:t xml:space="preserve">xceeding the consumption limit </w:t>
      </w:r>
      <w:r>
        <w:rPr>
          <w:rFonts w:ascii="Times New Roman" w:hAnsi="Times New Roman" w:cs="Times New Roman"/>
          <w:sz w:val="26"/>
          <w:szCs w:val="26"/>
        </w:rPr>
        <w:t xml:space="preserve">unless they decline CRP Home Comfort Services if offered.  TURN </w:t>
      </w:r>
      <w:r w:rsidR="006656B5" w:rsidRPr="006656B5">
        <w:rPr>
          <w:rFonts w:ascii="Times New Roman" w:hAnsi="Times New Roman" w:cs="Times New Roman"/>
          <w:i/>
          <w:sz w:val="26"/>
          <w:szCs w:val="26"/>
        </w:rPr>
        <w:t>et al</w:t>
      </w:r>
      <w:r>
        <w:rPr>
          <w:rFonts w:ascii="Times New Roman" w:hAnsi="Times New Roman" w:cs="Times New Roman"/>
          <w:sz w:val="26"/>
          <w:szCs w:val="26"/>
        </w:rPr>
        <w:t xml:space="preserve">. Comments at 7-8.  TURN </w:t>
      </w:r>
      <w:r w:rsidR="006656B5" w:rsidRPr="006656B5">
        <w:rPr>
          <w:rFonts w:ascii="Times New Roman" w:hAnsi="Times New Roman" w:cs="Times New Roman"/>
          <w:i/>
          <w:sz w:val="26"/>
          <w:szCs w:val="26"/>
        </w:rPr>
        <w:t>et al</w:t>
      </w:r>
      <w:r>
        <w:rPr>
          <w:rFonts w:ascii="Times New Roman" w:hAnsi="Times New Roman" w:cs="Times New Roman"/>
          <w:sz w:val="26"/>
          <w:szCs w:val="26"/>
        </w:rPr>
        <w:t xml:space="preserve">. </w:t>
      </w:r>
      <w:r w:rsidR="002A4D74">
        <w:rPr>
          <w:rFonts w:ascii="Times New Roman" w:hAnsi="Times New Roman" w:cs="Times New Roman"/>
          <w:sz w:val="26"/>
          <w:szCs w:val="26"/>
        </w:rPr>
        <w:t xml:space="preserve">also </w:t>
      </w:r>
      <w:r>
        <w:rPr>
          <w:rFonts w:ascii="Times New Roman" w:hAnsi="Times New Roman" w:cs="Times New Roman"/>
          <w:sz w:val="26"/>
          <w:szCs w:val="26"/>
        </w:rPr>
        <w:t xml:space="preserve">supports notifying customers as they approach the consumption limit.  TURN </w:t>
      </w:r>
      <w:r w:rsidR="006656B5" w:rsidRPr="006656B5">
        <w:rPr>
          <w:rFonts w:ascii="Times New Roman" w:hAnsi="Times New Roman" w:cs="Times New Roman"/>
          <w:i/>
          <w:sz w:val="26"/>
          <w:szCs w:val="26"/>
        </w:rPr>
        <w:t>et al</w:t>
      </w:r>
      <w:r>
        <w:rPr>
          <w:rFonts w:ascii="Times New Roman" w:hAnsi="Times New Roman" w:cs="Times New Roman"/>
          <w:sz w:val="26"/>
          <w:szCs w:val="26"/>
        </w:rPr>
        <w:t>.</w:t>
      </w:r>
      <w:r w:rsidR="00726C63">
        <w:rPr>
          <w:rFonts w:ascii="Times New Roman" w:hAnsi="Times New Roman" w:cs="Times New Roman"/>
          <w:sz w:val="26"/>
          <w:szCs w:val="26"/>
        </w:rPr>
        <w:t xml:space="preserve"> </w:t>
      </w:r>
      <w:r>
        <w:rPr>
          <w:rFonts w:ascii="Times New Roman" w:hAnsi="Times New Roman" w:cs="Times New Roman"/>
          <w:sz w:val="26"/>
          <w:szCs w:val="26"/>
        </w:rPr>
        <w:t xml:space="preserve"> Reply Comments at 8-9.  </w:t>
      </w:r>
    </w:p>
    <w:p w:rsidR="00BE4096" w:rsidRDefault="00BE4096" w:rsidP="00BE4096">
      <w:pPr>
        <w:spacing w:line="360" w:lineRule="auto"/>
        <w:contextualSpacing/>
        <w:rPr>
          <w:rFonts w:ascii="Times New Roman" w:hAnsi="Times New Roman" w:cs="Times New Roman"/>
          <w:sz w:val="26"/>
          <w:szCs w:val="26"/>
        </w:rPr>
      </w:pPr>
    </w:p>
    <w:p w:rsidR="00BE4096" w:rsidRDefault="00BE4096" w:rsidP="00BE4096">
      <w:pPr>
        <w:spacing w:line="360" w:lineRule="auto"/>
        <w:contextualSpacing/>
        <w:rPr>
          <w:rFonts w:ascii="Times New Roman" w:hAnsi="Times New Roman" w:cs="Times New Roman"/>
          <w:sz w:val="26"/>
          <w:szCs w:val="26"/>
        </w:rPr>
      </w:pPr>
      <w:r>
        <w:rPr>
          <w:rFonts w:ascii="Times New Roman" w:hAnsi="Times New Roman" w:cs="Times New Roman"/>
          <w:sz w:val="26"/>
          <w:szCs w:val="26"/>
        </w:rPr>
        <w:tab/>
      </w:r>
      <w:r w:rsidR="00AA6F42">
        <w:rPr>
          <w:rFonts w:ascii="Times New Roman" w:hAnsi="Times New Roman" w:cs="Times New Roman"/>
          <w:sz w:val="26"/>
          <w:szCs w:val="26"/>
        </w:rPr>
        <w:t xml:space="preserve">In response to stakeholder </w:t>
      </w:r>
      <w:r>
        <w:rPr>
          <w:rFonts w:ascii="Times New Roman" w:hAnsi="Times New Roman" w:cs="Times New Roman"/>
          <w:sz w:val="26"/>
          <w:szCs w:val="26"/>
        </w:rPr>
        <w:t>comments, PGW agrees to notify customers when they reach 50%, 80%</w:t>
      </w:r>
      <w:r w:rsidR="00873161">
        <w:rPr>
          <w:rFonts w:ascii="Times New Roman" w:hAnsi="Times New Roman" w:cs="Times New Roman"/>
          <w:sz w:val="26"/>
          <w:szCs w:val="26"/>
        </w:rPr>
        <w:t>,</w:t>
      </w:r>
      <w:r>
        <w:rPr>
          <w:rFonts w:ascii="Times New Roman" w:hAnsi="Times New Roman" w:cs="Times New Roman"/>
          <w:sz w:val="26"/>
          <w:szCs w:val="26"/>
        </w:rPr>
        <w:t xml:space="preserve"> and 100% of the consumption limit.  PGW Reply Comments at 3, 15.  The Company states that it will include a cost evaluation and propose a cost recovery mechanism for the final proposed consumption limit in its 2021-2023 USECP.  PGW Reply Comments at 3.</w:t>
      </w:r>
    </w:p>
    <w:p w:rsidR="00BE4096" w:rsidRDefault="00BE4096" w:rsidP="008D3BFA">
      <w:pPr>
        <w:spacing w:line="360" w:lineRule="auto"/>
        <w:contextualSpacing/>
        <w:rPr>
          <w:rFonts w:ascii="Times New Roman" w:hAnsi="Times New Roman" w:cs="Times New Roman"/>
          <w:color w:val="0D0D0D" w:themeColor="text1" w:themeTint="F2"/>
          <w:sz w:val="26"/>
          <w:szCs w:val="26"/>
        </w:rPr>
      </w:pPr>
    </w:p>
    <w:p w:rsidR="00AA6F42" w:rsidRDefault="00AA6F42" w:rsidP="008D3BFA">
      <w:pPr>
        <w:spacing w:line="360" w:lineRule="auto"/>
        <w:contextualSpacing/>
        <w:rPr>
          <w:rFonts w:ascii="Times New Roman" w:hAnsi="Times New Roman" w:cs="Times New Roman"/>
          <w:color w:val="0D0D0D" w:themeColor="text1" w:themeTint="F2"/>
          <w:sz w:val="26"/>
          <w:szCs w:val="26"/>
        </w:rPr>
      </w:pPr>
      <w:r w:rsidRPr="00111960">
        <w:rPr>
          <w:rFonts w:ascii="Times New Roman" w:hAnsi="Times New Roman" w:cs="Times New Roman"/>
          <w:i/>
          <w:color w:val="0D0D0D" w:themeColor="text1" w:themeTint="F2"/>
          <w:sz w:val="26"/>
          <w:szCs w:val="26"/>
        </w:rPr>
        <w:t>Resolution</w:t>
      </w:r>
      <w:r>
        <w:rPr>
          <w:rFonts w:ascii="Times New Roman" w:hAnsi="Times New Roman" w:cs="Times New Roman"/>
          <w:color w:val="0D0D0D" w:themeColor="text1" w:themeTint="F2"/>
          <w:sz w:val="26"/>
          <w:szCs w:val="26"/>
        </w:rPr>
        <w:t xml:space="preserve">: </w:t>
      </w:r>
      <w:r w:rsidR="006E310B">
        <w:rPr>
          <w:rFonts w:ascii="Times New Roman" w:hAnsi="Times New Roman" w:cs="Times New Roman"/>
          <w:color w:val="0D0D0D" w:themeColor="text1" w:themeTint="F2"/>
          <w:sz w:val="26"/>
          <w:szCs w:val="26"/>
        </w:rPr>
        <w:t>As noted in the Tentative Order, t</w:t>
      </w:r>
      <w:r w:rsidR="006E310B" w:rsidRPr="006E310B">
        <w:rPr>
          <w:rFonts w:ascii="Times New Roman" w:hAnsi="Times New Roman" w:cs="Times New Roman"/>
          <w:color w:val="0D0D0D" w:themeColor="text1" w:themeTint="F2"/>
          <w:sz w:val="26"/>
          <w:szCs w:val="26"/>
        </w:rPr>
        <w:t>he Commission supports establishing consumption limits to control the costs of CAPs and identify high users for energy education and weatherization services.</w:t>
      </w:r>
      <w:r w:rsidR="006E310B">
        <w:rPr>
          <w:rFonts w:ascii="Times New Roman" w:hAnsi="Times New Roman" w:cs="Times New Roman"/>
          <w:color w:val="0D0D0D" w:themeColor="text1" w:themeTint="F2"/>
          <w:sz w:val="26"/>
          <w:szCs w:val="26"/>
        </w:rPr>
        <w:t xml:space="preserve">  We also approve of providing notices to the customers when they reach 50%, 80%</w:t>
      </w:r>
      <w:r w:rsidR="00611937">
        <w:rPr>
          <w:rFonts w:ascii="Times New Roman" w:hAnsi="Times New Roman" w:cs="Times New Roman"/>
          <w:color w:val="0D0D0D" w:themeColor="text1" w:themeTint="F2"/>
          <w:sz w:val="26"/>
          <w:szCs w:val="26"/>
        </w:rPr>
        <w:t>,</w:t>
      </w:r>
      <w:r w:rsidR="006E310B">
        <w:rPr>
          <w:rFonts w:ascii="Times New Roman" w:hAnsi="Times New Roman" w:cs="Times New Roman"/>
          <w:color w:val="0D0D0D" w:themeColor="text1" w:themeTint="F2"/>
          <w:sz w:val="26"/>
          <w:szCs w:val="26"/>
        </w:rPr>
        <w:t xml:space="preserve"> and 100% of the consumption limit.  These notices should include energy conservation tips, information about CRP Home Comfort Services, and allowable exemptions to the consumption limit.  </w:t>
      </w:r>
      <w:r w:rsidR="00277A94">
        <w:rPr>
          <w:rFonts w:ascii="Times New Roman" w:hAnsi="Times New Roman" w:cs="Times New Roman"/>
          <w:color w:val="0D0D0D" w:themeColor="text1" w:themeTint="F2"/>
          <w:sz w:val="26"/>
          <w:szCs w:val="26"/>
        </w:rPr>
        <w:t xml:space="preserve">Accordingly. PGW is directed to make these modifications </w:t>
      </w:r>
      <w:r w:rsidR="00253084">
        <w:rPr>
          <w:rFonts w:ascii="Times New Roman" w:hAnsi="Times New Roman" w:cs="Times New Roman"/>
          <w:color w:val="0D0D0D" w:themeColor="text1" w:themeTint="F2"/>
          <w:sz w:val="26"/>
          <w:szCs w:val="26"/>
        </w:rPr>
        <w:t xml:space="preserve">within three months after approval of its 2017-2019 Plan.  The Company </w:t>
      </w:r>
      <w:r w:rsidR="00CC68AB">
        <w:rPr>
          <w:rFonts w:ascii="Times New Roman" w:hAnsi="Times New Roman" w:cs="Times New Roman"/>
          <w:color w:val="0D0D0D" w:themeColor="text1" w:themeTint="F2"/>
          <w:sz w:val="26"/>
          <w:szCs w:val="26"/>
        </w:rPr>
        <w:t>should provide details about th</w:t>
      </w:r>
      <w:r w:rsidR="00277A94">
        <w:rPr>
          <w:rFonts w:ascii="Times New Roman" w:hAnsi="Times New Roman" w:cs="Times New Roman"/>
          <w:color w:val="0D0D0D" w:themeColor="text1" w:themeTint="F2"/>
          <w:sz w:val="26"/>
          <w:szCs w:val="26"/>
        </w:rPr>
        <w:t xml:space="preserve">e consumption limit </w:t>
      </w:r>
      <w:r w:rsidR="00CC68AB">
        <w:rPr>
          <w:rFonts w:ascii="Times New Roman" w:hAnsi="Times New Roman" w:cs="Times New Roman"/>
          <w:color w:val="0D0D0D" w:themeColor="text1" w:themeTint="F2"/>
          <w:sz w:val="26"/>
          <w:szCs w:val="26"/>
        </w:rPr>
        <w:t>notification</w:t>
      </w:r>
      <w:r w:rsidR="00277A94">
        <w:rPr>
          <w:rFonts w:ascii="Times New Roman" w:hAnsi="Times New Roman" w:cs="Times New Roman"/>
          <w:color w:val="0D0D0D" w:themeColor="text1" w:themeTint="F2"/>
          <w:sz w:val="26"/>
          <w:szCs w:val="26"/>
        </w:rPr>
        <w:t>s</w:t>
      </w:r>
      <w:r w:rsidR="00CC68AB">
        <w:rPr>
          <w:rFonts w:ascii="Times New Roman" w:hAnsi="Times New Roman" w:cs="Times New Roman"/>
          <w:color w:val="0D0D0D" w:themeColor="text1" w:themeTint="F2"/>
          <w:sz w:val="26"/>
          <w:szCs w:val="26"/>
        </w:rPr>
        <w:t xml:space="preserve"> in its Revised 2017-2020 Plan.</w:t>
      </w:r>
      <w:r w:rsidR="00611937">
        <w:rPr>
          <w:rFonts w:ascii="Times New Roman" w:hAnsi="Times New Roman" w:cs="Times New Roman"/>
          <w:color w:val="0D0D0D" w:themeColor="text1" w:themeTint="F2"/>
          <w:sz w:val="26"/>
          <w:szCs w:val="26"/>
        </w:rPr>
        <w:t xml:space="preserve">  Our approval of the pilot herein is not an indicat</w:t>
      </w:r>
      <w:r w:rsidR="008D4A15">
        <w:rPr>
          <w:rFonts w:ascii="Times New Roman" w:hAnsi="Times New Roman" w:cs="Times New Roman"/>
          <w:color w:val="0D0D0D" w:themeColor="text1" w:themeTint="F2"/>
          <w:sz w:val="26"/>
          <w:szCs w:val="26"/>
        </w:rPr>
        <w:t>ion</w:t>
      </w:r>
      <w:r w:rsidR="00611937">
        <w:rPr>
          <w:rFonts w:ascii="Times New Roman" w:hAnsi="Times New Roman" w:cs="Times New Roman"/>
          <w:color w:val="0D0D0D" w:themeColor="text1" w:themeTint="F2"/>
          <w:sz w:val="26"/>
          <w:szCs w:val="26"/>
        </w:rPr>
        <w:t xml:space="preserve"> of any </w:t>
      </w:r>
      <w:r w:rsidR="00225829">
        <w:rPr>
          <w:rFonts w:ascii="Times New Roman" w:hAnsi="Times New Roman" w:cs="Times New Roman"/>
          <w:color w:val="0D0D0D" w:themeColor="text1" w:themeTint="F2"/>
          <w:sz w:val="26"/>
          <w:szCs w:val="26"/>
        </w:rPr>
        <w:t xml:space="preserve">action that we might take regarding PGW’s </w:t>
      </w:r>
      <w:r w:rsidR="00225829" w:rsidRPr="00225829">
        <w:rPr>
          <w:rFonts w:ascii="Times New Roman" w:hAnsi="Times New Roman" w:cs="Times New Roman"/>
          <w:color w:val="0D0D0D" w:themeColor="text1" w:themeTint="F2"/>
          <w:sz w:val="26"/>
          <w:szCs w:val="26"/>
        </w:rPr>
        <w:t>2021-2023 USECP</w:t>
      </w:r>
      <w:r w:rsidR="00225829">
        <w:rPr>
          <w:rFonts w:ascii="Times New Roman" w:hAnsi="Times New Roman" w:cs="Times New Roman"/>
          <w:color w:val="0D0D0D" w:themeColor="text1" w:themeTint="F2"/>
          <w:sz w:val="26"/>
          <w:szCs w:val="26"/>
        </w:rPr>
        <w:t xml:space="preserve"> relative to consumption limits or cost recovery.</w:t>
      </w:r>
    </w:p>
    <w:p w:rsidR="00AA6F42" w:rsidRPr="005F48B5" w:rsidRDefault="00AA6F42" w:rsidP="008D3BFA">
      <w:pPr>
        <w:spacing w:line="360" w:lineRule="auto"/>
        <w:contextualSpacing/>
        <w:rPr>
          <w:rFonts w:ascii="Times New Roman" w:hAnsi="Times New Roman" w:cs="Times New Roman"/>
          <w:color w:val="0D0D0D" w:themeColor="text1" w:themeTint="F2"/>
          <w:sz w:val="26"/>
          <w:szCs w:val="26"/>
        </w:rPr>
      </w:pPr>
    </w:p>
    <w:p w:rsidR="00927162" w:rsidRDefault="0064759C" w:rsidP="008C0367">
      <w:pPr>
        <w:keepNext/>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i/>
          <w:color w:val="0D0D0D" w:themeColor="text1" w:themeTint="F2"/>
          <w:sz w:val="26"/>
          <w:szCs w:val="26"/>
        </w:rPr>
        <w:lastRenderedPageBreak/>
        <w:t>c</w:t>
      </w:r>
      <w:r w:rsidR="00927162" w:rsidRPr="0064759C">
        <w:rPr>
          <w:rFonts w:ascii="Times New Roman" w:eastAsia="Times New Roman" w:hAnsi="Times New Roman" w:cs="Times New Roman"/>
          <w:i/>
          <w:color w:val="0D0D0D" w:themeColor="text1" w:themeTint="F2"/>
          <w:sz w:val="26"/>
          <w:szCs w:val="26"/>
        </w:rPr>
        <w:t xml:space="preserve">.  </w:t>
      </w:r>
      <w:r w:rsidR="008419FC" w:rsidRPr="0064759C">
        <w:rPr>
          <w:rFonts w:ascii="Times New Roman" w:eastAsia="Times New Roman" w:hAnsi="Times New Roman" w:cs="Times New Roman"/>
          <w:i/>
          <w:sz w:val="26"/>
          <w:szCs w:val="26"/>
        </w:rPr>
        <w:t>External sources used to verify CRP customers</w:t>
      </w:r>
      <w:r w:rsidR="008F6357">
        <w:rPr>
          <w:rFonts w:ascii="Times New Roman" w:eastAsia="Times New Roman" w:hAnsi="Times New Roman" w:cs="Times New Roman"/>
          <w:i/>
          <w:sz w:val="26"/>
          <w:szCs w:val="26"/>
        </w:rPr>
        <w:t>’</w:t>
      </w:r>
      <w:r w:rsidR="008419FC" w:rsidRPr="0064759C">
        <w:rPr>
          <w:rFonts w:ascii="Times New Roman" w:eastAsia="Times New Roman" w:hAnsi="Times New Roman" w:cs="Times New Roman"/>
          <w:i/>
          <w:sz w:val="26"/>
          <w:szCs w:val="26"/>
        </w:rPr>
        <w:t xml:space="preserve"> household composition and income</w:t>
      </w:r>
      <w:r w:rsidR="000C0B68">
        <w:rPr>
          <w:rFonts w:ascii="Times New Roman" w:eastAsia="Times New Roman" w:hAnsi="Times New Roman" w:cs="Times New Roman"/>
          <w:i/>
          <w:sz w:val="26"/>
          <w:szCs w:val="26"/>
        </w:rPr>
        <w:t xml:space="preserve"> </w:t>
      </w:r>
    </w:p>
    <w:p w:rsidR="005F48B5" w:rsidRDefault="005F48B5" w:rsidP="008C0367">
      <w:pPr>
        <w:keepNext/>
        <w:spacing w:after="0" w:line="360" w:lineRule="auto"/>
        <w:contextualSpacing/>
        <w:rPr>
          <w:rFonts w:ascii="Times New Roman" w:eastAsia="Times New Roman" w:hAnsi="Times New Roman" w:cs="Times New Roman"/>
          <w:color w:val="0D0D0D" w:themeColor="text1" w:themeTint="F2"/>
          <w:sz w:val="26"/>
          <w:szCs w:val="26"/>
        </w:rPr>
      </w:pPr>
    </w:p>
    <w:p w:rsidR="00C22E96" w:rsidRDefault="000C0B68" w:rsidP="00927162">
      <w:pPr>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ab/>
      </w:r>
      <w:r w:rsidR="008419FC">
        <w:rPr>
          <w:rFonts w:ascii="Times New Roman" w:eastAsia="Times New Roman" w:hAnsi="Times New Roman" w:cs="Times New Roman"/>
          <w:color w:val="0D0D0D" w:themeColor="text1" w:themeTint="F2"/>
          <w:sz w:val="26"/>
          <w:szCs w:val="26"/>
        </w:rPr>
        <w:t xml:space="preserve">The </w:t>
      </w:r>
      <w:r w:rsidR="001F3BD0">
        <w:rPr>
          <w:rFonts w:ascii="Times New Roman" w:eastAsia="Times New Roman" w:hAnsi="Times New Roman" w:cs="Times New Roman"/>
          <w:color w:val="0D0D0D" w:themeColor="text1" w:themeTint="F2"/>
          <w:sz w:val="26"/>
          <w:szCs w:val="26"/>
        </w:rPr>
        <w:t xml:space="preserve">Amended </w:t>
      </w:r>
      <w:r w:rsidR="008419FC">
        <w:rPr>
          <w:rFonts w:ascii="Times New Roman" w:eastAsia="Times New Roman" w:hAnsi="Times New Roman" w:cs="Times New Roman"/>
          <w:color w:val="0D0D0D" w:themeColor="text1" w:themeTint="F2"/>
          <w:sz w:val="26"/>
          <w:szCs w:val="26"/>
        </w:rPr>
        <w:t>Proposed 2017-2020 Plan states that CRP participants must “[a]uthorize PGW to use external sources (</w:t>
      </w:r>
      <w:r w:rsidR="008419FC" w:rsidRPr="00391AB0">
        <w:rPr>
          <w:rFonts w:ascii="Times New Roman" w:eastAsia="Times New Roman" w:hAnsi="Times New Roman" w:cs="Times New Roman"/>
          <w:i/>
          <w:color w:val="0D0D0D" w:themeColor="text1" w:themeTint="F2"/>
          <w:sz w:val="26"/>
          <w:szCs w:val="26"/>
        </w:rPr>
        <w:t>e.g.</w:t>
      </w:r>
      <w:r w:rsidR="00391AB0">
        <w:rPr>
          <w:rFonts w:ascii="Times New Roman" w:eastAsia="Times New Roman" w:hAnsi="Times New Roman" w:cs="Times New Roman"/>
          <w:color w:val="0D0D0D" w:themeColor="text1" w:themeTint="F2"/>
          <w:sz w:val="26"/>
          <w:szCs w:val="26"/>
        </w:rPr>
        <w:t>,</w:t>
      </w:r>
      <w:r w:rsidR="008419FC">
        <w:rPr>
          <w:rFonts w:ascii="Times New Roman" w:eastAsia="Times New Roman" w:hAnsi="Times New Roman" w:cs="Times New Roman"/>
          <w:color w:val="0D0D0D" w:themeColor="text1" w:themeTint="F2"/>
          <w:sz w:val="26"/>
          <w:szCs w:val="26"/>
        </w:rPr>
        <w:t xml:space="preserve"> government records, credit reporting bureaus, and third party income verification sources) to verify household composition and income.”</w:t>
      </w:r>
      <w:r w:rsidR="00714B75">
        <w:rPr>
          <w:rFonts w:ascii="Times New Roman" w:eastAsia="Times New Roman" w:hAnsi="Times New Roman" w:cs="Times New Roman"/>
          <w:color w:val="0D0D0D" w:themeColor="text1" w:themeTint="F2"/>
          <w:sz w:val="26"/>
          <w:szCs w:val="26"/>
        </w:rPr>
        <w:t xml:space="preserve">  </w:t>
      </w:r>
      <w:r w:rsidR="001F3BD0">
        <w:rPr>
          <w:rFonts w:ascii="Times New Roman" w:eastAsia="Times New Roman" w:hAnsi="Times New Roman" w:cs="Times New Roman"/>
          <w:color w:val="0D0D0D" w:themeColor="text1" w:themeTint="F2"/>
          <w:sz w:val="26"/>
          <w:szCs w:val="26"/>
        </w:rPr>
        <w:t xml:space="preserve">Amended </w:t>
      </w:r>
      <w:r w:rsidR="008419FC">
        <w:rPr>
          <w:rFonts w:ascii="Times New Roman" w:eastAsia="Times New Roman" w:hAnsi="Times New Roman" w:cs="Times New Roman"/>
          <w:color w:val="0D0D0D" w:themeColor="text1" w:themeTint="F2"/>
          <w:sz w:val="26"/>
          <w:szCs w:val="26"/>
        </w:rPr>
        <w:t xml:space="preserve">Proposed </w:t>
      </w:r>
      <w:r w:rsidR="00C22E96">
        <w:rPr>
          <w:rFonts w:ascii="Times New Roman" w:eastAsia="Times New Roman" w:hAnsi="Times New Roman" w:cs="Times New Roman"/>
          <w:color w:val="0D0D0D" w:themeColor="text1" w:themeTint="F2"/>
          <w:sz w:val="26"/>
          <w:szCs w:val="26"/>
        </w:rPr>
        <w:t xml:space="preserve">2017-2020 </w:t>
      </w:r>
      <w:r w:rsidR="008419FC">
        <w:rPr>
          <w:rFonts w:ascii="Times New Roman" w:eastAsia="Times New Roman" w:hAnsi="Times New Roman" w:cs="Times New Roman"/>
          <w:color w:val="0D0D0D" w:themeColor="text1" w:themeTint="F2"/>
          <w:sz w:val="26"/>
          <w:szCs w:val="26"/>
        </w:rPr>
        <w:t xml:space="preserve">Plan at 9.  </w:t>
      </w:r>
    </w:p>
    <w:p w:rsidR="00C22E96" w:rsidRDefault="00C22E96" w:rsidP="00927162">
      <w:pPr>
        <w:spacing w:after="0" w:line="360" w:lineRule="auto"/>
        <w:contextualSpacing/>
        <w:rPr>
          <w:rFonts w:ascii="Times New Roman" w:eastAsia="Times New Roman" w:hAnsi="Times New Roman" w:cs="Times New Roman"/>
          <w:color w:val="0D0D0D" w:themeColor="text1" w:themeTint="F2"/>
          <w:sz w:val="26"/>
          <w:szCs w:val="26"/>
        </w:rPr>
      </w:pPr>
    </w:p>
    <w:p w:rsidR="00B413AB" w:rsidRDefault="00252B38" w:rsidP="00C22E96">
      <w:pPr>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color w:val="0D0D0D" w:themeColor="text1" w:themeTint="F2"/>
          <w:sz w:val="26"/>
          <w:szCs w:val="26"/>
        </w:rPr>
        <w:t xml:space="preserve">This </w:t>
      </w:r>
      <w:r w:rsidR="00592158">
        <w:rPr>
          <w:rFonts w:ascii="Times New Roman" w:eastAsia="Times New Roman" w:hAnsi="Times New Roman" w:cs="Times New Roman"/>
          <w:color w:val="0D0D0D" w:themeColor="text1" w:themeTint="F2"/>
          <w:sz w:val="26"/>
          <w:szCs w:val="26"/>
        </w:rPr>
        <w:t xml:space="preserve">authorization is </w:t>
      </w:r>
      <w:r w:rsidR="00714B75">
        <w:rPr>
          <w:rFonts w:ascii="Times New Roman" w:eastAsia="Times New Roman" w:hAnsi="Times New Roman" w:cs="Times New Roman"/>
          <w:color w:val="0D0D0D" w:themeColor="text1" w:themeTint="F2"/>
          <w:sz w:val="26"/>
          <w:szCs w:val="26"/>
        </w:rPr>
        <w:t xml:space="preserve">also </w:t>
      </w:r>
      <w:r w:rsidR="00592158">
        <w:rPr>
          <w:rFonts w:ascii="Times New Roman" w:eastAsia="Times New Roman" w:hAnsi="Times New Roman" w:cs="Times New Roman"/>
          <w:color w:val="0D0D0D" w:themeColor="text1" w:themeTint="F2"/>
          <w:sz w:val="26"/>
          <w:szCs w:val="26"/>
        </w:rPr>
        <w:t xml:space="preserve">a program requirement in PGW’s current USECP.  </w:t>
      </w:r>
      <w:r w:rsidR="00A4527D">
        <w:rPr>
          <w:rFonts w:ascii="Times New Roman" w:eastAsia="Times New Roman" w:hAnsi="Times New Roman" w:cs="Times New Roman"/>
          <w:color w:val="0D0D0D" w:themeColor="text1" w:themeTint="F2"/>
          <w:sz w:val="26"/>
          <w:szCs w:val="26"/>
        </w:rPr>
        <w:t>Revised 2014-2016 USECP</w:t>
      </w:r>
      <w:r w:rsidR="00592158">
        <w:rPr>
          <w:rFonts w:ascii="Times New Roman" w:eastAsia="Times New Roman" w:hAnsi="Times New Roman" w:cs="Times New Roman"/>
          <w:color w:val="0D0D0D" w:themeColor="text1" w:themeTint="F2"/>
          <w:sz w:val="26"/>
          <w:szCs w:val="26"/>
        </w:rPr>
        <w:t xml:space="preserve"> at 9.</w:t>
      </w:r>
      <w:r w:rsidR="00C22E96">
        <w:rPr>
          <w:rFonts w:ascii="Times New Roman" w:eastAsia="Times New Roman" w:hAnsi="Times New Roman" w:cs="Times New Roman"/>
          <w:color w:val="0D0D0D" w:themeColor="text1" w:themeTint="F2"/>
          <w:sz w:val="26"/>
          <w:szCs w:val="26"/>
        </w:rPr>
        <w:t xml:space="preserve">  </w:t>
      </w:r>
      <w:r w:rsidR="008419FC">
        <w:rPr>
          <w:rFonts w:ascii="Times New Roman" w:eastAsia="Times New Roman" w:hAnsi="Times New Roman" w:cs="Times New Roman"/>
          <w:color w:val="0D0D0D" w:themeColor="text1" w:themeTint="F2"/>
          <w:sz w:val="26"/>
          <w:szCs w:val="26"/>
        </w:rPr>
        <w:t xml:space="preserve">In its 2014-2016 USECP proceeding, PGW provided clarification about how this authorization is used: The Company </w:t>
      </w:r>
      <w:r w:rsidR="007411EA">
        <w:rPr>
          <w:rFonts w:ascii="Times New Roman" w:eastAsia="Times New Roman" w:hAnsi="Times New Roman" w:cs="Times New Roman"/>
          <w:color w:val="0D0D0D" w:themeColor="text1" w:themeTint="F2"/>
          <w:sz w:val="26"/>
          <w:szCs w:val="26"/>
        </w:rPr>
        <w:t xml:space="preserve">reported it utilizes information from the </w:t>
      </w:r>
      <w:r w:rsidRPr="00FA1360">
        <w:rPr>
          <w:rFonts w:ascii="Times New Roman" w:eastAsia="Times New Roman" w:hAnsi="Times New Roman" w:cs="Times New Roman"/>
          <w:sz w:val="26"/>
          <w:szCs w:val="26"/>
        </w:rPr>
        <w:t xml:space="preserve">City of Philadelphia Office of Property Assessment </w:t>
      </w:r>
      <w:r w:rsidR="007411EA">
        <w:rPr>
          <w:rFonts w:ascii="Times New Roman" w:eastAsia="Times New Roman" w:hAnsi="Times New Roman" w:cs="Times New Roman"/>
          <w:sz w:val="26"/>
          <w:szCs w:val="26"/>
        </w:rPr>
        <w:t>and LIHEAP during random reviews</w:t>
      </w:r>
      <w:r w:rsidR="00505AC2">
        <w:rPr>
          <w:rFonts w:ascii="Times New Roman" w:eastAsia="Times New Roman" w:hAnsi="Times New Roman" w:cs="Times New Roman"/>
          <w:sz w:val="26"/>
          <w:szCs w:val="26"/>
        </w:rPr>
        <w:t xml:space="preserve"> of CRP accounts</w:t>
      </w:r>
      <w:r w:rsidR="007411EA">
        <w:rPr>
          <w:rFonts w:ascii="Times New Roman" w:eastAsia="Times New Roman" w:hAnsi="Times New Roman" w:cs="Times New Roman"/>
          <w:sz w:val="26"/>
          <w:szCs w:val="26"/>
        </w:rPr>
        <w:t xml:space="preserve">.  If the customer’s </w:t>
      </w:r>
      <w:r>
        <w:rPr>
          <w:rFonts w:ascii="Times New Roman" w:eastAsia="Times New Roman" w:hAnsi="Times New Roman" w:cs="Times New Roman"/>
          <w:color w:val="0D0D0D" w:themeColor="text1" w:themeTint="F2"/>
          <w:sz w:val="26"/>
          <w:szCs w:val="26"/>
        </w:rPr>
        <w:t>current property was sold in the past five years for an amount exceeding $250,000</w:t>
      </w:r>
      <w:r w:rsidR="007411EA">
        <w:rPr>
          <w:rFonts w:ascii="Times New Roman" w:eastAsia="Times New Roman" w:hAnsi="Times New Roman" w:cs="Times New Roman"/>
          <w:color w:val="0D0D0D" w:themeColor="text1" w:themeTint="F2"/>
          <w:sz w:val="26"/>
          <w:szCs w:val="26"/>
        </w:rPr>
        <w:t xml:space="preserve"> or if the household received a LIHEAP grant for an amount inconsistent with their reported household </w:t>
      </w:r>
      <w:r w:rsidR="005A0792">
        <w:rPr>
          <w:rFonts w:ascii="Times New Roman" w:eastAsia="Times New Roman" w:hAnsi="Times New Roman" w:cs="Times New Roman"/>
          <w:color w:val="0D0D0D" w:themeColor="text1" w:themeTint="F2"/>
          <w:sz w:val="26"/>
          <w:szCs w:val="26"/>
        </w:rPr>
        <w:t>size and income</w:t>
      </w:r>
      <w:r w:rsidR="00714B75">
        <w:rPr>
          <w:rFonts w:ascii="Times New Roman" w:eastAsia="Times New Roman" w:hAnsi="Times New Roman" w:cs="Times New Roman"/>
          <w:color w:val="0D0D0D" w:themeColor="text1" w:themeTint="F2"/>
          <w:sz w:val="26"/>
          <w:szCs w:val="26"/>
        </w:rPr>
        <w:t>,</w:t>
      </w:r>
      <w:r w:rsidR="005A0792">
        <w:rPr>
          <w:rFonts w:ascii="Times New Roman" w:eastAsia="Times New Roman" w:hAnsi="Times New Roman" w:cs="Times New Roman"/>
          <w:color w:val="0D0D0D" w:themeColor="text1" w:themeTint="F2"/>
          <w:sz w:val="26"/>
          <w:szCs w:val="26"/>
        </w:rPr>
        <w:t xml:space="preserve"> they will be required to provide additional information or documentation to explain it.  </w:t>
      </w:r>
      <w:r w:rsidR="00F62C73">
        <w:rPr>
          <w:rFonts w:ascii="Times New Roman" w:eastAsia="Times New Roman" w:hAnsi="Times New Roman" w:cs="Times New Roman"/>
          <w:sz w:val="26"/>
          <w:szCs w:val="26"/>
        </w:rPr>
        <w:t>PGW 2014-2016 USECP</w:t>
      </w:r>
      <w:r w:rsidR="005A0792" w:rsidRPr="00FA1360">
        <w:rPr>
          <w:rFonts w:ascii="Times New Roman" w:eastAsia="Times New Roman" w:hAnsi="Times New Roman" w:cs="Times New Roman"/>
          <w:sz w:val="26"/>
          <w:szCs w:val="26"/>
        </w:rPr>
        <w:t xml:space="preserve"> Reply Comments at 29-30.</w:t>
      </w:r>
      <w:r w:rsidR="00391AB0">
        <w:rPr>
          <w:rFonts w:ascii="Times New Roman" w:eastAsia="Times New Roman" w:hAnsi="Times New Roman" w:cs="Times New Roman"/>
          <w:sz w:val="26"/>
          <w:szCs w:val="26"/>
        </w:rPr>
        <w:t xml:space="preserve">  </w:t>
      </w:r>
      <w:r w:rsidR="00F62C73">
        <w:rPr>
          <w:rFonts w:ascii="Times New Roman" w:eastAsia="Times New Roman" w:hAnsi="Times New Roman" w:cs="Times New Roman"/>
          <w:color w:val="0D0D0D" w:themeColor="text1" w:themeTint="F2"/>
          <w:sz w:val="26"/>
          <w:szCs w:val="26"/>
        </w:rPr>
        <w:t>PGW reported that it does not utilize credit reports or information from unregulated data brok</w:t>
      </w:r>
      <w:r w:rsidR="00714B75">
        <w:rPr>
          <w:rFonts w:ascii="Times New Roman" w:eastAsia="Times New Roman" w:hAnsi="Times New Roman" w:cs="Times New Roman"/>
          <w:color w:val="0D0D0D" w:themeColor="text1" w:themeTint="F2"/>
          <w:sz w:val="26"/>
          <w:szCs w:val="26"/>
        </w:rPr>
        <w:t xml:space="preserve">ers </w:t>
      </w:r>
      <w:r w:rsidR="00F62C73">
        <w:rPr>
          <w:rFonts w:ascii="Times New Roman" w:eastAsia="Times New Roman" w:hAnsi="Times New Roman" w:cs="Times New Roman"/>
          <w:color w:val="0D0D0D" w:themeColor="text1" w:themeTint="F2"/>
          <w:sz w:val="26"/>
          <w:szCs w:val="26"/>
        </w:rPr>
        <w:t xml:space="preserve">as part of this review process.  </w:t>
      </w:r>
      <w:r w:rsidR="00F62C73">
        <w:rPr>
          <w:rFonts w:ascii="Times New Roman" w:eastAsia="Times New Roman" w:hAnsi="Times New Roman" w:cs="Times New Roman"/>
          <w:sz w:val="26"/>
          <w:szCs w:val="26"/>
        </w:rPr>
        <w:t>PGW 2014-2016 USECP</w:t>
      </w:r>
      <w:r w:rsidR="00F62C73" w:rsidRPr="00FA1360">
        <w:rPr>
          <w:rFonts w:ascii="Times New Roman" w:eastAsia="Times New Roman" w:hAnsi="Times New Roman" w:cs="Times New Roman"/>
          <w:sz w:val="26"/>
          <w:szCs w:val="26"/>
        </w:rPr>
        <w:t xml:space="preserve"> Reply Comments </w:t>
      </w:r>
      <w:r w:rsidR="00F62C73">
        <w:rPr>
          <w:rFonts w:ascii="Times New Roman" w:eastAsia="Times New Roman" w:hAnsi="Times New Roman" w:cs="Times New Roman"/>
          <w:sz w:val="26"/>
          <w:szCs w:val="26"/>
        </w:rPr>
        <w:t>at 29</w:t>
      </w:r>
      <w:r w:rsidR="00F62C73" w:rsidRPr="00FA1360">
        <w:rPr>
          <w:rFonts w:ascii="Times New Roman" w:eastAsia="Times New Roman" w:hAnsi="Times New Roman" w:cs="Times New Roman"/>
          <w:sz w:val="26"/>
          <w:szCs w:val="26"/>
        </w:rPr>
        <w:t>.</w:t>
      </w:r>
    </w:p>
    <w:p w:rsidR="00B413AB" w:rsidRDefault="00B413AB" w:rsidP="00927162">
      <w:pPr>
        <w:spacing w:after="0" w:line="360" w:lineRule="auto"/>
        <w:contextualSpacing/>
        <w:rPr>
          <w:rFonts w:ascii="Times New Roman" w:eastAsia="Times New Roman" w:hAnsi="Times New Roman" w:cs="Times New Roman"/>
          <w:sz w:val="26"/>
          <w:szCs w:val="26"/>
        </w:rPr>
      </w:pPr>
    </w:p>
    <w:p w:rsidR="00927162" w:rsidRDefault="005F48B5" w:rsidP="005F48B5">
      <w:pPr>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Pr="005F48B5">
        <w:rPr>
          <w:rFonts w:ascii="Times New Roman" w:eastAsia="Times New Roman" w:hAnsi="Times New Roman" w:cs="Times New Roman"/>
          <w:sz w:val="26"/>
          <w:szCs w:val="26"/>
        </w:rPr>
        <w:t>The Tentative Order questioned</w:t>
      </w:r>
      <w:r w:rsidR="00391AB0" w:rsidRPr="005F48B5">
        <w:rPr>
          <w:rFonts w:ascii="Times New Roman" w:eastAsia="Times New Roman" w:hAnsi="Times New Roman" w:cs="Times New Roman"/>
          <w:sz w:val="26"/>
          <w:szCs w:val="26"/>
        </w:rPr>
        <w:t xml:space="preserve"> whether PGW continues to utilize only the Philadelphia Office of Property Assessment and LIHEAP to verify CRP household information.  </w:t>
      </w:r>
      <w:r>
        <w:rPr>
          <w:rFonts w:ascii="Times New Roman" w:eastAsia="Times New Roman" w:hAnsi="Times New Roman" w:cs="Times New Roman"/>
          <w:sz w:val="26"/>
          <w:szCs w:val="26"/>
        </w:rPr>
        <w:t xml:space="preserve">We asked </w:t>
      </w:r>
      <w:r w:rsidR="004A0D09">
        <w:rPr>
          <w:rFonts w:ascii="Times New Roman" w:eastAsia="Times New Roman" w:hAnsi="Times New Roman" w:cs="Times New Roman"/>
          <w:sz w:val="26"/>
          <w:szCs w:val="26"/>
        </w:rPr>
        <w:t xml:space="preserve">PGW </w:t>
      </w:r>
      <w:r w:rsidR="00524966">
        <w:rPr>
          <w:rFonts w:ascii="Times New Roman" w:eastAsia="Times New Roman" w:hAnsi="Times New Roman" w:cs="Times New Roman"/>
          <w:sz w:val="26"/>
          <w:szCs w:val="26"/>
        </w:rPr>
        <w:t xml:space="preserve">whether </w:t>
      </w:r>
      <w:r>
        <w:rPr>
          <w:rFonts w:ascii="Times New Roman" w:eastAsia="Times New Roman" w:hAnsi="Times New Roman" w:cs="Times New Roman"/>
          <w:sz w:val="26"/>
          <w:szCs w:val="26"/>
        </w:rPr>
        <w:t xml:space="preserve">it </w:t>
      </w:r>
      <w:r w:rsidR="00CB00FA">
        <w:rPr>
          <w:rFonts w:ascii="Times New Roman" w:eastAsia="Times New Roman" w:hAnsi="Times New Roman" w:cs="Times New Roman"/>
          <w:sz w:val="26"/>
          <w:szCs w:val="26"/>
        </w:rPr>
        <w:t xml:space="preserve">is now using </w:t>
      </w:r>
      <w:r w:rsidR="004A0D09">
        <w:rPr>
          <w:rFonts w:ascii="Times New Roman" w:eastAsia="Times New Roman" w:hAnsi="Times New Roman" w:cs="Times New Roman"/>
          <w:sz w:val="26"/>
          <w:szCs w:val="26"/>
        </w:rPr>
        <w:t xml:space="preserve">credit reporting information as part of </w:t>
      </w:r>
      <w:r w:rsidR="00CB00FA">
        <w:rPr>
          <w:rFonts w:ascii="Times New Roman" w:eastAsia="Times New Roman" w:hAnsi="Times New Roman" w:cs="Times New Roman"/>
          <w:sz w:val="26"/>
          <w:szCs w:val="26"/>
        </w:rPr>
        <w:t>its periodic reviews of CRP accounts</w:t>
      </w:r>
      <w:r>
        <w:rPr>
          <w:rFonts w:ascii="Times New Roman" w:eastAsia="Times New Roman" w:hAnsi="Times New Roman" w:cs="Times New Roman"/>
          <w:sz w:val="26"/>
          <w:szCs w:val="26"/>
        </w:rPr>
        <w:t xml:space="preserve"> and</w:t>
      </w:r>
      <w:r w:rsidR="004A0D09">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if so,</w:t>
      </w:r>
      <w:r w:rsidR="004A0D09">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to</w:t>
      </w:r>
      <w:r w:rsidR="004A0D09">
        <w:rPr>
          <w:rFonts w:ascii="Times New Roman" w:eastAsia="Times New Roman" w:hAnsi="Times New Roman" w:cs="Times New Roman"/>
          <w:sz w:val="26"/>
          <w:szCs w:val="26"/>
        </w:rPr>
        <w:t xml:space="preserve"> explain how this process complies with the </w:t>
      </w:r>
      <w:r w:rsidR="00EF10A6">
        <w:rPr>
          <w:rFonts w:ascii="Times New Roman" w:eastAsia="Times New Roman" w:hAnsi="Times New Roman" w:cs="Times New Roman"/>
          <w:sz w:val="26"/>
          <w:szCs w:val="26"/>
        </w:rPr>
        <w:t>Federal Credit Reporting Act (</w:t>
      </w:r>
      <w:r w:rsidR="004A0D09">
        <w:rPr>
          <w:rFonts w:ascii="Times New Roman" w:eastAsia="Times New Roman" w:hAnsi="Times New Roman" w:cs="Times New Roman"/>
          <w:sz w:val="26"/>
          <w:szCs w:val="26"/>
        </w:rPr>
        <w:t>FCRA</w:t>
      </w:r>
      <w:r w:rsidR="00EF10A6">
        <w:rPr>
          <w:rFonts w:ascii="Times New Roman" w:eastAsia="Times New Roman" w:hAnsi="Times New Roman" w:cs="Times New Roman"/>
          <w:sz w:val="26"/>
          <w:szCs w:val="26"/>
        </w:rPr>
        <w:t>)</w:t>
      </w:r>
      <w:r w:rsidR="004A0D09">
        <w:rPr>
          <w:rFonts w:ascii="Times New Roman" w:eastAsia="Times New Roman" w:hAnsi="Times New Roman" w:cs="Times New Roman"/>
          <w:sz w:val="26"/>
          <w:szCs w:val="26"/>
        </w:rPr>
        <w:t xml:space="preserve">. </w:t>
      </w:r>
      <w:r w:rsidR="00524966">
        <w:rPr>
          <w:rFonts w:ascii="Times New Roman" w:eastAsia="Times New Roman" w:hAnsi="Times New Roman" w:cs="Times New Roman"/>
          <w:sz w:val="26"/>
          <w:szCs w:val="26"/>
        </w:rPr>
        <w:t xml:space="preserve"> </w:t>
      </w:r>
    </w:p>
    <w:p w:rsidR="00AA6F42" w:rsidRDefault="00AA6F42" w:rsidP="005F48B5">
      <w:pPr>
        <w:spacing w:after="0" w:line="360" w:lineRule="auto"/>
        <w:contextualSpacing/>
        <w:rPr>
          <w:rFonts w:ascii="Times New Roman" w:eastAsia="Times New Roman" w:hAnsi="Times New Roman" w:cs="Times New Roman"/>
          <w:sz w:val="26"/>
          <w:szCs w:val="26"/>
        </w:rPr>
      </w:pPr>
    </w:p>
    <w:p w:rsidR="00AA6F42" w:rsidRDefault="00AA6F42" w:rsidP="00AA6F42">
      <w:pPr>
        <w:spacing w:line="360" w:lineRule="auto"/>
        <w:contextualSpacing/>
        <w:rPr>
          <w:rFonts w:ascii="Times New Roman" w:hAnsi="Times New Roman" w:cs="Times New Roman"/>
          <w:sz w:val="26"/>
          <w:szCs w:val="26"/>
        </w:rPr>
      </w:pPr>
      <w:r>
        <w:rPr>
          <w:rFonts w:ascii="Times New Roman" w:hAnsi="Times New Roman" w:cs="Times New Roman"/>
          <w:sz w:val="26"/>
          <w:szCs w:val="26"/>
        </w:rPr>
        <w:tab/>
        <w:t xml:space="preserve">PGW reports it has not changed its income verification procedure for CRP participants.  The Company asserts it does not utilize credit reports for any reason to verify customer household composition or income, but does use credit reporting agencies, such as Experian and Transunion, to verify residency and perform death audits to protect </w:t>
      </w:r>
      <w:r>
        <w:rPr>
          <w:rFonts w:ascii="Times New Roman" w:hAnsi="Times New Roman" w:cs="Times New Roman"/>
          <w:sz w:val="26"/>
          <w:szCs w:val="26"/>
        </w:rPr>
        <w:lastRenderedPageBreak/>
        <w:t xml:space="preserve">against fraud.  If evidence of fraud or death is uncovered, PGW sends the customer a letter to the household asking them to contact the Company within two weeks to dispute the information prior to removal from CRP.  </w:t>
      </w:r>
      <w:r w:rsidR="00225829">
        <w:rPr>
          <w:rFonts w:ascii="Times New Roman" w:hAnsi="Times New Roman" w:cs="Times New Roman"/>
          <w:sz w:val="26"/>
          <w:szCs w:val="26"/>
        </w:rPr>
        <w:t xml:space="preserve">Consistent with </w:t>
      </w:r>
      <w:r>
        <w:rPr>
          <w:rFonts w:ascii="Times New Roman" w:hAnsi="Times New Roman" w:cs="Times New Roman"/>
          <w:sz w:val="26"/>
          <w:szCs w:val="26"/>
        </w:rPr>
        <w:t xml:space="preserve">the Commission’s directive in the </w:t>
      </w:r>
      <w:r w:rsidRPr="0006245F">
        <w:rPr>
          <w:rFonts w:ascii="Times New Roman" w:hAnsi="Times New Roman" w:cs="Times New Roman"/>
          <w:sz w:val="26"/>
          <w:szCs w:val="26"/>
        </w:rPr>
        <w:t>PECO 2016-2018 USECP Final Order</w:t>
      </w:r>
      <w:r>
        <w:rPr>
          <w:rFonts w:ascii="Times New Roman" w:hAnsi="Times New Roman" w:cs="Times New Roman"/>
          <w:sz w:val="26"/>
          <w:szCs w:val="26"/>
        </w:rPr>
        <w:t>, PGW will include FCRA rights in writing as part of this customer communication.  PGW Supplemental Information at 11-13</w:t>
      </w:r>
      <w:r w:rsidR="00F27E05">
        <w:rPr>
          <w:rFonts w:ascii="Times New Roman" w:hAnsi="Times New Roman" w:cs="Times New Roman"/>
          <w:sz w:val="26"/>
          <w:szCs w:val="26"/>
        </w:rPr>
        <w:t xml:space="preserve">, citing the </w:t>
      </w:r>
      <w:r w:rsidR="00F27E05" w:rsidRPr="00096A7E">
        <w:rPr>
          <w:rFonts w:ascii="Times New Roman" w:hAnsi="Times New Roman" w:cs="Times New Roman"/>
          <w:i/>
          <w:sz w:val="26"/>
          <w:szCs w:val="26"/>
        </w:rPr>
        <w:t>PECO 2016-2018 USECP Final Order</w:t>
      </w:r>
      <w:r w:rsidR="00096A7E">
        <w:rPr>
          <w:rFonts w:ascii="Times New Roman" w:hAnsi="Times New Roman" w:cs="Times New Roman"/>
          <w:sz w:val="26"/>
          <w:szCs w:val="26"/>
        </w:rPr>
        <w:t xml:space="preserve">, Docket No. </w:t>
      </w:r>
      <w:r w:rsidR="00096A7E" w:rsidRPr="00A80583">
        <w:rPr>
          <w:rFonts w:ascii="Times New Roman" w:eastAsia="Times New Roman" w:hAnsi="Times New Roman" w:cs="Times New Roman"/>
          <w:color w:val="0D0D0D" w:themeColor="text1" w:themeTint="F2"/>
          <w:sz w:val="26"/>
          <w:szCs w:val="26"/>
        </w:rPr>
        <w:t>M</w:t>
      </w:r>
      <w:r w:rsidR="00225829">
        <w:rPr>
          <w:rFonts w:ascii="Times New Roman" w:eastAsia="Times New Roman" w:hAnsi="Times New Roman" w:cs="Times New Roman"/>
          <w:color w:val="0D0D0D" w:themeColor="text1" w:themeTint="F2"/>
          <w:sz w:val="26"/>
          <w:szCs w:val="26"/>
        </w:rPr>
        <w:noBreakHyphen/>
      </w:r>
      <w:r w:rsidR="00096A7E" w:rsidRPr="00A80583">
        <w:rPr>
          <w:rFonts w:ascii="Times New Roman" w:eastAsia="Times New Roman" w:hAnsi="Times New Roman" w:cs="Times New Roman"/>
          <w:color w:val="0D0D0D" w:themeColor="text1" w:themeTint="F2"/>
          <w:sz w:val="26"/>
          <w:szCs w:val="26"/>
        </w:rPr>
        <w:t>2015-2507139</w:t>
      </w:r>
      <w:r w:rsidR="00096A7E">
        <w:rPr>
          <w:rFonts w:ascii="Times New Roman" w:eastAsia="Times New Roman" w:hAnsi="Times New Roman" w:cs="Times New Roman"/>
          <w:color w:val="0D0D0D" w:themeColor="text1" w:themeTint="F2"/>
          <w:sz w:val="26"/>
          <w:szCs w:val="26"/>
        </w:rPr>
        <w:t xml:space="preserve"> (</w:t>
      </w:r>
      <w:r w:rsidR="00225829">
        <w:rPr>
          <w:rFonts w:ascii="Times New Roman" w:eastAsia="Times New Roman" w:hAnsi="Times New Roman" w:cs="Times New Roman"/>
          <w:color w:val="0D0D0D" w:themeColor="text1" w:themeTint="F2"/>
          <w:sz w:val="26"/>
          <w:szCs w:val="26"/>
        </w:rPr>
        <w:t xml:space="preserve">Order entered </w:t>
      </w:r>
      <w:r w:rsidR="00096A7E">
        <w:rPr>
          <w:rFonts w:ascii="Times New Roman" w:eastAsia="Times New Roman" w:hAnsi="Times New Roman" w:cs="Times New Roman"/>
          <w:color w:val="0D0D0D" w:themeColor="text1" w:themeTint="F2"/>
          <w:sz w:val="26"/>
          <w:szCs w:val="26"/>
        </w:rPr>
        <w:t>August 11, 2016),</w:t>
      </w:r>
      <w:r w:rsidR="00F27E05">
        <w:rPr>
          <w:rFonts w:ascii="Times New Roman" w:hAnsi="Times New Roman" w:cs="Times New Roman"/>
          <w:sz w:val="26"/>
          <w:szCs w:val="26"/>
        </w:rPr>
        <w:t xml:space="preserve"> at 33-38</w:t>
      </w:r>
      <w:r>
        <w:rPr>
          <w:rFonts w:ascii="Times New Roman" w:hAnsi="Times New Roman" w:cs="Times New Roman"/>
          <w:sz w:val="26"/>
          <w:szCs w:val="26"/>
        </w:rPr>
        <w:t>.</w:t>
      </w:r>
    </w:p>
    <w:p w:rsidR="00AA6F42" w:rsidRDefault="00AA6F42" w:rsidP="00AA6F42">
      <w:pPr>
        <w:spacing w:line="360" w:lineRule="auto"/>
        <w:contextualSpacing/>
        <w:rPr>
          <w:rFonts w:ascii="Times New Roman" w:hAnsi="Times New Roman" w:cs="Times New Roman"/>
          <w:sz w:val="26"/>
          <w:szCs w:val="26"/>
        </w:rPr>
      </w:pPr>
    </w:p>
    <w:p w:rsidR="00AA6F42" w:rsidRDefault="00B729E1" w:rsidP="00AA6F42">
      <w:pPr>
        <w:spacing w:line="360" w:lineRule="auto"/>
        <w:contextualSpacing/>
        <w:rPr>
          <w:rFonts w:ascii="Times New Roman" w:hAnsi="Times New Roman" w:cs="Times New Roman"/>
          <w:sz w:val="26"/>
          <w:szCs w:val="26"/>
        </w:rPr>
      </w:pPr>
      <w:r>
        <w:rPr>
          <w:rFonts w:ascii="Times New Roman" w:hAnsi="Times New Roman" w:cs="Times New Roman"/>
          <w:sz w:val="26"/>
          <w:szCs w:val="26"/>
        </w:rPr>
        <w:tab/>
      </w:r>
      <w:r w:rsidR="00AA6F42">
        <w:rPr>
          <w:rFonts w:ascii="Times New Roman" w:hAnsi="Times New Roman" w:cs="Times New Roman"/>
          <w:sz w:val="26"/>
          <w:szCs w:val="26"/>
        </w:rPr>
        <w:t xml:space="preserve">CAUSE-PA and OCA separately support PGW’s proposal to provide FCRA rights to customers when taking adverse action based on information gathered by a credit reporting agency.  CAUSE-PA Comments at 13 and OCA Comments at 10.  Both parties separately recommend that PGW give customers 30 days to respond to dispute this information, rather than two weeks.  CAUSE-PA Comments at 13-14 and OCA Comments at 10.  CAUSE-PA also recommends the letter should “clearly describe the manner and method that the consumer can use to dispute the negative finding.”  CAUSE-PA Comments at 14.  </w:t>
      </w:r>
    </w:p>
    <w:p w:rsidR="00AA6F42" w:rsidRPr="008963D0" w:rsidRDefault="00AA6F42" w:rsidP="00AA6F42">
      <w:pPr>
        <w:spacing w:line="360" w:lineRule="auto"/>
        <w:contextualSpacing/>
        <w:rPr>
          <w:rFonts w:ascii="Times New Roman" w:hAnsi="Times New Roman" w:cs="Times New Roman"/>
          <w:sz w:val="26"/>
          <w:szCs w:val="26"/>
        </w:rPr>
      </w:pPr>
    </w:p>
    <w:p w:rsidR="00AA6F42" w:rsidRDefault="00AA6F42" w:rsidP="00AA6F42">
      <w:pPr>
        <w:spacing w:line="360" w:lineRule="auto"/>
        <w:contextualSpacing/>
        <w:rPr>
          <w:rFonts w:ascii="Times New Roman" w:hAnsi="Times New Roman" w:cs="Times New Roman"/>
          <w:sz w:val="26"/>
          <w:szCs w:val="26"/>
        </w:rPr>
      </w:pPr>
      <w:r>
        <w:rPr>
          <w:rFonts w:ascii="Times New Roman" w:hAnsi="Times New Roman" w:cs="Times New Roman"/>
          <w:sz w:val="26"/>
          <w:szCs w:val="26"/>
        </w:rPr>
        <w:tab/>
        <w:t xml:space="preserve">TURN </w:t>
      </w:r>
      <w:r w:rsidR="006656B5" w:rsidRPr="006656B5">
        <w:rPr>
          <w:rFonts w:ascii="Times New Roman" w:hAnsi="Times New Roman" w:cs="Times New Roman"/>
          <w:i/>
          <w:sz w:val="26"/>
          <w:szCs w:val="26"/>
        </w:rPr>
        <w:t>et al</w:t>
      </w:r>
      <w:r>
        <w:rPr>
          <w:rFonts w:ascii="Times New Roman" w:hAnsi="Times New Roman" w:cs="Times New Roman"/>
          <w:sz w:val="26"/>
          <w:szCs w:val="26"/>
        </w:rPr>
        <w:t xml:space="preserve">. is concerned about PGW’s use of real estate transactions and LIHEAP grants to verify household information.  TURN </w:t>
      </w:r>
      <w:r w:rsidR="006656B5" w:rsidRPr="006656B5">
        <w:rPr>
          <w:rFonts w:ascii="Times New Roman" w:hAnsi="Times New Roman" w:cs="Times New Roman"/>
          <w:i/>
          <w:sz w:val="26"/>
          <w:szCs w:val="26"/>
        </w:rPr>
        <w:t>et al</w:t>
      </w:r>
      <w:r>
        <w:rPr>
          <w:rFonts w:ascii="Times New Roman" w:hAnsi="Times New Roman" w:cs="Times New Roman"/>
          <w:sz w:val="26"/>
          <w:szCs w:val="26"/>
        </w:rPr>
        <w:t xml:space="preserve">. also questions what happens if CRP applicants refuse to consent to the Company’s use of credit reporting agencies.  TURN </w:t>
      </w:r>
      <w:r w:rsidR="006656B5" w:rsidRPr="006656B5">
        <w:rPr>
          <w:rFonts w:ascii="Times New Roman" w:hAnsi="Times New Roman" w:cs="Times New Roman"/>
          <w:i/>
          <w:sz w:val="26"/>
          <w:szCs w:val="26"/>
        </w:rPr>
        <w:t>et al</w:t>
      </w:r>
      <w:r>
        <w:rPr>
          <w:rFonts w:ascii="Times New Roman" w:hAnsi="Times New Roman" w:cs="Times New Roman"/>
          <w:sz w:val="26"/>
          <w:szCs w:val="26"/>
        </w:rPr>
        <w:t>. requests the Commission continue to monitor PGW’s use of external sources, credit reports</w:t>
      </w:r>
      <w:r w:rsidR="00096A7E">
        <w:rPr>
          <w:rFonts w:ascii="Times New Roman" w:hAnsi="Times New Roman" w:cs="Times New Roman"/>
          <w:sz w:val="26"/>
          <w:szCs w:val="26"/>
        </w:rPr>
        <w:t>,</w:t>
      </w:r>
      <w:r>
        <w:rPr>
          <w:rFonts w:ascii="Times New Roman" w:hAnsi="Times New Roman" w:cs="Times New Roman"/>
          <w:sz w:val="26"/>
          <w:szCs w:val="26"/>
        </w:rPr>
        <w:t xml:space="preserve"> and compliance with FCRA requirements.  It also recommends the Commission require the Company to provide additional information about how it will comply with the FCRA, how it will ensure the information gathered in reliable, and how customers may dispute and correct bad data.  TURN </w:t>
      </w:r>
      <w:r w:rsidR="006656B5" w:rsidRPr="006656B5">
        <w:rPr>
          <w:rFonts w:ascii="Times New Roman" w:hAnsi="Times New Roman" w:cs="Times New Roman"/>
          <w:i/>
          <w:sz w:val="26"/>
          <w:szCs w:val="26"/>
        </w:rPr>
        <w:t>et al</w:t>
      </w:r>
      <w:r>
        <w:rPr>
          <w:rFonts w:ascii="Times New Roman" w:hAnsi="Times New Roman" w:cs="Times New Roman"/>
          <w:sz w:val="26"/>
          <w:szCs w:val="26"/>
        </w:rPr>
        <w:t xml:space="preserve">. Comments </w:t>
      </w:r>
      <w:r w:rsidR="00726C63">
        <w:rPr>
          <w:rFonts w:ascii="Times New Roman" w:hAnsi="Times New Roman" w:cs="Times New Roman"/>
          <w:sz w:val="26"/>
          <w:szCs w:val="26"/>
        </w:rPr>
        <w:t>at </w:t>
      </w:r>
      <w:r>
        <w:rPr>
          <w:rFonts w:ascii="Times New Roman" w:hAnsi="Times New Roman" w:cs="Times New Roman"/>
          <w:sz w:val="26"/>
          <w:szCs w:val="26"/>
        </w:rPr>
        <w:t>9-12.</w:t>
      </w:r>
    </w:p>
    <w:p w:rsidR="00AA6F42" w:rsidRDefault="00AA6F42" w:rsidP="00AA6F42">
      <w:pPr>
        <w:spacing w:after="0" w:line="360" w:lineRule="auto"/>
        <w:contextualSpacing/>
        <w:rPr>
          <w:rFonts w:ascii="Times New Roman" w:hAnsi="Times New Roman" w:cs="Times New Roman"/>
          <w:sz w:val="26"/>
          <w:szCs w:val="26"/>
        </w:rPr>
      </w:pPr>
    </w:p>
    <w:p w:rsidR="00AA6F42" w:rsidRDefault="00AA6F42" w:rsidP="00AA6F42">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ab/>
        <w:t xml:space="preserve">PGW agrees to provide customers with 30 days to dispute information suggesting fraud or evidence of death before removing them from CRP.  In addition to providing </w:t>
      </w:r>
      <w:r>
        <w:rPr>
          <w:rFonts w:ascii="Times New Roman" w:hAnsi="Times New Roman" w:cs="Times New Roman"/>
          <w:sz w:val="26"/>
          <w:szCs w:val="26"/>
        </w:rPr>
        <w:lastRenderedPageBreak/>
        <w:t>written notice about the FCRA rights, PGW also agrees to explain how the customer may dispute this information.  PGW Reply Comments at 4.</w:t>
      </w:r>
    </w:p>
    <w:p w:rsidR="00AA6F42" w:rsidRDefault="00AA6F42" w:rsidP="00AA6F42">
      <w:pPr>
        <w:spacing w:after="0" w:line="360" w:lineRule="auto"/>
        <w:contextualSpacing/>
        <w:rPr>
          <w:rFonts w:ascii="Times New Roman" w:hAnsi="Times New Roman" w:cs="Times New Roman"/>
          <w:sz w:val="26"/>
          <w:szCs w:val="26"/>
        </w:rPr>
      </w:pPr>
    </w:p>
    <w:p w:rsidR="00AA6F42" w:rsidRPr="005F48B5" w:rsidRDefault="00AA6F42" w:rsidP="00AA6F42">
      <w:pPr>
        <w:spacing w:after="0" w:line="360" w:lineRule="auto"/>
        <w:contextualSpacing/>
        <w:rPr>
          <w:rFonts w:ascii="Times New Roman" w:eastAsia="Times New Roman" w:hAnsi="Times New Roman" w:cs="Times New Roman"/>
          <w:sz w:val="26"/>
          <w:szCs w:val="26"/>
        </w:rPr>
      </w:pPr>
      <w:r w:rsidRPr="000C105A">
        <w:rPr>
          <w:rFonts w:ascii="Times New Roman" w:hAnsi="Times New Roman" w:cs="Times New Roman"/>
          <w:i/>
          <w:sz w:val="26"/>
          <w:szCs w:val="26"/>
        </w:rPr>
        <w:t>Resolution</w:t>
      </w:r>
      <w:r>
        <w:rPr>
          <w:rFonts w:ascii="Times New Roman" w:hAnsi="Times New Roman" w:cs="Times New Roman"/>
          <w:sz w:val="26"/>
          <w:szCs w:val="26"/>
        </w:rPr>
        <w:t xml:space="preserve">: </w:t>
      </w:r>
      <w:r w:rsidR="00B729E1">
        <w:rPr>
          <w:rFonts w:ascii="Times New Roman" w:hAnsi="Times New Roman" w:cs="Times New Roman"/>
          <w:sz w:val="26"/>
          <w:szCs w:val="26"/>
        </w:rPr>
        <w:t>We support giving customers 30 days to dispute information gathered from external sources prior to removing them from CRP.  We also approve PGW’s proposal to provide customers with a written description of their FCRA rights if the Company is taking adverse action based on information gathered by a credit reporting agency.</w:t>
      </w:r>
      <w:r w:rsidR="000C105A">
        <w:rPr>
          <w:rFonts w:ascii="Times New Roman" w:hAnsi="Times New Roman" w:cs="Times New Roman"/>
          <w:sz w:val="26"/>
          <w:szCs w:val="26"/>
        </w:rPr>
        <w:t xml:space="preserve">  Accordingly, we direct PGW to </w:t>
      </w:r>
      <w:r w:rsidR="006B4EDB">
        <w:rPr>
          <w:rFonts w:ascii="Times New Roman" w:hAnsi="Times New Roman" w:cs="Times New Roman"/>
          <w:sz w:val="26"/>
          <w:szCs w:val="26"/>
        </w:rPr>
        <w:t>implement</w:t>
      </w:r>
      <w:r w:rsidR="000C105A">
        <w:rPr>
          <w:rFonts w:ascii="Times New Roman" w:hAnsi="Times New Roman" w:cs="Times New Roman"/>
          <w:sz w:val="26"/>
          <w:szCs w:val="26"/>
        </w:rPr>
        <w:t xml:space="preserve"> these </w:t>
      </w:r>
      <w:r w:rsidR="00096A7E">
        <w:rPr>
          <w:rFonts w:ascii="Times New Roman" w:hAnsi="Times New Roman" w:cs="Times New Roman"/>
          <w:sz w:val="26"/>
          <w:szCs w:val="26"/>
        </w:rPr>
        <w:t xml:space="preserve">modifications </w:t>
      </w:r>
      <w:r w:rsidR="006B4EDB">
        <w:rPr>
          <w:rFonts w:ascii="Times New Roman" w:hAnsi="Times New Roman" w:cs="Times New Roman"/>
          <w:sz w:val="26"/>
          <w:szCs w:val="26"/>
        </w:rPr>
        <w:t xml:space="preserve">upon final approval of its USECP </w:t>
      </w:r>
      <w:r w:rsidR="00096A7E">
        <w:rPr>
          <w:rFonts w:ascii="Times New Roman" w:hAnsi="Times New Roman" w:cs="Times New Roman"/>
          <w:sz w:val="26"/>
          <w:szCs w:val="26"/>
        </w:rPr>
        <w:t xml:space="preserve">and identify these </w:t>
      </w:r>
      <w:r w:rsidR="000C105A">
        <w:rPr>
          <w:rFonts w:ascii="Times New Roman" w:hAnsi="Times New Roman" w:cs="Times New Roman"/>
          <w:sz w:val="26"/>
          <w:szCs w:val="26"/>
        </w:rPr>
        <w:t xml:space="preserve">changes </w:t>
      </w:r>
      <w:r w:rsidR="00096A7E">
        <w:rPr>
          <w:rFonts w:ascii="Times New Roman" w:hAnsi="Times New Roman" w:cs="Times New Roman"/>
          <w:sz w:val="26"/>
          <w:szCs w:val="26"/>
        </w:rPr>
        <w:t>in</w:t>
      </w:r>
      <w:r w:rsidR="000C105A">
        <w:rPr>
          <w:rFonts w:ascii="Times New Roman" w:hAnsi="Times New Roman" w:cs="Times New Roman"/>
          <w:sz w:val="26"/>
          <w:szCs w:val="26"/>
        </w:rPr>
        <w:t xml:space="preserve"> its </w:t>
      </w:r>
      <w:r w:rsidR="00096A7E">
        <w:rPr>
          <w:rFonts w:ascii="Times New Roman" w:hAnsi="Times New Roman" w:cs="Times New Roman"/>
          <w:sz w:val="26"/>
          <w:szCs w:val="26"/>
        </w:rPr>
        <w:t xml:space="preserve">Revised </w:t>
      </w:r>
      <w:r w:rsidR="000C105A">
        <w:rPr>
          <w:rFonts w:ascii="Times New Roman" w:hAnsi="Times New Roman" w:cs="Times New Roman"/>
          <w:sz w:val="26"/>
          <w:szCs w:val="26"/>
        </w:rPr>
        <w:t xml:space="preserve">2017-2020 </w:t>
      </w:r>
      <w:r w:rsidR="006B4EDB">
        <w:rPr>
          <w:rFonts w:ascii="Times New Roman" w:hAnsi="Times New Roman" w:cs="Times New Roman"/>
          <w:sz w:val="26"/>
          <w:szCs w:val="26"/>
        </w:rPr>
        <w:t>Plan</w:t>
      </w:r>
      <w:r w:rsidR="000C105A">
        <w:rPr>
          <w:rFonts w:ascii="Times New Roman" w:hAnsi="Times New Roman" w:cs="Times New Roman"/>
          <w:sz w:val="26"/>
          <w:szCs w:val="26"/>
        </w:rPr>
        <w:t>.</w:t>
      </w:r>
    </w:p>
    <w:p w:rsidR="00592158" w:rsidRDefault="00592158" w:rsidP="00927162">
      <w:pPr>
        <w:spacing w:after="0" w:line="360" w:lineRule="auto"/>
        <w:contextualSpacing/>
        <w:rPr>
          <w:rFonts w:ascii="Times New Roman" w:eastAsia="Times New Roman" w:hAnsi="Times New Roman" w:cs="Times New Roman"/>
          <w:color w:val="0D0D0D" w:themeColor="text1" w:themeTint="F2"/>
          <w:sz w:val="26"/>
          <w:szCs w:val="26"/>
        </w:rPr>
      </w:pPr>
    </w:p>
    <w:p w:rsidR="00592158" w:rsidRDefault="00852CA9" w:rsidP="00A4206F">
      <w:pPr>
        <w:keepNext/>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i/>
          <w:color w:val="0D0D0D" w:themeColor="text1" w:themeTint="F2"/>
          <w:sz w:val="26"/>
          <w:szCs w:val="26"/>
        </w:rPr>
        <w:t>d</w:t>
      </w:r>
      <w:r w:rsidR="00592158" w:rsidRPr="000C0B68">
        <w:rPr>
          <w:rFonts w:ascii="Times New Roman" w:eastAsia="Times New Roman" w:hAnsi="Times New Roman" w:cs="Times New Roman"/>
          <w:i/>
          <w:color w:val="0D0D0D" w:themeColor="text1" w:themeTint="F2"/>
          <w:sz w:val="26"/>
          <w:szCs w:val="26"/>
        </w:rPr>
        <w:t>.  Requiring Quarterly Tax Returns</w:t>
      </w:r>
      <w:r w:rsidR="002B18A9">
        <w:rPr>
          <w:rFonts w:ascii="Times New Roman" w:eastAsia="Times New Roman" w:hAnsi="Times New Roman" w:cs="Times New Roman"/>
          <w:i/>
          <w:color w:val="0D0D0D" w:themeColor="text1" w:themeTint="F2"/>
          <w:sz w:val="26"/>
          <w:szCs w:val="26"/>
        </w:rPr>
        <w:t xml:space="preserve"> for Income Verification</w:t>
      </w:r>
    </w:p>
    <w:p w:rsidR="00592158" w:rsidRDefault="00592158" w:rsidP="00A4206F">
      <w:pPr>
        <w:keepNext/>
        <w:spacing w:after="0" w:line="360" w:lineRule="auto"/>
        <w:contextualSpacing/>
        <w:rPr>
          <w:rFonts w:ascii="Times New Roman" w:eastAsia="Times New Roman" w:hAnsi="Times New Roman" w:cs="Times New Roman"/>
          <w:color w:val="0D0D0D" w:themeColor="text1" w:themeTint="F2"/>
          <w:sz w:val="26"/>
          <w:szCs w:val="26"/>
        </w:rPr>
      </w:pPr>
    </w:p>
    <w:p w:rsidR="00592158" w:rsidRDefault="000C0B68" w:rsidP="00927162">
      <w:pPr>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ab/>
      </w:r>
      <w:r w:rsidR="00592158">
        <w:rPr>
          <w:rFonts w:ascii="Times New Roman" w:eastAsia="Times New Roman" w:hAnsi="Times New Roman" w:cs="Times New Roman"/>
          <w:color w:val="0D0D0D" w:themeColor="text1" w:themeTint="F2"/>
          <w:sz w:val="26"/>
          <w:szCs w:val="26"/>
        </w:rPr>
        <w:t xml:space="preserve">Our review of informal </w:t>
      </w:r>
      <w:r w:rsidR="002B18A9">
        <w:rPr>
          <w:rFonts w:ascii="Times New Roman" w:eastAsia="Times New Roman" w:hAnsi="Times New Roman" w:cs="Times New Roman"/>
          <w:color w:val="0D0D0D" w:themeColor="text1" w:themeTint="F2"/>
          <w:sz w:val="26"/>
          <w:szCs w:val="26"/>
        </w:rPr>
        <w:t xml:space="preserve">PUC </w:t>
      </w:r>
      <w:r w:rsidR="00592158">
        <w:rPr>
          <w:rFonts w:ascii="Times New Roman" w:eastAsia="Times New Roman" w:hAnsi="Times New Roman" w:cs="Times New Roman"/>
          <w:color w:val="0D0D0D" w:themeColor="text1" w:themeTint="F2"/>
          <w:sz w:val="26"/>
          <w:szCs w:val="26"/>
        </w:rPr>
        <w:t xml:space="preserve">complaints </w:t>
      </w:r>
      <w:r w:rsidR="002B18A9">
        <w:rPr>
          <w:rFonts w:ascii="Times New Roman" w:eastAsia="Times New Roman" w:hAnsi="Times New Roman" w:cs="Times New Roman"/>
          <w:color w:val="0D0D0D" w:themeColor="text1" w:themeTint="F2"/>
          <w:sz w:val="26"/>
          <w:szCs w:val="26"/>
        </w:rPr>
        <w:t xml:space="preserve">from CRP customers </w:t>
      </w:r>
      <w:r w:rsidR="00592158">
        <w:rPr>
          <w:rFonts w:ascii="Times New Roman" w:eastAsia="Times New Roman" w:hAnsi="Times New Roman" w:cs="Times New Roman"/>
          <w:color w:val="0D0D0D" w:themeColor="text1" w:themeTint="F2"/>
          <w:sz w:val="26"/>
          <w:szCs w:val="26"/>
        </w:rPr>
        <w:t xml:space="preserve">revealed that </w:t>
      </w:r>
      <w:r w:rsidR="00296197">
        <w:rPr>
          <w:rFonts w:ascii="Times New Roman" w:eastAsia="Times New Roman" w:hAnsi="Times New Roman" w:cs="Times New Roman"/>
          <w:color w:val="0D0D0D" w:themeColor="text1" w:themeTint="F2"/>
          <w:sz w:val="26"/>
          <w:szCs w:val="26"/>
        </w:rPr>
        <w:t xml:space="preserve">PGW requires self-employed customers </w:t>
      </w:r>
      <w:r w:rsidR="002B18A9">
        <w:rPr>
          <w:rFonts w:ascii="Times New Roman" w:eastAsia="Times New Roman" w:hAnsi="Times New Roman" w:cs="Times New Roman"/>
          <w:color w:val="0D0D0D" w:themeColor="text1" w:themeTint="F2"/>
          <w:sz w:val="26"/>
          <w:szCs w:val="26"/>
        </w:rPr>
        <w:t>to verify household income by providing</w:t>
      </w:r>
      <w:r w:rsidR="00296197">
        <w:rPr>
          <w:rFonts w:ascii="Times New Roman" w:eastAsia="Times New Roman" w:hAnsi="Times New Roman" w:cs="Times New Roman"/>
          <w:color w:val="0D0D0D" w:themeColor="text1" w:themeTint="F2"/>
          <w:sz w:val="26"/>
          <w:szCs w:val="26"/>
        </w:rPr>
        <w:t xml:space="preserve"> the</w:t>
      </w:r>
      <w:r w:rsidR="002B18A9">
        <w:rPr>
          <w:rFonts w:ascii="Times New Roman" w:eastAsia="Times New Roman" w:hAnsi="Times New Roman" w:cs="Times New Roman"/>
          <w:color w:val="0D0D0D" w:themeColor="text1" w:themeTint="F2"/>
          <w:sz w:val="26"/>
          <w:szCs w:val="26"/>
        </w:rPr>
        <w:t>ir</w:t>
      </w:r>
      <w:r w:rsidR="00296197">
        <w:rPr>
          <w:rFonts w:ascii="Times New Roman" w:eastAsia="Times New Roman" w:hAnsi="Times New Roman" w:cs="Times New Roman"/>
          <w:color w:val="0D0D0D" w:themeColor="text1" w:themeTint="F2"/>
          <w:sz w:val="26"/>
          <w:szCs w:val="26"/>
        </w:rPr>
        <w:t xml:space="preserve"> most recent quarterly tax return.  At least five self-employed customers reported </w:t>
      </w:r>
      <w:r w:rsidR="002B18A9">
        <w:rPr>
          <w:rFonts w:ascii="Times New Roman" w:eastAsia="Times New Roman" w:hAnsi="Times New Roman" w:cs="Times New Roman"/>
          <w:color w:val="0D0D0D" w:themeColor="text1" w:themeTint="F2"/>
          <w:sz w:val="26"/>
          <w:szCs w:val="26"/>
        </w:rPr>
        <w:t xml:space="preserve">to BCS </w:t>
      </w:r>
      <w:r w:rsidR="00FD4F8F">
        <w:rPr>
          <w:rFonts w:ascii="Times New Roman" w:eastAsia="Times New Roman" w:hAnsi="Times New Roman" w:cs="Times New Roman"/>
          <w:color w:val="0D0D0D" w:themeColor="text1" w:themeTint="F2"/>
          <w:sz w:val="26"/>
          <w:szCs w:val="26"/>
        </w:rPr>
        <w:t xml:space="preserve">that </w:t>
      </w:r>
      <w:r w:rsidR="00296197">
        <w:rPr>
          <w:rFonts w:ascii="Times New Roman" w:eastAsia="Times New Roman" w:hAnsi="Times New Roman" w:cs="Times New Roman"/>
          <w:color w:val="0D0D0D" w:themeColor="text1" w:themeTint="F2"/>
          <w:sz w:val="26"/>
          <w:szCs w:val="26"/>
        </w:rPr>
        <w:t>the</w:t>
      </w:r>
      <w:r w:rsidR="00557CB3">
        <w:rPr>
          <w:rFonts w:ascii="Times New Roman" w:eastAsia="Times New Roman" w:hAnsi="Times New Roman" w:cs="Times New Roman"/>
          <w:color w:val="0D0D0D" w:themeColor="text1" w:themeTint="F2"/>
          <w:sz w:val="26"/>
          <w:szCs w:val="26"/>
        </w:rPr>
        <w:t xml:space="preserve">y were denied eligibility for CRP </w:t>
      </w:r>
      <w:r w:rsidR="002B18A9">
        <w:rPr>
          <w:rFonts w:ascii="Times New Roman" w:eastAsia="Times New Roman" w:hAnsi="Times New Roman" w:cs="Times New Roman"/>
          <w:color w:val="0D0D0D" w:themeColor="text1" w:themeTint="F2"/>
          <w:sz w:val="26"/>
          <w:szCs w:val="26"/>
        </w:rPr>
        <w:t>because they could only provide annual tax returns</w:t>
      </w:r>
      <w:r w:rsidR="00D80410">
        <w:rPr>
          <w:rFonts w:ascii="Times New Roman" w:eastAsia="Times New Roman" w:hAnsi="Times New Roman" w:cs="Times New Roman"/>
          <w:color w:val="0D0D0D" w:themeColor="text1" w:themeTint="F2"/>
          <w:sz w:val="26"/>
          <w:szCs w:val="26"/>
        </w:rPr>
        <w:t xml:space="preserve"> as verification of their income</w:t>
      </w:r>
      <w:r w:rsidR="00557CB3">
        <w:rPr>
          <w:rFonts w:ascii="Times New Roman" w:eastAsia="Times New Roman" w:hAnsi="Times New Roman" w:cs="Times New Roman"/>
          <w:color w:val="0D0D0D" w:themeColor="text1" w:themeTint="F2"/>
          <w:sz w:val="26"/>
          <w:szCs w:val="26"/>
        </w:rPr>
        <w:t xml:space="preserve">.  </w:t>
      </w:r>
    </w:p>
    <w:p w:rsidR="00557CB3" w:rsidRDefault="00557CB3" w:rsidP="00927162">
      <w:pPr>
        <w:spacing w:after="0" w:line="360" w:lineRule="auto"/>
        <w:contextualSpacing/>
        <w:rPr>
          <w:rFonts w:ascii="Times New Roman" w:eastAsia="Times New Roman" w:hAnsi="Times New Roman" w:cs="Times New Roman"/>
          <w:color w:val="0D0D0D" w:themeColor="text1" w:themeTint="F2"/>
          <w:sz w:val="26"/>
          <w:szCs w:val="26"/>
        </w:rPr>
      </w:pPr>
    </w:p>
    <w:p w:rsidR="001969C9" w:rsidRDefault="000C0B68" w:rsidP="001969C9">
      <w:pPr>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ab/>
      </w:r>
      <w:r w:rsidR="001969C9">
        <w:rPr>
          <w:rFonts w:ascii="Times New Roman" w:eastAsia="Times New Roman" w:hAnsi="Times New Roman" w:cs="Times New Roman"/>
          <w:color w:val="0D0D0D" w:themeColor="text1" w:themeTint="F2"/>
          <w:sz w:val="26"/>
          <w:szCs w:val="26"/>
        </w:rPr>
        <w:t>In the Tentative Order, w</w:t>
      </w:r>
      <w:r w:rsidR="00557CB3">
        <w:rPr>
          <w:rFonts w:ascii="Times New Roman" w:eastAsia="Times New Roman" w:hAnsi="Times New Roman" w:cs="Times New Roman"/>
          <w:color w:val="0D0D0D" w:themeColor="text1" w:themeTint="F2"/>
          <w:sz w:val="26"/>
          <w:szCs w:val="26"/>
        </w:rPr>
        <w:t xml:space="preserve">e </w:t>
      </w:r>
      <w:r w:rsidR="001969C9">
        <w:rPr>
          <w:rFonts w:ascii="Times New Roman" w:eastAsia="Times New Roman" w:hAnsi="Times New Roman" w:cs="Times New Roman"/>
          <w:color w:val="0D0D0D" w:themeColor="text1" w:themeTint="F2"/>
          <w:sz w:val="26"/>
          <w:szCs w:val="26"/>
        </w:rPr>
        <w:t>questioned</w:t>
      </w:r>
      <w:r w:rsidR="00557CB3">
        <w:rPr>
          <w:rFonts w:ascii="Times New Roman" w:eastAsia="Times New Roman" w:hAnsi="Times New Roman" w:cs="Times New Roman"/>
          <w:color w:val="0D0D0D" w:themeColor="text1" w:themeTint="F2"/>
          <w:sz w:val="26"/>
          <w:szCs w:val="26"/>
        </w:rPr>
        <w:t xml:space="preserve"> PGW’s polic</w:t>
      </w:r>
      <w:r w:rsidR="00D80410">
        <w:rPr>
          <w:rFonts w:ascii="Times New Roman" w:eastAsia="Times New Roman" w:hAnsi="Times New Roman" w:cs="Times New Roman"/>
          <w:color w:val="0D0D0D" w:themeColor="text1" w:themeTint="F2"/>
          <w:sz w:val="26"/>
          <w:szCs w:val="26"/>
        </w:rPr>
        <w:t xml:space="preserve">y to reject </w:t>
      </w:r>
      <w:r w:rsidR="002B18A9">
        <w:rPr>
          <w:rFonts w:ascii="Times New Roman" w:eastAsia="Times New Roman" w:hAnsi="Times New Roman" w:cs="Times New Roman"/>
          <w:color w:val="0D0D0D" w:themeColor="text1" w:themeTint="F2"/>
          <w:sz w:val="26"/>
          <w:szCs w:val="26"/>
        </w:rPr>
        <w:t xml:space="preserve">CRP applications </w:t>
      </w:r>
      <w:r w:rsidR="00D80410">
        <w:rPr>
          <w:rFonts w:ascii="Times New Roman" w:eastAsia="Times New Roman" w:hAnsi="Times New Roman" w:cs="Times New Roman"/>
          <w:color w:val="0D0D0D" w:themeColor="text1" w:themeTint="F2"/>
          <w:sz w:val="26"/>
          <w:szCs w:val="26"/>
        </w:rPr>
        <w:t>from</w:t>
      </w:r>
      <w:r w:rsidR="002B18A9">
        <w:rPr>
          <w:rFonts w:ascii="Times New Roman" w:eastAsia="Times New Roman" w:hAnsi="Times New Roman" w:cs="Times New Roman"/>
          <w:color w:val="0D0D0D" w:themeColor="text1" w:themeTint="F2"/>
          <w:sz w:val="26"/>
          <w:szCs w:val="26"/>
        </w:rPr>
        <w:t xml:space="preserve"> </w:t>
      </w:r>
      <w:r w:rsidR="00557CB3">
        <w:rPr>
          <w:rFonts w:ascii="Times New Roman" w:eastAsia="Times New Roman" w:hAnsi="Times New Roman" w:cs="Times New Roman"/>
          <w:color w:val="0D0D0D" w:themeColor="text1" w:themeTint="F2"/>
          <w:sz w:val="26"/>
          <w:szCs w:val="26"/>
        </w:rPr>
        <w:t xml:space="preserve">self-employed customers if they are unable to provide quarterly tax returns.  </w:t>
      </w:r>
    </w:p>
    <w:p w:rsidR="00C47F76" w:rsidRPr="000C0B68" w:rsidRDefault="001520AC" w:rsidP="00231829">
      <w:pPr>
        <w:spacing w:after="0" w:line="360" w:lineRule="auto"/>
        <w:contextualSpacing/>
        <w:rPr>
          <w:rFonts w:ascii="Times New Roman" w:eastAsia="Times New Roman" w:hAnsi="Times New Roman" w:cs="Times New Roman"/>
          <w:color w:val="0D0D0D" w:themeColor="text1" w:themeTint="F2"/>
          <w:sz w:val="26"/>
          <w:szCs w:val="26"/>
        </w:rPr>
      </w:pPr>
      <w:r>
        <w:rPr>
          <w:rFonts w:ascii="Times New Roman" w:eastAsia="Times New Roman" w:hAnsi="Times New Roman" w:cs="Times New Roman"/>
          <w:color w:val="0D0D0D" w:themeColor="text1" w:themeTint="F2"/>
          <w:sz w:val="26"/>
          <w:szCs w:val="26"/>
        </w:rPr>
        <w:t>To qualify for CRP, self-employed customers are often forced to file a quarterly tax return immediately or wait until their next annual tax return is filed.  Either situation creates a delay in re</w:t>
      </w:r>
      <w:r w:rsidR="002B18A9">
        <w:rPr>
          <w:rFonts w:ascii="Times New Roman" w:eastAsia="Times New Roman" w:hAnsi="Times New Roman" w:cs="Times New Roman"/>
          <w:color w:val="0D0D0D" w:themeColor="text1" w:themeTint="F2"/>
          <w:sz w:val="26"/>
          <w:szCs w:val="26"/>
        </w:rPr>
        <w:t>ceiving CRP benefits</w:t>
      </w:r>
      <w:r w:rsidR="00D77F6F">
        <w:rPr>
          <w:rFonts w:ascii="Times New Roman" w:eastAsia="Times New Roman" w:hAnsi="Times New Roman" w:cs="Times New Roman"/>
          <w:color w:val="0D0D0D" w:themeColor="text1" w:themeTint="F2"/>
          <w:sz w:val="26"/>
          <w:szCs w:val="26"/>
        </w:rPr>
        <w:t>,</w:t>
      </w:r>
      <w:r w:rsidR="002B18A9">
        <w:rPr>
          <w:rFonts w:ascii="Times New Roman" w:eastAsia="Times New Roman" w:hAnsi="Times New Roman" w:cs="Times New Roman"/>
          <w:color w:val="0D0D0D" w:themeColor="text1" w:themeTint="F2"/>
          <w:sz w:val="26"/>
          <w:szCs w:val="26"/>
        </w:rPr>
        <w:t xml:space="preserve"> which may lead to</w:t>
      </w:r>
      <w:r>
        <w:rPr>
          <w:rFonts w:ascii="Times New Roman" w:eastAsia="Times New Roman" w:hAnsi="Times New Roman" w:cs="Times New Roman"/>
          <w:color w:val="0D0D0D" w:themeColor="text1" w:themeTint="F2"/>
          <w:sz w:val="26"/>
          <w:szCs w:val="26"/>
        </w:rPr>
        <w:t xml:space="preserve"> increased </w:t>
      </w:r>
      <w:r w:rsidR="00D80410">
        <w:rPr>
          <w:rFonts w:ascii="Times New Roman" w:eastAsia="Times New Roman" w:hAnsi="Times New Roman" w:cs="Times New Roman"/>
          <w:color w:val="0D0D0D" w:themeColor="text1" w:themeTint="F2"/>
          <w:sz w:val="26"/>
          <w:szCs w:val="26"/>
        </w:rPr>
        <w:t xml:space="preserve">utility </w:t>
      </w:r>
      <w:r>
        <w:rPr>
          <w:rFonts w:ascii="Times New Roman" w:eastAsia="Times New Roman" w:hAnsi="Times New Roman" w:cs="Times New Roman"/>
          <w:color w:val="0D0D0D" w:themeColor="text1" w:themeTint="F2"/>
          <w:sz w:val="26"/>
          <w:szCs w:val="26"/>
        </w:rPr>
        <w:t xml:space="preserve">debt and </w:t>
      </w:r>
      <w:r w:rsidR="002B18A9">
        <w:rPr>
          <w:rFonts w:ascii="Times New Roman" w:eastAsia="Times New Roman" w:hAnsi="Times New Roman" w:cs="Times New Roman"/>
          <w:color w:val="0D0D0D" w:themeColor="text1" w:themeTint="F2"/>
          <w:sz w:val="26"/>
          <w:szCs w:val="26"/>
        </w:rPr>
        <w:t xml:space="preserve">possible </w:t>
      </w:r>
      <w:r>
        <w:rPr>
          <w:rFonts w:ascii="Times New Roman" w:eastAsia="Times New Roman" w:hAnsi="Times New Roman" w:cs="Times New Roman"/>
          <w:color w:val="0D0D0D" w:themeColor="text1" w:themeTint="F2"/>
          <w:sz w:val="26"/>
          <w:szCs w:val="26"/>
        </w:rPr>
        <w:t xml:space="preserve">termination of service.  </w:t>
      </w:r>
      <w:r w:rsidR="001969C9">
        <w:rPr>
          <w:rFonts w:ascii="Times New Roman" w:eastAsia="Times New Roman" w:hAnsi="Times New Roman" w:cs="Times New Roman"/>
          <w:color w:val="0D0D0D" w:themeColor="text1" w:themeTint="F2"/>
          <w:sz w:val="26"/>
          <w:szCs w:val="26"/>
        </w:rPr>
        <w:t>W</w:t>
      </w:r>
      <w:r w:rsidR="00D80410">
        <w:rPr>
          <w:rFonts w:ascii="Times New Roman" w:eastAsia="Times New Roman" w:hAnsi="Times New Roman" w:cs="Times New Roman"/>
          <w:color w:val="0D0D0D" w:themeColor="text1" w:themeTint="F2"/>
          <w:sz w:val="26"/>
          <w:szCs w:val="26"/>
        </w:rPr>
        <w:t>e ask</w:t>
      </w:r>
      <w:r w:rsidR="001969C9">
        <w:rPr>
          <w:rFonts w:ascii="Times New Roman" w:eastAsia="Times New Roman" w:hAnsi="Times New Roman" w:cs="Times New Roman"/>
          <w:color w:val="0D0D0D" w:themeColor="text1" w:themeTint="F2"/>
          <w:sz w:val="26"/>
          <w:szCs w:val="26"/>
        </w:rPr>
        <w:t>ed</w:t>
      </w:r>
      <w:r w:rsidR="00D77F6F">
        <w:rPr>
          <w:rFonts w:ascii="Times New Roman" w:eastAsia="Times New Roman" w:hAnsi="Times New Roman" w:cs="Times New Roman"/>
          <w:color w:val="0D0D0D" w:themeColor="text1" w:themeTint="F2"/>
          <w:sz w:val="26"/>
          <w:szCs w:val="26"/>
        </w:rPr>
        <w:t xml:space="preserve"> </w:t>
      </w:r>
      <w:r>
        <w:rPr>
          <w:rFonts w:ascii="Times New Roman" w:eastAsia="Times New Roman" w:hAnsi="Times New Roman" w:cs="Times New Roman"/>
          <w:color w:val="0D0D0D" w:themeColor="text1" w:themeTint="F2"/>
          <w:sz w:val="26"/>
          <w:szCs w:val="26"/>
        </w:rPr>
        <w:t xml:space="preserve">PGW </w:t>
      </w:r>
      <w:r w:rsidR="00D80410">
        <w:rPr>
          <w:rFonts w:ascii="Times New Roman" w:eastAsia="Times New Roman" w:hAnsi="Times New Roman" w:cs="Times New Roman"/>
          <w:color w:val="0D0D0D" w:themeColor="text1" w:themeTint="F2"/>
          <w:sz w:val="26"/>
          <w:szCs w:val="26"/>
        </w:rPr>
        <w:t xml:space="preserve">to </w:t>
      </w:r>
      <w:r w:rsidR="009F48B1">
        <w:rPr>
          <w:rFonts w:ascii="Times New Roman" w:eastAsia="Times New Roman" w:hAnsi="Times New Roman" w:cs="Times New Roman"/>
          <w:color w:val="0D0D0D" w:themeColor="text1" w:themeTint="F2"/>
          <w:sz w:val="26"/>
          <w:szCs w:val="26"/>
        </w:rPr>
        <w:t xml:space="preserve">address how </w:t>
      </w:r>
      <w:r>
        <w:rPr>
          <w:rFonts w:ascii="Times New Roman" w:eastAsia="Times New Roman" w:hAnsi="Times New Roman" w:cs="Times New Roman"/>
          <w:color w:val="0D0D0D" w:themeColor="text1" w:themeTint="F2"/>
          <w:sz w:val="26"/>
          <w:szCs w:val="26"/>
        </w:rPr>
        <w:t xml:space="preserve">the </w:t>
      </w:r>
      <w:r w:rsidR="009F48B1">
        <w:rPr>
          <w:rFonts w:ascii="Times New Roman" w:eastAsia="Times New Roman" w:hAnsi="Times New Roman" w:cs="Times New Roman"/>
          <w:color w:val="0D0D0D" w:themeColor="text1" w:themeTint="F2"/>
          <w:sz w:val="26"/>
          <w:szCs w:val="26"/>
        </w:rPr>
        <w:t>Company will</w:t>
      </w:r>
      <w:r w:rsidR="008D7BED">
        <w:rPr>
          <w:rFonts w:ascii="Times New Roman" w:eastAsia="Times New Roman" w:hAnsi="Times New Roman" w:cs="Times New Roman"/>
          <w:color w:val="0D0D0D" w:themeColor="text1" w:themeTint="F2"/>
          <w:sz w:val="26"/>
          <w:szCs w:val="26"/>
        </w:rPr>
        <w:t xml:space="preserve"> amend its policy and accept annual tax returns as proof of income for self-employed </w:t>
      </w:r>
      <w:r w:rsidR="008D7BED" w:rsidRPr="008D3BFA">
        <w:rPr>
          <w:rFonts w:ascii="Times New Roman" w:eastAsia="Times New Roman" w:hAnsi="Times New Roman" w:cs="Times New Roman"/>
          <w:color w:val="0D0D0D" w:themeColor="text1" w:themeTint="F2"/>
          <w:sz w:val="26"/>
          <w:szCs w:val="26"/>
        </w:rPr>
        <w:t>customers.</w:t>
      </w:r>
      <w:r w:rsidR="001969C9">
        <w:rPr>
          <w:rFonts w:ascii="Times New Roman" w:eastAsia="Times New Roman" w:hAnsi="Times New Roman" w:cs="Times New Roman"/>
          <w:color w:val="0D0D0D" w:themeColor="text1" w:themeTint="F2"/>
          <w:sz w:val="26"/>
          <w:szCs w:val="26"/>
        </w:rPr>
        <w:t xml:space="preserve"> </w:t>
      </w:r>
    </w:p>
    <w:p w:rsidR="00C47F76" w:rsidRDefault="00C47F76" w:rsidP="00231829">
      <w:pPr>
        <w:spacing w:after="0" w:line="360" w:lineRule="auto"/>
        <w:contextualSpacing/>
        <w:rPr>
          <w:rFonts w:ascii="Times New Roman" w:eastAsia="Times New Roman" w:hAnsi="Times New Roman" w:cs="Times New Roman"/>
          <w:sz w:val="26"/>
          <w:szCs w:val="26"/>
        </w:rPr>
      </w:pPr>
    </w:p>
    <w:p w:rsidR="00AA6F42" w:rsidRPr="00EB6858" w:rsidRDefault="00AA6F42" w:rsidP="00AA6F42">
      <w:pPr>
        <w:spacing w:line="360" w:lineRule="auto"/>
        <w:contextualSpacing/>
        <w:rPr>
          <w:rFonts w:ascii="Times New Roman" w:hAnsi="Times New Roman" w:cs="Times New Roman"/>
          <w:sz w:val="26"/>
          <w:szCs w:val="26"/>
        </w:rPr>
      </w:pPr>
      <w:r>
        <w:rPr>
          <w:rFonts w:ascii="Times New Roman" w:hAnsi="Times New Roman" w:cs="Times New Roman"/>
          <w:sz w:val="26"/>
          <w:szCs w:val="26"/>
        </w:rPr>
        <w:lastRenderedPageBreak/>
        <w:tab/>
        <w:t>PGW agrees to discontinue the practice of requesting quarterly tax returns for self-employed customers and will accept annual tax returns as proof of income for these customers beginning March 2017.  PGW Supplemental Information at 13.</w:t>
      </w:r>
    </w:p>
    <w:p w:rsidR="00AA6F42" w:rsidRDefault="00AA6F42" w:rsidP="00AA6F42">
      <w:pPr>
        <w:spacing w:line="360" w:lineRule="auto"/>
        <w:contextualSpacing/>
        <w:rPr>
          <w:rFonts w:ascii="Times New Roman" w:hAnsi="Times New Roman" w:cs="Times New Roman"/>
          <w:sz w:val="26"/>
          <w:szCs w:val="26"/>
        </w:rPr>
      </w:pPr>
    </w:p>
    <w:p w:rsidR="00AA6F42" w:rsidRPr="00EB6858" w:rsidRDefault="00AA6F42" w:rsidP="00AA6F42">
      <w:pPr>
        <w:spacing w:line="360" w:lineRule="auto"/>
        <w:contextualSpacing/>
        <w:rPr>
          <w:rFonts w:ascii="Times New Roman" w:hAnsi="Times New Roman" w:cs="Times New Roman"/>
          <w:sz w:val="26"/>
          <w:szCs w:val="26"/>
        </w:rPr>
      </w:pPr>
      <w:r>
        <w:rPr>
          <w:rFonts w:ascii="Times New Roman" w:hAnsi="Times New Roman" w:cs="Times New Roman"/>
          <w:sz w:val="26"/>
          <w:szCs w:val="26"/>
        </w:rPr>
        <w:tab/>
        <w:t xml:space="preserve">TURN </w:t>
      </w:r>
      <w:r w:rsidR="006656B5" w:rsidRPr="006656B5">
        <w:rPr>
          <w:rFonts w:ascii="Times New Roman" w:hAnsi="Times New Roman" w:cs="Times New Roman"/>
          <w:i/>
          <w:sz w:val="26"/>
          <w:szCs w:val="26"/>
        </w:rPr>
        <w:t>et al</w:t>
      </w:r>
      <w:r>
        <w:rPr>
          <w:rFonts w:ascii="Times New Roman" w:hAnsi="Times New Roman" w:cs="Times New Roman"/>
          <w:sz w:val="26"/>
          <w:szCs w:val="26"/>
        </w:rPr>
        <w:t>. submits that PGW should allow self-employed customers to provide a “reasonable” accounti</w:t>
      </w:r>
      <w:r w:rsidR="00C76FDE">
        <w:rPr>
          <w:rFonts w:ascii="Times New Roman" w:hAnsi="Times New Roman" w:cs="Times New Roman"/>
          <w:sz w:val="26"/>
          <w:szCs w:val="26"/>
        </w:rPr>
        <w:t>ng of income if they d</w:t>
      </w:r>
      <w:r w:rsidR="00096A7E">
        <w:rPr>
          <w:rFonts w:ascii="Times New Roman" w:hAnsi="Times New Roman" w:cs="Times New Roman"/>
          <w:sz w:val="26"/>
          <w:szCs w:val="26"/>
        </w:rPr>
        <w:t xml:space="preserve">id not file </w:t>
      </w:r>
      <w:r>
        <w:rPr>
          <w:rFonts w:ascii="Times New Roman" w:hAnsi="Times New Roman" w:cs="Times New Roman"/>
          <w:sz w:val="26"/>
          <w:szCs w:val="26"/>
        </w:rPr>
        <w:t xml:space="preserve">an annual tax return.  TURN </w:t>
      </w:r>
      <w:r w:rsidR="006656B5" w:rsidRPr="006656B5">
        <w:rPr>
          <w:rFonts w:ascii="Times New Roman" w:hAnsi="Times New Roman" w:cs="Times New Roman"/>
          <w:i/>
          <w:sz w:val="26"/>
          <w:szCs w:val="26"/>
        </w:rPr>
        <w:t>et al</w:t>
      </w:r>
      <w:r>
        <w:rPr>
          <w:rFonts w:ascii="Times New Roman" w:hAnsi="Times New Roman" w:cs="Times New Roman"/>
          <w:sz w:val="26"/>
          <w:szCs w:val="26"/>
        </w:rPr>
        <w:t xml:space="preserve">. notes that there could be situations where self-employed customers have not filed tax return yet or are not required to file one.  TURN </w:t>
      </w:r>
      <w:r w:rsidR="006656B5" w:rsidRPr="006656B5">
        <w:rPr>
          <w:rFonts w:ascii="Times New Roman" w:hAnsi="Times New Roman" w:cs="Times New Roman"/>
          <w:i/>
          <w:sz w:val="26"/>
          <w:szCs w:val="26"/>
        </w:rPr>
        <w:t>et al</w:t>
      </w:r>
      <w:r>
        <w:rPr>
          <w:rFonts w:ascii="Times New Roman" w:hAnsi="Times New Roman" w:cs="Times New Roman"/>
          <w:sz w:val="26"/>
          <w:szCs w:val="26"/>
        </w:rPr>
        <w:t xml:space="preserve">. recommends the Commission require PGW to adopt a flexible standard in accepting income from self-employed customers.  TURN </w:t>
      </w:r>
      <w:r w:rsidR="006656B5" w:rsidRPr="006656B5">
        <w:rPr>
          <w:rFonts w:ascii="Times New Roman" w:hAnsi="Times New Roman" w:cs="Times New Roman"/>
          <w:i/>
          <w:sz w:val="26"/>
          <w:szCs w:val="26"/>
        </w:rPr>
        <w:t>et al</w:t>
      </w:r>
      <w:r>
        <w:rPr>
          <w:rFonts w:ascii="Times New Roman" w:hAnsi="Times New Roman" w:cs="Times New Roman"/>
          <w:sz w:val="26"/>
          <w:szCs w:val="26"/>
        </w:rPr>
        <w:t xml:space="preserve">. at 12-13.  </w:t>
      </w:r>
    </w:p>
    <w:p w:rsidR="00AA6F42" w:rsidRDefault="00AA6F42" w:rsidP="00AA6F42">
      <w:pPr>
        <w:spacing w:line="360" w:lineRule="auto"/>
        <w:contextualSpacing/>
        <w:rPr>
          <w:rFonts w:ascii="Times New Roman" w:hAnsi="Times New Roman" w:cs="Times New Roman"/>
          <w:sz w:val="26"/>
          <w:szCs w:val="26"/>
        </w:rPr>
      </w:pPr>
    </w:p>
    <w:p w:rsidR="00AA6F42" w:rsidRDefault="00AA6F42" w:rsidP="00AA6F42">
      <w:pPr>
        <w:spacing w:line="360" w:lineRule="auto"/>
        <w:contextualSpacing/>
        <w:rPr>
          <w:rFonts w:ascii="Times New Roman" w:hAnsi="Times New Roman" w:cs="Times New Roman"/>
          <w:sz w:val="26"/>
          <w:szCs w:val="26"/>
        </w:rPr>
      </w:pPr>
      <w:r>
        <w:rPr>
          <w:rFonts w:ascii="Times New Roman" w:hAnsi="Times New Roman" w:cs="Times New Roman"/>
          <w:sz w:val="26"/>
          <w:szCs w:val="26"/>
        </w:rPr>
        <w:tab/>
        <w:t xml:space="preserve">OCA agrees with TURN </w:t>
      </w:r>
      <w:r w:rsidR="006656B5" w:rsidRPr="006656B5">
        <w:rPr>
          <w:rFonts w:ascii="Times New Roman" w:hAnsi="Times New Roman" w:cs="Times New Roman"/>
          <w:i/>
          <w:sz w:val="26"/>
          <w:szCs w:val="26"/>
        </w:rPr>
        <w:t>et al</w:t>
      </w:r>
      <w:r>
        <w:rPr>
          <w:rFonts w:ascii="Times New Roman" w:hAnsi="Times New Roman" w:cs="Times New Roman"/>
          <w:sz w:val="26"/>
          <w:szCs w:val="26"/>
        </w:rPr>
        <w:t xml:space="preserve">. that PGW should be flexible in its requirements for income documentation of self-employment.  OCA notes that a self-employed individual’s income can vary significantly from year to year and an annual tax return may have dated information.  OCA Reply Comments at 3-4.   </w:t>
      </w:r>
    </w:p>
    <w:p w:rsidR="00AA6F42" w:rsidRDefault="00AA6F42" w:rsidP="00AA6F42">
      <w:pPr>
        <w:spacing w:line="360" w:lineRule="auto"/>
        <w:contextualSpacing/>
        <w:rPr>
          <w:rFonts w:ascii="Times New Roman" w:hAnsi="Times New Roman" w:cs="Times New Roman"/>
          <w:sz w:val="26"/>
          <w:szCs w:val="26"/>
        </w:rPr>
      </w:pPr>
    </w:p>
    <w:p w:rsidR="00AA6F42" w:rsidRDefault="00AA6F42" w:rsidP="00AA6F42">
      <w:pPr>
        <w:spacing w:after="0" w:line="360" w:lineRule="auto"/>
        <w:contextualSpacing/>
        <w:rPr>
          <w:rFonts w:ascii="Times New Roman" w:eastAsia="Times New Roman" w:hAnsi="Times New Roman" w:cs="Times New Roman"/>
          <w:sz w:val="26"/>
          <w:szCs w:val="26"/>
        </w:rPr>
      </w:pPr>
      <w:r>
        <w:rPr>
          <w:rFonts w:ascii="Times New Roman" w:hAnsi="Times New Roman" w:cs="Times New Roman"/>
          <w:sz w:val="26"/>
          <w:szCs w:val="26"/>
        </w:rPr>
        <w:tab/>
        <w:t>PGW notes that all self-employed persons who reside in Pennsylvania full or part-time are required to file a state tax return if they have gross taxable income exceeding $33 and/or they incur a loss from a transaction.  Due to these requirements, PGW st</w:t>
      </w:r>
      <w:r w:rsidR="00C76FDE">
        <w:rPr>
          <w:rFonts w:ascii="Times New Roman" w:hAnsi="Times New Roman" w:cs="Times New Roman"/>
          <w:sz w:val="26"/>
          <w:szCs w:val="26"/>
        </w:rPr>
        <w:t>ates that requiring customers to provide</w:t>
      </w:r>
      <w:r>
        <w:rPr>
          <w:rFonts w:ascii="Times New Roman" w:hAnsi="Times New Roman" w:cs="Times New Roman"/>
          <w:sz w:val="26"/>
          <w:szCs w:val="26"/>
        </w:rPr>
        <w:t xml:space="preserve"> tax forms to verify self-employment income is reasonable.  The Company asserts that it will accept any Pennsylvania tax form as proof of income.  PGW Reply Comments at 17-18.</w:t>
      </w:r>
    </w:p>
    <w:p w:rsidR="00AA6F42" w:rsidRDefault="00AA6F42" w:rsidP="00231829">
      <w:pPr>
        <w:spacing w:after="0" w:line="360" w:lineRule="auto"/>
        <w:contextualSpacing/>
        <w:rPr>
          <w:rFonts w:ascii="Times New Roman" w:eastAsia="Times New Roman" w:hAnsi="Times New Roman" w:cs="Times New Roman"/>
          <w:sz w:val="26"/>
          <w:szCs w:val="26"/>
        </w:rPr>
      </w:pPr>
    </w:p>
    <w:p w:rsidR="008B0692" w:rsidRDefault="00AA6F42" w:rsidP="00231829">
      <w:pPr>
        <w:spacing w:after="0" w:line="360" w:lineRule="auto"/>
        <w:contextualSpacing/>
        <w:rPr>
          <w:rFonts w:ascii="Times New Roman" w:eastAsia="Times New Roman" w:hAnsi="Times New Roman" w:cs="Times New Roman"/>
          <w:sz w:val="26"/>
          <w:szCs w:val="26"/>
        </w:rPr>
      </w:pPr>
      <w:r w:rsidRPr="00342A79">
        <w:rPr>
          <w:rFonts w:ascii="Times New Roman" w:eastAsia="Times New Roman" w:hAnsi="Times New Roman" w:cs="Times New Roman"/>
          <w:i/>
          <w:sz w:val="26"/>
          <w:szCs w:val="26"/>
        </w:rPr>
        <w:t>Resolution</w:t>
      </w:r>
      <w:r>
        <w:rPr>
          <w:rFonts w:ascii="Times New Roman" w:eastAsia="Times New Roman" w:hAnsi="Times New Roman" w:cs="Times New Roman"/>
          <w:sz w:val="26"/>
          <w:szCs w:val="26"/>
        </w:rPr>
        <w:t>:</w:t>
      </w:r>
      <w:r w:rsidR="00C76FDE">
        <w:rPr>
          <w:rFonts w:ascii="Times New Roman" w:eastAsia="Times New Roman" w:hAnsi="Times New Roman" w:cs="Times New Roman"/>
          <w:sz w:val="26"/>
          <w:szCs w:val="26"/>
        </w:rPr>
        <w:t xml:space="preserve">  </w:t>
      </w:r>
      <w:r w:rsidR="008B0692">
        <w:rPr>
          <w:rFonts w:ascii="Times New Roman" w:eastAsia="Times New Roman" w:hAnsi="Times New Roman" w:cs="Times New Roman"/>
          <w:sz w:val="26"/>
          <w:szCs w:val="26"/>
        </w:rPr>
        <w:t xml:space="preserve">The </w:t>
      </w:r>
      <w:r w:rsidR="00F151C5">
        <w:rPr>
          <w:rFonts w:ascii="Times New Roman" w:eastAsia="Times New Roman" w:hAnsi="Times New Roman" w:cs="Times New Roman"/>
          <w:sz w:val="26"/>
          <w:szCs w:val="26"/>
        </w:rPr>
        <w:t xml:space="preserve">CAP </w:t>
      </w:r>
      <w:r w:rsidR="008B0692">
        <w:rPr>
          <w:rFonts w:ascii="Times New Roman" w:eastAsia="Times New Roman" w:hAnsi="Times New Roman" w:cs="Times New Roman"/>
          <w:sz w:val="26"/>
          <w:szCs w:val="26"/>
        </w:rPr>
        <w:t xml:space="preserve">Policy Statement </w:t>
      </w:r>
      <w:r w:rsidR="004236C6">
        <w:rPr>
          <w:rFonts w:ascii="Times New Roman" w:eastAsia="Times New Roman" w:hAnsi="Times New Roman" w:cs="Times New Roman"/>
          <w:sz w:val="26"/>
          <w:szCs w:val="26"/>
        </w:rPr>
        <w:t>does not specify what documents a utility should accept as proof of income for CAP</w:t>
      </w:r>
      <w:r w:rsidR="00342A79">
        <w:rPr>
          <w:rFonts w:ascii="Times New Roman" w:eastAsia="Times New Roman" w:hAnsi="Times New Roman" w:cs="Times New Roman"/>
          <w:sz w:val="26"/>
          <w:szCs w:val="26"/>
        </w:rPr>
        <w:t xml:space="preserve"> eligibility.  However, a</w:t>
      </w:r>
      <w:r w:rsidR="004236C6">
        <w:rPr>
          <w:rFonts w:ascii="Times New Roman" w:eastAsia="Times New Roman" w:hAnsi="Times New Roman" w:cs="Times New Roman"/>
          <w:sz w:val="26"/>
          <w:szCs w:val="26"/>
        </w:rPr>
        <w:t>s a LIHEAP grant is often acc</w:t>
      </w:r>
      <w:r w:rsidR="00342A79">
        <w:rPr>
          <w:rFonts w:ascii="Times New Roman" w:eastAsia="Times New Roman" w:hAnsi="Times New Roman" w:cs="Times New Roman"/>
          <w:sz w:val="26"/>
          <w:szCs w:val="26"/>
        </w:rPr>
        <w:t>epted by utilities as verification that a household is</w:t>
      </w:r>
      <w:r w:rsidR="004236C6">
        <w:rPr>
          <w:rFonts w:ascii="Times New Roman" w:eastAsia="Times New Roman" w:hAnsi="Times New Roman" w:cs="Times New Roman"/>
          <w:sz w:val="26"/>
          <w:szCs w:val="26"/>
        </w:rPr>
        <w:t xml:space="preserve"> low-income,</w:t>
      </w:r>
      <w:r w:rsidR="00ED5135">
        <w:rPr>
          <w:rStyle w:val="FootnoteReference"/>
          <w:rFonts w:ascii="Times New Roman" w:eastAsia="Times New Roman" w:hAnsi="Times New Roman" w:cs="Times New Roman"/>
          <w:sz w:val="26"/>
          <w:szCs w:val="26"/>
        </w:rPr>
        <w:footnoteReference w:id="17"/>
      </w:r>
      <w:r w:rsidR="004236C6">
        <w:rPr>
          <w:rFonts w:ascii="Times New Roman" w:eastAsia="Times New Roman" w:hAnsi="Times New Roman" w:cs="Times New Roman"/>
          <w:sz w:val="26"/>
          <w:szCs w:val="26"/>
        </w:rPr>
        <w:t xml:space="preserve"> </w:t>
      </w:r>
      <w:r w:rsidR="00016453">
        <w:rPr>
          <w:rFonts w:ascii="Times New Roman" w:eastAsia="Times New Roman" w:hAnsi="Times New Roman" w:cs="Times New Roman"/>
          <w:sz w:val="26"/>
          <w:szCs w:val="26"/>
        </w:rPr>
        <w:t>BCS</w:t>
      </w:r>
      <w:r w:rsidR="00ED5135">
        <w:rPr>
          <w:rFonts w:ascii="Times New Roman" w:eastAsia="Times New Roman" w:hAnsi="Times New Roman" w:cs="Times New Roman"/>
          <w:sz w:val="26"/>
          <w:szCs w:val="26"/>
        </w:rPr>
        <w:t xml:space="preserve"> </w:t>
      </w:r>
      <w:r w:rsidR="00016453">
        <w:rPr>
          <w:rFonts w:ascii="Times New Roman" w:eastAsia="Times New Roman" w:hAnsi="Times New Roman" w:cs="Times New Roman"/>
          <w:sz w:val="26"/>
          <w:szCs w:val="26"/>
        </w:rPr>
        <w:t xml:space="preserve">often </w:t>
      </w:r>
      <w:r w:rsidR="00ED5135">
        <w:rPr>
          <w:rFonts w:ascii="Times New Roman" w:eastAsia="Times New Roman" w:hAnsi="Times New Roman" w:cs="Times New Roman"/>
          <w:sz w:val="26"/>
          <w:szCs w:val="26"/>
        </w:rPr>
        <w:t>advise</w:t>
      </w:r>
      <w:r w:rsidR="00016453">
        <w:rPr>
          <w:rFonts w:ascii="Times New Roman" w:eastAsia="Times New Roman" w:hAnsi="Times New Roman" w:cs="Times New Roman"/>
          <w:sz w:val="26"/>
          <w:szCs w:val="26"/>
        </w:rPr>
        <w:t>s</w:t>
      </w:r>
      <w:r w:rsidR="00ED5135">
        <w:rPr>
          <w:rFonts w:ascii="Times New Roman" w:eastAsia="Times New Roman" w:hAnsi="Times New Roman" w:cs="Times New Roman"/>
          <w:sz w:val="26"/>
          <w:szCs w:val="26"/>
        </w:rPr>
        <w:t xml:space="preserve"> </w:t>
      </w:r>
      <w:r w:rsidR="00ED5135">
        <w:rPr>
          <w:rFonts w:ascii="Times New Roman" w:eastAsia="Times New Roman" w:hAnsi="Times New Roman" w:cs="Times New Roman"/>
          <w:sz w:val="26"/>
          <w:szCs w:val="26"/>
        </w:rPr>
        <w:lastRenderedPageBreak/>
        <w:t xml:space="preserve">companies </w:t>
      </w:r>
      <w:r w:rsidR="00342A79">
        <w:rPr>
          <w:rFonts w:ascii="Times New Roman" w:eastAsia="Times New Roman" w:hAnsi="Times New Roman" w:cs="Times New Roman"/>
          <w:sz w:val="26"/>
          <w:szCs w:val="26"/>
        </w:rPr>
        <w:t xml:space="preserve">to consider whether </w:t>
      </w:r>
      <w:r w:rsidR="0052639D">
        <w:rPr>
          <w:rFonts w:ascii="Times New Roman" w:eastAsia="Times New Roman" w:hAnsi="Times New Roman" w:cs="Times New Roman"/>
          <w:sz w:val="26"/>
          <w:szCs w:val="26"/>
        </w:rPr>
        <w:t>disputed</w:t>
      </w:r>
      <w:r w:rsidR="002A5747">
        <w:rPr>
          <w:rFonts w:ascii="Times New Roman" w:eastAsia="Times New Roman" w:hAnsi="Times New Roman" w:cs="Times New Roman"/>
          <w:sz w:val="26"/>
          <w:szCs w:val="26"/>
        </w:rPr>
        <w:t xml:space="preserve"> </w:t>
      </w:r>
      <w:r w:rsidR="00016453">
        <w:rPr>
          <w:rFonts w:ascii="Times New Roman" w:eastAsia="Times New Roman" w:hAnsi="Times New Roman" w:cs="Times New Roman"/>
          <w:sz w:val="26"/>
          <w:szCs w:val="26"/>
        </w:rPr>
        <w:t>income documentation would</w:t>
      </w:r>
      <w:r w:rsidR="002A5747">
        <w:rPr>
          <w:rFonts w:ascii="Times New Roman" w:eastAsia="Times New Roman" w:hAnsi="Times New Roman" w:cs="Times New Roman"/>
          <w:sz w:val="26"/>
          <w:szCs w:val="26"/>
        </w:rPr>
        <w:t xml:space="preserve"> </w:t>
      </w:r>
      <w:r w:rsidR="00016453">
        <w:rPr>
          <w:rFonts w:ascii="Times New Roman" w:eastAsia="Times New Roman" w:hAnsi="Times New Roman" w:cs="Times New Roman"/>
          <w:sz w:val="26"/>
          <w:szCs w:val="26"/>
        </w:rPr>
        <w:t xml:space="preserve">be accepted </w:t>
      </w:r>
      <w:r w:rsidR="00342A79">
        <w:rPr>
          <w:rFonts w:ascii="Times New Roman" w:eastAsia="Times New Roman" w:hAnsi="Times New Roman" w:cs="Times New Roman"/>
          <w:sz w:val="26"/>
          <w:szCs w:val="26"/>
        </w:rPr>
        <w:t xml:space="preserve">by DHS </w:t>
      </w:r>
      <w:r w:rsidR="00016453">
        <w:rPr>
          <w:rFonts w:ascii="Times New Roman" w:eastAsia="Times New Roman" w:hAnsi="Times New Roman" w:cs="Times New Roman"/>
          <w:sz w:val="26"/>
          <w:szCs w:val="26"/>
        </w:rPr>
        <w:t>for LIHEAP</w:t>
      </w:r>
      <w:r w:rsidR="00342A79">
        <w:rPr>
          <w:rFonts w:ascii="Times New Roman" w:eastAsia="Times New Roman" w:hAnsi="Times New Roman" w:cs="Times New Roman"/>
          <w:sz w:val="26"/>
          <w:szCs w:val="26"/>
        </w:rPr>
        <w:t xml:space="preserve"> eligibility</w:t>
      </w:r>
      <w:r w:rsidR="00016453">
        <w:rPr>
          <w:rFonts w:ascii="Times New Roman" w:eastAsia="Times New Roman" w:hAnsi="Times New Roman" w:cs="Times New Roman"/>
          <w:sz w:val="26"/>
          <w:szCs w:val="26"/>
        </w:rPr>
        <w:t>.</w:t>
      </w:r>
    </w:p>
    <w:p w:rsidR="008B0692" w:rsidRDefault="008B0692" w:rsidP="00231829">
      <w:pPr>
        <w:spacing w:after="0" w:line="360" w:lineRule="auto"/>
        <w:contextualSpacing/>
        <w:rPr>
          <w:rFonts w:ascii="Times New Roman" w:eastAsia="Times New Roman" w:hAnsi="Times New Roman" w:cs="Times New Roman"/>
          <w:sz w:val="26"/>
          <w:szCs w:val="26"/>
        </w:rPr>
      </w:pPr>
    </w:p>
    <w:p w:rsidR="00613F16" w:rsidRDefault="00892A1C" w:rsidP="00231829">
      <w:pPr>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8B0692">
        <w:rPr>
          <w:rFonts w:ascii="Times New Roman" w:eastAsia="Times New Roman" w:hAnsi="Times New Roman" w:cs="Times New Roman"/>
          <w:sz w:val="26"/>
          <w:szCs w:val="26"/>
        </w:rPr>
        <w:t>In Section 601.82 of the LIHEAP State Plan,</w:t>
      </w:r>
      <w:r w:rsidR="00380DD0">
        <w:rPr>
          <w:rStyle w:val="FootnoteReference"/>
          <w:rFonts w:ascii="Times New Roman" w:eastAsia="Times New Roman" w:hAnsi="Times New Roman" w:cs="Times New Roman"/>
          <w:sz w:val="26"/>
          <w:szCs w:val="26"/>
        </w:rPr>
        <w:footnoteReference w:id="18"/>
      </w:r>
      <w:r w:rsidR="008B0692">
        <w:rPr>
          <w:rFonts w:ascii="Times New Roman" w:eastAsia="Times New Roman" w:hAnsi="Times New Roman" w:cs="Times New Roman"/>
          <w:sz w:val="26"/>
          <w:szCs w:val="26"/>
        </w:rPr>
        <w:t xml:space="preserve"> DHS provides a description of earned and unearned income counted in determining </w:t>
      </w:r>
      <w:r w:rsidR="00342A79">
        <w:rPr>
          <w:rFonts w:ascii="Times New Roman" w:eastAsia="Times New Roman" w:hAnsi="Times New Roman" w:cs="Times New Roman"/>
          <w:sz w:val="26"/>
          <w:szCs w:val="26"/>
        </w:rPr>
        <w:t xml:space="preserve">eligibility for </w:t>
      </w:r>
      <w:r w:rsidR="008B0692">
        <w:rPr>
          <w:rFonts w:ascii="Times New Roman" w:eastAsia="Times New Roman" w:hAnsi="Times New Roman" w:cs="Times New Roman"/>
          <w:sz w:val="26"/>
          <w:szCs w:val="26"/>
        </w:rPr>
        <w:t xml:space="preserve">LIHEAP.  The LIHEAP State Plan defines </w:t>
      </w:r>
      <w:r w:rsidR="00F151C5">
        <w:rPr>
          <w:rFonts w:ascii="Times New Roman" w:eastAsia="Times New Roman" w:hAnsi="Times New Roman" w:cs="Times New Roman"/>
          <w:sz w:val="26"/>
          <w:szCs w:val="26"/>
        </w:rPr>
        <w:t>self-employment income as “</w:t>
      </w:r>
      <w:r w:rsidR="00F151C5" w:rsidRPr="00F151C5">
        <w:rPr>
          <w:rFonts w:ascii="Times New Roman" w:eastAsia="Times New Roman" w:hAnsi="Times New Roman" w:cs="Times New Roman"/>
          <w:sz w:val="26"/>
          <w:szCs w:val="26"/>
        </w:rPr>
        <w:t>gross receipts minus costs of operating a business or farm, practicing a profession, providing day-care for children in an approved family day-care facility, or renting nonresident real property.</w:t>
      </w:r>
      <w:r w:rsidR="00F151C5">
        <w:rPr>
          <w:rFonts w:ascii="Times New Roman" w:eastAsia="Times New Roman" w:hAnsi="Times New Roman" w:cs="Times New Roman"/>
          <w:sz w:val="26"/>
          <w:szCs w:val="26"/>
        </w:rPr>
        <w:t>”  Section 601.82 (2)</w:t>
      </w:r>
      <w:r w:rsidR="005B6D99">
        <w:rPr>
          <w:rFonts w:ascii="Times New Roman" w:eastAsia="Times New Roman" w:hAnsi="Times New Roman" w:cs="Times New Roman"/>
          <w:sz w:val="26"/>
          <w:szCs w:val="26"/>
        </w:rPr>
        <w:t>.</w:t>
      </w:r>
      <w:r w:rsidR="00380DD0">
        <w:rPr>
          <w:rStyle w:val="FootnoteReference"/>
          <w:rFonts w:ascii="Times New Roman" w:eastAsia="Times New Roman" w:hAnsi="Times New Roman" w:cs="Times New Roman"/>
          <w:sz w:val="26"/>
          <w:szCs w:val="26"/>
        </w:rPr>
        <w:footnoteReference w:id="19"/>
      </w:r>
      <w:r w:rsidR="00F151C5">
        <w:rPr>
          <w:rFonts w:ascii="Times New Roman" w:eastAsia="Times New Roman" w:hAnsi="Times New Roman" w:cs="Times New Roman"/>
          <w:sz w:val="26"/>
          <w:szCs w:val="26"/>
        </w:rPr>
        <w:t xml:space="preserve">  </w:t>
      </w:r>
      <w:r w:rsidR="00016453">
        <w:rPr>
          <w:rFonts w:ascii="Times New Roman" w:eastAsia="Times New Roman" w:hAnsi="Times New Roman" w:cs="Times New Roman"/>
          <w:sz w:val="26"/>
          <w:szCs w:val="26"/>
        </w:rPr>
        <w:t>However, the LIHEAP State Plan</w:t>
      </w:r>
      <w:r w:rsidR="00380DD0">
        <w:rPr>
          <w:rFonts w:ascii="Times New Roman" w:eastAsia="Times New Roman" w:hAnsi="Times New Roman" w:cs="Times New Roman"/>
          <w:sz w:val="26"/>
          <w:szCs w:val="26"/>
        </w:rPr>
        <w:t xml:space="preserve"> does not </w:t>
      </w:r>
      <w:r w:rsidR="00016453">
        <w:rPr>
          <w:rFonts w:ascii="Times New Roman" w:eastAsia="Times New Roman" w:hAnsi="Times New Roman" w:cs="Times New Roman"/>
          <w:sz w:val="26"/>
          <w:szCs w:val="26"/>
        </w:rPr>
        <w:t xml:space="preserve">identify what documentation </w:t>
      </w:r>
      <w:r w:rsidR="00F73771">
        <w:rPr>
          <w:rFonts w:ascii="Times New Roman" w:eastAsia="Times New Roman" w:hAnsi="Times New Roman" w:cs="Times New Roman"/>
          <w:sz w:val="26"/>
          <w:szCs w:val="26"/>
        </w:rPr>
        <w:t>DHS accepts</w:t>
      </w:r>
      <w:r w:rsidR="00016453">
        <w:rPr>
          <w:rFonts w:ascii="Times New Roman" w:eastAsia="Times New Roman" w:hAnsi="Times New Roman" w:cs="Times New Roman"/>
          <w:sz w:val="26"/>
          <w:szCs w:val="26"/>
        </w:rPr>
        <w:t xml:space="preserve"> to verify gross profits from self-employment and deductible operating costs.</w:t>
      </w:r>
      <w:r w:rsidR="00F73771">
        <w:rPr>
          <w:rFonts w:ascii="Times New Roman" w:eastAsia="Times New Roman" w:hAnsi="Times New Roman" w:cs="Times New Roman"/>
          <w:sz w:val="26"/>
          <w:szCs w:val="26"/>
        </w:rPr>
        <w:t xml:space="preserve">  </w:t>
      </w:r>
    </w:p>
    <w:p w:rsidR="00613F16" w:rsidRDefault="00613F16" w:rsidP="00231829">
      <w:pPr>
        <w:spacing w:after="0" w:line="360" w:lineRule="auto"/>
        <w:contextualSpacing/>
        <w:rPr>
          <w:rFonts w:ascii="Times New Roman" w:eastAsia="Times New Roman" w:hAnsi="Times New Roman" w:cs="Times New Roman"/>
          <w:sz w:val="26"/>
          <w:szCs w:val="26"/>
        </w:rPr>
      </w:pPr>
    </w:p>
    <w:p w:rsidR="008B0692" w:rsidRDefault="00892A1C" w:rsidP="00231829">
      <w:pPr>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2A5747">
        <w:rPr>
          <w:rFonts w:ascii="Times New Roman" w:eastAsia="Times New Roman" w:hAnsi="Times New Roman" w:cs="Times New Roman"/>
          <w:sz w:val="26"/>
          <w:szCs w:val="26"/>
        </w:rPr>
        <w:t>It is our understanding that PGW’s determination of self-employment income is consistent with the LIHEAP State Plan.  The Company uses tax returns to verify a household’s self-employment income and deductible operating costs.  In response to the concerns raised in the Tentative Order</w:t>
      </w:r>
      <w:r w:rsidR="00055D9D">
        <w:rPr>
          <w:rFonts w:ascii="Times New Roman" w:eastAsia="Times New Roman" w:hAnsi="Times New Roman" w:cs="Times New Roman"/>
          <w:sz w:val="26"/>
          <w:szCs w:val="26"/>
        </w:rPr>
        <w:t>, PGW</w:t>
      </w:r>
      <w:r w:rsidR="002A5747">
        <w:rPr>
          <w:rFonts w:ascii="Times New Roman" w:eastAsia="Times New Roman" w:hAnsi="Times New Roman" w:cs="Times New Roman"/>
          <w:sz w:val="26"/>
          <w:szCs w:val="26"/>
        </w:rPr>
        <w:t xml:space="preserve"> </w:t>
      </w:r>
      <w:r w:rsidR="00F73771">
        <w:rPr>
          <w:rFonts w:ascii="Times New Roman" w:eastAsia="Times New Roman" w:hAnsi="Times New Roman" w:cs="Times New Roman"/>
          <w:sz w:val="26"/>
          <w:szCs w:val="26"/>
        </w:rPr>
        <w:t xml:space="preserve">has </w:t>
      </w:r>
      <w:r w:rsidR="00613F16">
        <w:rPr>
          <w:rFonts w:ascii="Times New Roman" w:eastAsia="Times New Roman" w:hAnsi="Times New Roman" w:cs="Times New Roman"/>
          <w:sz w:val="26"/>
          <w:szCs w:val="26"/>
        </w:rPr>
        <w:t>agreed to modify its income documentation requirements for self-employed customers.  These customer</w:t>
      </w:r>
      <w:r w:rsidR="00BE0691">
        <w:rPr>
          <w:rFonts w:ascii="Times New Roman" w:eastAsia="Times New Roman" w:hAnsi="Times New Roman" w:cs="Times New Roman"/>
          <w:sz w:val="26"/>
          <w:szCs w:val="26"/>
        </w:rPr>
        <w:t>s</w:t>
      </w:r>
      <w:r w:rsidR="00613F16">
        <w:rPr>
          <w:rFonts w:ascii="Times New Roman" w:eastAsia="Times New Roman" w:hAnsi="Times New Roman" w:cs="Times New Roman"/>
          <w:sz w:val="26"/>
          <w:szCs w:val="26"/>
        </w:rPr>
        <w:t xml:space="preserve"> are no longer required to provide quarterly tax returns to qualify for CRP.  PGW will now </w:t>
      </w:r>
      <w:r w:rsidR="00F73771">
        <w:rPr>
          <w:rFonts w:ascii="Times New Roman" w:eastAsia="Times New Roman" w:hAnsi="Times New Roman" w:cs="Times New Roman"/>
          <w:sz w:val="26"/>
          <w:szCs w:val="26"/>
        </w:rPr>
        <w:t xml:space="preserve">accept </w:t>
      </w:r>
      <w:r w:rsidR="00613F16">
        <w:rPr>
          <w:rFonts w:ascii="Times New Roman" w:eastAsia="Times New Roman" w:hAnsi="Times New Roman" w:cs="Times New Roman"/>
          <w:sz w:val="26"/>
          <w:szCs w:val="26"/>
        </w:rPr>
        <w:t xml:space="preserve">annual tax returns and </w:t>
      </w:r>
      <w:r w:rsidR="00F73771">
        <w:rPr>
          <w:rFonts w:ascii="Times New Roman" w:eastAsia="Times New Roman" w:hAnsi="Times New Roman" w:cs="Times New Roman"/>
          <w:sz w:val="26"/>
          <w:szCs w:val="26"/>
        </w:rPr>
        <w:t xml:space="preserve">any </w:t>
      </w:r>
      <w:r w:rsidR="0052639D">
        <w:rPr>
          <w:rFonts w:ascii="Times New Roman" w:eastAsia="Times New Roman" w:hAnsi="Times New Roman" w:cs="Times New Roman"/>
          <w:sz w:val="26"/>
          <w:szCs w:val="26"/>
        </w:rPr>
        <w:t xml:space="preserve">filed </w:t>
      </w:r>
      <w:r w:rsidR="00613F16">
        <w:rPr>
          <w:rFonts w:ascii="Times New Roman" w:eastAsia="Times New Roman" w:hAnsi="Times New Roman" w:cs="Times New Roman"/>
          <w:sz w:val="26"/>
          <w:szCs w:val="26"/>
        </w:rPr>
        <w:t xml:space="preserve">Pennsylvania </w:t>
      </w:r>
      <w:r w:rsidR="00F73771">
        <w:rPr>
          <w:rFonts w:ascii="Times New Roman" w:eastAsia="Times New Roman" w:hAnsi="Times New Roman" w:cs="Times New Roman"/>
          <w:sz w:val="26"/>
          <w:szCs w:val="26"/>
        </w:rPr>
        <w:t>tax forms.</w:t>
      </w:r>
      <w:r w:rsidR="00613F16">
        <w:rPr>
          <w:rFonts w:ascii="Times New Roman" w:eastAsia="Times New Roman" w:hAnsi="Times New Roman" w:cs="Times New Roman"/>
          <w:sz w:val="26"/>
          <w:szCs w:val="26"/>
        </w:rPr>
        <w:t xml:space="preserve">  We find </w:t>
      </w:r>
      <w:r w:rsidR="002C033F">
        <w:rPr>
          <w:rFonts w:ascii="Times New Roman" w:eastAsia="Times New Roman" w:hAnsi="Times New Roman" w:cs="Times New Roman"/>
          <w:sz w:val="26"/>
          <w:szCs w:val="26"/>
        </w:rPr>
        <w:t>this modification reasonable.</w:t>
      </w:r>
    </w:p>
    <w:p w:rsidR="00F73771" w:rsidRDefault="00F73771" w:rsidP="00231829">
      <w:pPr>
        <w:spacing w:after="0" w:line="360" w:lineRule="auto"/>
        <w:contextualSpacing/>
        <w:rPr>
          <w:rFonts w:ascii="Times New Roman" w:eastAsia="Times New Roman" w:hAnsi="Times New Roman" w:cs="Times New Roman"/>
          <w:sz w:val="26"/>
          <w:szCs w:val="26"/>
        </w:rPr>
      </w:pPr>
    </w:p>
    <w:p w:rsidR="00AA6F42" w:rsidRDefault="00892A1C" w:rsidP="00231829">
      <w:pPr>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F73771">
        <w:rPr>
          <w:rFonts w:ascii="Times New Roman" w:eastAsia="Times New Roman" w:hAnsi="Times New Roman" w:cs="Times New Roman"/>
          <w:sz w:val="26"/>
          <w:szCs w:val="26"/>
        </w:rPr>
        <w:t>Whi</w:t>
      </w:r>
      <w:r w:rsidR="00613F16">
        <w:rPr>
          <w:rFonts w:ascii="Times New Roman" w:eastAsia="Times New Roman" w:hAnsi="Times New Roman" w:cs="Times New Roman"/>
          <w:sz w:val="26"/>
          <w:szCs w:val="26"/>
        </w:rPr>
        <w:t>le we understand the concerns raised by</w:t>
      </w:r>
      <w:r w:rsidR="00F73771">
        <w:rPr>
          <w:rFonts w:ascii="Times New Roman" w:eastAsia="Times New Roman" w:hAnsi="Times New Roman" w:cs="Times New Roman"/>
          <w:sz w:val="26"/>
          <w:szCs w:val="26"/>
        </w:rPr>
        <w:t xml:space="preserve"> TURN </w:t>
      </w:r>
      <w:r w:rsidR="00F73771" w:rsidRPr="008B0692">
        <w:rPr>
          <w:rFonts w:ascii="Times New Roman" w:eastAsia="Times New Roman" w:hAnsi="Times New Roman" w:cs="Times New Roman"/>
          <w:i/>
          <w:sz w:val="26"/>
          <w:szCs w:val="26"/>
        </w:rPr>
        <w:t>et al</w:t>
      </w:r>
      <w:r w:rsidR="00F73771">
        <w:rPr>
          <w:rFonts w:ascii="Times New Roman" w:eastAsia="Times New Roman" w:hAnsi="Times New Roman" w:cs="Times New Roman"/>
          <w:sz w:val="26"/>
          <w:szCs w:val="26"/>
        </w:rPr>
        <w:t>. and OCA</w:t>
      </w:r>
      <w:r w:rsidR="00613F16">
        <w:rPr>
          <w:rFonts w:ascii="Times New Roman" w:eastAsia="Times New Roman" w:hAnsi="Times New Roman" w:cs="Times New Roman"/>
          <w:sz w:val="26"/>
          <w:szCs w:val="26"/>
        </w:rPr>
        <w:t xml:space="preserve">, we also recognize the right of PGW to </w:t>
      </w:r>
      <w:r w:rsidR="009E65FA">
        <w:rPr>
          <w:rFonts w:ascii="Times New Roman" w:eastAsia="Times New Roman" w:hAnsi="Times New Roman" w:cs="Times New Roman"/>
          <w:sz w:val="26"/>
          <w:szCs w:val="26"/>
        </w:rPr>
        <w:t xml:space="preserve">ensure the integrity of CRP by requiring </w:t>
      </w:r>
      <w:r w:rsidR="0052639D">
        <w:rPr>
          <w:rFonts w:ascii="Times New Roman" w:eastAsia="Times New Roman" w:hAnsi="Times New Roman" w:cs="Times New Roman"/>
          <w:sz w:val="26"/>
          <w:szCs w:val="26"/>
        </w:rPr>
        <w:t>documentation of</w:t>
      </w:r>
      <w:r w:rsidR="009E65FA">
        <w:rPr>
          <w:rFonts w:ascii="Times New Roman" w:eastAsia="Times New Roman" w:hAnsi="Times New Roman" w:cs="Times New Roman"/>
          <w:sz w:val="26"/>
          <w:szCs w:val="26"/>
        </w:rPr>
        <w:t xml:space="preserve"> income.</w:t>
      </w:r>
      <w:r w:rsidR="00055D9D">
        <w:rPr>
          <w:rFonts w:ascii="Times New Roman" w:eastAsia="Times New Roman" w:hAnsi="Times New Roman" w:cs="Times New Roman"/>
          <w:sz w:val="26"/>
          <w:szCs w:val="26"/>
        </w:rPr>
        <w:t xml:space="preserve">  </w:t>
      </w:r>
      <w:r w:rsidR="00613F16">
        <w:rPr>
          <w:rFonts w:ascii="Times New Roman" w:eastAsia="Times New Roman" w:hAnsi="Times New Roman" w:cs="Times New Roman"/>
          <w:sz w:val="26"/>
          <w:szCs w:val="26"/>
        </w:rPr>
        <w:t xml:space="preserve">Accordingly, </w:t>
      </w:r>
      <w:r w:rsidR="00C76FDE">
        <w:rPr>
          <w:rFonts w:ascii="Times New Roman" w:eastAsia="Times New Roman" w:hAnsi="Times New Roman" w:cs="Times New Roman"/>
          <w:sz w:val="26"/>
          <w:szCs w:val="26"/>
        </w:rPr>
        <w:t xml:space="preserve">PGW shall accept any federal or state tax form filed in the past 12 months as proof of self-employment income.  </w:t>
      </w:r>
      <w:r w:rsidR="00613F16">
        <w:rPr>
          <w:rFonts w:ascii="Times New Roman" w:eastAsia="Times New Roman" w:hAnsi="Times New Roman" w:cs="Times New Roman"/>
          <w:sz w:val="26"/>
          <w:szCs w:val="26"/>
        </w:rPr>
        <w:t xml:space="preserve">This </w:t>
      </w:r>
      <w:r w:rsidR="006B4EDB">
        <w:rPr>
          <w:rFonts w:ascii="Times New Roman" w:eastAsia="Times New Roman" w:hAnsi="Times New Roman" w:cs="Times New Roman"/>
          <w:sz w:val="26"/>
          <w:szCs w:val="26"/>
        </w:rPr>
        <w:t xml:space="preserve">modification </w:t>
      </w:r>
      <w:r w:rsidR="00055D9D">
        <w:rPr>
          <w:rFonts w:ascii="Times New Roman" w:eastAsia="Times New Roman" w:hAnsi="Times New Roman" w:cs="Times New Roman"/>
          <w:sz w:val="26"/>
          <w:szCs w:val="26"/>
        </w:rPr>
        <w:t>will be in effect upon final approval of th</w:t>
      </w:r>
      <w:r w:rsidR="006B4EDB">
        <w:rPr>
          <w:rFonts w:ascii="Times New Roman" w:eastAsia="Times New Roman" w:hAnsi="Times New Roman" w:cs="Times New Roman"/>
          <w:sz w:val="26"/>
          <w:szCs w:val="26"/>
        </w:rPr>
        <w:t>is USECP</w:t>
      </w:r>
      <w:r w:rsidR="0052639D">
        <w:rPr>
          <w:rFonts w:ascii="Times New Roman" w:eastAsia="Times New Roman" w:hAnsi="Times New Roman" w:cs="Times New Roman"/>
          <w:sz w:val="26"/>
          <w:szCs w:val="26"/>
        </w:rPr>
        <w:t xml:space="preserve"> and </w:t>
      </w:r>
      <w:r w:rsidR="006B4EDB">
        <w:rPr>
          <w:rFonts w:ascii="Times New Roman" w:eastAsia="Times New Roman" w:hAnsi="Times New Roman" w:cs="Times New Roman"/>
          <w:sz w:val="26"/>
          <w:szCs w:val="26"/>
        </w:rPr>
        <w:t>the Company should identify this change in its</w:t>
      </w:r>
      <w:r w:rsidR="0052639D">
        <w:rPr>
          <w:rFonts w:ascii="Times New Roman" w:eastAsia="Times New Roman" w:hAnsi="Times New Roman" w:cs="Times New Roman"/>
          <w:sz w:val="26"/>
          <w:szCs w:val="26"/>
        </w:rPr>
        <w:t xml:space="preserve"> Revised 2017-2019 Plan</w:t>
      </w:r>
      <w:r w:rsidR="00055D9D">
        <w:rPr>
          <w:rFonts w:ascii="Times New Roman" w:eastAsia="Times New Roman" w:hAnsi="Times New Roman" w:cs="Times New Roman"/>
          <w:sz w:val="26"/>
          <w:szCs w:val="26"/>
        </w:rPr>
        <w:t>.</w:t>
      </w:r>
    </w:p>
    <w:p w:rsidR="00AA6F42" w:rsidRDefault="00AA6F42" w:rsidP="00231829">
      <w:pPr>
        <w:spacing w:after="0" w:line="360" w:lineRule="auto"/>
        <w:contextualSpacing/>
        <w:rPr>
          <w:rFonts w:ascii="Times New Roman" w:eastAsia="Times New Roman" w:hAnsi="Times New Roman" w:cs="Times New Roman"/>
          <w:sz w:val="26"/>
          <w:szCs w:val="26"/>
        </w:rPr>
      </w:pPr>
    </w:p>
    <w:p w:rsidR="00852CA9" w:rsidRPr="00852CA9" w:rsidRDefault="00852CA9" w:rsidP="00852CA9">
      <w:pPr>
        <w:keepNext/>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r>
        <w:rPr>
          <w:rFonts w:ascii="Times New Roman" w:eastAsia="Times New Roman" w:hAnsi="Times New Roman" w:cs="Times New Roman"/>
          <w:sz w:val="26"/>
          <w:szCs w:val="26"/>
        </w:rPr>
        <w:t xml:space="preserve">e.  </w:t>
      </w:r>
      <w:r w:rsidRPr="00A80583">
        <w:rPr>
          <w:rFonts w:ascii="Times New Roman" w:eastAsia="Times New Roman" w:hAnsi="Times New Roman" w:cs="Times New Roman"/>
          <w:bCs/>
          <w:i/>
          <w:color w:val="0D0D0D" w:themeColor="text1" w:themeTint="F2"/>
          <w:sz w:val="26"/>
          <w:szCs w:val="26"/>
        </w:rPr>
        <w:t>Reenr</w:t>
      </w:r>
      <w:r>
        <w:rPr>
          <w:rFonts w:ascii="Times New Roman" w:eastAsia="Times New Roman" w:hAnsi="Times New Roman" w:cs="Times New Roman"/>
          <w:bCs/>
          <w:i/>
          <w:color w:val="0D0D0D" w:themeColor="text1" w:themeTint="F2"/>
          <w:sz w:val="26"/>
          <w:szCs w:val="26"/>
        </w:rPr>
        <w:t>ollment Procedure for Former CRP</w:t>
      </w:r>
      <w:r w:rsidRPr="00A80583">
        <w:rPr>
          <w:rFonts w:ascii="Times New Roman" w:eastAsia="Times New Roman" w:hAnsi="Times New Roman" w:cs="Times New Roman"/>
          <w:bCs/>
          <w:i/>
          <w:color w:val="0D0D0D" w:themeColor="text1" w:themeTint="F2"/>
          <w:sz w:val="26"/>
          <w:szCs w:val="26"/>
        </w:rPr>
        <w:t xml:space="preserve"> Participants</w:t>
      </w:r>
    </w:p>
    <w:p w:rsidR="00852CA9" w:rsidRPr="00A80583" w:rsidRDefault="00852CA9" w:rsidP="00852CA9">
      <w:pPr>
        <w:keepNext/>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p>
    <w:p w:rsidR="00491F0D" w:rsidRDefault="00852CA9" w:rsidP="00852CA9">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r w:rsidRPr="00A80583">
        <w:rPr>
          <w:rFonts w:ascii="Times New Roman" w:eastAsia="Times New Roman" w:hAnsi="Times New Roman" w:cs="Times New Roman"/>
          <w:bCs/>
          <w:color w:val="0D0D0D" w:themeColor="text1" w:themeTint="F2"/>
          <w:sz w:val="26"/>
          <w:szCs w:val="26"/>
        </w:rPr>
        <w:tab/>
      </w:r>
      <w:r w:rsidR="006F64B3">
        <w:rPr>
          <w:rFonts w:ascii="Times New Roman" w:eastAsia="Times New Roman" w:hAnsi="Times New Roman" w:cs="Times New Roman"/>
          <w:bCs/>
          <w:color w:val="0D0D0D" w:themeColor="text1" w:themeTint="F2"/>
          <w:sz w:val="26"/>
          <w:szCs w:val="26"/>
        </w:rPr>
        <w:t xml:space="preserve">The </w:t>
      </w:r>
      <w:r w:rsidR="00646703">
        <w:rPr>
          <w:rFonts w:ascii="Times New Roman" w:eastAsia="Times New Roman" w:hAnsi="Times New Roman" w:cs="Times New Roman"/>
          <w:bCs/>
          <w:color w:val="0D0D0D" w:themeColor="text1" w:themeTint="F2"/>
          <w:sz w:val="26"/>
          <w:szCs w:val="26"/>
        </w:rPr>
        <w:t xml:space="preserve">Amended </w:t>
      </w:r>
      <w:r w:rsidR="006F64B3">
        <w:rPr>
          <w:rFonts w:ascii="Times New Roman" w:eastAsia="Times New Roman" w:hAnsi="Times New Roman" w:cs="Times New Roman"/>
          <w:bCs/>
          <w:color w:val="0D0D0D" w:themeColor="text1" w:themeTint="F2"/>
          <w:sz w:val="26"/>
          <w:szCs w:val="26"/>
        </w:rPr>
        <w:t xml:space="preserve">Proposed 2017-2020 Plan states that CRP customers whose service is terminated must pay past-due CRP bills in full </w:t>
      </w:r>
      <w:r w:rsidR="008F6C45">
        <w:rPr>
          <w:rFonts w:ascii="Times New Roman" w:eastAsia="Times New Roman" w:hAnsi="Times New Roman" w:cs="Times New Roman"/>
          <w:bCs/>
          <w:color w:val="0D0D0D" w:themeColor="text1" w:themeTint="F2"/>
          <w:sz w:val="26"/>
          <w:szCs w:val="26"/>
        </w:rPr>
        <w:t>plus</w:t>
      </w:r>
      <w:r w:rsidR="006F64B3">
        <w:rPr>
          <w:rFonts w:ascii="Times New Roman" w:eastAsia="Times New Roman" w:hAnsi="Times New Roman" w:cs="Times New Roman"/>
          <w:bCs/>
          <w:color w:val="0D0D0D" w:themeColor="text1" w:themeTint="F2"/>
          <w:sz w:val="26"/>
          <w:szCs w:val="26"/>
        </w:rPr>
        <w:t xml:space="preserve"> the reconnection fee to restore service and re-enroll in CRP.  </w:t>
      </w:r>
      <w:r w:rsidR="00646703">
        <w:rPr>
          <w:rFonts w:ascii="Times New Roman" w:eastAsia="Times New Roman" w:hAnsi="Times New Roman" w:cs="Times New Roman"/>
          <w:bCs/>
          <w:color w:val="0D0D0D" w:themeColor="text1" w:themeTint="F2"/>
          <w:sz w:val="26"/>
          <w:szCs w:val="26"/>
        </w:rPr>
        <w:t xml:space="preserve">Amended </w:t>
      </w:r>
      <w:r w:rsidR="006F64B3">
        <w:rPr>
          <w:rFonts w:ascii="Times New Roman" w:eastAsia="Times New Roman" w:hAnsi="Times New Roman" w:cs="Times New Roman"/>
          <w:bCs/>
          <w:color w:val="0D0D0D" w:themeColor="text1" w:themeTint="F2"/>
          <w:sz w:val="26"/>
          <w:szCs w:val="26"/>
        </w:rPr>
        <w:t>Proposed 2017</w:t>
      </w:r>
      <w:r w:rsidR="00646703">
        <w:rPr>
          <w:rFonts w:ascii="Times New Roman" w:eastAsia="Times New Roman" w:hAnsi="Times New Roman" w:cs="Times New Roman"/>
          <w:bCs/>
          <w:color w:val="0D0D0D" w:themeColor="text1" w:themeTint="F2"/>
          <w:sz w:val="26"/>
          <w:szCs w:val="26"/>
        </w:rPr>
        <w:t>-2020 Plan at 17</w:t>
      </w:r>
      <w:r w:rsidR="006F64B3">
        <w:rPr>
          <w:rFonts w:ascii="Times New Roman" w:eastAsia="Times New Roman" w:hAnsi="Times New Roman" w:cs="Times New Roman"/>
          <w:bCs/>
          <w:color w:val="0D0D0D" w:themeColor="text1" w:themeTint="F2"/>
          <w:sz w:val="26"/>
          <w:szCs w:val="26"/>
        </w:rPr>
        <w:t>.</w:t>
      </w:r>
      <w:r w:rsidRPr="00A80583">
        <w:rPr>
          <w:rFonts w:ascii="Times New Roman" w:eastAsia="Times New Roman" w:hAnsi="Times New Roman" w:cs="Times New Roman"/>
          <w:bCs/>
          <w:color w:val="0D0D0D" w:themeColor="text1" w:themeTint="F2"/>
          <w:sz w:val="26"/>
          <w:szCs w:val="26"/>
        </w:rPr>
        <w:t xml:space="preserve">  However, the </w:t>
      </w:r>
      <w:r w:rsidR="00646703">
        <w:rPr>
          <w:rFonts w:ascii="Times New Roman" w:eastAsia="Times New Roman" w:hAnsi="Times New Roman" w:cs="Times New Roman"/>
          <w:bCs/>
          <w:color w:val="0D0D0D" w:themeColor="text1" w:themeTint="F2"/>
          <w:sz w:val="26"/>
          <w:szCs w:val="26"/>
        </w:rPr>
        <w:t xml:space="preserve">Amended </w:t>
      </w:r>
      <w:r w:rsidRPr="00A80583">
        <w:rPr>
          <w:rFonts w:ascii="Times New Roman" w:eastAsia="Times New Roman" w:hAnsi="Times New Roman" w:cs="Times New Roman"/>
          <w:bCs/>
          <w:color w:val="0D0D0D" w:themeColor="text1" w:themeTint="F2"/>
          <w:sz w:val="26"/>
          <w:szCs w:val="26"/>
        </w:rPr>
        <w:t xml:space="preserve">Proposed </w:t>
      </w:r>
      <w:r w:rsidR="009627B9">
        <w:rPr>
          <w:rFonts w:ascii="Times New Roman" w:eastAsia="Times New Roman" w:hAnsi="Times New Roman" w:cs="Times New Roman"/>
          <w:bCs/>
          <w:color w:val="0D0D0D" w:themeColor="text1" w:themeTint="F2"/>
          <w:sz w:val="26"/>
          <w:szCs w:val="26"/>
        </w:rPr>
        <w:t xml:space="preserve">2017-2020 </w:t>
      </w:r>
      <w:r w:rsidRPr="00A80583">
        <w:rPr>
          <w:rFonts w:ascii="Times New Roman" w:eastAsia="Times New Roman" w:hAnsi="Times New Roman" w:cs="Times New Roman"/>
          <w:bCs/>
          <w:color w:val="0D0D0D" w:themeColor="text1" w:themeTint="F2"/>
          <w:sz w:val="26"/>
          <w:szCs w:val="26"/>
        </w:rPr>
        <w:t>Plan does not describe what amounts cust</w:t>
      </w:r>
      <w:r w:rsidR="00491F0D">
        <w:rPr>
          <w:rFonts w:ascii="Times New Roman" w:eastAsia="Times New Roman" w:hAnsi="Times New Roman" w:cs="Times New Roman"/>
          <w:bCs/>
          <w:color w:val="0D0D0D" w:themeColor="text1" w:themeTint="F2"/>
          <w:sz w:val="26"/>
          <w:szCs w:val="26"/>
        </w:rPr>
        <w:t>omer</w:t>
      </w:r>
      <w:r w:rsidR="009627B9">
        <w:rPr>
          <w:rFonts w:ascii="Times New Roman" w:eastAsia="Times New Roman" w:hAnsi="Times New Roman" w:cs="Times New Roman"/>
          <w:bCs/>
          <w:color w:val="0D0D0D" w:themeColor="text1" w:themeTint="F2"/>
          <w:sz w:val="26"/>
          <w:szCs w:val="26"/>
        </w:rPr>
        <w:t>s</w:t>
      </w:r>
      <w:r w:rsidR="00491F0D">
        <w:rPr>
          <w:rFonts w:ascii="Times New Roman" w:eastAsia="Times New Roman" w:hAnsi="Times New Roman" w:cs="Times New Roman"/>
          <w:bCs/>
          <w:color w:val="0D0D0D" w:themeColor="text1" w:themeTint="F2"/>
          <w:sz w:val="26"/>
          <w:szCs w:val="26"/>
        </w:rPr>
        <w:t xml:space="preserve"> must pay to re</w:t>
      </w:r>
      <w:r w:rsidR="009627B9">
        <w:rPr>
          <w:rFonts w:ascii="Times New Roman" w:eastAsia="Times New Roman" w:hAnsi="Times New Roman" w:cs="Times New Roman"/>
          <w:bCs/>
          <w:color w:val="0D0D0D" w:themeColor="text1" w:themeTint="F2"/>
          <w:sz w:val="26"/>
          <w:szCs w:val="26"/>
        </w:rPr>
        <w:t>-</w:t>
      </w:r>
      <w:r w:rsidR="00491F0D">
        <w:rPr>
          <w:rFonts w:ascii="Times New Roman" w:eastAsia="Times New Roman" w:hAnsi="Times New Roman" w:cs="Times New Roman"/>
          <w:bCs/>
          <w:color w:val="0D0D0D" w:themeColor="text1" w:themeTint="F2"/>
          <w:sz w:val="26"/>
          <w:szCs w:val="26"/>
        </w:rPr>
        <w:t>enroll in CRP</w:t>
      </w:r>
      <w:r w:rsidRPr="00A80583">
        <w:rPr>
          <w:rFonts w:ascii="Times New Roman" w:eastAsia="Times New Roman" w:hAnsi="Times New Roman" w:cs="Times New Roman"/>
          <w:bCs/>
          <w:color w:val="0D0D0D" w:themeColor="text1" w:themeTint="F2"/>
          <w:sz w:val="26"/>
          <w:szCs w:val="26"/>
        </w:rPr>
        <w:t xml:space="preserve"> if they </w:t>
      </w:r>
      <w:r w:rsidR="00491F0D">
        <w:rPr>
          <w:rFonts w:ascii="Times New Roman" w:eastAsia="Times New Roman" w:hAnsi="Times New Roman" w:cs="Times New Roman"/>
          <w:bCs/>
          <w:color w:val="0D0D0D" w:themeColor="text1" w:themeTint="F2"/>
          <w:sz w:val="26"/>
          <w:szCs w:val="26"/>
        </w:rPr>
        <w:t xml:space="preserve">are voluntarily or involuntarily removed from the program.  </w:t>
      </w:r>
      <w:r w:rsidR="00491F0D" w:rsidDel="00B81E9A">
        <w:rPr>
          <w:rFonts w:ascii="Times New Roman" w:eastAsia="Times New Roman" w:hAnsi="Times New Roman" w:cs="Times New Roman"/>
          <w:bCs/>
          <w:color w:val="0D0D0D" w:themeColor="text1" w:themeTint="F2"/>
          <w:sz w:val="26"/>
          <w:szCs w:val="26"/>
        </w:rPr>
        <w:t xml:space="preserve">We are aware that PGW often requires customers to pay a “CRP cure” amount prior to reenrollment, but </w:t>
      </w:r>
      <w:r w:rsidR="008F6C45">
        <w:rPr>
          <w:rFonts w:ascii="Times New Roman" w:eastAsia="Times New Roman" w:hAnsi="Times New Roman" w:cs="Times New Roman"/>
          <w:bCs/>
          <w:color w:val="0D0D0D" w:themeColor="text1" w:themeTint="F2"/>
          <w:sz w:val="26"/>
          <w:szCs w:val="26"/>
        </w:rPr>
        <w:t xml:space="preserve">the Company does not describe </w:t>
      </w:r>
      <w:r w:rsidR="00491F0D" w:rsidDel="00B81E9A">
        <w:rPr>
          <w:rFonts w:ascii="Times New Roman" w:eastAsia="Times New Roman" w:hAnsi="Times New Roman" w:cs="Times New Roman"/>
          <w:bCs/>
          <w:color w:val="0D0D0D" w:themeColor="text1" w:themeTint="F2"/>
          <w:sz w:val="26"/>
          <w:szCs w:val="26"/>
        </w:rPr>
        <w:t xml:space="preserve">how this amount is determined in </w:t>
      </w:r>
      <w:r w:rsidR="008F6C45">
        <w:rPr>
          <w:rFonts w:ascii="Times New Roman" w:eastAsia="Times New Roman" w:hAnsi="Times New Roman" w:cs="Times New Roman"/>
          <w:bCs/>
          <w:color w:val="0D0D0D" w:themeColor="text1" w:themeTint="F2"/>
          <w:sz w:val="26"/>
          <w:szCs w:val="26"/>
        </w:rPr>
        <w:t>its</w:t>
      </w:r>
      <w:r w:rsidR="00491F0D" w:rsidDel="00B81E9A">
        <w:rPr>
          <w:rFonts w:ascii="Times New Roman" w:eastAsia="Times New Roman" w:hAnsi="Times New Roman" w:cs="Times New Roman"/>
          <w:bCs/>
          <w:color w:val="0D0D0D" w:themeColor="text1" w:themeTint="F2"/>
          <w:sz w:val="26"/>
          <w:szCs w:val="26"/>
        </w:rPr>
        <w:t xml:space="preserve"> </w:t>
      </w:r>
      <w:r w:rsidR="00646703" w:rsidDel="00B81E9A">
        <w:rPr>
          <w:rFonts w:ascii="Times New Roman" w:eastAsia="Times New Roman" w:hAnsi="Times New Roman" w:cs="Times New Roman"/>
          <w:bCs/>
          <w:color w:val="0D0D0D" w:themeColor="text1" w:themeTint="F2"/>
          <w:sz w:val="26"/>
          <w:szCs w:val="26"/>
        </w:rPr>
        <w:t xml:space="preserve">Amended </w:t>
      </w:r>
      <w:r w:rsidR="00491F0D" w:rsidDel="00B81E9A">
        <w:rPr>
          <w:rFonts w:ascii="Times New Roman" w:eastAsia="Times New Roman" w:hAnsi="Times New Roman" w:cs="Times New Roman"/>
          <w:bCs/>
          <w:color w:val="0D0D0D" w:themeColor="text1" w:themeTint="F2"/>
          <w:sz w:val="26"/>
          <w:szCs w:val="26"/>
        </w:rPr>
        <w:t>Proposed 2017-2020 Plan.</w:t>
      </w:r>
    </w:p>
    <w:p w:rsidR="00491F0D" w:rsidRDefault="00491F0D" w:rsidP="00852CA9">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p>
    <w:p w:rsidR="00852CA9" w:rsidRDefault="000A4314" w:rsidP="008C0367">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r>
        <w:rPr>
          <w:rFonts w:ascii="Times New Roman" w:eastAsia="Times New Roman" w:hAnsi="Times New Roman" w:cs="Times New Roman"/>
          <w:bCs/>
          <w:color w:val="0D0D0D" w:themeColor="text1" w:themeTint="F2"/>
          <w:sz w:val="26"/>
          <w:szCs w:val="26"/>
        </w:rPr>
        <w:tab/>
      </w:r>
      <w:r w:rsidR="005D1A3C">
        <w:rPr>
          <w:rFonts w:ascii="Times New Roman" w:eastAsia="Times New Roman" w:hAnsi="Times New Roman" w:cs="Times New Roman"/>
          <w:bCs/>
          <w:color w:val="0D0D0D" w:themeColor="text1" w:themeTint="F2"/>
          <w:sz w:val="26"/>
          <w:szCs w:val="26"/>
        </w:rPr>
        <w:t xml:space="preserve">In the Tentative Order, we asked </w:t>
      </w:r>
      <w:r w:rsidR="00491F0D">
        <w:rPr>
          <w:rFonts w:ascii="Times New Roman" w:eastAsia="Times New Roman" w:hAnsi="Times New Roman" w:cs="Times New Roman"/>
          <w:bCs/>
          <w:color w:val="0D0D0D" w:themeColor="text1" w:themeTint="F2"/>
          <w:sz w:val="26"/>
          <w:szCs w:val="26"/>
        </w:rPr>
        <w:t xml:space="preserve">PGW </w:t>
      </w:r>
      <w:r w:rsidR="005D1A3C">
        <w:rPr>
          <w:rFonts w:ascii="Times New Roman" w:eastAsia="Times New Roman" w:hAnsi="Times New Roman" w:cs="Times New Roman"/>
          <w:bCs/>
          <w:color w:val="0D0D0D" w:themeColor="text1" w:themeTint="F2"/>
          <w:sz w:val="26"/>
          <w:szCs w:val="26"/>
        </w:rPr>
        <w:t xml:space="preserve">to explain what amount it </w:t>
      </w:r>
      <w:r w:rsidR="00491F0D">
        <w:rPr>
          <w:rFonts w:ascii="Times New Roman" w:eastAsia="Times New Roman" w:hAnsi="Times New Roman" w:cs="Times New Roman"/>
          <w:bCs/>
          <w:color w:val="0D0D0D" w:themeColor="text1" w:themeTint="F2"/>
          <w:sz w:val="26"/>
          <w:szCs w:val="26"/>
        </w:rPr>
        <w:t>require</w:t>
      </w:r>
      <w:r w:rsidR="005D1A3C">
        <w:rPr>
          <w:rFonts w:ascii="Times New Roman" w:eastAsia="Times New Roman" w:hAnsi="Times New Roman" w:cs="Times New Roman"/>
          <w:bCs/>
          <w:color w:val="0D0D0D" w:themeColor="text1" w:themeTint="F2"/>
          <w:sz w:val="26"/>
          <w:szCs w:val="26"/>
        </w:rPr>
        <w:t>s</w:t>
      </w:r>
      <w:r w:rsidR="00491F0D">
        <w:rPr>
          <w:rFonts w:ascii="Times New Roman" w:eastAsia="Times New Roman" w:hAnsi="Times New Roman" w:cs="Times New Roman"/>
          <w:bCs/>
          <w:color w:val="0D0D0D" w:themeColor="text1" w:themeTint="F2"/>
          <w:sz w:val="26"/>
          <w:szCs w:val="26"/>
        </w:rPr>
        <w:t xml:space="preserve"> customer</w:t>
      </w:r>
      <w:r w:rsidR="005D1A3C">
        <w:rPr>
          <w:rFonts w:ascii="Times New Roman" w:eastAsia="Times New Roman" w:hAnsi="Times New Roman" w:cs="Times New Roman"/>
          <w:bCs/>
          <w:color w:val="0D0D0D" w:themeColor="text1" w:themeTint="F2"/>
          <w:sz w:val="26"/>
          <w:szCs w:val="26"/>
        </w:rPr>
        <w:t>s</w:t>
      </w:r>
      <w:r w:rsidR="00491F0D">
        <w:rPr>
          <w:rFonts w:ascii="Times New Roman" w:eastAsia="Times New Roman" w:hAnsi="Times New Roman" w:cs="Times New Roman"/>
          <w:bCs/>
          <w:color w:val="0D0D0D" w:themeColor="text1" w:themeTint="F2"/>
          <w:sz w:val="26"/>
          <w:szCs w:val="26"/>
        </w:rPr>
        <w:t xml:space="preserve"> to pay prior to</w:t>
      </w:r>
      <w:r w:rsidR="00617DC9">
        <w:rPr>
          <w:rFonts w:ascii="Times New Roman" w:eastAsia="Times New Roman" w:hAnsi="Times New Roman" w:cs="Times New Roman"/>
          <w:bCs/>
          <w:color w:val="0D0D0D" w:themeColor="text1" w:themeTint="F2"/>
          <w:sz w:val="26"/>
          <w:szCs w:val="26"/>
        </w:rPr>
        <w:t xml:space="preserve"> reenrollment into CRP </w:t>
      </w:r>
      <w:r w:rsidR="00491F0D">
        <w:rPr>
          <w:rFonts w:ascii="Times New Roman" w:eastAsia="Times New Roman" w:hAnsi="Times New Roman" w:cs="Times New Roman"/>
          <w:bCs/>
          <w:color w:val="0D0D0D" w:themeColor="text1" w:themeTint="F2"/>
          <w:sz w:val="26"/>
          <w:szCs w:val="26"/>
        </w:rPr>
        <w:t>(</w:t>
      </w:r>
      <w:r w:rsidR="00491F0D" w:rsidRPr="00491F0D">
        <w:rPr>
          <w:rFonts w:ascii="Times New Roman" w:eastAsia="Times New Roman" w:hAnsi="Times New Roman" w:cs="Times New Roman"/>
          <w:bCs/>
          <w:i/>
          <w:color w:val="0D0D0D" w:themeColor="text1" w:themeTint="F2"/>
          <w:sz w:val="26"/>
          <w:szCs w:val="26"/>
        </w:rPr>
        <w:t>i.e.</w:t>
      </w:r>
      <w:r w:rsidR="00B81E9A">
        <w:rPr>
          <w:rFonts w:ascii="Times New Roman" w:eastAsia="Times New Roman" w:hAnsi="Times New Roman" w:cs="Times New Roman"/>
          <w:bCs/>
          <w:color w:val="0D0D0D" w:themeColor="text1" w:themeTint="F2"/>
          <w:sz w:val="26"/>
          <w:szCs w:val="26"/>
        </w:rPr>
        <w:t xml:space="preserve">, </w:t>
      </w:r>
      <w:r w:rsidR="005D1A3C">
        <w:rPr>
          <w:rFonts w:ascii="Times New Roman" w:eastAsia="Times New Roman" w:hAnsi="Times New Roman" w:cs="Times New Roman"/>
          <w:bCs/>
          <w:color w:val="0D0D0D" w:themeColor="text1" w:themeTint="F2"/>
          <w:sz w:val="26"/>
          <w:szCs w:val="26"/>
        </w:rPr>
        <w:t xml:space="preserve">the </w:t>
      </w:r>
      <w:r w:rsidR="00491F0D">
        <w:rPr>
          <w:rFonts w:ascii="Times New Roman" w:eastAsia="Times New Roman" w:hAnsi="Times New Roman" w:cs="Times New Roman"/>
          <w:bCs/>
          <w:color w:val="0D0D0D" w:themeColor="text1" w:themeTint="F2"/>
          <w:sz w:val="26"/>
          <w:szCs w:val="26"/>
        </w:rPr>
        <w:t>CRP Cure)</w:t>
      </w:r>
      <w:r w:rsidR="00491F0D" w:rsidRPr="00491F0D">
        <w:rPr>
          <w:rFonts w:ascii="Times New Roman" w:eastAsia="Times New Roman" w:hAnsi="Times New Roman" w:cs="Times New Roman"/>
          <w:bCs/>
          <w:color w:val="0D0D0D" w:themeColor="text1" w:themeTint="F2"/>
          <w:sz w:val="26"/>
          <w:szCs w:val="26"/>
        </w:rPr>
        <w:t>.</w:t>
      </w:r>
      <w:r w:rsidR="00852CA9" w:rsidRPr="00A80583">
        <w:rPr>
          <w:rFonts w:ascii="Times New Roman" w:eastAsia="Times New Roman" w:hAnsi="Times New Roman" w:cs="Times New Roman"/>
          <w:bCs/>
          <w:color w:val="0D0D0D" w:themeColor="text1" w:themeTint="F2"/>
          <w:sz w:val="26"/>
          <w:szCs w:val="26"/>
        </w:rPr>
        <w:t xml:space="preserve">  </w:t>
      </w:r>
    </w:p>
    <w:p w:rsidR="0069683C" w:rsidRDefault="0069683C" w:rsidP="008C0367">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p>
    <w:p w:rsidR="0069683C" w:rsidRDefault="0069683C" w:rsidP="0069683C">
      <w:pPr>
        <w:spacing w:line="360" w:lineRule="auto"/>
        <w:contextualSpacing/>
        <w:rPr>
          <w:rFonts w:ascii="Times New Roman" w:hAnsi="Times New Roman" w:cs="Times New Roman"/>
          <w:sz w:val="26"/>
          <w:szCs w:val="26"/>
        </w:rPr>
      </w:pPr>
      <w:r>
        <w:rPr>
          <w:rFonts w:ascii="Times New Roman" w:hAnsi="Times New Roman" w:cs="Times New Roman"/>
          <w:sz w:val="26"/>
          <w:szCs w:val="26"/>
        </w:rPr>
        <w:tab/>
        <w:t>PGW provided the following description of how the CRP Cure amount is calculated for program re-enrollment:</w:t>
      </w:r>
    </w:p>
    <w:p w:rsidR="0069683C" w:rsidRDefault="0069683C" w:rsidP="0069683C">
      <w:pPr>
        <w:spacing w:line="360" w:lineRule="auto"/>
        <w:contextualSpacing/>
        <w:rPr>
          <w:rFonts w:ascii="Times New Roman" w:hAnsi="Times New Roman" w:cs="Times New Roman"/>
          <w:sz w:val="26"/>
          <w:szCs w:val="26"/>
        </w:rPr>
      </w:pPr>
    </w:p>
    <w:p w:rsidR="0069683C" w:rsidRPr="000D0E64" w:rsidRDefault="0069683C" w:rsidP="0069683C">
      <w:pPr>
        <w:spacing w:line="240" w:lineRule="auto"/>
        <w:ind w:left="720" w:right="720"/>
        <w:contextualSpacing/>
        <w:rPr>
          <w:rFonts w:ascii="Times New Roman" w:hAnsi="Times New Roman" w:cs="Times New Roman"/>
          <w:sz w:val="26"/>
          <w:szCs w:val="26"/>
        </w:rPr>
      </w:pPr>
      <w:r w:rsidRPr="000D0E64">
        <w:rPr>
          <w:rFonts w:ascii="Times New Roman" w:hAnsi="Times New Roman" w:cs="Times New Roman"/>
          <w:sz w:val="26"/>
          <w:szCs w:val="26"/>
        </w:rPr>
        <w:t>For customers who are voluntarily or involuntarily removed from CRP, PGW requires the customers to "cure" their CRP payments in order to re-enroll. The cure amount is calculated by counting the number of bills generated on the account since the time of removal and multiplying that number by the customer's asked-to-pay CRP amount. After that amount is determined, PGW combines that amount with the total amount of unpaid CRP bills at the time of their removal (i.e. CRP arrears) and subtracts any payments applied to the account since their removal from CRP. Thus, the calculation results in the same amount (if any) that would have been due if the customer had never been removed from CRP. A cure payment is calculated as though the customer had remained on CRP and was making payments under that program.</w:t>
      </w:r>
    </w:p>
    <w:p w:rsidR="0069683C" w:rsidRDefault="0069683C" w:rsidP="0069683C">
      <w:pPr>
        <w:spacing w:line="360" w:lineRule="auto"/>
        <w:contextualSpacing/>
        <w:rPr>
          <w:rFonts w:ascii="Times New Roman" w:hAnsi="Times New Roman" w:cs="Times New Roman"/>
          <w:sz w:val="26"/>
          <w:szCs w:val="26"/>
        </w:rPr>
      </w:pPr>
    </w:p>
    <w:p w:rsidR="0069683C" w:rsidRDefault="0069683C" w:rsidP="0069683C">
      <w:pPr>
        <w:spacing w:line="360" w:lineRule="auto"/>
        <w:contextualSpacing/>
        <w:rPr>
          <w:rFonts w:ascii="Times New Roman" w:hAnsi="Times New Roman" w:cs="Times New Roman"/>
          <w:sz w:val="26"/>
          <w:szCs w:val="26"/>
        </w:rPr>
      </w:pPr>
      <w:r>
        <w:rPr>
          <w:rFonts w:ascii="Times New Roman" w:hAnsi="Times New Roman" w:cs="Times New Roman"/>
          <w:sz w:val="26"/>
          <w:szCs w:val="26"/>
        </w:rPr>
        <w:t xml:space="preserve">PGW Supplemental Comments at 13. </w:t>
      </w:r>
    </w:p>
    <w:p w:rsidR="0069683C" w:rsidRDefault="0069683C" w:rsidP="0069683C">
      <w:pPr>
        <w:spacing w:line="360" w:lineRule="auto"/>
        <w:contextualSpacing/>
        <w:rPr>
          <w:rFonts w:ascii="Times New Roman" w:hAnsi="Times New Roman" w:cs="Times New Roman"/>
          <w:sz w:val="26"/>
          <w:szCs w:val="26"/>
        </w:rPr>
      </w:pPr>
    </w:p>
    <w:p w:rsidR="0069683C" w:rsidRDefault="0069683C" w:rsidP="0069683C">
      <w:pPr>
        <w:spacing w:line="360" w:lineRule="auto"/>
        <w:contextualSpacing/>
        <w:rPr>
          <w:rFonts w:ascii="Times New Roman" w:hAnsi="Times New Roman" w:cs="Times New Roman"/>
          <w:sz w:val="26"/>
          <w:szCs w:val="26"/>
        </w:rPr>
      </w:pPr>
      <w:r>
        <w:rPr>
          <w:rFonts w:ascii="Times New Roman" w:hAnsi="Times New Roman" w:cs="Times New Roman"/>
          <w:sz w:val="26"/>
          <w:szCs w:val="26"/>
        </w:rPr>
        <w:lastRenderedPageBreak/>
        <w:tab/>
        <w:t>Based on the information provided, CAUSE-PA supports the CRP Cure policy for customers removed from CRP for non-payment or failure to recertify and whose service is not yet terminated.  However, CAUSE-PA requests additional information about the CRP Cure policy.  Specifically, CAUSE-PA asks</w:t>
      </w:r>
      <w:r w:rsidR="00076C03">
        <w:rPr>
          <w:rFonts w:ascii="Times New Roman" w:hAnsi="Times New Roman" w:cs="Times New Roman"/>
          <w:sz w:val="26"/>
          <w:szCs w:val="26"/>
        </w:rPr>
        <w:t>:</w:t>
      </w:r>
      <w:r>
        <w:rPr>
          <w:rFonts w:ascii="Times New Roman" w:hAnsi="Times New Roman" w:cs="Times New Roman"/>
          <w:sz w:val="26"/>
          <w:szCs w:val="26"/>
        </w:rPr>
        <w:t xml:space="preserve"> (1)</w:t>
      </w:r>
      <w:r w:rsidR="00914489">
        <w:rPr>
          <w:rFonts w:ascii="Times New Roman" w:hAnsi="Times New Roman" w:cs="Times New Roman"/>
          <w:sz w:val="26"/>
          <w:szCs w:val="26"/>
        </w:rPr>
        <w:t xml:space="preserve"> </w:t>
      </w:r>
      <w:r>
        <w:rPr>
          <w:rFonts w:ascii="Times New Roman" w:hAnsi="Times New Roman" w:cs="Times New Roman"/>
          <w:sz w:val="26"/>
          <w:szCs w:val="26"/>
        </w:rPr>
        <w:t xml:space="preserve">whether the CRP Cure policy applies to customers required to stay out of the program for one year; (2) whether pre-program arrears are re-deferred after the cure amount is paid; (3) whether the customer receives retroactive arrearage forgiveness for “cured” months; and (4) whether LIHEAP and hardship funds can be used to pay the CRP Cure amount.  CAUSE-PA also requests additional information about how this policy applies to customers who voluntarily remove themselves from CRP or seek restoration of service.  CAUSE-PA recommends the Commission refer this matter to the OALJ for a full evidentiary proceeding.  CAUSE-PA Comments at 14-18.  </w:t>
      </w:r>
    </w:p>
    <w:p w:rsidR="0069683C" w:rsidRDefault="0069683C" w:rsidP="0069683C">
      <w:pPr>
        <w:spacing w:line="360" w:lineRule="auto"/>
        <w:contextualSpacing/>
        <w:rPr>
          <w:rFonts w:ascii="Times New Roman" w:hAnsi="Times New Roman" w:cs="Times New Roman"/>
          <w:sz w:val="26"/>
          <w:szCs w:val="26"/>
        </w:rPr>
      </w:pPr>
    </w:p>
    <w:p w:rsidR="0069683C" w:rsidRDefault="0069683C" w:rsidP="0069683C">
      <w:pPr>
        <w:spacing w:line="360" w:lineRule="auto"/>
        <w:contextualSpacing/>
        <w:rPr>
          <w:rFonts w:ascii="Times New Roman" w:hAnsi="Times New Roman" w:cs="Times New Roman"/>
          <w:sz w:val="26"/>
          <w:szCs w:val="26"/>
        </w:rPr>
      </w:pPr>
      <w:r>
        <w:rPr>
          <w:rFonts w:ascii="Times New Roman" w:hAnsi="Times New Roman" w:cs="Times New Roman"/>
          <w:sz w:val="26"/>
          <w:szCs w:val="26"/>
        </w:rPr>
        <w:tab/>
        <w:t xml:space="preserve">TURN </w:t>
      </w:r>
      <w:r w:rsidR="006656B5" w:rsidRPr="006656B5">
        <w:rPr>
          <w:rFonts w:ascii="Times New Roman" w:hAnsi="Times New Roman" w:cs="Times New Roman"/>
          <w:i/>
          <w:sz w:val="26"/>
          <w:szCs w:val="26"/>
        </w:rPr>
        <w:t>et al</w:t>
      </w:r>
      <w:r>
        <w:rPr>
          <w:rFonts w:ascii="Times New Roman" w:hAnsi="Times New Roman" w:cs="Times New Roman"/>
          <w:sz w:val="26"/>
          <w:szCs w:val="26"/>
        </w:rPr>
        <w:t xml:space="preserve">. questions whether PGW gives terminated customers the option to pay the CRP Cure amount to have their service restored.  TURN </w:t>
      </w:r>
      <w:r w:rsidR="006656B5" w:rsidRPr="006656B5">
        <w:rPr>
          <w:rFonts w:ascii="Times New Roman" w:hAnsi="Times New Roman" w:cs="Times New Roman"/>
          <w:i/>
          <w:sz w:val="26"/>
          <w:szCs w:val="26"/>
        </w:rPr>
        <w:t>et al</w:t>
      </w:r>
      <w:r>
        <w:rPr>
          <w:rFonts w:ascii="Times New Roman" w:hAnsi="Times New Roman" w:cs="Times New Roman"/>
          <w:sz w:val="26"/>
          <w:szCs w:val="26"/>
        </w:rPr>
        <w:t>. Comments at 14.</w:t>
      </w:r>
    </w:p>
    <w:p w:rsidR="0069683C" w:rsidRDefault="0069683C" w:rsidP="0069683C">
      <w:pPr>
        <w:spacing w:line="360" w:lineRule="auto"/>
        <w:contextualSpacing/>
        <w:rPr>
          <w:rFonts w:ascii="Times New Roman" w:hAnsi="Times New Roman" w:cs="Times New Roman"/>
          <w:sz w:val="26"/>
          <w:szCs w:val="26"/>
        </w:rPr>
      </w:pPr>
    </w:p>
    <w:p w:rsidR="00892A1C" w:rsidRDefault="00C554EF" w:rsidP="0069683C">
      <w:pPr>
        <w:tabs>
          <w:tab w:val="left" w:pos="720"/>
        </w:tabs>
        <w:autoSpaceDE w:val="0"/>
        <w:autoSpaceDN w:val="0"/>
        <w:adjustRightInd w:val="0"/>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ab/>
      </w:r>
      <w:r w:rsidR="0069683C">
        <w:rPr>
          <w:rFonts w:ascii="Times New Roman" w:hAnsi="Times New Roman" w:cs="Times New Roman"/>
          <w:sz w:val="26"/>
          <w:szCs w:val="26"/>
        </w:rPr>
        <w:t>PGW clarifies that it offers the CRP Cure amount to all customers who may benefit from it.  The Company agrees to provide retroactive arrearage forgiveness for any months missed or spent out of the program once the customer pays the CRP Cure amount.  PGW Reply Comments at 19.</w:t>
      </w:r>
      <w:r w:rsidR="00892A1C">
        <w:rPr>
          <w:rFonts w:ascii="Times New Roman" w:hAnsi="Times New Roman" w:cs="Times New Roman"/>
          <w:sz w:val="26"/>
          <w:szCs w:val="26"/>
        </w:rPr>
        <w:t xml:space="preserve">  </w:t>
      </w:r>
    </w:p>
    <w:p w:rsidR="00892A1C" w:rsidRDefault="00892A1C" w:rsidP="0069683C">
      <w:pPr>
        <w:tabs>
          <w:tab w:val="left" w:pos="720"/>
        </w:tabs>
        <w:autoSpaceDE w:val="0"/>
        <w:autoSpaceDN w:val="0"/>
        <w:adjustRightInd w:val="0"/>
        <w:spacing w:after="0" w:line="360" w:lineRule="auto"/>
        <w:contextualSpacing/>
        <w:rPr>
          <w:rFonts w:ascii="Times New Roman" w:hAnsi="Times New Roman" w:cs="Times New Roman"/>
          <w:sz w:val="26"/>
          <w:szCs w:val="26"/>
        </w:rPr>
      </w:pPr>
    </w:p>
    <w:p w:rsidR="0069683C" w:rsidRPr="008C0367" w:rsidRDefault="00E0460F" w:rsidP="0069683C">
      <w:pPr>
        <w:tabs>
          <w:tab w:val="left" w:pos="720"/>
        </w:tabs>
        <w:autoSpaceDE w:val="0"/>
        <w:autoSpaceDN w:val="0"/>
        <w:adjustRightInd w:val="0"/>
        <w:spacing w:after="0" w:line="360" w:lineRule="auto"/>
        <w:contextualSpacing/>
        <w:rPr>
          <w:rFonts w:ascii="Times New Roman" w:eastAsia="Times New Roman" w:hAnsi="Times New Roman" w:cs="Times New Roman"/>
          <w:bCs/>
          <w:color w:val="0D0D0D" w:themeColor="text1" w:themeTint="F2"/>
          <w:sz w:val="26"/>
          <w:szCs w:val="26"/>
        </w:rPr>
      </w:pPr>
      <w:r>
        <w:rPr>
          <w:rFonts w:ascii="Times New Roman" w:hAnsi="Times New Roman" w:cs="Times New Roman"/>
          <w:sz w:val="26"/>
          <w:szCs w:val="26"/>
        </w:rPr>
        <w:tab/>
      </w:r>
      <w:r w:rsidR="00892A1C">
        <w:rPr>
          <w:rFonts w:ascii="Times New Roman" w:hAnsi="Times New Roman" w:cs="Times New Roman"/>
          <w:sz w:val="26"/>
          <w:szCs w:val="26"/>
        </w:rPr>
        <w:t xml:space="preserve">PGW </w:t>
      </w:r>
      <w:r w:rsidR="00741E6C">
        <w:rPr>
          <w:rFonts w:ascii="Times New Roman" w:hAnsi="Times New Roman" w:cs="Times New Roman"/>
          <w:sz w:val="26"/>
          <w:szCs w:val="26"/>
        </w:rPr>
        <w:t xml:space="preserve">also </w:t>
      </w:r>
      <w:r w:rsidR="00892A1C">
        <w:rPr>
          <w:rFonts w:ascii="Times New Roman" w:hAnsi="Times New Roman" w:cs="Times New Roman"/>
          <w:sz w:val="26"/>
          <w:szCs w:val="26"/>
        </w:rPr>
        <w:t>clarifies the CRP Cure amount is based on the most recent income</w:t>
      </w:r>
      <w:r w:rsidR="00F15E86">
        <w:rPr>
          <w:rFonts w:ascii="Times New Roman" w:hAnsi="Times New Roman" w:cs="Times New Roman"/>
          <w:sz w:val="26"/>
          <w:szCs w:val="26"/>
        </w:rPr>
        <w:t xml:space="preserve"> reported</w:t>
      </w:r>
      <w:r w:rsidR="00892A1C">
        <w:rPr>
          <w:rFonts w:ascii="Times New Roman" w:hAnsi="Times New Roman" w:cs="Times New Roman"/>
          <w:sz w:val="26"/>
          <w:szCs w:val="26"/>
        </w:rPr>
        <w:t xml:space="preserve">.  If a household </w:t>
      </w:r>
      <w:r w:rsidR="00F15E86">
        <w:rPr>
          <w:rFonts w:ascii="Times New Roman" w:hAnsi="Times New Roman" w:cs="Times New Roman"/>
          <w:sz w:val="26"/>
          <w:szCs w:val="26"/>
        </w:rPr>
        <w:t xml:space="preserve">reports </w:t>
      </w:r>
      <w:r w:rsidR="00076C03">
        <w:rPr>
          <w:rFonts w:ascii="Times New Roman" w:hAnsi="Times New Roman" w:cs="Times New Roman"/>
          <w:sz w:val="26"/>
          <w:szCs w:val="26"/>
        </w:rPr>
        <w:t xml:space="preserve">its </w:t>
      </w:r>
      <w:r w:rsidR="00F15E86">
        <w:rPr>
          <w:rFonts w:ascii="Times New Roman" w:hAnsi="Times New Roman" w:cs="Times New Roman"/>
          <w:sz w:val="26"/>
          <w:szCs w:val="26"/>
        </w:rPr>
        <w:t xml:space="preserve">income has </w:t>
      </w:r>
      <w:r w:rsidR="00892A1C">
        <w:rPr>
          <w:rFonts w:ascii="Times New Roman" w:hAnsi="Times New Roman" w:cs="Times New Roman"/>
          <w:sz w:val="26"/>
          <w:szCs w:val="26"/>
        </w:rPr>
        <w:t xml:space="preserve">changed </w:t>
      </w:r>
      <w:r w:rsidR="00F15E86">
        <w:rPr>
          <w:rFonts w:ascii="Times New Roman" w:hAnsi="Times New Roman" w:cs="Times New Roman"/>
          <w:sz w:val="26"/>
          <w:szCs w:val="26"/>
        </w:rPr>
        <w:t xml:space="preserve">since leaving </w:t>
      </w:r>
      <w:r w:rsidR="00B70CBC">
        <w:rPr>
          <w:rFonts w:ascii="Times New Roman" w:hAnsi="Times New Roman" w:cs="Times New Roman"/>
          <w:sz w:val="26"/>
          <w:szCs w:val="26"/>
        </w:rPr>
        <w:t>CRP</w:t>
      </w:r>
      <w:r w:rsidR="00892A1C">
        <w:rPr>
          <w:rFonts w:ascii="Times New Roman" w:hAnsi="Times New Roman" w:cs="Times New Roman"/>
          <w:sz w:val="26"/>
          <w:szCs w:val="26"/>
        </w:rPr>
        <w:t xml:space="preserve">, the Company </w:t>
      </w:r>
      <w:r w:rsidR="00B70CBC">
        <w:rPr>
          <w:rFonts w:ascii="Times New Roman" w:hAnsi="Times New Roman" w:cs="Times New Roman"/>
          <w:sz w:val="26"/>
          <w:szCs w:val="26"/>
        </w:rPr>
        <w:t xml:space="preserve">will </w:t>
      </w:r>
      <w:r w:rsidR="00F15E86">
        <w:rPr>
          <w:rFonts w:ascii="Times New Roman" w:hAnsi="Times New Roman" w:cs="Times New Roman"/>
          <w:sz w:val="26"/>
          <w:szCs w:val="26"/>
        </w:rPr>
        <w:t xml:space="preserve">not modify the CRP Cure amount based on the date of income change.  </w:t>
      </w:r>
      <w:r w:rsidR="00BB69F7">
        <w:rPr>
          <w:rFonts w:ascii="Times New Roman" w:hAnsi="Times New Roman" w:cs="Times New Roman"/>
          <w:sz w:val="26"/>
          <w:szCs w:val="26"/>
        </w:rPr>
        <w:t xml:space="preserve">PGW </w:t>
      </w:r>
      <w:r w:rsidR="00F95BE0">
        <w:rPr>
          <w:rFonts w:ascii="Times New Roman" w:hAnsi="Times New Roman" w:cs="Times New Roman"/>
          <w:sz w:val="26"/>
          <w:szCs w:val="26"/>
        </w:rPr>
        <w:t>Response at 1.</w:t>
      </w:r>
      <w:r w:rsidR="00BB69F7">
        <w:rPr>
          <w:rFonts w:ascii="Times New Roman" w:hAnsi="Times New Roman" w:cs="Times New Roman"/>
          <w:sz w:val="26"/>
          <w:szCs w:val="26"/>
        </w:rPr>
        <w:t xml:space="preserve"> </w:t>
      </w:r>
    </w:p>
    <w:p w:rsidR="00852CA9" w:rsidRDefault="00852CA9" w:rsidP="00231829">
      <w:pPr>
        <w:spacing w:after="0" w:line="360" w:lineRule="auto"/>
        <w:contextualSpacing/>
        <w:rPr>
          <w:rFonts w:ascii="Times New Roman" w:eastAsia="Times New Roman" w:hAnsi="Times New Roman" w:cs="Times New Roman"/>
          <w:sz w:val="26"/>
          <w:szCs w:val="26"/>
        </w:rPr>
      </w:pPr>
    </w:p>
    <w:p w:rsidR="00BB69F7" w:rsidRDefault="0069683C" w:rsidP="00231829">
      <w:pPr>
        <w:spacing w:after="0" w:line="360" w:lineRule="auto"/>
        <w:contextualSpacing/>
        <w:rPr>
          <w:rFonts w:ascii="Times New Roman" w:eastAsia="Times New Roman" w:hAnsi="Times New Roman" w:cs="Times New Roman"/>
          <w:sz w:val="26"/>
          <w:szCs w:val="26"/>
        </w:rPr>
      </w:pPr>
      <w:r w:rsidRPr="00303E82">
        <w:rPr>
          <w:rFonts w:ascii="Times New Roman" w:eastAsia="Times New Roman" w:hAnsi="Times New Roman" w:cs="Times New Roman"/>
          <w:i/>
          <w:sz w:val="26"/>
          <w:szCs w:val="26"/>
        </w:rPr>
        <w:t>Resolution</w:t>
      </w:r>
      <w:r>
        <w:rPr>
          <w:rFonts w:ascii="Times New Roman" w:eastAsia="Times New Roman" w:hAnsi="Times New Roman" w:cs="Times New Roman"/>
          <w:sz w:val="26"/>
          <w:szCs w:val="26"/>
        </w:rPr>
        <w:t xml:space="preserve">: </w:t>
      </w:r>
      <w:r w:rsidR="00C554EF">
        <w:rPr>
          <w:rFonts w:ascii="Times New Roman" w:eastAsia="Times New Roman" w:hAnsi="Times New Roman" w:cs="Times New Roman"/>
          <w:sz w:val="26"/>
          <w:szCs w:val="26"/>
        </w:rPr>
        <w:t>We support allowing customers to re-enroll in CRP and receiving retroactive arre</w:t>
      </w:r>
      <w:r w:rsidR="00BB69F7">
        <w:rPr>
          <w:rFonts w:ascii="Times New Roman" w:eastAsia="Times New Roman" w:hAnsi="Times New Roman" w:cs="Times New Roman"/>
          <w:sz w:val="26"/>
          <w:szCs w:val="26"/>
        </w:rPr>
        <w:t xml:space="preserve">arage forgiveness by paying </w:t>
      </w:r>
      <w:r w:rsidR="00C554EF">
        <w:rPr>
          <w:rFonts w:ascii="Times New Roman" w:eastAsia="Times New Roman" w:hAnsi="Times New Roman" w:cs="Times New Roman"/>
          <w:sz w:val="26"/>
          <w:szCs w:val="26"/>
        </w:rPr>
        <w:t xml:space="preserve">CRP arrears and the CRP </w:t>
      </w:r>
      <w:r w:rsidR="00076C03">
        <w:rPr>
          <w:rFonts w:ascii="Times New Roman" w:eastAsia="Times New Roman" w:hAnsi="Times New Roman" w:cs="Times New Roman"/>
          <w:sz w:val="26"/>
          <w:szCs w:val="26"/>
        </w:rPr>
        <w:t xml:space="preserve">amounts </w:t>
      </w:r>
      <w:r w:rsidR="00C554EF">
        <w:rPr>
          <w:rFonts w:ascii="Times New Roman" w:eastAsia="Times New Roman" w:hAnsi="Times New Roman" w:cs="Times New Roman"/>
          <w:sz w:val="26"/>
          <w:szCs w:val="26"/>
        </w:rPr>
        <w:t>for months spent out of the program (</w:t>
      </w:r>
      <w:r w:rsidR="00C554EF" w:rsidRPr="00C554EF">
        <w:rPr>
          <w:rFonts w:ascii="Times New Roman" w:eastAsia="Times New Roman" w:hAnsi="Times New Roman" w:cs="Times New Roman"/>
          <w:i/>
          <w:sz w:val="26"/>
          <w:szCs w:val="26"/>
        </w:rPr>
        <w:t>i.e.,</w:t>
      </w:r>
      <w:r w:rsidR="00C554EF">
        <w:rPr>
          <w:rFonts w:ascii="Times New Roman" w:eastAsia="Times New Roman" w:hAnsi="Times New Roman" w:cs="Times New Roman"/>
          <w:sz w:val="26"/>
          <w:szCs w:val="26"/>
        </w:rPr>
        <w:t xml:space="preserve"> the CRP Cure amount).  </w:t>
      </w:r>
      <w:r w:rsidR="000812FE">
        <w:rPr>
          <w:rFonts w:ascii="Times New Roman" w:eastAsia="Times New Roman" w:hAnsi="Times New Roman" w:cs="Times New Roman"/>
          <w:sz w:val="26"/>
          <w:szCs w:val="26"/>
        </w:rPr>
        <w:t xml:space="preserve">Our only concern with PGW’s CRP Cure </w:t>
      </w:r>
      <w:r w:rsidR="000812FE">
        <w:rPr>
          <w:rFonts w:ascii="Times New Roman" w:eastAsia="Times New Roman" w:hAnsi="Times New Roman" w:cs="Times New Roman"/>
          <w:sz w:val="26"/>
          <w:szCs w:val="26"/>
        </w:rPr>
        <w:lastRenderedPageBreak/>
        <w:t xml:space="preserve">policy is that the Company may charge customers a “CRP rate” to </w:t>
      </w:r>
      <w:r w:rsidR="00892A1C">
        <w:rPr>
          <w:rFonts w:ascii="Times New Roman" w:eastAsia="Times New Roman" w:hAnsi="Times New Roman" w:cs="Times New Roman"/>
          <w:sz w:val="26"/>
          <w:szCs w:val="26"/>
        </w:rPr>
        <w:t>re-enroll in the program that may not be</w:t>
      </w:r>
      <w:r w:rsidR="000812FE">
        <w:rPr>
          <w:rFonts w:ascii="Times New Roman" w:eastAsia="Times New Roman" w:hAnsi="Times New Roman" w:cs="Times New Roman"/>
          <w:sz w:val="26"/>
          <w:szCs w:val="26"/>
        </w:rPr>
        <w:t xml:space="preserve"> based on their current income level.  </w:t>
      </w:r>
      <w:r w:rsidR="00520D9A">
        <w:rPr>
          <w:rFonts w:ascii="Times New Roman" w:eastAsia="Times New Roman" w:hAnsi="Times New Roman" w:cs="Times New Roman"/>
          <w:sz w:val="26"/>
          <w:szCs w:val="26"/>
        </w:rPr>
        <w:t>If a customer</w:t>
      </w:r>
      <w:r w:rsidR="000812FE">
        <w:rPr>
          <w:rFonts w:ascii="Times New Roman" w:eastAsia="Times New Roman" w:hAnsi="Times New Roman" w:cs="Times New Roman"/>
          <w:sz w:val="26"/>
          <w:szCs w:val="26"/>
        </w:rPr>
        <w:t>’</w:t>
      </w:r>
      <w:r w:rsidR="00520D9A">
        <w:rPr>
          <w:rFonts w:ascii="Times New Roman" w:eastAsia="Times New Roman" w:hAnsi="Times New Roman" w:cs="Times New Roman"/>
          <w:sz w:val="26"/>
          <w:szCs w:val="26"/>
        </w:rPr>
        <w:t>s income has</w:t>
      </w:r>
      <w:r w:rsidR="000812FE">
        <w:rPr>
          <w:rFonts w:ascii="Times New Roman" w:eastAsia="Times New Roman" w:hAnsi="Times New Roman" w:cs="Times New Roman"/>
          <w:sz w:val="26"/>
          <w:szCs w:val="26"/>
        </w:rPr>
        <w:t xml:space="preserve"> decreased since leaving the program</w:t>
      </w:r>
      <w:r w:rsidR="00520D9A">
        <w:rPr>
          <w:rFonts w:ascii="Times New Roman" w:eastAsia="Times New Roman" w:hAnsi="Times New Roman" w:cs="Times New Roman"/>
          <w:sz w:val="26"/>
          <w:szCs w:val="26"/>
        </w:rPr>
        <w:t xml:space="preserve">, they should not charged a CRP Cure amount based on their previous income.  Accordingly, </w:t>
      </w:r>
      <w:r w:rsidR="00BB69F7">
        <w:rPr>
          <w:rFonts w:ascii="Times New Roman" w:eastAsia="Times New Roman" w:hAnsi="Times New Roman" w:cs="Times New Roman"/>
          <w:sz w:val="26"/>
          <w:szCs w:val="26"/>
        </w:rPr>
        <w:t>when a customer reports a change in income at CRP re-enrollment</w:t>
      </w:r>
      <w:r w:rsidR="00303E82">
        <w:rPr>
          <w:rFonts w:ascii="Times New Roman" w:eastAsia="Times New Roman" w:hAnsi="Times New Roman" w:cs="Times New Roman"/>
          <w:sz w:val="26"/>
          <w:szCs w:val="26"/>
        </w:rPr>
        <w:t xml:space="preserve">, </w:t>
      </w:r>
      <w:r w:rsidR="00BB69F7">
        <w:rPr>
          <w:rFonts w:ascii="Times New Roman" w:eastAsia="Times New Roman" w:hAnsi="Times New Roman" w:cs="Times New Roman"/>
          <w:sz w:val="26"/>
          <w:szCs w:val="26"/>
        </w:rPr>
        <w:t xml:space="preserve">PGW should request documentation and recalculate the PIP CRP Cure amount from the date of this </w:t>
      </w:r>
      <w:r w:rsidR="00E0460F">
        <w:rPr>
          <w:rFonts w:ascii="Times New Roman" w:eastAsia="Times New Roman" w:hAnsi="Times New Roman" w:cs="Times New Roman"/>
          <w:sz w:val="26"/>
          <w:szCs w:val="26"/>
        </w:rPr>
        <w:t xml:space="preserve">income </w:t>
      </w:r>
      <w:r w:rsidR="00BB69F7">
        <w:rPr>
          <w:rFonts w:ascii="Times New Roman" w:eastAsia="Times New Roman" w:hAnsi="Times New Roman" w:cs="Times New Roman"/>
          <w:sz w:val="26"/>
          <w:szCs w:val="26"/>
        </w:rPr>
        <w:t>change.</w:t>
      </w:r>
      <w:r w:rsidR="00303E82">
        <w:rPr>
          <w:rFonts w:ascii="Times New Roman" w:eastAsia="Times New Roman" w:hAnsi="Times New Roman" w:cs="Times New Roman"/>
          <w:sz w:val="26"/>
          <w:szCs w:val="26"/>
        </w:rPr>
        <w:t xml:space="preserve">  </w:t>
      </w:r>
      <w:r w:rsidR="00161B32" w:rsidRPr="00161B32">
        <w:rPr>
          <w:rFonts w:ascii="Times New Roman" w:eastAsia="Times New Roman" w:hAnsi="Times New Roman" w:cs="Times New Roman"/>
          <w:sz w:val="26"/>
          <w:szCs w:val="26"/>
        </w:rPr>
        <w:t>PGW should reflect these modifications in its Revised 2017-2020 Plan and should implement the modifications within three months after final approval of this 2017-2020 USECP.</w:t>
      </w:r>
    </w:p>
    <w:p w:rsidR="0069683C" w:rsidRDefault="0069683C" w:rsidP="00231829">
      <w:pPr>
        <w:spacing w:after="0" w:line="360" w:lineRule="auto"/>
        <w:contextualSpacing/>
        <w:rPr>
          <w:rFonts w:ascii="Times New Roman" w:eastAsia="Times New Roman" w:hAnsi="Times New Roman" w:cs="Times New Roman"/>
          <w:sz w:val="26"/>
          <w:szCs w:val="26"/>
        </w:rPr>
      </w:pPr>
    </w:p>
    <w:p w:rsidR="008C0367" w:rsidRDefault="008C0367" w:rsidP="00646703">
      <w:pPr>
        <w:keepNext/>
        <w:spacing w:after="0" w:line="360" w:lineRule="auto"/>
        <w:contextualSpacing/>
        <w:rPr>
          <w:rFonts w:ascii="Times New Roman" w:eastAsia="Times New Roman" w:hAnsi="Times New Roman" w:cs="Times New Roman"/>
          <w:sz w:val="26"/>
          <w:szCs w:val="26"/>
        </w:rPr>
      </w:pPr>
      <w:r w:rsidRPr="00935E77">
        <w:rPr>
          <w:rFonts w:ascii="Times New Roman" w:eastAsia="Times New Roman" w:hAnsi="Times New Roman" w:cs="Times New Roman"/>
          <w:i/>
          <w:sz w:val="26"/>
          <w:szCs w:val="26"/>
        </w:rPr>
        <w:t>f.  CRP Future Intake Process</w:t>
      </w:r>
    </w:p>
    <w:p w:rsidR="008C0367" w:rsidRDefault="008C0367" w:rsidP="00646703">
      <w:pPr>
        <w:keepNext/>
        <w:spacing w:after="0" w:line="360" w:lineRule="auto"/>
        <w:contextualSpacing/>
        <w:rPr>
          <w:rFonts w:ascii="Times New Roman" w:eastAsia="Times New Roman" w:hAnsi="Times New Roman" w:cs="Times New Roman"/>
          <w:sz w:val="26"/>
          <w:szCs w:val="26"/>
        </w:rPr>
      </w:pPr>
    </w:p>
    <w:p w:rsidR="008C0367" w:rsidRDefault="00935E77" w:rsidP="00231829">
      <w:pPr>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8C0367">
        <w:rPr>
          <w:rFonts w:ascii="Times New Roman" w:eastAsia="Times New Roman" w:hAnsi="Times New Roman" w:cs="Times New Roman"/>
          <w:sz w:val="26"/>
          <w:szCs w:val="26"/>
        </w:rPr>
        <w:t xml:space="preserve">In its </w:t>
      </w:r>
      <w:r w:rsidR="00646703">
        <w:rPr>
          <w:rFonts w:ascii="Times New Roman" w:eastAsia="Times New Roman" w:hAnsi="Times New Roman" w:cs="Times New Roman"/>
          <w:sz w:val="26"/>
          <w:szCs w:val="26"/>
        </w:rPr>
        <w:t xml:space="preserve">Amended </w:t>
      </w:r>
      <w:r w:rsidR="008C0367">
        <w:rPr>
          <w:rFonts w:ascii="Times New Roman" w:eastAsia="Times New Roman" w:hAnsi="Times New Roman" w:cs="Times New Roman"/>
          <w:sz w:val="26"/>
          <w:szCs w:val="26"/>
        </w:rPr>
        <w:t>Proposed 2017-2020 Plan, PGW reports it is developing an online CRP application that will allow customers to apply for the prog</w:t>
      </w:r>
      <w:r w:rsidR="008F00B9">
        <w:rPr>
          <w:rFonts w:ascii="Times New Roman" w:eastAsia="Times New Roman" w:hAnsi="Times New Roman" w:cs="Times New Roman"/>
          <w:sz w:val="26"/>
          <w:szCs w:val="26"/>
        </w:rPr>
        <w:t xml:space="preserve">ram through the PGW website, check the status of their application, and receive electronic correspondence.  Applying for CRP in-person or via mail will still be </w:t>
      </w:r>
      <w:r w:rsidR="00D77F6F">
        <w:rPr>
          <w:rFonts w:ascii="Times New Roman" w:eastAsia="Times New Roman" w:hAnsi="Times New Roman" w:cs="Times New Roman"/>
          <w:sz w:val="26"/>
          <w:szCs w:val="26"/>
        </w:rPr>
        <w:t xml:space="preserve">available.  </w:t>
      </w:r>
      <w:r w:rsidR="008F00B9">
        <w:rPr>
          <w:rFonts w:ascii="Times New Roman" w:eastAsia="Times New Roman" w:hAnsi="Times New Roman" w:cs="Times New Roman"/>
          <w:sz w:val="26"/>
          <w:szCs w:val="26"/>
        </w:rPr>
        <w:t>Proposed 2017-2020 Plan at</w:t>
      </w:r>
      <w:r w:rsidR="00E316E3">
        <w:rPr>
          <w:rFonts w:ascii="Times New Roman" w:eastAsia="Times New Roman" w:hAnsi="Times New Roman" w:cs="Times New Roman"/>
          <w:sz w:val="26"/>
          <w:szCs w:val="26"/>
        </w:rPr>
        <w:t> </w:t>
      </w:r>
      <w:r w:rsidR="008F00B9">
        <w:rPr>
          <w:rFonts w:ascii="Times New Roman" w:eastAsia="Times New Roman" w:hAnsi="Times New Roman" w:cs="Times New Roman"/>
          <w:sz w:val="26"/>
          <w:szCs w:val="26"/>
        </w:rPr>
        <w:t xml:space="preserve">13. </w:t>
      </w:r>
    </w:p>
    <w:p w:rsidR="008F00B9" w:rsidRDefault="008F00B9" w:rsidP="00231829">
      <w:pPr>
        <w:spacing w:after="0" w:line="360" w:lineRule="auto"/>
        <w:contextualSpacing/>
        <w:rPr>
          <w:rFonts w:ascii="Times New Roman" w:eastAsia="Times New Roman" w:hAnsi="Times New Roman" w:cs="Times New Roman"/>
          <w:sz w:val="26"/>
          <w:szCs w:val="26"/>
        </w:rPr>
      </w:pPr>
    </w:p>
    <w:p w:rsidR="008F00B9" w:rsidRDefault="00697532" w:rsidP="00231829">
      <w:pPr>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89316B">
        <w:rPr>
          <w:rFonts w:ascii="Times New Roman" w:eastAsia="Times New Roman" w:hAnsi="Times New Roman" w:cs="Times New Roman"/>
          <w:sz w:val="26"/>
          <w:szCs w:val="26"/>
        </w:rPr>
        <w:t>In the Tentative Order, we asked PGW</w:t>
      </w:r>
      <w:r w:rsidR="007F2CBD">
        <w:rPr>
          <w:rFonts w:ascii="Times New Roman" w:eastAsia="Times New Roman" w:hAnsi="Times New Roman" w:cs="Times New Roman"/>
          <w:sz w:val="26"/>
          <w:szCs w:val="26"/>
        </w:rPr>
        <w:t xml:space="preserve"> whether it will also allow customers to securely submit requested documentation (</w:t>
      </w:r>
      <w:r w:rsidR="007F2CBD" w:rsidRPr="00FC0213">
        <w:rPr>
          <w:rFonts w:ascii="Times New Roman" w:eastAsia="Times New Roman" w:hAnsi="Times New Roman" w:cs="Times New Roman"/>
          <w:i/>
          <w:sz w:val="26"/>
          <w:szCs w:val="26"/>
        </w:rPr>
        <w:t>e.g.</w:t>
      </w:r>
      <w:r w:rsidR="009627B9">
        <w:rPr>
          <w:rFonts w:ascii="Times New Roman" w:eastAsia="Times New Roman" w:hAnsi="Times New Roman" w:cs="Times New Roman"/>
          <w:sz w:val="26"/>
          <w:szCs w:val="26"/>
        </w:rPr>
        <w:t>,</w:t>
      </w:r>
      <w:r w:rsidR="007F2CBD">
        <w:rPr>
          <w:rFonts w:ascii="Times New Roman" w:eastAsia="Times New Roman" w:hAnsi="Times New Roman" w:cs="Times New Roman"/>
          <w:sz w:val="26"/>
          <w:szCs w:val="26"/>
        </w:rPr>
        <w:t xml:space="preserve"> paystubs, identifi</w:t>
      </w:r>
      <w:r w:rsidR="00630674">
        <w:rPr>
          <w:rFonts w:ascii="Times New Roman" w:eastAsia="Times New Roman" w:hAnsi="Times New Roman" w:cs="Times New Roman"/>
          <w:sz w:val="26"/>
          <w:szCs w:val="26"/>
        </w:rPr>
        <w:t>cation, tax returns) through its web</w:t>
      </w:r>
      <w:r w:rsidR="007F2CBD">
        <w:rPr>
          <w:rFonts w:ascii="Times New Roman" w:eastAsia="Times New Roman" w:hAnsi="Times New Roman" w:cs="Times New Roman"/>
          <w:sz w:val="26"/>
          <w:szCs w:val="26"/>
        </w:rPr>
        <w:t xml:space="preserve">site and whether this process will </w:t>
      </w:r>
      <w:r w:rsidR="00630674">
        <w:rPr>
          <w:rFonts w:ascii="Times New Roman" w:eastAsia="Times New Roman" w:hAnsi="Times New Roman" w:cs="Times New Roman"/>
          <w:sz w:val="26"/>
          <w:szCs w:val="26"/>
        </w:rPr>
        <w:t xml:space="preserve">allow customers </w:t>
      </w:r>
      <w:r>
        <w:rPr>
          <w:rFonts w:ascii="Times New Roman" w:eastAsia="Times New Roman" w:hAnsi="Times New Roman" w:cs="Times New Roman"/>
          <w:sz w:val="26"/>
          <w:szCs w:val="26"/>
        </w:rPr>
        <w:t>to complete CRP recertification</w:t>
      </w:r>
      <w:r w:rsidR="00630674">
        <w:rPr>
          <w:rFonts w:ascii="Times New Roman" w:eastAsia="Times New Roman" w:hAnsi="Times New Roman" w:cs="Times New Roman"/>
          <w:sz w:val="26"/>
          <w:szCs w:val="26"/>
        </w:rPr>
        <w:t xml:space="preserve"> and applicat</w:t>
      </w:r>
      <w:r>
        <w:rPr>
          <w:rFonts w:ascii="Times New Roman" w:eastAsia="Times New Roman" w:hAnsi="Times New Roman" w:cs="Times New Roman"/>
          <w:sz w:val="26"/>
          <w:szCs w:val="26"/>
        </w:rPr>
        <w:t>ions for CRP Home Comfort and</w:t>
      </w:r>
      <w:r w:rsidR="00133889">
        <w:rPr>
          <w:rFonts w:ascii="Times New Roman" w:eastAsia="Times New Roman" w:hAnsi="Times New Roman" w:cs="Times New Roman"/>
          <w:sz w:val="26"/>
          <w:szCs w:val="26"/>
        </w:rPr>
        <w:t xml:space="preserve"> its</w:t>
      </w:r>
      <w:r w:rsidR="00630674">
        <w:rPr>
          <w:rFonts w:ascii="Times New Roman" w:eastAsia="Times New Roman" w:hAnsi="Times New Roman" w:cs="Times New Roman"/>
          <w:sz w:val="26"/>
          <w:szCs w:val="26"/>
        </w:rPr>
        <w:t xml:space="preserve"> Hardship Fund</w:t>
      </w:r>
      <w:r w:rsidR="007F2CBD">
        <w:rPr>
          <w:rFonts w:ascii="Times New Roman" w:eastAsia="Times New Roman" w:hAnsi="Times New Roman" w:cs="Times New Roman"/>
          <w:sz w:val="26"/>
          <w:szCs w:val="26"/>
        </w:rPr>
        <w:t xml:space="preserve"> </w:t>
      </w:r>
      <w:r w:rsidR="00935E77">
        <w:rPr>
          <w:rFonts w:ascii="Times New Roman" w:eastAsia="Times New Roman" w:hAnsi="Times New Roman" w:cs="Times New Roman"/>
          <w:sz w:val="26"/>
          <w:szCs w:val="26"/>
        </w:rPr>
        <w:t>as well</w:t>
      </w:r>
      <w:r w:rsidR="007F2CBD">
        <w:rPr>
          <w:rFonts w:ascii="Times New Roman" w:eastAsia="Times New Roman" w:hAnsi="Times New Roman" w:cs="Times New Roman"/>
          <w:sz w:val="26"/>
          <w:szCs w:val="26"/>
        </w:rPr>
        <w:t>.</w:t>
      </w:r>
    </w:p>
    <w:p w:rsidR="0089316B" w:rsidRDefault="0089316B" w:rsidP="00231829">
      <w:pPr>
        <w:spacing w:after="0" w:line="360" w:lineRule="auto"/>
        <w:contextualSpacing/>
        <w:rPr>
          <w:rFonts w:ascii="Times New Roman" w:eastAsia="Times New Roman" w:hAnsi="Times New Roman" w:cs="Times New Roman"/>
          <w:sz w:val="26"/>
          <w:szCs w:val="26"/>
        </w:rPr>
      </w:pPr>
    </w:p>
    <w:p w:rsidR="0069683C" w:rsidRDefault="0069683C" w:rsidP="0069683C">
      <w:pPr>
        <w:spacing w:line="360" w:lineRule="auto"/>
        <w:contextualSpacing/>
        <w:rPr>
          <w:rFonts w:ascii="Times New Roman" w:hAnsi="Times New Roman" w:cs="Times New Roman"/>
          <w:sz w:val="26"/>
          <w:szCs w:val="26"/>
        </w:rPr>
      </w:pPr>
      <w:r>
        <w:rPr>
          <w:rFonts w:ascii="Times New Roman" w:hAnsi="Times New Roman" w:cs="Times New Roman"/>
          <w:sz w:val="26"/>
          <w:szCs w:val="26"/>
        </w:rPr>
        <w:tab/>
        <w:t xml:space="preserve">PGW explains that its online process will allow customers to apply/recertify for CRP online and automate work assignments for employees processing applications.  The online tool will also allow the Company to communicate electronically with the customer.  </w:t>
      </w:r>
      <w:r w:rsidR="006B22BA">
        <w:rPr>
          <w:rFonts w:ascii="Times New Roman" w:hAnsi="Times New Roman" w:cs="Times New Roman"/>
          <w:sz w:val="26"/>
          <w:szCs w:val="26"/>
        </w:rPr>
        <w:t>PGW</w:t>
      </w:r>
      <w:r>
        <w:rPr>
          <w:rFonts w:ascii="Times New Roman" w:hAnsi="Times New Roman" w:cs="Times New Roman"/>
          <w:sz w:val="26"/>
          <w:szCs w:val="26"/>
        </w:rPr>
        <w:t xml:space="preserve"> confirms that customers will be able to submit documents electronically through the website “or other type of portal or electronic submission.”  PGW Supplemental Information at 14.  </w:t>
      </w:r>
      <w:r w:rsidR="003829A6" w:rsidRPr="003829A6">
        <w:rPr>
          <w:rFonts w:ascii="Times New Roman" w:hAnsi="Times New Roman" w:cs="Times New Roman"/>
          <w:sz w:val="26"/>
          <w:szCs w:val="26"/>
        </w:rPr>
        <w:t>PGW projects it will implement this process in Fiscal Year 2018.  PGW Supplemental Information at 15.</w:t>
      </w:r>
    </w:p>
    <w:p w:rsidR="0069683C" w:rsidRDefault="0069683C" w:rsidP="0069683C">
      <w:pPr>
        <w:spacing w:line="360" w:lineRule="auto"/>
        <w:contextualSpacing/>
        <w:rPr>
          <w:rFonts w:ascii="Times New Roman" w:hAnsi="Times New Roman" w:cs="Times New Roman"/>
          <w:sz w:val="26"/>
          <w:szCs w:val="26"/>
        </w:rPr>
      </w:pPr>
    </w:p>
    <w:p w:rsidR="0069683C" w:rsidRPr="000D0E64" w:rsidRDefault="0069683C" w:rsidP="0069683C">
      <w:pPr>
        <w:spacing w:line="360" w:lineRule="auto"/>
        <w:contextualSpacing/>
        <w:rPr>
          <w:rFonts w:ascii="Times New Roman" w:hAnsi="Times New Roman" w:cs="Times New Roman"/>
          <w:sz w:val="26"/>
          <w:szCs w:val="26"/>
        </w:rPr>
      </w:pPr>
      <w:r>
        <w:rPr>
          <w:rFonts w:ascii="Times New Roman" w:hAnsi="Times New Roman" w:cs="Times New Roman"/>
          <w:sz w:val="26"/>
          <w:szCs w:val="26"/>
        </w:rPr>
        <w:tab/>
        <w:t>Due to the time and costs involved with this project – which is not recovered through PGW’s USC surcharge – PGW has limited the process to CRP because of the anticipated benefits for program participants and the Company.  Therefore, this online process will not allow customers to apply for CRP Home Comfort or the Hardship Fund</w:t>
      </w:r>
      <w:r w:rsidR="006B22BA">
        <w:rPr>
          <w:rFonts w:ascii="Times New Roman" w:hAnsi="Times New Roman" w:cs="Times New Roman"/>
          <w:sz w:val="26"/>
          <w:szCs w:val="26"/>
        </w:rPr>
        <w:t xml:space="preserve"> programs</w:t>
      </w:r>
      <w:r>
        <w:rPr>
          <w:rFonts w:ascii="Times New Roman" w:hAnsi="Times New Roman" w:cs="Times New Roman"/>
          <w:sz w:val="26"/>
          <w:szCs w:val="26"/>
        </w:rPr>
        <w:t>.  PGW Supplemental Information at 14-15.</w:t>
      </w:r>
    </w:p>
    <w:p w:rsidR="0069683C" w:rsidRDefault="0069683C" w:rsidP="0069683C">
      <w:pPr>
        <w:spacing w:line="360" w:lineRule="auto"/>
        <w:contextualSpacing/>
        <w:rPr>
          <w:rFonts w:ascii="Times New Roman" w:hAnsi="Times New Roman" w:cs="Times New Roman"/>
          <w:sz w:val="26"/>
          <w:szCs w:val="26"/>
        </w:rPr>
      </w:pPr>
    </w:p>
    <w:p w:rsidR="0069683C" w:rsidRDefault="0069683C" w:rsidP="0069683C">
      <w:pPr>
        <w:spacing w:line="360" w:lineRule="auto"/>
        <w:contextualSpacing/>
        <w:rPr>
          <w:rFonts w:ascii="Times New Roman" w:hAnsi="Times New Roman" w:cs="Times New Roman"/>
          <w:sz w:val="26"/>
          <w:szCs w:val="26"/>
        </w:rPr>
      </w:pPr>
      <w:r>
        <w:rPr>
          <w:rFonts w:ascii="Times New Roman" w:hAnsi="Times New Roman" w:cs="Times New Roman"/>
          <w:sz w:val="26"/>
          <w:szCs w:val="26"/>
        </w:rPr>
        <w:tab/>
        <w:t xml:space="preserve">CAUSE-PA, OCA, and TURN </w:t>
      </w:r>
      <w:r w:rsidR="006656B5" w:rsidRPr="006656B5">
        <w:rPr>
          <w:rFonts w:ascii="Times New Roman" w:hAnsi="Times New Roman" w:cs="Times New Roman"/>
          <w:i/>
          <w:sz w:val="26"/>
          <w:szCs w:val="26"/>
        </w:rPr>
        <w:t>et al</w:t>
      </w:r>
      <w:r>
        <w:rPr>
          <w:rFonts w:ascii="Times New Roman" w:hAnsi="Times New Roman" w:cs="Times New Roman"/>
          <w:sz w:val="26"/>
          <w:szCs w:val="26"/>
        </w:rPr>
        <w:t xml:space="preserve">. separately support the implementation of an online CRP application process.  CAUSE-PA Comments at 18; OCA Comments at 11; and TURN </w:t>
      </w:r>
      <w:r w:rsidR="006656B5" w:rsidRPr="006656B5">
        <w:rPr>
          <w:rFonts w:ascii="Times New Roman" w:hAnsi="Times New Roman" w:cs="Times New Roman"/>
          <w:i/>
          <w:sz w:val="26"/>
          <w:szCs w:val="26"/>
        </w:rPr>
        <w:t>et al</w:t>
      </w:r>
      <w:r>
        <w:rPr>
          <w:rFonts w:ascii="Times New Roman" w:hAnsi="Times New Roman" w:cs="Times New Roman"/>
          <w:sz w:val="26"/>
          <w:szCs w:val="26"/>
        </w:rPr>
        <w:t xml:space="preserve">. Comments at 15.  However, CAUSE-PA recommends that (1) use of the online application should not be construed as consent to receive bills and notices electronically; (2) PGW continue to offer other ways to apply for CRP; and (3) the online application should “provide clear, concise, plain-language disclosures, in English and in Spanish.”  CAUSE-PA Comments at 18-19.  </w:t>
      </w:r>
    </w:p>
    <w:p w:rsidR="0069683C" w:rsidRDefault="0069683C" w:rsidP="0069683C">
      <w:pPr>
        <w:spacing w:line="360" w:lineRule="auto"/>
        <w:contextualSpacing/>
        <w:rPr>
          <w:rFonts w:ascii="Times New Roman" w:hAnsi="Times New Roman" w:cs="Times New Roman"/>
          <w:sz w:val="26"/>
          <w:szCs w:val="26"/>
        </w:rPr>
      </w:pPr>
    </w:p>
    <w:p w:rsidR="0069683C" w:rsidRDefault="0069683C" w:rsidP="0069683C">
      <w:pPr>
        <w:spacing w:line="360" w:lineRule="auto"/>
        <w:contextualSpacing/>
        <w:rPr>
          <w:rFonts w:ascii="Times New Roman" w:hAnsi="Times New Roman" w:cs="Times New Roman"/>
          <w:sz w:val="26"/>
          <w:szCs w:val="26"/>
        </w:rPr>
      </w:pPr>
      <w:r>
        <w:rPr>
          <w:rFonts w:ascii="Times New Roman" w:hAnsi="Times New Roman" w:cs="Times New Roman"/>
          <w:sz w:val="26"/>
          <w:szCs w:val="26"/>
        </w:rPr>
        <w:tab/>
        <w:t xml:space="preserve">OCA recommends the electronic application include an “on-line help function” that would allow applicants to ask questions of CRP staff, provide step-by-step instructions on completing the application, and resources to assist the customer in resolving technical difficulties.  OCA Comments at 11-12.  </w:t>
      </w:r>
    </w:p>
    <w:p w:rsidR="0069683C" w:rsidRDefault="0069683C" w:rsidP="0069683C">
      <w:pPr>
        <w:spacing w:line="360" w:lineRule="auto"/>
        <w:contextualSpacing/>
        <w:rPr>
          <w:rFonts w:ascii="Times New Roman" w:hAnsi="Times New Roman" w:cs="Times New Roman"/>
          <w:sz w:val="26"/>
          <w:szCs w:val="26"/>
        </w:rPr>
      </w:pPr>
    </w:p>
    <w:p w:rsidR="0069683C" w:rsidRDefault="0069683C" w:rsidP="0069683C">
      <w:pPr>
        <w:spacing w:line="360" w:lineRule="auto"/>
        <w:contextualSpacing/>
        <w:rPr>
          <w:rFonts w:ascii="Times New Roman" w:hAnsi="Times New Roman" w:cs="Times New Roman"/>
          <w:sz w:val="26"/>
          <w:szCs w:val="26"/>
        </w:rPr>
      </w:pPr>
      <w:r>
        <w:rPr>
          <w:rFonts w:ascii="Times New Roman" w:hAnsi="Times New Roman" w:cs="Times New Roman"/>
          <w:sz w:val="26"/>
          <w:szCs w:val="26"/>
        </w:rPr>
        <w:tab/>
        <w:t xml:space="preserve">TURN </w:t>
      </w:r>
      <w:r w:rsidR="006656B5" w:rsidRPr="006656B5">
        <w:rPr>
          <w:rFonts w:ascii="Times New Roman" w:hAnsi="Times New Roman" w:cs="Times New Roman"/>
          <w:i/>
          <w:sz w:val="26"/>
          <w:szCs w:val="26"/>
        </w:rPr>
        <w:t>et al</w:t>
      </w:r>
      <w:r>
        <w:rPr>
          <w:rFonts w:ascii="Times New Roman" w:hAnsi="Times New Roman" w:cs="Times New Roman"/>
          <w:sz w:val="26"/>
          <w:szCs w:val="26"/>
        </w:rPr>
        <w:t>. recommends the Commission require the Company to expand the online</w:t>
      </w:r>
      <w:r w:rsidR="00FB6842">
        <w:rPr>
          <w:rFonts w:ascii="Times New Roman" w:hAnsi="Times New Roman" w:cs="Times New Roman"/>
          <w:sz w:val="26"/>
          <w:szCs w:val="26"/>
        </w:rPr>
        <w:t xml:space="preserve"> application process to determine </w:t>
      </w:r>
      <w:r>
        <w:rPr>
          <w:rFonts w:ascii="Times New Roman" w:hAnsi="Times New Roman" w:cs="Times New Roman"/>
          <w:sz w:val="26"/>
          <w:szCs w:val="26"/>
        </w:rPr>
        <w:t xml:space="preserve">eligibility for all of its universal service programs.  TURN </w:t>
      </w:r>
      <w:r w:rsidR="006656B5" w:rsidRPr="006656B5">
        <w:rPr>
          <w:rFonts w:ascii="Times New Roman" w:hAnsi="Times New Roman" w:cs="Times New Roman"/>
          <w:i/>
          <w:sz w:val="26"/>
          <w:szCs w:val="26"/>
        </w:rPr>
        <w:t>et al</w:t>
      </w:r>
      <w:r>
        <w:rPr>
          <w:rFonts w:ascii="Times New Roman" w:hAnsi="Times New Roman" w:cs="Times New Roman"/>
          <w:sz w:val="26"/>
          <w:szCs w:val="26"/>
        </w:rPr>
        <w:t xml:space="preserve">. </w:t>
      </w:r>
      <w:r w:rsidR="00BF3DC6">
        <w:rPr>
          <w:rFonts w:ascii="Times New Roman" w:hAnsi="Times New Roman" w:cs="Times New Roman"/>
          <w:sz w:val="26"/>
          <w:szCs w:val="26"/>
        </w:rPr>
        <w:t xml:space="preserve">Comments </w:t>
      </w:r>
      <w:r>
        <w:rPr>
          <w:rFonts w:ascii="Times New Roman" w:hAnsi="Times New Roman" w:cs="Times New Roman"/>
          <w:sz w:val="26"/>
          <w:szCs w:val="26"/>
        </w:rPr>
        <w:t xml:space="preserve">at 16.  </w:t>
      </w:r>
    </w:p>
    <w:p w:rsidR="0069683C" w:rsidRDefault="0069683C" w:rsidP="0069683C">
      <w:pPr>
        <w:spacing w:line="360" w:lineRule="auto"/>
        <w:contextualSpacing/>
        <w:rPr>
          <w:rFonts w:ascii="Times New Roman" w:hAnsi="Times New Roman" w:cs="Times New Roman"/>
          <w:sz w:val="26"/>
          <w:szCs w:val="26"/>
        </w:rPr>
      </w:pPr>
    </w:p>
    <w:p w:rsidR="0069683C" w:rsidRDefault="0069683C" w:rsidP="0069683C">
      <w:pPr>
        <w:spacing w:line="360" w:lineRule="auto"/>
        <w:contextualSpacing/>
        <w:rPr>
          <w:rFonts w:ascii="Times New Roman" w:hAnsi="Times New Roman" w:cs="Times New Roman"/>
          <w:sz w:val="26"/>
          <w:szCs w:val="26"/>
        </w:rPr>
      </w:pPr>
      <w:r>
        <w:rPr>
          <w:rFonts w:ascii="Times New Roman" w:hAnsi="Times New Roman" w:cs="Times New Roman"/>
          <w:sz w:val="26"/>
          <w:szCs w:val="26"/>
        </w:rPr>
        <w:tab/>
        <w:t>PGW explains that the CRP online application will offer both Engl</w:t>
      </w:r>
      <w:r w:rsidR="00FB6842">
        <w:rPr>
          <w:rFonts w:ascii="Times New Roman" w:hAnsi="Times New Roman" w:cs="Times New Roman"/>
          <w:sz w:val="26"/>
          <w:szCs w:val="26"/>
        </w:rPr>
        <w:t>ish and Spanish instructions, u</w:t>
      </w:r>
      <w:r>
        <w:rPr>
          <w:rFonts w:ascii="Times New Roman" w:hAnsi="Times New Roman" w:cs="Times New Roman"/>
          <w:sz w:val="26"/>
          <w:szCs w:val="26"/>
        </w:rPr>
        <w:t>se of the online application will not automatically enroll customers into e</w:t>
      </w:r>
      <w:r w:rsidR="00FB6842">
        <w:rPr>
          <w:rFonts w:ascii="Times New Roman" w:hAnsi="Times New Roman" w:cs="Times New Roman"/>
          <w:sz w:val="26"/>
          <w:szCs w:val="26"/>
        </w:rPr>
        <w:t>lectronic billing or notices, and c</w:t>
      </w:r>
      <w:r>
        <w:rPr>
          <w:rFonts w:ascii="Times New Roman" w:hAnsi="Times New Roman" w:cs="Times New Roman"/>
          <w:sz w:val="26"/>
          <w:szCs w:val="26"/>
        </w:rPr>
        <w:t xml:space="preserve">ustomers will still be able to enroll in CRP via mail or in-person </w:t>
      </w:r>
      <w:r w:rsidR="006B22BA">
        <w:rPr>
          <w:rFonts w:ascii="Times New Roman" w:hAnsi="Times New Roman" w:cs="Times New Roman"/>
          <w:sz w:val="26"/>
          <w:szCs w:val="26"/>
        </w:rPr>
        <w:t>(</w:t>
      </w:r>
      <w:r>
        <w:rPr>
          <w:rFonts w:ascii="Times New Roman" w:hAnsi="Times New Roman" w:cs="Times New Roman"/>
          <w:sz w:val="26"/>
          <w:szCs w:val="26"/>
        </w:rPr>
        <w:t>at a PGW office</w:t>
      </w:r>
      <w:r w:rsidR="006B22BA">
        <w:rPr>
          <w:rFonts w:ascii="Times New Roman" w:hAnsi="Times New Roman" w:cs="Times New Roman"/>
          <w:sz w:val="26"/>
          <w:szCs w:val="26"/>
        </w:rPr>
        <w:t>)</w:t>
      </w:r>
      <w:r>
        <w:rPr>
          <w:rFonts w:ascii="Times New Roman" w:hAnsi="Times New Roman" w:cs="Times New Roman"/>
          <w:sz w:val="26"/>
          <w:szCs w:val="26"/>
        </w:rPr>
        <w:t>.  PGW Reply Comments at 19.</w:t>
      </w:r>
      <w:r w:rsidR="002345E3">
        <w:rPr>
          <w:rFonts w:ascii="Times New Roman" w:hAnsi="Times New Roman" w:cs="Times New Roman"/>
          <w:sz w:val="26"/>
          <w:szCs w:val="26"/>
        </w:rPr>
        <w:t xml:space="preserve">  The</w:t>
      </w:r>
      <w:r>
        <w:rPr>
          <w:rFonts w:ascii="Times New Roman" w:hAnsi="Times New Roman" w:cs="Times New Roman"/>
          <w:sz w:val="26"/>
          <w:szCs w:val="26"/>
        </w:rPr>
        <w:t xml:space="preserve"> online application will include a “help” function that will provide answers to general questions and additional </w:t>
      </w:r>
      <w:r>
        <w:rPr>
          <w:rFonts w:ascii="Times New Roman" w:hAnsi="Times New Roman" w:cs="Times New Roman"/>
          <w:sz w:val="26"/>
          <w:szCs w:val="26"/>
        </w:rPr>
        <w:lastRenderedPageBreak/>
        <w:t>resourc</w:t>
      </w:r>
      <w:r w:rsidR="00FB6842">
        <w:rPr>
          <w:rFonts w:ascii="Times New Roman" w:hAnsi="Times New Roman" w:cs="Times New Roman"/>
          <w:sz w:val="26"/>
          <w:szCs w:val="26"/>
        </w:rPr>
        <w:t xml:space="preserve">es.  However, </w:t>
      </w:r>
      <w:r w:rsidR="006B22BA">
        <w:rPr>
          <w:rFonts w:ascii="Times New Roman" w:hAnsi="Times New Roman" w:cs="Times New Roman"/>
          <w:sz w:val="26"/>
          <w:szCs w:val="26"/>
        </w:rPr>
        <w:t>PGW</w:t>
      </w:r>
      <w:r w:rsidR="00FB6842">
        <w:rPr>
          <w:rFonts w:ascii="Times New Roman" w:hAnsi="Times New Roman" w:cs="Times New Roman"/>
          <w:sz w:val="26"/>
          <w:szCs w:val="26"/>
        </w:rPr>
        <w:t xml:space="preserve"> asserts</w:t>
      </w:r>
      <w:r>
        <w:rPr>
          <w:rFonts w:ascii="Times New Roman" w:hAnsi="Times New Roman" w:cs="Times New Roman"/>
          <w:sz w:val="26"/>
          <w:szCs w:val="26"/>
        </w:rPr>
        <w:t xml:space="preserve"> it does not have the resources to provide a </w:t>
      </w:r>
      <w:r w:rsidR="00FB6842">
        <w:rPr>
          <w:rFonts w:ascii="Times New Roman" w:hAnsi="Times New Roman" w:cs="Times New Roman"/>
          <w:sz w:val="26"/>
          <w:szCs w:val="26"/>
        </w:rPr>
        <w:t>“</w:t>
      </w:r>
      <w:r>
        <w:rPr>
          <w:rFonts w:ascii="Times New Roman" w:hAnsi="Times New Roman" w:cs="Times New Roman"/>
          <w:sz w:val="26"/>
          <w:szCs w:val="26"/>
        </w:rPr>
        <w:t>live chat</w:t>
      </w:r>
      <w:r w:rsidR="00FB6842">
        <w:rPr>
          <w:rFonts w:ascii="Times New Roman" w:hAnsi="Times New Roman" w:cs="Times New Roman"/>
          <w:sz w:val="26"/>
          <w:szCs w:val="26"/>
        </w:rPr>
        <w:t>”</w:t>
      </w:r>
      <w:r>
        <w:rPr>
          <w:rFonts w:ascii="Times New Roman" w:hAnsi="Times New Roman" w:cs="Times New Roman"/>
          <w:sz w:val="26"/>
          <w:szCs w:val="26"/>
        </w:rPr>
        <w:t xml:space="preserve"> with staff.  If customers need to speak to a customer service representative, they can call the Company directly.  PGW Reply Comments at 4-5.  </w:t>
      </w:r>
    </w:p>
    <w:p w:rsidR="0069683C" w:rsidRDefault="0069683C" w:rsidP="0069683C">
      <w:pPr>
        <w:spacing w:line="360" w:lineRule="auto"/>
        <w:contextualSpacing/>
        <w:rPr>
          <w:rFonts w:ascii="Times New Roman" w:hAnsi="Times New Roman" w:cs="Times New Roman"/>
          <w:sz w:val="26"/>
          <w:szCs w:val="26"/>
        </w:rPr>
      </w:pPr>
    </w:p>
    <w:p w:rsidR="0069683C" w:rsidRDefault="0069683C" w:rsidP="0069683C">
      <w:pPr>
        <w:spacing w:line="360" w:lineRule="auto"/>
        <w:contextualSpacing/>
        <w:rPr>
          <w:rFonts w:ascii="Times New Roman" w:hAnsi="Times New Roman" w:cs="Times New Roman"/>
          <w:sz w:val="26"/>
          <w:szCs w:val="26"/>
        </w:rPr>
      </w:pPr>
      <w:r>
        <w:rPr>
          <w:rFonts w:ascii="Times New Roman" w:hAnsi="Times New Roman" w:cs="Times New Roman"/>
          <w:sz w:val="26"/>
          <w:szCs w:val="26"/>
        </w:rPr>
        <w:tab/>
        <w:t>PGW re-asserts that it is not using the online portal to determine eligibility for other universal service programs due to the additional cost and the structure of the other programs:</w:t>
      </w:r>
    </w:p>
    <w:p w:rsidR="0069683C" w:rsidRDefault="0069683C" w:rsidP="0069683C">
      <w:pPr>
        <w:spacing w:line="360" w:lineRule="auto"/>
        <w:contextualSpacing/>
        <w:rPr>
          <w:rFonts w:ascii="Times New Roman" w:hAnsi="Times New Roman" w:cs="Times New Roman"/>
          <w:sz w:val="26"/>
          <w:szCs w:val="26"/>
        </w:rPr>
      </w:pPr>
    </w:p>
    <w:p w:rsidR="0069683C" w:rsidRDefault="0069683C" w:rsidP="0069683C">
      <w:pPr>
        <w:spacing w:line="240" w:lineRule="auto"/>
        <w:ind w:left="720" w:right="720"/>
        <w:contextualSpacing/>
        <w:rPr>
          <w:rFonts w:ascii="Times New Roman" w:hAnsi="Times New Roman" w:cs="Times New Roman"/>
          <w:sz w:val="26"/>
          <w:szCs w:val="26"/>
        </w:rPr>
      </w:pPr>
      <w:r w:rsidRPr="00774BD2">
        <w:rPr>
          <w:rFonts w:ascii="Times New Roman" w:hAnsi="Times New Roman" w:cs="Times New Roman"/>
          <w:sz w:val="26"/>
          <w:szCs w:val="26"/>
        </w:rPr>
        <w:t>Hardship Funds are provided through the Utility Emergency Services Fund (“UESF”) which is an organization separate from PGW.  Participants for CRP Home Comfort are selected based on usage and, therefore, there is no application process to automate.</w:t>
      </w:r>
    </w:p>
    <w:p w:rsidR="0069683C" w:rsidRDefault="0069683C" w:rsidP="0069683C">
      <w:pPr>
        <w:spacing w:line="360" w:lineRule="auto"/>
        <w:contextualSpacing/>
        <w:rPr>
          <w:rFonts w:ascii="Times New Roman" w:hAnsi="Times New Roman" w:cs="Times New Roman"/>
          <w:sz w:val="26"/>
          <w:szCs w:val="26"/>
        </w:rPr>
      </w:pPr>
    </w:p>
    <w:p w:rsidR="0069683C" w:rsidRDefault="0069683C" w:rsidP="0069683C">
      <w:pPr>
        <w:spacing w:line="360" w:lineRule="auto"/>
        <w:contextualSpacing/>
        <w:rPr>
          <w:rFonts w:ascii="Times New Roman" w:hAnsi="Times New Roman" w:cs="Times New Roman"/>
          <w:sz w:val="26"/>
          <w:szCs w:val="26"/>
        </w:rPr>
      </w:pPr>
      <w:r>
        <w:rPr>
          <w:rFonts w:ascii="Times New Roman" w:hAnsi="Times New Roman" w:cs="Times New Roman"/>
          <w:sz w:val="26"/>
          <w:szCs w:val="26"/>
        </w:rPr>
        <w:t xml:space="preserve">PGW Reply Comments at 20.  </w:t>
      </w:r>
    </w:p>
    <w:p w:rsidR="0069683C" w:rsidRDefault="0069683C" w:rsidP="0069683C">
      <w:pPr>
        <w:spacing w:line="360" w:lineRule="auto"/>
        <w:contextualSpacing/>
        <w:rPr>
          <w:rFonts w:ascii="Times New Roman" w:hAnsi="Times New Roman" w:cs="Times New Roman"/>
          <w:sz w:val="26"/>
          <w:szCs w:val="26"/>
        </w:rPr>
      </w:pPr>
    </w:p>
    <w:p w:rsidR="0069683C" w:rsidRDefault="0069683C" w:rsidP="0069683C">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ab/>
        <w:t xml:space="preserve">If the Commission requires PGW to add any additional automated processes to its online portal, the Company requests costs recovery through its </w:t>
      </w:r>
      <w:r w:rsidR="00924E8E">
        <w:rPr>
          <w:rFonts w:ascii="Times New Roman" w:hAnsi="Times New Roman" w:cs="Times New Roman"/>
          <w:sz w:val="26"/>
          <w:szCs w:val="26"/>
        </w:rPr>
        <w:t>USC</w:t>
      </w:r>
      <w:r>
        <w:rPr>
          <w:rFonts w:ascii="Times New Roman" w:hAnsi="Times New Roman" w:cs="Times New Roman"/>
          <w:sz w:val="26"/>
          <w:szCs w:val="26"/>
        </w:rPr>
        <w:t xml:space="preserve"> surcharge.  PGW Reply Comments at 20.</w:t>
      </w:r>
    </w:p>
    <w:p w:rsidR="0069683C" w:rsidRDefault="0069683C" w:rsidP="0069683C">
      <w:pPr>
        <w:spacing w:after="0" w:line="360" w:lineRule="auto"/>
        <w:contextualSpacing/>
        <w:rPr>
          <w:rFonts w:ascii="Times New Roman" w:hAnsi="Times New Roman" w:cs="Times New Roman"/>
          <w:sz w:val="26"/>
          <w:szCs w:val="26"/>
        </w:rPr>
      </w:pPr>
    </w:p>
    <w:p w:rsidR="00846D9A" w:rsidRDefault="0069683C" w:rsidP="0069683C">
      <w:pPr>
        <w:spacing w:after="0" w:line="360" w:lineRule="auto"/>
        <w:contextualSpacing/>
        <w:rPr>
          <w:rFonts w:ascii="Times New Roman" w:eastAsia="Times New Roman" w:hAnsi="Times New Roman" w:cs="Times New Roman"/>
          <w:sz w:val="26"/>
          <w:szCs w:val="26"/>
        </w:rPr>
      </w:pPr>
      <w:r w:rsidRPr="00E0460F">
        <w:rPr>
          <w:rFonts w:ascii="Times New Roman" w:hAnsi="Times New Roman" w:cs="Times New Roman"/>
          <w:i/>
          <w:sz w:val="26"/>
          <w:szCs w:val="26"/>
        </w:rPr>
        <w:t>Resolution</w:t>
      </w:r>
      <w:r>
        <w:rPr>
          <w:rFonts w:ascii="Times New Roman" w:hAnsi="Times New Roman" w:cs="Times New Roman"/>
          <w:sz w:val="26"/>
          <w:szCs w:val="26"/>
        </w:rPr>
        <w:t>:</w:t>
      </w:r>
      <w:r w:rsidR="00E0460F">
        <w:rPr>
          <w:rFonts w:ascii="Times New Roman" w:hAnsi="Times New Roman" w:cs="Times New Roman"/>
          <w:sz w:val="26"/>
          <w:szCs w:val="26"/>
        </w:rPr>
        <w:t xml:space="preserve"> </w:t>
      </w:r>
      <w:r w:rsidR="00FB6842">
        <w:rPr>
          <w:rFonts w:ascii="Times New Roman" w:hAnsi="Times New Roman" w:cs="Times New Roman"/>
          <w:sz w:val="26"/>
          <w:szCs w:val="26"/>
        </w:rPr>
        <w:t>Consistent with the Tentative Order, the Commission</w:t>
      </w:r>
      <w:r w:rsidR="00FB6842">
        <w:rPr>
          <w:rFonts w:ascii="Times New Roman" w:eastAsia="Times New Roman" w:hAnsi="Times New Roman" w:cs="Times New Roman"/>
          <w:sz w:val="26"/>
          <w:szCs w:val="26"/>
        </w:rPr>
        <w:t xml:space="preserve"> supports PGW’s effort to expand the options available </w:t>
      </w:r>
      <w:r w:rsidR="0084375F">
        <w:rPr>
          <w:rFonts w:ascii="Times New Roman" w:eastAsia="Times New Roman" w:hAnsi="Times New Roman" w:cs="Times New Roman"/>
          <w:sz w:val="26"/>
          <w:szCs w:val="26"/>
        </w:rPr>
        <w:t xml:space="preserve">for customers to </w:t>
      </w:r>
      <w:r w:rsidR="00FB6842">
        <w:rPr>
          <w:rFonts w:ascii="Times New Roman" w:eastAsia="Times New Roman" w:hAnsi="Times New Roman" w:cs="Times New Roman"/>
          <w:sz w:val="26"/>
          <w:szCs w:val="26"/>
        </w:rPr>
        <w:t xml:space="preserve">apply for CRP.  Allowing customers to submit applications and documentation electronically </w:t>
      </w:r>
      <w:r w:rsidR="002345E3">
        <w:rPr>
          <w:rFonts w:ascii="Times New Roman" w:eastAsia="Times New Roman" w:hAnsi="Times New Roman" w:cs="Times New Roman"/>
          <w:sz w:val="26"/>
          <w:szCs w:val="26"/>
        </w:rPr>
        <w:t xml:space="preserve">should expedite the </w:t>
      </w:r>
      <w:r w:rsidR="00551352">
        <w:rPr>
          <w:rFonts w:ascii="Times New Roman" w:eastAsia="Times New Roman" w:hAnsi="Times New Roman" w:cs="Times New Roman"/>
          <w:sz w:val="26"/>
          <w:szCs w:val="26"/>
        </w:rPr>
        <w:t xml:space="preserve">CRP enrollments and recertification </w:t>
      </w:r>
      <w:r w:rsidR="002345E3">
        <w:rPr>
          <w:rFonts w:ascii="Times New Roman" w:eastAsia="Times New Roman" w:hAnsi="Times New Roman" w:cs="Times New Roman"/>
          <w:sz w:val="26"/>
          <w:szCs w:val="26"/>
        </w:rPr>
        <w:t>process for both the customer and PGW.</w:t>
      </w:r>
      <w:r w:rsidR="00FB6842">
        <w:rPr>
          <w:rFonts w:ascii="Times New Roman" w:eastAsia="Times New Roman" w:hAnsi="Times New Roman" w:cs="Times New Roman"/>
          <w:sz w:val="26"/>
          <w:szCs w:val="26"/>
        </w:rPr>
        <w:t xml:space="preserve"> </w:t>
      </w:r>
      <w:r w:rsidR="002345E3">
        <w:rPr>
          <w:rFonts w:ascii="Times New Roman" w:eastAsia="Times New Roman" w:hAnsi="Times New Roman" w:cs="Times New Roman"/>
          <w:sz w:val="26"/>
          <w:szCs w:val="26"/>
        </w:rPr>
        <w:t xml:space="preserve"> </w:t>
      </w:r>
    </w:p>
    <w:p w:rsidR="00846D9A" w:rsidRDefault="00846D9A" w:rsidP="0069683C">
      <w:pPr>
        <w:spacing w:after="0" w:line="360" w:lineRule="auto"/>
        <w:contextualSpacing/>
        <w:rPr>
          <w:rFonts w:ascii="Times New Roman" w:eastAsia="Times New Roman" w:hAnsi="Times New Roman" w:cs="Times New Roman"/>
          <w:sz w:val="26"/>
          <w:szCs w:val="26"/>
        </w:rPr>
      </w:pPr>
    </w:p>
    <w:p w:rsidR="002345E3" w:rsidRDefault="00E0460F" w:rsidP="00726C63">
      <w:pPr>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2345E3">
        <w:rPr>
          <w:rFonts w:ascii="Times New Roman" w:eastAsia="Times New Roman" w:hAnsi="Times New Roman" w:cs="Times New Roman"/>
          <w:sz w:val="26"/>
          <w:szCs w:val="26"/>
        </w:rPr>
        <w:t xml:space="preserve">Accordingly, </w:t>
      </w:r>
      <w:r w:rsidR="0091618E">
        <w:rPr>
          <w:rFonts w:ascii="Times New Roman" w:eastAsia="Times New Roman" w:hAnsi="Times New Roman" w:cs="Times New Roman"/>
          <w:sz w:val="26"/>
          <w:szCs w:val="26"/>
        </w:rPr>
        <w:t xml:space="preserve">we </w:t>
      </w:r>
      <w:r w:rsidR="00846D9A">
        <w:rPr>
          <w:rFonts w:ascii="Times New Roman" w:eastAsia="Times New Roman" w:hAnsi="Times New Roman" w:cs="Times New Roman"/>
          <w:sz w:val="26"/>
          <w:szCs w:val="26"/>
        </w:rPr>
        <w:t xml:space="preserve">approve PGW’s implementation of </w:t>
      </w:r>
      <w:r w:rsidR="008D4A15">
        <w:rPr>
          <w:rFonts w:ascii="Times New Roman" w:eastAsia="Times New Roman" w:hAnsi="Times New Roman" w:cs="Times New Roman"/>
          <w:sz w:val="26"/>
          <w:szCs w:val="26"/>
        </w:rPr>
        <w:t>a</w:t>
      </w:r>
      <w:r w:rsidR="00846D9A">
        <w:rPr>
          <w:rFonts w:ascii="Times New Roman" w:eastAsia="Times New Roman" w:hAnsi="Times New Roman" w:cs="Times New Roman"/>
          <w:sz w:val="26"/>
          <w:szCs w:val="26"/>
        </w:rPr>
        <w:t xml:space="preserve">n online portal to accept and process CRP applications and recertifications.  This process should be implemented by </w:t>
      </w:r>
      <w:r w:rsidR="00B37388">
        <w:rPr>
          <w:rFonts w:ascii="Times New Roman" w:eastAsia="Times New Roman" w:hAnsi="Times New Roman" w:cs="Times New Roman"/>
          <w:sz w:val="26"/>
          <w:szCs w:val="26"/>
        </w:rPr>
        <w:t xml:space="preserve">or before </w:t>
      </w:r>
      <w:r w:rsidR="00846D9A">
        <w:rPr>
          <w:rFonts w:ascii="Times New Roman" w:eastAsia="Times New Roman" w:hAnsi="Times New Roman" w:cs="Times New Roman"/>
          <w:sz w:val="26"/>
          <w:szCs w:val="26"/>
        </w:rPr>
        <w:t xml:space="preserve">January 2018.  We also </w:t>
      </w:r>
      <w:r w:rsidR="0091618E">
        <w:rPr>
          <w:rFonts w:ascii="Times New Roman" w:eastAsia="Times New Roman" w:hAnsi="Times New Roman" w:cs="Times New Roman"/>
          <w:sz w:val="26"/>
          <w:szCs w:val="26"/>
        </w:rPr>
        <w:t xml:space="preserve">direct </w:t>
      </w:r>
      <w:r w:rsidR="002345E3">
        <w:rPr>
          <w:rFonts w:ascii="Times New Roman" w:eastAsia="Times New Roman" w:hAnsi="Times New Roman" w:cs="Times New Roman"/>
          <w:sz w:val="26"/>
          <w:szCs w:val="26"/>
        </w:rPr>
        <w:t xml:space="preserve">PGW to </w:t>
      </w:r>
      <w:r w:rsidR="0091618E">
        <w:rPr>
          <w:rFonts w:ascii="Times New Roman" w:eastAsia="Times New Roman" w:hAnsi="Times New Roman" w:cs="Times New Roman"/>
          <w:sz w:val="26"/>
          <w:szCs w:val="26"/>
        </w:rPr>
        <w:t xml:space="preserve">clarify </w:t>
      </w:r>
      <w:r w:rsidR="002345E3">
        <w:rPr>
          <w:rFonts w:ascii="Times New Roman" w:eastAsia="Times New Roman" w:hAnsi="Times New Roman" w:cs="Times New Roman"/>
          <w:sz w:val="26"/>
          <w:szCs w:val="26"/>
        </w:rPr>
        <w:t>in its Revised 2017-2020 Plan</w:t>
      </w:r>
      <w:r w:rsidR="0091618E">
        <w:rPr>
          <w:rFonts w:ascii="Times New Roman" w:eastAsia="Times New Roman" w:hAnsi="Times New Roman" w:cs="Times New Roman"/>
          <w:sz w:val="26"/>
          <w:szCs w:val="26"/>
        </w:rPr>
        <w:t xml:space="preserve"> that</w:t>
      </w:r>
      <w:r w:rsidR="003829A6">
        <w:rPr>
          <w:rFonts w:ascii="Times New Roman" w:eastAsia="Times New Roman" w:hAnsi="Times New Roman" w:cs="Times New Roman"/>
          <w:sz w:val="26"/>
          <w:szCs w:val="26"/>
        </w:rPr>
        <w:t>:</w:t>
      </w:r>
      <w:r w:rsidR="0091618E">
        <w:rPr>
          <w:rFonts w:ascii="Times New Roman" w:eastAsia="Times New Roman" w:hAnsi="Times New Roman" w:cs="Times New Roman"/>
          <w:sz w:val="26"/>
          <w:szCs w:val="26"/>
        </w:rPr>
        <w:t xml:space="preserve"> </w:t>
      </w:r>
      <w:r w:rsidR="00846D9A">
        <w:rPr>
          <w:rFonts w:ascii="Times New Roman" w:eastAsia="Times New Roman" w:hAnsi="Times New Roman" w:cs="Times New Roman"/>
          <w:sz w:val="26"/>
          <w:szCs w:val="26"/>
        </w:rPr>
        <w:t>(1)</w:t>
      </w:r>
      <w:r>
        <w:rPr>
          <w:rFonts w:ascii="Times New Roman" w:eastAsia="Times New Roman" w:hAnsi="Times New Roman" w:cs="Times New Roman"/>
          <w:sz w:val="26"/>
          <w:szCs w:val="26"/>
        </w:rPr>
        <w:t xml:space="preserve"> </w:t>
      </w:r>
      <w:r w:rsidR="0091618E">
        <w:rPr>
          <w:rFonts w:ascii="Times New Roman" w:eastAsia="Times New Roman" w:hAnsi="Times New Roman" w:cs="Times New Roman"/>
          <w:sz w:val="26"/>
          <w:szCs w:val="26"/>
        </w:rPr>
        <w:t xml:space="preserve">the online process will allow </w:t>
      </w:r>
      <w:r w:rsidR="0084375F">
        <w:rPr>
          <w:rFonts w:ascii="Times New Roman" w:eastAsia="Times New Roman" w:hAnsi="Times New Roman" w:cs="Times New Roman"/>
          <w:sz w:val="26"/>
          <w:szCs w:val="26"/>
        </w:rPr>
        <w:t xml:space="preserve">customers </w:t>
      </w:r>
      <w:r w:rsidR="0091618E">
        <w:rPr>
          <w:rFonts w:ascii="Times New Roman" w:eastAsia="Times New Roman" w:hAnsi="Times New Roman" w:cs="Times New Roman"/>
          <w:sz w:val="26"/>
          <w:szCs w:val="26"/>
        </w:rPr>
        <w:t>to</w:t>
      </w:r>
      <w:r w:rsidR="00551352">
        <w:rPr>
          <w:rFonts w:ascii="Times New Roman" w:eastAsia="Times New Roman" w:hAnsi="Times New Roman" w:cs="Times New Roman"/>
          <w:sz w:val="26"/>
          <w:szCs w:val="26"/>
        </w:rPr>
        <w:t xml:space="preserve"> </w:t>
      </w:r>
      <w:r w:rsidR="00846D9A">
        <w:rPr>
          <w:rFonts w:ascii="Times New Roman" w:eastAsia="Times New Roman" w:hAnsi="Times New Roman" w:cs="Times New Roman"/>
          <w:sz w:val="26"/>
          <w:szCs w:val="26"/>
        </w:rPr>
        <w:t xml:space="preserve">securely </w:t>
      </w:r>
      <w:r w:rsidR="0084375F">
        <w:rPr>
          <w:rFonts w:ascii="Times New Roman" w:eastAsia="Times New Roman" w:hAnsi="Times New Roman" w:cs="Times New Roman"/>
          <w:sz w:val="26"/>
          <w:szCs w:val="26"/>
        </w:rPr>
        <w:t xml:space="preserve">submit requested documentation </w:t>
      </w:r>
      <w:r w:rsidR="00551352">
        <w:rPr>
          <w:rFonts w:ascii="Times New Roman" w:eastAsia="Times New Roman" w:hAnsi="Times New Roman" w:cs="Times New Roman"/>
          <w:sz w:val="26"/>
          <w:szCs w:val="26"/>
        </w:rPr>
        <w:t xml:space="preserve">and </w:t>
      </w:r>
      <w:r w:rsidR="00846D9A">
        <w:rPr>
          <w:rFonts w:ascii="Times New Roman" w:eastAsia="Times New Roman" w:hAnsi="Times New Roman" w:cs="Times New Roman"/>
          <w:sz w:val="26"/>
          <w:szCs w:val="26"/>
        </w:rPr>
        <w:t xml:space="preserve">(2) use of the online process </w:t>
      </w:r>
      <w:r w:rsidR="00551352">
        <w:rPr>
          <w:rFonts w:ascii="Times New Roman" w:hAnsi="Times New Roman" w:cs="Times New Roman"/>
          <w:sz w:val="26"/>
          <w:szCs w:val="26"/>
        </w:rPr>
        <w:t>will not automatically enroll customers into electronic billing or notices.</w:t>
      </w:r>
    </w:p>
    <w:p w:rsidR="008C0367" w:rsidRDefault="008C0367" w:rsidP="00726C63">
      <w:pPr>
        <w:spacing w:after="0" w:line="360" w:lineRule="auto"/>
        <w:contextualSpacing/>
        <w:rPr>
          <w:rFonts w:ascii="Times New Roman" w:eastAsia="Times New Roman" w:hAnsi="Times New Roman" w:cs="Times New Roman"/>
          <w:sz w:val="26"/>
          <w:szCs w:val="26"/>
        </w:rPr>
      </w:pPr>
    </w:p>
    <w:p w:rsidR="00502557" w:rsidRPr="0082248E" w:rsidRDefault="00AF2D9A" w:rsidP="00726C63">
      <w:pPr>
        <w:keepNext/>
        <w:spacing w:after="0" w:line="360" w:lineRule="auto"/>
        <w:contextualSpacing/>
        <w:rPr>
          <w:rFonts w:ascii="Times New Roman" w:hAnsi="Times New Roman" w:cs="Times New Roman"/>
          <w:i/>
          <w:sz w:val="26"/>
          <w:szCs w:val="26"/>
        </w:rPr>
      </w:pPr>
      <w:r>
        <w:rPr>
          <w:rFonts w:ascii="Times New Roman" w:hAnsi="Times New Roman" w:cs="Times New Roman"/>
          <w:i/>
          <w:sz w:val="26"/>
          <w:szCs w:val="26"/>
        </w:rPr>
        <w:t xml:space="preserve">g.  </w:t>
      </w:r>
      <w:r w:rsidR="00502557" w:rsidRPr="0082248E">
        <w:rPr>
          <w:rFonts w:ascii="Times New Roman" w:hAnsi="Times New Roman" w:cs="Times New Roman"/>
          <w:i/>
          <w:sz w:val="26"/>
          <w:szCs w:val="26"/>
        </w:rPr>
        <w:t>Reducing PIP Levels</w:t>
      </w:r>
    </w:p>
    <w:p w:rsidR="00502557" w:rsidRDefault="00502557" w:rsidP="00726C63">
      <w:pPr>
        <w:keepNext/>
        <w:spacing w:after="0" w:line="360" w:lineRule="auto"/>
        <w:contextualSpacing/>
        <w:rPr>
          <w:rFonts w:ascii="Times New Roman" w:hAnsi="Times New Roman" w:cs="Times New Roman"/>
          <w:sz w:val="26"/>
          <w:szCs w:val="26"/>
        </w:rPr>
      </w:pPr>
    </w:p>
    <w:p w:rsidR="00502557" w:rsidRDefault="00502557" w:rsidP="00502557">
      <w:pPr>
        <w:spacing w:line="360" w:lineRule="auto"/>
        <w:contextualSpacing/>
        <w:rPr>
          <w:rFonts w:ascii="Times New Roman" w:hAnsi="Times New Roman" w:cs="Times New Roman"/>
          <w:sz w:val="26"/>
          <w:szCs w:val="26"/>
        </w:rPr>
      </w:pPr>
      <w:r>
        <w:rPr>
          <w:rFonts w:ascii="Times New Roman" w:hAnsi="Times New Roman" w:cs="Times New Roman"/>
          <w:sz w:val="26"/>
          <w:szCs w:val="26"/>
        </w:rPr>
        <w:tab/>
        <w:t xml:space="preserve">The Peach Study found that customers at PIP levels of 8% and 10% have higher attrition levels than customers paying 9% of income.  The study suggests that adjusting the PIP tiers to 7%, 8%, and 9% of income – for customers at 0-50%, 51-100%, and 101-150% of the FPIG, respectively – may reduce dropout from the program, at an increased cost of approximately $1.7 million annually.  Peach Study at 2-3.  </w:t>
      </w:r>
    </w:p>
    <w:p w:rsidR="00502557" w:rsidRDefault="00502557" w:rsidP="00502557">
      <w:pPr>
        <w:spacing w:line="360" w:lineRule="auto"/>
        <w:contextualSpacing/>
        <w:rPr>
          <w:rFonts w:ascii="Times New Roman" w:hAnsi="Times New Roman" w:cs="Times New Roman"/>
          <w:sz w:val="26"/>
          <w:szCs w:val="26"/>
        </w:rPr>
      </w:pPr>
    </w:p>
    <w:p w:rsidR="00502557" w:rsidRDefault="00502557" w:rsidP="00502557">
      <w:pPr>
        <w:spacing w:line="360" w:lineRule="auto"/>
        <w:contextualSpacing/>
        <w:rPr>
          <w:rFonts w:ascii="Times New Roman" w:hAnsi="Times New Roman" w:cs="Times New Roman"/>
          <w:sz w:val="26"/>
          <w:szCs w:val="26"/>
        </w:rPr>
      </w:pPr>
      <w:r>
        <w:rPr>
          <w:rFonts w:ascii="Times New Roman" w:hAnsi="Times New Roman" w:cs="Times New Roman"/>
          <w:sz w:val="26"/>
          <w:szCs w:val="26"/>
        </w:rPr>
        <w:tab/>
        <w:t xml:space="preserve">CAUSE-PA recommends the Commission require PGW reduce its PIP levels to improve the affordability of CRP.  CAUSE-PA notes that charging 8% of income to households at 0-50% of the FPIG and 10% of income to households at 101-150% of the FPIG </w:t>
      </w:r>
      <w:r w:rsidR="00D62A52">
        <w:rPr>
          <w:rFonts w:ascii="Times New Roman" w:hAnsi="Times New Roman" w:cs="Times New Roman"/>
          <w:sz w:val="26"/>
          <w:szCs w:val="26"/>
        </w:rPr>
        <w:t>are</w:t>
      </w:r>
      <w:r>
        <w:rPr>
          <w:rFonts w:ascii="Times New Roman" w:hAnsi="Times New Roman" w:cs="Times New Roman"/>
          <w:sz w:val="26"/>
          <w:szCs w:val="26"/>
        </w:rPr>
        <w:t xml:space="preserve"> the maximum energy burden range</w:t>
      </w:r>
      <w:r w:rsidR="00D62A52">
        <w:rPr>
          <w:rFonts w:ascii="Times New Roman" w:hAnsi="Times New Roman" w:cs="Times New Roman"/>
          <w:sz w:val="26"/>
          <w:szCs w:val="26"/>
        </w:rPr>
        <w:t>s</w:t>
      </w:r>
      <w:r>
        <w:rPr>
          <w:rFonts w:ascii="Times New Roman" w:hAnsi="Times New Roman" w:cs="Times New Roman"/>
          <w:sz w:val="26"/>
          <w:szCs w:val="26"/>
        </w:rPr>
        <w:t xml:space="preserve"> </w:t>
      </w:r>
      <w:r w:rsidR="00D62A52">
        <w:rPr>
          <w:rFonts w:ascii="Times New Roman" w:hAnsi="Times New Roman" w:cs="Times New Roman"/>
          <w:sz w:val="26"/>
          <w:szCs w:val="26"/>
        </w:rPr>
        <w:t xml:space="preserve">for those income levels </w:t>
      </w:r>
      <w:r>
        <w:rPr>
          <w:rFonts w:ascii="Times New Roman" w:hAnsi="Times New Roman" w:cs="Times New Roman"/>
          <w:sz w:val="26"/>
          <w:szCs w:val="26"/>
        </w:rPr>
        <w:t xml:space="preserve">in the CAP Policy Statement.  CAUSE-PA Comments at 42, </w:t>
      </w:r>
      <w:r w:rsidRPr="00274DEF">
        <w:rPr>
          <w:rFonts w:ascii="Times New Roman" w:hAnsi="Times New Roman" w:cs="Times New Roman"/>
          <w:i/>
          <w:sz w:val="26"/>
          <w:szCs w:val="26"/>
        </w:rPr>
        <w:t>citing</w:t>
      </w:r>
      <w:r>
        <w:rPr>
          <w:rFonts w:ascii="Times New Roman" w:hAnsi="Times New Roman" w:cs="Times New Roman"/>
          <w:sz w:val="26"/>
          <w:szCs w:val="26"/>
        </w:rPr>
        <w:t xml:space="preserve"> Section 69.265(2)(i)(B).  CAUSE-PA notes that PGW’s PIP levels and PECO’s CAP energy burden levels</w:t>
      </w:r>
      <w:r w:rsidR="00784BA7">
        <w:rPr>
          <w:rStyle w:val="FootnoteReference"/>
          <w:rFonts w:ascii="Times New Roman" w:hAnsi="Times New Roman" w:cs="Times New Roman"/>
          <w:sz w:val="26"/>
          <w:szCs w:val="26"/>
        </w:rPr>
        <w:footnoteReference w:id="20"/>
      </w:r>
      <w:r>
        <w:rPr>
          <w:rFonts w:ascii="Times New Roman" w:hAnsi="Times New Roman" w:cs="Times New Roman"/>
          <w:sz w:val="26"/>
          <w:szCs w:val="26"/>
        </w:rPr>
        <w:t xml:space="preserve"> combined require low-income households to pay 13% to 17% of their gross income for gas and electric service.  CAUSE-PA requests an evidentiary proceeding to examine the affordability of PGW’s PIP and the enrollment/attrition rates.  CAUSE-PA comments at 44-45.  </w:t>
      </w:r>
    </w:p>
    <w:p w:rsidR="00502557" w:rsidRDefault="00502557" w:rsidP="00502557">
      <w:pPr>
        <w:spacing w:line="360" w:lineRule="auto"/>
        <w:contextualSpacing/>
        <w:rPr>
          <w:rFonts w:ascii="Times New Roman" w:hAnsi="Times New Roman" w:cs="Times New Roman"/>
          <w:sz w:val="26"/>
          <w:szCs w:val="26"/>
        </w:rPr>
      </w:pPr>
    </w:p>
    <w:p w:rsidR="00502557" w:rsidRDefault="00502557" w:rsidP="00502557">
      <w:pPr>
        <w:spacing w:line="360" w:lineRule="auto"/>
        <w:contextualSpacing/>
        <w:rPr>
          <w:rFonts w:ascii="Times New Roman" w:hAnsi="Times New Roman" w:cs="Times New Roman"/>
          <w:sz w:val="26"/>
          <w:szCs w:val="26"/>
        </w:rPr>
      </w:pPr>
      <w:r>
        <w:rPr>
          <w:rFonts w:ascii="Times New Roman" w:hAnsi="Times New Roman" w:cs="Times New Roman"/>
          <w:sz w:val="26"/>
          <w:szCs w:val="26"/>
        </w:rPr>
        <w:tab/>
        <w:t xml:space="preserve">TURN </w:t>
      </w:r>
      <w:r w:rsidR="006656B5" w:rsidRPr="006656B5">
        <w:rPr>
          <w:rFonts w:ascii="Times New Roman" w:hAnsi="Times New Roman" w:cs="Times New Roman"/>
          <w:i/>
          <w:sz w:val="26"/>
          <w:szCs w:val="26"/>
        </w:rPr>
        <w:t>et al</w:t>
      </w:r>
      <w:r>
        <w:rPr>
          <w:rFonts w:ascii="Times New Roman" w:hAnsi="Times New Roman" w:cs="Times New Roman"/>
          <w:sz w:val="26"/>
          <w:szCs w:val="26"/>
        </w:rPr>
        <w:t xml:space="preserve">. supports reducing the PIP levels to make the CRP bills more affordable for PGW’s low-income customers.  TURN </w:t>
      </w:r>
      <w:r w:rsidR="006656B5" w:rsidRPr="006656B5">
        <w:rPr>
          <w:rFonts w:ascii="Times New Roman" w:hAnsi="Times New Roman" w:cs="Times New Roman"/>
          <w:i/>
          <w:sz w:val="26"/>
          <w:szCs w:val="26"/>
        </w:rPr>
        <w:t>et al</w:t>
      </w:r>
      <w:r>
        <w:rPr>
          <w:rFonts w:ascii="Times New Roman" w:hAnsi="Times New Roman" w:cs="Times New Roman"/>
          <w:sz w:val="26"/>
          <w:szCs w:val="26"/>
        </w:rPr>
        <w:t>. Reply Comments at 3.</w:t>
      </w:r>
    </w:p>
    <w:p w:rsidR="00502557" w:rsidRDefault="00502557" w:rsidP="00502557">
      <w:pPr>
        <w:spacing w:line="360" w:lineRule="auto"/>
        <w:contextualSpacing/>
        <w:rPr>
          <w:rFonts w:ascii="Times New Roman" w:hAnsi="Times New Roman" w:cs="Times New Roman"/>
          <w:sz w:val="26"/>
          <w:szCs w:val="26"/>
        </w:rPr>
      </w:pPr>
    </w:p>
    <w:p w:rsidR="00502557" w:rsidRDefault="00502557" w:rsidP="00502557">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ab/>
        <w:t xml:space="preserve">PGW states that, consistent with the Peach Study recommendation, it is waiting to see how its program costs may increase due to changes required by the Commission in this USECP proceeding before making a determination about whether to decrease its CRP PIP levels.  PGW Reply Comments at 32, </w:t>
      </w:r>
      <w:r w:rsidRPr="0082248E">
        <w:rPr>
          <w:rFonts w:ascii="Times New Roman" w:hAnsi="Times New Roman" w:cs="Times New Roman"/>
          <w:i/>
          <w:sz w:val="26"/>
          <w:szCs w:val="26"/>
        </w:rPr>
        <w:t>citing</w:t>
      </w:r>
      <w:r>
        <w:rPr>
          <w:rFonts w:ascii="Times New Roman" w:hAnsi="Times New Roman" w:cs="Times New Roman"/>
          <w:sz w:val="26"/>
          <w:szCs w:val="26"/>
        </w:rPr>
        <w:t xml:space="preserve"> the Peach Study at </w:t>
      </w:r>
      <w:r w:rsidR="002A265F">
        <w:rPr>
          <w:rFonts w:ascii="Times New Roman" w:hAnsi="Times New Roman" w:cs="Times New Roman"/>
          <w:sz w:val="26"/>
          <w:szCs w:val="26"/>
        </w:rPr>
        <w:t>3</w:t>
      </w:r>
      <w:r>
        <w:rPr>
          <w:rFonts w:ascii="Times New Roman" w:hAnsi="Times New Roman" w:cs="Times New Roman"/>
          <w:sz w:val="26"/>
          <w:szCs w:val="26"/>
        </w:rPr>
        <w:t>.</w:t>
      </w:r>
    </w:p>
    <w:p w:rsidR="00502557" w:rsidRDefault="00502557" w:rsidP="00502557">
      <w:pPr>
        <w:spacing w:after="0" w:line="360" w:lineRule="auto"/>
        <w:contextualSpacing/>
        <w:rPr>
          <w:rFonts w:ascii="Times New Roman" w:eastAsia="Times New Roman" w:hAnsi="Times New Roman" w:cs="Times New Roman"/>
          <w:sz w:val="26"/>
          <w:szCs w:val="26"/>
        </w:rPr>
      </w:pPr>
    </w:p>
    <w:p w:rsidR="00257824" w:rsidRDefault="00502557" w:rsidP="008429B5">
      <w:pPr>
        <w:spacing w:after="0" w:line="360" w:lineRule="auto"/>
        <w:ind w:firstLine="720"/>
        <w:contextualSpacing/>
        <w:rPr>
          <w:rFonts w:ascii="Times New Roman" w:eastAsia="Times New Roman" w:hAnsi="Times New Roman" w:cs="Times New Roman"/>
          <w:sz w:val="26"/>
          <w:szCs w:val="26"/>
        </w:rPr>
      </w:pPr>
      <w:r w:rsidRPr="00795B4E">
        <w:rPr>
          <w:rFonts w:ascii="Times New Roman" w:eastAsia="Times New Roman" w:hAnsi="Times New Roman" w:cs="Times New Roman"/>
          <w:i/>
          <w:sz w:val="26"/>
          <w:szCs w:val="26"/>
        </w:rPr>
        <w:lastRenderedPageBreak/>
        <w:t>Resolution</w:t>
      </w:r>
      <w:r>
        <w:rPr>
          <w:rFonts w:ascii="Times New Roman" w:eastAsia="Times New Roman" w:hAnsi="Times New Roman" w:cs="Times New Roman"/>
          <w:sz w:val="26"/>
          <w:szCs w:val="26"/>
        </w:rPr>
        <w:t>:</w:t>
      </w:r>
      <w:r w:rsidR="00AF2D9A">
        <w:rPr>
          <w:rFonts w:ascii="Times New Roman" w:eastAsia="Times New Roman" w:hAnsi="Times New Roman" w:cs="Times New Roman"/>
          <w:sz w:val="26"/>
          <w:szCs w:val="26"/>
        </w:rPr>
        <w:t xml:space="preserve"> </w:t>
      </w:r>
      <w:r w:rsidR="00257824">
        <w:rPr>
          <w:rFonts w:ascii="Times New Roman" w:eastAsia="Times New Roman" w:hAnsi="Times New Roman" w:cs="Times New Roman"/>
          <w:sz w:val="26"/>
          <w:szCs w:val="26"/>
        </w:rPr>
        <w:t xml:space="preserve">PGW’s current PIP levels are consistent with the maximum energy burden guidelines in the CAP Policy Statement at </w:t>
      </w:r>
      <w:r w:rsidR="00257824">
        <w:rPr>
          <w:rFonts w:ascii="Times New Roman" w:hAnsi="Times New Roman" w:cs="Times New Roman"/>
          <w:sz w:val="26"/>
          <w:szCs w:val="26"/>
        </w:rPr>
        <w:t>Section 69.265(2)(i)(B)</w:t>
      </w:r>
      <w:r w:rsidR="00257824">
        <w:rPr>
          <w:rFonts w:ascii="Times New Roman" w:eastAsia="Times New Roman" w:hAnsi="Times New Roman" w:cs="Times New Roman"/>
          <w:sz w:val="26"/>
          <w:szCs w:val="26"/>
        </w:rPr>
        <w:t xml:space="preserve">.  </w:t>
      </w:r>
      <w:r w:rsidR="006666EB">
        <w:rPr>
          <w:rFonts w:ascii="Times New Roman" w:eastAsia="Times New Roman" w:hAnsi="Times New Roman" w:cs="Times New Roman"/>
          <w:sz w:val="26"/>
          <w:szCs w:val="26"/>
        </w:rPr>
        <w:t xml:space="preserve">The Commission has recently </w:t>
      </w:r>
      <w:r w:rsidR="006666EB" w:rsidRPr="006666EB">
        <w:rPr>
          <w:rFonts w:ascii="Times New Roman" w:eastAsia="Times New Roman" w:hAnsi="Times New Roman" w:cs="Times New Roman"/>
          <w:sz w:val="26"/>
          <w:szCs w:val="26"/>
        </w:rPr>
        <w:t>initiate</w:t>
      </w:r>
      <w:r w:rsidR="006666EB">
        <w:rPr>
          <w:rFonts w:ascii="Times New Roman" w:eastAsia="Times New Roman" w:hAnsi="Times New Roman" w:cs="Times New Roman"/>
          <w:sz w:val="26"/>
          <w:szCs w:val="26"/>
        </w:rPr>
        <w:t>d</w:t>
      </w:r>
      <w:r w:rsidR="006666EB" w:rsidRPr="006666EB">
        <w:rPr>
          <w:rFonts w:ascii="Times New Roman" w:eastAsia="Times New Roman" w:hAnsi="Times New Roman" w:cs="Times New Roman"/>
          <w:sz w:val="26"/>
          <w:szCs w:val="26"/>
        </w:rPr>
        <w:t xml:space="preserve"> a study to determine what constitutes an affordable energy burden for Pennsylvania’s low-income households and, based on this analysis, whether any changes </w:t>
      </w:r>
      <w:r w:rsidR="006666EB">
        <w:rPr>
          <w:rFonts w:ascii="Times New Roman" w:eastAsia="Times New Roman" w:hAnsi="Times New Roman" w:cs="Times New Roman"/>
          <w:sz w:val="26"/>
          <w:szCs w:val="26"/>
        </w:rPr>
        <w:t xml:space="preserve">should be made to the </w:t>
      </w:r>
      <w:r w:rsidR="006666EB" w:rsidRPr="006666EB">
        <w:rPr>
          <w:rFonts w:ascii="Times New Roman" w:eastAsia="Times New Roman" w:hAnsi="Times New Roman" w:cs="Times New Roman"/>
          <w:sz w:val="26"/>
          <w:szCs w:val="26"/>
        </w:rPr>
        <w:t>CAP</w:t>
      </w:r>
      <w:r w:rsidR="006666EB">
        <w:rPr>
          <w:rFonts w:ascii="Times New Roman" w:eastAsia="Times New Roman" w:hAnsi="Times New Roman" w:cs="Times New Roman"/>
          <w:sz w:val="26"/>
          <w:szCs w:val="26"/>
        </w:rPr>
        <w:t xml:space="preserve"> Policy Statement or Universal Service program guidelines.</w:t>
      </w:r>
      <w:r w:rsidR="006666EB">
        <w:rPr>
          <w:rStyle w:val="FootnoteReference"/>
          <w:rFonts w:ascii="Times New Roman" w:eastAsia="Times New Roman" w:hAnsi="Times New Roman" w:cs="Times New Roman"/>
          <w:sz w:val="26"/>
          <w:szCs w:val="26"/>
        </w:rPr>
        <w:footnoteReference w:id="21"/>
      </w:r>
      <w:r w:rsidR="006666EB">
        <w:rPr>
          <w:rFonts w:ascii="Times New Roman" w:eastAsia="Times New Roman" w:hAnsi="Times New Roman" w:cs="Times New Roman"/>
          <w:sz w:val="26"/>
          <w:szCs w:val="26"/>
        </w:rPr>
        <w:t xml:space="preserve">  </w:t>
      </w:r>
    </w:p>
    <w:p w:rsidR="00795B4E" w:rsidRDefault="00795B4E" w:rsidP="006666EB">
      <w:pPr>
        <w:spacing w:after="0" w:line="360" w:lineRule="auto"/>
        <w:contextualSpacing/>
        <w:rPr>
          <w:rFonts w:ascii="Times New Roman" w:eastAsia="Times New Roman" w:hAnsi="Times New Roman" w:cs="Times New Roman"/>
          <w:sz w:val="26"/>
          <w:szCs w:val="26"/>
        </w:rPr>
      </w:pPr>
    </w:p>
    <w:p w:rsidR="00795B4E" w:rsidRDefault="00BA4DBB" w:rsidP="006666EB">
      <w:pPr>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795B4E">
        <w:rPr>
          <w:rFonts w:ascii="Times New Roman" w:eastAsia="Times New Roman" w:hAnsi="Times New Roman" w:cs="Times New Roman"/>
          <w:sz w:val="26"/>
          <w:szCs w:val="26"/>
        </w:rPr>
        <w:t xml:space="preserve">As we have already directed PGW </w:t>
      </w:r>
      <w:r w:rsidR="0091722B">
        <w:rPr>
          <w:rFonts w:ascii="Times New Roman" w:eastAsia="Times New Roman" w:hAnsi="Times New Roman" w:cs="Times New Roman"/>
          <w:sz w:val="26"/>
          <w:szCs w:val="26"/>
        </w:rPr>
        <w:t xml:space="preserve">to increase its annual CRP costs </w:t>
      </w:r>
      <w:r w:rsidR="00795B4E">
        <w:rPr>
          <w:rFonts w:ascii="Times New Roman" w:eastAsia="Times New Roman" w:hAnsi="Times New Roman" w:cs="Times New Roman"/>
          <w:sz w:val="26"/>
          <w:szCs w:val="26"/>
        </w:rPr>
        <w:t>by allowing customers to enroll at budget billing</w:t>
      </w:r>
      <w:r w:rsidR="0091722B">
        <w:rPr>
          <w:rFonts w:ascii="Times New Roman" w:eastAsia="Times New Roman" w:hAnsi="Times New Roman" w:cs="Times New Roman"/>
          <w:sz w:val="26"/>
          <w:szCs w:val="26"/>
        </w:rPr>
        <w:t>, it would be prudent to determine the final costs of this change and analyze the results of the energy burden study prior to mandating a change in PGW’s PIP levels.</w:t>
      </w:r>
    </w:p>
    <w:p w:rsidR="0091722B" w:rsidRDefault="0091722B" w:rsidP="006666EB">
      <w:pPr>
        <w:spacing w:after="0" w:line="360" w:lineRule="auto"/>
        <w:contextualSpacing/>
        <w:rPr>
          <w:rFonts w:ascii="Times New Roman" w:eastAsia="Times New Roman" w:hAnsi="Times New Roman" w:cs="Times New Roman"/>
          <w:sz w:val="26"/>
          <w:szCs w:val="26"/>
        </w:rPr>
      </w:pPr>
    </w:p>
    <w:p w:rsidR="0091722B" w:rsidRDefault="00BA4DBB" w:rsidP="006666EB">
      <w:pPr>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91722B">
        <w:rPr>
          <w:rFonts w:ascii="Times New Roman" w:eastAsia="Times New Roman" w:hAnsi="Times New Roman" w:cs="Times New Roman"/>
          <w:sz w:val="26"/>
          <w:szCs w:val="26"/>
        </w:rPr>
        <w:t xml:space="preserve">Accordingly, we decline </w:t>
      </w:r>
      <w:r>
        <w:rPr>
          <w:rFonts w:ascii="Times New Roman" w:eastAsia="Times New Roman" w:hAnsi="Times New Roman" w:cs="Times New Roman"/>
          <w:sz w:val="26"/>
          <w:szCs w:val="26"/>
        </w:rPr>
        <w:t>to mandate a change in PGW’s PIP levels at this time.</w:t>
      </w:r>
    </w:p>
    <w:p w:rsidR="00502557" w:rsidRDefault="00502557" w:rsidP="00502557">
      <w:pPr>
        <w:spacing w:after="0" w:line="360" w:lineRule="auto"/>
        <w:contextualSpacing/>
        <w:rPr>
          <w:rFonts w:ascii="Times New Roman" w:eastAsia="Times New Roman" w:hAnsi="Times New Roman" w:cs="Times New Roman"/>
          <w:sz w:val="26"/>
          <w:szCs w:val="26"/>
        </w:rPr>
      </w:pPr>
    </w:p>
    <w:p w:rsidR="00502557" w:rsidRPr="000D6CEF" w:rsidRDefault="00AF2D9A" w:rsidP="00AF2D9A">
      <w:pPr>
        <w:keepNext/>
        <w:spacing w:line="360" w:lineRule="auto"/>
        <w:contextualSpacing/>
        <w:rPr>
          <w:rFonts w:ascii="Times New Roman" w:hAnsi="Times New Roman" w:cs="Times New Roman"/>
          <w:i/>
          <w:sz w:val="26"/>
          <w:szCs w:val="26"/>
        </w:rPr>
      </w:pPr>
      <w:r>
        <w:rPr>
          <w:rFonts w:ascii="Times New Roman" w:hAnsi="Times New Roman" w:cs="Times New Roman"/>
          <w:i/>
          <w:sz w:val="26"/>
          <w:szCs w:val="26"/>
        </w:rPr>
        <w:t xml:space="preserve">h.  </w:t>
      </w:r>
      <w:r w:rsidR="00502557" w:rsidRPr="000D6CEF">
        <w:rPr>
          <w:rFonts w:ascii="Times New Roman" w:hAnsi="Times New Roman" w:cs="Times New Roman"/>
          <w:i/>
          <w:sz w:val="26"/>
          <w:szCs w:val="26"/>
        </w:rPr>
        <w:t>Retroactive Arrearage Forgiveness</w:t>
      </w:r>
    </w:p>
    <w:p w:rsidR="00502557" w:rsidRDefault="00502557" w:rsidP="00AF2D9A">
      <w:pPr>
        <w:keepNext/>
        <w:spacing w:line="360" w:lineRule="auto"/>
        <w:contextualSpacing/>
        <w:rPr>
          <w:rFonts w:ascii="Times New Roman" w:hAnsi="Times New Roman" w:cs="Times New Roman"/>
          <w:sz w:val="26"/>
          <w:szCs w:val="26"/>
        </w:rPr>
      </w:pPr>
    </w:p>
    <w:p w:rsidR="00502557" w:rsidRDefault="000D4D34" w:rsidP="00502557">
      <w:pPr>
        <w:spacing w:line="360" w:lineRule="auto"/>
        <w:contextualSpacing/>
        <w:rPr>
          <w:rFonts w:ascii="Times New Roman" w:hAnsi="Times New Roman" w:cs="Times New Roman"/>
          <w:sz w:val="26"/>
          <w:szCs w:val="26"/>
        </w:rPr>
      </w:pPr>
      <w:r>
        <w:rPr>
          <w:rFonts w:ascii="Times New Roman" w:hAnsi="Times New Roman" w:cs="Times New Roman"/>
          <w:sz w:val="26"/>
          <w:szCs w:val="26"/>
        </w:rPr>
        <w:tab/>
      </w:r>
      <w:r w:rsidR="00502557">
        <w:rPr>
          <w:rFonts w:ascii="Times New Roman" w:hAnsi="Times New Roman" w:cs="Times New Roman"/>
          <w:sz w:val="26"/>
          <w:szCs w:val="26"/>
        </w:rPr>
        <w:t xml:space="preserve">In PGW’s 2014-2016 USECP proceeding, we asked PGW to consider allowing customers to receive retroactive arrearage forgiveness for months missed if they pay their CRP balance in full.  PGW declined to make this change, </w:t>
      </w:r>
      <w:r w:rsidR="00502557">
        <w:rPr>
          <w:rFonts w:ascii="Times New Roman" w:eastAsia="Times New Roman" w:hAnsi="Times New Roman" w:cs="Times New Roman"/>
          <w:sz w:val="26"/>
          <w:szCs w:val="26"/>
        </w:rPr>
        <w:t>maintaining</w:t>
      </w:r>
      <w:r w:rsidR="00502557" w:rsidRPr="00FA1360">
        <w:rPr>
          <w:rFonts w:ascii="Times New Roman" w:eastAsia="Times New Roman" w:hAnsi="Times New Roman" w:cs="Times New Roman"/>
          <w:sz w:val="26"/>
          <w:szCs w:val="26"/>
        </w:rPr>
        <w:t xml:space="preserve"> that applying monthly arrearage forgiveness only when the CRP customer is current on payments provides an incentive for timely and in-full monthly payments and limits the financial burden placed on n</w:t>
      </w:r>
      <w:r w:rsidR="00502557">
        <w:rPr>
          <w:rFonts w:ascii="Times New Roman" w:eastAsia="Times New Roman" w:hAnsi="Times New Roman" w:cs="Times New Roman"/>
          <w:sz w:val="26"/>
          <w:szCs w:val="26"/>
        </w:rPr>
        <w:t>on-CRP residential customers.  The Commission declined to mandate that PGW implement retroactive arrearage forgiveness, but encouraged PGW to consider making this change in its next USECP</w:t>
      </w:r>
      <w:r w:rsidR="00D62A52">
        <w:rPr>
          <w:rFonts w:ascii="Times New Roman" w:eastAsia="Times New Roman" w:hAnsi="Times New Roman" w:cs="Times New Roman"/>
          <w:sz w:val="26"/>
          <w:szCs w:val="26"/>
        </w:rPr>
        <w:t xml:space="preserve"> filing</w:t>
      </w:r>
      <w:r w:rsidR="00502557">
        <w:rPr>
          <w:rFonts w:ascii="Times New Roman" w:eastAsia="Times New Roman" w:hAnsi="Times New Roman" w:cs="Times New Roman"/>
          <w:sz w:val="26"/>
          <w:szCs w:val="26"/>
        </w:rPr>
        <w:t>.  PGW 2014-2016 USECP Final Order</w:t>
      </w:r>
      <w:r w:rsidR="00AF2D9A">
        <w:rPr>
          <w:rFonts w:ascii="Times New Roman" w:eastAsia="Times New Roman" w:hAnsi="Times New Roman" w:cs="Times New Roman"/>
          <w:sz w:val="26"/>
          <w:szCs w:val="26"/>
        </w:rPr>
        <w:t xml:space="preserve">, </w:t>
      </w:r>
      <w:r w:rsidR="00AF2D9A" w:rsidRPr="00FA1360">
        <w:rPr>
          <w:rFonts w:ascii="Times New Roman" w:eastAsia="Times New Roman" w:hAnsi="Times New Roman" w:cs="Times New Roman"/>
          <w:sz w:val="26"/>
          <w:szCs w:val="26"/>
        </w:rPr>
        <w:t>Docket No. M-2013-2366301</w:t>
      </w:r>
      <w:r w:rsidR="00AF2D9A">
        <w:rPr>
          <w:rFonts w:ascii="Times New Roman" w:eastAsia="Times New Roman" w:hAnsi="Times New Roman" w:cs="Times New Roman"/>
          <w:sz w:val="26"/>
          <w:szCs w:val="26"/>
        </w:rPr>
        <w:t xml:space="preserve"> (</w:t>
      </w:r>
      <w:r w:rsidR="00AF2D9A" w:rsidRPr="00AF2D9A">
        <w:rPr>
          <w:rFonts w:ascii="Times New Roman" w:eastAsia="Times New Roman" w:hAnsi="Times New Roman" w:cs="Times New Roman"/>
          <w:sz w:val="26"/>
          <w:szCs w:val="26"/>
        </w:rPr>
        <w:t>August 22, 2014</w:t>
      </w:r>
      <w:r w:rsidR="00AF2D9A">
        <w:rPr>
          <w:rFonts w:ascii="Times New Roman" w:eastAsia="Times New Roman" w:hAnsi="Times New Roman" w:cs="Times New Roman"/>
          <w:sz w:val="26"/>
          <w:szCs w:val="26"/>
        </w:rPr>
        <w:t>)</w:t>
      </w:r>
      <w:r w:rsidR="00502557">
        <w:rPr>
          <w:rFonts w:ascii="Times New Roman" w:eastAsia="Times New Roman" w:hAnsi="Times New Roman" w:cs="Times New Roman"/>
          <w:sz w:val="26"/>
          <w:szCs w:val="26"/>
        </w:rPr>
        <w:t xml:space="preserve"> at 20-26.  </w:t>
      </w:r>
      <w:r w:rsidR="00502557">
        <w:rPr>
          <w:rFonts w:ascii="Times New Roman" w:hAnsi="Times New Roman" w:cs="Times New Roman"/>
          <w:sz w:val="26"/>
          <w:szCs w:val="26"/>
        </w:rPr>
        <w:t xml:space="preserve"> </w:t>
      </w:r>
    </w:p>
    <w:p w:rsidR="00502557" w:rsidRDefault="00502557" w:rsidP="00502557">
      <w:pPr>
        <w:spacing w:line="360" w:lineRule="auto"/>
        <w:contextualSpacing/>
        <w:rPr>
          <w:rFonts w:ascii="Times New Roman" w:hAnsi="Times New Roman" w:cs="Times New Roman"/>
          <w:sz w:val="26"/>
          <w:szCs w:val="26"/>
        </w:rPr>
      </w:pPr>
    </w:p>
    <w:p w:rsidR="00502557" w:rsidRDefault="000D4D34" w:rsidP="00502557">
      <w:pPr>
        <w:spacing w:line="360" w:lineRule="auto"/>
        <w:contextualSpacing/>
        <w:rPr>
          <w:rFonts w:ascii="Times New Roman" w:hAnsi="Times New Roman" w:cs="Times New Roman"/>
          <w:sz w:val="26"/>
          <w:szCs w:val="26"/>
        </w:rPr>
      </w:pPr>
      <w:r>
        <w:rPr>
          <w:rFonts w:ascii="Times New Roman" w:hAnsi="Times New Roman" w:cs="Times New Roman"/>
          <w:sz w:val="26"/>
          <w:szCs w:val="26"/>
        </w:rPr>
        <w:lastRenderedPageBreak/>
        <w:tab/>
      </w:r>
      <w:r w:rsidR="00502557">
        <w:rPr>
          <w:rFonts w:ascii="Times New Roman" w:hAnsi="Times New Roman" w:cs="Times New Roman"/>
          <w:sz w:val="26"/>
          <w:szCs w:val="26"/>
        </w:rPr>
        <w:t>This issue was not addressed in PGW’s Proposed 2017-2020 USECP or in the Tentative Order.</w:t>
      </w:r>
    </w:p>
    <w:p w:rsidR="00502557" w:rsidRDefault="00502557" w:rsidP="00502557">
      <w:pPr>
        <w:spacing w:line="360" w:lineRule="auto"/>
        <w:contextualSpacing/>
        <w:rPr>
          <w:rFonts w:ascii="Times New Roman" w:hAnsi="Times New Roman" w:cs="Times New Roman"/>
          <w:sz w:val="26"/>
          <w:szCs w:val="26"/>
        </w:rPr>
      </w:pPr>
    </w:p>
    <w:p w:rsidR="00502557" w:rsidRDefault="000D4D34" w:rsidP="00502557">
      <w:pPr>
        <w:spacing w:line="360" w:lineRule="auto"/>
        <w:contextualSpacing/>
        <w:rPr>
          <w:rFonts w:ascii="Times New Roman" w:hAnsi="Times New Roman" w:cs="Times New Roman"/>
          <w:sz w:val="26"/>
          <w:szCs w:val="26"/>
        </w:rPr>
      </w:pPr>
      <w:r>
        <w:rPr>
          <w:rFonts w:ascii="Times New Roman" w:hAnsi="Times New Roman" w:cs="Times New Roman"/>
          <w:sz w:val="26"/>
          <w:szCs w:val="26"/>
        </w:rPr>
        <w:tab/>
      </w:r>
      <w:r w:rsidR="00502557">
        <w:rPr>
          <w:rFonts w:ascii="Times New Roman" w:hAnsi="Times New Roman" w:cs="Times New Roman"/>
          <w:sz w:val="26"/>
          <w:szCs w:val="26"/>
        </w:rPr>
        <w:t>CAUSE-PA</w:t>
      </w:r>
      <w:r w:rsidR="00444740">
        <w:rPr>
          <w:rFonts w:ascii="Times New Roman" w:hAnsi="Times New Roman" w:cs="Times New Roman"/>
          <w:sz w:val="26"/>
          <w:szCs w:val="26"/>
        </w:rPr>
        <w:t xml:space="preserve">, </w:t>
      </w:r>
      <w:r w:rsidR="00502557">
        <w:rPr>
          <w:rFonts w:ascii="Times New Roman" w:hAnsi="Times New Roman" w:cs="Times New Roman"/>
          <w:sz w:val="26"/>
          <w:szCs w:val="26"/>
        </w:rPr>
        <w:t xml:space="preserve">TURN </w:t>
      </w:r>
      <w:r w:rsidR="006656B5" w:rsidRPr="006656B5">
        <w:rPr>
          <w:rFonts w:ascii="Times New Roman" w:hAnsi="Times New Roman" w:cs="Times New Roman"/>
          <w:i/>
          <w:sz w:val="26"/>
          <w:szCs w:val="26"/>
        </w:rPr>
        <w:t>et al</w:t>
      </w:r>
      <w:r w:rsidR="00502557">
        <w:rPr>
          <w:rFonts w:ascii="Times New Roman" w:hAnsi="Times New Roman" w:cs="Times New Roman"/>
          <w:sz w:val="26"/>
          <w:szCs w:val="26"/>
        </w:rPr>
        <w:t>.</w:t>
      </w:r>
      <w:r w:rsidR="00444740">
        <w:rPr>
          <w:rFonts w:ascii="Times New Roman" w:hAnsi="Times New Roman" w:cs="Times New Roman"/>
          <w:sz w:val="26"/>
          <w:szCs w:val="26"/>
        </w:rPr>
        <w:t>, and OCA</w:t>
      </w:r>
      <w:r w:rsidR="00502557">
        <w:rPr>
          <w:rFonts w:ascii="Times New Roman" w:hAnsi="Times New Roman" w:cs="Times New Roman"/>
          <w:sz w:val="26"/>
          <w:szCs w:val="26"/>
        </w:rPr>
        <w:t xml:space="preserve"> separately support retroactive arrearage forgiveness for CRP customer</w:t>
      </w:r>
      <w:r w:rsidR="00444740">
        <w:rPr>
          <w:rFonts w:ascii="Times New Roman" w:hAnsi="Times New Roman" w:cs="Times New Roman"/>
          <w:sz w:val="26"/>
          <w:szCs w:val="26"/>
        </w:rPr>
        <w:t xml:space="preserve">s.  CAUSE-PA Comments at 46, </w:t>
      </w:r>
      <w:r w:rsidR="00502557">
        <w:rPr>
          <w:rFonts w:ascii="Times New Roman" w:hAnsi="Times New Roman" w:cs="Times New Roman"/>
          <w:sz w:val="26"/>
          <w:szCs w:val="26"/>
        </w:rPr>
        <w:t xml:space="preserve">TURN </w:t>
      </w:r>
      <w:r w:rsidR="006656B5" w:rsidRPr="006656B5">
        <w:rPr>
          <w:rFonts w:ascii="Times New Roman" w:hAnsi="Times New Roman" w:cs="Times New Roman"/>
          <w:i/>
          <w:sz w:val="26"/>
          <w:szCs w:val="26"/>
        </w:rPr>
        <w:t>et al</w:t>
      </w:r>
      <w:r w:rsidR="00502557">
        <w:rPr>
          <w:rFonts w:ascii="Times New Roman" w:hAnsi="Times New Roman" w:cs="Times New Roman"/>
          <w:sz w:val="26"/>
          <w:szCs w:val="26"/>
        </w:rPr>
        <w:t>. at 15</w:t>
      </w:r>
      <w:r w:rsidR="00444740">
        <w:rPr>
          <w:rFonts w:ascii="Times New Roman" w:hAnsi="Times New Roman" w:cs="Times New Roman"/>
          <w:sz w:val="26"/>
          <w:szCs w:val="26"/>
        </w:rPr>
        <w:t>, and OCA Reply Comments at 2</w:t>
      </w:r>
      <w:r w:rsidR="00502557">
        <w:rPr>
          <w:rFonts w:ascii="Times New Roman" w:hAnsi="Times New Roman" w:cs="Times New Roman"/>
          <w:sz w:val="26"/>
          <w:szCs w:val="26"/>
        </w:rPr>
        <w:t xml:space="preserve">.  CAUSE-PA asserts that PGW’s $5 co-payment toward pre-program arrears </w:t>
      </w:r>
      <w:r w:rsidR="00D62A52">
        <w:rPr>
          <w:rFonts w:ascii="Times New Roman" w:hAnsi="Times New Roman" w:cs="Times New Roman"/>
          <w:sz w:val="26"/>
          <w:szCs w:val="26"/>
        </w:rPr>
        <w:t>–</w:t>
      </w:r>
      <w:r w:rsidR="00502557">
        <w:rPr>
          <w:rFonts w:ascii="Times New Roman" w:hAnsi="Times New Roman" w:cs="Times New Roman"/>
          <w:sz w:val="26"/>
          <w:szCs w:val="26"/>
        </w:rPr>
        <w:t xml:space="preserve"> which is added to the PIP </w:t>
      </w:r>
      <w:r w:rsidR="00D62A52">
        <w:rPr>
          <w:rFonts w:ascii="Times New Roman" w:hAnsi="Times New Roman" w:cs="Times New Roman"/>
          <w:sz w:val="26"/>
          <w:szCs w:val="26"/>
        </w:rPr>
        <w:t>–</w:t>
      </w:r>
      <w:r w:rsidR="00502557">
        <w:rPr>
          <w:rFonts w:ascii="Times New Roman" w:hAnsi="Times New Roman" w:cs="Times New Roman"/>
          <w:sz w:val="26"/>
          <w:szCs w:val="26"/>
        </w:rPr>
        <w:t xml:space="preserve"> makes it more difficult for customers to afford their monthly CRP payment and achieve full debt forgiveness.  Offering retroactive arrearage forgiveness helps to address this disparity and allows customers to achieve a positive payment history and a faster resolution of debt.  CAUSE-PA Comments at 45-46. </w:t>
      </w:r>
    </w:p>
    <w:p w:rsidR="00502557" w:rsidRDefault="00502557" w:rsidP="00502557">
      <w:pPr>
        <w:spacing w:line="360" w:lineRule="auto"/>
        <w:contextualSpacing/>
        <w:rPr>
          <w:rFonts w:ascii="Times New Roman" w:hAnsi="Times New Roman" w:cs="Times New Roman"/>
          <w:sz w:val="26"/>
          <w:szCs w:val="26"/>
        </w:rPr>
      </w:pPr>
    </w:p>
    <w:p w:rsidR="00502557" w:rsidRDefault="000D4D34" w:rsidP="00502557">
      <w:pPr>
        <w:spacing w:line="360" w:lineRule="auto"/>
        <w:contextualSpacing/>
        <w:rPr>
          <w:rFonts w:ascii="Times New Roman" w:hAnsi="Times New Roman" w:cs="Times New Roman"/>
          <w:sz w:val="26"/>
          <w:szCs w:val="26"/>
        </w:rPr>
      </w:pPr>
      <w:r>
        <w:rPr>
          <w:rFonts w:ascii="Times New Roman" w:hAnsi="Times New Roman" w:cs="Times New Roman"/>
          <w:sz w:val="26"/>
          <w:szCs w:val="26"/>
        </w:rPr>
        <w:tab/>
      </w:r>
      <w:r w:rsidR="00502557">
        <w:rPr>
          <w:rFonts w:ascii="Times New Roman" w:hAnsi="Times New Roman" w:cs="Times New Roman"/>
          <w:sz w:val="26"/>
          <w:szCs w:val="26"/>
        </w:rPr>
        <w:t xml:space="preserve">Consistent with the Peach Study recommendation, TURN </w:t>
      </w:r>
      <w:r w:rsidR="00A9778A" w:rsidRPr="00A9778A">
        <w:rPr>
          <w:rFonts w:ascii="Times New Roman" w:hAnsi="Times New Roman" w:cs="Times New Roman"/>
          <w:i/>
          <w:sz w:val="26"/>
          <w:szCs w:val="26"/>
        </w:rPr>
        <w:t>et al</w:t>
      </w:r>
      <w:r w:rsidR="00502557">
        <w:rPr>
          <w:rFonts w:ascii="Times New Roman" w:hAnsi="Times New Roman" w:cs="Times New Roman"/>
          <w:sz w:val="26"/>
          <w:szCs w:val="26"/>
        </w:rPr>
        <w:t xml:space="preserve">. submits that customers that pay the CRP Cure amount to re-enroll in the program should be given retroactive arrearage forgiveness for the months spent out of the program.  TURN </w:t>
      </w:r>
      <w:r w:rsidR="00A9778A" w:rsidRPr="00A9778A">
        <w:rPr>
          <w:rFonts w:ascii="Times New Roman" w:hAnsi="Times New Roman" w:cs="Times New Roman"/>
          <w:i/>
          <w:sz w:val="26"/>
          <w:szCs w:val="26"/>
        </w:rPr>
        <w:t>et al</w:t>
      </w:r>
      <w:r w:rsidR="00502557">
        <w:rPr>
          <w:rFonts w:ascii="Times New Roman" w:hAnsi="Times New Roman" w:cs="Times New Roman"/>
          <w:sz w:val="26"/>
          <w:szCs w:val="26"/>
        </w:rPr>
        <w:t xml:space="preserve">. Comments at 15, </w:t>
      </w:r>
      <w:r w:rsidR="00502557" w:rsidRPr="00335269">
        <w:rPr>
          <w:rFonts w:ascii="Times New Roman" w:hAnsi="Times New Roman" w:cs="Times New Roman"/>
          <w:i/>
          <w:sz w:val="26"/>
          <w:szCs w:val="26"/>
        </w:rPr>
        <w:t>citing</w:t>
      </w:r>
      <w:r w:rsidR="00502557">
        <w:rPr>
          <w:rFonts w:ascii="Times New Roman" w:hAnsi="Times New Roman" w:cs="Times New Roman"/>
          <w:sz w:val="26"/>
          <w:szCs w:val="26"/>
        </w:rPr>
        <w:t xml:space="preserve"> the Peach Study at 32.</w:t>
      </w:r>
    </w:p>
    <w:p w:rsidR="00502557" w:rsidRDefault="00502557" w:rsidP="00502557">
      <w:pPr>
        <w:spacing w:line="360" w:lineRule="auto"/>
        <w:contextualSpacing/>
        <w:rPr>
          <w:rFonts w:ascii="Times New Roman" w:hAnsi="Times New Roman" w:cs="Times New Roman"/>
          <w:sz w:val="26"/>
          <w:szCs w:val="26"/>
        </w:rPr>
      </w:pPr>
    </w:p>
    <w:p w:rsidR="00502557" w:rsidRDefault="000D4D34" w:rsidP="00502557">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ab/>
      </w:r>
      <w:r w:rsidR="00502557">
        <w:rPr>
          <w:rFonts w:ascii="Times New Roman" w:hAnsi="Times New Roman" w:cs="Times New Roman"/>
          <w:sz w:val="26"/>
          <w:szCs w:val="26"/>
        </w:rPr>
        <w:t>OCA asserts that providing retroactive arrearage forgiveness encourages customers to catch up on missed CRP payments.  OCA notes that low-income customers often have inconsistent or unstable income sources and difficulty making consistent monthly payments.  Retroactive arrearage forgiveness would acknowledge this difficulty and provide a reward for catching up on missed bills.  OCA Reply Comments at 2-3.</w:t>
      </w:r>
    </w:p>
    <w:p w:rsidR="00502557" w:rsidRDefault="00502557" w:rsidP="00502557">
      <w:pPr>
        <w:spacing w:after="0" w:line="360" w:lineRule="auto"/>
        <w:contextualSpacing/>
        <w:rPr>
          <w:rFonts w:ascii="Times New Roman" w:hAnsi="Times New Roman" w:cs="Times New Roman"/>
          <w:sz w:val="26"/>
          <w:szCs w:val="26"/>
        </w:rPr>
      </w:pPr>
    </w:p>
    <w:p w:rsidR="00502557" w:rsidRDefault="000D4D34" w:rsidP="00502557">
      <w:pPr>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ab/>
      </w:r>
      <w:r w:rsidR="00502557">
        <w:rPr>
          <w:rFonts w:ascii="Times New Roman" w:hAnsi="Times New Roman" w:cs="Times New Roman"/>
          <w:sz w:val="26"/>
          <w:szCs w:val="26"/>
        </w:rPr>
        <w:t xml:space="preserve">In response to the comments from stakeholders, PGW states it is not opposed to providing retroactive arrearage forgiveness for any months missed once the customer pays the CRP balance in full.  PGW Reply Comments at 33. </w:t>
      </w:r>
    </w:p>
    <w:p w:rsidR="000D4D34" w:rsidRDefault="000D4D34" w:rsidP="00502557">
      <w:pPr>
        <w:spacing w:after="0" w:line="360" w:lineRule="auto"/>
        <w:contextualSpacing/>
        <w:rPr>
          <w:rFonts w:ascii="Times New Roman" w:hAnsi="Times New Roman" w:cs="Times New Roman"/>
          <w:sz w:val="26"/>
          <w:szCs w:val="26"/>
        </w:rPr>
      </w:pPr>
    </w:p>
    <w:p w:rsidR="000D4D34" w:rsidRDefault="000D4D34" w:rsidP="00502557">
      <w:pPr>
        <w:spacing w:after="0" w:line="360" w:lineRule="auto"/>
        <w:contextualSpacing/>
        <w:rPr>
          <w:rFonts w:ascii="Times New Roman" w:eastAsia="Times New Roman" w:hAnsi="Times New Roman" w:cs="Times New Roman"/>
          <w:sz w:val="26"/>
          <w:szCs w:val="26"/>
        </w:rPr>
      </w:pPr>
      <w:r w:rsidRPr="009D586F">
        <w:rPr>
          <w:rFonts w:ascii="Times New Roman" w:hAnsi="Times New Roman" w:cs="Times New Roman"/>
          <w:i/>
          <w:sz w:val="26"/>
          <w:szCs w:val="26"/>
        </w:rPr>
        <w:t>Resolution</w:t>
      </w:r>
      <w:r>
        <w:rPr>
          <w:rFonts w:ascii="Times New Roman" w:hAnsi="Times New Roman" w:cs="Times New Roman"/>
          <w:sz w:val="26"/>
          <w:szCs w:val="26"/>
        </w:rPr>
        <w:t>:</w:t>
      </w:r>
      <w:r w:rsidR="00AF2D9A">
        <w:rPr>
          <w:rFonts w:ascii="Times New Roman" w:hAnsi="Times New Roman" w:cs="Times New Roman"/>
          <w:sz w:val="26"/>
          <w:szCs w:val="26"/>
        </w:rPr>
        <w:t xml:space="preserve">  </w:t>
      </w:r>
      <w:r w:rsidR="00512328">
        <w:rPr>
          <w:rFonts w:ascii="Times New Roman" w:hAnsi="Times New Roman" w:cs="Times New Roman"/>
          <w:sz w:val="26"/>
          <w:szCs w:val="26"/>
        </w:rPr>
        <w:t xml:space="preserve">As articulated in the PGW 2014-2016 USECP proceeding, the Commission supports providing retroactive arrearage forgiveness for customers who catch up on </w:t>
      </w:r>
      <w:r w:rsidR="00512328">
        <w:rPr>
          <w:rFonts w:ascii="Times New Roman" w:hAnsi="Times New Roman" w:cs="Times New Roman"/>
          <w:sz w:val="26"/>
          <w:szCs w:val="26"/>
        </w:rPr>
        <w:lastRenderedPageBreak/>
        <w:t xml:space="preserve">missed CAP bills and approve this change.  Accordingly, </w:t>
      </w:r>
      <w:r w:rsidR="009D586F">
        <w:rPr>
          <w:rFonts w:ascii="Times New Roman" w:hAnsi="Times New Roman" w:cs="Times New Roman"/>
          <w:sz w:val="26"/>
          <w:szCs w:val="26"/>
        </w:rPr>
        <w:t xml:space="preserve">within three months of final approval of the 2017-2020 Plan, </w:t>
      </w:r>
      <w:r w:rsidR="00512328">
        <w:rPr>
          <w:rFonts w:ascii="Times New Roman" w:hAnsi="Times New Roman" w:cs="Times New Roman"/>
          <w:sz w:val="26"/>
          <w:szCs w:val="26"/>
        </w:rPr>
        <w:t xml:space="preserve">we direct </w:t>
      </w:r>
      <w:r w:rsidR="00512328" w:rsidRPr="00FA1360">
        <w:rPr>
          <w:rFonts w:ascii="Times New Roman" w:eastAsia="Times New Roman" w:hAnsi="Times New Roman" w:cs="Times New Roman"/>
          <w:sz w:val="26"/>
          <w:szCs w:val="26"/>
        </w:rPr>
        <w:t xml:space="preserve">PGW to implement changes necessary to ensure that CRP customers receive </w:t>
      </w:r>
      <w:r w:rsidR="00512328">
        <w:rPr>
          <w:rFonts w:ascii="Times New Roman" w:eastAsia="Times New Roman" w:hAnsi="Times New Roman" w:cs="Times New Roman"/>
          <w:sz w:val="26"/>
          <w:szCs w:val="26"/>
        </w:rPr>
        <w:t xml:space="preserve">retroactive </w:t>
      </w:r>
      <w:r w:rsidR="00512328" w:rsidRPr="00FA1360">
        <w:rPr>
          <w:rFonts w:ascii="Times New Roman" w:eastAsia="Times New Roman" w:hAnsi="Times New Roman" w:cs="Times New Roman"/>
          <w:sz w:val="26"/>
          <w:szCs w:val="26"/>
        </w:rPr>
        <w:t xml:space="preserve">arrearage forgiveness for </w:t>
      </w:r>
      <w:r w:rsidR="009D586F">
        <w:rPr>
          <w:rFonts w:ascii="Times New Roman" w:eastAsia="Times New Roman" w:hAnsi="Times New Roman" w:cs="Times New Roman"/>
          <w:sz w:val="26"/>
          <w:szCs w:val="26"/>
        </w:rPr>
        <w:t>any months missed once they pay the CRP balance in full</w:t>
      </w:r>
      <w:r w:rsidR="00512328" w:rsidRPr="00FA1360">
        <w:rPr>
          <w:rFonts w:ascii="Times New Roman" w:eastAsia="Times New Roman" w:hAnsi="Times New Roman" w:cs="Times New Roman"/>
          <w:sz w:val="26"/>
          <w:szCs w:val="26"/>
        </w:rPr>
        <w:t>.  PGW is directed to ref</w:t>
      </w:r>
      <w:r w:rsidR="009D586F">
        <w:rPr>
          <w:rFonts w:ascii="Times New Roman" w:eastAsia="Times New Roman" w:hAnsi="Times New Roman" w:cs="Times New Roman"/>
          <w:sz w:val="26"/>
          <w:szCs w:val="26"/>
        </w:rPr>
        <w:t>lect this policy change in its Revised 2017-2020</w:t>
      </w:r>
      <w:r w:rsidR="00512328" w:rsidRPr="00FA1360">
        <w:rPr>
          <w:rFonts w:ascii="Times New Roman" w:eastAsia="Times New Roman" w:hAnsi="Times New Roman" w:cs="Times New Roman"/>
          <w:sz w:val="26"/>
          <w:szCs w:val="26"/>
        </w:rPr>
        <w:t xml:space="preserve"> Plan.</w:t>
      </w:r>
    </w:p>
    <w:p w:rsidR="00502557" w:rsidRPr="00C47F76" w:rsidRDefault="00502557" w:rsidP="00502557">
      <w:pPr>
        <w:spacing w:after="0" w:line="360" w:lineRule="auto"/>
        <w:contextualSpacing/>
        <w:rPr>
          <w:rFonts w:ascii="Times New Roman" w:eastAsia="Times New Roman" w:hAnsi="Times New Roman" w:cs="Times New Roman"/>
          <w:sz w:val="26"/>
          <w:szCs w:val="26"/>
        </w:rPr>
      </w:pPr>
    </w:p>
    <w:p w:rsidR="006561CF" w:rsidRPr="00C47F76" w:rsidRDefault="006561CF" w:rsidP="006561CF">
      <w:pPr>
        <w:keepNext/>
        <w:spacing w:after="0" w:line="360" w:lineRule="auto"/>
        <w:contextualSpacing/>
        <w:rPr>
          <w:rFonts w:ascii="Times New Roman" w:eastAsia="Times New Roman" w:hAnsi="Times New Roman" w:cs="Times New Roman"/>
          <w:sz w:val="26"/>
          <w:szCs w:val="26"/>
          <w:u w:val="single"/>
        </w:rPr>
      </w:pPr>
      <w:r w:rsidRPr="00C47F76">
        <w:rPr>
          <w:rFonts w:ascii="Times New Roman" w:eastAsia="Times New Roman" w:hAnsi="Times New Roman" w:cs="Times New Roman"/>
          <w:sz w:val="26"/>
          <w:szCs w:val="26"/>
          <w:u w:val="single"/>
        </w:rPr>
        <w:t xml:space="preserve">2.  </w:t>
      </w:r>
      <w:r>
        <w:rPr>
          <w:rFonts w:ascii="Times New Roman" w:eastAsia="Times New Roman" w:hAnsi="Times New Roman" w:cs="Times New Roman"/>
          <w:sz w:val="26"/>
          <w:szCs w:val="26"/>
          <w:u w:val="single"/>
        </w:rPr>
        <w:t>CRP Home Comfort (</w:t>
      </w:r>
      <w:r w:rsidRPr="0083364D">
        <w:rPr>
          <w:rFonts w:ascii="Times New Roman" w:eastAsia="Times New Roman" w:hAnsi="Times New Roman" w:cs="Times New Roman"/>
          <w:i/>
          <w:sz w:val="26"/>
          <w:szCs w:val="26"/>
          <w:u w:val="single"/>
        </w:rPr>
        <w:t>i.e.</w:t>
      </w:r>
      <w:r>
        <w:rPr>
          <w:rFonts w:ascii="Times New Roman" w:eastAsia="Times New Roman" w:hAnsi="Times New Roman" w:cs="Times New Roman"/>
          <w:sz w:val="26"/>
          <w:szCs w:val="26"/>
          <w:u w:val="single"/>
        </w:rPr>
        <w:t>, PGW’s LIURP)</w:t>
      </w:r>
    </w:p>
    <w:p w:rsidR="006561CF" w:rsidRPr="00C47F76" w:rsidRDefault="006561CF" w:rsidP="006561CF">
      <w:pPr>
        <w:keepNext/>
        <w:tabs>
          <w:tab w:val="left" w:pos="720"/>
        </w:tabs>
        <w:spacing w:after="0" w:line="360" w:lineRule="auto"/>
        <w:contextualSpacing/>
        <w:rPr>
          <w:rFonts w:ascii="Times New Roman" w:eastAsia="Times New Roman" w:hAnsi="Times New Roman" w:cs="Times New Roman"/>
          <w:sz w:val="26"/>
          <w:szCs w:val="26"/>
          <w:u w:val="single"/>
        </w:rPr>
      </w:pPr>
    </w:p>
    <w:p w:rsidR="00A91982" w:rsidRDefault="00A91982" w:rsidP="006561CF">
      <w:pPr>
        <w:spacing w:line="360" w:lineRule="auto"/>
        <w:ind w:firstLine="720"/>
        <w:contextualSpacing/>
        <w:rPr>
          <w:rFonts w:ascii="Times New Roman" w:eastAsia="Calibri" w:hAnsi="Times New Roman" w:cs="Times New Roman"/>
          <w:sz w:val="26"/>
          <w:szCs w:val="26"/>
        </w:rPr>
      </w:pPr>
      <w:r w:rsidRPr="00A91982">
        <w:rPr>
          <w:rFonts w:ascii="Times New Roman" w:eastAsia="Calibri" w:hAnsi="Times New Roman" w:cs="Times New Roman"/>
          <w:sz w:val="26"/>
          <w:szCs w:val="26"/>
        </w:rPr>
        <w:t xml:space="preserve">As noted above, the DSM II Final Order directed PGW to incorporate its CRP Home Comfort into its </w:t>
      </w:r>
      <w:r w:rsidR="008429B5">
        <w:rPr>
          <w:rFonts w:ascii="Times New Roman" w:eastAsia="Calibri" w:hAnsi="Times New Roman" w:cs="Times New Roman"/>
          <w:sz w:val="26"/>
          <w:szCs w:val="26"/>
        </w:rPr>
        <w:t xml:space="preserve">concurrently </w:t>
      </w:r>
      <w:r w:rsidRPr="00A91982">
        <w:rPr>
          <w:rFonts w:ascii="Times New Roman" w:eastAsia="Calibri" w:hAnsi="Times New Roman" w:cs="Times New Roman"/>
          <w:sz w:val="26"/>
          <w:szCs w:val="26"/>
        </w:rPr>
        <w:t xml:space="preserve">pending Proposed 2017-2020 USECP.  DSM II Final Order at 34-35.  As part of this </w:t>
      </w:r>
      <w:r w:rsidR="008429B5">
        <w:rPr>
          <w:rFonts w:ascii="Times New Roman" w:eastAsia="Calibri" w:hAnsi="Times New Roman" w:cs="Times New Roman"/>
          <w:sz w:val="26"/>
          <w:szCs w:val="26"/>
        </w:rPr>
        <w:t xml:space="preserve">USECP </w:t>
      </w:r>
      <w:r w:rsidRPr="00A91982">
        <w:rPr>
          <w:rFonts w:ascii="Times New Roman" w:eastAsia="Calibri" w:hAnsi="Times New Roman" w:cs="Times New Roman"/>
          <w:sz w:val="26"/>
          <w:szCs w:val="26"/>
        </w:rPr>
        <w:t>proceeding, PGW is transitioning its LIURP services from its DSM back into its USECP.</w:t>
      </w:r>
    </w:p>
    <w:p w:rsidR="00A91982" w:rsidRDefault="00A91982" w:rsidP="006561CF">
      <w:pPr>
        <w:spacing w:line="360" w:lineRule="auto"/>
        <w:ind w:firstLine="720"/>
        <w:contextualSpacing/>
        <w:rPr>
          <w:rFonts w:ascii="Times New Roman" w:eastAsia="Calibri" w:hAnsi="Times New Roman" w:cs="Times New Roman"/>
          <w:sz w:val="26"/>
          <w:szCs w:val="26"/>
        </w:rPr>
      </w:pPr>
    </w:p>
    <w:p w:rsidR="006561CF" w:rsidRDefault="006561CF" w:rsidP="006561CF">
      <w:pPr>
        <w:spacing w:line="360" w:lineRule="auto"/>
        <w:ind w:firstLine="720"/>
        <w:contextualSpacing/>
        <w:rPr>
          <w:rFonts w:ascii="Times New Roman" w:eastAsia="Calibri" w:hAnsi="Times New Roman" w:cs="Times New Roman"/>
          <w:sz w:val="26"/>
          <w:szCs w:val="26"/>
        </w:rPr>
      </w:pPr>
      <w:r w:rsidRPr="00C47F76">
        <w:rPr>
          <w:rFonts w:ascii="Times New Roman" w:eastAsia="Calibri" w:hAnsi="Times New Roman" w:cs="Times New Roman"/>
          <w:sz w:val="26"/>
          <w:szCs w:val="26"/>
        </w:rPr>
        <w:t xml:space="preserve">PGW’s </w:t>
      </w:r>
      <w:r>
        <w:rPr>
          <w:rFonts w:ascii="Times New Roman" w:eastAsia="Calibri" w:hAnsi="Times New Roman" w:cs="Times New Roman"/>
          <w:sz w:val="26"/>
          <w:szCs w:val="26"/>
        </w:rPr>
        <w:t>CRP Home Comfort</w:t>
      </w:r>
      <w:r w:rsidRPr="00C47F76">
        <w:rPr>
          <w:rFonts w:ascii="Times New Roman" w:eastAsia="Calibri" w:hAnsi="Times New Roman" w:cs="Times New Roman"/>
          <w:sz w:val="26"/>
          <w:szCs w:val="26"/>
        </w:rPr>
        <w:t xml:space="preserve"> is designed to assist CRP customers in reducing their energy usage and bills through cost-effective weatherization services and energy conservation education.  A</w:t>
      </w:r>
      <w:r w:rsidR="00381753">
        <w:rPr>
          <w:rFonts w:ascii="Times New Roman" w:eastAsia="Calibri" w:hAnsi="Times New Roman" w:cs="Times New Roman"/>
          <w:sz w:val="26"/>
          <w:szCs w:val="26"/>
        </w:rPr>
        <w:t>nother</w:t>
      </w:r>
      <w:r w:rsidRPr="00C47F76">
        <w:rPr>
          <w:rFonts w:ascii="Times New Roman" w:eastAsia="Calibri" w:hAnsi="Times New Roman" w:cs="Times New Roman"/>
          <w:sz w:val="26"/>
          <w:szCs w:val="26"/>
        </w:rPr>
        <w:t xml:space="preserve"> goal of the program is to help reduce the overall long-term cost of the CRP </w:t>
      </w:r>
      <w:r>
        <w:rPr>
          <w:rFonts w:ascii="Times New Roman" w:eastAsia="Calibri" w:hAnsi="Times New Roman" w:cs="Times New Roman"/>
          <w:sz w:val="26"/>
          <w:szCs w:val="26"/>
        </w:rPr>
        <w:t xml:space="preserve">Home Comfort </w:t>
      </w:r>
      <w:r w:rsidRPr="00C47F76">
        <w:rPr>
          <w:rFonts w:ascii="Times New Roman" w:eastAsia="Calibri" w:hAnsi="Times New Roman" w:cs="Times New Roman"/>
          <w:sz w:val="26"/>
          <w:szCs w:val="26"/>
        </w:rPr>
        <w:t>program paid by all PGW customers.  PGW contracts with three independent conservation service p</w:t>
      </w:r>
      <w:r>
        <w:rPr>
          <w:rFonts w:ascii="Times New Roman" w:eastAsia="Calibri" w:hAnsi="Times New Roman" w:cs="Times New Roman"/>
          <w:sz w:val="26"/>
          <w:szCs w:val="26"/>
        </w:rPr>
        <w:t>roviders (CSPs) to provide weatherization</w:t>
      </w:r>
      <w:r w:rsidRPr="00C47F76">
        <w:rPr>
          <w:rFonts w:ascii="Times New Roman" w:eastAsia="Calibri" w:hAnsi="Times New Roman" w:cs="Times New Roman"/>
          <w:sz w:val="26"/>
          <w:szCs w:val="26"/>
        </w:rPr>
        <w:t xml:space="preserve"> services.  Each CSP undergoes a semi-annual evaluation.  PGW reallocates contractor funding amounts and work assignments bas</w:t>
      </w:r>
      <w:r>
        <w:rPr>
          <w:rFonts w:ascii="Times New Roman" w:eastAsia="Calibri" w:hAnsi="Times New Roman" w:cs="Times New Roman"/>
          <w:sz w:val="26"/>
          <w:szCs w:val="26"/>
        </w:rPr>
        <w:t xml:space="preserve">ed on performance results </w:t>
      </w:r>
      <w:r w:rsidRPr="00C47F76">
        <w:rPr>
          <w:rFonts w:ascii="Times New Roman" w:eastAsia="Calibri" w:hAnsi="Times New Roman" w:cs="Times New Roman"/>
          <w:sz w:val="26"/>
          <w:szCs w:val="26"/>
        </w:rPr>
        <w:t>to assist in the improvement of both short and long-term goals.</w:t>
      </w:r>
    </w:p>
    <w:p w:rsidR="006561CF" w:rsidRPr="00C47F76" w:rsidRDefault="006561CF" w:rsidP="006561CF">
      <w:pPr>
        <w:spacing w:line="360" w:lineRule="auto"/>
        <w:ind w:firstLine="720"/>
        <w:contextualSpacing/>
        <w:rPr>
          <w:rFonts w:ascii="Times New Roman" w:eastAsia="Calibri" w:hAnsi="Times New Roman" w:cs="Times New Roman"/>
          <w:sz w:val="26"/>
          <w:szCs w:val="26"/>
        </w:rPr>
      </w:pPr>
    </w:p>
    <w:p w:rsidR="006561CF" w:rsidRDefault="006561CF" w:rsidP="006561CF">
      <w:pPr>
        <w:spacing w:line="360" w:lineRule="auto"/>
        <w:ind w:firstLine="720"/>
        <w:contextualSpacing/>
        <w:rPr>
          <w:rFonts w:ascii="Times New Roman" w:eastAsia="Calibri" w:hAnsi="Times New Roman" w:cs="Times New Roman"/>
          <w:sz w:val="26"/>
          <w:szCs w:val="26"/>
        </w:rPr>
      </w:pPr>
      <w:r w:rsidRPr="00C47F76">
        <w:rPr>
          <w:rFonts w:ascii="Times New Roman" w:eastAsia="Calibri" w:hAnsi="Times New Roman" w:cs="Times New Roman"/>
          <w:sz w:val="26"/>
          <w:szCs w:val="26"/>
        </w:rPr>
        <w:t>The primary conserv</w:t>
      </w:r>
      <w:r>
        <w:rPr>
          <w:rFonts w:ascii="Times New Roman" w:eastAsia="Calibri" w:hAnsi="Times New Roman" w:cs="Times New Roman"/>
          <w:sz w:val="26"/>
          <w:szCs w:val="26"/>
        </w:rPr>
        <w:t>ation measures provided by CRP Home Comfort</w:t>
      </w:r>
      <w:r w:rsidRPr="00C47F76">
        <w:rPr>
          <w:rFonts w:ascii="Times New Roman" w:eastAsia="Calibri" w:hAnsi="Times New Roman" w:cs="Times New Roman"/>
          <w:sz w:val="26"/>
          <w:szCs w:val="26"/>
        </w:rPr>
        <w:t xml:space="preserve"> include, as necessary, an energy audit, air sealing, insulation, heating system improvements</w:t>
      </w:r>
      <w:r>
        <w:rPr>
          <w:rFonts w:ascii="Times New Roman" w:eastAsia="Calibri" w:hAnsi="Times New Roman" w:cs="Times New Roman"/>
          <w:sz w:val="26"/>
          <w:szCs w:val="26"/>
        </w:rPr>
        <w:t>, repairs</w:t>
      </w:r>
      <w:r w:rsidRPr="00C47F76">
        <w:rPr>
          <w:rFonts w:ascii="Times New Roman" w:eastAsia="Calibri" w:hAnsi="Times New Roman" w:cs="Times New Roman"/>
          <w:sz w:val="26"/>
          <w:szCs w:val="26"/>
        </w:rPr>
        <w:t xml:space="preserve"> or replacements, and energy conservation education. </w:t>
      </w:r>
      <w:r>
        <w:rPr>
          <w:rFonts w:ascii="Times New Roman" w:eastAsia="Calibri" w:hAnsi="Times New Roman" w:cs="Times New Roman"/>
          <w:sz w:val="26"/>
          <w:szCs w:val="26"/>
        </w:rPr>
        <w:t xml:space="preserve"> </w:t>
      </w:r>
    </w:p>
    <w:p w:rsidR="006561CF" w:rsidRPr="00C47F76" w:rsidRDefault="006561CF" w:rsidP="006561CF">
      <w:pPr>
        <w:spacing w:line="360" w:lineRule="auto"/>
        <w:ind w:firstLine="720"/>
        <w:contextualSpacing/>
        <w:rPr>
          <w:rFonts w:ascii="Times New Roman" w:eastAsia="Calibri" w:hAnsi="Times New Roman" w:cs="Times New Roman"/>
          <w:sz w:val="26"/>
          <w:szCs w:val="26"/>
        </w:rPr>
      </w:pPr>
    </w:p>
    <w:p w:rsidR="006561CF" w:rsidRDefault="006561CF" w:rsidP="006561CF">
      <w:pPr>
        <w:spacing w:line="360" w:lineRule="auto"/>
        <w:ind w:firstLine="720"/>
        <w:contextualSpacing/>
        <w:rPr>
          <w:rFonts w:ascii="Times New Roman" w:eastAsia="Calibri" w:hAnsi="Times New Roman" w:cs="Times New Roman"/>
          <w:sz w:val="26"/>
          <w:szCs w:val="26"/>
        </w:rPr>
      </w:pPr>
      <w:r w:rsidRPr="00C47F76">
        <w:rPr>
          <w:rFonts w:ascii="Times New Roman" w:eastAsia="Calibri" w:hAnsi="Times New Roman" w:cs="Times New Roman"/>
          <w:sz w:val="26"/>
          <w:szCs w:val="26"/>
        </w:rPr>
        <w:t xml:space="preserve">To receive </w:t>
      </w:r>
      <w:r w:rsidRPr="00A902F0">
        <w:rPr>
          <w:rFonts w:ascii="Times New Roman" w:eastAsia="Calibri" w:hAnsi="Times New Roman" w:cs="Times New Roman"/>
          <w:sz w:val="26"/>
          <w:szCs w:val="26"/>
        </w:rPr>
        <w:t xml:space="preserve">CRP Home Comfort </w:t>
      </w:r>
      <w:r w:rsidRPr="00C47F76">
        <w:rPr>
          <w:rFonts w:ascii="Times New Roman" w:eastAsia="Calibri" w:hAnsi="Times New Roman" w:cs="Times New Roman"/>
          <w:sz w:val="26"/>
          <w:szCs w:val="26"/>
        </w:rPr>
        <w:t>services</w:t>
      </w:r>
      <w:r w:rsidR="009B0F2C">
        <w:rPr>
          <w:rFonts w:ascii="Times New Roman" w:eastAsia="Calibri" w:hAnsi="Times New Roman" w:cs="Times New Roman"/>
          <w:sz w:val="26"/>
          <w:szCs w:val="26"/>
        </w:rPr>
        <w:t xml:space="preserve"> currently</w:t>
      </w:r>
      <w:r w:rsidRPr="00C47F76">
        <w:rPr>
          <w:rFonts w:ascii="Times New Roman" w:eastAsia="Calibri" w:hAnsi="Times New Roman" w:cs="Times New Roman"/>
          <w:sz w:val="26"/>
          <w:szCs w:val="26"/>
        </w:rPr>
        <w:t xml:space="preserve">, a </w:t>
      </w:r>
      <w:r>
        <w:rPr>
          <w:rFonts w:ascii="Times New Roman" w:eastAsia="Calibri" w:hAnsi="Times New Roman" w:cs="Times New Roman"/>
          <w:sz w:val="26"/>
          <w:szCs w:val="26"/>
        </w:rPr>
        <w:t>low-income household</w:t>
      </w:r>
      <w:r w:rsidRPr="00C47F76">
        <w:rPr>
          <w:rFonts w:ascii="Times New Roman" w:eastAsia="Calibri" w:hAnsi="Times New Roman" w:cs="Times New Roman"/>
          <w:sz w:val="26"/>
          <w:szCs w:val="26"/>
        </w:rPr>
        <w:t xml:space="preserve"> must meet the following criteria:</w:t>
      </w:r>
    </w:p>
    <w:p w:rsidR="006561CF" w:rsidRPr="00C47F76" w:rsidRDefault="006561CF" w:rsidP="006561CF">
      <w:pPr>
        <w:spacing w:line="360" w:lineRule="auto"/>
        <w:ind w:firstLine="720"/>
        <w:contextualSpacing/>
        <w:rPr>
          <w:rFonts w:ascii="Times New Roman" w:eastAsia="Calibri" w:hAnsi="Times New Roman" w:cs="Times New Roman"/>
          <w:sz w:val="26"/>
          <w:szCs w:val="26"/>
        </w:rPr>
      </w:pPr>
    </w:p>
    <w:p w:rsidR="006561CF" w:rsidRPr="00C47F76" w:rsidRDefault="006561CF" w:rsidP="006561CF">
      <w:pPr>
        <w:numPr>
          <w:ilvl w:val="0"/>
          <w:numId w:val="36"/>
        </w:numPr>
        <w:spacing w:after="0" w:line="360" w:lineRule="auto"/>
        <w:contextualSpacing/>
        <w:rPr>
          <w:rFonts w:ascii="Times New Roman" w:eastAsia="Calibri" w:hAnsi="Times New Roman" w:cs="Times New Roman"/>
          <w:sz w:val="26"/>
          <w:szCs w:val="26"/>
        </w:rPr>
      </w:pPr>
      <w:r w:rsidRPr="00C47F76">
        <w:rPr>
          <w:rFonts w:ascii="Times New Roman" w:eastAsia="Calibri" w:hAnsi="Times New Roman" w:cs="Times New Roman"/>
          <w:sz w:val="26"/>
          <w:szCs w:val="26"/>
        </w:rPr>
        <w:lastRenderedPageBreak/>
        <w:t>Be enrolled in CRP;</w:t>
      </w:r>
    </w:p>
    <w:p w:rsidR="006561CF" w:rsidRPr="00C47F76" w:rsidRDefault="006561CF" w:rsidP="006561CF">
      <w:pPr>
        <w:numPr>
          <w:ilvl w:val="0"/>
          <w:numId w:val="36"/>
        </w:numPr>
        <w:spacing w:after="0" w:line="360" w:lineRule="auto"/>
        <w:contextualSpacing/>
        <w:rPr>
          <w:rFonts w:ascii="Times New Roman" w:eastAsia="Calibri" w:hAnsi="Times New Roman" w:cs="Times New Roman"/>
          <w:sz w:val="26"/>
          <w:szCs w:val="26"/>
        </w:rPr>
      </w:pPr>
      <w:r>
        <w:rPr>
          <w:rFonts w:ascii="Times New Roman" w:eastAsia="Calibri" w:hAnsi="Times New Roman" w:cs="Times New Roman"/>
          <w:sz w:val="26"/>
          <w:szCs w:val="26"/>
        </w:rPr>
        <w:t>Have weather</w:t>
      </w:r>
      <w:r w:rsidR="00A91982">
        <w:rPr>
          <w:rFonts w:ascii="Times New Roman" w:eastAsia="Calibri" w:hAnsi="Times New Roman" w:cs="Times New Roman"/>
          <w:sz w:val="26"/>
          <w:szCs w:val="26"/>
        </w:rPr>
        <w:t>-</w:t>
      </w:r>
      <w:r>
        <w:rPr>
          <w:rFonts w:ascii="Times New Roman" w:eastAsia="Calibri" w:hAnsi="Times New Roman" w:cs="Times New Roman"/>
          <w:sz w:val="26"/>
          <w:szCs w:val="26"/>
        </w:rPr>
        <w:t>normalized usage within the top 50% of all CRP customers and at least twelve months of continuous service at their current property</w:t>
      </w:r>
      <w:r w:rsidRPr="00C47F76">
        <w:rPr>
          <w:rFonts w:ascii="Times New Roman" w:eastAsia="Calibri" w:hAnsi="Times New Roman" w:cs="Times New Roman"/>
          <w:sz w:val="26"/>
          <w:szCs w:val="26"/>
        </w:rPr>
        <w:t>;</w:t>
      </w:r>
    </w:p>
    <w:p w:rsidR="006561CF" w:rsidRPr="00B840AC" w:rsidRDefault="006561CF" w:rsidP="006561CF">
      <w:pPr>
        <w:numPr>
          <w:ilvl w:val="0"/>
          <w:numId w:val="36"/>
        </w:numPr>
        <w:spacing w:after="0" w:line="360" w:lineRule="auto"/>
        <w:contextualSpacing/>
        <w:rPr>
          <w:rFonts w:ascii="Times New Roman" w:eastAsia="Calibri" w:hAnsi="Times New Roman" w:cs="Times New Roman"/>
          <w:sz w:val="26"/>
          <w:szCs w:val="26"/>
        </w:rPr>
      </w:pPr>
      <w:r w:rsidRPr="00C47F76">
        <w:rPr>
          <w:rFonts w:ascii="Times New Roman" w:eastAsia="Calibri" w:hAnsi="Times New Roman" w:cs="Times New Roman"/>
          <w:sz w:val="26"/>
          <w:szCs w:val="26"/>
        </w:rPr>
        <w:t xml:space="preserve">Have not received </w:t>
      </w:r>
      <w:r>
        <w:rPr>
          <w:rFonts w:ascii="Times New Roman" w:eastAsia="Calibri" w:hAnsi="Times New Roman" w:cs="Times New Roman"/>
          <w:sz w:val="26"/>
          <w:szCs w:val="26"/>
        </w:rPr>
        <w:t>CRP Home Comfort services over the previous seven years; and</w:t>
      </w:r>
    </w:p>
    <w:p w:rsidR="006561CF" w:rsidRPr="00A902F0" w:rsidRDefault="006561CF" w:rsidP="006561CF">
      <w:pPr>
        <w:numPr>
          <w:ilvl w:val="0"/>
          <w:numId w:val="36"/>
        </w:numPr>
        <w:spacing w:after="0" w:line="360" w:lineRule="auto"/>
        <w:contextualSpacing/>
        <w:rPr>
          <w:rFonts w:ascii="Times New Roman" w:eastAsia="Calibri" w:hAnsi="Times New Roman" w:cs="Times New Roman"/>
          <w:sz w:val="26"/>
          <w:szCs w:val="26"/>
        </w:rPr>
      </w:pPr>
      <w:r>
        <w:rPr>
          <w:rFonts w:ascii="Times New Roman" w:eastAsia="Calibri" w:hAnsi="Times New Roman" w:cs="Times New Roman"/>
          <w:sz w:val="26"/>
          <w:szCs w:val="26"/>
        </w:rPr>
        <w:t>Reside in a single-family home.  If the customer rents the home, the landlord must provide permission for PGW to perform weatherization measures.</w:t>
      </w:r>
    </w:p>
    <w:p w:rsidR="006561CF" w:rsidRDefault="006561CF" w:rsidP="006561CF">
      <w:pPr>
        <w:spacing w:line="360" w:lineRule="auto"/>
        <w:ind w:firstLine="720"/>
        <w:contextualSpacing/>
        <w:rPr>
          <w:rFonts w:ascii="Times New Roman" w:eastAsia="Calibri" w:hAnsi="Times New Roman" w:cs="Times New Roman"/>
          <w:sz w:val="26"/>
          <w:szCs w:val="26"/>
        </w:rPr>
      </w:pPr>
    </w:p>
    <w:p w:rsidR="006561CF" w:rsidRDefault="006561CF" w:rsidP="006561CF">
      <w:pPr>
        <w:spacing w:line="360" w:lineRule="auto"/>
        <w:ind w:firstLine="720"/>
        <w:contextualSpacing/>
        <w:rPr>
          <w:rFonts w:ascii="Times New Roman" w:eastAsia="Calibri" w:hAnsi="Times New Roman" w:cs="Times New Roman"/>
          <w:sz w:val="26"/>
          <w:szCs w:val="26"/>
        </w:rPr>
      </w:pPr>
      <w:r>
        <w:rPr>
          <w:rFonts w:ascii="Times New Roman" w:eastAsia="Calibri" w:hAnsi="Times New Roman" w:cs="Times New Roman"/>
          <w:sz w:val="26"/>
          <w:szCs w:val="26"/>
        </w:rPr>
        <w:t xml:space="preserve">As part of its CRP Home Comfort’s usage reduction efforts, PGW has a Pilot Conservation Incentive Credit program, which offers CRP customers a $100 “incentive credit” on their bill </w:t>
      </w:r>
      <w:r w:rsidRPr="00F90694">
        <w:rPr>
          <w:rFonts w:ascii="Times New Roman" w:eastAsia="Calibri" w:hAnsi="Times New Roman" w:cs="Times New Roman"/>
          <w:sz w:val="26"/>
          <w:szCs w:val="26"/>
        </w:rPr>
        <w:t>if they significantly reduce usage compared to the prior winter season</w:t>
      </w:r>
      <w:r w:rsidRPr="00F90694">
        <w:rPr>
          <w:rStyle w:val="FootnoteReference"/>
          <w:rFonts w:ascii="Times New Roman" w:eastAsia="Calibri" w:hAnsi="Times New Roman" w:cs="Times New Roman"/>
          <w:sz w:val="26"/>
          <w:szCs w:val="26"/>
        </w:rPr>
        <w:footnoteReference w:id="22"/>
      </w:r>
      <w:r w:rsidRPr="00F90694">
        <w:rPr>
          <w:rFonts w:ascii="Times New Roman" w:eastAsia="Calibri" w:hAnsi="Times New Roman" w:cs="Times New Roman"/>
          <w:sz w:val="26"/>
          <w:szCs w:val="26"/>
        </w:rPr>
        <w:t xml:space="preserve"> (N</w:t>
      </w:r>
      <w:r>
        <w:rPr>
          <w:rFonts w:ascii="Times New Roman" w:eastAsia="Calibri" w:hAnsi="Times New Roman" w:cs="Times New Roman"/>
          <w:sz w:val="26"/>
          <w:szCs w:val="26"/>
        </w:rPr>
        <w:t xml:space="preserve">ovember through April).  To qualify for this credit, CRP customers who have not received weatherization services in the past two years must reduce gas usage by 10% or more.  CRP customers who have received weatherization services in the past two years must reduce their gas usage by 20% or more.  Only customers enrolled in CRP from November through April are eligible for this credit.  </w:t>
      </w:r>
    </w:p>
    <w:p w:rsidR="006561CF" w:rsidRDefault="006561CF" w:rsidP="006561CF">
      <w:pPr>
        <w:spacing w:line="360" w:lineRule="auto"/>
        <w:ind w:firstLine="720"/>
        <w:contextualSpacing/>
        <w:rPr>
          <w:rFonts w:ascii="Times New Roman" w:eastAsia="Calibri" w:hAnsi="Times New Roman" w:cs="Times New Roman"/>
          <w:sz w:val="26"/>
          <w:szCs w:val="26"/>
        </w:rPr>
      </w:pPr>
    </w:p>
    <w:p w:rsidR="006561CF" w:rsidRDefault="006561CF" w:rsidP="006561CF">
      <w:pPr>
        <w:spacing w:line="360" w:lineRule="auto"/>
        <w:ind w:firstLine="720"/>
        <w:contextualSpacing/>
        <w:rPr>
          <w:rFonts w:ascii="Times New Roman" w:eastAsia="Calibri" w:hAnsi="Times New Roman" w:cs="Times New Roman"/>
          <w:sz w:val="26"/>
          <w:szCs w:val="26"/>
        </w:rPr>
      </w:pPr>
      <w:r>
        <w:rPr>
          <w:rFonts w:ascii="Times New Roman" w:eastAsia="Calibri" w:hAnsi="Times New Roman" w:cs="Times New Roman"/>
          <w:sz w:val="26"/>
          <w:szCs w:val="26"/>
        </w:rPr>
        <w:t>PGW proposes to implement a “Health and Safety” pilot beginning in 2017 that would allow contractors to spend up to $2,000 for health and safety measures in a residence to address conditions that prohibit cost-effective weatherization.  This pilot will target the highest usage homes.  CSPs must project energy savings of at least 25% for a residence to qualify for this increased health and safety allowance.  PGW will pre-screen all residences selected for this pilot, and the total amount spent on health and safety measures shall not exceed $100,000 per year.</w:t>
      </w:r>
    </w:p>
    <w:p w:rsidR="006561CF" w:rsidRPr="002A570A" w:rsidRDefault="006561CF" w:rsidP="006561CF">
      <w:pPr>
        <w:spacing w:line="360" w:lineRule="auto"/>
        <w:ind w:firstLine="720"/>
        <w:contextualSpacing/>
        <w:rPr>
          <w:rFonts w:ascii="Times New Roman" w:eastAsia="Calibri" w:hAnsi="Times New Roman" w:cs="Times New Roman"/>
          <w:sz w:val="26"/>
          <w:szCs w:val="26"/>
        </w:rPr>
      </w:pPr>
    </w:p>
    <w:p w:rsidR="006561CF" w:rsidRDefault="006561CF" w:rsidP="006561CF">
      <w:pPr>
        <w:spacing w:line="360" w:lineRule="auto"/>
        <w:ind w:firstLine="720"/>
        <w:contextualSpacing/>
        <w:rPr>
          <w:rFonts w:ascii="Times New Roman" w:eastAsia="Calibri" w:hAnsi="Times New Roman" w:cs="Times New Roman"/>
          <w:sz w:val="26"/>
          <w:szCs w:val="26"/>
        </w:rPr>
      </w:pPr>
      <w:r>
        <w:rPr>
          <w:rFonts w:ascii="Times New Roman" w:eastAsia="Calibri" w:hAnsi="Times New Roman" w:cs="Times New Roman"/>
          <w:sz w:val="26"/>
          <w:szCs w:val="26"/>
        </w:rPr>
        <w:lastRenderedPageBreak/>
        <w:t xml:space="preserve">PGW also proposed to implement a </w:t>
      </w:r>
      <w:r w:rsidRPr="00942B01">
        <w:rPr>
          <w:rFonts w:ascii="Times New Roman" w:eastAsia="Calibri" w:hAnsi="Times New Roman" w:cs="Times New Roman"/>
          <w:sz w:val="26"/>
          <w:szCs w:val="26"/>
        </w:rPr>
        <w:t xml:space="preserve">Low Income Multi-family Efficiency </w:t>
      </w:r>
      <w:r>
        <w:rPr>
          <w:rFonts w:ascii="Times New Roman" w:eastAsia="Calibri" w:hAnsi="Times New Roman" w:cs="Times New Roman"/>
          <w:sz w:val="26"/>
          <w:szCs w:val="26"/>
        </w:rPr>
        <w:t xml:space="preserve">(LIME) </w:t>
      </w:r>
      <w:r w:rsidRPr="00942B01">
        <w:rPr>
          <w:rFonts w:ascii="Times New Roman" w:eastAsia="Calibri" w:hAnsi="Times New Roman" w:cs="Times New Roman"/>
          <w:sz w:val="26"/>
          <w:szCs w:val="26"/>
        </w:rPr>
        <w:t>program</w:t>
      </w:r>
      <w:r w:rsidR="00AD6DB7">
        <w:rPr>
          <w:rFonts w:ascii="Times New Roman" w:eastAsia="Calibri" w:hAnsi="Times New Roman" w:cs="Times New Roman"/>
          <w:sz w:val="26"/>
          <w:szCs w:val="26"/>
        </w:rPr>
        <w:t xml:space="preserve"> for low-income multi</w:t>
      </w:r>
      <w:r w:rsidR="00E6486E">
        <w:rPr>
          <w:rFonts w:ascii="Times New Roman" w:eastAsia="Calibri" w:hAnsi="Times New Roman" w:cs="Times New Roman"/>
          <w:sz w:val="26"/>
          <w:szCs w:val="26"/>
        </w:rPr>
        <w:t>-</w:t>
      </w:r>
      <w:r w:rsidR="00AD6DB7">
        <w:rPr>
          <w:rFonts w:ascii="Times New Roman" w:eastAsia="Calibri" w:hAnsi="Times New Roman" w:cs="Times New Roman"/>
          <w:sz w:val="26"/>
          <w:szCs w:val="26"/>
        </w:rPr>
        <w:t xml:space="preserve">family </w:t>
      </w:r>
      <w:r w:rsidR="00E6486E">
        <w:rPr>
          <w:rFonts w:ascii="Times New Roman" w:eastAsia="Calibri" w:hAnsi="Times New Roman" w:cs="Times New Roman"/>
          <w:sz w:val="26"/>
          <w:szCs w:val="26"/>
        </w:rPr>
        <w:t>properties</w:t>
      </w:r>
      <w:r w:rsidR="00057098">
        <w:rPr>
          <w:rFonts w:ascii="Times New Roman" w:eastAsia="Calibri" w:hAnsi="Times New Roman" w:cs="Times New Roman"/>
          <w:sz w:val="26"/>
          <w:szCs w:val="26"/>
        </w:rPr>
        <w:t>, consistent with the Commission’s directive in its 2014-2016 USECP Final Order</w:t>
      </w:r>
      <w:r w:rsidR="00057098">
        <w:rPr>
          <w:rStyle w:val="FootnoteReference"/>
          <w:rFonts w:ascii="Times New Roman" w:eastAsia="Calibri" w:hAnsi="Times New Roman" w:cs="Times New Roman"/>
          <w:sz w:val="26"/>
          <w:szCs w:val="26"/>
        </w:rPr>
        <w:footnoteReference w:id="23"/>
      </w:r>
      <w:r w:rsidR="00057098">
        <w:rPr>
          <w:rFonts w:ascii="Times New Roman" w:eastAsia="Calibri" w:hAnsi="Times New Roman" w:cs="Times New Roman"/>
          <w:sz w:val="26"/>
          <w:szCs w:val="26"/>
        </w:rPr>
        <w:t xml:space="preserve"> and the DSM </w:t>
      </w:r>
      <w:r w:rsidR="009B0F2C">
        <w:rPr>
          <w:rFonts w:ascii="Times New Roman" w:eastAsia="Calibri" w:hAnsi="Times New Roman" w:cs="Times New Roman"/>
          <w:sz w:val="26"/>
          <w:szCs w:val="26"/>
        </w:rPr>
        <w:t>II</w:t>
      </w:r>
      <w:r w:rsidR="00057098">
        <w:rPr>
          <w:rFonts w:ascii="Times New Roman" w:eastAsia="Calibri" w:hAnsi="Times New Roman" w:cs="Times New Roman"/>
          <w:sz w:val="26"/>
          <w:szCs w:val="26"/>
        </w:rPr>
        <w:t xml:space="preserve"> </w:t>
      </w:r>
      <w:r w:rsidR="009B0F2C">
        <w:rPr>
          <w:rFonts w:ascii="Times New Roman" w:eastAsia="Calibri" w:hAnsi="Times New Roman" w:cs="Times New Roman"/>
          <w:sz w:val="26"/>
          <w:szCs w:val="26"/>
        </w:rPr>
        <w:t>Final Order</w:t>
      </w:r>
      <w:r>
        <w:rPr>
          <w:rFonts w:ascii="Times New Roman" w:eastAsia="Calibri" w:hAnsi="Times New Roman" w:cs="Times New Roman"/>
          <w:sz w:val="26"/>
          <w:szCs w:val="26"/>
        </w:rPr>
        <w:t>.  Customers living in multi-family properties can qualify for CRP Home Comfort services if</w:t>
      </w:r>
      <w:r w:rsidR="00057098">
        <w:rPr>
          <w:rFonts w:ascii="Times New Roman" w:eastAsia="Calibri" w:hAnsi="Times New Roman" w:cs="Times New Roman"/>
          <w:sz w:val="26"/>
          <w:szCs w:val="26"/>
        </w:rPr>
        <w:t xml:space="preserve"> at least</w:t>
      </w:r>
      <w:r>
        <w:rPr>
          <w:rFonts w:ascii="Times New Roman" w:eastAsia="Calibri" w:hAnsi="Times New Roman" w:cs="Times New Roman"/>
          <w:sz w:val="26"/>
          <w:szCs w:val="26"/>
        </w:rPr>
        <w:t xml:space="preserve"> 75% of the tenants in their building have incomes at or below 150% of the FPIG.</w:t>
      </w:r>
      <w:r>
        <w:rPr>
          <w:rStyle w:val="FootnoteReference"/>
          <w:rFonts w:ascii="Times New Roman" w:eastAsia="Calibri" w:hAnsi="Times New Roman" w:cs="Times New Roman"/>
          <w:sz w:val="26"/>
          <w:szCs w:val="26"/>
        </w:rPr>
        <w:footnoteReference w:id="24"/>
      </w:r>
      <w:r w:rsidR="00A91982" w:rsidRPr="00A91982">
        <w:rPr>
          <w:rFonts w:ascii="Times New Roman" w:eastAsia="Calibri" w:hAnsi="Times New Roman" w:cs="Times New Roman"/>
          <w:sz w:val="26"/>
          <w:szCs w:val="26"/>
          <w:vertAlign w:val="superscript"/>
        </w:rPr>
        <w:t xml:space="preserve">. </w:t>
      </w:r>
      <w:r>
        <w:rPr>
          <w:rStyle w:val="FootnoteReference"/>
          <w:rFonts w:ascii="Times New Roman" w:eastAsia="Calibri" w:hAnsi="Times New Roman" w:cs="Times New Roman"/>
          <w:sz w:val="26"/>
          <w:szCs w:val="26"/>
        </w:rPr>
        <w:footnoteReference w:id="25"/>
      </w:r>
      <w:r>
        <w:rPr>
          <w:rFonts w:ascii="Times New Roman" w:eastAsia="Calibri" w:hAnsi="Times New Roman" w:cs="Times New Roman"/>
          <w:sz w:val="26"/>
          <w:szCs w:val="26"/>
        </w:rPr>
        <w:t xml:space="preserve">  </w:t>
      </w:r>
    </w:p>
    <w:p w:rsidR="006561CF" w:rsidRDefault="006561CF" w:rsidP="006561CF">
      <w:pPr>
        <w:spacing w:after="0" w:line="360" w:lineRule="auto"/>
        <w:contextualSpacing/>
        <w:rPr>
          <w:rFonts w:ascii="Times New Roman" w:eastAsia="Times New Roman" w:hAnsi="Times New Roman" w:cs="Times New Roman"/>
          <w:sz w:val="26"/>
          <w:szCs w:val="26"/>
        </w:rPr>
      </w:pPr>
    </w:p>
    <w:p w:rsidR="006561CF" w:rsidRDefault="006561CF" w:rsidP="006561CF">
      <w:pPr>
        <w:keepNext/>
        <w:spacing w:after="0" w:line="360" w:lineRule="auto"/>
        <w:contextualSpacing/>
        <w:rPr>
          <w:rFonts w:ascii="Times New Roman" w:eastAsia="Times New Roman" w:hAnsi="Times New Roman" w:cs="Times New Roman"/>
          <w:i/>
          <w:sz w:val="26"/>
          <w:szCs w:val="26"/>
        </w:rPr>
      </w:pPr>
      <w:r w:rsidRPr="00B16A30">
        <w:rPr>
          <w:rFonts w:ascii="Times New Roman" w:eastAsia="Times New Roman" w:hAnsi="Times New Roman" w:cs="Times New Roman"/>
          <w:i/>
          <w:sz w:val="26"/>
          <w:szCs w:val="26"/>
        </w:rPr>
        <w:t>a.</w:t>
      </w:r>
      <w:r w:rsidR="00E32D4E">
        <w:rPr>
          <w:rFonts w:ascii="Times New Roman" w:eastAsia="Times New Roman" w:hAnsi="Times New Roman" w:cs="Times New Roman"/>
          <w:i/>
          <w:sz w:val="26"/>
          <w:szCs w:val="26"/>
        </w:rPr>
        <w:t xml:space="preserve">  CRP Home Comfort Eligibility</w:t>
      </w:r>
    </w:p>
    <w:p w:rsidR="006561CF" w:rsidRDefault="006561CF" w:rsidP="006561CF">
      <w:pPr>
        <w:keepNext/>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p>
    <w:p w:rsidR="006561CF" w:rsidRDefault="006561CF" w:rsidP="006561CF">
      <w:pPr>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t>PGW states in the Amended Proposed 2017-2020 Plan that only low-income customers enrolled in the CRP program are eligible for LIURP.  Proposed 2017-2020 Plan at 21.</w:t>
      </w:r>
      <w:r>
        <w:rPr>
          <w:rStyle w:val="FootnoteReference"/>
          <w:rFonts w:ascii="Times New Roman" w:eastAsia="Times New Roman" w:hAnsi="Times New Roman" w:cs="Times New Roman"/>
          <w:sz w:val="26"/>
          <w:szCs w:val="26"/>
        </w:rPr>
        <w:footnoteReference w:id="26"/>
      </w:r>
      <w:r>
        <w:rPr>
          <w:rFonts w:ascii="Times New Roman" w:eastAsia="Times New Roman" w:hAnsi="Times New Roman" w:cs="Times New Roman"/>
          <w:sz w:val="26"/>
          <w:szCs w:val="26"/>
        </w:rPr>
        <w:t xml:space="preserve">  </w:t>
      </w:r>
    </w:p>
    <w:p w:rsidR="006561CF" w:rsidRDefault="006561CF" w:rsidP="006561CF">
      <w:pPr>
        <w:spacing w:after="0" w:line="360" w:lineRule="auto"/>
        <w:contextualSpacing/>
        <w:rPr>
          <w:rFonts w:ascii="Times New Roman" w:eastAsia="Times New Roman" w:hAnsi="Times New Roman" w:cs="Times New Roman"/>
          <w:sz w:val="26"/>
          <w:szCs w:val="26"/>
        </w:rPr>
      </w:pPr>
    </w:p>
    <w:p w:rsidR="006561CF" w:rsidRDefault="006561CF" w:rsidP="006561CF">
      <w:pPr>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PGW’s practice of restricting LIURP services to CRP customers excludes several groups of low-income customers.  One such group is low-income h</w:t>
      </w:r>
      <w:r w:rsidRPr="00C47F76">
        <w:rPr>
          <w:rFonts w:ascii="Times New Roman" w:eastAsia="Times New Roman" w:hAnsi="Times New Roman" w:cs="Times New Roman"/>
          <w:sz w:val="26"/>
          <w:szCs w:val="26"/>
        </w:rPr>
        <w:t>ouseholds already receiving a discounted payment through PGW’s Senior Citizen Discount (SCD) program</w:t>
      </w:r>
      <w:r>
        <w:rPr>
          <w:rFonts w:ascii="Times New Roman" w:eastAsia="Times New Roman" w:hAnsi="Times New Roman" w:cs="Times New Roman"/>
          <w:sz w:val="26"/>
          <w:szCs w:val="26"/>
        </w:rPr>
        <w:t>, who</w:t>
      </w:r>
      <w:r w:rsidRPr="00C47F76">
        <w:rPr>
          <w:rFonts w:ascii="Times New Roman" w:eastAsia="Times New Roman" w:hAnsi="Times New Roman" w:cs="Times New Roman"/>
          <w:sz w:val="26"/>
          <w:szCs w:val="26"/>
        </w:rPr>
        <w:t xml:space="preserve"> are not eligible to apply for CRP</w:t>
      </w:r>
      <w:r>
        <w:rPr>
          <w:rFonts w:ascii="Times New Roman" w:eastAsia="Times New Roman" w:hAnsi="Times New Roman" w:cs="Times New Roman"/>
          <w:sz w:val="26"/>
          <w:szCs w:val="26"/>
        </w:rPr>
        <w:t xml:space="preserve">.  Other groups that are systemically excluded are those low-income customers who are on budget billing, those who are under the one-year “stay-out” provision of CRP, and those who were unable to make a lump sum payment to reenroll in CRP.  </w:t>
      </w:r>
    </w:p>
    <w:p w:rsidR="006561CF" w:rsidRDefault="006561CF" w:rsidP="006561CF">
      <w:pPr>
        <w:spacing w:after="0" w:line="360" w:lineRule="auto"/>
        <w:contextualSpacing/>
        <w:rPr>
          <w:rFonts w:ascii="Times New Roman" w:eastAsia="Times New Roman" w:hAnsi="Times New Roman" w:cs="Times New Roman"/>
          <w:sz w:val="26"/>
          <w:szCs w:val="26"/>
        </w:rPr>
      </w:pPr>
    </w:p>
    <w:p w:rsidR="006561CF" w:rsidRDefault="009268F1" w:rsidP="006561CF">
      <w:pPr>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6561CF">
        <w:rPr>
          <w:rFonts w:ascii="Times New Roman" w:eastAsia="Times New Roman" w:hAnsi="Times New Roman" w:cs="Times New Roman"/>
          <w:sz w:val="26"/>
          <w:szCs w:val="26"/>
        </w:rPr>
        <w:t xml:space="preserve">The LIURP Regulations at Section 58.10 (a)(1) expressly prioritize eligible LIURP customers based on usage, arrears, and income.  The regulations do not designate or require that low-income customers be enrolled in customer assistance programs in order to be eligible for LIURP, so the use of CRP/non-CRP status is not an acceptable </w:t>
      </w:r>
      <w:r w:rsidR="006561CF">
        <w:rPr>
          <w:rFonts w:ascii="Times New Roman" w:eastAsia="Times New Roman" w:hAnsi="Times New Roman" w:cs="Times New Roman"/>
          <w:sz w:val="26"/>
          <w:szCs w:val="26"/>
        </w:rPr>
        <w:lastRenderedPageBreak/>
        <w:t xml:space="preserve">criterion for eligibility determination.  The Commission has previously required that all low-income customers, who otherwise meet eligibility requirements, be allowed to participate in LIURP, especially if they have high usage. </w:t>
      </w:r>
      <w:r w:rsidR="006561CF">
        <w:rPr>
          <w:rStyle w:val="FootnoteReference"/>
          <w:rFonts w:ascii="Times New Roman" w:eastAsia="Times New Roman" w:hAnsi="Times New Roman" w:cs="Times New Roman"/>
          <w:sz w:val="26"/>
          <w:szCs w:val="26"/>
        </w:rPr>
        <w:footnoteReference w:id="27"/>
      </w:r>
      <w:r w:rsidR="006561CF">
        <w:rPr>
          <w:rFonts w:ascii="Times New Roman" w:eastAsia="Times New Roman" w:hAnsi="Times New Roman" w:cs="Times New Roman"/>
          <w:sz w:val="26"/>
          <w:szCs w:val="26"/>
        </w:rPr>
        <w:t xml:space="preserve"> </w:t>
      </w:r>
    </w:p>
    <w:p w:rsidR="000352D5" w:rsidRDefault="000352D5" w:rsidP="006561CF">
      <w:pPr>
        <w:spacing w:after="0" w:line="360" w:lineRule="auto"/>
        <w:contextualSpacing/>
        <w:rPr>
          <w:rFonts w:ascii="Times New Roman" w:eastAsia="Times New Roman" w:hAnsi="Times New Roman" w:cs="Times New Roman"/>
          <w:sz w:val="26"/>
          <w:szCs w:val="26"/>
        </w:rPr>
      </w:pPr>
    </w:p>
    <w:p w:rsidR="008130B8" w:rsidRDefault="00E32D4E" w:rsidP="000352D5">
      <w:pPr>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In the Tentative Order, </w:t>
      </w:r>
      <w:r w:rsidR="009268F1">
        <w:rPr>
          <w:rFonts w:ascii="Times New Roman" w:eastAsia="Times New Roman" w:hAnsi="Times New Roman" w:cs="Times New Roman"/>
          <w:sz w:val="26"/>
          <w:szCs w:val="26"/>
        </w:rPr>
        <w:t>we requested</w:t>
      </w:r>
      <w:r>
        <w:rPr>
          <w:rFonts w:ascii="Times New Roman" w:eastAsia="Times New Roman" w:hAnsi="Times New Roman" w:cs="Times New Roman"/>
          <w:sz w:val="26"/>
          <w:szCs w:val="26"/>
        </w:rPr>
        <w:t xml:space="preserve"> </w:t>
      </w:r>
      <w:r w:rsidR="000352D5" w:rsidRPr="008D3BFA">
        <w:rPr>
          <w:rFonts w:ascii="Times New Roman" w:eastAsia="Times New Roman" w:hAnsi="Times New Roman" w:cs="Times New Roman"/>
          <w:sz w:val="26"/>
          <w:szCs w:val="26"/>
        </w:rPr>
        <w:t xml:space="preserve">PGW include </w:t>
      </w:r>
      <w:r w:rsidR="000352D5" w:rsidRPr="008D3BFA">
        <w:rPr>
          <w:rFonts w:ascii="Times New Roman" w:eastAsia="Times New Roman" w:hAnsi="Times New Roman" w:cs="Times New Roman"/>
          <w:b/>
          <w:i/>
          <w:sz w:val="26"/>
          <w:szCs w:val="26"/>
        </w:rPr>
        <w:t>all</w:t>
      </w:r>
      <w:r w:rsidR="000352D5" w:rsidRPr="008D3BFA">
        <w:rPr>
          <w:rFonts w:ascii="Times New Roman" w:eastAsia="Times New Roman" w:hAnsi="Times New Roman" w:cs="Times New Roman"/>
          <w:sz w:val="26"/>
          <w:szCs w:val="26"/>
        </w:rPr>
        <w:t xml:space="preserve"> known low-income customers when determining LIURP eligibility, regardless of enrollment status in CRP</w:t>
      </w:r>
      <w:r w:rsidR="007E7C1E">
        <w:rPr>
          <w:rFonts w:ascii="Times New Roman" w:eastAsia="Times New Roman" w:hAnsi="Times New Roman" w:cs="Times New Roman"/>
          <w:sz w:val="26"/>
          <w:szCs w:val="26"/>
        </w:rPr>
        <w:t>,</w:t>
      </w:r>
      <w:r w:rsidR="000352D5" w:rsidRPr="008D3BFA">
        <w:rPr>
          <w:rFonts w:ascii="Times New Roman" w:eastAsia="Times New Roman" w:hAnsi="Times New Roman" w:cs="Times New Roman"/>
          <w:sz w:val="26"/>
          <w:szCs w:val="26"/>
        </w:rPr>
        <w:t xml:space="preserve"> or request a waiver of Section 58.10 (a)(1) consist with regulations. </w:t>
      </w:r>
    </w:p>
    <w:p w:rsidR="008130B8" w:rsidRDefault="008130B8" w:rsidP="000352D5">
      <w:pPr>
        <w:spacing w:after="0" w:line="360" w:lineRule="auto"/>
        <w:ind w:firstLine="720"/>
        <w:contextualSpacing/>
        <w:rPr>
          <w:rFonts w:ascii="Times New Roman" w:eastAsia="Times New Roman" w:hAnsi="Times New Roman" w:cs="Times New Roman"/>
          <w:sz w:val="26"/>
          <w:szCs w:val="26"/>
        </w:rPr>
      </w:pPr>
    </w:p>
    <w:p w:rsidR="008130B8" w:rsidRPr="008130B8" w:rsidRDefault="008130B8" w:rsidP="008130B8">
      <w:pPr>
        <w:spacing w:after="0" w:line="360" w:lineRule="auto"/>
        <w:ind w:firstLine="720"/>
        <w:contextualSpacing/>
        <w:rPr>
          <w:rFonts w:ascii="Times New Roman" w:eastAsia="Times New Roman" w:hAnsi="Times New Roman" w:cs="Times New Roman"/>
          <w:sz w:val="26"/>
          <w:szCs w:val="26"/>
        </w:rPr>
      </w:pPr>
      <w:r w:rsidRPr="008130B8">
        <w:rPr>
          <w:rFonts w:ascii="Times New Roman" w:eastAsia="Times New Roman" w:hAnsi="Times New Roman" w:cs="Times New Roman"/>
          <w:sz w:val="26"/>
          <w:szCs w:val="26"/>
        </w:rPr>
        <w:t xml:space="preserve">OCA supports the Commission’s recommendation to allow non-CRP participants to be eligible for LIURP and states that using CRP as the only eligibility criterion would miss non-CRP </w:t>
      </w:r>
      <w:r w:rsidR="00A91982">
        <w:rPr>
          <w:rFonts w:ascii="Times New Roman" w:eastAsia="Times New Roman" w:hAnsi="Times New Roman" w:cs="Times New Roman"/>
          <w:sz w:val="26"/>
          <w:szCs w:val="26"/>
        </w:rPr>
        <w:t xml:space="preserve">low-income </w:t>
      </w:r>
      <w:r w:rsidRPr="008130B8">
        <w:rPr>
          <w:rFonts w:ascii="Times New Roman" w:eastAsia="Times New Roman" w:hAnsi="Times New Roman" w:cs="Times New Roman"/>
          <w:sz w:val="26"/>
          <w:szCs w:val="26"/>
        </w:rPr>
        <w:t xml:space="preserve">customers whose consumption would be within the highest 30% of users. </w:t>
      </w:r>
      <w:r w:rsidR="00A91982">
        <w:rPr>
          <w:rFonts w:ascii="Times New Roman" w:eastAsia="Times New Roman" w:hAnsi="Times New Roman" w:cs="Times New Roman"/>
          <w:sz w:val="26"/>
          <w:szCs w:val="26"/>
        </w:rPr>
        <w:t xml:space="preserve"> </w:t>
      </w:r>
      <w:r w:rsidRPr="008130B8">
        <w:rPr>
          <w:rFonts w:ascii="Times New Roman" w:eastAsia="Times New Roman" w:hAnsi="Times New Roman" w:cs="Times New Roman"/>
          <w:sz w:val="26"/>
          <w:szCs w:val="26"/>
        </w:rPr>
        <w:t xml:space="preserve">OCA Comments at 13. </w:t>
      </w:r>
    </w:p>
    <w:p w:rsidR="008130B8" w:rsidRPr="008130B8" w:rsidRDefault="008130B8" w:rsidP="008130B8">
      <w:pPr>
        <w:spacing w:after="0" w:line="360" w:lineRule="auto"/>
        <w:ind w:firstLine="720"/>
        <w:contextualSpacing/>
        <w:rPr>
          <w:rFonts w:ascii="Times New Roman" w:eastAsia="Times New Roman" w:hAnsi="Times New Roman" w:cs="Times New Roman"/>
          <w:sz w:val="26"/>
          <w:szCs w:val="26"/>
        </w:rPr>
      </w:pPr>
    </w:p>
    <w:p w:rsidR="008130B8" w:rsidRPr="008130B8" w:rsidRDefault="008130B8" w:rsidP="008130B8">
      <w:pPr>
        <w:spacing w:after="0" w:line="360" w:lineRule="auto"/>
        <w:ind w:firstLine="720"/>
        <w:contextualSpacing/>
        <w:rPr>
          <w:rFonts w:ascii="Times New Roman" w:eastAsia="Times New Roman" w:hAnsi="Times New Roman" w:cs="Times New Roman"/>
          <w:sz w:val="26"/>
          <w:szCs w:val="26"/>
        </w:rPr>
      </w:pPr>
      <w:r w:rsidRPr="008130B8">
        <w:rPr>
          <w:rFonts w:ascii="Times New Roman" w:eastAsia="Times New Roman" w:hAnsi="Times New Roman" w:cs="Times New Roman"/>
          <w:sz w:val="26"/>
          <w:szCs w:val="26"/>
        </w:rPr>
        <w:t xml:space="preserve">TURN </w:t>
      </w:r>
      <w:r w:rsidRPr="008130B8">
        <w:rPr>
          <w:rFonts w:ascii="Times New Roman" w:eastAsia="Times New Roman" w:hAnsi="Times New Roman" w:cs="Times New Roman"/>
          <w:i/>
          <w:sz w:val="26"/>
          <w:szCs w:val="26"/>
        </w:rPr>
        <w:t>et al</w:t>
      </w:r>
      <w:r w:rsidRPr="008130B8">
        <w:rPr>
          <w:rFonts w:ascii="Times New Roman" w:eastAsia="Times New Roman" w:hAnsi="Times New Roman" w:cs="Times New Roman"/>
          <w:sz w:val="26"/>
          <w:szCs w:val="26"/>
        </w:rPr>
        <w:t xml:space="preserve"> strongly oppose PGW’s stated intention to continue to exclude non-CRP low</w:t>
      </w:r>
      <w:r w:rsidR="00A91982">
        <w:rPr>
          <w:rFonts w:ascii="Times New Roman" w:eastAsia="Times New Roman" w:hAnsi="Times New Roman" w:cs="Times New Roman"/>
          <w:sz w:val="26"/>
          <w:szCs w:val="26"/>
        </w:rPr>
        <w:t>-</w:t>
      </w:r>
      <w:r w:rsidRPr="008130B8">
        <w:rPr>
          <w:rFonts w:ascii="Times New Roman" w:eastAsia="Times New Roman" w:hAnsi="Times New Roman" w:cs="Times New Roman"/>
          <w:sz w:val="26"/>
          <w:szCs w:val="26"/>
        </w:rPr>
        <w:t>income customers from participation in PGW’s LIURP, citing the continued decline in CRP enrollment and that this policy would exclude the majority of PGW’s low</w:t>
      </w:r>
      <w:r w:rsidR="00A91982">
        <w:rPr>
          <w:rFonts w:ascii="Times New Roman" w:eastAsia="Times New Roman" w:hAnsi="Times New Roman" w:cs="Times New Roman"/>
          <w:sz w:val="26"/>
          <w:szCs w:val="26"/>
        </w:rPr>
        <w:t>-</w:t>
      </w:r>
      <w:r w:rsidRPr="008130B8">
        <w:rPr>
          <w:rFonts w:ascii="Times New Roman" w:eastAsia="Times New Roman" w:hAnsi="Times New Roman" w:cs="Times New Roman"/>
          <w:sz w:val="26"/>
          <w:szCs w:val="26"/>
        </w:rPr>
        <w:t xml:space="preserve">income customers. </w:t>
      </w:r>
      <w:r w:rsidR="00A91982">
        <w:rPr>
          <w:rFonts w:ascii="Times New Roman" w:eastAsia="Times New Roman" w:hAnsi="Times New Roman" w:cs="Times New Roman"/>
          <w:sz w:val="26"/>
          <w:szCs w:val="26"/>
        </w:rPr>
        <w:t xml:space="preserve"> </w:t>
      </w:r>
      <w:r w:rsidR="00E42A54" w:rsidRPr="00931762">
        <w:rPr>
          <w:rFonts w:ascii="Times New Roman" w:eastAsia="Times New Roman" w:hAnsi="Times New Roman" w:cs="Times New Roman"/>
          <w:sz w:val="26"/>
          <w:szCs w:val="26"/>
        </w:rPr>
        <w:t>TURN</w:t>
      </w:r>
      <w:r w:rsidR="00E42A54" w:rsidRPr="00E42A54">
        <w:rPr>
          <w:rFonts w:ascii="Times New Roman" w:eastAsia="Times New Roman" w:hAnsi="Times New Roman" w:cs="Times New Roman"/>
          <w:i/>
          <w:sz w:val="26"/>
          <w:szCs w:val="26"/>
        </w:rPr>
        <w:t xml:space="preserve"> et al.</w:t>
      </w:r>
      <w:r w:rsidR="002F186F">
        <w:rPr>
          <w:rFonts w:ascii="Times New Roman" w:eastAsia="Times New Roman" w:hAnsi="Times New Roman" w:cs="Times New Roman"/>
          <w:sz w:val="26"/>
          <w:szCs w:val="26"/>
        </w:rPr>
        <w:t xml:space="preserve"> </w:t>
      </w:r>
      <w:r w:rsidRPr="008130B8">
        <w:rPr>
          <w:rFonts w:ascii="Times New Roman" w:eastAsia="Times New Roman" w:hAnsi="Times New Roman" w:cs="Times New Roman"/>
          <w:sz w:val="26"/>
          <w:szCs w:val="26"/>
        </w:rPr>
        <w:t>Comments at 21.</w:t>
      </w:r>
    </w:p>
    <w:p w:rsidR="008130B8" w:rsidRPr="008130B8" w:rsidRDefault="008130B8" w:rsidP="008130B8">
      <w:pPr>
        <w:spacing w:after="0" w:line="360" w:lineRule="auto"/>
        <w:ind w:firstLine="720"/>
        <w:contextualSpacing/>
        <w:rPr>
          <w:rFonts w:ascii="Times New Roman" w:eastAsia="Times New Roman" w:hAnsi="Times New Roman" w:cs="Times New Roman"/>
          <w:sz w:val="26"/>
          <w:szCs w:val="26"/>
        </w:rPr>
      </w:pPr>
    </w:p>
    <w:p w:rsidR="008130B8" w:rsidRPr="008130B8" w:rsidRDefault="008130B8" w:rsidP="008130B8">
      <w:pPr>
        <w:spacing w:after="0" w:line="360" w:lineRule="auto"/>
        <w:ind w:firstLine="720"/>
        <w:contextualSpacing/>
        <w:rPr>
          <w:rFonts w:ascii="Times New Roman" w:eastAsia="Times New Roman" w:hAnsi="Times New Roman" w:cs="Times New Roman"/>
          <w:sz w:val="26"/>
          <w:szCs w:val="26"/>
        </w:rPr>
      </w:pPr>
      <w:r w:rsidRPr="008130B8">
        <w:rPr>
          <w:rFonts w:ascii="Times New Roman" w:eastAsia="Times New Roman" w:hAnsi="Times New Roman" w:cs="Times New Roman"/>
          <w:sz w:val="26"/>
          <w:szCs w:val="26"/>
        </w:rPr>
        <w:t xml:space="preserve">CAUSE-PA supports the Commission’s requirement that PGW expand </w:t>
      </w:r>
      <w:r w:rsidR="00C13F06">
        <w:rPr>
          <w:rFonts w:ascii="Times New Roman" w:eastAsia="Times New Roman" w:hAnsi="Times New Roman" w:cs="Times New Roman"/>
          <w:sz w:val="26"/>
          <w:szCs w:val="26"/>
        </w:rPr>
        <w:t xml:space="preserve">LIURP </w:t>
      </w:r>
      <w:r w:rsidRPr="008130B8">
        <w:rPr>
          <w:rFonts w:ascii="Times New Roman" w:eastAsia="Times New Roman" w:hAnsi="Times New Roman" w:cs="Times New Roman"/>
          <w:sz w:val="26"/>
          <w:szCs w:val="26"/>
        </w:rPr>
        <w:t xml:space="preserve">eligibility to non-CRP customers and states that LIURP services should be provided to eligible customers in need of usage reduction without discrimination based on CRP enrollment status.  CAUSE-PA notes that while reductions in CRP costs as a result of LIURP are beneficial, that </w:t>
      </w:r>
      <w:r w:rsidR="00A91982">
        <w:rPr>
          <w:rFonts w:ascii="Times New Roman" w:eastAsia="Times New Roman" w:hAnsi="Times New Roman" w:cs="Times New Roman"/>
          <w:sz w:val="26"/>
          <w:szCs w:val="26"/>
        </w:rPr>
        <w:t xml:space="preserve">focus </w:t>
      </w:r>
      <w:r w:rsidRPr="008130B8">
        <w:rPr>
          <w:rFonts w:ascii="Times New Roman" w:eastAsia="Times New Roman" w:hAnsi="Times New Roman" w:cs="Times New Roman"/>
          <w:sz w:val="26"/>
          <w:szCs w:val="26"/>
        </w:rPr>
        <w:t xml:space="preserve">should not drive the decision to exclude non-CRP </w:t>
      </w:r>
      <w:r w:rsidR="00C13F06">
        <w:rPr>
          <w:rFonts w:ascii="Times New Roman" w:eastAsia="Times New Roman" w:hAnsi="Times New Roman" w:cs="Times New Roman"/>
          <w:sz w:val="26"/>
          <w:szCs w:val="26"/>
        </w:rPr>
        <w:t xml:space="preserve">low-income </w:t>
      </w:r>
      <w:r w:rsidRPr="008130B8">
        <w:rPr>
          <w:rFonts w:ascii="Times New Roman" w:eastAsia="Times New Roman" w:hAnsi="Times New Roman" w:cs="Times New Roman"/>
          <w:sz w:val="26"/>
          <w:szCs w:val="26"/>
        </w:rPr>
        <w:t xml:space="preserve">customers from LIURP. </w:t>
      </w:r>
      <w:r w:rsidR="00A91982">
        <w:rPr>
          <w:rFonts w:ascii="Times New Roman" w:eastAsia="Times New Roman" w:hAnsi="Times New Roman" w:cs="Times New Roman"/>
          <w:sz w:val="26"/>
          <w:szCs w:val="26"/>
        </w:rPr>
        <w:t xml:space="preserve"> </w:t>
      </w:r>
      <w:r w:rsidRPr="008130B8">
        <w:rPr>
          <w:rFonts w:ascii="Times New Roman" w:eastAsia="Times New Roman" w:hAnsi="Times New Roman" w:cs="Times New Roman"/>
          <w:sz w:val="26"/>
          <w:szCs w:val="26"/>
        </w:rPr>
        <w:t xml:space="preserve">CAUSE-PA further states that PGW should encourage non-CRP </w:t>
      </w:r>
      <w:r w:rsidR="00A91982">
        <w:rPr>
          <w:rFonts w:ascii="Times New Roman" w:eastAsia="Times New Roman" w:hAnsi="Times New Roman" w:cs="Times New Roman"/>
          <w:sz w:val="26"/>
          <w:szCs w:val="26"/>
        </w:rPr>
        <w:t xml:space="preserve">low-income </w:t>
      </w:r>
      <w:r w:rsidRPr="008130B8">
        <w:rPr>
          <w:rFonts w:ascii="Times New Roman" w:eastAsia="Times New Roman" w:hAnsi="Times New Roman" w:cs="Times New Roman"/>
          <w:sz w:val="26"/>
          <w:szCs w:val="26"/>
        </w:rPr>
        <w:t xml:space="preserve">customers to participate in LIURP and possibly enroll in CRP and </w:t>
      </w:r>
      <w:r w:rsidRPr="008130B8">
        <w:rPr>
          <w:rFonts w:ascii="Times New Roman" w:eastAsia="Times New Roman" w:hAnsi="Times New Roman" w:cs="Times New Roman"/>
          <w:sz w:val="26"/>
          <w:szCs w:val="26"/>
        </w:rPr>
        <w:lastRenderedPageBreak/>
        <w:t>that since the non-CRP customers finance the LIURP program, they should be allowed to participate if otherwise eligible.</w:t>
      </w:r>
      <w:r w:rsidR="00A91982">
        <w:rPr>
          <w:rFonts w:ascii="Times New Roman" w:eastAsia="Times New Roman" w:hAnsi="Times New Roman" w:cs="Times New Roman"/>
          <w:sz w:val="26"/>
          <w:szCs w:val="26"/>
        </w:rPr>
        <w:t xml:space="preserve"> </w:t>
      </w:r>
      <w:r w:rsidRPr="008130B8">
        <w:rPr>
          <w:rFonts w:ascii="Times New Roman" w:eastAsia="Times New Roman" w:hAnsi="Times New Roman" w:cs="Times New Roman"/>
          <w:sz w:val="26"/>
          <w:szCs w:val="26"/>
        </w:rPr>
        <w:t xml:space="preserve"> </w:t>
      </w:r>
      <w:r w:rsidR="00E763D5">
        <w:rPr>
          <w:rFonts w:ascii="Times New Roman" w:eastAsia="Times New Roman" w:hAnsi="Times New Roman" w:cs="Times New Roman"/>
          <w:sz w:val="26"/>
          <w:szCs w:val="26"/>
        </w:rPr>
        <w:t xml:space="preserve">CAUSE-PA </w:t>
      </w:r>
      <w:r w:rsidRPr="008130B8">
        <w:rPr>
          <w:rFonts w:ascii="Times New Roman" w:eastAsia="Times New Roman" w:hAnsi="Times New Roman" w:cs="Times New Roman"/>
          <w:sz w:val="26"/>
          <w:szCs w:val="26"/>
        </w:rPr>
        <w:t>Comments at 36-37.</w:t>
      </w:r>
    </w:p>
    <w:p w:rsidR="008130B8" w:rsidRPr="008130B8" w:rsidRDefault="008130B8" w:rsidP="008130B8">
      <w:pPr>
        <w:spacing w:after="0" w:line="360" w:lineRule="auto"/>
        <w:ind w:firstLine="720"/>
        <w:contextualSpacing/>
        <w:rPr>
          <w:rFonts w:ascii="Times New Roman" w:eastAsia="Times New Roman" w:hAnsi="Times New Roman" w:cs="Times New Roman"/>
          <w:sz w:val="26"/>
          <w:szCs w:val="26"/>
        </w:rPr>
      </w:pPr>
    </w:p>
    <w:p w:rsidR="008130B8" w:rsidRPr="008130B8" w:rsidRDefault="008130B8" w:rsidP="008130B8">
      <w:pPr>
        <w:spacing w:after="0" w:line="360" w:lineRule="auto"/>
        <w:ind w:firstLine="720"/>
        <w:contextualSpacing/>
        <w:rPr>
          <w:rFonts w:ascii="Times New Roman" w:eastAsia="Times New Roman" w:hAnsi="Times New Roman" w:cs="Times New Roman"/>
          <w:sz w:val="26"/>
          <w:szCs w:val="26"/>
        </w:rPr>
      </w:pPr>
      <w:r w:rsidRPr="008130B8">
        <w:rPr>
          <w:rFonts w:ascii="Times New Roman" w:eastAsia="Times New Roman" w:hAnsi="Times New Roman" w:cs="Times New Roman"/>
          <w:sz w:val="26"/>
          <w:szCs w:val="26"/>
        </w:rPr>
        <w:t xml:space="preserve">PGW continues to </w:t>
      </w:r>
      <w:r w:rsidR="00A91982">
        <w:rPr>
          <w:rFonts w:ascii="Times New Roman" w:eastAsia="Times New Roman" w:hAnsi="Times New Roman" w:cs="Times New Roman"/>
          <w:sz w:val="26"/>
          <w:szCs w:val="26"/>
        </w:rPr>
        <w:t xml:space="preserve">assert </w:t>
      </w:r>
      <w:r w:rsidRPr="008130B8">
        <w:rPr>
          <w:rFonts w:ascii="Times New Roman" w:eastAsia="Times New Roman" w:hAnsi="Times New Roman" w:cs="Times New Roman"/>
          <w:sz w:val="26"/>
          <w:szCs w:val="26"/>
        </w:rPr>
        <w:t>that non-CRP customers should not be eligible for LIURP</w:t>
      </w:r>
      <w:r w:rsidR="00A91982">
        <w:rPr>
          <w:rFonts w:ascii="Times New Roman" w:eastAsia="Times New Roman" w:hAnsi="Times New Roman" w:cs="Times New Roman"/>
          <w:sz w:val="26"/>
          <w:szCs w:val="26"/>
        </w:rPr>
        <w:t xml:space="preserve">. </w:t>
      </w:r>
      <w:r w:rsidRPr="008130B8">
        <w:rPr>
          <w:rFonts w:ascii="Times New Roman" w:eastAsia="Times New Roman" w:hAnsi="Times New Roman" w:cs="Times New Roman"/>
          <w:sz w:val="26"/>
          <w:szCs w:val="26"/>
        </w:rPr>
        <w:t xml:space="preserve"> </w:t>
      </w:r>
      <w:r w:rsidR="00A91982">
        <w:rPr>
          <w:rFonts w:ascii="Times New Roman" w:eastAsia="Times New Roman" w:hAnsi="Times New Roman" w:cs="Times New Roman"/>
          <w:sz w:val="26"/>
          <w:szCs w:val="26"/>
        </w:rPr>
        <w:t xml:space="preserve">PGW </w:t>
      </w:r>
      <w:r w:rsidRPr="008130B8">
        <w:rPr>
          <w:rFonts w:ascii="Times New Roman" w:eastAsia="Times New Roman" w:hAnsi="Times New Roman" w:cs="Times New Roman"/>
          <w:sz w:val="26"/>
          <w:szCs w:val="26"/>
        </w:rPr>
        <w:t xml:space="preserve">cites as </w:t>
      </w:r>
      <w:r w:rsidR="00A91982">
        <w:rPr>
          <w:rFonts w:ascii="Times New Roman" w:eastAsia="Times New Roman" w:hAnsi="Times New Roman" w:cs="Times New Roman"/>
          <w:sz w:val="26"/>
          <w:szCs w:val="26"/>
        </w:rPr>
        <w:t xml:space="preserve">its </w:t>
      </w:r>
      <w:r w:rsidRPr="008130B8">
        <w:rPr>
          <w:rFonts w:ascii="Times New Roman" w:eastAsia="Times New Roman" w:hAnsi="Times New Roman" w:cs="Times New Roman"/>
          <w:sz w:val="26"/>
          <w:szCs w:val="26"/>
        </w:rPr>
        <w:t xml:space="preserve">primary reason the DSM </w:t>
      </w:r>
      <w:r w:rsidR="00822DF4">
        <w:rPr>
          <w:rFonts w:ascii="Times New Roman" w:eastAsia="Times New Roman" w:hAnsi="Times New Roman" w:cs="Times New Roman"/>
          <w:sz w:val="26"/>
          <w:szCs w:val="26"/>
        </w:rPr>
        <w:t xml:space="preserve">II </w:t>
      </w:r>
      <w:r w:rsidR="009B0F2C">
        <w:rPr>
          <w:rFonts w:ascii="Times New Roman" w:eastAsia="Times New Roman" w:hAnsi="Times New Roman" w:cs="Times New Roman"/>
          <w:sz w:val="26"/>
          <w:szCs w:val="26"/>
        </w:rPr>
        <w:t>Final</w:t>
      </w:r>
      <w:r w:rsidRPr="008130B8">
        <w:rPr>
          <w:rFonts w:ascii="Times New Roman" w:eastAsia="Times New Roman" w:hAnsi="Times New Roman" w:cs="Times New Roman"/>
          <w:sz w:val="26"/>
          <w:szCs w:val="26"/>
        </w:rPr>
        <w:t xml:space="preserve"> Order</w:t>
      </w:r>
      <w:r w:rsidRPr="008130B8">
        <w:rPr>
          <w:rFonts w:ascii="Times New Roman" w:eastAsia="Times New Roman" w:hAnsi="Times New Roman" w:cs="Times New Roman"/>
          <w:sz w:val="26"/>
          <w:szCs w:val="26"/>
          <w:vertAlign w:val="superscript"/>
        </w:rPr>
        <w:footnoteReference w:id="28"/>
      </w:r>
      <w:r w:rsidRPr="008130B8">
        <w:rPr>
          <w:rFonts w:ascii="Times New Roman" w:eastAsia="Times New Roman" w:hAnsi="Times New Roman" w:cs="Times New Roman"/>
          <w:sz w:val="26"/>
          <w:szCs w:val="26"/>
        </w:rPr>
        <w:t xml:space="preserve"> where the Commission approved limiting LIURP </w:t>
      </w:r>
      <w:r w:rsidR="009B0F2C">
        <w:rPr>
          <w:rFonts w:ascii="Times New Roman" w:eastAsia="Times New Roman" w:hAnsi="Times New Roman" w:cs="Times New Roman"/>
          <w:sz w:val="26"/>
          <w:szCs w:val="26"/>
        </w:rPr>
        <w:t xml:space="preserve">eligibility and </w:t>
      </w:r>
      <w:r w:rsidRPr="008130B8">
        <w:rPr>
          <w:rFonts w:ascii="Times New Roman" w:eastAsia="Times New Roman" w:hAnsi="Times New Roman" w:cs="Times New Roman"/>
          <w:sz w:val="26"/>
          <w:szCs w:val="26"/>
        </w:rPr>
        <w:t xml:space="preserve">participation to </w:t>
      </w:r>
      <w:r w:rsidR="009B0F2C">
        <w:rPr>
          <w:rFonts w:ascii="Times New Roman" w:eastAsia="Times New Roman" w:hAnsi="Times New Roman" w:cs="Times New Roman"/>
          <w:sz w:val="26"/>
          <w:szCs w:val="26"/>
        </w:rPr>
        <w:t xml:space="preserve">only </w:t>
      </w:r>
      <w:r w:rsidRPr="008130B8">
        <w:rPr>
          <w:rFonts w:ascii="Times New Roman" w:eastAsia="Times New Roman" w:hAnsi="Times New Roman" w:cs="Times New Roman"/>
          <w:sz w:val="26"/>
          <w:szCs w:val="26"/>
        </w:rPr>
        <w:t xml:space="preserve">CRP customers. </w:t>
      </w:r>
      <w:r w:rsidR="00822DF4">
        <w:rPr>
          <w:rFonts w:ascii="Times New Roman" w:eastAsia="Times New Roman" w:hAnsi="Times New Roman" w:cs="Times New Roman"/>
          <w:sz w:val="26"/>
          <w:szCs w:val="26"/>
        </w:rPr>
        <w:t xml:space="preserve"> </w:t>
      </w:r>
      <w:r w:rsidRPr="008130B8">
        <w:rPr>
          <w:rFonts w:ascii="Times New Roman" w:eastAsia="Times New Roman" w:hAnsi="Times New Roman" w:cs="Times New Roman"/>
          <w:sz w:val="26"/>
          <w:szCs w:val="26"/>
        </w:rPr>
        <w:t>PGW Supplemental Information at 34-35.</w:t>
      </w:r>
      <w:r w:rsidR="00822DF4">
        <w:rPr>
          <w:rFonts w:ascii="Times New Roman" w:eastAsia="Times New Roman" w:hAnsi="Times New Roman" w:cs="Times New Roman"/>
          <w:sz w:val="26"/>
          <w:szCs w:val="26"/>
        </w:rPr>
        <w:t xml:space="preserve"> </w:t>
      </w:r>
      <w:r w:rsidRPr="008130B8">
        <w:rPr>
          <w:rFonts w:ascii="Times New Roman" w:eastAsia="Times New Roman" w:hAnsi="Times New Roman" w:cs="Times New Roman"/>
          <w:sz w:val="26"/>
          <w:szCs w:val="26"/>
        </w:rPr>
        <w:t xml:space="preserve"> PGW further argues that adding non-CRP customers to the eligibility would increase administration complexity and costs, would require revisions to the existing screening process and protocols, </w:t>
      </w:r>
      <w:r w:rsidR="00822DF4">
        <w:rPr>
          <w:rFonts w:ascii="Times New Roman" w:eastAsia="Times New Roman" w:hAnsi="Times New Roman" w:cs="Times New Roman"/>
          <w:sz w:val="26"/>
          <w:szCs w:val="26"/>
        </w:rPr>
        <w:t xml:space="preserve">and </w:t>
      </w:r>
      <w:r w:rsidRPr="008130B8">
        <w:rPr>
          <w:rFonts w:ascii="Times New Roman" w:eastAsia="Times New Roman" w:hAnsi="Times New Roman" w:cs="Times New Roman"/>
          <w:sz w:val="26"/>
          <w:szCs w:val="26"/>
        </w:rPr>
        <w:t>would erode benefits received by non-CRP customers due to reduced subsides</w:t>
      </w:r>
      <w:r w:rsidR="00822DF4">
        <w:rPr>
          <w:rFonts w:ascii="Times New Roman" w:eastAsia="Times New Roman" w:hAnsi="Times New Roman" w:cs="Times New Roman"/>
          <w:sz w:val="26"/>
          <w:szCs w:val="26"/>
        </w:rPr>
        <w:t>.  PGW also asserts</w:t>
      </w:r>
      <w:r w:rsidRPr="008130B8">
        <w:rPr>
          <w:rFonts w:ascii="Times New Roman" w:eastAsia="Times New Roman" w:hAnsi="Times New Roman" w:cs="Times New Roman"/>
          <w:sz w:val="26"/>
          <w:szCs w:val="26"/>
        </w:rPr>
        <w:t xml:space="preserve"> that there are sufficient numbers of high use CRP customers available.  </w:t>
      </w:r>
      <w:r w:rsidR="00E763D5">
        <w:rPr>
          <w:rFonts w:ascii="Times New Roman" w:eastAsia="Times New Roman" w:hAnsi="Times New Roman" w:cs="Times New Roman"/>
          <w:sz w:val="26"/>
          <w:szCs w:val="26"/>
        </w:rPr>
        <w:t xml:space="preserve">PGW </w:t>
      </w:r>
      <w:r w:rsidRPr="008130B8">
        <w:rPr>
          <w:rFonts w:ascii="Times New Roman" w:eastAsia="Times New Roman" w:hAnsi="Times New Roman" w:cs="Times New Roman"/>
          <w:sz w:val="26"/>
          <w:szCs w:val="26"/>
        </w:rPr>
        <w:t>Supplemental Info</w:t>
      </w:r>
      <w:r w:rsidR="009B0F2C">
        <w:rPr>
          <w:rFonts w:ascii="Times New Roman" w:eastAsia="Times New Roman" w:hAnsi="Times New Roman" w:cs="Times New Roman"/>
          <w:sz w:val="26"/>
          <w:szCs w:val="26"/>
        </w:rPr>
        <w:t>r</w:t>
      </w:r>
      <w:r w:rsidR="00153A53">
        <w:rPr>
          <w:rFonts w:ascii="Times New Roman" w:eastAsia="Times New Roman" w:hAnsi="Times New Roman" w:cs="Times New Roman"/>
          <w:sz w:val="26"/>
          <w:szCs w:val="26"/>
        </w:rPr>
        <w:t>mation</w:t>
      </w:r>
      <w:r w:rsidRPr="008130B8">
        <w:rPr>
          <w:rFonts w:ascii="Times New Roman" w:eastAsia="Times New Roman" w:hAnsi="Times New Roman" w:cs="Times New Roman"/>
          <w:sz w:val="26"/>
          <w:szCs w:val="26"/>
        </w:rPr>
        <w:t xml:space="preserve"> at 35. </w:t>
      </w:r>
    </w:p>
    <w:p w:rsidR="008130B8" w:rsidRPr="008130B8" w:rsidRDefault="008130B8" w:rsidP="008130B8">
      <w:pPr>
        <w:spacing w:after="0" w:line="360" w:lineRule="auto"/>
        <w:ind w:firstLine="720"/>
        <w:contextualSpacing/>
        <w:rPr>
          <w:rFonts w:ascii="Times New Roman" w:eastAsia="Times New Roman" w:hAnsi="Times New Roman" w:cs="Times New Roman"/>
          <w:sz w:val="26"/>
          <w:szCs w:val="26"/>
        </w:rPr>
      </w:pPr>
    </w:p>
    <w:p w:rsidR="008130B8" w:rsidRPr="008130B8" w:rsidRDefault="008130B8" w:rsidP="008130B8">
      <w:pPr>
        <w:spacing w:after="0" w:line="360" w:lineRule="auto"/>
        <w:ind w:firstLine="720"/>
        <w:contextualSpacing/>
        <w:rPr>
          <w:rFonts w:ascii="Times New Roman" w:eastAsia="Times New Roman" w:hAnsi="Times New Roman" w:cs="Times New Roman"/>
          <w:sz w:val="26"/>
          <w:szCs w:val="26"/>
        </w:rPr>
      </w:pPr>
      <w:r w:rsidRPr="008130B8">
        <w:rPr>
          <w:rFonts w:ascii="Times New Roman" w:eastAsia="Times New Roman" w:hAnsi="Times New Roman" w:cs="Times New Roman"/>
          <w:sz w:val="26"/>
          <w:szCs w:val="26"/>
        </w:rPr>
        <w:t>PGW requests a waiver of Section 58.10(a)(1) so it can continue to set eligibility criteria for LIURP based on participation in CRP and notes that past USECPs did not require such a waiver.  PGW further points out</w:t>
      </w:r>
      <w:r w:rsidR="009B0F2C">
        <w:rPr>
          <w:rFonts w:ascii="Times New Roman" w:eastAsia="Times New Roman" w:hAnsi="Times New Roman" w:cs="Times New Roman"/>
          <w:sz w:val="26"/>
          <w:szCs w:val="26"/>
        </w:rPr>
        <w:t>,</w:t>
      </w:r>
      <w:r w:rsidRPr="008130B8">
        <w:rPr>
          <w:rFonts w:ascii="Times New Roman" w:eastAsia="Times New Roman" w:hAnsi="Times New Roman" w:cs="Times New Roman"/>
          <w:sz w:val="26"/>
          <w:szCs w:val="26"/>
        </w:rPr>
        <w:t xml:space="preserve"> that the financial composition of its service territory should warrant a special circumstance under Section 58.18. </w:t>
      </w:r>
      <w:r w:rsidR="00822DF4">
        <w:rPr>
          <w:rFonts w:ascii="Times New Roman" w:eastAsia="Times New Roman" w:hAnsi="Times New Roman" w:cs="Times New Roman"/>
          <w:sz w:val="26"/>
          <w:szCs w:val="26"/>
        </w:rPr>
        <w:t xml:space="preserve"> Supplemental Information a</w:t>
      </w:r>
      <w:r w:rsidRPr="008130B8">
        <w:rPr>
          <w:rFonts w:ascii="Times New Roman" w:eastAsia="Times New Roman" w:hAnsi="Times New Roman" w:cs="Times New Roman"/>
          <w:sz w:val="26"/>
          <w:szCs w:val="26"/>
        </w:rPr>
        <w:t>t 36.</w:t>
      </w:r>
    </w:p>
    <w:p w:rsidR="008130B8" w:rsidRPr="008130B8" w:rsidRDefault="008130B8" w:rsidP="008130B8">
      <w:pPr>
        <w:spacing w:after="0" w:line="360" w:lineRule="auto"/>
        <w:ind w:firstLine="720"/>
        <w:contextualSpacing/>
        <w:rPr>
          <w:rFonts w:ascii="Times New Roman" w:eastAsia="Times New Roman" w:hAnsi="Times New Roman" w:cs="Times New Roman"/>
          <w:sz w:val="26"/>
          <w:szCs w:val="26"/>
        </w:rPr>
      </w:pPr>
    </w:p>
    <w:p w:rsidR="008130B8" w:rsidRPr="008130B8" w:rsidRDefault="008130B8" w:rsidP="008130B8">
      <w:pPr>
        <w:spacing w:after="0" w:line="360" w:lineRule="auto"/>
        <w:ind w:firstLine="720"/>
        <w:contextualSpacing/>
        <w:rPr>
          <w:rFonts w:ascii="Times New Roman" w:eastAsia="Times New Roman" w:hAnsi="Times New Roman" w:cs="Times New Roman"/>
          <w:sz w:val="26"/>
          <w:szCs w:val="26"/>
        </w:rPr>
      </w:pPr>
      <w:r w:rsidRPr="008130B8">
        <w:rPr>
          <w:rFonts w:ascii="Times New Roman" w:eastAsia="Times New Roman" w:hAnsi="Times New Roman" w:cs="Times New Roman"/>
          <w:sz w:val="26"/>
          <w:szCs w:val="26"/>
        </w:rPr>
        <w:t xml:space="preserve">PGW states that if the Commission requires the inclusion of non-CRP customers into the pool of potentially eligible customers, PGW wants recovery of any additional LIURP costs in its USC surcharge.  PGW suggests that including current LIHEAP recipients, who already have income verification, is one possible way to avoid costs related to the income verification of non-CRP customers. </w:t>
      </w:r>
      <w:r w:rsidR="00153A53">
        <w:rPr>
          <w:rFonts w:ascii="Times New Roman" w:eastAsia="Times New Roman" w:hAnsi="Times New Roman" w:cs="Times New Roman"/>
          <w:sz w:val="26"/>
          <w:szCs w:val="26"/>
        </w:rPr>
        <w:t xml:space="preserve"> PGW </w:t>
      </w:r>
      <w:r w:rsidRPr="008130B8">
        <w:rPr>
          <w:rFonts w:ascii="Times New Roman" w:eastAsia="Times New Roman" w:hAnsi="Times New Roman" w:cs="Times New Roman"/>
          <w:sz w:val="26"/>
          <w:szCs w:val="26"/>
        </w:rPr>
        <w:t>Supplemental Info</w:t>
      </w:r>
      <w:r w:rsidR="009B0F2C">
        <w:rPr>
          <w:rFonts w:ascii="Times New Roman" w:eastAsia="Times New Roman" w:hAnsi="Times New Roman" w:cs="Times New Roman"/>
          <w:sz w:val="26"/>
          <w:szCs w:val="26"/>
        </w:rPr>
        <w:t>r</w:t>
      </w:r>
      <w:r w:rsidR="00153A53">
        <w:rPr>
          <w:rFonts w:ascii="Times New Roman" w:eastAsia="Times New Roman" w:hAnsi="Times New Roman" w:cs="Times New Roman"/>
          <w:sz w:val="26"/>
          <w:szCs w:val="26"/>
        </w:rPr>
        <w:t xml:space="preserve">mation </w:t>
      </w:r>
      <w:r w:rsidRPr="008130B8">
        <w:rPr>
          <w:rFonts w:ascii="Times New Roman" w:eastAsia="Times New Roman" w:hAnsi="Times New Roman" w:cs="Times New Roman"/>
          <w:sz w:val="26"/>
          <w:szCs w:val="26"/>
        </w:rPr>
        <w:t>at 37.</w:t>
      </w:r>
    </w:p>
    <w:p w:rsidR="008130B8" w:rsidRPr="008130B8" w:rsidRDefault="008130B8" w:rsidP="008130B8">
      <w:pPr>
        <w:spacing w:after="0" w:line="360" w:lineRule="auto"/>
        <w:ind w:firstLine="720"/>
        <w:contextualSpacing/>
        <w:rPr>
          <w:rFonts w:ascii="Times New Roman" w:eastAsia="Times New Roman" w:hAnsi="Times New Roman" w:cs="Times New Roman"/>
          <w:sz w:val="26"/>
          <w:szCs w:val="26"/>
        </w:rPr>
      </w:pPr>
    </w:p>
    <w:p w:rsidR="008130B8" w:rsidRPr="008130B8" w:rsidRDefault="008130B8" w:rsidP="008130B8">
      <w:pPr>
        <w:spacing w:after="0" w:line="360" w:lineRule="auto"/>
        <w:ind w:firstLine="720"/>
        <w:contextualSpacing/>
        <w:rPr>
          <w:rFonts w:ascii="Times New Roman" w:eastAsia="Times New Roman" w:hAnsi="Times New Roman" w:cs="Times New Roman"/>
          <w:sz w:val="26"/>
          <w:szCs w:val="26"/>
        </w:rPr>
      </w:pPr>
      <w:r w:rsidRPr="008130B8">
        <w:rPr>
          <w:rFonts w:ascii="Times New Roman" w:eastAsia="Times New Roman" w:hAnsi="Times New Roman" w:cs="Times New Roman"/>
          <w:sz w:val="26"/>
          <w:szCs w:val="26"/>
        </w:rPr>
        <w:t xml:space="preserve">In it Reply Comments, PGW reiterates its position that non-CRP customers should be excluded from LIURP participation but then requests that, if the Commission is going to require inclusion, that PGW only be required to include non-CRP, LIHEAP recipients. PGW argues that this accommodation will ease some of the administrative complexity and cost. </w:t>
      </w:r>
      <w:r w:rsidR="00D01F4C">
        <w:rPr>
          <w:rFonts w:ascii="Times New Roman" w:eastAsia="Times New Roman" w:hAnsi="Times New Roman" w:cs="Times New Roman"/>
          <w:sz w:val="26"/>
          <w:szCs w:val="26"/>
        </w:rPr>
        <w:t xml:space="preserve"> </w:t>
      </w:r>
      <w:r w:rsidRPr="008130B8">
        <w:rPr>
          <w:rFonts w:ascii="Times New Roman" w:eastAsia="Times New Roman" w:hAnsi="Times New Roman" w:cs="Times New Roman"/>
          <w:sz w:val="26"/>
          <w:szCs w:val="26"/>
        </w:rPr>
        <w:t>PGW Reply Comments at 7.</w:t>
      </w:r>
    </w:p>
    <w:p w:rsidR="008130B8" w:rsidRPr="008130B8" w:rsidRDefault="008130B8" w:rsidP="008130B8">
      <w:pPr>
        <w:spacing w:after="0" w:line="360" w:lineRule="auto"/>
        <w:contextualSpacing/>
        <w:rPr>
          <w:rFonts w:ascii="Times New Roman" w:eastAsia="Times New Roman" w:hAnsi="Times New Roman" w:cs="Times New Roman"/>
          <w:sz w:val="26"/>
          <w:szCs w:val="26"/>
        </w:rPr>
      </w:pPr>
    </w:p>
    <w:p w:rsidR="00D01F4C" w:rsidRDefault="008130B8" w:rsidP="008130B8">
      <w:pPr>
        <w:spacing w:after="0" w:line="360" w:lineRule="auto"/>
        <w:contextualSpacing/>
        <w:rPr>
          <w:rFonts w:ascii="Times New Roman" w:eastAsia="Times New Roman" w:hAnsi="Times New Roman" w:cs="Times New Roman"/>
          <w:sz w:val="26"/>
          <w:szCs w:val="26"/>
        </w:rPr>
      </w:pPr>
      <w:r w:rsidRPr="008130B8">
        <w:rPr>
          <w:rFonts w:ascii="Times New Roman" w:eastAsia="Times New Roman" w:hAnsi="Times New Roman" w:cs="Times New Roman"/>
          <w:i/>
          <w:sz w:val="26"/>
          <w:szCs w:val="26"/>
        </w:rPr>
        <w:t>Resolution</w:t>
      </w:r>
      <w:r w:rsidRPr="008130B8">
        <w:rPr>
          <w:rFonts w:ascii="Times New Roman" w:eastAsia="Times New Roman" w:hAnsi="Times New Roman" w:cs="Times New Roman"/>
          <w:sz w:val="26"/>
          <w:szCs w:val="26"/>
        </w:rPr>
        <w:t xml:space="preserve">:  We are </w:t>
      </w:r>
      <w:r w:rsidR="00FF6981">
        <w:rPr>
          <w:rFonts w:ascii="Times New Roman" w:eastAsia="Times New Roman" w:hAnsi="Times New Roman" w:cs="Times New Roman"/>
          <w:sz w:val="26"/>
          <w:szCs w:val="26"/>
        </w:rPr>
        <w:t>not persuaded by PGW’s protests</w:t>
      </w:r>
      <w:r w:rsidRPr="008130B8">
        <w:rPr>
          <w:rFonts w:ascii="Times New Roman" w:eastAsia="Times New Roman" w:hAnsi="Times New Roman" w:cs="Times New Roman"/>
          <w:sz w:val="26"/>
          <w:szCs w:val="26"/>
        </w:rPr>
        <w:t xml:space="preserve"> that there is sufficient reason to </w:t>
      </w:r>
      <w:r w:rsidR="00B6049F">
        <w:rPr>
          <w:rFonts w:ascii="Times New Roman" w:eastAsia="Times New Roman" w:hAnsi="Times New Roman" w:cs="Times New Roman"/>
          <w:sz w:val="26"/>
          <w:szCs w:val="26"/>
        </w:rPr>
        <w:t xml:space="preserve">allow </w:t>
      </w:r>
      <w:r w:rsidR="00417A36">
        <w:rPr>
          <w:rFonts w:ascii="Times New Roman" w:eastAsia="Times New Roman" w:hAnsi="Times New Roman" w:cs="Times New Roman"/>
          <w:sz w:val="26"/>
          <w:szCs w:val="26"/>
        </w:rPr>
        <w:t>the CRP Home Comfort program</w:t>
      </w:r>
      <w:r w:rsidR="00B6049F">
        <w:rPr>
          <w:rFonts w:ascii="Times New Roman" w:eastAsia="Times New Roman" w:hAnsi="Times New Roman" w:cs="Times New Roman"/>
          <w:sz w:val="26"/>
          <w:szCs w:val="26"/>
        </w:rPr>
        <w:t xml:space="preserve"> to continue to operate in conflict with existing LIURP regulations, by </w:t>
      </w:r>
      <w:r w:rsidRPr="008130B8">
        <w:rPr>
          <w:rFonts w:ascii="Times New Roman" w:eastAsia="Times New Roman" w:hAnsi="Times New Roman" w:cs="Times New Roman"/>
          <w:sz w:val="26"/>
          <w:szCs w:val="26"/>
        </w:rPr>
        <w:t>exclud</w:t>
      </w:r>
      <w:r w:rsidR="00B6049F">
        <w:rPr>
          <w:rFonts w:ascii="Times New Roman" w:eastAsia="Times New Roman" w:hAnsi="Times New Roman" w:cs="Times New Roman"/>
          <w:sz w:val="26"/>
          <w:szCs w:val="26"/>
        </w:rPr>
        <w:t>ing</w:t>
      </w:r>
      <w:r w:rsidRPr="008130B8">
        <w:rPr>
          <w:rFonts w:ascii="Times New Roman" w:eastAsia="Times New Roman" w:hAnsi="Times New Roman" w:cs="Times New Roman"/>
          <w:sz w:val="26"/>
          <w:szCs w:val="26"/>
        </w:rPr>
        <w:t xml:space="preserve"> non-CRP customers from LIURP eligibility.  </w:t>
      </w:r>
    </w:p>
    <w:p w:rsidR="00D01F4C" w:rsidRDefault="00D01F4C" w:rsidP="008130B8">
      <w:pPr>
        <w:spacing w:after="0" w:line="360" w:lineRule="auto"/>
        <w:contextualSpacing/>
        <w:rPr>
          <w:rFonts w:ascii="Times New Roman" w:eastAsia="Times New Roman" w:hAnsi="Times New Roman" w:cs="Times New Roman"/>
          <w:sz w:val="26"/>
          <w:szCs w:val="26"/>
        </w:rPr>
      </w:pPr>
    </w:p>
    <w:p w:rsidR="008130B8" w:rsidRPr="008130B8" w:rsidRDefault="008130B8" w:rsidP="00D01F4C">
      <w:pPr>
        <w:spacing w:after="0" w:line="360" w:lineRule="auto"/>
        <w:ind w:firstLine="720"/>
        <w:contextualSpacing/>
        <w:rPr>
          <w:rFonts w:ascii="Times New Roman" w:eastAsia="Times New Roman" w:hAnsi="Times New Roman" w:cs="Times New Roman"/>
          <w:sz w:val="26"/>
          <w:szCs w:val="26"/>
        </w:rPr>
      </w:pPr>
      <w:r w:rsidRPr="008130B8">
        <w:rPr>
          <w:rFonts w:ascii="Times New Roman" w:eastAsia="Times New Roman" w:hAnsi="Times New Roman" w:cs="Times New Roman"/>
          <w:sz w:val="26"/>
          <w:szCs w:val="26"/>
        </w:rPr>
        <w:t xml:space="preserve">Further, we are not convinced to allow PGW to screen only non-CRP LIHEAP recipients for eligibility. </w:t>
      </w:r>
      <w:r w:rsidR="00D01F4C">
        <w:rPr>
          <w:rFonts w:ascii="Times New Roman" w:eastAsia="Times New Roman" w:hAnsi="Times New Roman" w:cs="Times New Roman"/>
          <w:sz w:val="26"/>
          <w:szCs w:val="26"/>
        </w:rPr>
        <w:t xml:space="preserve"> </w:t>
      </w:r>
      <w:r w:rsidRPr="008130B8">
        <w:rPr>
          <w:rFonts w:ascii="Times New Roman" w:eastAsia="Times New Roman" w:hAnsi="Times New Roman" w:cs="Times New Roman"/>
          <w:sz w:val="26"/>
          <w:szCs w:val="26"/>
        </w:rPr>
        <w:t>While we recognize the limited administrative efficiencies</w:t>
      </w:r>
      <w:r w:rsidR="00E26C22">
        <w:rPr>
          <w:rStyle w:val="FootnoteReference"/>
          <w:rFonts w:ascii="Times New Roman" w:eastAsia="Times New Roman" w:hAnsi="Times New Roman" w:cs="Times New Roman"/>
          <w:sz w:val="26"/>
          <w:szCs w:val="26"/>
        </w:rPr>
        <w:footnoteReference w:id="29"/>
      </w:r>
      <w:r w:rsidRPr="008130B8">
        <w:rPr>
          <w:rFonts w:ascii="Times New Roman" w:eastAsia="Times New Roman" w:hAnsi="Times New Roman" w:cs="Times New Roman"/>
          <w:sz w:val="26"/>
          <w:szCs w:val="26"/>
        </w:rPr>
        <w:t xml:space="preserve"> this step might provide, it still excludes a significant number of low</w:t>
      </w:r>
      <w:r w:rsidR="00D01F4C">
        <w:rPr>
          <w:rFonts w:ascii="Times New Roman" w:eastAsia="Times New Roman" w:hAnsi="Times New Roman" w:cs="Times New Roman"/>
          <w:sz w:val="26"/>
          <w:szCs w:val="26"/>
        </w:rPr>
        <w:t>-</w:t>
      </w:r>
      <w:r w:rsidRPr="008130B8">
        <w:rPr>
          <w:rFonts w:ascii="Times New Roman" w:eastAsia="Times New Roman" w:hAnsi="Times New Roman" w:cs="Times New Roman"/>
          <w:sz w:val="26"/>
          <w:szCs w:val="26"/>
        </w:rPr>
        <w:t xml:space="preserve">income customers, and PGW would still have to screen the LIHEAP recipients to determine their usage and other LIURP qualifications, beyond the income criterion. </w:t>
      </w:r>
      <w:r w:rsidR="00986D42">
        <w:rPr>
          <w:rFonts w:ascii="Times New Roman" w:eastAsia="Times New Roman" w:hAnsi="Times New Roman" w:cs="Times New Roman"/>
          <w:sz w:val="26"/>
          <w:szCs w:val="26"/>
        </w:rPr>
        <w:t xml:space="preserve"> </w:t>
      </w:r>
      <w:r w:rsidRPr="008130B8">
        <w:rPr>
          <w:rFonts w:ascii="Times New Roman" w:eastAsia="Times New Roman" w:hAnsi="Times New Roman" w:cs="Times New Roman"/>
          <w:sz w:val="26"/>
          <w:szCs w:val="26"/>
        </w:rPr>
        <w:t xml:space="preserve">We do however, encourage PGW to look at the LIHEAP recipients as a pool of potential CRP and LIURP eligible customers who before may not have been considered for either program.  </w:t>
      </w:r>
    </w:p>
    <w:p w:rsidR="006561CF" w:rsidRDefault="006561CF" w:rsidP="000352D5">
      <w:pPr>
        <w:spacing w:after="0" w:line="360" w:lineRule="auto"/>
        <w:ind w:firstLine="720"/>
        <w:contextualSpacing/>
        <w:rPr>
          <w:rFonts w:ascii="Times New Roman" w:eastAsia="Times New Roman" w:hAnsi="Times New Roman" w:cs="Times New Roman"/>
          <w:sz w:val="26"/>
          <w:szCs w:val="26"/>
        </w:rPr>
      </w:pPr>
    </w:p>
    <w:p w:rsidR="008130B8" w:rsidRPr="008130B8" w:rsidRDefault="00153A53" w:rsidP="008130B8">
      <w:pPr>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8130B8" w:rsidRPr="008130B8">
        <w:rPr>
          <w:rFonts w:ascii="Times New Roman" w:eastAsia="Times New Roman" w:hAnsi="Times New Roman" w:cs="Times New Roman"/>
          <w:sz w:val="26"/>
          <w:szCs w:val="26"/>
        </w:rPr>
        <w:t xml:space="preserve">We recognize that in the past, PGW’s USECPs may have been approved with language that allowed only customers enrolled in CRP to participate in LIURP. </w:t>
      </w:r>
      <w:r w:rsidR="00986D42">
        <w:rPr>
          <w:rFonts w:ascii="Times New Roman" w:eastAsia="Times New Roman" w:hAnsi="Times New Roman" w:cs="Times New Roman"/>
          <w:sz w:val="26"/>
          <w:szCs w:val="26"/>
        </w:rPr>
        <w:t xml:space="preserve"> </w:t>
      </w:r>
      <w:r w:rsidR="008130B8" w:rsidRPr="008130B8">
        <w:rPr>
          <w:rFonts w:ascii="Times New Roman" w:eastAsia="Times New Roman" w:hAnsi="Times New Roman" w:cs="Times New Roman"/>
          <w:sz w:val="26"/>
          <w:szCs w:val="26"/>
        </w:rPr>
        <w:t>However, the structure and budget</w:t>
      </w:r>
      <w:r w:rsidR="00986D42">
        <w:rPr>
          <w:rFonts w:ascii="Times New Roman" w:eastAsia="Times New Roman" w:hAnsi="Times New Roman" w:cs="Times New Roman"/>
          <w:sz w:val="26"/>
          <w:szCs w:val="26"/>
        </w:rPr>
        <w:t>s</w:t>
      </w:r>
      <w:r w:rsidR="008130B8" w:rsidRPr="008130B8">
        <w:rPr>
          <w:rFonts w:ascii="Times New Roman" w:eastAsia="Times New Roman" w:hAnsi="Times New Roman" w:cs="Times New Roman"/>
          <w:sz w:val="26"/>
          <w:szCs w:val="26"/>
        </w:rPr>
        <w:t xml:space="preserve"> of those previous LIURP programs were vastly different than the current LIURP model.</w:t>
      </w:r>
      <w:r w:rsidR="0029642A" w:rsidRPr="0029642A">
        <w:rPr>
          <w:rFonts w:ascii="Times New Roman" w:eastAsia="Times New Roman" w:hAnsi="Times New Roman" w:cs="Times New Roman"/>
          <w:sz w:val="26"/>
          <w:szCs w:val="26"/>
          <w:vertAlign w:val="superscript"/>
        </w:rPr>
        <w:footnoteReference w:id="30"/>
      </w:r>
      <w:r w:rsidR="008130B8" w:rsidRPr="008130B8">
        <w:rPr>
          <w:rFonts w:ascii="Times New Roman" w:eastAsia="Times New Roman" w:hAnsi="Times New Roman" w:cs="Times New Roman"/>
          <w:sz w:val="26"/>
          <w:szCs w:val="26"/>
        </w:rPr>
        <w:t xml:space="preserve"> </w:t>
      </w:r>
      <w:r w:rsidR="00986D42">
        <w:rPr>
          <w:rFonts w:ascii="Times New Roman" w:eastAsia="Times New Roman" w:hAnsi="Times New Roman" w:cs="Times New Roman"/>
          <w:sz w:val="26"/>
          <w:szCs w:val="26"/>
        </w:rPr>
        <w:t xml:space="preserve"> </w:t>
      </w:r>
      <w:r w:rsidR="008130B8" w:rsidRPr="008130B8">
        <w:rPr>
          <w:rFonts w:ascii="Times New Roman" w:eastAsia="Times New Roman" w:hAnsi="Times New Roman" w:cs="Times New Roman"/>
          <w:sz w:val="26"/>
          <w:szCs w:val="26"/>
        </w:rPr>
        <w:t xml:space="preserve">Further, LIURP operated outside of </w:t>
      </w:r>
      <w:r w:rsidR="0029642A">
        <w:rPr>
          <w:rFonts w:ascii="Times New Roman" w:eastAsia="Times New Roman" w:hAnsi="Times New Roman" w:cs="Times New Roman"/>
          <w:sz w:val="26"/>
          <w:szCs w:val="26"/>
        </w:rPr>
        <w:t xml:space="preserve">BCS’ </w:t>
      </w:r>
      <w:r w:rsidR="008130B8" w:rsidRPr="008130B8">
        <w:rPr>
          <w:rFonts w:ascii="Times New Roman" w:eastAsia="Times New Roman" w:hAnsi="Times New Roman" w:cs="Times New Roman"/>
          <w:sz w:val="26"/>
          <w:szCs w:val="26"/>
        </w:rPr>
        <w:lastRenderedPageBreak/>
        <w:t xml:space="preserve">USECP review process for numerous years while part of the DSM portfolio of programs. </w:t>
      </w:r>
      <w:r w:rsidR="00986D42">
        <w:rPr>
          <w:rFonts w:ascii="Times New Roman" w:eastAsia="Times New Roman" w:hAnsi="Times New Roman" w:cs="Times New Roman"/>
          <w:sz w:val="26"/>
          <w:szCs w:val="26"/>
        </w:rPr>
        <w:t xml:space="preserve"> </w:t>
      </w:r>
      <w:r w:rsidR="008130B8" w:rsidRPr="008130B8">
        <w:rPr>
          <w:rFonts w:ascii="Times New Roman" w:eastAsia="Times New Roman" w:hAnsi="Times New Roman" w:cs="Times New Roman"/>
          <w:sz w:val="26"/>
          <w:szCs w:val="26"/>
        </w:rPr>
        <w:t>Regardless, the Commission has determined that PGW’s LIURP program is operating in a manner inconsistent with the LIURP regulations by excluding non-CRP customers from being</w:t>
      </w:r>
      <w:r w:rsidR="003111E4">
        <w:rPr>
          <w:rFonts w:ascii="Times New Roman" w:eastAsia="Times New Roman" w:hAnsi="Times New Roman" w:cs="Times New Roman"/>
          <w:sz w:val="26"/>
          <w:szCs w:val="26"/>
        </w:rPr>
        <w:t xml:space="preserve"> eligible </w:t>
      </w:r>
      <w:r w:rsidR="008130B8" w:rsidRPr="008130B8">
        <w:rPr>
          <w:rFonts w:ascii="Times New Roman" w:eastAsia="Times New Roman" w:hAnsi="Times New Roman" w:cs="Times New Roman"/>
          <w:sz w:val="26"/>
          <w:szCs w:val="26"/>
        </w:rPr>
        <w:t>to receive LIURP services.</w:t>
      </w:r>
    </w:p>
    <w:p w:rsidR="008130B8" w:rsidRPr="008130B8" w:rsidRDefault="008130B8" w:rsidP="008130B8">
      <w:pPr>
        <w:spacing w:after="0" w:line="360" w:lineRule="auto"/>
        <w:contextualSpacing/>
        <w:rPr>
          <w:rFonts w:ascii="Times New Roman" w:eastAsia="Times New Roman" w:hAnsi="Times New Roman" w:cs="Times New Roman"/>
          <w:sz w:val="26"/>
          <w:szCs w:val="26"/>
        </w:rPr>
      </w:pPr>
    </w:p>
    <w:p w:rsidR="008130B8" w:rsidRPr="008130B8" w:rsidRDefault="008130B8" w:rsidP="008130B8">
      <w:pPr>
        <w:spacing w:after="0" w:line="360" w:lineRule="auto"/>
        <w:contextualSpacing/>
        <w:rPr>
          <w:rFonts w:ascii="Times New Roman" w:eastAsia="Times New Roman" w:hAnsi="Times New Roman" w:cs="Times New Roman"/>
          <w:sz w:val="26"/>
          <w:szCs w:val="26"/>
        </w:rPr>
      </w:pPr>
      <w:r w:rsidRPr="008130B8">
        <w:rPr>
          <w:rFonts w:ascii="Times New Roman" w:eastAsia="Times New Roman" w:hAnsi="Times New Roman" w:cs="Times New Roman"/>
          <w:sz w:val="26"/>
          <w:szCs w:val="26"/>
        </w:rPr>
        <w:tab/>
      </w:r>
      <w:r w:rsidR="00417A36">
        <w:rPr>
          <w:rFonts w:ascii="Times New Roman" w:eastAsia="Times New Roman" w:hAnsi="Times New Roman" w:cs="Times New Roman"/>
          <w:sz w:val="26"/>
          <w:szCs w:val="26"/>
        </w:rPr>
        <w:t>In addition, w</w:t>
      </w:r>
      <w:r w:rsidR="00303A1C">
        <w:rPr>
          <w:rFonts w:ascii="Times New Roman" w:eastAsia="Times New Roman" w:hAnsi="Times New Roman" w:cs="Times New Roman"/>
          <w:sz w:val="26"/>
          <w:szCs w:val="26"/>
        </w:rPr>
        <w:t xml:space="preserve">e conclude that </w:t>
      </w:r>
      <w:r w:rsidRPr="008130B8">
        <w:rPr>
          <w:rFonts w:ascii="Times New Roman" w:eastAsia="Times New Roman" w:hAnsi="Times New Roman" w:cs="Times New Roman"/>
          <w:sz w:val="26"/>
          <w:szCs w:val="26"/>
        </w:rPr>
        <w:t xml:space="preserve">PGW has not demonstrated sufficient reason to warrant the Commission granting a waiver for 58.10(a)(1).  </w:t>
      </w:r>
      <w:r w:rsidR="00303A1C">
        <w:rPr>
          <w:rFonts w:ascii="Times New Roman" w:eastAsia="Times New Roman" w:hAnsi="Times New Roman" w:cs="Times New Roman"/>
          <w:sz w:val="26"/>
          <w:szCs w:val="26"/>
        </w:rPr>
        <w:t xml:space="preserve">All other </w:t>
      </w:r>
      <w:r w:rsidRPr="008130B8">
        <w:rPr>
          <w:rFonts w:ascii="Times New Roman" w:eastAsia="Times New Roman" w:hAnsi="Times New Roman" w:cs="Times New Roman"/>
          <w:sz w:val="26"/>
          <w:szCs w:val="26"/>
        </w:rPr>
        <w:t xml:space="preserve">EDCs and NGDCs </w:t>
      </w:r>
      <w:r w:rsidR="00303A1C">
        <w:rPr>
          <w:rFonts w:ascii="Times New Roman" w:eastAsia="Times New Roman" w:hAnsi="Times New Roman" w:cs="Times New Roman"/>
          <w:sz w:val="26"/>
          <w:szCs w:val="26"/>
        </w:rPr>
        <w:t>with LIURPs</w:t>
      </w:r>
      <w:r w:rsidR="003111E4">
        <w:rPr>
          <w:rFonts w:ascii="Times New Roman" w:eastAsia="Times New Roman" w:hAnsi="Times New Roman" w:cs="Times New Roman"/>
          <w:sz w:val="26"/>
          <w:szCs w:val="26"/>
        </w:rPr>
        <w:t>,</w:t>
      </w:r>
      <w:r w:rsidR="00303A1C">
        <w:rPr>
          <w:rFonts w:ascii="Times New Roman" w:eastAsia="Times New Roman" w:hAnsi="Times New Roman" w:cs="Times New Roman"/>
          <w:sz w:val="26"/>
          <w:szCs w:val="26"/>
        </w:rPr>
        <w:t xml:space="preserve"> </w:t>
      </w:r>
      <w:r w:rsidR="003111E4" w:rsidRPr="008130B8">
        <w:rPr>
          <w:rFonts w:ascii="Times New Roman" w:eastAsia="Times New Roman" w:hAnsi="Times New Roman" w:cs="Times New Roman"/>
          <w:sz w:val="26"/>
          <w:szCs w:val="26"/>
        </w:rPr>
        <w:t>successfully</w:t>
      </w:r>
      <w:r w:rsidRPr="008130B8">
        <w:rPr>
          <w:rFonts w:ascii="Times New Roman" w:eastAsia="Times New Roman" w:hAnsi="Times New Roman" w:cs="Times New Roman"/>
          <w:sz w:val="26"/>
          <w:szCs w:val="26"/>
        </w:rPr>
        <w:t xml:space="preserve"> and cost-effectively</w:t>
      </w:r>
      <w:r w:rsidR="003111E4">
        <w:rPr>
          <w:rFonts w:ascii="Times New Roman" w:eastAsia="Times New Roman" w:hAnsi="Times New Roman" w:cs="Times New Roman"/>
          <w:sz w:val="26"/>
          <w:szCs w:val="26"/>
        </w:rPr>
        <w:t>,</w:t>
      </w:r>
      <w:r w:rsidRPr="008130B8">
        <w:rPr>
          <w:rFonts w:ascii="Times New Roman" w:eastAsia="Times New Roman" w:hAnsi="Times New Roman" w:cs="Times New Roman"/>
          <w:sz w:val="26"/>
          <w:szCs w:val="26"/>
        </w:rPr>
        <w:t xml:space="preserve"> extend </w:t>
      </w:r>
      <w:r w:rsidR="00986D42">
        <w:rPr>
          <w:rFonts w:ascii="Times New Roman" w:eastAsia="Times New Roman" w:hAnsi="Times New Roman" w:cs="Times New Roman"/>
          <w:sz w:val="26"/>
          <w:szCs w:val="26"/>
        </w:rPr>
        <w:t xml:space="preserve">LIURP </w:t>
      </w:r>
      <w:r w:rsidRPr="008130B8">
        <w:rPr>
          <w:rFonts w:ascii="Times New Roman" w:eastAsia="Times New Roman" w:hAnsi="Times New Roman" w:cs="Times New Roman"/>
          <w:sz w:val="26"/>
          <w:szCs w:val="26"/>
        </w:rPr>
        <w:t xml:space="preserve">eligibility to low-income customers regardless of CAP status. </w:t>
      </w:r>
      <w:r w:rsidR="00986D42">
        <w:rPr>
          <w:rFonts w:ascii="Times New Roman" w:eastAsia="Times New Roman" w:hAnsi="Times New Roman" w:cs="Times New Roman"/>
          <w:sz w:val="26"/>
          <w:szCs w:val="26"/>
        </w:rPr>
        <w:t xml:space="preserve"> </w:t>
      </w:r>
      <w:r w:rsidRPr="008130B8">
        <w:rPr>
          <w:rFonts w:ascii="Times New Roman" w:eastAsia="Times New Roman" w:hAnsi="Times New Roman" w:cs="Times New Roman"/>
          <w:sz w:val="26"/>
          <w:szCs w:val="26"/>
        </w:rPr>
        <w:t>PGW has not demonstrated that it has met the prerequisites</w:t>
      </w:r>
      <w:r w:rsidR="00303A1C" w:rsidRPr="00303A1C">
        <w:rPr>
          <w:rFonts w:ascii="Times New Roman" w:eastAsia="Times New Roman" w:hAnsi="Times New Roman" w:cs="Times New Roman"/>
          <w:sz w:val="26"/>
          <w:szCs w:val="26"/>
        </w:rPr>
        <w:t>, either substantively or procedurally</w:t>
      </w:r>
      <w:r w:rsidR="00303A1C">
        <w:rPr>
          <w:rFonts w:ascii="Times New Roman" w:eastAsia="Times New Roman" w:hAnsi="Times New Roman" w:cs="Times New Roman"/>
          <w:sz w:val="26"/>
          <w:szCs w:val="26"/>
        </w:rPr>
        <w:t>,</w:t>
      </w:r>
      <w:r w:rsidR="00303A1C" w:rsidRPr="00303A1C">
        <w:rPr>
          <w:rFonts w:ascii="Times New Roman" w:eastAsia="Times New Roman" w:hAnsi="Times New Roman" w:cs="Times New Roman"/>
          <w:sz w:val="26"/>
          <w:szCs w:val="26"/>
          <w:vertAlign w:val="superscript"/>
        </w:rPr>
        <w:footnoteReference w:id="31"/>
      </w:r>
      <w:r w:rsidRPr="008130B8">
        <w:rPr>
          <w:rFonts w:ascii="Times New Roman" w:eastAsia="Times New Roman" w:hAnsi="Times New Roman" w:cs="Times New Roman"/>
          <w:sz w:val="26"/>
          <w:szCs w:val="26"/>
        </w:rPr>
        <w:t xml:space="preserve"> necessary for the Commission to grant a waiver. </w:t>
      </w:r>
    </w:p>
    <w:p w:rsidR="008130B8" w:rsidRPr="008130B8" w:rsidRDefault="008130B8" w:rsidP="008130B8">
      <w:pPr>
        <w:spacing w:after="0" w:line="360" w:lineRule="auto"/>
        <w:contextualSpacing/>
        <w:rPr>
          <w:rFonts w:ascii="Times New Roman" w:eastAsia="Times New Roman" w:hAnsi="Times New Roman" w:cs="Times New Roman"/>
          <w:sz w:val="26"/>
          <w:szCs w:val="26"/>
        </w:rPr>
      </w:pPr>
    </w:p>
    <w:p w:rsidR="008130B8" w:rsidRPr="008130B8" w:rsidRDefault="008130B8" w:rsidP="008130B8">
      <w:pPr>
        <w:spacing w:after="0" w:line="360" w:lineRule="auto"/>
        <w:ind w:firstLine="720"/>
        <w:contextualSpacing/>
        <w:rPr>
          <w:rFonts w:ascii="Times New Roman" w:eastAsia="Times New Roman" w:hAnsi="Times New Roman" w:cs="Times New Roman"/>
          <w:sz w:val="26"/>
          <w:szCs w:val="26"/>
        </w:rPr>
      </w:pPr>
      <w:r w:rsidRPr="008130B8">
        <w:rPr>
          <w:rFonts w:ascii="Times New Roman" w:eastAsia="Times New Roman" w:hAnsi="Times New Roman" w:cs="Times New Roman"/>
          <w:sz w:val="26"/>
          <w:szCs w:val="26"/>
        </w:rPr>
        <w:t xml:space="preserve">Therefore, we direct PGW to include </w:t>
      </w:r>
      <w:r w:rsidRPr="008130B8">
        <w:rPr>
          <w:rFonts w:ascii="Times New Roman" w:eastAsia="Times New Roman" w:hAnsi="Times New Roman" w:cs="Times New Roman"/>
          <w:b/>
          <w:i/>
          <w:sz w:val="26"/>
          <w:szCs w:val="26"/>
        </w:rPr>
        <w:t>all</w:t>
      </w:r>
      <w:r w:rsidRPr="008130B8">
        <w:rPr>
          <w:rFonts w:ascii="Times New Roman" w:eastAsia="Times New Roman" w:hAnsi="Times New Roman" w:cs="Times New Roman"/>
          <w:sz w:val="26"/>
          <w:szCs w:val="26"/>
        </w:rPr>
        <w:t xml:space="preserve"> known low-income customers when determining LIURP eligibility, regardless of their enrollment status in CRP. PGW is further directed to update and submit a revised Needs Assessment in </w:t>
      </w:r>
      <w:r w:rsidR="00153A53">
        <w:rPr>
          <w:rFonts w:ascii="Times New Roman" w:eastAsia="Times New Roman" w:hAnsi="Times New Roman" w:cs="Times New Roman"/>
          <w:sz w:val="26"/>
          <w:szCs w:val="26"/>
        </w:rPr>
        <w:t>its Revised 2017-2020 Plan</w:t>
      </w:r>
      <w:r w:rsidRPr="008130B8">
        <w:rPr>
          <w:rFonts w:ascii="Times New Roman" w:eastAsia="Times New Roman" w:hAnsi="Times New Roman" w:cs="Times New Roman"/>
          <w:sz w:val="26"/>
          <w:szCs w:val="26"/>
        </w:rPr>
        <w:t xml:space="preserve">.   </w:t>
      </w:r>
    </w:p>
    <w:p w:rsidR="000352D5" w:rsidRPr="00136439" w:rsidRDefault="000352D5" w:rsidP="006561CF">
      <w:pPr>
        <w:spacing w:after="0" w:line="360" w:lineRule="auto"/>
        <w:contextualSpacing/>
        <w:rPr>
          <w:rFonts w:ascii="Times New Roman" w:eastAsia="Times New Roman" w:hAnsi="Times New Roman" w:cs="Times New Roman"/>
          <w:sz w:val="26"/>
          <w:szCs w:val="26"/>
        </w:rPr>
      </w:pPr>
    </w:p>
    <w:p w:rsidR="006561CF" w:rsidRPr="00787CA9" w:rsidRDefault="006561CF" w:rsidP="006561CF">
      <w:pPr>
        <w:keepNext/>
        <w:tabs>
          <w:tab w:val="left" w:pos="0"/>
        </w:tabs>
        <w:spacing w:after="0" w:line="360" w:lineRule="auto"/>
        <w:contextualSpacing/>
        <w:rPr>
          <w:rFonts w:ascii="Times New Roman" w:eastAsia="Times New Roman" w:hAnsi="Times New Roman" w:cs="Times New Roman"/>
          <w:i/>
          <w:sz w:val="26"/>
          <w:szCs w:val="26"/>
        </w:rPr>
      </w:pPr>
      <w:r w:rsidRPr="00B16A30">
        <w:rPr>
          <w:rFonts w:ascii="Times New Roman" w:eastAsia="Times New Roman" w:hAnsi="Times New Roman" w:cs="Times New Roman"/>
          <w:i/>
          <w:sz w:val="26"/>
          <w:szCs w:val="26"/>
        </w:rPr>
        <w:t>b.  Transition of LIURP Se</w:t>
      </w:r>
      <w:r w:rsidR="004518C7">
        <w:rPr>
          <w:rFonts w:ascii="Times New Roman" w:eastAsia="Times New Roman" w:hAnsi="Times New Roman" w:cs="Times New Roman"/>
          <w:i/>
          <w:sz w:val="26"/>
          <w:szCs w:val="26"/>
        </w:rPr>
        <w:t>rvices from DSM back into USECP</w:t>
      </w:r>
    </w:p>
    <w:p w:rsidR="006561CF" w:rsidRDefault="006561CF" w:rsidP="006561CF">
      <w:pPr>
        <w:keepNext/>
        <w:tabs>
          <w:tab w:val="left" w:pos="0"/>
        </w:tabs>
        <w:spacing w:after="0" w:line="360" w:lineRule="auto"/>
        <w:contextualSpacing/>
        <w:rPr>
          <w:rFonts w:ascii="Times New Roman" w:eastAsia="Times New Roman" w:hAnsi="Times New Roman" w:cs="Times New Roman"/>
          <w:sz w:val="26"/>
          <w:szCs w:val="26"/>
          <w:u w:val="single"/>
        </w:rPr>
      </w:pPr>
    </w:p>
    <w:p w:rsidR="006561CF" w:rsidRDefault="006561CF" w:rsidP="006561CF">
      <w:pPr>
        <w:tabs>
          <w:tab w:val="left" w:pos="0"/>
        </w:tabs>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E6486E">
        <w:rPr>
          <w:rFonts w:ascii="Times New Roman" w:eastAsia="Times New Roman" w:hAnsi="Times New Roman" w:cs="Times New Roman"/>
          <w:sz w:val="26"/>
          <w:szCs w:val="26"/>
        </w:rPr>
        <w:t xml:space="preserve">As noted above, </w:t>
      </w:r>
      <w:r>
        <w:rPr>
          <w:rFonts w:ascii="Times New Roman" w:eastAsia="Times New Roman" w:hAnsi="Times New Roman" w:cs="Times New Roman"/>
          <w:sz w:val="26"/>
          <w:szCs w:val="26"/>
        </w:rPr>
        <w:t xml:space="preserve">the DSM II </w:t>
      </w:r>
      <w:r w:rsidR="00BF5B7B">
        <w:rPr>
          <w:rFonts w:ascii="Times New Roman" w:eastAsia="Times New Roman" w:hAnsi="Times New Roman" w:cs="Times New Roman"/>
          <w:sz w:val="26"/>
          <w:szCs w:val="26"/>
        </w:rPr>
        <w:t xml:space="preserve">Final </w:t>
      </w:r>
      <w:r>
        <w:rPr>
          <w:rFonts w:ascii="Times New Roman" w:eastAsia="Times New Roman" w:hAnsi="Times New Roman" w:cs="Times New Roman"/>
          <w:sz w:val="26"/>
          <w:szCs w:val="26"/>
        </w:rPr>
        <w:t>Order directed PGW to transition its LIURP or CRP Home Comfort program, including LIME</w:t>
      </w:r>
      <w:r w:rsidR="00E26C22">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back into the USECP portfolio of programs and to provide details for a seamless integration.  DSM II </w:t>
      </w:r>
      <w:r w:rsidR="001915FA">
        <w:rPr>
          <w:rFonts w:ascii="Times New Roman" w:eastAsia="Times New Roman" w:hAnsi="Times New Roman" w:cs="Times New Roman"/>
          <w:sz w:val="26"/>
          <w:szCs w:val="26"/>
        </w:rPr>
        <w:t xml:space="preserve">Final </w:t>
      </w:r>
      <w:r>
        <w:rPr>
          <w:rFonts w:ascii="Times New Roman" w:eastAsia="Times New Roman" w:hAnsi="Times New Roman" w:cs="Times New Roman"/>
          <w:sz w:val="26"/>
          <w:szCs w:val="26"/>
        </w:rPr>
        <w:t>Order at</w:t>
      </w:r>
      <w:r w:rsidR="000352D5">
        <w:rPr>
          <w:rFonts w:ascii="Times New Roman" w:eastAsia="Times New Roman" w:hAnsi="Times New Roman" w:cs="Times New Roman"/>
          <w:sz w:val="26"/>
          <w:szCs w:val="26"/>
        </w:rPr>
        <w:t> </w:t>
      </w:r>
      <w:r w:rsidRPr="008D3BFA">
        <w:rPr>
          <w:rFonts w:ascii="Times New Roman" w:eastAsia="Times New Roman" w:hAnsi="Times New Roman" w:cs="Times New Roman"/>
          <w:sz w:val="26"/>
          <w:szCs w:val="26"/>
        </w:rPr>
        <w:t xml:space="preserve">27.  </w:t>
      </w:r>
      <w:r w:rsidR="00D56BAD" w:rsidRPr="008D3BFA">
        <w:rPr>
          <w:rFonts w:ascii="Times New Roman" w:eastAsia="Times New Roman" w:hAnsi="Times New Roman" w:cs="Times New Roman"/>
          <w:sz w:val="26"/>
          <w:szCs w:val="26"/>
        </w:rPr>
        <w:t>In compliance, PGW filed its Amended Proposed 2017-2020 Plan.</w:t>
      </w:r>
      <w:r w:rsidR="00D56BAD">
        <w:rPr>
          <w:rFonts w:ascii="Times New Roman" w:eastAsia="Times New Roman" w:hAnsi="Times New Roman" w:cs="Times New Roman"/>
          <w:sz w:val="26"/>
          <w:szCs w:val="26"/>
        </w:rPr>
        <w:t xml:space="preserve">  </w:t>
      </w:r>
    </w:p>
    <w:p w:rsidR="006561CF" w:rsidRDefault="006561CF" w:rsidP="006561CF">
      <w:pPr>
        <w:tabs>
          <w:tab w:val="left" w:pos="0"/>
        </w:tabs>
        <w:spacing w:after="0" w:line="360" w:lineRule="auto"/>
        <w:contextualSpacing/>
        <w:rPr>
          <w:rFonts w:ascii="Times New Roman" w:eastAsia="Times New Roman" w:hAnsi="Times New Roman" w:cs="Times New Roman"/>
          <w:sz w:val="26"/>
          <w:szCs w:val="26"/>
        </w:rPr>
      </w:pPr>
    </w:p>
    <w:p w:rsidR="006561CF" w:rsidRDefault="006561CF" w:rsidP="006561CF">
      <w:pPr>
        <w:tabs>
          <w:tab w:val="left" w:pos="0"/>
        </w:tabs>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1915FA">
        <w:rPr>
          <w:rFonts w:ascii="Times New Roman" w:eastAsia="Times New Roman" w:hAnsi="Times New Roman" w:cs="Times New Roman"/>
          <w:sz w:val="26"/>
          <w:szCs w:val="26"/>
        </w:rPr>
        <w:t xml:space="preserve">In the Tentative Order, </w:t>
      </w:r>
      <w:r>
        <w:rPr>
          <w:rFonts w:ascii="Times New Roman" w:eastAsia="Times New Roman" w:hAnsi="Times New Roman" w:cs="Times New Roman"/>
          <w:sz w:val="26"/>
          <w:szCs w:val="26"/>
        </w:rPr>
        <w:t xml:space="preserve">PGW provided a pro-rated budget of $2,165,482 for the calendar months of September 2017-December 2017, to accommodate the four-month </w:t>
      </w:r>
      <w:r>
        <w:rPr>
          <w:rFonts w:ascii="Times New Roman" w:eastAsia="Times New Roman" w:hAnsi="Times New Roman" w:cs="Times New Roman"/>
          <w:sz w:val="26"/>
          <w:szCs w:val="26"/>
        </w:rPr>
        <w:lastRenderedPageBreak/>
        <w:t>offset between LIURP in the PGW DSM Fiscal Year (FY), which ran from September1</w:t>
      </w:r>
      <w:r w:rsidRPr="004927C0">
        <w:rPr>
          <w:rFonts w:ascii="Times New Roman" w:eastAsia="Times New Roman" w:hAnsi="Times New Roman" w:cs="Times New Roman"/>
          <w:sz w:val="26"/>
          <w:szCs w:val="26"/>
          <w:vertAlign w:val="superscript"/>
        </w:rPr>
        <w:t>st</w:t>
      </w:r>
      <w:r>
        <w:rPr>
          <w:rFonts w:ascii="Times New Roman" w:eastAsia="Times New Roman" w:hAnsi="Times New Roman" w:cs="Times New Roman"/>
          <w:sz w:val="26"/>
          <w:szCs w:val="26"/>
        </w:rPr>
        <w:t xml:space="preserve"> until August 31</w:t>
      </w:r>
      <w:r>
        <w:rPr>
          <w:rFonts w:ascii="Times New Roman" w:eastAsia="Times New Roman" w:hAnsi="Times New Roman" w:cs="Times New Roman"/>
          <w:sz w:val="26"/>
          <w:szCs w:val="26"/>
          <w:vertAlign w:val="superscript"/>
        </w:rPr>
        <w:t>st</w:t>
      </w:r>
      <w:r>
        <w:rPr>
          <w:rFonts w:ascii="Times New Roman" w:eastAsia="Times New Roman" w:hAnsi="Times New Roman" w:cs="Times New Roman"/>
          <w:sz w:val="26"/>
          <w:szCs w:val="26"/>
        </w:rPr>
        <w:t>, and the USECP LIURP Program Year (PY), which will runs from January 1</w:t>
      </w:r>
      <w:r w:rsidRPr="004927C0">
        <w:rPr>
          <w:rFonts w:ascii="Times New Roman" w:eastAsia="Times New Roman" w:hAnsi="Times New Roman" w:cs="Times New Roman"/>
          <w:sz w:val="26"/>
          <w:szCs w:val="26"/>
          <w:vertAlign w:val="superscript"/>
        </w:rPr>
        <w:t>st</w:t>
      </w:r>
      <w:r>
        <w:rPr>
          <w:rFonts w:ascii="Times New Roman" w:eastAsia="Times New Roman" w:hAnsi="Times New Roman" w:cs="Times New Roman"/>
          <w:sz w:val="26"/>
          <w:szCs w:val="26"/>
        </w:rPr>
        <w:t xml:space="preserve"> until December 31</w:t>
      </w:r>
      <w:r w:rsidRPr="004927C0">
        <w:rPr>
          <w:rFonts w:ascii="Times New Roman" w:eastAsia="Times New Roman" w:hAnsi="Times New Roman" w:cs="Times New Roman"/>
          <w:sz w:val="26"/>
          <w:szCs w:val="26"/>
          <w:vertAlign w:val="superscript"/>
        </w:rPr>
        <w:t>st</w:t>
      </w:r>
      <w:r>
        <w:rPr>
          <w:rFonts w:ascii="Times New Roman" w:eastAsia="Times New Roman" w:hAnsi="Times New Roman" w:cs="Times New Roman"/>
          <w:sz w:val="26"/>
          <w:szCs w:val="26"/>
        </w:rPr>
        <w:t xml:space="preserve">.  </w:t>
      </w:r>
    </w:p>
    <w:p w:rsidR="006561CF" w:rsidRDefault="006561CF" w:rsidP="006561CF">
      <w:pPr>
        <w:tabs>
          <w:tab w:val="left" w:pos="0"/>
        </w:tabs>
        <w:spacing w:after="0" w:line="360" w:lineRule="auto"/>
        <w:contextualSpacing/>
        <w:rPr>
          <w:rFonts w:ascii="Times New Roman" w:eastAsia="Times New Roman" w:hAnsi="Times New Roman" w:cs="Times New Roman"/>
          <w:sz w:val="26"/>
          <w:szCs w:val="26"/>
        </w:rPr>
      </w:pPr>
    </w:p>
    <w:p w:rsidR="006561CF" w:rsidRDefault="006561CF" w:rsidP="006561CF">
      <w:pPr>
        <w:tabs>
          <w:tab w:val="left" w:pos="0"/>
        </w:tabs>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The DSM II </w:t>
      </w:r>
      <w:r w:rsidR="001915FA">
        <w:rPr>
          <w:rFonts w:ascii="Times New Roman" w:eastAsia="Times New Roman" w:hAnsi="Times New Roman" w:cs="Times New Roman"/>
          <w:sz w:val="26"/>
          <w:szCs w:val="26"/>
        </w:rPr>
        <w:t xml:space="preserve">Final </w:t>
      </w:r>
      <w:r>
        <w:rPr>
          <w:rFonts w:ascii="Times New Roman" w:eastAsia="Times New Roman" w:hAnsi="Times New Roman" w:cs="Times New Roman"/>
          <w:sz w:val="26"/>
          <w:szCs w:val="26"/>
        </w:rPr>
        <w:t xml:space="preserve">Order also directed BCS to review the administrative costs associated with the transition.  DSM II </w:t>
      </w:r>
      <w:r w:rsidR="001915FA">
        <w:rPr>
          <w:rFonts w:ascii="Times New Roman" w:eastAsia="Times New Roman" w:hAnsi="Times New Roman" w:cs="Times New Roman"/>
          <w:sz w:val="26"/>
          <w:szCs w:val="26"/>
        </w:rPr>
        <w:t xml:space="preserve">Final </w:t>
      </w:r>
      <w:r>
        <w:rPr>
          <w:rFonts w:ascii="Times New Roman" w:eastAsia="Times New Roman" w:hAnsi="Times New Roman" w:cs="Times New Roman"/>
          <w:sz w:val="26"/>
          <w:szCs w:val="26"/>
        </w:rPr>
        <w:t xml:space="preserve">Order at 27.  PGW submitted a 2017 CRP Home Comfort Budget of $6,571,445, which is a difference of $710,939 from the $5,860,506 approved by the Commission for the 2017 FY.  PGW states in a footnote to </w:t>
      </w:r>
      <w:r w:rsidRPr="00C26E58">
        <w:rPr>
          <w:rFonts w:ascii="Times New Roman" w:eastAsia="Times New Roman" w:hAnsi="Times New Roman" w:cs="Times New Roman"/>
          <w:i/>
          <w:sz w:val="26"/>
          <w:szCs w:val="26"/>
        </w:rPr>
        <w:t>Table 6: CRP Home Comfort Estimate Budget</w:t>
      </w:r>
      <w:r>
        <w:rPr>
          <w:rFonts w:ascii="Times New Roman" w:eastAsia="Times New Roman" w:hAnsi="Times New Roman" w:cs="Times New Roman"/>
          <w:sz w:val="26"/>
          <w:szCs w:val="26"/>
        </w:rPr>
        <w:t>, that the $6,571,445 includes administrative and programmatic costs.  Proposed 2017-2020 Plan at 24.  PGW ha</w:t>
      </w:r>
      <w:r w:rsidR="00E26C22">
        <w:rPr>
          <w:rFonts w:ascii="Times New Roman" w:eastAsia="Times New Roman" w:hAnsi="Times New Roman" w:cs="Times New Roman"/>
          <w:sz w:val="26"/>
          <w:szCs w:val="26"/>
        </w:rPr>
        <w:t>d</w:t>
      </w:r>
      <w:r>
        <w:rPr>
          <w:rFonts w:ascii="Times New Roman" w:eastAsia="Times New Roman" w:hAnsi="Times New Roman" w:cs="Times New Roman"/>
          <w:sz w:val="26"/>
          <w:szCs w:val="26"/>
        </w:rPr>
        <w:t xml:space="preserve"> </w:t>
      </w:r>
      <w:r w:rsidR="001915FA">
        <w:rPr>
          <w:rFonts w:ascii="Times New Roman" w:eastAsia="Times New Roman" w:hAnsi="Times New Roman" w:cs="Times New Roman"/>
          <w:sz w:val="26"/>
          <w:szCs w:val="26"/>
        </w:rPr>
        <w:t xml:space="preserve">previously </w:t>
      </w:r>
      <w:r>
        <w:rPr>
          <w:rFonts w:ascii="Times New Roman" w:eastAsia="Times New Roman" w:hAnsi="Times New Roman" w:cs="Times New Roman"/>
          <w:sz w:val="26"/>
          <w:szCs w:val="26"/>
        </w:rPr>
        <w:t xml:space="preserve">stated that it intended to keep the </w:t>
      </w:r>
      <w:r w:rsidR="001915FA">
        <w:rPr>
          <w:rFonts w:ascii="Times New Roman" w:eastAsia="Times New Roman" w:hAnsi="Times New Roman" w:cs="Times New Roman"/>
          <w:sz w:val="26"/>
          <w:szCs w:val="26"/>
        </w:rPr>
        <w:t xml:space="preserve">LIURP </w:t>
      </w:r>
      <w:r>
        <w:rPr>
          <w:rFonts w:ascii="Times New Roman" w:eastAsia="Times New Roman" w:hAnsi="Times New Roman" w:cs="Times New Roman"/>
          <w:sz w:val="26"/>
          <w:szCs w:val="26"/>
        </w:rPr>
        <w:t xml:space="preserve">program </w:t>
      </w:r>
      <w:r w:rsidR="001915FA">
        <w:rPr>
          <w:rFonts w:ascii="Times New Roman" w:eastAsia="Times New Roman" w:hAnsi="Times New Roman" w:cs="Times New Roman"/>
          <w:sz w:val="26"/>
          <w:szCs w:val="26"/>
        </w:rPr>
        <w:t xml:space="preserve">administrative </w:t>
      </w:r>
      <w:r>
        <w:rPr>
          <w:rFonts w:ascii="Times New Roman" w:eastAsia="Times New Roman" w:hAnsi="Times New Roman" w:cs="Times New Roman"/>
          <w:sz w:val="26"/>
          <w:szCs w:val="26"/>
        </w:rPr>
        <w:t xml:space="preserve">costs combined with the DSM </w:t>
      </w:r>
      <w:r w:rsidR="001915FA">
        <w:rPr>
          <w:rFonts w:ascii="Times New Roman" w:eastAsia="Times New Roman" w:hAnsi="Times New Roman" w:cs="Times New Roman"/>
          <w:sz w:val="26"/>
          <w:szCs w:val="26"/>
        </w:rPr>
        <w:t xml:space="preserve">administrative </w:t>
      </w:r>
      <w:r>
        <w:rPr>
          <w:rFonts w:ascii="Times New Roman" w:eastAsia="Times New Roman" w:hAnsi="Times New Roman" w:cs="Times New Roman"/>
          <w:sz w:val="26"/>
          <w:szCs w:val="26"/>
        </w:rPr>
        <w:t>costs and allocate them across the entire</w:t>
      </w:r>
      <w:r w:rsidR="001915FA">
        <w:rPr>
          <w:rFonts w:ascii="Times New Roman" w:eastAsia="Times New Roman" w:hAnsi="Times New Roman" w:cs="Times New Roman"/>
          <w:sz w:val="26"/>
          <w:szCs w:val="26"/>
        </w:rPr>
        <w:t xml:space="preserve"> DSM</w:t>
      </w:r>
      <w:r>
        <w:rPr>
          <w:rFonts w:ascii="Times New Roman" w:eastAsia="Times New Roman" w:hAnsi="Times New Roman" w:cs="Times New Roman"/>
          <w:sz w:val="26"/>
          <w:szCs w:val="26"/>
        </w:rPr>
        <w:t xml:space="preserve"> portfolio.  DSM II </w:t>
      </w:r>
      <w:r w:rsidR="001915FA">
        <w:rPr>
          <w:rFonts w:ascii="Times New Roman" w:eastAsia="Times New Roman" w:hAnsi="Times New Roman" w:cs="Times New Roman"/>
          <w:sz w:val="26"/>
          <w:szCs w:val="26"/>
        </w:rPr>
        <w:t xml:space="preserve">Final </w:t>
      </w:r>
      <w:r>
        <w:rPr>
          <w:rFonts w:ascii="Times New Roman" w:eastAsia="Times New Roman" w:hAnsi="Times New Roman" w:cs="Times New Roman"/>
          <w:sz w:val="26"/>
          <w:szCs w:val="26"/>
        </w:rPr>
        <w:t>Order at 24.</w:t>
      </w:r>
    </w:p>
    <w:p w:rsidR="006561CF" w:rsidRDefault="006561CF" w:rsidP="006561CF">
      <w:pPr>
        <w:tabs>
          <w:tab w:val="left" w:pos="0"/>
        </w:tabs>
        <w:spacing w:after="0" w:line="360" w:lineRule="auto"/>
        <w:contextualSpacing/>
        <w:rPr>
          <w:rFonts w:ascii="Times New Roman" w:eastAsia="Times New Roman" w:hAnsi="Times New Roman" w:cs="Times New Roman"/>
          <w:sz w:val="26"/>
          <w:szCs w:val="26"/>
        </w:rPr>
      </w:pPr>
    </w:p>
    <w:p w:rsidR="006561CF" w:rsidRDefault="004518C7" w:rsidP="006561CF">
      <w:pPr>
        <w:tabs>
          <w:tab w:val="left" w:pos="0"/>
        </w:tabs>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E6486E">
        <w:rPr>
          <w:rFonts w:ascii="Times New Roman" w:eastAsia="Times New Roman" w:hAnsi="Times New Roman" w:cs="Times New Roman"/>
          <w:sz w:val="26"/>
          <w:szCs w:val="26"/>
        </w:rPr>
        <w:t xml:space="preserve">While recognizing that the FY 2017 </w:t>
      </w:r>
      <w:r w:rsidR="001915FA">
        <w:rPr>
          <w:rFonts w:ascii="Times New Roman" w:eastAsia="Times New Roman" w:hAnsi="Times New Roman" w:cs="Times New Roman"/>
          <w:sz w:val="26"/>
          <w:szCs w:val="26"/>
        </w:rPr>
        <w:t xml:space="preserve">CRP Home Comfort </w:t>
      </w:r>
      <w:r w:rsidR="00E6486E">
        <w:rPr>
          <w:rFonts w:ascii="Times New Roman" w:eastAsia="Times New Roman" w:hAnsi="Times New Roman" w:cs="Times New Roman"/>
          <w:sz w:val="26"/>
          <w:szCs w:val="26"/>
        </w:rPr>
        <w:t>budget was already approved</w:t>
      </w:r>
      <w:r w:rsidR="001915FA">
        <w:rPr>
          <w:rFonts w:ascii="Times New Roman" w:eastAsia="Times New Roman" w:hAnsi="Times New Roman" w:cs="Times New Roman"/>
          <w:sz w:val="26"/>
          <w:szCs w:val="26"/>
        </w:rPr>
        <w:t xml:space="preserve"> in the DSM Final Order</w:t>
      </w:r>
      <w:r w:rsidR="00E6486E">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we asked PGW</w:t>
      </w:r>
      <w:r w:rsidR="001915FA">
        <w:rPr>
          <w:rFonts w:ascii="Times New Roman" w:eastAsia="Times New Roman" w:hAnsi="Times New Roman" w:cs="Times New Roman"/>
          <w:sz w:val="26"/>
          <w:szCs w:val="26"/>
        </w:rPr>
        <w:t>, in the Tentative Order at this docket,</w:t>
      </w:r>
      <w:r w:rsidR="006561CF">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to explain </w:t>
      </w:r>
      <w:r w:rsidR="006561CF">
        <w:rPr>
          <w:rFonts w:ascii="Times New Roman" w:eastAsia="Times New Roman" w:hAnsi="Times New Roman" w:cs="Times New Roman"/>
          <w:sz w:val="26"/>
          <w:szCs w:val="26"/>
        </w:rPr>
        <w:t xml:space="preserve">what the additional $710,939 </w:t>
      </w:r>
      <w:r w:rsidR="001915FA">
        <w:rPr>
          <w:rFonts w:ascii="Times New Roman" w:eastAsia="Times New Roman" w:hAnsi="Times New Roman" w:cs="Times New Roman"/>
          <w:sz w:val="26"/>
          <w:szCs w:val="26"/>
        </w:rPr>
        <w:t xml:space="preserve">in administrative </w:t>
      </w:r>
      <w:r w:rsidR="006561CF">
        <w:rPr>
          <w:rFonts w:ascii="Times New Roman" w:eastAsia="Times New Roman" w:hAnsi="Times New Roman" w:cs="Times New Roman"/>
          <w:sz w:val="26"/>
          <w:szCs w:val="26"/>
        </w:rPr>
        <w:t>costs cover</w:t>
      </w:r>
      <w:r w:rsidR="001915FA">
        <w:rPr>
          <w:rFonts w:ascii="Times New Roman" w:eastAsia="Times New Roman" w:hAnsi="Times New Roman" w:cs="Times New Roman"/>
          <w:sz w:val="26"/>
          <w:szCs w:val="26"/>
        </w:rPr>
        <w:t>s</w:t>
      </w:r>
      <w:r w:rsidR="00FF6981">
        <w:rPr>
          <w:rFonts w:ascii="Times New Roman" w:eastAsia="Times New Roman" w:hAnsi="Times New Roman" w:cs="Times New Roman"/>
          <w:sz w:val="26"/>
          <w:szCs w:val="26"/>
        </w:rPr>
        <w:t>.  We also asked</w:t>
      </w:r>
      <w:r w:rsidR="00C96CBE">
        <w:rPr>
          <w:rFonts w:ascii="Times New Roman" w:eastAsia="Times New Roman" w:hAnsi="Times New Roman" w:cs="Times New Roman"/>
          <w:sz w:val="26"/>
          <w:szCs w:val="26"/>
        </w:rPr>
        <w:t xml:space="preserve"> PGW</w:t>
      </w:r>
      <w:r w:rsidR="006561CF">
        <w:rPr>
          <w:rFonts w:ascii="Times New Roman" w:eastAsia="Times New Roman" w:hAnsi="Times New Roman" w:cs="Times New Roman"/>
          <w:sz w:val="26"/>
          <w:szCs w:val="26"/>
        </w:rPr>
        <w:t xml:space="preserve"> what portion, if any, of the</w:t>
      </w:r>
      <w:r w:rsidR="00FF6981">
        <w:rPr>
          <w:rFonts w:ascii="Times New Roman" w:eastAsia="Times New Roman" w:hAnsi="Times New Roman" w:cs="Times New Roman"/>
          <w:sz w:val="26"/>
          <w:szCs w:val="26"/>
        </w:rPr>
        <w:t xml:space="preserve"> $710,939</w:t>
      </w:r>
      <w:r w:rsidR="006561CF">
        <w:rPr>
          <w:rFonts w:ascii="Times New Roman" w:eastAsia="Times New Roman" w:hAnsi="Times New Roman" w:cs="Times New Roman"/>
          <w:sz w:val="26"/>
          <w:szCs w:val="26"/>
        </w:rPr>
        <w:t xml:space="preserve"> cost </w:t>
      </w:r>
      <w:r w:rsidR="00C96CBE">
        <w:rPr>
          <w:rFonts w:ascii="Times New Roman" w:eastAsia="Times New Roman" w:hAnsi="Times New Roman" w:cs="Times New Roman"/>
          <w:sz w:val="26"/>
          <w:szCs w:val="26"/>
        </w:rPr>
        <w:t xml:space="preserve">is related to </w:t>
      </w:r>
      <w:r w:rsidR="006561CF">
        <w:rPr>
          <w:rFonts w:ascii="Times New Roman" w:eastAsia="Times New Roman" w:hAnsi="Times New Roman" w:cs="Times New Roman"/>
          <w:sz w:val="26"/>
          <w:szCs w:val="26"/>
        </w:rPr>
        <w:t>the removal of the CRP Home Comfort p</w:t>
      </w:r>
      <w:r>
        <w:rPr>
          <w:rFonts w:ascii="Times New Roman" w:eastAsia="Times New Roman" w:hAnsi="Times New Roman" w:cs="Times New Roman"/>
          <w:sz w:val="26"/>
          <w:szCs w:val="26"/>
        </w:rPr>
        <w:t>rogram from the DSM portfolio.</w:t>
      </w:r>
    </w:p>
    <w:p w:rsidR="00F40FAA" w:rsidRDefault="00F40FAA" w:rsidP="006561CF">
      <w:pPr>
        <w:tabs>
          <w:tab w:val="left" w:pos="0"/>
        </w:tabs>
        <w:spacing w:after="0" w:line="360" w:lineRule="auto"/>
        <w:contextualSpacing/>
        <w:rPr>
          <w:rFonts w:ascii="Times New Roman" w:eastAsia="Times New Roman" w:hAnsi="Times New Roman" w:cs="Times New Roman"/>
          <w:sz w:val="26"/>
          <w:szCs w:val="26"/>
        </w:rPr>
      </w:pPr>
    </w:p>
    <w:p w:rsidR="00F40FAA" w:rsidRDefault="00F40FAA" w:rsidP="00F40FAA">
      <w:pPr>
        <w:tabs>
          <w:tab w:val="left" w:pos="0"/>
        </w:tabs>
        <w:spacing w:after="0" w:line="360" w:lineRule="auto"/>
        <w:contextualSpacing/>
        <w:rPr>
          <w:rFonts w:ascii="Times New Roman" w:eastAsia="Times New Roman" w:hAnsi="Times New Roman" w:cs="Times New Roman"/>
          <w:sz w:val="26"/>
          <w:szCs w:val="26"/>
        </w:rPr>
      </w:pPr>
      <w:r w:rsidRPr="00F40FAA">
        <w:rPr>
          <w:rFonts w:ascii="Times New Roman" w:eastAsia="Times New Roman" w:hAnsi="Times New Roman" w:cs="Times New Roman"/>
          <w:sz w:val="26"/>
          <w:szCs w:val="26"/>
        </w:rPr>
        <w:tab/>
        <w:t>PGW states in its Reply Comments that the $710,939 figure cited represents</w:t>
      </w:r>
      <w:r w:rsidR="001915FA">
        <w:rPr>
          <w:rFonts w:ascii="Times New Roman" w:eastAsia="Times New Roman" w:hAnsi="Times New Roman" w:cs="Times New Roman"/>
          <w:sz w:val="26"/>
          <w:szCs w:val="26"/>
        </w:rPr>
        <w:t xml:space="preserve"> the administrative cost </w:t>
      </w:r>
      <w:r w:rsidRPr="00F40FAA">
        <w:rPr>
          <w:rFonts w:ascii="Times New Roman" w:eastAsia="Times New Roman" w:hAnsi="Times New Roman" w:cs="Times New Roman"/>
          <w:sz w:val="26"/>
          <w:szCs w:val="26"/>
        </w:rPr>
        <w:t xml:space="preserve">portion of the $6,571,445 budget for </w:t>
      </w:r>
      <w:r w:rsidR="001915FA">
        <w:rPr>
          <w:rFonts w:ascii="Times New Roman" w:eastAsia="Times New Roman" w:hAnsi="Times New Roman" w:cs="Times New Roman"/>
          <w:sz w:val="26"/>
          <w:szCs w:val="26"/>
        </w:rPr>
        <w:t xml:space="preserve">the CRP Home Comfort’s </w:t>
      </w:r>
      <w:r w:rsidRPr="00F40FAA">
        <w:rPr>
          <w:rFonts w:ascii="Times New Roman" w:eastAsia="Times New Roman" w:hAnsi="Times New Roman" w:cs="Times New Roman"/>
          <w:sz w:val="26"/>
          <w:szCs w:val="26"/>
        </w:rPr>
        <w:t>FY</w:t>
      </w:r>
      <w:r w:rsidR="001915FA">
        <w:rPr>
          <w:rFonts w:ascii="Times New Roman" w:eastAsia="Times New Roman" w:hAnsi="Times New Roman" w:cs="Times New Roman"/>
          <w:sz w:val="26"/>
          <w:szCs w:val="26"/>
        </w:rPr>
        <w:t xml:space="preserve"> </w:t>
      </w:r>
      <w:r w:rsidRPr="00F40FAA">
        <w:rPr>
          <w:rFonts w:ascii="Times New Roman" w:eastAsia="Times New Roman" w:hAnsi="Times New Roman" w:cs="Times New Roman"/>
          <w:sz w:val="26"/>
          <w:szCs w:val="26"/>
        </w:rPr>
        <w:t>2017</w:t>
      </w:r>
      <w:r w:rsidR="001915FA">
        <w:rPr>
          <w:rFonts w:ascii="Times New Roman" w:eastAsia="Times New Roman" w:hAnsi="Times New Roman" w:cs="Times New Roman"/>
          <w:sz w:val="26"/>
          <w:szCs w:val="26"/>
        </w:rPr>
        <w:t xml:space="preserve"> program year</w:t>
      </w:r>
      <w:r w:rsidRPr="00F40FAA">
        <w:rPr>
          <w:rFonts w:ascii="Times New Roman" w:eastAsia="Times New Roman" w:hAnsi="Times New Roman" w:cs="Times New Roman"/>
          <w:sz w:val="26"/>
          <w:szCs w:val="26"/>
        </w:rPr>
        <w:t xml:space="preserve">. </w:t>
      </w:r>
      <w:r w:rsidR="00CD00F5">
        <w:rPr>
          <w:rFonts w:ascii="Times New Roman" w:eastAsia="Times New Roman" w:hAnsi="Times New Roman" w:cs="Times New Roman"/>
          <w:sz w:val="26"/>
          <w:szCs w:val="26"/>
        </w:rPr>
        <w:t xml:space="preserve"> </w:t>
      </w:r>
      <w:r w:rsidRPr="00F40FAA">
        <w:rPr>
          <w:rFonts w:ascii="Times New Roman" w:eastAsia="Times New Roman" w:hAnsi="Times New Roman" w:cs="Times New Roman"/>
          <w:sz w:val="26"/>
          <w:szCs w:val="26"/>
        </w:rPr>
        <w:t>PGW further clarifies that the $2,165,482 transitional budget for September 2017-December 2017,</w:t>
      </w:r>
      <w:r w:rsidR="00773522">
        <w:rPr>
          <w:rStyle w:val="FootnoteReference"/>
          <w:rFonts w:ascii="Times New Roman" w:eastAsia="Times New Roman" w:hAnsi="Times New Roman" w:cs="Times New Roman"/>
          <w:sz w:val="26"/>
          <w:szCs w:val="26"/>
        </w:rPr>
        <w:footnoteReference w:id="32"/>
      </w:r>
      <w:r w:rsidRPr="00F40FAA">
        <w:rPr>
          <w:rFonts w:ascii="Times New Roman" w:eastAsia="Times New Roman" w:hAnsi="Times New Roman" w:cs="Times New Roman"/>
          <w:sz w:val="26"/>
          <w:szCs w:val="26"/>
        </w:rPr>
        <w:t xml:space="preserve"> contains administrative costs of $236,980.</w:t>
      </w:r>
      <w:r w:rsidR="00CD00F5">
        <w:rPr>
          <w:rFonts w:ascii="Times New Roman" w:eastAsia="Times New Roman" w:hAnsi="Times New Roman" w:cs="Times New Roman"/>
          <w:sz w:val="26"/>
          <w:szCs w:val="26"/>
        </w:rPr>
        <w:t xml:space="preserve"> </w:t>
      </w:r>
      <w:r w:rsidRPr="00F40FAA">
        <w:rPr>
          <w:rFonts w:ascii="Times New Roman" w:eastAsia="Times New Roman" w:hAnsi="Times New Roman" w:cs="Times New Roman"/>
          <w:sz w:val="26"/>
          <w:szCs w:val="26"/>
        </w:rPr>
        <w:t xml:space="preserve"> PGW Reply Comments at 21. </w:t>
      </w:r>
    </w:p>
    <w:p w:rsidR="00F40FAA" w:rsidRDefault="00F40FAA" w:rsidP="00F40FAA">
      <w:pPr>
        <w:tabs>
          <w:tab w:val="left" w:pos="0"/>
        </w:tabs>
        <w:spacing w:after="0" w:line="360" w:lineRule="auto"/>
        <w:contextualSpacing/>
        <w:rPr>
          <w:rFonts w:ascii="Times New Roman" w:eastAsia="Times New Roman" w:hAnsi="Times New Roman" w:cs="Times New Roman"/>
          <w:sz w:val="26"/>
          <w:szCs w:val="26"/>
        </w:rPr>
      </w:pPr>
    </w:p>
    <w:p w:rsidR="00F40FAA" w:rsidRPr="00F40FAA" w:rsidRDefault="00153A53" w:rsidP="00F40FAA">
      <w:pPr>
        <w:tabs>
          <w:tab w:val="left" w:pos="0"/>
        </w:tabs>
        <w:spacing w:after="0" w:line="360" w:lineRule="auto"/>
        <w:contextualSpacing/>
        <w:rPr>
          <w:rFonts w:ascii="Times New Roman" w:eastAsia="Times New Roman" w:hAnsi="Times New Roman" w:cs="Times New Roman"/>
          <w:sz w:val="26"/>
          <w:szCs w:val="26"/>
        </w:rPr>
      </w:pPr>
      <w:r w:rsidRPr="00BE7A79">
        <w:rPr>
          <w:rFonts w:ascii="Times New Roman" w:eastAsia="Times New Roman" w:hAnsi="Times New Roman" w:cs="Times New Roman"/>
          <w:i/>
          <w:sz w:val="26"/>
          <w:szCs w:val="26"/>
        </w:rPr>
        <w:lastRenderedPageBreak/>
        <w:t>Resolution</w:t>
      </w:r>
      <w:r>
        <w:rPr>
          <w:rFonts w:ascii="Times New Roman" w:eastAsia="Times New Roman" w:hAnsi="Times New Roman" w:cs="Times New Roman"/>
          <w:sz w:val="26"/>
          <w:szCs w:val="26"/>
        </w:rPr>
        <w:t>:</w:t>
      </w:r>
      <w:r w:rsidR="00BE7A79">
        <w:rPr>
          <w:rFonts w:ascii="Times New Roman" w:eastAsia="Times New Roman" w:hAnsi="Times New Roman" w:cs="Times New Roman"/>
          <w:sz w:val="26"/>
          <w:szCs w:val="26"/>
        </w:rPr>
        <w:t xml:space="preserve">  </w:t>
      </w:r>
      <w:r w:rsidR="00F40FAA" w:rsidRPr="00F40FAA">
        <w:rPr>
          <w:rFonts w:ascii="Times New Roman" w:eastAsia="Times New Roman" w:hAnsi="Times New Roman" w:cs="Times New Roman"/>
          <w:sz w:val="26"/>
          <w:szCs w:val="26"/>
        </w:rPr>
        <w:t xml:space="preserve">By our estimates, the administrative costs for </w:t>
      </w:r>
      <w:r w:rsidR="00BE7A79">
        <w:rPr>
          <w:rFonts w:ascii="Times New Roman" w:eastAsia="Times New Roman" w:hAnsi="Times New Roman" w:cs="Times New Roman"/>
          <w:sz w:val="26"/>
          <w:szCs w:val="26"/>
        </w:rPr>
        <w:t xml:space="preserve">the CRP Home Comfort program year </w:t>
      </w:r>
      <w:r w:rsidR="00F40FAA" w:rsidRPr="00F40FAA">
        <w:rPr>
          <w:rFonts w:ascii="Times New Roman" w:eastAsia="Times New Roman" w:hAnsi="Times New Roman" w:cs="Times New Roman"/>
          <w:sz w:val="26"/>
          <w:szCs w:val="26"/>
        </w:rPr>
        <w:t>FY</w:t>
      </w:r>
      <w:r w:rsidR="00BE7A79">
        <w:rPr>
          <w:rFonts w:ascii="Times New Roman" w:eastAsia="Times New Roman" w:hAnsi="Times New Roman" w:cs="Times New Roman"/>
          <w:sz w:val="26"/>
          <w:szCs w:val="26"/>
        </w:rPr>
        <w:t xml:space="preserve"> </w:t>
      </w:r>
      <w:r w:rsidR="00F40FAA" w:rsidRPr="00F40FAA">
        <w:rPr>
          <w:rFonts w:ascii="Times New Roman" w:eastAsia="Times New Roman" w:hAnsi="Times New Roman" w:cs="Times New Roman"/>
          <w:sz w:val="26"/>
          <w:szCs w:val="26"/>
        </w:rPr>
        <w:t>2017 comprise 10.8%</w:t>
      </w:r>
      <w:r w:rsidR="00F40FAA">
        <w:rPr>
          <w:rFonts w:ascii="Times New Roman" w:eastAsia="Times New Roman" w:hAnsi="Times New Roman" w:cs="Times New Roman"/>
          <w:sz w:val="26"/>
          <w:szCs w:val="26"/>
        </w:rPr>
        <w:t xml:space="preserve"> ($710,939/$6,571,445)</w:t>
      </w:r>
      <w:r w:rsidR="00F40FAA" w:rsidRPr="00F40FAA">
        <w:rPr>
          <w:rFonts w:ascii="Times New Roman" w:eastAsia="Times New Roman" w:hAnsi="Times New Roman" w:cs="Times New Roman"/>
          <w:sz w:val="26"/>
          <w:szCs w:val="26"/>
        </w:rPr>
        <w:t xml:space="preserve"> of the budget, and 10.9%</w:t>
      </w:r>
      <w:r w:rsidR="00F40FAA">
        <w:rPr>
          <w:rFonts w:ascii="Times New Roman" w:eastAsia="Times New Roman" w:hAnsi="Times New Roman" w:cs="Times New Roman"/>
          <w:sz w:val="26"/>
          <w:szCs w:val="26"/>
        </w:rPr>
        <w:t xml:space="preserve"> ($236,980/$2,165,482)</w:t>
      </w:r>
      <w:r w:rsidR="00F40FAA" w:rsidRPr="00F40FAA">
        <w:rPr>
          <w:rFonts w:ascii="Times New Roman" w:eastAsia="Times New Roman" w:hAnsi="Times New Roman" w:cs="Times New Roman"/>
          <w:sz w:val="26"/>
          <w:szCs w:val="26"/>
        </w:rPr>
        <w:t xml:space="preserve"> of the transitional budget. </w:t>
      </w:r>
      <w:r w:rsidR="00CD00F5">
        <w:rPr>
          <w:rFonts w:ascii="Times New Roman" w:eastAsia="Times New Roman" w:hAnsi="Times New Roman" w:cs="Times New Roman"/>
          <w:sz w:val="26"/>
          <w:szCs w:val="26"/>
        </w:rPr>
        <w:t xml:space="preserve"> </w:t>
      </w:r>
      <w:r w:rsidR="00F40FAA" w:rsidRPr="00F40FAA">
        <w:rPr>
          <w:rFonts w:ascii="Times New Roman" w:eastAsia="Times New Roman" w:hAnsi="Times New Roman" w:cs="Times New Roman"/>
          <w:sz w:val="26"/>
          <w:szCs w:val="26"/>
        </w:rPr>
        <w:t xml:space="preserve">Both of these figures are well within the limits set by </w:t>
      </w:r>
      <w:r w:rsidR="00CD00F5">
        <w:rPr>
          <w:rFonts w:ascii="Times New Roman" w:eastAsia="Times New Roman" w:hAnsi="Times New Roman" w:cs="Times New Roman"/>
          <w:sz w:val="26"/>
          <w:szCs w:val="26"/>
        </w:rPr>
        <w:t>Section</w:t>
      </w:r>
      <w:r w:rsidR="00F40FAA" w:rsidRPr="00F40FAA">
        <w:rPr>
          <w:rFonts w:ascii="Times New Roman" w:eastAsia="Times New Roman" w:hAnsi="Times New Roman" w:cs="Times New Roman"/>
          <w:sz w:val="26"/>
          <w:szCs w:val="26"/>
        </w:rPr>
        <w:t xml:space="preserve"> 58.5, which caps the </w:t>
      </w:r>
      <w:r w:rsidR="00CD00F5">
        <w:rPr>
          <w:rFonts w:ascii="Times New Roman" w:eastAsia="Times New Roman" w:hAnsi="Times New Roman" w:cs="Times New Roman"/>
          <w:sz w:val="26"/>
          <w:szCs w:val="26"/>
        </w:rPr>
        <w:t xml:space="preserve">LIURP </w:t>
      </w:r>
      <w:r w:rsidR="00F40FAA" w:rsidRPr="00F40FAA">
        <w:rPr>
          <w:rFonts w:ascii="Times New Roman" w:eastAsia="Times New Roman" w:hAnsi="Times New Roman" w:cs="Times New Roman"/>
          <w:sz w:val="26"/>
          <w:szCs w:val="26"/>
        </w:rPr>
        <w:t xml:space="preserve">administrative costs at 15% of the annual LIURP budget. </w:t>
      </w:r>
    </w:p>
    <w:p w:rsidR="00F40FAA" w:rsidRPr="00F40FAA" w:rsidRDefault="00F40FAA" w:rsidP="00F40FAA">
      <w:pPr>
        <w:tabs>
          <w:tab w:val="left" w:pos="0"/>
        </w:tabs>
        <w:spacing w:after="0" w:line="360" w:lineRule="auto"/>
        <w:contextualSpacing/>
        <w:rPr>
          <w:rFonts w:ascii="Times New Roman" w:eastAsia="Times New Roman" w:hAnsi="Times New Roman" w:cs="Times New Roman"/>
          <w:sz w:val="26"/>
          <w:szCs w:val="26"/>
        </w:rPr>
      </w:pPr>
    </w:p>
    <w:p w:rsidR="00F40FAA" w:rsidRPr="00F40FAA" w:rsidRDefault="00F40FAA" w:rsidP="00F40FAA">
      <w:pPr>
        <w:tabs>
          <w:tab w:val="left" w:pos="0"/>
        </w:tabs>
        <w:spacing w:after="0" w:line="360" w:lineRule="auto"/>
        <w:contextualSpacing/>
        <w:rPr>
          <w:rFonts w:ascii="Times New Roman" w:eastAsia="Times New Roman" w:hAnsi="Times New Roman" w:cs="Times New Roman"/>
          <w:sz w:val="26"/>
          <w:szCs w:val="26"/>
        </w:rPr>
      </w:pPr>
      <w:r w:rsidRPr="00F40FAA">
        <w:rPr>
          <w:rFonts w:ascii="Times New Roman" w:eastAsia="Times New Roman" w:hAnsi="Times New Roman" w:cs="Times New Roman"/>
          <w:sz w:val="26"/>
          <w:szCs w:val="26"/>
        </w:rPr>
        <w:tab/>
        <w:t xml:space="preserve">The Commission is satisfied with the explanation of PGW’s administrative costs for </w:t>
      </w:r>
      <w:r w:rsidR="00BE7A79">
        <w:rPr>
          <w:rFonts w:ascii="Times New Roman" w:eastAsia="Times New Roman" w:hAnsi="Times New Roman" w:cs="Times New Roman"/>
          <w:sz w:val="26"/>
          <w:szCs w:val="26"/>
        </w:rPr>
        <w:t xml:space="preserve">CRP Home Comfort </w:t>
      </w:r>
      <w:r w:rsidRPr="00F40FAA">
        <w:rPr>
          <w:rFonts w:ascii="Times New Roman" w:eastAsia="Times New Roman" w:hAnsi="Times New Roman" w:cs="Times New Roman"/>
          <w:sz w:val="26"/>
          <w:szCs w:val="26"/>
        </w:rPr>
        <w:t>in the FY</w:t>
      </w:r>
      <w:r w:rsidR="00BE7A79">
        <w:rPr>
          <w:rFonts w:ascii="Times New Roman" w:eastAsia="Times New Roman" w:hAnsi="Times New Roman" w:cs="Times New Roman"/>
          <w:sz w:val="26"/>
          <w:szCs w:val="26"/>
        </w:rPr>
        <w:t xml:space="preserve"> </w:t>
      </w:r>
      <w:r w:rsidRPr="00F40FAA">
        <w:rPr>
          <w:rFonts w:ascii="Times New Roman" w:eastAsia="Times New Roman" w:hAnsi="Times New Roman" w:cs="Times New Roman"/>
          <w:sz w:val="26"/>
          <w:szCs w:val="26"/>
        </w:rPr>
        <w:t xml:space="preserve">2017 program year and the transitional months of September 2017-December 2017. </w:t>
      </w:r>
    </w:p>
    <w:p w:rsidR="006561CF" w:rsidRDefault="006561CF" w:rsidP="006561CF">
      <w:pPr>
        <w:tabs>
          <w:tab w:val="left" w:pos="0"/>
        </w:tabs>
        <w:spacing w:after="0" w:line="360" w:lineRule="auto"/>
        <w:contextualSpacing/>
        <w:rPr>
          <w:rFonts w:ascii="Times New Roman" w:eastAsia="Times New Roman" w:hAnsi="Times New Roman" w:cs="Times New Roman"/>
          <w:sz w:val="26"/>
          <w:szCs w:val="26"/>
          <w:u w:val="single"/>
        </w:rPr>
      </w:pPr>
    </w:p>
    <w:p w:rsidR="006561CF" w:rsidRPr="00835166" w:rsidRDefault="004518C7" w:rsidP="006561CF">
      <w:pPr>
        <w:keepNext/>
        <w:tabs>
          <w:tab w:val="left" w:pos="0"/>
        </w:tabs>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i/>
          <w:sz w:val="26"/>
          <w:szCs w:val="26"/>
        </w:rPr>
        <w:t>c.  Health &amp; Safety Pilot</w:t>
      </w:r>
    </w:p>
    <w:p w:rsidR="006561CF" w:rsidRDefault="006561CF" w:rsidP="00386FDA">
      <w:pPr>
        <w:keepNext/>
        <w:tabs>
          <w:tab w:val="left" w:pos="0"/>
        </w:tabs>
        <w:spacing w:after="0" w:line="360" w:lineRule="auto"/>
        <w:contextualSpacing/>
        <w:rPr>
          <w:rFonts w:ascii="Times New Roman" w:eastAsia="Times New Roman" w:hAnsi="Times New Roman" w:cs="Times New Roman"/>
          <w:sz w:val="26"/>
          <w:szCs w:val="26"/>
          <w:u w:val="single"/>
        </w:rPr>
      </w:pPr>
    </w:p>
    <w:p w:rsidR="001D13D7" w:rsidRDefault="001D13D7" w:rsidP="00083E3E">
      <w:pPr>
        <w:keepNext/>
        <w:tabs>
          <w:tab w:val="left" w:pos="0"/>
        </w:tabs>
        <w:spacing w:after="0" w:line="360" w:lineRule="auto"/>
        <w:contextualSpacing/>
        <w:rPr>
          <w:rFonts w:ascii="Times New Roman" w:eastAsia="Times New Roman" w:hAnsi="Times New Roman" w:cs="Times New Roman"/>
          <w:b/>
          <w:sz w:val="26"/>
          <w:szCs w:val="26"/>
        </w:rPr>
      </w:pPr>
      <w:r w:rsidRPr="001D13D7">
        <w:rPr>
          <w:rFonts w:ascii="Times New Roman" w:eastAsia="Times New Roman" w:hAnsi="Times New Roman" w:cs="Times New Roman"/>
          <w:b/>
          <w:sz w:val="26"/>
          <w:szCs w:val="26"/>
        </w:rPr>
        <w:t>Structural Aspects of the Health and Safety Pilot</w:t>
      </w:r>
    </w:p>
    <w:p w:rsidR="00386FDA" w:rsidRPr="001D13D7" w:rsidRDefault="00386FDA" w:rsidP="00083E3E">
      <w:pPr>
        <w:keepNext/>
        <w:tabs>
          <w:tab w:val="left" w:pos="0"/>
        </w:tabs>
        <w:spacing w:after="0" w:line="360" w:lineRule="auto"/>
        <w:contextualSpacing/>
        <w:rPr>
          <w:rFonts w:ascii="Times New Roman" w:eastAsia="Times New Roman" w:hAnsi="Times New Roman" w:cs="Times New Roman"/>
          <w:b/>
          <w:sz w:val="26"/>
          <w:szCs w:val="26"/>
        </w:rPr>
      </w:pPr>
    </w:p>
    <w:p w:rsidR="006561CF" w:rsidRDefault="006561CF" w:rsidP="006561CF">
      <w:pPr>
        <w:tabs>
          <w:tab w:val="left" w:pos="0"/>
        </w:tabs>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t>PGW has proposed</w:t>
      </w:r>
      <w:r w:rsidR="00BE7A79">
        <w:rPr>
          <w:rFonts w:ascii="Times New Roman" w:eastAsia="Times New Roman" w:hAnsi="Times New Roman" w:cs="Times New Roman"/>
          <w:sz w:val="26"/>
          <w:szCs w:val="26"/>
        </w:rPr>
        <w:t>, within its CRP Home Comfort program,</w:t>
      </w:r>
      <w:r>
        <w:rPr>
          <w:rFonts w:ascii="Times New Roman" w:eastAsia="Times New Roman" w:hAnsi="Times New Roman" w:cs="Times New Roman"/>
          <w:sz w:val="26"/>
          <w:szCs w:val="26"/>
        </w:rPr>
        <w:t xml:space="preserve"> to initiate a </w:t>
      </w:r>
      <w:r w:rsidR="00BE7A79">
        <w:rPr>
          <w:rFonts w:ascii="Times New Roman" w:eastAsia="Times New Roman" w:hAnsi="Times New Roman" w:cs="Times New Roman"/>
          <w:sz w:val="26"/>
          <w:szCs w:val="26"/>
        </w:rPr>
        <w:t xml:space="preserve">health and safety </w:t>
      </w:r>
      <w:r>
        <w:rPr>
          <w:rFonts w:ascii="Times New Roman" w:eastAsia="Times New Roman" w:hAnsi="Times New Roman" w:cs="Times New Roman"/>
          <w:sz w:val="26"/>
          <w:szCs w:val="26"/>
        </w:rPr>
        <w:t>pilot beginning in 2017</w:t>
      </w:r>
      <w:r w:rsidR="001B2056">
        <w:rPr>
          <w:rFonts w:ascii="Times New Roman" w:eastAsia="Times New Roman" w:hAnsi="Times New Roman" w:cs="Times New Roman"/>
          <w:sz w:val="26"/>
          <w:szCs w:val="26"/>
        </w:rPr>
        <w:t>. The pilot</w:t>
      </w:r>
      <w:r>
        <w:rPr>
          <w:rFonts w:ascii="Times New Roman" w:eastAsia="Times New Roman" w:hAnsi="Times New Roman" w:cs="Times New Roman"/>
          <w:sz w:val="26"/>
          <w:szCs w:val="26"/>
        </w:rPr>
        <w:t xml:space="preserve"> would allow contractors to spend up to $2,000 per</w:t>
      </w:r>
      <w:r w:rsidR="00CD00F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project on the installation of health and safety measures, without the cost impacting the project’s cost-effectiveness.  PGW proposes parameters for the pilot that would include pre-screening of potential projects and that the work scope should be tied to the installation of measures that will produce </w:t>
      </w:r>
      <w:r w:rsidRPr="008D3BFA">
        <w:rPr>
          <w:rFonts w:ascii="Times New Roman" w:eastAsia="Times New Roman" w:hAnsi="Times New Roman" w:cs="Times New Roman"/>
          <w:sz w:val="26"/>
          <w:szCs w:val="26"/>
        </w:rPr>
        <w:t xml:space="preserve">savings.  </w:t>
      </w:r>
      <w:r w:rsidR="00D56BAD" w:rsidRPr="008D3BFA">
        <w:rPr>
          <w:rFonts w:ascii="Times New Roman" w:eastAsia="Times New Roman" w:hAnsi="Times New Roman" w:cs="Times New Roman"/>
          <w:sz w:val="26"/>
          <w:szCs w:val="26"/>
        </w:rPr>
        <w:t xml:space="preserve">Amended </w:t>
      </w:r>
      <w:r w:rsidRPr="008D3BFA">
        <w:rPr>
          <w:rFonts w:ascii="Times New Roman" w:eastAsia="Times New Roman" w:hAnsi="Times New Roman" w:cs="Times New Roman"/>
          <w:sz w:val="26"/>
          <w:szCs w:val="26"/>
        </w:rPr>
        <w:t>Proposed 2017-2020</w:t>
      </w:r>
      <w:r w:rsidR="004518C7">
        <w:rPr>
          <w:rFonts w:ascii="Times New Roman" w:eastAsia="Times New Roman" w:hAnsi="Times New Roman" w:cs="Times New Roman"/>
          <w:sz w:val="26"/>
          <w:szCs w:val="26"/>
        </w:rPr>
        <w:t xml:space="preserve"> Plan at 25.</w:t>
      </w:r>
    </w:p>
    <w:p w:rsidR="006561CF" w:rsidRDefault="006561CF" w:rsidP="006561CF">
      <w:pPr>
        <w:tabs>
          <w:tab w:val="left" w:pos="0"/>
        </w:tabs>
        <w:spacing w:after="0" w:line="360" w:lineRule="auto"/>
        <w:contextualSpacing/>
        <w:rPr>
          <w:rFonts w:ascii="Times New Roman" w:eastAsia="Times New Roman" w:hAnsi="Times New Roman" w:cs="Times New Roman"/>
          <w:sz w:val="26"/>
          <w:szCs w:val="26"/>
        </w:rPr>
      </w:pPr>
    </w:p>
    <w:p w:rsidR="006561CF" w:rsidRDefault="006561CF" w:rsidP="006561CF">
      <w:pPr>
        <w:tabs>
          <w:tab w:val="left" w:pos="0"/>
        </w:tabs>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4518C7">
        <w:rPr>
          <w:rFonts w:ascii="Times New Roman" w:eastAsia="Times New Roman" w:hAnsi="Times New Roman" w:cs="Times New Roman"/>
          <w:sz w:val="26"/>
          <w:szCs w:val="26"/>
        </w:rPr>
        <w:t xml:space="preserve">In the Tentative Order, we asked </w:t>
      </w:r>
      <w:r>
        <w:rPr>
          <w:rFonts w:ascii="Times New Roman" w:eastAsia="Times New Roman" w:hAnsi="Times New Roman" w:cs="Times New Roman"/>
          <w:sz w:val="26"/>
          <w:szCs w:val="26"/>
        </w:rPr>
        <w:t xml:space="preserve">PGW </w:t>
      </w:r>
      <w:r w:rsidR="004518C7">
        <w:rPr>
          <w:rFonts w:ascii="Times New Roman" w:eastAsia="Times New Roman" w:hAnsi="Times New Roman" w:cs="Times New Roman"/>
          <w:sz w:val="26"/>
          <w:szCs w:val="26"/>
        </w:rPr>
        <w:t xml:space="preserve">to </w:t>
      </w:r>
      <w:r>
        <w:rPr>
          <w:rFonts w:ascii="Times New Roman" w:eastAsia="Times New Roman" w:hAnsi="Times New Roman" w:cs="Times New Roman"/>
          <w:sz w:val="26"/>
          <w:szCs w:val="26"/>
        </w:rPr>
        <w:t>indicate the duration of this proposed pilot</w:t>
      </w:r>
      <w:r w:rsidR="00F760BF">
        <w:rPr>
          <w:rFonts w:ascii="Times New Roman" w:eastAsia="Times New Roman" w:hAnsi="Times New Roman" w:cs="Times New Roman"/>
          <w:sz w:val="26"/>
          <w:szCs w:val="26"/>
        </w:rPr>
        <w:t xml:space="preserve">, </w:t>
      </w:r>
      <w:r w:rsidR="003F0A36">
        <w:rPr>
          <w:rFonts w:ascii="Times New Roman" w:eastAsia="Times New Roman" w:hAnsi="Times New Roman" w:cs="Times New Roman"/>
          <w:sz w:val="26"/>
          <w:szCs w:val="26"/>
        </w:rPr>
        <w:t>propose success metrics to move it from pilot to permanent status</w:t>
      </w:r>
      <w:r>
        <w:rPr>
          <w:rFonts w:ascii="Times New Roman" w:eastAsia="Times New Roman" w:hAnsi="Times New Roman" w:cs="Times New Roman"/>
          <w:sz w:val="26"/>
          <w:szCs w:val="26"/>
        </w:rPr>
        <w:t xml:space="preserve">, and </w:t>
      </w:r>
      <w:r w:rsidR="00DA005B">
        <w:rPr>
          <w:rFonts w:ascii="Times New Roman" w:eastAsia="Times New Roman" w:hAnsi="Times New Roman" w:cs="Times New Roman"/>
          <w:sz w:val="26"/>
          <w:szCs w:val="26"/>
        </w:rPr>
        <w:t xml:space="preserve">clarify </w:t>
      </w:r>
      <w:r w:rsidR="00413172">
        <w:rPr>
          <w:rFonts w:ascii="Times New Roman" w:eastAsia="Times New Roman" w:hAnsi="Times New Roman" w:cs="Times New Roman"/>
          <w:sz w:val="26"/>
          <w:szCs w:val="26"/>
        </w:rPr>
        <w:t>why this pilot needs</w:t>
      </w:r>
      <w:r w:rsidR="004518C7">
        <w:rPr>
          <w:rFonts w:ascii="Times New Roman" w:eastAsia="Times New Roman" w:hAnsi="Times New Roman" w:cs="Times New Roman"/>
          <w:sz w:val="26"/>
          <w:szCs w:val="26"/>
        </w:rPr>
        <w:t xml:space="preserve"> waivers from Sections 58.11, 58.12, and/or 58.18</w:t>
      </w:r>
      <w:r>
        <w:rPr>
          <w:rFonts w:ascii="Times New Roman" w:eastAsia="Times New Roman" w:hAnsi="Times New Roman" w:cs="Times New Roman"/>
          <w:sz w:val="26"/>
          <w:szCs w:val="26"/>
        </w:rPr>
        <w:t>.</w:t>
      </w:r>
    </w:p>
    <w:p w:rsidR="00EB7308" w:rsidRDefault="00EB7308" w:rsidP="006561CF">
      <w:pPr>
        <w:tabs>
          <w:tab w:val="left" w:pos="0"/>
        </w:tabs>
        <w:spacing w:after="0" w:line="360" w:lineRule="auto"/>
        <w:contextualSpacing/>
        <w:rPr>
          <w:rFonts w:ascii="Times New Roman" w:eastAsia="Times New Roman" w:hAnsi="Times New Roman" w:cs="Times New Roman"/>
          <w:sz w:val="26"/>
          <w:szCs w:val="26"/>
        </w:rPr>
      </w:pPr>
    </w:p>
    <w:p w:rsidR="00EB7308" w:rsidRPr="00EB7308" w:rsidRDefault="00EB7308" w:rsidP="00EB7308">
      <w:pPr>
        <w:tabs>
          <w:tab w:val="left" w:pos="0"/>
        </w:tabs>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Pr="00EB7308">
        <w:rPr>
          <w:rFonts w:ascii="Times New Roman" w:eastAsia="Times New Roman" w:hAnsi="Times New Roman" w:cs="Times New Roman"/>
          <w:sz w:val="26"/>
          <w:szCs w:val="26"/>
        </w:rPr>
        <w:t xml:space="preserve">CAUSE-PA supports the proposed </w:t>
      </w:r>
      <w:r w:rsidR="00F760BF">
        <w:rPr>
          <w:rFonts w:ascii="Times New Roman" w:eastAsia="Times New Roman" w:hAnsi="Times New Roman" w:cs="Times New Roman"/>
          <w:sz w:val="26"/>
          <w:szCs w:val="26"/>
        </w:rPr>
        <w:t>h</w:t>
      </w:r>
      <w:r w:rsidRPr="00EB7308">
        <w:rPr>
          <w:rFonts w:ascii="Times New Roman" w:eastAsia="Times New Roman" w:hAnsi="Times New Roman" w:cs="Times New Roman"/>
          <w:sz w:val="26"/>
          <w:szCs w:val="26"/>
        </w:rPr>
        <w:t xml:space="preserve">ealth </w:t>
      </w:r>
      <w:r w:rsidR="00F760BF">
        <w:rPr>
          <w:rFonts w:ascii="Times New Roman" w:eastAsia="Times New Roman" w:hAnsi="Times New Roman" w:cs="Times New Roman"/>
          <w:sz w:val="26"/>
          <w:szCs w:val="26"/>
        </w:rPr>
        <w:t>and</w:t>
      </w:r>
      <w:r w:rsidRPr="00EB7308">
        <w:rPr>
          <w:rFonts w:ascii="Times New Roman" w:eastAsia="Times New Roman" w:hAnsi="Times New Roman" w:cs="Times New Roman"/>
          <w:sz w:val="26"/>
          <w:szCs w:val="26"/>
        </w:rPr>
        <w:t xml:space="preserve"> </w:t>
      </w:r>
      <w:r w:rsidR="00F760BF">
        <w:rPr>
          <w:rFonts w:ascii="Times New Roman" w:eastAsia="Times New Roman" w:hAnsi="Times New Roman" w:cs="Times New Roman"/>
          <w:sz w:val="26"/>
          <w:szCs w:val="26"/>
        </w:rPr>
        <w:t>s</w:t>
      </w:r>
      <w:r w:rsidRPr="00EB7308">
        <w:rPr>
          <w:rFonts w:ascii="Times New Roman" w:eastAsia="Times New Roman" w:hAnsi="Times New Roman" w:cs="Times New Roman"/>
          <w:sz w:val="26"/>
          <w:szCs w:val="26"/>
        </w:rPr>
        <w:t>afety pilot but questions “PGW’s 25% savings threshold requirement and savings goal</w:t>
      </w:r>
      <w:r w:rsidR="00F760BF">
        <w:rPr>
          <w:rFonts w:ascii="Times New Roman" w:eastAsia="Times New Roman" w:hAnsi="Times New Roman" w:cs="Times New Roman"/>
          <w:sz w:val="26"/>
          <w:szCs w:val="26"/>
        </w:rPr>
        <w:t>.</w:t>
      </w:r>
      <w:r w:rsidRPr="00EB7308">
        <w:rPr>
          <w:rFonts w:ascii="Times New Roman" w:eastAsia="Times New Roman" w:hAnsi="Times New Roman" w:cs="Times New Roman"/>
          <w:sz w:val="26"/>
          <w:szCs w:val="26"/>
        </w:rPr>
        <w:t xml:space="preserve">” </w:t>
      </w:r>
      <w:r w:rsidR="00F760BF">
        <w:rPr>
          <w:rFonts w:ascii="Times New Roman" w:eastAsia="Times New Roman" w:hAnsi="Times New Roman" w:cs="Times New Roman"/>
          <w:sz w:val="26"/>
          <w:szCs w:val="26"/>
        </w:rPr>
        <w:t xml:space="preserve">CAUSE-PA </w:t>
      </w:r>
      <w:r w:rsidRPr="00EB7308">
        <w:rPr>
          <w:rFonts w:ascii="Times New Roman" w:eastAsia="Times New Roman" w:hAnsi="Times New Roman" w:cs="Times New Roman"/>
          <w:sz w:val="26"/>
          <w:szCs w:val="26"/>
        </w:rPr>
        <w:t xml:space="preserve">“believes that any approval of the proposed pilot must come with an increase in the overall LIURP budget.” </w:t>
      </w:r>
      <w:r w:rsidR="00CD00F5">
        <w:rPr>
          <w:rFonts w:ascii="Times New Roman" w:eastAsia="Times New Roman" w:hAnsi="Times New Roman" w:cs="Times New Roman"/>
          <w:sz w:val="26"/>
          <w:szCs w:val="26"/>
        </w:rPr>
        <w:t xml:space="preserve"> </w:t>
      </w:r>
      <w:r w:rsidRPr="00EB7308">
        <w:rPr>
          <w:rFonts w:ascii="Times New Roman" w:eastAsia="Times New Roman" w:hAnsi="Times New Roman" w:cs="Times New Roman"/>
          <w:sz w:val="26"/>
          <w:szCs w:val="26"/>
        </w:rPr>
        <w:lastRenderedPageBreak/>
        <w:t xml:space="preserve">CAUSE-PA Comments at 23. </w:t>
      </w:r>
      <w:r w:rsidR="00CD00F5">
        <w:rPr>
          <w:rFonts w:ascii="Times New Roman" w:eastAsia="Times New Roman" w:hAnsi="Times New Roman" w:cs="Times New Roman"/>
          <w:sz w:val="26"/>
          <w:szCs w:val="26"/>
        </w:rPr>
        <w:t xml:space="preserve"> </w:t>
      </w:r>
      <w:r w:rsidRPr="00EB7308">
        <w:rPr>
          <w:rFonts w:ascii="Times New Roman" w:eastAsia="Times New Roman" w:hAnsi="Times New Roman" w:cs="Times New Roman"/>
          <w:sz w:val="26"/>
          <w:szCs w:val="26"/>
        </w:rPr>
        <w:t xml:space="preserve">CAUSE-PA points out that “there is no evidence that PGW has achieved this 25% level of savings through the provision of LIURP services” and that “removing health and safety barriers to the provision of LIURP services does not necessarily equate to deeper achievable savings.” </w:t>
      </w:r>
      <w:r w:rsidR="00153A53">
        <w:rPr>
          <w:rFonts w:ascii="Times New Roman" w:eastAsia="Times New Roman" w:hAnsi="Times New Roman" w:cs="Times New Roman"/>
          <w:sz w:val="26"/>
          <w:szCs w:val="26"/>
        </w:rPr>
        <w:t xml:space="preserve"> </w:t>
      </w:r>
      <w:r w:rsidRPr="00EB7308">
        <w:rPr>
          <w:rFonts w:ascii="Times New Roman" w:eastAsia="Times New Roman" w:hAnsi="Times New Roman" w:cs="Times New Roman"/>
          <w:sz w:val="26"/>
          <w:szCs w:val="26"/>
        </w:rPr>
        <w:t xml:space="preserve">CAUSE-PA Comments at 25. </w:t>
      </w:r>
    </w:p>
    <w:p w:rsidR="00EB7308" w:rsidRPr="00EB7308" w:rsidRDefault="00EB7308" w:rsidP="00EB7308">
      <w:pPr>
        <w:tabs>
          <w:tab w:val="left" w:pos="0"/>
        </w:tabs>
        <w:spacing w:after="0" w:line="360" w:lineRule="auto"/>
        <w:contextualSpacing/>
        <w:rPr>
          <w:rFonts w:ascii="Times New Roman" w:eastAsia="Times New Roman" w:hAnsi="Times New Roman" w:cs="Times New Roman"/>
          <w:sz w:val="26"/>
          <w:szCs w:val="26"/>
        </w:rPr>
      </w:pPr>
    </w:p>
    <w:p w:rsidR="00EB7308" w:rsidRPr="00EB7308" w:rsidRDefault="00EB7308" w:rsidP="00EB7308">
      <w:pPr>
        <w:tabs>
          <w:tab w:val="left" w:pos="0"/>
        </w:tabs>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Pr="00EB7308">
        <w:rPr>
          <w:rFonts w:ascii="Times New Roman" w:eastAsia="Times New Roman" w:hAnsi="Times New Roman" w:cs="Times New Roman"/>
          <w:sz w:val="26"/>
          <w:szCs w:val="26"/>
        </w:rPr>
        <w:t xml:space="preserve">OCA supports the proposed health and safety pilot but has concerns about the $2,000 per project budget cap </w:t>
      </w:r>
      <w:r w:rsidR="00DA1AAC">
        <w:rPr>
          <w:rFonts w:ascii="Times New Roman" w:eastAsia="Times New Roman" w:hAnsi="Times New Roman" w:cs="Times New Roman"/>
          <w:sz w:val="26"/>
          <w:szCs w:val="26"/>
        </w:rPr>
        <w:t xml:space="preserve">but </w:t>
      </w:r>
      <w:r w:rsidRPr="00EB7308">
        <w:rPr>
          <w:rFonts w:ascii="Times New Roman" w:eastAsia="Times New Roman" w:hAnsi="Times New Roman" w:cs="Times New Roman"/>
          <w:sz w:val="26"/>
          <w:szCs w:val="26"/>
        </w:rPr>
        <w:t>indicates that acceptance of the per</w:t>
      </w:r>
      <w:r w:rsidR="00DA1AAC">
        <w:rPr>
          <w:rFonts w:ascii="Times New Roman" w:eastAsia="Times New Roman" w:hAnsi="Times New Roman" w:cs="Times New Roman"/>
          <w:sz w:val="26"/>
          <w:szCs w:val="26"/>
        </w:rPr>
        <w:t>-</w:t>
      </w:r>
      <w:r w:rsidRPr="00EB7308">
        <w:rPr>
          <w:rFonts w:ascii="Times New Roman" w:eastAsia="Times New Roman" w:hAnsi="Times New Roman" w:cs="Times New Roman"/>
          <w:sz w:val="26"/>
          <w:szCs w:val="26"/>
        </w:rPr>
        <w:t xml:space="preserve">project budget cap </w:t>
      </w:r>
      <w:r w:rsidR="00DA1AAC">
        <w:rPr>
          <w:rFonts w:ascii="Times New Roman" w:eastAsia="Times New Roman" w:hAnsi="Times New Roman" w:cs="Times New Roman"/>
          <w:sz w:val="26"/>
          <w:szCs w:val="26"/>
        </w:rPr>
        <w:t xml:space="preserve">for a pilot </w:t>
      </w:r>
      <w:r w:rsidRPr="00EB7308">
        <w:rPr>
          <w:rFonts w:ascii="Times New Roman" w:eastAsia="Times New Roman" w:hAnsi="Times New Roman" w:cs="Times New Roman"/>
          <w:sz w:val="26"/>
          <w:szCs w:val="26"/>
        </w:rPr>
        <w:t xml:space="preserve">should not be construed as consent </w:t>
      </w:r>
      <w:r w:rsidR="00DA1AAC">
        <w:rPr>
          <w:rFonts w:ascii="Times New Roman" w:eastAsia="Times New Roman" w:hAnsi="Times New Roman" w:cs="Times New Roman"/>
          <w:sz w:val="26"/>
          <w:szCs w:val="26"/>
        </w:rPr>
        <w:t xml:space="preserve">going forward </w:t>
      </w:r>
      <w:r w:rsidRPr="00EB7308">
        <w:rPr>
          <w:rFonts w:ascii="Times New Roman" w:eastAsia="Times New Roman" w:hAnsi="Times New Roman" w:cs="Times New Roman"/>
          <w:sz w:val="26"/>
          <w:szCs w:val="26"/>
        </w:rPr>
        <w:t xml:space="preserve">if the pilot becomes part of the permanent LIURP program. </w:t>
      </w:r>
      <w:r w:rsidR="00DA1AAC">
        <w:rPr>
          <w:rFonts w:ascii="Times New Roman" w:eastAsia="Times New Roman" w:hAnsi="Times New Roman" w:cs="Times New Roman"/>
          <w:sz w:val="26"/>
          <w:szCs w:val="26"/>
        </w:rPr>
        <w:t xml:space="preserve"> </w:t>
      </w:r>
      <w:r w:rsidRPr="00EB7308">
        <w:rPr>
          <w:rFonts w:ascii="Times New Roman" w:eastAsia="Times New Roman" w:hAnsi="Times New Roman" w:cs="Times New Roman"/>
          <w:sz w:val="26"/>
          <w:szCs w:val="26"/>
        </w:rPr>
        <w:t xml:space="preserve">OCA Comments at 14. </w:t>
      </w:r>
      <w:r w:rsidR="00DA1AAC">
        <w:rPr>
          <w:rFonts w:ascii="Times New Roman" w:eastAsia="Times New Roman" w:hAnsi="Times New Roman" w:cs="Times New Roman"/>
          <w:sz w:val="26"/>
          <w:szCs w:val="26"/>
        </w:rPr>
        <w:t xml:space="preserve"> </w:t>
      </w:r>
      <w:r w:rsidRPr="00EB7308">
        <w:rPr>
          <w:rFonts w:ascii="Times New Roman" w:eastAsia="Times New Roman" w:hAnsi="Times New Roman" w:cs="Times New Roman"/>
          <w:sz w:val="26"/>
          <w:szCs w:val="26"/>
        </w:rPr>
        <w:t>OCA further comments that the Commission should require PGW to collect data regarding the number of decreases in deferral cases that the pilot produces</w:t>
      </w:r>
      <w:r w:rsidR="00F760BF">
        <w:rPr>
          <w:rFonts w:ascii="Times New Roman" w:eastAsia="Times New Roman" w:hAnsi="Times New Roman" w:cs="Times New Roman"/>
          <w:sz w:val="26"/>
          <w:szCs w:val="26"/>
        </w:rPr>
        <w:t xml:space="preserve"> </w:t>
      </w:r>
      <w:r w:rsidR="00DA1AAC">
        <w:rPr>
          <w:rFonts w:ascii="Times New Roman" w:eastAsia="Times New Roman" w:hAnsi="Times New Roman" w:cs="Times New Roman"/>
          <w:sz w:val="26"/>
          <w:szCs w:val="26"/>
        </w:rPr>
        <w:t>and</w:t>
      </w:r>
      <w:r w:rsidRPr="00EB7308">
        <w:rPr>
          <w:rFonts w:ascii="Times New Roman" w:eastAsia="Times New Roman" w:hAnsi="Times New Roman" w:cs="Times New Roman"/>
          <w:sz w:val="26"/>
          <w:szCs w:val="26"/>
        </w:rPr>
        <w:t xml:space="preserve"> the increases in the number of projects with deep savings greater than 25%</w:t>
      </w:r>
      <w:r w:rsidR="00DA1AAC">
        <w:rPr>
          <w:rFonts w:ascii="Times New Roman" w:eastAsia="Times New Roman" w:hAnsi="Times New Roman" w:cs="Times New Roman"/>
          <w:sz w:val="26"/>
          <w:szCs w:val="26"/>
        </w:rPr>
        <w:t>.  PGW should also</w:t>
      </w:r>
      <w:r w:rsidR="003E0724">
        <w:rPr>
          <w:rFonts w:ascii="Times New Roman" w:eastAsia="Times New Roman" w:hAnsi="Times New Roman" w:cs="Times New Roman"/>
          <w:sz w:val="26"/>
          <w:szCs w:val="26"/>
        </w:rPr>
        <w:t xml:space="preserve"> </w:t>
      </w:r>
      <w:r w:rsidRPr="00EB7308">
        <w:rPr>
          <w:rFonts w:ascii="Times New Roman" w:eastAsia="Times New Roman" w:hAnsi="Times New Roman" w:cs="Times New Roman"/>
          <w:sz w:val="26"/>
          <w:szCs w:val="26"/>
        </w:rPr>
        <w:t xml:space="preserve">track the specific measures installed along with the costs of the measures. </w:t>
      </w:r>
      <w:r w:rsidR="00153A53">
        <w:rPr>
          <w:rFonts w:ascii="Times New Roman" w:eastAsia="Times New Roman" w:hAnsi="Times New Roman" w:cs="Times New Roman"/>
          <w:sz w:val="26"/>
          <w:szCs w:val="26"/>
        </w:rPr>
        <w:t xml:space="preserve"> </w:t>
      </w:r>
      <w:r w:rsidRPr="00EB7308">
        <w:rPr>
          <w:rFonts w:ascii="Times New Roman" w:eastAsia="Times New Roman" w:hAnsi="Times New Roman" w:cs="Times New Roman"/>
          <w:sz w:val="26"/>
          <w:szCs w:val="26"/>
        </w:rPr>
        <w:t>OCA Comments at 14-15.</w:t>
      </w:r>
    </w:p>
    <w:p w:rsidR="00EB7308" w:rsidRPr="00EB7308" w:rsidRDefault="00EB7308" w:rsidP="00EB7308">
      <w:pPr>
        <w:tabs>
          <w:tab w:val="left" w:pos="0"/>
        </w:tabs>
        <w:spacing w:after="0" w:line="360" w:lineRule="auto"/>
        <w:contextualSpacing/>
        <w:rPr>
          <w:rFonts w:ascii="Times New Roman" w:eastAsia="Times New Roman" w:hAnsi="Times New Roman" w:cs="Times New Roman"/>
          <w:sz w:val="26"/>
          <w:szCs w:val="26"/>
        </w:rPr>
      </w:pPr>
    </w:p>
    <w:p w:rsidR="00EB7308" w:rsidRPr="00EB7308" w:rsidRDefault="00EB7308" w:rsidP="00EB7308">
      <w:pPr>
        <w:tabs>
          <w:tab w:val="left" w:pos="0"/>
        </w:tabs>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Pr="00EB7308">
        <w:rPr>
          <w:rFonts w:ascii="Times New Roman" w:eastAsia="Times New Roman" w:hAnsi="Times New Roman" w:cs="Times New Roman"/>
          <w:sz w:val="26"/>
          <w:szCs w:val="26"/>
        </w:rPr>
        <w:t xml:space="preserve">TURN </w:t>
      </w:r>
      <w:r w:rsidRPr="00EB7308">
        <w:rPr>
          <w:rFonts w:ascii="Times New Roman" w:eastAsia="Times New Roman" w:hAnsi="Times New Roman" w:cs="Times New Roman"/>
          <w:i/>
          <w:sz w:val="26"/>
          <w:szCs w:val="26"/>
        </w:rPr>
        <w:t>et al</w:t>
      </w:r>
      <w:r w:rsidRPr="00EB7308">
        <w:rPr>
          <w:rFonts w:ascii="Times New Roman" w:eastAsia="Times New Roman" w:hAnsi="Times New Roman" w:cs="Times New Roman"/>
          <w:sz w:val="26"/>
          <w:szCs w:val="26"/>
        </w:rPr>
        <w:t xml:space="preserve"> support the PGW </w:t>
      </w:r>
      <w:r w:rsidR="00DA1AAC">
        <w:rPr>
          <w:rFonts w:ascii="Times New Roman" w:eastAsia="Times New Roman" w:hAnsi="Times New Roman" w:cs="Times New Roman"/>
          <w:sz w:val="26"/>
          <w:szCs w:val="26"/>
        </w:rPr>
        <w:t xml:space="preserve">health and safety </w:t>
      </w:r>
      <w:r w:rsidRPr="00EB7308">
        <w:rPr>
          <w:rFonts w:ascii="Times New Roman" w:eastAsia="Times New Roman" w:hAnsi="Times New Roman" w:cs="Times New Roman"/>
          <w:sz w:val="26"/>
          <w:szCs w:val="26"/>
        </w:rPr>
        <w:t xml:space="preserve">pilot and indicate that the pilot may provide benefits to customers whose homes were previously ineligible for LIURP services due to health and safety issues. </w:t>
      </w:r>
      <w:r w:rsidR="00153A53">
        <w:rPr>
          <w:rFonts w:ascii="Times New Roman" w:eastAsia="Times New Roman" w:hAnsi="Times New Roman" w:cs="Times New Roman"/>
          <w:sz w:val="26"/>
          <w:szCs w:val="26"/>
        </w:rPr>
        <w:t xml:space="preserve"> </w:t>
      </w:r>
      <w:r w:rsidRPr="00EB7308">
        <w:rPr>
          <w:rFonts w:ascii="Times New Roman" w:eastAsia="Times New Roman" w:hAnsi="Times New Roman" w:cs="Times New Roman"/>
          <w:sz w:val="26"/>
          <w:szCs w:val="26"/>
        </w:rPr>
        <w:t xml:space="preserve">TURN </w:t>
      </w:r>
      <w:r w:rsidRPr="001B2056">
        <w:rPr>
          <w:rFonts w:ascii="Times New Roman" w:eastAsia="Times New Roman" w:hAnsi="Times New Roman" w:cs="Times New Roman"/>
          <w:i/>
          <w:sz w:val="26"/>
          <w:szCs w:val="26"/>
        </w:rPr>
        <w:t>et al</w:t>
      </w:r>
      <w:r w:rsidRPr="00EB7308">
        <w:rPr>
          <w:rFonts w:ascii="Times New Roman" w:eastAsia="Times New Roman" w:hAnsi="Times New Roman" w:cs="Times New Roman"/>
          <w:sz w:val="26"/>
          <w:szCs w:val="26"/>
        </w:rPr>
        <w:t xml:space="preserve"> Comments at 16. </w:t>
      </w:r>
    </w:p>
    <w:p w:rsidR="00EB7308" w:rsidRPr="00EB7308" w:rsidRDefault="00EB7308" w:rsidP="00EB7308">
      <w:pPr>
        <w:tabs>
          <w:tab w:val="left" w:pos="0"/>
        </w:tabs>
        <w:spacing w:after="0" w:line="360" w:lineRule="auto"/>
        <w:contextualSpacing/>
        <w:rPr>
          <w:rFonts w:ascii="Times New Roman" w:eastAsia="Times New Roman" w:hAnsi="Times New Roman" w:cs="Times New Roman"/>
          <w:sz w:val="26"/>
          <w:szCs w:val="26"/>
        </w:rPr>
      </w:pPr>
    </w:p>
    <w:p w:rsidR="00EB7308" w:rsidRPr="00EB7308" w:rsidRDefault="00EB7308" w:rsidP="00EB7308">
      <w:pPr>
        <w:tabs>
          <w:tab w:val="left" w:pos="0"/>
        </w:tabs>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Pr="00EB7308">
        <w:rPr>
          <w:rFonts w:ascii="Times New Roman" w:eastAsia="Times New Roman" w:hAnsi="Times New Roman" w:cs="Times New Roman"/>
          <w:sz w:val="26"/>
          <w:szCs w:val="26"/>
        </w:rPr>
        <w:t>PGW clarifies that the proposed health and safety pilot is for the years covered during this USECP</w:t>
      </w:r>
      <w:r w:rsidR="004C6348">
        <w:rPr>
          <w:rFonts w:ascii="Times New Roman" w:eastAsia="Times New Roman" w:hAnsi="Times New Roman" w:cs="Times New Roman"/>
          <w:sz w:val="26"/>
          <w:szCs w:val="26"/>
        </w:rPr>
        <w:t>.  PGW further qualifies that it would commence the pilot</w:t>
      </w:r>
      <w:r w:rsidRPr="00EB7308">
        <w:rPr>
          <w:rFonts w:ascii="Times New Roman" w:eastAsia="Times New Roman" w:hAnsi="Times New Roman" w:cs="Times New Roman"/>
          <w:sz w:val="26"/>
          <w:szCs w:val="26"/>
        </w:rPr>
        <w:t xml:space="preserve"> only “if the proposed budget for the pilot is included as part of the total LIURP budget and the LIURP budget is not increased to accommodate the costs of this pilot.”  PGW Supplemental </w:t>
      </w:r>
      <w:r w:rsidR="00153A53">
        <w:rPr>
          <w:rFonts w:ascii="Times New Roman" w:eastAsia="Times New Roman" w:hAnsi="Times New Roman" w:cs="Times New Roman"/>
          <w:sz w:val="26"/>
          <w:szCs w:val="26"/>
        </w:rPr>
        <w:t>Information</w:t>
      </w:r>
      <w:r w:rsidRPr="00EB7308">
        <w:rPr>
          <w:rFonts w:ascii="Times New Roman" w:eastAsia="Times New Roman" w:hAnsi="Times New Roman" w:cs="Times New Roman"/>
          <w:sz w:val="26"/>
          <w:szCs w:val="26"/>
        </w:rPr>
        <w:t xml:space="preserve"> at 18.</w:t>
      </w:r>
    </w:p>
    <w:p w:rsidR="00EB7308" w:rsidRPr="00EB7308" w:rsidRDefault="00EB7308" w:rsidP="00EB7308">
      <w:pPr>
        <w:tabs>
          <w:tab w:val="left" w:pos="0"/>
        </w:tabs>
        <w:spacing w:after="0" w:line="360" w:lineRule="auto"/>
        <w:contextualSpacing/>
        <w:rPr>
          <w:rFonts w:ascii="Times New Roman" w:eastAsia="Times New Roman" w:hAnsi="Times New Roman" w:cs="Times New Roman"/>
          <w:sz w:val="26"/>
          <w:szCs w:val="26"/>
        </w:rPr>
      </w:pPr>
    </w:p>
    <w:p w:rsidR="00EB7308" w:rsidRPr="00EB7308" w:rsidRDefault="00EB7308" w:rsidP="00EB7308">
      <w:pPr>
        <w:tabs>
          <w:tab w:val="left" w:pos="0"/>
        </w:tabs>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Pr="00EB7308">
        <w:rPr>
          <w:rFonts w:ascii="Times New Roman" w:eastAsia="Times New Roman" w:hAnsi="Times New Roman" w:cs="Times New Roman"/>
          <w:sz w:val="26"/>
          <w:szCs w:val="26"/>
        </w:rPr>
        <w:t xml:space="preserve">PGW responded to the Commission’s question regarding metrics for the </w:t>
      </w:r>
      <w:r w:rsidR="00DA1AAC">
        <w:rPr>
          <w:rFonts w:ascii="Times New Roman" w:eastAsia="Times New Roman" w:hAnsi="Times New Roman" w:cs="Times New Roman"/>
          <w:sz w:val="26"/>
          <w:szCs w:val="26"/>
        </w:rPr>
        <w:t xml:space="preserve">health and safety </w:t>
      </w:r>
      <w:r w:rsidRPr="00EB7308">
        <w:rPr>
          <w:rFonts w:ascii="Times New Roman" w:eastAsia="Times New Roman" w:hAnsi="Times New Roman" w:cs="Times New Roman"/>
          <w:sz w:val="26"/>
          <w:szCs w:val="26"/>
        </w:rPr>
        <w:t>pilot by stating that there are two key objectives for the pilot.</w:t>
      </w:r>
      <w:r w:rsidR="00DA1AAC">
        <w:rPr>
          <w:rFonts w:ascii="Times New Roman" w:eastAsia="Times New Roman" w:hAnsi="Times New Roman" w:cs="Times New Roman"/>
          <w:sz w:val="26"/>
          <w:szCs w:val="26"/>
        </w:rPr>
        <w:t xml:space="preserve"> </w:t>
      </w:r>
      <w:r w:rsidRPr="00EB7308">
        <w:rPr>
          <w:rFonts w:ascii="Times New Roman" w:eastAsia="Times New Roman" w:hAnsi="Times New Roman" w:cs="Times New Roman"/>
          <w:sz w:val="26"/>
          <w:szCs w:val="26"/>
        </w:rPr>
        <w:t xml:space="preserve"> PGW will evaluate whether the pilot “helps decrease the number of cases that are deferred from comprehensive weatherization due to pre-existing health and safety issues” and </w:t>
      </w:r>
      <w:r w:rsidRPr="00EB7308">
        <w:rPr>
          <w:rFonts w:ascii="Times New Roman" w:eastAsia="Times New Roman" w:hAnsi="Times New Roman" w:cs="Times New Roman"/>
          <w:sz w:val="26"/>
          <w:szCs w:val="26"/>
        </w:rPr>
        <w:lastRenderedPageBreak/>
        <w:t>“increases the number of projects that would provide deep savings greater than 25%</w:t>
      </w:r>
      <w:r w:rsidR="00DA1AAC">
        <w:rPr>
          <w:rFonts w:ascii="Times New Roman" w:eastAsia="Times New Roman" w:hAnsi="Times New Roman" w:cs="Times New Roman"/>
          <w:sz w:val="26"/>
          <w:szCs w:val="26"/>
        </w:rPr>
        <w:t>.</w:t>
      </w:r>
      <w:r w:rsidRPr="00EB7308">
        <w:rPr>
          <w:rFonts w:ascii="Times New Roman" w:eastAsia="Times New Roman" w:hAnsi="Times New Roman" w:cs="Times New Roman"/>
          <w:sz w:val="26"/>
          <w:szCs w:val="26"/>
        </w:rPr>
        <w:t>”</w:t>
      </w:r>
      <w:r w:rsidR="00DA1AAC">
        <w:rPr>
          <w:rFonts w:ascii="Times New Roman" w:eastAsia="Times New Roman" w:hAnsi="Times New Roman" w:cs="Times New Roman"/>
          <w:sz w:val="26"/>
          <w:szCs w:val="26"/>
        </w:rPr>
        <w:t xml:space="preserve"> </w:t>
      </w:r>
      <w:r w:rsidRPr="00EB7308">
        <w:rPr>
          <w:rFonts w:ascii="Times New Roman" w:eastAsia="Times New Roman" w:hAnsi="Times New Roman" w:cs="Times New Roman"/>
          <w:sz w:val="26"/>
          <w:szCs w:val="26"/>
        </w:rPr>
        <w:t xml:space="preserve"> PGW Supplemental Info</w:t>
      </w:r>
      <w:r w:rsidR="00153A53">
        <w:rPr>
          <w:rFonts w:ascii="Times New Roman" w:eastAsia="Times New Roman" w:hAnsi="Times New Roman" w:cs="Times New Roman"/>
          <w:sz w:val="26"/>
          <w:szCs w:val="26"/>
        </w:rPr>
        <w:t>rmation</w:t>
      </w:r>
      <w:r w:rsidRPr="00EB7308">
        <w:rPr>
          <w:rFonts w:ascii="Times New Roman" w:eastAsia="Times New Roman" w:hAnsi="Times New Roman" w:cs="Times New Roman"/>
          <w:sz w:val="26"/>
          <w:szCs w:val="26"/>
        </w:rPr>
        <w:t xml:space="preserve"> at 19.</w:t>
      </w:r>
    </w:p>
    <w:p w:rsidR="00EB7308" w:rsidRPr="00EB7308" w:rsidRDefault="00EB7308" w:rsidP="00EB7308">
      <w:pPr>
        <w:tabs>
          <w:tab w:val="left" w:pos="0"/>
        </w:tabs>
        <w:spacing w:after="0" w:line="360" w:lineRule="auto"/>
        <w:contextualSpacing/>
        <w:rPr>
          <w:rFonts w:ascii="Times New Roman" w:eastAsia="Times New Roman" w:hAnsi="Times New Roman" w:cs="Times New Roman"/>
          <w:sz w:val="26"/>
          <w:szCs w:val="26"/>
        </w:rPr>
      </w:pPr>
    </w:p>
    <w:p w:rsidR="00EB7308" w:rsidRPr="00EB7308" w:rsidRDefault="00EB7308" w:rsidP="00EB7308">
      <w:pPr>
        <w:tabs>
          <w:tab w:val="left" w:pos="0"/>
        </w:tabs>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Pr="00EB7308">
        <w:rPr>
          <w:rFonts w:ascii="Times New Roman" w:eastAsia="Times New Roman" w:hAnsi="Times New Roman" w:cs="Times New Roman"/>
          <w:sz w:val="26"/>
          <w:szCs w:val="26"/>
        </w:rPr>
        <w:t xml:space="preserve">In their Reply Comments, </w:t>
      </w:r>
      <w:r w:rsidR="00E42A54" w:rsidRPr="001B2056">
        <w:rPr>
          <w:rFonts w:ascii="Times New Roman" w:eastAsia="Times New Roman" w:hAnsi="Times New Roman" w:cs="Times New Roman"/>
          <w:sz w:val="26"/>
          <w:szCs w:val="26"/>
        </w:rPr>
        <w:t>TURN</w:t>
      </w:r>
      <w:r w:rsidR="00E42A54" w:rsidRPr="00E42A54">
        <w:rPr>
          <w:rFonts w:ascii="Times New Roman" w:eastAsia="Times New Roman" w:hAnsi="Times New Roman" w:cs="Times New Roman"/>
          <w:i/>
          <w:sz w:val="26"/>
          <w:szCs w:val="26"/>
        </w:rPr>
        <w:t xml:space="preserve"> et al.</w:t>
      </w:r>
      <w:r w:rsidRPr="00EB7308">
        <w:rPr>
          <w:rFonts w:ascii="Times New Roman" w:eastAsia="Times New Roman" w:hAnsi="Times New Roman" w:cs="Times New Roman"/>
          <w:sz w:val="26"/>
          <w:szCs w:val="26"/>
        </w:rPr>
        <w:t xml:space="preserve"> state that they agree with CAUSE-PA that “any approval of the proposed pilot must come with an increase in the overall LIURP budget” and that achieving the 25% savings threshold may be unrealistic. </w:t>
      </w:r>
      <w:r w:rsidR="00DA1AAC">
        <w:rPr>
          <w:rFonts w:ascii="Times New Roman" w:eastAsia="Times New Roman" w:hAnsi="Times New Roman" w:cs="Times New Roman"/>
          <w:sz w:val="26"/>
          <w:szCs w:val="26"/>
        </w:rPr>
        <w:t xml:space="preserve"> </w:t>
      </w:r>
      <w:r w:rsidRPr="00EB7308">
        <w:rPr>
          <w:rFonts w:ascii="Times New Roman" w:eastAsia="Times New Roman" w:hAnsi="Times New Roman" w:cs="Times New Roman"/>
          <w:sz w:val="26"/>
          <w:szCs w:val="26"/>
        </w:rPr>
        <w:t xml:space="preserve">TURN </w:t>
      </w:r>
      <w:r w:rsidRPr="001B2056">
        <w:rPr>
          <w:rFonts w:ascii="Times New Roman" w:eastAsia="Times New Roman" w:hAnsi="Times New Roman" w:cs="Times New Roman"/>
          <w:i/>
          <w:sz w:val="26"/>
          <w:szCs w:val="26"/>
        </w:rPr>
        <w:t>et al</w:t>
      </w:r>
      <w:r w:rsidR="00931762" w:rsidRPr="001B2056">
        <w:rPr>
          <w:rFonts w:ascii="Times New Roman" w:eastAsia="Times New Roman" w:hAnsi="Times New Roman" w:cs="Times New Roman"/>
          <w:i/>
          <w:sz w:val="26"/>
          <w:szCs w:val="26"/>
        </w:rPr>
        <w:t>.</w:t>
      </w:r>
      <w:r w:rsidRPr="00EB7308">
        <w:rPr>
          <w:rFonts w:ascii="Times New Roman" w:eastAsia="Times New Roman" w:hAnsi="Times New Roman" w:cs="Times New Roman"/>
          <w:sz w:val="26"/>
          <w:szCs w:val="26"/>
        </w:rPr>
        <w:t xml:space="preserve"> points out that PGW provided no evidence to support the 25% threshold</w:t>
      </w:r>
      <w:r w:rsidR="004C6348">
        <w:rPr>
          <w:rFonts w:ascii="Times New Roman" w:eastAsia="Times New Roman" w:hAnsi="Times New Roman" w:cs="Times New Roman"/>
          <w:sz w:val="26"/>
          <w:szCs w:val="26"/>
        </w:rPr>
        <w:t>.</w:t>
      </w:r>
      <w:r w:rsidR="00DA1AAC">
        <w:rPr>
          <w:rFonts w:ascii="Times New Roman" w:eastAsia="Times New Roman" w:hAnsi="Times New Roman" w:cs="Times New Roman"/>
          <w:sz w:val="26"/>
          <w:szCs w:val="26"/>
        </w:rPr>
        <w:t xml:space="preserve"> </w:t>
      </w:r>
      <w:r w:rsidRPr="00EB7308">
        <w:rPr>
          <w:rFonts w:ascii="Times New Roman" w:eastAsia="Times New Roman" w:hAnsi="Times New Roman" w:cs="Times New Roman"/>
          <w:sz w:val="26"/>
          <w:szCs w:val="26"/>
        </w:rPr>
        <w:t xml:space="preserve"> </w:t>
      </w:r>
      <w:r w:rsidR="00E42A54" w:rsidRPr="001B2056">
        <w:rPr>
          <w:rFonts w:ascii="Times New Roman" w:eastAsia="Times New Roman" w:hAnsi="Times New Roman" w:cs="Times New Roman"/>
          <w:sz w:val="26"/>
          <w:szCs w:val="26"/>
        </w:rPr>
        <w:t>TURN</w:t>
      </w:r>
      <w:r w:rsidR="00E42A54" w:rsidRPr="00E42A54">
        <w:rPr>
          <w:rFonts w:ascii="Times New Roman" w:eastAsia="Times New Roman" w:hAnsi="Times New Roman" w:cs="Times New Roman"/>
          <w:i/>
          <w:sz w:val="26"/>
          <w:szCs w:val="26"/>
        </w:rPr>
        <w:t xml:space="preserve"> et al.</w:t>
      </w:r>
      <w:r w:rsidR="00DA1AAC">
        <w:rPr>
          <w:rFonts w:ascii="Times New Roman" w:eastAsia="Times New Roman" w:hAnsi="Times New Roman" w:cs="Times New Roman"/>
          <w:sz w:val="26"/>
          <w:szCs w:val="26"/>
        </w:rPr>
        <w:t xml:space="preserve"> claim that </w:t>
      </w:r>
      <w:r w:rsidRPr="00EB7308">
        <w:rPr>
          <w:rFonts w:ascii="Times New Roman" w:eastAsia="Times New Roman" w:hAnsi="Times New Roman" w:cs="Times New Roman"/>
          <w:sz w:val="26"/>
          <w:szCs w:val="26"/>
        </w:rPr>
        <w:t xml:space="preserve">CAUSE-PA </w:t>
      </w:r>
      <w:r w:rsidR="00DA1AAC">
        <w:rPr>
          <w:rFonts w:ascii="Times New Roman" w:eastAsia="Times New Roman" w:hAnsi="Times New Roman" w:cs="Times New Roman"/>
          <w:sz w:val="26"/>
          <w:szCs w:val="26"/>
        </w:rPr>
        <w:t xml:space="preserve">has </w:t>
      </w:r>
      <w:r w:rsidRPr="00EB7308">
        <w:rPr>
          <w:rFonts w:ascii="Times New Roman" w:eastAsia="Times New Roman" w:hAnsi="Times New Roman" w:cs="Times New Roman"/>
          <w:sz w:val="26"/>
          <w:szCs w:val="26"/>
        </w:rPr>
        <w:t>provide</w:t>
      </w:r>
      <w:r w:rsidR="00DA1AAC">
        <w:rPr>
          <w:rFonts w:ascii="Times New Roman" w:eastAsia="Times New Roman" w:hAnsi="Times New Roman" w:cs="Times New Roman"/>
          <w:sz w:val="26"/>
          <w:szCs w:val="26"/>
        </w:rPr>
        <w:t>d</w:t>
      </w:r>
      <w:r w:rsidRPr="00EB7308">
        <w:rPr>
          <w:rFonts w:ascii="Times New Roman" w:eastAsia="Times New Roman" w:hAnsi="Times New Roman" w:cs="Times New Roman"/>
          <w:sz w:val="26"/>
          <w:szCs w:val="26"/>
        </w:rPr>
        <w:t xml:space="preserve"> evidence that the standard is beyond the level of achievability</w:t>
      </w:r>
      <w:r w:rsidR="00642148">
        <w:rPr>
          <w:rFonts w:ascii="Times New Roman" w:eastAsia="Times New Roman" w:hAnsi="Times New Roman" w:cs="Times New Roman"/>
          <w:sz w:val="26"/>
          <w:szCs w:val="26"/>
        </w:rPr>
        <w:t xml:space="preserve">.  </w:t>
      </w:r>
      <w:r w:rsidR="00E42A54" w:rsidRPr="001B2056">
        <w:rPr>
          <w:rFonts w:ascii="Times New Roman" w:eastAsia="Times New Roman" w:hAnsi="Times New Roman" w:cs="Times New Roman"/>
          <w:sz w:val="26"/>
          <w:szCs w:val="26"/>
        </w:rPr>
        <w:t>TURN</w:t>
      </w:r>
      <w:r w:rsidR="00E42A54" w:rsidRPr="00E42A54">
        <w:rPr>
          <w:rFonts w:ascii="Times New Roman" w:eastAsia="Times New Roman" w:hAnsi="Times New Roman" w:cs="Times New Roman"/>
          <w:i/>
          <w:sz w:val="26"/>
          <w:szCs w:val="26"/>
        </w:rPr>
        <w:t xml:space="preserve"> et al.</w:t>
      </w:r>
      <w:r w:rsidR="00642148">
        <w:rPr>
          <w:rFonts w:ascii="Times New Roman" w:eastAsia="Times New Roman" w:hAnsi="Times New Roman" w:cs="Times New Roman"/>
          <w:sz w:val="26"/>
          <w:szCs w:val="26"/>
        </w:rPr>
        <w:t xml:space="preserve"> assert that either </w:t>
      </w:r>
      <w:r w:rsidRPr="00EB7308">
        <w:rPr>
          <w:rFonts w:ascii="Times New Roman" w:eastAsia="Times New Roman" w:hAnsi="Times New Roman" w:cs="Times New Roman"/>
          <w:sz w:val="26"/>
          <w:szCs w:val="26"/>
        </w:rPr>
        <w:t xml:space="preserve">the issue should be sent to the OALJ or the Commission should set a lower and achievable savings standard by which to measure the pilot’s success. </w:t>
      </w:r>
      <w:r w:rsidR="00642148">
        <w:rPr>
          <w:rFonts w:ascii="Times New Roman" w:eastAsia="Times New Roman" w:hAnsi="Times New Roman" w:cs="Times New Roman"/>
          <w:sz w:val="26"/>
          <w:szCs w:val="26"/>
        </w:rPr>
        <w:t xml:space="preserve"> </w:t>
      </w:r>
      <w:r w:rsidRPr="00EB7308">
        <w:rPr>
          <w:rFonts w:ascii="Times New Roman" w:eastAsia="Times New Roman" w:hAnsi="Times New Roman" w:cs="Times New Roman"/>
          <w:sz w:val="26"/>
          <w:szCs w:val="26"/>
        </w:rPr>
        <w:t xml:space="preserve">TURN </w:t>
      </w:r>
      <w:r w:rsidRPr="001B2056">
        <w:rPr>
          <w:rFonts w:ascii="Times New Roman" w:eastAsia="Times New Roman" w:hAnsi="Times New Roman" w:cs="Times New Roman"/>
          <w:i/>
          <w:sz w:val="26"/>
          <w:szCs w:val="26"/>
        </w:rPr>
        <w:t>et al</w:t>
      </w:r>
      <w:r w:rsidR="00931762">
        <w:rPr>
          <w:rFonts w:ascii="Times New Roman" w:eastAsia="Times New Roman" w:hAnsi="Times New Roman" w:cs="Times New Roman"/>
          <w:i/>
          <w:sz w:val="26"/>
          <w:szCs w:val="26"/>
        </w:rPr>
        <w:t>.</w:t>
      </w:r>
      <w:r w:rsidRPr="00EB7308">
        <w:rPr>
          <w:rFonts w:ascii="Times New Roman" w:eastAsia="Times New Roman" w:hAnsi="Times New Roman" w:cs="Times New Roman"/>
          <w:sz w:val="26"/>
          <w:szCs w:val="26"/>
        </w:rPr>
        <w:t xml:space="preserve"> Reply Comments at 10-11.</w:t>
      </w:r>
    </w:p>
    <w:p w:rsidR="00EB7308" w:rsidRPr="00EB7308" w:rsidRDefault="00EB7308" w:rsidP="00EB7308">
      <w:pPr>
        <w:tabs>
          <w:tab w:val="left" w:pos="0"/>
        </w:tabs>
        <w:spacing w:after="0" w:line="360" w:lineRule="auto"/>
        <w:contextualSpacing/>
        <w:rPr>
          <w:rFonts w:ascii="Times New Roman" w:eastAsia="Times New Roman" w:hAnsi="Times New Roman" w:cs="Times New Roman"/>
          <w:sz w:val="26"/>
          <w:szCs w:val="26"/>
        </w:rPr>
      </w:pPr>
    </w:p>
    <w:p w:rsidR="00EB7308" w:rsidRPr="00BF282F" w:rsidRDefault="00EB7308" w:rsidP="00EB7308">
      <w:pPr>
        <w:tabs>
          <w:tab w:val="left" w:pos="0"/>
        </w:tabs>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Pr="00EB7308">
        <w:rPr>
          <w:rFonts w:ascii="Times New Roman" w:eastAsia="Times New Roman" w:hAnsi="Times New Roman" w:cs="Times New Roman"/>
          <w:sz w:val="26"/>
          <w:szCs w:val="26"/>
        </w:rPr>
        <w:t xml:space="preserve">In </w:t>
      </w:r>
      <w:r w:rsidR="00642148">
        <w:rPr>
          <w:rFonts w:ascii="Times New Roman" w:eastAsia="Times New Roman" w:hAnsi="Times New Roman" w:cs="Times New Roman"/>
          <w:sz w:val="26"/>
          <w:szCs w:val="26"/>
        </w:rPr>
        <w:t xml:space="preserve">its </w:t>
      </w:r>
      <w:r w:rsidRPr="00EB7308">
        <w:rPr>
          <w:rFonts w:ascii="Times New Roman" w:eastAsia="Times New Roman" w:hAnsi="Times New Roman" w:cs="Times New Roman"/>
          <w:sz w:val="26"/>
          <w:szCs w:val="26"/>
        </w:rPr>
        <w:t xml:space="preserve">Reply Comments, PGW clarified that the $2,000 cap “represents the maximum amount PGW will spend but only if significant overall energy savings can be achieved” by the </w:t>
      </w:r>
      <w:r w:rsidR="00642148">
        <w:rPr>
          <w:rFonts w:ascii="Times New Roman" w:eastAsia="Times New Roman" w:hAnsi="Times New Roman" w:cs="Times New Roman"/>
          <w:sz w:val="26"/>
          <w:szCs w:val="26"/>
        </w:rPr>
        <w:t>health and safety pilot</w:t>
      </w:r>
      <w:r w:rsidRPr="00EB7308">
        <w:rPr>
          <w:rFonts w:ascii="Times New Roman" w:eastAsia="Times New Roman" w:hAnsi="Times New Roman" w:cs="Times New Roman"/>
          <w:sz w:val="26"/>
          <w:szCs w:val="26"/>
        </w:rPr>
        <w:t xml:space="preserve">. </w:t>
      </w:r>
      <w:r w:rsidR="00642148">
        <w:rPr>
          <w:rFonts w:ascii="Times New Roman" w:eastAsia="Times New Roman" w:hAnsi="Times New Roman" w:cs="Times New Roman"/>
          <w:sz w:val="26"/>
          <w:szCs w:val="26"/>
        </w:rPr>
        <w:t xml:space="preserve"> </w:t>
      </w:r>
      <w:r w:rsidRPr="00EB7308">
        <w:rPr>
          <w:rFonts w:ascii="Times New Roman" w:eastAsia="Times New Roman" w:hAnsi="Times New Roman" w:cs="Times New Roman"/>
          <w:sz w:val="26"/>
          <w:szCs w:val="26"/>
        </w:rPr>
        <w:t>PGW also agreed to OCA’s request to track the measures installed, cost of measures</w:t>
      </w:r>
      <w:r w:rsidR="004C6348">
        <w:rPr>
          <w:rFonts w:ascii="Times New Roman" w:eastAsia="Times New Roman" w:hAnsi="Times New Roman" w:cs="Times New Roman"/>
          <w:sz w:val="26"/>
          <w:szCs w:val="26"/>
        </w:rPr>
        <w:t>,</w:t>
      </w:r>
      <w:r w:rsidRPr="00EB7308">
        <w:rPr>
          <w:rFonts w:ascii="Times New Roman" w:eastAsia="Times New Roman" w:hAnsi="Times New Roman" w:cs="Times New Roman"/>
          <w:sz w:val="26"/>
          <w:szCs w:val="26"/>
        </w:rPr>
        <w:t xml:space="preserve"> and savings as part of the pilot evaluation but noted the measures would be tracked in general categories rather than by specific measure.  PGW also indicated th</w:t>
      </w:r>
      <w:r w:rsidR="00642148">
        <w:rPr>
          <w:rFonts w:ascii="Times New Roman" w:eastAsia="Times New Roman" w:hAnsi="Times New Roman" w:cs="Times New Roman"/>
          <w:sz w:val="26"/>
          <w:szCs w:val="26"/>
        </w:rPr>
        <w:t xml:space="preserve">at it </w:t>
      </w:r>
      <w:r w:rsidRPr="00EB7308">
        <w:rPr>
          <w:rFonts w:ascii="Times New Roman" w:eastAsia="Times New Roman" w:hAnsi="Times New Roman" w:cs="Times New Roman"/>
          <w:sz w:val="26"/>
          <w:szCs w:val="26"/>
        </w:rPr>
        <w:t>will measure overall home savings because the health and safety measures do not directly produce savings.  PGW Reply Comments at</w:t>
      </w:r>
      <w:r w:rsidR="004C6348">
        <w:rPr>
          <w:rFonts w:ascii="Times New Roman" w:eastAsia="Times New Roman" w:hAnsi="Times New Roman" w:cs="Times New Roman"/>
          <w:sz w:val="26"/>
          <w:szCs w:val="26"/>
        </w:rPr>
        <w:t> </w:t>
      </w:r>
      <w:r w:rsidRPr="00EB7308">
        <w:rPr>
          <w:rFonts w:ascii="Times New Roman" w:eastAsia="Times New Roman" w:hAnsi="Times New Roman" w:cs="Times New Roman"/>
          <w:sz w:val="26"/>
          <w:szCs w:val="26"/>
        </w:rPr>
        <w:t>5</w:t>
      </w:r>
      <w:r w:rsidR="004C6348">
        <w:rPr>
          <w:rFonts w:ascii="Times New Roman" w:eastAsia="Times New Roman" w:hAnsi="Times New Roman" w:cs="Times New Roman"/>
          <w:sz w:val="26"/>
          <w:szCs w:val="26"/>
        </w:rPr>
        <w:noBreakHyphen/>
      </w:r>
      <w:r w:rsidRPr="00EB7308">
        <w:rPr>
          <w:rFonts w:ascii="Times New Roman" w:eastAsia="Times New Roman" w:hAnsi="Times New Roman" w:cs="Times New Roman"/>
          <w:sz w:val="26"/>
          <w:szCs w:val="26"/>
        </w:rPr>
        <w:t>6.</w:t>
      </w:r>
      <w:r w:rsidR="00BF282F">
        <w:rPr>
          <w:rFonts w:ascii="Times New Roman" w:eastAsia="Times New Roman" w:hAnsi="Times New Roman" w:cs="Times New Roman"/>
          <w:sz w:val="26"/>
          <w:szCs w:val="26"/>
        </w:rPr>
        <w:t xml:space="preserve">  </w:t>
      </w:r>
    </w:p>
    <w:p w:rsidR="00EB7308" w:rsidRPr="00EB7308" w:rsidRDefault="00EB7308" w:rsidP="00EB7308">
      <w:pPr>
        <w:tabs>
          <w:tab w:val="left" w:pos="0"/>
        </w:tabs>
        <w:spacing w:after="0" w:line="360" w:lineRule="auto"/>
        <w:contextualSpacing/>
        <w:rPr>
          <w:rFonts w:ascii="Times New Roman" w:eastAsia="Times New Roman" w:hAnsi="Times New Roman" w:cs="Times New Roman"/>
          <w:sz w:val="26"/>
          <w:szCs w:val="26"/>
        </w:rPr>
      </w:pPr>
    </w:p>
    <w:p w:rsidR="00EB7308" w:rsidRPr="00EB7308" w:rsidRDefault="00EB7308" w:rsidP="00EB7308">
      <w:pPr>
        <w:tabs>
          <w:tab w:val="left" w:pos="0"/>
        </w:tabs>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Pr="00EB7308">
        <w:rPr>
          <w:rFonts w:ascii="Times New Roman" w:eastAsia="Times New Roman" w:hAnsi="Times New Roman" w:cs="Times New Roman"/>
          <w:sz w:val="26"/>
          <w:szCs w:val="26"/>
        </w:rPr>
        <w:t xml:space="preserve">In the Commission’s Data Request to PGW, we asked if the Company will “treat any </w:t>
      </w:r>
      <w:r w:rsidRPr="00EB7308">
        <w:rPr>
          <w:rFonts w:ascii="Times New Roman" w:eastAsia="Times New Roman" w:hAnsi="Times New Roman" w:cs="Times New Roman"/>
          <w:i/>
          <w:sz w:val="26"/>
          <w:szCs w:val="26"/>
        </w:rPr>
        <w:t>de facto</w:t>
      </w:r>
      <w:r w:rsidRPr="00EB7308">
        <w:rPr>
          <w:rFonts w:ascii="Times New Roman" w:eastAsia="Times New Roman" w:hAnsi="Times New Roman" w:cs="Times New Roman"/>
          <w:sz w:val="26"/>
          <w:szCs w:val="26"/>
        </w:rPr>
        <w:t xml:space="preserve"> heating situations under the pilot if the household also has health and safety issues?” </w:t>
      </w:r>
      <w:r w:rsidR="00642148">
        <w:rPr>
          <w:rFonts w:ascii="Times New Roman" w:eastAsia="Times New Roman" w:hAnsi="Times New Roman" w:cs="Times New Roman"/>
          <w:sz w:val="26"/>
          <w:szCs w:val="26"/>
        </w:rPr>
        <w:t xml:space="preserve"> </w:t>
      </w:r>
      <w:r w:rsidRPr="00EB7308">
        <w:rPr>
          <w:rFonts w:ascii="Times New Roman" w:eastAsia="Times New Roman" w:hAnsi="Times New Roman" w:cs="Times New Roman"/>
          <w:sz w:val="26"/>
          <w:szCs w:val="26"/>
        </w:rPr>
        <w:t xml:space="preserve">PGW responded that the </w:t>
      </w:r>
      <w:r w:rsidR="00642148">
        <w:rPr>
          <w:rFonts w:ascii="Times New Roman" w:eastAsia="Times New Roman" w:hAnsi="Times New Roman" w:cs="Times New Roman"/>
          <w:sz w:val="26"/>
          <w:szCs w:val="26"/>
        </w:rPr>
        <w:t>h</w:t>
      </w:r>
      <w:r w:rsidRPr="00EB7308">
        <w:rPr>
          <w:rFonts w:ascii="Times New Roman" w:eastAsia="Times New Roman" w:hAnsi="Times New Roman" w:cs="Times New Roman"/>
          <w:sz w:val="26"/>
          <w:szCs w:val="26"/>
        </w:rPr>
        <w:t xml:space="preserve">ealth and </w:t>
      </w:r>
      <w:r w:rsidR="00642148">
        <w:rPr>
          <w:rFonts w:ascii="Times New Roman" w:eastAsia="Times New Roman" w:hAnsi="Times New Roman" w:cs="Times New Roman"/>
          <w:sz w:val="26"/>
          <w:szCs w:val="26"/>
        </w:rPr>
        <w:t>s</w:t>
      </w:r>
      <w:r w:rsidRPr="00EB7308">
        <w:rPr>
          <w:rFonts w:ascii="Times New Roman" w:eastAsia="Times New Roman" w:hAnsi="Times New Roman" w:cs="Times New Roman"/>
          <w:sz w:val="26"/>
          <w:szCs w:val="26"/>
        </w:rPr>
        <w:t xml:space="preserve">afety pilot is not designed to treat </w:t>
      </w:r>
      <w:r w:rsidRPr="00EB7308">
        <w:rPr>
          <w:rFonts w:ascii="Times New Roman" w:eastAsia="Times New Roman" w:hAnsi="Times New Roman" w:cs="Times New Roman"/>
          <w:i/>
          <w:sz w:val="26"/>
          <w:szCs w:val="26"/>
        </w:rPr>
        <w:t>de facto</w:t>
      </w:r>
      <w:r w:rsidRPr="00EB7308">
        <w:rPr>
          <w:rFonts w:ascii="Times New Roman" w:eastAsia="Times New Roman" w:hAnsi="Times New Roman" w:cs="Times New Roman"/>
          <w:sz w:val="26"/>
          <w:szCs w:val="26"/>
        </w:rPr>
        <w:t xml:space="preserve"> heating situations but that a customer could potentially receive treatment for the non-functioning heater under LIURP and</w:t>
      </w:r>
      <w:r w:rsidR="00642148">
        <w:rPr>
          <w:rFonts w:ascii="Times New Roman" w:eastAsia="Times New Roman" w:hAnsi="Times New Roman" w:cs="Times New Roman"/>
          <w:sz w:val="26"/>
          <w:szCs w:val="26"/>
        </w:rPr>
        <w:t>/or as</w:t>
      </w:r>
      <w:r w:rsidRPr="00EB7308">
        <w:rPr>
          <w:rFonts w:ascii="Times New Roman" w:eastAsia="Times New Roman" w:hAnsi="Times New Roman" w:cs="Times New Roman"/>
          <w:sz w:val="26"/>
          <w:szCs w:val="26"/>
        </w:rPr>
        <w:t xml:space="preserve"> health and safety measures under the pilot.</w:t>
      </w:r>
      <w:r w:rsidR="00642148">
        <w:rPr>
          <w:rFonts w:ascii="Times New Roman" w:eastAsia="Times New Roman" w:hAnsi="Times New Roman" w:cs="Times New Roman"/>
          <w:sz w:val="26"/>
          <w:szCs w:val="26"/>
        </w:rPr>
        <w:t xml:space="preserve"> </w:t>
      </w:r>
      <w:r w:rsidRPr="00EB7308">
        <w:rPr>
          <w:rFonts w:ascii="Times New Roman" w:eastAsia="Times New Roman" w:hAnsi="Times New Roman" w:cs="Times New Roman"/>
          <w:sz w:val="26"/>
          <w:szCs w:val="26"/>
        </w:rPr>
        <w:t xml:space="preserve"> PGW further clarified that the costs of treating the non-functioning heater would still be governed by cost effectiveness standards. </w:t>
      </w:r>
      <w:r w:rsidR="00642148">
        <w:rPr>
          <w:rFonts w:ascii="Times New Roman" w:eastAsia="Times New Roman" w:hAnsi="Times New Roman" w:cs="Times New Roman"/>
          <w:sz w:val="26"/>
          <w:szCs w:val="26"/>
        </w:rPr>
        <w:t xml:space="preserve"> </w:t>
      </w:r>
      <w:r w:rsidRPr="00EB7308">
        <w:rPr>
          <w:rFonts w:ascii="Times New Roman" w:eastAsia="Times New Roman" w:hAnsi="Times New Roman" w:cs="Times New Roman"/>
          <w:sz w:val="26"/>
          <w:szCs w:val="26"/>
        </w:rPr>
        <w:t>PGW Response at 1.</w:t>
      </w:r>
    </w:p>
    <w:p w:rsidR="00EB7308" w:rsidRPr="00EB7308" w:rsidRDefault="00EB7308" w:rsidP="00EB7308">
      <w:pPr>
        <w:tabs>
          <w:tab w:val="left" w:pos="0"/>
        </w:tabs>
        <w:spacing w:after="0" w:line="360" w:lineRule="auto"/>
        <w:contextualSpacing/>
        <w:rPr>
          <w:rFonts w:ascii="Times New Roman" w:eastAsia="Times New Roman" w:hAnsi="Times New Roman" w:cs="Times New Roman"/>
          <w:sz w:val="26"/>
          <w:szCs w:val="26"/>
        </w:rPr>
      </w:pPr>
    </w:p>
    <w:p w:rsidR="00EB7308" w:rsidRPr="00EB7308" w:rsidRDefault="00EB7308" w:rsidP="00EB7308">
      <w:pPr>
        <w:tabs>
          <w:tab w:val="left" w:pos="0"/>
        </w:tabs>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ab/>
      </w:r>
      <w:r w:rsidRPr="00EB7308">
        <w:rPr>
          <w:rFonts w:ascii="Times New Roman" w:eastAsia="Times New Roman" w:hAnsi="Times New Roman" w:cs="Times New Roman"/>
          <w:sz w:val="26"/>
          <w:szCs w:val="26"/>
        </w:rPr>
        <w:t xml:space="preserve">TURN </w:t>
      </w:r>
      <w:r w:rsidRPr="001B2056">
        <w:rPr>
          <w:rFonts w:ascii="Times New Roman" w:eastAsia="Times New Roman" w:hAnsi="Times New Roman" w:cs="Times New Roman"/>
          <w:i/>
          <w:sz w:val="26"/>
          <w:szCs w:val="26"/>
        </w:rPr>
        <w:t>et al</w:t>
      </w:r>
      <w:r w:rsidR="00931762" w:rsidRPr="001B2056">
        <w:rPr>
          <w:rFonts w:ascii="Times New Roman" w:eastAsia="Times New Roman" w:hAnsi="Times New Roman" w:cs="Times New Roman"/>
          <w:i/>
          <w:sz w:val="26"/>
          <w:szCs w:val="26"/>
        </w:rPr>
        <w:t>.</w:t>
      </w:r>
      <w:r w:rsidRPr="00EB7308">
        <w:rPr>
          <w:rFonts w:ascii="Times New Roman" w:eastAsia="Times New Roman" w:hAnsi="Times New Roman" w:cs="Times New Roman"/>
          <w:sz w:val="26"/>
          <w:szCs w:val="26"/>
        </w:rPr>
        <w:t xml:space="preserve"> state that </w:t>
      </w:r>
      <w:r w:rsidRPr="001B2056">
        <w:rPr>
          <w:rFonts w:ascii="Times New Roman" w:eastAsia="Times New Roman" w:hAnsi="Times New Roman" w:cs="Times New Roman"/>
          <w:i/>
          <w:sz w:val="26"/>
          <w:szCs w:val="26"/>
        </w:rPr>
        <w:t>de facto</w:t>
      </w:r>
      <w:r w:rsidRPr="00EB7308">
        <w:rPr>
          <w:rFonts w:ascii="Times New Roman" w:eastAsia="Times New Roman" w:hAnsi="Times New Roman" w:cs="Times New Roman"/>
          <w:sz w:val="26"/>
          <w:szCs w:val="26"/>
        </w:rPr>
        <w:t xml:space="preserve"> heating customers should be a priority under the </w:t>
      </w:r>
      <w:r w:rsidR="003E0724" w:rsidRPr="00EB7308">
        <w:rPr>
          <w:rFonts w:ascii="Times New Roman" w:eastAsia="Times New Roman" w:hAnsi="Times New Roman" w:cs="Times New Roman"/>
          <w:sz w:val="26"/>
          <w:szCs w:val="26"/>
        </w:rPr>
        <w:t>pilot</w:t>
      </w:r>
      <w:r w:rsidR="003E0724">
        <w:rPr>
          <w:rFonts w:ascii="Times New Roman" w:eastAsia="Times New Roman" w:hAnsi="Times New Roman" w:cs="Times New Roman"/>
          <w:sz w:val="26"/>
          <w:szCs w:val="26"/>
        </w:rPr>
        <w:t>,</w:t>
      </w:r>
      <w:r w:rsidR="003E0724" w:rsidRPr="00EB7308">
        <w:rPr>
          <w:rFonts w:ascii="Times New Roman" w:eastAsia="Times New Roman" w:hAnsi="Times New Roman" w:cs="Times New Roman"/>
          <w:sz w:val="26"/>
          <w:szCs w:val="26"/>
        </w:rPr>
        <w:t xml:space="preserve"> that</w:t>
      </w:r>
      <w:r w:rsidRPr="00EB7308">
        <w:rPr>
          <w:rFonts w:ascii="Times New Roman" w:eastAsia="Times New Roman" w:hAnsi="Times New Roman" w:cs="Times New Roman"/>
          <w:sz w:val="26"/>
          <w:szCs w:val="26"/>
        </w:rPr>
        <w:t xml:space="preserve"> PGW’s response to the Commission’s question neither reveals </w:t>
      </w:r>
      <w:r w:rsidR="00642148">
        <w:rPr>
          <w:rFonts w:ascii="Times New Roman" w:eastAsia="Times New Roman" w:hAnsi="Times New Roman" w:cs="Times New Roman"/>
          <w:sz w:val="26"/>
          <w:szCs w:val="26"/>
        </w:rPr>
        <w:t>n</w:t>
      </w:r>
      <w:r w:rsidRPr="00EB7308">
        <w:rPr>
          <w:rFonts w:ascii="Times New Roman" w:eastAsia="Times New Roman" w:hAnsi="Times New Roman" w:cs="Times New Roman"/>
          <w:sz w:val="26"/>
          <w:szCs w:val="26"/>
        </w:rPr>
        <w:t xml:space="preserve">or justifies why the pilot does not address </w:t>
      </w:r>
      <w:r w:rsidRPr="001B2056">
        <w:rPr>
          <w:rFonts w:ascii="Times New Roman" w:eastAsia="Times New Roman" w:hAnsi="Times New Roman" w:cs="Times New Roman"/>
          <w:i/>
          <w:sz w:val="26"/>
          <w:szCs w:val="26"/>
        </w:rPr>
        <w:t>de facto</w:t>
      </w:r>
      <w:r w:rsidRPr="00EB7308">
        <w:rPr>
          <w:rFonts w:ascii="Times New Roman" w:eastAsia="Times New Roman" w:hAnsi="Times New Roman" w:cs="Times New Roman"/>
          <w:sz w:val="26"/>
          <w:szCs w:val="26"/>
        </w:rPr>
        <w:t xml:space="preserve"> heating situations, and that customers in a </w:t>
      </w:r>
      <w:r w:rsidRPr="001B2056">
        <w:rPr>
          <w:rFonts w:ascii="Times New Roman" w:eastAsia="Times New Roman" w:hAnsi="Times New Roman" w:cs="Times New Roman"/>
          <w:i/>
          <w:sz w:val="26"/>
          <w:szCs w:val="26"/>
        </w:rPr>
        <w:t>de facto</w:t>
      </w:r>
      <w:r w:rsidRPr="00EB7308">
        <w:rPr>
          <w:rFonts w:ascii="Times New Roman" w:eastAsia="Times New Roman" w:hAnsi="Times New Roman" w:cs="Times New Roman"/>
          <w:sz w:val="26"/>
          <w:szCs w:val="26"/>
        </w:rPr>
        <w:t xml:space="preserve"> heating situation could not conceivably fall within the top 50% of normalized usage. </w:t>
      </w:r>
      <w:r w:rsidR="00642148">
        <w:rPr>
          <w:rFonts w:ascii="Times New Roman" w:eastAsia="Times New Roman" w:hAnsi="Times New Roman" w:cs="Times New Roman"/>
          <w:sz w:val="26"/>
          <w:szCs w:val="26"/>
        </w:rPr>
        <w:t xml:space="preserve"> </w:t>
      </w:r>
      <w:r w:rsidRPr="00EB7308">
        <w:rPr>
          <w:rFonts w:ascii="Times New Roman" w:eastAsia="Times New Roman" w:hAnsi="Times New Roman" w:cs="Times New Roman"/>
          <w:sz w:val="26"/>
          <w:szCs w:val="26"/>
        </w:rPr>
        <w:t xml:space="preserve">TURN </w:t>
      </w:r>
      <w:r w:rsidRPr="001B2056">
        <w:rPr>
          <w:rFonts w:ascii="Times New Roman" w:eastAsia="Times New Roman" w:hAnsi="Times New Roman" w:cs="Times New Roman"/>
          <w:i/>
          <w:sz w:val="26"/>
          <w:szCs w:val="26"/>
        </w:rPr>
        <w:t>et al</w:t>
      </w:r>
      <w:r w:rsidR="00931762" w:rsidRPr="001B2056">
        <w:rPr>
          <w:rFonts w:ascii="Times New Roman" w:eastAsia="Times New Roman" w:hAnsi="Times New Roman" w:cs="Times New Roman"/>
          <w:i/>
          <w:sz w:val="26"/>
          <w:szCs w:val="26"/>
        </w:rPr>
        <w:t>.</w:t>
      </w:r>
      <w:r w:rsidRPr="00EB7308">
        <w:rPr>
          <w:rFonts w:ascii="Times New Roman" w:eastAsia="Times New Roman" w:hAnsi="Times New Roman" w:cs="Times New Roman"/>
          <w:sz w:val="26"/>
          <w:szCs w:val="26"/>
        </w:rPr>
        <w:t xml:space="preserve"> further believe that PGW should develop and make available avenues for </w:t>
      </w:r>
      <w:r w:rsidRPr="001B2056">
        <w:rPr>
          <w:rFonts w:ascii="Times New Roman" w:eastAsia="Times New Roman" w:hAnsi="Times New Roman" w:cs="Times New Roman"/>
          <w:i/>
          <w:sz w:val="26"/>
          <w:szCs w:val="26"/>
        </w:rPr>
        <w:t>de facto</w:t>
      </w:r>
      <w:r w:rsidRPr="00EB7308">
        <w:rPr>
          <w:rFonts w:ascii="Times New Roman" w:eastAsia="Times New Roman" w:hAnsi="Times New Roman" w:cs="Times New Roman"/>
          <w:sz w:val="26"/>
          <w:szCs w:val="26"/>
        </w:rPr>
        <w:t xml:space="preserve"> customers to access the pilot and that the Commission should order PGW to provide access, explore </w:t>
      </w:r>
      <w:r w:rsidR="004C6348">
        <w:rPr>
          <w:rFonts w:ascii="Times New Roman" w:eastAsia="Times New Roman" w:hAnsi="Times New Roman" w:cs="Times New Roman"/>
          <w:sz w:val="26"/>
          <w:szCs w:val="26"/>
        </w:rPr>
        <w:t xml:space="preserve">service </w:t>
      </w:r>
      <w:r w:rsidRPr="00EB7308">
        <w:rPr>
          <w:rFonts w:ascii="Times New Roman" w:eastAsia="Times New Roman" w:hAnsi="Times New Roman" w:cs="Times New Roman"/>
          <w:sz w:val="26"/>
          <w:szCs w:val="26"/>
        </w:rPr>
        <w:t>restoration terms</w:t>
      </w:r>
      <w:r w:rsidR="00642148">
        <w:rPr>
          <w:rFonts w:ascii="Times New Roman" w:eastAsia="Times New Roman" w:hAnsi="Times New Roman" w:cs="Times New Roman"/>
          <w:sz w:val="26"/>
          <w:szCs w:val="26"/>
        </w:rPr>
        <w:t>,</w:t>
      </w:r>
      <w:r w:rsidRPr="00EB7308">
        <w:rPr>
          <w:rFonts w:ascii="Times New Roman" w:eastAsia="Times New Roman" w:hAnsi="Times New Roman" w:cs="Times New Roman"/>
          <w:sz w:val="26"/>
          <w:szCs w:val="26"/>
        </w:rPr>
        <w:t xml:space="preserve"> and coordinate </w:t>
      </w:r>
      <w:r w:rsidRPr="001B2056">
        <w:rPr>
          <w:rFonts w:ascii="Times New Roman" w:eastAsia="Times New Roman" w:hAnsi="Times New Roman" w:cs="Times New Roman"/>
          <w:i/>
          <w:sz w:val="26"/>
          <w:szCs w:val="26"/>
        </w:rPr>
        <w:t>de facto</w:t>
      </w:r>
      <w:r w:rsidRPr="00EB7308">
        <w:rPr>
          <w:rFonts w:ascii="Times New Roman" w:eastAsia="Times New Roman" w:hAnsi="Times New Roman" w:cs="Times New Roman"/>
          <w:sz w:val="26"/>
          <w:szCs w:val="26"/>
        </w:rPr>
        <w:t xml:space="preserve"> heating treatment efforts with PECO</w:t>
      </w:r>
      <w:r w:rsidR="00642148">
        <w:rPr>
          <w:rFonts w:ascii="Times New Roman" w:eastAsia="Times New Roman" w:hAnsi="Times New Roman" w:cs="Times New Roman"/>
          <w:sz w:val="26"/>
          <w:szCs w:val="26"/>
        </w:rPr>
        <w:t>, the EDC in PGW’s service territory</w:t>
      </w:r>
      <w:r w:rsidRPr="00EB7308">
        <w:rPr>
          <w:rFonts w:ascii="Times New Roman" w:eastAsia="Times New Roman" w:hAnsi="Times New Roman" w:cs="Times New Roman"/>
          <w:sz w:val="26"/>
          <w:szCs w:val="26"/>
        </w:rPr>
        <w:t xml:space="preserve">. </w:t>
      </w:r>
      <w:r w:rsidR="00642148">
        <w:rPr>
          <w:rFonts w:ascii="Times New Roman" w:eastAsia="Times New Roman" w:hAnsi="Times New Roman" w:cs="Times New Roman"/>
          <w:sz w:val="26"/>
          <w:szCs w:val="26"/>
        </w:rPr>
        <w:t xml:space="preserve"> </w:t>
      </w:r>
      <w:r w:rsidRPr="00EB7308">
        <w:rPr>
          <w:rFonts w:ascii="Times New Roman" w:eastAsia="Times New Roman" w:hAnsi="Times New Roman" w:cs="Times New Roman"/>
          <w:sz w:val="26"/>
          <w:szCs w:val="26"/>
        </w:rPr>
        <w:t xml:space="preserve">TURN </w:t>
      </w:r>
      <w:r w:rsidRPr="001B2056">
        <w:rPr>
          <w:rFonts w:ascii="Times New Roman" w:eastAsia="Times New Roman" w:hAnsi="Times New Roman" w:cs="Times New Roman"/>
          <w:i/>
          <w:sz w:val="26"/>
          <w:szCs w:val="26"/>
        </w:rPr>
        <w:t>et al</w:t>
      </w:r>
      <w:r w:rsidR="00931762" w:rsidRPr="001B2056">
        <w:rPr>
          <w:rFonts w:ascii="Times New Roman" w:eastAsia="Times New Roman" w:hAnsi="Times New Roman" w:cs="Times New Roman"/>
          <w:i/>
          <w:sz w:val="26"/>
          <w:szCs w:val="26"/>
        </w:rPr>
        <w:t>.</w:t>
      </w:r>
      <w:r w:rsidRPr="00EB7308">
        <w:rPr>
          <w:rFonts w:ascii="Times New Roman" w:eastAsia="Times New Roman" w:hAnsi="Times New Roman" w:cs="Times New Roman"/>
          <w:sz w:val="26"/>
          <w:szCs w:val="26"/>
        </w:rPr>
        <w:t xml:space="preserve"> Additional Comments at 6-7. </w:t>
      </w:r>
    </w:p>
    <w:p w:rsidR="00EB7308" w:rsidRPr="00EB7308" w:rsidRDefault="00EB7308" w:rsidP="00EB7308">
      <w:pPr>
        <w:tabs>
          <w:tab w:val="left" w:pos="0"/>
        </w:tabs>
        <w:spacing w:after="0" w:line="360" w:lineRule="auto"/>
        <w:contextualSpacing/>
        <w:rPr>
          <w:rFonts w:ascii="Times New Roman" w:eastAsia="Times New Roman" w:hAnsi="Times New Roman" w:cs="Times New Roman"/>
          <w:sz w:val="26"/>
          <w:szCs w:val="26"/>
        </w:rPr>
      </w:pPr>
    </w:p>
    <w:p w:rsidR="005322D2" w:rsidRDefault="00EB7308" w:rsidP="00EB7308">
      <w:pPr>
        <w:tabs>
          <w:tab w:val="left" w:pos="0"/>
        </w:tabs>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Pr="00EB7308">
        <w:rPr>
          <w:rFonts w:ascii="Times New Roman" w:eastAsia="Times New Roman" w:hAnsi="Times New Roman" w:cs="Times New Roman"/>
          <w:sz w:val="26"/>
          <w:szCs w:val="26"/>
        </w:rPr>
        <w:t>CAUSE-PA points out that often “the cost of repairing or replacing a furnace may exceed the cost-effectiveness standards for LIURP” and that the inoperable systems pose a tremendous threat to the health and safety of low</w:t>
      </w:r>
      <w:r w:rsidR="001A5F9C">
        <w:rPr>
          <w:rFonts w:ascii="Times New Roman" w:eastAsia="Times New Roman" w:hAnsi="Times New Roman" w:cs="Times New Roman"/>
          <w:sz w:val="26"/>
          <w:szCs w:val="26"/>
        </w:rPr>
        <w:t>-</w:t>
      </w:r>
      <w:r w:rsidRPr="00EB7308">
        <w:rPr>
          <w:rFonts w:ascii="Times New Roman" w:eastAsia="Times New Roman" w:hAnsi="Times New Roman" w:cs="Times New Roman"/>
          <w:sz w:val="26"/>
          <w:szCs w:val="26"/>
        </w:rPr>
        <w:t xml:space="preserve">income customers. </w:t>
      </w:r>
      <w:r w:rsidR="001A5F9C">
        <w:rPr>
          <w:rFonts w:ascii="Times New Roman" w:eastAsia="Times New Roman" w:hAnsi="Times New Roman" w:cs="Times New Roman"/>
          <w:sz w:val="26"/>
          <w:szCs w:val="26"/>
        </w:rPr>
        <w:t xml:space="preserve"> </w:t>
      </w:r>
      <w:r w:rsidRPr="00EB7308">
        <w:rPr>
          <w:rFonts w:ascii="Times New Roman" w:eastAsia="Times New Roman" w:hAnsi="Times New Roman" w:cs="Times New Roman"/>
          <w:sz w:val="26"/>
          <w:szCs w:val="26"/>
        </w:rPr>
        <w:t xml:space="preserve">CAUSE-PA believes PGW should be required to develop a plan to address </w:t>
      </w:r>
      <w:r w:rsidRPr="001B2056">
        <w:rPr>
          <w:rFonts w:ascii="Times New Roman" w:eastAsia="Times New Roman" w:hAnsi="Times New Roman" w:cs="Times New Roman"/>
          <w:i/>
          <w:sz w:val="26"/>
          <w:szCs w:val="26"/>
        </w:rPr>
        <w:t>de facto</w:t>
      </w:r>
      <w:r w:rsidRPr="00EB7308">
        <w:rPr>
          <w:rFonts w:ascii="Times New Roman" w:eastAsia="Times New Roman" w:hAnsi="Times New Roman" w:cs="Times New Roman"/>
          <w:sz w:val="26"/>
          <w:szCs w:val="26"/>
        </w:rPr>
        <w:t xml:space="preserve"> heating and suggests coordination with the LIHEAP Crisis Interface program.</w:t>
      </w:r>
      <w:r w:rsidR="00A947AA">
        <w:rPr>
          <w:rStyle w:val="FootnoteReference"/>
          <w:rFonts w:ascii="Times New Roman" w:eastAsia="Times New Roman" w:hAnsi="Times New Roman" w:cs="Times New Roman"/>
          <w:sz w:val="26"/>
          <w:szCs w:val="26"/>
        </w:rPr>
        <w:footnoteReference w:id="33"/>
      </w:r>
      <w:r w:rsidRPr="00EB7308">
        <w:rPr>
          <w:rFonts w:ascii="Times New Roman" w:eastAsia="Times New Roman" w:hAnsi="Times New Roman" w:cs="Times New Roman"/>
          <w:sz w:val="26"/>
          <w:szCs w:val="26"/>
        </w:rPr>
        <w:t xml:space="preserve"> </w:t>
      </w:r>
      <w:r w:rsidR="001A5F9C">
        <w:rPr>
          <w:rFonts w:ascii="Times New Roman" w:eastAsia="Times New Roman" w:hAnsi="Times New Roman" w:cs="Times New Roman"/>
          <w:sz w:val="26"/>
          <w:szCs w:val="26"/>
        </w:rPr>
        <w:t xml:space="preserve"> </w:t>
      </w:r>
      <w:r w:rsidRPr="00EB7308">
        <w:rPr>
          <w:rFonts w:ascii="Times New Roman" w:eastAsia="Times New Roman" w:hAnsi="Times New Roman" w:cs="Times New Roman"/>
          <w:sz w:val="26"/>
          <w:szCs w:val="26"/>
        </w:rPr>
        <w:t xml:space="preserve">CAUSE-PA further recommends that PGW should “be required to form a Universal Service Advisory Committee per 52 Pa. Code § 58.16.” </w:t>
      </w:r>
      <w:r w:rsidR="001A5F9C">
        <w:rPr>
          <w:rFonts w:ascii="Times New Roman" w:eastAsia="Times New Roman" w:hAnsi="Times New Roman" w:cs="Times New Roman"/>
          <w:sz w:val="26"/>
          <w:szCs w:val="26"/>
        </w:rPr>
        <w:t xml:space="preserve"> </w:t>
      </w:r>
      <w:r w:rsidRPr="00EB7308">
        <w:rPr>
          <w:rFonts w:ascii="Times New Roman" w:eastAsia="Times New Roman" w:hAnsi="Times New Roman" w:cs="Times New Roman"/>
          <w:sz w:val="26"/>
          <w:szCs w:val="26"/>
        </w:rPr>
        <w:t>CAUSE-PA Additional Comments at 3-4.</w:t>
      </w:r>
    </w:p>
    <w:p w:rsidR="005322D2" w:rsidRDefault="005322D2" w:rsidP="00EB7308">
      <w:pPr>
        <w:tabs>
          <w:tab w:val="left" w:pos="0"/>
        </w:tabs>
        <w:spacing w:after="0" w:line="360" w:lineRule="auto"/>
        <w:contextualSpacing/>
        <w:rPr>
          <w:rFonts w:ascii="Times New Roman" w:eastAsia="Times New Roman" w:hAnsi="Times New Roman" w:cs="Times New Roman"/>
          <w:sz w:val="26"/>
          <w:szCs w:val="26"/>
        </w:rPr>
      </w:pPr>
    </w:p>
    <w:p w:rsidR="000C0D9A" w:rsidRDefault="00197314" w:rsidP="00EB7308">
      <w:pPr>
        <w:tabs>
          <w:tab w:val="left" w:pos="0"/>
        </w:tabs>
        <w:spacing w:after="0" w:line="360" w:lineRule="auto"/>
        <w:contextualSpacing/>
        <w:rPr>
          <w:rFonts w:ascii="Times New Roman" w:eastAsia="Times New Roman" w:hAnsi="Times New Roman" w:cs="Times New Roman"/>
          <w:sz w:val="26"/>
          <w:szCs w:val="26"/>
        </w:rPr>
      </w:pPr>
      <w:r w:rsidRPr="00197314">
        <w:rPr>
          <w:rFonts w:ascii="Times New Roman" w:eastAsia="Times New Roman" w:hAnsi="Times New Roman" w:cs="Times New Roman"/>
          <w:i/>
          <w:sz w:val="26"/>
          <w:szCs w:val="26"/>
        </w:rPr>
        <w:t xml:space="preserve">Resolution: </w:t>
      </w:r>
      <w:r w:rsidRPr="00197314">
        <w:rPr>
          <w:rFonts w:ascii="Times New Roman" w:eastAsia="Times New Roman" w:hAnsi="Times New Roman" w:cs="Times New Roman"/>
          <w:sz w:val="26"/>
          <w:szCs w:val="26"/>
        </w:rPr>
        <w:t xml:space="preserve">As mentioned in </w:t>
      </w:r>
      <w:r w:rsidR="00846D3D">
        <w:rPr>
          <w:rFonts w:ascii="Times New Roman" w:eastAsia="Times New Roman" w:hAnsi="Times New Roman" w:cs="Times New Roman"/>
          <w:sz w:val="26"/>
          <w:szCs w:val="26"/>
        </w:rPr>
        <w:t xml:space="preserve">our </w:t>
      </w:r>
      <w:r w:rsidRPr="00197314">
        <w:rPr>
          <w:rFonts w:ascii="Times New Roman" w:eastAsia="Times New Roman" w:hAnsi="Times New Roman" w:cs="Times New Roman"/>
          <w:sz w:val="26"/>
          <w:szCs w:val="26"/>
        </w:rPr>
        <w:t>Tentative Order,</w:t>
      </w:r>
      <w:r>
        <w:rPr>
          <w:rFonts w:ascii="Times New Roman" w:eastAsia="Times New Roman" w:hAnsi="Times New Roman" w:cs="Times New Roman"/>
          <w:sz w:val="26"/>
          <w:szCs w:val="26"/>
        </w:rPr>
        <w:t xml:space="preserve"> we are supportive of PGW’s proposed </w:t>
      </w:r>
      <w:r w:rsidR="00846D3D">
        <w:rPr>
          <w:rFonts w:ascii="Times New Roman" w:eastAsia="Times New Roman" w:hAnsi="Times New Roman" w:cs="Times New Roman"/>
          <w:sz w:val="26"/>
          <w:szCs w:val="26"/>
        </w:rPr>
        <w:t>h</w:t>
      </w:r>
      <w:r>
        <w:rPr>
          <w:rFonts w:ascii="Times New Roman" w:eastAsia="Times New Roman" w:hAnsi="Times New Roman" w:cs="Times New Roman"/>
          <w:sz w:val="26"/>
          <w:szCs w:val="26"/>
        </w:rPr>
        <w:t xml:space="preserve">ealth and </w:t>
      </w:r>
      <w:r w:rsidR="00846D3D">
        <w:rPr>
          <w:rFonts w:ascii="Times New Roman" w:eastAsia="Times New Roman" w:hAnsi="Times New Roman" w:cs="Times New Roman"/>
          <w:sz w:val="26"/>
          <w:szCs w:val="26"/>
        </w:rPr>
        <w:t>s</w:t>
      </w:r>
      <w:r>
        <w:rPr>
          <w:rFonts w:ascii="Times New Roman" w:eastAsia="Times New Roman" w:hAnsi="Times New Roman" w:cs="Times New Roman"/>
          <w:sz w:val="26"/>
          <w:szCs w:val="26"/>
        </w:rPr>
        <w:t xml:space="preserve">afety pilot. </w:t>
      </w:r>
      <w:r w:rsidR="00846D3D">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We are satisfied with the $2,000 per</w:t>
      </w:r>
      <w:r w:rsidR="00846D3D">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job spending limit and that PGW will evaluate the program, in part, by the number of </w:t>
      </w:r>
      <w:r w:rsidR="001B2056">
        <w:rPr>
          <w:rFonts w:ascii="Times New Roman" w:eastAsia="Times New Roman" w:hAnsi="Times New Roman" w:cs="Times New Roman"/>
          <w:sz w:val="26"/>
          <w:szCs w:val="26"/>
        </w:rPr>
        <w:t>deferred homes, homes which would otherwise have been disqualified from the CRP Home Comfort program that</w:t>
      </w:r>
      <w:r>
        <w:rPr>
          <w:rFonts w:ascii="Times New Roman" w:eastAsia="Times New Roman" w:hAnsi="Times New Roman" w:cs="Times New Roman"/>
          <w:sz w:val="26"/>
          <w:szCs w:val="26"/>
        </w:rPr>
        <w:t xml:space="preserve"> can be remedied under the pilot</w:t>
      </w:r>
      <w:r w:rsidR="001B2056">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p>
    <w:p w:rsidR="000C0D9A" w:rsidRDefault="000C0D9A" w:rsidP="00EB7308">
      <w:pPr>
        <w:tabs>
          <w:tab w:val="left" w:pos="0"/>
        </w:tabs>
        <w:spacing w:after="0" w:line="360" w:lineRule="auto"/>
        <w:contextualSpacing/>
        <w:rPr>
          <w:rFonts w:ascii="Times New Roman" w:eastAsia="Times New Roman" w:hAnsi="Times New Roman" w:cs="Times New Roman"/>
          <w:sz w:val="26"/>
          <w:szCs w:val="26"/>
        </w:rPr>
      </w:pPr>
    </w:p>
    <w:p w:rsidR="009A0DE3" w:rsidRDefault="000C0D9A" w:rsidP="00EB7308">
      <w:pPr>
        <w:tabs>
          <w:tab w:val="left" w:pos="0"/>
        </w:tabs>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197314">
        <w:rPr>
          <w:rFonts w:ascii="Times New Roman" w:eastAsia="Times New Roman" w:hAnsi="Times New Roman" w:cs="Times New Roman"/>
          <w:sz w:val="26"/>
          <w:szCs w:val="26"/>
        </w:rPr>
        <w:t xml:space="preserve">We are satisfied with </w:t>
      </w:r>
      <w:r>
        <w:rPr>
          <w:rFonts w:ascii="Times New Roman" w:eastAsia="Times New Roman" w:hAnsi="Times New Roman" w:cs="Times New Roman"/>
          <w:sz w:val="26"/>
          <w:szCs w:val="26"/>
        </w:rPr>
        <w:t xml:space="preserve">PGW’s explanation regarding the parameters around which the health and safety pilot might work together with the CRP Home Comfort program to </w:t>
      </w:r>
      <w:r>
        <w:rPr>
          <w:rFonts w:ascii="Times New Roman" w:eastAsia="Times New Roman" w:hAnsi="Times New Roman" w:cs="Times New Roman"/>
          <w:sz w:val="26"/>
          <w:szCs w:val="26"/>
        </w:rPr>
        <w:lastRenderedPageBreak/>
        <w:t xml:space="preserve">remedy selective </w:t>
      </w:r>
      <w:r w:rsidRPr="000E25C6">
        <w:rPr>
          <w:rFonts w:ascii="Times New Roman" w:eastAsia="Times New Roman" w:hAnsi="Times New Roman" w:cs="Times New Roman"/>
          <w:i/>
          <w:sz w:val="26"/>
          <w:szCs w:val="26"/>
        </w:rPr>
        <w:t>de facto</w:t>
      </w:r>
      <w:r>
        <w:rPr>
          <w:rFonts w:ascii="Times New Roman" w:eastAsia="Times New Roman" w:hAnsi="Times New Roman" w:cs="Times New Roman"/>
          <w:sz w:val="26"/>
          <w:szCs w:val="26"/>
        </w:rPr>
        <w:t xml:space="preserve"> heating situations, while acknowledging that this pilot is not designed to specifically address </w:t>
      </w:r>
      <w:r w:rsidRPr="000E25C6">
        <w:rPr>
          <w:rFonts w:ascii="Times New Roman" w:eastAsia="Times New Roman" w:hAnsi="Times New Roman" w:cs="Times New Roman"/>
          <w:i/>
          <w:sz w:val="26"/>
          <w:szCs w:val="26"/>
        </w:rPr>
        <w:t>de facto</w:t>
      </w:r>
      <w:r>
        <w:rPr>
          <w:rFonts w:ascii="Times New Roman" w:eastAsia="Times New Roman" w:hAnsi="Times New Roman" w:cs="Times New Roman"/>
          <w:sz w:val="26"/>
          <w:szCs w:val="26"/>
        </w:rPr>
        <w:t xml:space="preserve"> heating.</w:t>
      </w:r>
      <w:r w:rsidR="00846D3D">
        <w:rPr>
          <w:rFonts w:ascii="Times New Roman" w:eastAsia="Times New Roman" w:hAnsi="Times New Roman" w:cs="Times New Roman"/>
          <w:sz w:val="26"/>
          <w:szCs w:val="26"/>
        </w:rPr>
        <w:t xml:space="preserve"> </w:t>
      </w:r>
      <w:r w:rsidR="000C76AF">
        <w:rPr>
          <w:rFonts w:ascii="Times New Roman" w:eastAsia="Times New Roman" w:hAnsi="Times New Roman" w:cs="Times New Roman"/>
          <w:sz w:val="26"/>
          <w:szCs w:val="26"/>
        </w:rPr>
        <w:t xml:space="preserve"> </w:t>
      </w:r>
    </w:p>
    <w:p w:rsidR="009A0DE3" w:rsidRDefault="009A0DE3" w:rsidP="00EB7308">
      <w:pPr>
        <w:tabs>
          <w:tab w:val="left" w:pos="0"/>
        </w:tabs>
        <w:spacing w:after="0" w:line="360" w:lineRule="auto"/>
        <w:contextualSpacing/>
        <w:rPr>
          <w:rFonts w:ascii="Times New Roman" w:eastAsia="Times New Roman" w:hAnsi="Times New Roman" w:cs="Times New Roman"/>
          <w:sz w:val="26"/>
          <w:szCs w:val="26"/>
        </w:rPr>
      </w:pPr>
    </w:p>
    <w:p w:rsidR="000C0D9A" w:rsidRDefault="009A0DE3" w:rsidP="00EB7308">
      <w:pPr>
        <w:tabs>
          <w:tab w:val="left" w:pos="0"/>
        </w:tabs>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0C76AF">
        <w:rPr>
          <w:rFonts w:ascii="Times New Roman" w:eastAsia="Times New Roman" w:hAnsi="Times New Roman" w:cs="Times New Roman"/>
          <w:sz w:val="26"/>
          <w:szCs w:val="26"/>
        </w:rPr>
        <w:t xml:space="preserve">We acknowledge that the issue of </w:t>
      </w:r>
      <w:r w:rsidR="000C76AF" w:rsidRPr="000E25C6">
        <w:rPr>
          <w:rFonts w:ascii="Times New Roman" w:eastAsia="Times New Roman" w:hAnsi="Times New Roman" w:cs="Times New Roman"/>
          <w:i/>
          <w:sz w:val="26"/>
          <w:szCs w:val="26"/>
        </w:rPr>
        <w:t>de facto</w:t>
      </w:r>
      <w:r w:rsidR="000E25C6">
        <w:rPr>
          <w:rFonts w:ascii="Times New Roman" w:eastAsia="Times New Roman" w:hAnsi="Times New Roman" w:cs="Times New Roman"/>
          <w:sz w:val="26"/>
          <w:szCs w:val="26"/>
        </w:rPr>
        <w:t xml:space="preserve"> heating is a complex and growing </w:t>
      </w:r>
      <w:r w:rsidR="000C76AF">
        <w:rPr>
          <w:rFonts w:ascii="Times New Roman" w:eastAsia="Times New Roman" w:hAnsi="Times New Roman" w:cs="Times New Roman"/>
          <w:sz w:val="26"/>
          <w:szCs w:val="26"/>
        </w:rPr>
        <w:t xml:space="preserve">problem that warrants further consideration. </w:t>
      </w:r>
      <w:r w:rsidR="00846D3D">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We note that </w:t>
      </w:r>
      <w:r w:rsidR="000C76AF">
        <w:rPr>
          <w:rFonts w:ascii="Times New Roman" w:eastAsia="Times New Roman" w:hAnsi="Times New Roman" w:cs="Times New Roman"/>
          <w:sz w:val="26"/>
          <w:szCs w:val="26"/>
        </w:rPr>
        <w:t>the Commission’s other open proceedings</w:t>
      </w:r>
      <w:r w:rsidR="000E25C6">
        <w:rPr>
          <w:rFonts w:ascii="Times New Roman" w:eastAsia="Times New Roman" w:hAnsi="Times New Roman" w:cs="Times New Roman"/>
          <w:sz w:val="26"/>
          <w:szCs w:val="26"/>
        </w:rPr>
        <w:t>,</w:t>
      </w:r>
      <w:r w:rsidR="000C76AF">
        <w:rPr>
          <w:rFonts w:ascii="Times New Roman" w:eastAsia="Times New Roman" w:hAnsi="Times New Roman" w:cs="Times New Roman"/>
          <w:sz w:val="26"/>
          <w:szCs w:val="26"/>
        </w:rPr>
        <w:t xml:space="preserve"> </w:t>
      </w:r>
      <w:r w:rsidR="00846D3D">
        <w:rPr>
          <w:rFonts w:ascii="Times New Roman" w:eastAsia="Times New Roman" w:hAnsi="Times New Roman" w:cs="Times New Roman"/>
          <w:sz w:val="26"/>
          <w:szCs w:val="26"/>
        </w:rPr>
        <w:t xml:space="preserve">relative to </w:t>
      </w:r>
      <w:r w:rsidR="000C76AF">
        <w:rPr>
          <w:rFonts w:ascii="Times New Roman" w:eastAsia="Times New Roman" w:hAnsi="Times New Roman" w:cs="Times New Roman"/>
          <w:sz w:val="26"/>
          <w:szCs w:val="26"/>
        </w:rPr>
        <w:t xml:space="preserve">LIURP </w:t>
      </w:r>
      <w:r w:rsidR="00846D3D">
        <w:rPr>
          <w:rFonts w:ascii="Times New Roman" w:eastAsia="Times New Roman" w:hAnsi="Times New Roman" w:cs="Times New Roman"/>
          <w:sz w:val="26"/>
          <w:szCs w:val="26"/>
        </w:rPr>
        <w:t>(</w:t>
      </w:r>
      <w:r w:rsidR="00275EFF">
        <w:rPr>
          <w:rFonts w:ascii="Times New Roman" w:eastAsia="Times New Roman" w:hAnsi="Times New Roman" w:cs="Times New Roman"/>
          <w:sz w:val="26"/>
          <w:szCs w:val="26"/>
        </w:rPr>
        <w:t>D</w:t>
      </w:r>
      <w:r w:rsidR="00846D3D">
        <w:rPr>
          <w:rFonts w:ascii="Times New Roman" w:eastAsia="Times New Roman" w:hAnsi="Times New Roman" w:cs="Times New Roman"/>
          <w:sz w:val="26"/>
          <w:szCs w:val="26"/>
        </w:rPr>
        <w:t xml:space="preserve">ocket No. L-2016-2557886) </w:t>
      </w:r>
      <w:r w:rsidR="000C76AF">
        <w:rPr>
          <w:rFonts w:ascii="Times New Roman" w:eastAsia="Times New Roman" w:hAnsi="Times New Roman" w:cs="Times New Roman"/>
          <w:sz w:val="26"/>
          <w:szCs w:val="26"/>
        </w:rPr>
        <w:t>and universal service</w:t>
      </w:r>
      <w:r w:rsidR="000E25C6">
        <w:rPr>
          <w:rFonts w:ascii="Times New Roman" w:eastAsia="Times New Roman" w:hAnsi="Times New Roman" w:cs="Times New Roman"/>
          <w:sz w:val="26"/>
          <w:szCs w:val="26"/>
        </w:rPr>
        <w:t xml:space="preserve"> programs </w:t>
      </w:r>
      <w:r w:rsidR="00846D3D">
        <w:rPr>
          <w:rFonts w:ascii="Times New Roman" w:eastAsia="Times New Roman" w:hAnsi="Times New Roman" w:cs="Times New Roman"/>
          <w:sz w:val="26"/>
          <w:szCs w:val="26"/>
        </w:rPr>
        <w:t>(Docket No. M-2017-2596907)</w:t>
      </w:r>
      <w:r w:rsidR="000E25C6">
        <w:rPr>
          <w:rFonts w:ascii="Times New Roman" w:eastAsia="Times New Roman" w:hAnsi="Times New Roman" w:cs="Times New Roman"/>
          <w:sz w:val="26"/>
          <w:szCs w:val="26"/>
        </w:rPr>
        <w:t>,</w:t>
      </w:r>
      <w:r w:rsidR="000C76AF">
        <w:rPr>
          <w:rFonts w:ascii="Times New Roman" w:eastAsia="Times New Roman" w:hAnsi="Times New Roman" w:cs="Times New Roman"/>
          <w:sz w:val="26"/>
          <w:szCs w:val="26"/>
        </w:rPr>
        <w:t xml:space="preserve"> are more appropriate forum</w:t>
      </w:r>
      <w:r w:rsidR="00846D3D">
        <w:rPr>
          <w:rFonts w:ascii="Times New Roman" w:eastAsia="Times New Roman" w:hAnsi="Times New Roman" w:cs="Times New Roman"/>
          <w:sz w:val="26"/>
          <w:szCs w:val="26"/>
        </w:rPr>
        <w:t>s</w:t>
      </w:r>
      <w:r w:rsidR="000C76AF">
        <w:rPr>
          <w:rFonts w:ascii="Times New Roman" w:eastAsia="Times New Roman" w:hAnsi="Times New Roman" w:cs="Times New Roman"/>
          <w:sz w:val="26"/>
          <w:szCs w:val="26"/>
        </w:rPr>
        <w:t xml:space="preserve"> in which to address the </w:t>
      </w:r>
      <w:r w:rsidR="000C76AF" w:rsidRPr="000E25C6">
        <w:rPr>
          <w:rFonts w:ascii="Times New Roman" w:eastAsia="Times New Roman" w:hAnsi="Times New Roman" w:cs="Times New Roman"/>
          <w:i/>
          <w:sz w:val="26"/>
          <w:szCs w:val="26"/>
        </w:rPr>
        <w:t>de facto</w:t>
      </w:r>
      <w:r w:rsidR="000C76AF">
        <w:rPr>
          <w:rFonts w:ascii="Times New Roman" w:eastAsia="Times New Roman" w:hAnsi="Times New Roman" w:cs="Times New Roman"/>
          <w:sz w:val="26"/>
          <w:szCs w:val="26"/>
        </w:rPr>
        <w:t xml:space="preserve"> heating issue. </w:t>
      </w:r>
    </w:p>
    <w:p w:rsidR="000C0D9A" w:rsidRDefault="000C0D9A" w:rsidP="00EB7308">
      <w:pPr>
        <w:tabs>
          <w:tab w:val="left" w:pos="0"/>
        </w:tabs>
        <w:spacing w:after="0" w:line="360" w:lineRule="auto"/>
        <w:contextualSpacing/>
        <w:rPr>
          <w:rFonts w:ascii="Times New Roman" w:eastAsia="Times New Roman" w:hAnsi="Times New Roman" w:cs="Times New Roman"/>
          <w:sz w:val="26"/>
          <w:szCs w:val="26"/>
        </w:rPr>
      </w:pPr>
    </w:p>
    <w:p w:rsidR="00681520" w:rsidRDefault="000C0D9A" w:rsidP="00EB7308">
      <w:pPr>
        <w:tabs>
          <w:tab w:val="left" w:pos="0"/>
        </w:tabs>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t>We are also satisfied that PGW will track the groups of health and safety measures</w:t>
      </w:r>
      <w:r w:rsidR="000E25C6">
        <w:rPr>
          <w:rFonts w:ascii="Times New Roman" w:eastAsia="Times New Roman" w:hAnsi="Times New Roman" w:cs="Times New Roman"/>
          <w:sz w:val="26"/>
          <w:szCs w:val="26"/>
        </w:rPr>
        <w:t xml:space="preserve"> installed</w:t>
      </w:r>
      <w:r>
        <w:rPr>
          <w:rFonts w:ascii="Times New Roman" w:eastAsia="Times New Roman" w:hAnsi="Times New Roman" w:cs="Times New Roman"/>
          <w:sz w:val="26"/>
          <w:szCs w:val="26"/>
        </w:rPr>
        <w:t xml:space="preserve"> </w:t>
      </w:r>
      <w:r w:rsidR="00EB5AB6">
        <w:rPr>
          <w:rFonts w:ascii="Times New Roman" w:eastAsia="Times New Roman" w:hAnsi="Times New Roman" w:cs="Times New Roman"/>
          <w:sz w:val="26"/>
          <w:szCs w:val="26"/>
        </w:rPr>
        <w:t xml:space="preserve">and the associated dollars </w:t>
      </w:r>
      <w:r w:rsidR="000E25C6">
        <w:rPr>
          <w:rFonts w:ascii="Times New Roman" w:eastAsia="Times New Roman" w:hAnsi="Times New Roman" w:cs="Times New Roman"/>
          <w:sz w:val="26"/>
          <w:szCs w:val="26"/>
        </w:rPr>
        <w:t>un</w:t>
      </w:r>
      <w:r>
        <w:rPr>
          <w:rFonts w:ascii="Times New Roman" w:eastAsia="Times New Roman" w:hAnsi="Times New Roman" w:cs="Times New Roman"/>
          <w:sz w:val="26"/>
          <w:szCs w:val="26"/>
        </w:rPr>
        <w:t xml:space="preserve">der the pilot, as this is consistent with </w:t>
      </w:r>
      <w:r w:rsidR="00EB5AB6">
        <w:rPr>
          <w:rFonts w:ascii="Times New Roman" w:eastAsia="Times New Roman" w:hAnsi="Times New Roman" w:cs="Times New Roman"/>
          <w:sz w:val="26"/>
          <w:szCs w:val="26"/>
        </w:rPr>
        <w:t xml:space="preserve">LIURP reporting. </w:t>
      </w:r>
    </w:p>
    <w:p w:rsidR="00681520" w:rsidRDefault="00681520" w:rsidP="00EB7308">
      <w:pPr>
        <w:tabs>
          <w:tab w:val="left" w:pos="0"/>
        </w:tabs>
        <w:spacing w:after="0" w:line="360" w:lineRule="auto"/>
        <w:contextualSpacing/>
        <w:rPr>
          <w:rFonts w:ascii="Times New Roman" w:eastAsia="Times New Roman" w:hAnsi="Times New Roman" w:cs="Times New Roman"/>
          <w:sz w:val="26"/>
          <w:szCs w:val="26"/>
        </w:rPr>
      </w:pPr>
    </w:p>
    <w:p w:rsidR="00BF282F" w:rsidRDefault="00681520" w:rsidP="00EB7308">
      <w:pPr>
        <w:tabs>
          <w:tab w:val="left" w:pos="0"/>
        </w:tabs>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t>We do</w:t>
      </w:r>
      <w:r w:rsidR="000E25C6">
        <w:rPr>
          <w:rFonts w:ascii="Times New Roman" w:eastAsia="Times New Roman" w:hAnsi="Times New Roman" w:cs="Times New Roman"/>
          <w:sz w:val="26"/>
          <w:szCs w:val="26"/>
        </w:rPr>
        <w:t>, however,</w:t>
      </w:r>
      <w:r>
        <w:rPr>
          <w:rFonts w:ascii="Times New Roman" w:eastAsia="Times New Roman" w:hAnsi="Times New Roman" w:cs="Times New Roman"/>
          <w:sz w:val="26"/>
          <w:szCs w:val="26"/>
        </w:rPr>
        <w:t xml:space="preserve"> have some remaining concerns about the </w:t>
      </w:r>
      <w:r w:rsidR="00F74341">
        <w:rPr>
          <w:rFonts w:ascii="Times New Roman" w:eastAsia="Times New Roman" w:hAnsi="Times New Roman" w:cs="Times New Roman"/>
          <w:sz w:val="26"/>
          <w:szCs w:val="26"/>
        </w:rPr>
        <w:t xml:space="preserve">health and safety </w:t>
      </w:r>
      <w:r>
        <w:rPr>
          <w:rFonts w:ascii="Times New Roman" w:eastAsia="Times New Roman" w:hAnsi="Times New Roman" w:cs="Times New Roman"/>
          <w:sz w:val="26"/>
          <w:szCs w:val="26"/>
        </w:rPr>
        <w:t xml:space="preserve">pilot and agree </w:t>
      </w:r>
      <w:r w:rsidR="00622506">
        <w:rPr>
          <w:rFonts w:ascii="Times New Roman" w:eastAsia="Times New Roman" w:hAnsi="Times New Roman" w:cs="Times New Roman"/>
          <w:sz w:val="26"/>
          <w:szCs w:val="26"/>
        </w:rPr>
        <w:t xml:space="preserve">with the commenters </w:t>
      </w:r>
      <w:r>
        <w:rPr>
          <w:rFonts w:ascii="Times New Roman" w:eastAsia="Times New Roman" w:hAnsi="Times New Roman" w:cs="Times New Roman"/>
          <w:sz w:val="26"/>
          <w:szCs w:val="26"/>
        </w:rPr>
        <w:t>that the 25% savings threshold may be unrealistic</w:t>
      </w:r>
      <w:r w:rsidR="00622506">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00F74341">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We have reviewed historical LIURP savings data from both PGW and other NGDCs for the past several years and suggest that PGW consider </w:t>
      </w:r>
      <w:r w:rsidR="009C5E3A">
        <w:rPr>
          <w:rFonts w:ascii="Times New Roman" w:eastAsia="Times New Roman" w:hAnsi="Times New Roman" w:cs="Times New Roman"/>
          <w:sz w:val="26"/>
          <w:szCs w:val="26"/>
        </w:rPr>
        <w:t>lowering the</w:t>
      </w:r>
      <w:r>
        <w:rPr>
          <w:rFonts w:ascii="Times New Roman" w:eastAsia="Times New Roman" w:hAnsi="Times New Roman" w:cs="Times New Roman"/>
          <w:sz w:val="26"/>
          <w:szCs w:val="26"/>
        </w:rPr>
        <w:t xml:space="preserve"> </w:t>
      </w:r>
      <w:r w:rsidR="000E25C6">
        <w:rPr>
          <w:rFonts w:ascii="Times New Roman" w:eastAsia="Times New Roman" w:hAnsi="Times New Roman" w:cs="Times New Roman"/>
          <w:sz w:val="26"/>
          <w:szCs w:val="26"/>
        </w:rPr>
        <w:t xml:space="preserve">targeted </w:t>
      </w:r>
      <w:r>
        <w:rPr>
          <w:rFonts w:ascii="Times New Roman" w:eastAsia="Times New Roman" w:hAnsi="Times New Roman" w:cs="Times New Roman"/>
          <w:sz w:val="26"/>
          <w:szCs w:val="26"/>
        </w:rPr>
        <w:t xml:space="preserve">savings threshold </w:t>
      </w:r>
      <w:r w:rsidR="009C5E3A">
        <w:rPr>
          <w:rFonts w:ascii="Times New Roman" w:eastAsia="Times New Roman" w:hAnsi="Times New Roman" w:cs="Times New Roman"/>
          <w:sz w:val="26"/>
          <w:szCs w:val="26"/>
        </w:rPr>
        <w:t>t</w:t>
      </w:r>
      <w:r>
        <w:rPr>
          <w:rFonts w:ascii="Times New Roman" w:eastAsia="Times New Roman" w:hAnsi="Times New Roman" w:cs="Times New Roman"/>
          <w:sz w:val="26"/>
          <w:szCs w:val="26"/>
        </w:rPr>
        <w:t>o 15%</w:t>
      </w:r>
      <w:r w:rsidR="005F5F3E">
        <w:rPr>
          <w:rFonts w:ascii="Times New Roman" w:eastAsia="Times New Roman" w:hAnsi="Times New Roman" w:cs="Times New Roman"/>
          <w:sz w:val="26"/>
          <w:szCs w:val="26"/>
        </w:rPr>
        <w:t>-20%</w:t>
      </w:r>
      <w:r>
        <w:rPr>
          <w:rFonts w:ascii="Times New Roman" w:eastAsia="Times New Roman" w:hAnsi="Times New Roman" w:cs="Times New Roman"/>
          <w:sz w:val="26"/>
          <w:szCs w:val="26"/>
        </w:rPr>
        <w:t xml:space="preserve"> instead. </w:t>
      </w:r>
      <w:r w:rsidR="00F74341">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While we understand that a savings threshold of 25%</w:t>
      </w:r>
      <w:r w:rsidR="00451495">
        <w:rPr>
          <w:rFonts w:ascii="Times New Roman" w:eastAsia="Times New Roman" w:hAnsi="Times New Roman" w:cs="Times New Roman"/>
          <w:sz w:val="26"/>
          <w:szCs w:val="26"/>
        </w:rPr>
        <w:t xml:space="preserve"> for every job under the pilot</w:t>
      </w:r>
      <w:r>
        <w:rPr>
          <w:rFonts w:ascii="Times New Roman" w:eastAsia="Times New Roman" w:hAnsi="Times New Roman" w:cs="Times New Roman"/>
          <w:sz w:val="26"/>
          <w:szCs w:val="26"/>
        </w:rPr>
        <w:t xml:space="preserve"> is achievable</w:t>
      </w:r>
      <w:r w:rsidR="00FC6AC3">
        <w:rPr>
          <w:rFonts w:ascii="Times New Roman" w:eastAsia="Times New Roman" w:hAnsi="Times New Roman" w:cs="Times New Roman"/>
          <w:sz w:val="26"/>
          <w:szCs w:val="26"/>
        </w:rPr>
        <w:t>,</w:t>
      </w:r>
      <w:r w:rsidR="00F74341">
        <w:rPr>
          <w:rFonts w:ascii="Times New Roman" w:eastAsia="Times New Roman" w:hAnsi="Times New Roman" w:cs="Times New Roman"/>
          <w:sz w:val="26"/>
          <w:szCs w:val="26"/>
        </w:rPr>
        <w:t xml:space="preserve"> and arguably a valid pilot parameter</w:t>
      </w:r>
      <w:r>
        <w:rPr>
          <w:rFonts w:ascii="Times New Roman" w:eastAsia="Times New Roman" w:hAnsi="Times New Roman" w:cs="Times New Roman"/>
          <w:sz w:val="26"/>
          <w:szCs w:val="26"/>
        </w:rPr>
        <w:t xml:space="preserve">, it would </w:t>
      </w:r>
      <w:r w:rsidR="00451495">
        <w:rPr>
          <w:rFonts w:ascii="Times New Roman" w:eastAsia="Times New Roman" w:hAnsi="Times New Roman" w:cs="Times New Roman"/>
          <w:sz w:val="26"/>
          <w:szCs w:val="26"/>
        </w:rPr>
        <w:t>eliminate many more homes than it would serve</w:t>
      </w:r>
      <w:r>
        <w:rPr>
          <w:rFonts w:ascii="Times New Roman" w:eastAsia="Times New Roman" w:hAnsi="Times New Roman" w:cs="Times New Roman"/>
          <w:sz w:val="26"/>
          <w:szCs w:val="26"/>
        </w:rPr>
        <w:t xml:space="preserve">. </w:t>
      </w:r>
      <w:r w:rsidR="00F74341">
        <w:rPr>
          <w:rFonts w:ascii="Times New Roman" w:eastAsia="Times New Roman" w:hAnsi="Times New Roman" w:cs="Times New Roman"/>
          <w:sz w:val="26"/>
          <w:szCs w:val="26"/>
        </w:rPr>
        <w:t xml:space="preserve"> </w:t>
      </w:r>
      <w:r w:rsidR="002C723A">
        <w:rPr>
          <w:rFonts w:ascii="Times New Roman" w:eastAsia="Times New Roman" w:hAnsi="Times New Roman" w:cs="Times New Roman"/>
          <w:sz w:val="26"/>
          <w:szCs w:val="26"/>
        </w:rPr>
        <w:t>T</w:t>
      </w:r>
      <w:r>
        <w:rPr>
          <w:rFonts w:ascii="Times New Roman" w:eastAsia="Times New Roman" w:hAnsi="Times New Roman" w:cs="Times New Roman"/>
          <w:sz w:val="26"/>
          <w:szCs w:val="26"/>
        </w:rPr>
        <w:t>he primary benefit of the health and safety pilot s</w:t>
      </w:r>
      <w:r w:rsidR="002C723A">
        <w:rPr>
          <w:rFonts w:ascii="Times New Roman" w:eastAsia="Times New Roman" w:hAnsi="Times New Roman" w:cs="Times New Roman"/>
          <w:sz w:val="26"/>
          <w:szCs w:val="26"/>
        </w:rPr>
        <w:t>hould be</w:t>
      </w:r>
      <w:r>
        <w:rPr>
          <w:rFonts w:ascii="Times New Roman" w:eastAsia="Times New Roman" w:hAnsi="Times New Roman" w:cs="Times New Roman"/>
          <w:sz w:val="26"/>
          <w:szCs w:val="26"/>
        </w:rPr>
        <w:t xml:space="preserve"> to decrease the number of deferrals</w:t>
      </w:r>
      <w:r w:rsidR="00FC6AC3">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00F74341">
        <w:rPr>
          <w:rFonts w:ascii="Times New Roman" w:eastAsia="Times New Roman" w:hAnsi="Times New Roman" w:cs="Times New Roman"/>
          <w:sz w:val="26"/>
          <w:szCs w:val="26"/>
        </w:rPr>
        <w:t xml:space="preserve"> </w:t>
      </w:r>
    </w:p>
    <w:p w:rsidR="00BF282F" w:rsidRDefault="00BF282F" w:rsidP="00EB7308">
      <w:pPr>
        <w:tabs>
          <w:tab w:val="left" w:pos="0"/>
        </w:tabs>
        <w:spacing w:after="0" w:line="360" w:lineRule="auto"/>
        <w:contextualSpacing/>
        <w:rPr>
          <w:rFonts w:ascii="Times New Roman" w:eastAsia="Times New Roman" w:hAnsi="Times New Roman" w:cs="Times New Roman"/>
          <w:sz w:val="26"/>
          <w:szCs w:val="26"/>
        </w:rPr>
      </w:pPr>
    </w:p>
    <w:p w:rsidR="00EE0D0F" w:rsidRDefault="00BF282F" w:rsidP="00EB7308">
      <w:pPr>
        <w:tabs>
          <w:tab w:val="left" w:pos="0"/>
        </w:tabs>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2C723A">
        <w:rPr>
          <w:rFonts w:ascii="Times New Roman" w:eastAsia="Times New Roman" w:hAnsi="Times New Roman" w:cs="Times New Roman"/>
          <w:sz w:val="26"/>
          <w:szCs w:val="26"/>
        </w:rPr>
        <w:t>W</w:t>
      </w:r>
      <w:r w:rsidR="00681520">
        <w:rPr>
          <w:rFonts w:ascii="Times New Roman" w:eastAsia="Times New Roman" w:hAnsi="Times New Roman" w:cs="Times New Roman"/>
          <w:sz w:val="26"/>
          <w:szCs w:val="26"/>
        </w:rPr>
        <w:t xml:space="preserve">e recognize that </w:t>
      </w:r>
      <w:r w:rsidR="009A0DE3">
        <w:rPr>
          <w:rFonts w:ascii="Times New Roman" w:eastAsia="Times New Roman" w:hAnsi="Times New Roman" w:cs="Times New Roman"/>
          <w:sz w:val="26"/>
          <w:szCs w:val="26"/>
        </w:rPr>
        <w:t>PGW</w:t>
      </w:r>
      <w:r w:rsidR="000E25C6">
        <w:rPr>
          <w:rFonts w:ascii="Times New Roman" w:eastAsia="Times New Roman" w:hAnsi="Times New Roman" w:cs="Times New Roman"/>
          <w:sz w:val="26"/>
          <w:szCs w:val="26"/>
        </w:rPr>
        <w:t xml:space="preserve"> incurs</w:t>
      </w:r>
      <w:r w:rsidR="009A0DE3">
        <w:rPr>
          <w:rFonts w:ascii="Times New Roman" w:eastAsia="Times New Roman" w:hAnsi="Times New Roman" w:cs="Times New Roman"/>
          <w:sz w:val="26"/>
          <w:szCs w:val="26"/>
        </w:rPr>
        <w:t xml:space="preserve"> “</w:t>
      </w:r>
      <w:r w:rsidR="00681520">
        <w:rPr>
          <w:rFonts w:ascii="Times New Roman" w:eastAsia="Times New Roman" w:hAnsi="Times New Roman" w:cs="Times New Roman"/>
          <w:sz w:val="26"/>
          <w:szCs w:val="26"/>
        </w:rPr>
        <w:t>sunk cost</w:t>
      </w:r>
      <w:r w:rsidR="000E25C6">
        <w:rPr>
          <w:rFonts w:ascii="Times New Roman" w:eastAsia="Times New Roman" w:hAnsi="Times New Roman" w:cs="Times New Roman"/>
          <w:sz w:val="26"/>
          <w:szCs w:val="26"/>
        </w:rPr>
        <w:t>s</w:t>
      </w:r>
      <w:r w:rsidR="00F74341">
        <w:rPr>
          <w:rFonts w:ascii="Times New Roman" w:eastAsia="Times New Roman" w:hAnsi="Times New Roman" w:cs="Times New Roman"/>
          <w:sz w:val="26"/>
          <w:szCs w:val="26"/>
        </w:rPr>
        <w:t>,</w:t>
      </w:r>
      <w:r w:rsidR="009A0DE3">
        <w:rPr>
          <w:rFonts w:ascii="Times New Roman" w:eastAsia="Times New Roman" w:hAnsi="Times New Roman" w:cs="Times New Roman"/>
          <w:sz w:val="26"/>
          <w:szCs w:val="26"/>
        </w:rPr>
        <w:t>”</w:t>
      </w:r>
      <w:r w:rsidR="00F74341">
        <w:rPr>
          <w:rFonts w:ascii="Times New Roman" w:eastAsia="Times New Roman" w:hAnsi="Times New Roman" w:cs="Times New Roman"/>
          <w:sz w:val="26"/>
          <w:szCs w:val="26"/>
        </w:rPr>
        <w:t xml:space="preserve"> </w:t>
      </w:r>
      <w:r w:rsidR="00F74341">
        <w:rPr>
          <w:rFonts w:ascii="Times New Roman" w:eastAsia="Times New Roman" w:hAnsi="Times New Roman" w:cs="Times New Roman"/>
          <w:i/>
          <w:sz w:val="26"/>
          <w:szCs w:val="26"/>
        </w:rPr>
        <w:t>i.e.,</w:t>
      </w:r>
      <w:r w:rsidR="00D82A14">
        <w:rPr>
          <w:rFonts w:ascii="Times New Roman" w:eastAsia="Times New Roman" w:hAnsi="Times New Roman" w:cs="Times New Roman"/>
          <w:sz w:val="26"/>
          <w:szCs w:val="26"/>
        </w:rPr>
        <w:t xml:space="preserve"> </w:t>
      </w:r>
      <w:r w:rsidR="00681520">
        <w:rPr>
          <w:rFonts w:ascii="Times New Roman" w:eastAsia="Times New Roman" w:hAnsi="Times New Roman" w:cs="Times New Roman"/>
          <w:sz w:val="26"/>
          <w:szCs w:val="26"/>
        </w:rPr>
        <w:t xml:space="preserve">the cost to PGW to walk away from </w:t>
      </w:r>
      <w:r w:rsidR="00D82A14">
        <w:rPr>
          <w:rFonts w:ascii="Times New Roman" w:eastAsia="Times New Roman" w:hAnsi="Times New Roman" w:cs="Times New Roman"/>
          <w:sz w:val="26"/>
          <w:szCs w:val="26"/>
        </w:rPr>
        <w:t xml:space="preserve">a </w:t>
      </w:r>
      <w:r w:rsidR="009A0DE3">
        <w:rPr>
          <w:rFonts w:ascii="Times New Roman" w:eastAsia="Times New Roman" w:hAnsi="Times New Roman" w:cs="Times New Roman"/>
          <w:sz w:val="26"/>
          <w:szCs w:val="26"/>
        </w:rPr>
        <w:t xml:space="preserve">house for which the </w:t>
      </w:r>
      <w:r w:rsidR="00681520">
        <w:rPr>
          <w:rFonts w:ascii="Times New Roman" w:eastAsia="Times New Roman" w:hAnsi="Times New Roman" w:cs="Times New Roman"/>
          <w:sz w:val="26"/>
          <w:szCs w:val="26"/>
        </w:rPr>
        <w:t>job</w:t>
      </w:r>
      <w:r w:rsidR="009A0DE3">
        <w:rPr>
          <w:rFonts w:ascii="Times New Roman" w:eastAsia="Times New Roman" w:hAnsi="Times New Roman" w:cs="Times New Roman"/>
          <w:sz w:val="26"/>
          <w:szCs w:val="26"/>
        </w:rPr>
        <w:t xml:space="preserve"> </w:t>
      </w:r>
      <w:r w:rsidR="000E25C6">
        <w:rPr>
          <w:rFonts w:ascii="Times New Roman" w:eastAsia="Times New Roman" w:hAnsi="Times New Roman" w:cs="Times New Roman"/>
          <w:sz w:val="26"/>
          <w:szCs w:val="26"/>
        </w:rPr>
        <w:t>has to be</w:t>
      </w:r>
      <w:r w:rsidR="009A0DE3">
        <w:rPr>
          <w:rFonts w:ascii="Times New Roman" w:eastAsia="Times New Roman" w:hAnsi="Times New Roman" w:cs="Times New Roman"/>
          <w:sz w:val="26"/>
          <w:szCs w:val="26"/>
        </w:rPr>
        <w:t xml:space="preserve"> deferred before complet</w:t>
      </w:r>
      <w:r w:rsidR="000E25C6">
        <w:rPr>
          <w:rFonts w:ascii="Times New Roman" w:eastAsia="Times New Roman" w:hAnsi="Times New Roman" w:cs="Times New Roman"/>
          <w:sz w:val="26"/>
          <w:szCs w:val="26"/>
        </w:rPr>
        <w:t>ion. The</w:t>
      </w:r>
      <w:r w:rsidR="001D13FB">
        <w:rPr>
          <w:rFonts w:ascii="Times New Roman" w:eastAsia="Times New Roman" w:hAnsi="Times New Roman" w:cs="Times New Roman"/>
          <w:sz w:val="26"/>
          <w:szCs w:val="26"/>
        </w:rPr>
        <w:t xml:space="preserve"> “sunk</w:t>
      </w:r>
      <w:r w:rsidR="000E25C6">
        <w:rPr>
          <w:rFonts w:ascii="Times New Roman" w:eastAsia="Times New Roman" w:hAnsi="Times New Roman" w:cs="Times New Roman"/>
          <w:sz w:val="26"/>
          <w:szCs w:val="26"/>
        </w:rPr>
        <w:t xml:space="preserve"> costs</w:t>
      </w:r>
      <w:r w:rsidR="001D13FB">
        <w:rPr>
          <w:rFonts w:ascii="Times New Roman" w:eastAsia="Times New Roman" w:hAnsi="Times New Roman" w:cs="Times New Roman"/>
          <w:sz w:val="26"/>
          <w:szCs w:val="26"/>
        </w:rPr>
        <w:t>” are in</w:t>
      </w:r>
      <w:r w:rsidR="00681520">
        <w:rPr>
          <w:rFonts w:ascii="Times New Roman" w:eastAsia="Times New Roman" w:hAnsi="Times New Roman" w:cs="Times New Roman"/>
          <w:sz w:val="26"/>
          <w:szCs w:val="26"/>
        </w:rPr>
        <w:t xml:space="preserve"> addition to the </w:t>
      </w:r>
      <w:r w:rsidR="001D13FB">
        <w:rPr>
          <w:rFonts w:ascii="Times New Roman" w:eastAsia="Times New Roman" w:hAnsi="Times New Roman" w:cs="Times New Roman"/>
          <w:sz w:val="26"/>
          <w:szCs w:val="26"/>
        </w:rPr>
        <w:t xml:space="preserve">increased </w:t>
      </w:r>
      <w:r w:rsidR="00681520">
        <w:rPr>
          <w:rFonts w:ascii="Times New Roman" w:eastAsia="Times New Roman" w:hAnsi="Times New Roman" w:cs="Times New Roman"/>
          <w:sz w:val="26"/>
          <w:szCs w:val="26"/>
        </w:rPr>
        <w:t>risk of default</w:t>
      </w:r>
      <w:r w:rsidR="00CB746B">
        <w:rPr>
          <w:rFonts w:ascii="Times New Roman" w:eastAsia="Times New Roman" w:hAnsi="Times New Roman" w:cs="Times New Roman"/>
          <w:sz w:val="26"/>
          <w:szCs w:val="26"/>
        </w:rPr>
        <w:t xml:space="preserve"> and </w:t>
      </w:r>
      <w:r w:rsidR="001D13FB">
        <w:rPr>
          <w:rFonts w:ascii="Times New Roman" w:eastAsia="Times New Roman" w:hAnsi="Times New Roman" w:cs="Times New Roman"/>
          <w:sz w:val="26"/>
          <w:szCs w:val="26"/>
        </w:rPr>
        <w:t xml:space="preserve">potentially higher </w:t>
      </w:r>
      <w:r w:rsidR="00CB746B">
        <w:rPr>
          <w:rFonts w:ascii="Times New Roman" w:eastAsia="Times New Roman" w:hAnsi="Times New Roman" w:cs="Times New Roman"/>
          <w:sz w:val="26"/>
          <w:szCs w:val="26"/>
        </w:rPr>
        <w:t>uncollect</w:t>
      </w:r>
      <w:r w:rsidR="00275EFF">
        <w:rPr>
          <w:rFonts w:ascii="Times New Roman" w:eastAsia="Times New Roman" w:hAnsi="Times New Roman" w:cs="Times New Roman"/>
          <w:sz w:val="26"/>
          <w:szCs w:val="26"/>
        </w:rPr>
        <w:t>i</w:t>
      </w:r>
      <w:r w:rsidR="00CB746B">
        <w:rPr>
          <w:rFonts w:ascii="Times New Roman" w:eastAsia="Times New Roman" w:hAnsi="Times New Roman" w:cs="Times New Roman"/>
          <w:sz w:val="26"/>
          <w:szCs w:val="26"/>
        </w:rPr>
        <w:t>ble cost</w:t>
      </w:r>
      <w:r w:rsidR="000E25C6">
        <w:rPr>
          <w:rFonts w:ascii="Times New Roman" w:eastAsia="Times New Roman" w:hAnsi="Times New Roman" w:cs="Times New Roman"/>
          <w:sz w:val="26"/>
          <w:szCs w:val="26"/>
        </w:rPr>
        <w:t>s</w:t>
      </w:r>
      <w:r w:rsidR="001D13FB">
        <w:rPr>
          <w:rFonts w:ascii="Times New Roman" w:eastAsia="Times New Roman" w:hAnsi="Times New Roman" w:cs="Times New Roman"/>
          <w:sz w:val="26"/>
          <w:szCs w:val="26"/>
        </w:rPr>
        <w:t xml:space="preserve"> that are frequently associated with homes that are disqualified from the CRP Home Comfort program because of health and safety barriers. All low-income, </w:t>
      </w:r>
      <w:r w:rsidR="00681520">
        <w:rPr>
          <w:rFonts w:ascii="Times New Roman" w:eastAsia="Times New Roman" w:hAnsi="Times New Roman" w:cs="Times New Roman"/>
          <w:sz w:val="26"/>
          <w:szCs w:val="26"/>
        </w:rPr>
        <w:t>high</w:t>
      </w:r>
      <w:r w:rsidR="00D82A14">
        <w:rPr>
          <w:rFonts w:ascii="Times New Roman" w:eastAsia="Times New Roman" w:hAnsi="Times New Roman" w:cs="Times New Roman"/>
          <w:sz w:val="26"/>
          <w:szCs w:val="26"/>
        </w:rPr>
        <w:t>-</w:t>
      </w:r>
      <w:r w:rsidR="00681520">
        <w:rPr>
          <w:rFonts w:ascii="Times New Roman" w:eastAsia="Times New Roman" w:hAnsi="Times New Roman" w:cs="Times New Roman"/>
          <w:sz w:val="26"/>
          <w:szCs w:val="26"/>
        </w:rPr>
        <w:t>use customer</w:t>
      </w:r>
      <w:r w:rsidR="001D13FB">
        <w:rPr>
          <w:rFonts w:ascii="Times New Roman" w:eastAsia="Times New Roman" w:hAnsi="Times New Roman" w:cs="Times New Roman"/>
          <w:sz w:val="26"/>
          <w:szCs w:val="26"/>
        </w:rPr>
        <w:t>s</w:t>
      </w:r>
      <w:r w:rsidR="00CB746B">
        <w:rPr>
          <w:rFonts w:ascii="Times New Roman" w:eastAsia="Times New Roman" w:hAnsi="Times New Roman" w:cs="Times New Roman"/>
          <w:sz w:val="26"/>
          <w:szCs w:val="26"/>
        </w:rPr>
        <w:t xml:space="preserve"> warrant treatment under the pilot, </w:t>
      </w:r>
      <w:r w:rsidR="00FC6AC3">
        <w:rPr>
          <w:rFonts w:ascii="Times New Roman" w:eastAsia="Times New Roman" w:hAnsi="Times New Roman" w:cs="Times New Roman"/>
          <w:sz w:val="26"/>
          <w:szCs w:val="26"/>
        </w:rPr>
        <w:t>and more could be serviced</w:t>
      </w:r>
      <w:r w:rsidR="00CB746B">
        <w:rPr>
          <w:rFonts w:ascii="Times New Roman" w:eastAsia="Times New Roman" w:hAnsi="Times New Roman" w:cs="Times New Roman"/>
          <w:sz w:val="26"/>
          <w:szCs w:val="26"/>
        </w:rPr>
        <w:t xml:space="preserve"> </w:t>
      </w:r>
      <w:r w:rsidR="001D13FB">
        <w:rPr>
          <w:rFonts w:ascii="Times New Roman" w:eastAsia="Times New Roman" w:hAnsi="Times New Roman" w:cs="Times New Roman"/>
          <w:sz w:val="26"/>
          <w:szCs w:val="26"/>
        </w:rPr>
        <w:t>if the</w:t>
      </w:r>
      <w:r w:rsidR="00C2720D">
        <w:rPr>
          <w:rFonts w:ascii="Times New Roman" w:eastAsia="Times New Roman" w:hAnsi="Times New Roman" w:cs="Times New Roman"/>
          <w:sz w:val="26"/>
          <w:szCs w:val="26"/>
        </w:rPr>
        <w:t xml:space="preserve"> </w:t>
      </w:r>
      <w:r w:rsidR="001D13FB">
        <w:rPr>
          <w:rFonts w:ascii="Times New Roman" w:eastAsia="Times New Roman" w:hAnsi="Times New Roman" w:cs="Times New Roman"/>
          <w:sz w:val="26"/>
          <w:szCs w:val="26"/>
        </w:rPr>
        <w:t xml:space="preserve">savings </w:t>
      </w:r>
      <w:r w:rsidR="00C2720D">
        <w:rPr>
          <w:rFonts w:ascii="Times New Roman" w:eastAsia="Times New Roman" w:hAnsi="Times New Roman" w:cs="Times New Roman"/>
          <w:sz w:val="26"/>
          <w:szCs w:val="26"/>
        </w:rPr>
        <w:t xml:space="preserve">goal </w:t>
      </w:r>
      <w:r w:rsidR="001D13FB">
        <w:rPr>
          <w:rFonts w:ascii="Times New Roman" w:eastAsia="Times New Roman" w:hAnsi="Times New Roman" w:cs="Times New Roman"/>
          <w:sz w:val="26"/>
          <w:szCs w:val="26"/>
        </w:rPr>
        <w:t>is reduced to</w:t>
      </w:r>
      <w:r w:rsidR="00C2720D">
        <w:rPr>
          <w:rFonts w:ascii="Times New Roman" w:eastAsia="Times New Roman" w:hAnsi="Times New Roman" w:cs="Times New Roman"/>
          <w:sz w:val="26"/>
          <w:szCs w:val="26"/>
        </w:rPr>
        <w:t xml:space="preserve"> a more</w:t>
      </w:r>
      <w:r w:rsidR="002C723A">
        <w:rPr>
          <w:rFonts w:ascii="Times New Roman" w:eastAsia="Times New Roman" w:hAnsi="Times New Roman" w:cs="Times New Roman"/>
          <w:sz w:val="26"/>
          <w:szCs w:val="26"/>
        </w:rPr>
        <w:t xml:space="preserve"> </w:t>
      </w:r>
      <w:r w:rsidR="00D82A14">
        <w:rPr>
          <w:rFonts w:ascii="Times New Roman" w:eastAsia="Times New Roman" w:hAnsi="Times New Roman" w:cs="Times New Roman"/>
          <w:sz w:val="26"/>
          <w:szCs w:val="26"/>
        </w:rPr>
        <w:t>realistic</w:t>
      </w:r>
      <w:r w:rsidR="002C723A">
        <w:rPr>
          <w:rFonts w:ascii="Times New Roman" w:eastAsia="Times New Roman" w:hAnsi="Times New Roman" w:cs="Times New Roman"/>
          <w:sz w:val="26"/>
          <w:szCs w:val="26"/>
        </w:rPr>
        <w:t xml:space="preserve"> level.</w:t>
      </w:r>
    </w:p>
    <w:p w:rsidR="00EE0D0F" w:rsidRDefault="00EE0D0F" w:rsidP="00EB7308">
      <w:pPr>
        <w:tabs>
          <w:tab w:val="left" w:pos="0"/>
        </w:tabs>
        <w:spacing w:after="0" w:line="360" w:lineRule="auto"/>
        <w:contextualSpacing/>
        <w:rPr>
          <w:rFonts w:ascii="Times New Roman" w:eastAsia="Times New Roman" w:hAnsi="Times New Roman" w:cs="Times New Roman"/>
          <w:sz w:val="26"/>
          <w:szCs w:val="26"/>
        </w:rPr>
      </w:pPr>
    </w:p>
    <w:p w:rsidR="00D82A14" w:rsidRDefault="009A0DE3" w:rsidP="00EB7308">
      <w:pPr>
        <w:tabs>
          <w:tab w:val="left" w:pos="0"/>
        </w:tabs>
        <w:spacing w:after="0" w:line="360" w:lineRule="auto"/>
        <w:contextualSpacing/>
        <w:rPr>
          <w:rFonts w:ascii="Times New Roman" w:eastAsia="Times New Roman" w:hAnsi="Times New Roman" w:cs="Times New Roman"/>
          <w:b/>
          <w:sz w:val="26"/>
          <w:szCs w:val="26"/>
        </w:rPr>
      </w:pPr>
      <w:r w:rsidRPr="001D13D7">
        <w:rPr>
          <w:rFonts w:ascii="Times New Roman" w:eastAsia="Times New Roman" w:hAnsi="Times New Roman" w:cs="Times New Roman"/>
          <w:b/>
          <w:sz w:val="26"/>
          <w:szCs w:val="26"/>
        </w:rPr>
        <w:t xml:space="preserve">Health and Safety Pilot </w:t>
      </w:r>
      <w:r w:rsidR="00D82A14" w:rsidRPr="001D13D7">
        <w:rPr>
          <w:rFonts w:ascii="Times New Roman" w:eastAsia="Times New Roman" w:hAnsi="Times New Roman" w:cs="Times New Roman"/>
          <w:b/>
          <w:sz w:val="26"/>
          <w:szCs w:val="26"/>
        </w:rPr>
        <w:t>Waiver</w:t>
      </w:r>
      <w:r w:rsidRPr="001D13D7">
        <w:rPr>
          <w:rFonts w:ascii="Times New Roman" w:eastAsia="Times New Roman" w:hAnsi="Times New Roman" w:cs="Times New Roman"/>
          <w:b/>
          <w:sz w:val="26"/>
          <w:szCs w:val="26"/>
        </w:rPr>
        <w:t xml:space="preserve"> R</w:t>
      </w:r>
      <w:r w:rsidR="001D13D7">
        <w:rPr>
          <w:rFonts w:ascii="Times New Roman" w:eastAsia="Times New Roman" w:hAnsi="Times New Roman" w:cs="Times New Roman"/>
          <w:b/>
          <w:sz w:val="26"/>
          <w:szCs w:val="26"/>
        </w:rPr>
        <w:t>e</w:t>
      </w:r>
      <w:r w:rsidRPr="001D13D7">
        <w:rPr>
          <w:rFonts w:ascii="Times New Roman" w:eastAsia="Times New Roman" w:hAnsi="Times New Roman" w:cs="Times New Roman"/>
          <w:b/>
          <w:sz w:val="26"/>
          <w:szCs w:val="26"/>
        </w:rPr>
        <w:t>quests</w:t>
      </w:r>
    </w:p>
    <w:p w:rsidR="0066145F" w:rsidRPr="001D13D7" w:rsidRDefault="0066145F" w:rsidP="00EB7308">
      <w:pPr>
        <w:tabs>
          <w:tab w:val="left" w:pos="0"/>
        </w:tabs>
        <w:spacing w:after="0" w:line="360" w:lineRule="auto"/>
        <w:contextualSpacing/>
        <w:rPr>
          <w:rFonts w:ascii="Times New Roman" w:eastAsia="Times New Roman" w:hAnsi="Times New Roman" w:cs="Times New Roman"/>
          <w:b/>
          <w:sz w:val="26"/>
          <w:szCs w:val="26"/>
        </w:rPr>
      </w:pPr>
    </w:p>
    <w:p w:rsidR="00A8672C" w:rsidRDefault="00EE0D0F" w:rsidP="00EB7308">
      <w:pPr>
        <w:tabs>
          <w:tab w:val="left" w:pos="0"/>
        </w:tabs>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372BB4">
        <w:rPr>
          <w:rFonts w:ascii="Times New Roman" w:eastAsia="Times New Roman" w:hAnsi="Times New Roman" w:cs="Times New Roman"/>
          <w:sz w:val="26"/>
          <w:szCs w:val="26"/>
        </w:rPr>
        <w:t xml:space="preserve">PGW requested clarification and/or the continuation of waivers </w:t>
      </w:r>
      <w:r w:rsidR="003601EC">
        <w:rPr>
          <w:rFonts w:ascii="Times New Roman" w:eastAsia="Times New Roman" w:hAnsi="Times New Roman" w:cs="Times New Roman"/>
          <w:sz w:val="26"/>
          <w:szCs w:val="26"/>
        </w:rPr>
        <w:t xml:space="preserve">of </w:t>
      </w:r>
      <w:r w:rsidR="00D82A14">
        <w:rPr>
          <w:rFonts w:ascii="Times New Roman" w:eastAsia="Times New Roman" w:hAnsi="Times New Roman" w:cs="Times New Roman"/>
          <w:sz w:val="26"/>
          <w:szCs w:val="26"/>
        </w:rPr>
        <w:t>S</w:t>
      </w:r>
      <w:r w:rsidR="00372BB4">
        <w:rPr>
          <w:rFonts w:ascii="Times New Roman" w:eastAsia="Times New Roman" w:hAnsi="Times New Roman" w:cs="Times New Roman"/>
          <w:sz w:val="26"/>
          <w:szCs w:val="26"/>
        </w:rPr>
        <w:t xml:space="preserve">ections 58.11(a), 58.12 and/or 58.18 </w:t>
      </w:r>
      <w:r w:rsidR="00A54C01">
        <w:rPr>
          <w:rFonts w:ascii="Times New Roman" w:eastAsia="Times New Roman" w:hAnsi="Times New Roman" w:cs="Times New Roman"/>
          <w:sz w:val="26"/>
          <w:szCs w:val="26"/>
        </w:rPr>
        <w:t>and pointed out that</w:t>
      </w:r>
      <w:r w:rsidR="00372BB4">
        <w:rPr>
          <w:rFonts w:ascii="Times New Roman" w:eastAsia="Times New Roman" w:hAnsi="Times New Roman" w:cs="Times New Roman"/>
          <w:sz w:val="26"/>
          <w:szCs w:val="26"/>
        </w:rPr>
        <w:t xml:space="preserve"> the DSM </w:t>
      </w:r>
      <w:r w:rsidR="00D82A14">
        <w:rPr>
          <w:rFonts w:ascii="Times New Roman" w:eastAsia="Times New Roman" w:hAnsi="Times New Roman" w:cs="Times New Roman"/>
          <w:sz w:val="26"/>
          <w:szCs w:val="26"/>
        </w:rPr>
        <w:t>p</w:t>
      </w:r>
      <w:r w:rsidR="00372BB4">
        <w:rPr>
          <w:rFonts w:ascii="Times New Roman" w:eastAsia="Times New Roman" w:hAnsi="Times New Roman" w:cs="Times New Roman"/>
          <w:sz w:val="26"/>
          <w:szCs w:val="26"/>
        </w:rPr>
        <w:t xml:space="preserve">roceeding granted PGW waivers of </w:t>
      </w:r>
      <w:r w:rsidR="003601EC">
        <w:rPr>
          <w:rFonts w:ascii="Times New Roman" w:eastAsia="Times New Roman" w:hAnsi="Times New Roman" w:cs="Times New Roman"/>
          <w:sz w:val="26"/>
          <w:szCs w:val="26"/>
        </w:rPr>
        <w:t xml:space="preserve">Sections </w:t>
      </w:r>
      <w:r w:rsidR="00372BB4" w:rsidRPr="00B71819">
        <w:rPr>
          <w:rFonts w:ascii="Times New Roman" w:eastAsia="Times New Roman" w:hAnsi="Times New Roman" w:cs="Times New Roman"/>
          <w:sz w:val="26"/>
          <w:szCs w:val="26"/>
        </w:rPr>
        <w:t>58</w:t>
      </w:r>
      <w:r w:rsidR="00372BB4">
        <w:rPr>
          <w:rFonts w:ascii="Times New Roman" w:eastAsia="Times New Roman" w:hAnsi="Times New Roman" w:cs="Times New Roman"/>
          <w:sz w:val="26"/>
          <w:szCs w:val="26"/>
        </w:rPr>
        <w:t>.5,</w:t>
      </w:r>
      <w:r w:rsidR="00FA501B" w:rsidRPr="00FA501B">
        <w:rPr>
          <w:rFonts w:ascii="Times New Roman" w:eastAsia="Times New Roman" w:hAnsi="Times New Roman" w:cs="Times New Roman"/>
          <w:sz w:val="26"/>
          <w:szCs w:val="26"/>
          <w:vertAlign w:val="superscript"/>
        </w:rPr>
        <w:t xml:space="preserve"> </w:t>
      </w:r>
      <w:r w:rsidR="00FA501B" w:rsidRPr="00FA501B">
        <w:rPr>
          <w:rFonts w:ascii="Times New Roman" w:eastAsia="Times New Roman" w:hAnsi="Times New Roman" w:cs="Times New Roman"/>
          <w:sz w:val="26"/>
          <w:szCs w:val="26"/>
          <w:vertAlign w:val="superscript"/>
        </w:rPr>
        <w:footnoteReference w:id="34"/>
      </w:r>
      <w:r w:rsidR="00372BB4">
        <w:rPr>
          <w:rFonts w:ascii="Times New Roman" w:eastAsia="Times New Roman" w:hAnsi="Times New Roman" w:cs="Times New Roman"/>
          <w:sz w:val="26"/>
          <w:szCs w:val="26"/>
        </w:rPr>
        <w:t xml:space="preserve"> 58.9</w:t>
      </w:r>
      <w:r w:rsidR="00FA501B">
        <w:rPr>
          <w:rFonts w:ascii="Times New Roman" w:eastAsia="Times New Roman" w:hAnsi="Times New Roman" w:cs="Times New Roman"/>
          <w:sz w:val="26"/>
          <w:szCs w:val="26"/>
        </w:rPr>
        <w:t>,</w:t>
      </w:r>
      <w:r w:rsidR="00372BB4">
        <w:rPr>
          <w:rFonts w:ascii="Times New Roman" w:eastAsia="Times New Roman" w:hAnsi="Times New Roman" w:cs="Times New Roman"/>
          <w:sz w:val="26"/>
          <w:szCs w:val="26"/>
        </w:rPr>
        <w:t xml:space="preserve"> and 58.11. </w:t>
      </w:r>
      <w:r w:rsidR="00D82A14">
        <w:rPr>
          <w:rFonts w:ascii="Times New Roman" w:eastAsia="Times New Roman" w:hAnsi="Times New Roman" w:cs="Times New Roman"/>
          <w:sz w:val="26"/>
          <w:szCs w:val="26"/>
        </w:rPr>
        <w:t xml:space="preserve"> </w:t>
      </w:r>
      <w:r w:rsidR="00372BB4">
        <w:rPr>
          <w:rFonts w:ascii="Times New Roman" w:eastAsia="Times New Roman" w:hAnsi="Times New Roman" w:cs="Times New Roman"/>
          <w:sz w:val="26"/>
          <w:szCs w:val="26"/>
        </w:rPr>
        <w:t xml:space="preserve">PGW First Amended USECP 2017-2020 at 26-27. </w:t>
      </w:r>
      <w:r w:rsidR="00D82A14">
        <w:rPr>
          <w:rFonts w:ascii="Times New Roman" w:eastAsia="Times New Roman" w:hAnsi="Times New Roman" w:cs="Times New Roman"/>
          <w:sz w:val="26"/>
          <w:szCs w:val="26"/>
        </w:rPr>
        <w:t xml:space="preserve"> </w:t>
      </w:r>
      <w:r w:rsidR="00A8672C">
        <w:rPr>
          <w:rFonts w:ascii="Times New Roman" w:eastAsia="Times New Roman" w:hAnsi="Times New Roman" w:cs="Times New Roman"/>
          <w:sz w:val="26"/>
          <w:szCs w:val="26"/>
        </w:rPr>
        <w:t xml:space="preserve">We will address each waiver </w:t>
      </w:r>
      <w:r w:rsidR="00751EB6">
        <w:rPr>
          <w:rFonts w:ascii="Times New Roman" w:eastAsia="Times New Roman" w:hAnsi="Times New Roman" w:cs="Times New Roman"/>
          <w:sz w:val="26"/>
          <w:szCs w:val="26"/>
        </w:rPr>
        <w:t xml:space="preserve">request </w:t>
      </w:r>
      <w:r w:rsidR="00A8672C">
        <w:rPr>
          <w:rFonts w:ascii="Times New Roman" w:eastAsia="Times New Roman" w:hAnsi="Times New Roman" w:cs="Times New Roman"/>
          <w:sz w:val="26"/>
          <w:szCs w:val="26"/>
        </w:rPr>
        <w:t>separately.</w:t>
      </w:r>
      <w:r w:rsidR="00751EB6">
        <w:rPr>
          <w:rStyle w:val="FootnoteReference"/>
          <w:rFonts w:ascii="Times New Roman" w:eastAsia="Times New Roman" w:hAnsi="Times New Roman" w:cs="Times New Roman"/>
          <w:sz w:val="26"/>
          <w:szCs w:val="26"/>
        </w:rPr>
        <w:footnoteReference w:id="35"/>
      </w:r>
      <w:r w:rsidR="00751EB6">
        <w:rPr>
          <w:rFonts w:ascii="Times New Roman" w:eastAsia="Times New Roman" w:hAnsi="Times New Roman" w:cs="Times New Roman"/>
          <w:sz w:val="26"/>
          <w:szCs w:val="26"/>
        </w:rPr>
        <w:t xml:space="preserve">  </w:t>
      </w:r>
    </w:p>
    <w:p w:rsidR="00D82A14" w:rsidRDefault="00A8672C" w:rsidP="00EB7308">
      <w:pPr>
        <w:tabs>
          <w:tab w:val="left" w:pos="0"/>
        </w:tabs>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p>
    <w:p w:rsidR="00751EB6" w:rsidRDefault="00D82A14" w:rsidP="00EB7308">
      <w:pPr>
        <w:tabs>
          <w:tab w:val="left" w:pos="0"/>
        </w:tabs>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75633C">
        <w:rPr>
          <w:rFonts w:ascii="Times New Roman" w:eastAsia="Times New Roman" w:hAnsi="Times New Roman" w:cs="Times New Roman"/>
          <w:sz w:val="26"/>
          <w:szCs w:val="26"/>
        </w:rPr>
        <w:t xml:space="preserve">Section </w:t>
      </w:r>
      <w:r w:rsidR="00B64B18" w:rsidRPr="00B71819">
        <w:rPr>
          <w:rFonts w:ascii="Times New Roman" w:eastAsia="Times New Roman" w:hAnsi="Times New Roman" w:cs="Times New Roman"/>
          <w:sz w:val="26"/>
          <w:szCs w:val="26"/>
        </w:rPr>
        <w:t>58.</w:t>
      </w:r>
      <w:r w:rsidR="00B64B18">
        <w:rPr>
          <w:rFonts w:ascii="Times New Roman" w:eastAsia="Times New Roman" w:hAnsi="Times New Roman" w:cs="Times New Roman"/>
          <w:sz w:val="26"/>
          <w:szCs w:val="26"/>
        </w:rPr>
        <w:t>9 relates to the LIURP program announcement.</w:t>
      </w:r>
      <w:r w:rsidR="00751EB6" w:rsidRPr="00751EB6">
        <w:rPr>
          <w:rFonts w:ascii="Times New Roman" w:eastAsia="Times New Roman" w:hAnsi="Times New Roman" w:cs="Times New Roman"/>
          <w:sz w:val="26"/>
          <w:szCs w:val="26"/>
          <w:vertAlign w:val="superscript"/>
        </w:rPr>
        <w:t xml:space="preserve"> </w:t>
      </w:r>
      <w:r w:rsidR="00751EB6" w:rsidRPr="00751EB6">
        <w:rPr>
          <w:rFonts w:ascii="Times New Roman" w:eastAsia="Times New Roman" w:hAnsi="Times New Roman" w:cs="Times New Roman"/>
          <w:sz w:val="26"/>
          <w:szCs w:val="26"/>
          <w:vertAlign w:val="superscript"/>
        </w:rPr>
        <w:footnoteReference w:id="36"/>
      </w:r>
      <w:r w:rsidR="0075633C">
        <w:rPr>
          <w:rFonts w:ascii="Times New Roman" w:eastAsia="Times New Roman" w:hAnsi="Times New Roman" w:cs="Times New Roman"/>
          <w:sz w:val="26"/>
          <w:szCs w:val="26"/>
        </w:rPr>
        <w:t xml:space="preserve"> </w:t>
      </w:r>
      <w:r w:rsidR="00B64B18">
        <w:rPr>
          <w:rFonts w:ascii="Times New Roman" w:eastAsia="Times New Roman" w:hAnsi="Times New Roman" w:cs="Times New Roman"/>
          <w:sz w:val="26"/>
          <w:szCs w:val="26"/>
        </w:rPr>
        <w:t xml:space="preserve">PGW was granted a waiver of this regulation during the DSM </w:t>
      </w:r>
      <w:r w:rsidR="004500F5">
        <w:rPr>
          <w:rFonts w:ascii="Times New Roman" w:eastAsia="Times New Roman" w:hAnsi="Times New Roman" w:cs="Times New Roman"/>
          <w:sz w:val="26"/>
          <w:szCs w:val="26"/>
        </w:rPr>
        <w:t>p</w:t>
      </w:r>
      <w:r w:rsidR="00B64B18">
        <w:rPr>
          <w:rFonts w:ascii="Times New Roman" w:eastAsia="Times New Roman" w:hAnsi="Times New Roman" w:cs="Times New Roman"/>
          <w:sz w:val="26"/>
          <w:szCs w:val="26"/>
        </w:rPr>
        <w:t xml:space="preserve">roceeding. </w:t>
      </w:r>
      <w:r w:rsidR="0075633C">
        <w:rPr>
          <w:rFonts w:ascii="Times New Roman" w:eastAsia="Times New Roman" w:hAnsi="Times New Roman" w:cs="Times New Roman"/>
          <w:sz w:val="26"/>
          <w:szCs w:val="26"/>
        </w:rPr>
        <w:t xml:space="preserve"> </w:t>
      </w:r>
      <w:r w:rsidR="00B64B18">
        <w:rPr>
          <w:rFonts w:ascii="Times New Roman" w:eastAsia="Times New Roman" w:hAnsi="Times New Roman" w:cs="Times New Roman"/>
          <w:sz w:val="26"/>
          <w:szCs w:val="26"/>
        </w:rPr>
        <w:t xml:space="preserve">The overall intent of this regulation is to ensure </w:t>
      </w:r>
      <w:r w:rsidR="0075633C">
        <w:rPr>
          <w:rFonts w:ascii="Times New Roman" w:eastAsia="Times New Roman" w:hAnsi="Times New Roman" w:cs="Times New Roman"/>
          <w:sz w:val="26"/>
          <w:szCs w:val="26"/>
        </w:rPr>
        <w:t xml:space="preserve">that a utility </w:t>
      </w:r>
      <w:r w:rsidR="00B64B18">
        <w:rPr>
          <w:rFonts w:ascii="Times New Roman" w:eastAsia="Times New Roman" w:hAnsi="Times New Roman" w:cs="Times New Roman"/>
          <w:sz w:val="26"/>
          <w:szCs w:val="26"/>
        </w:rPr>
        <w:t xml:space="preserve">does its due diligence to inform all income-eligible </w:t>
      </w:r>
      <w:r w:rsidR="00B64B18">
        <w:rPr>
          <w:rFonts w:ascii="Times New Roman" w:eastAsia="Times New Roman" w:hAnsi="Times New Roman" w:cs="Times New Roman"/>
          <w:sz w:val="26"/>
          <w:szCs w:val="26"/>
        </w:rPr>
        <w:lastRenderedPageBreak/>
        <w:t xml:space="preserve">customers of the LIURP program. </w:t>
      </w:r>
      <w:r w:rsidR="0075633C">
        <w:rPr>
          <w:rFonts w:ascii="Times New Roman" w:eastAsia="Times New Roman" w:hAnsi="Times New Roman" w:cs="Times New Roman"/>
          <w:sz w:val="26"/>
          <w:szCs w:val="26"/>
        </w:rPr>
        <w:t xml:space="preserve"> </w:t>
      </w:r>
      <w:r w:rsidR="003601EC">
        <w:rPr>
          <w:rFonts w:ascii="Times New Roman" w:eastAsia="Times New Roman" w:hAnsi="Times New Roman" w:cs="Times New Roman"/>
          <w:sz w:val="26"/>
          <w:szCs w:val="26"/>
        </w:rPr>
        <w:t xml:space="preserve">PGW has requested that this waiver </w:t>
      </w:r>
      <w:r w:rsidR="00D82A1B">
        <w:rPr>
          <w:rFonts w:ascii="Times New Roman" w:eastAsia="Times New Roman" w:hAnsi="Times New Roman" w:cs="Times New Roman"/>
          <w:sz w:val="26"/>
          <w:szCs w:val="26"/>
        </w:rPr>
        <w:t xml:space="preserve">now </w:t>
      </w:r>
      <w:r w:rsidR="00B2042B">
        <w:rPr>
          <w:rFonts w:ascii="Times New Roman" w:eastAsia="Times New Roman" w:hAnsi="Times New Roman" w:cs="Times New Roman"/>
          <w:sz w:val="26"/>
          <w:szCs w:val="26"/>
        </w:rPr>
        <w:t xml:space="preserve">also </w:t>
      </w:r>
      <w:r w:rsidR="003601EC">
        <w:rPr>
          <w:rFonts w:ascii="Times New Roman" w:eastAsia="Times New Roman" w:hAnsi="Times New Roman" w:cs="Times New Roman"/>
          <w:sz w:val="26"/>
          <w:szCs w:val="26"/>
        </w:rPr>
        <w:t>apply to the health and safety pilot.</w:t>
      </w:r>
    </w:p>
    <w:p w:rsidR="00751EB6" w:rsidRDefault="00751EB6" w:rsidP="00EB7308">
      <w:pPr>
        <w:tabs>
          <w:tab w:val="left" w:pos="0"/>
        </w:tabs>
        <w:spacing w:after="0" w:line="360" w:lineRule="auto"/>
        <w:contextualSpacing/>
        <w:rPr>
          <w:rFonts w:ascii="Times New Roman" w:eastAsia="Times New Roman" w:hAnsi="Times New Roman" w:cs="Times New Roman"/>
          <w:sz w:val="26"/>
          <w:szCs w:val="26"/>
        </w:rPr>
      </w:pPr>
    </w:p>
    <w:p w:rsidR="0075633C" w:rsidRDefault="00751EB6" w:rsidP="00EB7308">
      <w:pPr>
        <w:tabs>
          <w:tab w:val="left" w:pos="0"/>
        </w:tabs>
        <w:spacing w:after="0" w:line="360" w:lineRule="auto"/>
        <w:contextualSpacing/>
        <w:rPr>
          <w:rFonts w:ascii="Times New Roman" w:eastAsia="Times New Roman" w:hAnsi="Times New Roman" w:cs="Times New Roman"/>
          <w:sz w:val="26"/>
          <w:szCs w:val="26"/>
        </w:rPr>
      </w:pPr>
      <w:r w:rsidRPr="00751EB6">
        <w:rPr>
          <w:rFonts w:ascii="Times New Roman" w:eastAsia="Times New Roman" w:hAnsi="Times New Roman" w:cs="Times New Roman"/>
          <w:i/>
          <w:sz w:val="26"/>
          <w:szCs w:val="26"/>
        </w:rPr>
        <w:t>Resolution</w:t>
      </w:r>
      <w:r>
        <w:rPr>
          <w:rFonts w:ascii="Times New Roman" w:eastAsia="Times New Roman" w:hAnsi="Times New Roman" w:cs="Times New Roman"/>
          <w:sz w:val="26"/>
          <w:szCs w:val="26"/>
        </w:rPr>
        <w:t xml:space="preserve">: </w:t>
      </w:r>
      <w:r w:rsidR="00B64B18">
        <w:rPr>
          <w:rFonts w:ascii="Times New Roman" w:eastAsia="Times New Roman" w:hAnsi="Times New Roman" w:cs="Times New Roman"/>
          <w:sz w:val="26"/>
          <w:szCs w:val="26"/>
        </w:rPr>
        <w:t>Our concerns with granting</w:t>
      </w:r>
      <w:r w:rsidR="00B601DC">
        <w:rPr>
          <w:rFonts w:ascii="Times New Roman" w:eastAsia="Times New Roman" w:hAnsi="Times New Roman" w:cs="Times New Roman"/>
          <w:sz w:val="26"/>
          <w:szCs w:val="26"/>
        </w:rPr>
        <w:t xml:space="preserve"> </w:t>
      </w:r>
      <w:r w:rsidR="0075633C">
        <w:rPr>
          <w:rFonts w:ascii="Times New Roman" w:eastAsia="Times New Roman" w:hAnsi="Times New Roman" w:cs="Times New Roman"/>
          <w:sz w:val="26"/>
          <w:szCs w:val="26"/>
        </w:rPr>
        <w:t xml:space="preserve">a </w:t>
      </w:r>
      <w:r w:rsidR="00B64B18">
        <w:rPr>
          <w:rFonts w:ascii="Times New Roman" w:eastAsia="Times New Roman" w:hAnsi="Times New Roman" w:cs="Times New Roman"/>
          <w:sz w:val="26"/>
          <w:szCs w:val="26"/>
        </w:rPr>
        <w:t>continuation of this waiver</w:t>
      </w:r>
      <w:r w:rsidR="00362A9F">
        <w:rPr>
          <w:rFonts w:ascii="Times New Roman" w:eastAsia="Times New Roman" w:hAnsi="Times New Roman" w:cs="Times New Roman"/>
          <w:sz w:val="26"/>
          <w:szCs w:val="26"/>
        </w:rPr>
        <w:t xml:space="preserve"> for Section 58.9</w:t>
      </w:r>
      <w:r w:rsidR="00230F1A">
        <w:rPr>
          <w:rFonts w:ascii="Times New Roman" w:eastAsia="Times New Roman" w:hAnsi="Times New Roman" w:cs="Times New Roman"/>
          <w:sz w:val="26"/>
          <w:szCs w:val="26"/>
        </w:rPr>
        <w:t xml:space="preserve">, </w:t>
      </w:r>
      <w:r w:rsidR="00D82A1B">
        <w:rPr>
          <w:rFonts w:ascii="Times New Roman" w:eastAsia="Times New Roman" w:hAnsi="Times New Roman" w:cs="Times New Roman"/>
          <w:sz w:val="26"/>
          <w:szCs w:val="26"/>
        </w:rPr>
        <w:t xml:space="preserve">for either the health and safety pilot or </w:t>
      </w:r>
      <w:r w:rsidR="00D82A1B" w:rsidRPr="00D82A1B">
        <w:rPr>
          <w:rFonts w:ascii="Times New Roman" w:eastAsia="Times New Roman" w:hAnsi="Times New Roman" w:cs="Times New Roman"/>
          <w:sz w:val="26"/>
          <w:szCs w:val="26"/>
        </w:rPr>
        <w:t>full LIURP</w:t>
      </w:r>
      <w:r w:rsidR="00230F1A">
        <w:rPr>
          <w:rFonts w:ascii="Times New Roman" w:eastAsia="Times New Roman" w:hAnsi="Times New Roman" w:cs="Times New Roman"/>
          <w:sz w:val="26"/>
          <w:szCs w:val="26"/>
        </w:rPr>
        <w:t>,</w:t>
      </w:r>
      <w:r w:rsidR="00D82A1B" w:rsidRPr="00D82A1B">
        <w:rPr>
          <w:rFonts w:ascii="Times New Roman" w:eastAsia="Times New Roman" w:hAnsi="Times New Roman" w:cs="Times New Roman"/>
          <w:sz w:val="26"/>
          <w:szCs w:val="26"/>
        </w:rPr>
        <w:t xml:space="preserve"> </w:t>
      </w:r>
      <w:r w:rsidR="00B64B18">
        <w:rPr>
          <w:rFonts w:ascii="Times New Roman" w:eastAsia="Times New Roman" w:hAnsi="Times New Roman" w:cs="Times New Roman"/>
          <w:sz w:val="26"/>
          <w:szCs w:val="26"/>
        </w:rPr>
        <w:t xml:space="preserve">stem from the history of PGW’s LIURP program serving only low-income customers enrolled in CRP. </w:t>
      </w:r>
      <w:r w:rsidR="0075633C">
        <w:rPr>
          <w:rFonts w:ascii="Times New Roman" w:eastAsia="Times New Roman" w:hAnsi="Times New Roman" w:cs="Times New Roman"/>
          <w:sz w:val="26"/>
          <w:szCs w:val="26"/>
        </w:rPr>
        <w:t xml:space="preserve"> </w:t>
      </w:r>
      <w:r w:rsidR="00B64B18">
        <w:rPr>
          <w:rFonts w:ascii="Times New Roman" w:eastAsia="Times New Roman" w:hAnsi="Times New Roman" w:cs="Times New Roman"/>
          <w:sz w:val="26"/>
          <w:szCs w:val="26"/>
        </w:rPr>
        <w:t xml:space="preserve">As we have previously addressed in this Order, PGW must now screen </w:t>
      </w:r>
      <w:r w:rsidR="00B64B18" w:rsidRPr="00DF037B">
        <w:rPr>
          <w:rFonts w:ascii="Times New Roman" w:eastAsia="Times New Roman" w:hAnsi="Times New Roman" w:cs="Times New Roman"/>
          <w:b/>
          <w:i/>
          <w:sz w:val="26"/>
          <w:szCs w:val="26"/>
        </w:rPr>
        <w:t>all</w:t>
      </w:r>
      <w:r w:rsidR="00B64B18">
        <w:rPr>
          <w:rFonts w:ascii="Times New Roman" w:eastAsia="Times New Roman" w:hAnsi="Times New Roman" w:cs="Times New Roman"/>
          <w:sz w:val="26"/>
          <w:szCs w:val="26"/>
        </w:rPr>
        <w:t xml:space="preserve"> income</w:t>
      </w:r>
      <w:r w:rsidR="0075633C">
        <w:rPr>
          <w:rFonts w:ascii="Times New Roman" w:eastAsia="Times New Roman" w:hAnsi="Times New Roman" w:cs="Times New Roman"/>
          <w:sz w:val="26"/>
          <w:szCs w:val="26"/>
        </w:rPr>
        <w:t>-</w:t>
      </w:r>
      <w:r w:rsidR="00B64B18">
        <w:rPr>
          <w:rFonts w:ascii="Times New Roman" w:eastAsia="Times New Roman" w:hAnsi="Times New Roman" w:cs="Times New Roman"/>
          <w:sz w:val="26"/>
          <w:szCs w:val="26"/>
        </w:rPr>
        <w:t xml:space="preserve">eligible customers for LIURP. </w:t>
      </w:r>
      <w:r w:rsidR="0075633C">
        <w:rPr>
          <w:rFonts w:ascii="Times New Roman" w:eastAsia="Times New Roman" w:hAnsi="Times New Roman" w:cs="Times New Roman"/>
          <w:sz w:val="26"/>
          <w:szCs w:val="26"/>
        </w:rPr>
        <w:t xml:space="preserve"> </w:t>
      </w:r>
      <w:r w:rsidR="00B64B18">
        <w:rPr>
          <w:rFonts w:ascii="Times New Roman" w:eastAsia="Times New Roman" w:hAnsi="Times New Roman" w:cs="Times New Roman"/>
          <w:sz w:val="26"/>
          <w:szCs w:val="26"/>
        </w:rPr>
        <w:t xml:space="preserve">Potentially, continuing the waiver </w:t>
      </w:r>
      <w:r w:rsidR="00D82A1B">
        <w:rPr>
          <w:rFonts w:ascii="Times New Roman" w:eastAsia="Times New Roman" w:hAnsi="Times New Roman" w:cs="Times New Roman"/>
          <w:sz w:val="26"/>
          <w:szCs w:val="26"/>
        </w:rPr>
        <w:t xml:space="preserve">in part or in full </w:t>
      </w:r>
      <w:r w:rsidR="00DF037B">
        <w:rPr>
          <w:rFonts w:ascii="Times New Roman" w:eastAsia="Times New Roman" w:hAnsi="Times New Roman" w:cs="Times New Roman"/>
          <w:sz w:val="26"/>
          <w:szCs w:val="26"/>
        </w:rPr>
        <w:t>c</w:t>
      </w:r>
      <w:r w:rsidR="00B64B18">
        <w:rPr>
          <w:rFonts w:ascii="Times New Roman" w:eastAsia="Times New Roman" w:hAnsi="Times New Roman" w:cs="Times New Roman"/>
          <w:sz w:val="26"/>
          <w:szCs w:val="26"/>
        </w:rPr>
        <w:t xml:space="preserve">ould mean that PGW is not obligated to inform those previously ineligible customers of the </w:t>
      </w:r>
      <w:r w:rsidR="00D82A1B">
        <w:rPr>
          <w:rFonts w:ascii="Times New Roman" w:eastAsia="Times New Roman" w:hAnsi="Times New Roman" w:cs="Times New Roman"/>
          <w:sz w:val="26"/>
          <w:szCs w:val="26"/>
        </w:rPr>
        <w:t xml:space="preserve">pilot or the </w:t>
      </w:r>
      <w:r w:rsidR="00B64B18">
        <w:rPr>
          <w:rFonts w:ascii="Times New Roman" w:eastAsia="Times New Roman" w:hAnsi="Times New Roman" w:cs="Times New Roman"/>
          <w:sz w:val="26"/>
          <w:szCs w:val="26"/>
        </w:rPr>
        <w:t>CRP Home Comfort program and benefits.</w:t>
      </w:r>
      <w:r w:rsidR="0075633C">
        <w:rPr>
          <w:rFonts w:ascii="Times New Roman" w:eastAsia="Times New Roman" w:hAnsi="Times New Roman" w:cs="Times New Roman"/>
          <w:sz w:val="26"/>
          <w:szCs w:val="26"/>
        </w:rPr>
        <w:t xml:space="preserve"> </w:t>
      </w:r>
      <w:r w:rsidR="00B64B18">
        <w:rPr>
          <w:rFonts w:ascii="Times New Roman" w:eastAsia="Times New Roman" w:hAnsi="Times New Roman" w:cs="Times New Roman"/>
          <w:sz w:val="26"/>
          <w:szCs w:val="26"/>
        </w:rPr>
        <w:t xml:space="preserve"> </w:t>
      </w:r>
    </w:p>
    <w:p w:rsidR="0075633C" w:rsidRDefault="0075633C" w:rsidP="00EB7308">
      <w:pPr>
        <w:tabs>
          <w:tab w:val="left" w:pos="0"/>
        </w:tabs>
        <w:spacing w:after="0" w:line="360" w:lineRule="auto"/>
        <w:contextualSpacing/>
        <w:rPr>
          <w:rFonts w:ascii="Times New Roman" w:eastAsia="Times New Roman" w:hAnsi="Times New Roman" w:cs="Times New Roman"/>
          <w:sz w:val="26"/>
          <w:szCs w:val="26"/>
        </w:rPr>
      </w:pPr>
    </w:p>
    <w:p w:rsidR="00082F99" w:rsidRDefault="0075633C" w:rsidP="00EB7308">
      <w:pPr>
        <w:tabs>
          <w:tab w:val="left" w:pos="0"/>
        </w:tabs>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B601DC">
        <w:rPr>
          <w:rFonts w:ascii="Times New Roman" w:eastAsia="Times New Roman" w:hAnsi="Times New Roman" w:cs="Times New Roman"/>
          <w:sz w:val="26"/>
          <w:szCs w:val="26"/>
        </w:rPr>
        <w:t xml:space="preserve">Therefore, PGW is required to meet the intent of </w:t>
      </w:r>
      <w:r w:rsidR="008C603D">
        <w:rPr>
          <w:rFonts w:ascii="Times New Roman" w:eastAsia="Times New Roman" w:hAnsi="Times New Roman" w:cs="Times New Roman"/>
          <w:sz w:val="26"/>
          <w:szCs w:val="26"/>
        </w:rPr>
        <w:t>Section 58.9</w:t>
      </w:r>
      <w:r w:rsidR="00D82A1B">
        <w:rPr>
          <w:rFonts w:ascii="Times New Roman" w:eastAsia="Times New Roman" w:hAnsi="Times New Roman" w:cs="Times New Roman"/>
          <w:sz w:val="26"/>
          <w:szCs w:val="26"/>
        </w:rPr>
        <w:t xml:space="preserve"> for both the health and safety pilot and the CRP Home Comfort program</w:t>
      </w:r>
      <w:r w:rsidR="004500F5">
        <w:rPr>
          <w:rFonts w:ascii="Times New Roman" w:eastAsia="Times New Roman" w:hAnsi="Times New Roman" w:cs="Times New Roman"/>
          <w:sz w:val="26"/>
          <w:szCs w:val="26"/>
        </w:rPr>
        <w:t xml:space="preserve">.  PGW may accomplish this </w:t>
      </w:r>
      <w:r w:rsidR="00B601DC">
        <w:rPr>
          <w:rFonts w:ascii="Times New Roman" w:eastAsia="Times New Roman" w:hAnsi="Times New Roman" w:cs="Times New Roman"/>
          <w:sz w:val="26"/>
          <w:szCs w:val="26"/>
        </w:rPr>
        <w:t xml:space="preserve"> by performing </w:t>
      </w:r>
      <w:r w:rsidR="00261C70">
        <w:rPr>
          <w:rFonts w:ascii="Times New Roman" w:eastAsia="Times New Roman" w:hAnsi="Times New Roman" w:cs="Times New Roman"/>
          <w:sz w:val="26"/>
          <w:szCs w:val="26"/>
        </w:rPr>
        <w:t xml:space="preserve">its </w:t>
      </w:r>
      <w:r w:rsidR="00B601DC">
        <w:rPr>
          <w:rFonts w:ascii="Times New Roman" w:eastAsia="Times New Roman" w:hAnsi="Times New Roman" w:cs="Times New Roman"/>
          <w:sz w:val="26"/>
          <w:szCs w:val="26"/>
        </w:rPr>
        <w:t xml:space="preserve">outreach and notification to </w:t>
      </w:r>
      <w:r w:rsidR="00B601DC" w:rsidRPr="00FD3F75">
        <w:rPr>
          <w:rFonts w:ascii="Times New Roman" w:eastAsia="Times New Roman" w:hAnsi="Times New Roman" w:cs="Times New Roman"/>
          <w:b/>
          <w:i/>
          <w:sz w:val="26"/>
          <w:szCs w:val="26"/>
        </w:rPr>
        <w:t>all</w:t>
      </w:r>
      <w:r w:rsidR="00B601DC">
        <w:rPr>
          <w:rFonts w:ascii="Times New Roman" w:eastAsia="Times New Roman" w:hAnsi="Times New Roman" w:cs="Times New Roman"/>
          <w:sz w:val="26"/>
          <w:szCs w:val="26"/>
        </w:rPr>
        <w:t xml:space="preserve"> </w:t>
      </w:r>
      <w:r w:rsidR="008C603D">
        <w:rPr>
          <w:rFonts w:ascii="Times New Roman" w:eastAsia="Times New Roman" w:hAnsi="Times New Roman" w:cs="Times New Roman"/>
          <w:sz w:val="26"/>
          <w:szCs w:val="26"/>
        </w:rPr>
        <w:t xml:space="preserve">known </w:t>
      </w:r>
      <w:r w:rsidR="00B601DC">
        <w:rPr>
          <w:rFonts w:ascii="Times New Roman" w:eastAsia="Times New Roman" w:hAnsi="Times New Roman" w:cs="Times New Roman"/>
          <w:sz w:val="26"/>
          <w:szCs w:val="26"/>
        </w:rPr>
        <w:t>income</w:t>
      </w:r>
      <w:r w:rsidR="008C603D">
        <w:rPr>
          <w:rFonts w:ascii="Times New Roman" w:eastAsia="Times New Roman" w:hAnsi="Times New Roman" w:cs="Times New Roman"/>
          <w:sz w:val="26"/>
          <w:szCs w:val="26"/>
        </w:rPr>
        <w:t>-</w:t>
      </w:r>
      <w:r w:rsidR="00B601DC">
        <w:rPr>
          <w:rFonts w:ascii="Times New Roman" w:eastAsia="Times New Roman" w:hAnsi="Times New Roman" w:cs="Times New Roman"/>
          <w:sz w:val="26"/>
          <w:szCs w:val="26"/>
        </w:rPr>
        <w:t>eligible customers</w:t>
      </w:r>
      <w:r w:rsidR="008C603D">
        <w:rPr>
          <w:rFonts w:ascii="Times New Roman" w:eastAsia="Times New Roman" w:hAnsi="Times New Roman" w:cs="Times New Roman"/>
          <w:sz w:val="26"/>
          <w:szCs w:val="26"/>
        </w:rPr>
        <w:t>.  We</w:t>
      </w:r>
      <w:r w:rsidR="00261C70">
        <w:rPr>
          <w:rFonts w:ascii="Times New Roman" w:eastAsia="Times New Roman" w:hAnsi="Times New Roman" w:cs="Times New Roman"/>
          <w:sz w:val="26"/>
          <w:szCs w:val="26"/>
        </w:rPr>
        <w:t xml:space="preserve"> </w:t>
      </w:r>
      <w:r w:rsidR="00B601DC">
        <w:rPr>
          <w:rFonts w:ascii="Times New Roman" w:eastAsia="Times New Roman" w:hAnsi="Times New Roman" w:cs="Times New Roman"/>
          <w:sz w:val="26"/>
          <w:szCs w:val="26"/>
        </w:rPr>
        <w:t xml:space="preserve">strongly suggest this </w:t>
      </w:r>
      <w:r w:rsidR="00261C70">
        <w:rPr>
          <w:rFonts w:ascii="Times New Roman" w:eastAsia="Times New Roman" w:hAnsi="Times New Roman" w:cs="Times New Roman"/>
          <w:sz w:val="26"/>
          <w:szCs w:val="26"/>
        </w:rPr>
        <w:t xml:space="preserve">could </w:t>
      </w:r>
      <w:r w:rsidR="00B601DC">
        <w:rPr>
          <w:rFonts w:ascii="Times New Roman" w:eastAsia="Times New Roman" w:hAnsi="Times New Roman" w:cs="Times New Roman"/>
          <w:sz w:val="26"/>
          <w:szCs w:val="26"/>
        </w:rPr>
        <w:t>be accomplished</w:t>
      </w:r>
      <w:r>
        <w:rPr>
          <w:rFonts w:ascii="Times New Roman" w:eastAsia="Times New Roman" w:hAnsi="Times New Roman" w:cs="Times New Roman"/>
          <w:sz w:val="26"/>
          <w:szCs w:val="26"/>
        </w:rPr>
        <w:t>,</w:t>
      </w:r>
      <w:r w:rsidR="00B601DC">
        <w:rPr>
          <w:rFonts w:ascii="Times New Roman" w:eastAsia="Times New Roman" w:hAnsi="Times New Roman" w:cs="Times New Roman"/>
          <w:sz w:val="26"/>
          <w:szCs w:val="26"/>
        </w:rPr>
        <w:t xml:space="preserve"> in part, by coordinating with the CRP outreach efforts discussed in previous parts of this Order. </w:t>
      </w:r>
      <w:r w:rsidR="004500F5">
        <w:rPr>
          <w:rFonts w:ascii="Times New Roman" w:eastAsia="Times New Roman" w:hAnsi="Times New Roman" w:cs="Times New Roman"/>
          <w:sz w:val="26"/>
          <w:szCs w:val="26"/>
        </w:rPr>
        <w:t xml:space="preserve"> </w:t>
      </w:r>
      <w:r w:rsidR="00B601DC">
        <w:rPr>
          <w:rFonts w:ascii="Times New Roman" w:eastAsia="Times New Roman" w:hAnsi="Times New Roman" w:cs="Times New Roman"/>
          <w:sz w:val="26"/>
          <w:szCs w:val="26"/>
        </w:rPr>
        <w:t xml:space="preserve">To the extent that </w:t>
      </w:r>
      <w:r>
        <w:rPr>
          <w:rFonts w:ascii="Times New Roman" w:eastAsia="Times New Roman" w:hAnsi="Times New Roman" w:cs="Times New Roman"/>
          <w:sz w:val="26"/>
          <w:szCs w:val="26"/>
        </w:rPr>
        <w:t xml:space="preserve">Section </w:t>
      </w:r>
      <w:r w:rsidR="00B601DC">
        <w:rPr>
          <w:rFonts w:ascii="Times New Roman" w:eastAsia="Times New Roman" w:hAnsi="Times New Roman" w:cs="Times New Roman"/>
          <w:sz w:val="26"/>
          <w:szCs w:val="26"/>
        </w:rPr>
        <w:t xml:space="preserve">58.9 dictates the exact methods for how the program outreach should be accomplished, we give PGW </w:t>
      </w:r>
      <w:r w:rsidR="00D82A1B">
        <w:rPr>
          <w:rFonts w:ascii="Times New Roman" w:eastAsia="Times New Roman" w:hAnsi="Times New Roman" w:cs="Times New Roman"/>
          <w:sz w:val="26"/>
          <w:szCs w:val="26"/>
        </w:rPr>
        <w:t xml:space="preserve">some </w:t>
      </w:r>
      <w:r w:rsidR="00B601DC">
        <w:rPr>
          <w:rFonts w:ascii="Times New Roman" w:eastAsia="Times New Roman" w:hAnsi="Times New Roman" w:cs="Times New Roman"/>
          <w:sz w:val="26"/>
          <w:szCs w:val="26"/>
        </w:rPr>
        <w:t xml:space="preserve">flexibility and are not limiting how the Company provides the </w:t>
      </w:r>
      <w:r w:rsidR="00D82A1B">
        <w:rPr>
          <w:rFonts w:ascii="Times New Roman" w:eastAsia="Times New Roman" w:hAnsi="Times New Roman" w:cs="Times New Roman"/>
          <w:sz w:val="26"/>
          <w:szCs w:val="26"/>
        </w:rPr>
        <w:t xml:space="preserve">required </w:t>
      </w:r>
      <w:r w:rsidR="00B601DC">
        <w:rPr>
          <w:rFonts w:ascii="Times New Roman" w:eastAsia="Times New Roman" w:hAnsi="Times New Roman" w:cs="Times New Roman"/>
          <w:sz w:val="26"/>
          <w:szCs w:val="26"/>
        </w:rPr>
        <w:t xml:space="preserve">outreach to </w:t>
      </w:r>
      <w:r w:rsidR="00261C70">
        <w:rPr>
          <w:rFonts w:ascii="Times New Roman" w:eastAsia="Times New Roman" w:hAnsi="Times New Roman" w:cs="Times New Roman"/>
          <w:sz w:val="26"/>
          <w:szCs w:val="26"/>
        </w:rPr>
        <w:t xml:space="preserve">the </w:t>
      </w:r>
      <w:r w:rsidR="00B601DC">
        <w:rPr>
          <w:rFonts w:ascii="Times New Roman" w:eastAsia="Times New Roman" w:hAnsi="Times New Roman" w:cs="Times New Roman"/>
          <w:sz w:val="26"/>
          <w:szCs w:val="26"/>
        </w:rPr>
        <w:t xml:space="preserve">potential </w:t>
      </w:r>
      <w:r w:rsidR="00D82A1B">
        <w:rPr>
          <w:rFonts w:ascii="Times New Roman" w:eastAsia="Times New Roman" w:hAnsi="Times New Roman" w:cs="Times New Roman"/>
          <w:sz w:val="26"/>
          <w:szCs w:val="26"/>
        </w:rPr>
        <w:t>pilo</w:t>
      </w:r>
      <w:r w:rsidR="00261C70">
        <w:rPr>
          <w:rFonts w:ascii="Times New Roman" w:eastAsia="Times New Roman" w:hAnsi="Times New Roman" w:cs="Times New Roman"/>
          <w:sz w:val="26"/>
          <w:szCs w:val="26"/>
        </w:rPr>
        <w:t>t</w:t>
      </w:r>
      <w:r w:rsidR="00D82A1B">
        <w:rPr>
          <w:rFonts w:ascii="Times New Roman" w:eastAsia="Times New Roman" w:hAnsi="Times New Roman" w:cs="Times New Roman"/>
          <w:sz w:val="26"/>
          <w:szCs w:val="26"/>
        </w:rPr>
        <w:t xml:space="preserve"> or other </w:t>
      </w:r>
      <w:r w:rsidR="00B601DC">
        <w:rPr>
          <w:rFonts w:ascii="Times New Roman" w:eastAsia="Times New Roman" w:hAnsi="Times New Roman" w:cs="Times New Roman"/>
          <w:sz w:val="26"/>
          <w:szCs w:val="26"/>
        </w:rPr>
        <w:t>CRP Home Comfort participants.</w:t>
      </w:r>
      <w:r w:rsidR="004500F5">
        <w:rPr>
          <w:rFonts w:ascii="Times New Roman" w:eastAsia="Times New Roman" w:hAnsi="Times New Roman" w:cs="Times New Roman"/>
          <w:sz w:val="26"/>
          <w:szCs w:val="26"/>
        </w:rPr>
        <w:t xml:space="preserve"> PGW is not excused from the obligations inherent in Section 58.9</w:t>
      </w:r>
      <w:r w:rsidR="00261C70">
        <w:rPr>
          <w:rFonts w:ascii="Times New Roman" w:eastAsia="Times New Roman" w:hAnsi="Times New Roman" w:cs="Times New Roman"/>
          <w:sz w:val="26"/>
          <w:szCs w:val="26"/>
        </w:rPr>
        <w:t>, rather,</w:t>
      </w:r>
      <w:r w:rsidR="004500F5">
        <w:rPr>
          <w:rFonts w:ascii="Times New Roman" w:eastAsia="Times New Roman" w:hAnsi="Times New Roman" w:cs="Times New Roman"/>
          <w:sz w:val="26"/>
          <w:szCs w:val="26"/>
        </w:rPr>
        <w:t xml:space="preserve"> it is merely granted flexibility in fulfilling those obligations.</w:t>
      </w:r>
    </w:p>
    <w:p w:rsidR="00082F99" w:rsidRDefault="00082F99" w:rsidP="00EB7308">
      <w:pPr>
        <w:tabs>
          <w:tab w:val="left" w:pos="0"/>
        </w:tabs>
        <w:spacing w:after="0" w:line="360" w:lineRule="auto"/>
        <w:contextualSpacing/>
        <w:rPr>
          <w:rFonts w:ascii="Times New Roman" w:eastAsia="Times New Roman" w:hAnsi="Times New Roman" w:cs="Times New Roman"/>
          <w:sz w:val="26"/>
          <w:szCs w:val="26"/>
        </w:rPr>
      </w:pPr>
    </w:p>
    <w:p w:rsidR="0043467A" w:rsidRDefault="00082F99" w:rsidP="00EB7308">
      <w:pPr>
        <w:tabs>
          <w:tab w:val="left" w:pos="0"/>
        </w:tabs>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4500F5">
        <w:rPr>
          <w:rFonts w:ascii="Times New Roman" w:eastAsia="Times New Roman" w:hAnsi="Times New Roman" w:cs="Times New Roman"/>
          <w:sz w:val="26"/>
          <w:szCs w:val="26"/>
        </w:rPr>
        <w:t>Section</w:t>
      </w:r>
      <w:r w:rsidRPr="00B71819">
        <w:rPr>
          <w:rFonts w:ascii="Times New Roman" w:eastAsia="Times New Roman" w:hAnsi="Times New Roman" w:cs="Times New Roman"/>
          <w:sz w:val="26"/>
          <w:szCs w:val="26"/>
        </w:rPr>
        <w:t> 58.</w:t>
      </w:r>
      <w:r>
        <w:rPr>
          <w:rFonts w:ascii="Times New Roman" w:eastAsia="Times New Roman" w:hAnsi="Times New Roman" w:cs="Times New Roman"/>
          <w:sz w:val="26"/>
          <w:szCs w:val="26"/>
        </w:rPr>
        <w:t>11</w:t>
      </w:r>
      <w:r w:rsidR="00FD31A6">
        <w:rPr>
          <w:rFonts w:ascii="Times New Roman" w:eastAsia="Times New Roman" w:hAnsi="Times New Roman" w:cs="Times New Roman"/>
          <w:sz w:val="26"/>
          <w:szCs w:val="26"/>
        </w:rPr>
        <w:t xml:space="preserve"> relates to the LIURP energy survey and the installation of program measures.</w:t>
      </w:r>
      <w:r w:rsidR="004500F5">
        <w:rPr>
          <w:rStyle w:val="FootnoteReference"/>
          <w:rFonts w:ascii="Times New Roman" w:eastAsia="Times New Roman" w:hAnsi="Times New Roman" w:cs="Times New Roman"/>
          <w:sz w:val="26"/>
          <w:szCs w:val="26"/>
        </w:rPr>
        <w:footnoteReference w:id="37"/>
      </w:r>
      <w:r w:rsidR="004500F5">
        <w:rPr>
          <w:rFonts w:ascii="Times New Roman" w:eastAsia="Times New Roman" w:hAnsi="Times New Roman" w:cs="Times New Roman"/>
          <w:sz w:val="26"/>
          <w:szCs w:val="26"/>
        </w:rPr>
        <w:t xml:space="preserve"> </w:t>
      </w:r>
      <w:r w:rsidR="00FD31A6">
        <w:rPr>
          <w:rFonts w:ascii="Times New Roman" w:eastAsia="Times New Roman" w:hAnsi="Times New Roman" w:cs="Times New Roman"/>
          <w:sz w:val="26"/>
          <w:szCs w:val="26"/>
        </w:rPr>
        <w:t xml:space="preserve"> PGW was granted a waiver during the DSM </w:t>
      </w:r>
      <w:r w:rsidR="0082385C">
        <w:rPr>
          <w:rFonts w:ascii="Times New Roman" w:eastAsia="Times New Roman" w:hAnsi="Times New Roman" w:cs="Times New Roman"/>
          <w:sz w:val="26"/>
          <w:szCs w:val="26"/>
        </w:rPr>
        <w:t>II</w:t>
      </w:r>
      <w:r w:rsidR="00261C70">
        <w:rPr>
          <w:rFonts w:ascii="Times New Roman" w:eastAsia="Times New Roman" w:hAnsi="Times New Roman" w:cs="Times New Roman"/>
          <w:sz w:val="26"/>
          <w:szCs w:val="26"/>
        </w:rPr>
        <w:t xml:space="preserve"> </w:t>
      </w:r>
      <w:r w:rsidR="0043467A">
        <w:rPr>
          <w:rFonts w:ascii="Times New Roman" w:eastAsia="Times New Roman" w:hAnsi="Times New Roman" w:cs="Times New Roman"/>
          <w:sz w:val="26"/>
          <w:szCs w:val="26"/>
        </w:rPr>
        <w:t>p</w:t>
      </w:r>
      <w:r w:rsidR="00FD31A6">
        <w:rPr>
          <w:rFonts w:ascii="Times New Roman" w:eastAsia="Times New Roman" w:hAnsi="Times New Roman" w:cs="Times New Roman"/>
          <w:sz w:val="26"/>
          <w:szCs w:val="26"/>
        </w:rPr>
        <w:t xml:space="preserve">roceeding. </w:t>
      </w:r>
      <w:r w:rsidR="0043467A">
        <w:rPr>
          <w:rFonts w:ascii="Times New Roman" w:eastAsia="Times New Roman" w:hAnsi="Times New Roman" w:cs="Times New Roman"/>
          <w:sz w:val="26"/>
          <w:szCs w:val="26"/>
        </w:rPr>
        <w:t xml:space="preserve"> </w:t>
      </w:r>
      <w:r w:rsidR="0082385C">
        <w:rPr>
          <w:rFonts w:ascii="Times New Roman" w:eastAsia="Times New Roman" w:hAnsi="Times New Roman" w:cs="Times New Roman"/>
          <w:sz w:val="26"/>
          <w:szCs w:val="26"/>
        </w:rPr>
        <w:t xml:space="preserve">This </w:t>
      </w:r>
      <w:r w:rsidR="00261C70">
        <w:rPr>
          <w:rFonts w:ascii="Times New Roman" w:eastAsia="Times New Roman" w:hAnsi="Times New Roman" w:cs="Times New Roman"/>
          <w:sz w:val="26"/>
          <w:szCs w:val="26"/>
        </w:rPr>
        <w:t xml:space="preserve">waiver </w:t>
      </w:r>
      <w:r w:rsidR="0082385C">
        <w:rPr>
          <w:rFonts w:ascii="Times New Roman" w:eastAsia="Times New Roman" w:hAnsi="Times New Roman" w:cs="Times New Roman"/>
          <w:sz w:val="26"/>
          <w:szCs w:val="26"/>
        </w:rPr>
        <w:lastRenderedPageBreak/>
        <w:t xml:space="preserve">allowed </w:t>
      </w:r>
      <w:r w:rsidR="00FD31A6">
        <w:rPr>
          <w:rFonts w:ascii="Times New Roman" w:eastAsia="Times New Roman" w:hAnsi="Times New Roman" w:cs="Times New Roman"/>
          <w:sz w:val="26"/>
          <w:szCs w:val="26"/>
        </w:rPr>
        <w:t xml:space="preserve">PGW </w:t>
      </w:r>
      <w:r w:rsidR="00ED5E82">
        <w:rPr>
          <w:rFonts w:ascii="Times New Roman" w:eastAsia="Times New Roman" w:hAnsi="Times New Roman" w:cs="Times New Roman"/>
          <w:sz w:val="26"/>
          <w:szCs w:val="26"/>
        </w:rPr>
        <w:t xml:space="preserve">to </w:t>
      </w:r>
      <w:r w:rsidR="00FD31A6">
        <w:rPr>
          <w:rFonts w:ascii="Times New Roman" w:eastAsia="Times New Roman" w:hAnsi="Times New Roman" w:cs="Times New Roman"/>
          <w:sz w:val="26"/>
          <w:szCs w:val="26"/>
        </w:rPr>
        <w:t>use</w:t>
      </w:r>
      <w:r w:rsidR="0082385C">
        <w:rPr>
          <w:rFonts w:ascii="Times New Roman" w:eastAsia="Times New Roman" w:hAnsi="Times New Roman" w:cs="Times New Roman"/>
          <w:sz w:val="26"/>
          <w:szCs w:val="26"/>
        </w:rPr>
        <w:t xml:space="preserve"> a cost/benefit </w:t>
      </w:r>
      <w:r w:rsidR="00AC4A37">
        <w:rPr>
          <w:rFonts w:ascii="Times New Roman" w:eastAsia="Times New Roman" w:hAnsi="Times New Roman" w:cs="Times New Roman"/>
          <w:sz w:val="26"/>
          <w:szCs w:val="26"/>
        </w:rPr>
        <w:t xml:space="preserve">calculation </w:t>
      </w:r>
      <w:r w:rsidR="0082385C">
        <w:rPr>
          <w:rFonts w:ascii="Times New Roman" w:eastAsia="Times New Roman" w:hAnsi="Times New Roman" w:cs="Times New Roman"/>
          <w:sz w:val="26"/>
          <w:szCs w:val="26"/>
        </w:rPr>
        <w:t xml:space="preserve">to </w:t>
      </w:r>
      <w:r w:rsidR="00AC4A37">
        <w:rPr>
          <w:rFonts w:ascii="Times New Roman" w:eastAsia="Times New Roman" w:hAnsi="Times New Roman" w:cs="Times New Roman"/>
          <w:sz w:val="26"/>
          <w:szCs w:val="26"/>
        </w:rPr>
        <w:t>ascertain “</w:t>
      </w:r>
      <w:r w:rsidR="00FD31A6">
        <w:rPr>
          <w:rFonts w:ascii="Times New Roman" w:eastAsia="Times New Roman" w:hAnsi="Times New Roman" w:cs="Times New Roman"/>
          <w:sz w:val="26"/>
          <w:szCs w:val="26"/>
        </w:rPr>
        <w:t>cost-effectiveness to determine what measures to include in a project</w:t>
      </w:r>
      <w:r w:rsidR="00261C70">
        <w:rPr>
          <w:rFonts w:ascii="Times New Roman" w:eastAsia="Times New Roman" w:hAnsi="Times New Roman" w:cs="Times New Roman"/>
          <w:sz w:val="26"/>
          <w:szCs w:val="26"/>
        </w:rPr>
        <w:t>”</w:t>
      </w:r>
      <w:r w:rsidR="00FD31A6">
        <w:rPr>
          <w:rFonts w:ascii="Times New Roman" w:eastAsia="Times New Roman" w:hAnsi="Times New Roman" w:cs="Times New Roman"/>
          <w:sz w:val="26"/>
          <w:szCs w:val="26"/>
        </w:rPr>
        <w:t xml:space="preserve">, rather than the </w:t>
      </w:r>
      <w:r w:rsidR="00261C70">
        <w:rPr>
          <w:rFonts w:ascii="Times New Roman" w:eastAsia="Times New Roman" w:hAnsi="Times New Roman" w:cs="Times New Roman"/>
          <w:sz w:val="26"/>
          <w:szCs w:val="26"/>
        </w:rPr>
        <w:t xml:space="preserve">7 or </w:t>
      </w:r>
      <w:r w:rsidR="00FD31A6">
        <w:rPr>
          <w:rFonts w:ascii="Times New Roman" w:eastAsia="Times New Roman" w:hAnsi="Times New Roman" w:cs="Times New Roman"/>
          <w:sz w:val="26"/>
          <w:szCs w:val="26"/>
        </w:rPr>
        <w:t>12-year simple payback criteria</w:t>
      </w:r>
      <w:r w:rsidR="0043467A">
        <w:rPr>
          <w:rFonts w:ascii="Times New Roman" w:eastAsia="Times New Roman" w:hAnsi="Times New Roman" w:cs="Times New Roman"/>
          <w:sz w:val="26"/>
          <w:szCs w:val="26"/>
        </w:rPr>
        <w:t>.</w:t>
      </w:r>
      <w:r w:rsidR="00FD31A6">
        <w:rPr>
          <w:rFonts w:ascii="Times New Roman" w:eastAsia="Times New Roman" w:hAnsi="Times New Roman" w:cs="Times New Roman"/>
          <w:sz w:val="26"/>
          <w:szCs w:val="26"/>
        </w:rPr>
        <w:t xml:space="preserve"> </w:t>
      </w:r>
      <w:r w:rsidR="0043467A">
        <w:rPr>
          <w:rFonts w:ascii="Times New Roman" w:eastAsia="Times New Roman" w:hAnsi="Times New Roman" w:cs="Times New Roman"/>
          <w:sz w:val="26"/>
          <w:szCs w:val="26"/>
        </w:rPr>
        <w:t xml:space="preserve"> PGW asserts </w:t>
      </w:r>
      <w:r w:rsidR="00FD31A6">
        <w:rPr>
          <w:rFonts w:ascii="Times New Roman" w:eastAsia="Times New Roman" w:hAnsi="Times New Roman" w:cs="Times New Roman"/>
          <w:sz w:val="26"/>
          <w:szCs w:val="26"/>
        </w:rPr>
        <w:t xml:space="preserve">that this method has provided an effective flexibility and is consistent with the approach used by the Commission for Act 129. </w:t>
      </w:r>
      <w:r w:rsidR="0043467A">
        <w:rPr>
          <w:rFonts w:ascii="Times New Roman" w:eastAsia="Times New Roman" w:hAnsi="Times New Roman" w:cs="Times New Roman"/>
          <w:sz w:val="26"/>
          <w:szCs w:val="26"/>
        </w:rPr>
        <w:t xml:space="preserve"> </w:t>
      </w:r>
      <w:r w:rsidR="00B2042B" w:rsidRPr="00B2042B">
        <w:rPr>
          <w:rFonts w:ascii="Times New Roman" w:eastAsia="Times New Roman" w:hAnsi="Times New Roman" w:cs="Times New Roman"/>
          <w:sz w:val="26"/>
          <w:szCs w:val="26"/>
        </w:rPr>
        <w:t xml:space="preserve">PGW has requested that this waiver now </w:t>
      </w:r>
      <w:r w:rsidR="00B2042B">
        <w:rPr>
          <w:rFonts w:ascii="Times New Roman" w:eastAsia="Times New Roman" w:hAnsi="Times New Roman" w:cs="Times New Roman"/>
          <w:sz w:val="26"/>
          <w:szCs w:val="26"/>
        </w:rPr>
        <w:t xml:space="preserve">also </w:t>
      </w:r>
      <w:r w:rsidR="00B2042B" w:rsidRPr="00B2042B">
        <w:rPr>
          <w:rFonts w:ascii="Times New Roman" w:eastAsia="Times New Roman" w:hAnsi="Times New Roman" w:cs="Times New Roman"/>
          <w:sz w:val="26"/>
          <w:szCs w:val="26"/>
        </w:rPr>
        <w:t>apply to the health and safety pilot.</w:t>
      </w:r>
      <w:r w:rsidR="00B2042B">
        <w:rPr>
          <w:rFonts w:ascii="Times New Roman" w:eastAsia="Times New Roman" w:hAnsi="Times New Roman" w:cs="Times New Roman"/>
          <w:sz w:val="26"/>
          <w:szCs w:val="26"/>
        </w:rPr>
        <w:t xml:space="preserve">  </w:t>
      </w:r>
      <w:r w:rsidR="00FD31A6">
        <w:rPr>
          <w:rFonts w:ascii="Times New Roman" w:eastAsia="Times New Roman" w:hAnsi="Times New Roman" w:cs="Times New Roman"/>
          <w:sz w:val="26"/>
          <w:szCs w:val="26"/>
        </w:rPr>
        <w:t>PGW Supplemental Info at</w:t>
      </w:r>
      <w:r w:rsidR="00B2042B">
        <w:rPr>
          <w:rFonts w:ascii="Times New Roman" w:eastAsia="Times New Roman" w:hAnsi="Times New Roman" w:cs="Times New Roman"/>
          <w:sz w:val="26"/>
          <w:szCs w:val="26"/>
        </w:rPr>
        <w:t> </w:t>
      </w:r>
      <w:r w:rsidR="00FD31A6">
        <w:rPr>
          <w:rFonts w:ascii="Times New Roman" w:eastAsia="Times New Roman" w:hAnsi="Times New Roman" w:cs="Times New Roman"/>
          <w:sz w:val="26"/>
          <w:szCs w:val="26"/>
        </w:rPr>
        <w:t xml:space="preserve">20. </w:t>
      </w:r>
    </w:p>
    <w:p w:rsidR="0043467A" w:rsidRDefault="0043467A" w:rsidP="00EB7308">
      <w:pPr>
        <w:tabs>
          <w:tab w:val="left" w:pos="0"/>
        </w:tabs>
        <w:spacing w:after="0" w:line="360" w:lineRule="auto"/>
        <w:contextualSpacing/>
        <w:rPr>
          <w:rFonts w:ascii="Times New Roman" w:eastAsia="Times New Roman" w:hAnsi="Times New Roman" w:cs="Times New Roman"/>
          <w:sz w:val="26"/>
          <w:szCs w:val="26"/>
        </w:rPr>
      </w:pPr>
    </w:p>
    <w:p w:rsidR="00020D75" w:rsidRDefault="0043467A" w:rsidP="00EB7308">
      <w:pPr>
        <w:tabs>
          <w:tab w:val="left" w:pos="0"/>
        </w:tabs>
        <w:spacing w:after="0" w:line="360" w:lineRule="auto"/>
        <w:contextualSpacing/>
        <w:rPr>
          <w:rFonts w:ascii="Times New Roman" w:eastAsia="Times New Roman" w:hAnsi="Times New Roman" w:cs="Times New Roman"/>
          <w:sz w:val="26"/>
          <w:szCs w:val="26"/>
        </w:rPr>
      </w:pPr>
      <w:r w:rsidRPr="005A58D8">
        <w:rPr>
          <w:rFonts w:ascii="Times New Roman" w:eastAsia="Times New Roman" w:hAnsi="Times New Roman" w:cs="Times New Roman"/>
          <w:i/>
          <w:sz w:val="26"/>
          <w:szCs w:val="26"/>
        </w:rPr>
        <w:t>Resolution</w:t>
      </w:r>
      <w:r w:rsidRPr="005A58D8">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Pr="0043467A">
        <w:rPr>
          <w:rFonts w:ascii="Times New Roman" w:eastAsia="Times New Roman" w:hAnsi="Times New Roman" w:cs="Times New Roman"/>
          <w:sz w:val="26"/>
          <w:szCs w:val="26"/>
        </w:rPr>
        <w:t xml:space="preserve">We </w:t>
      </w:r>
      <w:r>
        <w:rPr>
          <w:rFonts w:ascii="Times New Roman" w:eastAsia="Times New Roman" w:hAnsi="Times New Roman" w:cs="Times New Roman"/>
          <w:sz w:val="26"/>
          <w:szCs w:val="26"/>
        </w:rPr>
        <w:t xml:space="preserve">will allow PGW to continue to use </w:t>
      </w:r>
      <w:r w:rsidR="00230F1A">
        <w:rPr>
          <w:rFonts w:ascii="Times New Roman" w:eastAsia="Times New Roman" w:hAnsi="Times New Roman" w:cs="Times New Roman"/>
          <w:sz w:val="26"/>
          <w:szCs w:val="26"/>
        </w:rPr>
        <w:t>its</w:t>
      </w:r>
      <w:r w:rsidR="00AC4A37">
        <w:rPr>
          <w:rFonts w:ascii="Times New Roman" w:eastAsia="Times New Roman" w:hAnsi="Times New Roman" w:cs="Times New Roman"/>
          <w:sz w:val="26"/>
          <w:szCs w:val="26"/>
        </w:rPr>
        <w:t xml:space="preserve"> </w:t>
      </w:r>
      <w:r w:rsidR="00230F1A">
        <w:rPr>
          <w:rFonts w:ascii="Times New Roman" w:eastAsia="Times New Roman" w:hAnsi="Times New Roman" w:cs="Times New Roman"/>
          <w:sz w:val="26"/>
          <w:szCs w:val="26"/>
        </w:rPr>
        <w:t xml:space="preserve">existing </w:t>
      </w:r>
      <w:r w:rsidR="00AC4A37">
        <w:rPr>
          <w:rFonts w:ascii="Times New Roman" w:eastAsia="Times New Roman" w:hAnsi="Times New Roman" w:cs="Times New Roman"/>
          <w:sz w:val="26"/>
          <w:szCs w:val="26"/>
        </w:rPr>
        <w:t xml:space="preserve">cost/benefit calculation to establish </w:t>
      </w:r>
      <w:r w:rsidR="00020D75" w:rsidRPr="00020D75">
        <w:rPr>
          <w:rFonts w:ascii="Times New Roman" w:eastAsia="Times New Roman" w:hAnsi="Times New Roman" w:cs="Times New Roman"/>
          <w:sz w:val="26"/>
          <w:szCs w:val="26"/>
        </w:rPr>
        <w:t>cost-effectiveness</w:t>
      </w:r>
      <w:r w:rsidR="00230F1A">
        <w:rPr>
          <w:rFonts w:ascii="Times New Roman" w:eastAsia="Times New Roman" w:hAnsi="Times New Roman" w:cs="Times New Roman"/>
          <w:sz w:val="26"/>
          <w:szCs w:val="26"/>
        </w:rPr>
        <w:t>, and</w:t>
      </w:r>
      <w:r w:rsidR="00020D75" w:rsidRPr="00020D75">
        <w:rPr>
          <w:rFonts w:ascii="Times New Roman" w:eastAsia="Times New Roman" w:hAnsi="Times New Roman" w:cs="Times New Roman"/>
          <w:sz w:val="26"/>
          <w:szCs w:val="26"/>
        </w:rPr>
        <w:t xml:space="preserve"> to determine what measures to include in a project</w:t>
      </w:r>
      <w:r w:rsidR="00230F1A">
        <w:rPr>
          <w:rFonts w:ascii="Times New Roman" w:eastAsia="Times New Roman" w:hAnsi="Times New Roman" w:cs="Times New Roman"/>
          <w:sz w:val="26"/>
          <w:szCs w:val="26"/>
        </w:rPr>
        <w:t>,</w:t>
      </w:r>
      <w:r w:rsidR="00020D75" w:rsidRPr="00020D75">
        <w:rPr>
          <w:rFonts w:ascii="Times New Roman" w:eastAsia="Times New Roman" w:hAnsi="Times New Roman" w:cs="Times New Roman"/>
          <w:sz w:val="26"/>
          <w:szCs w:val="26"/>
        </w:rPr>
        <w:t xml:space="preserve"> </w:t>
      </w:r>
      <w:r w:rsidR="00B2042B">
        <w:rPr>
          <w:rFonts w:ascii="Times New Roman" w:eastAsia="Times New Roman" w:hAnsi="Times New Roman" w:cs="Times New Roman"/>
          <w:sz w:val="26"/>
          <w:szCs w:val="26"/>
        </w:rPr>
        <w:t>for both the health and safety pilot and the CRP Home Comfort program</w:t>
      </w:r>
      <w:r w:rsidR="00020D75">
        <w:rPr>
          <w:rFonts w:ascii="Times New Roman" w:eastAsia="Times New Roman" w:hAnsi="Times New Roman" w:cs="Times New Roman"/>
          <w:sz w:val="26"/>
          <w:szCs w:val="26"/>
        </w:rPr>
        <w:t>.  T</w:t>
      </w:r>
      <w:r w:rsidR="00FD31A6">
        <w:rPr>
          <w:rFonts w:ascii="Times New Roman" w:eastAsia="Times New Roman" w:hAnsi="Times New Roman" w:cs="Times New Roman"/>
          <w:sz w:val="26"/>
          <w:szCs w:val="26"/>
        </w:rPr>
        <w:t>he Commission has encouraged EDCs and NGDCs in previous USECP proceedings, to be flexible when applying the 7 or 12-year payback</w:t>
      </w:r>
      <w:r w:rsidR="0091350D">
        <w:rPr>
          <w:rFonts w:ascii="Times New Roman" w:eastAsia="Times New Roman" w:hAnsi="Times New Roman" w:cs="Times New Roman"/>
          <w:sz w:val="26"/>
          <w:szCs w:val="26"/>
        </w:rPr>
        <w:t xml:space="preserve"> to </w:t>
      </w:r>
      <w:r w:rsidR="005A58D8">
        <w:rPr>
          <w:rFonts w:ascii="Times New Roman" w:eastAsia="Times New Roman" w:hAnsi="Times New Roman" w:cs="Times New Roman"/>
          <w:sz w:val="26"/>
          <w:szCs w:val="26"/>
        </w:rPr>
        <w:t xml:space="preserve">individual </w:t>
      </w:r>
      <w:r w:rsidR="0091350D">
        <w:rPr>
          <w:rFonts w:ascii="Times New Roman" w:eastAsia="Times New Roman" w:hAnsi="Times New Roman" w:cs="Times New Roman"/>
          <w:sz w:val="26"/>
          <w:szCs w:val="26"/>
        </w:rPr>
        <w:t>LIURP</w:t>
      </w:r>
      <w:r w:rsidR="005A58D8">
        <w:rPr>
          <w:rFonts w:ascii="Times New Roman" w:eastAsia="Times New Roman" w:hAnsi="Times New Roman" w:cs="Times New Roman"/>
          <w:sz w:val="26"/>
          <w:szCs w:val="26"/>
        </w:rPr>
        <w:t xml:space="preserve"> </w:t>
      </w:r>
      <w:r w:rsidR="00261C70">
        <w:rPr>
          <w:rFonts w:ascii="Times New Roman" w:eastAsia="Times New Roman" w:hAnsi="Times New Roman" w:cs="Times New Roman"/>
          <w:sz w:val="26"/>
          <w:szCs w:val="26"/>
        </w:rPr>
        <w:t>measures</w:t>
      </w:r>
      <w:r w:rsidR="005A58D8">
        <w:rPr>
          <w:rFonts w:ascii="Times New Roman" w:eastAsia="Times New Roman" w:hAnsi="Times New Roman" w:cs="Times New Roman"/>
          <w:sz w:val="26"/>
          <w:szCs w:val="26"/>
        </w:rPr>
        <w:t>, in favor of an approach which evaluates the cost-effectiveness of the entire job or project</w:t>
      </w:r>
      <w:r w:rsidR="00261C70">
        <w:rPr>
          <w:rFonts w:ascii="Times New Roman" w:eastAsia="Times New Roman" w:hAnsi="Times New Roman" w:cs="Times New Roman"/>
          <w:sz w:val="26"/>
          <w:szCs w:val="26"/>
        </w:rPr>
        <w:t>.</w:t>
      </w:r>
      <w:r w:rsidR="00B06046">
        <w:rPr>
          <w:rFonts w:ascii="Times New Roman" w:eastAsia="Times New Roman" w:hAnsi="Times New Roman" w:cs="Times New Roman"/>
          <w:sz w:val="26"/>
          <w:szCs w:val="26"/>
        </w:rPr>
        <w:t xml:space="preserve"> </w:t>
      </w:r>
      <w:r w:rsidR="005A58D8">
        <w:rPr>
          <w:rFonts w:ascii="Times New Roman" w:eastAsia="Times New Roman" w:hAnsi="Times New Roman" w:cs="Times New Roman"/>
          <w:sz w:val="26"/>
          <w:szCs w:val="26"/>
        </w:rPr>
        <w:t>Also, the 7 year payback</w:t>
      </w:r>
      <w:r w:rsidR="00B06046">
        <w:rPr>
          <w:rFonts w:ascii="Times New Roman" w:eastAsia="Times New Roman" w:hAnsi="Times New Roman" w:cs="Times New Roman"/>
          <w:sz w:val="26"/>
          <w:szCs w:val="26"/>
        </w:rPr>
        <w:t xml:space="preserve"> was often interpreted as a “stay-out” provision</w:t>
      </w:r>
      <w:r w:rsidR="005A58D8">
        <w:rPr>
          <w:rFonts w:ascii="Times New Roman" w:eastAsia="Times New Roman" w:hAnsi="Times New Roman" w:cs="Times New Roman"/>
          <w:sz w:val="26"/>
          <w:szCs w:val="26"/>
        </w:rPr>
        <w:t>, meaning the company could not return to treat a home for 7 years, even if additional savings were available, or if new</w:t>
      </w:r>
      <w:r w:rsidR="00FD31A6">
        <w:rPr>
          <w:rFonts w:ascii="Times New Roman" w:eastAsia="Times New Roman" w:hAnsi="Times New Roman" w:cs="Times New Roman"/>
          <w:sz w:val="26"/>
          <w:szCs w:val="26"/>
        </w:rPr>
        <w:t xml:space="preserve"> technologies</w:t>
      </w:r>
      <w:r w:rsidR="005A58D8">
        <w:rPr>
          <w:rFonts w:ascii="Times New Roman" w:eastAsia="Times New Roman" w:hAnsi="Times New Roman" w:cs="Times New Roman"/>
          <w:sz w:val="26"/>
          <w:szCs w:val="26"/>
        </w:rPr>
        <w:t xml:space="preserve"> became available.</w:t>
      </w:r>
      <w:r w:rsidR="00020D75">
        <w:rPr>
          <w:rFonts w:ascii="Times New Roman" w:eastAsia="Times New Roman" w:hAnsi="Times New Roman" w:cs="Times New Roman"/>
          <w:sz w:val="26"/>
          <w:szCs w:val="26"/>
        </w:rPr>
        <w:t xml:space="preserve"> This</w:t>
      </w:r>
      <w:r w:rsidR="0091350D">
        <w:rPr>
          <w:rFonts w:ascii="Times New Roman" w:eastAsia="Times New Roman" w:hAnsi="Times New Roman" w:cs="Times New Roman"/>
          <w:sz w:val="26"/>
          <w:szCs w:val="26"/>
        </w:rPr>
        <w:t xml:space="preserve"> </w:t>
      </w:r>
      <w:r w:rsidR="00B2042B">
        <w:rPr>
          <w:rFonts w:ascii="Times New Roman" w:eastAsia="Times New Roman" w:hAnsi="Times New Roman" w:cs="Times New Roman"/>
          <w:sz w:val="26"/>
          <w:szCs w:val="26"/>
        </w:rPr>
        <w:t xml:space="preserve">approach </w:t>
      </w:r>
      <w:r w:rsidR="0091350D">
        <w:rPr>
          <w:rFonts w:ascii="Times New Roman" w:eastAsia="Times New Roman" w:hAnsi="Times New Roman" w:cs="Times New Roman"/>
          <w:sz w:val="26"/>
          <w:szCs w:val="26"/>
        </w:rPr>
        <w:t>follows the national best practice trend</w:t>
      </w:r>
      <w:r w:rsidR="005A58D8">
        <w:rPr>
          <w:rFonts w:ascii="Times New Roman" w:eastAsia="Times New Roman" w:hAnsi="Times New Roman" w:cs="Times New Roman"/>
          <w:sz w:val="26"/>
          <w:szCs w:val="26"/>
        </w:rPr>
        <w:t>s</w:t>
      </w:r>
      <w:r w:rsidR="0091350D">
        <w:rPr>
          <w:rFonts w:ascii="Times New Roman" w:eastAsia="Times New Roman" w:hAnsi="Times New Roman" w:cs="Times New Roman"/>
          <w:sz w:val="26"/>
          <w:szCs w:val="26"/>
        </w:rPr>
        <w:t xml:space="preserve"> for whole house treatment</w:t>
      </w:r>
      <w:r w:rsidR="005A58D8">
        <w:rPr>
          <w:rFonts w:ascii="Times New Roman" w:eastAsia="Times New Roman" w:hAnsi="Times New Roman" w:cs="Times New Roman"/>
          <w:sz w:val="26"/>
          <w:szCs w:val="26"/>
        </w:rPr>
        <w:t xml:space="preserve"> and minimizes the intrusions on the customer by efficiently treating as much of the home as possible in one time.</w:t>
      </w:r>
      <w:r w:rsidR="00020D75">
        <w:rPr>
          <w:rFonts w:ascii="Times New Roman" w:eastAsia="Times New Roman" w:hAnsi="Times New Roman" w:cs="Times New Roman"/>
          <w:sz w:val="26"/>
          <w:szCs w:val="26"/>
        </w:rPr>
        <w:t xml:space="preserve">  This </w:t>
      </w:r>
      <w:r w:rsidR="00596E50">
        <w:rPr>
          <w:rFonts w:ascii="Times New Roman" w:eastAsia="Times New Roman" w:hAnsi="Times New Roman" w:cs="Times New Roman"/>
          <w:sz w:val="26"/>
          <w:szCs w:val="26"/>
        </w:rPr>
        <w:t>partial temporary waiver</w:t>
      </w:r>
      <w:r w:rsidR="00540309">
        <w:rPr>
          <w:rFonts w:ascii="Times New Roman" w:eastAsia="Times New Roman" w:hAnsi="Times New Roman" w:cs="Times New Roman"/>
          <w:sz w:val="26"/>
          <w:szCs w:val="26"/>
        </w:rPr>
        <w:t xml:space="preserve"> of Section 58.11(a),</w:t>
      </w:r>
      <w:r w:rsidR="00596E50">
        <w:rPr>
          <w:rFonts w:ascii="Times New Roman" w:eastAsia="Times New Roman" w:hAnsi="Times New Roman" w:cs="Times New Roman"/>
          <w:sz w:val="26"/>
          <w:szCs w:val="26"/>
        </w:rPr>
        <w:t xml:space="preserve"> </w:t>
      </w:r>
      <w:r w:rsidR="00B2042B">
        <w:rPr>
          <w:rFonts w:ascii="Times New Roman" w:eastAsia="Times New Roman" w:hAnsi="Times New Roman" w:cs="Times New Roman"/>
          <w:sz w:val="26"/>
          <w:szCs w:val="26"/>
        </w:rPr>
        <w:t>relative to the health and safety pilot and LIURP</w:t>
      </w:r>
      <w:r w:rsidR="00540309">
        <w:rPr>
          <w:rFonts w:ascii="Times New Roman" w:eastAsia="Times New Roman" w:hAnsi="Times New Roman" w:cs="Times New Roman"/>
          <w:sz w:val="26"/>
          <w:szCs w:val="26"/>
        </w:rPr>
        <w:t>,</w:t>
      </w:r>
      <w:r w:rsidR="00B2042B">
        <w:rPr>
          <w:rFonts w:ascii="Times New Roman" w:eastAsia="Times New Roman" w:hAnsi="Times New Roman" w:cs="Times New Roman"/>
          <w:sz w:val="26"/>
          <w:szCs w:val="26"/>
        </w:rPr>
        <w:t xml:space="preserve"> </w:t>
      </w:r>
      <w:r w:rsidR="00020D75">
        <w:rPr>
          <w:rFonts w:ascii="Times New Roman" w:eastAsia="Times New Roman" w:hAnsi="Times New Roman" w:cs="Times New Roman"/>
          <w:sz w:val="26"/>
          <w:szCs w:val="26"/>
        </w:rPr>
        <w:t xml:space="preserve">is limited to </w:t>
      </w:r>
      <w:r w:rsidR="00ED5E82">
        <w:rPr>
          <w:rFonts w:ascii="Times New Roman" w:eastAsia="Times New Roman" w:hAnsi="Times New Roman" w:cs="Times New Roman"/>
          <w:sz w:val="26"/>
          <w:szCs w:val="26"/>
        </w:rPr>
        <w:t>the time frame specified in</w:t>
      </w:r>
      <w:r w:rsidR="00540309">
        <w:rPr>
          <w:rFonts w:ascii="Times New Roman" w:eastAsia="Times New Roman" w:hAnsi="Times New Roman" w:cs="Times New Roman"/>
          <w:sz w:val="26"/>
          <w:szCs w:val="26"/>
        </w:rPr>
        <w:t xml:space="preserve"> the 2017-2020 USECP,</w:t>
      </w:r>
      <w:r w:rsidR="00ED5E82">
        <w:rPr>
          <w:rFonts w:ascii="Times New Roman" w:eastAsia="Times New Roman" w:hAnsi="Times New Roman" w:cs="Times New Roman"/>
          <w:sz w:val="26"/>
          <w:szCs w:val="26"/>
        </w:rPr>
        <w:t xml:space="preserve"> and does not excuse PGW from complying with the </w:t>
      </w:r>
      <w:r w:rsidR="00B06046">
        <w:rPr>
          <w:rFonts w:ascii="Times New Roman" w:eastAsia="Times New Roman" w:hAnsi="Times New Roman" w:cs="Times New Roman"/>
          <w:sz w:val="26"/>
          <w:szCs w:val="26"/>
        </w:rPr>
        <w:t xml:space="preserve">rest of its </w:t>
      </w:r>
      <w:r w:rsidR="00ED5E82">
        <w:rPr>
          <w:rFonts w:ascii="Times New Roman" w:eastAsia="Times New Roman" w:hAnsi="Times New Roman" w:cs="Times New Roman"/>
          <w:sz w:val="26"/>
          <w:szCs w:val="26"/>
        </w:rPr>
        <w:t xml:space="preserve">obligations </w:t>
      </w:r>
      <w:r w:rsidR="00B06046">
        <w:rPr>
          <w:rFonts w:ascii="Times New Roman" w:eastAsia="Times New Roman" w:hAnsi="Times New Roman" w:cs="Times New Roman"/>
          <w:sz w:val="26"/>
          <w:szCs w:val="26"/>
        </w:rPr>
        <w:t>in</w:t>
      </w:r>
      <w:r w:rsidR="00ED5E82">
        <w:rPr>
          <w:rFonts w:ascii="Times New Roman" w:eastAsia="Times New Roman" w:hAnsi="Times New Roman" w:cs="Times New Roman"/>
          <w:sz w:val="26"/>
          <w:szCs w:val="26"/>
        </w:rPr>
        <w:t xml:space="preserve"> Section 58.11.</w:t>
      </w:r>
    </w:p>
    <w:p w:rsidR="00020D75" w:rsidRDefault="00020D75" w:rsidP="00EB7308">
      <w:pPr>
        <w:tabs>
          <w:tab w:val="left" w:pos="0"/>
        </w:tabs>
        <w:spacing w:after="0" w:line="360" w:lineRule="auto"/>
        <w:contextualSpacing/>
        <w:rPr>
          <w:rFonts w:ascii="Times New Roman" w:eastAsia="Times New Roman" w:hAnsi="Times New Roman" w:cs="Times New Roman"/>
          <w:sz w:val="26"/>
          <w:szCs w:val="26"/>
        </w:rPr>
      </w:pPr>
    </w:p>
    <w:p w:rsidR="004D5ED1" w:rsidRDefault="00020D75" w:rsidP="00EB7308">
      <w:pPr>
        <w:tabs>
          <w:tab w:val="left" w:pos="0"/>
        </w:tabs>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ab/>
        <w:t xml:space="preserve">We </w:t>
      </w:r>
      <w:r w:rsidR="003E6D29">
        <w:rPr>
          <w:rFonts w:ascii="Times New Roman" w:eastAsia="Times New Roman" w:hAnsi="Times New Roman" w:cs="Times New Roman"/>
          <w:sz w:val="26"/>
          <w:szCs w:val="26"/>
        </w:rPr>
        <w:t xml:space="preserve">also </w:t>
      </w:r>
      <w:r w:rsidR="005A58D8">
        <w:rPr>
          <w:rFonts w:ascii="Times New Roman" w:eastAsia="Times New Roman" w:hAnsi="Times New Roman" w:cs="Times New Roman"/>
          <w:sz w:val="26"/>
          <w:szCs w:val="26"/>
        </w:rPr>
        <w:t>note</w:t>
      </w:r>
      <w:r w:rsidR="003E6D29">
        <w:rPr>
          <w:rFonts w:ascii="Times New Roman" w:eastAsia="Times New Roman" w:hAnsi="Times New Roman" w:cs="Times New Roman"/>
          <w:sz w:val="26"/>
          <w:szCs w:val="26"/>
        </w:rPr>
        <w:t xml:space="preserve"> that </w:t>
      </w:r>
      <w:r w:rsidR="00ED3E21">
        <w:rPr>
          <w:rFonts w:ascii="Times New Roman" w:eastAsia="Times New Roman" w:hAnsi="Times New Roman" w:cs="Times New Roman"/>
          <w:sz w:val="26"/>
          <w:szCs w:val="26"/>
        </w:rPr>
        <w:t>an</w:t>
      </w:r>
      <w:r w:rsidR="003E6D29">
        <w:rPr>
          <w:rFonts w:ascii="Times New Roman" w:eastAsia="Times New Roman" w:hAnsi="Times New Roman" w:cs="Times New Roman"/>
          <w:sz w:val="26"/>
          <w:szCs w:val="26"/>
        </w:rPr>
        <w:t xml:space="preserve"> appropriate cost-effective measurement</w:t>
      </w:r>
      <w:r w:rsidR="00ED3E21">
        <w:rPr>
          <w:rFonts w:ascii="Times New Roman" w:eastAsia="Times New Roman" w:hAnsi="Times New Roman" w:cs="Times New Roman"/>
          <w:sz w:val="26"/>
          <w:szCs w:val="26"/>
        </w:rPr>
        <w:t xml:space="preserve"> and</w:t>
      </w:r>
      <w:r w:rsidR="005A58D8">
        <w:rPr>
          <w:rFonts w:ascii="Times New Roman" w:eastAsia="Times New Roman" w:hAnsi="Times New Roman" w:cs="Times New Roman"/>
          <w:sz w:val="26"/>
          <w:szCs w:val="26"/>
        </w:rPr>
        <w:t>/or</w:t>
      </w:r>
      <w:r w:rsidR="00ED3E21">
        <w:rPr>
          <w:rFonts w:ascii="Times New Roman" w:eastAsia="Times New Roman" w:hAnsi="Times New Roman" w:cs="Times New Roman"/>
          <w:sz w:val="26"/>
          <w:szCs w:val="26"/>
        </w:rPr>
        <w:t xml:space="preserve"> evaluation</w:t>
      </w:r>
      <w:r w:rsidR="003E6D29">
        <w:rPr>
          <w:rFonts w:ascii="Times New Roman" w:eastAsia="Times New Roman" w:hAnsi="Times New Roman" w:cs="Times New Roman"/>
          <w:sz w:val="26"/>
          <w:szCs w:val="26"/>
        </w:rPr>
        <w:t xml:space="preserve"> of LIURP is one of the primary issues</w:t>
      </w:r>
      <w:r w:rsidR="000C76AF">
        <w:rPr>
          <w:rFonts w:ascii="Times New Roman" w:eastAsia="Times New Roman" w:hAnsi="Times New Roman" w:cs="Times New Roman"/>
          <w:sz w:val="26"/>
          <w:szCs w:val="26"/>
        </w:rPr>
        <w:t xml:space="preserve"> </w:t>
      </w:r>
      <w:r w:rsidR="003E6D29">
        <w:rPr>
          <w:rFonts w:ascii="Times New Roman" w:eastAsia="Times New Roman" w:hAnsi="Times New Roman" w:cs="Times New Roman"/>
          <w:sz w:val="26"/>
          <w:szCs w:val="26"/>
        </w:rPr>
        <w:t xml:space="preserve">to be addressed </w:t>
      </w:r>
      <w:r>
        <w:rPr>
          <w:rFonts w:ascii="Times New Roman" w:eastAsia="Times New Roman" w:hAnsi="Times New Roman" w:cs="Times New Roman"/>
          <w:sz w:val="26"/>
          <w:szCs w:val="26"/>
        </w:rPr>
        <w:t>at Docket No, M-2016</w:t>
      </w:r>
      <w:r>
        <w:rPr>
          <w:rFonts w:ascii="Times New Roman" w:eastAsia="Times New Roman" w:hAnsi="Times New Roman" w:cs="Times New Roman"/>
          <w:sz w:val="26"/>
          <w:szCs w:val="26"/>
        </w:rPr>
        <w:noBreakHyphen/>
      </w:r>
      <w:r w:rsidR="003E6D29">
        <w:rPr>
          <w:rFonts w:ascii="Times New Roman" w:eastAsia="Times New Roman" w:hAnsi="Times New Roman" w:cs="Times New Roman"/>
          <w:sz w:val="26"/>
          <w:szCs w:val="26"/>
        </w:rPr>
        <w:t>2557886 docket</w:t>
      </w:r>
      <w:r>
        <w:rPr>
          <w:rFonts w:ascii="Times New Roman" w:eastAsia="Times New Roman" w:hAnsi="Times New Roman" w:cs="Times New Roman"/>
          <w:sz w:val="26"/>
          <w:szCs w:val="26"/>
        </w:rPr>
        <w:t xml:space="preserve">, the pending </w:t>
      </w:r>
      <w:r w:rsidR="003E6D29">
        <w:rPr>
          <w:rFonts w:ascii="Times New Roman" w:eastAsia="Times New Roman" w:hAnsi="Times New Roman" w:cs="Times New Roman"/>
          <w:sz w:val="26"/>
          <w:szCs w:val="26"/>
        </w:rPr>
        <w:t>LIURP R</w:t>
      </w:r>
      <w:r>
        <w:rPr>
          <w:rFonts w:ascii="Times New Roman" w:eastAsia="Times New Roman" w:hAnsi="Times New Roman" w:cs="Times New Roman"/>
          <w:sz w:val="26"/>
          <w:szCs w:val="26"/>
        </w:rPr>
        <w:t>eview</w:t>
      </w:r>
      <w:r w:rsidR="003E6D29">
        <w:rPr>
          <w:rFonts w:ascii="Times New Roman" w:eastAsia="Times New Roman" w:hAnsi="Times New Roman" w:cs="Times New Roman"/>
          <w:sz w:val="26"/>
          <w:szCs w:val="26"/>
        </w:rPr>
        <w:t>.</w:t>
      </w:r>
      <w:r w:rsidR="00FD31A6">
        <w:rPr>
          <w:rFonts w:ascii="Times New Roman" w:eastAsia="Times New Roman" w:hAnsi="Times New Roman" w:cs="Times New Roman"/>
          <w:sz w:val="26"/>
          <w:szCs w:val="26"/>
        </w:rPr>
        <w:t xml:space="preserve"> </w:t>
      </w:r>
    </w:p>
    <w:p w:rsidR="004D5ED1" w:rsidRDefault="004D5ED1" w:rsidP="00EB7308">
      <w:pPr>
        <w:tabs>
          <w:tab w:val="left" w:pos="0"/>
        </w:tabs>
        <w:spacing w:after="0" w:line="360" w:lineRule="auto"/>
        <w:contextualSpacing/>
        <w:rPr>
          <w:rFonts w:ascii="Times New Roman" w:eastAsia="Times New Roman" w:hAnsi="Times New Roman" w:cs="Times New Roman"/>
          <w:sz w:val="26"/>
          <w:szCs w:val="26"/>
        </w:rPr>
      </w:pPr>
    </w:p>
    <w:p w:rsidR="004A127E" w:rsidRDefault="004D5ED1" w:rsidP="00EB7308">
      <w:pPr>
        <w:tabs>
          <w:tab w:val="left" w:pos="0"/>
        </w:tabs>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ED5E82">
        <w:rPr>
          <w:rFonts w:ascii="Times New Roman" w:eastAsia="Times New Roman" w:hAnsi="Times New Roman" w:cs="Times New Roman"/>
          <w:sz w:val="26"/>
          <w:szCs w:val="26"/>
        </w:rPr>
        <w:t>Section 58.12 relates to incidental repairs</w:t>
      </w:r>
      <w:r w:rsidR="00293892">
        <w:rPr>
          <w:rFonts w:ascii="Times New Roman" w:eastAsia="Times New Roman" w:hAnsi="Times New Roman" w:cs="Times New Roman"/>
          <w:sz w:val="26"/>
          <w:szCs w:val="26"/>
        </w:rPr>
        <w:t xml:space="preserve"> and provides that “[e]</w:t>
      </w:r>
      <w:r w:rsidR="00ED3E21" w:rsidRPr="00293892">
        <w:rPr>
          <w:rFonts w:ascii="Times New Roman" w:eastAsia="Times New Roman" w:hAnsi="Times New Roman" w:cs="Times New Roman"/>
          <w:sz w:val="26"/>
          <w:szCs w:val="26"/>
        </w:rPr>
        <w:t>expenditures</w:t>
      </w:r>
      <w:r w:rsidR="00293892" w:rsidRPr="00293892">
        <w:rPr>
          <w:rFonts w:ascii="Times New Roman" w:eastAsia="Times New Roman" w:hAnsi="Times New Roman" w:cs="Times New Roman"/>
          <w:sz w:val="26"/>
          <w:szCs w:val="26"/>
        </w:rPr>
        <w:t xml:space="preserve"> on program measures may include incidental repairs to the dwelling necessary to permit proper installation of the program measures or repairs to existing weatherization measures which are needed to make those measures operate effectively.</w:t>
      </w:r>
      <w:r w:rsidR="00293892">
        <w:rPr>
          <w:rFonts w:ascii="Times New Roman" w:eastAsia="Times New Roman" w:hAnsi="Times New Roman" w:cs="Times New Roman"/>
          <w:sz w:val="26"/>
          <w:szCs w:val="26"/>
        </w:rPr>
        <w:t xml:space="preserve">”   </w:t>
      </w:r>
      <w:r w:rsidR="005F5F3E">
        <w:rPr>
          <w:rFonts w:ascii="Times New Roman" w:eastAsia="Times New Roman" w:hAnsi="Times New Roman" w:cs="Times New Roman"/>
          <w:sz w:val="26"/>
          <w:szCs w:val="26"/>
        </w:rPr>
        <w:t xml:space="preserve">PGW requested any necessary waiver of </w:t>
      </w:r>
      <w:r w:rsidR="00293892">
        <w:rPr>
          <w:rFonts w:ascii="Times New Roman" w:eastAsia="Times New Roman" w:hAnsi="Times New Roman" w:cs="Times New Roman"/>
          <w:sz w:val="26"/>
          <w:szCs w:val="26"/>
        </w:rPr>
        <w:t xml:space="preserve">Section </w:t>
      </w:r>
      <w:r w:rsidRPr="00B71819">
        <w:rPr>
          <w:rFonts w:ascii="Times New Roman" w:eastAsia="Times New Roman" w:hAnsi="Times New Roman" w:cs="Times New Roman"/>
          <w:sz w:val="26"/>
          <w:szCs w:val="26"/>
        </w:rPr>
        <w:t>58.</w:t>
      </w:r>
      <w:r>
        <w:rPr>
          <w:rFonts w:ascii="Times New Roman" w:eastAsia="Times New Roman" w:hAnsi="Times New Roman" w:cs="Times New Roman"/>
          <w:sz w:val="26"/>
          <w:szCs w:val="26"/>
        </w:rPr>
        <w:t>12</w:t>
      </w:r>
      <w:r w:rsidR="00596E50">
        <w:rPr>
          <w:rFonts w:ascii="Times New Roman" w:eastAsia="Times New Roman" w:hAnsi="Times New Roman" w:cs="Times New Roman"/>
          <w:sz w:val="26"/>
          <w:szCs w:val="26"/>
        </w:rPr>
        <w:t xml:space="preserve"> for the health and safety pilot</w:t>
      </w:r>
      <w:r>
        <w:rPr>
          <w:rFonts w:ascii="Times New Roman" w:eastAsia="Times New Roman" w:hAnsi="Times New Roman" w:cs="Times New Roman"/>
          <w:sz w:val="26"/>
          <w:szCs w:val="26"/>
        </w:rPr>
        <w:t>.</w:t>
      </w:r>
      <w:r w:rsidR="005F5F3E">
        <w:rPr>
          <w:rFonts w:ascii="Times New Roman" w:eastAsia="Times New Roman" w:hAnsi="Times New Roman" w:cs="Times New Roman"/>
          <w:sz w:val="26"/>
          <w:szCs w:val="26"/>
        </w:rPr>
        <w:t xml:space="preserve">  PGW is concerned that the </w:t>
      </w:r>
      <w:r w:rsidR="00293892">
        <w:rPr>
          <w:rFonts w:ascii="Times New Roman" w:eastAsia="Times New Roman" w:hAnsi="Times New Roman" w:cs="Times New Roman"/>
          <w:sz w:val="26"/>
          <w:szCs w:val="26"/>
        </w:rPr>
        <w:t>h</w:t>
      </w:r>
      <w:r w:rsidR="005F5F3E">
        <w:rPr>
          <w:rFonts w:ascii="Times New Roman" w:eastAsia="Times New Roman" w:hAnsi="Times New Roman" w:cs="Times New Roman"/>
          <w:sz w:val="26"/>
          <w:szCs w:val="26"/>
        </w:rPr>
        <w:t xml:space="preserve">ealth and </w:t>
      </w:r>
      <w:r w:rsidR="00293892">
        <w:rPr>
          <w:rFonts w:ascii="Times New Roman" w:eastAsia="Times New Roman" w:hAnsi="Times New Roman" w:cs="Times New Roman"/>
          <w:sz w:val="26"/>
          <w:szCs w:val="26"/>
        </w:rPr>
        <w:t>s</w:t>
      </w:r>
      <w:r w:rsidR="005F5F3E">
        <w:rPr>
          <w:rFonts w:ascii="Times New Roman" w:eastAsia="Times New Roman" w:hAnsi="Times New Roman" w:cs="Times New Roman"/>
          <w:sz w:val="26"/>
          <w:szCs w:val="26"/>
        </w:rPr>
        <w:t xml:space="preserve">afety pilot might exceed what would normally be permitted </w:t>
      </w:r>
      <w:r w:rsidR="004D0884">
        <w:rPr>
          <w:rFonts w:ascii="Times New Roman" w:eastAsia="Times New Roman" w:hAnsi="Times New Roman" w:cs="Times New Roman"/>
          <w:sz w:val="26"/>
          <w:szCs w:val="26"/>
        </w:rPr>
        <w:t xml:space="preserve">as incidental repairs </w:t>
      </w:r>
      <w:r w:rsidR="005F5F3E">
        <w:rPr>
          <w:rFonts w:ascii="Times New Roman" w:eastAsia="Times New Roman" w:hAnsi="Times New Roman" w:cs="Times New Roman"/>
          <w:sz w:val="26"/>
          <w:szCs w:val="26"/>
        </w:rPr>
        <w:t xml:space="preserve">under this regulation. </w:t>
      </w:r>
    </w:p>
    <w:p w:rsidR="004A127E" w:rsidRDefault="004A127E" w:rsidP="00EB7308">
      <w:pPr>
        <w:tabs>
          <w:tab w:val="left" w:pos="0"/>
        </w:tabs>
        <w:spacing w:after="0" w:line="360" w:lineRule="auto"/>
        <w:contextualSpacing/>
        <w:rPr>
          <w:rFonts w:ascii="Times New Roman" w:eastAsia="Times New Roman" w:hAnsi="Times New Roman" w:cs="Times New Roman"/>
          <w:sz w:val="26"/>
          <w:szCs w:val="26"/>
        </w:rPr>
      </w:pPr>
    </w:p>
    <w:p w:rsidR="00646FB5" w:rsidRDefault="004A127E" w:rsidP="00293892">
      <w:pPr>
        <w:tabs>
          <w:tab w:val="left" w:pos="0"/>
        </w:tabs>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i/>
          <w:sz w:val="26"/>
          <w:szCs w:val="26"/>
        </w:rPr>
        <w:t xml:space="preserve">Resolution: </w:t>
      </w:r>
      <w:r w:rsidR="005F5F3E">
        <w:rPr>
          <w:rFonts w:ascii="Times New Roman" w:eastAsia="Times New Roman" w:hAnsi="Times New Roman" w:cs="Times New Roman"/>
          <w:sz w:val="26"/>
          <w:szCs w:val="26"/>
        </w:rPr>
        <w:t>We do not believe a wa</w:t>
      </w:r>
      <w:r w:rsidR="003E27B5">
        <w:rPr>
          <w:rFonts w:ascii="Times New Roman" w:eastAsia="Times New Roman" w:hAnsi="Times New Roman" w:cs="Times New Roman"/>
          <w:sz w:val="26"/>
          <w:szCs w:val="26"/>
        </w:rPr>
        <w:t>iver is necessary in this case</w:t>
      </w:r>
      <w:r w:rsidR="00646FB5">
        <w:rPr>
          <w:rFonts w:ascii="Times New Roman" w:eastAsia="Times New Roman" w:hAnsi="Times New Roman" w:cs="Times New Roman"/>
          <w:sz w:val="26"/>
          <w:szCs w:val="26"/>
        </w:rPr>
        <w:t xml:space="preserve">, in part, because the regulations do not specify a spending limit or cap on these costs, and the Commission has </w:t>
      </w:r>
      <w:r w:rsidR="005F5F3E">
        <w:rPr>
          <w:rFonts w:ascii="Times New Roman" w:eastAsia="Times New Roman" w:hAnsi="Times New Roman" w:cs="Times New Roman"/>
          <w:sz w:val="26"/>
          <w:szCs w:val="26"/>
        </w:rPr>
        <w:t xml:space="preserve">previously </w:t>
      </w:r>
      <w:r w:rsidR="003E27B5">
        <w:rPr>
          <w:rFonts w:ascii="Times New Roman" w:eastAsia="Times New Roman" w:hAnsi="Times New Roman" w:cs="Times New Roman"/>
          <w:sz w:val="26"/>
          <w:szCs w:val="26"/>
        </w:rPr>
        <w:t xml:space="preserve">encouraged </w:t>
      </w:r>
      <w:r w:rsidR="004D0884">
        <w:rPr>
          <w:rFonts w:ascii="Times New Roman" w:eastAsia="Times New Roman" w:hAnsi="Times New Roman" w:cs="Times New Roman"/>
          <w:sz w:val="26"/>
          <w:szCs w:val="26"/>
        </w:rPr>
        <w:t xml:space="preserve">and </w:t>
      </w:r>
      <w:r w:rsidR="005F5F3E">
        <w:rPr>
          <w:rFonts w:ascii="Times New Roman" w:eastAsia="Times New Roman" w:hAnsi="Times New Roman" w:cs="Times New Roman"/>
          <w:sz w:val="26"/>
          <w:szCs w:val="26"/>
        </w:rPr>
        <w:t xml:space="preserve">approved provisions within </w:t>
      </w:r>
      <w:r w:rsidR="004D0884">
        <w:rPr>
          <w:rFonts w:ascii="Times New Roman" w:eastAsia="Times New Roman" w:hAnsi="Times New Roman" w:cs="Times New Roman"/>
          <w:sz w:val="26"/>
          <w:szCs w:val="26"/>
        </w:rPr>
        <w:t>other</w:t>
      </w:r>
      <w:r w:rsidR="005F5F3E">
        <w:rPr>
          <w:rFonts w:ascii="Times New Roman" w:eastAsia="Times New Roman" w:hAnsi="Times New Roman" w:cs="Times New Roman"/>
          <w:sz w:val="26"/>
          <w:szCs w:val="26"/>
        </w:rPr>
        <w:t xml:space="preserve"> USECP</w:t>
      </w:r>
      <w:r w:rsidR="004D0884">
        <w:rPr>
          <w:rFonts w:ascii="Times New Roman" w:eastAsia="Times New Roman" w:hAnsi="Times New Roman" w:cs="Times New Roman"/>
          <w:sz w:val="26"/>
          <w:szCs w:val="26"/>
        </w:rPr>
        <w:t>s</w:t>
      </w:r>
      <w:r w:rsidR="005F5F3E">
        <w:rPr>
          <w:rFonts w:ascii="Times New Roman" w:eastAsia="Times New Roman" w:hAnsi="Times New Roman" w:cs="Times New Roman"/>
          <w:sz w:val="26"/>
          <w:szCs w:val="26"/>
        </w:rPr>
        <w:t xml:space="preserve"> for</w:t>
      </w:r>
      <w:r w:rsidR="00646FB5">
        <w:rPr>
          <w:rFonts w:ascii="Times New Roman" w:eastAsia="Times New Roman" w:hAnsi="Times New Roman" w:cs="Times New Roman"/>
          <w:sz w:val="26"/>
          <w:szCs w:val="26"/>
        </w:rPr>
        <w:t xml:space="preserve"> such costs to be considered in the overall cost-effectiveness of a job or project, similar to</w:t>
      </w:r>
      <w:r w:rsidR="005F5F3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h</w:t>
      </w:r>
      <w:r w:rsidR="005F5F3E">
        <w:rPr>
          <w:rFonts w:ascii="Times New Roman" w:eastAsia="Times New Roman" w:hAnsi="Times New Roman" w:cs="Times New Roman"/>
          <w:sz w:val="26"/>
          <w:szCs w:val="26"/>
        </w:rPr>
        <w:t xml:space="preserve">ealth and </w:t>
      </w:r>
      <w:r>
        <w:rPr>
          <w:rFonts w:ascii="Times New Roman" w:eastAsia="Times New Roman" w:hAnsi="Times New Roman" w:cs="Times New Roman"/>
          <w:sz w:val="26"/>
          <w:szCs w:val="26"/>
        </w:rPr>
        <w:t>s</w:t>
      </w:r>
      <w:r w:rsidR="005F5F3E">
        <w:rPr>
          <w:rFonts w:ascii="Times New Roman" w:eastAsia="Times New Roman" w:hAnsi="Times New Roman" w:cs="Times New Roman"/>
          <w:sz w:val="26"/>
          <w:szCs w:val="26"/>
        </w:rPr>
        <w:t>afety spending.</w:t>
      </w:r>
      <w:r w:rsidR="004D0884">
        <w:rPr>
          <w:rFonts w:ascii="Times New Roman" w:eastAsia="Times New Roman" w:hAnsi="Times New Roman" w:cs="Times New Roman"/>
          <w:sz w:val="26"/>
          <w:szCs w:val="26"/>
        </w:rPr>
        <w:t xml:space="preserve"> </w:t>
      </w:r>
      <w:r w:rsidR="00293892">
        <w:rPr>
          <w:rFonts w:ascii="Times New Roman" w:eastAsia="Times New Roman" w:hAnsi="Times New Roman" w:cs="Times New Roman"/>
          <w:sz w:val="26"/>
          <w:szCs w:val="26"/>
        </w:rPr>
        <w:t xml:space="preserve">Further, </w:t>
      </w:r>
      <w:r w:rsidR="00646FB5">
        <w:rPr>
          <w:rFonts w:ascii="Times New Roman" w:eastAsia="Times New Roman" w:hAnsi="Times New Roman" w:cs="Times New Roman"/>
          <w:sz w:val="26"/>
          <w:szCs w:val="26"/>
        </w:rPr>
        <w:t xml:space="preserve">any subsequent </w:t>
      </w:r>
      <w:r w:rsidR="004B783F">
        <w:rPr>
          <w:rFonts w:ascii="Times New Roman" w:eastAsia="Times New Roman" w:hAnsi="Times New Roman" w:cs="Times New Roman"/>
          <w:sz w:val="26"/>
          <w:szCs w:val="26"/>
        </w:rPr>
        <w:t>incidental repair cost</w:t>
      </w:r>
      <w:r w:rsidR="00646FB5">
        <w:rPr>
          <w:rFonts w:ascii="Times New Roman" w:eastAsia="Times New Roman" w:hAnsi="Times New Roman" w:cs="Times New Roman"/>
          <w:sz w:val="26"/>
          <w:szCs w:val="26"/>
        </w:rPr>
        <w:t xml:space="preserve"> caps or limitations </w:t>
      </w:r>
      <w:r w:rsidR="004B783F">
        <w:rPr>
          <w:rFonts w:ascii="Times New Roman" w:eastAsia="Times New Roman" w:hAnsi="Times New Roman" w:cs="Times New Roman"/>
          <w:sz w:val="26"/>
          <w:szCs w:val="26"/>
        </w:rPr>
        <w:t xml:space="preserve">can be </w:t>
      </w:r>
      <w:r w:rsidR="00646FB5">
        <w:rPr>
          <w:rFonts w:ascii="Times New Roman" w:eastAsia="Times New Roman" w:hAnsi="Times New Roman" w:cs="Times New Roman"/>
          <w:sz w:val="26"/>
          <w:szCs w:val="26"/>
        </w:rPr>
        <w:t>addressed</w:t>
      </w:r>
      <w:r w:rsidR="00596E50">
        <w:rPr>
          <w:rFonts w:ascii="Times New Roman" w:eastAsia="Times New Roman" w:hAnsi="Times New Roman" w:cs="Times New Roman"/>
          <w:sz w:val="26"/>
          <w:szCs w:val="26"/>
        </w:rPr>
        <w:t xml:space="preserve"> </w:t>
      </w:r>
      <w:r w:rsidR="00293892" w:rsidRPr="00293892">
        <w:rPr>
          <w:rFonts w:ascii="Times New Roman" w:eastAsia="Times New Roman" w:hAnsi="Times New Roman" w:cs="Times New Roman"/>
          <w:sz w:val="26"/>
          <w:szCs w:val="26"/>
        </w:rPr>
        <w:t>at Docket No</w:t>
      </w:r>
      <w:r w:rsidR="00ED3E21">
        <w:rPr>
          <w:rFonts w:ascii="Times New Roman" w:eastAsia="Times New Roman" w:hAnsi="Times New Roman" w:cs="Times New Roman"/>
          <w:sz w:val="26"/>
          <w:szCs w:val="26"/>
        </w:rPr>
        <w:t>.</w:t>
      </w:r>
      <w:r w:rsidR="00293892" w:rsidRPr="00293892">
        <w:rPr>
          <w:rFonts w:ascii="Times New Roman" w:eastAsia="Times New Roman" w:hAnsi="Times New Roman" w:cs="Times New Roman"/>
          <w:sz w:val="26"/>
          <w:szCs w:val="26"/>
        </w:rPr>
        <w:t xml:space="preserve"> M</w:t>
      </w:r>
      <w:r w:rsidR="004B783F">
        <w:rPr>
          <w:rFonts w:ascii="Times New Roman" w:eastAsia="Times New Roman" w:hAnsi="Times New Roman" w:cs="Times New Roman"/>
          <w:sz w:val="26"/>
          <w:szCs w:val="26"/>
        </w:rPr>
        <w:noBreakHyphen/>
      </w:r>
      <w:r w:rsidR="00293892" w:rsidRPr="00293892">
        <w:rPr>
          <w:rFonts w:ascii="Times New Roman" w:eastAsia="Times New Roman" w:hAnsi="Times New Roman" w:cs="Times New Roman"/>
          <w:sz w:val="26"/>
          <w:szCs w:val="26"/>
        </w:rPr>
        <w:t>2016</w:t>
      </w:r>
      <w:r w:rsidR="00293892" w:rsidRPr="00293892">
        <w:rPr>
          <w:rFonts w:ascii="Times New Roman" w:eastAsia="Times New Roman" w:hAnsi="Times New Roman" w:cs="Times New Roman"/>
          <w:sz w:val="26"/>
          <w:szCs w:val="26"/>
        </w:rPr>
        <w:noBreakHyphen/>
        <w:t>2557886, the pending LIURP Review.</w:t>
      </w:r>
    </w:p>
    <w:p w:rsidR="00646FB5" w:rsidRDefault="00646FB5" w:rsidP="00293892">
      <w:pPr>
        <w:tabs>
          <w:tab w:val="left" w:pos="0"/>
        </w:tabs>
        <w:spacing w:after="0" w:line="360" w:lineRule="auto"/>
        <w:contextualSpacing/>
        <w:rPr>
          <w:rFonts w:ascii="Times New Roman" w:eastAsia="Times New Roman" w:hAnsi="Times New Roman" w:cs="Times New Roman"/>
          <w:sz w:val="26"/>
          <w:szCs w:val="26"/>
        </w:rPr>
      </w:pPr>
    </w:p>
    <w:p w:rsidR="00A3687F" w:rsidRDefault="00646FB5" w:rsidP="00EB7308">
      <w:pPr>
        <w:tabs>
          <w:tab w:val="left" w:pos="0"/>
        </w:tabs>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Several of the commenters expressed concerns over the limited opportunities to provide input into various aspects of PGW’s </w:t>
      </w:r>
      <w:r w:rsidR="00540309">
        <w:rPr>
          <w:rFonts w:ascii="Times New Roman" w:eastAsia="Times New Roman" w:hAnsi="Times New Roman" w:cs="Times New Roman"/>
          <w:sz w:val="26"/>
          <w:szCs w:val="26"/>
        </w:rPr>
        <w:t xml:space="preserve">LIURP and other </w:t>
      </w:r>
      <w:r>
        <w:rPr>
          <w:rFonts w:ascii="Times New Roman" w:eastAsia="Times New Roman" w:hAnsi="Times New Roman" w:cs="Times New Roman"/>
          <w:sz w:val="26"/>
          <w:szCs w:val="26"/>
        </w:rPr>
        <w:t>universal service programs.</w:t>
      </w:r>
      <w:r w:rsidR="00A3687F">
        <w:rPr>
          <w:rFonts w:ascii="Times New Roman" w:eastAsia="Times New Roman" w:hAnsi="Times New Roman" w:cs="Times New Roman"/>
          <w:sz w:val="26"/>
          <w:szCs w:val="26"/>
        </w:rPr>
        <w:t xml:space="preserve"> We take this opportunity to discuss </w:t>
      </w:r>
      <w:r w:rsidR="00ED5E82">
        <w:rPr>
          <w:rFonts w:ascii="Times New Roman" w:eastAsia="Times New Roman" w:hAnsi="Times New Roman" w:cs="Times New Roman"/>
          <w:sz w:val="26"/>
          <w:szCs w:val="26"/>
        </w:rPr>
        <w:t>Section 58.16</w:t>
      </w:r>
      <w:r w:rsidR="00A3687F">
        <w:rPr>
          <w:rFonts w:ascii="Times New Roman" w:eastAsia="Times New Roman" w:hAnsi="Times New Roman" w:cs="Times New Roman"/>
          <w:sz w:val="26"/>
          <w:szCs w:val="26"/>
        </w:rPr>
        <w:t>, which</w:t>
      </w:r>
      <w:r w:rsidR="00ED5E82">
        <w:rPr>
          <w:rFonts w:ascii="Times New Roman" w:eastAsia="Times New Roman" w:hAnsi="Times New Roman" w:cs="Times New Roman"/>
          <w:sz w:val="26"/>
          <w:szCs w:val="26"/>
        </w:rPr>
        <w:t xml:space="preserve"> relates to </w:t>
      </w:r>
      <w:r w:rsidR="009A4383">
        <w:rPr>
          <w:rFonts w:ascii="Times New Roman" w:eastAsia="Times New Roman" w:hAnsi="Times New Roman" w:cs="Times New Roman"/>
          <w:sz w:val="26"/>
          <w:szCs w:val="26"/>
        </w:rPr>
        <w:t>LIURP advisory panels.</w:t>
      </w:r>
      <w:r w:rsidR="00F77E2E">
        <w:rPr>
          <w:rFonts w:ascii="Times New Roman" w:eastAsia="Times New Roman" w:hAnsi="Times New Roman" w:cs="Times New Roman"/>
          <w:sz w:val="26"/>
          <w:szCs w:val="26"/>
        </w:rPr>
        <w:t xml:space="preserve">  Such panels are to provide consultation and advice to the utility regarding usage reduction services.</w:t>
      </w:r>
      <w:r w:rsidR="009A4383">
        <w:rPr>
          <w:rFonts w:ascii="Times New Roman" w:eastAsia="Times New Roman" w:hAnsi="Times New Roman" w:cs="Times New Roman"/>
          <w:sz w:val="26"/>
          <w:szCs w:val="26"/>
        </w:rPr>
        <w:t xml:space="preserve"> </w:t>
      </w:r>
      <w:r w:rsidR="00F77E2E">
        <w:rPr>
          <w:rFonts w:ascii="Times New Roman" w:eastAsia="Times New Roman" w:hAnsi="Times New Roman" w:cs="Times New Roman"/>
          <w:sz w:val="26"/>
          <w:szCs w:val="26"/>
        </w:rPr>
        <w:t xml:space="preserve">While only a LIURP advisory panel is required by regulation at </w:t>
      </w:r>
      <w:r w:rsidR="00F77E2E" w:rsidRPr="00B71819">
        <w:rPr>
          <w:rFonts w:ascii="Times New Roman" w:eastAsia="Times New Roman" w:hAnsi="Times New Roman" w:cs="Times New Roman"/>
          <w:sz w:val="26"/>
          <w:szCs w:val="26"/>
        </w:rPr>
        <w:t>§ 58.16</w:t>
      </w:r>
      <w:r w:rsidR="00F77E2E">
        <w:rPr>
          <w:rFonts w:ascii="Times New Roman" w:eastAsia="Times New Roman" w:hAnsi="Times New Roman" w:cs="Times New Roman"/>
          <w:sz w:val="26"/>
          <w:szCs w:val="26"/>
        </w:rPr>
        <w:t>, we believe such an advisory committee or panel could provide valuable stakeholder feedback on topics like outreach, coordination and implementation for all Universal Service programs</w:t>
      </w:r>
      <w:r w:rsidR="00F77E2E" w:rsidRPr="00B71819">
        <w:rPr>
          <w:rFonts w:ascii="Times New Roman" w:eastAsia="Times New Roman" w:hAnsi="Times New Roman" w:cs="Times New Roman"/>
          <w:sz w:val="26"/>
          <w:szCs w:val="26"/>
        </w:rPr>
        <w:t>.</w:t>
      </w:r>
      <w:r w:rsidR="00F77E2E">
        <w:rPr>
          <w:rFonts w:ascii="Times New Roman" w:eastAsia="Times New Roman" w:hAnsi="Times New Roman" w:cs="Times New Roman"/>
          <w:sz w:val="26"/>
          <w:szCs w:val="26"/>
        </w:rPr>
        <w:t xml:space="preserve">   </w:t>
      </w:r>
    </w:p>
    <w:p w:rsidR="009A4383" w:rsidRDefault="009A4383" w:rsidP="00EB7308">
      <w:pPr>
        <w:tabs>
          <w:tab w:val="left" w:pos="0"/>
        </w:tabs>
        <w:spacing w:after="0" w:line="360" w:lineRule="auto"/>
        <w:contextualSpacing/>
        <w:rPr>
          <w:rFonts w:ascii="Times New Roman" w:eastAsia="Times New Roman" w:hAnsi="Times New Roman" w:cs="Times New Roman"/>
          <w:sz w:val="26"/>
          <w:szCs w:val="26"/>
        </w:rPr>
      </w:pPr>
    </w:p>
    <w:p w:rsidR="006561CF" w:rsidRDefault="009A4383" w:rsidP="006561CF">
      <w:pPr>
        <w:tabs>
          <w:tab w:val="left" w:pos="0"/>
        </w:tabs>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i/>
          <w:sz w:val="26"/>
          <w:szCs w:val="26"/>
        </w:rPr>
        <w:lastRenderedPageBreak/>
        <w:t xml:space="preserve">Resolution: </w:t>
      </w:r>
      <w:r w:rsidR="00B71819">
        <w:rPr>
          <w:rFonts w:ascii="Times New Roman" w:eastAsia="Times New Roman" w:hAnsi="Times New Roman" w:cs="Times New Roman"/>
          <w:sz w:val="26"/>
          <w:szCs w:val="26"/>
        </w:rPr>
        <w:t>We a</w:t>
      </w:r>
      <w:r w:rsidR="00EE0D0F">
        <w:rPr>
          <w:rFonts w:ascii="Times New Roman" w:eastAsia="Times New Roman" w:hAnsi="Times New Roman" w:cs="Times New Roman"/>
          <w:sz w:val="26"/>
          <w:szCs w:val="26"/>
        </w:rPr>
        <w:t xml:space="preserve">gree </w:t>
      </w:r>
      <w:r w:rsidR="00F77E2E">
        <w:rPr>
          <w:rFonts w:ascii="Times New Roman" w:eastAsia="Times New Roman" w:hAnsi="Times New Roman" w:cs="Times New Roman"/>
          <w:sz w:val="26"/>
          <w:szCs w:val="26"/>
        </w:rPr>
        <w:t xml:space="preserve">with the commenters </w:t>
      </w:r>
      <w:r w:rsidR="00EE0D0F">
        <w:rPr>
          <w:rFonts w:ascii="Times New Roman" w:eastAsia="Times New Roman" w:hAnsi="Times New Roman" w:cs="Times New Roman"/>
          <w:sz w:val="26"/>
          <w:szCs w:val="26"/>
        </w:rPr>
        <w:t xml:space="preserve">that </w:t>
      </w:r>
      <w:r w:rsidR="00B71819">
        <w:rPr>
          <w:rFonts w:ascii="Times New Roman" w:eastAsia="Times New Roman" w:hAnsi="Times New Roman" w:cs="Times New Roman"/>
          <w:sz w:val="26"/>
          <w:szCs w:val="26"/>
        </w:rPr>
        <w:t xml:space="preserve">a </w:t>
      </w:r>
      <w:r w:rsidR="00EE0D0F">
        <w:rPr>
          <w:rFonts w:ascii="Times New Roman" w:eastAsia="Times New Roman" w:hAnsi="Times New Roman" w:cs="Times New Roman"/>
          <w:sz w:val="26"/>
          <w:szCs w:val="26"/>
        </w:rPr>
        <w:t>U</w:t>
      </w:r>
      <w:r w:rsidR="00B71819">
        <w:rPr>
          <w:rFonts w:ascii="Times New Roman" w:eastAsia="Times New Roman" w:hAnsi="Times New Roman" w:cs="Times New Roman"/>
          <w:sz w:val="26"/>
          <w:szCs w:val="26"/>
        </w:rPr>
        <w:t xml:space="preserve">niversal </w:t>
      </w:r>
      <w:r w:rsidR="00EE0D0F">
        <w:rPr>
          <w:rFonts w:ascii="Times New Roman" w:eastAsia="Times New Roman" w:hAnsi="Times New Roman" w:cs="Times New Roman"/>
          <w:sz w:val="26"/>
          <w:szCs w:val="26"/>
        </w:rPr>
        <w:t>S</w:t>
      </w:r>
      <w:r w:rsidR="00B71819">
        <w:rPr>
          <w:rFonts w:ascii="Times New Roman" w:eastAsia="Times New Roman" w:hAnsi="Times New Roman" w:cs="Times New Roman"/>
          <w:sz w:val="26"/>
          <w:szCs w:val="26"/>
        </w:rPr>
        <w:t>ervice</w:t>
      </w:r>
      <w:r w:rsidR="00EE0D0F">
        <w:rPr>
          <w:rFonts w:ascii="Times New Roman" w:eastAsia="Times New Roman" w:hAnsi="Times New Roman" w:cs="Times New Roman"/>
          <w:sz w:val="26"/>
          <w:szCs w:val="26"/>
        </w:rPr>
        <w:t xml:space="preserve"> Advisory Committ</w:t>
      </w:r>
      <w:r w:rsidR="00B35FE1">
        <w:rPr>
          <w:rFonts w:ascii="Times New Roman" w:eastAsia="Times New Roman" w:hAnsi="Times New Roman" w:cs="Times New Roman"/>
          <w:sz w:val="26"/>
          <w:szCs w:val="26"/>
        </w:rPr>
        <w:t xml:space="preserve">ee would be beneficial. </w:t>
      </w:r>
      <w:r>
        <w:rPr>
          <w:rFonts w:ascii="Times New Roman" w:eastAsia="Times New Roman" w:hAnsi="Times New Roman" w:cs="Times New Roman"/>
          <w:sz w:val="26"/>
          <w:szCs w:val="26"/>
        </w:rPr>
        <w:t xml:space="preserve"> </w:t>
      </w:r>
      <w:r w:rsidR="00B35FE1">
        <w:rPr>
          <w:rFonts w:ascii="Times New Roman" w:eastAsia="Times New Roman" w:hAnsi="Times New Roman" w:cs="Times New Roman"/>
          <w:sz w:val="26"/>
          <w:szCs w:val="26"/>
        </w:rPr>
        <w:t>We strongly encourage PGW to consider expanding the existing, but infrequently used, LIURP advisory panel to encompass all of the Universal Service programs.</w:t>
      </w:r>
      <w:r>
        <w:rPr>
          <w:rFonts w:ascii="Times New Roman" w:eastAsia="Times New Roman" w:hAnsi="Times New Roman" w:cs="Times New Roman"/>
          <w:sz w:val="26"/>
          <w:szCs w:val="26"/>
        </w:rPr>
        <w:t xml:space="preserve">  </w:t>
      </w:r>
      <w:r w:rsidR="00197314">
        <w:rPr>
          <w:rFonts w:ascii="Times New Roman" w:eastAsia="Times New Roman" w:hAnsi="Times New Roman" w:cs="Times New Roman"/>
          <w:sz w:val="26"/>
          <w:szCs w:val="26"/>
        </w:rPr>
        <w:t xml:space="preserve">  </w:t>
      </w:r>
      <w:r w:rsidR="00197314">
        <w:rPr>
          <w:rFonts w:ascii="Times New Roman" w:eastAsia="Times New Roman" w:hAnsi="Times New Roman" w:cs="Times New Roman"/>
          <w:i/>
          <w:sz w:val="26"/>
          <w:szCs w:val="26"/>
        </w:rPr>
        <w:t xml:space="preserve"> </w:t>
      </w:r>
    </w:p>
    <w:p w:rsidR="00F77E2E" w:rsidRDefault="00F364A9" w:rsidP="006561CF">
      <w:pPr>
        <w:tabs>
          <w:tab w:val="left" w:pos="0"/>
        </w:tabs>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p>
    <w:p w:rsidR="00F364A9" w:rsidRDefault="00F77E2E" w:rsidP="006561CF">
      <w:pPr>
        <w:tabs>
          <w:tab w:val="left" w:pos="0"/>
        </w:tabs>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F364A9">
        <w:rPr>
          <w:rFonts w:ascii="Times New Roman" w:eastAsia="Times New Roman" w:hAnsi="Times New Roman" w:cs="Times New Roman"/>
          <w:sz w:val="26"/>
          <w:szCs w:val="26"/>
        </w:rPr>
        <w:t>Section 58.18 relat</w:t>
      </w:r>
      <w:r w:rsidR="001273FD">
        <w:rPr>
          <w:rFonts w:ascii="Times New Roman" w:eastAsia="Times New Roman" w:hAnsi="Times New Roman" w:cs="Times New Roman"/>
          <w:sz w:val="26"/>
          <w:szCs w:val="26"/>
        </w:rPr>
        <w:t>es</w:t>
      </w:r>
      <w:r w:rsidR="00F364A9">
        <w:rPr>
          <w:rFonts w:ascii="Times New Roman" w:eastAsia="Times New Roman" w:hAnsi="Times New Roman" w:cs="Times New Roman"/>
          <w:sz w:val="26"/>
          <w:szCs w:val="26"/>
        </w:rPr>
        <w:t xml:space="preserve"> to exemptions</w:t>
      </w:r>
      <w:r w:rsidR="001273FD">
        <w:rPr>
          <w:rFonts w:ascii="Times New Roman" w:eastAsia="Times New Roman" w:hAnsi="Times New Roman" w:cs="Times New Roman"/>
          <w:sz w:val="26"/>
          <w:szCs w:val="26"/>
        </w:rPr>
        <w:t>, and</w:t>
      </w:r>
      <w:r w:rsidR="00F364A9">
        <w:rPr>
          <w:rFonts w:ascii="Times New Roman" w:eastAsia="Times New Roman" w:hAnsi="Times New Roman" w:cs="Times New Roman"/>
          <w:sz w:val="26"/>
          <w:szCs w:val="26"/>
        </w:rPr>
        <w:t xml:space="preserve"> specifies that a utility alleging special circumstances</w:t>
      </w:r>
      <w:r w:rsidR="004B028F">
        <w:rPr>
          <w:rFonts w:ascii="Times New Roman" w:eastAsia="Times New Roman" w:hAnsi="Times New Roman" w:cs="Times New Roman"/>
          <w:sz w:val="26"/>
          <w:szCs w:val="26"/>
        </w:rPr>
        <w:t>,</w:t>
      </w:r>
      <w:r w:rsidR="00F364A9">
        <w:rPr>
          <w:rFonts w:ascii="Times New Roman" w:eastAsia="Times New Roman" w:hAnsi="Times New Roman" w:cs="Times New Roman"/>
          <w:sz w:val="26"/>
          <w:szCs w:val="26"/>
        </w:rPr>
        <w:t xml:space="preserve"> may petition to exempt its usage reduction program from Chapter 58 of our regulations.  PGW requested a waiver pursuant to this section.</w:t>
      </w:r>
    </w:p>
    <w:p w:rsidR="00F364A9" w:rsidRDefault="00F364A9" w:rsidP="006561CF">
      <w:pPr>
        <w:tabs>
          <w:tab w:val="left" w:pos="0"/>
        </w:tabs>
        <w:spacing w:after="0" w:line="360" w:lineRule="auto"/>
        <w:contextualSpacing/>
        <w:rPr>
          <w:rFonts w:ascii="Times New Roman" w:eastAsia="Times New Roman" w:hAnsi="Times New Roman" w:cs="Times New Roman"/>
          <w:sz w:val="26"/>
          <w:szCs w:val="26"/>
        </w:rPr>
      </w:pPr>
    </w:p>
    <w:p w:rsidR="00F364A9" w:rsidRPr="00F364A9" w:rsidRDefault="00F364A9" w:rsidP="006561CF">
      <w:pPr>
        <w:tabs>
          <w:tab w:val="left" w:pos="0"/>
        </w:tabs>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i/>
          <w:sz w:val="26"/>
          <w:szCs w:val="26"/>
        </w:rPr>
        <w:t>Resolution</w:t>
      </w:r>
      <w:r>
        <w:rPr>
          <w:rFonts w:ascii="Times New Roman" w:eastAsia="Times New Roman" w:hAnsi="Times New Roman" w:cs="Times New Roman"/>
          <w:sz w:val="26"/>
          <w:szCs w:val="26"/>
        </w:rPr>
        <w:t xml:space="preserve">: </w:t>
      </w:r>
      <w:r w:rsidR="00C96E6B">
        <w:rPr>
          <w:rFonts w:ascii="Times New Roman" w:eastAsia="Times New Roman" w:hAnsi="Times New Roman" w:cs="Times New Roman"/>
          <w:sz w:val="26"/>
          <w:szCs w:val="26"/>
        </w:rPr>
        <w:t xml:space="preserve">Neither </w:t>
      </w:r>
      <w:r>
        <w:rPr>
          <w:rFonts w:ascii="Times New Roman" w:eastAsia="Times New Roman" w:hAnsi="Times New Roman" w:cs="Times New Roman"/>
          <w:sz w:val="26"/>
          <w:szCs w:val="26"/>
        </w:rPr>
        <w:t xml:space="preserve">PGW’s </w:t>
      </w:r>
      <w:r w:rsidR="00C96E6B">
        <w:rPr>
          <w:rFonts w:ascii="Times New Roman" w:eastAsia="Times New Roman" w:hAnsi="Times New Roman" w:cs="Times New Roman"/>
          <w:sz w:val="26"/>
          <w:szCs w:val="26"/>
        </w:rPr>
        <w:t>health and safety pilo</w:t>
      </w:r>
      <w:r w:rsidR="002768B2">
        <w:rPr>
          <w:rFonts w:ascii="Times New Roman" w:eastAsia="Times New Roman" w:hAnsi="Times New Roman" w:cs="Times New Roman"/>
          <w:sz w:val="26"/>
          <w:szCs w:val="26"/>
        </w:rPr>
        <w:t>t</w:t>
      </w:r>
      <w:r w:rsidR="00C96E6B">
        <w:rPr>
          <w:rFonts w:ascii="Times New Roman" w:eastAsia="Times New Roman" w:hAnsi="Times New Roman" w:cs="Times New Roman"/>
          <w:sz w:val="26"/>
          <w:szCs w:val="26"/>
        </w:rPr>
        <w:t xml:space="preserve"> nor its </w:t>
      </w:r>
      <w:r>
        <w:rPr>
          <w:rFonts w:ascii="Times New Roman" w:eastAsia="Times New Roman" w:hAnsi="Times New Roman" w:cs="Times New Roman"/>
          <w:sz w:val="26"/>
          <w:szCs w:val="26"/>
        </w:rPr>
        <w:t xml:space="preserve">CRP Home Comfort program is exempt from </w:t>
      </w:r>
      <w:r w:rsidR="002768B2">
        <w:rPr>
          <w:rFonts w:ascii="Times New Roman" w:eastAsia="Times New Roman" w:hAnsi="Times New Roman" w:cs="Times New Roman"/>
          <w:sz w:val="26"/>
          <w:szCs w:val="26"/>
        </w:rPr>
        <w:t xml:space="preserve">Chapter </w:t>
      </w:r>
      <w:r w:rsidR="00C96E6B">
        <w:rPr>
          <w:rFonts w:ascii="Times New Roman" w:eastAsia="Times New Roman" w:hAnsi="Times New Roman" w:cs="Times New Roman"/>
          <w:sz w:val="26"/>
          <w:szCs w:val="26"/>
        </w:rPr>
        <w:t>58 except as specifically and explicitly provided herein</w:t>
      </w:r>
      <w:r w:rsidR="003E0724">
        <w:rPr>
          <w:rFonts w:ascii="Times New Roman" w:eastAsia="Times New Roman" w:hAnsi="Times New Roman" w:cs="Times New Roman"/>
          <w:sz w:val="26"/>
          <w:szCs w:val="26"/>
        </w:rPr>
        <w:t>.</w:t>
      </w:r>
      <w:r w:rsidR="002768B2">
        <w:rPr>
          <w:rFonts w:ascii="Times New Roman" w:eastAsia="Times New Roman" w:hAnsi="Times New Roman" w:cs="Times New Roman"/>
          <w:sz w:val="26"/>
          <w:szCs w:val="26"/>
        </w:rPr>
        <w:t xml:space="preserve">  If PGW wishes any waiver to carry forward to a future USECP in general or a future LIURP or pilot in particular, it will have to assert that preference in its future proposals.</w:t>
      </w:r>
    </w:p>
    <w:p w:rsidR="00F364A9" w:rsidRDefault="00F364A9" w:rsidP="006561CF">
      <w:pPr>
        <w:tabs>
          <w:tab w:val="left" w:pos="0"/>
        </w:tabs>
        <w:spacing w:after="0" w:line="360" w:lineRule="auto"/>
        <w:contextualSpacing/>
        <w:rPr>
          <w:rFonts w:ascii="Times New Roman" w:eastAsia="Times New Roman" w:hAnsi="Times New Roman" w:cs="Times New Roman"/>
          <w:sz w:val="26"/>
          <w:szCs w:val="26"/>
        </w:rPr>
      </w:pPr>
    </w:p>
    <w:p w:rsidR="006561CF" w:rsidRPr="002673DB" w:rsidRDefault="006561CF" w:rsidP="006561CF">
      <w:pPr>
        <w:keepNext/>
        <w:tabs>
          <w:tab w:val="left" w:pos="0"/>
        </w:tabs>
        <w:spacing w:after="0" w:line="360" w:lineRule="auto"/>
        <w:contextualSpacing/>
        <w:rPr>
          <w:rFonts w:ascii="Times New Roman" w:eastAsia="Times New Roman" w:hAnsi="Times New Roman" w:cs="Times New Roman"/>
          <w:sz w:val="26"/>
          <w:szCs w:val="26"/>
        </w:rPr>
      </w:pPr>
      <w:r w:rsidRPr="003A7176">
        <w:rPr>
          <w:rFonts w:ascii="Times New Roman" w:eastAsia="Times New Roman" w:hAnsi="Times New Roman" w:cs="Times New Roman"/>
          <w:i/>
          <w:sz w:val="26"/>
          <w:szCs w:val="26"/>
        </w:rPr>
        <w:t>d.  Conservation Incentive Credits Pilot</w:t>
      </w:r>
    </w:p>
    <w:p w:rsidR="006561CF" w:rsidRDefault="006561CF" w:rsidP="006561CF">
      <w:pPr>
        <w:keepNext/>
        <w:tabs>
          <w:tab w:val="left" w:pos="0"/>
        </w:tabs>
        <w:spacing w:after="0" w:line="360" w:lineRule="auto"/>
        <w:contextualSpacing/>
        <w:rPr>
          <w:rFonts w:ascii="Times New Roman" w:eastAsia="Times New Roman" w:hAnsi="Times New Roman" w:cs="Times New Roman"/>
          <w:i/>
          <w:sz w:val="26"/>
          <w:szCs w:val="26"/>
        </w:rPr>
      </w:pPr>
    </w:p>
    <w:p w:rsidR="006561CF" w:rsidRDefault="006561CF" w:rsidP="006561CF">
      <w:pPr>
        <w:tabs>
          <w:tab w:val="left" w:pos="0"/>
        </w:tabs>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i/>
          <w:sz w:val="26"/>
          <w:szCs w:val="26"/>
        </w:rPr>
        <w:tab/>
      </w:r>
      <w:r>
        <w:rPr>
          <w:rFonts w:ascii="Times New Roman" w:eastAsia="Times New Roman" w:hAnsi="Times New Roman" w:cs="Times New Roman"/>
          <w:sz w:val="26"/>
          <w:szCs w:val="26"/>
        </w:rPr>
        <w:t xml:space="preserve">PGW provides a general description of the Conservation Incentive Credits Pilot, which rewards those customers who reduce their weather normalized usage by </w:t>
      </w:r>
      <w:r w:rsidR="004B783F">
        <w:rPr>
          <w:rFonts w:ascii="Times New Roman" w:eastAsia="Times New Roman" w:hAnsi="Times New Roman" w:cs="Times New Roman"/>
          <w:sz w:val="26"/>
          <w:szCs w:val="26"/>
        </w:rPr>
        <w:t>10%</w:t>
      </w:r>
      <w:r>
        <w:rPr>
          <w:rFonts w:ascii="Times New Roman" w:eastAsia="Times New Roman" w:hAnsi="Times New Roman" w:cs="Times New Roman"/>
          <w:sz w:val="26"/>
          <w:szCs w:val="26"/>
        </w:rPr>
        <w:t xml:space="preserve"> or more, during the period of November through April.  Amended Proposed 2017-2020 Plan at 25.  This pilot is available to CRP customers who </w:t>
      </w:r>
      <w:r w:rsidRPr="00D16269">
        <w:rPr>
          <w:rFonts w:ascii="Times New Roman" w:eastAsia="Times New Roman" w:hAnsi="Times New Roman" w:cs="Times New Roman"/>
          <w:b/>
          <w:i/>
          <w:sz w:val="26"/>
          <w:szCs w:val="26"/>
        </w:rPr>
        <w:t>did not</w:t>
      </w:r>
      <w:r>
        <w:rPr>
          <w:rFonts w:ascii="Times New Roman" w:eastAsia="Times New Roman" w:hAnsi="Times New Roman" w:cs="Times New Roman"/>
          <w:sz w:val="26"/>
          <w:szCs w:val="26"/>
        </w:rPr>
        <w:t xml:space="preserve"> receive PGW weatherization services in the prior two years and provides an incentive of a $100 credit on their bill if they achieve a reduction of 10% during the specified time period.  The pilot is also available to those CRP customers who </w:t>
      </w:r>
      <w:r w:rsidRPr="00D16269">
        <w:rPr>
          <w:rFonts w:ascii="Times New Roman" w:eastAsia="Times New Roman" w:hAnsi="Times New Roman" w:cs="Times New Roman"/>
          <w:b/>
          <w:i/>
          <w:sz w:val="26"/>
          <w:szCs w:val="26"/>
        </w:rPr>
        <w:t>did</w:t>
      </w:r>
      <w:r>
        <w:rPr>
          <w:rFonts w:ascii="Times New Roman" w:eastAsia="Times New Roman" w:hAnsi="Times New Roman" w:cs="Times New Roman"/>
          <w:sz w:val="26"/>
          <w:szCs w:val="26"/>
        </w:rPr>
        <w:t xml:space="preserve"> receive weatherization in the prior two years, but those customers must achieve a reduction of 20% or better during the specified period to receive the $100 credit on their bill.  Amended Proposed 2017-2020 Plan at 25.  PGW indicates that only customers who are on CRP for the entire duration of the pilot are eligible.  PGW also states that it has issued communications to encourage participation in the pilot and that it will monitor the program. </w:t>
      </w:r>
    </w:p>
    <w:p w:rsidR="006561CF" w:rsidRDefault="006561CF" w:rsidP="006561CF">
      <w:pPr>
        <w:tabs>
          <w:tab w:val="left" w:pos="0"/>
        </w:tabs>
        <w:spacing w:after="0" w:line="360" w:lineRule="auto"/>
        <w:contextualSpacing/>
        <w:rPr>
          <w:rFonts w:ascii="Times New Roman" w:eastAsia="Times New Roman" w:hAnsi="Times New Roman" w:cs="Times New Roman"/>
          <w:sz w:val="26"/>
          <w:szCs w:val="26"/>
        </w:rPr>
      </w:pPr>
    </w:p>
    <w:p w:rsidR="008A56C1" w:rsidRDefault="00831032" w:rsidP="006561CF">
      <w:pPr>
        <w:tabs>
          <w:tab w:val="left" w:pos="0"/>
        </w:tabs>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ab/>
        <w:t>In the Tentative Order, we asked PGW</w:t>
      </w:r>
      <w:r w:rsidR="003F0A36">
        <w:rPr>
          <w:rFonts w:ascii="Times New Roman" w:eastAsia="Times New Roman" w:hAnsi="Times New Roman" w:cs="Times New Roman"/>
          <w:sz w:val="26"/>
          <w:szCs w:val="26"/>
        </w:rPr>
        <w:t xml:space="preserve"> to provide additional details</w:t>
      </w:r>
      <w:r>
        <w:rPr>
          <w:rFonts w:ascii="Times New Roman" w:eastAsia="Times New Roman" w:hAnsi="Times New Roman" w:cs="Times New Roman"/>
          <w:sz w:val="26"/>
          <w:szCs w:val="26"/>
        </w:rPr>
        <w:t xml:space="preserve"> about this pilot program</w:t>
      </w:r>
      <w:r w:rsidR="003F0A36">
        <w:rPr>
          <w:rFonts w:ascii="Times New Roman" w:eastAsia="Times New Roman" w:hAnsi="Times New Roman" w:cs="Times New Roman"/>
          <w:sz w:val="26"/>
          <w:szCs w:val="26"/>
        </w:rPr>
        <w:t>.  Specifically,</w:t>
      </w:r>
      <w:r w:rsidR="006561CF">
        <w:rPr>
          <w:rFonts w:ascii="Times New Roman" w:eastAsia="Times New Roman" w:hAnsi="Times New Roman" w:cs="Times New Roman"/>
          <w:sz w:val="26"/>
          <w:szCs w:val="26"/>
        </w:rPr>
        <w:t xml:space="preserve"> when the pilot began, any budgetary restrictions, estimated (or known) number of participants, results to date (if it has already begun), and to describe the method and outreach of the communications</w:t>
      </w:r>
      <w:r w:rsidR="00FA45FA">
        <w:rPr>
          <w:rFonts w:ascii="Times New Roman" w:eastAsia="Times New Roman" w:hAnsi="Times New Roman" w:cs="Times New Roman"/>
          <w:sz w:val="26"/>
          <w:szCs w:val="26"/>
        </w:rPr>
        <w:t xml:space="preserve"> for the pilot</w:t>
      </w:r>
      <w:r w:rsidR="006561CF">
        <w:rPr>
          <w:rFonts w:ascii="Times New Roman" w:eastAsia="Times New Roman" w:hAnsi="Times New Roman" w:cs="Times New Roman"/>
          <w:sz w:val="26"/>
          <w:szCs w:val="26"/>
        </w:rPr>
        <w:t xml:space="preserve">. </w:t>
      </w:r>
    </w:p>
    <w:p w:rsidR="008A56C1" w:rsidRDefault="008A56C1" w:rsidP="006561CF">
      <w:pPr>
        <w:tabs>
          <w:tab w:val="left" w:pos="0"/>
        </w:tabs>
        <w:spacing w:after="0" w:line="360" w:lineRule="auto"/>
        <w:contextualSpacing/>
        <w:rPr>
          <w:rFonts w:ascii="Times New Roman" w:eastAsia="Times New Roman" w:hAnsi="Times New Roman" w:cs="Times New Roman"/>
          <w:sz w:val="26"/>
          <w:szCs w:val="26"/>
        </w:rPr>
      </w:pPr>
    </w:p>
    <w:p w:rsidR="00AE14AB" w:rsidRDefault="008A56C1" w:rsidP="006561CF">
      <w:pPr>
        <w:tabs>
          <w:tab w:val="left" w:pos="0"/>
        </w:tabs>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AA678A">
        <w:rPr>
          <w:rFonts w:ascii="Times New Roman" w:eastAsia="Times New Roman" w:hAnsi="Times New Roman" w:cs="Times New Roman"/>
          <w:sz w:val="26"/>
          <w:szCs w:val="26"/>
        </w:rPr>
        <w:t xml:space="preserve">PGW states that the Conservation Incentive Pilot began in </w:t>
      </w:r>
      <w:r w:rsidR="004B783F">
        <w:rPr>
          <w:rFonts w:ascii="Times New Roman" w:eastAsia="Times New Roman" w:hAnsi="Times New Roman" w:cs="Times New Roman"/>
          <w:sz w:val="26"/>
          <w:szCs w:val="26"/>
        </w:rPr>
        <w:t xml:space="preserve">the </w:t>
      </w:r>
      <w:r w:rsidR="00AA678A">
        <w:rPr>
          <w:rFonts w:ascii="Times New Roman" w:eastAsia="Times New Roman" w:hAnsi="Times New Roman" w:cs="Times New Roman"/>
          <w:sz w:val="26"/>
          <w:szCs w:val="26"/>
        </w:rPr>
        <w:t>Fall of 2014 and included advance mailing to all CRP customers</w:t>
      </w:r>
      <w:r w:rsidR="00C97892">
        <w:rPr>
          <w:rFonts w:ascii="Times New Roman" w:eastAsia="Times New Roman" w:hAnsi="Times New Roman" w:cs="Times New Roman"/>
          <w:sz w:val="26"/>
          <w:szCs w:val="26"/>
        </w:rPr>
        <w:t xml:space="preserve"> to notify them of potential eligibility, describe the program’s incentive, and provide conservation tips</w:t>
      </w:r>
      <w:r w:rsidR="00AA678A">
        <w:rPr>
          <w:rFonts w:ascii="Times New Roman" w:eastAsia="Times New Roman" w:hAnsi="Times New Roman" w:cs="Times New Roman"/>
          <w:sz w:val="26"/>
          <w:szCs w:val="26"/>
        </w:rPr>
        <w:t xml:space="preserve">. </w:t>
      </w:r>
      <w:r w:rsidR="004B783F">
        <w:rPr>
          <w:rFonts w:ascii="Times New Roman" w:eastAsia="Times New Roman" w:hAnsi="Times New Roman" w:cs="Times New Roman"/>
          <w:sz w:val="26"/>
          <w:szCs w:val="26"/>
        </w:rPr>
        <w:t xml:space="preserve"> </w:t>
      </w:r>
      <w:r w:rsidR="00AA678A">
        <w:rPr>
          <w:rFonts w:ascii="Times New Roman" w:eastAsia="Times New Roman" w:hAnsi="Times New Roman" w:cs="Times New Roman"/>
          <w:sz w:val="26"/>
          <w:szCs w:val="26"/>
        </w:rPr>
        <w:t xml:space="preserve">PGW notes there </w:t>
      </w:r>
      <w:r w:rsidR="005D3EED">
        <w:rPr>
          <w:rFonts w:ascii="Times New Roman" w:eastAsia="Times New Roman" w:hAnsi="Times New Roman" w:cs="Times New Roman"/>
          <w:sz w:val="26"/>
          <w:szCs w:val="26"/>
        </w:rPr>
        <w:t xml:space="preserve">is no budgetary restriction on the pilot, and there </w:t>
      </w:r>
      <w:r w:rsidR="00AA678A">
        <w:rPr>
          <w:rFonts w:ascii="Times New Roman" w:eastAsia="Times New Roman" w:hAnsi="Times New Roman" w:cs="Times New Roman"/>
          <w:sz w:val="26"/>
          <w:szCs w:val="26"/>
        </w:rPr>
        <w:t xml:space="preserve">has been one pay-out to 6,375 customers, </w:t>
      </w:r>
      <w:r w:rsidR="005D3EED">
        <w:rPr>
          <w:rFonts w:ascii="Times New Roman" w:eastAsia="Times New Roman" w:hAnsi="Times New Roman" w:cs="Times New Roman"/>
          <w:sz w:val="26"/>
          <w:szCs w:val="26"/>
        </w:rPr>
        <w:t>e</w:t>
      </w:r>
      <w:r w:rsidR="00AA678A">
        <w:rPr>
          <w:rFonts w:ascii="Times New Roman" w:eastAsia="Times New Roman" w:hAnsi="Times New Roman" w:cs="Times New Roman"/>
          <w:sz w:val="26"/>
          <w:szCs w:val="26"/>
        </w:rPr>
        <w:t>ach</w:t>
      </w:r>
      <w:r w:rsidR="005D3EED">
        <w:rPr>
          <w:rFonts w:ascii="Times New Roman" w:eastAsia="Times New Roman" w:hAnsi="Times New Roman" w:cs="Times New Roman"/>
          <w:sz w:val="26"/>
          <w:szCs w:val="26"/>
        </w:rPr>
        <w:t xml:space="preserve"> of whom</w:t>
      </w:r>
      <w:r w:rsidR="00AA678A">
        <w:rPr>
          <w:rFonts w:ascii="Times New Roman" w:eastAsia="Times New Roman" w:hAnsi="Times New Roman" w:cs="Times New Roman"/>
          <w:sz w:val="26"/>
          <w:szCs w:val="26"/>
        </w:rPr>
        <w:t xml:space="preserve"> received a $100 incentive. </w:t>
      </w:r>
      <w:r w:rsidR="00AE14AB">
        <w:rPr>
          <w:rFonts w:ascii="Times New Roman" w:eastAsia="Times New Roman" w:hAnsi="Times New Roman" w:cs="Times New Roman"/>
          <w:sz w:val="26"/>
          <w:szCs w:val="26"/>
        </w:rPr>
        <w:t xml:space="preserve"> PGW indicates that there </w:t>
      </w:r>
      <w:r w:rsidR="005D3EED">
        <w:rPr>
          <w:rFonts w:ascii="Times New Roman" w:eastAsia="Times New Roman" w:hAnsi="Times New Roman" w:cs="Times New Roman"/>
          <w:sz w:val="26"/>
          <w:szCs w:val="26"/>
        </w:rPr>
        <w:t>i</w:t>
      </w:r>
      <w:r w:rsidR="00AE14AB">
        <w:rPr>
          <w:rFonts w:ascii="Times New Roman" w:eastAsia="Times New Roman" w:hAnsi="Times New Roman" w:cs="Times New Roman"/>
          <w:sz w:val="26"/>
          <w:szCs w:val="26"/>
        </w:rPr>
        <w:t>s not sufficient information to evaluate the pilot and has proposed to continue the program through the 2017-2020 USECP</w:t>
      </w:r>
      <w:r w:rsidR="004B783F">
        <w:rPr>
          <w:rFonts w:ascii="Times New Roman" w:eastAsia="Times New Roman" w:hAnsi="Times New Roman" w:cs="Times New Roman"/>
          <w:sz w:val="26"/>
          <w:szCs w:val="26"/>
        </w:rPr>
        <w:t xml:space="preserve">.  PGW </w:t>
      </w:r>
      <w:r w:rsidR="00C96E6B">
        <w:rPr>
          <w:rFonts w:ascii="Times New Roman" w:eastAsia="Times New Roman" w:hAnsi="Times New Roman" w:cs="Times New Roman"/>
          <w:sz w:val="26"/>
          <w:szCs w:val="26"/>
        </w:rPr>
        <w:t xml:space="preserve">agreed to </w:t>
      </w:r>
      <w:r w:rsidR="00AE14AB">
        <w:rPr>
          <w:rFonts w:ascii="Times New Roman" w:eastAsia="Times New Roman" w:hAnsi="Times New Roman" w:cs="Times New Roman"/>
          <w:sz w:val="26"/>
          <w:szCs w:val="26"/>
        </w:rPr>
        <w:t>conduct a stakeholder meeting</w:t>
      </w:r>
      <w:r w:rsidR="005D3EED">
        <w:rPr>
          <w:rFonts w:ascii="Times New Roman" w:eastAsia="Times New Roman" w:hAnsi="Times New Roman" w:cs="Times New Roman"/>
          <w:sz w:val="26"/>
          <w:szCs w:val="26"/>
        </w:rPr>
        <w:t xml:space="preserve"> in 2019 or 2020</w:t>
      </w:r>
      <w:r w:rsidR="00AE14AB">
        <w:rPr>
          <w:rFonts w:ascii="Times New Roman" w:eastAsia="Times New Roman" w:hAnsi="Times New Roman" w:cs="Times New Roman"/>
          <w:sz w:val="26"/>
          <w:szCs w:val="26"/>
        </w:rPr>
        <w:t xml:space="preserve"> to examine the program and discuss possible next steps. </w:t>
      </w:r>
      <w:r w:rsidR="000254D2">
        <w:rPr>
          <w:rFonts w:ascii="Times New Roman" w:eastAsia="Times New Roman" w:hAnsi="Times New Roman" w:cs="Times New Roman"/>
          <w:sz w:val="26"/>
          <w:szCs w:val="26"/>
        </w:rPr>
        <w:t xml:space="preserve"> </w:t>
      </w:r>
      <w:r w:rsidR="00AA678A">
        <w:rPr>
          <w:rFonts w:ascii="Times New Roman" w:eastAsia="Times New Roman" w:hAnsi="Times New Roman" w:cs="Times New Roman"/>
          <w:sz w:val="26"/>
          <w:szCs w:val="26"/>
        </w:rPr>
        <w:t>PGW Supplemental Info</w:t>
      </w:r>
      <w:r w:rsidR="002C7D9B">
        <w:rPr>
          <w:rFonts w:ascii="Times New Roman" w:eastAsia="Times New Roman" w:hAnsi="Times New Roman" w:cs="Times New Roman"/>
          <w:sz w:val="26"/>
          <w:szCs w:val="26"/>
        </w:rPr>
        <w:t>r</w:t>
      </w:r>
      <w:r w:rsidR="000254D2">
        <w:rPr>
          <w:rFonts w:ascii="Times New Roman" w:eastAsia="Times New Roman" w:hAnsi="Times New Roman" w:cs="Times New Roman"/>
          <w:sz w:val="26"/>
          <w:szCs w:val="26"/>
        </w:rPr>
        <w:t>mation</w:t>
      </w:r>
      <w:r w:rsidR="00AA678A">
        <w:rPr>
          <w:rFonts w:ascii="Times New Roman" w:eastAsia="Times New Roman" w:hAnsi="Times New Roman" w:cs="Times New Roman"/>
          <w:sz w:val="26"/>
          <w:szCs w:val="26"/>
        </w:rPr>
        <w:t xml:space="preserve"> at 22</w:t>
      </w:r>
      <w:r w:rsidR="00AE14AB">
        <w:rPr>
          <w:rFonts w:ascii="Times New Roman" w:eastAsia="Times New Roman" w:hAnsi="Times New Roman" w:cs="Times New Roman"/>
          <w:sz w:val="26"/>
          <w:szCs w:val="26"/>
        </w:rPr>
        <w:t>-23</w:t>
      </w:r>
      <w:r w:rsidR="00AA678A">
        <w:rPr>
          <w:rFonts w:ascii="Times New Roman" w:eastAsia="Times New Roman" w:hAnsi="Times New Roman" w:cs="Times New Roman"/>
          <w:sz w:val="26"/>
          <w:szCs w:val="26"/>
        </w:rPr>
        <w:t>.</w:t>
      </w:r>
    </w:p>
    <w:p w:rsidR="00AE14AB" w:rsidRDefault="00AE14AB" w:rsidP="006561CF">
      <w:pPr>
        <w:tabs>
          <w:tab w:val="left" w:pos="0"/>
        </w:tabs>
        <w:spacing w:after="0" w:line="360" w:lineRule="auto"/>
        <w:contextualSpacing/>
        <w:rPr>
          <w:rFonts w:ascii="Times New Roman" w:eastAsia="Times New Roman" w:hAnsi="Times New Roman" w:cs="Times New Roman"/>
          <w:sz w:val="26"/>
          <w:szCs w:val="26"/>
        </w:rPr>
      </w:pPr>
    </w:p>
    <w:p w:rsidR="00AE14AB" w:rsidRDefault="00AE14AB" w:rsidP="006561CF">
      <w:pPr>
        <w:tabs>
          <w:tab w:val="left" w:pos="0"/>
        </w:tabs>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CAUSE-PA supports the </w:t>
      </w:r>
      <w:r w:rsidR="004B783F" w:rsidRPr="004B783F">
        <w:rPr>
          <w:rFonts w:ascii="Times New Roman" w:eastAsia="Times New Roman" w:hAnsi="Times New Roman" w:cs="Times New Roman"/>
          <w:sz w:val="26"/>
          <w:szCs w:val="26"/>
        </w:rPr>
        <w:t>Conservation Incentive Pilot</w:t>
      </w:r>
      <w:r>
        <w:rPr>
          <w:rFonts w:ascii="Times New Roman" w:eastAsia="Times New Roman" w:hAnsi="Times New Roman" w:cs="Times New Roman"/>
          <w:sz w:val="26"/>
          <w:szCs w:val="26"/>
        </w:rPr>
        <w:t xml:space="preserve">. </w:t>
      </w:r>
      <w:r w:rsidR="000254D2">
        <w:rPr>
          <w:rFonts w:ascii="Times New Roman" w:eastAsia="Times New Roman" w:hAnsi="Times New Roman" w:cs="Times New Roman"/>
          <w:sz w:val="26"/>
          <w:szCs w:val="26"/>
        </w:rPr>
        <w:t xml:space="preserve"> CAUSE-PA </w:t>
      </w:r>
      <w:r>
        <w:rPr>
          <w:rFonts w:ascii="Times New Roman" w:eastAsia="Times New Roman" w:hAnsi="Times New Roman" w:cs="Times New Roman"/>
          <w:sz w:val="26"/>
          <w:szCs w:val="26"/>
        </w:rPr>
        <w:t>Comments at</w:t>
      </w:r>
      <w:r w:rsidR="00665A54">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27. </w:t>
      </w:r>
    </w:p>
    <w:p w:rsidR="00AE14AB" w:rsidRDefault="00AE14AB" w:rsidP="006561CF">
      <w:pPr>
        <w:tabs>
          <w:tab w:val="left" w:pos="0"/>
        </w:tabs>
        <w:spacing w:after="0" w:line="360" w:lineRule="auto"/>
        <w:contextualSpacing/>
        <w:rPr>
          <w:rFonts w:ascii="Times New Roman" w:eastAsia="Times New Roman" w:hAnsi="Times New Roman" w:cs="Times New Roman"/>
          <w:sz w:val="26"/>
          <w:szCs w:val="26"/>
        </w:rPr>
      </w:pPr>
    </w:p>
    <w:p w:rsidR="006561CF" w:rsidRDefault="00AE14AB" w:rsidP="006561CF">
      <w:pPr>
        <w:tabs>
          <w:tab w:val="left" w:pos="0"/>
        </w:tabs>
        <w:spacing w:after="0" w:line="360" w:lineRule="auto"/>
        <w:contextualSpacing/>
        <w:rPr>
          <w:rFonts w:ascii="Times New Roman" w:eastAsia="Times New Roman" w:hAnsi="Times New Roman" w:cs="Times New Roman"/>
          <w:sz w:val="26"/>
          <w:szCs w:val="26"/>
        </w:rPr>
      </w:pPr>
      <w:r w:rsidRPr="00AE14AB">
        <w:rPr>
          <w:rFonts w:ascii="Times New Roman" w:eastAsia="Times New Roman" w:hAnsi="Times New Roman" w:cs="Times New Roman"/>
          <w:i/>
          <w:sz w:val="26"/>
          <w:szCs w:val="26"/>
        </w:rPr>
        <w:t>Resolution:</w:t>
      </w:r>
      <w:r>
        <w:rPr>
          <w:rFonts w:ascii="Times New Roman" w:eastAsia="Times New Roman" w:hAnsi="Times New Roman" w:cs="Times New Roman"/>
          <w:sz w:val="26"/>
          <w:szCs w:val="26"/>
        </w:rPr>
        <w:t xml:space="preserve"> We are satisfied with the additional detail </w:t>
      </w:r>
      <w:r w:rsidR="002C7D9B">
        <w:rPr>
          <w:rFonts w:ascii="Times New Roman" w:eastAsia="Times New Roman" w:hAnsi="Times New Roman" w:cs="Times New Roman"/>
          <w:sz w:val="26"/>
          <w:szCs w:val="26"/>
        </w:rPr>
        <w:t xml:space="preserve">that </w:t>
      </w:r>
      <w:r>
        <w:rPr>
          <w:rFonts w:ascii="Times New Roman" w:eastAsia="Times New Roman" w:hAnsi="Times New Roman" w:cs="Times New Roman"/>
          <w:sz w:val="26"/>
          <w:szCs w:val="26"/>
        </w:rPr>
        <w:t xml:space="preserve">PGW has provided regarding the Conservation Incentive Pilot and agree that there is currently insufficient data to analyze and evaluate the program. </w:t>
      </w:r>
      <w:r w:rsidR="004B783F">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We will allow PGW to continue the pilot through the 2017-2020 USECP</w:t>
      </w:r>
      <w:r w:rsidR="002C7D9B">
        <w:rPr>
          <w:rFonts w:ascii="Times New Roman" w:eastAsia="Times New Roman" w:hAnsi="Times New Roman" w:cs="Times New Roman"/>
          <w:sz w:val="26"/>
          <w:szCs w:val="26"/>
        </w:rPr>
        <w:t>, but direct PGW to report a status update summary, including the number of participants, total dollars paid out and total MCFs saved each year, with the annual LIURP reporting due to the Commission annually by April 30th</w:t>
      </w:r>
      <w:r w:rsidR="004B783F">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PGW </w:t>
      </w:r>
      <w:r w:rsidR="004B783F">
        <w:rPr>
          <w:rFonts w:ascii="Times New Roman" w:eastAsia="Times New Roman" w:hAnsi="Times New Roman" w:cs="Times New Roman"/>
          <w:sz w:val="26"/>
          <w:szCs w:val="26"/>
        </w:rPr>
        <w:t xml:space="preserve">shall </w:t>
      </w:r>
      <w:r w:rsidR="002C7D9B">
        <w:rPr>
          <w:rFonts w:ascii="Times New Roman" w:eastAsia="Times New Roman" w:hAnsi="Times New Roman" w:cs="Times New Roman"/>
          <w:sz w:val="26"/>
          <w:szCs w:val="26"/>
        </w:rPr>
        <w:t xml:space="preserve">also </w:t>
      </w:r>
      <w:r>
        <w:rPr>
          <w:rFonts w:ascii="Times New Roman" w:eastAsia="Times New Roman" w:hAnsi="Times New Roman" w:cs="Times New Roman"/>
          <w:sz w:val="26"/>
          <w:szCs w:val="26"/>
        </w:rPr>
        <w:t xml:space="preserve">notify the Commission and other stakeholders when the </w:t>
      </w:r>
      <w:r w:rsidR="00385D4D">
        <w:rPr>
          <w:rFonts w:ascii="Times New Roman" w:eastAsia="Times New Roman" w:hAnsi="Times New Roman" w:cs="Times New Roman"/>
          <w:sz w:val="26"/>
          <w:szCs w:val="26"/>
        </w:rPr>
        <w:t xml:space="preserve">proposed </w:t>
      </w:r>
      <w:r>
        <w:rPr>
          <w:rFonts w:ascii="Times New Roman" w:eastAsia="Times New Roman" w:hAnsi="Times New Roman" w:cs="Times New Roman"/>
          <w:sz w:val="26"/>
          <w:szCs w:val="26"/>
        </w:rPr>
        <w:t xml:space="preserve">meeting date is scheduled. </w:t>
      </w:r>
      <w:r w:rsidR="00AA678A">
        <w:rPr>
          <w:rFonts w:ascii="Times New Roman" w:eastAsia="Times New Roman" w:hAnsi="Times New Roman" w:cs="Times New Roman"/>
          <w:sz w:val="26"/>
          <w:szCs w:val="26"/>
        </w:rPr>
        <w:t xml:space="preserve"> </w:t>
      </w:r>
      <w:r w:rsidR="006561CF">
        <w:rPr>
          <w:rFonts w:ascii="Times New Roman" w:eastAsia="Times New Roman" w:hAnsi="Times New Roman" w:cs="Times New Roman"/>
          <w:sz w:val="26"/>
          <w:szCs w:val="26"/>
        </w:rPr>
        <w:t xml:space="preserve"> </w:t>
      </w:r>
    </w:p>
    <w:p w:rsidR="00831032" w:rsidRDefault="00831032" w:rsidP="006561CF">
      <w:pPr>
        <w:tabs>
          <w:tab w:val="left" w:pos="0"/>
        </w:tabs>
        <w:spacing w:after="0" w:line="360" w:lineRule="auto"/>
        <w:contextualSpacing/>
        <w:rPr>
          <w:rFonts w:ascii="Times New Roman" w:eastAsia="Times New Roman" w:hAnsi="Times New Roman" w:cs="Times New Roman"/>
          <w:sz w:val="26"/>
          <w:szCs w:val="26"/>
        </w:rPr>
      </w:pPr>
    </w:p>
    <w:p w:rsidR="006561CF" w:rsidRDefault="006561CF" w:rsidP="006561CF">
      <w:pPr>
        <w:keepNext/>
        <w:tabs>
          <w:tab w:val="left" w:pos="0"/>
        </w:tabs>
        <w:spacing w:after="0" w:line="360" w:lineRule="auto"/>
        <w:contextualSpacing/>
        <w:rPr>
          <w:rFonts w:ascii="Times New Roman" w:eastAsia="Times New Roman" w:hAnsi="Times New Roman" w:cs="Times New Roman"/>
          <w:i/>
          <w:sz w:val="26"/>
          <w:szCs w:val="26"/>
        </w:rPr>
      </w:pPr>
      <w:r w:rsidRPr="003A7176">
        <w:rPr>
          <w:rFonts w:ascii="Times New Roman" w:eastAsia="Times New Roman" w:hAnsi="Times New Roman" w:cs="Times New Roman"/>
          <w:i/>
          <w:sz w:val="26"/>
          <w:szCs w:val="26"/>
        </w:rPr>
        <w:lastRenderedPageBreak/>
        <w:t>e.  LIME</w:t>
      </w:r>
    </w:p>
    <w:p w:rsidR="006561CF" w:rsidRDefault="006561CF" w:rsidP="006561CF">
      <w:pPr>
        <w:keepNext/>
        <w:tabs>
          <w:tab w:val="left" w:pos="0"/>
        </w:tabs>
        <w:spacing w:after="0" w:line="360" w:lineRule="auto"/>
        <w:contextualSpacing/>
        <w:rPr>
          <w:rFonts w:ascii="Times New Roman" w:eastAsia="Times New Roman" w:hAnsi="Times New Roman" w:cs="Times New Roman"/>
          <w:i/>
          <w:sz w:val="26"/>
          <w:szCs w:val="26"/>
        </w:rPr>
      </w:pPr>
    </w:p>
    <w:p w:rsidR="006561CF" w:rsidRDefault="006561CF" w:rsidP="006561CF">
      <w:pPr>
        <w:tabs>
          <w:tab w:val="left" w:pos="0"/>
        </w:tabs>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PGW will implement the Low Income Multi-family Efficiency program (LIME) in accordance with the DSM II </w:t>
      </w:r>
      <w:r w:rsidR="002C7D9B">
        <w:rPr>
          <w:rFonts w:ascii="Times New Roman" w:eastAsia="Times New Roman" w:hAnsi="Times New Roman" w:cs="Times New Roman"/>
          <w:sz w:val="26"/>
          <w:szCs w:val="26"/>
        </w:rPr>
        <w:t xml:space="preserve">Final </w:t>
      </w:r>
      <w:r>
        <w:rPr>
          <w:rFonts w:ascii="Times New Roman" w:eastAsia="Times New Roman" w:hAnsi="Times New Roman" w:cs="Times New Roman"/>
          <w:sz w:val="26"/>
          <w:szCs w:val="26"/>
        </w:rPr>
        <w:t>Order, beginning in 2017 and running through 2020.  LIME will provide weatherization and energy conservation education for multi-family properties in which at least 75% of the residents are confirmed low-income customers.  PGW states that it reserves the right to decrease the percentage beginning in FY</w:t>
      </w:r>
      <w:r w:rsidR="002C7D9B">
        <w:rPr>
          <w:rFonts w:ascii="Times New Roman" w:eastAsia="Times New Roman" w:hAnsi="Times New Roman" w:cs="Times New Roman"/>
          <w:sz w:val="26"/>
          <w:szCs w:val="26"/>
        </w:rPr>
        <w:t xml:space="preserve"> 20</w:t>
      </w:r>
      <w:r>
        <w:rPr>
          <w:rFonts w:ascii="Times New Roman" w:eastAsia="Times New Roman" w:hAnsi="Times New Roman" w:cs="Times New Roman"/>
          <w:sz w:val="26"/>
          <w:szCs w:val="26"/>
        </w:rPr>
        <w:t xml:space="preserve">17, with showing of cause and with unanimous approval of the signatory parties’ written consent or by Commission Order.  Amended Proposed 2017-2020 Plan at 20-21.  </w:t>
      </w:r>
    </w:p>
    <w:p w:rsidR="006561CF" w:rsidRDefault="006561CF" w:rsidP="006561CF">
      <w:pPr>
        <w:tabs>
          <w:tab w:val="left" w:pos="0"/>
        </w:tabs>
        <w:spacing w:after="0" w:line="360" w:lineRule="auto"/>
        <w:contextualSpacing/>
        <w:rPr>
          <w:rFonts w:ascii="Times New Roman" w:eastAsia="Times New Roman" w:hAnsi="Times New Roman" w:cs="Times New Roman"/>
          <w:sz w:val="26"/>
          <w:szCs w:val="26"/>
        </w:rPr>
      </w:pPr>
    </w:p>
    <w:p w:rsidR="006561CF" w:rsidRDefault="00D233FD" w:rsidP="006561CF">
      <w:pPr>
        <w:tabs>
          <w:tab w:val="left" w:pos="0"/>
        </w:tabs>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831032">
        <w:rPr>
          <w:rFonts w:ascii="Times New Roman" w:eastAsia="Times New Roman" w:hAnsi="Times New Roman" w:cs="Times New Roman"/>
          <w:sz w:val="26"/>
          <w:szCs w:val="26"/>
        </w:rPr>
        <w:t>The T</w:t>
      </w:r>
      <w:r>
        <w:rPr>
          <w:rFonts w:ascii="Times New Roman" w:eastAsia="Times New Roman" w:hAnsi="Times New Roman" w:cs="Times New Roman"/>
          <w:sz w:val="26"/>
          <w:szCs w:val="26"/>
        </w:rPr>
        <w:t>entative Order requested</w:t>
      </w:r>
      <w:r w:rsidR="006561CF">
        <w:rPr>
          <w:rFonts w:ascii="Times New Roman" w:eastAsia="Times New Roman" w:hAnsi="Times New Roman" w:cs="Times New Roman"/>
          <w:sz w:val="26"/>
          <w:szCs w:val="26"/>
        </w:rPr>
        <w:t xml:space="preserve"> clarification on several points.  First, </w:t>
      </w:r>
      <w:r>
        <w:rPr>
          <w:rFonts w:ascii="Times New Roman" w:eastAsia="Times New Roman" w:hAnsi="Times New Roman" w:cs="Times New Roman"/>
          <w:sz w:val="26"/>
          <w:szCs w:val="26"/>
        </w:rPr>
        <w:t xml:space="preserve">we asked PGW to clarify </w:t>
      </w:r>
      <w:r w:rsidR="006561CF">
        <w:rPr>
          <w:rFonts w:ascii="Times New Roman" w:eastAsia="Times New Roman" w:hAnsi="Times New Roman" w:cs="Times New Roman"/>
          <w:sz w:val="26"/>
          <w:szCs w:val="26"/>
        </w:rPr>
        <w:t>if FY</w:t>
      </w:r>
      <w:r w:rsidR="002C7D9B">
        <w:rPr>
          <w:rFonts w:ascii="Times New Roman" w:eastAsia="Times New Roman" w:hAnsi="Times New Roman" w:cs="Times New Roman"/>
          <w:sz w:val="26"/>
          <w:szCs w:val="26"/>
        </w:rPr>
        <w:t xml:space="preserve"> 20</w:t>
      </w:r>
      <w:r w:rsidR="006561CF">
        <w:rPr>
          <w:rFonts w:ascii="Times New Roman" w:eastAsia="Times New Roman" w:hAnsi="Times New Roman" w:cs="Times New Roman"/>
          <w:sz w:val="26"/>
          <w:szCs w:val="26"/>
        </w:rPr>
        <w:t>17</w:t>
      </w:r>
      <w:r w:rsidR="008812B4">
        <w:rPr>
          <w:rFonts w:ascii="Times New Roman" w:eastAsia="Times New Roman" w:hAnsi="Times New Roman" w:cs="Times New Roman"/>
          <w:sz w:val="26"/>
          <w:szCs w:val="26"/>
        </w:rPr>
        <w:t xml:space="preserve"> (the first year of the program)</w:t>
      </w:r>
      <w:r w:rsidR="006561CF">
        <w:rPr>
          <w:rFonts w:ascii="Times New Roman" w:eastAsia="Times New Roman" w:hAnsi="Times New Roman" w:cs="Times New Roman"/>
          <w:sz w:val="26"/>
          <w:szCs w:val="26"/>
        </w:rPr>
        <w:t xml:space="preserve"> is the correct year for the LIME program to reconsider the 75% threshold of building occupants being low-income.  Second, we question</w:t>
      </w:r>
      <w:r>
        <w:rPr>
          <w:rFonts w:ascii="Times New Roman" w:eastAsia="Times New Roman" w:hAnsi="Times New Roman" w:cs="Times New Roman"/>
          <w:sz w:val="26"/>
          <w:szCs w:val="26"/>
        </w:rPr>
        <w:t>ed</w:t>
      </w:r>
      <w:r w:rsidR="006561CF">
        <w:rPr>
          <w:rFonts w:ascii="Times New Roman" w:eastAsia="Times New Roman" w:hAnsi="Times New Roman" w:cs="Times New Roman"/>
          <w:sz w:val="26"/>
          <w:szCs w:val="26"/>
        </w:rPr>
        <w:t xml:space="preserve"> the language pertaining to the written consent of “signatory parties.” </w:t>
      </w:r>
      <w:r w:rsidR="006561CF">
        <w:rPr>
          <w:rFonts w:ascii="Times New Roman" w:eastAsia="Times New Roman" w:hAnsi="Times New Roman" w:cs="Times New Roman"/>
          <w:i/>
          <w:sz w:val="26"/>
          <w:szCs w:val="26"/>
        </w:rPr>
        <w:t xml:space="preserve"> </w:t>
      </w:r>
      <w:r w:rsidR="006561CF">
        <w:rPr>
          <w:rFonts w:ascii="Times New Roman" w:eastAsia="Times New Roman" w:hAnsi="Times New Roman" w:cs="Times New Roman"/>
          <w:sz w:val="26"/>
          <w:szCs w:val="26"/>
        </w:rPr>
        <w:t xml:space="preserve">Finally, </w:t>
      </w:r>
      <w:r>
        <w:rPr>
          <w:rFonts w:ascii="Times New Roman" w:eastAsia="Times New Roman" w:hAnsi="Times New Roman" w:cs="Times New Roman"/>
          <w:sz w:val="26"/>
          <w:szCs w:val="26"/>
        </w:rPr>
        <w:t>w</w:t>
      </w:r>
      <w:r w:rsidR="006561CF">
        <w:rPr>
          <w:rFonts w:ascii="Times New Roman" w:eastAsia="Times New Roman" w:hAnsi="Times New Roman" w:cs="Times New Roman"/>
          <w:sz w:val="26"/>
          <w:szCs w:val="26"/>
        </w:rPr>
        <w:t>e ask</w:t>
      </w:r>
      <w:r>
        <w:rPr>
          <w:rFonts w:ascii="Times New Roman" w:eastAsia="Times New Roman" w:hAnsi="Times New Roman" w:cs="Times New Roman"/>
          <w:sz w:val="26"/>
          <w:szCs w:val="26"/>
        </w:rPr>
        <w:t>ed</w:t>
      </w:r>
      <w:r w:rsidR="006561CF">
        <w:rPr>
          <w:rFonts w:ascii="Times New Roman" w:eastAsia="Times New Roman" w:hAnsi="Times New Roman" w:cs="Times New Roman"/>
          <w:sz w:val="26"/>
          <w:szCs w:val="26"/>
        </w:rPr>
        <w:t xml:space="preserve"> PGW to clarify whether the $120,048 budget already includes estimated admini</w:t>
      </w:r>
      <w:r>
        <w:rPr>
          <w:rFonts w:ascii="Times New Roman" w:eastAsia="Times New Roman" w:hAnsi="Times New Roman" w:cs="Times New Roman"/>
          <w:sz w:val="26"/>
          <w:szCs w:val="26"/>
        </w:rPr>
        <w:t xml:space="preserve">strative costs </w:t>
      </w:r>
      <w:r w:rsidR="006561CF">
        <w:rPr>
          <w:rFonts w:ascii="Times New Roman" w:eastAsia="Times New Roman" w:hAnsi="Times New Roman" w:cs="Times New Roman"/>
          <w:sz w:val="26"/>
          <w:szCs w:val="26"/>
        </w:rPr>
        <w:t xml:space="preserve">and </w:t>
      </w:r>
      <w:r w:rsidR="00D94DE7">
        <w:rPr>
          <w:rFonts w:ascii="Times New Roman" w:eastAsia="Times New Roman" w:hAnsi="Times New Roman" w:cs="Times New Roman"/>
          <w:sz w:val="26"/>
          <w:szCs w:val="26"/>
        </w:rPr>
        <w:t xml:space="preserve">to </w:t>
      </w:r>
      <w:r w:rsidR="006561CF">
        <w:rPr>
          <w:rFonts w:ascii="Times New Roman" w:eastAsia="Times New Roman" w:hAnsi="Times New Roman" w:cs="Times New Roman"/>
          <w:sz w:val="26"/>
          <w:szCs w:val="26"/>
        </w:rPr>
        <w:t xml:space="preserve">identify what portion, if any, of the $710,939 </w:t>
      </w:r>
      <w:r w:rsidR="002C7D9B">
        <w:rPr>
          <w:rFonts w:ascii="Times New Roman" w:eastAsia="Times New Roman" w:hAnsi="Times New Roman" w:cs="Times New Roman"/>
          <w:sz w:val="26"/>
          <w:szCs w:val="26"/>
        </w:rPr>
        <w:t xml:space="preserve">FY 2017 </w:t>
      </w:r>
      <w:r w:rsidR="00D94DE7">
        <w:rPr>
          <w:rFonts w:ascii="Times New Roman" w:eastAsia="Times New Roman" w:hAnsi="Times New Roman" w:cs="Times New Roman"/>
          <w:sz w:val="26"/>
          <w:szCs w:val="26"/>
        </w:rPr>
        <w:t xml:space="preserve">LIURP </w:t>
      </w:r>
      <w:r w:rsidR="006561CF">
        <w:rPr>
          <w:rFonts w:ascii="Times New Roman" w:eastAsia="Times New Roman" w:hAnsi="Times New Roman" w:cs="Times New Roman"/>
          <w:sz w:val="26"/>
          <w:szCs w:val="26"/>
        </w:rPr>
        <w:t>administrative and programmatic costs are attributed to the LIME program.</w:t>
      </w:r>
    </w:p>
    <w:p w:rsidR="00BB6EE1" w:rsidRDefault="00BB6EE1" w:rsidP="006561CF">
      <w:pPr>
        <w:tabs>
          <w:tab w:val="left" w:pos="0"/>
        </w:tabs>
        <w:spacing w:after="0" w:line="360" w:lineRule="auto"/>
        <w:contextualSpacing/>
        <w:rPr>
          <w:rFonts w:ascii="Times New Roman" w:eastAsia="Times New Roman" w:hAnsi="Times New Roman" w:cs="Times New Roman"/>
          <w:sz w:val="26"/>
          <w:szCs w:val="26"/>
        </w:rPr>
      </w:pPr>
    </w:p>
    <w:p w:rsidR="00BB6EE1" w:rsidRDefault="00BB6EE1" w:rsidP="006561CF">
      <w:pPr>
        <w:tabs>
          <w:tab w:val="left" w:pos="0"/>
        </w:tabs>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69054A">
        <w:rPr>
          <w:rFonts w:ascii="Times New Roman" w:eastAsia="Times New Roman" w:hAnsi="Times New Roman" w:cs="Times New Roman"/>
          <w:sz w:val="26"/>
          <w:szCs w:val="26"/>
        </w:rPr>
        <w:t>PGW explains that the PGW/</w:t>
      </w:r>
      <w:r w:rsidR="0074716D">
        <w:rPr>
          <w:rFonts w:ascii="Times New Roman" w:eastAsia="Times New Roman" w:hAnsi="Times New Roman" w:cs="Times New Roman"/>
          <w:sz w:val="26"/>
          <w:szCs w:val="26"/>
        </w:rPr>
        <w:t xml:space="preserve">PUC’s </w:t>
      </w:r>
      <w:r w:rsidR="00AD6DB7">
        <w:rPr>
          <w:rFonts w:ascii="Times New Roman" w:eastAsia="Times New Roman" w:hAnsi="Times New Roman" w:cs="Times New Roman"/>
          <w:sz w:val="26"/>
          <w:szCs w:val="26"/>
        </w:rPr>
        <w:t>B</w:t>
      </w:r>
      <w:r w:rsidR="0074716D">
        <w:rPr>
          <w:rFonts w:ascii="Times New Roman" w:eastAsia="Times New Roman" w:hAnsi="Times New Roman" w:cs="Times New Roman"/>
          <w:sz w:val="26"/>
          <w:szCs w:val="26"/>
        </w:rPr>
        <w:t xml:space="preserve">ureau of </w:t>
      </w:r>
      <w:r w:rsidR="0069054A">
        <w:rPr>
          <w:rFonts w:ascii="Times New Roman" w:eastAsia="Times New Roman" w:hAnsi="Times New Roman" w:cs="Times New Roman"/>
          <w:sz w:val="26"/>
          <w:szCs w:val="26"/>
        </w:rPr>
        <w:t>I</w:t>
      </w:r>
      <w:r w:rsidR="0074716D">
        <w:rPr>
          <w:rFonts w:ascii="Times New Roman" w:eastAsia="Times New Roman" w:hAnsi="Times New Roman" w:cs="Times New Roman"/>
          <w:sz w:val="26"/>
          <w:szCs w:val="26"/>
        </w:rPr>
        <w:t xml:space="preserve">nvestigation </w:t>
      </w:r>
      <w:r w:rsidR="008F760E">
        <w:rPr>
          <w:rFonts w:ascii="Times New Roman" w:eastAsia="Times New Roman" w:hAnsi="Times New Roman" w:cs="Times New Roman"/>
          <w:sz w:val="26"/>
          <w:szCs w:val="26"/>
        </w:rPr>
        <w:t>and</w:t>
      </w:r>
      <w:r w:rsidR="0074716D">
        <w:rPr>
          <w:rFonts w:ascii="Times New Roman" w:eastAsia="Times New Roman" w:hAnsi="Times New Roman" w:cs="Times New Roman"/>
          <w:sz w:val="26"/>
          <w:szCs w:val="26"/>
        </w:rPr>
        <w:t xml:space="preserve"> </w:t>
      </w:r>
      <w:r w:rsidR="0069054A">
        <w:rPr>
          <w:rFonts w:ascii="Times New Roman" w:eastAsia="Times New Roman" w:hAnsi="Times New Roman" w:cs="Times New Roman"/>
          <w:sz w:val="26"/>
          <w:szCs w:val="26"/>
        </w:rPr>
        <w:t>E</w:t>
      </w:r>
      <w:r w:rsidR="0074716D">
        <w:rPr>
          <w:rFonts w:ascii="Times New Roman" w:eastAsia="Times New Roman" w:hAnsi="Times New Roman" w:cs="Times New Roman"/>
          <w:sz w:val="26"/>
          <w:szCs w:val="26"/>
        </w:rPr>
        <w:t>nforcement (</w:t>
      </w:r>
      <w:r w:rsidR="008F760E">
        <w:rPr>
          <w:rFonts w:ascii="Times New Roman" w:eastAsia="Times New Roman" w:hAnsi="Times New Roman" w:cs="Times New Roman"/>
          <w:sz w:val="26"/>
          <w:szCs w:val="26"/>
        </w:rPr>
        <w:t>B</w:t>
      </w:r>
      <w:r w:rsidR="0074716D">
        <w:rPr>
          <w:rFonts w:ascii="Times New Roman" w:eastAsia="Times New Roman" w:hAnsi="Times New Roman" w:cs="Times New Roman"/>
          <w:sz w:val="26"/>
          <w:szCs w:val="26"/>
        </w:rPr>
        <w:t>IE)</w:t>
      </w:r>
      <w:r w:rsidR="0069054A">
        <w:rPr>
          <w:rFonts w:ascii="Times New Roman" w:eastAsia="Times New Roman" w:hAnsi="Times New Roman" w:cs="Times New Roman"/>
          <w:sz w:val="26"/>
          <w:szCs w:val="26"/>
        </w:rPr>
        <w:t xml:space="preserve"> LIME Stipulation that emerged from </w:t>
      </w:r>
      <w:r w:rsidR="00753F3D">
        <w:rPr>
          <w:rFonts w:ascii="Times New Roman" w:eastAsia="Times New Roman" w:hAnsi="Times New Roman" w:cs="Times New Roman"/>
          <w:sz w:val="26"/>
          <w:szCs w:val="26"/>
        </w:rPr>
        <w:t xml:space="preserve">the settlement in </w:t>
      </w:r>
      <w:r w:rsidR="0069054A">
        <w:rPr>
          <w:rFonts w:ascii="Times New Roman" w:eastAsia="Times New Roman" w:hAnsi="Times New Roman" w:cs="Times New Roman"/>
          <w:sz w:val="26"/>
          <w:szCs w:val="26"/>
        </w:rPr>
        <w:t xml:space="preserve">the DSM </w:t>
      </w:r>
      <w:r w:rsidR="002D7FF2">
        <w:rPr>
          <w:rFonts w:ascii="Times New Roman" w:eastAsia="Times New Roman" w:hAnsi="Times New Roman" w:cs="Times New Roman"/>
          <w:sz w:val="26"/>
          <w:szCs w:val="26"/>
        </w:rPr>
        <w:t>p</w:t>
      </w:r>
      <w:r w:rsidR="0069054A">
        <w:rPr>
          <w:rFonts w:ascii="Times New Roman" w:eastAsia="Times New Roman" w:hAnsi="Times New Roman" w:cs="Times New Roman"/>
          <w:sz w:val="26"/>
          <w:szCs w:val="26"/>
        </w:rPr>
        <w:t xml:space="preserve">roceeding “included a process allowing PGW to lower this threshold if it is not resulting in adequate participation.” </w:t>
      </w:r>
      <w:r w:rsidR="00D94DE7">
        <w:rPr>
          <w:rFonts w:ascii="Times New Roman" w:eastAsia="Times New Roman" w:hAnsi="Times New Roman" w:cs="Times New Roman"/>
          <w:sz w:val="26"/>
          <w:szCs w:val="26"/>
        </w:rPr>
        <w:t xml:space="preserve"> </w:t>
      </w:r>
      <w:r w:rsidR="0069054A">
        <w:rPr>
          <w:rFonts w:ascii="Times New Roman" w:eastAsia="Times New Roman" w:hAnsi="Times New Roman" w:cs="Times New Roman"/>
          <w:sz w:val="26"/>
          <w:szCs w:val="26"/>
        </w:rPr>
        <w:t xml:space="preserve">PGW </w:t>
      </w:r>
      <w:r w:rsidR="00D94DE7">
        <w:rPr>
          <w:rFonts w:ascii="Times New Roman" w:eastAsia="Times New Roman" w:hAnsi="Times New Roman" w:cs="Times New Roman"/>
          <w:sz w:val="26"/>
          <w:szCs w:val="26"/>
        </w:rPr>
        <w:t xml:space="preserve">asserts </w:t>
      </w:r>
      <w:r w:rsidR="0069054A">
        <w:rPr>
          <w:rFonts w:ascii="Times New Roman" w:eastAsia="Times New Roman" w:hAnsi="Times New Roman" w:cs="Times New Roman"/>
          <w:sz w:val="26"/>
          <w:szCs w:val="26"/>
        </w:rPr>
        <w:t xml:space="preserve">that since the </w:t>
      </w:r>
      <w:r w:rsidR="0074716D">
        <w:rPr>
          <w:rFonts w:ascii="Times New Roman" w:eastAsia="Times New Roman" w:hAnsi="Times New Roman" w:cs="Times New Roman"/>
          <w:sz w:val="26"/>
          <w:szCs w:val="26"/>
        </w:rPr>
        <w:t>provision</w:t>
      </w:r>
      <w:r w:rsidR="0069054A">
        <w:rPr>
          <w:rFonts w:ascii="Times New Roman" w:eastAsia="Times New Roman" w:hAnsi="Times New Roman" w:cs="Times New Roman"/>
          <w:sz w:val="26"/>
          <w:szCs w:val="26"/>
        </w:rPr>
        <w:t xml:space="preserve"> was contained in a negotiated settlement and was previously approved by the Commission, that it should be maintained</w:t>
      </w:r>
      <w:r w:rsidR="00D94DE7">
        <w:rPr>
          <w:rFonts w:ascii="Times New Roman" w:eastAsia="Times New Roman" w:hAnsi="Times New Roman" w:cs="Times New Roman"/>
          <w:sz w:val="26"/>
          <w:szCs w:val="26"/>
        </w:rPr>
        <w:t xml:space="preserve">.  PGW asserts that the stipulation </w:t>
      </w:r>
      <w:r w:rsidR="0069054A">
        <w:rPr>
          <w:rFonts w:ascii="Times New Roman" w:eastAsia="Times New Roman" w:hAnsi="Times New Roman" w:cs="Times New Roman"/>
          <w:sz w:val="26"/>
          <w:szCs w:val="26"/>
        </w:rPr>
        <w:t>“technically does permit PGW to immediately lower the threshold.”</w:t>
      </w:r>
      <w:r w:rsidR="002D7FF2">
        <w:rPr>
          <w:rFonts w:ascii="Times New Roman" w:eastAsia="Times New Roman" w:hAnsi="Times New Roman" w:cs="Times New Roman"/>
          <w:sz w:val="26"/>
          <w:szCs w:val="26"/>
        </w:rPr>
        <w:t xml:space="preserve"> </w:t>
      </w:r>
      <w:r w:rsidR="00D94DE7">
        <w:rPr>
          <w:rFonts w:ascii="Times New Roman" w:eastAsia="Times New Roman" w:hAnsi="Times New Roman" w:cs="Times New Roman"/>
          <w:sz w:val="26"/>
          <w:szCs w:val="26"/>
        </w:rPr>
        <w:t xml:space="preserve"> </w:t>
      </w:r>
      <w:r w:rsidR="0069054A">
        <w:rPr>
          <w:rFonts w:ascii="Times New Roman" w:eastAsia="Times New Roman" w:hAnsi="Times New Roman" w:cs="Times New Roman"/>
          <w:sz w:val="26"/>
          <w:szCs w:val="26"/>
        </w:rPr>
        <w:t xml:space="preserve">PGW, however, points out that it can </w:t>
      </w:r>
      <w:r w:rsidR="001D7BCB">
        <w:rPr>
          <w:rFonts w:ascii="Times New Roman" w:eastAsia="Times New Roman" w:hAnsi="Times New Roman" w:cs="Times New Roman"/>
          <w:sz w:val="26"/>
          <w:szCs w:val="26"/>
        </w:rPr>
        <w:t xml:space="preserve">make this change only </w:t>
      </w:r>
      <w:r w:rsidR="0069054A">
        <w:rPr>
          <w:rFonts w:ascii="Times New Roman" w:eastAsia="Times New Roman" w:hAnsi="Times New Roman" w:cs="Times New Roman"/>
          <w:sz w:val="26"/>
          <w:szCs w:val="26"/>
        </w:rPr>
        <w:t xml:space="preserve">“after showing of cause for program incentive budget under-spending </w:t>
      </w:r>
      <w:r w:rsidR="0069054A" w:rsidRPr="0069054A">
        <w:rPr>
          <w:rFonts w:ascii="Times New Roman" w:eastAsia="Times New Roman" w:hAnsi="Times New Roman" w:cs="Times New Roman"/>
          <w:sz w:val="26"/>
          <w:szCs w:val="26"/>
          <w:u w:val="single"/>
        </w:rPr>
        <w:t>and</w:t>
      </w:r>
      <w:r w:rsidR="0069054A">
        <w:rPr>
          <w:rFonts w:ascii="Times New Roman" w:eastAsia="Times New Roman" w:hAnsi="Times New Roman" w:cs="Times New Roman"/>
          <w:sz w:val="26"/>
          <w:szCs w:val="26"/>
        </w:rPr>
        <w:t xml:space="preserve"> with the approval of </w:t>
      </w:r>
      <w:r w:rsidR="008F760E">
        <w:rPr>
          <w:rFonts w:ascii="Times New Roman" w:eastAsia="Times New Roman" w:hAnsi="Times New Roman" w:cs="Times New Roman"/>
          <w:sz w:val="26"/>
          <w:szCs w:val="26"/>
        </w:rPr>
        <w:t>B</w:t>
      </w:r>
      <w:r w:rsidR="0069054A">
        <w:rPr>
          <w:rFonts w:ascii="Times New Roman" w:eastAsia="Times New Roman" w:hAnsi="Times New Roman" w:cs="Times New Roman"/>
          <w:sz w:val="26"/>
          <w:szCs w:val="26"/>
        </w:rPr>
        <w:t xml:space="preserve">IE (or by Commission Order).” </w:t>
      </w:r>
      <w:r w:rsidR="000254D2">
        <w:rPr>
          <w:rFonts w:ascii="Times New Roman" w:eastAsia="Times New Roman" w:hAnsi="Times New Roman" w:cs="Times New Roman"/>
          <w:sz w:val="26"/>
          <w:szCs w:val="26"/>
        </w:rPr>
        <w:t xml:space="preserve"> </w:t>
      </w:r>
      <w:r w:rsidR="0069054A">
        <w:rPr>
          <w:rFonts w:ascii="Times New Roman" w:eastAsia="Times New Roman" w:hAnsi="Times New Roman" w:cs="Times New Roman"/>
          <w:sz w:val="26"/>
          <w:szCs w:val="26"/>
        </w:rPr>
        <w:t>PGW Supplemental Info</w:t>
      </w:r>
      <w:r w:rsidR="000254D2">
        <w:rPr>
          <w:rFonts w:ascii="Times New Roman" w:eastAsia="Times New Roman" w:hAnsi="Times New Roman" w:cs="Times New Roman"/>
          <w:sz w:val="26"/>
          <w:szCs w:val="26"/>
        </w:rPr>
        <w:t xml:space="preserve">rmation </w:t>
      </w:r>
      <w:r w:rsidR="0069054A">
        <w:rPr>
          <w:rFonts w:ascii="Times New Roman" w:eastAsia="Times New Roman" w:hAnsi="Times New Roman" w:cs="Times New Roman"/>
          <w:sz w:val="26"/>
          <w:szCs w:val="26"/>
        </w:rPr>
        <w:t>at 25-26.</w:t>
      </w:r>
    </w:p>
    <w:p w:rsidR="0069054A" w:rsidRDefault="0069054A" w:rsidP="006561CF">
      <w:pPr>
        <w:tabs>
          <w:tab w:val="left" w:pos="0"/>
        </w:tabs>
        <w:spacing w:after="0" w:line="360" w:lineRule="auto"/>
        <w:contextualSpacing/>
        <w:rPr>
          <w:rFonts w:ascii="Times New Roman" w:eastAsia="Times New Roman" w:hAnsi="Times New Roman" w:cs="Times New Roman"/>
          <w:sz w:val="26"/>
          <w:szCs w:val="26"/>
        </w:rPr>
      </w:pPr>
    </w:p>
    <w:p w:rsidR="008F760E" w:rsidRPr="00150EC2" w:rsidRDefault="0069054A" w:rsidP="008F760E">
      <w:pPr>
        <w:tabs>
          <w:tab w:val="left" w:pos="0"/>
        </w:tabs>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ab/>
        <w:t xml:space="preserve">PGW </w:t>
      </w:r>
      <w:r w:rsidR="0083558F">
        <w:rPr>
          <w:rFonts w:ascii="Times New Roman" w:eastAsia="Times New Roman" w:hAnsi="Times New Roman" w:cs="Times New Roman"/>
          <w:sz w:val="26"/>
          <w:szCs w:val="26"/>
        </w:rPr>
        <w:t xml:space="preserve">identifies </w:t>
      </w:r>
      <w:r w:rsidR="008F760E">
        <w:rPr>
          <w:rFonts w:ascii="Times New Roman" w:eastAsia="Times New Roman" w:hAnsi="Times New Roman" w:cs="Times New Roman"/>
          <w:sz w:val="26"/>
          <w:szCs w:val="26"/>
        </w:rPr>
        <w:t>B</w:t>
      </w:r>
      <w:r w:rsidR="0083558F">
        <w:rPr>
          <w:rFonts w:ascii="Times New Roman" w:eastAsia="Times New Roman" w:hAnsi="Times New Roman" w:cs="Times New Roman"/>
          <w:sz w:val="26"/>
          <w:szCs w:val="26"/>
        </w:rPr>
        <w:t>IE as “the only signatory on the stipulation upon which PGW proposed to revise its initial LIME proposal</w:t>
      </w:r>
      <w:r w:rsidR="00D94DE7">
        <w:rPr>
          <w:rFonts w:ascii="Times New Roman" w:eastAsia="Times New Roman" w:hAnsi="Times New Roman" w:cs="Times New Roman"/>
          <w:sz w:val="26"/>
          <w:szCs w:val="26"/>
        </w:rPr>
        <w:t>.</w:t>
      </w:r>
      <w:r w:rsidR="0083558F">
        <w:rPr>
          <w:rFonts w:ascii="Times New Roman" w:eastAsia="Times New Roman" w:hAnsi="Times New Roman" w:cs="Times New Roman"/>
          <w:sz w:val="26"/>
          <w:szCs w:val="26"/>
        </w:rPr>
        <w:t>”</w:t>
      </w:r>
      <w:r w:rsidR="00D94DE7">
        <w:rPr>
          <w:rFonts w:ascii="Times New Roman" w:eastAsia="Times New Roman" w:hAnsi="Times New Roman" w:cs="Times New Roman"/>
          <w:sz w:val="26"/>
          <w:szCs w:val="26"/>
        </w:rPr>
        <w:t xml:space="preserve">  </w:t>
      </w:r>
      <w:r w:rsidR="0083558F">
        <w:rPr>
          <w:rFonts w:ascii="Times New Roman" w:eastAsia="Times New Roman" w:hAnsi="Times New Roman" w:cs="Times New Roman"/>
          <w:sz w:val="26"/>
          <w:szCs w:val="26"/>
        </w:rPr>
        <w:t>PGW does point out that a requirement of the stipulation is that “PGW will convene a stakeholder collaborative to receive input from interested parties”</w:t>
      </w:r>
      <w:r w:rsidR="00D94DE7">
        <w:rPr>
          <w:rFonts w:ascii="Times New Roman" w:eastAsia="Times New Roman" w:hAnsi="Times New Roman" w:cs="Times New Roman"/>
          <w:sz w:val="26"/>
          <w:szCs w:val="26"/>
        </w:rPr>
        <w:t xml:space="preserve"> if it proposes changes to LIME</w:t>
      </w:r>
      <w:r w:rsidR="0083558F">
        <w:rPr>
          <w:rFonts w:ascii="Times New Roman" w:eastAsia="Times New Roman" w:hAnsi="Times New Roman" w:cs="Times New Roman"/>
          <w:sz w:val="26"/>
          <w:szCs w:val="26"/>
        </w:rPr>
        <w:t>.</w:t>
      </w:r>
      <w:r w:rsidR="00D94DE7">
        <w:rPr>
          <w:rFonts w:ascii="Times New Roman" w:eastAsia="Times New Roman" w:hAnsi="Times New Roman" w:cs="Times New Roman"/>
          <w:sz w:val="26"/>
          <w:szCs w:val="26"/>
        </w:rPr>
        <w:t xml:space="preserve"> </w:t>
      </w:r>
      <w:r w:rsidR="0083558F">
        <w:rPr>
          <w:rFonts w:ascii="Times New Roman" w:eastAsia="Times New Roman" w:hAnsi="Times New Roman" w:cs="Times New Roman"/>
          <w:sz w:val="26"/>
          <w:szCs w:val="26"/>
        </w:rPr>
        <w:t xml:space="preserve"> PGW Supplemental Info</w:t>
      </w:r>
      <w:r w:rsidR="000254D2">
        <w:rPr>
          <w:rFonts w:ascii="Times New Roman" w:eastAsia="Times New Roman" w:hAnsi="Times New Roman" w:cs="Times New Roman"/>
          <w:sz w:val="26"/>
          <w:szCs w:val="26"/>
        </w:rPr>
        <w:t>rmation</w:t>
      </w:r>
      <w:r w:rsidR="0083558F">
        <w:rPr>
          <w:rFonts w:ascii="Times New Roman" w:eastAsia="Times New Roman" w:hAnsi="Times New Roman" w:cs="Times New Roman"/>
          <w:sz w:val="26"/>
          <w:szCs w:val="26"/>
        </w:rPr>
        <w:t xml:space="preserve"> at 25.</w:t>
      </w:r>
      <w:r w:rsidR="008F760E">
        <w:rPr>
          <w:rFonts w:ascii="Times New Roman" w:eastAsia="Times New Roman" w:hAnsi="Times New Roman" w:cs="Times New Roman"/>
          <w:sz w:val="26"/>
          <w:szCs w:val="26"/>
        </w:rPr>
        <w:t xml:space="preserve">  </w:t>
      </w:r>
      <w:r w:rsidR="008F760E">
        <w:rPr>
          <w:rFonts w:ascii="Times New Roman" w:eastAsia="Times New Roman" w:hAnsi="Times New Roman" w:cs="Times New Roman"/>
          <w:sz w:val="26"/>
          <w:szCs w:val="26"/>
        </w:rPr>
        <w:tab/>
        <w:t xml:space="preserve">We note that </w:t>
      </w:r>
      <w:r w:rsidR="008F760E">
        <w:rPr>
          <w:rFonts w:ascii="Times New Roman" w:eastAsia="Times New Roman" w:hAnsi="Times New Roman" w:cs="Times New Roman"/>
          <w:sz w:val="26"/>
          <w:szCs w:val="26"/>
        </w:rPr>
        <w:tab/>
        <w:t xml:space="preserve">PGW has held at least one stakeholder collaborative in order to receive input regarding LIME from interested parties.    </w:t>
      </w:r>
      <w:r w:rsidR="008F760E" w:rsidRPr="009D1BC6">
        <w:rPr>
          <w:rFonts w:ascii="Times New Roman" w:eastAsia="Times New Roman" w:hAnsi="Times New Roman" w:cs="Times New Roman"/>
          <w:i/>
          <w:sz w:val="26"/>
          <w:szCs w:val="26"/>
        </w:rPr>
        <w:t xml:space="preserve">   </w:t>
      </w:r>
    </w:p>
    <w:p w:rsidR="00F34DF7" w:rsidRDefault="00F34DF7" w:rsidP="006561CF">
      <w:pPr>
        <w:tabs>
          <w:tab w:val="left" w:pos="0"/>
        </w:tabs>
        <w:spacing w:after="0" w:line="360" w:lineRule="auto"/>
        <w:contextualSpacing/>
        <w:rPr>
          <w:rFonts w:ascii="Times New Roman" w:eastAsia="Times New Roman" w:hAnsi="Times New Roman" w:cs="Times New Roman"/>
          <w:sz w:val="26"/>
          <w:szCs w:val="26"/>
        </w:rPr>
      </w:pPr>
    </w:p>
    <w:p w:rsidR="009D1BC6" w:rsidRDefault="00F34DF7" w:rsidP="006561CF">
      <w:pPr>
        <w:tabs>
          <w:tab w:val="left" w:pos="0"/>
        </w:tabs>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t>PGW clarifies that the LIME budget of $120,048 is “the programming budget and does not include administrative costs which are allocated at the portfolio-level.”</w:t>
      </w:r>
      <w:r w:rsidR="0083558F">
        <w:rPr>
          <w:rFonts w:ascii="Times New Roman" w:eastAsia="Times New Roman" w:hAnsi="Times New Roman" w:cs="Times New Roman"/>
          <w:sz w:val="26"/>
          <w:szCs w:val="26"/>
        </w:rPr>
        <w:t xml:space="preserve"> </w:t>
      </w:r>
      <w:r w:rsidR="00D94DE7">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PGW states the LIME administrative cost allocation is “estimated to not exceed an </w:t>
      </w:r>
      <w:r w:rsidR="003E12C5">
        <w:rPr>
          <w:rFonts w:ascii="Times New Roman" w:eastAsia="Times New Roman" w:hAnsi="Times New Roman" w:cs="Times New Roman"/>
          <w:sz w:val="26"/>
          <w:szCs w:val="26"/>
        </w:rPr>
        <w:t xml:space="preserve">average </w:t>
      </w:r>
      <w:r>
        <w:rPr>
          <w:rFonts w:ascii="Times New Roman" w:eastAsia="Times New Roman" w:hAnsi="Times New Roman" w:cs="Times New Roman"/>
          <w:sz w:val="26"/>
          <w:szCs w:val="26"/>
        </w:rPr>
        <w:t>of $13,809 per year from September 2016 through December 2020”.</w:t>
      </w:r>
      <w:r w:rsidR="0023227B">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PGW Supplemental Info</w:t>
      </w:r>
      <w:r w:rsidR="000254D2">
        <w:rPr>
          <w:rFonts w:ascii="Times New Roman" w:eastAsia="Times New Roman" w:hAnsi="Times New Roman" w:cs="Times New Roman"/>
          <w:sz w:val="26"/>
          <w:szCs w:val="26"/>
        </w:rPr>
        <w:t>rmation</w:t>
      </w:r>
      <w:r>
        <w:rPr>
          <w:rFonts w:ascii="Times New Roman" w:eastAsia="Times New Roman" w:hAnsi="Times New Roman" w:cs="Times New Roman"/>
          <w:sz w:val="26"/>
          <w:szCs w:val="26"/>
        </w:rPr>
        <w:t xml:space="preserve"> at 26.</w:t>
      </w:r>
    </w:p>
    <w:p w:rsidR="009D1BC6" w:rsidRDefault="009D1BC6" w:rsidP="006561CF">
      <w:pPr>
        <w:tabs>
          <w:tab w:val="left" w:pos="0"/>
        </w:tabs>
        <w:spacing w:after="0" w:line="360" w:lineRule="auto"/>
        <w:contextualSpacing/>
        <w:rPr>
          <w:rFonts w:ascii="Times New Roman" w:eastAsia="Times New Roman" w:hAnsi="Times New Roman" w:cs="Times New Roman"/>
          <w:sz w:val="26"/>
          <w:szCs w:val="26"/>
        </w:rPr>
      </w:pPr>
    </w:p>
    <w:p w:rsidR="001D7BCB" w:rsidRDefault="009D1BC6" w:rsidP="006561CF">
      <w:pPr>
        <w:tabs>
          <w:tab w:val="left" w:pos="0"/>
        </w:tabs>
        <w:spacing w:after="0" w:line="360" w:lineRule="auto"/>
        <w:contextualSpacing/>
        <w:rPr>
          <w:rFonts w:ascii="Times New Roman" w:eastAsia="Times New Roman" w:hAnsi="Times New Roman" w:cs="Times New Roman"/>
          <w:sz w:val="26"/>
          <w:szCs w:val="26"/>
        </w:rPr>
      </w:pPr>
      <w:r w:rsidRPr="009D1BC6">
        <w:rPr>
          <w:rFonts w:ascii="Times New Roman" w:eastAsia="Times New Roman" w:hAnsi="Times New Roman" w:cs="Times New Roman"/>
          <w:i/>
          <w:sz w:val="26"/>
          <w:szCs w:val="26"/>
        </w:rPr>
        <w:t>Resolution:</w:t>
      </w:r>
      <w:r w:rsidR="00150EC2">
        <w:rPr>
          <w:rFonts w:ascii="Times New Roman" w:eastAsia="Times New Roman" w:hAnsi="Times New Roman" w:cs="Times New Roman"/>
          <w:i/>
          <w:sz w:val="26"/>
          <w:szCs w:val="26"/>
        </w:rPr>
        <w:t xml:space="preserve"> </w:t>
      </w:r>
      <w:r w:rsidR="00150EC2">
        <w:rPr>
          <w:rFonts w:ascii="Times New Roman" w:eastAsia="Times New Roman" w:hAnsi="Times New Roman" w:cs="Times New Roman"/>
          <w:sz w:val="26"/>
          <w:szCs w:val="26"/>
        </w:rPr>
        <w:t xml:space="preserve">We are satisfied with the additional details that PGW provided regarding the administrative costs associated with the LIME program. </w:t>
      </w:r>
      <w:r w:rsidR="0023227B">
        <w:rPr>
          <w:rFonts w:ascii="Times New Roman" w:eastAsia="Times New Roman" w:hAnsi="Times New Roman" w:cs="Times New Roman"/>
          <w:sz w:val="26"/>
          <w:szCs w:val="26"/>
        </w:rPr>
        <w:t xml:space="preserve"> </w:t>
      </w:r>
      <w:r w:rsidR="00150EC2">
        <w:rPr>
          <w:rFonts w:ascii="Times New Roman" w:eastAsia="Times New Roman" w:hAnsi="Times New Roman" w:cs="Times New Roman"/>
          <w:sz w:val="26"/>
          <w:szCs w:val="26"/>
        </w:rPr>
        <w:t xml:space="preserve">Since the LIME program is part of LIURP, and LIURP has now been moved back </w:t>
      </w:r>
      <w:r w:rsidR="0023227B">
        <w:rPr>
          <w:rFonts w:ascii="Times New Roman" w:eastAsia="Times New Roman" w:hAnsi="Times New Roman" w:cs="Times New Roman"/>
          <w:sz w:val="26"/>
          <w:szCs w:val="26"/>
        </w:rPr>
        <w:t xml:space="preserve">into </w:t>
      </w:r>
      <w:r w:rsidR="00F70700">
        <w:rPr>
          <w:rFonts w:ascii="Times New Roman" w:eastAsia="Times New Roman" w:hAnsi="Times New Roman" w:cs="Times New Roman"/>
          <w:sz w:val="26"/>
          <w:szCs w:val="26"/>
        </w:rPr>
        <w:t>PGW’s</w:t>
      </w:r>
      <w:r w:rsidR="00150EC2">
        <w:rPr>
          <w:rFonts w:ascii="Times New Roman" w:eastAsia="Times New Roman" w:hAnsi="Times New Roman" w:cs="Times New Roman"/>
          <w:sz w:val="26"/>
          <w:szCs w:val="26"/>
        </w:rPr>
        <w:t xml:space="preserve"> USECP, any evaluations and/or recommended modifications to the LIME program will be reviewed by BCS as part of PGW’s USECP proceedings in the future</w:t>
      </w:r>
      <w:r w:rsidR="001D7BCB">
        <w:rPr>
          <w:rFonts w:ascii="Times New Roman" w:eastAsia="Times New Roman" w:hAnsi="Times New Roman" w:cs="Times New Roman"/>
          <w:sz w:val="26"/>
          <w:szCs w:val="26"/>
        </w:rPr>
        <w:t xml:space="preserve">, and the </w:t>
      </w:r>
      <w:r w:rsidR="0023227B">
        <w:rPr>
          <w:rFonts w:ascii="Times New Roman" w:eastAsia="Times New Roman" w:hAnsi="Times New Roman" w:cs="Times New Roman"/>
          <w:sz w:val="26"/>
          <w:szCs w:val="26"/>
        </w:rPr>
        <w:t xml:space="preserve">Commission will act upon the record in the USECP proceeding.   </w:t>
      </w:r>
    </w:p>
    <w:p w:rsidR="00753F3D" w:rsidRDefault="00753F3D" w:rsidP="006561CF">
      <w:pPr>
        <w:tabs>
          <w:tab w:val="left" w:pos="0"/>
        </w:tabs>
        <w:spacing w:after="0" w:line="360" w:lineRule="auto"/>
        <w:contextualSpacing/>
        <w:rPr>
          <w:rFonts w:ascii="Times New Roman" w:eastAsia="Times New Roman" w:hAnsi="Times New Roman" w:cs="Times New Roman"/>
          <w:sz w:val="26"/>
          <w:szCs w:val="26"/>
        </w:rPr>
      </w:pPr>
    </w:p>
    <w:p w:rsidR="006561CF" w:rsidRDefault="006561CF" w:rsidP="006561CF">
      <w:pPr>
        <w:keepNext/>
        <w:tabs>
          <w:tab w:val="left" w:pos="0"/>
        </w:tabs>
        <w:spacing w:after="0" w:line="360" w:lineRule="auto"/>
        <w:contextualSpacing/>
        <w:rPr>
          <w:rFonts w:ascii="Times New Roman" w:eastAsia="Times New Roman" w:hAnsi="Times New Roman" w:cs="Times New Roman"/>
          <w:i/>
          <w:sz w:val="26"/>
          <w:szCs w:val="26"/>
        </w:rPr>
      </w:pPr>
      <w:r w:rsidRPr="00C21430">
        <w:rPr>
          <w:rFonts w:ascii="Times New Roman" w:eastAsia="Times New Roman" w:hAnsi="Times New Roman" w:cs="Times New Roman"/>
          <w:i/>
          <w:sz w:val="26"/>
          <w:szCs w:val="26"/>
        </w:rPr>
        <w:t>f.  CRP Home Comfort Budget</w:t>
      </w:r>
    </w:p>
    <w:p w:rsidR="006561CF" w:rsidRDefault="006561CF" w:rsidP="006561CF">
      <w:pPr>
        <w:tabs>
          <w:tab w:val="left" w:pos="0"/>
        </w:tabs>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p>
    <w:p w:rsidR="006561CF" w:rsidRDefault="008A16F5" w:rsidP="006561CF">
      <w:pPr>
        <w:tabs>
          <w:tab w:val="left" w:pos="0"/>
        </w:tabs>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5B032D">
        <w:rPr>
          <w:rFonts w:ascii="Times New Roman" w:eastAsia="Times New Roman" w:hAnsi="Times New Roman" w:cs="Times New Roman"/>
          <w:sz w:val="26"/>
          <w:szCs w:val="26"/>
        </w:rPr>
        <w:t xml:space="preserve">PGW’s </w:t>
      </w:r>
      <w:r w:rsidR="008F760E">
        <w:rPr>
          <w:rFonts w:ascii="Times New Roman" w:eastAsia="Times New Roman" w:hAnsi="Times New Roman" w:cs="Times New Roman"/>
          <w:sz w:val="26"/>
          <w:szCs w:val="26"/>
        </w:rPr>
        <w:t xml:space="preserve">FY </w:t>
      </w:r>
      <w:r w:rsidR="005B032D">
        <w:rPr>
          <w:rFonts w:ascii="Times New Roman" w:eastAsia="Times New Roman" w:hAnsi="Times New Roman" w:cs="Times New Roman"/>
          <w:sz w:val="26"/>
          <w:szCs w:val="26"/>
        </w:rPr>
        <w:t xml:space="preserve">2017 CRP Home Comfort budget was approved </w:t>
      </w:r>
      <w:r w:rsidR="008F760E">
        <w:rPr>
          <w:rFonts w:ascii="Times New Roman" w:eastAsia="Times New Roman" w:hAnsi="Times New Roman" w:cs="Times New Roman"/>
          <w:sz w:val="26"/>
          <w:szCs w:val="26"/>
        </w:rPr>
        <w:t>in</w:t>
      </w:r>
      <w:r w:rsidR="005B032D">
        <w:rPr>
          <w:rFonts w:ascii="Times New Roman" w:eastAsia="Times New Roman" w:hAnsi="Times New Roman" w:cs="Times New Roman"/>
          <w:sz w:val="26"/>
          <w:szCs w:val="26"/>
        </w:rPr>
        <w:t xml:space="preserve"> the DSM</w:t>
      </w:r>
      <w:r w:rsidR="008F760E">
        <w:rPr>
          <w:rFonts w:ascii="Times New Roman" w:eastAsia="Times New Roman" w:hAnsi="Times New Roman" w:cs="Times New Roman"/>
          <w:sz w:val="26"/>
          <w:szCs w:val="26"/>
        </w:rPr>
        <w:t xml:space="preserve"> Final Order</w:t>
      </w:r>
      <w:r w:rsidR="005B032D">
        <w:rPr>
          <w:rFonts w:ascii="Times New Roman" w:eastAsia="Times New Roman" w:hAnsi="Times New Roman" w:cs="Times New Roman"/>
          <w:sz w:val="26"/>
          <w:szCs w:val="26"/>
        </w:rPr>
        <w:t xml:space="preserve"> proceeding.  </w:t>
      </w:r>
      <w:r>
        <w:rPr>
          <w:rFonts w:ascii="Times New Roman" w:eastAsia="Times New Roman" w:hAnsi="Times New Roman" w:cs="Times New Roman"/>
          <w:sz w:val="26"/>
          <w:szCs w:val="26"/>
        </w:rPr>
        <w:t xml:space="preserve">The Tentative Order noted </w:t>
      </w:r>
      <w:r w:rsidR="005B032D">
        <w:rPr>
          <w:rFonts w:ascii="Times New Roman" w:eastAsia="Times New Roman" w:hAnsi="Times New Roman" w:cs="Times New Roman"/>
          <w:sz w:val="26"/>
          <w:szCs w:val="26"/>
        </w:rPr>
        <w:t xml:space="preserve">that </w:t>
      </w:r>
      <w:r>
        <w:rPr>
          <w:rFonts w:ascii="Times New Roman" w:eastAsia="Times New Roman" w:hAnsi="Times New Roman" w:cs="Times New Roman"/>
          <w:sz w:val="26"/>
          <w:szCs w:val="26"/>
        </w:rPr>
        <w:t>the</w:t>
      </w:r>
      <w:r w:rsidR="006561CF">
        <w:rPr>
          <w:rFonts w:ascii="Times New Roman" w:eastAsia="Times New Roman" w:hAnsi="Times New Roman" w:cs="Times New Roman"/>
          <w:sz w:val="26"/>
          <w:szCs w:val="26"/>
        </w:rPr>
        <w:t xml:space="preserve"> CRP Home Comfort b</w:t>
      </w:r>
      <w:r>
        <w:rPr>
          <w:rFonts w:ascii="Times New Roman" w:eastAsia="Times New Roman" w:hAnsi="Times New Roman" w:cs="Times New Roman"/>
          <w:sz w:val="26"/>
          <w:szCs w:val="26"/>
        </w:rPr>
        <w:t>udget for 2018-2020 USECP provided</w:t>
      </w:r>
      <w:r w:rsidR="006561CF">
        <w:rPr>
          <w:rFonts w:ascii="Times New Roman" w:eastAsia="Times New Roman" w:hAnsi="Times New Roman" w:cs="Times New Roman"/>
          <w:sz w:val="26"/>
          <w:szCs w:val="26"/>
        </w:rPr>
        <w:t xml:space="preserve"> </w:t>
      </w:r>
      <w:r w:rsidR="006561CF" w:rsidRPr="008D3BFA">
        <w:rPr>
          <w:rFonts w:ascii="Times New Roman" w:eastAsia="Times New Roman" w:hAnsi="Times New Roman" w:cs="Times New Roman"/>
          <w:sz w:val="26"/>
          <w:szCs w:val="26"/>
        </w:rPr>
        <w:t xml:space="preserve">insufficient </w:t>
      </w:r>
      <w:r>
        <w:rPr>
          <w:rFonts w:ascii="Times New Roman" w:eastAsia="Times New Roman" w:hAnsi="Times New Roman" w:cs="Times New Roman"/>
          <w:sz w:val="26"/>
          <w:szCs w:val="26"/>
        </w:rPr>
        <w:t>information for evaluation</w:t>
      </w:r>
      <w:r w:rsidR="006561CF" w:rsidRPr="008D3BFA">
        <w:rPr>
          <w:rFonts w:ascii="Times New Roman" w:eastAsia="Times New Roman" w:hAnsi="Times New Roman" w:cs="Times New Roman"/>
          <w:sz w:val="26"/>
          <w:szCs w:val="26"/>
        </w:rPr>
        <w:t>.</w:t>
      </w:r>
      <w:r w:rsidR="00EE26AE">
        <w:rPr>
          <w:rFonts w:ascii="Times New Roman" w:eastAsia="Times New Roman" w:hAnsi="Times New Roman" w:cs="Times New Roman"/>
          <w:sz w:val="26"/>
          <w:szCs w:val="26"/>
        </w:rPr>
        <w:t xml:space="preserve"> </w:t>
      </w:r>
      <w:r w:rsidR="0023227B">
        <w:rPr>
          <w:rFonts w:ascii="Times New Roman" w:eastAsia="Times New Roman" w:hAnsi="Times New Roman" w:cs="Times New Roman"/>
          <w:sz w:val="26"/>
          <w:szCs w:val="26"/>
        </w:rPr>
        <w:t xml:space="preserve"> </w:t>
      </w:r>
      <w:r w:rsidR="00EE26AE" w:rsidRPr="0020410F">
        <w:rPr>
          <w:rFonts w:ascii="Times New Roman" w:eastAsia="Times New Roman" w:hAnsi="Times New Roman" w:cs="Times New Roman"/>
          <w:i/>
          <w:sz w:val="26"/>
          <w:szCs w:val="26"/>
        </w:rPr>
        <w:t>See</w:t>
      </w:r>
      <w:r w:rsidR="00EE26AE">
        <w:rPr>
          <w:rFonts w:ascii="Times New Roman" w:eastAsia="Times New Roman" w:hAnsi="Times New Roman" w:cs="Times New Roman"/>
          <w:sz w:val="26"/>
          <w:szCs w:val="26"/>
        </w:rPr>
        <w:t xml:space="preserve"> the </w:t>
      </w:r>
      <w:r w:rsidR="00EE26AE">
        <w:rPr>
          <w:rFonts w:ascii="Times New Roman" w:eastAsia="Times New Roman" w:hAnsi="Times New Roman" w:cs="Times New Roman"/>
          <w:i/>
          <w:sz w:val="26"/>
          <w:szCs w:val="26"/>
        </w:rPr>
        <w:t xml:space="preserve">Program Budgets </w:t>
      </w:r>
      <w:r w:rsidR="00EE26AE">
        <w:rPr>
          <w:rFonts w:ascii="Times New Roman" w:eastAsia="Times New Roman" w:hAnsi="Times New Roman" w:cs="Times New Roman"/>
          <w:sz w:val="26"/>
          <w:szCs w:val="26"/>
        </w:rPr>
        <w:t>section below for discussion of the CRP Home Comfort budget</w:t>
      </w:r>
      <w:r w:rsidR="00863B6F">
        <w:rPr>
          <w:rFonts w:ascii="Times New Roman" w:eastAsia="Times New Roman" w:hAnsi="Times New Roman" w:cs="Times New Roman"/>
          <w:sz w:val="26"/>
          <w:szCs w:val="26"/>
        </w:rPr>
        <w:t>s</w:t>
      </w:r>
      <w:r w:rsidR="00EE26AE">
        <w:rPr>
          <w:rFonts w:ascii="Times New Roman" w:eastAsia="Times New Roman" w:hAnsi="Times New Roman" w:cs="Times New Roman"/>
          <w:sz w:val="26"/>
          <w:szCs w:val="26"/>
        </w:rPr>
        <w:t xml:space="preserve"> for 2018-2020. </w:t>
      </w:r>
      <w:r w:rsidR="006561CF">
        <w:rPr>
          <w:rFonts w:ascii="Times New Roman" w:eastAsia="Times New Roman" w:hAnsi="Times New Roman" w:cs="Times New Roman"/>
          <w:sz w:val="26"/>
          <w:szCs w:val="26"/>
        </w:rPr>
        <w:t xml:space="preserve"> </w:t>
      </w:r>
      <w:r w:rsidR="0020410F" w:rsidRPr="0020410F">
        <w:rPr>
          <w:rFonts w:ascii="Times New Roman" w:eastAsia="Times New Roman" w:hAnsi="Times New Roman" w:cs="Times New Roman"/>
          <w:i/>
          <w:sz w:val="26"/>
          <w:szCs w:val="26"/>
        </w:rPr>
        <w:t>See</w:t>
      </w:r>
      <w:r w:rsidR="0020410F">
        <w:rPr>
          <w:rFonts w:ascii="Times New Roman" w:eastAsia="Times New Roman" w:hAnsi="Times New Roman" w:cs="Times New Roman"/>
          <w:i/>
          <w:sz w:val="26"/>
          <w:szCs w:val="26"/>
        </w:rPr>
        <w:t xml:space="preserve"> also</w:t>
      </w:r>
      <w:r w:rsidR="0020410F" w:rsidRPr="0020410F">
        <w:rPr>
          <w:rFonts w:ascii="Times New Roman" w:eastAsia="Times New Roman" w:hAnsi="Times New Roman" w:cs="Times New Roman"/>
          <w:sz w:val="26"/>
          <w:szCs w:val="26"/>
        </w:rPr>
        <w:t xml:space="preserve"> the </w:t>
      </w:r>
      <w:r w:rsidR="0020410F" w:rsidRPr="0020410F">
        <w:rPr>
          <w:rFonts w:ascii="Times New Roman" w:eastAsia="Times New Roman" w:hAnsi="Times New Roman" w:cs="Times New Roman"/>
          <w:i/>
          <w:sz w:val="26"/>
          <w:szCs w:val="26"/>
        </w:rPr>
        <w:t>Projected Needs Assessments</w:t>
      </w:r>
      <w:r w:rsidR="0020410F" w:rsidRPr="0020410F">
        <w:rPr>
          <w:rFonts w:ascii="Times New Roman" w:eastAsia="Times New Roman" w:hAnsi="Times New Roman" w:cs="Times New Roman"/>
          <w:sz w:val="26"/>
          <w:szCs w:val="26"/>
        </w:rPr>
        <w:t xml:space="preserve"> section below for a discussion of the concerns regarding the PGW Needs Assessment methodology and calculations</w:t>
      </w:r>
      <w:r w:rsidR="0020410F">
        <w:rPr>
          <w:rFonts w:ascii="Times New Roman" w:eastAsia="Times New Roman" w:hAnsi="Times New Roman" w:cs="Times New Roman"/>
          <w:sz w:val="26"/>
          <w:szCs w:val="26"/>
        </w:rPr>
        <w:t xml:space="preserve"> upon which the 2018-2020 budget</w:t>
      </w:r>
      <w:r w:rsidR="00863B6F">
        <w:rPr>
          <w:rFonts w:ascii="Times New Roman" w:eastAsia="Times New Roman" w:hAnsi="Times New Roman" w:cs="Times New Roman"/>
          <w:sz w:val="26"/>
          <w:szCs w:val="26"/>
        </w:rPr>
        <w:t>s</w:t>
      </w:r>
      <w:r w:rsidR="0020410F">
        <w:rPr>
          <w:rFonts w:ascii="Times New Roman" w:eastAsia="Times New Roman" w:hAnsi="Times New Roman" w:cs="Times New Roman"/>
          <w:sz w:val="26"/>
          <w:szCs w:val="26"/>
        </w:rPr>
        <w:t xml:space="preserve"> </w:t>
      </w:r>
      <w:r w:rsidR="00863B6F">
        <w:rPr>
          <w:rFonts w:ascii="Times New Roman" w:eastAsia="Times New Roman" w:hAnsi="Times New Roman" w:cs="Times New Roman"/>
          <w:sz w:val="26"/>
          <w:szCs w:val="26"/>
        </w:rPr>
        <w:t>are</w:t>
      </w:r>
      <w:r w:rsidR="0020410F">
        <w:rPr>
          <w:rFonts w:ascii="Times New Roman" w:eastAsia="Times New Roman" w:hAnsi="Times New Roman" w:cs="Times New Roman"/>
          <w:sz w:val="26"/>
          <w:szCs w:val="26"/>
        </w:rPr>
        <w:t xml:space="preserve"> based</w:t>
      </w:r>
      <w:r w:rsidR="0020410F" w:rsidRPr="0020410F">
        <w:rPr>
          <w:rFonts w:ascii="Times New Roman" w:eastAsia="Times New Roman" w:hAnsi="Times New Roman" w:cs="Times New Roman"/>
          <w:sz w:val="26"/>
          <w:szCs w:val="26"/>
        </w:rPr>
        <w:t>.</w:t>
      </w:r>
      <w:r w:rsidR="006561CF">
        <w:rPr>
          <w:rFonts w:ascii="Times New Roman" w:eastAsia="Times New Roman" w:hAnsi="Times New Roman" w:cs="Times New Roman"/>
          <w:sz w:val="26"/>
          <w:szCs w:val="26"/>
        </w:rPr>
        <w:t xml:space="preserve">  </w:t>
      </w:r>
    </w:p>
    <w:p w:rsidR="00CF4DD9" w:rsidRPr="006561CF" w:rsidRDefault="00CF4DD9" w:rsidP="006D37DE">
      <w:pPr>
        <w:tabs>
          <w:tab w:val="left" w:pos="0"/>
        </w:tabs>
        <w:spacing w:after="0" w:line="360" w:lineRule="auto"/>
        <w:contextualSpacing/>
        <w:rPr>
          <w:rFonts w:ascii="Times New Roman" w:eastAsia="Times New Roman" w:hAnsi="Times New Roman" w:cs="Times New Roman"/>
          <w:sz w:val="26"/>
          <w:szCs w:val="26"/>
        </w:rPr>
      </w:pPr>
    </w:p>
    <w:p w:rsidR="00C47F76" w:rsidRPr="00C47F76" w:rsidRDefault="00C47F76" w:rsidP="00231829">
      <w:pPr>
        <w:keepNext/>
        <w:tabs>
          <w:tab w:val="left" w:pos="0"/>
        </w:tabs>
        <w:spacing w:after="0" w:line="360" w:lineRule="auto"/>
        <w:contextualSpacing/>
        <w:rPr>
          <w:rFonts w:ascii="Times New Roman" w:eastAsia="Times New Roman" w:hAnsi="Times New Roman" w:cs="Times New Roman"/>
          <w:sz w:val="26"/>
          <w:szCs w:val="26"/>
          <w:u w:val="single"/>
        </w:rPr>
      </w:pPr>
      <w:r w:rsidRPr="00C47F76">
        <w:rPr>
          <w:rFonts w:ascii="Times New Roman" w:eastAsia="Times New Roman" w:hAnsi="Times New Roman" w:cs="Times New Roman"/>
          <w:sz w:val="26"/>
          <w:szCs w:val="26"/>
          <w:u w:val="single"/>
        </w:rPr>
        <w:t xml:space="preserve">3.  CARES </w:t>
      </w:r>
    </w:p>
    <w:p w:rsidR="00C47F76" w:rsidRPr="00C47F76" w:rsidRDefault="00C47F76" w:rsidP="00231829">
      <w:pPr>
        <w:keepNext/>
        <w:tabs>
          <w:tab w:val="left" w:pos="720"/>
        </w:tabs>
        <w:spacing w:after="0" w:line="360" w:lineRule="auto"/>
        <w:contextualSpacing/>
        <w:rPr>
          <w:rFonts w:ascii="Times New Roman" w:eastAsia="Times New Roman" w:hAnsi="Times New Roman" w:cs="Times New Roman"/>
          <w:sz w:val="26"/>
          <w:szCs w:val="26"/>
          <w:u w:val="single"/>
        </w:rPr>
      </w:pPr>
    </w:p>
    <w:p w:rsidR="00C47F76" w:rsidRPr="00C47F76" w:rsidRDefault="00C47F76" w:rsidP="00231829">
      <w:pPr>
        <w:spacing w:after="0" w:line="360" w:lineRule="auto"/>
        <w:contextualSpacing/>
        <w:rPr>
          <w:rFonts w:ascii="Times New Roman" w:eastAsia="Calibri" w:hAnsi="Times New Roman" w:cs="Times New Roman"/>
          <w:sz w:val="26"/>
          <w:szCs w:val="26"/>
        </w:rPr>
      </w:pPr>
      <w:r w:rsidRPr="00C47F76">
        <w:rPr>
          <w:rFonts w:ascii="Times New Roman" w:eastAsia="Times New Roman" w:hAnsi="Times New Roman" w:cs="Times New Roman"/>
          <w:sz w:val="26"/>
          <w:szCs w:val="26"/>
        </w:rPr>
        <w:tab/>
      </w:r>
      <w:r w:rsidRPr="00C47F76">
        <w:rPr>
          <w:rFonts w:ascii="Times New Roman" w:eastAsia="Calibri" w:hAnsi="Times New Roman" w:cs="Times New Roman"/>
          <w:sz w:val="26"/>
          <w:szCs w:val="26"/>
        </w:rPr>
        <w:t>PGW’s CARES program helps customers with special circumstances (</w:t>
      </w:r>
      <w:r w:rsidRPr="00E316E3">
        <w:rPr>
          <w:rFonts w:ascii="Times New Roman" w:eastAsia="Calibri" w:hAnsi="Times New Roman" w:cs="Times New Roman"/>
          <w:i/>
          <w:sz w:val="26"/>
          <w:szCs w:val="26"/>
        </w:rPr>
        <w:t>e.g.</w:t>
      </w:r>
      <w:r w:rsidR="00E316E3">
        <w:rPr>
          <w:rFonts w:ascii="Times New Roman" w:eastAsia="Calibri" w:hAnsi="Times New Roman" w:cs="Times New Roman"/>
          <w:sz w:val="26"/>
          <w:szCs w:val="26"/>
        </w:rPr>
        <w:t>,</w:t>
      </w:r>
      <w:r w:rsidRPr="00C47F76">
        <w:rPr>
          <w:rFonts w:ascii="Times New Roman" w:eastAsia="Calibri" w:hAnsi="Times New Roman" w:cs="Times New Roman"/>
          <w:sz w:val="26"/>
          <w:szCs w:val="26"/>
        </w:rPr>
        <w:t xml:space="preserve"> unemployment, family emergencies, </w:t>
      </w:r>
      <w:r w:rsidR="006D37DE">
        <w:rPr>
          <w:rFonts w:ascii="Times New Roman" w:eastAsia="Calibri" w:hAnsi="Times New Roman" w:cs="Times New Roman"/>
          <w:sz w:val="26"/>
          <w:szCs w:val="26"/>
        </w:rPr>
        <w:t xml:space="preserve">and </w:t>
      </w:r>
      <w:r w:rsidRPr="00C47F76">
        <w:rPr>
          <w:rFonts w:ascii="Times New Roman" w:eastAsia="Calibri" w:hAnsi="Times New Roman" w:cs="Times New Roman"/>
          <w:sz w:val="26"/>
          <w:szCs w:val="26"/>
        </w:rPr>
        <w:t xml:space="preserve">age-related issues) by providing referrals to internal and external organizations or programs for assistance.  The CARES program consists of two components: “quick-fix” and case management.  Quick-fix </w:t>
      </w:r>
      <w:r w:rsidR="00904DDB">
        <w:rPr>
          <w:rFonts w:ascii="Times New Roman" w:eastAsia="Calibri" w:hAnsi="Times New Roman" w:cs="Times New Roman"/>
          <w:sz w:val="26"/>
          <w:szCs w:val="26"/>
        </w:rPr>
        <w:t xml:space="preserve">cases involve referral-only services </w:t>
      </w:r>
      <w:r w:rsidRPr="00C47F76">
        <w:rPr>
          <w:rFonts w:ascii="Times New Roman" w:eastAsia="Calibri" w:hAnsi="Times New Roman" w:cs="Times New Roman"/>
          <w:sz w:val="26"/>
          <w:szCs w:val="26"/>
        </w:rPr>
        <w:t xml:space="preserve">to help customers resolve issues affecting their ability to pay their gas bill. </w:t>
      </w:r>
      <w:r w:rsidR="00806632">
        <w:rPr>
          <w:rFonts w:ascii="Times New Roman" w:eastAsia="Calibri" w:hAnsi="Times New Roman" w:cs="Times New Roman"/>
          <w:sz w:val="26"/>
          <w:szCs w:val="26"/>
        </w:rPr>
        <w:t xml:space="preserve"> </w:t>
      </w:r>
      <w:r w:rsidRPr="00C47F76">
        <w:rPr>
          <w:rFonts w:ascii="Times New Roman" w:eastAsia="Calibri" w:hAnsi="Times New Roman" w:cs="Times New Roman"/>
          <w:sz w:val="26"/>
          <w:szCs w:val="26"/>
        </w:rPr>
        <w:t>Case management goes further by providing follow up services and ongoing monitoring of the customer’s situation.  CARES services are available to any customer</w:t>
      </w:r>
      <w:r w:rsidR="009B2DCA">
        <w:rPr>
          <w:rFonts w:ascii="Times New Roman" w:eastAsia="Calibri" w:hAnsi="Times New Roman" w:cs="Times New Roman"/>
          <w:sz w:val="26"/>
          <w:szCs w:val="26"/>
        </w:rPr>
        <w:t>s</w:t>
      </w:r>
      <w:r w:rsidRPr="00C47F76">
        <w:rPr>
          <w:rFonts w:ascii="Times New Roman" w:eastAsia="Calibri" w:hAnsi="Times New Roman" w:cs="Times New Roman"/>
          <w:sz w:val="26"/>
          <w:szCs w:val="26"/>
        </w:rPr>
        <w:t xml:space="preserve"> with </w:t>
      </w:r>
      <w:r w:rsidR="009B2DCA">
        <w:rPr>
          <w:rFonts w:ascii="Times New Roman" w:eastAsia="Calibri" w:hAnsi="Times New Roman" w:cs="Times New Roman"/>
          <w:sz w:val="26"/>
          <w:szCs w:val="26"/>
        </w:rPr>
        <w:t>(1) </w:t>
      </w:r>
      <w:r w:rsidRPr="00C47F76">
        <w:rPr>
          <w:rFonts w:ascii="Times New Roman" w:eastAsia="Calibri" w:hAnsi="Times New Roman" w:cs="Times New Roman"/>
          <w:sz w:val="26"/>
          <w:szCs w:val="26"/>
        </w:rPr>
        <w:t>income at or below 150% of the FPIG</w:t>
      </w:r>
      <w:r w:rsidR="00904DDB">
        <w:rPr>
          <w:rFonts w:ascii="Times New Roman" w:eastAsia="Calibri" w:hAnsi="Times New Roman" w:cs="Times New Roman"/>
          <w:sz w:val="26"/>
          <w:szCs w:val="26"/>
        </w:rPr>
        <w:t xml:space="preserve"> who are experiencing difficulty paying their bills</w:t>
      </w:r>
      <w:r w:rsidR="009B2DCA">
        <w:rPr>
          <w:rFonts w:ascii="Times New Roman" w:eastAsia="Calibri" w:hAnsi="Times New Roman" w:cs="Times New Roman"/>
          <w:sz w:val="26"/>
          <w:szCs w:val="26"/>
        </w:rPr>
        <w:t>, (2) a personal crisis that is likely to le</w:t>
      </w:r>
      <w:r w:rsidR="00904DDB">
        <w:rPr>
          <w:rFonts w:ascii="Times New Roman" w:eastAsia="Calibri" w:hAnsi="Times New Roman" w:cs="Times New Roman"/>
          <w:sz w:val="26"/>
          <w:szCs w:val="26"/>
        </w:rPr>
        <w:t>ad to a financial crisis, or</w:t>
      </w:r>
      <w:r w:rsidR="009B2DCA">
        <w:rPr>
          <w:rFonts w:ascii="Times New Roman" w:eastAsia="Calibri" w:hAnsi="Times New Roman" w:cs="Times New Roman"/>
          <w:sz w:val="26"/>
          <w:szCs w:val="26"/>
        </w:rPr>
        <w:t xml:space="preserve"> (3) a valid protection from abuse (PFA) order</w:t>
      </w:r>
      <w:r w:rsidRPr="00C47F76">
        <w:rPr>
          <w:rFonts w:ascii="Times New Roman" w:eastAsia="Calibri" w:hAnsi="Times New Roman" w:cs="Times New Roman"/>
          <w:sz w:val="26"/>
          <w:szCs w:val="26"/>
        </w:rPr>
        <w:t xml:space="preserve">.  </w:t>
      </w:r>
    </w:p>
    <w:p w:rsidR="00C47F76" w:rsidRDefault="00C47F76" w:rsidP="00231829">
      <w:pPr>
        <w:spacing w:after="0" w:line="360" w:lineRule="auto"/>
        <w:contextualSpacing/>
        <w:rPr>
          <w:rFonts w:ascii="Times New Roman" w:eastAsia="Calibri" w:hAnsi="Times New Roman" w:cs="Times New Roman"/>
          <w:sz w:val="26"/>
          <w:szCs w:val="26"/>
        </w:rPr>
      </w:pPr>
    </w:p>
    <w:p w:rsidR="009B2DCA" w:rsidRDefault="009B2DCA" w:rsidP="00A4206F">
      <w:pPr>
        <w:keepNext/>
        <w:spacing w:after="0" w:line="360" w:lineRule="auto"/>
        <w:contextualSpacing/>
        <w:rPr>
          <w:rFonts w:ascii="Times New Roman" w:eastAsia="Calibri" w:hAnsi="Times New Roman" w:cs="Times New Roman"/>
          <w:sz w:val="26"/>
          <w:szCs w:val="26"/>
        </w:rPr>
      </w:pPr>
      <w:r w:rsidRPr="00E9658C">
        <w:rPr>
          <w:rFonts w:ascii="Times New Roman" w:eastAsia="Calibri" w:hAnsi="Times New Roman" w:cs="Times New Roman"/>
          <w:i/>
          <w:sz w:val="26"/>
          <w:szCs w:val="26"/>
        </w:rPr>
        <w:t>Tracking Quick-</w:t>
      </w:r>
      <w:r w:rsidR="00562C93" w:rsidRPr="00E9658C">
        <w:rPr>
          <w:rFonts w:ascii="Times New Roman" w:eastAsia="Calibri" w:hAnsi="Times New Roman" w:cs="Times New Roman"/>
          <w:i/>
          <w:sz w:val="26"/>
          <w:szCs w:val="26"/>
        </w:rPr>
        <w:t>F</w:t>
      </w:r>
      <w:r w:rsidRPr="00E9658C">
        <w:rPr>
          <w:rFonts w:ascii="Times New Roman" w:eastAsia="Calibri" w:hAnsi="Times New Roman" w:cs="Times New Roman"/>
          <w:i/>
          <w:sz w:val="26"/>
          <w:szCs w:val="26"/>
        </w:rPr>
        <w:t>ix</w:t>
      </w:r>
      <w:r w:rsidR="00562C93" w:rsidRPr="00E9658C">
        <w:rPr>
          <w:rFonts w:ascii="Times New Roman" w:eastAsia="Calibri" w:hAnsi="Times New Roman" w:cs="Times New Roman"/>
          <w:i/>
          <w:sz w:val="26"/>
          <w:szCs w:val="26"/>
        </w:rPr>
        <w:t xml:space="preserve"> Referrals</w:t>
      </w:r>
    </w:p>
    <w:p w:rsidR="009B2DCA" w:rsidRPr="00C47F76" w:rsidRDefault="009B2DCA" w:rsidP="00A4206F">
      <w:pPr>
        <w:keepNext/>
        <w:spacing w:after="0" w:line="360" w:lineRule="auto"/>
        <w:contextualSpacing/>
        <w:rPr>
          <w:rFonts w:ascii="Times New Roman" w:eastAsia="Calibri" w:hAnsi="Times New Roman" w:cs="Times New Roman"/>
          <w:sz w:val="26"/>
          <w:szCs w:val="26"/>
        </w:rPr>
      </w:pPr>
    </w:p>
    <w:p w:rsidR="00C47F76" w:rsidRPr="00C47F76" w:rsidRDefault="00C47F76" w:rsidP="00231829">
      <w:pPr>
        <w:spacing w:after="0" w:line="360" w:lineRule="auto"/>
        <w:contextualSpacing/>
        <w:rPr>
          <w:rFonts w:ascii="Times New Roman" w:eastAsia="Times New Roman" w:hAnsi="Times New Roman" w:cs="Times New Roman"/>
          <w:sz w:val="26"/>
          <w:szCs w:val="26"/>
        </w:rPr>
      </w:pPr>
      <w:r w:rsidRPr="00C47F76">
        <w:rPr>
          <w:rFonts w:ascii="Times New Roman" w:eastAsia="Calibri" w:hAnsi="Times New Roman" w:cs="Times New Roman"/>
          <w:sz w:val="26"/>
          <w:szCs w:val="26"/>
        </w:rPr>
        <w:tab/>
      </w:r>
      <w:r w:rsidR="009B2DCA">
        <w:rPr>
          <w:rFonts w:ascii="Times New Roman" w:eastAsia="Calibri" w:hAnsi="Times New Roman" w:cs="Times New Roman"/>
          <w:sz w:val="26"/>
          <w:szCs w:val="26"/>
        </w:rPr>
        <w:t xml:space="preserve">In its </w:t>
      </w:r>
      <w:r w:rsidR="00E316E3">
        <w:rPr>
          <w:rFonts w:ascii="Times New Roman" w:eastAsia="Calibri" w:hAnsi="Times New Roman" w:cs="Times New Roman"/>
          <w:sz w:val="26"/>
          <w:szCs w:val="26"/>
        </w:rPr>
        <w:t xml:space="preserve">Revised </w:t>
      </w:r>
      <w:r w:rsidR="009B2DCA">
        <w:rPr>
          <w:rFonts w:ascii="Times New Roman" w:eastAsia="Calibri" w:hAnsi="Times New Roman" w:cs="Times New Roman"/>
          <w:sz w:val="26"/>
          <w:szCs w:val="26"/>
        </w:rPr>
        <w:t xml:space="preserve">2014-2016 Plan, PGW </w:t>
      </w:r>
      <w:r w:rsidR="00562C93">
        <w:rPr>
          <w:rFonts w:ascii="Times New Roman" w:eastAsia="Calibri" w:hAnsi="Times New Roman" w:cs="Times New Roman"/>
          <w:sz w:val="26"/>
          <w:szCs w:val="26"/>
        </w:rPr>
        <w:t>reported</w:t>
      </w:r>
      <w:r w:rsidR="009B2DCA">
        <w:rPr>
          <w:rFonts w:ascii="Times New Roman" w:eastAsia="Calibri" w:hAnsi="Times New Roman" w:cs="Times New Roman"/>
          <w:sz w:val="26"/>
          <w:szCs w:val="26"/>
        </w:rPr>
        <w:t xml:space="preserve"> that enhancements were being</w:t>
      </w:r>
      <w:r w:rsidRPr="00C47F76">
        <w:rPr>
          <w:rFonts w:ascii="Times New Roman" w:eastAsia="Calibri" w:hAnsi="Times New Roman" w:cs="Times New Roman"/>
          <w:sz w:val="26"/>
          <w:szCs w:val="26"/>
        </w:rPr>
        <w:t xml:space="preserve"> made</w:t>
      </w:r>
      <w:r w:rsidR="00562C93">
        <w:rPr>
          <w:rFonts w:ascii="Times New Roman" w:eastAsia="Calibri" w:hAnsi="Times New Roman" w:cs="Times New Roman"/>
          <w:sz w:val="26"/>
          <w:szCs w:val="26"/>
        </w:rPr>
        <w:t xml:space="preserve"> to the CARES program to allow</w:t>
      </w:r>
      <w:r w:rsidRPr="00C47F76">
        <w:rPr>
          <w:rFonts w:ascii="Times New Roman" w:eastAsia="Calibri" w:hAnsi="Times New Roman" w:cs="Times New Roman"/>
          <w:sz w:val="26"/>
          <w:szCs w:val="26"/>
        </w:rPr>
        <w:t xml:space="preserve"> ongoing t</w:t>
      </w:r>
      <w:r w:rsidR="009B2DCA">
        <w:rPr>
          <w:rFonts w:ascii="Times New Roman" w:eastAsia="Calibri" w:hAnsi="Times New Roman" w:cs="Times New Roman"/>
          <w:sz w:val="26"/>
          <w:szCs w:val="26"/>
        </w:rPr>
        <w:t>racking of quick-fix referrals.</w:t>
      </w:r>
      <w:r w:rsidR="00562C93">
        <w:rPr>
          <w:rStyle w:val="FootnoteReference"/>
          <w:rFonts w:ascii="Times New Roman" w:eastAsia="Calibri" w:hAnsi="Times New Roman" w:cs="Times New Roman"/>
          <w:sz w:val="26"/>
          <w:szCs w:val="26"/>
        </w:rPr>
        <w:footnoteReference w:id="38"/>
      </w:r>
      <w:r w:rsidR="009B2DCA">
        <w:rPr>
          <w:rFonts w:ascii="Times New Roman" w:eastAsia="Calibri" w:hAnsi="Times New Roman" w:cs="Times New Roman"/>
          <w:sz w:val="26"/>
          <w:szCs w:val="26"/>
        </w:rPr>
        <w:t xml:space="preserve">  </w:t>
      </w:r>
      <w:r w:rsidR="003B3911">
        <w:rPr>
          <w:rFonts w:ascii="Times New Roman" w:eastAsia="Calibri" w:hAnsi="Times New Roman" w:cs="Times New Roman"/>
          <w:sz w:val="26"/>
          <w:szCs w:val="26"/>
        </w:rPr>
        <w:t>Revised 2014-2016 USECP</w:t>
      </w:r>
      <w:r w:rsidR="009B2DCA">
        <w:rPr>
          <w:rFonts w:ascii="Times New Roman" w:eastAsia="Calibri" w:hAnsi="Times New Roman" w:cs="Times New Roman"/>
          <w:sz w:val="26"/>
          <w:szCs w:val="26"/>
        </w:rPr>
        <w:t xml:space="preserve"> at 20</w:t>
      </w:r>
      <w:r w:rsidRPr="00C47F76">
        <w:rPr>
          <w:rFonts w:ascii="Times New Roman" w:eastAsia="Calibri" w:hAnsi="Times New Roman" w:cs="Times New Roman"/>
          <w:sz w:val="26"/>
          <w:szCs w:val="26"/>
        </w:rPr>
        <w:t xml:space="preserve">.  </w:t>
      </w:r>
      <w:r w:rsidR="00562C93">
        <w:rPr>
          <w:rFonts w:ascii="Times New Roman" w:eastAsia="Calibri" w:hAnsi="Times New Roman" w:cs="Times New Roman"/>
          <w:sz w:val="26"/>
          <w:szCs w:val="26"/>
        </w:rPr>
        <w:t xml:space="preserve">In the </w:t>
      </w:r>
      <w:r w:rsidR="00B05CE6">
        <w:rPr>
          <w:rFonts w:ascii="Times New Roman" w:eastAsia="Calibri" w:hAnsi="Times New Roman" w:cs="Times New Roman"/>
          <w:sz w:val="26"/>
          <w:szCs w:val="26"/>
        </w:rPr>
        <w:t xml:space="preserve">Amended </w:t>
      </w:r>
      <w:r w:rsidR="00562C93">
        <w:rPr>
          <w:rFonts w:ascii="Times New Roman" w:eastAsia="Calibri" w:hAnsi="Times New Roman" w:cs="Times New Roman"/>
          <w:sz w:val="26"/>
          <w:szCs w:val="26"/>
        </w:rPr>
        <w:t xml:space="preserve">Proposed 2017-2020 Plan, the Company states that quick fix referrals are not tracked.  </w:t>
      </w:r>
      <w:r w:rsidR="00B05CE6">
        <w:rPr>
          <w:rFonts w:ascii="Times New Roman" w:eastAsia="Calibri" w:hAnsi="Times New Roman" w:cs="Times New Roman"/>
          <w:sz w:val="26"/>
          <w:szCs w:val="26"/>
        </w:rPr>
        <w:t xml:space="preserve">Amended Proposed </w:t>
      </w:r>
      <w:r w:rsidR="006D37DE">
        <w:rPr>
          <w:rFonts w:ascii="Times New Roman" w:eastAsia="Calibri" w:hAnsi="Times New Roman" w:cs="Times New Roman"/>
          <w:sz w:val="26"/>
          <w:szCs w:val="26"/>
        </w:rPr>
        <w:t xml:space="preserve">2017-2020 </w:t>
      </w:r>
      <w:r w:rsidR="00B05CE6">
        <w:rPr>
          <w:rFonts w:ascii="Times New Roman" w:eastAsia="Calibri" w:hAnsi="Times New Roman" w:cs="Times New Roman"/>
          <w:sz w:val="26"/>
          <w:szCs w:val="26"/>
        </w:rPr>
        <w:t>Plan at 27</w:t>
      </w:r>
      <w:r w:rsidR="008A16F5">
        <w:rPr>
          <w:rFonts w:ascii="Times New Roman" w:eastAsia="Calibri" w:hAnsi="Times New Roman" w:cs="Times New Roman"/>
          <w:sz w:val="26"/>
          <w:szCs w:val="26"/>
        </w:rPr>
        <w:t xml:space="preserve">. </w:t>
      </w:r>
    </w:p>
    <w:p w:rsidR="00C47F76" w:rsidRPr="00C47F76" w:rsidRDefault="00C47F76" w:rsidP="00231829">
      <w:pPr>
        <w:spacing w:after="0" w:line="360" w:lineRule="auto"/>
        <w:contextualSpacing/>
        <w:rPr>
          <w:rFonts w:ascii="Times New Roman" w:eastAsia="Times New Roman" w:hAnsi="Times New Roman" w:cs="Times New Roman"/>
          <w:sz w:val="26"/>
          <w:szCs w:val="26"/>
        </w:rPr>
      </w:pPr>
    </w:p>
    <w:p w:rsidR="00C47F76" w:rsidRPr="00C47F76" w:rsidRDefault="008A16F5" w:rsidP="00E9658C">
      <w:pPr>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B71E16">
        <w:rPr>
          <w:rFonts w:ascii="Times New Roman" w:eastAsia="Times New Roman" w:hAnsi="Times New Roman" w:cs="Times New Roman"/>
          <w:sz w:val="26"/>
          <w:szCs w:val="26"/>
        </w:rPr>
        <w:t xml:space="preserve">In </w:t>
      </w:r>
      <w:r>
        <w:rPr>
          <w:rFonts w:ascii="Times New Roman" w:eastAsia="Times New Roman" w:hAnsi="Times New Roman" w:cs="Times New Roman"/>
          <w:sz w:val="26"/>
          <w:szCs w:val="26"/>
        </w:rPr>
        <w:t>the Tentative Order, we asked</w:t>
      </w:r>
      <w:r w:rsidR="00E9658C">
        <w:rPr>
          <w:rFonts w:ascii="Times New Roman" w:eastAsia="Times New Roman" w:hAnsi="Times New Roman" w:cs="Times New Roman"/>
          <w:sz w:val="26"/>
          <w:szCs w:val="26"/>
        </w:rPr>
        <w:t xml:space="preserve"> PGW </w:t>
      </w:r>
      <w:r w:rsidR="009F48B1">
        <w:rPr>
          <w:rFonts w:ascii="Times New Roman" w:eastAsia="Times New Roman" w:hAnsi="Times New Roman" w:cs="Times New Roman"/>
          <w:sz w:val="26"/>
          <w:szCs w:val="26"/>
        </w:rPr>
        <w:t xml:space="preserve">to </w:t>
      </w:r>
      <w:r w:rsidR="00E9658C">
        <w:rPr>
          <w:rFonts w:ascii="Times New Roman" w:eastAsia="Times New Roman" w:hAnsi="Times New Roman" w:cs="Times New Roman"/>
          <w:sz w:val="26"/>
          <w:szCs w:val="26"/>
        </w:rPr>
        <w:t xml:space="preserve">explain why it has not implemented the system enhancements needed to track quick-fix </w:t>
      </w:r>
      <w:r w:rsidR="003B3911">
        <w:rPr>
          <w:rFonts w:ascii="Times New Roman" w:eastAsia="Times New Roman" w:hAnsi="Times New Roman" w:cs="Times New Roman"/>
          <w:sz w:val="26"/>
          <w:szCs w:val="26"/>
        </w:rPr>
        <w:t xml:space="preserve">CARES </w:t>
      </w:r>
      <w:r w:rsidR="00E9658C">
        <w:rPr>
          <w:rFonts w:ascii="Times New Roman" w:eastAsia="Times New Roman" w:hAnsi="Times New Roman" w:cs="Times New Roman"/>
          <w:sz w:val="26"/>
          <w:szCs w:val="26"/>
        </w:rPr>
        <w:t>referrals</w:t>
      </w:r>
      <w:r w:rsidR="009F48B1">
        <w:rPr>
          <w:rFonts w:ascii="Times New Roman" w:eastAsia="Times New Roman" w:hAnsi="Times New Roman" w:cs="Times New Roman"/>
          <w:sz w:val="26"/>
          <w:szCs w:val="26"/>
        </w:rPr>
        <w:t xml:space="preserve"> and when</w:t>
      </w:r>
      <w:r w:rsidR="006D37DE">
        <w:rPr>
          <w:rFonts w:ascii="Times New Roman" w:eastAsia="Times New Roman" w:hAnsi="Times New Roman" w:cs="Times New Roman"/>
          <w:sz w:val="26"/>
          <w:szCs w:val="26"/>
        </w:rPr>
        <w:t xml:space="preserve"> it plans to implement the tracking mechanism in </w:t>
      </w:r>
      <w:r w:rsidR="006D37DE" w:rsidRPr="008D3BFA">
        <w:rPr>
          <w:rFonts w:ascii="Times New Roman" w:eastAsia="Times New Roman" w:hAnsi="Times New Roman" w:cs="Times New Roman"/>
          <w:sz w:val="26"/>
          <w:szCs w:val="26"/>
        </w:rPr>
        <w:t>the future</w:t>
      </w:r>
      <w:r w:rsidR="00E9658C" w:rsidRPr="008D3BFA">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p>
    <w:p w:rsidR="00C47F76" w:rsidRDefault="00C47F76" w:rsidP="00231829">
      <w:pPr>
        <w:tabs>
          <w:tab w:val="left" w:pos="720"/>
        </w:tabs>
        <w:spacing w:after="0" w:line="360" w:lineRule="auto"/>
        <w:contextualSpacing/>
        <w:rPr>
          <w:rFonts w:ascii="Times New Roman" w:eastAsia="Times New Roman" w:hAnsi="Times New Roman" w:cs="Times New Roman"/>
          <w:sz w:val="26"/>
          <w:szCs w:val="26"/>
        </w:rPr>
      </w:pPr>
    </w:p>
    <w:p w:rsidR="0069683C" w:rsidRDefault="002C6C27" w:rsidP="0069683C">
      <w:pPr>
        <w:spacing w:line="360" w:lineRule="auto"/>
        <w:contextualSpacing/>
        <w:rPr>
          <w:rFonts w:ascii="Times New Roman" w:hAnsi="Times New Roman" w:cs="Times New Roman"/>
          <w:sz w:val="26"/>
          <w:szCs w:val="26"/>
        </w:rPr>
      </w:pPr>
      <w:r>
        <w:rPr>
          <w:rFonts w:ascii="Times New Roman" w:hAnsi="Times New Roman" w:cs="Times New Roman"/>
          <w:sz w:val="26"/>
          <w:szCs w:val="26"/>
        </w:rPr>
        <w:tab/>
      </w:r>
      <w:r w:rsidR="0069683C">
        <w:rPr>
          <w:rFonts w:ascii="Times New Roman" w:hAnsi="Times New Roman" w:cs="Times New Roman"/>
          <w:sz w:val="26"/>
          <w:szCs w:val="26"/>
        </w:rPr>
        <w:t>PGW reports that its current system process to track quick-fix referrals is “not being used fully because it has proven overly time consuming to complete.”  PGW Supplemental Information at 26.  The Company is planning a system enhancement for spring 2017 that will allow for tracking of quick-fix referrals on an annual basis.  PGW Supplemental Information at 26.</w:t>
      </w:r>
    </w:p>
    <w:p w:rsidR="0069683C" w:rsidRDefault="0069683C" w:rsidP="0069683C">
      <w:pPr>
        <w:spacing w:line="360" w:lineRule="auto"/>
        <w:contextualSpacing/>
        <w:rPr>
          <w:rFonts w:ascii="Times New Roman" w:hAnsi="Times New Roman" w:cs="Times New Roman"/>
          <w:sz w:val="26"/>
          <w:szCs w:val="26"/>
        </w:rPr>
      </w:pPr>
    </w:p>
    <w:p w:rsidR="008A16F5" w:rsidRDefault="002C6C27" w:rsidP="0069683C">
      <w:pPr>
        <w:tabs>
          <w:tab w:val="left" w:pos="720"/>
        </w:tabs>
        <w:spacing w:after="0" w:line="360" w:lineRule="auto"/>
        <w:contextualSpacing/>
        <w:rPr>
          <w:rFonts w:ascii="Times New Roman" w:hAnsi="Times New Roman" w:cs="Times New Roman"/>
          <w:sz w:val="26"/>
          <w:szCs w:val="26"/>
        </w:rPr>
      </w:pPr>
      <w:r>
        <w:rPr>
          <w:rFonts w:ascii="Times New Roman" w:hAnsi="Times New Roman" w:cs="Times New Roman"/>
          <w:sz w:val="26"/>
          <w:szCs w:val="26"/>
        </w:rPr>
        <w:tab/>
      </w:r>
      <w:r w:rsidR="0069683C">
        <w:rPr>
          <w:rFonts w:ascii="Times New Roman" w:hAnsi="Times New Roman" w:cs="Times New Roman"/>
          <w:sz w:val="26"/>
          <w:szCs w:val="26"/>
        </w:rPr>
        <w:t xml:space="preserve">TURN </w:t>
      </w:r>
      <w:r w:rsidR="00A9778A" w:rsidRPr="00A9778A">
        <w:rPr>
          <w:rFonts w:ascii="Times New Roman" w:hAnsi="Times New Roman" w:cs="Times New Roman"/>
          <w:i/>
          <w:sz w:val="26"/>
          <w:szCs w:val="26"/>
        </w:rPr>
        <w:t>et al</w:t>
      </w:r>
      <w:r w:rsidR="0069683C">
        <w:rPr>
          <w:rFonts w:ascii="Times New Roman" w:hAnsi="Times New Roman" w:cs="Times New Roman"/>
          <w:sz w:val="26"/>
          <w:szCs w:val="26"/>
        </w:rPr>
        <w:t xml:space="preserve">. asserts that PGW has provided insufficient data to determine the status of its CARES program.  TURN </w:t>
      </w:r>
      <w:r w:rsidR="00A9778A" w:rsidRPr="00A9778A">
        <w:rPr>
          <w:rFonts w:ascii="Times New Roman" w:hAnsi="Times New Roman" w:cs="Times New Roman"/>
          <w:i/>
          <w:sz w:val="26"/>
          <w:szCs w:val="26"/>
        </w:rPr>
        <w:t>et al</w:t>
      </w:r>
      <w:r w:rsidR="0069683C">
        <w:rPr>
          <w:rFonts w:ascii="Times New Roman" w:hAnsi="Times New Roman" w:cs="Times New Roman"/>
          <w:sz w:val="26"/>
          <w:szCs w:val="26"/>
        </w:rPr>
        <w:t xml:space="preserve">. notes that the </w:t>
      </w:r>
      <w:r w:rsidR="00E9432E">
        <w:rPr>
          <w:rFonts w:ascii="Times New Roman" w:hAnsi="Times New Roman" w:cs="Times New Roman"/>
          <w:sz w:val="26"/>
          <w:szCs w:val="26"/>
        </w:rPr>
        <w:t xml:space="preserve">Company </w:t>
      </w:r>
      <w:r w:rsidR="0069683C">
        <w:rPr>
          <w:rFonts w:ascii="Times New Roman" w:hAnsi="Times New Roman" w:cs="Times New Roman"/>
          <w:sz w:val="26"/>
          <w:szCs w:val="26"/>
        </w:rPr>
        <w:t xml:space="preserve">does not provide a detailed description about the program’s structure or dedicated staff and resources.  TURN </w:t>
      </w:r>
      <w:r w:rsidR="00A9778A" w:rsidRPr="00A9778A">
        <w:rPr>
          <w:rFonts w:ascii="Times New Roman" w:hAnsi="Times New Roman" w:cs="Times New Roman"/>
          <w:i/>
          <w:sz w:val="26"/>
          <w:szCs w:val="26"/>
        </w:rPr>
        <w:t>et al</w:t>
      </w:r>
      <w:r w:rsidR="0069683C">
        <w:rPr>
          <w:rFonts w:ascii="Times New Roman" w:hAnsi="Times New Roman" w:cs="Times New Roman"/>
          <w:sz w:val="26"/>
          <w:szCs w:val="26"/>
        </w:rPr>
        <w:t xml:space="preserve">. recommends the Commission refer this matter to the OALJ for an evidentiary hearing.  Alternatively, TURN </w:t>
      </w:r>
      <w:r w:rsidR="00A9778A" w:rsidRPr="00A9778A">
        <w:rPr>
          <w:rFonts w:ascii="Times New Roman" w:hAnsi="Times New Roman" w:cs="Times New Roman"/>
          <w:i/>
          <w:sz w:val="26"/>
          <w:szCs w:val="26"/>
        </w:rPr>
        <w:t>et al</w:t>
      </w:r>
      <w:r w:rsidR="0069683C">
        <w:rPr>
          <w:rFonts w:ascii="Times New Roman" w:hAnsi="Times New Roman" w:cs="Times New Roman"/>
          <w:sz w:val="26"/>
          <w:szCs w:val="26"/>
        </w:rPr>
        <w:t>. requests the Commission require PGW to provide more information about the CARES tracking system and case management.</w:t>
      </w:r>
      <w:r>
        <w:rPr>
          <w:rFonts w:ascii="Times New Roman" w:hAnsi="Times New Roman" w:cs="Times New Roman"/>
          <w:sz w:val="26"/>
          <w:szCs w:val="26"/>
        </w:rPr>
        <w:t xml:space="preserve">  TURN </w:t>
      </w:r>
      <w:r w:rsidRPr="002C6C27">
        <w:rPr>
          <w:rFonts w:ascii="Times New Roman" w:hAnsi="Times New Roman" w:cs="Times New Roman"/>
          <w:i/>
          <w:sz w:val="26"/>
          <w:szCs w:val="26"/>
        </w:rPr>
        <w:t>et al</w:t>
      </w:r>
      <w:r>
        <w:rPr>
          <w:rFonts w:ascii="Times New Roman" w:hAnsi="Times New Roman" w:cs="Times New Roman"/>
          <w:sz w:val="26"/>
          <w:szCs w:val="26"/>
        </w:rPr>
        <w:t>. Comments at 17-18.</w:t>
      </w:r>
    </w:p>
    <w:p w:rsidR="0069683C" w:rsidRDefault="0069683C" w:rsidP="0069683C">
      <w:pPr>
        <w:tabs>
          <w:tab w:val="left" w:pos="720"/>
        </w:tabs>
        <w:spacing w:after="0" w:line="360" w:lineRule="auto"/>
        <w:contextualSpacing/>
        <w:rPr>
          <w:rFonts w:ascii="Times New Roman" w:hAnsi="Times New Roman" w:cs="Times New Roman"/>
          <w:sz w:val="26"/>
          <w:szCs w:val="26"/>
        </w:rPr>
      </w:pPr>
    </w:p>
    <w:p w:rsidR="0069683C" w:rsidRDefault="0069683C" w:rsidP="0069683C">
      <w:pPr>
        <w:tabs>
          <w:tab w:val="left" w:pos="720"/>
        </w:tabs>
        <w:spacing w:after="0" w:line="360" w:lineRule="auto"/>
        <w:contextualSpacing/>
        <w:rPr>
          <w:rFonts w:ascii="Times New Roman" w:eastAsia="Times New Roman" w:hAnsi="Times New Roman" w:cs="Times New Roman"/>
          <w:sz w:val="26"/>
          <w:szCs w:val="26"/>
        </w:rPr>
      </w:pPr>
      <w:r w:rsidRPr="005B0B72">
        <w:rPr>
          <w:rFonts w:ascii="Times New Roman" w:eastAsia="Times New Roman" w:hAnsi="Times New Roman" w:cs="Times New Roman"/>
          <w:i/>
          <w:sz w:val="26"/>
          <w:szCs w:val="26"/>
        </w:rPr>
        <w:t>Resolution</w:t>
      </w:r>
      <w:r>
        <w:rPr>
          <w:rFonts w:ascii="Times New Roman" w:eastAsia="Times New Roman" w:hAnsi="Times New Roman" w:cs="Times New Roman"/>
          <w:sz w:val="26"/>
          <w:szCs w:val="26"/>
        </w:rPr>
        <w:t>:</w:t>
      </w:r>
      <w:r w:rsidR="00C1648C">
        <w:rPr>
          <w:rFonts w:ascii="Times New Roman" w:eastAsia="Times New Roman" w:hAnsi="Times New Roman" w:cs="Times New Roman"/>
          <w:sz w:val="26"/>
          <w:szCs w:val="26"/>
        </w:rPr>
        <w:t xml:space="preserve"> We agree, in part, </w:t>
      </w:r>
      <w:r w:rsidR="002C6C27">
        <w:rPr>
          <w:rFonts w:ascii="Times New Roman" w:eastAsia="Times New Roman" w:hAnsi="Times New Roman" w:cs="Times New Roman"/>
          <w:sz w:val="26"/>
          <w:szCs w:val="26"/>
        </w:rPr>
        <w:t xml:space="preserve">with TURN </w:t>
      </w:r>
      <w:r w:rsidR="002C6C27" w:rsidRPr="00B172C1">
        <w:rPr>
          <w:rFonts w:ascii="Times New Roman" w:eastAsia="Times New Roman" w:hAnsi="Times New Roman" w:cs="Times New Roman"/>
          <w:i/>
          <w:sz w:val="26"/>
          <w:szCs w:val="26"/>
        </w:rPr>
        <w:t>et al</w:t>
      </w:r>
      <w:r w:rsidR="002C6C27">
        <w:rPr>
          <w:rFonts w:ascii="Times New Roman" w:eastAsia="Times New Roman" w:hAnsi="Times New Roman" w:cs="Times New Roman"/>
          <w:sz w:val="26"/>
          <w:szCs w:val="26"/>
        </w:rPr>
        <w:t xml:space="preserve">. that the lack of information </w:t>
      </w:r>
      <w:r w:rsidR="00190225">
        <w:rPr>
          <w:rFonts w:ascii="Times New Roman" w:eastAsia="Times New Roman" w:hAnsi="Times New Roman" w:cs="Times New Roman"/>
          <w:sz w:val="26"/>
          <w:szCs w:val="26"/>
        </w:rPr>
        <w:t xml:space="preserve">about CARES </w:t>
      </w:r>
      <w:r w:rsidR="00C1648C">
        <w:rPr>
          <w:rFonts w:ascii="Times New Roman" w:eastAsia="Times New Roman" w:hAnsi="Times New Roman" w:cs="Times New Roman"/>
          <w:sz w:val="26"/>
          <w:szCs w:val="26"/>
        </w:rPr>
        <w:t>referral activity m</w:t>
      </w:r>
      <w:r w:rsidR="00190225">
        <w:rPr>
          <w:rFonts w:ascii="Times New Roman" w:eastAsia="Times New Roman" w:hAnsi="Times New Roman" w:cs="Times New Roman"/>
          <w:sz w:val="26"/>
          <w:szCs w:val="26"/>
        </w:rPr>
        <w:t>akes it difficult to track</w:t>
      </w:r>
      <w:r w:rsidR="00C1648C">
        <w:rPr>
          <w:rFonts w:ascii="Times New Roman" w:eastAsia="Times New Roman" w:hAnsi="Times New Roman" w:cs="Times New Roman"/>
          <w:sz w:val="26"/>
          <w:szCs w:val="26"/>
        </w:rPr>
        <w:t xml:space="preserve"> </w:t>
      </w:r>
      <w:r w:rsidR="00190225">
        <w:rPr>
          <w:rFonts w:ascii="Times New Roman" w:eastAsia="Times New Roman" w:hAnsi="Times New Roman" w:cs="Times New Roman"/>
          <w:sz w:val="26"/>
          <w:szCs w:val="26"/>
        </w:rPr>
        <w:t xml:space="preserve">and evaluate </w:t>
      </w:r>
      <w:r w:rsidR="00C1648C">
        <w:rPr>
          <w:rFonts w:ascii="Times New Roman" w:eastAsia="Times New Roman" w:hAnsi="Times New Roman" w:cs="Times New Roman"/>
          <w:sz w:val="26"/>
          <w:szCs w:val="26"/>
        </w:rPr>
        <w:t>the</w:t>
      </w:r>
      <w:r w:rsidR="00190225">
        <w:rPr>
          <w:rFonts w:ascii="Times New Roman" w:eastAsia="Times New Roman" w:hAnsi="Times New Roman" w:cs="Times New Roman"/>
          <w:sz w:val="26"/>
          <w:szCs w:val="26"/>
        </w:rPr>
        <w:t xml:space="preserve"> effectiveness of the program.  Accordingly, we direct PGW to file and serve an annual report detailing the number of customers served through CARES case management and quick-fix referral services during the previous calendar year.  The </w:t>
      </w:r>
      <w:r w:rsidR="005B0B72">
        <w:rPr>
          <w:rFonts w:ascii="Times New Roman" w:eastAsia="Times New Roman" w:hAnsi="Times New Roman" w:cs="Times New Roman"/>
          <w:sz w:val="26"/>
          <w:szCs w:val="26"/>
        </w:rPr>
        <w:t xml:space="preserve">Company shall file and serve the </w:t>
      </w:r>
      <w:r w:rsidR="00190225">
        <w:rPr>
          <w:rFonts w:ascii="Times New Roman" w:eastAsia="Times New Roman" w:hAnsi="Times New Roman" w:cs="Times New Roman"/>
          <w:sz w:val="26"/>
          <w:szCs w:val="26"/>
        </w:rPr>
        <w:t>first report – describing 2017 activity</w:t>
      </w:r>
      <w:r w:rsidR="005B0B72">
        <w:rPr>
          <w:rStyle w:val="FootnoteReference"/>
          <w:rFonts w:ascii="Times New Roman" w:eastAsia="Times New Roman" w:hAnsi="Times New Roman" w:cs="Times New Roman"/>
          <w:sz w:val="26"/>
          <w:szCs w:val="26"/>
        </w:rPr>
        <w:footnoteReference w:id="39"/>
      </w:r>
      <w:r w:rsidR="00885AFA">
        <w:rPr>
          <w:rFonts w:ascii="Times New Roman" w:eastAsia="Times New Roman" w:hAnsi="Times New Roman" w:cs="Times New Roman"/>
          <w:sz w:val="26"/>
          <w:szCs w:val="26"/>
        </w:rPr>
        <w:t xml:space="preserve"> – </w:t>
      </w:r>
      <w:r w:rsidR="005B0B72">
        <w:rPr>
          <w:rFonts w:ascii="Times New Roman" w:eastAsia="Times New Roman" w:hAnsi="Times New Roman" w:cs="Times New Roman"/>
          <w:sz w:val="26"/>
          <w:szCs w:val="26"/>
        </w:rPr>
        <w:t xml:space="preserve">by April 1, 2018 and submit a report </w:t>
      </w:r>
      <w:r w:rsidR="00BB337B">
        <w:rPr>
          <w:rFonts w:ascii="Times New Roman" w:eastAsia="Times New Roman" w:hAnsi="Times New Roman" w:cs="Times New Roman"/>
          <w:sz w:val="26"/>
          <w:szCs w:val="26"/>
        </w:rPr>
        <w:t>by April 1</w:t>
      </w:r>
      <w:r w:rsidR="001F2C0E">
        <w:rPr>
          <w:rFonts w:ascii="Times New Roman" w:eastAsia="Times New Roman" w:hAnsi="Times New Roman" w:cs="Times New Roman"/>
          <w:sz w:val="26"/>
          <w:szCs w:val="26"/>
        </w:rPr>
        <w:t xml:space="preserve"> </w:t>
      </w:r>
      <w:r w:rsidR="00BB337B">
        <w:rPr>
          <w:rFonts w:ascii="Times New Roman" w:eastAsia="Times New Roman" w:hAnsi="Times New Roman" w:cs="Times New Roman"/>
          <w:sz w:val="26"/>
          <w:szCs w:val="26"/>
        </w:rPr>
        <w:t>each year</w:t>
      </w:r>
      <w:r w:rsidR="005B0B72">
        <w:rPr>
          <w:rFonts w:ascii="Times New Roman" w:eastAsia="Times New Roman" w:hAnsi="Times New Roman" w:cs="Times New Roman"/>
          <w:sz w:val="26"/>
          <w:szCs w:val="26"/>
        </w:rPr>
        <w:t xml:space="preserve"> through 2020.  We shall evaluate the need for further reports in PGW’s 2021-2023 USECP proceeding. </w:t>
      </w:r>
      <w:r w:rsidR="00190225">
        <w:rPr>
          <w:rFonts w:ascii="Times New Roman" w:eastAsia="Times New Roman" w:hAnsi="Times New Roman" w:cs="Times New Roman"/>
          <w:sz w:val="26"/>
          <w:szCs w:val="26"/>
        </w:rPr>
        <w:t xml:space="preserve"> </w:t>
      </w:r>
    </w:p>
    <w:p w:rsidR="0069683C" w:rsidRPr="00C47F76" w:rsidRDefault="0069683C" w:rsidP="0069683C">
      <w:pPr>
        <w:tabs>
          <w:tab w:val="left" w:pos="720"/>
        </w:tabs>
        <w:spacing w:after="0" w:line="360" w:lineRule="auto"/>
        <w:contextualSpacing/>
        <w:rPr>
          <w:rFonts w:ascii="Times New Roman" w:eastAsia="Times New Roman" w:hAnsi="Times New Roman" w:cs="Times New Roman"/>
          <w:sz w:val="26"/>
          <w:szCs w:val="26"/>
        </w:rPr>
      </w:pPr>
    </w:p>
    <w:p w:rsidR="00C47F76" w:rsidRPr="00C47F76" w:rsidRDefault="00C47F76" w:rsidP="00231829">
      <w:pPr>
        <w:keepNext/>
        <w:tabs>
          <w:tab w:val="left" w:pos="0"/>
        </w:tabs>
        <w:spacing w:after="0" w:line="360" w:lineRule="auto"/>
        <w:contextualSpacing/>
        <w:rPr>
          <w:rFonts w:ascii="Times New Roman" w:eastAsia="Times New Roman" w:hAnsi="Times New Roman" w:cs="Times New Roman"/>
          <w:sz w:val="26"/>
          <w:szCs w:val="26"/>
          <w:u w:val="single"/>
        </w:rPr>
      </w:pPr>
      <w:r w:rsidRPr="00C47F76">
        <w:rPr>
          <w:rFonts w:ascii="Times New Roman" w:eastAsia="Times New Roman" w:hAnsi="Times New Roman" w:cs="Times New Roman"/>
          <w:sz w:val="26"/>
          <w:szCs w:val="26"/>
          <w:u w:val="single"/>
        </w:rPr>
        <w:lastRenderedPageBreak/>
        <w:t>4.  Hardship Fund</w:t>
      </w:r>
    </w:p>
    <w:p w:rsidR="00C47F76" w:rsidRPr="00C47F76" w:rsidRDefault="00C47F76" w:rsidP="00231829">
      <w:pPr>
        <w:keepNext/>
        <w:tabs>
          <w:tab w:val="left" w:pos="720"/>
        </w:tabs>
        <w:spacing w:after="0" w:line="360" w:lineRule="auto"/>
        <w:contextualSpacing/>
        <w:rPr>
          <w:rFonts w:ascii="Times New Roman" w:eastAsia="Times New Roman" w:hAnsi="Times New Roman" w:cs="Times New Roman"/>
          <w:sz w:val="26"/>
          <w:szCs w:val="26"/>
          <w:u w:val="single"/>
        </w:rPr>
      </w:pPr>
    </w:p>
    <w:p w:rsidR="00605522" w:rsidRDefault="007A36D1" w:rsidP="00231829">
      <w:pPr>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t>PGW conducts its</w:t>
      </w:r>
      <w:r w:rsidR="00E873A8">
        <w:rPr>
          <w:rFonts w:ascii="Times New Roman" w:eastAsia="Times New Roman" w:hAnsi="Times New Roman" w:cs="Times New Roman"/>
          <w:sz w:val="26"/>
          <w:szCs w:val="26"/>
        </w:rPr>
        <w:t xml:space="preserve"> Hardship F</w:t>
      </w:r>
      <w:r w:rsidR="00C47F76" w:rsidRPr="00C47F76">
        <w:rPr>
          <w:rFonts w:ascii="Times New Roman" w:eastAsia="Times New Roman" w:hAnsi="Times New Roman" w:cs="Times New Roman"/>
          <w:sz w:val="26"/>
          <w:szCs w:val="26"/>
        </w:rPr>
        <w:t xml:space="preserve">und </w:t>
      </w:r>
      <w:r w:rsidR="00E873A8">
        <w:rPr>
          <w:rFonts w:ascii="Times New Roman" w:eastAsia="Times New Roman" w:hAnsi="Times New Roman" w:cs="Times New Roman"/>
          <w:sz w:val="26"/>
          <w:szCs w:val="26"/>
        </w:rPr>
        <w:t xml:space="preserve">program </w:t>
      </w:r>
      <w:r w:rsidR="00C47F76" w:rsidRPr="00C47F76">
        <w:rPr>
          <w:rFonts w:ascii="Times New Roman" w:eastAsia="Times New Roman" w:hAnsi="Times New Roman" w:cs="Times New Roman"/>
          <w:sz w:val="26"/>
          <w:szCs w:val="26"/>
        </w:rPr>
        <w:t xml:space="preserve">in partnership with the Utility Emergency </w:t>
      </w:r>
      <w:r w:rsidR="00605522">
        <w:rPr>
          <w:rFonts w:ascii="Times New Roman" w:eastAsia="Times New Roman" w:hAnsi="Times New Roman" w:cs="Times New Roman"/>
          <w:sz w:val="26"/>
          <w:szCs w:val="26"/>
        </w:rPr>
        <w:t xml:space="preserve">Service Fund (UESF) to provide </w:t>
      </w:r>
      <w:r w:rsidR="00C47F76" w:rsidRPr="00C47F76">
        <w:rPr>
          <w:rFonts w:ascii="Times New Roman" w:eastAsia="Times New Roman" w:hAnsi="Times New Roman" w:cs="Times New Roman"/>
          <w:sz w:val="26"/>
          <w:szCs w:val="26"/>
        </w:rPr>
        <w:t>financial assistance to eligible custo</w:t>
      </w:r>
      <w:r w:rsidR="00605522">
        <w:rPr>
          <w:rFonts w:ascii="Times New Roman" w:eastAsia="Times New Roman" w:hAnsi="Times New Roman" w:cs="Times New Roman"/>
          <w:sz w:val="26"/>
          <w:szCs w:val="26"/>
        </w:rPr>
        <w:t>mers whose service is terminated</w:t>
      </w:r>
      <w:r w:rsidR="00C47F76" w:rsidRPr="00C47F76">
        <w:rPr>
          <w:rFonts w:ascii="Times New Roman" w:eastAsia="Times New Roman" w:hAnsi="Times New Roman" w:cs="Times New Roman"/>
          <w:sz w:val="26"/>
          <w:szCs w:val="26"/>
        </w:rPr>
        <w:t xml:space="preserve"> or </w:t>
      </w:r>
      <w:r w:rsidR="00605522">
        <w:rPr>
          <w:rFonts w:ascii="Times New Roman" w:eastAsia="Times New Roman" w:hAnsi="Times New Roman" w:cs="Times New Roman"/>
          <w:sz w:val="26"/>
          <w:szCs w:val="26"/>
        </w:rPr>
        <w:t>in termination status</w:t>
      </w:r>
      <w:r w:rsidR="00C47F76" w:rsidRPr="00C47F76">
        <w:rPr>
          <w:rFonts w:ascii="Times New Roman" w:eastAsia="Times New Roman" w:hAnsi="Times New Roman" w:cs="Times New Roman"/>
          <w:sz w:val="26"/>
          <w:szCs w:val="26"/>
        </w:rPr>
        <w:t xml:space="preserve">.  PGW contributions will match a UESF grant </w:t>
      </w:r>
      <w:r w:rsidR="00605522">
        <w:rPr>
          <w:rFonts w:ascii="Times New Roman" w:eastAsia="Times New Roman" w:hAnsi="Times New Roman" w:cs="Times New Roman"/>
          <w:sz w:val="26"/>
          <w:szCs w:val="26"/>
        </w:rPr>
        <w:t xml:space="preserve">via a bill credit </w:t>
      </w:r>
      <w:r w:rsidR="00C47F76" w:rsidRPr="00C47F76">
        <w:rPr>
          <w:rFonts w:ascii="Times New Roman" w:eastAsia="Times New Roman" w:hAnsi="Times New Roman" w:cs="Times New Roman"/>
          <w:sz w:val="26"/>
          <w:szCs w:val="26"/>
        </w:rPr>
        <w:t xml:space="preserve">up to $750 to help resolve a heating emergency.  The combination of the PGW matching credit and the UESF grant cannot exceed $1,500 and must eliminate all arrears.  </w:t>
      </w:r>
    </w:p>
    <w:p w:rsidR="00605522" w:rsidRDefault="00605522" w:rsidP="00231829">
      <w:pPr>
        <w:spacing w:after="0" w:line="360" w:lineRule="auto"/>
        <w:contextualSpacing/>
        <w:rPr>
          <w:rFonts w:ascii="Times New Roman" w:eastAsia="Times New Roman" w:hAnsi="Times New Roman" w:cs="Times New Roman"/>
          <w:sz w:val="26"/>
          <w:szCs w:val="26"/>
        </w:rPr>
      </w:pPr>
    </w:p>
    <w:p w:rsidR="009F48B1" w:rsidRDefault="00605522" w:rsidP="00757042">
      <w:pPr>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C47F76" w:rsidRPr="00C47F76">
        <w:rPr>
          <w:rFonts w:ascii="Times New Roman" w:eastAsia="Times New Roman" w:hAnsi="Times New Roman" w:cs="Times New Roman"/>
          <w:sz w:val="26"/>
          <w:szCs w:val="26"/>
        </w:rPr>
        <w:t>To qualify fo</w:t>
      </w:r>
      <w:r>
        <w:rPr>
          <w:rFonts w:ascii="Times New Roman" w:eastAsia="Times New Roman" w:hAnsi="Times New Roman" w:cs="Times New Roman"/>
          <w:sz w:val="26"/>
          <w:szCs w:val="26"/>
        </w:rPr>
        <w:t>r PGW’s Hardship F</w:t>
      </w:r>
      <w:r w:rsidR="00C47F76" w:rsidRPr="00C47F76">
        <w:rPr>
          <w:rFonts w:ascii="Times New Roman" w:eastAsia="Times New Roman" w:hAnsi="Times New Roman" w:cs="Times New Roman"/>
          <w:sz w:val="26"/>
          <w:szCs w:val="26"/>
        </w:rPr>
        <w:t xml:space="preserve">und, a customer’s service must be off or </w:t>
      </w:r>
      <w:r w:rsidR="00E873A8">
        <w:rPr>
          <w:rFonts w:ascii="Times New Roman" w:eastAsia="Times New Roman" w:hAnsi="Times New Roman" w:cs="Times New Roman"/>
          <w:sz w:val="26"/>
          <w:szCs w:val="26"/>
        </w:rPr>
        <w:t>be under threat of termination</w:t>
      </w:r>
      <w:r w:rsidR="00970AEC">
        <w:rPr>
          <w:rFonts w:ascii="Times New Roman" w:eastAsia="Times New Roman" w:hAnsi="Times New Roman" w:cs="Times New Roman"/>
          <w:sz w:val="26"/>
          <w:szCs w:val="26"/>
        </w:rPr>
        <w:t>.  Further, the customer</w:t>
      </w:r>
      <w:r w:rsidR="00E873A8">
        <w:rPr>
          <w:rFonts w:ascii="Times New Roman" w:eastAsia="Times New Roman" w:hAnsi="Times New Roman" w:cs="Times New Roman"/>
          <w:sz w:val="26"/>
          <w:szCs w:val="26"/>
        </w:rPr>
        <w:t xml:space="preserve"> </w:t>
      </w:r>
      <w:r w:rsidR="00C47F76" w:rsidRPr="00C47F76">
        <w:rPr>
          <w:rFonts w:ascii="Times New Roman" w:eastAsia="Times New Roman" w:hAnsi="Times New Roman" w:cs="Times New Roman"/>
          <w:sz w:val="26"/>
          <w:szCs w:val="26"/>
        </w:rPr>
        <w:t>must not have received a UESF grant within the past two years</w:t>
      </w:r>
      <w:r w:rsidR="00970AEC">
        <w:rPr>
          <w:rFonts w:ascii="Times New Roman" w:eastAsia="Times New Roman" w:hAnsi="Times New Roman" w:cs="Times New Roman"/>
          <w:sz w:val="26"/>
          <w:szCs w:val="26"/>
        </w:rPr>
        <w:t>,</w:t>
      </w:r>
      <w:r w:rsidR="00C47F76" w:rsidRPr="00C47F76">
        <w:rPr>
          <w:rFonts w:ascii="Times New Roman" w:eastAsia="Times New Roman" w:hAnsi="Times New Roman" w:cs="Times New Roman"/>
          <w:sz w:val="26"/>
          <w:szCs w:val="26"/>
        </w:rPr>
        <w:t xml:space="preserve"> must have applied for LIHEAP Cash and Crisis grants (if available), and </w:t>
      </w:r>
      <w:r w:rsidR="00E873A8">
        <w:rPr>
          <w:rFonts w:ascii="Times New Roman" w:eastAsia="Times New Roman" w:hAnsi="Times New Roman" w:cs="Times New Roman"/>
          <w:sz w:val="26"/>
          <w:szCs w:val="26"/>
        </w:rPr>
        <w:t xml:space="preserve">must </w:t>
      </w:r>
      <w:r w:rsidR="00C47F76" w:rsidRPr="00C47F76">
        <w:rPr>
          <w:rFonts w:ascii="Times New Roman" w:eastAsia="Times New Roman" w:hAnsi="Times New Roman" w:cs="Times New Roman"/>
          <w:sz w:val="26"/>
          <w:szCs w:val="26"/>
        </w:rPr>
        <w:t>have a gross household income</w:t>
      </w:r>
      <w:r w:rsidR="003D2E38">
        <w:rPr>
          <w:rFonts w:ascii="Times New Roman" w:eastAsia="Times New Roman" w:hAnsi="Times New Roman" w:cs="Times New Roman"/>
          <w:sz w:val="26"/>
          <w:szCs w:val="26"/>
        </w:rPr>
        <w:t xml:space="preserve"> at or below</w:t>
      </w:r>
      <w:r w:rsidR="00757042">
        <w:rPr>
          <w:rFonts w:ascii="Times New Roman" w:eastAsia="Times New Roman" w:hAnsi="Times New Roman" w:cs="Times New Roman"/>
          <w:sz w:val="26"/>
          <w:szCs w:val="26"/>
        </w:rPr>
        <w:t xml:space="preserve"> 175% of the FPIG.</w:t>
      </w:r>
      <w:r w:rsidR="00C47F76" w:rsidRPr="00C47F76">
        <w:rPr>
          <w:rFonts w:ascii="Times New Roman" w:eastAsia="Times New Roman" w:hAnsi="Times New Roman" w:cs="Times New Roman"/>
          <w:sz w:val="26"/>
          <w:szCs w:val="26"/>
        </w:rPr>
        <w:t xml:space="preserve">  PGW ant</w:t>
      </w:r>
      <w:r>
        <w:rPr>
          <w:rFonts w:ascii="Times New Roman" w:eastAsia="Times New Roman" w:hAnsi="Times New Roman" w:cs="Times New Roman"/>
          <w:sz w:val="26"/>
          <w:szCs w:val="26"/>
        </w:rPr>
        <w:t>icipates contributing $795,500</w:t>
      </w:r>
      <w:r w:rsidR="00C47F76" w:rsidRPr="00C47F76">
        <w:rPr>
          <w:rFonts w:ascii="Times New Roman" w:eastAsia="Times New Roman" w:hAnsi="Times New Roman" w:cs="Times New Roman"/>
          <w:sz w:val="26"/>
          <w:szCs w:val="26"/>
        </w:rPr>
        <w:t xml:space="preserve"> annually </w:t>
      </w:r>
      <w:r w:rsidR="00E873A8">
        <w:rPr>
          <w:rFonts w:ascii="Times New Roman" w:eastAsia="Times New Roman" w:hAnsi="Times New Roman" w:cs="Times New Roman"/>
          <w:sz w:val="26"/>
          <w:szCs w:val="26"/>
        </w:rPr>
        <w:t>to Hardship F</w:t>
      </w:r>
      <w:r w:rsidR="00757042">
        <w:rPr>
          <w:rFonts w:ascii="Times New Roman" w:eastAsia="Times New Roman" w:hAnsi="Times New Roman" w:cs="Times New Roman"/>
          <w:sz w:val="26"/>
          <w:szCs w:val="26"/>
        </w:rPr>
        <w:t>und grants for 2017-2020</w:t>
      </w:r>
      <w:r w:rsidR="00E873A8">
        <w:rPr>
          <w:rFonts w:ascii="Times New Roman" w:eastAsia="Times New Roman" w:hAnsi="Times New Roman" w:cs="Times New Roman"/>
          <w:sz w:val="26"/>
          <w:szCs w:val="26"/>
        </w:rPr>
        <w:t>.  The Company estimates</w:t>
      </w:r>
      <w:r w:rsidR="00C47F76" w:rsidRPr="00C47F76">
        <w:rPr>
          <w:rFonts w:ascii="Times New Roman" w:eastAsia="Times New Roman" w:hAnsi="Times New Roman" w:cs="Times New Roman"/>
          <w:sz w:val="26"/>
          <w:szCs w:val="26"/>
        </w:rPr>
        <w:t xml:space="preserve"> operating (administrative) costs for this prog</w:t>
      </w:r>
      <w:r>
        <w:rPr>
          <w:rFonts w:ascii="Times New Roman" w:eastAsia="Times New Roman" w:hAnsi="Times New Roman" w:cs="Times New Roman"/>
          <w:sz w:val="26"/>
          <w:szCs w:val="26"/>
        </w:rPr>
        <w:t xml:space="preserve">ram </w:t>
      </w:r>
      <w:r w:rsidR="00E873A8">
        <w:rPr>
          <w:rFonts w:ascii="Times New Roman" w:eastAsia="Times New Roman" w:hAnsi="Times New Roman" w:cs="Times New Roman"/>
          <w:sz w:val="26"/>
          <w:szCs w:val="26"/>
        </w:rPr>
        <w:t>will be</w:t>
      </w:r>
      <w:r>
        <w:rPr>
          <w:rFonts w:ascii="Times New Roman" w:eastAsia="Times New Roman" w:hAnsi="Times New Roman" w:cs="Times New Roman"/>
          <w:sz w:val="26"/>
          <w:szCs w:val="26"/>
        </w:rPr>
        <w:t xml:space="preserve"> $260,149</w:t>
      </w:r>
      <w:r w:rsidR="00C47F76" w:rsidRPr="00C47F76">
        <w:rPr>
          <w:rFonts w:ascii="Times New Roman" w:eastAsia="Times New Roman" w:hAnsi="Times New Roman" w:cs="Times New Roman"/>
          <w:sz w:val="26"/>
          <w:szCs w:val="26"/>
        </w:rPr>
        <w:t xml:space="preserve"> annually.  </w:t>
      </w:r>
    </w:p>
    <w:p w:rsidR="009F48B1" w:rsidRDefault="009F48B1" w:rsidP="00757042">
      <w:pPr>
        <w:spacing w:after="0" w:line="360" w:lineRule="auto"/>
        <w:contextualSpacing/>
        <w:rPr>
          <w:rFonts w:ascii="Times New Roman" w:eastAsia="Times New Roman" w:hAnsi="Times New Roman" w:cs="Times New Roman"/>
          <w:sz w:val="26"/>
          <w:szCs w:val="26"/>
        </w:rPr>
      </w:pPr>
    </w:p>
    <w:p w:rsidR="00757042" w:rsidRPr="00AF4663" w:rsidRDefault="00757042" w:rsidP="00757042">
      <w:pPr>
        <w:spacing w:after="0" w:line="360" w:lineRule="auto"/>
        <w:contextualSpacing/>
        <w:rPr>
          <w:rFonts w:ascii="Times New Roman" w:eastAsia="Times New Roman" w:hAnsi="Times New Roman" w:cs="Times New Roman"/>
          <w:sz w:val="26"/>
          <w:szCs w:val="26"/>
        </w:rPr>
      </w:pPr>
      <w:r w:rsidRPr="00AF4663">
        <w:rPr>
          <w:rFonts w:ascii="Times New Roman" w:eastAsia="Times New Roman" w:hAnsi="Times New Roman" w:cs="Times New Roman"/>
          <w:i/>
          <w:sz w:val="26"/>
          <w:szCs w:val="26"/>
        </w:rPr>
        <w:t>Requiring the Hardship Fund Grant to Satisfy Deferred Arrears</w:t>
      </w:r>
    </w:p>
    <w:p w:rsidR="00757042" w:rsidRDefault="00757042" w:rsidP="00757042">
      <w:pPr>
        <w:spacing w:after="0" w:line="360" w:lineRule="auto"/>
        <w:contextualSpacing/>
        <w:rPr>
          <w:rFonts w:ascii="Times New Roman" w:eastAsia="Times New Roman" w:hAnsi="Times New Roman" w:cs="Times New Roman"/>
          <w:sz w:val="26"/>
          <w:szCs w:val="26"/>
        </w:rPr>
      </w:pPr>
    </w:p>
    <w:p w:rsidR="00757042" w:rsidRDefault="00AF4663" w:rsidP="00757042">
      <w:pPr>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757042" w:rsidRPr="008D3BFA">
        <w:rPr>
          <w:rFonts w:ascii="Times New Roman" w:eastAsia="Times New Roman" w:hAnsi="Times New Roman" w:cs="Times New Roman"/>
          <w:sz w:val="26"/>
          <w:szCs w:val="26"/>
        </w:rPr>
        <w:t xml:space="preserve">The </w:t>
      </w:r>
      <w:r w:rsidR="00B3369E" w:rsidRPr="008D3BFA">
        <w:rPr>
          <w:rFonts w:ascii="Times New Roman" w:eastAsia="Times New Roman" w:hAnsi="Times New Roman" w:cs="Times New Roman"/>
          <w:sz w:val="26"/>
          <w:szCs w:val="26"/>
        </w:rPr>
        <w:t xml:space="preserve">Amended </w:t>
      </w:r>
      <w:r w:rsidR="00757042" w:rsidRPr="008D3BFA">
        <w:rPr>
          <w:rFonts w:ascii="Times New Roman" w:eastAsia="Times New Roman" w:hAnsi="Times New Roman" w:cs="Times New Roman"/>
          <w:sz w:val="26"/>
          <w:szCs w:val="26"/>
        </w:rPr>
        <w:t>Proposed 2017-2020 Plan</w:t>
      </w:r>
      <w:r w:rsidR="00757042">
        <w:rPr>
          <w:rFonts w:ascii="Times New Roman" w:eastAsia="Times New Roman" w:hAnsi="Times New Roman" w:cs="Times New Roman"/>
          <w:sz w:val="26"/>
          <w:szCs w:val="26"/>
        </w:rPr>
        <w:t xml:space="preserve"> states that </w:t>
      </w:r>
      <w:r w:rsidR="003D2E38">
        <w:rPr>
          <w:rFonts w:ascii="Times New Roman" w:eastAsia="Times New Roman" w:hAnsi="Times New Roman" w:cs="Times New Roman"/>
          <w:sz w:val="26"/>
          <w:szCs w:val="26"/>
        </w:rPr>
        <w:t>customers may only qualify for the</w:t>
      </w:r>
      <w:r w:rsidR="00757042">
        <w:rPr>
          <w:rFonts w:ascii="Times New Roman" w:eastAsia="Times New Roman" w:hAnsi="Times New Roman" w:cs="Times New Roman"/>
          <w:sz w:val="26"/>
          <w:szCs w:val="26"/>
        </w:rPr>
        <w:t xml:space="preserve"> Hardship Fund </w:t>
      </w:r>
      <w:r w:rsidR="003D2E38">
        <w:rPr>
          <w:rFonts w:ascii="Times New Roman" w:eastAsia="Times New Roman" w:hAnsi="Times New Roman" w:cs="Times New Roman"/>
          <w:sz w:val="26"/>
          <w:szCs w:val="26"/>
        </w:rPr>
        <w:t xml:space="preserve">if the UESF </w:t>
      </w:r>
      <w:r w:rsidR="00757042">
        <w:rPr>
          <w:rFonts w:ascii="Times New Roman" w:eastAsia="Times New Roman" w:hAnsi="Times New Roman" w:cs="Times New Roman"/>
          <w:sz w:val="26"/>
          <w:szCs w:val="26"/>
        </w:rPr>
        <w:t>grant and PG</w:t>
      </w:r>
      <w:r w:rsidR="003D2E38">
        <w:rPr>
          <w:rFonts w:ascii="Times New Roman" w:eastAsia="Times New Roman" w:hAnsi="Times New Roman" w:cs="Times New Roman"/>
          <w:sz w:val="26"/>
          <w:szCs w:val="26"/>
        </w:rPr>
        <w:t xml:space="preserve">W matching credit </w:t>
      </w:r>
      <w:r w:rsidR="00757042">
        <w:rPr>
          <w:rFonts w:ascii="Times New Roman" w:eastAsia="Times New Roman" w:hAnsi="Times New Roman" w:cs="Times New Roman"/>
          <w:sz w:val="26"/>
          <w:szCs w:val="26"/>
        </w:rPr>
        <w:t xml:space="preserve">will eliminate all account arrears, including frozen </w:t>
      </w:r>
      <w:r w:rsidR="00E85EC4">
        <w:rPr>
          <w:rFonts w:ascii="Times New Roman" w:eastAsia="Times New Roman" w:hAnsi="Times New Roman" w:cs="Times New Roman"/>
          <w:sz w:val="26"/>
          <w:szCs w:val="26"/>
        </w:rPr>
        <w:t xml:space="preserve">(deferred) </w:t>
      </w:r>
      <w:r w:rsidR="00757042">
        <w:rPr>
          <w:rFonts w:ascii="Times New Roman" w:eastAsia="Times New Roman" w:hAnsi="Times New Roman" w:cs="Times New Roman"/>
          <w:sz w:val="26"/>
          <w:szCs w:val="26"/>
        </w:rPr>
        <w:t>arrears</w:t>
      </w:r>
      <w:r w:rsidR="003F0A36">
        <w:rPr>
          <w:rStyle w:val="FootnoteReference"/>
          <w:rFonts w:ascii="Times New Roman" w:eastAsia="Times New Roman" w:hAnsi="Times New Roman" w:cs="Times New Roman"/>
          <w:sz w:val="26"/>
          <w:szCs w:val="26"/>
        </w:rPr>
        <w:footnoteReference w:id="40"/>
      </w:r>
      <w:r w:rsidR="00757042">
        <w:rPr>
          <w:rFonts w:ascii="Times New Roman" w:eastAsia="Times New Roman" w:hAnsi="Times New Roman" w:cs="Times New Roman"/>
          <w:sz w:val="26"/>
          <w:szCs w:val="26"/>
        </w:rPr>
        <w:t xml:space="preserve"> </w:t>
      </w:r>
      <w:r w:rsidR="003D2E38">
        <w:rPr>
          <w:rFonts w:ascii="Times New Roman" w:eastAsia="Times New Roman" w:hAnsi="Times New Roman" w:cs="Times New Roman"/>
          <w:sz w:val="26"/>
          <w:szCs w:val="26"/>
        </w:rPr>
        <w:t>for CRP participants</w:t>
      </w:r>
      <w:r w:rsidR="006E7253">
        <w:rPr>
          <w:rFonts w:ascii="Times New Roman" w:eastAsia="Times New Roman" w:hAnsi="Times New Roman" w:cs="Times New Roman"/>
          <w:sz w:val="26"/>
          <w:szCs w:val="26"/>
        </w:rPr>
        <w:t xml:space="preserve">.  </w:t>
      </w:r>
      <w:r w:rsidR="00DB5500">
        <w:rPr>
          <w:rFonts w:ascii="Times New Roman" w:eastAsia="Times New Roman" w:hAnsi="Times New Roman" w:cs="Times New Roman"/>
          <w:sz w:val="26"/>
          <w:szCs w:val="26"/>
        </w:rPr>
        <w:t>Amended Proposed Plan at 29</w:t>
      </w:r>
      <w:r w:rsidR="006E7253">
        <w:rPr>
          <w:rFonts w:ascii="Times New Roman" w:eastAsia="Times New Roman" w:hAnsi="Times New Roman" w:cs="Times New Roman"/>
          <w:sz w:val="26"/>
          <w:szCs w:val="26"/>
        </w:rPr>
        <w:t xml:space="preserve">.  This requirement is unchanged from the Company’s </w:t>
      </w:r>
      <w:r w:rsidR="00970AEC">
        <w:rPr>
          <w:rFonts w:ascii="Times New Roman" w:eastAsia="Times New Roman" w:hAnsi="Times New Roman" w:cs="Times New Roman"/>
          <w:sz w:val="26"/>
          <w:szCs w:val="26"/>
        </w:rPr>
        <w:t xml:space="preserve">Revised </w:t>
      </w:r>
      <w:r w:rsidR="006E7253">
        <w:rPr>
          <w:rFonts w:ascii="Times New Roman" w:eastAsia="Times New Roman" w:hAnsi="Times New Roman" w:cs="Times New Roman"/>
          <w:sz w:val="26"/>
          <w:szCs w:val="26"/>
        </w:rPr>
        <w:t xml:space="preserve">2014-2016 Plan.  </w:t>
      </w:r>
      <w:r w:rsidR="003D2E38">
        <w:rPr>
          <w:rFonts w:ascii="Times New Roman" w:eastAsia="Times New Roman" w:hAnsi="Times New Roman" w:cs="Times New Roman"/>
          <w:sz w:val="26"/>
          <w:szCs w:val="26"/>
        </w:rPr>
        <w:t>Revised 2014-2016 USECP</w:t>
      </w:r>
      <w:r w:rsidR="006E7253">
        <w:rPr>
          <w:rFonts w:ascii="Times New Roman" w:eastAsia="Times New Roman" w:hAnsi="Times New Roman" w:cs="Times New Roman"/>
          <w:sz w:val="26"/>
          <w:szCs w:val="26"/>
        </w:rPr>
        <w:t xml:space="preserve"> at 21.  </w:t>
      </w:r>
    </w:p>
    <w:p w:rsidR="006E7253" w:rsidRDefault="006E7253" w:rsidP="00757042">
      <w:pPr>
        <w:spacing w:after="0" w:line="360" w:lineRule="auto"/>
        <w:contextualSpacing/>
        <w:rPr>
          <w:rFonts w:ascii="Times New Roman" w:eastAsia="Times New Roman" w:hAnsi="Times New Roman" w:cs="Times New Roman"/>
          <w:sz w:val="26"/>
          <w:szCs w:val="26"/>
        </w:rPr>
      </w:pPr>
    </w:p>
    <w:p w:rsidR="00C47F76" w:rsidRDefault="00AF4663" w:rsidP="005176E3">
      <w:pPr>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8A16F5">
        <w:rPr>
          <w:rFonts w:ascii="Times New Roman" w:eastAsia="Times New Roman" w:hAnsi="Times New Roman" w:cs="Times New Roman"/>
          <w:sz w:val="26"/>
          <w:szCs w:val="26"/>
        </w:rPr>
        <w:t xml:space="preserve">In the Tentative Order, we expressed concerns </w:t>
      </w:r>
      <w:r w:rsidR="003D2E38">
        <w:rPr>
          <w:rFonts w:ascii="Times New Roman" w:eastAsia="Times New Roman" w:hAnsi="Times New Roman" w:cs="Times New Roman"/>
          <w:sz w:val="26"/>
          <w:szCs w:val="26"/>
        </w:rPr>
        <w:t xml:space="preserve">about </w:t>
      </w:r>
      <w:r w:rsidR="006E7253">
        <w:rPr>
          <w:rFonts w:ascii="Times New Roman" w:eastAsia="Times New Roman" w:hAnsi="Times New Roman" w:cs="Times New Roman"/>
          <w:sz w:val="26"/>
          <w:szCs w:val="26"/>
        </w:rPr>
        <w:t>deny</w:t>
      </w:r>
      <w:r w:rsidR="003D2E38">
        <w:rPr>
          <w:rFonts w:ascii="Times New Roman" w:eastAsia="Times New Roman" w:hAnsi="Times New Roman" w:cs="Times New Roman"/>
          <w:sz w:val="26"/>
          <w:szCs w:val="26"/>
        </w:rPr>
        <w:t>ing</w:t>
      </w:r>
      <w:r w:rsidR="006E7253">
        <w:rPr>
          <w:rFonts w:ascii="Times New Roman" w:eastAsia="Times New Roman" w:hAnsi="Times New Roman" w:cs="Times New Roman"/>
          <w:sz w:val="26"/>
          <w:szCs w:val="26"/>
        </w:rPr>
        <w:t xml:space="preserve"> Hardship Fund </w:t>
      </w:r>
      <w:r w:rsidR="005C00B6">
        <w:rPr>
          <w:rFonts w:ascii="Times New Roman" w:eastAsia="Times New Roman" w:hAnsi="Times New Roman" w:cs="Times New Roman"/>
          <w:sz w:val="26"/>
          <w:szCs w:val="26"/>
        </w:rPr>
        <w:t>benefit</w:t>
      </w:r>
      <w:r w:rsidR="003D2E38">
        <w:rPr>
          <w:rFonts w:ascii="Times New Roman" w:eastAsia="Times New Roman" w:hAnsi="Times New Roman" w:cs="Times New Roman"/>
          <w:sz w:val="26"/>
          <w:szCs w:val="26"/>
        </w:rPr>
        <w:t>s</w:t>
      </w:r>
      <w:r w:rsidR="00E85EC4">
        <w:rPr>
          <w:rFonts w:ascii="Times New Roman" w:eastAsia="Times New Roman" w:hAnsi="Times New Roman" w:cs="Times New Roman"/>
          <w:sz w:val="26"/>
          <w:szCs w:val="26"/>
        </w:rPr>
        <w:t xml:space="preserve"> based on the amount of deferred arrears in a CRP account.  </w:t>
      </w:r>
      <w:r w:rsidR="00894D79">
        <w:rPr>
          <w:rFonts w:ascii="Times New Roman" w:eastAsia="Times New Roman" w:hAnsi="Times New Roman" w:cs="Times New Roman"/>
          <w:sz w:val="26"/>
          <w:szCs w:val="26"/>
        </w:rPr>
        <w:t xml:space="preserve">Deferred arrears are </w:t>
      </w:r>
      <w:r w:rsidR="00894D79">
        <w:rPr>
          <w:rFonts w:ascii="Times New Roman" w:eastAsia="Times New Roman" w:hAnsi="Times New Roman" w:cs="Times New Roman"/>
          <w:sz w:val="26"/>
          <w:szCs w:val="26"/>
        </w:rPr>
        <w:lastRenderedPageBreak/>
        <w:t xml:space="preserve">not part of the balance owed by CRP customers </w:t>
      </w:r>
      <w:r w:rsidR="00E85EC4">
        <w:rPr>
          <w:rFonts w:ascii="Times New Roman" w:eastAsia="Times New Roman" w:hAnsi="Times New Roman" w:cs="Times New Roman"/>
          <w:sz w:val="26"/>
          <w:szCs w:val="26"/>
        </w:rPr>
        <w:t>to restore service</w:t>
      </w:r>
      <w:r w:rsidR="003D2E38">
        <w:rPr>
          <w:rStyle w:val="FootnoteReference"/>
          <w:rFonts w:ascii="Times New Roman" w:eastAsia="Times New Roman" w:hAnsi="Times New Roman" w:cs="Times New Roman"/>
          <w:sz w:val="26"/>
          <w:szCs w:val="26"/>
        </w:rPr>
        <w:footnoteReference w:id="41"/>
      </w:r>
      <w:r w:rsidR="00E85EC4">
        <w:rPr>
          <w:rFonts w:ascii="Times New Roman" w:eastAsia="Times New Roman" w:hAnsi="Times New Roman" w:cs="Times New Roman"/>
          <w:sz w:val="26"/>
          <w:szCs w:val="26"/>
        </w:rPr>
        <w:t xml:space="preserve"> or </w:t>
      </w:r>
      <w:r w:rsidR="00970AEC">
        <w:rPr>
          <w:rFonts w:ascii="Times New Roman" w:eastAsia="Times New Roman" w:hAnsi="Times New Roman" w:cs="Times New Roman"/>
          <w:sz w:val="26"/>
          <w:szCs w:val="26"/>
        </w:rPr>
        <w:t xml:space="preserve">to </w:t>
      </w:r>
      <w:r w:rsidR="00E85EC4">
        <w:rPr>
          <w:rFonts w:ascii="Times New Roman" w:eastAsia="Times New Roman" w:hAnsi="Times New Roman" w:cs="Times New Roman"/>
          <w:sz w:val="26"/>
          <w:szCs w:val="26"/>
        </w:rPr>
        <w:t xml:space="preserve">avoid service termination.  </w:t>
      </w:r>
      <w:r w:rsidR="008A16F5">
        <w:rPr>
          <w:rFonts w:ascii="Times New Roman" w:eastAsia="Times New Roman" w:hAnsi="Times New Roman" w:cs="Times New Roman"/>
          <w:sz w:val="26"/>
          <w:szCs w:val="26"/>
        </w:rPr>
        <w:t>W</w:t>
      </w:r>
      <w:r w:rsidR="003470D8">
        <w:rPr>
          <w:rFonts w:ascii="Times New Roman" w:eastAsia="Times New Roman" w:hAnsi="Times New Roman" w:cs="Times New Roman"/>
          <w:sz w:val="26"/>
          <w:szCs w:val="26"/>
        </w:rPr>
        <w:t>e ask</w:t>
      </w:r>
      <w:r w:rsidR="008A16F5">
        <w:rPr>
          <w:rFonts w:ascii="Times New Roman" w:eastAsia="Times New Roman" w:hAnsi="Times New Roman" w:cs="Times New Roman"/>
          <w:sz w:val="26"/>
          <w:szCs w:val="26"/>
        </w:rPr>
        <w:t>ed</w:t>
      </w:r>
      <w:r w:rsidR="003470D8">
        <w:rPr>
          <w:rFonts w:ascii="Times New Roman" w:eastAsia="Times New Roman" w:hAnsi="Times New Roman" w:cs="Times New Roman"/>
          <w:sz w:val="26"/>
          <w:szCs w:val="26"/>
        </w:rPr>
        <w:t xml:space="preserve"> PGW t</w:t>
      </w:r>
      <w:r w:rsidR="008A16F5">
        <w:rPr>
          <w:rFonts w:ascii="Times New Roman" w:eastAsia="Times New Roman" w:hAnsi="Times New Roman" w:cs="Times New Roman"/>
          <w:sz w:val="26"/>
          <w:szCs w:val="26"/>
        </w:rPr>
        <w:t>o</w:t>
      </w:r>
      <w:r w:rsidR="00903DE2">
        <w:rPr>
          <w:rFonts w:ascii="Times New Roman" w:eastAsia="Times New Roman" w:hAnsi="Times New Roman" w:cs="Times New Roman"/>
          <w:sz w:val="26"/>
          <w:szCs w:val="26"/>
        </w:rPr>
        <w:t xml:space="preserve"> </w:t>
      </w:r>
      <w:r w:rsidR="003470D8">
        <w:rPr>
          <w:rFonts w:ascii="Times New Roman" w:eastAsia="Times New Roman" w:hAnsi="Times New Roman" w:cs="Times New Roman"/>
          <w:sz w:val="26"/>
          <w:szCs w:val="26"/>
        </w:rPr>
        <w:t xml:space="preserve">modify its Hardship Fund policy </w:t>
      </w:r>
      <w:r w:rsidR="006F2B98">
        <w:rPr>
          <w:rFonts w:ascii="Times New Roman" w:eastAsia="Times New Roman" w:hAnsi="Times New Roman" w:cs="Times New Roman"/>
          <w:sz w:val="26"/>
          <w:szCs w:val="26"/>
        </w:rPr>
        <w:t xml:space="preserve">and eliminate the requirement that a Hardship Fund grant must satisfy </w:t>
      </w:r>
      <w:r w:rsidR="002D41F2" w:rsidRPr="008D3BFA">
        <w:rPr>
          <w:rFonts w:ascii="Times New Roman" w:eastAsia="Times New Roman" w:hAnsi="Times New Roman" w:cs="Times New Roman"/>
          <w:sz w:val="26"/>
          <w:szCs w:val="26"/>
        </w:rPr>
        <w:t>a CRP customer</w:t>
      </w:r>
      <w:r w:rsidR="005C00B6" w:rsidRPr="008D3BFA">
        <w:rPr>
          <w:rFonts w:ascii="Times New Roman" w:eastAsia="Times New Roman" w:hAnsi="Times New Roman" w:cs="Times New Roman"/>
          <w:sz w:val="26"/>
          <w:szCs w:val="26"/>
        </w:rPr>
        <w:t>’s</w:t>
      </w:r>
      <w:r w:rsidR="002D41F2" w:rsidRPr="008D3BFA">
        <w:rPr>
          <w:rFonts w:ascii="Times New Roman" w:eastAsia="Times New Roman" w:hAnsi="Times New Roman" w:cs="Times New Roman"/>
          <w:sz w:val="26"/>
          <w:szCs w:val="26"/>
        </w:rPr>
        <w:t xml:space="preserve"> deferre</w:t>
      </w:r>
      <w:r w:rsidR="006F2B98">
        <w:rPr>
          <w:rFonts w:ascii="Times New Roman" w:eastAsia="Times New Roman" w:hAnsi="Times New Roman" w:cs="Times New Roman"/>
          <w:sz w:val="26"/>
          <w:szCs w:val="26"/>
        </w:rPr>
        <w:t>d arrearage balance</w:t>
      </w:r>
      <w:r w:rsidR="00302036" w:rsidRPr="008D3BFA">
        <w:rPr>
          <w:rFonts w:ascii="Times New Roman" w:eastAsia="Times New Roman" w:hAnsi="Times New Roman" w:cs="Times New Roman"/>
          <w:sz w:val="26"/>
          <w:szCs w:val="26"/>
        </w:rPr>
        <w:t xml:space="preserve"> </w:t>
      </w:r>
      <w:r w:rsidR="00D12056" w:rsidRPr="008D3BFA">
        <w:rPr>
          <w:rFonts w:ascii="Times New Roman" w:eastAsia="Times New Roman" w:hAnsi="Times New Roman" w:cs="Times New Roman"/>
          <w:sz w:val="26"/>
          <w:szCs w:val="26"/>
        </w:rPr>
        <w:t>as a precondition for eligibility</w:t>
      </w:r>
      <w:r w:rsidR="002D41F2" w:rsidRPr="008D3BFA">
        <w:rPr>
          <w:rFonts w:ascii="Times New Roman" w:eastAsia="Times New Roman" w:hAnsi="Times New Roman" w:cs="Times New Roman"/>
          <w:sz w:val="26"/>
          <w:szCs w:val="26"/>
        </w:rPr>
        <w:t>.</w:t>
      </w:r>
      <w:r w:rsidR="008A16F5">
        <w:rPr>
          <w:rFonts w:ascii="Times New Roman" w:eastAsia="Times New Roman" w:hAnsi="Times New Roman" w:cs="Times New Roman"/>
          <w:sz w:val="26"/>
          <w:szCs w:val="26"/>
        </w:rPr>
        <w:t xml:space="preserve">  We also asked </w:t>
      </w:r>
      <w:r w:rsidR="00DB5500">
        <w:rPr>
          <w:rFonts w:ascii="Times New Roman" w:eastAsia="Times New Roman" w:hAnsi="Times New Roman" w:cs="Times New Roman"/>
          <w:sz w:val="26"/>
          <w:szCs w:val="26"/>
        </w:rPr>
        <w:t xml:space="preserve">PGW </w:t>
      </w:r>
      <w:r w:rsidR="008A16F5">
        <w:rPr>
          <w:rFonts w:ascii="Times New Roman" w:eastAsia="Times New Roman" w:hAnsi="Times New Roman" w:cs="Times New Roman"/>
          <w:sz w:val="26"/>
          <w:szCs w:val="26"/>
        </w:rPr>
        <w:t xml:space="preserve">to </w:t>
      </w:r>
      <w:r w:rsidR="00DB5500">
        <w:rPr>
          <w:rFonts w:ascii="Times New Roman" w:eastAsia="Times New Roman" w:hAnsi="Times New Roman" w:cs="Times New Roman"/>
          <w:sz w:val="26"/>
          <w:szCs w:val="26"/>
        </w:rPr>
        <w:t xml:space="preserve">identify the number of customers rejected for </w:t>
      </w:r>
      <w:r w:rsidR="00302036">
        <w:rPr>
          <w:rFonts w:ascii="Times New Roman" w:eastAsia="Times New Roman" w:hAnsi="Times New Roman" w:cs="Times New Roman"/>
          <w:sz w:val="26"/>
          <w:szCs w:val="26"/>
        </w:rPr>
        <w:t>H</w:t>
      </w:r>
      <w:r w:rsidR="00DB5500">
        <w:rPr>
          <w:rFonts w:ascii="Times New Roman" w:eastAsia="Times New Roman" w:hAnsi="Times New Roman" w:cs="Times New Roman"/>
          <w:sz w:val="26"/>
          <w:szCs w:val="26"/>
        </w:rPr>
        <w:t xml:space="preserve">ardship </w:t>
      </w:r>
      <w:r w:rsidR="00302036">
        <w:rPr>
          <w:rFonts w:ascii="Times New Roman" w:eastAsia="Times New Roman" w:hAnsi="Times New Roman" w:cs="Times New Roman"/>
          <w:sz w:val="26"/>
          <w:szCs w:val="26"/>
        </w:rPr>
        <w:t>F</w:t>
      </w:r>
      <w:r w:rsidR="00DB5500">
        <w:rPr>
          <w:rFonts w:ascii="Times New Roman" w:eastAsia="Times New Roman" w:hAnsi="Times New Roman" w:cs="Times New Roman"/>
          <w:sz w:val="26"/>
          <w:szCs w:val="26"/>
        </w:rPr>
        <w:t>und grants in 2014 and 2015 because the grant amount would not eliminate the</w:t>
      </w:r>
      <w:r w:rsidR="00B47891">
        <w:rPr>
          <w:rFonts w:ascii="Times New Roman" w:eastAsia="Times New Roman" w:hAnsi="Times New Roman" w:cs="Times New Roman"/>
          <w:sz w:val="26"/>
          <w:szCs w:val="26"/>
        </w:rPr>
        <w:t>ir</w:t>
      </w:r>
      <w:r w:rsidR="00DB5500">
        <w:rPr>
          <w:rFonts w:ascii="Times New Roman" w:eastAsia="Times New Roman" w:hAnsi="Times New Roman" w:cs="Times New Roman"/>
          <w:sz w:val="26"/>
          <w:szCs w:val="26"/>
        </w:rPr>
        <w:t xml:space="preserve"> deferred arrearage balance.</w:t>
      </w:r>
    </w:p>
    <w:p w:rsidR="0069683C" w:rsidRDefault="0069683C" w:rsidP="005176E3">
      <w:pPr>
        <w:spacing w:after="0" w:line="360" w:lineRule="auto"/>
        <w:contextualSpacing/>
        <w:rPr>
          <w:rFonts w:ascii="Times New Roman" w:eastAsia="Times New Roman" w:hAnsi="Times New Roman" w:cs="Times New Roman"/>
          <w:sz w:val="26"/>
          <w:szCs w:val="26"/>
        </w:rPr>
      </w:pPr>
    </w:p>
    <w:p w:rsidR="0069683C" w:rsidRPr="00D51854" w:rsidRDefault="0069683C" w:rsidP="0069683C">
      <w:pPr>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t>PGW reports that neither it nor UESF</w:t>
      </w:r>
      <w:r>
        <w:rPr>
          <w:rStyle w:val="FootnoteReference"/>
          <w:sz w:val="26"/>
          <w:szCs w:val="26"/>
        </w:rPr>
        <w:footnoteReference w:id="42"/>
      </w:r>
      <w:r>
        <w:rPr>
          <w:rFonts w:ascii="Times New Roman" w:eastAsia="Times New Roman" w:hAnsi="Times New Roman" w:cs="Times New Roman"/>
          <w:sz w:val="26"/>
          <w:szCs w:val="26"/>
        </w:rPr>
        <w:t xml:space="preserve"> track the number of customers rejected for Hardship Fund grants due to their deferred arrearage balance.  The Company explains that UESF established this policy in the early 1980’s and </w:t>
      </w:r>
      <w:r w:rsidR="00E9432E">
        <w:rPr>
          <w:rFonts w:ascii="Times New Roman" w:eastAsia="Times New Roman" w:hAnsi="Times New Roman" w:cs="Times New Roman"/>
          <w:sz w:val="26"/>
          <w:szCs w:val="26"/>
        </w:rPr>
        <w:t xml:space="preserve">that </w:t>
      </w:r>
      <w:r>
        <w:rPr>
          <w:rFonts w:ascii="Times New Roman" w:eastAsia="Times New Roman" w:hAnsi="Times New Roman" w:cs="Times New Roman"/>
          <w:sz w:val="26"/>
          <w:szCs w:val="26"/>
        </w:rPr>
        <w:t xml:space="preserve">PGW does not have the authority to change it.  In response to the Commission’s inquiries, the Company has engaged with discussions with UESF to (1) apply hardship funds to the CRP balance, but not all deferred arrears; and (2) remove the program requirement that the customer </w:t>
      </w:r>
      <w:r w:rsidRPr="00C47F76">
        <w:rPr>
          <w:rFonts w:ascii="Times New Roman" w:eastAsia="Times New Roman" w:hAnsi="Times New Roman" w:cs="Times New Roman"/>
          <w:sz w:val="26"/>
          <w:szCs w:val="26"/>
        </w:rPr>
        <w:t>must not have received a UESF grant within the past two years</w:t>
      </w:r>
      <w:r>
        <w:rPr>
          <w:rFonts w:ascii="Times New Roman" w:eastAsia="Times New Roman" w:hAnsi="Times New Roman" w:cs="Times New Roman"/>
          <w:sz w:val="26"/>
          <w:szCs w:val="26"/>
        </w:rPr>
        <w:t xml:space="preserve">.  </w:t>
      </w:r>
      <w:r w:rsidR="00E9432E">
        <w:rPr>
          <w:rFonts w:ascii="Times New Roman" w:eastAsia="Times New Roman" w:hAnsi="Times New Roman" w:cs="Times New Roman"/>
          <w:sz w:val="26"/>
          <w:szCs w:val="26"/>
        </w:rPr>
        <w:t xml:space="preserve">PGW reports that </w:t>
      </w:r>
      <w:r>
        <w:rPr>
          <w:rFonts w:ascii="Times New Roman" w:eastAsia="Times New Roman" w:hAnsi="Times New Roman" w:cs="Times New Roman"/>
          <w:sz w:val="26"/>
          <w:szCs w:val="26"/>
        </w:rPr>
        <w:t>UESF is open to consider</w:t>
      </w:r>
      <w:r w:rsidRPr="00D51854">
        <w:rPr>
          <w:rFonts w:ascii="Times New Roman" w:eastAsia="Times New Roman" w:hAnsi="Times New Roman" w:cs="Times New Roman"/>
          <w:sz w:val="26"/>
          <w:szCs w:val="26"/>
        </w:rPr>
        <w:t xml:space="preserve"> making these modifications.  UESF’s Board of Directors would need to authorize these changes prior to implementation.  PGW proposes to continue its discussions with UESF and implement these changes if approved by UESF’s Board.  PGW Supplemental Information at 27-28.  </w:t>
      </w:r>
    </w:p>
    <w:p w:rsidR="0069683C" w:rsidRPr="00D51854" w:rsidRDefault="0069683C" w:rsidP="0069683C">
      <w:pPr>
        <w:spacing w:line="360" w:lineRule="auto"/>
        <w:contextualSpacing/>
        <w:rPr>
          <w:rFonts w:ascii="Times New Roman" w:hAnsi="Times New Roman" w:cs="Times New Roman"/>
          <w:sz w:val="26"/>
          <w:szCs w:val="26"/>
        </w:rPr>
      </w:pPr>
    </w:p>
    <w:p w:rsidR="0069683C" w:rsidRDefault="0069683C" w:rsidP="0069683C">
      <w:pPr>
        <w:spacing w:line="360" w:lineRule="auto"/>
        <w:contextualSpacing/>
        <w:rPr>
          <w:rFonts w:ascii="Times New Roman" w:hAnsi="Times New Roman" w:cs="Times New Roman"/>
          <w:sz w:val="26"/>
          <w:szCs w:val="26"/>
        </w:rPr>
      </w:pPr>
      <w:r>
        <w:rPr>
          <w:rFonts w:ascii="Times New Roman" w:hAnsi="Times New Roman" w:cs="Times New Roman"/>
          <w:sz w:val="26"/>
          <w:szCs w:val="26"/>
        </w:rPr>
        <w:tab/>
        <w:t xml:space="preserve">CAUSE-PA, OCA, and TURN </w:t>
      </w:r>
      <w:r w:rsidR="00A9778A" w:rsidRPr="00A9778A">
        <w:rPr>
          <w:rFonts w:ascii="Times New Roman" w:hAnsi="Times New Roman" w:cs="Times New Roman"/>
          <w:i/>
          <w:sz w:val="26"/>
          <w:szCs w:val="26"/>
        </w:rPr>
        <w:t>et al</w:t>
      </w:r>
      <w:r>
        <w:rPr>
          <w:rFonts w:ascii="Times New Roman" w:hAnsi="Times New Roman" w:cs="Times New Roman"/>
          <w:sz w:val="26"/>
          <w:szCs w:val="26"/>
        </w:rPr>
        <w:t xml:space="preserve">. separately support eliminating the requirement that the Hardship Fund must satisfy the customer’s full balance, including any deferred pre-program arrears, in order to qualify for a grant.  CAUSE-PA Comments at 30; OCA Comments at 16; and TURN </w:t>
      </w:r>
      <w:r w:rsidR="00A9778A" w:rsidRPr="00A9778A">
        <w:rPr>
          <w:rFonts w:ascii="Times New Roman" w:hAnsi="Times New Roman" w:cs="Times New Roman"/>
          <w:i/>
          <w:sz w:val="26"/>
          <w:szCs w:val="26"/>
        </w:rPr>
        <w:t>et al</w:t>
      </w:r>
      <w:r>
        <w:rPr>
          <w:rFonts w:ascii="Times New Roman" w:hAnsi="Times New Roman" w:cs="Times New Roman"/>
          <w:sz w:val="26"/>
          <w:szCs w:val="26"/>
        </w:rPr>
        <w:t xml:space="preserve">. at 19.  CAUSE-PA asserts that UESF, or any contracted agency, should not dictate the rules of PGW’s universal service programs.  </w:t>
      </w:r>
      <w:r>
        <w:rPr>
          <w:rFonts w:ascii="Times New Roman" w:hAnsi="Times New Roman" w:cs="Times New Roman"/>
          <w:sz w:val="26"/>
          <w:szCs w:val="26"/>
        </w:rPr>
        <w:lastRenderedPageBreak/>
        <w:t>CAUSE-PA recommends the Commission require PGW to apply the Hardship Fund grant if the amount is sufficient to enroll or re-enroll a customer into CAP.  It also requests an evidentiary proceeding to obtain additional information about this situation.  CAUSE-PA Comments at 29-30.</w:t>
      </w:r>
    </w:p>
    <w:p w:rsidR="0069683C" w:rsidRDefault="0069683C" w:rsidP="0069683C">
      <w:pPr>
        <w:spacing w:line="360" w:lineRule="auto"/>
        <w:contextualSpacing/>
        <w:rPr>
          <w:rFonts w:ascii="Times New Roman" w:hAnsi="Times New Roman" w:cs="Times New Roman"/>
          <w:sz w:val="26"/>
          <w:szCs w:val="26"/>
        </w:rPr>
      </w:pPr>
    </w:p>
    <w:p w:rsidR="0069683C" w:rsidRDefault="0069683C" w:rsidP="0069683C">
      <w:pPr>
        <w:spacing w:line="360" w:lineRule="auto"/>
        <w:contextualSpacing/>
        <w:rPr>
          <w:rFonts w:ascii="Times New Roman" w:hAnsi="Times New Roman" w:cs="Times New Roman"/>
          <w:sz w:val="26"/>
          <w:szCs w:val="26"/>
        </w:rPr>
      </w:pPr>
      <w:r>
        <w:rPr>
          <w:rFonts w:ascii="Times New Roman" w:hAnsi="Times New Roman" w:cs="Times New Roman"/>
          <w:sz w:val="26"/>
          <w:szCs w:val="26"/>
        </w:rPr>
        <w:tab/>
        <w:t xml:space="preserve">TURN </w:t>
      </w:r>
      <w:r w:rsidR="00A9778A" w:rsidRPr="00A9778A">
        <w:rPr>
          <w:rFonts w:ascii="Times New Roman" w:hAnsi="Times New Roman" w:cs="Times New Roman"/>
          <w:i/>
          <w:sz w:val="26"/>
          <w:szCs w:val="26"/>
        </w:rPr>
        <w:t>et al</w:t>
      </w:r>
      <w:r>
        <w:rPr>
          <w:rFonts w:ascii="Times New Roman" w:hAnsi="Times New Roman" w:cs="Times New Roman"/>
          <w:sz w:val="26"/>
          <w:szCs w:val="26"/>
        </w:rPr>
        <w:t xml:space="preserve">. also recommends the Commission approve the elimination of the two-year stay out period for Hardship Fund grant recipients.  TURN </w:t>
      </w:r>
      <w:r w:rsidR="00A9778A" w:rsidRPr="00A9778A">
        <w:rPr>
          <w:rFonts w:ascii="Times New Roman" w:hAnsi="Times New Roman" w:cs="Times New Roman"/>
          <w:i/>
          <w:sz w:val="26"/>
          <w:szCs w:val="26"/>
        </w:rPr>
        <w:t>et al</w:t>
      </w:r>
      <w:r>
        <w:rPr>
          <w:rFonts w:ascii="Times New Roman" w:hAnsi="Times New Roman" w:cs="Times New Roman"/>
          <w:sz w:val="26"/>
          <w:szCs w:val="26"/>
        </w:rPr>
        <w:t xml:space="preserve">. Comments </w:t>
      </w:r>
      <w:r w:rsidR="00753F3D">
        <w:rPr>
          <w:rFonts w:ascii="Times New Roman" w:hAnsi="Times New Roman" w:cs="Times New Roman"/>
          <w:sz w:val="26"/>
          <w:szCs w:val="26"/>
        </w:rPr>
        <w:t>at </w:t>
      </w:r>
      <w:r>
        <w:rPr>
          <w:rFonts w:ascii="Times New Roman" w:hAnsi="Times New Roman" w:cs="Times New Roman"/>
          <w:sz w:val="26"/>
          <w:szCs w:val="26"/>
        </w:rPr>
        <w:t xml:space="preserve">19. </w:t>
      </w:r>
    </w:p>
    <w:p w:rsidR="0069683C" w:rsidRDefault="0069683C" w:rsidP="0069683C">
      <w:pPr>
        <w:spacing w:line="360" w:lineRule="auto"/>
        <w:contextualSpacing/>
        <w:rPr>
          <w:rFonts w:ascii="Times New Roman" w:hAnsi="Times New Roman" w:cs="Times New Roman"/>
          <w:sz w:val="26"/>
          <w:szCs w:val="26"/>
        </w:rPr>
      </w:pPr>
    </w:p>
    <w:p w:rsidR="0069683C" w:rsidRPr="00C47F76" w:rsidRDefault="0069683C" w:rsidP="0069683C">
      <w:pPr>
        <w:spacing w:after="0" w:line="360" w:lineRule="auto"/>
        <w:contextualSpacing/>
        <w:rPr>
          <w:rFonts w:ascii="Times New Roman" w:eastAsia="Times New Roman" w:hAnsi="Times New Roman" w:cs="Times New Roman"/>
          <w:sz w:val="26"/>
          <w:szCs w:val="26"/>
        </w:rPr>
      </w:pPr>
      <w:r>
        <w:rPr>
          <w:rFonts w:ascii="Times New Roman" w:hAnsi="Times New Roman" w:cs="Times New Roman"/>
          <w:sz w:val="26"/>
          <w:szCs w:val="26"/>
        </w:rPr>
        <w:tab/>
        <w:t>PGW asserts that waiving the requirement that the Hardship Fund grant must satisfy the full balance, withou</w:t>
      </w:r>
      <w:r w:rsidR="00DF6721">
        <w:rPr>
          <w:rFonts w:ascii="Times New Roman" w:hAnsi="Times New Roman" w:cs="Times New Roman"/>
          <w:sz w:val="26"/>
          <w:szCs w:val="26"/>
        </w:rPr>
        <w:t>t the approval of UESF, would require PGW customers to fund</w:t>
      </w:r>
      <w:r>
        <w:rPr>
          <w:rFonts w:ascii="Times New Roman" w:hAnsi="Times New Roman" w:cs="Times New Roman"/>
          <w:sz w:val="26"/>
          <w:szCs w:val="26"/>
        </w:rPr>
        <w:t xml:space="preserve"> the UESF share</w:t>
      </w:r>
      <w:r w:rsidR="009F13AE">
        <w:rPr>
          <w:rStyle w:val="FootnoteReference"/>
          <w:rFonts w:ascii="Times New Roman" w:hAnsi="Times New Roman" w:cs="Times New Roman"/>
          <w:sz w:val="26"/>
          <w:szCs w:val="26"/>
        </w:rPr>
        <w:footnoteReference w:id="43"/>
      </w:r>
      <w:r>
        <w:rPr>
          <w:rFonts w:ascii="Times New Roman" w:hAnsi="Times New Roman" w:cs="Times New Roman"/>
          <w:sz w:val="26"/>
          <w:szCs w:val="26"/>
        </w:rPr>
        <w:t xml:space="preserve"> of the Hardship Fund grant as well.  If the Commission makes this determination, Company requests recovery of this cost through its </w:t>
      </w:r>
      <w:r w:rsidR="00DF6721">
        <w:rPr>
          <w:rFonts w:ascii="Times New Roman" w:hAnsi="Times New Roman" w:cs="Times New Roman"/>
          <w:sz w:val="26"/>
          <w:szCs w:val="26"/>
        </w:rPr>
        <w:t>USC s</w:t>
      </w:r>
      <w:r>
        <w:rPr>
          <w:rFonts w:ascii="Times New Roman" w:hAnsi="Times New Roman" w:cs="Times New Roman"/>
          <w:sz w:val="26"/>
          <w:szCs w:val="26"/>
        </w:rPr>
        <w:t>urcharge.  PGW Reply Comments at 25.</w:t>
      </w:r>
    </w:p>
    <w:p w:rsidR="00C47F76" w:rsidRDefault="00C47F76" w:rsidP="00231829">
      <w:pPr>
        <w:spacing w:after="0" w:line="360" w:lineRule="auto"/>
        <w:contextualSpacing/>
        <w:rPr>
          <w:rFonts w:ascii="Times New Roman" w:eastAsia="Times New Roman" w:hAnsi="Times New Roman" w:cs="Times New Roman"/>
          <w:sz w:val="26"/>
          <w:szCs w:val="26"/>
        </w:rPr>
      </w:pPr>
    </w:p>
    <w:p w:rsidR="000D4D34" w:rsidRDefault="000D4D34" w:rsidP="00231829">
      <w:pPr>
        <w:spacing w:after="0" w:line="360" w:lineRule="auto"/>
        <w:contextualSpacing/>
        <w:rPr>
          <w:rFonts w:ascii="Times New Roman" w:eastAsia="Times New Roman" w:hAnsi="Times New Roman" w:cs="Times New Roman"/>
          <w:sz w:val="26"/>
          <w:szCs w:val="26"/>
        </w:rPr>
      </w:pPr>
      <w:r w:rsidRPr="004A3C6A">
        <w:rPr>
          <w:rFonts w:ascii="Times New Roman" w:eastAsia="Times New Roman" w:hAnsi="Times New Roman" w:cs="Times New Roman"/>
          <w:i/>
          <w:sz w:val="26"/>
          <w:szCs w:val="26"/>
        </w:rPr>
        <w:t>Resolution</w:t>
      </w:r>
      <w:r>
        <w:rPr>
          <w:rFonts w:ascii="Times New Roman" w:eastAsia="Times New Roman" w:hAnsi="Times New Roman" w:cs="Times New Roman"/>
          <w:sz w:val="26"/>
          <w:szCs w:val="26"/>
        </w:rPr>
        <w:t>:</w:t>
      </w:r>
      <w:r w:rsidR="00C77702">
        <w:rPr>
          <w:rFonts w:ascii="Times New Roman" w:eastAsia="Times New Roman" w:hAnsi="Times New Roman" w:cs="Times New Roman"/>
          <w:sz w:val="26"/>
          <w:szCs w:val="26"/>
        </w:rPr>
        <w:t xml:space="preserve"> </w:t>
      </w:r>
      <w:r w:rsidR="001C626E">
        <w:rPr>
          <w:rFonts w:ascii="Times New Roman" w:eastAsia="Times New Roman" w:hAnsi="Times New Roman" w:cs="Times New Roman"/>
          <w:sz w:val="26"/>
          <w:szCs w:val="26"/>
        </w:rPr>
        <w:t xml:space="preserve">We have previously addressed the issue </w:t>
      </w:r>
      <w:r w:rsidR="00DF6721">
        <w:rPr>
          <w:rFonts w:ascii="Times New Roman" w:eastAsia="Times New Roman" w:hAnsi="Times New Roman" w:cs="Times New Roman"/>
          <w:sz w:val="26"/>
          <w:szCs w:val="26"/>
        </w:rPr>
        <w:t xml:space="preserve">of allowing a contracted CBO </w:t>
      </w:r>
      <w:r w:rsidR="001C626E">
        <w:rPr>
          <w:rFonts w:ascii="Times New Roman" w:eastAsia="Times New Roman" w:hAnsi="Times New Roman" w:cs="Times New Roman"/>
          <w:sz w:val="26"/>
          <w:szCs w:val="26"/>
        </w:rPr>
        <w:t xml:space="preserve">establish the eligibility criteria for a universal service program.  </w:t>
      </w:r>
      <w:r w:rsidR="006C48C1">
        <w:rPr>
          <w:rFonts w:ascii="Times New Roman" w:eastAsia="Times New Roman" w:hAnsi="Times New Roman" w:cs="Times New Roman"/>
          <w:sz w:val="26"/>
          <w:szCs w:val="26"/>
        </w:rPr>
        <w:t>In Duquesne Light’s 2017-2019 USECP proceeding</w:t>
      </w:r>
      <w:r w:rsidR="00FB77D2" w:rsidRPr="00962B93">
        <w:rPr>
          <w:rFonts w:ascii="Times New Roman" w:hAnsi="Times New Roman" w:cs="Times New Roman"/>
          <w:color w:val="0D0D0D" w:themeColor="text1" w:themeTint="F2"/>
          <w:sz w:val="26"/>
          <w:szCs w:val="26"/>
        </w:rPr>
        <w:t xml:space="preserve">, </w:t>
      </w:r>
      <w:r w:rsidR="00FB77D2">
        <w:rPr>
          <w:rFonts w:ascii="Times New Roman" w:hAnsi="Times New Roman" w:cs="Times New Roman"/>
          <w:color w:val="0D0D0D" w:themeColor="text1" w:themeTint="F2"/>
          <w:sz w:val="26"/>
          <w:szCs w:val="26"/>
        </w:rPr>
        <w:t>Duquesne explained that requiring customers to provide Social Security Numbers</w:t>
      </w:r>
      <w:r w:rsidR="00FB77D2" w:rsidRPr="00962B93">
        <w:rPr>
          <w:rFonts w:ascii="Times New Roman" w:hAnsi="Times New Roman" w:cs="Times New Roman"/>
          <w:color w:val="0D0D0D" w:themeColor="text1" w:themeTint="F2"/>
          <w:sz w:val="26"/>
          <w:szCs w:val="26"/>
        </w:rPr>
        <w:t xml:space="preserve"> </w:t>
      </w:r>
      <w:r w:rsidR="001C626E">
        <w:rPr>
          <w:rFonts w:ascii="Times New Roman" w:hAnsi="Times New Roman" w:cs="Times New Roman"/>
          <w:color w:val="0D0D0D" w:themeColor="text1" w:themeTint="F2"/>
          <w:sz w:val="26"/>
          <w:szCs w:val="26"/>
        </w:rPr>
        <w:t xml:space="preserve">(SSNs) to qualify for its Hardship Fund </w:t>
      </w:r>
      <w:r w:rsidR="00FB77D2" w:rsidRPr="00962B93">
        <w:rPr>
          <w:rFonts w:ascii="Times New Roman" w:hAnsi="Times New Roman" w:cs="Times New Roman"/>
          <w:color w:val="0D0D0D" w:themeColor="text1" w:themeTint="F2"/>
          <w:sz w:val="26"/>
          <w:szCs w:val="26"/>
        </w:rPr>
        <w:t xml:space="preserve">was not the utility’s policy, but rather the policy of the </w:t>
      </w:r>
      <w:r w:rsidR="00FB77D2">
        <w:rPr>
          <w:rFonts w:ascii="Times New Roman" w:hAnsi="Times New Roman" w:cs="Times New Roman"/>
          <w:color w:val="0D0D0D" w:themeColor="text1" w:themeTint="F2"/>
          <w:sz w:val="26"/>
          <w:szCs w:val="26"/>
        </w:rPr>
        <w:t>Dollar Energy Fund (DEF)</w:t>
      </w:r>
      <w:r w:rsidR="001C626E">
        <w:rPr>
          <w:rFonts w:ascii="Times New Roman" w:hAnsi="Times New Roman" w:cs="Times New Roman"/>
          <w:color w:val="0D0D0D" w:themeColor="text1" w:themeTint="F2"/>
          <w:sz w:val="26"/>
          <w:szCs w:val="26"/>
        </w:rPr>
        <w:t xml:space="preserve">, </w:t>
      </w:r>
      <w:r w:rsidR="00FB77D2">
        <w:rPr>
          <w:rFonts w:ascii="Times New Roman" w:hAnsi="Times New Roman" w:cs="Times New Roman"/>
          <w:color w:val="0D0D0D" w:themeColor="text1" w:themeTint="F2"/>
          <w:sz w:val="26"/>
          <w:szCs w:val="26"/>
        </w:rPr>
        <w:t>which</w:t>
      </w:r>
      <w:r w:rsidR="00FB77D2" w:rsidRPr="00962B93">
        <w:rPr>
          <w:rFonts w:ascii="Times New Roman" w:hAnsi="Times New Roman" w:cs="Times New Roman"/>
          <w:color w:val="0D0D0D" w:themeColor="text1" w:themeTint="F2"/>
          <w:sz w:val="26"/>
          <w:szCs w:val="26"/>
        </w:rPr>
        <w:t xml:space="preserve"> administers </w:t>
      </w:r>
      <w:r w:rsidR="001C626E">
        <w:rPr>
          <w:rFonts w:ascii="Times New Roman" w:hAnsi="Times New Roman" w:cs="Times New Roman"/>
          <w:color w:val="0D0D0D" w:themeColor="text1" w:themeTint="F2"/>
          <w:sz w:val="26"/>
          <w:szCs w:val="26"/>
        </w:rPr>
        <w:t>the program</w:t>
      </w:r>
      <w:r w:rsidR="00FB77D2" w:rsidRPr="00962B93">
        <w:rPr>
          <w:rFonts w:ascii="Times New Roman" w:hAnsi="Times New Roman" w:cs="Times New Roman"/>
          <w:color w:val="0D0D0D" w:themeColor="text1" w:themeTint="F2"/>
          <w:sz w:val="26"/>
          <w:szCs w:val="26"/>
        </w:rPr>
        <w:t>.</w:t>
      </w:r>
      <w:r w:rsidR="00FB77D2">
        <w:rPr>
          <w:rFonts w:ascii="Times New Roman" w:hAnsi="Times New Roman" w:cs="Times New Roman"/>
          <w:color w:val="0D0D0D" w:themeColor="text1" w:themeTint="F2"/>
          <w:sz w:val="26"/>
          <w:szCs w:val="26"/>
        </w:rPr>
        <w:t xml:space="preserve">  </w:t>
      </w:r>
      <w:r w:rsidR="006C6A7C">
        <w:rPr>
          <w:rFonts w:ascii="Times New Roman" w:hAnsi="Times New Roman" w:cs="Times New Roman"/>
          <w:color w:val="0D0D0D" w:themeColor="text1" w:themeTint="F2"/>
          <w:sz w:val="26"/>
          <w:szCs w:val="26"/>
        </w:rPr>
        <w:t>The Commission found this answer inconsistent with the utility’s responsibilities under the Competition Act.</w:t>
      </w:r>
    </w:p>
    <w:p w:rsidR="002F2AAF" w:rsidRDefault="002F2AAF" w:rsidP="00231829">
      <w:pPr>
        <w:spacing w:after="0" w:line="360" w:lineRule="auto"/>
        <w:contextualSpacing/>
        <w:rPr>
          <w:rFonts w:ascii="Times New Roman" w:eastAsia="Times New Roman" w:hAnsi="Times New Roman" w:cs="Times New Roman"/>
          <w:sz w:val="26"/>
          <w:szCs w:val="26"/>
        </w:rPr>
      </w:pPr>
    </w:p>
    <w:p w:rsidR="002F2AAF" w:rsidRDefault="002F2AAF" w:rsidP="006C48C1">
      <w:pPr>
        <w:spacing w:after="0" w:line="240" w:lineRule="auto"/>
        <w:ind w:left="720" w:right="720"/>
        <w:contextualSpacing/>
        <w:rPr>
          <w:rFonts w:ascii="Times New Roman" w:eastAsia="Times New Roman" w:hAnsi="Times New Roman" w:cs="Times New Roman"/>
          <w:sz w:val="26"/>
          <w:szCs w:val="26"/>
        </w:rPr>
      </w:pPr>
      <w:r w:rsidRPr="00A56F46">
        <w:rPr>
          <w:rFonts w:ascii="Times New Roman" w:eastAsia="Times New Roman" w:hAnsi="Times New Roman" w:cs="Times New Roman"/>
          <w:sz w:val="26"/>
          <w:szCs w:val="26"/>
        </w:rPr>
        <w:t xml:space="preserve">Section 2804(9) of Title 66 encourages the use of CBOs “that have the necessary technical and administrative experience to be the </w:t>
      </w:r>
      <w:r w:rsidRPr="00A56F46">
        <w:rPr>
          <w:rFonts w:ascii="Times New Roman" w:eastAsia="Times New Roman" w:hAnsi="Times New Roman" w:cs="Times New Roman"/>
          <w:i/>
          <w:sz w:val="26"/>
          <w:szCs w:val="26"/>
        </w:rPr>
        <w:t>direct providers of services or programs</w:t>
      </w:r>
      <w:r w:rsidRPr="00A56F46">
        <w:rPr>
          <w:rFonts w:ascii="Times New Roman" w:eastAsia="Times New Roman" w:hAnsi="Times New Roman" w:cs="Times New Roman"/>
          <w:sz w:val="26"/>
          <w:szCs w:val="26"/>
        </w:rPr>
        <w:t>” (emphasis added).</w:t>
      </w:r>
      <w:r w:rsidR="005B0B1E">
        <w:rPr>
          <w:rFonts w:ascii="Times New Roman" w:eastAsia="Times New Roman" w:hAnsi="Times New Roman" w:cs="Times New Roman"/>
          <w:sz w:val="26"/>
          <w:szCs w:val="26"/>
        </w:rPr>
        <w:t>[</w:t>
      </w:r>
      <w:r w:rsidR="0048125D">
        <w:rPr>
          <w:rStyle w:val="FootnoteReference"/>
          <w:rFonts w:ascii="Times New Roman" w:eastAsia="Times New Roman" w:hAnsi="Times New Roman" w:cs="Times New Roman"/>
          <w:sz w:val="26"/>
          <w:szCs w:val="26"/>
        </w:rPr>
        <w:footnoteReference w:id="44"/>
      </w:r>
      <w:r w:rsidR="005B0B1E">
        <w:rPr>
          <w:rFonts w:ascii="Times New Roman" w:eastAsia="Times New Roman" w:hAnsi="Times New Roman" w:cs="Times New Roman"/>
          <w:sz w:val="26"/>
          <w:szCs w:val="26"/>
        </w:rPr>
        <w:t>]</w:t>
      </w:r>
      <w:r w:rsidRPr="00A56F46">
        <w:rPr>
          <w:rFonts w:ascii="Times New Roman" w:eastAsia="Times New Roman" w:hAnsi="Times New Roman" w:cs="Times New Roman"/>
          <w:sz w:val="26"/>
          <w:szCs w:val="26"/>
        </w:rPr>
        <w:t xml:space="preserve">  While contracted CBOs may be used to administer universal service programs, the utilities are responsible for setting eligibility requirements, establishing program parameters, and drafting a triennial USECP for Commission approval.  A </w:t>
      </w:r>
      <w:r w:rsidRPr="00A56F46">
        <w:rPr>
          <w:rFonts w:ascii="Times New Roman" w:eastAsia="Times New Roman" w:hAnsi="Times New Roman" w:cs="Times New Roman"/>
          <w:sz w:val="26"/>
          <w:szCs w:val="26"/>
        </w:rPr>
        <w:lastRenderedPageBreak/>
        <w:t>contracted CBO should not dictate the eligibility requirements of a utility’s universal service program.</w:t>
      </w:r>
    </w:p>
    <w:p w:rsidR="002F2AAF" w:rsidRDefault="002F2AAF" w:rsidP="00231829">
      <w:pPr>
        <w:spacing w:after="0" w:line="360" w:lineRule="auto"/>
        <w:contextualSpacing/>
        <w:rPr>
          <w:rFonts w:ascii="Times New Roman" w:eastAsia="Times New Roman" w:hAnsi="Times New Roman" w:cs="Times New Roman"/>
          <w:sz w:val="26"/>
          <w:szCs w:val="26"/>
        </w:rPr>
      </w:pPr>
    </w:p>
    <w:p w:rsidR="002F2AAF" w:rsidRDefault="002F2AAF" w:rsidP="00231829">
      <w:pPr>
        <w:spacing w:after="0" w:line="360" w:lineRule="auto"/>
        <w:contextualSpacing/>
        <w:rPr>
          <w:rFonts w:ascii="Times New Roman" w:eastAsia="Times New Roman" w:hAnsi="Times New Roman" w:cs="Times New Roman"/>
          <w:sz w:val="26"/>
          <w:szCs w:val="26"/>
        </w:rPr>
      </w:pPr>
      <w:r w:rsidRPr="00DF6721">
        <w:rPr>
          <w:rFonts w:ascii="Times New Roman" w:eastAsia="Times New Roman" w:hAnsi="Times New Roman" w:cs="Times New Roman"/>
          <w:i/>
          <w:sz w:val="26"/>
          <w:szCs w:val="26"/>
        </w:rPr>
        <w:t>Duquesne Light 2017-2019 USECP Order</w:t>
      </w:r>
      <w:r>
        <w:rPr>
          <w:rFonts w:ascii="Times New Roman" w:eastAsia="Times New Roman" w:hAnsi="Times New Roman" w:cs="Times New Roman"/>
          <w:sz w:val="26"/>
          <w:szCs w:val="26"/>
        </w:rPr>
        <w:t xml:space="preserve">, Docket No. </w:t>
      </w:r>
      <w:r w:rsidRPr="002F2AAF">
        <w:rPr>
          <w:rFonts w:ascii="Times New Roman" w:eastAsia="Times New Roman" w:hAnsi="Times New Roman" w:cs="Times New Roman"/>
          <w:sz w:val="26"/>
          <w:szCs w:val="26"/>
        </w:rPr>
        <w:t>M-2016-2534323</w:t>
      </w:r>
      <w:r>
        <w:rPr>
          <w:rFonts w:ascii="Times New Roman" w:eastAsia="Times New Roman" w:hAnsi="Times New Roman" w:cs="Times New Roman"/>
          <w:sz w:val="26"/>
          <w:szCs w:val="26"/>
        </w:rPr>
        <w:t xml:space="preserve"> (</w:t>
      </w:r>
      <w:r>
        <w:rPr>
          <w:rFonts w:ascii="Times New Roman" w:eastAsia="Times New Roman" w:hAnsi="Times New Roman" w:cs="Times New Roman"/>
          <w:color w:val="0D0D0D" w:themeColor="text1" w:themeTint="F2"/>
          <w:sz w:val="26"/>
          <w:szCs w:val="26"/>
        </w:rPr>
        <w:t xml:space="preserve">March 23, 2017), </w:t>
      </w:r>
      <w:r>
        <w:rPr>
          <w:rFonts w:ascii="Times New Roman" w:eastAsia="Times New Roman" w:hAnsi="Times New Roman" w:cs="Times New Roman"/>
          <w:sz w:val="26"/>
          <w:szCs w:val="26"/>
        </w:rPr>
        <w:t>at 46.</w:t>
      </w:r>
    </w:p>
    <w:p w:rsidR="00FB77D2" w:rsidRDefault="00FB77D2" w:rsidP="00231829">
      <w:pPr>
        <w:spacing w:after="0" w:line="360" w:lineRule="auto"/>
        <w:contextualSpacing/>
        <w:rPr>
          <w:rFonts w:ascii="Times New Roman" w:eastAsia="Times New Roman" w:hAnsi="Times New Roman" w:cs="Times New Roman"/>
          <w:sz w:val="26"/>
          <w:szCs w:val="26"/>
        </w:rPr>
      </w:pPr>
    </w:p>
    <w:p w:rsidR="00CE7BB3" w:rsidRDefault="004A3C6A" w:rsidP="00231829">
      <w:pPr>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132DDF">
        <w:rPr>
          <w:rFonts w:ascii="Times New Roman" w:eastAsia="Times New Roman" w:hAnsi="Times New Roman" w:cs="Times New Roman"/>
          <w:sz w:val="26"/>
          <w:szCs w:val="26"/>
        </w:rPr>
        <w:t xml:space="preserve">Similarly, PGW is responsible for establishing the eligibility criteria for its Hardship Fund.  </w:t>
      </w:r>
      <w:r w:rsidR="0016481E">
        <w:rPr>
          <w:rFonts w:ascii="Times New Roman" w:eastAsia="Times New Roman" w:hAnsi="Times New Roman" w:cs="Times New Roman"/>
          <w:sz w:val="26"/>
          <w:szCs w:val="26"/>
        </w:rPr>
        <w:t>This does not mean</w:t>
      </w:r>
      <w:r w:rsidR="005059CF">
        <w:rPr>
          <w:rFonts w:ascii="Times New Roman" w:eastAsia="Times New Roman" w:hAnsi="Times New Roman" w:cs="Times New Roman"/>
          <w:sz w:val="26"/>
          <w:szCs w:val="26"/>
        </w:rPr>
        <w:t>, however, the Company</w:t>
      </w:r>
      <w:r w:rsidR="005F46D4">
        <w:rPr>
          <w:rFonts w:ascii="Times New Roman" w:eastAsia="Times New Roman" w:hAnsi="Times New Roman" w:cs="Times New Roman"/>
          <w:sz w:val="26"/>
          <w:szCs w:val="26"/>
        </w:rPr>
        <w:t xml:space="preserve"> should not consult with its contractor </w:t>
      </w:r>
      <w:r w:rsidR="005059CF">
        <w:rPr>
          <w:rFonts w:ascii="Times New Roman" w:eastAsia="Times New Roman" w:hAnsi="Times New Roman" w:cs="Times New Roman"/>
          <w:sz w:val="26"/>
          <w:szCs w:val="26"/>
        </w:rPr>
        <w:t>prior to making el</w:t>
      </w:r>
      <w:r w:rsidR="007A3584">
        <w:rPr>
          <w:rFonts w:ascii="Times New Roman" w:eastAsia="Times New Roman" w:hAnsi="Times New Roman" w:cs="Times New Roman"/>
          <w:sz w:val="26"/>
          <w:szCs w:val="26"/>
        </w:rPr>
        <w:t xml:space="preserve">igibility changes to </w:t>
      </w:r>
      <w:r w:rsidR="005F46D4">
        <w:rPr>
          <w:rFonts w:ascii="Times New Roman" w:eastAsia="Times New Roman" w:hAnsi="Times New Roman" w:cs="Times New Roman"/>
          <w:sz w:val="26"/>
          <w:szCs w:val="26"/>
        </w:rPr>
        <w:t>the program</w:t>
      </w:r>
      <w:r w:rsidR="005059CF">
        <w:rPr>
          <w:rFonts w:ascii="Times New Roman" w:eastAsia="Times New Roman" w:hAnsi="Times New Roman" w:cs="Times New Roman"/>
          <w:sz w:val="26"/>
          <w:szCs w:val="26"/>
        </w:rPr>
        <w:t xml:space="preserve">.  </w:t>
      </w:r>
      <w:r w:rsidR="005F46D4">
        <w:rPr>
          <w:rFonts w:ascii="Times New Roman" w:eastAsia="Times New Roman" w:hAnsi="Times New Roman" w:cs="Times New Roman"/>
          <w:sz w:val="26"/>
          <w:szCs w:val="26"/>
        </w:rPr>
        <w:t xml:space="preserve">UESF provides half of the total Hardship Fund grant amount, up to $750 per customer.  </w:t>
      </w:r>
      <w:r w:rsidR="005059CF">
        <w:rPr>
          <w:rFonts w:ascii="Times New Roman" w:eastAsia="Times New Roman" w:hAnsi="Times New Roman" w:cs="Times New Roman"/>
          <w:sz w:val="26"/>
          <w:szCs w:val="26"/>
        </w:rPr>
        <w:t xml:space="preserve">PGW is in the process </w:t>
      </w:r>
      <w:r w:rsidR="00DF6721">
        <w:rPr>
          <w:rFonts w:ascii="Times New Roman" w:eastAsia="Times New Roman" w:hAnsi="Times New Roman" w:cs="Times New Roman"/>
          <w:sz w:val="26"/>
          <w:szCs w:val="26"/>
        </w:rPr>
        <w:t xml:space="preserve">of working with the </w:t>
      </w:r>
      <w:r w:rsidR="00CE7BB3">
        <w:rPr>
          <w:rFonts w:ascii="Times New Roman" w:eastAsia="Times New Roman" w:hAnsi="Times New Roman" w:cs="Times New Roman"/>
          <w:sz w:val="26"/>
          <w:szCs w:val="26"/>
        </w:rPr>
        <w:t>UESF Board of Directors</w:t>
      </w:r>
      <w:r w:rsidR="00DF6721">
        <w:rPr>
          <w:rFonts w:ascii="Times New Roman" w:eastAsia="Times New Roman" w:hAnsi="Times New Roman" w:cs="Times New Roman"/>
          <w:sz w:val="26"/>
          <w:szCs w:val="26"/>
        </w:rPr>
        <w:t xml:space="preserve"> to determine if the CBO can continue to administer the program with these changes in place</w:t>
      </w:r>
      <w:r w:rsidR="00C77702">
        <w:rPr>
          <w:rFonts w:ascii="Times New Roman" w:eastAsia="Times New Roman" w:hAnsi="Times New Roman" w:cs="Times New Roman"/>
          <w:sz w:val="26"/>
          <w:szCs w:val="26"/>
        </w:rPr>
        <w:t xml:space="preserve">.  </w:t>
      </w:r>
      <w:r w:rsidR="00DF6721">
        <w:rPr>
          <w:rFonts w:ascii="Times New Roman" w:eastAsia="Times New Roman" w:hAnsi="Times New Roman" w:cs="Times New Roman"/>
          <w:sz w:val="26"/>
          <w:szCs w:val="26"/>
        </w:rPr>
        <w:t>We consider this</w:t>
      </w:r>
      <w:r w:rsidR="00CE7BB3">
        <w:rPr>
          <w:rFonts w:ascii="Times New Roman" w:eastAsia="Times New Roman" w:hAnsi="Times New Roman" w:cs="Times New Roman"/>
          <w:sz w:val="26"/>
          <w:szCs w:val="26"/>
        </w:rPr>
        <w:t xml:space="preserve"> </w:t>
      </w:r>
      <w:r w:rsidR="009C7426">
        <w:rPr>
          <w:rFonts w:ascii="Times New Roman" w:eastAsia="Times New Roman" w:hAnsi="Times New Roman" w:cs="Times New Roman"/>
          <w:sz w:val="26"/>
          <w:szCs w:val="26"/>
        </w:rPr>
        <w:t>a reasonable first step</w:t>
      </w:r>
      <w:r w:rsidR="00CE7BB3">
        <w:rPr>
          <w:rFonts w:ascii="Times New Roman" w:eastAsia="Times New Roman" w:hAnsi="Times New Roman" w:cs="Times New Roman"/>
          <w:sz w:val="26"/>
          <w:szCs w:val="26"/>
        </w:rPr>
        <w:t xml:space="preserve"> </w:t>
      </w:r>
      <w:r w:rsidR="009C7426">
        <w:rPr>
          <w:rFonts w:ascii="Times New Roman" w:eastAsia="Times New Roman" w:hAnsi="Times New Roman" w:cs="Times New Roman"/>
          <w:sz w:val="26"/>
          <w:szCs w:val="26"/>
        </w:rPr>
        <w:t>and will not mandate Hardship Fund changes while discussions are ongoing</w:t>
      </w:r>
      <w:r w:rsidR="00CE7BB3">
        <w:rPr>
          <w:rFonts w:ascii="Times New Roman" w:eastAsia="Times New Roman" w:hAnsi="Times New Roman" w:cs="Times New Roman"/>
          <w:sz w:val="26"/>
          <w:szCs w:val="26"/>
        </w:rPr>
        <w:t>.</w:t>
      </w:r>
    </w:p>
    <w:p w:rsidR="00CE7BB3" w:rsidRDefault="00CE7BB3" w:rsidP="00231829">
      <w:pPr>
        <w:spacing w:after="0" w:line="360" w:lineRule="auto"/>
        <w:contextualSpacing/>
        <w:rPr>
          <w:rFonts w:ascii="Times New Roman" w:eastAsia="Times New Roman" w:hAnsi="Times New Roman" w:cs="Times New Roman"/>
          <w:sz w:val="26"/>
          <w:szCs w:val="26"/>
        </w:rPr>
      </w:pPr>
    </w:p>
    <w:p w:rsidR="00C77702" w:rsidRDefault="004A3C6A" w:rsidP="00231829">
      <w:pPr>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5059CF">
        <w:rPr>
          <w:rFonts w:ascii="Times New Roman" w:eastAsia="Times New Roman" w:hAnsi="Times New Roman" w:cs="Times New Roman"/>
          <w:sz w:val="26"/>
          <w:szCs w:val="26"/>
        </w:rPr>
        <w:t>Accordingly</w:t>
      </w:r>
      <w:r>
        <w:rPr>
          <w:rFonts w:ascii="Times New Roman" w:eastAsia="Times New Roman" w:hAnsi="Times New Roman" w:cs="Times New Roman"/>
          <w:sz w:val="26"/>
          <w:szCs w:val="26"/>
        </w:rPr>
        <w:t xml:space="preserve">, </w:t>
      </w:r>
      <w:r w:rsidR="00FB77D2">
        <w:rPr>
          <w:rFonts w:ascii="Times New Roman" w:eastAsia="Times New Roman" w:hAnsi="Times New Roman" w:cs="Times New Roman"/>
          <w:sz w:val="26"/>
          <w:szCs w:val="26"/>
        </w:rPr>
        <w:t xml:space="preserve">PGW </w:t>
      </w:r>
      <w:r w:rsidR="009F13AE">
        <w:rPr>
          <w:rFonts w:ascii="Times New Roman" w:eastAsia="Times New Roman" w:hAnsi="Times New Roman" w:cs="Times New Roman"/>
          <w:sz w:val="26"/>
          <w:szCs w:val="26"/>
        </w:rPr>
        <w:t xml:space="preserve">shall </w:t>
      </w:r>
      <w:r>
        <w:rPr>
          <w:rFonts w:ascii="Times New Roman" w:eastAsia="Times New Roman" w:hAnsi="Times New Roman" w:cs="Times New Roman"/>
          <w:sz w:val="26"/>
          <w:szCs w:val="26"/>
        </w:rPr>
        <w:t xml:space="preserve">continue to work with UESF to </w:t>
      </w:r>
      <w:r w:rsidR="009F13AE">
        <w:rPr>
          <w:rFonts w:ascii="Times New Roman" w:eastAsia="Times New Roman" w:hAnsi="Times New Roman" w:cs="Times New Roman"/>
          <w:sz w:val="26"/>
          <w:szCs w:val="26"/>
        </w:rPr>
        <w:t>explore ways to</w:t>
      </w:r>
      <w:r w:rsidR="00CE7BB3">
        <w:rPr>
          <w:rFonts w:ascii="Times New Roman" w:eastAsia="Times New Roman" w:hAnsi="Times New Roman" w:cs="Times New Roman"/>
          <w:sz w:val="26"/>
          <w:szCs w:val="26"/>
        </w:rPr>
        <w:t xml:space="preserve"> </w:t>
      </w:r>
      <w:r w:rsidR="009F13AE">
        <w:rPr>
          <w:rFonts w:ascii="Times New Roman" w:eastAsia="Times New Roman" w:hAnsi="Times New Roman" w:cs="Times New Roman"/>
          <w:sz w:val="26"/>
          <w:szCs w:val="26"/>
        </w:rPr>
        <w:t xml:space="preserve">modify </w:t>
      </w:r>
      <w:r w:rsidR="00CE7BB3">
        <w:rPr>
          <w:rFonts w:ascii="Times New Roman" w:eastAsia="Times New Roman" w:hAnsi="Times New Roman" w:cs="Times New Roman"/>
          <w:sz w:val="26"/>
          <w:szCs w:val="26"/>
        </w:rPr>
        <w:t>its Hardship Fund eligibility criteria</w:t>
      </w:r>
      <w:r>
        <w:rPr>
          <w:rFonts w:ascii="Times New Roman" w:eastAsia="Times New Roman" w:hAnsi="Times New Roman" w:cs="Times New Roman"/>
          <w:sz w:val="26"/>
          <w:szCs w:val="26"/>
        </w:rPr>
        <w:t>.  We direct PGW to file and serve updates on its discussions with UESF each quarter until this issue is resolved, beginning October 1, 2017.</w:t>
      </w:r>
    </w:p>
    <w:p w:rsidR="000D4D34" w:rsidRPr="00C47F76" w:rsidRDefault="000D4D34" w:rsidP="00231829">
      <w:pPr>
        <w:spacing w:after="0" w:line="360" w:lineRule="auto"/>
        <w:contextualSpacing/>
        <w:rPr>
          <w:rFonts w:ascii="Times New Roman" w:eastAsia="Times New Roman" w:hAnsi="Times New Roman" w:cs="Times New Roman"/>
          <w:sz w:val="26"/>
          <w:szCs w:val="26"/>
        </w:rPr>
      </w:pPr>
    </w:p>
    <w:p w:rsidR="00C47F76" w:rsidRPr="00C47F76" w:rsidRDefault="00C47F76" w:rsidP="00231829">
      <w:pPr>
        <w:keepNext/>
        <w:numPr>
          <w:ilvl w:val="0"/>
          <w:numId w:val="21"/>
        </w:numPr>
        <w:spacing w:after="0" w:line="360" w:lineRule="auto"/>
        <w:contextualSpacing/>
        <w:rPr>
          <w:rFonts w:ascii="Times New Roman" w:eastAsia="Times New Roman" w:hAnsi="Times New Roman" w:cs="Times New Roman"/>
          <w:sz w:val="26"/>
          <w:szCs w:val="26"/>
        </w:rPr>
      </w:pPr>
      <w:r w:rsidRPr="00C47F76">
        <w:rPr>
          <w:rFonts w:ascii="Times New Roman" w:eastAsia="Times New Roman" w:hAnsi="Times New Roman" w:cs="Times New Roman"/>
          <w:b/>
          <w:sz w:val="26"/>
          <w:szCs w:val="26"/>
          <w:u w:val="single"/>
        </w:rPr>
        <w:t>Eligibility Criteria</w:t>
      </w:r>
    </w:p>
    <w:p w:rsidR="00C47F76" w:rsidRPr="00C47F76" w:rsidRDefault="00C47F76" w:rsidP="00231829">
      <w:pPr>
        <w:keepNext/>
        <w:spacing w:after="0" w:line="360" w:lineRule="auto"/>
        <w:ind w:firstLine="720"/>
        <w:contextualSpacing/>
        <w:rPr>
          <w:rFonts w:ascii="Times New Roman" w:eastAsia="Times New Roman" w:hAnsi="Times New Roman" w:cs="Times New Roman"/>
          <w:sz w:val="26"/>
          <w:szCs w:val="26"/>
        </w:rPr>
      </w:pPr>
    </w:p>
    <w:p w:rsidR="00C47F76" w:rsidRPr="00C47F76" w:rsidRDefault="00907E09" w:rsidP="006D37DE">
      <w:pPr>
        <w:spacing w:after="0" w:line="360" w:lineRule="auto"/>
        <w:ind w:firstLine="720"/>
        <w:contextualSpacing/>
        <w:rPr>
          <w:rFonts w:ascii="Times New Roman" w:eastAsia="Times New Roman" w:hAnsi="Times New Roman" w:cs="Times New Roman"/>
          <w:sz w:val="26"/>
          <w:szCs w:val="26"/>
        </w:rPr>
      </w:pPr>
      <w:r w:rsidRPr="005F4CC0">
        <w:rPr>
          <w:rFonts w:ascii="Times New Roman" w:eastAsia="Times New Roman" w:hAnsi="Times New Roman" w:cs="Times New Roman"/>
          <w:color w:val="0D0D0D" w:themeColor="text1" w:themeTint="F2"/>
          <w:sz w:val="26"/>
          <w:szCs w:val="26"/>
        </w:rPr>
        <w:t xml:space="preserve">The four </w:t>
      </w:r>
      <w:r w:rsidRPr="007E5846">
        <w:rPr>
          <w:rFonts w:ascii="Times New Roman" w:eastAsia="Times New Roman" w:hAnsi="Times New Roman" w:cs="Times New Roman"/>
          <w:color w:val="0D0D0D" w:themeColor="text1" w:themeTint="F2"/>
          <w:sz w:val="26"/>
          <w:szCs w:val="26"/>
        </w:rPr>
        <w:t xml:space="preserve">components of </w:t>
      </w:r>
      <w:r w:rsidR="007E5846" w:rsidRPr="007E5846">
        <w:rPr>
          <w:rFonts w:ascii="Times New Roman" w:eastAsia="Times New Roman" w:hAnsi="Times New Roman" w:cs="Times New Roman"/>
          <w:color w:val="0D0D0D" w:themeColor="text1" w:themeTint="F2"/>
          <w:sz w:val="26"/>
          <w:szCs w:val="26"/>
        </w:rPr>
        <w:t>PGW</w:t>
      </w:r>
      <w:r w:rsidRPr="007E5846">
        <w:rPr>
          <w:rFonts w:ascii="Times New Roman" w:eastAsia="Times New Roman" w:hAnsi="Times New Roman" w:cs="Times New Roman"/>
          <w:color w:val="0D0D0D" w:themeColor="text1" w:themeTint="F2"/>
          <w:sz w:val="26"/>
          <w:szCs w:val="26"/>
        </w:rPr>
        <w:t>’s Plan</w:t>
      </w:r>
      <w:r w:rsidRPr="005F4CC0">
        <w:rPr>
          <w:rFonts w:ascii="Times New Roman" w:eastAsia="Times New Roman" w:hAnsi="Times New Roman" w:cs="Times New Roman"/>
          <w:color w:val="0D0D0D" w:themeColor="text1" w:themeTint="F2"/>
          <w:sz w:val="26"/>
          <w:szCs w:val="26"/>
        </w:rPr>
        <w:t xml:space="preserve"> have slightly different eligibility cri</w:t>
      </w:r>
      <w:r w:rsidR="00157D5E">
        <w:rPr>
          <w:rFonts w:ascii="Times New Roman" w:eastAsia="Times New Roman" w:hAnsi="Times New Roman" w:cs="Times New Roman"/>
          <w:color w:val="0D0D0D" w:themeColor="text1" w:themeTint="F2"/>
          <w:sz w:val="26"/>
          <w:szCs w:val="26"/>
        </w:rPr>
        <w:t xml:space="preserve">teria as demonstrated in Table </w:t>
      </w:r>
      <w:r w:rsidR="00083E3E">
        <w:rPr>
          <w:rFonts w:ascii="Times New Roman" w:eastAsia="Times New Roman" w:hAnsi="Times New Roman" w:cs="Times New Roman"/>
          <w:color w:val="0D0D0D" w:themeColor="text1" w:themeTint="F2"/>
          <w:sz w:val="26"/>
          <w:szCs w:val="26"/>
        </w:rPr>
        <w:t>5</w:t>
      </w:r>
      <w:r>
        <w:rPr>
          <w:rFonts w:ascii="Times New Roman" w:eastAsia="Times New Roman" w:hAnsi="Times New Roman" w:cs="Times New Roman"/>
          <w:color w:val="0D0D0D" w:themeColor="text1" w:themeTint="F2"/>
          <w:sz w:val="26"/>
          <w:szCs w:val="26"/>
        </w:rPr>
        <w:t xml:space="preserve"> below</w:t>
      </w:r>
      <w:r w:rsidR="00C47F76" w:rsidRPr="00C47F76">
        <w:rPr>
          <w:rFonts w:ascii="Times New Roman" w:eastAsia="Times New Roman" w:hAnsi="Times New Roman" w:cs="Times New Roman"/>
          <w:sz w:val="26"/>
          <w:szCs w:val="26"/>
        </w:rPr>
        <w:t xml:space="preserve">:  </w:t>
      </w:r>
    </w:p>
    <w:p w:rsidR="00C47F76" w:rsidRPr="00C47F76" w:rsidRDefault="00C47F76" w:rsidP="006D37DE">
      <w:pPr>
        <w:spacing w:after="0" w:line="360" w:lineRule="auto"/>
        <w:ind w:firstLine="720"/>
        <w:contextualSpacing/>
        <w:rPr>
          <w:rFonts w:ascii="Times New Roman" w:eastAsia="Times New Roman" w:hAnsi="Times New Roman" w:cs="Times New Roman"/>
          <w:sz w:val="26"/>
          <w:szCs w:val="26"/>
        </w:rPr>
      </w:pPr>
    </w:p>
    <w:p w:rsidR="00C47F76" w:rsidRPr="00C47F76" w:rsidRDefault="00157D5E" w:rsidP="00907E09">
      <w:pPr>
        <w:keepNext/>
        <w:spacing w:after="0" w:line="240" w:lineRule="auto"/>
        <w:contextualSpacing/>
        <w:jc w:val="center"/>
        <w:outlineLvl w:val="4"/>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 xml:space="preserve">Table </w:t>
      </w:r>
      <w:r w:rsidR="00083E3E">
        <w:rPr>
          <w:rFonts w:ascii="Times New Roman" w:eastAsia="Times New Roman" w:hAnsi="Times New Roman" w:cs="Times New Roman"/>
          <w:b/>
          <w:sz w:val="26"/>
          <w:szCs w:val="26"/>
        </w:rPr>
        <w:t>5</w:t>
      </w:r>
    </w:p>
    <w:p w:rsidR="00C47F76" w:rsidRPr="00C47F76" w:rsidRDefault="00C47F76" w:rsidP="00907E09">
      <w:pPr>
        <w:keepNext/>
        <w:spacing w:after="0" w:line="240" w:lineRule="auto"/>
        <w:contextualSpacing/>
        <w:jc w:val="center"/>
        <w:outlineLvl w:val="4"/>
        <w:rPr>
          <w:rFonts w:ascii="Times New Roman" w:eastAsia="Times New Roman" w:hAnsi="Times New Roman" w:cs="Times New Roman"/>
          <w:b/>
          <w:sz w:val="26"/>
          <w:szCs w:val="26"/>
        </w:rPr>
      </w:pPr>
      <w:r w:rsidRPr="00C47F76">
        <w:rPr>
          <w:rFonts w:ascii="Times New Roman" w:eastAsia="Times New Roman" w:hAnsi="Times New Roman" w:cs="Times New Roman"/>
          <w:b/>
          <w:sz w:val="26"/>
          <w:szCs w:val="26"/>
        </w:rPr>
        <w:t>Eligibility Criteria</w:t>
      </w:r>
    </w:p>
    <w:tbl>
      <w:tblPr>
        <w:tblW w:w="9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1"/>
        <w:gridCol w:w="3150"/>
        <w:gridCol w:w="4194"/>
      </w:tblGrid>
      <w:tr w:rsidR="00C47F76" w:rsidRPr="00C47F76" w:rsidTr="0033326F">
        <w:trPr>
          <w:cantSplit/>
          <w:jc w:val="center"/>
        </w:trPr>
        <w:tc>
          <w:tcPr>
            <w:tcW w:w="2311" w:type="dxa"/>
          </w:tcPr>
          <w:p w:rsidR="00C47F76" w:rsidRPr="00C47F76" w:rsidRDefault="00C47F76" w:rsidP="00907E09">
            <w:pPr>
              <w:keepNext/>
              <w:spacing w:after="0" w:line="240" w:lineRule="auto"/>
              <w:contextualSpacing/>
              <w:rPr>
                <w:rFonts w:ascii="Times New Roman" w:eastAsia="Times New Roman" w:hAnsi="Times New Roman" w:cs="Times New Roman"/>
                <w:b/>
                <w:sz w:val="26"/>
                <w:szCs w:val="26"/>
              </w:rPr>
            </w:pPr>
            <w:r w:rsidRPr="00C47F76">
              <w:rPr>
                <w:rFonts w:ascii="Times New Roman" w:eastAsia="Times New Roman" w:hAnsi="Times New Roman" w:cs="Times New Roman"/>
                <w:b/>
                <w:sz w:val="26"/>
                <w:szCs w:val="26"/>
              </w:rPr>
              <w:t>Program</w:t>
            </w:r>
          </w:p>
        </w:tc>
        <w:tc>
          <w:tcPr>
            <w:tcW w:w="3150" w:type="dxa"/>
          </w:tcPr>
          <w:p w:rsidR="00C47F76" w:rsidRPr="00C47F76" w:rsidRDefault="00C47F76" w:rsidP="00907E09">
            <w:pPr>
              <w:keepNext/>
              <w:spacing w:after="0" w:line="240" w:lineRule="auto"/>
              <w:contextualSpacing/>
              <w:rPr>
                <w:rFonts w:ascii="Times New Roman" w:eastAsia="Times New Roman" w:hAnsi="Times New Roman" w:cs="Times New Roman"/>
                <w:b/>
                <w:sz w:val="26"/>
                <w:szCs w:val="26"/>
              </w:rPr>
            </w:pPr>
            <w:r w:rsidRPr="00C47F76">
              <w:rPr>
                <w:rFonts w:ascii="Times New Roman" w:eastAsia="Times New Roman" w:hAnsi="Times New Roman" w:cs="Times New Roman"/>
                <w:b/>
                <w:sz w:val="26"/>
                <w:szCs w:val="26"/>
              </w:rPr>
              <w:t>Income Criteria</w:t>
            </w:r>
          </w:p>
        </w:tc>
        <w:tc>
          <w:tcPr>
            <w:tcW w:w="4194" w:type="dxa"/>
          </w:tcPr>
          <w:p w:rsidR="00C47F76" w:rsidRPr="00C47F76" w:rsidRDefault="00C47F76" w:rsidP="00907E09">
            <w:pPr>
              <w:keepNext/>
              <w:spacing w:after="0" w:line="240" w:lineRule="auto"/>
              <w:contextualSpacing/>
              <w:rPr>
                <w:rFonts w:ascii="Times New Roman" w:eastAsia="Times New Roman" w:hAnsi="Times New Roman" w:cs="Times New Roman"/>
                <w:b/>
                <w:sz w:val="26"/>
                <w:szCs w:val="26"/>
              </w:rPr>
            </w:pPr>
            <w:r w:rsidRPr="00C47F76">
              <w:rPr>
                <w:rFonts w:ascii="Times New Roman" w:eastAsia="Times New Roman" w:hAnsi="Times New Roman" w:cs="Times New Roman"/>
                <w:b/>
                <w:sz w:val="26"/>
                <w:szCs w:val="26"/>
              </w:rPr>
              <w:t xml:space="preserve">Other Criteria </w:t>
            </w:r>
          </w:p>
        </w:tc>
      </w:tr>
      <w:tr w:rsidR="00C47F76" w:rsidRPr="00C47F76" w:rsidTr="0033326F">
        <w:trPr>
          <w:cantSplit/>
          <w:jc w:val="center"/>
        </w:trPr>
        <w:tc>
          <w:tcPr>
            <w:tcW w:w="2311" w:type="dxa"/>
          </w:tcPr>
          <w:p w:rsidR="00C47F76" w:rsidRPr="00C47F76" w:rsidRDefault="00C47F76" w:rsidP="00907E09">
            <w:pPr>
              <w:keepNext/>
              <w:spacing w:after="0" w:line="240" w:lineRule="auto"/>
              <w:contextualSpacing/>
              <w:outlineLvl w:val="2"/>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CAP (CRP)</w:t>
            </w:r>
          </w:p>
        </w:tc>
        <w:tc>
          <w:tcPr>
            <w:tcW w:w="3150" w:type="dxa"/>
          </w:tcPr>
          <w:p w:rsidR="00C47F76" w:rsidRPr="00C47F76" w:rsidRDefault="00C47F76" w:rsidP="00907E09">
            <w:pPr>
              <w:keepNext/>
              <w:numPr>
                <w:ilvl w:val="0"/>
                <w:numId w:val="4"/>
              </w:numPr>
              <w:spacing w:after="0" w:line="240" w:lineRule="auto"/>
              <w:contextualSpacing/>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 xml:space="preserve">150% FPIG </w:t>
            </w:r>
            <w:r w:rsidR="00322E79">
              <w:rPr>
                <w:rFonts w:ascii="Times New Roman" w:eastAsia="Times New Roman" w:hAnsi="Times New Roman" w:cs="Times New Roman"/>
                <w:sz w:val="26"/>
                <w:szCs w:val="26"/>
              </w:rPr>
              <w:t>or less</w:t>
            </w:r>
          </w:p>
        </w:tc>
        <w:tc>
          <w:tcPr>
            <w:tcW w:w="4194" w:type="dxa"/>
          </w:tcPr>
          <w:p w:rsidR="00C47F76" w:rsidRDefault="00C47F76" w:rsidP="00907E09">
            <w:pPr>
              <w:keepNext/>
              <w:numPr>
                <w:ilvl w:val="0"/>
                <w:numId w:val="4"/>
              </w:numPr>
              <w:spacing w:after="0" w:line="240" w:lineRule="auto"/>
              <w:contextualSpacing/>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Must be a residential customer</w:t>
            </w:r>
          </w:p>
          <w:p w:rsidR="00DF5CED" w:rsidRPr="00C47F76" w:rsidRDefault="00DF5CED" w:rsidP="00907E09">
            <w:pPr>
              <w:keepNext/>
              <w:numPr>
                <w:ilvl w:val="0"/>
                <w:numId w:val="4"/>
              </w:numPr>
              <w:spacing w:after="0" w:line="24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Premises must be primary residence</w:t>
            </w:r>
          </w:p>
          <w:p w:rsidR="00C47F76" w:rsidRPr="00C47F76" w:rsidRDefault="00C47F76" w:rsidP="00907E09">
            <w:pPr>
              <w:keepNext/>
              <w:numPr>
                <w:ilvl w:val="0"/>
                <w:numId w:val="4"/>
              </w:numPr>
              <w:spacing w:after="0" w:line="240" w:lineRule="auto"/>
              <w:contextualSpacing/>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Does not need to be payment-troubled</w:t>
            </w:r>
          </w:p>
          <w:p w:rsidR="00C47F76" w:rsidRPr="00C47F76" w:rsidRDefault="00C47F76" w:rsidP="00907E09">
            <w:pPr>
              <w:keepNext/>
              <w:numPr>
                <w:ilvl w:val="0"/>
                <w:numId w:val="4"/>
              </w:numPr>
              <w:spacing w:after="0" w:line="240" w:lineRule="auto"/>
              <w:contextualSpacing/>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Must not be enrolled in SCD program</w:t>
            </w:r>
          </w:p>
        </w:tc>
      </w:tr>
      <w:tr w:rsidR="00C47F76" w:rsidRPr="00C47F76" w:rsidTr="0033326F">
        <w:trPr>
          <w:cantSplit/>
          <w:jc w:val="center"/>
        </w:trPr>
        <w:tc>
          <w:tcPr>
            <w:tcW w:w="2311" w:type="dxa"/>
          </w:tcPr>
          <w:p w:rsidR="00C47F76" w:rsidRPr="00C47F76" w:rsidRDefault="006C526C" w:rsidP="00907E09">
            <w:pPr>
              <w:keepNext/>
              <w:spacing w:after="0" w:line="24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LIURP (CRP Home Comfort</w:t>
            </w:r>
            <w:r w:rsidR="00C47F76" w:rsidRPr="00C47F76">
              <w:rPr>
                <w:rFonts w:ascii="Times New Roman" w:eastAsia="Times New Roman" w:hAnsi="Times New Roman" w:cs="Times New Roman"/>
                <w:sz w:val="26"/>
                <w:szCs w:val="26"/>
              </w:rPr>
              <w:t>)</w:t>
            </w:r>
          </w:p>
        </w:tc>
        <w:tc>
          <w:tcPr>
            <w:tcW w:w="3150" w:type="dxa"/>
          </w:tcPr>
          <w:p w:rsidR="00C47F76" w:rsidRPr="00C47F76" w:rsidRDefault="00322E79" w:rsidP="00907E09">
            <w:pPr>
              <w:keepNext/>
              <w:numPr>
                <w:ilvl w:val="0"/>
                <w:numId w:val="5"/>
              </w:numPr>
              <w:spacing w:after="0" w:line="240" w:lineRule="auto"/>
              <w:contextualSpacing/>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 xml:space="preserve">150% FPIG </w:t>
            </w:r>
            <w:r>
              <w:rPr>
                <w:rFonts w:ascii="Times New Roman" w:eastAsia="Times New Roman" w:hAnsi="Times New Roman" w:cs="Times New Roman"/>
                <w:sz w:val="26"/>
                <w:szCs w:val="26"/>
              </w:rPr>
              <w:t>or less</w:t>
            </w:r>
          </w:p>
        </w:tc>
        <w:tc>
          <w:tcPr>
            <w:tcW w:w="4194" w:type="dxa"/>
          </w:tcPr>
          <w:p w:rsidR="00DF5CED" w:rsidRDefault="00DF5CED" w:rsidP="00907E09">
            <w:pPr>
              <w:keepNext/>
              <w:numPr>
                <w:ilvl w:val="0"/>
                <w:numId w:val="4"/>
              </w:numPr>
              <w:spacing w:after="0" w:line="240" w:lineRule="auto"/>
              <w:contextualSpacing/>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Priority is given to the highest users</w:t>
            </w:r>
            <w:r w:rsidR="00322E79">
              <w:rPr>
                <w:rFonts w:ascii="Times New Roman" w:eastAsia="Times New Roman" w:hAnsi="Times New Roman" w:cs="Times New Roman"/>
                <w:sz w:val="26"/>
                <w:szCs w:val="26"/>
              </w:rPr>
              <w:t xml:space="preserve"> (top 50% of CRP customers)</w:t>
            </w:r>
          </w:p>
          <w:p w:rsidR="00322E79" w:rsidRDefault="00322E79" w:rsidP="00907E09">
            <w:pPr>
              <w:keepNext/>
              <w:numPr>
                <w:ilvl w:val="0"/>
                <w:numId w:val="4"/>
              </w:numPr>
              <w:spacing w:after="0" w:line="24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Have at least</w:t>
            </w:r>
            <w:r w:rsidR="00865B7C">
              <w:rPr>
                <w:rFonts w:ascii="Times New Roman" w:eastAsia="Times New Roman" w:hAnsi="Times New Roman" w:cs="Times New Roman"/>
                <w:sz w:val="26"/>
                <w:szCs w:val="26"/>
              </w:rPr>
              <w:t xml:space="preserve"> 12</w:t>
            </w:r>
            <w:r>
              <w:rPr>
                <w:rFonts w:ascii="Times New Roman" w:eastAsia="Times New Roman" w:hAnsi="Times New Roman" w:cs="Times New Roman"/>
                <w:sz w:val="26"/>
                <w:szCs w:val="26"/>
              </w:rPr>
              <w:t xml:space="preserve"> months of continuous service </w:t>
            </w:r>
          </w:p>
          <w:p w:rsidR="00C47F76" w:rsidRDefault="00C47F76" w:rsidP="00907E09">
            <w:pPr>
              <w:keepNext/>
              <w:numPr>
                <w:ilvl w:val="0"/>
                <w:numId w:val="4"/>
              </w:numPr>
              <w:spacing w:after="0" w:line="240" w:lineRule="auto"/>
              <w:contextualSpacing/>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 xml:space="preserve">Must not have received weatherization services </w:t>
            </w:r>
            <w:r w:rsidR="00DF5CED">
              <w:rPr>
                <w:rFonts w:ascii="Times New Roman" w:eastAsia="Times New Roman" w:hAnsi="Times New Roman" w:cs="Times New Roman"/>
                <w:sz w:val="26"/>
                <w:szCs w:val="26"/>
              </w:rPr>
              <w:t xml:space="preserve">over </w:t>
            </w:r>
            <w:r w:rsidR="00865B7C">
              <w:rPr>
                <w:rFonts w:ascii="Times New Roman" w:eastAsia="Times New Roman" w:hAnsi="Times New Roman" w:cs="Times New Roman"/>
                <w:sz w:val="26"/>
                <w:szCs w:val="26"/>
              </w:rPr>
              <w:t>the previous seven years</w:t>
            </w:r>
          </w:p>
          <w:p w:rsidR="00865B7C" w:rsidRDefault="00865B7C" w:rsidP="00907E09">
            <w:pPr>
              <w:keepNext/>
              <w:numPr>
                <w:ilvl w:val="0"/>
                <w:numId w:val="4"/>
              </w:numPr>
              <w:spacing w:after="0" w:line="24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Must reside in a single-family home</w:t>
            </w:r>
          </w:p>
          <w:p w:rsidR="00907E09" w:rsidRPr="00C47F76" w:rsidRDefault="00907E09" w:rsidP="00907E09">
            <w:pPr>
              <w:keepNext/>
              <w:numPr>
                <w:ilvl w:val="0"/>
                <w:numId w:val="4"/>
              </w:numPr>
              <w:spacing w:after="0" w:line="240" w:lineRule="auto"/>
              <w:contextualSpacing/>
              <w:rPr>
                <w:rFonts w:ascii="Times New Roman" w:eastAsia="Times New Roman" w:hAnsi="Times New Roman" w:cs="Times New Roman"/>
                <w:sz w:val="26"/>
                <w:szCs w:val="26"/>
              </w:rPr>
            </w:pPr>
            <w:r w:rsidRPr="00907E09">
              <w:rPr>
                <w:rFonts w:ascii="Times New Roman" w:eastAsia="Times New Roman" w:hAnsi="Times New Roman" w:cs="Times New Roman"/>
                <w:b/>
                <w:sz w:val="26"/>
                <w:szCs w:val="26"/>
              </w:rPr>
              <w:t>For multi-family properties:</w:t>
            </w:r>
            <w:r>
              <w:rPr>
                <w:rFonts w:ascii="Times New Roman" w:eastAsia="Times New Roman" w:hAnsi="Times New Roman" w:cs="Times New Roman"/>
                <w:sz w:val="26"/>
                <w:szCs w:val="26"/>
              </w:rPr>
              <w:t xml:space="preserve"> At least 75% of tenants must have incomes at or below 150% of FPIG</w:t>
            </w:r>
          </w:p>
        </w:tc>
      </w:tr>
      <w:tr w:rsidR="00C47F76" w:rsidRPr="00C47F76" w:rsidTr="0033326F">
        <w:trPr>
          <w:cantSplit/>
          <w:jc w:val="center"/>
        </w:trPr>
        <w:tc>
          <w:tcPr>
            <w:tcW w:w="2311" w:type="dxa"/>
          </w:tcPr>
          <w:p w:rsidR="00C47F76" w:rsidRPr="00C47F76" w:rsidRDefault="00C47F76" w:rsidP="00907E09">
            <w:pPr>
              <w:keepNext/>
              <w:spacing w:after="0" w:line="240" w:lineRule="auto"/>
              <w:contextualSpacing/>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CARES</w:t>
            </w:r>
          </w:p>
        </w:tc>
        <w:tc>
          <w:tcPr>
            <w:tcW w:w="3150" w:type="dxa"/>
          </w:tcPr>
          <w:p w:rsidR="00C47F76" w:rsidRPr="00C47F76" w:rsidRDefault="00C47F76" w:rsidP="00907E09">
            <w:pPr>
              <w:keepNext/>
              <w:numPr>
                <w:ilvl w:val="0"/>
                <w:numId w:val="6"/>
              </w:numPr>
              <w:spacing w:after="0" w:line="240" w:lineRule="auto"/>
              <w:contextualSpacing/>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150% FPIG or less</w:t>
            </w:r>
          </w:p>
        </w:tc>
        <w:tc>
          <w:tcPr>
            <w:tcW w:w="4194" w:type="dxa"/>
          </w:tcPr>
          <w:p w:rsidR="00C47F76" w:rsidRPr="00C47F76" w:rsidRDefault="00C47F76" w:rsidP="00907E09">
            <w:pPr>
              <w:keepNext/>
              <w:numPr>
                <w:ilvl w:val="0"/>
                <w:numId w:val="6"/>
              </w:numPr>
              <w:spacing w:after="0" w:line="240" w:lineRule="auto"/>
              <w:contextualSpacing/>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 xml:space="preserve">Hardship due to financial or non-financial crisis or Protection From Abuse order </w:t>
            </w:r>
          </w:p>
        </w:tc>
      </w:tr>
      <w:tr w:rsidR="00C47F76" w:rsidRPr="00C47F76" w:rsidTr="0033326F">
        <w:trPr>
          <w:cantSplit/>
          <w:jc w:val="center"/>
        </w:trPr>
        <w:tc>
          <w:tcPr>
            <w:tcW w:w="2311" w:type="dxa"/>
          </w:tcPr>
          <w:p w:rsidR="00C47F76" w:rsidRPr="00C47F76" w:rsidRDefault="00C47F76" w:rsidP="00907E09">
            <w:pPr>
              <w:spacing w:after="0" w:line="240" w:lineRule="auto"/>
              <w:contextualSpacing/>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Hardship Fund</w:t>
            </w:r>
          </w:p>
        </w:tc>
        <w:tc>
          <w:tcPr>
            <w:tcW w:w="3150" w:type="dxa"/>
          </w:tcPr>
          <w:p w:rsidR="00C47F76" w:rsidRPr="00C47F76" w:rsidRDefault="00C47F76" w:rsidP="00907E09">
            <w:pPr>
              <w:numPr>
                <w:ilvl w:val="0"/>
                <w:numId w:val="7"/>
              </w:numPr>
              <w:spacing w:after="0" w:line="240" w:lineRule="auto"/>
              <w:contextualSpacing/>
              <w:rPr>
                <w:rFonts w:ascii="Times New Roman" w:eastAsia="Times New Roman" w:hAnsi="Times New Roman" w:cs="Times New Roman"/>
                <w:color w:val="002060"/>
                <w:sz w:val="26"/>
                <w:szCs w:val="26"/>
              </w:rPr>
            </w:pPr>
            <w:r w:rsidRPr="00C47F76">
              <w:rPr>
                <w:rFonts w:ascii="Times New Roman" w:eastAsia="Times New Roman" w:hAnsi="Times New Roman" w:cs="Times New Roman"/>
                <w:sz w:val="26"/>
                <w:szCs w:val="26"/>
              </w:rPr>
              <w:t>175% FPIG or less</w:t>
            </w:r>
          </w:p>
        </w:tc>
        <w:tc>
          <w:tcPr>
            <w:tcW w:w="4194" w:type="dxa"/>
          </w:tcPr>
          <w:p w:rsidR="00C47F76" w:rsidRPr="00C47F76" w:rsidRDefault="00C47F76" w:rsidP="00907E09">
            <w:pPr>
              <w:numPr>
                <w:ilvl w:val="0"/>
                <w:numId w:val="4"/>
              </w:numPr>
              <w:spacing w:after="0" w:line="240" w:lineRule="auto"/>
              <w:contextualSpacing/>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 xml:space="preserve">Service must be off or in threat of termination </w:t>
            </w:r>
          </w:p>
          <w:p w:rsidR="00C47F76" w:rsidRPr="00C47F76" w:rsidRDefault="00C47F76" w:rsidP="00907E09">
            <w:pPr>
              <w:numPr>
                <w:ilvl w:val="0"/>
                <w:numId w:val="4"/>
              </w:numPr>
              <w:spacing w:after="0" w:line="240" w:lineRule="auto"/>
              <w:contextualSpacing/>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Have not received UESF grant in the past 24 months</w:t>
            </w:r>
          </w:p>
          <w:p w:rsidR="00C47F76" w:rsidRPr="00C47F76" w:rsidRDefault="00C47F76" w:rsidP="00907E09">
            <w:pPr>
              <w:numPr>
                <w:ilvl w:val="0"/>
                <w:numId w:val="4"/>
              </w:numPr>
              <w:spacing w:after="0" w:line="240" w:lineRule="auto"/>
              <w:contextualSpacing/>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Must have applied for LIHEAP Cash &amp; Crisis, if available</w:t>
            </w:r>
          </w:p>
          <w:p w:rsidR="00C47F76" w:rsidRPr="00C47F76" w:rsidRDefault="00C47F76" w:rsidP="00907E09">
            <w:pPr>
              <w:numPr>
                <w:ilvl w:val="0"/>
                <w:numId w:val="7"/>
              </w:numPr>
              <w:spacing w:after="0" w:line="240" w:lineRule="auto"/>
              <w:contextualSpacing/>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Grant total cannot exceed $1500 and must completely eliminate customer arrearage</w:t>
            </w:r>
          </w:p>
        </w:tc>
      </w:tr>
    </w:tbl>
    <w:p w:rsidR="00C47F76" w:rsidRPr="00C47F76" w:rsidRDefault="00C47F76" w:rsidP="00231829">
      <w:pPr>
        <w:spacing w:after="0" w:line="360" w:lineRule="auto"/>
        <w:contextualSpacing/>
        <w:rPr>
          <w:rFonts w:ascii="Times New Roman" w:eastAsia="Times New Roman" w:hAnsi="Times New Roman" w:cs="Times New Roman"/>
          <w:sz w:val="26"/>
          <w:szCs w:val="26"/>
          <w:u w:val="single"/>
        </w:rPr>
      </w:pPr>
    </w:p>
    <w:p w:rsidR="006561CF" w:rsidRPr="00A669EE" w:rsidRDefault="006561CF" w:rsidP="006561CF">
      <w:pPr>
        <w:keepNext/>
        <w:numPr>
          <w:ilvl w:val="0"/>
          <w:numId w:val="41"/>
        </w:numPr>
        <w:spacing w:after="0" w:line="360" w:lineRule="auto"/>
        <w:contextualSpacing/>
        <w:rPr>
          <w:rFonts w:ascii="Times New Roman" w:eastAsia="Times New Roman" w:hAnsi="Times New Roman" w:cs="Times New Roman"/>
          <w:sz w:val="26"/>
          <w:szCs w:val="26"/>
        </w:rPr>
      </w:pPr>
      <w:r w:rsidRPr="00C47F76">
        <w:rPr>
          <w:rFonts w:ascii="Times New Roman" w:eastAsia="Times New Roman" w:hAnsi="Times New Roman" w:cs="Times New Roman"/>
          <w:b/>
          <w:sz w:val="26"/>
          <w:szCs w:val="26"/>
          <w:u w:val="single"/>
        </w:rPr>
        <w:t>Projected Needs Assessments</w:t>
      </w:r>
    </w:p>
    <w:p w:rsidR="006561CF" w:rsidRPr="00C47F76" w:rsidRDefault="006561CF" w:rsidP="006561CF">
      <w:pPr>
        <w:keepNext/>
        <w:spacing w:after="0" w:line="360" w:lineRule="auto"/>
        <w:ind w:firstLine="720"/>
        <w:contextualSpacing/>
        <w:rPr>
          <w:rFonts w:ascii="Times New Roman" w:eastAsia="Times New Roman" w:hAnsi="Times New Roman" w:cs="Times New Roman"/>
          <w:sz w:val="26"/>
          <w:szCs w:val="26"/>
        </w:rPr>
      </w:pPr>
    </w:p>
    <w:p w:rsidR="006561CF" w:rsidRPr="00C47F76" w:rsidRDefault="006561CF" w:rsidP="006561CF">
      <w:pPr>
        <w:spacing w:after="0" w:line="360" w:lineRule="auto"/>
        <w:ind w:firstLine="720"/>
        <w:contextualSpacing/>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 xml:space="preserve">PGW </w:t>
      </w:r>
      <w:r>
        <w:rPr>
          <w:rFonts w:ascii="Times New Roman" w:eastAsia="Times New Roman" w:hAnsi="Times New Roman" w:cs="Times New Roman"/>
          <w:sz w:val="26"/>
          <w:szCs w:val="26"/>
        </w:rPr>
        <w:t xml:space="preserve">is required </w:t>
      </w:r>
      <w:r w:rsidRPr="00C47F76">
        <w:rPr>
          <w:rFonts w:ascii="Times New Roman" w:eastAsia="Times New Roman" w:hAnsi="Times New Roman" w:cs="Times New Roman"/>
          <w:sz w:val="26"/>
          <w:szCs w:val="26"/>
        </w:rPr>
        <w:t>to submit a needs assessment for each program component</w:t>
      </w:r>
      <w:r>
        <w:rPr>
          <w:rFonts w:ascii="Times New Roman" w:eastAsia="Times New Roman" w:hAnsi="Times New Roman" w:cs="Times New Roman"/>
          <w:sz w:val="26"/>
          <w:szCs w:val="26"/>
        </w:rPr>
        <w:t xml:space="preserve"> pursuant to Section </w:t>
      </w:r>
      <w:r w:rsidRPr="00C47F76">
        <w:rPr>
          <w:rFonts w:ascii="Times New Roman" w:eastAsia="Times New Roman" w:hAnsi="Times New Roman" w:cs="Times New Roman"/>
          <w:sz w:val="26"/>
          <w:szCs w:val="26"/>
        </w:rPr>
        <w:t xml:space="preserve">62.4(b)(3).  </w:t>
      </w:r>
      <w:r w:rsidR="00157D5E">
        <w:rPr>
          <w:rFonts w:ascii="Times New Roman" w:eastAsia="Times New Roman" w:hAnsi="Times New Roman" w:cs="Times New Roman"/>
          <w:sz w:val="26"/>
          <w:szCs w:val="26"/>
        </w:rPr>
        <w:t xml:space="preserve">Table </w:t>
      </w:r>
      <w:r w:rsidR="00083E3E">
        <w:rPr>
          <w:rFonts w:ascii="Times New Roman" w:eastAsia="Times New Roman" w:hAnsi="Times New Roman" w:cs="Times New Roman"/>
          <w:sz w:val="26"/>
          <w:szCs w:val="26"/>
        </w:rPr>
        <w:t>6</w:t>
      </w:r>
      <w:r>
        <w:rPr>
          <w:rFonts w:ascii="Times New Roman" w:eastAsia="Times New Roman" w:hAnsi="Times New Roman" w:cs="Times New Roman"/>
          <w:sz w:val="26"/>
          <w:szCs w:val="26"/>
        </w:rPr>
        <w:t xml:space="preserve"> describes the needs assessment analysis for PGW’s CRP, CRP Home Comfort, CARES, and Hardship Fund programs.</w:t>
      </w:r>
    </w:p>
    <w:p w:rsidR="006561CF" w:rsidRDefault="006561CF" w:rsidP="006561CF">
      <w:pPr>
        <w:spacing w:after="0" w:line="360" w:lineRule="auto"/>
        <w:ind w:firstLine="720"/>
        <w:contextualSpacing/>
        <w:rPr>
          <w:rFonts w:ascii="Times New Roman" w:eastAsia="Times New Roman" w:hAnsi="Times New Roman" w:cs="Times New Roman"/>
          <w:sz w:val="26"/>
          <w:szCs w:val="26"/>
        </w:rPr>
      </w:pPr>
    </w:p>
    <w:p w:rsidR="006561CF" w:rsidRPr="00F4694E" w:rsidRDefault="00157D5E" w:rsidP="006561CF">
      <w:pPr>
        <w:keepNext/>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Table </w:t>
      </w:r>
      <w:r w:rsidR="00083E3E">
        <w:rPr>
          <w:rFonts w:ascii="Times New Roman" w:eastAsia="Times New Roman" w:hAnsi="Times New Roman" w:cs="Times New Roman"/>
          <w:b/>
          <w:sz w:val="26"/>
          <w:szCs w:val="26"/>
        </w:rPr>
        <w:t>6</w:t>
      </w:r>
    </w:p>
    <w:p w:rsidR="006561CF" w:rsidRPr="00F4694E" w:rsidRDefault="006561CF" w:rsidP="006561CF">
      <w:pPr>
        <w:keepNext/>
        <w:spacing w:after="0" w:line="240" w:lineRule="auto"/>
        <w:jc w:val="center"/>
        <w:rPr>
          <w:rFonts w:ascii="Times New Roman" w:eastAsia="Times New Roman" w:hAnsi="Times New Roman" w:cs="Times New Roman"/>
          <w:b/>
          <w:sz w:val="26"/>
          <w:szCs w:val="26"/>
        </w:rPr>
      </w:pPr>
      <w:r w:rsidRPr="00F4694E">
        <w:rPr>
          <w:rFonts w:ascii="Times New Roman" w:eastAsia="Times New Roman" w:hAnsi="Times New Roman" w:cs="Times New Roman"/>
          <w:b/>
          <w:sz w:val="26"/>
          <w:szCs w:val="26"/>
        </w:rPr>
        <w:t>Needs Assessment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1"/>
        <w:gridCol w:w="2061"/>
      </w:tblGrid>
      <w:tr w:rsidR="006561CF" w:rsidRPr="00F4694E" w:rsidTr="003B238E">
        <w:trPr>
          <w:jc w:val="center"/>
        </w:trPr>
        <w:tc>
          <w:tcPr>
            <w:tcW w:w="7101" w:type="dxa"/>
          </w:tcPr>
          <w:p w:rsidR="006561CF" w:rsidRPr="00F4694E" w:rsidRDefault="006561CF" w:rsidP="003B238E">
            <w:pPr>
              <w:keepNext/>
              <w:spacing w:after="0" w:line="240" w:lineRule="auto"/>
              <w:rPr>
                <w:rFonts w:ascii="Times New Roman" w:eastAsia="Times New Roman" w:hAnsi="Times New Roman" w:cs="Times New Roman"/>
                <w:sz w:val="26"/>
                <w:szCs w:val="26"/>
              </w:rPr>
            </w:pPr>
          </w:p>
        </w:tc>
        <w:tc>
          <w:tcPr>
            <w:tcW w:w="2061" w:type="dxa"/>
          </w:tcPr>
          <w:p w:rsidR="006561CF" w:rsidRPr="00F4694E" w:rsidRDefault="006561CF" w:rsidP="003B238E">
            <w:pPr>
              <w:keepNext/>
              <w:spacing w:after="0" w:line="240" w:lineRule="auto"/>
              <w:jc w:val="center"/>
              <w:rPr>
                <w:rFonts w:ascii="Times New Roman" w:eastAsia="Times New Roman" w:hAnsi="Times New Roman" w:cs="Times New Roman"/>
                <w:b/>
                <w:sz w:val="26"/>
                <w:szCs w:val="26"/>
              </w:rPr>
            </w:pPr>
          </w:p>
        </w:tc>
      </w:tr>
      <w:tr w:rsidR="006561CF" w:rsidRPr="00F4694E" w:rsidTr="003B238E">
        <w:trPr>
          <w:jc w:val="center"/>
        </w:trPr>
        <w:tc>
          <w:tcPr>
            <w:tcW w:w="7101" w:type="dxa"/>
          </w:tcPr>
          <w:p w:rsidR="006561CF" w:rsidRPr="00F4694E" w:rsidRDefault="006561CF" w:rsidP="003B238E">
            <w:pPr>
              <w:keepNext/>
              <w:spacing w:after="0" w:line="240" w:lineRule="auto"/>
              <w:rPr>
                <w:rFonts w:ascii="Times New Roman" w:eastAsia="Times New Roman" w:hAnsi="Times New Roman" w:cs="Times New Roman"/>
                <w:sz w:val="26"/>
                <w:szCs w:val="26"/>
              </w:rPr>
            </w:pPr>
            <w:r w:rsidRPr="00F4694E">
              <w:rPr>
                <w:rFonts w:ascii="Times New Roman" w:eastAsia="Times New Roman" w:hAnsi="Times New Roman" w:cs="Times New Roman"/>
                <w:sz w:val="26"/>
                <w:szCs w:val="26"/>
              </w:rPr>
              <w:t>1. Identified number of low-income customers*</w:t>
            </w:r>
          </w:p>
        </w:tc>
        <w:tc>
          <w:tcPr>
            <w:tcW w:w="2061" w:type="dxa"/>
            <w:vAlign w:val="center"/>
          </w:tcPr>
          <w:p w:rsidR="006561CF" w:rsidRPr="00F4694E" w:rsidRDefault="006561CF" w:rsidP="003B238E">
            <w:pPr>
              <w:keepNext/>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120,762[</w:t>
            </w:r>
            <w:r>
              <w:rPr>
                <w:rStyle w:val="FootnoteReference"/>
                <w:rFonts w:ascii="Times New Roman" w:eastAsia="Times New Roman" w:hAnsi="Times New Roman" w:cs="Times New Roman"/>
                <w:sz w:val="26"/>
                <w:szCs w:val="26"/>
              </w:rPr>
              <w:footnoteReference w:id="45"/>
            </w:r>
            <w:r>
              <w:rPr>
                <w:rFonts w:ascii="Times New Roman" w:eastAsia="Times New Roman" w:hAnsi="Times New Roman" w:cs="Times New Roman"/>
                <w:sz w:val="26"/>
                <w:szCs w:val="26"/>
              </w:rPr>
              <w:t>]</w:t>
            </w:r>
          </w:p>
        </w:tc>
      </w:tr>
      <w:tr w:rsidR="006561CF" w:rsidRPr="00F4694E" w:rsidTr="003B238E">
        <w:trPr>
          <w:jc w:val="center"/>
        </w:trPr>
        <w:tc>
          <w:tcPr>
            <w:tcW w:w="7101" w:type="dxa"/>
          </w:tcPr>
          <w:p w:rsidR="006561CF" w:rsidRPr="00F4694E" w:rsidRDefault="006561CF" w:rsidP="003B238E">
            <w:pPr>
              <w:keepNext/>
              <w:spacing w:after="0" w:line="240" w:lineRule="auto"/>
              <w:rPr>
                <w:rFonts w:ascii="Times New Roman" w:eastAsia="Times New Roman" w:hAnsi="Times New Roman" w:cs="Times New Roman"/>
                <w:sz w:val="26"/>
                <w:szCs w:val="26"/>
              </w:rPr>
            </w:pPr>
            <w:r w:rsidRPr="00F4694E">
              <w:rPr>
                <w:rFonts w:ascii="Times New Roman" w:eastAsia="Times New Roman" w:hAnsi="Times New Roman" w:cs="Times New Roman"/>
                <w:sz w:val="26"/>
                <w:szCs w:val="26"/>
              </w:rPr>
              <w:t>2. Estimated number of low-income customers**</w:t>
            </w:r>
          </w:p>
        </w:tc>
        <w:tc>
          <w:tcPr>
            <w:tcW w:w="2061" w:type="dxa"/>
            <w:vAlign w:val="center"/>
          </w:tcPr>
          <w:p w:rsidR="006561CF" w:rsidRPr="00F4694E" w:rsidRDefault="006561CF" w:rsidP="003B238E">
            <w:pPr>
              <w:keepNext/>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178,899</w:t>
            </w:r>
          </w:p>
        </w:tc>
      </w:tr>
      <w:tr w:rsidR="006561CF" w:rsidRPr="00F4694E" w:rsidTr="003B238E">
        <w:trPr>
          <w:jc w:val="center"/>
        </w:trPr>
        <w:tc>
          <w:tcPr>
            <w:tcW w:w="7101" w:type="dxa"/>
          </w:tcPr>
          <w:p w:rsidR="006561CF" w:rsidRDefault="006561CF" w:rsidP="003B238E">
            <w:pPr>
              <w:keepNext/>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3. Identified number of payment troubled, low-income customers</w:t>
            </w:r>
          </w:p>
        </w:tc>
        <w:tc>
          <w:tcPr>
            <w:tcW w:w="2061" w:type="dxa"/>
            <w:vAlign w:val="center"/>
          </w:tcPr>
          <w:p w:rsidR="006561CF" w:rsidRDefault="006561CF" w:rsidP="003B238E">
            <w:pPr>
              <w:keepNext/>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25,442</w:t>
            </w:r>
          </w:p>
        </w:tc>
      </w:tr>
      <w:tr w:rsidR="006561CF" w:rsidRPr="00F4694E" w:rsidTr="003B238E">
        <w:trPr>
          <w:jc w:val="center"/>
        </w:trPr>
        <w:tc>
          <w:tcPr>
            <w:tcW w:w="7101" w:type="dxa"/>
          </w:tcPr>
          <w:p w:rsidR="006561CF" w:rsidRDefault="006561CF" w:rsidP="003B238E">
            <w:pPr>
              <w:keepNext/>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4. Number of low-income customers needing LIURP </w:t>
            </w:r>
          </w:p>
        </w:tc>
        <w:tc>
          <w:tcPr>
            <w:tcW w:w="2061" w:type="dxa"/>
            <w:vAlign w:val="center"/>
          </w:tcPr>
          <w:p w:rsidR="006561CF" w:rsidRDefault="006561CF" w:rsidP="003B238E">
            <w:pPr>
              <w:keepNext/>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21,349</w:t>
            </w:r>
          </w:p>
        </w:tc>
      </w:tr>
      <w:tr w:rsidR="006561CF" w:rsidRPr="00F4694E" w:rsidTr="003B238E">
        <w:trPr>
          <w:jc w:val="center"/>
        </w:trPr>
        <w:tc>
          <w:tcPr>
            <w:tcW w:w="7101" w:type="dxa"/>
          </w:tcPr>
          <w:p w:rsidR="006561CF" w:rsidRDefault="006561CF" w:rsidP="003B238E">
            <w:pPr>
              <w:keepNext/>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5. Cost to serve all LIURP-eligible customers</w:t>
            </w:r>
          </w:p>
        </w:tc>
        <w:tc>
          <w:tcPr>
            <w:tcW w:w="2061" w:type="dxa"/>
            <w:vAlign w:val="center"/>
          </w:tcPr>
          <w:p w:rsidR="006561CF" w:rsidRDefault="006561CF" w:rsidP="003B238E">
            <w:pPr>
              <w:keepNext/>
              <w:spacing w:after="0" w:line="240" w:lineRule="auto"/>
              <w:jc w:val="center"/>
              <w:rPr>
                <w:rFonts w:ascii="Times New Roman" w:eastAsia="Times New Roman" w:hAnsi="Times New Roman" w:cs="Times New Roman"/>
                <w:sz w:val="26"/>
                <w:szCs w:val="26"/>
              </w:rPr>
            </w:pPr>
            <w:r w:rsidRPr="005176E3">
              <w:rPr>
                <w:rFonts w:ascii="Times New Roman" w:eastAsia="Times New Roman" w:hAnsi="Times New Roman" w:cs="Times New Roman"/>
                <w:sz w:val="26"/>
                <w:szCs w:val="26"/>
              </w:rPr>
              <w:t>$40,945,780</w:t>
            </w:r>
          </w:p>
        </w:tc>
      </w:tr>
      <w:tr w:rsidR="006561CF" w:rsidRPr="00F4694E" w:rsidTr="003B238E">
        <w:trPr>
          <w:jc w:val="center"/>
        </w:trPr>
        <w:tc>
          <w:tcPr>
            <w:tcW w:w="7101" w:type="dxa"/>
          </w:tcPr>
          <w:p w:rsidR="006561CF" w:rsidRDefault="006561CF" w:rsidP="003B238E">
            <w:pPr>
              <w:keepNext/>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6. Average CARES participation</w:t>
            </w:r>
          </w:p>
        </w:tc>
        <w:tc>
          <w:tcPr>
            <w:tcW w:w="2061" w:type="dxa"/>
            <w:vAlign w:val="center"/>
          </w:tcPr>
          <w:p w:rsidR="006561CF" w:rsidRDefault="006561CF" w:rsidP="003B238E">
            <w:pPr>
              <w:keepNext/>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271</w:t>
            </w:r>
          </w:p>
        </w:tc>
      </w:tr>
      <w:tr w:rsidR="006561CF" w:rsidRPr="00F4694E" w:rsidTr="003B238E">
        <w:trPr>
          <w:jc w:val="center"/>
        </w:trPr>
        <w:tc>
          <w:tcPr>
            <w:tcW w:w="7101" w:type="dxa"/>
          </w:tcPr>
          <w:p w:rsidR="006561CF" w:rsidRDefault="006561CF" w:rsidP="003B238E">
            <w:pPr>
              <w:keepNext/>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7. Average Hardship Fund participation</w:t>
            </w:r>
          </w:p>
        </w:tc>
        <w:tc>
          <w:tcPr>
            <w:tcW w:w="2061" w:type="dxa"/>
            <w:vAlign w:val="center"/>
          </w:tcPr>
          <w:p w:rsidR="006561CF" w:rsidRDefault="006561CF" w:rsidP="003B238E">
            <w:pPr>
              <w:keepNext/>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1,167</w:t>
            </w:r>
          </w:p>
        </w:tc>
      </w:tr>
    </w:tbl>
    <w:p w:rsidR="006561CF" w:rsidRPr="000A394B" w:rsidRDefault="006561CF" w:rsidP="006561CF">
      <w:pPr>
        <w:keepNext/>
        <w:spacing w:after="0" w:line="240" w:lineRule="auto"/>
        <w:rPr>
          <w:rFonts w:ascii="Times New Roman" w:eastAsia="Times New Roman" w:hAnsi="Times New Roman" w:cs="Times New Roman"/>
          <w:sz w:val="24"/>
          <w:szCs w:val="24"/>
        </w:rPr>
      </w:pPr>
      <w:r w:rsidRPr="000A394B">
        <w:rPr>
          <w:rFonts w:ascii="Times New Roman" w:eastAsia="Times New Roman" w:hAnsi="Times New Roman" w:cs="Times New Roman"/>
          <w:sz w:val="24"/>
          <w:szCs w:val="24"/>
        </w:rPr>
        <w:t xml:space="preserve">* Includes active CRP customers, non-CRP customers who received a utility grant, and non-CRP customers with a low-income payment agreement.  </w:t>
      </w:r>
    </w:p>
    <w:p w:rsidR="006561CF" w:rsidRPr="000A394B" w:rsidRDefault="006561CF" w:rsidP="006561CF">
      <w:pPr>
        <w:keepNext/>
        <w:spacing w:after="0" w:line="240" w:lineRule="auto"/>
        <w:rPr>
          <w:rFonts w:ascii="Times New Roman" w:eastAsia="Times New Roman" w:hAnsi="Times New Roman" w:cs="Times New Roman"/>
          <w:sz w:val="24"/>
          <w:szCs w:val="24"/>
        </w:rPr>
      </w:pPr>
      <w:r w:rsidRPr="000A394B">
        <w:rPr>
          <w:rFonts w:ascii="Times New Roman" w:eastAsia="Times New Roman" w:hAnsi="Times New Roman" w:cs="Times New Roman"/>
          <w:sz w:val="24"/>
          <w:szCs w:val="24"/>
        </w:rPr>
        <w:t xml:space="preserve">** Numbers based on 2011-2013 Census Data of percentage of individuals with incomes at or below 150% of the FPIG (38%) multiplied by the average monthly count of residential customers in 2015 (470,788). </w:t>
      </w:r>
    </w:p>
    <w:p w:rsidR="00EC6910" w:rsidRPr="00EC6910" w:rsidRDefault="00EC6910" w:rsidP="00EC6910">
      <w:pPr>
        <w:spacing w:line="360" w:lineRule="auto"/>
        <w:contextualSpacing/>
        <w:rPr>
          <w:rFonts w:ascii="Times New Roman" w:eastAsia="Times New Roman" w:hAnsi="Times New Roman" w:cs="Times New Roman"/>
          <w:sz w:val="26"/>
          <w:szCs w:val="26"/>
        </w:rPr>
      </w:pPr>
    </w:p>
    <w:p w:rsidR="00EC6910" w:rsidRPr="00EC6910" w:rsidRDefault="00852D8D" w:rsidP="00EC6910">
      <w:pPr>
        <w:spacing w:line="360" w:lineRule="auto"/>
        <w:ind w:firstLine="720"/>
        <w:contextualSpacing/>
        <w:rPr>
          <w:rFonts w:ascii="Times New Roman" w:eastAsia="Times New Roman" w:hAnsi="Times New Roman" w:cs="Times New Roman"/>
          <w:i/>
          <w:sz w:val="26"/>
          <w:szCs w:val="26"/>
        </w:rPr>
      </w:pPr>
      <w:r>
        <w:rPr>
          <w:rFonts w:ascii="Times New Roman" w:eastAsia="Times New Roman" w:hAnsi="Times New Roman" w:cs="Times New Roman"/>
          <w:sz w:val="26"/>
          <w:szCs w:val="26"/>
        </w:rPr>
        <w:t>In the Tentative Order, we noted</w:t>
      </w:r>
      <w:r w:rsidR="00EC6910" w:rsidRPr="00EC6910">
        <w:rPr>
          <w:rFonts w:ascii="Times New Roman" w:eastAsia="Times New Roman" w:hAnsi="Times New Roman" w:cs="Times New Roman"/>
          <w:sz w:val="26"/>
          <w:szCs w:val="26"/>
        </w:rPr>
        <w:t xml:space="preserve"> several concerns with PGW’s Needs Assessment.  </w:t>
      </w:r>
      <w:r>
        <w:rPr>
          <w:rFonts w:ascii="Times New Roman" w:eastAsia="Times New Roman" w:hAnsi="Times New Roman" w:cs="Times New Roman"/>
          <w:sz w:val="26"/>
          <w:szCs w:val="26"/>
        </w:rPr>
        <w:t>Considering PGW’s service territory had</w:t>
      </w:r>
      <w:r w:rsidR="00EC6910" w:rsidRPr="00EC6910">
        <w:rPr>
          <w:rFonts w:ascii="Times New Roman" w:eastAsia="Times New Roman" w:hAnsi="Times New Roman" w:cs="Times New Roman"/>
          <w:sz w:val="26"/>
          <w:szCs w:val="26"/>
        </w:rPr>
        <w:t xml:space="preserve"> the highest percentage</w:t>
      </w:r>
      <w:r w:rsidR="00EC6910" w:rsidRPr="00EC6910">
        <w:rPr>
          <w:rFonts w:ascii="Times New Roman" w:eastAsia="Times New Roman" w:hAnsi="Times New Roman" w:cs="Times New Roman"/>
          <w:sz w:val="26"/>
          <w:szCs w:val="26"/>
          <w:vertAlign w:val="superscript"/>
        </w:rPr>
        <w:footnoteReference w:id="46"/>
      </w:r>
      <w:r w:rsidR="00EC6910" w:rsidRPr="00EC6910">
        <w:rPr>
          <w:rFonts w:ascii="Times New Roman" w:eastAsia="Times New Roman" w:hAnsi="Times New Roman" w:cs="Times New Roman"/>
          <w:sz w:val="26"/>
          <w:szCs w:val="26"/>
        </w:rPr>
        <w:t xml:space="preserve"> of low-income customers in the Commonwealth</w:t>
      </w:r>
      <w:r>
        <w:rPr>
          <w:rFonts w:ascii="Times New Roman" w:eastAsia="Times New Roman" w:hAnsi="Times New Roman" w:cs="Times New Roman"/>
          <w:sz w:val="26"/>
          <w:szCs w:val="26"/>
        </w:rPr>
        <w:t>,</w:t>
      </w:r>
      <w:r w:rsidR="00EC6910" w:rsidRPr="00EC6910">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we could</w:t>
      </w:r>
      <w:r w:rsidR="003F0A36">
        <w:rPr>
          <w:rFonts w:ascii="Times New Roman" w:eastAsia="Times New Roman" w:hAnsi="Times New Roman" w:cs="Times New Roman"/>
          <w:sz w:val="26"/>
          <w:szCs w:val="26"/>
        </w:rPr>
        <w:t xml:space="preserve"> not</w:t>
      </w:r>
      <w:r w:rsidR="00EC6910" w:rsidRPr="00EC6910">
        <w:rPr>
          <w:rFonts w:ascii="Times New Roman" w:eastAsia="Times New Roman" w:hAnsi="Times New Roman" w:cs="Times New Roman"/>
          <w:sz w:val="26"/>
          <w:szCs w:val="26"/>
        </w:rPr>
        <w:t xml:space="preserve"> agree with PGW’s total estimate of 21,349 eligible customers. </w:t>
      </w:r>
      <w:r w:rsidR="00C20BD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W</w:t>
      </w:r>
      <w:r w:rsidR="00EC6910" w:rsidRPr="00EC6910">
        <w:rPr>
          <w:rFonts w:ascii="Times New Roman" w:eastAsia="Times New Roman" w:hAnsi="Times New Roman" w:cs="Times New Roman"/>
          <w:sz w:val="26"/>
          <w:szCs w:val="26"/>
        </w:rPr>
        <w:t>e estimate</w:t>
      </w:r>
      <w:r w:rsidR="00D14C97">
        <w:rPr>
          <w:rFonts w:ascii="Times New Roman" w:eastAsia="Times New Roman" w:hAnsi="Times New Roman" w:cs="Times New Roman"/>
          <w:sz w:val="26"/>
          <w:szCs w:val="26"/>
        </w:rPr>
        <w:t>d</w:t>
      </w:r>
      <w:r w:rsidR="00EC6910" w:rsidRPr="00EC6910">
        <w:rPr>
          <w:rFonts w:ascii="Times New Roman" w:eastAsia="Times New Roman" w:hAnsi="Times New Roman" w:cs="Times New Roman"/>
          <w:sz w:val="26"/>
          <w:szCs w:val="26"/>
        </w:rPr>
        <w:t xml:space="preserve"> that there could be at least 101,893 potentially eligible low-income customers available for CRP Home Comfort during program years 2017-2020.  </w:t>
      </w:r>
      <w:r w:rsidR="00EC6910" w:rsidRPr="00EC6910">
        <w:rPr>
          <w:rFonts w:ascii="Times New Roman" w:eastAsia="Times New Roman" w:hAnsi="Times New Roman" w:cs="Times New Roman"/>
          <w:i/>
          <w:sz w:val="26"/>
          <w:szCs w:val="26"/>
        </w:rPr>
        <w:t xml:space="preserve">See </w:t>
      </w:r>
      <w:r w:rsidR="00C20BD5" w:rsidRPr="00A9249E">
        <w:rPr>
          <w:rFonts w:ascii="Times New Roman" w:eastAsia="Times New Roman" w:hAnsi="Times New Roman" w:cs="Times New Roman"/>
          <w:sz w:val="26"/>
          <w:szCs w:val="26"/>
        </w:rPr>
        <w:t xml:space="preserve">Table </w:t>
      </w:r>
      <w:r w:rsidR="00083E3E">
        <w:rPr>
          <w:rFonts w:ascii="Times New Roman" w:eastAsia="Times New Roman" w:hAnsi="Times New Roman" w:cs="Times New Roman"/>
          <w:sz w:val="26"/>
          <w:szCs w:val="26"/>
        </w:rPr>
        <w:t>7</w:t>
      </w:r>
      <w:r w:rsidR="00C20BD5" w:rsidRPr="00A9249E">
        <w:rPr>
          <w:rFonts w:ascii="Times New Roman" w:eastAsia="Times New Roman" w:hAnsi="Times New Roman" w:cs="Times New Roman"/>
          <w:sz w:val="26"/>
          <w:szCs w:val="26"/>
        </w:rPr>
        <w:t xml:space="preserve"> </w:t>
      </w:r>
      <w:r w:rsidR="00EC6910" w:rsidRPr="00A9249E">
        <w:rPr>
          <w:rFonts w:ascii="Times New Roman" w:eastAsia="Times New Roman" w:hAnsi="Times New Roman" w:cs="Times New Roman"/>
          <w:sz w:val="26"/>
          <w:szCs w:val="26"/>
        </w:rPr>
        <w:t>PGW-BCS Needs Assessment Comparison Table</w:t>
      </w:r>
      <w:r w:rsidR="00EC6910" w:rsidRPr="00EC6910">
        <w:rPr>
          <w:rFonts w:ascii="Times New Roman" w:eastAsia="Times New Roman" w:hAnsi="Times New Roman" w:cs="Times New Roman"/>
          <w:i/>
          <w:sz w:val="26"/>
          <w:szCs w:val="26"/>
        </w:rPr>
        <w:t>.</w:t>
      </w:r>
    </w:p>
    <w:p w:rsidR="00EC6910" w:rsidRPr="00EC6910" w:rsidRDefault="00EC6910" w:rsidP="00EC6910">
      <w:pPr>
        <w:spacing w:line="360" w:lineRule="auto"/>
        <w:ind w:firstLine="720"/>
        <w:contextualSpacing/>
        <w:rPr>
          <w:rFonts w:ascii="Times New Roman" w:eastAsia="Times New Roman" w:hAnsi="Times New Roman" w:cs="Times New Roman"/>
          <w:i/>
          <w:sz w:val="26"/>
          <w:szCs w:val="26"/>
        </w:rPr>
      </w:pPr>
    </w:p>
    <w:tbl>
      <w:tblPr>
        <w:tblW w:w="10140" w:type="dxa"/>
        <w:jc w:val="center"/>
        <w:tblLook w:val="04A0" w:firstRow="1" w:lastRow="0" w:firstColumn="1" w:lastColumn="0" w:noHBand="0" w:noVBand="1"/>
      </w:tblPr>
      <w:tblGrid>
        <w:gridCol w:w="476"/>
        <w:gridCol w:w="3716"/>
        <w:gridCol w:w="1061"/>
        <w:gridCol w:w="3367"/>
        <w:gridCol w:w="1728"/>
      </w:tblGrid>
      <w:tr w:rsidR="00EC6910" w:rsidRPr="00A669EE" w:rsidTr="009565B2">
        <w:trPr>
          <w:trHeight w:val="288"/>
          <w:jc w:val="center"/>
        </w:trPr>
        <w:tc>
          <w:tcPr>
            <w:tcW w:w="380" w:type="dxa"/>
            <w:tcBorders>
              <w:top w:val="nil"/>
              <w:left w:val="nil"/>
              <w:bottom w:val="nil"/>
              <w:right w:val="nil"/>
            </w:tcBorders>
            <w:shd w:val="clear" w:color="auto" w:fill="auto"/>
            <w:noWrap/>
            <w:vAlign w:val="bottom"/>
            <w:hideMark/>
          </w:tcPr>
          <w:p w:rsidR="00EC6910" w:rsidRPr="00A669EE" w:rsidRDefault="00EC6910" w:rsidP="00852D8D">
            <w:pPr>
              <w:keepNext/>
              <w:spacing w:after="0" w:line="240" w:lineRule="auto"/>
              <w:rPr>
                <w:rFonts w:ascii="Times New Roman" w:eastAsia="Times New Roman" w:hAnsi="Times New Roman" w:cs="Times New Roman"/>
                <w:color w:val="000000"/>
                <w:sz w:val="26"/>
                <w:szCs w:val="26"/>
              </w:rPr>
            </w:pPr>
          </w:p>
        </w:tc>
        <w:tc>
          <w:tcPr>
            <w:tcW w:w="9760" w:type="dxa"/>
            <w:gridSpan w:val="4"/>
            <w:tcBorders>
              <w:top w:val="nil"/>
              <w:left w:val="nil"/>
              <w:bottom w:val="single" w:sz="4" w:space="0" w:color="auto"/>
              <w:right w:val="nil"/>
            </w:tcBorders>
            <w:shd w:val="clear" w:color="auto" w:fill="auto"/>
            <w:noWrap/>
            <w:vAlign w:val="bottom"/>
            <w:hideMark/>
          </w:tcPr>
          <w:p w:rsidR="009565B2" w:rsidRDefault="00157D5E" w:rsidP="00852D8D">
            <w:pPr>
              <w:keepNext/>
              <w:spacing w:after="0" w:line="24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 xml:space="preserve">Table </w:t>
            </w:r>
            <w:r w:rsidR="00083E3E">
              <w:rPr>
                <w:rFonts w:ascii="Times New Roman" w:eastAsia="Times New Roman" w:hAnsi="Times New Roman" w:cs="Times New Roman"/>
                <w:b/>
                <w:bCs/>
                <w:color w:val="000000"/>
                <w:sz w:val="26"/>
                <w:szCs w:val="26"/>
              </w:rPr>
              <w:t>7</w:t>
            </w:r>
            <w:r w:rsidR="00A669EE" w:rsidRPr="00A669EE">
              <w:rPr>
                <w:rFonts w:ascii="Times New Roman" w:eastAsia="Times New Roman" w:hAnsi="Times New Roman" w:cs="Times New Roman"/>
                <w:b/>
                <w:bCs/>
                <w:color w:val="000000"/>
                <w:sz w:val="26"/>
                <w:szCs w:val="26"/>
              </w:rPr>
              <w:t xml:space="preserve"> </w:t>
            </w:r>
          </w:p>
          <w:p w:rsidR="00EC6910" w:rsidRPr="00A669EE" w:rsidRDefault="00EC6910" w:rsidP="00852D8D">
            <w:pPr>
              <w:keepNext/>
              <w:spacing w:after="0" w:line="240" w:lineRule="auto"/>
              <w:jc w:val="center"/>
              <w:rPr>
                <w:rFonts w:ascii="Times New Roman" w:eastAsia="Times New Roman" w:hAnsi="Times New Roman" w:cs="Times New Roman"/>
                <w:b/>
                <w:bCs/>
                <w:color w:val="000000"/>
                <w:sz w:val="26"/>
                <w:szCs w:val="26"/>
              </w:rPr>
            </w:pPr>
            <w:r w:rsidRPr="00A669EE">
              <w:rPr>
                <w:rFonts w:ascii="Times New Roman" w:eastAsia="Times New Roman" w:hAnsi="Times New Roman" w:cs="Times New Roman"/>
                <w:b/>
                <w:bCs/>
                <w:color w:val="000000"/>
                <w:sz w:val="26"/>
                <w:szCs w:val="26"/>
              </w:rPr>
              <w:t>PGW-BCS Needs Assessment Comparison</w:t>
            </w:r>
          </w:p>
        </w:tc>
      </w:tr>
      <w:tr w:rsidR="00EC6910" w:rsidRPr="00A669EE" w:rsidTr="009565B2">
        <w:trPr>
          <w:trHeight w:val="288"/>
          <w:jc w:val="center"/>
        </w:trPr>
        <w:tc>
          <w:tcPr>
            <w:tcW w:w="380" w:type="dxa"/>
            <w:tcBorders>
              <w:top w:val="nil"/>
              <w:left w:val="nil"/>
              <w:bottom w:val="nil"/>
              <w:right w:val="nil"/>
            </w:tcBorders>
            <w:shd w:val="clear" w:color="auto" w:fill="auto"/>
            <w:noWrap/>
            <w:vAlign w:val="bottom"/>
            <w:hideMark/>
          </w:tcPr>
          <w:p w:rsidR="00EC6910" w:rsidRPr="00A669EE" w:rsidRDefault="00EC6910" w:rsidP="00852D8D">
            <w:pPr>
              <w:keepNext/>
              <w:spacing w:after="0" w:line="240" w:lineRule="auto"/>
              <w:rPr>
                <w:rFonts w:ascii="Times New Roman" w:eastAsia="Times New Roman" w:hAnsi="Times New Roman" w:cs="Times New Roman"/>
                <w:color w:val="000000"/>
                <w:sz w:val="26"/>
                <w:szCs w:val="26"/>
              </w:rPr>
            </w:pPr>
          </w:p>
        </w:tc>
        <w:tc>
          <w:tcPr>
            <w:tcW w:w="3716" w:type="dxa"/>
            <w:tcBorders>
              <w:top w:val="nil"/>
              <w:left w:val="single" w:sz="4" w:space="0" w:color="auto"/>
              <w:bottom w:val="single" w:sz="4" w:space="0" w:color="auto"/>
              <w:right w:val="single" w:sz="4" w:space="0" w:color="auto"/>
            </w:tcBorders>
            <w:shd w:val="clear" w:color="auto" w:fill="auto"/>
            <w:noWrap/>
            <w:vAlign w:val="bottom"/>
            <w:hideMark/>
          </w:tcPr>
          <w:p w:rsidR="00EC6910" w:rsidRPr="00A669EE" w:rsidRDefault="00EC6910" w:rsidP="00852D8D">
            <w:pPr>
              <w:keepNext/>
              <w:spacing w:after="0" w:line="240" w:lineRule="auto"/>
              <w:rPr>
                <w:rFonts w:ascii="Times New Roman" w:eastAsia="Times New Roman" w:hAnsi="Times New Roman" w:cs="Times New Roman"/>
                <w:color w:val="000000"/>
                <w:sz w:val="26"/>
                <w:szCs w:val="26"/>
              </w:rPr>
            </w:pPr>
            <w:r w:rsidRPr="00A669EE">
              <w:rPr>
                <w:rFonts w:ascii="Times New Roman" w:eastAsia="Times New Roman" w:hAnsi="Times New Roman" w:cs="Times New Roman"/>
                <w:color w:val="000000"/>
                <w:sz w:val="26"/>
                <w:szCs w:val="26"/>
              </w:rPr>
              <w:t>Individual Reduction Criteria</w:t>
            </w:r>
          </w:p>
        </w:tc>
        <w:tc>
          <w:tcPr>
            <w:tcW w:w="949" w:type="dxa"/>
            <w:tcBorders>
              <w:top w:val="nil"/>
              <w:left w:val="nil"/>
              <w:bottom w:val="single" w:sz="4" w:space="0" w:color="auto"/>
              <w:right w:val="single" w:sz="4" w:space="0" w:color="auto"/>
            </w:tcBorders>
            <w:shd w:val="clear" w:color="auto" w:fill="auto"/>
            <w:noWrap/>
            <w:vAlign w:val="bottom"/>
            <w:hideMark/>
          </w:tcPr>
          <w:p w:rsidR="00EC6910" w:rsidRPr="00A669EE" w:rsidRDefault="00EC6910" w:rsidP="00852D8D">
            <w:pPr>
              <w:keepNext/>
              <w:spacing w:after="0" w:line="240" w:lineRule="auto"/>
              <w:rPr>
                <w:rFonts w:ascii="Times New Roman" w:eastAsia="Times New Roman" w:hAnsi="Times New Roman" w:cs="Times New Roman"/>
                <w:color w:val="000000"/>
                <w:sz w:val="26"/>
                <w:szCs w:val="26"/>
              </w:rPr>
            </w:pPr>
            <w:r w:rsidRPr="00A669EE">
              <w:rPr>
                <w:rFonts w:ascii="Times New Roman" w:eastAsia="Times New Roman" w:hAnsi="Times New Roman" w:cs="Times New Roman"/>
                <w:color w:val="000000"/>
                <w:sz w:val="26"/>
                <w:szCs w:val="26"/>
              </w:rPr>
              <w:t>PGW #</w:t>
            </w:r>
          </w:p>
        </w:tc>
        <w:tc>
          <w:tcPr>
            <w:tcW w:w="3367" w:type="dxa"/>
            <w:tcBorders>
              <w:top w:val="nil"/>
              <w:left w:val="nil"/>
              <w:bottom w:val="single" w:sz="4" w:space="0" w:color="auto"/>
              <w:right w:val="single" w:sz="4" w:space="0" w:color="auto"/>
            </w:tcBorders>
            <w:shd w:val="clear" w:color="auto" w:fill="auto"/>
            <w:noWrap/>
            <w:vAlign w:val="bottom"/>
            <w:hideMark/>
          </w:tcPr>
          <w:p w:rsidR="00EC6910" w:rsidRPr="00A669EE" w:rsidRDefault="00EC6910" w:rsidP="00852D8D">
            <w:pPr>
              <w:keepNext/>
              <w:spacing w:after="0" w:line="240" w:lineRule="auto"/>
              <w:rPr>
                <w:rFonts w:ascii="Times New Roman" w:eastAsia="Times New Roman" w:hAnsi="Times New Roman" w:cs="Times New Roman"/>
                <w:color w:val="000000"/>
                <w:sz w:val="26"/>
                <w:szCs w:val="26"/>
              </w:rPr>
            </w:pPr>
            <w:r w:rsidRPr="00A669EE">
              <w:rPr>
                <w:rFonts w:ascii="Times New Roman" w:eastAsia="Times New Roman" w:hAnsi="Times New Roman" w:cs="Times New Roman"/>
                <w:color w:val="000000"/>
                <w:sz w:val="26"/>
                <w:szCs w:val="26"/>
              </w:rPr>
              <w:t xml:space="preserve">Explanation of </w:t>
            </w:r>
            <w:r w:rsidR="00FC317F" w:rsidRPr="00A669EE">
              <w:rPr>
                <w:rFonts w:ascii="Times New Roman" w:eastAsia="Times New Roman" w:hAnsi="Times New Roman" w:cs="Times New Roman"/>
                <w:color w:val="000000"/>
                <w:sz w:val="26"/>
                <w:szCs w:val="26"/>
              </w:rPr>
              <w:t xml:space="preserve">BCS </w:t>
            </w:r>
            <w:r w:rsidRPr="00A669EE">
              <w:rPr>
                <w:rFonts w:ascii="Times New Roman" w:eastAsia="Times New Roman" w:hAnsi="Times New Roman" w:cs="Times New Roman"/>
                <w:color w:val="000000"/>
                <w:sz w:val="26"/>
                <w:szCs w:val="26"/>
              </w:rPr>
              <w:t>Adjustment</w:t>
            </w:r>
          </w:p>
        </w:tc>
        <w:tc>
          <w:tcPr>
            <w:tcW w:w="1728" w:type="dxa"/>
            <w:tcBorders>
              <w:top w:val="nil"/>
              <w:left w:val="nil"/>
              <w:bottom w:val="single" w:sz="4" w:space="0" w:color="auto"/>
              <w:right w:val="single" w:sz="4" w:space="0" w:color="auto"/>
            </w:tcBorders>
            <w:shd w:val="clear" w:color="auto" w:fill="auto"/>
            <w:noWrap/>
            <w:vAlign w:val="bottom"/>
            <w:hideMark/>
          </w:tcPr>
          <w:p w:rsidR="00EC6910" w:rsidRPr="00A669EE" w:rsidRDefault="00EC6910" w:rsidP="00852D8D">
            <w:pPr>
              <w:keepNext/>
              <w:spacing w:after="0" w:line="240" w:lineRule="auto"/>
              <w:rPr>
                <w:rFonts w:ascii="Times New Roman" w:eastAsia="Times New Roman" w:hAnsi="Times New Roman" w:cs="Times New Roman"/>
                <w:color w:val="000000"/>
                <w:sz w:val="26"/>
                <w:szCs w:val="26"/>
              </w:rPr>
            </w:pPr>
            <w:r w:rsidRPr="00A669EE">
              <w:rPr>
                <w:rFonts w:ascii="Times New Roman" w:eastAsia="Times New Roman" w:hAnsi="Times New Roman" w:cs="Times New Roman"/>
                <w:color w:val="000000"/>
                <w:sz w:val="26"/>
                <w:szCs w:val="26"/>
              </w:rPr>
              <w:t>BCS Adjusted #</w:t>
            </w:r>
          </w:p>
        </w:tc>
      </w:tr>
      <w:tr w:rsidR="00EC6910" w:rsidRPr="00A669EE" w:rsidTr="009565B2">
        <w:trPr>
          <w:trHeight w:val="288"/>
          <w:jc w:val="center"/>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6910" w:rsidRPr="00A669EE" w:rsidRDefault="00EC6910" w:rsidP="00852D8D">
            <w:pPr>
              <w:keepNext/>
              <w:spacing w:after="0" w:line="240" w:lineRule="auto"/>
              <w:jc w:val="right"/>
              <w:rPr>
                <w:rFonts w:ascii="Times New Roman" w:eastAsia="Times New Roman" w:hAnsi="Times New Roman" w:cs="Times New Roman"/>
                <w:color w:val="000000"/>
                <w:sz w:val="26"/>
                <w:szCs w:val="26"/>
              </w:rPr>
            </w:pPr>
            <w:r w:rsidRPr="00A669EE">
              <w:rPr>
                <w:rFonts w:ascii="Times New Roman" w:eastAsia="Times New Roman" w:hAnsi="Times New Roman" w:cs="Times New Roman"/>
                <w:color w:val="000000"/>
                <w:sz w:val="26"/>
                <w:szCs w:val="26"/>
              </w:rPr>
              <w:t>1</w:t>
            </w:r>
          </w:p>
        </w:tc>
        <w:tc>
          <w:tcPr>
            <w:tcW w:w="3716" w:type="dxa"/>
            <w:tcBorders>
              <w:top w:val="nil"/>
              <w:left w:val="nil"/>
              <w:bottom w:val="single" w:sz="4" w:space="0" w:color="auto"/>
              <w:right w:val="single" w:sz="4" w:space="0" w:color="auto"/>
            </w:tcBorders>
            <w:shd w:val="clear" w:color="auto" w:fill="auto"/>
            <w:noWrap/>
            <w:vAlign w:val="bottom"/>
            <w:hideMark/>
          </w:tcPr>
          <w:p w:rsidR="00EC6910" w:rsidRPr="00A669EE" w:rsidRDefault="00EC6910" w:rsidP="00852D8D">
            <w:pPr>
              <w:keepNext/>
              <w:spacing w:after="0" w:line="240" w:lineRule="auto"/>
              <w:rPr>
                <w:rFonts w:ascii="Times New Roman" w:eastAsia="Times New Roman" w:hAnsi="Times New Roman" w:cs="Times New Roman"/>
                <w:color w:val="000000"/>
                <w:sz w:val="26"/>
                <w:szCs w:val="26"/>
              </w:rPr>
            </w:pPr>
            <w:r w:rsidRPr="00A669EE">
              <w:rPr>
                <w:rFonts w:ascii="Times New Roman" w:eastAsia="Times New Roman" w:hAnsi="Times New Roman" w:cs="Times New Roman"/>
                <w:color w:val="000000"/>
                <w:sz w:val="26"/>
                <w:szCs w:val="26"/>
              </w:rPr>
              <w:t>Estimated Low-Income</w:t>
            </w:r>
          </w:p>
        </w:tc>
        <w:tc>
          <w:tcPr>
            <w:tcW w:w="949" w:type="dxa"/>
            <w:tcBorders>
              <w:top w:val="nil"/>
              <w:left w:val="nil"/>
              <w:bottom w:val="single" w:sz="4" w:space="0" w:color="auto"/>
              <w:right w:val="single" w:sz="4" w:space="0" w:color="auto"/>
            </w:tcBorders>
            <w:shd w:val="clear" w:color="auto" w:fill="auto"/>
            <w:noWrap/>
            <w:vAlign w:val="bottom"/>
            <w:hideMark/>
          </w:tcPr>
          <w:p w:rsidR="00EC6910" w:rsidRPr="00A669EE" w:rsidRDefault="00EC6910" w:rsidP="00852D8D">
            <w:pPr>
              <w:keepNext/>
              <w:spacing w:after="0" w:line="240" w:lineRule="auto"/>
              <w:jc w:val="right"/>
              <w:rPr>
                <w:rFonts w:ascii="Times New Roman" w:eastAsia="Times New Roman" w:hAnsi="Times New Roman" w:cs="Times New Roman"/>
                <w:color w:val="000000"/>
                <w:sz w:val="26"/>
                <w:szCs w:val="26"/>
              </w:rPr>
            </w:pPr>
            <w:r w:rsidRPr="00A669EE">
              <w:rPr>
                <w:rFonts w:ascii="Times New Roman" w:eastAsia="Times New Roman" w:hAnsi="Times New Roman" w:cs="Times New Roman"/>
                <w:color w:val="000000"/>
                <w:sz w:val="26"/>
                <w:szCs w:val="26"/>
              </w:rPr>
              <w:t>178,899</w:t>
            </w:r>
          </w:p>
        </w:tc>
        <w:tc>
          <w:tcPr>
            <w:tcW w:w="3367" w:type="dxa"/>
            <w:tcBorders>
              <w:top w:val="nil"/>
              <w:left w:val="nil"/>
              <w:bottom w:val="single" w:sz="4" w:space="0" w:color="auto"/>
              <w:right w:val="single" w:sz="4" w:space="0" w:color="auto"/>
            </w:tcBorders>
            <w:shd w:val="clear" w:color="auto" w:fill="auto"/>
            <w:noWrap/>
            <w:vAlign w:val="bottom"/>
            <w:hideMark/>
          </w:tcPr>
          <w:p w:rsidR="00EC6910" w:rsidRPr="00A669EE" w:rsidRDefault="00EC6910" w:rsidP="00852D8D">
            <w:pPr>
              <w:keepNext/>
              <w:spacing w:after="0" w:line="240" w:lineRule="auto"/>
              <w:rPr>
                <w:rFonts w:ascii="Times New Roman" w:eastAsia="Times New Roman" w:hAnsi="Times New Roman" w:cs="Times New Roman"/>
                <w:color w:val="000000"/>
                <w:sz w:val="26"/>
                <w:szCs w:val="26"/>
              </w:rPr>
            </w:pPr>
          </w:p>
        </w:tc>
        <w:tc>
          <w:tcPr>
            <w:tcW w:w="1728" w:type="dxa"/>
            <w:tcBorders>
              <w:top w:val="nil"/>
              <w:left w:val="nil"/>
              <w:bottom w:val="single" w:sz="4" w:space="0" w:color="auto"/>
              <w:right w:val="single" w:sz="4" w:space="0" w:color="auto"/>
            </w:tcBorders>
            <w:shd w:val="clear" w:color="auto" w:fill="auto"/>
            <w:noWrap/>
            <w:vAlign w:val="bottom"/>
            <w:hideMark/>
          </w:tcPr>
          <w:p w:rsidR="00EC6910" w:rsidRPr="00A669EE" w:rsidRDefault="00EC6910" w:rsidP="00852D8D">
            <w:pPr>
              <w:keepNext/>
              <w:spacing w:after="0" w:line="240" w:lineRule="auto"/>
              <w:jc w:val="right"/>
              <w:rPr>
                <w:rFonts w:ascii="Times New Roman" w:eastAsia="Times New Roman" w:hAnsi="Times New Roman" w:cs="Times New Roman"/>
                <w:color w:val="000000"/>
                <w:sz w:val="26"/>
                <w:szCs w:val="26"/>
              </w:rPr>
            </w:pPr>
            <w:r w:rsidRPr="00A669EE">
              <w:rPr>
                <w:rFonts w:ascii="Times New Roman" w:eastAsia="Times New Roman" w:hAnsi="Times New Roman" w:cs="Times New Roman"/>
                <w:color w:val="000000"/>
                <w:sz w:val="26"/>
                <w:szCs w:val="26"/>
              </w:rPr>
              <w:t>178,899</w:t>
            </w:r>
          </w:p>
        </w:tc>
      </w:tr>
      <w:tr w:rsidR="00EC6910" w:rsidRPr="00A669EE" w:rsidTr="009565B2">
        <w:trPr>
          <w:trHeight w:val="288"/>
          <w:jc w:val="center"/>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EC6910" w:rsidRPr="00A669EE" w:rsidRDefault="00EC6910" w:rsidP="00852D8D">
            <w:pPr>
              <w:keepNext/>
              <w:spacing w:after="0" w:line="240" w:lineRule="auto"/>
              <w:jc w:val="right"/>
              <w:rPr>
                <w:rFonts w:ascii="Times New Roman" w:eastAsia="Times New Roman" w:hAnsi="Times New Roman" w:cs="Times New Roman"/>
                <w:color w:val="000000"/>
                <w:sz w:val="26"/>
                <w:szCs w:val="26"/>
              </w:rPr>
            </w:pPr>
            <w:r w:rsidRPr="00A669EE">
              <w:rPr>
                <w:rFonts w:ascii="Times New Roman" w:eastAsia="Times New Roman" w:hAnsi="Times New Roman" w:cs="Times New Roman"/>
                <w:color w:val="000000"/>
                <w:sz w:val="26"/>
                <w:szCs w:val="26"/>
              </w:rPr>
              <w:t>2</w:t>
            </w:r>
          </w:p>
        </w:tc>
        <w:tc>
          <w:tcPr>
            <w:tcW w:w="3716" w:type="dxa"/>
            <w:tcBorders>
              <w:top w:val="nil"/>
              <w:left w:val="nil"/>
              <w:bottom w:val="single" w:sz="4" w:space="0" w:color="auto"/>
              <w:right w:val="single" w:sz="4" w:space="0" w:color="auto"/>
            </w:tcBorders>
            <w:shd w:val="clear" w:color="auto" w:fill="auto"/>
            <w:noWrap/>
            <w:vAlign w:val="bottom"/>
            <w:hideMark/>
          </w:tcPr>
          <w:p w:rsidR="00EC6910" w:rsidRPr="00A669EE" w:rsidRDefault="00EC6910" w:rsidP="00852D8D">
            <w:pPr>
              <w:keepNext/>
              <w:spacing w:after="0" w:line="240" w:lineRule="auto"/>
              <w:rPr>
                <w:rFonts w:ascii="Times New Roman" w:eastAsia="Times New Roman" w:hAnsi="Times New Roman" w:cs="Times New Roman"/>
                <w:color w:val="000000"/>
                <w:sz w:val="26"/>
                <w:szCs w:val="26"/>
              </w:rPr>
            </w:pPr>
            <w:r w:rsidRPr="00A669EE">
              <w:rPr>
                <w:rFonts w:ascii="Times New Roman" w:eastAsia="Times New Roman" w:hAnsi="Times New Roman" w:cs="Times New Roman"/>
                <w:color w:val="000000"/>
                <w:sz w:val="26"/>
                <w:szCs w:val="26"/>
              </w:rPr>
              <w:t>"Identified Low-Income"</w:t>
            </w:r>
          </w:p>
        </w:tc>
        <w:tc>
          <w:tcPr>
            <w:tcW w:w="949" w:type="dxa"/>
            <w:tcBorders>
              <w:top w:val="nil"/>
              <w:left w:val="nil"/>
              <w:bottom w:val="single" w:sz="4" w:space="0" w:color="auto"/>
              <w:right w:val="single" w:sz="4" w:space="0" w:color="auto"/>
            </w:tcBorders>
            <w:shd w:val="clear" w:color="auto" w:fill="auto"/>
            <w:noWrap/>
            <w:vAlign w:val="bottom"/>
            <w:hideMark/>
          </w:tcPr>
          <w:p w:rsidR="00EC6910" w:rsidRPr="00A669EE" w:rsidRDefault="00EC6910" w:rsidP="00852D8D">
            <w:pPr>
              <w:keepNext/>
              <w:spacing w:after="0" w:line="240" w:lineRule="auto"/>
              <w:jc w:val="right"/>
              <w:rPr>
                <w:rFonts w:ascii="Times New Roman" w:eastAsia="Times New Roman" w:hAnsi="Times New Roman" w:cs="Times New Roman"/>
                <w:color w:val="000000"/>
                <w:sz w:val="26"/>
                <w:szCs w:val="26"/>
              </w:rPr>
            </w:pPr>
            <w:r w:rsidRPr="00A669EE">
              <w:rPr>
                <w:rFonts w:ascii="Times New Roman" w:eastAsia="Times New Roman" w:hAnsi="Times New Roman" w:cs="Times New Roman"/>
                <w:color w:val="000000"/>
                <w:sz w:val="26"/>
                <w:szCs w:val="26"/>
              </w:rPr>
              <w:t>120,762</w:t>
            </w:r>
          </w:p>
        </w:tc>
        <w:tc>
          <w:tcPr>
            <w:tcW w:w="3367" w:type="dxa"/>
            <w:tcBorders>
              <w:top w:val="nil"/>
              <w:left w:val="nil"/>
              <w:bottom w:val="single" w:sz="4" w:space="0" w:color="auto"/>
              <w:right w:val="single" w:sz="4" w:space="0" w:color="auto"/>
            </w:tcBorders>
            <w:shd w:val="clear" w:color="auto" w:fill="auto"/>
            <w:noWrap/>
            <w:vAlign w:val="bottom"/>
            <w:hideMark/>
          </w:tcPr>
          <w:p w:rsidR="00EC6910" w:rsidRPr="00A669EE" w:rsidRDefault="00EC6910" w:rsidP="00852D8D">
            <w:pPr>
              <w:keepNext/>
              <w:spacing w:after="0" w:line="240" w:lineRule="auto"/>
              <w:rPr>
                <w:rFonts w:ascii="Times New Roman" w:eastAsia="Times New Roman" w:hAnsi="Times New Roman" w:cs="Times New Roman"/>
                <w:color w:val="000000"/>
                <w:sz w:val="26"/>
                <w:szCs w:val="26"/>
              </w:rPr>
            </w:pPr>
            <w:r w:rsidRPr="00A669EE">
              <w:rPr>
                <w:rFonts w:ascii="Times New Roman" w:eastAsia="Times New Roman" w:hAnsi="Times New Roman" w:cs="Times New Roman"/>
                <w:color w:val="000000"/>
                <w:sz w:val="26"/>
                <w:szCs w:val="26"/>
              </w:rPr>
              <w:t>Use CLI from USR Reporting</w:t>
            </w:r>
          </w:p>
        </w:tc>
        <w:tc>
          <w:tcPr>
            <w:tcW w:w="1728" w:type="dxa"/>
            <w:tcBorders>
              <w:top w:val="nil"/>
              <w:left w:val="nil"/>
              <w:bottom w:val="single" w:sz="4" w:space="0" w:color="auto"/>
              <w:right w:val="single" w:sz="4" w:space="0" w:color="auto"/>
            </w:tcBorders>
            <w:shd w:val="clear" w:color="auto" w:fill="auto"/>
            <w:noWrap/>
            <w:vAlign w:val="bottom"/>
            <w:hideMark/>
          </w:tcPr>
          <w:p w:rsidR="00EC6910" w:rsidRPr="00A669EE" w:rsidRDefault="00EC6910" w:rsidP="00852D8D">
            <w:pPr>
              <w:keepNext/>
              <w:spacing w:after="0" w:line="240" w:lineRule="auto"/>
              <w:jc w:val="right"/>
              <w:rPr>
                <w:rFonts w:ascii="Times New Roman" w:eastAsia="Times New Roman" w:hAnsi="Times New Roman" w:cs="Times New Roman"/>
                <w:color w:val="000000"/>
                <w:sz w:val="26"/>
                <w:szCs w:val="26"/>
              </w:rPr>
            </w:pPr>
            <w:r w:rsidRPr="00A669EE">
              <w:rPr>
                <w:rFonts w:ascii="Times New Roman" w:eastAsia="Times New Roman" w:hAnsi="Times New Roman" w:cs="Times New Roman"/>
                <w:color w:val="000000"/>
                <w:sz w:val="26"/>
                <w:szCs w:val="26"/>
              </w:rPr>
              <w:t>161,961</w:t>
            </w:r>
          </w:p>
        </w:tc>
      </w:tr>
      <w:tr w:rsidR="00EC6910" w:rsidRPr="00A669EE" w:rsidTr="009565B2">
        <w:trPr>
          <w:trHeight w:val="288"/>
          <w:jc w:val="center"/>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EC6910" w:rsidRPr="00A669EE" w:rsidRDefault="00EC6910" w:rsidP="00852D8D">
            <w:pPr>
              <w:keepNext/>
              <w:spacing w:after="0" w:line="240" w:lineRule="auto"/>
              <w:jc w:val="right"/>
              <w:rPr>
                <w:rFonts w:ascii="Times New Roman" w:eastAsia="Times New Roman" w:hAnsi="Times New Roman" w:cs="Times New Roman"/>
                <w:color w:val="000000"/>
                <w:sz w:val="26"/>
                <w:szCs w:val="26"/>
              </w:rPr>
            </w:pPr>
            <w:r w:rsidRPr="00A669EE">
              <w:rPr>
                <w:rFonts w:ascii="Times New Roman" w:eastAsia="Times New Roman" w:hAnsi="Times New Roman" w:cs="Times New Roman"/>
                <w:color w:val="000000"/>
                <w:sz w:val="26"/>
                <w:szCs w:val="26"/>
              </w:rPr>
              <w:t>3</w:t>
            </w:r>
          </w:p>
        </w:tc>
        <w:tc>
          <w:tcPr>
            <w:tcW w:w="3716" w:type="dxa"/>
            <w:tcBorders>
              <w:top w:val="nil"/>
              <w:left w:val="nil"/>
              <w:bottom w:val="single" w:sz="4" w:space="0" w:color="auto"/>
              <w:right w:val="single" w:sz="4" w:space="0" w:color="auto"/>
            </w:tcBorders>
            <w:shd w:val="clear" w:color="auto" w:fill="auto"/>
            <w:noWrap/>
            <w:vAlign w:val="bottom"/>
            <w:hideMark/>
          </w:tcPr>
          <w:p w:rsidR="00EC6910" w:rsidRPr="00A669EE" w:rsidRDefault="00EC6910" w:rsidP="00852D8D">
            <w:pPr>
              <w:keepNext/>
              <w:spacing w:after="0" w:line="240" w:lineRule="auto"/>
              <w:rPr>
                <w:rFonts w:ascii="Times New Roman" w:eastAsia="Times New Roman" w:hAnsi="Times New Roman" w:cs="Times New Roman"/>
                <w:color w:val="000000"/>
                <w:sz w:val="26"/>
                <w:szCs w:val="26"/>
              </w:rPr>
            </w:pPr>
            <w:r w:rsidRPr="00A669EE">
              <w:rPr>
                <w:rFonts w:ascii="Times New Roman" w:eastAsia="Times New Roman" w:hAnsi="Times New Roman" w:cs="Times New Roman"/>
                <w:color w:val="000000"/>
                <w:sz w:val="26"/>
                <w:szCs w:val="26"/>
              </w:rPr>
              <w:t>Lower Usage (Less than 50%)</w:t>
            </w:r>
          </w:p>
        </w:tc>
        <w:tc>
          <w:tcPr>
            <w:tcW w:w="949" w:type="dxa"/>
            <w:tcBorders>
              <w:top w:val="nil"/>
              <w:left w:val="nil"/>
              <w:bottom w:val="single" w:sz="4" w:space="0" w:color="auto"/>
              <w:right w:val="single" w:sz="4" w:space="0" w:color="auto"/>
            </w:tcBorders>
            <w:shd w:val="clear" w:color="auto" w:fill="auto"/>
            <w:noWrap/>
            <w:vAlign w:val="bottom"/>
            <w:hideMark/>
          </w:tcPr>
          <w:p w:rsidR="00EC6910" w:rsidRPr="00A669EE" w:rsidRDefault="00EC6910" w:rsidP="00852D8D">
            <w:pPr>
              <w:keepNext/>
              <w:spacing w:after="0" w:line="240" w:lineRule="auto"/>
              <w:jc w:val="right"/>
              <w:rPr>
                <w:rFonts w:ascii="Times New Roman" w:eastAsia="Times New Roman" w:hAnsi="Times New Roman" w:cs="Times New Roman"/>
                <w:color w:val="000000"/>
                <w:sz w:val="26"/>
                <w:szCs w:val="26"/>
              </w:rPr>
            </w:pPr>
            <w:r w:rsidRPr="00A669EE">
              <w:rPr>
                <w:rFonts w:ascii="Times New Roman" w:eastAsia="Times New Roman" w:hAnsi="Times New Roman" w:cs="Times New Roman"/>
                <w:color w:val="000000"/>
                <w:sz w:val="26"/>
                <w:szCs w:val="26"/>
              </w:rPr>
              <w:t>-61,123</w:t>
            </w:r>
          </w:p>
        </w:tc>
        <w:tc>
          <w:tcPr>
            <w:tcW w:w="3367" w:type="dxa"/>
            <w:tcBorders>
              <w:top w:val="nil"/>
              <w:left w:val="nil"/>
              <w:bottom w:val="single" w:sz="4" w:space="0" w:color="auto"/>
              <w:right w:val="single" w:sz="4" w:space="0" w:color="auto"/>
            </w:tcBorders>
            <w:shd w:val="clear" w:color="auto" w:fill="auto"/>
            <w:noWrap/>
            <w:vAlign w:val="bottom"/>
            <w:hideMark/>
          </w:tcPr>
          <w:p w:rsidR="00EC6910" w:rsidRPr="00A669EE" w:rsidRDefault="00EC6910" w:rsidP="00852D8D">
            <w:pPr>
              <w:keepNext/>
              <w:spacing w:after="0" w:line="240" w:lineRule="auto"/>
              <w:rPr>
                <w:rFonts w:ascii="Times New Roman" w:eastAsia="Times New Roman" w:hAnsi="Times New Roman" w:cs="Times New Roman"/>
                <w:color w:val="000000"/>
                <w:sz w:val="26"/>
                <w:szCs w:val="26"/>
              </w:rPr>
            </w:pPr>
          </w:p>
        </w:tc>
        <w:tc>
          <w:tcPr>
            <w:tcW w:w="1728" w:type="dxa"/>
            <w:tcBorders>
              <w:top w:val="nil"/>
              <w:left w:val="nil"/>
              <w:bottom w:val="single" w:sz="4" w:space="0" w:color="auto"/>
              <w:right w:val="single" w:sz="4" w:space="0" w:color="auto"/>
            </w:tcBorders>
            <w:shd w:val="clear" w:color="auto" w:fill="auto"/>
            <w:noWrap/>
            <w:vAlign w:val="bottom"/>
            <w:hideMark/>
          </w:tcPr>
          <w:p w:rsidR="00EC6910" w:rsidRPr="00A669EE" w:rsidRDefault="00EC6910" w:rsidP="00852D8D">
            <w:pPr>
              <w:keepNext/>
              <w:spacing w:after="0" w:line="240" w:lineRule="auto"/>
              <w:jc w:val="right"/>
              <w:rPr>
                <w:rFonts w:ascii="Times New Roman" w:eastAsia="Times New Roman" w:hAnsi="Times New Roman" w:cs="Times New Roman"/>
                <w:color w:val="000000"/>
                <w:sz w:val="26"/>
                <w:szCs w:val="26"/>
              </w:rPr>
            </w:pPr>
            <w:r w:rsidRPr="00A669EE">
              <w:rPr>
                <w:rFonts w:ascii="Times New Roman" w:eastAsia="Times New Roman" w:hAnsi="Times New Roman" w:cs="Times New Roman"/>
                <w:color w:val="000000"/>
                <w:sz w:val="26"/>
                <w:szCs w:val="26"/>
              </w:rPr>
              <w:t>-61,123</w:t>
            </w:r>
          </w:p>
        </w:tc>
      </w:tr>
      <w:tr w:rsidR="00EC6910" w:rsidRPr="00A669EE" w:rsidTr="009565B2">
        <w:trPr>
          <w:trHeight w:val="288"/>
          <w:jc w:val="center"/>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EC6910" w:rsidRPr="00A669EE" w:rsidRDefault="00EC6910" w:rsidP="00852D8D">
            <w:pPr>
              <w:keepNext/>
              <w:spacing w:after="0" w:line="240" w:lineRule="auto"/>
              <w:jc w:val="right"/>
              <w:rPr>
                <w:rFonts w:ascii="Times New Roman" w:eastAsia="Times New Roman" w:hAnsi="Times New Roman" w:cs="Times New Roman"/>
                <w:color w:val="000000"/>
                <w:sz w:val="26"/>
                <w:szCs w:val="26"/>
              </w:rPr>
            </w:pPr>
            <w:r w:rsidRPr="00A669EE">
              <w:rPr>
                <w:rFonts w:ascii="Times New Roman" w:eastAsia="Times New Roman" w:hAnsi="Times New Roman" w:cs="Times New Roman"/>
                <w:color w:val="000000"/>
                <w:sz w:val="26"/>
                <w:szCs w:val="26"/>
              </w:rPr>
              <w:t>4</w:t>
            </w:r>
          </w:p>
        </w:tc>
        <w:tc>
          <w:tcPr>
            <w:tcW w:w="3716" w:type="dxa"/>
            <w:tcBorders>
              <w:top w:val="nil"/>
              <w:left w:val="nil"/>
              <w:bottom w:val="single" w:sz="4" w:space="0" w:color="auto"/>
              <w:right w:val="single" w:sz="4" w:space="0" w:color="auto"/>
            </w:tcBorders>
            <w:shd w:val="clear" w:color="auto" w:fill="auto"/>
            <w:noWrap/>
            <w:vAlign w:val="bottom"/>
            <w:hideMark/>
          </w:tcPr>
          <w:p w:rsidR="00EC6910" w:rsidRPr="00A669EE" w:rsidRDefault="00EC6910" w:rsidP="00852D8D">
            <w:pPr>
              <w:keepNext/>
              <w:spacing w:after="0" w:line="240" w:lineRule="auto"/>
              <w:rPr>
                <w:rFonts w:ascii="Times New Roman" w:eastAsia="Times New Roman" w:hAnsi="Times New Roman" w:cs="Times New Roman"/>
                <w:color w:val="000000"/>
                <w:sz w:val="26"/>
                <w:szCs w:val="26"/>
              </w:rPr>
            </w:pPr>
          </w:p>
        </w:tc>
        <w:tc>
          <w:tcPr>
            <w:tcW w:w="949" w:type="dxa"/>
            <w:tcBorders>
              <w:top w:val="nil"/>
              <w:left w:val="nil"/>
              <w:bottom w:val="single" w:sz="4" w:space="0" w:color="auto"/>
              <w:right w:val="single" w:sz="4" w:space="0" w:color="auto"/>
            </w:tcBorders>
            <w:shd w:val="clear" w:color="auto" w:fill="auto"/>
            <w:noWrap/>
            <w:vAlign w:val="bottom"/>
            <w:hideMark/>
          </w:tcPr>
          <w:p w:rsidR="00EC6910" w:rsidRPr="00A669EE" w:rsidRDefault="00EC6910" w:rsidP="00852D8D">
            <w:pPr>
              <w:keepNext/>
              <w:spacing w:after="0" w:line="240" w:lineRule="auto"/>
              <w:rPr>
                <w:rFonts w:ascii="Times New Roman" w:eastAsia="Times New Roman" w:hAnsi="Times New Roman" w:cs="Times New Roman"/>
                <w:color w:val="000000"/>
                <w:sz w:val="26"/>
                <w:szCs w:val="26"/>
              </w:rPr>
            </w:pPr>
            <w:r w:rsidRPr="00A669EE">
              <w:rPr>
                <w:rFonts w:ascii="Times New Roman" w:eastAsia="Times New Roman" w:hAnsi="Times New Roman" w:cs="Times New Roman"/>
                <w:color w:val="000000"/>
                <w:sz w:val="26"/>
                <w:szCs w:val="26"/>
              </w:rPr>
              <w:t>59,639</w:t>
            </w:r>
          </w:p>
        </w:tc>
        <w:tc>
          <w:tcPr>
            <w:tcW w:w="3367" w:type="dxa"/>
            <w:tcBorders>
              <w:top w:val="nil"/>
              <w:left w:val="nil"/>
              <w:bottom w:val="single" w:sz="4" w:space="0" w:color="auto"/>
              <w:right w:val="single" w:sz="4" w:space="0" w:color="auto"/>
            </w:tcBorders>
            <w:shd w:val="clear" w:color="auto" w:fill="auto"/>
            <w:noWrap/>
            <w:vAlign w:val="bottom"/>
            <w:hideMark/>
          </w:tcPr>
          <w:p w:rsidR="00EC6910" w:rsidRPr="00A669EE" w:rsidRDefault="00EC6910" w:rsidP="00852D8D">
            <w:pPr>
              <w:keepNext/>
              <w:spacing w:after="0" w:line="240" w:lineRule="auto"/>
              <w:rPr>
                <w:rFonts w:ascii="Times New Roman" w:eastAsia="Times New Roman" w:hAnsi="Times New Roman" w:cs="Times New Roman"/>
                <w:color w:val="000000"/>
                <w:sz w:val="26"/>
                <w:szCs w:val="26"/>
              </w:rPr>
            </w:pPr>
          </w:p>
        </w:tc>
        <w:tc>
          <w:tcPr>
            <w:tcW w:w="1728" w:type="dxa"/>
            <w:tcBorders>
              <w:top w:val="nil"/>
              <w:left w:val="nil"/>
              <w:bottom w:val="single" w:sz="4" w:space="0" w:color="auto"/>
              <w:right w:val="single" w:sz="4" w:space="0" w:color="auto"/>
            </w:tcBorders>
            <w:shd w:val="clear" w:color="auto" w:fill="auto"/>
            <w:noWrap/>
            <w:vAlign w:val="bottom"/>
            <w:hideMark/>
          </w:tcPr>
          <w:p w:rsidR="00EC6910" w:rsidRPr="00A669EE" w:rsidRDefault="00EC6910" w:rsidP="00852D8D">
            <w:pPr>
              <w:keepNext/>
              <w:spacing w:after="0" w:line="240" w:lineRule="auto"/>
              <w:rPr>
                <w:rFonts w:ascii="Times New Roman" w:eastAsia="Times New Roman" w:hAnsi="Times New Roman" w:cs="Times New Roman"/>
                <w:color w:val="000000"/>
                <w:sz w:val="26"/>
                <w:szCs w:val="26"/>
              </w:rPr>
            </w:pPr>
            <w:r w:rsidRPr="00A669EE">
              <w:rPr>
                <w:rFonts w:ascii="Times New Roman" w:eastAsia="Times New Roman" w:hAnsi="Times New Roman" w:cs="Times New Roman"/>
                <w:color w:val="000000"/>
                <w:sz w:val="26"/>
                <w:szCs w:val="26"/>
              </w:rPr>
              <w:t>100,838</w:t>
            </w:r>
          </w:p>
        </w:tc>
      </w:tr>
      <w:tr w:rsidR="00EC6910" w:rsidRPr="00A669EE" w:rsidTr="009565B2">
        <w:trPr>
          <w:trHeight w:val="288"/>
          <w:jc w:val="center"/>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EC6910" w:rsidRPr="00A669EE" w:rsidRDefault="00EC6910" w:rsidP="00852D8D">
            <w:pPr>
              <w:keepNext/>
              <w:spacing w:after="0" w:line="240" w:lineRule="auto"/>
              <w:jc w:val="right"/>
              <w:rPr>
                <w:rFonts w:ascii="Times New Roman" w:eastAsia="Times New Roman" w:hAnsi="Times New Roman" w:cs="Times New Roman"/>
                <w:color w:val="000000"/>
                <w:sz w:val="26"/>
                <w:szCs w:val="26"/>
              </w:rPr>
            </w:pPr>
            <w:r w:rsidRPr="00A669EE">
              <w:rPr>
                <w:rFonts w:ascii="Times New Roman" w:eastAsia="Times New Roman" w:hAnsi="Times New Roman" w:cs="Times New Roman"/>
                <w:color w:val="000000"/>
                <w:sz w:val="26"/>
                <w:szCs w:val="26"/>
              </w:rPr>
              <w:t>5</w:t>
            </w:r>
          </w:p>
        </w:tc>
        <w:tc>
          <w:tcPr>
            <w:tcW w:w="3716" w:type="dxa"/>
            <w:tcBorders>
              <w:top w:val="nil"/>
              <w:left w:val="nil"/>
              <w:bottom w:val="single" w:sz="4" w:space="0" w:color="auto"/>
              <w:right w:val="single" w:sz="4" w:space="0" w:color="auto"/>
            </w:tcBorders>
            <w:shd w:val="clear" w:color="auto" w:fill="auto"/>
            <w:noWrap/>
            <w:vAlign w:val="bottom"/>
            <w:hideMark/>
          </w:tcPr>
          <w:p w:rsidR="00EC6910" w:rsidRPr="00A669EE" w:rsidRDefault="00EC6910" w:rsidP="00852D8D">
            <w:pPr>
              <w:keepNext/>
              <w:spacing w:after="0" w:line="240" w:lineRule="auto"/>
              <w:rPr>
                <w:rFonts w:ascii="Times New Roman" w:eastAsia="Times New Roman" w:hAnsi="Times New Roman" w:cs="Times New Roman"/>
                <w:color w:val="000000"/>
                <w:sz w:val="26"/>
                <w:szCs w:val="26"/>
              </w:rPr>
            </w:pPr>
            <w:r w:rsidRPr="00A669EE">
              <w:rPr>
                <w:rFonts w:ascii="Times New Roman" w:eastAsia="Times New Roman" w:hAnsi="Times New Roman" w:cs="Times New Roman"/>
                <w:color w:val="000000"/>
                <w:sz w:val="26"/>
                <w:szCs w:val="26"/>
              </w:rPr>
              <w:t>"Usage not...significant"</w:t>
            </w:r>
          </w:p>
        </w:tc>
        <w:tc>
          <w:tcPr>
            <w:tcW w:w="949" w:type="dxa"/>
            <w:tcBorders>
              <w:top w:val="nil"/>
              <w:left w:val="nil"/>
              <w:bottom w:val="single" w:sz="4" w:space="0" w:color="auto"/>
              <w:right w:val="single" w:sz="4" w:space="0" w:color="auto"/>
            </w:tcBorders>
            <w:shd w:val="clear" w:color="auto" w:fill="auto"/>
            <w:noWrap/>
            <w:vAlign w:val="bottom"/>
            <w:hideMark/>
          </w:tcPr>
          <w:p w:rsidR="00EC6910" w:rsidRPr="00A669EE" w:rsidRDefault="00EC6910" w:rsidP="00852D8D">
            <w:pPr>
              <w:keepNext/>
              <w:spacing w:after="0" w:line="240" w:lineRule="auto"/>
              <w:jc w:val="right"/>
              <w:rPr>
                <w:rFonts w:ascii="Times New Roman" w:eastAsia="Times New Roman" w:hAnsi="Times New Roman" w:cs="Times New Roman"/>
                <w:color w:val="000000"/>
                <w:sz w:val="26"/>
                <w:szCs w:val="26"/>
              </w:rPr>
            </w:pPr>
            <w:r w:rsidRPr="00A669EE">
              <w:rPr>
                <w:rFonts w:ascii="Times New Roman" w:eastAsia="Times New Roman" w:hAnsi="Times New Roman" w:cs="Times New Roman"/>
                <w:color w:val="000000"/>
                <w:sz w:val="26"/>
                <w:szCs w:val="26"/>
              </w:rPr>
              <w:t>-4,809</w:t>
            </w:r>
          </w:p>
        </w:tc>
        <w:tc>
          <w:tcPr>
            <w:tcW w:w="3367" w:type="dxa"/>
            <w:tcBorders>
              <w:top w:val="nil"/>
              <w:left w:val="nil"/>
              <w:bottom w:val="single" w:sz="4" w:space="0" w:color="auto"/>
              <w:right w:val="single" w:sz="4" w:space="0" w:color="auto"/>
            </w:tcBorders>
            <w:shd w:val="clear" w:color="auto" w:fill="auto"/>
            <w:noWrap/>
            <w:vAlign w:val="bottom"/>
            <w:hideMark/>
          </w:tcPr>
          <w:p w:rsidR="00EC6910" w:rsidRPr="00A669EE" w:rsidRDefault="00EC6910" w:rsidP="00852D8D">
            <w:pPr>
              <w:keepNext/>
              <w:spacing w:after="0" w:line="240" w:lineRule="auto"/>
              <w:rPr>
                <w:rFonts w:ascii="Times New Roman" w:eastAsia="Times New Roman" w:hAnsi="Times New Roman" w:cs="Times New Roman"/>
                <w:color w:val="000000"/>
                <w:sz w:val="26"/>
                <w:szCs w:val="26"/>
              </w:rPr>
            </w:pPr>
            <w:r w:rsidRPr="00A669EE">
              <w:rPr>
                <w:rFonts w:ascii="Times New Roman" w:eastAsia="Times New Roman" w:hAnsi="Times New Roman" w:cs="Times New Roman"/>
                <w:color w:val="000000"/>
                <w:sz w:val="26"/>
                <w:szCs w:val="26"/>
              </w:rPr>
              <w:t xml:space="preserve">Unclear if already counted </w:t>
            </w:r>
          </w:p>
        </w:tc>
        <w:tc>
          <w:tcPr>
            <w:tcW w:w="1728" w:type="dxa"/>
            <w:tcBorders>
              <w:top w:val="nil"/>
              <w:left w:val="nil"/>
              <w:bottom w:val="single" w:sz="4" w:space="0" w:color="auto"/>
              <w:right w:val="single" w:sz="4" w:space="0" w:color="auto"/>
            </w:tcBorders>
            <w:shd w:val="clear" w:color="auto" w:fill="auto"/>
            <w:noWrap/>
            <w:vAlign w:val="bottom"/>
            <w:hideMark/>
          </w:tcPr>
          <w:p w:rsidR="00EC6910" w:rsidRPr="00A669EE" w:rsidRDefault="00EC6910" w:rsidP="00852D8D">
            <w:pPr>
              <w:keepNext/>
              <w:spacing w:after="0" w:line="240" w:lineRule="auto"/>
              <w:jc w:val="right"/>
              <w:rPr>
                <w:rFonts w:ascii="Times New Roman" w:eastAsia="Times New Roman" w:hAnsi="Times New Roman" w:cs="Times New Roman"/>
                <w:color w:val="000000"/>
                <w:sz w:val="26"/>
                <w:szCs w:val="26"/>
              </w:rPr>
            </w:pPr>
            <w:r w:rsidRPr="00A669EE">
              <w:rPr>
                <w:rFonts w:ascii="Times New Roman" w:eastAsia="Times New Roman" w:hAnsi="Times New Roman" w:cs="Times New Roman"/>
                <w:color w:val="000000"/>
                <w:sz w:val="26"/>
                <w:szCs w:val="26"/>
              </w:rPr>
              <w:t>4,809</w:t>
            </w:r>
          </w:p>
        </w:tc>
      </w:tr>
      <w:tr w:rsidR="00EC6910" w:rsidRPr="00A669EE" w:rsidTr="009565B2">
        <w:trPr>
          <w:trHeight w:val="288"/>
          <w:jc w:val="center"/>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EC6910" w:rsidRPr="00A669EE" w:rsidRDefault="00EC6910" w:rsidP="00852D8D">
            <w:pPr>
              <w:keepNext/>
              <w:spacing w:after="0" w:line="240" w:lineRule="auto"/>
              <w:jc w:val="right"/>
              <w:rPr>
                <w:rFonts w:ascii="Times New Roman" w:eastAsia="Times New Roman" w:hAnsi="Times New Roman" w:cs="Times New Roman"/>
                <w:color w:val="000000"/>
                <w:sz w:val="26"/>
                <w:szCs w:val="26"/>
              </w:rPr>
            </w:pPr>
            <w:r w:rsidRPr="00A669EE">
              <w:rPr>
                <w:rFonts w:ascii="Times New Roman" w:eastAsia="Times New Roman" w:hAnsi="Times New Roman" w:cs="Times New Roman"/>
                <w:color w:val="000000"/>
                <w:sz w:val="26"/>
                <w:szCs w:val="26"/>
              </w:rPr>
              <w:t>6</w:t>
            </w:r>
          </w:p>
        </w:tc>
        <w:tc>
          <w:tcPr>
            <w:tcW w:w="3716" w:type="dxa"/>
            <w:tcBorders>
              <w:top w:val="nil"/>
              <w:left w:val="nil"/>
              <w:bottom w:val="single" w:sz="4" w:space="0" w:color="auto"/>
              <w:right w:val="single" w:sz="4" w:space="0" w:color="auto"/>
            </w:tcBorders>
            <w:shd w:val="clear" w:color="auto" w:fill="auto"/>
            <w:noWrap/>
            <w:vAlign w:val="bottom"/>
            <w:hideMark/>
          </w:tcPr>
          <w:p w:rsidR="00EC6910" w:rsidRPr="00A669EE" w:rsidRDefault="00EC6910" w:rsidP="00852D8D">
            <w:pPr>
              <w:keepNext/>
              <w:spacing w:after="0" w:line="240" w:lineRule="auto"/>
              <w:rPr>
                <w:rFonts w:ascii="Times New Roman" w:eastAsia="Times New Roman" w:hAnsi="Times New Roman" w:cs="Times New Roman"/>
                <w:color w:val="000000"/>
                <w:sz w:val="26"/>
                <w:szCs w:val="26"/>
              </w:rPr>
            </w:pPr>
            <w:r w:rsidRPr="00A669EE">
              <w:rPr>
                <w:rFonts w:ascii="Times New Roman" w:eastAsia="Times New Roman" w:hAnsi="Times New Roman" w:cs="Times New Roman"/>
                <w:color w:val="000000"/>
                <w:sz w:val="26"/>
                <w:szCs w:val="26"/>
              </w:rPr>
              <w:t>Non-CRP Low-Income customers</w:t>
            </w:r>
          </w:p>
        </w:tc>
        <w:tc>
          <w:tcPr>
            <w:tcW w:w="949" w:type="dxa"/>
            <w:tcBorders>
              <w:top w:val="nil"/>
              <w:left w:val="nil"/>
              <w:bottom w:val="single" w:sz="4" w:space="0" w:color="auto"/>
              <w:right w:val="single" w:sz="4" w:space="0" w:color="auto"/>
            </w:tcBorders>
            <w:shd w:val="clear" w:color="auto" w:fill="auto"/>
            <w:noWrap/>
            <w:vAlign w:val="bottom"/>
            <w:hideMark/>
          </w:tcPr>
          <w:p w:rsidR="00EC6910" w:rsidRPr="00A669EE" w:rsidRDefault="00EC6910" w:rsidP="00852D8D">
            <w:pPr>
              <w:keepNext/>
              <w:spacing w:after="0" w:line="240" w:lineRule="auto"/>
              <w:jc w:val="right"/>
              <w:rPr>
                <w:rFonts w:ascii="Times New Roman" w:eastAsia="Times New Roman" w:hAnsi="Times New Roman" w:cs="Times New Roman"/>
                <w:color w:val="000000"/>
                <w:sz w:val="26"/>
                <w:szCs w:val="26"/>
              </w:rPr>
            </w:pPr>
            <w:r w:rsidRPr="00A669EE">
              <w:rPr>
                <w:rFonts w:ascii="Times New Roman" w:eastAsia="Times New Roman" w:hAnsi="Times New Roman" w:cs="Times New Roman"/>
                <w:color w:val="000000"/>
                <w:sz w:val="26"/>
                <w:szCs w:val="26"/>
              </w:rPr>
              <w:t>-9,812</w:t>
            </w:r>
          </w:p>
        </w:tc>
        <w:tc>
          <w:tcPr>
            <w:tcW w:w="3367" w:type="dxa"/>
            <w:tcBorders>
              <w:top w:val="nil"/>
              <w:left w:val="nil"/>
              <w:bottom w:val="single" w:sz="4" w:space="0" w:color="auto"/>
              <w:right w:val="single" w:sz="4" w:space="0" w:color="auto"/>
            </w:tcBorders>
            <w:shd w:val="clear" w:color="auto" w:fill="auto"/>
            <w:noWrap/>
            <w:vAlign w:val="bottom"/>
            <w:hideMark/>
          </w:tcPr>
          <w:p w:rsidR="00EC6910" w:rsidRPr="00A669EE" w:rsidRDefault="00EC6910" w:rsidP="00852D8D">
            <w:pPr>
              <w:keepNext/>
              <w:spacing w:after="0" w:line="240" w:lineRule="auto"/>
              <w:rPr>
                <w:rFonts w:ascii="Times New Roman" w:eastAsia="Times New Roman" w:hAnsi="Times New Roman" w:cs="Times New Roman"/>
                <w:color w:val="000000"/>
                <w:sz w:val="26"/>
                <w:szCs w:val="26"/>
              </w:rPr>
            </w:pPr>
            <w:r w:rsidRPr="00A669EE">
              <w:rPr>
                <w:rFonts w:ascii="Times New Roman" w:eastAsia="Times New Roman" w:hAnsi="Times New Roman" w:cs="Times New Roman"/>
                <w:color w:val="000000"/>
                <w:sz w:val="26"/>
                <w:szCs w:val="26"/>
              </w:rPr>
              <w:t xml:space="preserve">Must count </w:t>
            </w:r>
            <w:r w:rsidRPr="00A669EE">
              <w:rPr>
                <w:rFonts w:ascii="Times New Roman" w:eastAsia="Times New Roman" w:hAnsi="Times New Roman" w:cs="Times New Roman"/>
                <w:b/>
                <w:bCs/>
                <w:i/>
                <w:iCs/>
                <w:color w:val="000000"/>
                <w:sz w:val="26"/>
                <w:szCs w:val="26"/>
              </w:rPr>
              <w:t>all</w:t>
            </w:r>
            <w:r w:rsidRPr="00A669EE">
              <w:rPr>
                <w:rFonts w:ascii="Times New Roman" w:eastAsia="Times New Roman" w:hAnsi="Times New Roman" w:cs="Times New Roman"/>
                <w:color w:val="000000"/>
                <w:sz w:val="26"/>
                <w:szCs w:val="26"/>
              </w:rPr>
              <w:t xml:space="preserve"> eligible</w:t>
            </w:r>
          </w:p>
        </w:tc>
        <w:tc>
          <w:tcPr>
            <w:tcW w:w="1728" w:type="dxa"/>
            <w:tcBorders>
              <w:top w:val="nil"/>
              <w:left w:val="nil"/>
              <w:bottom w:val="single" w:sz="4" w:space="0" w:color="auto"/>
              <w:right w:val="single" w:sz="4" w:space="0" w:color="auto"/>
            </w:tcBorders>
            <w:shd w:val="clear" w:color="auto" w:fill="auto"/>
            <w:noWrap/>
            <w:vAlign w:val="bottom"/>
            <w:hideMark/>
          </w:tcPr>
          <w:p w:rsidR="00EC6910" w:rsidRPr="00A669EE" w:rsidRDefault="00EC6910" w:rsidP="00852D8D">
            <w:pPr>
              <w:keepNext/>
              <w:spacing w:after="0" w:line="240" w:lineRule="auto"/>
              <w:jc w:val="right"/>
              <w:rPr>
                <w:rFonts w:ascii="Times New Roman" w:eastAsia="Times New Roman" w:hAnsi="Times New Roman" w:cs="Times New Roman"/>
                <w:color w:val="000000"/>
                <w:sz w:val="26"/>
                <w:szCs w:val="26"/>
              </w:rPr>
            </w:pPr>
            <w:r w:rsidRPr="00A669EE">
              <w:rPr>
                <w:rFonts w:ascii="Times New Roman" w:eastAsia="Times New Roman" w:hAnsi="Times New Roman" w:cs="Times New Roman"/>
                <w:color w:val="000000"/>
                <w:sz w:val="26"/>
                <w:szCs w:val="26"/>
              </w:rPr>
              <w:t>9,812</w:t>
            </w:r>
          </w:p>
        </w:tc>
      </w:tr>
      <w:tr w:rsidR="00EC6910" w:rsidRPr="00A669EE" w:rsidTr="009565B2">
        <w:trPr>
          <w:trHeight w:val="288"/>
          <w:jc w:val="center"/>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EC6910" w:rsidRPr="00A669EE" w:rsidRDefault="00EC6910" w:rsidP="00852D8D">
            <w:pPr>
              <w:keepNext/>
              <w:spacing w:after="0" w:line="240" w:lineRule="auto"/>
              <w:jc w:val="right"/>
              <w:rPr>
                <w:rFonts w:ascii="Times New Roman" w:eastAsia="Times New Roman" w:hAnsi="Times New Roman" w:cs="Times New Roman"/>
                <w:color w:val="000000"/>
                <w:sz w:val="26"/>
                <w:szCs w:val="26"/>
              </w:rPr>
            </w:pPr>
            <w:r w:rsidRPr="00A669EE">
              <w:rPr>
                <w:rFonts w:ascii="Times New Roman" w:eastAsia="Times New Roman" w:hAnsi="Times New Roman" w:cs="Times New Roman"/>
                <w:color w:val="000000"/>
                <w:sz w:val="26"/>
                <w:szCs w:val="26"/>
              </w:rPr>
              <w:t>7</w:t>
            </w:r>
          </w:p>
        </w:tc>
        <w:tc>
          <w:tcPr>
            <w:tcW w:w="3716" w:type="dxa"/>
            <w:tcBorders>
              <w:top w:val="nil"/>
              <w:left w:val="nil"/>
              <w:bottom w:val="single" w:sz="4" w:space="0" w:color="auto"/>
              <w:right w:val="single" w:sz="4" w:space="0" w:color="auto"/>
            </w:tcBorders>
            <w:shd w:val="clear" w:color="auto" w:fill="auto"/>
            <w:noWrap/>
            <w:vAlign w:val="bottom"/>
            <w:hideMark/>
          </w:tcPr>
          <w:p w:rsidR="00EC6910" w:rsidRPr="00A669EE" w:rsidRDefault="00EC6910" w:rsidP="00852D8D">
            <w:pPr>
              <w:keepNext/>
              <w:spacing w:after="0" w:line="240" w:lineRule="auto"/>
              <w:rPr>
                <w:rFonts w:ascii="Times New Roman" w:eastAsia="Times New Roman" w:hAnsi="Times New Roman" w:cs="Times New Roman"/>
                <w:color w:val="000000"/>
                <w:sz w:val="26"/>
                <w:szCs w:val="26"/>
              </w:rPr>
            </w:pPr>
          </w:p>
        </w:tc>
        <w:tc>
          <w:tcPr>
            <w:tcW w:w="949" w:type="dxa"/>
            <w:tcBorders>
              <w:top w:val="nil"/>
              <w:left w:val="nil"/>
              <w:bottom w:val="single" w:sz="4" w:space="0" w:color="auto"/>
              <w:right w:val="single" w:sz="4" w:space="0" w:color="auto"/>
            </w:tcBorders>
            <w:shd w:val="clear" w:color="auto" w:fill="auto"/>
            <w:noWrap/>
            <w:vAlign w:val="bottom"/>
            <w:hideMark/>
          </w:tcPr>
          <w:p w:rsidR="00EC6910" w:rsidRPr="00A669EE" w:rsidRDefault="00EC6910" w:rsidP="00852D8D">
            <w:pPr>
              <w:keepNext/>
              <w:spacing w:after="0" w:line="240" w:lineRule="auto"/>
              <w:rPr>
                <w:rFonts w:ascii="Times New Roman" w:eastAsia="Times New Roman" w:hAnsi="Times New Roman" w:cs="Times New Roman"/>
                <w:color w:val="000000"/>
                <w:sz w:val="26"/>
                <w:szCs w:val="26"/>
              </w:rPr>
            </w:pPr>
            <w:r w:rsidRPr="00A669EE">
              <w:rPr>
                <w:rFonts w:ascii="Times New Roman" w:eastAsia="Times New Roman" w:hAnsi="Times New Roman" w:cs="Times New Roman"/>
                <w:color w:val="000000"/>
                <w:sz w:val="26"/>
                <w:szCs w:val="26"/>
              </w:rPr>
              <w:t>45,018</w:t>
            </w:r>
          </w:p>
        </w:tc>
        <w:tc>
          <w:tcPr>
            <w:tcW w:w="3367" w:type="dxa"/>
            <w:tcBorders>
              <w:top w:val="nil"/>
              <w:left w:val="nil"/>
              <w:bottom w:val="single" w:sz="4" w:space="0" w:color="auto"/>
              <w:right w:val="single" w:sz="4" w:space="0" w:color="auto"/>
            </w:tcBorders>
            <w:shd w:val="clear" w:color="auto" w:fill="auto"/>
            <w:noWrap/>
            <w:vAlign w:val="bottom"/>
            <w:hideMark/>
          </w:tcPr>
          <w:p w:rsidR="00EC6910" w:rsidRPr="00A669EE" w:rsidRDefault="00EC6910" w:rsidP="00852D8D">
            <w:pPr>
              <w:keepNext/>
              <w:spacing w:after="0" w:line="240" w:lineRule="auto"/>
              <w:rPr>
                <w:rFonts w:ascii="Times New Roman" w:eastAsia="Times New Roman" w:hAnsi="Times New Roman" w:cs="Times New Roman"/>
                <w:color w:val="000000"/>
                <w:sz w:val="26"/>
                <w:szCs w:val="26"/>
              </w:rPr>
            </w:pPr>
          </w:p>
        </w:tc>
        <w:tc>
          <w:tcPr>
            <w:tcW w:w="1728" w:type="dxa"/>
            <w:tcBorders>
              <w:top w:val="nil"/>
              <w:left w:val="nil"/>
              <w:bottom w:val="single" w:sz="4" w:space="0" w:color="auto"/>
              <w:right w:val="single" w:sz="4" w:space="0" w:color="auto"/>
            </w:tcBorders>
            <w:shd w:val="clear" w:color="auto" w:fill="auto"/>
            <w:noWrap/>
            <w:vAlign w:val="bottom"/>
            <w:hideMark/>
          </w:tcPr>
          <w:p w:rsidR="00EC6910" w:rsidRPr="00A669EE" w:rsidRDefault="00EC6910" w:rsidP="00852D8D">
            <w:pPr>
              <w:keepNext/>
              <w:spacing w:after="0" w:line="240" w:lineRule="auto"/>
              <w:rPr>
                <w:rFonts w:ascii="Times New Roman" w:eastAsia="Times New Roman" w:hAnsi="Times New Roman" w:cs="Times New Roman"/>
                <w:color w:val="000000"/>
                <w:sz w:val="26"/>
                <w:szCs w:val="26"/>
              </w:rPr>
            </w:pPr>
            <w:r w:rsidRPr="00A669EE">
              <w:rPr>
                <w:rFonts w:ascii="Times New Roman" w:eastAsia="Times New Roman" w:hAnsi="Times New Roman" w:cs="Times New Roman"/>
                <w:color w:val="000000"/>
                <w:sz w:val="26"/>
                <w:szCs w:val="26"/>
              </w:rPr>
              <w:t>115,459</w:t>
            </w:r>
          </w:p>
        </w:tc>
      </w:tr>
      <w:tr w:rsidR="00EC6910" w:rsidRPr="00A669EE" w:rsidTr="009565B2">
        <w:trPr>
          <w:trHeight w:val="288"/>
          <w:jc w:val="center"/>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EC6910" w:rsidRPr="00A669EE" w:rsidRDefault="00EC6910" w:rsidP="00852D8D">
            <w:pPr>
              <w:keepNext/>
              <w:spacing w:after="0" w:line="240" w:lineRule="auto"/>
              <w:jc w:val="right"/>
              <w:rPr>
                <w:rFonts w:ascii="Times New Roman" w:eastAsia="Times New Roman" w:hAnsi="Times New Roman" w:cs="Times New Roman"/>
                <w:color w:val="000000"/>
                <w:sz w:val="26"/>
                <w:szCs w:val="26"/>
              </w:rPr>
            </w:pPr>
            <w:r w:rsidRPr="00A669EE">
              <w:rPr>
                <w:rFonts w:ascii="Times New Roman" w:eastAsia="Times New Roman" w:hAnsi="Times New Roman" w:cs="Times New Roman"/>
                <w:color w:val="000000"/>
                <w:sz w:val="26"/>
                <w:szCs w:val="26"/>
              </w:rPr>
              <w:t>8</w:t>
            </w:r>
          </w:p>
        </w:tc>
        <w:tc>
          <w:tcPr>
            <w:tcW w:w="3716" w:type="dxa"/>
            <w:tcBorders>
              <w:top w:val="nil"/>
              <w:left w:val="nil"/>
              <w:bottom w:val="single" w:sz="4" w:space="0" w:color="auto"/>
              <w:right w:val="single" w:sz="4" w:space="0" w:color="auto"/>
            </w:tcBorders>
            <w:shd w:val="clear" w:color="auto" w:fill="auto"/>
            <w:noWrap/>
            <w:vAlign w:val="bottom"/>
            <w:hideMark/>
          </w:tcPr>
          <w:p w:rsidR="00EC6910" w:rsidRPr="00A669EE" w:rsidRDefault="00EC6910" w:rsidP="00852D8D">
            <w:pPr>
              <w:keepNext/>
              <w:spacing w:after="0" w:line="240" w:lineRule="auto"/>
              <w:rPr>
                <w:rFonts w:ascii="Times New Roman" w:eastAsia="Times New Roman" w:hAnsi="Times New Roman" w:cs="Times New Roman"/>
                <w:color w:val="000000"/>
                <w:sz w:val="26"/>
                <w:szCs w:val="26"/>
              </w:rPr>
            </w:pPr>
            <w:r w:rsidRPr="00A669EE">
              <w:rPr>
                <w:rFonts w:ascii="Times New Roman" w:eastAsia="Times New Roman" w:hAnsi="Times New Roman" w:cs="Times New Roman"/>
                <w:color w:val="000000"/>
                <w:sz w:val="26"/>
                <w:szCs w:val="26"/>
              </w:rPr>
              <w:t>Less than 12 months…</w:t>
            </w:r>
          </w:p>
        </w:tc>
        <w:tc>
          <w:tcPr>
            <w:tcW w:w="949" w:type="dxa"/>
            <w:tcBorders>
              <w:top w:val="nil"/>
              <w:left w:val="nil"/>
              <w:bottom w:val="single" w:sz="4" w:space="0" w:color="auto"/>
              <w:right w:val="single" w:sz="4" w:space="0" w:color="auto"/>
            </w:tcBorders>
            <w:shd w:val="clear" w:color="auto" w:fill="auto"/>
            <w:noWrap/>
            <w:vAlign w:val="bottom"/>
            <w:hideMark/>
          </w:tcPr>
          <w:p w:rsidR="00EC6910" w:rsidRPr="00A669EE" w:rsidRDefault="00EC6910" w:rsidP="00852D8D">
            <w:pPr>
              <w:keepNext/>
              <w:spacing w:after="0" w:line="240" w:lineRule="auto"/>
              <w:jc w:val="right"/>
              <w:rPr>
                <w:rFonts w:ascii="Times New Roman" w:eastAsia="Times New Roman" w:hAnsi="Times New Roman" w:cs="Times New Roman"/>
                <w:color w:val="000000"/>
                <w:sz w:val="26"/>
                <w:szCs w:val="26"/>
              </w:rPr>
            </w:pPr>
            <w:r w:rsidRPr="00A669EE">
              <w:rPr>
                <w:rFonts w:ascii="Times New Roman" w:eastAsia="Times New Roman" w:hAnsi="Times New Roman" w:cs="Times New Roman"/>
                <w:color w:val="000000"/>
                <w:sz w:val="26"/>
                <w:szCs w:val="26"/>
              </w:rPr>
              <w:t>-1,349</w:t>
            </w:r>
          </w:p>
        </w:tc>
        <w:tc>
          <w:tcPr>
            <w:tcW w:w="3367" w:type="dxa"/>
            <w:vMerge w:val="restart"/>
            <w:tcBorders>
              <w:top w:val="nil"/>
              <w:left w:val="single" w:sz="4" w:space="0" w:color="auto"/>
              <w:bottom w:val="single" w:sz="4" w:space="0" w:color="auto"/>
              <w:right w:val="single" w:sz="4" w:space="0" w:color="auto"/>
            </w:tcBorders>
            <w:shd w:val="clear" w:color="auto" w:fill="auto"/>
            <w:vAlign w:val="bottom"/>
            <w:hideMark/>
          </w:tcPr>
          <w:p w:rsidR="00EC6910" w:rsidRPr="00A669EE" w:rsidRDefault="00EC6910" w:rsidP="00852D8D">
            <w:pPr>
              <w:keepNext/>
              <w:spacing w:after="0" w:line="240" w:lineRule="auto"/>
              <w:jc w:val="center"/>
              <w:rPr>
                <w:rFonts w:ascii="Times New Roman" w:eastAsia="Times New Roman" w:hAnsi="Times New Roman" w:cs="Times New Roman"/>
                <w:color w:val="000000"/>
                <w:sz w:val="26"/>
                <w:szCs w:val="26"/>
              </w:rPr>
            </w:pPr>
            <w:r w:rsidRPr="00A669EE">
              <w:rPr>
                <w:rFonts w:ascii="Times New Roman" w:eastAsia="Times New Roman" w:hAnsi="Times New Roman" w:cs="Times New Roman"/>
                <w:color w:val="000000"/>
                <w:sz w:val="26"/>
                <w:szCs w:val="26"/>
              </w:rPr>
              <w:t>Yea</w:t>
            </w:r>
            <w:r w:rsidR="003F0A36">
              <w:rPr>
                <w:rFonts w:ascii="Times New Roman" w:eastAsia="Times New Roman" w:hAnsi="Times New Roman" w:cs="Times New Roman"/>
                <w:color w:val="000000"/>
                <w:sz w:val="26"/>
                <w:szCs w:val="26"/>
              </w:rPr>
              <w:t>r to year can change, so recommend</w:t>
            </w:r>
            <w:r w:rsidRPr="00A669EE">
              <w:rPr>
                <w:rFonts w:ascii="Times New Roman" w:eastAsia="Times New Roman" w:hAnsi="Times New Roman" w:cs="Times New Roman"/>
                <w:color w:val="000000"/>
                <w:sz w:val="26"/>
                <w:szCs w:val="26"/>
              </w:rPr>
              <w:t xml:space="preserve"> counting half of this total. Total = 20,206/2 = 10,103 </w:t>
            </w:r>
          </w:p>
        </w:tc>
        <w:tc>
          <w:tcPr>
            <w:tcW w:w="1728" w:type="dxa"/>
            <w:tcBorders>
              <w:top w:val="nil"/>
              <w:left w:val="nil"/>
              <w:bottom w:val="single" w:sz="4" w:space="0" w:color="auto"/>
              <w:right w:val="single" w:sz="4" w:space="0" w:color="auto"/>
            </w:tcBorders>
            <w:shd w:val="clear" w:color="auto" w:fill="auto"/>
            <w:noWrap/>
            <w:vAlign w:val="bottom"/>
            <w:hideMark/>
          </w:tcPr>
          <w:p w:rsidR="00EC6910" w:rsidRPr="00A669EE" w:rsidRDefault="00EC6910" w:rsidP="00852D8D">
            <w:pPr>
              <w:keepNext/>
              <w:spacing w:after="0" w:line="240" w:lineRule="auto"/>
              <w:rPr>
                <w:rFonts w:ascii="Times New Roman" w:eastAsia="Times New Roman" w:hAnsi="Times New Roman" w:cs="Times New Roman"/>
                <w:color w:val="000000"/>
                <w:sz w:val="26"/>
                <w:szCs w:val="26"/>
              </w:rPr>
            </w:pPr>
          </w:p>
        </w:tc>
      </w:tr>
      <w:tr w:rsidR="00EC6910" w:rsidRPr="00A669EE" w:rsidTr="009565B2">
        <w:trPr>
          <w:trHeight w:val="288"/>
          <w:jc w:val="center"/>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EC6910" w:rsidRPr="00A669EE" w:rsidRDefault="00EC6910" w:rsidP="00852D8D">
            <w:pPr>
              <w:keepNext/>
              <w:spacing w:after="0" w:line="240" w:lineRule="auto"/>
              <w:jc w:val="right"/>
              <w:rPr>
                <w:rFonts w:ascii="Times New Roman" w:eastAsia="Times New Roman" w:hAnsi="Times New Roman" w:cs="Times New Roman"/>
                <w:color w:val="000000"/>
                <w:sz w:val="26"/>
                <w:szCs w:val="26"/>
              </w:rPr>
            </w:pPr>
            <w:r w:rsidRPr="00A669EE">
              <w:rPr>
                <w:rFonts w:ascii="Times New Roman" w:eastAsia="Times New Roman" w:hAnsi="Times New Roman" w:cs="Times New Roman"/>
                <w:color w:val="000000"/>
                <w:sz w:val="26"/>
                <w:szCs w:val="26"/>
              </w:rPr>
              <w:t>9</w:t>
            </w:r>
          </w:p>
        </w:tc>
        <w:tc>
          <w:tcPr>
            <w:tcW w:w="3716" w:type="dxa"/>
            <w:tcBorders>
              <w:top w:val="nil"/>
              <w:left w:val="nil"/>
              <w:bottom w:val="single" w:sz="4" w:space="0" w:color="auto"/>
              <w:right w:val="single" w:sz="4" w:space="0" w:color="auto"/>
            </w:tcBorders>
            <w:shd w:val="clear" w:color="auto" w:fill="auto"/>
            <w:noWrap/>
            <w:vAlign w:val="bottom"/>
            <w:hideMark/>
          </w:tcPr>
          <w:p w:rsidR="00EC6910" w:rsidRPr="00A669EE" w:rsidRDefault="00EC6910" w:rsidP="00852D8D">
            <w:pPr>
              <w:keepNext/>
              <w:spacing w:after="0" w:line="240" w:lineRule="auto"/>
              <w:rPr>
                <w:rFonts w:ascii="Times New Roman" w:eastAsia="Times New Roman" w:hAnsi="Times New Roman" w:cs="Times New Roman"/>
                <w:color w:val="000000"/>
                <w:sz w:val="26"/>
                <w:szCs w:val="26"/>
              </w:rPr>
            </w:pPr>
            <w:r w:rsidRPr="00A669EE">
              <w:rPr>
                <w:rFonts w:ascii="Times New Roman" w:eastAsia="Times New Roman" w:hAnsi="Times New Roman" w:cs="Times New Roman"/>
                <w:color w:val="000000"/>
                <w:sz w:val="26"/>
                <w:szCs w:val="26"/>
              </w:rPr>
              <w:t>Termination in prior year…</w:t>
            </w:r>
          </w:p>
        </w:tc>
        <w:tc>
          <w:tcPr>
            <w:tcW w:w="949" w:type="dxa"/>
            <w:tcBorders>
              <w:top w:val="nil"/>
              <w:left w:val="nil"/>
              <w:bottom w:val="single" w:sz="4" w:space="0" w:color="auto"/>
              <w:right w:val="single" w:sz="4" w:space="0" w:color="auto"/>
            </w:tcBorders>
            <w:shd w:val="clear" w:color="auto" w:fill="auto"/>
            <w:noWrap/>
            <w:vAlign w:val="bottom"/>
            <w:hideMark/>
          </w:tcPr>
          <w:p w:rsidR="00EC6910" w:rsidRPr="00A669EE" w:rsidRDefault="00EC6910" w:rsidP="00852D8D">
            <w:pPr>
              <w:keepNext/>
              <w:spacing w:after="0" w:line="240" w:lineRule="auto"/>
              <w:jc w:val="right"/>
              <w:rPr>
                <w:rFonts w:ascii="Times New Roman" w:eastAsia="Times New Roman" w:hAnsi="Times New Roman" w:cs="Times New Roman"/>
                <w:color w:val="000000"/>
                <w:sz w:val="26"/>
                <w:szCs w:val="26"/>
              </w:rPr>
            </w:pPr>
            <w:r w:rsidRPr="00A669EE">
              <w:rPr>
                <w:rFonts w:ascii="Times New Roman" w:eastAsia="Times New Roman" w:hAnsi="Times New Roman" w:cs="Times New Roman"/>
                <w:color w:val="000000"/>
                <w:sz w:val="26"/>
                <w:szCs w:val="26"/>
              </w:rPr>
              <w:t>-2,118</w:t>
            </w:r>
          </w:p>
        </w:tc>
        <w:tc>
          <w:tcPr>
            <w:tcW w:w="3367" w:type="dxa"/>
            <w:vMerge/>
            <w:tcBorders>
              <w:top w:val="nil"/>
              <w:left w:val="single" w:sz="4" w:space="0" w:color="auto"/>
              <w:bottom w:val="single" w:sz="4" w:space="0" w:color="auto"/>
              <w:right w:val="single" w:sz="4" w:space="0" w:color="auto"/>
            </w:tcBorders>
            <w:vAlign w:val="center"/>
            <w:hideMark/>
          </w:tcPr>
          <w:p w:rsidR="00EC6910" w:rsidRPr="00A669EE" w:rsidRDefault="00EC6910" w:rsidP="00852D8D">
            <w:pPr>
              <w:keepNext/>
              <w:spacing w:after="0" w:line="240" w:lineRule="auto"/>
              <w:rPr>
                <w:rFonts w:ascii="Times New Roman" w:eastAsia="Times New Roman" w:hAnsi="Times New Roman" w:cs="Times New Roman"/>
                <w:color w:val="000000"/>
                <w:sz w:val="26"/>
                <w:szCs w:val="26"/>
              </w:rPr>
            </w:pPr>
          </w:p>
        </w:tc>
        <w:tc>
          <w:tcPr>
            <w:tcW w:w="1728" w:type="dxa"/>
            <w:tcBorders>
              <w:top w:val="nil"/>
              <w:left w:val="nil"/>
              <w:bottom w:val="single" w:sz="4" w:space="0" w:color="auto"/>
              <w:right w:val="single" w:sz="4" w:space="0" w:color="auto"/>
            </w:tcBorders>
            <w:shd w:val="clear" w:color="auto" w:fill="auto"/>
            <w:noWrap/>
            <w:vAlign w:val="bottom"/>
            <w:hideMark/>
          </w:tcPr>
          <w:p w:rsidR="00EC6910" w:rsidRPr="00A669EE" w:rsidRDefault="00EC6910" w:rsidP="00852D8D">
            <w:pPr>
              <w:keepNext/>
              <w:spacing w:after="0" w:line="240" w:lineRule="auto"/>
              <w:rPr>
                <w:rFonts w:ascii="Times New Roman" w:eastAsia="Times New Roman" w:hAnsi="Times New Roman" w:cs="Times New Roman"/>
                <w:color w:val="000000"/>
                <w:sz w:val="26"/>
                <w:szCs w:val="26"/>
              </w:rPr>
            </w:pPr>
          </w:p>
        </w:tc>
      </w:tr>
      <w:tr w:rsidR="00EC6910" w:rsidRPr="00A669EE" w:rsidTr="009565B2">
        <w:trPr>
          <w:trHeight w:val="288"/>
          <w:jc w:val="center"/>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EC6910" w:rsidRPr="00A669EE" w:rsidRDefault="00EC6910" w:rsidP="00852D8D">
            <w:pPr>
              <w:keepNext/>
              <w:spacing w:after="0" w:line="240" w:lineRule="auto"/>
              <w:jc w:val="right"/>
              <w:rPr>
                <w:rFonts w:ascii="Times New Roman" w:eastAsia="Times New Roman" w:hAnsi="Times New Roman" w:cs="Times New Roman"/>
                <w:color w:val="000000"/>
                <w:sz w:val="26"/>
                <w:szCs w:val="26"/>
              </w:rPr>
            </w:pPr>
            <w:r w:rsidRPr="00A669EE">
              <w:rPr>
                <w:rFonts w:ascii="Times New Roman" w:eastAsia="Times New Roman" w:hAnsi="Times New Roman" w:cs="Times New Roman"/>
                <w:color w:val="000000"/>
                <w:sz w:val="26"/>
                <w:szCs w:val="26"/>
              </w:rPr>
              <w:t>10</w:t>
            </w:r>
          </w:p>
        </w:tc>
        <w:tc>
          <w:tcPr>
            <w:tcW w:w="3716" w:type="dxa"/>
            <w:tcBorders>
              <w:top w:val="nil"/>
              <w:left w:val="nil"/>
              <w:bottom w:val="single" w:sz="4" w:space="0" w:color="auto"/>
              <w:right w:val="single" w:sz="4" w:space="0" w:color="auto"/>
            </w:tcBorders>
            <w:shd w:val="clear" w:color="auto" w:fill="auto"/>
            <w:noWrap/>
            <w:vAlign w:val="bottom"/>
            <w:hideMark/>
          </w:tcPr>
          <w:p w:rsidR="00EC6910" w:rsidRPr="00A669EE" w:rsidRDefault="00EC6910" w:rsidP="00852D8D">
            <w:pPr>
              <w:keepNext/>
              <w:spacing w:after="0" w:line="240" w:lineRule="auto"/>
              <w:rPr>
                <w:rFonts w:ascii="Times New Roman" w:eastAsia="Times New Roman" w:hAnsi="Times New Roman" w:cs="Times New Roman"/>
                <w:color w:val="000000"/>
                <w:sz w:val="26"/>
                <w:szCs w:val="26"/>
              </w:rPr>
            </w:pPr>
            <w:r w:rsidRPr="00A669EE">
              <w:rPr>
                <w:rFonts w:ascii="Times New Roman" w:eastAsia="Times New Roman" w:hAnsi="Times New Roman" w:cs="Times New Roman"/>
                <w:color w:val="000000"/>
                <w:sz w:val="26"/>
                <w:szCs w:val="26"/>
              </w:rPr>
              <w:t>Less than 1 year residency…</w:t>
            </w:r>
          </w:p>
        </w:tc>
        <w:tc>
          <w:tcPr>
            <w:tcW w:w="949" w:type="dxa"/>
            <w:tcBorders>
              <w:top w:val="nil"/>
              <w:left w:val="nil"/>
              <w:bottom w:val="single" w:sz="4" w:space="0" w:color="auto"/>
              <w:right w:val="single" w:sz="4" w:space="0" w:color="auto"/>
            </w:tcBorders>
            <w:shd w:val="clear" w:color="auto" w:fill="auto"/>
            <w:noWrap/>
            <w:vAlign w:val="bottom"/>
            <w:hideMark/>
          </w:tcPr>
          <w:p w:rsidR="00EC6910" w:rsidRPr="00A669EE" w:rsidRDefault="00EC6910" w:rsidP="00852D8D">
            <w:pPr>
              <w:keepNext/>
              <w:spacing w:after="0" w:line="240" w:lineRule="auto"/>
              <w:jc w:val="right"/>
              <w:rPr>
                <w:rFonts w:ascii="Times New Roman" w:eastAsia="Times New Roman" w:hAnsi="Times New Roman" w:cs="Times New Roman"/>
                <w:color w:val="000000"/>
                <w:sz w:val="26"/>
                <w:szCs w:val="26"/>
              </w:rPr>
            </w:pPr>
            <w:r w:rsidRPr="00A669EE">
              <w:rPr>
                <w:rFonts w:ascii="Times New Roman" w:eastAsia="Times New Roman" w:hAnsi="Times New Roman" w:cs="Times New Roman"/>
                <w:color w:val="000000"/>
                <w:sz w:val="26"/>
                <w:szCs w:val="26"/>
              </w:rPr>
              <w:t>-6,080</w:t>
            </w:r>
          </w:p>
        </w:tc>
        <w:tc>
          <w:tcPr>
            <w:tcW w:w="3367" w:type="dxa"/>
            <w:vMerge/>
            <w:tcBorders>
              <w:top w:val="nil"/>
              <w:left w:val="single" w:sz="4" w:space="0" w:color="auto"/>
              <w:bottom w:val="single" w:sz="4" w:space="0" w:color="auto"/>
              <w:right w:val="single" w:sz="4" w:space="0" w:color="auto"/>
            </w:tcBorders>
            <w:vAlign w:val="center"/>
            <w:hideMark/>
          </w:tcPr>
          <w:p w:rsidR="00EC6910" w:rsidRPr="00A669EE" w:rsidRDefault="00EC6910" w:rsidP="00852D8D">
            <w:pPr>
              <w:keepNext/>
              <w:spacing w:after="0" w:line="240" w:lineRule="auto"/>
              <w:rPr>
                <w:rFonts w:ascii="Times New Roman" w:eastAsia="Times New Roman" w:hAnsi="Times New Roman" w:cs="Times New Roman"/>
                <w:color w:val="000000"/>
                <w:sz w:val="26"/>
                <w:szCs w:val="26"/>
              </w:rPr>
            </w:pPr>
          </w:p>
        </w:tc>
        <w:tc>
          <w:tcPr>
            <w:tcW w:w="1728" w:type="dxa"/>
            <w:tcBorders>
              <w:top w:val="nil"/>
              <w:left w:val="nil"/>
              <w:bottom w:val="single" w:sz="4" w:space="0" w:color="auto"/>
              <w:right w:val="single" w:sz="4" w:space="0" w:color="auto"/>
            </w:tcBorders>
            <w:shd w:val="clear" w:color="auto" w:fill="auto"/>
            <w:noWrap/>
            <w:vAlign w:val="bottom"/>
            <w:hideMark/>
          </w:tcPr>
          <w:p w:rsidR="00EC6910" w:rsidRPr="00A669EE" w:rsidRDefault="00EC6910" w:rsidP="00852D8D">
            <w:pPr>
              <w:keepNext/>
              <w:spacing w:after="0" w:line="240" w:lineRule="auto"/>
              <w:rPr>
                <w:rFonts w:ascii="Times New Roman" w:eastAsia="Times New Roman" w:hAnsi="Times New Roman" w:cs="Times New Roman"/>
                <w:color w:val="000000"/>
                <w:sz w:val="26"/>
                <w:szCs w:val="26"/>
              </w:rPr>
            </w:pPr>
          </w:p>
        </w:tc>
      </w:tr>
      <w:tr w:rsidR="00EC6910" w:rsidRPr="00A669EE" w:rsidTr="009565B2">
        <w:trPr>
          <w:trHeight w:val="288"/>
          <w:jc w:val="center"/>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EC6910" w:rsidRPr="00A669EE" w:rsidRDefault="00EC6910" w:rsidP="00852D8D">
            <w:pPr>
              <w:keepNext/>
              <w:spacing w:after="0" w:line="240" w:lineRule="auto"/>
              <w:jc w:val="right"/>
              <w:rPr>
                <w:rFonts w:ascii="Times New Roman" w:eastAsia="Times New Roman" w:hAnsi="Times New Roman" w:cs="Times New Roman"/>
                <w:color w:val="000000"/>
                <w:sz w:val="26"/>
                <w:szCs w:val="26"/>
              </w:rPr>
            </w:pPr>
            <w:r w:rsidRPr="00A669EE">
              <w:rPr>
                <w:rFonts w:ascii="Times New Roman" w:eastAsia="Times New Roman" w:hAnsi="Times New Roman" w:cs="Times New Roman"/>
                <w:color w:val="000000"/>
                <w:sz w:val="26"/>
                <w:szCs w:val="26"/>
              </w:rPr>
              <w:t>11</w:t>
            </w:r>
          </w:p>
        </w:tc>
        <w:tc>
          <w:tcPr>
            <w:tcW w:w="3716" w:type="dxa"/>
            <w:tcBorders>
              <w:top w:val="nil"/>
              <w:left w:val="nil"/>
              <w:bottom w:val="single" w:sz="4" w:space="0" w:color="auto"/>
              <w:right w:val="single" w:sz="4" w:space="0" w:color="auto"/>
            </w:tcBorders>
            <w:shd w:val="clear" w:color="auto" w:fill="auto"/>
            <w:noWrap/>
            <w:vAlign w:val="bottom"/>
            <w:hideMark/>
          </w:tcPr>
          <w:p w:rsidR="00EC6910" w:rsidRPr="00A669EE" w:rsidRDefault="00EC6910" w:rsidP="00852D8D">
            <w:pPr>
              <w:keepNext/>
              <w:spacing w:after="0" w:line="240" w:lineRule="auto"/>
              <w:rPr>
                <w:rFonts w:ascii="Times New Roman" w:eastAsia="Times New Roman" w:hAnsi="Times New Roman" w:cs="Times New Roman"/>
                <w:color w:val="000000"/>
                <w:sz w:val="26"/>
                <w:szCs w:val="26"/>
              </w:rPr>
            </w:pPr>
            <w:r w:rsidRPr="00A669EE">
              <w:rPr>
                <w:rFonts w:ascii="Times New Roman" w:eastAsia="Times New Roman" w:hAnsi="Times New Roman" w:cs="Times New Roman"/>
                <w:color w:val="000000"/>
                <w:sz w:val="26"/>
                <w:szCs w:val="26"/>
              </w:rPr>
              <w:t>Treated comprehensively…</w:t>
            </w:r>
          </w:p>
        </w:tc>
        <w:tc>
          <w:tcPr>
            <w:tcW w:w="949" w:type="dxa"/>
            <w:tcBorders>
              <w:top w:val="nil"/>
              <w:left w:val="nil"/>
              <w:bottom w:val="single" w:sz="4" w:space="0" w:color="auto"/>
              <w:right w:val="single" w:sz="4" w:space="0" w:color="auto"/>
            </w:tcBorders>
            <w:shd w:val="clear" w:color="auto" w:fill="auto"/>
            <w:noWrap/>
            <w:vAlign w:val="bottom"/>
            <w:hideMark/>
          </w:tcPr>
          <w:p w:rsidR="00EC6910" w:rsidRPr="00A669EE" w:rsidRDefault="00EC6910" w:rsidP="00852D8D">
            <w:pPr>
              <w:keepNext/>
              <w:spacing w:after="0" w:line="240" w:lineRule="auto"/>
              <w:jc w:val="right"/>
              <w:rPr>
                <w:rFonts w:ascii="Times New Roman" w:eastAsia="Times New Roman" w:hAnsi="Times New Roman" w:cs="Times New Roman"/>
                <w:color w:val="000000"/>
                <w:sz w:val="26"/>
                <w:szCs w:val="26"/>
              </w:rPr>
            </w:pPr>
            <w:r w:rsidRPr="00A669EE">
              <w:rPr>
                <w:rFonts w:ascii="Times New Roman" w:eastAsia="Times New Roman" w:hAnsi="Times New Roman" w:cs="Times New Roman"/>
                <w:color w:val="000000"/>
                <w:sz w:val="26"/>
                <w:szCs w:val="26"/>
              </w:rPr>
              <w:t>-5,160</w:t>
            </w:r>
          </w:p>
        </w:tc>
        <w:tc>
          <w:tcPr>
            <w:tcW w:w="3367" w:type="dxa"/>
            <w:vMerge/>
            <w:tcBorders>
              <w:top w:val="nil"/>
              <w:left w:val="single" w:sz="4" w:space="0" w:color="auto"/>
              <w:bottom w:val="single" w:sz="4" w:space="0" w:color="auto"/>
              <w:right w:val="single" w:sz="4" w:space="0" w:color="auto"/>
            </w:tcBorders>
            <w:vAlign w:val="center"/>
            <w:hideMark/>
          </w:tcPr>
          <w:p w:rsidR="00EC6910" w:rsidRPr="00A669EE" w:rsidRDefault="00EC6910" w:rsidP="00852D8D">
            <w:pPr>
              <w:keepNext/>
              <w:spacing w:after="0" w:line="240" w:lineRule="auto"/>
              <w:rPr>
                <w:rFonts w:ascii="Times New Roman" w:eastAsia="Times New Roman" w:hAnsi="Times New Roman" w:cs="Times New Roman"/>
                <w:color w:val="000000"/>
                <w:sz w:val="26"/>
                <w:szCs w:val="26"/>
              </w:rPr>
            </w:pPr>
          </w:p>
        </w:tc>
        <w:tc>
          <w:tcPr>
            <w:tcW w:w="1728" w:type="dxa"/>
            <w:tcBorders>
              <w:top w:val="nil"/>
              <w:left w:val="nil"/>
              <w:bottom w:val="single" w:sz="4" w:space="0" w:color="auto"/>
              <w:right w:val="single" w:sz="4" w:space="0" w:color="auto"/>
            </w:tcBorders>
            <w:shd w:val="clear" w:color="auto" w:fill="auto"/>
            <w:noWrap/>
            <w:vAlign w:val="bottom"/>
            <w:hideMark/>
          </w:tcPr>
          <w:p w:rsidR="00EC6910" w:rsidRPr="00A669EE" w:rsidRDefault="00EC6910" w:rsidP="00852D8D">
            <w:pPr>
              <w:keepNext/>
              <w:spacing w:after="0" w:line="240" w:lineRule="auto"/>
              <w:rPr>
                <w:rFonts w:ascii="Times New Roman" w:eastAsia="Times New Roman" w:hAnsi="Times New Roman" w:cs="Times New Roman"/>
                <w:color w:val="000000"/>
                <w:sz w:val="26"/>
                <w:szCs w:val="26"/>
              </w:rPr>
            </w:pPr>
          </w:p>
        </w:tc>
      </w:tr>
      <w:tr w:rsidR="00EC6910" w:rsidRPr="00A669EE" w:rsidTr="009565B2">
        <w:trPr>
          <w:trHeight w:val="288"/>
          <w:jc w:val="center"/>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EC6910" w:rsidRPr="00A669EE" w:rsidRDefault="00EC6910" w:rsidP="00852D8D">
            <w:pPr>
              <w:keepNext/>
              <w:spacing w:after="0" w:line="240" w:lineRule="auto"/>
              <w:jc w:val="right"/>
              <w:rPr>
                <w:rFonts w:ascii="Times New Roman" w:eastAsia="Times New Roman" w:hAnsi="Times New Roman" w:cs="Times New Roman"/>
                <w:color w:val="000000"/>
                <w:sz w:val="26"/>
                <w:szCs w:val="26"/>
              </w:rPr>
            </w:pPr>
            <w:r w:rsidRPr="00A669EE">
              <w:rPr>
                <w:rFonts w:ascii="Times New Roman" w:eastAsia="Times New Roman" w:hAnsi="Times New Roman" w:cs="Times New Roman"/>
                <w:color w:val="000000"/>
                <w:sz w:val="26"/>
                <w:szCs w:val="26"/>
              </w:rPr>
              <w:t>12</w:t>
            </w:r>
          </w:p>
        </w:tc>
        <w:tc>
          <w:tcPr>
            <w:tcW w:w="3716" w:type="dxa"/>
            <w:tcBorders>
              <w:top w:val="nil"/>
              <w:left w:val="nil"/>
              <w:bottom w:val="single" w:sz="4" w:space="0" w:color="auto"/>
              <w:right w:val="single" w:sz="4" w:space="0" w:color="auto"/>
            </w:tcBorders>
            <w:shd w:val="clear" w:color="auto" w:fill="auto"/>
            <w:noWrap/>
            <w:vAlign w:val="bottom"/>
            <w:hideMark/>
          </w:tcPr>
          <w:p w:rsidR="00EC6910" w:rsidRPr="00A669EE" w:rsidRDefault="00EC6910" w:rsidP="00852D8D">
            <w:pPr>
              <w:keepNext/>
              <w:spacing w:after="0" w:line="240" w:lineRule="auto"/>
              <w:rPr>
                <w:rFonts w:ascii="Times New Roman" w:eastAsia="Times New Roman" w:hAnsi="Times New Roman" w:cs="Times New Roman"/>
                <w:color w:val="000000"/>
                <w:sz w:val="26"/>
                <w:szCs w:val="26"/>
              </w:rPr>
            </w:pPr>
            <w:r w:rsidRPr="00A669EE">
              <w:rPr>
                <w:rFonts w:ascii="Times New Roman" w:eastAsia="Times New Roman" w:hAnsi="Times New Roman" w:cs="Times New Roman"/>
                <w:color w:val="000000"/>
                <w:sz w:val="26"/>
                <w:szCs w:val="26"/>
              </w:rPr>
              <w:t>Can't treat "due to issues"…</w:t>
            </w:r>
          </w:p>
        </w:tc>
        <w:tc>
          <w:tcPr>
            <w:tcW w:w="949" w:type="dxa"/>
            <w:tcBorders>
              <w:top w:val="nil"/>
              <w:left w:val="nil"/>
              <w:bottom w:val="single" w:sz="4" w:space="0" w:color="auto"/>
              <w:right w:val="single" w:sz="4" w:space="0" w:color="auto"/>
            </w:tcBorders>
            <w:shd w:val="clear" w:color="auto" w:fill="auto"/>
            <w:noWrap/>
            <w:vAlign w:val="bottom"/>
            <w:hideMark/>
          </w:tcPr>
          <w:p w:rsidR="00EC6910" w:rsidRPr="00A669EE" w:rsidRDefault="00EC6910" w:rsidP="00852D8D">
            <w:pPr>
              <w:keepNext/>
              <w:spacing w:after="0" w:line="240" w:lineRule="auto"/>
              <w:jc w:val="right"/>
              <w:rPr>
                <w:rFonts w:ascii="Times New Roman" w:eastAsia="Times New Roman" w:hAnsi="Times New Roman" w:cs="Times New Roman"/>
                <w:color w:val="000000"/>
                <w:sz w:val="26"/>
                <w:szCs w:val="26"/>
              </w:rPr>
            </w:pPr>
            <w:r w:rsidRPr="00A669EE">
              <w:rPr>
                <w:rFonts w:ascii="Times New Roman" w:eastAsia="Times New Roman" w:hAnsi="Times New Roman" w:cs="Times New Roman"/>
                <w:color w:val="000000"/>
                <w:sz w:val="26"/>
                <w:szCs w:val="26"/>
              </w:rPr>
              <w:t>-5,499</w:t>
            </w:r>
          </w:p>
        </w:tc>
        <w:tc>
          <w:tcPr>
            <w:tcW w:w="3367" w:type="dxa"/>
            <w:vMerge/>
            <w:tcBorders>
              <w:top w:val="nil"/>
              <w:left w:val="single" w:sz="4" w:space="0" w:color="auto"/>
              <w:bottom w:val="single" w:sz="4" w:space="0" w:color="auto"/>
              <w:right w:val="single" w:sz="4" w:space="0" w:color="auto"/>
            </w:tcBorders>
            <w:vAlign w:val="center"/>
            <w:hideMark/>
          </w:tcPr>
          <w:p w:rsidR="00EC6910" w:rsidRPr="00A669EE" w:rsidRDefault="00EC6910" w:rsidP="00852D8D">
            <w:pPr>
              <w:keepNext/>
              <w:spacing w:after="0" w:line="240" w:lineRule="auto"/>
              <w:rPr>
                <w:rFonts w:ascii="Times New Roman" w:eastAsia="Times New Roman" w:hAnsi="Times New Roman" w:cs="Times New Roman"/>
                <w:color w:val="000000"/>
                <w:sz w:val="26"/>
                <w:szCs w:val="26"/>
              </w:rPr>
            </w:pPr>
          </w:p>
        </w:tc>
        <w:tc>
          <w:tcPr>
            <w:tcW w:w="1728" w:type="dxa"/>
            <w:tcBorders>
              <w:top w:val="nil"/>
              <w:left w:val="nil"/>
              <w:bottom w:val="single" w:sz="4" w:space="0" w:color="auto"/>
              <w:right w:val="single" w:sz="4" w:space="0" w:color="auto"/>
            </w:tcBorders>
            <w:shd w:val="clear" w:color="auto" w:fill="auto"/>
            <w:noWrap/>
            <w:vAlign w:val="bottom"/>
            <w:hideMark/>
          </w:tcPr>
          <w:p w:rsidR="00EC6910" w:rsidRPr="00A669EE" w:rsidRDefault="00EC6910" w:rsidP="00852D8D">
            <w:pPr>
              <w:keepNext/>
              <w:spacing w:after="0" w:line="240" w:lineRule="auto"/>
              <w:jc w:val="right"/>
              <w:rPr>
                <w:rFonts w:ascii="Times New Roman" w:eastAsia="Times New Roman" w:hAnsi="Times New Roman" w:cs="Times New Roman"/>
                <w:color w:val="000000"/>
                <w:sz w:val="26"/>
                <w:szCs w:val="26"/>
              </w:rPr>
            </w:pPr>
            <w:r w:rsidRPr="00A669EE">
              <w:rPr>
                <w:rFonts w:ascii="Times New Roman" w:eastAsia="Times New Roman" w:hAnsi="Times New Roman" w:cs="Times New Roman"/>
                <w:color w:val="000000"/>
                <w:sz w:val="26"/>
                <w:szCs w:val="26"/>
              </w:rPr>
              <w:t>-10,103</w:t>
            </w:r>
          </w:p>
        </w:tc>
      </w:tr>
      <w:tr w:rsidR="00EC6910" w:rsidRPr="00A669EE" w:rsidTr="009565B2">
        <w:trPr>
          <w:trHeight w:val="288"/>
          <w:jc w:val="center"/>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EC6910" w:rsidRPr="00A669EE" w:rsidRDefault="00EC6910" w:rsidP="00852D8D">
            <w:pPr>
              <w:keepNext/>
              <w:spacing w:after="0" w:line="240" w:lineRule="auto"/>
              <w:jc w:val="right"/>
              <w:rPr>
                <w:rFonts w:ascii="Times New Roman" w:eastAsia="Times New Roman" w:hAnsi="Times New Roman" w:cs="Times New Roman"/>
                <w:color w:val="000000"/>
                <w:sz w:val="26"/>
                <w:szCs w:val="26"/>
              </w:rPr>
            </w:pPr>
            <w:r w:rsidRPr="00A669EE">
              <w:rPr>
                <w:rFonts w:ascii="Times New Roman" w:eastAsia="Times New Roman" w:hAnsi="Times New Roman" w:cs="Times New Roman"/>
                <w:color w:val="000000"/>
                <w:sz w:val="26"/>
                <w:szCs w:val="26"/>
              </w:rPr>
              <w:t>13</w:t>
            </w:r>
          </w:p>
        </w:tc>
        <w:tc>
          <w:tcPr>
            <w:tcW w:w="3716" w:type="dxa"/>
            <w:tcBorders>
              <w:top w:val="nil"/>
              <w:left w:val="nil"/>
              <w:bottom w:val="single" w:sz="4" w:space="0" w:color="auto"/>
              <w:right w:val="single" w:sz="4" w:space="0" w:color="auto"/>
            </w:tcBorders>
            <w:shd w:val="clear" w:color="auto" w:fill="auto"/>
            <w:noWrap/>
            <w:vAlign w:val="bottom"/>
            <w:hideMark/>
          </w:tcPr>
          <w:p w:rsidR="00EC6910" w:rsidRPr="00A669EE" w:rsidRDefault="00EC6910" w:rsidP="00852D8D">
            <w:pPr>
              <w:keepNext/>
              <w:spacing w:after="0" w:line="240" w:lineRule="auto"/>
              <w:rPr>
                <w:rFonts w:ascii="Times New Roman" w:eastAsia="Times New Roman" w:hAnsi="Times New Roman" w:cs="Times New Roman"/>
                <w:color w:val="000000"/>
                <w:sz w:val="26"/>
                <w:szCs w:val="26"/>
              </w:rPr>
            </w:pPr>
          </w:p>
        </w:tc>
        <w:tc>
          <w:tcPr>
            <w:tcW w:w="949" w:type="dxa"/>
            <w:tcBorders>
              <w:top w:val="nil"/>
              <w:left w:val="nil"/>
              <w:bottom w:val="single" w:sz="4" w:space="0" w:color="auto"/>
              <w:right w:val="single" w:sz="4" w:space="0" w:color="auto"/>
            </w:tcBorders>
            <w:shd w:val="clear" w:color="auto" w:fill="auto"/>
            <w:noWrap/>
            <w:vAlign w:val="bottom"/>
            <w:hideMark/>
          </w:tcPr>
          <w:p w:rsidR="00EC6910" w:rsidRPr="00A669EE" w:rsidRDefault="00EC6910" w:rsidP="00852D8D">
            <w:pPr>
              <w:keepNext/>
              <w:spacing w:after="0" w:line="240" w:lineRule="auto"/>
              <w:rPr>
                <w:rFonts w:ascii="Times New Roman" w:eastAsia="Times New Roman" w:hAnsi="Times New Roman" w:cs="Times New Roman"/>
                <w:color w:val="000000"/>
                <w:sz w:val="26"/>
                <w:szCs w:val="26"/>
              </w:rPr>
            </w:pPr>
            <w:r w:rsidRPr="00A669EE">
              <w:rPr>
                <w:rFonts w:ascii="Times New Roman" w:eastAsia="Times New Roman" w:hAnsi="Times New Roman" w:cs="Times New Roman"/>
                <w:color w:val="000000"/>
                <w:sz w:val="26"/>
                <w:szCs w:val="26"/>
              </w:rPr>
              <w:t>24,812</w:t>
            </w:r>
          </w:p>
        </w:tc>
        <w:tc>
          <w:tcPr>
            <w:tcW w:w="3367" w:type="dxa"/>
            <w:tcBorders>
              <w:top w:val="nil"/>
              <w:left w:val="nil"/>
              <w:bottom w:val="single" w:sz="4" w:space="0" w:color="auto"/>
              <w:right w:val="single" w:sz="4" w:space="0" w:color="auto"/>
            </w:tcBorders>
            <w:shd w:val="clear" w:color="auto" w:fill="auto"/>
            <w:noWrap/>
            <w:vAlign w:val="bottom"/>
            <w:hideMark/>
          </w:tcPr>
          <w:p w:rsidR="00EC6910" w:rsidRPr="00A669EE" w:rsidRDefault="00EC6910" w:rsidP="00852D8D">
            <w:pPr>
              <w:keepNext/>
              <w:spacing w:after="0" w:line="240" w:lineRule="auto"/>
              <w:rPr>
                <w:rFonts w:ascii="Times New Roman" w:eastAsia="Times New Roman" w:hAnsi="Times New Roman" w:cs="Times New Roman"/>
                <w:color w:val="000000"/>
                <w:sz w:val="26"/>
                <w:szCs w:val="26"/>
              </w:rPr>
            </w:pPr>
          </w:p>
        </w:tc>
        <w:tc>
          <w:tcPr>
            <w:tcW w:w="1728" w:type="dxa"/>
            <w:tcBorders>
              <w:top w:val="nil"/>
              <w:left w:val="nil"/>
              <w:bottom w:val="single" w:sz="4" w:space="0" w:color="auto"/>
              <w:right w:val="single" w:sz="4" w:space="0" w:color="auto"/>
            </w:tcBorders>
            <w:shd w:val="clear" w:color="auto" w:fill="auto"/>
            <w:noWrap/>
            <w:vAlign w:val="bottom"/>
            <w:hideMark/>
          </w:tcPr>
          <w:p w:rsidR="00EC6910" w:rsidRPr="00A669EE" w:rsidRDefault="00EC6910" w:rsidP="00852D8D">
            <w:pPr>
              <w:keepNext/>
              <w:spacing w:after="0" w:line="240" w:lineRule="auto"/>
              <w:rPr>
                <w:rFonts w:ascii="Times New Roman" w:eastAsia="Times New Roman" w:hAnsi="Times New Roman" w:cs="Times New Roman"/>
                <w:color w:val="000000"/>
                <w:sz w:val="26"/>
                <w:szCs w:val="26"/>
              </w:rPr>
            </w:pPr>
            <w:r w:rsidRPr="00A669EE">
              <w:rPr>
                <w:rFonts w:ascii="Times New Roman" w:eastAsia="Times New Roman" w:hAnsi="Times New Roman" w:cs="Times New Roman"/>
                <w:color w:val="000000"/>
                <w:sz w:val="26"/>
                <w:szCs w:val="26"/>
              </w:rPr>
              <w:t>105,356</w:t>
            </w:r>
          </w:p>
        </w:tc>
      </w:tr>
      <w:tr w:rsidR="00EC6910" w:rsidRPr="00A669EE" w:rsidTr="009565B2">
        <w:trPr>
          <w:trHeight w:val="288"/>
          <w:jc w:val="center"/>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EC6910" w:rsidRPr="00A669EE" w:rsidRDefault="00EC6910" w:rsidP="00852D8D">
            <w:pPr>
              <w:keepNext/>
              <w:spacing w:after="0" w:line="240" w:lineRule="auto"/>
              <w:jc w:val="right"/>
              <w:rPr>
                <w:rFonts w:ascii="Times New Roman" w:eastAsia="Times New Roman" w:hAnsi="Times New Roman" w:cs="Times New Roman"/>
                <w:color w:val="000000"/>
                <w:sz w:val="26"/>
                <w:szCs w:val="26"/>
              </w:rPr>
            </w:pPr>
            <w:r w:rsidRPr="00A669EE">
              <w:rPr>
                <w:rFonts w:ascii="Times New Roman" w:eastAsia="Times New Roman" w:hAnsi="Times New Roman" w:cs="Times New Roman"/>
                <w:color w:val="000000"/>
                <w:sz w:val="26"/>
                <w:szCs w:val="26"/>
              </w:rPr>
              <w:t>14</w:t>
            </w:r>
          </w:p>
        </w:tc>
        <w:tc>
          <w:tcPr>
            <w:tcW w:w="3716" w:type="dxa"/>
            <w:tcBorders>
              <w:top w:val="nil"/>
              <w:left w:val="nil"/>
              <w:bottom w:val="single" w:sz="4" w:space="0" w:color="auto"/>
              <w:right w:val="single" w:sz="4" w:space="0" w:color="auto"/>
            </w:tcBorders>
            <w:shd w:val="clear" w:color="auto" w:fill="auto"/>
            <w:noWrap/>
            <w:vAlign w:val="bottom"/>
            <w:hideMark/>
          </w:tcPr>
          <w:p w:rsidR="00EC6910" w:rsidRPr="00A669EE" w:rsidRDefault="00EC6910" w:rsidP="00852D8D">
            <w:pPr>
              <w:keepNext/>
              <w:spacing w:after="0" w:line="240" w:lineRule="auto"/>
              <w:rPr>
                <w:rFonts w:ascii="Times New Roman" w:eastAsia="Times New Roman" w:hAnsi="Times New Roman" w:cs="Times New Roman"/>
                <w:color w:val="000000"/>
                <w:sz w:val="26"/>
                <w:szCs w:val="26"/>
              </w:rPr>
            </w:pPr>
            <w:r w:rsidRPr="00A669EE">
              <w:rPr>
                <w:rFonts w:ascii="Times New Roman" w:eastAsia="Times New Roman" w:hAnsi="Times New Roman" w:cs="Times New Roman"/>
                <w:color w:val="000000"/>
                <w:sz w:val="26"/>
                <w:szCs w:val="26"/>
              </w:rPr>
              <w:t>Rental premises…</w:t>
            </w:r>
          </w:p>
        </w:tc>
        <w:tc>
          <w:tcPr>
            <w:tcW w:w="949" w:type="dxa"/>
            <w:tcBorders>
              <w:top w:val="nil"/>
              <w:left w:val="nil"/>
              <w:bottom w:val="single" w:sz="4" w:space="0" w:color="auto"/>
              <w:right w:val="single" w:sz="4" w:space="0" w:color="auto"/>
            </w:tcBorders>
            <w:shd w:val="clear" w:color="auto" w:fill="auto"/>
            <w:noWrap/>
            <w:vAlign w:val="bottom"/>
            <w:hideMark/>
          </w:tcPr>
          <w:p w:rsidR="00EC6910" w:rsidRPr="00A669EE" w:rsidRDefault="00EC6910" w:rsidP="00852D8D">
            <w:pPr>
              <w:keepNext/>
              <w:spacing w:after="0" w:line="240" w:lineRule="auto"/>
              <w:jc w:val="right"/>
              <w:rPr>
                <w:rFonts w:ascii="Times New Roman" w:eastAsia="Times New Roman" w:hAnsi="Times New Roman" w:cs="Times New Roman"/>
                <w:color w:val="000000"/>
                <w:sz w:val="26"/>
                <w:szCs w:val="26"/>
              </w:rPr>
            </w:pPr>
            <w:r w:rsidRPr="00A669EE">
              <w:rPr>
                <w:rFonts w:ascii="Times New Roman" w:eastAsia="Times New Roman" w:hAnsi="Times New Roman" w:cs="Times New Roman"/>
                <w:color w:val="000000"/>
                <w:sz w:val="26"/>
                <w:szCs w:val="26"/>
              </w:rPr>
              <w:t>-3,093</w:t>
            </w:r>
          </w:p>
        </w:tc>
        <w:tc>
          <w:tcPr>
            <w:tcW w:w="3367" w:type="dxa"/>
            <w:tcBorders>
              <w:top w:val="nil"/>
              <w:left w:val="nil"/>
              <w:bottom w:val="single" w:sz="4" w:space="0" w:color="auto"/>
              <w:right w:val="single" w:sz="4" w:space="0" w:color="auto"/>
            </w:tcBorders>
            <w:shd w:val="clear" w:color="auto" w:fill="auto"/>
            <w:noWrap/>
            <w:vAlign w:val="bottom"/>
            <w:hideMark/>
          </w:tcPr>
          <w:p w:rsidR="00EC6910" w:rsidRPr="00A669EE" w:rsidRDefault="00EC6910" w:rsidP="00852D8D">
            <w:pPr>
              <w:keepNext/>
              <w:spacing w:after="0" w:line="240" w:lineRule="auto"/>
              <w:rPr>
                <w:rFonts w:ascii="Times New Roman" w:eastAsia="Times New Roman" w:hAnsi="Times New Roman" w:cs="Times New Roman"/>
                <w:color w:val="000000"/>
                <w:sz w:val="26"/>
                <w:szCs w:val="26"/>
              </w:rPr>
            </w:pPr>
          </w:p>
        </w:tc>
        <w:tc>
          <w:tcPr>
            <w:tcW w:w="1728" w:type="dxa"/>
            <w:tcBorders>
              <w:top w:val="nil"/>
              <w:left w:val="nil"/>
              <w:bottom w:val="single" w:sz="4" w:space="0" w:color="auto"/>
              <w:right w:val="single" w:sz="4" w:space="0" w:color="auto"/>
            </w:tcBorders>
            <w:shd w:val="clear" w:color="auto" w:fill="auto"/>
            <w:noWrap/>
            <w:vAlign w:val="bottom"/>
            <w:hideMark/>
          </w:tcPr>
          <w:p w:rsidR="00EC6910" w:rsidRPr="00A669EE" w:rsidRDefault="00EC6910" w:rsidP="00852D8D">
            <w:pPr>
              <w:keepNext/>
              <w:spacing w:after="0" w:line="240" w:lineRule="auto"/>
              <w:jc w:val="right"/>
              <w:rPr>
                <w:rFonts w:ascii="Times New Roman" w:eastAsia="Times New Roman" w:hAnsi="Times New Roman" w:cs="Times New Roman"/>
                <w:color w:val="000000"/>
                <w:sz w:val="26"/>
                <w:szCs w:val="26"/>
              </w:rPr>
            </w:pPr>
            <w:r w:rsidRPr="00A669EE">
              <w:rPr>
                <w:rFonts w:ascii="Times New Roman" w:eastAsia="Times New Roman" w:hAnsi="Times New Roman" w:cs="Times New Roman"/>
                <w:color w:val="000000"/>
                <w:sz w:val="26"/>
                <w:szCs w:val="26"/>
              </w:rPr>
              <w:t>-3,093</w:t>
            </w:r>
          </w:p>
        </w:tc>
      </w:tr>
      <w:tr w:rsidR="00EC6910" w:rsidRPr="00A669EE" w:rsidTr="009565B2">
        <w:trPr>
          <w:trHeight w:val="288"/>
          <w:jc w:val="center"/>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EC6910" w:rsidRPr="00A669EE" w:rsidRDefault="00EC6910" w:rsidP="00852D8D">
            <w:pPr>
              <w:keepNext/>
              <w:spacing w:after="0" w:line="240" w:lineRule="auto"/>
              <w:jc w:val="right"/>
              <w:rPr>
                <w:rFonts w:ascii="Times New Roman" w:eastAsia="Times New Roman" w:hAnsi="Times New Roman" w:cs="Times New Roman"/>
                <w:color w:val="000000"/>
                <w:sz w:val="26"/>
                <w:szCs w:val="26"/>
              </w:rPr>
            </w:pPr>
            <w:r w:rsidRPr="00A669EE">
              <w:rPr>
                <w:rFonts w:ascii="Times New Roman" w:eastAsia="Times New Roman" w:hAnsi="Times New Roman" w:cs="Times New Roman"/>
                <w:color w:val="000000"/>
                <w:sz w:val="26"/>
                <w:szCs w:val="26"/>
              </w:rPr>
              <w:t>15</w:t>
            </w:r>
          </w:p>
        </w:tc>
        <w:tc>
          <w:tcPr>
            <w:tcW w:w="3716" w:type="dxa"/>
            <w:tcBorders>
              <w:top w:val="nil"/>
              <w:left w:val="nil"/>
              <w:bottom w:val="single" w:sz="4" w:space="0" w:color="auto"/>
              <w:right w:val="single" w:sz="4" w:space="0" w:color="auto"/>
            </w:tcBorders>
            <w:shd w:val="clear" w:color="auto" w:fill="auto"/>
            <w:noWrap/>
            <w:vAlign w:val="bottom"/>
            <w:hideMark/>
          </w:tcPr>
          <w:p w:rsidR="00EC6910" w:rsidRPr="00A669EE" w:rsidRDefault="00EC6910" w:rsidP="00852D8D">
            <w:pPr>
              <w:keepNext/>
              <w:spacing w:after="0" w:line="240" w:lineRule="auto"/>
              <w:rPr>
                <w:rFonts w:ascii="Times New Roman" w:eastAsia="Times New Roman" w:hAnsi="Times New Roman" w:cs="Times New Roman"/>
                <w:color w:val="000000"/>
                <w:sz w:val="26"/>
                <w:szCs w:val="26"/>
              </w:rPr>
            </w:pPr>
            <w:r w:rsidRPr="00A669EE">
              <w:rPr>
                <w:rFonts w:ascii="Times New Roman" w:eastAsia="Times New Roman" w:hAnsi="Times New Roman" w:cs="Times New Roman"/>
                <w:color w:val="000000"/>
                <w:sz w:val="26"/>
                <w:szCs w:val="26"/>
              </w:rPr>
              <w:t>Wx under another program…</w:t>
            </w:r>
          </w:p>
        </w:tc>
        <w:tc>
          <w:tcPr>
            <w:tcW w:w="949" w:type="dxa"/>
            <w:tcBorders>
              <w:top w:val="nil"/>
              <w:left w:val="nil"/>
              <w:bottom w:val="single" w:sz="4" w:space="0" w:color="auto"/>
              <w:right w:val="single" w:sz="4" w:space="0" w:color="auto"/>
            </w:tcBorders>
            <w:shd w:val="clear" w:color="auto" w:fill="auto"/>
            <w:noWrap/>
            <w:vAlign w:val="bottom"/>
            <w:hideMark/>
          </w:tcPr>
          <w:p w:rsidR="00EC6910" w:rsidRPr="00A669EE" w:rsidRDefault="00EC6910" w:rsidP="00852D8D">
            <w:pPr>
              <w:keepNext/>
              <w:spacing w:after="0" w:line="240" w:lineRule="auto"/>
              <w:jc w:val="right"/>
              <w:rPr>
                <w:rFonts w:ascii="Times New Roman" w:eastAsia="Times New Roman" w:hAnsi="Times New Roman" w:cs="Times New Roman"/>
                <w:color w:val="000000"/>
                <w:sz w:val="26"/>
                <w:szCs w:val="26"/>
              </w:rPr>
            </w:pPr>
            <w:r w:rsidRPr="00A669EE">
              <w:rPr>
                <w:rFonts w:ascii="Times New Roman" w:eastAsia="Times New Roman" w:hAnsi="Times New Roman" w:cs="Times New Roman"/>
                <w:color w:val="000000"/>
                <w:sz w:val="26"/>
                <w:szCs w:val="26"/>
              </w:rPr>
              <w:t>-370</w:t>
            </w:r>
          </w:p>
        </w:tc>
        <w:tc>
          <w:tcPr>
            <w:tcW w:w="3367" w:type="dxa"/>
            <w:tcBorders>
              <w:top w:val="nil"/>
              <w:left w:val="nil"/>
              <w:bottom w:val="single" w:sz="4" w:space="0" w:color="auto"/>
              <w:right w:val="single" w:sz="4" w:space="0" w:color="auto"/>
            </w:tcBorders>
            <w:shd w:val="clear" w:color="auto" w:fill="auto"/>
            <w:noWrap/>
            <w:vAlign w:val="bottom"/>
            <w:hideMark/>
          </w:tcPr>
          <w:p w:rsidR="00EC6910" w:rsidRPr="00A669EE" w:rsidRDefault="00EC6910" w:rsidP="00852D8D">
            <w:pPr>
              <w:keepNext/>
              <w:spacing w:after="0" w:line="240" w:lineRule="auto"/>
              <w:rPr>
                <w:rFonts w:ascii="Times New Roman" w:eastAsia="Times New Roman" w:hAnsi="Times New Roman" w:cs="Times New Roman"/>
                <w:color w:val="000000"/>
                <w:sz w:val="26"/>
                <w:szCs w:val="26"/>
              </w:rPr>
            </w:pPr>
          </w:p>
        </w:tc>
        <w:tc>
          <w:tcPr>
            <w:tcW w:w="1728" w:type="dxa"/>
            <w:tcBorders>
              <w:top w:val="nil"/>
              <w:left w:val="nil"/>
              <w:bottom w:val="single" w:sz="4" w:space="0" w:color="auto"/>
              <w:right w:val="single" w:sz="4" w:space="0" w:color="auto"/>
            </w:tcBorders>
            <w:shd w:val="clear" w:color="auto" w:fill="auto"/>
            <w:noWrap/>
            <w:vAlign w:val="bottom"/>
            <w:hideMark/>
          </w:tcPr>
          <w:p w:rsidR="00EC6910" w:rsidRPr="00A669EE" w:rsidRDefault="00EC6910" w:rsidP="00852D8D">
            <w:pPr>
              <w:keepNext/>
              <w:spacing w:after="0" w:line="240" w:lineRule="auto"/>
              <w:jc w:val="right"/>
              <w:rPr>
                <w:rFonts w:ascii="Times New Roman" w:eastAsia="Times New Roman" w:hAnsi="Times New Roman" w:cs="Times New Roman"/>
                <w:color w:val="000000"/>
                <w:sz w:val="26"/>
                <w:szCs w:val="26"/>
              </w:rPr>
            </w:pPr>
            <w:r w:rsidRPr="00A669EE">
              <w:rPr>
                <w:rFonts w:ascii="Times New Roman" w:eastAsia="Times New Roman" w:hAnsi="Times New Roman" w:cs="Times New Roman"/>
                <w:color w:val="000000"/>
                <w:sz w:val="26"/>
                <w:szCs w:val="26"/>
              </w:rPr>
              <w:t>-370</w:t>
            </w:r>
          </w:p>
        </w:tc>
      </w:tr>
      <w:tr w:rsidR="00EC6910" w:rsidRPr="00A669EE" w:rsidTr="009565B2">
        <w:trPr>
          <w:trHeight w:val="288"/>
          <w:jc w:val="center"/>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EC6910" w:rsidRPr="00A669EE" w:rsidRDefault="00EC6910" w:rsidP="00852D8D">
            <w:pPr>
              <w:keepNext/>
              <w:spacing w:after="0" w:line="240" w:lineRule="auto"/>
              <w:jc w:val="right"/>
              <w:rPr>
                <w:rFonts w:ascii="Times New Roman" w:eastAsia="Times New Roman" w:hAnsi="Times New Roman" w:cs="Times New Roman"/>
                <w:color w:val="000000"/>
                <w:sz w:val="26"/>
                <w:szCs w:val="26"/>
              </w:rPr>
            </w:pPr>
            <w:r w:rsidRPr="00A669EE">
              <w:rPr>
                <w:rFonts w:ascii="Times New Roman" w:eastAsia="Times New Roman" w:hAnsi="Times New Roman" w:cs="Times New Roman"/>
                <w:color w:val="000000"/>
                <w:sz w:val="26"/>
                <w:szCs w:val="26"/>
              </w:rPr>
              <w:t>16</w:t>
            </w:r>
          </w:p>
        </w:tc>
        <w:tc>
          <w:tcPr>
            <w:tcW w:w="3716" w:type="dxa"/>
            <w:tcBorders>
              <w:top w:val="nil"/>
              <w:left w:val="nil"/>
              <w:bottom w:val="single" w:sz="4" w:space="0" w:color="auto"/>
              <w:right w:val="single" w:sz="4" w:space="0" w:color="auto"/>
            </w:tcBorders>
            <w:shd w:val="clear" w:color="auto" w:fill="auto"/>
            <w:noWrap/>
            <w:vAlign w:val="bottom"/>
            <w:hideMark/>
          </w:tcPr>
          <w:p w:rsidR="00EC6910" w:rsidRPr="00A669EE" w:rsidRDefault="00EC6910" w:rsidP="00852D8D">
            <w:pPr>
              <w:keepNext/>
              <w:spacing w:after="0" w:line="240" w:lineRule="auto"/>
              <w:rPr>
                <w:rFonts w:ascii="Times New Roman" w:eastAsia="Times New Roman" w:hAnsi="Times New Roman" w:cs="Times New Roman"/>
                <w:b/>
                <w:bCs/>
                <w:color w:val="000000"/>
                <w:sz w:val="26"/>
                <w:szCs w:val="26"/>
              </w:rPr>
            </w:pPr>
            <w:r w:rsidRPr="00A669EE">
              <w:rPr>
                <w:rFonts w:ascii="Times New Roman" w:eastAsia="Times New Roman" w:hAnsi="Times New Roman" w:cs="Times New Roman"/>
                <w:b/>
                <w:bCs/>
                <w:color w:val="000000"/>
                <w:sz w:val="26"/>
                <w:szCs w:val="26"/>
              </w:rPr>
              <w:t>TOTAL Needing LIURP</w:t>
            </w:r>
          </w:p>
        </w:tc>
        <w:tc>
          <w:tcPr>
            <w:tcW w:w="949" w:type="dxa"/>
            <w:tcBorders>
              <w:top w:val="nil"/>
              <w:left w:val="nil"/>
              <w:bottom w:val="single" w:sz="4" w:space="0" w:color="auto"/>
              <w:right w:val="single" w:sz="4" w:space="0" w:color="auto"/>
            </w:tcBorders>
            <w:shd w:val="clear" w:color="auto" w:fill="auto"/>
            <w:noWrap/>
            <w:vAlign w:val="bottom"/>
            <w:hideMark/>
          </w:tcPr>
          <w:p w:rsidR="00EC6910" w:rsidRPr="00A669EE" w:rsidRDefault="00EC6910" w:rsidP="00852D8D">
            <w:pPr>
              <w:keepNext/>
              <w:spacing w:after="0" w:line="240" w:lineRule="auto"/>
              <w:rPr>
                <w:rFonts w:ascii="Times New Roman" w:eastAsia="Times New Roman" w:hAnsi="Times New Roman" w:cs="Times New Roman"/>
                <w:b/>
                <w:bCs/>
                <w:color w:val="000000"/>
                <w:sz w:val="26"/>
                <w:szCs w:val="26"/>
              </w:rPr>
            </w:pPr>
            <w:r w:rsidRPr="00A669EE">
              <w:rPr>
                <w:rFonts w:ascii="Times New Roman" w:eastAsia="Times New Roman" w:hAnsi="Times New Roman" w:cs="Times New Roman"/>
                <w:b/>
                <w:bCs/>
                <w:color w:val="000000"/>
                <w:sz w:val="26"/>
                <w:szCs w:val="26"/>
              </w:rPr>
              <w:t>21,349</w:t>
            </w:r>
          </w:p>
        </w:tc>
        <w:tc>
          <w:tcPr>
            <w:tcW w:w="3367" w:type="dxa"/>
            <w:tcBorders>
              <w:top w:val="nil"/>
              <w:left w:val="nil"/>
              <w:bottom w:val="single" w:sz="4" w:space="0" w:color="auto"/>
              <w:right w:val="single" w:sz="4" w:space="0" w:color="auto"/>
            </w:tcBorders>
            <w:shd w:val="clear" w:color="auto" w:fill="auto"/>
            <w:noWrap/>
            <w:vAlign w:val="bottom"/>
            <w:hideMark/>
          </w:tcPr>
          <w:p w:rsidR="00EC6910" w:rsidRPr="00A669EE" w:rsidRDefault="00EC6910" w:rsidP="00852D8D">
            <w:pPr>
              <w:keepNext/>
              <w:spacing w:after="0" w:line="240" w:lineRule="auto"/>
              <w:rPr>
                <w:rFonts w:ascii="Times New Roman" w:eastAsia="Times New Roman" w:hAnsi="Times New Roman" w:cs="Times New Roman"/>
                <w:b/>
                <w:bCs/>
                <w:color w:val="000000"/>
                <w:sz w:val="26"/>
                <w:szCs w:val="26"/>
              </w:rPr>
            </w:pPr>
          </w:p>
        </w:tc>
        <w:tc>
          <w:tcPr>
            <w:tcW w:w="1728" w:type="dxa"/>
            <w:tcBorders>
              <w:top w:val="nil"/>
              <w:left w:val="nil"/>
              <w:bottom w:val="single" w:sz="4" w:space="0" w:color="auto"/>
              <w:right w:val="single" w:sz="4" w:space="0" w:color="auto"/>
            </w:tcBorders>
            <w:shd w:val="clear" w:color="auto" w:fill="auto"/>
            <w:noWrap/>
            <w:vAlign w:val="bottom"/>
            <w:hideMark/>
          </w:tcPr>
          <w:p w:rsidR="00EC6910" w:rsidRPr="00A669EE" w:rsidRDefault="00EC6910" w:rsidP="00852D8D">
            <w:pPr>
              <w:keepNext/>
              <w:spacing w:after="0" w:line="240" w:lineRule="auto"/>
              <w:rPr>
                <w:rFonts w:ascii="Times New Roman" w:eastAsia="Times New Roman" w:hAnsi="Times New Roman" w:cs="Times New Roman"/>
                <w:b/>
                <w:bCs/>
                <w:color w:val="000000"/>
                <w:sz w:val="26"/>
                <w:szCs w:val="26"/>
              </w:rPr>
            </w:pPr>
            <w:r w:rsidRPr="00A669EE">
              <w:rPr>
                <w:rFonts w:ascii="Times New Roman" w:eastAsia="Times New Roman" w:hAnsi="Times New Roman" w:cs="Times New Roman"/>
                <w:b/>
                <w:bCs/>
                <w:color w:val="000000"/>
                <w:sz w:val="26"/>
                <w:szCs w:val="26"/>
              </w:rPr>
              <w:t>101,893</w:t>
            </w:r>
          </w:p>
        </w:tc>
      </w:tr>
    </w:tbl>
    <w:p w:rsidR="00EC6910" w:rsidRDefault="00EC6910" w:rsidP="00EC6910">
      <w:pPr>
        <w:spacing w:line="360" w:lineRule="auto"/>
        <w:ind w:firstLine="720"/>
        <w:contextualSpacing/>
        <w:rPr>
          <w:rFonts w:ascii="Times New Roman" w:eastAsia="Times New Roman" w:hAnsi="Times New Roman" w:cs="Times New Roman"/>
          <w:sz w:val="26"/>
          <w:szCs w:val="26"/>
        </w:rPr>
      </w:pPr>
      <w:r w:rsidRPr="00A669EE">
        <w:rPr>
          <w:rFonts w:ascii="Times New Roman" w:eastAsia="Times New Roman" w:hAnsi="Times New Roman" w:cs="Times New Roman"/>
          <w:sz w:val="26"/>
          <w:szCs w:val="26"/>
        </w:rPr>
        <w:t>Wx = Weatherization</w:t>
      </w:r>
    </w:p>
    <w:p w:rsidR="00EC6910" w:rsidRPr="00EC6910" w:rsidRDefault="00EC6910" w:rsidP="00EC6910">
      <w:pPr>
        <w:spacing w:line="360" w:lineRule="auto"/>
        <w:ind w:firstLine="720"/>
        <w:contextualSpacing/>
        <w:rPr>
          <w:rFonts w:ascii="Times New Roman" w:eastAsia="Times New Roman" w:hAnsi="Times New Roman" w:cs="Times New Roman"/>
          <w:sz w:val="26"/>
          <w:szCs w:val="26"/>
        </w:rPr>
      </w:pPr>
    </w:p>
    <w:p w:rsidR="00D420E6" w:rsidRDefault="00270332" w:rsidP="00260BA0">
      <w:pPr>
        <w:spacing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In the Tentative Order, w</w:t>
      </w:r>
      <w:r w:rsidR="00EC6910" w:rsidRPr="00EC6910">
        <w:rPr>
          <w:rFonts w:ascii="Times New Roman" w:eastAsia="Times New Roman" w:hAnsi="Times New Roman" w:cs="Times New Roman"/>
          <w:sz w:val="26"/>
          <w:szCs w:val="26"/>
        </w:rPr>
        <w:t>e f</w:t>
      </w:r>
      <w:r>
        <w:rPr>
          <w:rFonts w:ascii="Times New Roman" w:eastAsia="Times New Roman" w:hAnsi="Times New Roman" w:cs="Times New Roman"/>
          <w:sz w:val="26"/>
          <w:szCs w:val="26"/>
        </w:rPr>
        <w:t>ou</w:t>
      </w:r>
      <w:r w:rsidR="00EC6910" w:rsidRPr="00EC6910">
        <w:rPr>
          <w:rFonts w:ascii="Times New Roman" w:eastAsia="Times New Roman" w:hAnsi="Times New Roman" w:cs="Times New Roman"/>
          <w:sz w:val="26"/>
          <w:szCs w:val="26"/>
        </w:rPr>
        <w:t>nd that the needs assessment of PGW’s Amended Proposed 2017-2020 Plan d</w:t>
      </w:r>
      <w:r>
        <w:rPr>
          <w:rFonts w:ascii="Times New Roman" w:eastAsia="Times New Roman" w:hAnsi="Times New Roman" w:cs="Times New Roman"/>
          <w:sz w:val="26"/>
          <w:szCs w:val="26"/>
        </w:rPr>
        <w:t>id</w:t>
      </w:r>
      <w:r w:rsidR="00EC6910" w:rsidRPr="00EC6910">
        <w:rPr>
          <w:rFonts w:ascii="Times New Roman" w:eastAsia="Times New Roman" w:hAnsi="Times New Roman" w:cs="Times New Roman"/>
          <w:sz w:val="26"/>
          <w:szCs w:val="26"/>
        </w:rPr>
        <w:t xml:space="preserve"> not comply with the requirements of Section 62.4(b)(3).</w:t>
      </w:r>
      <w:r w:rsidR="00260BA0">
        <w:rPr>
          <w:rFonts w:ascii="Times New Roman" w:eastAsia="Times New Roman" w:hAnsi="Times New Roman" w:cs="Times New Roman"/>
          <w:sz w:val="26"/>
          <w:szCs w:val="26"/>
        </w:rPr>
        <w:t xml:space="preserve"> </w:t>
      </w:r>
      <w:r w:rsidR="00700851">
        <w:rPr>
          <w:rFonts w:ascii="Times New Roman" w:eastAsia="Times New Roman" w:hAnsi="Times New Roman" w:cs="Times New Roman"/>
          <w:sz w:val="26"/>
          <w:szCs w:val="26"/>
        </w:rPr>
        <w:t xml:space="preserve"> </w:t>
      </w:r>
      <w:r w:rsidR="00260BA0">
        <w:rPr>
          <w:rFonts w:ascii="Times New Roman" w:eastAsia="Times New Roman" w:hAnsi="Times New Roman" w:cs="Times New Roman"/>
          <w:sz w:val="26"/>
          <w:szCs w:val="26"/>
        </w:rPr>
        <w:t>PGW’s needs assessment excluded numerous categories of customers</w:t>
      </w:r>
      <w:r w:rsidR="007D366B">
        <w:rPr>
          <w:rFonts w:ascii="Times New Roman" w:eastAsia="Times New Roman" w:hAnsi="Times New Roman" w:cs="Times New Roman"/>
          <w:sz w:val="26"/>
          <w:szCs w:val="26"/>
        </w:rPr>
        <w:t xml:space="preserve"> such as those not enrolled in CRP,</w:t>
      </w:r>
      <w:r w:rsidR="00D06F05">
        <w:rPr>
          <w:rFonts w:ascii="Times New Roman" w:eastAsia="Times New Roman" w:hAnsi="Times New Roman" w:cs="Times New Roman"/>
          <w:sz w:val="26"/>
          <w:szCs w:val="26"/>
        </w:rPr>
        <w:t xml:space="preserve"> those who did not meet the upper 50% threshold of usage, those who reside in rental properties</w:t>
      </w:r>
      <w:r w:rsidR="00260BA0">
        <w:rPr>
          <w:rFonts w:ascii="Times New Roman" w:eastAsia="Times New Roman" w:hAnsi="Times New Roman" w:cs="Times New Roman"/>
          <w:sz w:val="26"/>
          <w:szCs w:val="26"/>
        </w:rPr>
        <w:t xml:space="preserve">, </w:t>
      </w:r>
      <w:r w:rsidR="00D06F05">
        <w:rPr>
          <w:rFonts w:ascii="Times New Roman" w:eastAsia="Times New Roman" w:hAnsi="Times New Roman" w:cs="Times New Roman"/>
          <w:sz w:val="26"/>
          <w:szCs w:val="26"/>
        </w:rPr>
        <w:t xml:space="preserve">and other categories where it appears PGW did not consider that a customer’s circumstances may change over time. </w:t>
      </w:r>
      <w:r w:rsidR="00D420E6">
        <w:rPr>
          <w:rFonts w:ascii="Times New Roman" w:eastAsia="Times New Roman" w:hAnsi="Times New Roman" w:cs="Times New Roman"/>
          <w:sz w:val="26"/>
          <w:szCs w:val="26"/>
        </w:rPr>
        <w:t xml:space="preserve"> </w:t>
      </w:r>
      <w:r w:rsidR="0020410F">
        <w:rPr>
          <w:rFonts w:ascii="Times New Roman" w:eastAsia="Times New Roman" w:hAnsi="Times New Roman" w:cs="Times New Roman"/>
          <w:sz w:val="26"/>
          <w:szCs w:val="26"/>
        </w:rPr>
        <w:t xml:space="preserve">PGW’s </w:t>
      </w:r>
      <w:r w:rsidR="00D420E6">
        <w:rPr>
          <w:rFonts w:ascii="Times New Roman" w:eastAsia="Times New Roman" w:hAnsi="Times New Roman" w:cs="Times New Roman"/>
          <w:sz w:val="26"/>
          <w:szCs w:val="26"/>
        </w:rPr>
        <w:t xml:space="preserve">proposed </w:t>
      </w:r>
      <w:r w:rsidR="000648AA">
        <w:rPr>
          <w:rFonts w:ascii="Times New Roman" w:eastAsia="Times New Roman" w:hAnsi="Times New Roman" w:cs="Times New Roman"/>
          <w:sz w:val="26"/>
          <w:szCs w:val="26"/>
        </w:rPr>
        <w:t>n</w:t>
      </w:r>
      <w:r w:rsidR="00D06F05">
        <w:rPr>
          <w:rFonts w:ascii="Times New Roman" w:eastAsia="Times New Roman" w:hAnsi="Times New Roman" w:cs="Times New Roman"/>
          <w:sz w:val="26"/>
          <w:szCs w:val="26"/>
        </w:rPr>
        <w:t xml:space="preserve">eeds </w:t>
      </w:r>
      <w:r w:rsidR="000648AA">
        <w:rPr>
          <w:rFonts w:ascii="Times New Roman" w:eastAsia="Times New Roman" w:hAnsi="Times New Roman" w:cs="Times New Roman"/>
          <w:sz w:val="26"/>
          <w:szCs w:val="26"/>
        </w:rPr>
        <w:t>a</w:t>
      </w:r>
      <w:r w:rsidR="00D06F05">
        <w:rPr>
          <w:rFonts w:ascii="Times New Roman" w:eastAsia="Times New Roman" w:hAnsi="Times New Roman" w:cs="Times New Roman"/>
          <w:sz w:val="26"/>
          <w:szCs w:val="26"/>
        </w:rPr>
        <w:t>ssessment showed</w:t>
      </w:r>
      <w:r w:rsidR="00260BA0">
        <w:rPr>
          <w:rFonts w:ascii="Times New Roman" w:eastAsia="Times New Roman" w:hAnsi="Times New Roman" w:cs="Times New Roman"/>
          <w:sz w:val="26"/>
          <w:szCs w:val="26"/>
        </w:rPr>
        <w:t xml:space="preserve"> only 21,349 low-income customers eligible for the CRP Home Comfort program.</w:t>
      </w:r>
      <w:r>
        <w:rPr>
          <w:rFonts w:ascii="Times New Roman" w:eastAsia="Times New Roman" w:hAnsi="Times New Roman" w:cs="Times New Roman"/>
          <w:sz w:val="26"/>
          <w:szCs w:val="26"/>
        </w:rPr>
        <w:t xml:space="preserve"> </w:t>
      </w:r>
      <w:r w:rsidR="00260BA0">
        <w:rPr>
          <w:rFonts w:ascii="Times New Roman" w:eastAsia="Times New Roman" w:hAnsi="Times New Roman" w:cs="Times New Roman"/>
          <w:sz w:val="26"/>
          <w:szCs w:val="26"/>
        </w:rPr>
        <w:t xml:space="preserve"> </w:t>
      </w:r>
    </w:p>
    <w:p w:rsidR="00D420E6" w:rsidRDefault="00D420E6" w:rsidP="00260BA0">
      <w:pPr>
        <w:spacing w:line="360" w:lineRule="auto"/>
        <w:ind w:firstLine="720"/>
        <w:contextualSpacing/>
        <w:rPr>
          <w:rFonts w:ascii="Times New Roman" w:eastAsia="Times New Roman" w:hAnsi="Times New Roman" w:cs="Times New Roman"/>
          <w:sz w:val="26"/>
          <w:szCs w:val="26"/>
        </w:rPr>
      </w:pPr>
    </w:p>
    <w:p w:rsidR="00AA201B" w:rsidRDefault="00270332" w:rsidP="00260BA0">
      <w:pPr>
        <w:spacing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B</w:t>
      </w:r>
      <w:r w:rsidRPr="00EC6910">
        <w:rPr>
          <w:rFonts w:ascii="Times New Roman" w:eastAsia="Times New Roman" w:hAnsi="Times New Roman" w:cs="Times New Roman"/>
          <w:sz w:val="26"/>
          <w:szCs w:val="26"/>
        </w:rPr>
        <w:t xml:space="preserve">y our calculations, </w:t>
      </w:r>
      <w:r w:rsidR="00260BA0">
        <w:rPr>
          <w:rFonts w:ascii="Times New Roman" w:eastAsia="Times New Roman" w:hAnsi="Times New Roman" w:cs="Times New Roman"/>
          <w:sz w:val="26"/>
          <w:szCs w:val="26"/>
        </w:rPr>
        <w:t xml:space="preserve">we </w:t>
      </w:r>
      <w:r w:rsidRPr="00EC6910">
        <w:rPr>
          <w:rFonts w:ascii="Times New Roman" w:eastAsia="Times New Roman" w:hAnsi="Times New Roman" w:cs="Times New Roman"/>
          <w:sz w:val="26"/>
          <w:szCs w:val="26"/>
        </w:rPr>
        <w:t xml:space="preserve">estimated </w:t>
      </w:r>
      <w:r w:rsidR="00D420E6">
        <w:rPr>
          <w:rFonts w:ascii="Times New Roman" w:eastAsia="Times New Roman" w:hAnsi="Times New Roman" w:cs="Times New Roman"/>
          <w:sz w:val="26"/>
          <w:szCs w:val="26"/>
        </w:rPr>
        <w:t xml:space="preserve">a </w:t>
      </w:r>
      <w:r w:rsidRPr="00EC6910">
        <w:rPr>
          <w:rFonts w:ascii="Times New Roman" w:eastAsia="Times New Roman" w:hAnsi="Times New Roman" w:cs="Times New Roman"/>
          <w:sz w:val="26"/>
          <w:szCs w:val="26"/>
        </w:rPr>
        <w:t>total of 101,893 potential CRP Home Comfort eligible low-income customers for the USECP period 2017-2020</w:t>
      </w:r>
      <w:r w:rsidR="00FA55C8">
        <w:rPr>
          <w:rFonts w:ascii="Times New Roman" w:eastAsia="Times New Roman" w:hAnsi="Times New Roman" w:cs="Times New Roman"/>
          <w:sz w:val="26"/>
          <w:szCs w:val="26"/>
        </w:rPr>
        <w:t xml:space="preserve"> in the Tentative Order</w:t>
      </w:r>
      <w:r w:rsidRPr="00EC6910">
        <w:rPr>
          <w:rFonts w:ascii="Times New Roman" w:eastAsia="Times New Roman" w:hAnsi="Times New Roman" w:cs="Times New Roman"/>
          <w:sz w:val="26"/>
          <w:szCs w:val="26"/>
        </w:rPr>
        <w:t>.</w:t>
      </w:r>
      <w:r w:rsidR="00260BA0">
        <w:rPr>
          <w:rFonts w:ascii="Times New Roman" w:eastAsia="Times New Roman" w:hAnsi="Times New Roman" w:cs="Times New Roman"/>
          <w:sz w:val="26"/>
          <w:szCs w:val="26"/>
        </w:rPr>
        <w:t xml:space="preserve">  We suggested that </w:t>
      </w:r>
      <w:r w:rsidR="00EC6910" w:rsidRPr="00EC6910">
        <w:rPr>
          <w:rFonts w:ascii="Times New Roman" w:eastAsia="Times New Roman" w:hAnsi="Times New Roman" w:cs="Times New Roman"/>
          <w:sz w:val="26"/>
          <w:szCs w:val="26"/>
        </w:rPr>
        <w:t xml:space="preserve">PGW should recalculate the needs assessment, taking into account our </w:t>
      </w:r>
      <w:r w:rsidR="00EC6910" w:rsidRPr="00EC6910">
        <w:rPr>
          <w:rFonts w:ascii="Times New Roman" w:eastAsia="Times New Roman" w:hAnsi="Times New Roman" w:cs="Times New Roman"/>
          <w:sz w:val="26"/>
          <w:szCs w:val="26"/>
        </w:rPr>
        <w:lastRenderedPageBreak/>
        <w:t>concerns</w:t>
      </w:r>
      <w:r w:rsidR="004A4BA0">
        <w:rPr>
          <w:rFonts w:ascii="Times New Roman" w:eastAsia="Times New Roman" w:hAnsi="Times New Roman" w:cs="Times New Roman"/>
          <w:sz w:val="26"/>
          <w:szCs w:val="26"/>
        </w:rPr>
        <w:t>,</w:t>
      </w:r>
      <w:r w:rsidR="00EC6910" w:rsidRPr="00EC6910">
        <w:rPr>
          <w:rFonts w:ascii="Times New Roman" w:eastAsia="Times New Roman" w:hAnsi="Times New Roman" w:cs="Times New Roman"/>
          <w:sz w:val="26"/>
          <w:szCs w:val="26"/>
        </w:rPr>
        <w:t xml:space="preserve"> and includ</w:t>
      </w:r>
      <w:r w:rsidR="004A4BA0">
        <w:rPr>
          <w:rFonts w:ascii="Times New Roman" w:eastAsia="Times New Roman" w:hAnsi="Times New Roman" w:cs="Times New Roman"/>
          <w:sz w:val="26"/>
          <w:szCs w:val="26"/>
        </w:rPr>
        <w:t>e</w:t>
      </w:r>
      <w:r w:rsidR="00EC6910" w:rsidRPr="00EC6910">
        <w:rPr>
          <w:rFonts w:ascii="Times New Roman" w:eastAsia="Times New Roman" w:hAnsi="Times New Roman" w:cs="Times New Roman"/>
          <w:sz w:val="26"/>
          <w:szCs w:val="26"/>
        </w:rPr>
        <w:t xml:space="preserve"> those non-CRP </w:t>
      </w:r>
      <w:r w:rsidR="00D420E6">
        <w:rPr>
          <w:rFonts w:ascii="Times New Roman" w:eastAsia="Times New Roman" w:hAnsi="Times New Roman" w:cs="Times New Roman"/>
          <w:sz w:val="26"/>
          <w:szCs w:val="26"/>
        </w:rPr>
        <w:t xml:space="preserve">low-income </w:t>
      </w:r>
      <w:r w:rsidR="00EC6910" w:rsidRPr="00EC6910">
        <w:rPr>
          <w:rFonts w:ascii="Times New Roman" w:eastAsia="Times New Roman" w:hAnsi="Times New Roman" w:cs="Times New Roman"/>
          <w:sz w:val="26"/>
          <w:szCs w:val="26"/>
        </w:rPr>
        <w:t>customers who were previously excluded.  We reserve</w:t>
      </w:r>
      <w:r w:rsidR="00260BA0">
        <w:rPr>
          <w:rFonts w:ascii="Times New Roman" w:eastAsia="Times New Roman" w:hAnsi="Times New Roman" w:cs="Times New Roman"/>
          <w:sz w:val="26"/>
          <w:szCs w:val="26"/>
        </w:rPr>
        <w:t>d</w:t>
      </w:r>
      <w:r w:rsidR="00EC6910" w:rsidRPr="00EC6910">
        <w:rPr>
          <w:rFonts w:ascii="Times New Roman" w:eastAsia="Times New Roman" w:hAnsi="Times New Roman" w:cs="Times New Roman"/>
          <w:sz w:val="26"/>
          <w:szCs w:val="26"/>
        </w:rPr>
        <w:t xml:space="preserve"> any determination of the appropriateness of the CRP Home Comfort budgets for </w:t>
      </w:r>
      <w:r w:rsidR="00EC6910" w:rsidRPr="0037392C">
        <w:rPr>
          <w:rFonts w:ascii="Times New Roman" w:eastAsia="Times New Roman" w:hAnsi="Times New Roman" w:cs="Times New Roman"/>
          <w:sz w:val="26"/>
          <w:szCs w:val="26"/>
        </w:rPr>
        <w:t>years 2018-2020 until</w:t>
      </w:r>
      <w:r w:rsidR="00EC6910" w:rsidRPr="00EC6910">
        <w:rPr>
          <w:rFonts w:ascii="Times New Roman" w:eastAsia="Times New Roman" w:hAnsi="Times New Roman" w:cs="Times New Roman"/>
          <w:sz w:val="26"/>
          <w:szCs w:val="26"/>
        </w:rPr>
        <w:t xml:space="preserve"> we c</w:t>
      </w:r>
      <w:r w:rsidR="00D06F05">
        <w:rPr>
          <w:rFonts w:ascii="Times New Roman" w:eastAsia="Times New Roman" w:hAnsi="Times New Roman" w:cs="Times New Roman"/>
          <w:sz w:val="26"/>
          <w:szCs w:val="26"/>
        </w:rPr>
        <w:t>ould</w:t>
      </w:r>
      <w:r w:rsidR="00EC6910" w:rsidRPr="00EC6910">
        <w:rPr>
          <w:rFonts w:ascii="Times New Roman" w:eastAsia="Times New Roman" w:hAnsi="Times New Roman" w:cs="Times New Roman"/>
          <w:sz w:val="26"/>
          <w:szCs w:val="26"/>
        </w:rPr>
        <w:t xml:space="preserve"> review </w:t>
      </w:r>
      <w:r w:rsidR="00260BA0">
        <w:rPr>
          <w:rFonts w:ascii="Times New Roman" w:eastAsia="Times New Roman" w:hAnsi="Times New Roman" w:cs="Times New Roman"/>
          <w:sz w:val="26"/>
          <w:szCs w:val="26"/>
        </w:rPr>
        <w:t>PGW’s</w:t>
      </w:r>
      <w:r w:rsidR="00EC6910" w:rsidRPr="00EC6910">
        <w:rPr>
          <w:rFonts w:ascii="Times New Roman" w:eastAsia="Times New Roman" w:hAnsi="Times New Roman" w:cs="Times New Roman"/>
          <w:sz w:val="26"/>
          <w:szCs w:val="26"/>
        </w:rPr>
        <w:t xml:space="preserve"> revised needs assessment.</w:t>
      </w:r>
    </w:p>
    <w:p w:rsidR="00AA201B" w:rsidRDefault="00AA201B" w:rsidP="00A7198D">
      <w:pPr>
        <w:spacing w:line="360" w:lineRule="auto"/>
        <w:contextualSpacing/>
        <w:rPr>
          <w:rFonts w:ascii="Times New Roman" w:eastAsia="Times New Roman" w:hAnsi="Times New Roman" w:cs="Times New Roman"/>
          <w:sz w:val="26"/>
          <w:szCs w:val="26"/>
        </w:rPr>
      </w:pPr>
    </w:p>
    <w:p w:rsidR="0086464B" w:rsidRDefault="0086464B" w:rsidP="00A7198D">
      <w:pPr>
        <w:spacing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AA201B">
        <w:rPr>
          <w:rFonts w:ascii="Times New Roman" w:eastAsia="Times New Roman" w:hAnsi="Times New Roman" w:cs="Times New Roman"/>
          <w:sz w:val="26"/>
          <w:szCs w:val="26"/>
        </w:rPr>
        <w:t xml:space="preserve">In response to the Tentative Order, PGW revised </w:t>
      </w:r>
      <w:r w:rsidR="00CA796B">
        <w:rPr>
          <w:rFonts w:ascii="Times New Roman" w:eastAsia="Times New Roman" w:hAnsi="Times New Roman" w:cs="Times New Roman"/>
          <w:sz w:val="26"/>
          <w:szCs w:val="26"/>
        </w:rPr>
        <w:t>its</w:t>
      </w:r>
      <w:r w:rsidR="00AA201B">
        <w:rPr>
          <w:rFonts w:ascii="Times New Roman" w:eastAsia="Times New Roman" w:hAnsi="Times New Roman" w:cs="Times New Roman"/>
          <w:sz w:val="26"/>
          <w:szCs w:val="26"/>
        </w:rPr>
        <w:t xml:space="preserve"> needs assessment for the total number of low-income customers eligible for</w:t>
      </w:r>
      <w:r w:rsidR="00D14C97">
        <w:rPr>
          <w:rFonts w:ascii="Times New Roman" w:eastAsia="Times New Roman" w:hAnsi="Times New Roman" w:cs="Times New Roman"/>
          <w:sz w:val="26"/>
          <w:szCs w:val="26"/>
        </w:rPr>
        <w:t xml:space="preserve"> its</w:t>
      </w:r>
      <w:r w:rsidR="00AA201B">
        <w:rPr>
          <w:rFonts w:ascii="Times New Roman" w:eastAsia="Times New Roman" w:hAnsi="Times New Roman" w:cs="Times New Roman"/>
          <w:sz w:val="26"/>
          <w:szCs w:val="26"/>
        </w:rPr>
        <w:t xml:space="preserve"> LIURP. </w:t>
      </w:r>
      <w:r w:rsidR="00D420E6">
        <w:rPr>
          <w:rFonts w:ascii="Times New Roman" w:eastAsia="Times New Roman" w:hAnsi="Times New Roman" w:cs="Times New Roman"/>
          <w:sz w:val="26"/>
          <w:szCs w:val="26"/>
        </w:rPr>
        <w:t xml:space="preserve"> </w:t>
      </w:r>
      <w:r w:rsidR="00AA201B">
        <w:rPr>
          <w:rFonts w:ascii="Times New Roman" w:eastAsia="Times New Roman" w:hAnsi="Times New Roman" w:cs="Times New Roman"/>
          <w:sz w:val="26"/>
          <w:szCs w:val="26"/>
        </w:rPr>
        <w:t>PGW increased the number from 21,349 to 67,367</w:t>
      </w:r>
      <w:r>
        <w:rPr>
          <w:rFonts w:ascii="Times New Roman" w:eastAsia="Times New Roman" w:hAnsi="Times New Roman" w:cs="Times New Roman"/>
          <w:sz w:val="26"/>
          <w:szCs w:val="26"/>
        </w:rPr>
        <w:t>.</w:t>
      </w:r>
      <w:r w:rsidR="007A3B9D">
        <w:rPr>
          <w:rFonts w:ascii="Times New Roman" w:eastAsia="Times New Roman" w:hAnsi="Times New Roman" w:cs="Times New Roman"/>
          <w:sz w:val="26"/>
          <w:szCs w:val="26"/>
        </w:rPr>
        <w:t xml:space="preserve">  PGW Supplemental Information at 31.</w:t>
      </w:r>
    </w:p>
    <w:p w:rsidR="0086464B" w:rsidRDefault="0086464B" w:rsidP="00A7198D">
      <w:pPr>
        <w:spacing w:line="360" w:lineRule="auto"/>
        <w:contextualSpacing/>
        <w:rPr>
          <w:rFonts w:ascii="Times New Roman" w:eastAsia="Times New Roman" w:hAnsi="Times New Roman" w:cs="Times New Roman"/>
          <w:sz w:val="26"/>
          <w:szCs w:val="26"/>
        </w:rPr>
      </w:pPr>
    </w:p>
    <w:p w:rsidR="00CA796B" w:rsidRDefault="0086464B" w:rsidP="00A7198D">
      <w:pPr>
        <w:spacing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OCA states that the “revised Needs Assessment is still unrealistically low given the known population of low-income customers in PGW’s service territory.” </w:t>
      </w:r>
      <w:r w:rsidR="00E5376B">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OCA Comments at 17.</w:t>
      </w:r>
      <w:r w:rsidR="00E5376B">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OCA points out that PGW limits the pool of confirmed low-income customers by only counting “active CRP customers, non-CRP customers who received a utility grant, and non-CRP customers with a low-income payment agreement.”</w:t>
      </w:r>
      <w:r w:rsidR="00E5376B">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OCA Comments at 17 to the Tentative Order at 30</w:t>
      </w:r>
      <w:r w:rsidR="00CA796B">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00E5376B">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OCA cites </w:t>
      </w:r>
      <w:r w:rsidR="00E5376B">
        <w:rPr>
          <w:rFonts w:ascii="Times New Roman" w:eastAsia="Times New Roman" w:hAnsi="Times New Roman" w:cs="Times New Roman"/>
          <w:sz w:val="26"/>
          <w:szCs w:val="26"/>
        </w:rPr>
        <w:t xml:space="preserve">Section </w:t>
      </w:r>
      <w:r>
        <w:rPr>
          <w:rFonts w:ascii="Times New Roman" w:eastAsia="Times New Roman" w:hAnsi="Times New Roman" w:cs="Times New Roman"/>
          <w:sz w:val="26"/>
          <w:szCs w:val="26"/>
        </w:rPr>
        <w:t>62.2 which defines</w:t>
      </w:r>
      <w:r w:rsidR="00CA796B">
        <w:rPr>
          <w:rFonts w:ascii="Times New Roman" w:eastAsia="Times New Roman" w:hAnsi="Times New Roman" w:cs="Times New Roman"/>
          <w:sz w:val="26"/>
          <w:szCs w:val="26"/>
        </w:rPr>
        <w:t xml:space="preserve"> the</w:t>
      </w:r>
      <w:r>
        <w:rPr>
          <w:rFonts w:ascii="Times New Roman" w:eastAsia="Times New Roman" w:hAnsi="Times New Roman" w:cs="Times New Roman"/>
          <w:sz w:val="26"/>
          <w:szCs w:val="26"/>
        </w:rPr>
        <w:t xml:space="preserve"> “confirmed low-income customers” designation in broader terms and allows for numerous other sources</w:t>
      </w:r>
      <w:r w:rsidR="00206037">
        <w:rPr>
          <w:rFonts w:ascii="Times New Roman" w:eastAsia="Times New Roman" w:hAnsi="Times New Roman" w:cs="Times New Roman"/>
          <w:sz w:val="26"/>
          <w:szCs w:val="26"/>
        </w:rPr>
        <w:t>, such as w</w:t>
      </w:r>
      <w:r w:rsidR="00206037" w:rsidRPr="00206037">
        <w:rPr>
          <w:rFonts w:ascii="Times New Roman" w:eastAsia="Times New Roman" w:hAnsi="Times New Roman" w:cs="Times New Roman"/>
          <w:sz w:val="26"/>
          <w:szCs w:val="26"/>
        </w:rPr>
        <w:t xml:space="preserve">inter shutoff protections, referrals from </w:t>
      </w:r>
      <w:r w:rsidR="00206037">
        <w:rPr>
          <w:rFonts w:ascii="Times New Roman" w:eastAsia="Times New Roman" w:hAnsi="Times New Roman" w:cs="Times New Roman"/>
          <w:sz w:val="26"/>
          <w:szCs w:val="26"/>
        </w:rPr>
        <w:t>CBOs</w:t>
      </w:r>
      <w:r w:rsidR="00206037" w:rsidRPr="00206037">
        <w:rPr>
          <w:rFonts w:ascii="Times New Roman" w:eastAsia="Times New Roman" w:hAnsi="Times New Roman" w:cs="Times New Roman"/>
          <w:sz w:val="26"/>
          <w:szCs w:val="26"/>
        </w:rPr>
        <w:t xml:space="preserve">, </w:t>
      </w:r>
      <w:r w:rsidR="00206037">
        <w:rPr>
          <w:rFonts w:ascii="Times New Roman" w:eastAsia="Times New Roman" w:hAnsi="Times New Roman" w:cs="Times New Roman"/>
          <w:sz w:val="26"/>
          <w:szCs w:val="26"/>
        </w:rPr>
        <w:t xml:space="preserve">and </w:t>
      </w:r>
      <w:r w:rsidR="00206037" w:rsidRPr="00206037">
        <w:rPr>
          <w:rFonts w:ascii="Times New Roman" w:eastAsia="Times New Roman" w:hAnsi="Times New Roman" w:cs="Times New Roman"/>
          <w:sz w:val="26"/>
          <w:szCs w:val="26"/>
        </w:rPr>
        <w:t>deposit protections</w:t>
      </w:r>
      <w:r w:rsidR="00206037">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to be used for determination</w:t>
      </w:r>
      <w:r w:rsidR="00CA796B">
        <w:rPr>
          <w:rFonts w:ascii="Times New Roman" w:eastAsia="Times New Roman" w:hAnsi="Times New Roman" w:cs="Times New Roman"/>
          <w:sz w:val="26"/>
          <w:szCs w:val="26"/>
        </w:rPr>
        <w:t xml:space="preserve"> of low-income status. </w:t>
      </w:r>
      <w:r w:rsidR="00E5376B">
        <w:rPr>
          <w:rFonts w:ascii="Times New Roman" w:eastAsia="Times New Roman" w:hAnsi="Times New Roman" w:cs="Times New Roman"/>
          <w:sz w:val="26"/>
          <w:szCs w:val="26"/>
        </w:rPr>
        <w:t xml:space="preserve"> </w:t>
      </w:r>
      <w:r w:rsidR="00CA796B">
        <w:rPr>
          <w:rFonts w:ascii="Times New Roman" w:eastAsia="Times New Roman" w:hAnsi="Times New Roman" w:cs="Times New Roman"/>
          <w:sz w:val="26"/>
          <w:szCs w:val="26"/>
        </w:rPr>
        <w:t xml:space="preserve">OCA supports the Commission’s estimate of 101,893 LIURP eligible customers. </w:t>
      </w:r>
      <w:r w:rsidR="00E5376B">
        <w:rPr>
          <w:rFonts w:ascii="Times New Roman" w:eastAsia="Times New Roman" w:hAnsi="Times New Roman" w:cs="Times New Roman"/>
          <w:sz w:val="26"/>
          <w:szCs w:val="26"/>
        </w:rPr>
        <w:t xml:space="preserve"> </w:t>
      </w:r>
      <w:r w:rsidR="00CA796B">
        <w:rPr>
          <w:rFonts w:ascii="Times New Roman" w:eastAsia="Times New Roman" w:hAnsi="Times New Roman" w:cs="Times New Roman"/>
          <w:sz w:val="26"/>
          <w:szCs w:val="26"/>
        </w:rPr>
        <w:t>OCA Comments at 18.</w:t>
      </w:r>
    </w:p>
    <w:p w:rsidR="00CA796B" w:rsidRDefault="00CA796B" w:rsidP="00A7198D">
      <w:pPr>
        <w:spacing w:line="360" w:lineRule="auto"/>
        <w:contextualSpacing/>
        <w:rPr>
          <w:rFonts w:ascii="Times New Roman" w:eastAsia="Times New Roman" w:hAnsi="Times New Roman" w:cs="Times New Roman"/>
          <w:sz w:val="26"/>
          <w:szCs w:val="26"/>
        </w:rPr>
      </w:pPr>
    </w:p>
    <w:p w:rsidR="00CA796B" w:rsidRDefault="00CA796B" w:rsidP="00A7198D">
      <w:pPr>
        <w:spacing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PGW </w:t>
      </w:r>
      <w:r w:rsidR="00206037">
        <w:rPr>
          <w:rFonts w:ascii="Times New Roman" w:eastAsia="Times New Roman" w:hAnsi="Times New Roman" w:cs="Times New Roman"/>
          <w:sz w:val="26"/>
          <w:szCs w:val="26"/>
        </w:rPr>
        <w:t xml:space="preserve">qualifies </w:t>
      </w:r>
      <w:r>
        <w:rPr>
          <w:rFonts w:ascii="Times New Roman" w:eastAsia="Times New Roman" w:hAnsi="Times New Roman" w:cs="Times New Roman"/>
          <w:sz w:val="26"/>
          <w:szCs w:val="26"/>
        </w:rPr>
        <w:t xml:space="preserve">its figure of 67,367 when it states that the number of LIURP eligible customers “does not present a single exclusionary list of customers that will be used for program implementation purposes and does not represent the total universe of customers who could ever become eligible for LIURP.” </w:t>
      </w:r>
      <w:r w:rsidR="00206037">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PGW Supplemental Information at 28.</w:t>
      </w:r>
    </w:p>
    <w:p w:rsidR="00CA796B" w:rsidRDefault="00CA796B" w:rsidP="00A7198D">
      <w:pPr>
        <w:spacing w:line="360" w:lineRule="auto"/>
        <w:contextualSpacing/>
        <w:rPr>
          <w:rFonts w:ascii="Times New Roman" w:eastAsia="Times New Roman" w:hAnsi="Times New Roman" w:cs="Times New Roman"/>
          <w:sz w:val="26"/>
          <w:szCs w:val="26"/>
        </w:rPr>
      </w:pPr>
    </w:p>
    <w:p w:rsidR="008F47DB" w:rsidRDefault="00CA796B" w:rsidP="00A7198D">
      <w:pPr>
        <w:spacing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8F47DB">
        <w:rPr>
          <w:rFonts w:ascii="Times New Roman" w:eastAsia="Times New Roman" w:hAnsi="Times New Roman" w:cs="Times New Roman"/>
          <w:sz w:val="26"/>
          <w:szCs w:val="26"/>
        </w:rPr>
        <w:t xml:space="preserve">TURN </w:t>
      </w:r>
      <w:r w:rsidR="008F47DB" w:rsidRPr="000648AA">
        <w:rPr>
          <w:rFonts w:ascii="Times New Roman" w:eastAsia="Times New Roman" w:hAnsi="Times New Roman" w:cs="Times New Roman"/>
          <w:i/>
          <w:sz w:val="26"/>
          <w:szCs w:val="26"/>
        </w:rPr>
        <w:t>et al</w:t>
      </w:r>
      <w:r w:rsidR="008F47DB">
        <w:rPr>
          <w:rFonts w:ascii="Times New Roman" w:eastAsia="Times New Roman" w:hAnsi="Times New Roman" w:cs="Times New Roman"/>
          <w:sz w:val="26"/>
          <w:szCs w:val="26"/>
        </w:rPr>
        <w:t xml:space="preserve"> question if the PGW revised LIURP needs assessment figure of 67,367 “fully captures the need for LIURP services in Philadelphia” and suggest that “given the wildly varying numbers that have evolved over the course of the Plan </w:t>
      </w:r>
      <w:r w:rsidR="008F47DB">
        <w:rPr>
          <w:rFonts w:ascii="Times New Roman" w:eastAsia="Times New Roman" w:hAnsi="Times New Roman" w:cs="Times New Roman"/>
          <w:sz w:val="26"/>
          <w:szCs w:val="26"/>
        </w:rPr>
        <w:lastRenderedPageBreak/>
        <w:t xml:space="preserve">proceeding…that the Commission direct this issue to OALJ.” </w:t>
      </w:r>
      <w:r w:rsidR="00206037">
        <w:rPr>
          <w:rFonts w:ascii="Times New Roman" w:eastAsia="Times New Roman" w:hAnsi="Times New Roman" w:cs="Times New Roman"/>
          <w:sz w:val="26"/>
          <w:szCs w:val="26"/>
        </w:rPr>
        <w:t xml:space="preserve"> </w:t>
      </w:r>
      <w:r w:rsidR="008F47DB">
        <w:rPr>
          <w:rFonts w:ascii="Times New Roman" w:eastAsia="Times New Roman" w:hAnsi="Times New Roman" w:cs="Times New Roman"/>
          <w:sz w:val="26"/>
          <w:szCs w:val="26"/>
        </w:rPr>
        <w:t xml:space="preserve">TURN </w:t>
      </w:r>
      <w:r w:rsidR="008F47DB" w:rsidRPr="000648AA">
        <w:rPr>
          <w:rFonts w:ascii="Times New Roman" w:eastAsia="Times New Roman" w:hAnsi="Times New Roman" w:cs="Times New Roman"/>
          <w:i/>
          <w:sz w:val="26"/>
          <w:szCs w:val="26"/>
        </w:rPr>
        <w:t>et al</w:t>
      </w:r>
      <w:r w:rsidR="008F47DB">
        <w:rPr>
          <w:rFonts w:ascii="Times New Roman" w:eastAsia="Times New Roman" w:hAnsi="Times New Roman" w:cs="Times New Roman"/>
          <w:sz w:val="26"/>
          <w:szCs w:val="26"/>
        </w:rPr>
        <w:t xml:space="preserve"> Comments at 20-21.</w:t>
      </w:r>
      <w:r w:rsidR="00206037">
        <w:rPr>
          <w:rFonts w:ascii="Times New Roman" w:eastAsia="Times New Roman" w:hAnsi="Times New Roman" w:cs="Times New Roman"/>
          <w:sz w:val="26"/>
          <w:szCs w:val="26"/>
        </w:rPr>
        <w:t xml:space="preserve"> </w:t>
      </w:r>
      <w:r w:rsidR="00E40B6F">
        <w:rPr>
          <w:rFonts w:ascii="Times New Roman" w:eastAsia="Times New Roman" w:hAnsi="Times New Roman" w:cs="Times New Roman"/>
          <w:sz w:val="26"/>
          <w:szCs w:val="26"/>
        </w:rPr>
        <w:t xml:space="preserve"> TURN </w:t>
      </w:r>
      <w:r w:rsidR="00E40B6F" w:rsidRPr="000648AA">
        <w:rPr>
          <w:rFonts w:ascii="Times New Roman" w:eastAsia="Times New Roman" w:hAnsi="Times New Roman" w:cs="Times New Roman"/>
          <w:i/>
          <w:sz w:val="26"/>
          <w:szCs w:val="26"/>
        </w:rPr>
        <w:t>et al</w:t>
      </w:r>
      <w:r w:rsidR="00E40B6F">
        <w:rPr>
          <w:rFonts w:ascii="Times New Roman" w:eastAsia="Times New Roman" w:hAnsi="Times New Roman" w:cs="Times New Roman"/>
          <w:sz w:val="26"/>
          <w:szCs w:val="26"/>
        </w:rPr>
        <w:t xml:space="preserve"> further argue that “without an accurate needs assessment it is difficult to determine the most appropriate LIURP budget.” </w:t>
      </w:r>
      <w:r w:rsidR="00206037">
        <w:rPr>
          <w:rFonts w:ascii="Times New Roman" w:eastAsia="Times New Roman" w:hAnsi="Times New Roman" w:cs="Times New Roman"/>
          <w:sz w:val="26"/>
          <w:szCs w:val="26"/>
        </w:rPr>
        <w:t xml:space="preserve"> </w:t>
      </w:r>
      <w:r w:rsidR="00E40B6F">
        <w:rPr>
          <w:rFonts w:ascii="Times New Roman" w:eastAsia="Times New Roman" w:hAnsi="Times New Roman" w:cs="Times New Roman"/>
          <w:sz w:val="26"/>
          <w:szCs w:val="26"/>
        </w:rPr>
        <w:t xml:space="preserve">TURN </w:t>
      </w:r>
      <w:r w:rsidR="00E40B6F" w:rsidRPr="000648AA">
        <w:rPr>
          <w:rFonts w:ascii="Times New Roman" w:eastAsia="Times New Roman" w:hAnsi="Times New Roman" w:cs="Times New Roman"/>
          <w:i/>
          <w:sz w:val="26"/>
          <w:szCs w:val="26"/>
        </w:rPr>
        <w:t>et al</w:t>
      </w:r>
      <w:r w:rsidR="00E40B6F">
        <w:rPr>
          <w:rFonts w:ascii="Times New Roman" w:eastAsia="Times New Roman" w:hAnsi="Times New Roman" w:cs="Times New Roman"/>
          <w:sz w:val="26"/>
          <w:szCs w:val="26"/>
        </w:rPr>
        <w:t xml:space="preserve"> Reply Comments at 4.      </w:t>
      </w:r>
      <w:r w:rsidR="00E40B6F" w:rsidRPr="00EC6910">
        <w:rPr>
          <w:rFonts w:ascii="Times New Roman" w:eastAsia="Times New Roman" w:hAnsi="Times New Roman" w:cs="Times New Roman"/>
          <w:sz w:val="26"/>
          <w:szCs w:val="26"/>
        </w:rPr>
        <w:t xml:space="preserve">  </w:t>
      </w:r>
    </w:p>
    <w:p w:rsidR="008F47DB" w:rsidRDefault="008F47DB" w:rsidP="00A7198D">
      <w:pPr>
        <w:spacing w:line="360" w:lineRule="auto"/>
        <w:contextualSpacing/>
        <w:rPr>
          <w:rFonts w:ascii="Times New Roman" w:eastAsia="Times New Roman" w:hAnsi="Times New Roman" w:cs="Times New Roman"/>
          <w:sz w:val="26"/>
          <w:szCs w:val="26"/>
        </w:rPr>
      </w:pPr>
    </w:p>
    <w:p w:rsidR="00E40B6F" w:rsidRDefault="008F47DB" w:rsidP="00A7198D">
      <w:pPr>
        <w:spacing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t>CAUSE-PA also suggests sending the needs assessment issue to OALJ, stating that “it is unclear what each figure included in the needs assessment calculation represents, how it was calculated, and whether the data used is an accurate representation of the subgroup included or excluded</w:t>
      </w:r>
      <w:r w:rsidR="00E40B6F">
        <w:rPr>
          <w:rFonts w:ascii="Times New Roman" w:eastAsia="Times New Roman" w:hAnsi="Times New Roman" w:cs="Times New Roman"/>
          <w:sz w:val="26"/>
          <w:szCs w:val="26"/>
        </w:rPr>
        <w:t xml:space="preserve"> from the calculated needs assessment.”</w:t>
      </w:r>
      <w:r w:rsidR="00206037">
        <w:rPr>
          <w:rFonts w:ascii="Times New Roman" w:eastAsia="Times New Roman" w:hAnsi="Times New Roman" w:cs="Times New Roman"/>
          <w:sz w:val="26"/>
          <w:szCs w:val="26"/>
        </w:rPr>
        <w:t xml:space="preserve"> </w:t>
      </w:r>
      <w:r w:rsidR="00E40B6F">
        <w:rPr>
          <w:rFonts w:ascii="Times New Roman" w:eastAsia="Times New Roman" w:hAnsi="Times New Roman" w:cs="Times New Roman"/>
          <w:sz w:val="26"/>
          <w:szCs w:val="26"/>
        </w:rPr>
        <w:t xml:space="preserve"> CAUSE-PA Comments at 31.</w:t>
      </w:r>
    </w:p>
    <w:p w:rsidR="00E40B6F" w:rsidRDefault="00E40B6F" w:rsidP="00A7198D">
      <w:pPr>
        <w:spacing w:line="360" w:lineRule="auto"/>
        <w:contextualSpacing/>
        <w:rPr>
          <w:rFonts w:ascii="Times New Roman" w:eastAsia="Times New Roman" w:hAnsi="Times New Roman" w:cs="Times New Roman"/>
          <w:sz w:val="26"/>
          <w:szCs w:val="26"/>
        </w:rPr>
      </w:pPr>
    </w:p>
    <w:p w:rsidR="00133577" w:rsidRDefault="00206037" w:rsidP="00206037">
      <w:pPr>
        <w:spacing w:line="360" w:lineRule="auto"/>
        <w:contextualSpacing/>
        <w:rPr>
          <w:rFonts w:ascii="Times New Roman" w:eastAsia="Times New Roman" w:hAnsi="Times New Roman" w:cs="Times New Roman"/>
          <w:sz w:val="26"/>
          <w:szCs w:val="26"/>
        </w:rPr>
      </w:pPr>
      <w:r w:rsidRPr="00E62126">
        <w:rPr>
          <w:rFonts w:ascii="Times New Roman" w:eastAsia="Times New Roman" w:hAnsi="Times New Roman" w:cs="Times New Roman"/>
          <w:i/>
          <w:sz w:val="26"/>
          <w:szCs w:val="26"/>
        </w:rPr>
        <w:t>Resolution:</w:t>
      </w:r>
      <w:r>
        <w:rPr>
          <w:rFonts w:ascii="Times New Roman" w:eastAsia="Times New Roman" w:hAnsi="Times New Roman" w:cs="Times New Roman"/>
          <w:sz w:val="26"/>
          <w:szCs w:val="26"/>
        </w:rPr>
        <w:t xml:space="preserve"> </w:t>
      </w:r>
      <w:r w:rsidR="00E40B6F">
        <w:rPr>
          <w:rFonts w:ascii="Times New Roman" w:eastAsia="Times New Roman" w:hAnsi="Times New Roman" w:cs="Times New Roman"/>
          <w:sz w:val="26"/>
          <w:szCs w:val="26"/>
        </w:rPr>
        <w:t xml:space="preserve">We agree with OCA, CAUSE-PA and TURN </w:t>
      </w:r>
      <w:r w:rsidR="00E40B6F" w:rsidRPr="00E62126">
        <w:rPr>
          <w:rFonts w:ascii="Times New Roman" w:eastAsia="Times New Roman" w:hAnsi="Times New Roman" w:cs="Times New Roman"/>
          <w:i/>
          <w:sz w:val="26"/>
          <w:szCs w:val="26"/>
        </w:rPr>
        <w:t>et al</w:t>
      </w:r>
      <w:r w:rsidR="00FD1B9F" w:rsidRPr="00E62126">
        <w:rPr>
          <w:rFonts w:ascii="Times New Roman" w:eastAsia="Times New Roman" w:hAnsi="Times New Roman" w:cs="Times New Roman"/>
          <w:i/>
          <w:sz w:val="26"/>
          <w:szCs w:val="26"/>
        </w:rPr>
        <w:t>.</w:t>
      </w:r>
      <w:r w:rsidR="00E40B6F">
        <w:rPr>
          <w:rFonts w:ascii="Times New Roman" w:eastAsia="Times New Roman" w:hAnsi="Times New Roman" w:cs="Times New Roman"/>
          <w:sz w:val="26"/>
          <w:szCs w:val="26"/>
        </w:rPr>
        <w:t xml:space="preserve"> that PGW’s revised needs assessment</w:t>
      </w:r>
      <w:r w:rsidR="00361D40">
        <w:rPr>
          <w:rFonts w:ascii="Times New Roman" w:eastAsia="Times New Roman" w:hAnsi="Times New Roman" w:cs="Times New Roman"/>
          <w:sz w:val="26"/>
          <w:szCs w:val="26"/>
        </w:rPr>
        <w:t xml:space="preserve"> figure of 67,367</w:t>
      </w:r>
      <w:r w:rsidR="00E40B6F">
        <w:rPr>
          <w:rFonts w:ascii="Times New Roman" w:eastAsia="Times New Roman" w:hAnsi="Times New Roman" w:cs="Times New Roman"/>
          <w:sz w:val="26"/>
          <w:szCs w:val="26"/>
        </w:rPr>
        <w:t xml:space="preserve"> </w:t>
      </w:r>
      <w:r w:rsidR="00361D40">
        <w:rPr>
          <w:rFonts w:ascii="Times New Roman" w:eastAsia="Times New Roman" w:hAnsi="Times New Roman" w:cs="Times New Roman"/>
          <w:sz w:val="26"/>
          <w:szCs w:val="26"/>
        </w:rPr>
        <w:t xml:space="preserve">does not </w:t>
      </w:r>
      <w:r w:rsidR="00F256EC">
        <w:rPr>
          <w:rFonts w:ascii="Times New Roman" w:eastAsia="Times New Roman" w:hAnsi="Times New Roman" w:cs="Times New Roman"/>
          <w:sz w:val="26"/>
          <w:szCs w:val="26"/>
        </w:rPr>
        <w:t xml:space="preserve">seem to </w:t>
      </w:r>
      <w:r w:rsidR="00361D40">
        <w:rPr>
          <w:rFonts w:ascii="Times New Roman" w:eastAsia="Times New Roman" w:hAnsi="Times New Roman" w:cs="Times New Roman"/>
          <w:sz w:val="26"/>
          <w:szCs w:val="26"/>
        </w:rPr>
        <w:t>represent the total universe of low-income customers eligible for LIURP services.</w:t>
      </w:r>
      <w:r>
        <w:rPr>
          <w:rFonts w:ascii="Times New Roman" w:eastAsia="Times New Roman" w:hAnsi="Times New Roman" w:cs="Times New Roman"/>
          <w:sz w:val="26"/>
          <w:szCs w:val="26"/>
        </w:rPr>
        <w:t xml:space="preserve"> </w:t>
      </w:r>
      <w:r w:rsidR="00361D40">
        <w:rPr>
          <w:rFonts w:ascii="Times New Roman" w:eastAsia="Times New Roman" w:hAnsi="Times New Roman" w:cs="Times New Roman"/>
          <w:sz w:val="26"/>
          <w:szCs w:val="26"/>
        </w:rPr>
        <w:t xml:space="preserve"> We also note that PGW has applied far more exclusionary categories to the needs assessment in this USECP than any previously submitted needs assessment. </w:t>
      </w:r>
      <w:r>
        <w:rPr>
          <w:rFonts w:ascii="Times New Roman" w:eastAsia="Times New Roman" w:hAnsi="Times New Roman" w:cs="Times New Roman"/>
          <w:sz w:val="26"/>
          <w:szCs w:val="26"/>
        </w:rPr>
        <w:t xml:space="preserve"> </w:t>
      </w:r>
      <w:r w:rsidR="00361D40">
        <w:rPr>
          <w:rFonts w:ascii="Times New Roman" w:eastAsia="Times New Roman" w:hAnsi="Times New Roman" w:cs="Times New Roman"/>
          <w:sz w:val="26"/>
          <w:szCs w:val="26"/>
        </w:rPr>
        <w:t xml:space="preserve">Most recently, </w:t>
      </w:r>
      <w:r w:rsidR="00F256EC">
        <w:rPr>
          <w:rFonts w:ascii="Times New Roman" w:eastAsia="Times New Roman" w:hAnsi="Times New Roman" w:cs="Times New Roman"/>
          <w:sz w:val="26"/>
          <w:szCs w:val="26"/>
        </w:rPr>
        <w:t xml:space="preserve">in </w:t>
      </w:r>
      <w:r w:rsidR="00D06F05">
        <w:rPr>
          <w:rFonts w:ascii="Times New Roman" w:eastAsia="Times New Roman" w:hAnsi="Times New Roman" w:cs="Times New Roman"/>
          <w:sz w:val="26"/>
          <w:szCs w:val="26"/>
        </w:rPr>
        <w:t>PGW’s</w:t>
      </w:r>
      <w:r w:rsidR="00F256EC">
        <w:rPr>
          <w:rFonts w:ascii="Times New Roman" w:eastAsia="Times New Roman" w:hAnsi="Times New Roman" w:cs="Times New Roman"/>
          <w:sz w:val="26"/>
          <w:szCs w:val="26"/>
        </w:rPr>
        <w:t xml:space="preserve"> 2014-2016 USECP</w:t>
      </w:r>
      <w:r w:rsidR="00361320">
        <w:rPr>
          <w:rFonts w:ascii="Times New Roman" w:eastAsia="Times New Roman" w:hAnsi="Times New Roman" w:cs="Times New Roman"/>
          <w:sz w:val="26"/>
          <w:szCs w:val="26"/>
        </w:rPr>
        <w:t xml:space="preserve"> and DSM</w:t>
      </w:r>
      <w:r w:rsidR="00E62126">
        <w:rPr>
          <w:rFonts w:ascii="Times New Roman" w:eastAsia="Times New Roman" w:hAnsi="Times New Roman" w:cs="Times New Roman"/>
          <w:sz w:val="26"/>
          <w:szCs w:val="26"/>
        </w:rPr>
        <w:t xml:space="preserve"> </w:t>
      </w:r>
      <w:r w:rsidR="00361320">
        <w:rPr>
          <w:rFonts w:ascii="Times New Roman" w:eastAsia="Times New Roman" w:hAnsi="Times New Roman" w:cs="Times New Roman"/>
          <w:sz w:val="26"/>
          <w:szCs w:val="26"/>
        </w:rPr>
        <w:t>proceedings</w:t>
      </w:r>
      <w:r w:rsidR="00F256EC">
        <w:rPr>
          <w:rFonts w:ascii="Times New Roman" w:eastAsia="Times New Roman" w:hAnsi="Times New Roman" w:cs="Times New Roman"/>
          <w:sz w:val="26"/>
          <w:szCs w:val="26"/>
        </w:rPr>
        <w:t xml:space="preserve">, </w:t>
      </w:r>
      <w:r w:rsidR="00133577">
        <w:rPr>
          <w:rFonts w:ascii="Times New Roman" w:eastAsia="Times New Roman" w:hAnsi="Times New Roman" w:cs="Times New Roman"/>
          <w:sz w:val="26"/>
          <w:szCs w:val="26"/>
        </w:rPr>
        <w:t>PGW used the</w:t>
      </w:r>
      <w:r w:rsidR="00F256EC">
        <w:rPr>
          <w:rFonts w:ascii="Times New Roman" w:eastAsia="Times New Roman" w:hAnsi="Times New Roman" w:cs="Times New Roman"/>
          <w:sz w:val="26"/>
          <w:szCs w:val="26"/>
        </w:rPr>
        <w:t xml:space="preserve"> </w:t>
      </w:r>
      <w:r w:rsidR="00133577">
        <w:rPr>
          <w:rFonts w:ascii="Times New Roman" w:eastAsia="Times New Roman" w:hAnsi="Times New Roman" w:cs="Times New Roman"/>
          <w:sz w:val="26"/>
          <w:szCs w:val="26"/>
        </w:rPr>
        <w:t>f</w:t>
      </w:r>
      <w:r w:rsidR="00F256EC">
        <w:rPr>
          <w:rFonts w:ascii="Times New Roman" w:eastAsia="Times New Roman" w:hAnsi="Times New Roman" w:cs="Times New Roman"/>
          <w:sz w:val="26"/>
          <w:szCs w:val="26"/>
        </w:rPr>
        <w:t>igure</w:t>
      </w:r>
      <w:r w:rsidR="00D06F05">
        <w:rPr>
          <w:rFonts w:ascii="Times New Roman" w:eastAsia="Times New Roman" w:hAnsi="Times New Roman" w:cs="Times New Roman"/>
          <w:sz w:val="26"/>
          <w:szCs w:val="26"/>
        </w:rPr>
        <w:t xml:space="preserve"> of </w:t>
      </w:r>
      <w:r w:rsidR="00F256EC">
        <w:rPr>
          <w:rFonts w:ascii="Times New Roman" w:eastAsia="Times New Roman" w:hAnsi="Times New Roman" w:cs="Times New Roman"/>
          <w:sz w:val="26"/>
          <w:szCs w:val="26"/>
        </w:rPr>
        <w:t>71,</w:t>
      </w:r>
      <w:r w:rsidR="00D05868">
        <w:rPr>
          <w:rFonts w:ascii="Times New Roman" w:eastAsia="Times New Roman" w:hAnsi="Times New Roman" w:cs="Times New Roman"/>
          <w:sz w:val="26"/>
          <w:szCs w:val="26"/>
        </w:rPr>
        <w:t>625</w:t>
      </w:r>
      <w:r w:rsidR="00133577">
        <w:rPr>
          <w:rFonts w:ascii="Times New Roman" w:eastAsia="Times New Roman" w:hAnsi="Times New Roman" w:cs="Times New Roman"/>
          <w:sz w:val="26"/>
          <w:szCs w:val="26"/>
        </w:rPr>
        <w:t xml:space="preserve"> total eligible low-income customers</w:t>
      </w:r>
      <w:r w:rsidR="00D06F05">
        <w:rPr>
          <w:rFonts w:ascii="Times New Roman" w:eastAsia="Times New Roman" w:hAnsi="Times New Roman" w:cs="Times New Roman"/>
          <w:sz w:val="26"/>
          <w:szCs w:val="26"/>
        </w:rPr>
        <w:t xml:space="preserve">, which </w:t>
      </w:r>
      <w:r w:rsidR="00361320">
        <w:rPr>
          <w:rFonts w:ascii="Times New Roman" w:eastAsia="Times New Roman" w:hAnsi="Times New Roman" w:cs="Times New Roman"/>
          <w:sz w:val="26"/>
          <w:szCs w:val="26"/>
        </w:rPr>
        <w:t>did not include</w:t>
      </w:r>
      <w:r w:rsidR="00D06F05">
        <w:rPr>
          <w:rFonts w:ascii="Times New Roman" w:eastAsia="Times New Roman" w:hAnsi="Times New Roman" w:cs="Times New Roman"/>
          <w:sz w:val="26"/>
          <w:szCs w:val="26"/>
        </w:rPr>
        <w:t xml:space="preserve"> </w:t>
      </w:r>
      <w:r w:rsidR="00C634CF">
        <w:rPr>
          <w:rFonts w:ascii="Times New Roman" w:eastAsia="Times New Roman" w:hAnsi="Times New Roman" w:cs="Times New Roman"/>
          <w:sz w:val="26"/>
          <w:szCs w:val="26"/>
        </w:rPr>
        <w:t xml:space="preserve">the </w:t>
      </w:r>
      <w:r w:rsidR="00D06F05">
        <w:rPr>
          <w:rFonts w:ascii="Times New Roman" w:eastAsia="Times New Roman" w:hAnsi="Times New Roman" w:cs="Times New Roman"/>
          <w:sz w:val="26"/>
          <w:szCs w:val="26"/>
        </w:rPr>
        <w:t>non-CRP low-income customers</w:t>
      </w:r>
      <w:r w:rsidR="00F256EC">
        <w:rPr>
          <w:rFonts w:ascii="Times New Roman" w:eastAsia="Times New Roman" w:hAnsi="Times New Roman" w:cs="Times New Roman"/>
          <w:sz w:val="26"/>
          <w:szCs w:val="26"/>
        </w:rPr>
        <w:t>.</w:t>
      </w:r>
      <w:r w:rsidR="00753F3D">
        <w:rPr>
          <w:rStyle w:val="FootnoteReference"/>
          <w:rFonts w:ascii="Times New Roman" w:eastAsia="Times New Roman" w:hAnsi="Times New Roman" w:cs="Times New Roman"/>
          <w:sz w:val="26"/>
          <w:szCs w:val="26"/>
        </w:rPr>
        <w:footnoteReference w:id="47"/>
      </w:r>
      <w:r w:rsidR="00F256EC">
        <w:rPr>
          <w:rFonts w:ascii="Times New Roman" w:eastAsia="Times New Roman" w:hAnsi="Times New Roman" w:cs="Times New Roman"/>
          <w:sz w:val="26"/>
          <w:szCs w:val="26"/>
        </w:rPr>
        <w:t xml:space="preserve"> </w:t>
      </w:r>
    </w:p>
    <w:p w:rsidR="00133577" w:rsidRDefault="00133577" w:rsidP="0004466C">
      <w:pPr>
        <w:spacing w:line="360" w:lineRule="auto"/>
        <w:contextualSpacing/>
        <w:rPr>
          <w:rFonts w:ascii="Times New Roman" w:eastAsia="Times New Roman" w:hAnsi="Times New Roman" w:cs="Times New Roman"/>
          <w:sz w:val="26"/>
          <w:szCs w:val="26"/>
        </w:rPr>
      </w:pPr>
    </w:p>
    <w:p w:rsidR="00E60A47" w:rsidRDefault="00133577" w:rsidP="0004466C">
      <w:pPr>
        <w:spacing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When calculating the number of customers who need services, </w:t>
      </w:r>
      <w:r w:rsidR="00206037">
        <w:rPr>
          <w:rFonts w:ascii="Times New Roman" w:eastAsia="Times New Roman" w:hAnsi="Times New Roman" w:cs="Times New Roman"/>
          <w:sz w:val="26"/>
          <w:szCs w:val="26"/>
        </w:rPr>
        <w:t>Section</w:t>
      </w:r>
      <w:r w:rsidR="00EC7454" w:rsidRPr="00EC7454">
        <w:rPr>
          <w:rFonts w:ascii="Times New Roman" w:eastAsia="Times New Roman" w:hAnsi="Times New Roman" w:cs="Times New Roman"/>
          <w:sz w:val="26"/>
          <w:szCs w:val="26"/>
        </w:rPr>
        <w:t xml:space="preserve"> 58.4(c)</w:t>
      </w:r>
      <w:r w:rsidR="00361320">
        <w:rPr>
          <w:rFonts w:ascii="Times New Roman" w:eastAsia="Times New Roman" w:hAnsi="Times New Roman" w:cs="Times New Roman"/>
          <w:sz w:val="26"/>
          <w:szCs w:val="26"/>
        </w:rPr>
        <w:t>(1)(2)</w:t>
      </w:r>
      <w:r w:rsidR="00DC2C96">
        <w:rPr>
          <w:rStyle w:val="FootnoteReference"/>
          <w:rFonts w:ascii="Times New Roman" w:eastAsia="Times New Roman" w:hAnsi="Times New Roman" w:cs="Times New Roman"/>
          <w:sz w:val="26"/>
          <w:szCs w:val="26"/>
        </w:rPr>
        <w:footnoteReference w:id="48"/>
      </w:r>
      <w:r w:rsidR="0004466C">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sidR="0004466C">
        <w:rPr>
          <w:rFonts w:ascii="Times New Roman" w:eastAsia="Times New Roman" w:hAnsi="Times New Roman" w:cs="Times New Roman"/>
          <w:sz w:val="26"/>
          <w:szCs w:val="26"/>
        </w:rPr>
        <w:t>allow</w:t>
      </w:r>
      <w:r>
        <w:rPr>
          <w:rFonts w:ascii="Times New Roman" w:eastAsia="Times New Roman" w:hAnsi="Times New Roman" w:cs="Times New Roman"/>
          <w:sz w:val="26"/>
          <w:szCs w:val="26"/>
        </w:rPr>
        <w:t>s</w:t>
      </w:r>
      <w:r w:rsidR="0004466C">
        <w:rPr>
          <w:rFonts w:ascii="Times New Roman" w:eastAsia="Times New Roman" w:hAnsi="Times New Roman" w:cs="Times New Roman"/>
          <w:sz w:val="26"/>
          <w:szCs w:val="26"/>
        </w:rPr>
        <w:t xml:space="preserve"> for </w:t>
      </w:r>
      <w:r>
        <w:rPr>
          <w:rFonts w:ascii="Times New Roman" w:eastAsia="Times New Roman" w:hAnsi="Times New Roman" w:cs="Times New Roman"/>
          <w:sz w:val="26"/>
          <w:szCs w:val="26"/>
        </w:rPr>
        <w:t xml:space="preserve">the </w:t>
      </w:r>
      <w:r w:rsidR="0004466C">
        <w:rPr>
          <w:rFonts w:ascii="Times New Roman" w:eastAsia="Times New Roman" w:hAnsi="Times New Roman" w:cs="Times New Roman"/>
          <w:sz w:val="26"/>
          <w:szCs w:val="26"/>
        </w:rPr>
        <w:t>consideration</w:t>
      </w:r>
      <w:r>
        <w:rPr>
          <w:rFonts w:ascii="Times New Roman" w:eastAsia="Times New Roman" w:hAnsi="Times New Roman" w:cs="Times New Roman"/>
          <w:sz w:val="26"/>
          <w:szCs w:val="26"/>
        </w:rPr>
        <w:t xml:space="preserve"> (and subsequent deduction)</w:t>
      </w:r>
      <w:r w:rsidR="0004466C">
        <w:rPr>
          <w:rFonts w:ascii="Times New Roman" w:eastAsia="Times New Roman" w:hAnsi="Times New Roman" w:cs="Times New Roman"/>
          <w:sz w:val="26"/>
          <w:szCs w:val="26"/>
        </w:rPr>
        <w:t xml:space="preserve"> of homes that have previously received LIURP (or other weatherization) treatment and</w:t>
      </w:r>
      <w:r>
        <w:rPr>
          <w:rFonts w:ascii="Times New Roman" w:eastAsia="Times New Roman" w:hAnsi="Times New Roman" w:cs="Times New Roman"/>
          <w:sz w:val="26"/>
          <w:szCs w:val="26"/>
        </w:rPr>
        <w:t xml:space="preserve"> the</w:t>
      </w:r>
      <w:r w:rsidR="0004466C">
        <w:rPr>
          <w:rFonts w:ascii="Times New Roman" w:eastAsia="Times New Roman" w:hAnsi="Times New Roman" w:cs="Times New Roman"/>
          <w:sz w:val="26"/>
          <w:szCs w:val="26"/>
        </w:rPr>
        <w:t xml:space="preserve"> elimination </w:t>
      </w:r>
      <w:r w:rsidR="0004466C">
        <w:rPr>
          <w:rFonts w:ascii="Times New Roman" w:eastAsia="Times New Roman" w:hAnsi="Times New Roman" w:cs="Times New Roman"/>
          <w:sz w:val="26"/>
          <w:szCs w:val="26"/>
        </w:rPr>
        <w:lastRenderedPageBreak/>
        <w:t xml:space="preserve">of those homes who do not need usage reduction.  The regulations also state that expected participation should be based on historical participation rates. </w:t>
      </w:r>
      <w:r w:rsidR="00206037">
        <w:rPr>
          <w:rFonts w:ascii="Times New Roman" w:eastAsia="Times New Roman" w:hAnsi="Times New Roman" w:cs="Times New Roman"/>
          <w:sz w:val="26"/>
          <w:szCs w:val="26"/>
        </w:rPr>
        <w:t xml:space="preserve"> </w:t>
      </w:r>
      <w:r w:rsidR="00E60A47">
        <w:rPr>
          <w:rFonts w:ascii="Times New Roman" w:eastAsia="Times New Roman" w:hAnsi="Times New Roman" w:cs="Times New Roman"/>
          <w:sz w:val="26"/>
          <w:szCs w:val="26"/>
        </w:rPr>
        <w:t xml:space="preserve">It is therefore, reasonable to assume that </w:t>
      </w:r>
      <w:r>
        <w:rPr>
          <w:rFonts w:ascii="Times New Roman" w:eastAsia="Times New Roman" w:hAnsi="Times New Roman" w:cs="Times New Roman"/>
          <w:sz w:val="26"/>
          <w:szCs w:val="26"/>
        </w:rPr>
        <w:t>PGW’s</w:t>
      </w:r>
      <w:r w:rsidR="00E60A47">
        <w:rPr>
          <w:rFonts w:ascii="Times New Roman" w:eastAsia="Times New Roman" w:hAnsi="Times New Roman" w:cs="Times New Roman"/>
          <w:sz w:val="26"/>
          <w:szCs w:val="26"/>
        </w:rPr>
        <w:t xml:space="preserve"> current needs assessment total, which should now include non-CRP customers, would be considerably higher than the historic </w:t>
      </w:r>
      <w:r>
        <w:rPr>
          <w:rFonts w:ascii="Times New Roman" w:eastAsia="Times New Roman" w:hAnsi="Times New Roman" w:cs="Times New Roman"/>
          <w:sz w:val="26"/>
          <w:szCs w:val="26"/>
        </w:rPr>
        <w:t>total (</w:t>
      </w:r>
      <w:r w:rsidR="00E60A47">
        <w:rPr>
          <w:rFonts w:ascii="Times New Roman" w:eastAsia="Times New Roman" w:hAnsi="Times New Roman" w:cs="Times New Roman"/>
          <w:sz w:val="26"/>
          <w:szCs w:val="26"/>
        </w:rPr>
        <w:t>71,625</w:t>
      </w:r>
      <w:r>
        <w:rPr>
          <w:rFonts w:ascii="Times New Roman" w:eastAsia="Times New Roman" w:hAnsi="Times New Roman" w:cs="Times New Roman"/>
          <w:sz w:val="26"/>
          <w:szCs w:val="26"/>
        </w:rPr>
        <w:t>)</w:t>
      </w:r>
      <w:r w:rsidR="00E60A47">
        <w:rPr>
          <w:rFonts w:ascii="Times New Roman" w:eastAsia="Times New Roman" w:hAnsi="Times New Roman" w:cs="Times New Roman"/>
          <w:sz w:val="26"/>
          <w:szCs w:val="26"/>
        </w:rPr>
        <w:t xml:space="preserve"> cited by PGW in its last two significant proceedings </w:t>
      </w:r>
      <w:r w:rsidR="00C634CF">
        <w:rPr>
          <w:rFonts w:ascii="Times New Roman" w:eastAsia="Times New Roman" w:hAnsi="Times New Roman" w:cs="Times New Roman"/>
          <w:sz w:val="26"/>
          <w:szCs w:val="26"/>
        </w:rPr>
        <w:t xml:space="preserve">that </w:t>
      </w:r>
      <w:r w:rsidR="00E60A47">
        <w:rPr>
          <w:rFonts w:ascii="Times New Roman" w:eastAsia="Times New Roman" w:hAnsi="Times New Roman" w:cs="Times New Roman"/>
          <w:sz w:val="26"/>
          <w:szCs w:val="26"/>
        </w:rPr>
        <w:t>involv</w:t>
      </w:r>
      <w:r w:rsidR="00C634CF">
        <w:rPr>
          <w:rFonts w:ascii="Times New Roman" w:eastAsia="Times New Roman" w:hAnsi="Times New Roman" w:cs="Times New Roman"/>
          <w:sz w:val="26"/>
          <w:szCs w:val="26"/>
        </w:rPr>
        <w:t>ed</w:t>
      </w:r>
      <w:r w:rsidR="00E60A47">
        <w:rPr>
          <w:rFonts w:ascii="Times New Roman" w:eastAsia="Times New Roman" w:hAnsi="Times New Roman" w:cs="Times New Roman"/>
          <w:sz w:val="26"/>
          <w:szCs w:val="26"/>
        </w:rPr>
        <w:t xml:space="preserve"> LIURP before the Commission. </w:t>
      </w:r>
    </w:p>
    <w:p w:rsidR="00E60A47" w:rsidRDefault="00E60A47" w:rsidP="0004466C">
      <w:pPr>
        <w:spacing w:line="360" w:lineRule="auto"/>
        <w:contextualSpacing/>
        <w:rPr>
          <w:rFonts w:ascii="Times New Roman" w:eastAsia="Times New Roman" w:hAnsi="Times New Roman" w:cs="Times New Roman"/>
          <w:sz w:val="26"/>
          <w:szCs w:val="26"/>
        </w:rPr>
      </w:pPr>
    </w:p>
    <w:p w:rsidR="00E361E2" w:rsidRDefault="00E60A47" w:rsidP="0004466C">
      <w:pPr>
        <w:spacing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t>We do recognize, however, that each of the categories of customers that PGW has proposed to eliminate from the needs assessment total ha</w:t>
      </w:r>
      <w:r w:rsidR="00E361E2">
        <w:rPr>
          <w:rFonts w:ascii="Times New Roman" w:eastAsia="Times New Roman" w:hAnsi="Times New Roman" w:cs="Times New Roman"/>
          <w:sz w:val="26"/>
          <w:szCs w:val="26"/>
        </w:rPr>
        <w:t>ve</w:t>
      </w:r>
      <w:r>
        <w:rPr>
          <w:rFonts w:ascii="Times New Roman" w:eastAsia="Times New Roman" w:hAnsi="Times New Roman" w:cs="Times New Roman"/>
          <w:sz w:val="26"/>
          <w:szCs w:val="26"/>
        </w:rPr>
        <w:t xml:space="preserve"> been</w:t>
      </w:r>
      <w:r w:rsidR="00E361E2">
        <w:rPr>
          <w:rFonts w:ascii="Times New Roman" w:eastAsia="Times New Roman" w:hAnsi="Times New Roman" w:cs="Times New Roman"/>
          <w:sz w:val="26"/>
          <w:szCs w:val="26"/>
        </w:rPr>
        <w:t xml:space="preserve"> previously</w:t>
      </w:r>
      <w:r>
        <w:rPr>
          <w:rFonts w:ascii="Times New Roman" w:eastAsia="Times New Roman" w:hAnsi="Times New Roman" w:cs="Times New Roman"/>
          <w:sz w:val="26"/>
          <w:szCs w:val="26"/>
        </w:rPr>
        <w:t xml:space="preserve"> approved for removal by various other EDCs and/or NGDCs in their </w:t>
      </w:r>
      <w:r w:rsidR="00E361E2">
        <w:rPr>
          <w:rFonts w:ascii="Times New Roman" w:eastAsia="Times New Roman" w:hAnsi="Times New Roman" w:cs="Times New Roman"/>
          <w:sz w:val="26"/>
          <w:szCs w:val="26"/>
        </w:rPr>
        <w:t xml:space="preserve">USECP </w:t>
      </w:r>
      <w:r>
        <w:rPr>
          <w:rFonts w:ascii="Times New Roman" w:eastAsia="Times New Roman" w:hAnsi="Times New Roman" w:cs="Times New Roman"/>
          <w:sz w:val="26"/>
          <w:szCs w:val="26"/>
        </w:rPr>
        <w:t xml:space="preserve">needs assessments. </w:t>
      </w:r>
      <w:r w:rsidR="00F25C10">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We also recognize</w:t>
      </w:r>
      <w:r w:rsidR="00C634CF">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from the numerous approaches and methodologies </w:t>
      </w:r>
      <w:r w:rsidR="00E361E2">
        <w:rPr>
          <w:rFonts w:ascii="Times New Roman" w:eastAsia="Times New Roman" w:hAnsi="Times New Roman" w:cs="Times New Roman"/>
          <w:sz w:val="26"/>
          <w:szCs w:val="26"/>
        </w:rPr>
        <w:t>the</w:t>
      </w:r>
      <w:r w:rsidR="00C634CF">
        <w:rPr>
          <w:rFonts w:ascii="Times New Roman" w:eastAsia="Times New Roman" w:hAnsi="Times New Roman" w:cs="Times New Roman"/>
          <w:sz w:val="26"/>
          <w:szCs w:val="26"/>
        </w:rPr>
        <w:t xml:space="preserve">se other utilities </w:t>
      </w:r>
      <w:r w:rsidR="00E361E2">
        <w:rPr>
          <w:rFonts w:ascii="Times New Roman" w:eastAsia="Times New Roman" w:hAnsi="Times New Roman" w:cs="Times New Roman"/>
          <w:sz w:val="26"/>
          <w:szCs w:val="26"/>
        </w:rPr>
        <w:t xml:space="preserve">use </w:t>
      </w:r>
      <w:r w:rsidR="008B31FC">
        <w:rPr>
          <w:rFonts w:ascii="Times New Roman" w:eastAsia="Times New Roman" w:hAnsi="Times New Roman" w:cs="Times New Roman"/>
          <w:sz w:val="26"/>
          <w:szCs w:val="26"/>
        </w:rPr>
        <w:t>for calculating needs assessments</w:t>
      </w:r>
      <w:r>
        <w:rPr>
          <w:rFonts w:ascii="Times New Roman" w:eastAsia="Times New Roman" w:hAnsi="Times New Roman" w:cs="Times New Roman"/>
          <w:sz w:val="26"/>
          <w:szCs w:val="26"/>
        </w:rPr>
        <w:t xml:space="preserve">, that a more standardized framework for determining </w:t>
      </w:r>
      <w:r w:rsidR="00F274E4">
        <w:rPr>
          <w:rFonts w:ascii="Times New Roman" w:eastAsia="Times New Roman" w:hAnsi="Times New Roman" w:cs="Times New Roman"/>
          <w:sz w:val="26"/>
          <w:szCs w:val="26"/>
        </w:rPr>
        <w:t>the</w:t>
      </w:r>
      <w:r>
        <w:rPr>
          <w:rFonts w:ascii="Times New Roman" w:eastAsia="Times New Roman" w:hAnsi="Times New Roman" w:cs="Times New Roman"/>
          <w:sz w:val="26"/>
          <w:szCs w:val="26"/>
        </w:rPr>
        <w:t xml:space="preserve"> total number of </w:t>
      </w:r>
      <w:r w:rsidR="00F80785">
        <w:rPr>
          <w:rFonts w:ascii="Times New Roman" w:eastAsia="Times New Roman" w:hAnsi="Times New Roman" w:cs="Times New Roman"/>
          <w:sz w:val="26"/>
          <w:szCs w:val="26"/>
        </w:rPr>
        <w:t>LIURP</w:t>
      </w:r>
      <w:r w:rsidR="00E361E2">
        <w:rPr>
          <w:rFonts w:ascii="Times New Roman" w:eastAsia="Times New Roman" w:hAnsi="Times New Roman" w:cs="Times New Roman"/>
          <w:sz w:val="26"/>
          <w:szCs w:val="26"/>
        </w:rPr>
        <w:t>-</w:t>
      </w:r>
      <w:r>
        <w:rPr>
          <w:rFonts w:ascii="Times New Roman" w:eastAsia="Times New Roman" w:hAnsi="Times New Roman" w:cs="Times New Roman"/>
          <w:sz w:val="26"/>
          <w:szCs w:val="26"/>
        </w:rPr>
        <w:t>eligible low-income customers is needed</w:t>
      </w:r>
      <w:r w:rsidR="008B31FC">
        <w:rPr>
          <w:rFonts w:ascii="Times New Roman" w:eastAsia="Times New Roman" w:hAnsi="Times New Roman" w:cs="Times New Roman"/>
          <w:sz w:val="26"/>
          <w:szCs w:val="26"/>
        </w:rPr>
        <w:t>.</w:t>
      </w:r>
      <w:r w:rsidR="00A8510E">
        <w:rPr>
          <w:rFonts w:ascii="Times New Roman" w:eastAsia="Times New Roman" w:hAnsi="Times New Roman" w:cs="Times New Roman"/>
          <w:sz w:val="26"/>
          <w:szCs w:val="26"/>
        </w:rPr>
        <w:t xml:space="preserve"> </w:t>
      </w:r>
    </w:p>
    <w:p w:rsidR="00E361E2" w:rsidRDefault="00E361E2" w:rsidP="0004466C">
      <w:pPr>
        <w:spacing w:line="360" w:lineRule="auto"/>
        <w:contextualSpacing/>
        <w:rPr>
          <w:rFonts w:ascii="Times New Roman" w:eastAsia="Times New Roman" w:hAnsi="Times New Roman" w:cs="Times New Roman"/>
          <w:sz w:val="26"/>
          <w:szCs w:val="26"/>
        </w:rPr>
      </w:pPr>
    </w:p>
    <w:p w:rsidR="00C634CF" w:rsidRDefault="00F25C10" w:rsidP="0004466C">
      <w:pPr>
        <w:spacing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i/>
          <w:sz w:val="26"/>
          <w:szCs w:val="26"/>
        </w:rPr>
        <w:tab/>
      </w:r>
      <w:r w:rsidR="00E361E2">
        <w:rPr>
          <w:rFonts w:ascii="Times New Roman" w:eastAsia="Times New Roman" w:hAnsi="Times New Roman" w:cs="Times New Roman"/>
          <w:sz w:val="26"/>
          <w:szCs w:val="26"/>
        </w:rPr>
        <w:t>W</w:t>
      </w:r>
      <w:r w:rsidR="00A8510E">
        <w:rPr>
          <w:rFonts w:ascii="Times New Roman" w:eastAsia="Times New Roman" w:hAnsi="Times New Roman" w:cs="Times New Roman"/>
          <w:sz w:val="26"/>
          <w:szCs w:val="26"/>
        </w:rPr>
        <w:t xml:space="preserve">e do not agree with CAUSE-PA and </w:t>
      </w:r>
      <w:r w:rsidR="00E42A54" w:rsidRPr="003233DF">
        <w:rPr>
          <w:rFonts w:ascii="Times New Roman" w:eastAsia="Times New Roman" w:hAnsi="Times New Roman" w:cs="Times New Roman"/>
          <w:sz w:val="26"/>
          <w:szCs w:val="26"/>
        </w:rPr>
        <w:t>TURN</w:t>
      </w:r>
      <w:r w:rsidR="00E42A54" w:rsidRPr="00E42A54">
        <w:rPr>
          <w:rFonts w:ascii="Times New Roman" w:eastAsia="Times New Roman" w:hAnsi="Times New Roman" w:cs="Times New Roman"/>
          <w:i/>
          <w:sz w:val="26"/>
          <w:szCs w:val="26"/>
        </w:rPr>
        <w:t xml:space="preserve"> et al.</w:t>
      </w:r>
      <w:r w:rsidR="00E361E2">
        <w:rPr>
          <w:rFonts w:ascii="Times New Roman" w:eastAsia="Times New Roman" w:hAnsi="Times New Roman" w:cs="Times New Roman"/>
          <w:sz w:val="26"/>
          <w:szCs w:val="26"/>
        </w:rPr>
        <w:t xml:space="preserve">, however, </w:t>
      </w:r>
      <w:r w:rsidR="008B31FC">
        <w:rPr>
          <w:rFonts w:ascii="Times New Roman" w:eastAsia="Times New Roman" w:hAnsi="Times New Roman" w:cs="Times New Roman"/>
          <w:sz w:val="26"/>
          <w:szCs w:val="26"/>
        </w:rPr>
        <w:t>that</w:t>
      </w:r>
      <w:r w:rsidR="00A8510E">
        <w:rPr>
          <w:rFonts w:ascii="Times New Roman" w:eastAsia="Times New Roman" w:hAnsi="Times New Roman" w:cs="Times New Roman"/>
          <w:sz w:val="26"/>
          <w:szCs w:val="26"/>
        </w:rPr>
        <w:t xml:space="preserve"> this issue should be sent to OALJ</w:t>
      </w:r>
      <w:r w:rsidR="00E60A47">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sidR="008B31FC">
        <w:rPr>
          <w:rFonts w:ascii="Times New Roman" w:eastAsia="Times New Roman" w:hAnsi="Times New Roman" w:cs="Times New Roman"/>
          <w:sz w:val="26"/>
          <w:szCs w:val="26"/>
        </w:rPr>
        <w:t>T</w:t>
      </w:r>
      <w:r w:rsidR="00E60A47">
        <w:rPr>
          <w:rFonts w:ascii="Times New Roman" w:eastAsia="Times New Roman" w:hAnsi="Times New Roman" w:cs="Times New Roman"/>
          <w:sz w:val="26"/>
          <w:szCs w:val="26"/>
        </w:rPr>
        <w:t>he Commission’s open proceedings on both LIURP and</w:t>
      </w:r>
      <w:r w:rsidR="008B31FC">
        <w:rPr>
          <w:rFonts w:ascii="Times New Roman" w:eastAsia="Times New Roman" w:hAnsi="Times New Roman" w:cs="Times New Roman"/>
          <w:sz w:val="26"/>
          <w:szCs w:val="26"/>
        </w:rPr>
        <w:t>/or</w:t>
      </w:r>
      <w:r w:rsidR="00E60A47">
        <w:rPr>
          <w:rFonts w:ascii="Times New Roman" w:eastAsia="Times New Roman" w:hAnsi="Times New Roman" w:cs="Times New Roman"/>
          <w:sz w:val="26"/>
          <w:szCs w:val="26"/>
        </w:rPr>
        <w:t xml:space="preserve"> the comprehensive review of the Universal Service programs</w:t>
      </w:r>
      <w:r w:rsidR="008B31FC">
        <w:rPr>
          <w:rFonts w:ascii="Times New Roman" w:eastAsia="Times New Roman" w:hAnsi="Times New Roman" w:cs="Times New Roman"/>
          <w:sz w:val="26"/>
          <w:szCs w:val="26"/>
        </w:rPr>
        <w:t xml:space="preserve"> provide a</w:t>
      </w:r>
      <w:r w:rsidR="00CB660F">
        <w:rPr>
          <w:rFonts w:ascii="Times New Roman" w:eastAsia="Times New Roman" w:hAnsi="Times New Roman" w:cs="Times New Roman"/>
          <w:sz w:val="26"/>
          <w:szCs w:val="26"/>
        </w:rPr>
        <w:t xml:space="preserve"> more</w:t>
      </w:r>
      <w:r w:rsidR="008B31FC">
        <w:rPr>
          <w:rFonts w:ascii="Times New Roman" w:eastAsia="Times New Roman" w:hAnsi="Times New Roman" w:cs="Times New Roman"/>
          <w:sz w:val="26"/>
          <w:szCs w:val="26"/>
        </w:rPr>
        <w:t xml:space="preserve"> appropriate forum to address th</w:t>
      </w:r>
      <w:r w:rsidR="00E60814">
        <w:rPr>
          <w:rFonts w:ascii="Times New Roman" w:eastAsia="Times New Roman" w:hAnsi="Times New Roman" w:cs="Times New Roman"/>
          <w:sz w:val="26"/>
          <w:szCs w:val="26"/>
        </w:rPr>
        <w:t>e needs assessment methodology</w:t>
      </w:r>
      <w:r w:rsidR="008B31FC">
        <w:rPr>
          <w:rFonts w:ascii="Times New Roman" w:eastAsia="Times New Roman" w:hAnsi="Times New Roman" w:cs="Times New Roman"/>
          <w:sz w:val="26"/>
          <w:szCs w:val="26"/>
        </w:rPr>
        <w:t xml:space="preserve"> issue</w:t>
      </w:r>
      <w:r w:rsidR="00E60A47">
        <w:rPr>
          <w:rFonts w:ascii="Times New Roman" w:eastAsia="Times New Roman" w:hAnsi="Times New Roman" w:cs="Times New Roman"/>
          <w:sz w:val="26"/>
          <w:szCs w:val="26"/>
        </w:rPr>
        <w:t>,</w:t>
      </w:r>
      <w:r w:rsidR="008B31FC">
        <w:rPr>
          <w:rFonts w:ascii="Times New Roman" w:eastAsia="Times New Roman" w:hAnsi="Times New Roman" w:cs="Times New Roman"/>
          <w:sz w:val="26"/>
          <w:szCs w:val="26"/>
        </w:rPr>
        <w:t xml:space="preserve"> with ample opportunity for stakeholder collaboration and input.</w:t>
      </w:r>
      <w:r w:rsidR="00E60A47">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sidR="008B31FC">
        <w:rPr>
          <w:rFonts w:ascii="Times New Roman" w:eastAsia="Times New Roman" w:hAnsi="Times New Roman" w:cs="Times New Roman"/>
          <w:sz w:val="26"/>
          <w:szCs w:val="26"/>
        </w:rPr>
        <w:t>W</w:t>
      </w:r>
      <w:r w:rsidR="00E60A47">
        <w:rPr>
          <w:rFonts w:ascii="Times New Roman" w:eastAsia="Times New Roman" w:hAnsi="Times New Roman" w:cs="Times New Roman"/>
          <w:sz w:val="26"/>
          <w:szCs w:val="26"/>
        </w:rPr>
        <w:t xml:space="preserve">e shall not attempt to dictate </w:t>
      </w:r>
      <w:r w:rsidR="00A8510E">
        <w:rPr>
          <w:rFonts w:ascii="Times New Roman" w:eastAsia="Times New Roman" w:hAnsi="Times New Roman" w:cs="Times New Roman"/>
          <w:sz w:val="26"/>
          <w:szCs w:val="26"/>
        </w:rPr>
        <w:t>a new needs assessment</w:t>
      </w:r>
      <w:r w:rsidR="00E60A47">
        <w:rPr>
          <w:rFonts w:ascii="Times New Roman" w:eastAsia="Times New Roman" w:hAnsi="Times New Roman" w:cs="Times New Roman"/>
          <w:sz w:val="26"/>
          <w:szCs w:val="26"/>
        </w:rPr>
        <w:t xml:space="preserve"> methodology in this proceeding</w:t>
      </w:r>
      <w:r w:rsidR="003233DF">
        <w:rPr>
          <w:rFonts w:ascii="Times New Roman" w:eastAsia="Times New Roman" w:hAnsi="Times New Roman" w:cs="Times New Roman"/>
          <w:sz w:val="26"/>
          <w:szCs w:val="26"/>
        </w:rPr>
        <w:t>, but will address the revised figure PGW submitted in this proceeding</w:t>
      </w:r>
      <w:r w:rsidR="00E60A47">
        <w:rPr>
          <w:rFonts w:ascii="Times New Roman" w:eastAsia="Times New Roman" w:hAnsi="Times New Roman" w:cs="Times New Roman"/>
          <w:sz w:val="26"/>
          <w:szCs w:val="26"/>
        </w:rPr>
        <w:t>.</w:t>
      </w:r>
      <w:r w:rsidR="00E361E2">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p>
    <w:p w:rsidR="00C634CF" w:rsidRDefault="00C634CF" w:rsidP="0004466C">
      <w:pPr>
        <w:spacing w:line="360" w:lineRule="auto"/>
        <w:contextualSpacing/>
        <w:rPr>
          <w:rFonts w:ascii="Times New Roman" w:eastAsia="Times New Roman" w:hAnsi="Times New Roman" w:cs="Times New Roman"/>
          <w:sz w:val="26"/>
          <w:szCs w:val="26"/>
        </w:rPr>
      </w:pPr>
    </w:p>
    <w:p w:rsidR="00EC6910" w:rsidRPr="00EC6910" w:rsidRDefault="00632056" w:rsidP="00C634CF">
      <w:pPr>
        <w:spacing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Recognizing the disparity between the </w:t>
      </w:r>
      <w:r w:rsidR="00C835E0">
        <w:rPr>
          <w:rFonts w:ascii="Times New Roman" w:eastAsia="Times New Roman" w:hAnsi="Times New Roman" w:cs="Times New Roman"/>
          <w:sz w:val="26"/>
          <w:szCs w:val="26"/>
        </w:rPr>
        <w:t>PGW calculation and the BCS calculation</w:t>
      </w:r>
      <w:r>
        <w:rPr>
          <w:rFonts w:ascii="Times New Roman" w:eastAsia="Times New Roman" w:hAnsi="Times New Roman" w:cs="Times New Roman"/>
          <w:sz w:val="26"/>
          <w:szCs w:val="26"/>
        </w:rPr>
        <w:t xml:space="preserve">, we will estimate the number of potential LIURP-eligible customers by averaging the estimates submitted by PGW and BCS.  </w:t>
      </w:r>
      <w:r w:rsidR="00C835E0">
        <w:rPr>
          <w:rFonts w:ascii="Times New Roman" w:eastAsia="Times New Roman" w:hAnsi="Times New Roman" w:cs="Times New Roman"/>
          <w:sz w:val="26"/>
          <w:szCs w:val="26"/>
        </w:rPr>
        <w:t xml:space="preserve">This </w:t>
      </w:r>
      <w:r w:rsidR="008D4A15">
        <w:rPr>
          <w:rFonts w:ascii="Times New Roman" w:eastAsia="Times New Roman" w:hAnsi="Times New Roman" w:cs="Times New Roman"/>
          <w:sz w:val="26"/>
          <w:szCs w:val="26"/>
        </w:rPr>
        <w:t>i</w:t>
      </w:r>
      <w:r w:rsidR="00C835E0">
        <w:rPr>
          <w:rFonts w:ascii="Times New Roman" w:eastAsia="Times New Roman" w:hAnsi="Times New Roman" w:cs="Times New Roman"/>
          <w:sz w:val="26"/>
          <w:szCs w:val="26"/>
        </w:rPr>
        <w:t xml:space="preserve">s a reasonable starting point </w:t>
      </w:r>
      <w:r w:rsidR="00666946">
        <w:rPr>
          <w:rFonts w:ascii="Times New Roman" w:eastAsia="Times New Roman" w:hAnsi="Times New Roman" w:cs="Times New Roman"/>
          <w:sz w:val="26"/>
          <w:szCs w:val="26"/>
        </w:rPr>
        <w:t xml:space="preserve">considering </w:t>
      </w:r>
      <w:r w:rsidR="00E60A47">
        <w:rPr>
          <w:rFonts w:ascii="Times New Roman" w:eastAsia="Times New Roman" w:hAnsi="Times New Roman" w:cs="Times New Roman"/>
          <w:sz w:val="26"/>
          <w:szCs w:val="26"/>
        </w:rPr>
        <w:t xml:space="preserve">PGW’s 67,367 figure and </w:t>
      </w:r>
      <w:r w:rsidR="00666946">
        <w:rPr>
          <w:rFonts w:ascii="Times New Roman" w:eastAsia="Times New Roman" w:hAnsi="Times New Roman" w:cs="Times New Roman"/>
          <w:sz w:val="26"/>
          <w:szCs w:val="26"/>
        </w:rPr>
        <w:t xml:space="preserve">the BCS </w:t>
      </w:r>
      <w:r w:rsidR="00E60A47">
        <w:rPr>
          <w:rFonts w:ascii="Times New Roman" w:eastAsia="Times New Roman" w:hAnsi="Times New Roman" w:cs="Times New Roman"/>
          <w:sz w:val="26"/>
          <w:szCs w:val="26"/>
        </w:rPr>
        <w:t xml:space="preserve">estimated figure of 101,893. </w:t>
      </w:r>
      <w:r w:rsidR="00F25C10">
        <w:rPr>
          <w:rFonts w:ascii="Times New Roman" w:eastAsia="Times New Roman" w:hAnsi="Times New Roman" w:cs="Times New Roman"/>
          <w:sz w:val="26"/>
          <w:szCs w:val="26"/>
        </w:rPr>
        <w:t xml:space="preserve"> </w:t>
      </w:r>
      <w:r w:rsidR="00E60A47">
        <w:rPr>
          <w:rFonts w:ascii="Times New Roman" w:eastAsia="Times New Roman" w:hAnsi="Times New Roman" w:cs="Times New Roman"/>
          <w:sz w:val="26"/>
          <w:szCs w:val="26"/>
        </w:rPr>
        <w:t>This calculation result</w:t>
      </w:r>
      <w:r w:rsidR="0031210C">
        <w:rPr>
          <w:rFonts w:ascii="Times New Roman" w:eastAsia="Times New Roman" w:hAnsi="Times New Roman" w:cs="Times New Roman"/>
          <w:sz w:val="26"/>
          <w:szCs w:val="26"/>
        </w:rPr>
        <w:t>s</w:t>
      </w:r>
      <w:r w:rsidR="00E60A47">
        <w:rPr>
          <w:rFonts w:ascii="Times New Roman" w:eastAsia="Times New Roman" w:hAnsi="Times New Roman" w:cs="Times New Roman"/>
          <w:sz w:val="26"/>
          <w:szCs w:val="26"/>
        </w:rPr>
        <w:t xml:space="preserve"> in a final needs assessment figure of 84,630</w:t>
      </w:r>
      <w:r w:rsidR="004C78D2">
        <w:rPr>
          <w:rFonts w:ascii="Times New Roman" w:eastAsia="Times New Roman" w:hAnsi="Times New Roman" w:cs="Times New Roman"/>
          <w:sz w:val="26"/>
          <w:szCs w:val="26"/>
        </w:rPr>
        <w:t xml:space="preserve"> (101,893 + 67,367 = 169,260/2)</w:t>
      </w:r>
      <w:r w:rsidR="00B37E15">
        <w:rPr>
          <w:rFonts w:ascii="Times New Roman" w:eastAsia="Times New Roman" w:hAnsi="Times New Roman" w:cs="Times New Roman"/>
          <w:sz w:val="26"/>
          <w:szCs w:val="26"/>
        </w:rPr>
        <w:t xml:space="preserve"> for the 2017-2020 USECP proceeding</w:t>
      </w:r>
      <w:r w:rsidR="00BF12D4">
        <w:rPr>
          <w:rFonts w:ascii="Times New Roman" w:eastAsia="Times New Roman" w:hAnsi="Times New Roman" w:cs="Times New Roman"/>
          <w:sz w:val="26"/>
          <w:szCs w:val="26"/>
        </w:rPr>
        <w:t xml:space="preserve">. </w:t>
      </w:r>
      <w:r w:rsidR="00666946">
        <w:rPr>
          <w:rFonts w:ascii="Times New Roman" w:eastAsia="Times New Roman" w:hAnsi="Times New Roman" w:cs="Times New Roman"/>
          <w:sz w:val="26"/>
          <w:szCs w:val="26"/>
        </w:rPr>
        <w:t xml:space="preserve"> </w:t>
      </w:r>
      <w:r w:rsidR="00BF12D4">
        <w:rPr>
          <w:rFonts w:ascii="Times New Roman" w:eastAsia="Times New Roman" w:hAnsi="Times New Roman" w:cs="Times New Roman"/>
          <w:sz w:val="26"/>
          <w:szCs w:val="26"/>
        </w:rPr>
        <w:t xml:space="preserve">This </w:t>
      </w:r>
      <w:r w:rsidR="00A273A5">
        <w:rPr>
          <w:rFonts w:ascii="Times New Roman" w:eastAsia="Times New Roman" w:hAnsi="Times New Roman" w:cs="Times New Roman"/>
          <w:sz w:val="26"/>
          <w:szCs w:val="26"/>
        </w:rPr>
        <w:t>total of potentially eligible low-income customers</w:t>
      </w:r>
      <w:r w:rsidR="004C78D2">
        <w:rPr>
          <w:rFonts w:ascii="Times New Roman" w:eastAsia="Times New Roman" w:hAnsi="Times New Roman" w:cs="Times New Roman"/>
          <w:sz w:val="26"/>
          <w:szCs w:val="26"/>
        </w:rPr>
        <w:t xml:space="preserve"> for the CRP Home Comfort program</w:t>
      </w:r>
      <w:r w:rsidR="00BF12D4">
        <w:rPr>
          <w:rFonts w:ascii="Times New Roman" w:eastAsia="Times New Roman" w:hAnsi="Times New Roman" w:cs="Times New Roman"/>
          <w:sz w:val="26"/>
          <w:szCs w:val="26"/>
        </w:rPr>
        <w:t xml:space="preserve"> is higher than the previous figure of 71,625 used by PGW</w:t>
      </w:r>
      <w:r w:rsidR="00A273A5">
        <w:rPr>
          <w:rFonts w:ascii="Times New Roman" w:eastAsia="Times New Roman" w:hAnsi="Times New Roman" w:cs="Times New Roman"/>
          <w:sz w:val="26"/>
          <w:szCs w:val="26"/>
        </w:rPr>
        <w:t xml:space="preserve"> in its most recent proceedings</w:t>
      </w:r>
      <w:r w:rsidR="00BF12D4">
        <w:rPr>
          <w:rFonts w:ascii="Times New Roman" w:eastAsia="Times New Roman" w:hAnsi="Times New Roman" w:cs="Times New Roman"/>
          <w:sz w:val="26"/>
          <w:szCs w:val="26"/>
        </w:rPr>
        <w:t xml:space="preserve">, but </w:t>
      </w:r>
      <w:r w:rsidR="00A273A5">
        <w:rPr>
          <w:rFonts w:ascii="Times New Roman" w:eastAsia="Times New Roman" w:hAnsi="Times New Roman" w:cs="Times New Roman"/>
          <w:sz w:val="26"/>
          <w:szCs w:val="26"/>
        </w:rPr>
        <w:t xml:space="preserve">also </w:t>
      </w:r>
      <w:r w:rsidR="00BF12D4">
        <w:rPr>
          <w:rFonts w:ascii="Times New Roman" w:eastAsia="Times New Roman" w:hAnsi="Times New Roman" w:cs="Times New Roman"/>
          <w:sz w:val="26"/>
          <w:szCs w:val="26"/>
        </w:rPr>
        <w:t>allow</w:t>
      </w:r>
      <w:r w:rsidR="00961AF0">
        <w:rPr>
          <w:rFonts w:ascii="Times New Roman" w:eastAsia="Times New Roman" w:hAnsi="Times New Roman" w:cs="Times New Roman"/>
          <w:sz w:val="26"/>
          <w:szCs w:val="26"/>
        </w:rPr>
        <w:t>s</w:t>
      </w:r>
      <w:r w:rsidR="00BF12D4">
        <w:rPr>
          <w:rFonts w:ascii="Times New Roman" w:eastAsia="Times New Roman" w:hAnsi="Times New Roman" w:cs="Times New Roman"/>
          <w:sz w:val="26"/>
          <w:szCs w:val="26"/>
        </w:rPr>
        <w:t xml:space="preserve"> for </w:t>
      </w:r>
      <w:r w:rsidR="00961AF0">
        <w:rPr>
          <w:rFonts w:ascii="Times New Roman" w:eastAsia="Times New Roman" w:hAnsi="Times New Roman" w:cs="Times New Roman"/>
          <w:sz w:val="26"/>
          <w:szCs w:val="26"/>
        </w:rPr>
        <w:t>some of PGW’s</w:t>
      </w:r>
      <w:r w:rsidR="00BF12D4">
        <w:rPr>
          <w:rFonts w:ascii="Times New Roman" w:eastAsia="Times New Roman" w:hAnsi="Times New Roman" w:cs="Times New Roman"/>
          <w:sz w:val="26"/>
          <w:szCs w:val="26"/>
        </w:rPr>
        <w:t xml:space="preserve"> exclusions to be </w:t>
      </w:r>
      <w:r w:rsidR="00BF12D4">
        <w:rPr>
          <w:rFonts w:ascii="Times New Roman" w:eastAsia="Times New Roman" w:hAnsi="Times New Roman" w:cs="Times New Roman"/>
          <w:sz w:val="26"/>
          <w:szCs w:val="26"/>
        </w:rPr>
        <w:lastRenderedPageBreak/>
        <w:t>applied to the Commission estimate of 101,893</w:t>
      </w:r>
      <w:r w:rsidR="00961AF0">
        <w:rPr>
          <w:rFonts w:ascii="Times New Roman" w:eastAsia="Times New Roman" w:hAnsi="Times New Roman" w:cs="Times New Roman"/>
          <w:sz w:val="26"/>
          <w:szCs w:val="26"/>
        </w:rPr>
        <w:t xml:space="preserve">, without </w:t>
      </w:r>
      <w:r w:rsidR="00A273A5">
        <w:rPr>
          <w:rFonts w:ascii="Times New Roman" w:eastAsia="Times New Roman" w:hAnsi="Times New Roman" w:cs="Times New Roman"/>
          <w:sz w:val="26"/>
          <w:szCs w:val="26"/>
        </w:rPr>
        <w:t>disput</w:t>
      </w:r>
      <w:r w:rsidR="00961AF0">
        <w:rPr>
          <w:rFonts w:ascii="Times New Roman" w:eastAsia="Times New Roman" w:hAnsi="Times New Roman" w:cs="Times New Roman"/>
          <w:sz w:val="26"/>
          <w:szCs w:val="26"/>
        </w:rPr>
        <w:t>ing the exact count of each category</w:t>
      </w:r>
      <w:r w:rsidR="002B23FA">
        <w:rPr>
          <w:rFonts w:ascii="Times New Roman" w:eastAsia="Times New Roman" w:hAnsi="Times New Roman" w:cs="Times New Roman"/>
          <w:sz w:val="26"/>
          <w:szCs w:val="26"/>
        </w:rPr>
        <w:t xml:space="preserve"> PGW deducted</w:t>
      </w:r>
      <w:r w:rsidR="00BF12D4">
        <w:rPr>
          <w:rFonts w:ascii="Times New Roman" w:eastAsia="Times New Roman" w:hAnsi="Times New Roman" w:cs="Times New Roman"/>
          <w:sz w:val="26"/>
          <w:szCs w:val="26"/>
        </w:rPr>
        <w:t>.</w:t>
      </w:r>
      <w:r w:rsidR="00EC6910" w:rsidRPr="00EC6910">
        <w:rPr>
          <w:rFonts w:ascii="Times New Roman" w:eastAsia="Times New Roman" w:hAnsi="Times New Roman" w:cs="Times New Roman"/>
          <w:sz w:val="26"/>
          <w:szCs w:val="26"/>
        </w:rPr>
        <w:t xml:space="preserve"> </w:t>
      </w:r>
    </w:p>
    <w:p w:rsidR="00BD35EF" w:rsidRDefault="00BD35EF" w:rsidP="00231829">
      <w:pPr>
        <w:spacing w:line="360" w:lineRule="auto"/>
        <w:ind w:firstLine="720"/>
        <w:contextualSpacing/>
        <w:rPr>
          <w:rFonts w:ascii="Times New Roman" w:eastAsia="Times New Roman" w:hAnsi="Times New Roman" w:cs="Times New Roman"/>
          <w:sz w:val="26"/>
          <w:szCs w:val="26"/>
        </w:rPr>
      </w:pPr>
    </w:p>
    <w:p w:rsidR="00C47F76" w:rsidRPr="00C47F76" w:rsidRDefault="00C47F76" w:rsidP="006561CF">
      <w:pPr>
        <w:keepNext/>
        <w:numPr>
          <w:ilvl w:val="0"/>
          <w:numId w:val="41"/>
        </w:numPr>
        <w:spacing w:after="0" w:line="360" w:lineRule="auto"/>
        <w:contextualSpacing/>
        <w:rPr>
          <w:rFonts w:ascii="Times New Roman" w:eastAsia="Calibri" w:hAnsi="Times New Roman" w:cs="Times New Roman"/>
          <w:sz w:val="26"/>
          <w:szCs w:val="26"/>
        </w:rPr>
      </w:pPr>
      <w:r w:rsidRPr="00C47F76">
        <w:rPr>
          <w:rFonts w:ascii="Times New Roman" w:eastAsia="Times New Roman" w:hAnsi="Times New Roman" w:cs="Times New Roman"/>
          <w:b/>
          <w:sz w:val="26"/>
          <w:szCs w:val="26"/>
          <w:u w:val="single"/>
        </w:rPr>
        <w:t>Projected Enrollment Levels</w:t>
      </w:r>
    </w:p>
    <w:p w:rsidR="00C47F76" w:rsidRPr="00C47F76" w:rsidRDefault="00C47F76" w:rsidP="00231829">
      <w:pPr>
        <w:keepNext/>
        <w:spacing w:after="0" w:line="360" w:lineRule="auto"/>
        <w:ind w:firstLine="720"/>
        <w:contextualSpacing/>
        <w:rPr>
          <w:rFonts w:ascii="Times New Roman" w:eastAsia="Times New Roman" w:hAnsi="Times New Roman" w:cs="Times New Roman"/>
          <w:sz w:val="26"/>
          <w:szCs w:val="26"/>
        </w:rPr>
      </w:pPr>
    </w:p>
    <w:p w:rsidR="00C47F76" w:rsidRPr="00C47F76" w:rsidRDefault="00CA4C54" w:rsidP="00231829">
      <w:pPr>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PGW’s </w:t>
      </w:r>
      <w:r w:rsidR="009A1777">
        <w:rPr>
          <w:rFonts w:ascii="Times New Roman" w:eastAsia="Times New Roman" w:hAnsi="Times New Roman" w:cs="Times New Roman"/>
          <w:sz w:val="26"/>
          <w:szCs w:val="26"/>
        </w:rPr>
        <w:t xml:space="preserve">Amended </w:t>
      </w:r>
      <w:r>
        <w:rPr>
          <w:rFonts w:ascii="Times New Roman" w:eastAsia="Times New Roman" w:hAnsi="Times New Roman" w:cs="Times New Roman"/>
          <w:sz w:val="26"/>
          <w:szCs w:val="26"/>
        </w:rPr>
        <w:t>Proposed 2017-2020</w:t>
      </w:r>
      <w:r w:rsidR="00C47F76" w:rsidRPr="00C47F76">
        <w:rPr>
          <w:rFonts w:ascii="Times New Roman" w:eastAsia="Times New Roman" w:hAnsi="Times New Roman" w:cs="Times New Roman"/>
          <w:sz w:val="26"/>
          <w:szCs w:val="26"/>
        </w:rPr>
        <w:t xml:space="preserve"> Plan projected enrollmen</w:t>
      </w:r>
      <w:r w:rsidR="00157D5E">
        <w:rPr>
          <w:rFonts w:ascii="Times New Roman" w:eastAsia="Times New Roman" w:hAnsi="Times New Roman" w:cs="Times New Roman"/>
          <w:sz w:val="26"/>
          <w:szCs w:val="26"/>
        </w:rPr>
        <w:t>t levels are as shown in Table </w:t>
      </w:r>
      <w:r w:rsidR="00083E3E">
        <w:rPr>
          <w:rFonts w:ascii="Times New Roman" w:eastAsia="Times New Roman" w:hAnsi="Times New Roman" w:cs="Times New Roman"/>
          <w:sz w:val="26"/>
          <w:szCs w:val="26"/>
        </w:rPr>
        <w:t>8</w:t>
      </w:r>
      <w:r w:rsidR="00C47F76" w:rsidRPr="00C47F76">
        <w:rPr>
          <w:rFonts w:ascii="Times New Roman" w:eastAsia="Times New Roman" w:hAnsi="Times New Roman" w:cs="Times New Roman"/>
          <w:sz w:val="26"/>
          <w:szCs w:val="26"/>
        </w:rPr>
        <w:t xml:space="preserve"> below.  </w:t>
      </w:r>
    </w:p>
    <w:p w:rsidR="00C47F76" w:rsidRPr="00C47F76" w:rsidRDefault="00C47F76" w:rsidP="00231829">
      <w:pPr>
        <w:spacing w:after="0" w:line="360" w:lineRule="auto"/>
        <w:ind w:firstLine="720"/>
        <w:contextualSpacing/>
        <w:rPr>
          <w:rFonts w:ascii="Times New Roman" w:eastAsia="Times New Roman" w:hAnsi="Times New Roman" w:cs="Times New Roman"/>
          <w:sz w:val="26"/>
          <w:szCs w:val="26"/>
        </w:rPr>
      </w:pPr>
    </w:p>
    <w:p w:rsidR="00C47F76" w:rsidRPr="00C47F76" w:rsidRDefault="00157D5E" w:rsidP="00353561">
      <w:pPr>
        <w:keepNext/>
        <w:spacing w:after="0" w:line="240" w:lineRule="auto"/>
        <w:contextualSpacing/>
        <w:jc w:val="center"/>
        <w:outlineLvl w:val="4"/>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Table </w:t>
      </w:r>
      <w:r w:rsidR="00083E3E">
        <w:rPr>
          <w:rFonts w:ascii="Times New Roman" w:eastAsia="Times New Roman" w:hAnsi="Times New Roman" w:cs="Times New Roman"/>
          <w:b/>
          <w:sz w:val="26"/>
          <w:szCs w:val="26"/>
        </w:rPr>
        <w:t>8</w:t>
      </w:r>
    </w:p>
    <w:p w:rsidR="00C47F76" w:rsidRPr="00C47F76" w:rsidRDefault="00C47F76" w:rsidP="00353561">
      <w:pPr>
        <w:keepNext/>
        <w:spacing w:after="0" w:line="240" w:lineRule="auto"/>
        <w:contextualSpacing/>
        <w:jc w:val="center"/>
        <w:outlineLvl w:val="4"/>
        <w:rPr>
          <w:rFonts w:ascii="Times New Roman" w:eastAsia="Times New Roman" w:hAnsi="Times New Roman" w:cs="Times New Roman"/>
          <w:b/>
          <w:sz w:val="26"/>
          <w:szCs w:val="26"/>
        </w:rPr>
      </w:pPr>
      <w:r w:rsidRPr="00C47F76">
        <w:rPr>
          <w:rFonts w:ascii="Times New Roman" w:eastAsia="Times New Roman" w:hAnsi="Times New Roman" w:cs="Times New Roman"/>
          <w:b/>
          <w:sz w:val="26"/>
          <w:szCs w:val="26"/>
        </w:rPr>
        <w:t>Projected Enrollment Levels</w:t>
      </w:r>
    </w:p>
    <w:tbl>
      <w:tblPr>
        <w:tblW w:w="9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3"/>
        <w:gridCol w:w="1603"/>
        <w:gridCol w:w="1800"/>
        <w:gridCol w:w="1800"/>
        <w:gridCol w:w="1800"/>
      </w:tblGrid>
      <w:tr w:rsidR="00CA4C54" w:rsidRPr="00C47F76" w:rsidTr="00CA4C54">
        <w:trPr>
          <w:jc w:val="center"/>
        </w:trPr>
        <w:tc>
          <w:tcPr>
            <w:tcW w:w="2003" w:type="dxa"/>
          </w:tcPr>
          <w:p w:rsidR="00CA4C54" w:rsidRPr="00C47F76" w:rsidRDefault="00CA4C54" w:rsidP="00353561">
            <w:pPr>
              <w:keepNext/>
              <w:spacing w:after="0" w:line="240" w:lineRule="auto"/>
              <w:contextualSpacing/>
              <w:rPr>
                <w:rFonts w:ascii="Times New Roman" w:eastAsia="Times New Roman" w:hAnsi="Times New Roman" w:cs="Times New Roman"/>
                <w:b/>
                <w:sz w:val="26"/>
                <w:szCs w:val="26"/>
              </w:rPr>
            </w:pPr>
            <w:r w:rsidRPr="00C47F76">
              <w:rPr>
                <w:rFonts w:ascii="Times New Roman" w:eastAsia="Times New Roman" w:hAnsi="Times New Roman" w:cs="Times New Roman"/>
                <w:b/>
                <w:sz w:val="26"/>
                <w:szCs w:val="26"/>
              </w:rPr>
              <w:t>Program</w:t>
            </w:r>
          </w:p>
        </w:tc>
        <w:tc>
          <w:tcPr>
            <w:tcW w:w="1603" w:type="dxa"/>
          </w:tcPr>
          <w:p w:rsidR="00CA4C54" w:rsidRPr="00C47F76" w:rsidRDefault="00E37ACD" w:rsidP="00353561">
            <w:pPr>
              <w:keepNext/>
              <w:spacing w:after="0" w:line="240" w:lineRule="auto"/>
              <w:contextualSpacing/>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2017</w:t>
            </w:r>
          </w:p>
        </w:tc>
        <w:tc>
          <w:tcPr>
            <w:tcW w:w="1800" w:type="dxa"/>
          </w:tcPr>
          <w:p w:rsidR="00CA4C54" w:rsidRPr="00C47F76" w:rsidRDefault="00E37ACD" w:rsidP="00353561">
            <w:pPr>
              <w:keepNext/>
              <w:spacing w:after="0" w:line="240" w:lineRule="auto"/>
              <w:contextualSpacing/>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2018</w:t>
            </w:r>
          </w:p>
        </w:tc>
        <w:tc>
          <w:tcPr>
            <w:tcW w:w="1800" w:type="dxa"/>
          </w:tcPr>
          <w:p w:rsidR="00CA4C54" w:rsidRPr="00C47F76" w:rsidRDefault="00E37ACD" w:rsidP="00353561">
            <w:pPr>
              <w:keepNext/>
              <w:spacing w:after="0" w:line="240" w:lineRule="auto"/>
              <w:contextualSpacing/>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2019</w:t>
            </w:r>
          </w:p>
        </w:tc>
        <w:tc>
          <w:tcPr>
            <w:tcW w:w="1800" w:type="dxa"/>
          </w:tcPr>
          <w:p w:rsidR="00CA4C54" w:rsidRPr="00C47F76" w:rsidRDefault="00CA4C54" w:rsidP="00353561">
            <w:pPr>
              <w:keepNext/>
              <w:spacing w:after="0" w:line="240" w:lineRule="auto"/>
              <w:contextualSpacing/>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2020</w:t>
            </w:r>
          </w:p>
        </w:tc>
      </w:tr>
      <w:tr w:rsidR="00CA4C54" w:rsidRPr="00C47F76" w:rsidTr="00CA4C54">
        <w:trPr>
          <w:jc w:val="center"/>
        </w:trPr>
        <w:tc>
          <w:tcPr>
            <w:tcW w:w="2003" w:type="dxa"/>
            <w:vAlign w:val="center"/>
          </w:tcPr>
          <w:p w:rsidR="00CA4C54" w:rsidRPr="00C47F76" w:rsidRDefault="00CA4C54" w:rsidP="00353561">
            <w:pPr>
              <w:keepNext/>
              <w:spacing w:after="0" w:line="240" w:lineRule="auto"/>
              <w:contextualSpacing/>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CAP (CRP)</w:t>
            </w:r>
          </w:p>
        </w:tc>
        <w:tc>
          <w:tcPr>
            <w:tcW w:w="1603" w:type="dxa"/>
            <w:vAlign w:val="center"/>
          </w:tcPr>
          <w:p w:rsidR="00CA4C54" w:rsidRPr="00C47F76" w:rsidRDefault="00CA4C54" w:rsidP="00353561">
            <w:pPr>
              <w:keepNext/>
              <w:spacing w:after="0" w:line="240" w:lineRule="auto"/>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61,292</w:t>
            </w:r>
          </w:p>
        </w:tc>
        <w:tc>
          <w:tcPr>
            <w:tcW w:w="1800" w:type="dxa"/>
            <w:vAlign w:val="center"/>
          </w:tcPr>
          <w:p w:rsidR="00CA4C54" w:rsidRPr="00C47F76" w:rsidRDefault="00CA4C54" w:rsidP="00353561">
            <w:pPr>
              <w:keepNext/>
              <w:spacing w:after="0" w:line="240" w:lineRule="auto"/>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63,292</w:t>
            </w:r>
          </w:p>
        </w:tc>
        <w:tc>
          <w:tcPr>
            <w:tcW w:w="1800" w:type="dxa"/>
            <w:vAlign w:val="center"/>
          </w:tcPr>
          <w:p w:rsidR="00CA4C54" w:rsidRPr="00C47F76" w:rsidRDefault="00CA4C54" w:rsidP="00353561">
            <w:pPr>
              <w:keepNext/>
              <w:spacing w:after="0" w:line="240" w:lineRule="auto"/>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65,292</w:t>
            </w:r>
          </w:p>
        </w:tc>
        <w:tc>
          <w:tcPr>
            <w:tcW w:w="1800" w:type="dxa"/>
            <w:vAlign w:val="center"/>
          </w:tcPr>
          <w:p w:rsidR="00CA4C54" w:rsidRDefault="00CA4C54" w:rsidP="00353561">
            <w:pPr>
              <w:keepNext/>
              <w:spacing w:after="0" w:line="240" w:lineRule="auto"/>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67,292</w:t>
            </w:r>
          </w:p>
        </w:tc>
      </w:tr>
      <w:tr w:rsidR="00CA4C54" w:rsidRPr="00C47F76" w:rsidTr="00CA4C54">
        <w:trPr>
          <w:jc w:val="center"/>
        </w:trPr>
        <w:tc>
          <w:tcPr>
            <w:tcW w:w="2003" w:type="dxa"/>
            <w:vAlign w:val="center"/>
          </w:tcPr>
          <w:p w:rsidR="00CA4C54" w:rsidRPr="00C47F76" w:rsidRDefault="00CA4C54" w:rsidP="00353561">
            <w:pPr>
              <w:keepNext/>
              <w:spacing w:after="0" w:line="24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CRP Home Comfort</w:t>
            </w:r>
            <w:r w:rsidRPr="00C47F76">
              <w:rPr>
                <w:rFonts w:ascii="Times New Roman" w:eastAsia="Times New Roman" w:hAnsi="Times New Roman" w:cs="Times New Roman"/>
                <w:sz w:val="26"/>
                <w:szCs w:val="26"/>
              </w:rPr>
              <w:t>*</w:t>
            </w:r>
          </w:p>
        </w:tc>
        <w:tc>
          <w:tcPr>
            <w:tcW w:w="1603" w:type="dxa"/>
            <w:vAlign w:val="center"/>
          </w:tcPr>
          <w:p w:rsidR="00CA4C54" w:rsidRPr="00C47F76" w:rsidRDefault="00666ABB" w:rsidP="00353561">
            <w:pPr>
              <w:keepNext/>
              <w:spacing w:after="0" w:line="240" w:lineRule="auto"/>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2,664</w:t>
            </w:r>
          </w:p>
        </w:tc>
        <w:tc>
          <w:tcPr>
            <w:tcW w:w="1800" w:type="dxa"/>
            <w:vAlign w:val="center"/>
          </w:tcPr>
          <w:p w:rsidR="00CA4C54" w:rsidRPr="00C47F76" w:rsidRDefault="00666ABB" w:rsidP="00353561">
            <w:pPr>
              <w:keepNext/>
              <w:spacing w:after="0" w:line="240" w:lineRule="auto"/>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2,735</w:t>
            </w:r>
          </w:p>
        </w:tc>
        <w:tc>
          <w:tcPr>
            <w:tcW w:w="1800" w:type="dxa"/>
            <w:vAlign w:val="center"/>
          </w:tcPr>
          <w:p w:rsidR="00CA4C54" w:rsidRPr="00C47F76" w:rsidRDefault="00666ABB" w:rsidP="00353561">
            <w:pPr>
              <w:keepNext/>
              <w:spacing w:after="0" w:line="240" w:lineRule="auto"/>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2,735</w:t>
            </w:r>
          </w:p>
        </w:tc>
        <w:tc>
          <w:tcPr>
            <w:tcW w:w="1800" w:type="dxa"/>
            <w:vAlign w:val="center"/>
          </w:tcPr>
          <w:p w:rsidR="00CA4C54" w:rsidRDefault="00666ABB" w:rsidP="00353561">
            <w:pPr>
              <w:keepNext/>
              <w:spacing w:after="0" w:line="240" w:lineRule="auto"/>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2,735</w:t>
            </w:r>
          </w:p>
        </w:tc>
      </w:tr>
      <w:tr w:rsidR="00CA4C54" w:rsidRPr="00C47F76" w:rsidTr="00CA4C54">
        <w:trPr>
          <w:jc w:val="center"/>
        </w:trPr>
        <w:tc>
          <w:tcPr>
            <w:tcW w:w="2003" w:type="dxa"/>
            <w:vAlign w:val="center"/>
          </w:tcPr>
          <w:p w:rsidR="00CA4C54" w:rsidRPr="00C47F76" w:rsidRDefault="00CA4C54" w:rsidP="00353561">
            <w:pPr>
              <w:keepNext/>
              <w:spacing w:after="0" w:line="240" w:lineRule="auto"/>
              <w:contextualSpacing/>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CARES**</w:t>
            </w:r>
          </w:p>
        </w:tc>
        <w:tc>
          <w:tcPr>
            <w:tcW w:w="1603" w:type="dxa"/>
            <w:vAlign w:val="center"/>
          </w:tcPr>
          <w:p w:rsidR="00CA4C54" w:rsidRPr="00C47F76" w:rsidRDefault="00CA4C54" w:rsidP="00353561">
            <w:pPr>
              <w:keepNext/>
              <w:spacing w:after="0" w:line="240" w:lineRule="auto"/>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271</w:t>
            </w:r>
          </w:p>
        </w:tc>
        <w:tc>
          <w:tcPr>
            <w:tcW w:w="1800" w:type="dxa"/>
            <w:vAlign w:val="center"/>
          </w:tcPr>
          <w:p w:rsidR="00CA4C54" w:rsidRPr="00C47F76" w:rsidRDefault="00CA4C54" w:rsidP="00353561">
            <w:pPr>
              <w:keepNext/>
              <w:spacing w:after="0" w:line="240" w:lineRule="auto"/>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271</w:t>
            </w:r>
          </w:p>
        </w:tc>
        <w:tc>
          <w:tcPr>
            <w:tcW w:w="1800" w:type="dxa"/>
            <w:vAlign w:val="center"/>
          </w:tcPr>
          <w:p w:rsidR="00CA4C54" w:rsidRPr="00C47F76" w:rsidRDefault="00CA4C54" w:rsidP="00353561">
            <w:pPr>
              <w:keepNext/>
              <w:spacing w:after="0" w:line="240" w:lineRule="auto"/>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271</w:t>
            </w:r>
          </w:p>
        </w:tc>
        <w:tc>
          <w:tcPr>
            <w:tcW w:w="1800" w:type="dxa"/>
            <w:vAlign w:val="center"/>
          </w:tcPr>
          <w:p w:rsidR="00CA4C54" w:rsidRDefault="00CA4C54" w:rsidP="00353561">
            <w:pPr>
              <w:keepNext/>
              <w:spacing w:after="0" w:line="240" w:lineRule="auto"/>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271</w:t>
            </w:r>
          </w:p>
        </w:tc>
      </w:tr>
      <w:tr w:rsidR="00CA4C54" w:rsidRPr="00C47F76" w:rsidTr="00CA4C54">
        <w:trPr>
          <w:trHeight w:val="179"/>
          <w:jc w:val="center"/>
        </w:trPr>
        <w:tc>
          <w:tcPr>
            <w:tcW w:w="2003" w:type="dxa"/>
            <w:vAlign w:val="center"/>
          </w:tcPr>
          <w:p w:rsidR="00CA4C54" w:rsidRPr="00C47F76" w:rsidRDefault="00CA4C54" w:rsidP="00353561">
            <w:pPr>
              <w:keepNext/>
              <w:spacing w:after="0" w:line="240" w:lineRule="auto"/>
              <w:contextualSpacing/>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 xml:space="preserve">Hardship Fund </w:t>
            </w:r>
          </w:p>
        </w:tc>
        <w:tc>
          <w:tcPr>
            <w:tcW w:w="1603" w:type="dxa"/>
            <w:vAlign w:val="center"/>
          </w:tcPr>
          <w:p w:rsidR="00CA4C54" w:rsidRPr="00C47F76" w:rsidRDefault="00CA4C54" w:rsidP="00353561">
            <w:pPr>
              <w:keepNext/>
              <w:spacing w:after="0" w:line="240" w:lineRule="auto"/>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800" w:type="dxa"/>
            <w:vAlign w:val="center"/>
          </w:tcPr>
          <w:p w:rsidR="00CA4C54" w:rsidRPr="00C47F76" w:rsidRDefault="00CA4C54" w:rsidP="00353561">
            <w:pPr>
              <w:keepNext/>
              <w:spacing w:after="0" w:line="240" w:lineRule="auto"/>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800" w:type="dxa"/>
            <w:vAlign w:val="center"/>
          </w:tcPr>
          <w:p w:rsidR="00CA4C54" w:rsidRPr="00C47F76" w:rsidRDefault="00CA4C54" w:rsidP="00353561">
            <w:pPr>
              <w:keepNext/>
              <w:spacing w:after="0" w:line="240" w:lineRule="auto"/>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c>
          <w:tcPr>
            <w:tcW w:w="1800" w:type="dxa"/>
            <w:vAlign w:val="center"/>
          </w:tcPr>
          <w:p w:rsidR="00CA4C54" w:rsidRDefault="00CA4C54" w:rsidP="00353561">
            <w:pPr>
              <w:keepNext/>
              <w:spacing w:after="0" w:line="240" w:lineRule="auto"/>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1,000</w:t>
            </w:r>
          </w:p>
        </w:tc>
      </w:tr>
    </w:tbl>
    <w:p w:rsidR="00C47F76" w:rsidRPr="000A394B" w:rsidRDefault="0023110E" w:rsidP="000A394B">
      <w:pPr>
        <w:keepNext/>
        <w:spacing w:after="0" w:line="240" w:lineRule="auto"/>
        <w:ind w:left="274"/>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PGW also projects it will serve 2 multifamily units per year in the LIME pilot program through 2020. </w:t>
      </w:r>
    </w:p>
    <w:p w:rsidR="00C47F76" w:rsidRPr="000A394B" w:rsidRDefault="00C47F76" w:rsidP="000A394B">
      <w:pPr>
        <w:spacing w:after="0" w:line="240" w:lineRule="auto"/>
        <w:ind w:left="274"/>
        <w:contextualSpacing/>
        <w:rPr>
          <w:rFonts w:ascii="Times New Roman" w:eastAsia="Times New Roman" w:hAnsi="Times New Roman" w:cs="Times New Roman"/>
          <w:sz w:val="24"/>
          <w:szCs w:val="24"/>
        </w:rPr>
      </w:pPr>
      <w:r w:rsidRPr="000A394B">
        <w:rPr>
          <w:rFonts w:ascii="Times New Roman" w:eastAsia="Times New Roman" w:hAnsi="Times New Roman" w:cs="Times New Roman"/>
          <w:sz w:val="24"/>
          <w:szCs w:val="24"/>
        </w:rPr>
        <w:t>** The estimated number of customers served through the CARES program includes ongoing case management and “quick fix” (referral only) cases.</w:t>
      </w:r>
    </w:p>
    <w:p w:rsidR="00117A1B" w:rsidRDefault="00117A1B" w:rsidP="00231829">
      <w:pPr>
        <w:spacing w:after="360" w:line="360" w:lineRule="auto"/>
        <w:contextualSpacing/>
        <w:rPr>
          <w:rFonts w:ascii="Times New Roman" w:eastAsia="Times New Roman" w:hAnsi="Times New Roman" w:cs="Times New Roman"/>
          <w:sz w:val="26"/>
          <w:szCs w:val="26"/>
        </w:rPr>
      </w:pPr>
    </w:p>
    <w:p w:rsidR="006B060F" w:rsidRDefault="00CF7C5D" w:rsidP="00231829">
      <w:pPr>
        <w:spacing w:after="360" w:line="360" w:lineRule="auto"/>
        <w:contextualSpacing/>
        <w:rPr>
          <w:rFonts w:ascii="Times New Roman" w:eastAsia="Times New Roman" w:hAnsi="Times New Roman" w:cs="Times New Roman"/>
          <w:sz w:val="26"/>
          <w:szCs w:val="26"/>
        </w:rPr>
      </w:pPr>
      <w:r w:rsidRPr="005B1AEB">
        <w:rPr>
          <w:rFonts w:ascii="Times New Roman" w:eastAsia="Times New Roman" w:hAnsi="Times New Roman" w:cs="Times New Roman"/>
          <w:i/>
          <w:sz w:val="26"/>
          <w:szCs w:val="26"/>
        </w:rPr>
        <w:t>Resolution</w:t>
      </w:r>
      <w:r>
        <w:rPr>
          <w:rFonts w:ascii="Times New Roman" w:eastAsia="Times New Roman" w:hAnsi="Times New Roman" w:cs="Times New Roman"/>
          <w:sz w:val="26"/>
          <w:szCs w:val="26"/>
        </w:rPr>
        <w:t>: Since this Order directs</w:t>
      </w:r>
      <w:r w:rsidR="006B060F">
        <w:rPr>
          <w:rFonts w:ascii="Times New Roman" w:eastAsia="Times New Roman" w:hAnsi="Times New Roman" w:cs="Times New Roman"/>
          <w:sz w:val="26"/>
          <w:szCs w:val="26"/>
        </w:rPr>
        <w:t xml:space="preserve"> PGW to amend its eligibility criteria for its CRP and </w:t>
      </w:r>
      <w:r>
        <w:rPr>
          <w:rFonts w:ascii="Times New Roman" w:eastAsia="Times New Roman" w:hAnsi="Times New Roman" w:cs="Times New Roman"/>
          <w:sz w:val="26"/>
          <w:szCs w:val="26"/>
        </w:rPr>
        <w:t>CRP Home Comfort programs, we recognize that the enrollment estimates in the Proposed Amended 2017-2020 Plan for these programs are no longer accurate.  Accordingly, PGW should provide updated enrollment estimates for CRP (with budget billing customers included) and CRP Home Comfort (with non-CRP customers included</w:t>
      </w:r>
      <w:r w:rsidR="005B1AEB">
        <w:rPr>
          <w:rFonts w:ascii="Times New Roman" w:eastAsia="Times New Roman" w:hAnsi="Times New Roman" w:cs="Times New Roman"/>
          <w:sz w:val="26"/>
          <w:szCs w:val="26"/>
        </w:rPr>
        <w:t>)</w:t>
      </w:r>
      <w:r w:rsidR="008E5440">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in its Revised 2017-2020 Plan. </w:t>
      </w:r>
    </w:p>
    <w:p w:rsidR="006B060F" w:rsidRPr="00C47F76" w:rsidRDefault="006B060F" w:rsidP="00231829">
      <w:pPr>
        <w:spacing w:after="360" w:line="360" w:lineRule="auto"/>
        <w:contextualSpacing/>
        <w:rPr>
          <w:rFonts w:ascii="Times New Roman" w:eastAsia="Times New Roman" w:hAnsi="Times New Roman" w:cs="Times New Roman"/>
          <w:sz w:val="26"/>
          <w:szCs w:val="26"/>
        </w:rPr>
      </w:pPr>
    </w:p>
    <w:p w:rsidR="00C47F76" w:rsidRPr="00330620" w:rsidRDefault="00706DAC" w:rsidP="00231829">
      <w:pPr>
        <w:keepNext/>
        <w:spacing w:line="360" w:lineRule="auto"/>
        <w:contextualSpacing/>
        <w:rPr>
          <w:rFonts w:ascii="Times New Roman" w:eastAsia="Calibri" w:hAnsi="Times New Roman" w:cs="Times New Roman"/>
          <w:sz w:val="26"/>
          <w:szCs w:val="26"/>
        </w:rPr>
      </w:pPr>
      <w:r>
        <w:rPr>
          <w:rFonts w:ascii="Times New Roman" w:eastAsia="Calibri" w:hAnsi="Times New Roman" w:cs="Times New Roman"/>
          <w:i/>
          <w:sz w:val="26"/>
          <w:szCs w:val="26"/>
        </w:rPr>
        <w:t>a.  CRP Participation</w:t>
      </w:r>
    </w:p>
    <w:p w:rsidR="006C38AB" w:rsidRPr="006C38AB" w:rsidRDefault="006C38AB" w:rsidP="00231829">
      <w:pPr>
        <w:keepNext/>
        <w:spacing w:line="360" w:lineRule="auto"/>
        <w:contextualSpacing/>
        <w:rPr>
          <w:rFonts w:ascii="Times New Roman" w:eastAsia="Calibri" w:hAnsi="Times New Roman" w:cs="Times New Roman"/>
          <w:sz w:val="26"/>
          <w:szCs w:val="26"/>
        </w:rPr>
      </w:pPr>
    </w:p>
    <w:p w:rsidR="00C47F76" w:rsidRPr="00C47F76" w:rsidRDefault="005B1AEB" w:rsidP="00231829">
      <w:pPr>
        <w:spacing w:line="360" w:lineRule="auto"/>
        <w:ind w:firstLine="720"/>
        <w:contextualSpacing/>
        <w:rPr>
          <w:rFonts w:ascii="Times New Roman" w:eastAsia="Calibri" w:hAnsi="Times New Roman" w:cs="Times New Roman"/>
          <w:sz w:val="26"/>
          <w:szCs w:val="26"/>
        </w:rPr>
      </w:pPr>
      <w:r>
        <w:rPr>
          <w:rFonts w:ascii="Times New Roman" w:eastAsia="Calibri" w:hAnsi="Times New Roman" w:cs="Times New Roman"/>
          <w:sz w:val="26"/>
          <w:szCs w:val="26"/>
        </w:rPr>
        <w:t xml:space="preserve">In the Tentative Order, </w:t>
      </w:r>
      <w:r w:rsidR="00E54EE3">
        <w:rPr>
          <w:rFonts w:ascii="Times New Roman" w:eastAsia="Calibri" w:hAnsi="Times New Roman" w:cs="Times New Roman"/>
          <w:sz w:val="26"/>
          <w:szCs w:val="26"/>
        </w:rPr>
        <w:t>BCS note</w:t>
      </w:r>
      <w:r>
        <w:rPr>
          <w:rFonts w:ascii="Times New Roman" w:eastAsia="Calibri" w:hAnsi="Times New Roman" w:cs="Times New Roman"/>
          <w:sz w:val="26"/>
          <w:szCs w:val="26"/>
        </w:rPr>
        <w:t>d</w:t>
      </w:r>
      <w:r w:rsidR="00C47F76" w:rsidRPr="00C47F76">
        <w:rPr>
          <w:rFonts w:ascii="Times New Roman" w:eastAsia="Calibri" w:hAnsi="Times New Roman" w:cs="Times New Roman"/>
          <w:sz w:val="26"/>
          <w:szCs w:val="26"/>
        </w:rPr>
        <w:t xml:space="preserve"> that PGW’s C</w:t>
      </w:r>
      <w:r w:rsidR="00D65142">
        <w:rPr>
          <w:rFonts w:ascii="Times New Roman" w:eastAsia="Calibri" w:hAnsi="Times New Roman" w:cs="Times New Roman"/>
          <w:sz w:val="26"/>
          <w:szCs w:val="26"/>
        </w:rPr>
        <w:t>RP participation has declined 40</w:t>
      </w:r>
      <w:r w:rsidR="006D2A08">
        <w:rPr>
          <w:rFonts w:ascii="Times New Roman" w:eastAsia="Calibri" w:hAnsi="Times New Roman" w:cs="Times New Roman"/>
          <w:sz w:val="26"/>
          <w:szCs w:val="26"/>
        </w:rPr>
        <w:t>% over the past six</w:t>
      </w:r>
      <w:r w:rsidR="00157D5E">
        <w:rPr>
          <w:rFonts w:ascii="Times New Roman" w:eastAsia="Calibri" w:hAnsi="Times New Roman" w:cs="Times New Roman"/>
          <w:sz w:val="26"/>
          <w:szCs w:val="26"/>
        </w:rPr>
        <w:t xml:space="preserve"> years.  Table </w:t>
      </w:r>
      <w:r w:rsidR="00083E3E">
        <w:rPr>
          <w:rFonts w:ascii="Times New Roman" w:eastAsia="Calibri" w:hAnsi="Times New Roman" w:cs="Times New Roman"/>
          <w:sz w:val="26"/>
          <w:szCs w:val="26"/>
        </w:rPr>
        <w:t>9</w:t>
      </w:r>
      <w:r w:rsidR="00C47F76" w:rsidRPr="00C47F76">
        <w:rPr>
          <w:rFonts w:ascii="Times New Roman" w:eastAsia="Calibri" w:hAnsi="Times New Roman" w:cs="Times New Roman"/>
          <w:sz w:val="26"/>
          <w:szCs w:val="26"/>
        </w:rPr>
        <w:t xml:space="preserve"> shows the number of participants in CRP reported by PGW at the end of each year from 2010 </w:t>
      </w:r>
      <w:r w:rsidR="00D65142">
        <w:rPr>
          <w:rFonts w:ascii="Times New Roman" w:eastAsia="Calibri" w:hAnsi="Times New Roman" w:cs="Times New Roman"/>
          <w:sz w:val="26"/>
          <w:szCs w:val="26"/>
        </w:rPr>
        <w:t>to 2016</w:t>
      </w:r>
      <w:r w:rsidR="00C47F76" w:rsidRPr="00C47F76">
        <w:rPr>
          <w:rFonts w:ascii="Times New Roman" w:eastAsia="Calibri" w:hAnsi="Times New Roman" w:cs="Times New Roman"/>
          <w:sz w:val="26"/>
          <w:szCs w:val="26"/>
        </w:rPr>
        <w:t>:</w:t>
      </w:r>
    </w:p>
    <w:p w:rsidR="00C47F76" w:rsidRPr="00117A1B" w:rsidRDefault="00C47F76" w:rsidP="00353561">
      <w:pPr>
        <w:keepNext/>
        <w:spacing w:after="0" w:line="240" w:lineRule="auto"/>
        <w:ind w:firstLine="720"/>
        <w:contextualSpacing/>
        <w:jc w:val="center"/>
        <w:rPr>
          <w:rFonts w:ascii="Times New Roman" w:eastAsia="Calibri" w:hAnsi="Times New Roman" w:cs="Times New Roman"/>
          <w:b/>
          <w:sz w:val="26"/>
          <w:szCs w:val="26"/>
        </w:rPr>
      </w:pPr>
      <w:r w:rsidRPr="00C47F76">
        <w:rPr>
          <w:rFonts w:ascii="Times New Roman" w:eastAsia="Calibri" w:hAnsi="Times New Roman" w:cs="Times New Roman"/>
          <w:b/>
          <w:sz w:val="26"/>
          <w:szCs w:val="26"/>
        </w:rPr>
        <w:lastRenderedPageBreak/>
        <w:t>Table</w:t>
      </w:r>
      <w:r w:rsidR="00157D5E">
        <w:rPr>
          <w:rFonts w:ascii="Times New Roman" w:eastAsia="Calibri" w:hAnsi="Times New Roman" w:cs="Times New Roman"/>
          <w:b/>
          <w:sz w:val="26"/>
          <w:szCs w:val="26"/>
        </w:rPr>
        <w:t xml:space="preserve"> </w:t>
      </w:r>
      <w:r w:rsidR="00083E3E">
        <w:rPr>
          <w:rFonts w:ascii="Times New Roman" w:eastAsia="Calibri" w:hAnsi="Times New Roman" w:cs="Times New Roman"/>
          <w:b/>
          <w:sz w:val="26"/>
          <w:szCs w:val="26"/>
        </w:rPr>
        <w:t>9</w:t>
      </w:r>
      <w:r w:rsidR="00117A1B">
        <w:rPr>
          <w:rFonts w:ascii="Times New Roman" w:eastAsia="Calibri" w:hAnsi="Times New Roman" w:cs="Times New Roman"/>
          <w:b/>
          <w:sz w:val="26"/>
          <w:szCs w:val="26"/>
        </w:rPr>
        <w:br/>
      </w:r>
      <w:r w:rsidR="00642FE3">
        <w:rPr>
          <w:rFonts w:ascii="Times New Roman" w:eastAsia="Calibri" w:hAnsi="Times New Roman" w:cs="Times New Roman"/>
          <w:b/>
          <w:sz w:val="26"/>
          <w:szCs w:val="26"/>
        </w:rPr>
        <w:t xml:space="preserve">      </w:t>
      </w:r>
      <w:r w:rsidR="00D65142">
        <w:rPr>
          <w:rFonts w:ascii="Times New Roman" w:eastAsia="Calibri" w:hAnsi="Times New Roman" w:cs="Times New Roman"/>
          <w:b/>
          <w:sz w:val="26"/>
          <w:szCs w:val="26"/>
        </w:rPr>
        <w:t>CRP Participants 2010 -2016</w:t>
      </w:r>
    </w:p>
    <w:tbl>
      <w:tblPr>
        <w:tblStyle w:val="TableGrid"/>
        <w:tblW w:w="0" w:type="auto"/>
        <w:tblInd w:w="2088" w:type="dxa"/>
        <w:tblLook w:val="04A0" w:firstRow="1" w:lastRow="0" w:firstColumn="1" w:lastColumn="0" w:noHBand="0" w:noVBand="1"/>
      </w:tblPr>
      <w:tblGrid>
        <w:gridCol w:w="2700"/>
        <w:gridCol w:w="2610"/>
      </w:tblGrid>
      <w:tr w:rsidR="00D01098" w:rsidTr="00117A1B">
        <w:trPr>
          <w:trHeight w:val="432"/>
        </w:trPr>
        <w:tc>
          <w:tcPr>
            <w:tcW w:w="2700" w:type="dxa"/>
            <w:vAlign w:val="center"/>
          </w:tcPr>
          <w:p w:rsidR="00D01098" w:rsidRPr="00117A1B" w:rsidRDefault="00D01098" w:rsidP="00353561">
            <w:pPr>
              <w:keepNext/>
              <w:contextualSpacing/>
              <w:jc w:val="center"/>
              <w:rPr>
                <w:rFonts w:eastAsia="Calibri"/>
                <w:b/>
                <w:sz w:val="26"/>
                <w:szCs w:val="26"/>
              </w:rPr>
            </w:pPr>
            <w:r w:rsidRPr="00117A1B">
              <w:rPr>
                <w:rFonts w:eastAsia="Calibri"/>
                <w:b/>
                <w:sz w:val="26"/>
                <w:szCs w:val="26"/>
              </w:rPr>
              <w:t>December 2010</w:t>
            </w:r>
          </w:p>
        </w:tc>
        <w:tc>
          <w:tcPr>
            <w:tcW w:w="2610" w:type="dxa"/>
            <w:vAlign w:val="center"/>
          </w:tcPr>
          <w:p w:rsidR="00D01098" w:rsidRDefault="00D01098" w:rsidP="00353561">
            <w:pPr>
              <w:keepNext/>
              <w:contextualSpacing/>
              <w:jc w:val="center"/>
              <w:rPr>
                <w:rFonts w:eastAsia="Calibri"/>
                <w:sz w:val="26"/>
                <w:szCs w:val="26"/>
              </w:rPr>
            </w:pPr>
            <w:r>
              <w:rPr>
                <w:rFonts w:eastAsia="Calibri"/>
                <w:sz w:val="26"/>
                <w:szCs w:val="26"/>
              </w:rPr>
              <w:t>82,544</w:t>
            </w:r>
          </w:p>
        </w:tc>
      </w:tr>
      <w:tr w:rsidR="00D01098" w:rsidTr="00117A1B">
        <w:trPr>
          <w:trHeight w:val="432"/>
        </w:trPr>
        <w:tc>
          <w:tcPr>
            <w:tcW w:w="2700" w:type="dxa"/>
            <w:vAlign w:val="center"/>
          </w:tcPr>
          <w:p w:rsidR="00D01098" w:rsidRPr="00117A1B" w:rsidRDefault="00D01098" w:rsidP="00353561">
            <w:pPr>
              <w:keepNext/>
              <w:contextualSpacing/>
              <w:jc w:val="center"/>
              <w:rPr>
                <w:rFonts w:eastAsia="Calibri"/>
                <w:b/>
                <w:sz w:val="26"/>
                <w:szCs w:val="26"/>
              </w:rPr>
            </w:pPr>
            <w:r w:rsidRPr="00117A1B">
              <w:rPr>
                <w:rFonts w:eastAsia="Calibri"/>
                <w:b/>
                <w:sz w:val="26"/>
                <w:szCs w:val="26"/>
              </w:rPr>
              <w:t>December 2011</w:t>
            </w:r>
          </w:p>
        </w:tc>
        <w:tc>
          <w:tcPr>
            <w:tcW w:w="2610" w:type="dxa"/>
            <w:vAlign w:val="center"/>
          </w:tcPr>
          <w:p w:rsidR="00D01098" w:rsidRDefault="00D01098" w:rsidP="00353561">
            <w:pPr>
              <w:keepNext/>
              <w:contextualSpacing/>
              <w:jc w:val="center"/>
              <w:rPr>
                <w:rFonts w:eastAsia="Calibri"/>
                <w:sz w:val="26"/>
                <w:szCs w:val="26"/>
              </w:rPr>
            </w:pPr>
            <w:r>
              <w:rPr>
                <w:rFonts w:eastAsia="Calibri"/>
                <w:sz w:val="26"/>
                <w:szCs w:val="26"/>
              </w:rPr>
              <w:t>80,298</w:t>
            </w:r>
          </w:p>
        </w:tc>
      </w:tr>
      <w:tr w:rsidR="00D01098" w:rsidTr="00117A1B">
        <w:trPr>
          <w:trHeight w:val="432"/>
        </w:trPr>
        <w:tc>
          <w:tcPr>
            <w:tcW w:w="2700" w:type="dxa"/>
            <w:vAlign w:val="center"/>
          </w:tcPr>
          <w:p w:rsidR="00D01098" w:rsidRPr="00117A1B" w:rsidRDefault="00D01098" w:rsidP="004C46BE">
            <w:pPr>
              <w:keepNext/>
              <w:contextualSpacing/>
              <w:jc w:val="center"/>
              <w:rPr>
                <w:rFonts w:eastAsia="Calibri"/>
                <w:b/>
                <w:sz w:val="26"/>
                <w:szCs w:val="26"/>
              </w:rPr>
            </w:pPr>
            <w:r w:rsidRPr="00117A1B">
              <w:rPr>
                <w:rFonts w:eastAsia="Calibri"/>
                <w:b/>
                <w:sz w:val="26"/>
                <w:szCs w:val="26"/>
              </w:rPr>
              <w:t>December 2012</w:t>
            </w:r>
          </w:p>
        </w:tc>
        <w:tc>
          <w:tcPr>
            <w:tcW w:w="2610" w:type="dxa"/>
            <w:vAlign w:val="center"/>
          </w:tcPr>
          <w:p w:rsidR="00D01098" w:rsidRDefault="00D01098" w:rsidP="004C46BE">
            <w:pPr>
              <w:keepNext/>
              <w:contextualSpacing/>
              <w:jc w:val="center"/>
              <w:rPr>
                <w:rFonts w:eastAsia="Calibri"/>
                <w:sz w:val="26"/>
                <w:szCs w:val="26"/>
              </w:rPr>
            </w:pPr>
            <w:r>
              <w:rPr>
                <w:rFonts w:eastAsia="Calibri"/>
                <w:sz w:val="26"/>
                <w:szCs w:val="26"/>
              </w:rPr>
              <w:t>75,244</w:t>
            </w:r>
          </w:p>
        </w:tc>
      </w:tr>
      <w:tr w:rsidR="00D01098" w:rsidTr="00117A1B">
        <w:trPr>
          <w:trHeight w:val="432"/>
        </w:trPr>
        <w:tc>
          <w:tcPr>
            <w:tcW w:w="2700" w:type="dxa"/>
            <w:vAlign w:val="center"/>
          </w:tcPr>
          <w:p w:rsidR="00D01098" w:rsidRPr="00117A1B" w:rsidRDefault="00D01098" w:rsidP="004C46BE">
            <w:pPr>
              <w:keepNext/>
              <w:contextualSpacing/>
              <w:jc w:val="center"/>
              <w:rPr>
                <w:rFonts w:eastAsia="Calibri"/>
                <w:b/>
                <w:sz w:val="26"/>
                <w:szCs w:val="26"/>
              </w:rPr>
            </w:pPr>
            <w:r w:rsidRPr="00117A1B">
              <w:rPr>
                <w:rFonts w:eastAsia="Calibri"/>
                <w:b/>
                <w:sz w:val="26"/>
                <w:szCs w:val="26"/>
              </w:rPr>
              <w:t>December 2013</w:t>
            </w:r>
          </w:p>
        </w:tc>
        <w:tc>
          <w:tcPr>
            <w:tcW w:w="2610" w:type="dxa"/>
            <w:vAlign w:val="center"/>
          </w:tcPr>
          <w:p w:rsidR="00D01098" w:rsidRDefault="00D01098" w:rsidP="004C46BE">
            <w:pPr>
              <w:keepNext/>
              <w:contextualSpacing/>
              <w:jc w:val="center"/>
              <w:rPr>
                <w:rFonts w:eastAsia="Calibri"/>
                <w:sz w:val="26"/>
                <w:szCs w:val="26"/>
              </w:rPr>
            </w:pPr>
            <w:r>
              <w:rPr>
                <w:rFonts w:eastAsia="Calibri"/>
                <w:sz w:val="26"/>
                <w:szCs w:val="26"/>
              </w:rPr>
              <w:t>68,458</w:t>
            </w:r>
          </w:p>
        </w:tc>
      </w:tr>
      <w:tr w:rsidR="00D01098" w:rsidTr="00117A1B">
        <w:trPr>
          <w:trHeight w:val="432"/>
        </w:trPr>
        <w:tc>
          <w:tcPr>
            <w:tcW w:w="2700" w:type="dxa"/>
            <w:vAlign w:val="center"/>
          </w:tcPr>
          <w:p w:rsidR="00D01098" w:rsidRPr="00117A1B" w:rsidRDefault="00D01098" w:rsidP="004C46BE">
            <w:pPr>
              <w:keepNext/>
              <w:contextualSpacing/>
              <w:jc w:val="center"/>
              <w:rPr>
                <w:rFonts w:eastAsia="Calibri"/>
                <w:b/>
                <w:sz w:val="26"/>
                <w:szCs w:val="26"/>
              </w:rPr>
            </w:pPr>
            <w:r w:rsidRPr="00117A1B">
              <w:rPr>
                <w:rFonts w:eastAsia="Calibri"/>
                <w:b/>
                <w:sz w:val="26"/>
                <w:szCs w:val="26"/>
              </w:rPr>
              <w:t>December 2014</w:t>
            </w:r>
          </w:p>
        </w:tc>
        <w:tc>
          <w:tcPr>
            <w:tcW w:w="2610" w:type="dxa"/>
            <w:vAlign w:val="center"/>
          </w:tcPr>
          <w:p w:rsidR="00D01098" w:rsidRDefault="00117A1B" w:rsidP="004C46BE">
            <w:pPr>
              <w:keepNext/>
              <w:tabs>
                <w:tab w:val="left" w:pos="1575"/>
              </w:tabs>
              <w:contextualSpacing/>
              <w:jc w:val="center"/>
              <w:rPr>
                <w:rFonts w:eastAsia="Calibri"/>
                <w:sz w:val="26"/>
                <w:szCs w:val="26"/>
              </w:rPr>
            </w:pPr>
            <w:r>
              <w:rPr>
                <w:rFonts w:eastAsia="Calibri"/>
                <w:sz w:val="26"/>
                <w:szCs w:val="26"/>
              </w:rPr>
              <w:t>61,319</w:t>
            </w:r>
          </w:p>
        </w:tc>
      </w:tr>
      <w:tr w:rsidR="00D01098" w:rsidTr="00117A1B">
        <w:trPr>
          <w:trHeight w:val="432"/>
        </w:trPr>
        <w:tc>
          <w:tcPr>
            <w:tcW w:w="2700" w:type="dxa"/>
            <w:vAlign w:val="center"/>
          </w:tcPr>
          <w:p w:rsidR="00D01098" w:rsidRPr="00117A1B" w:rsidRDefault="00D01098" w:rsidP="004C46BE">
            <w:pPr>
              <w:keepNext/>
              <w:contextualSpacing/>
              <w:jc w:val="center"/>
              <w:rPr>
                <w:rFonts w:eastAsia="Calibri"/>
                <w:b/>
                <w:sz w:val="26"/>
                <w:szCs w:val="26"/>
              </w:rPr>
            </w:pPr>
            <w:r w:rsidRPr="00117A1B">
              <w:rPr>
                <w:rFonts w:eastAsia="Calibri"/>
                <w:b/>
                <w:sz w:val="26"/>
                <w:szCs w:val="26"/>
              </w:rPr>
              <w:t>December 2015</w:t>
            </w:r>
          </w:p>
        </w:tc>
        <w:tc>
          <w:tcPr>
            <w:tcW w:w="2610" w:type="dxa"/>
            <w:vAlign w:val="center"/>
          </w:tcPr>
          <w:p w:rsidR="00D01098" w:rsidRDefault="00117A1B" w:rsidP="004C46BE">
            <w:pPr>
              <w:keepNext/>
              <w:contextualSpacing/>
              <w:jc w:val="center"/>
              <w:rPr>
                <w:rFonts w:eastAsia="Calibri"/>
                <w:sz w:val="26"/>
                <w:szCs w:val="26"/>
              </w:rPr>
            </w:pPr>
            <w:r>
              <w:rPr>
                <w:rFonts w:eastAsia="Calibri"/>
                <w:sz w:val="26"/>
                <w:szCs w:val="26"/>
              </w:rPr>
              <w:t>58,282</w:t>
            </w:r>
          </w:p>
        </w:tc>
      </w:tr>
      <w:tr w:rsidR="00D65142" w:rsidTr="00117A1B">
        <w:trPr>
          <w:trHeight w:val="432"/>
        </w:trPr>
        <w:tc>
          <w:tcPr>
            <w:tcW w:w="2700" w:type="dxa"/>
            <w:vAlign w:val="center"/>
          </w:tcPr>
          <w:p w:rsidR="00D65142" w:rsidRPr="00117A1B" w:rsidRDefault="00D65142" w:rsidP="004C46BE">
            <w:pPr>
              <w:keepNext/>
              <w:contextualSpacing/>
              <w:jc w:val="center"/>
              <w:rPr>
                <w:rFonts w:eastAsia="Calibri"/>
                <w:b/>
                <w:sz w:val="26"/>
                <w:szCs w:val="26"/>
              </w:rPr>
            </w:pPr>
            <w:r>
              <w:rPr>
                <w:rFonts w:eastAsia="Calibri"/>
                <w:b/>
                <w:sz w:val="26"/>
                <w:szCs w:val="26"/>
              </w:rPr>
              <w:t>December 2016</w:t>
            </w:r>
          </w:p>
        </w:tc>
        <w:tc>
          <w:tcPr>
            <w:tcW w:w="2610" w:type="dxa"/>
            <w:vAlign w:val="center"/>
          </w:tcPr>
          <w:p w:rsidR="00D65142" w:rsidRDefault="00D65142" w:rsidP="004C46BE">
            <w:pPr>
              <w:keepNext/>
              <w:contextualSpacing/>
              <w:jc w:val="center"/>
              <w:rPr>
                <w:rFonts w:eastAsia="Calibri"/>
                <w:sz w:val="26"/>
                <w:szCs w:val="26"/>
              </w:rPr>
            </w:pPr>
            <w:r>
              <w:rPr>
                <w:rFonts w:eastAsia="Calibri"/>
                <w:sz w:val="26"/>
                <w:szCs w:val="26"/>
              </w:rPr>
              <w:t>49,321</w:t>
            </w:r>
          </w:p>
        </w:tc>
      </w:tr>
    </w:tbl>
    <w:p w:rsidR="00117A1B" w:rsidRPr="00C47F76" w:rsidRDefault="00117A1B" w:rsidP="004C46BE">
      <w:pPr>
        <w:spacing w:after="0" w:line="360" w:lineRule="auto"/>
        <w:contextualSpacing/>
        <w:rPr>
          <w:rFonts w:ascii="Times New Roman" w:eastAsia="Calibri" w:hAnsi="Times New Roman" w:cs="Times New Roman"/>
          <w:i/>
          <w:sz w:val="26"/>
          <w:szCs w:val="26"/>
        </w:rPr>
      </w:pPr>
      <w:r>
        <w:rPr>
          <w:rFonts w:ascii="Times New Roman" w:eastAsia="Calibri" w:hAnsi="Times New Roman" w:cs="Times New Roman"/>
          <w:i/>
          <w:sz w:val="26"/>
          <w:szCs w:val="26"/>
        </w:rPr>
        <w:t xml:space="preserve">                              </w:t>
      </w:r>
      <w:r w:rsidRPr="00C47F76">
        <w:rPr>
          <w:rFonts w:ascii="Times New Roman" w:eastAsia="Calibri" w:hAnsi="Times New Roman" w:cs="Times New Roman"/>
          <w:i/>
          <w:sz w:val="26"/>
          <w:szCs w:val="26"/>
        </w:rPr>
        <w:t>Source: PGW</w:t>
      </w:r>
    </w:p>
    <w:p w:rsidR="00D01098" w:rsidRPr="00D01098" w:rsidRDefault="00D01098" w:rsidP="004C46BE">
      <w:pPr>
        <w:spacing w:after="0" w:line="360" w:lineRule="auto"/>
        <w:contextualSpacing/>
        <w:rPr>
          <w:rFonts w:ascii="Times New Roman" w:eastAsia="Calibri" w:hAnsi="Times New Roman" w:cs="Times New Roman"/>
          <w:sz w:val="26"/>
          <w:szCs w:val="26"/>
        </w:rPr>
      </w:pPr>
    </w:p>
    <w:p w:rsidR="00651368" w:rsidRDefault="00E54EE3" w:rsidP="004C46BE">
      <w:pPr>
        <w:spacing w:line="360" w:lineRule="auto"/>
        <w:ind w:firstLine="720"/>
        <w:contextualSpacing/>
        <w:rPr>
          <w:rFonts w:ascii="Times New Roman" w:eastAsia="Calibri" w:hAnsi="Times New Roman" w:cs="Times New Roman"/>
          <w:sz w:val="26"/>
          <w:szCs w:val="26"/>
        </w:rPr>
      </w:pPr>
      <w:r>
        <w:rPr>
          <w:rFonts w:ascii="Times New Roman" w:eastAsia="Calibri" w:hAnsi="Times New Roman" w:cs="Times New Roman"/>
          <w:sz w:val="26"/>
          <w:szCs w:val="26"/>
        </w:rPr>
        <w:t>The Commission</w:t>
      </w:r>
      <w:r w:rsidR="00651368">
        <w:rPr>
          <w:rFonts w:ascii="Times New Roman" w:eastAsia="Calibri" w:hAnsi="Times New Roman" w:cs="Times New Roman"/>
          <w:sz w:val="26"/>
          <w:szCs w:val="26"/>
        </w:rPr>
        <w:t xml:space="preserve"> addressed its</w:t>
      </w:r>
      <w:r>
        <w:rPr>
          <w:rFonts w:ascii="Times New Roman" w:eastAsia="Calibri" w:hAnsi="Times New Roman" w:cs="Times New Roman"/>
          <w:sz w:val="26"/>
          <w:szCs w:val="26"/>
        </w:rPr>
        <w:t xml:space="preserve"> concerns about </w:t>
      </w:r>
      <w:r w:rsidR="00651368">
        <w:rPr>
          <w:rFonts w:ascii="Times New Roman" w:eastAsia="Calibri" w:hAnsi="Times New Roman" w:cs="Times New Roman"/>
          <w:sz w:val="26"/>
          <w:szCs w:val="26"/>
        </w:rPr>
        <w:t xml:space="preserve">the ongoing </w:t>
      </w:r>
      <w:r>
        <w:rPr>
          <w:rFonts w:ascii="Times New Roman" w:eastAsia="Calibri" w:hAnsi="Times New Roman" w:cs="Times New Roman"/>
          <w:sz w:val="26"/>
          <w:szCs w:val="26"/>
        </w:rPr>
        <w:t>declin</w:t>
      </w:r>
      <w:r w:rsidR="00651368">
        <w:rPr>
          <w:rFonts w:ascii="Times New Roman" w:eastAsia="Calibri" w:hAnsi="Times New Roman" w:cs="Times New Roman"/>
          <w:sz w:val="26"/>
          <w:szCs w:val="26"/>
        </w:rPr>
        <w:t xml:space="preserve">e </w:t>
      </w:r>
      <w:r w:rsidR="00141739">
        <w:rPr>
          <w:rFonts w:ascii="Times New Roman" w:eastAsia="Calibri" w:hAnsi="Times New Roman" w:cs="Times New Roman"/>
          <w:sz w:val="26"/>
          <w:szCs w:val="26"/>
        </w:rPr>
        <w:t xml:space="preserve">of </w:t>
      </w:r>
      <w:r>
        <w:rPr>
          <w:rFonts w:ascii="Times New Roman" w:eastAsia="Calibri" w:hAnsi="Times New Roman" w:cs="Times New Roman"/>
          <w:sz w:val="26"/>
          <w:szCs w:val="26"/>
        </w:rPr>
        <w:t xml:space="preserve">CRP enrollment in </w:t>
      </w:r>
      <w:r w:rsidR="00651368">
        <w:rPr>
          <w:rFonts w:ascii="Times New Roman" w:eastAsia="Calibri" w:hAnsi="Times New Roman" w:cs="Times New Roman"/>
          <w:sz w:val="26"/>
          <w:szCs w:val="26"/>
        </w:rPr>
        <w:t xml:space="preserve">PGW’s 2014-2016 USECP proceeding.  </w:t>
      </w:r>
      <w:r w:rsidR="00651368" w:rsidRPr="00141739">
        <w:rPr>
          <w:rFonts w:ascii="Times New Roman" w:eastAsia="Calibri" w:hAnsi="Times New Roman" w:cs="Times New Roman"/>
          <w:i/>
          <w:sz w:val="26"/>
          <w:szCs w:val="26"/>
        </w:rPr>
        <w:t>See PGW 2014-2016 USECP Final Order</w:t>
      </w:r>
      <w:r w:rsidR="00651368">
        <w:rPr>
          <w:rFonts w:ascii="Times New Roman" w:eastAsia="Calibri" w:hAnsi="Times New Roman" w:cs="Times New Roman"/>
          <w:sz w:val="26"/>
          <w:szCs w:val="26"/>
        </w:rPr>
        <w:t xml:space="preserve"> at 64-69.</w:t>
      </w:r>
      <w:r w:rsidR="00141739">
        <w:rPr>
          <w:rFonts w:ascii="Times New Roman" w:eastAsia="Calibri" w:hAnsi="Times New Roman" w:cs="Times New Roman"/>
          <w:sz w:val="26"/>
          <w:szCs w:val="26"/>
        </w:rPr>
        <w:t xml:space="preserve">  In that proceeding, PGW </w:t>
      </w:r>
      <w:r w:rsidR="00485E43">
        <w:rPr>
          <w:rFonts w:ascii="Times New Roman" w:eastAsia="Calibri" w:hAnsi="Times New Roman" w:cs="Times New Roman"/>
          <w:sz w:val="26"/>
          <w:szCs w:val="26"/>
        </w:rPr>
        <w:t xml:space="preserve">had </w:t>
      </w:r>
      <w:r w:rsidR="00141739">
        <w:rPr>
          <w:rFonts w:ascii="Times New Roman" w:eastAsia="Calibri" w:hAnsi="Times New Roman" w:cs="Times New Roman"/>
          <w:sz w:val="26"/>
          <w:szCs w:val="26"/>
        </w:rPr>
        <w:t xml:space="preserve">reported </w:t>
      </w:r>
      <w:r w:rsidR="009A1777">
        <w:rPr>
          <w:rFonts w:ascii="Times New Roman" w:eastAsia="Calibri" w:hAnsi="Times New Roman" w:cs="Times New Roman"/>
          <w:sz w:val="26"/>
          <w:szCs w:val="26"/>
        </w:rPr>
        <w:t xml:space="preserve">that </w:t>
      </w:r>
      <w:r w:rsidR="00141739">
        <w:rPr>
          <w:rFonts w:ascii="Times New Roman" w:eastAsia="Calibri" w:hAnsi="Times New Roman" w:cs="Times New Roman"/>
          <w:sz w:val="26"/>
          <w:szCs w:val="26"/>
        </w:rPr>
        <w:t xml:space="preserve">it planned to expand its CRP </w:t>
      </w:r>
      <w:r w:rsidR="00141739" w:rsidRPr="00FA1360">
        <w:rPr>
          <w:rFonts w:ascii="Times New Roman" w:eastAsia="Calibri" w:hAnsi="Times New Roman" w:cs="Times New Roman"/>
          <w:sz w:val="26"/>
          <w:szCs w:val="26"/>
        </w:rPr>
        <w:t xml:space="preserve">outreach </w:t>
      </w:r>
      <w:r w:rsidR="00141739">
        <w:rPr>
          <w:rFonts w:ascii="Times New Roman" w:eastAsia="Calibri" w:hAnsi="Times New Roman" w:cs="Times New Roman"/>
          <w:sz w:val="26"/>
          <w:szCs w:val="26"/>
        </w:rPr>
        <w:t xml:space="preserve">to </w:t>
      </w:r>
      <w:r w:rsidR="00141739" w:rsidRPr="00FA1360">
        <w:rPr>
          <w:rFonts w:ascii="Times New Roman" w:eastAsia="Calibri" w:hAnsi="Times New Roman" w:cs="Times New Roman"/>
          <w:sz w:val="26"/>
          <w:szCs w:val="26"/>
        </w:rPr>
        <w:t>target low income cu</w:t>
      </w:r>
      <w:r w:rsidR="00141739">
        <w:rPr>
          <w:rFonts w:ascii="Times New Roman" w:eastAsia="Calibri" w:hAnsi="Times New Roman" w:cs="Times New Roman"/>
          <w:sz w:val="26"/>
          <w:szCs w:val="26"/>
        </w:rPr>
        <w:t xml:space="preserve">stomers not enrolled in CRP, </w:t>
      </w:r>
      <w:r w:rsidR="00141739" w:rsidRPr="00FA1360">
        <w:rPr>
          <w:rFonts w:ascii="Times New Roman" w:eastAsia="Calibri" w:hAnsi="Times New Roman" w:cs="Times New Roman"/>
          <w:sz w:val="26"/>
          <w:szCs w:val="26"/>
        </w:rPr>
        <w:t xml:space="preserve">participants in </w:t>
      </w:r>
      <w:r w:rsidR="00141739" w:rsidRPr="00B056A4">
        <w:rPr>
          <w:rFonts w:ascii="Times New Roman" w:eastAsia="Calibri" w:hAnsi="Times New Roman" w:cs="Times New Roman"/>
          <w:sz w:val="26"/>
          <w:szCs w:val="26"/>
        </w:rPr>
        <w:t>SCD</w:t>
      </w:r>
      <w:r w:rsidR="00141739" w:rsidRPr="00FA1360">
        <w:rPr>
          <w:rFonts w:ascii="Times New Roman" w:eastAsia="Calibri" w:hAnsi="Times New Roman" w:cs="Times New Roman"/>
          <w:sz w:val="26"/>
          <w:szCs w:val="26"/>
        </w:rPr>
        <w:t xml:space="preserve"> who may benefit from the program</w:t>
      </w:r>
      <w:r w:rsidR="00141739">
        <w:rPr>
          <w:rFonts w:ascii="Times New Roman" w:eastAsia="Calibri" w:hAnsi="Times New Roman" w:cs="Times New Roman"/>
          <w:sz w:val="26"/>
          <w:szCs w:val="26"/>
        </w:rPr>
        <w:t>, low-</w:t>
      </w:r>
      <w:r w:rsidR="00141739" w:rsidRPr="00FA1360">
        <w:rPr>
          <w:rFonts w:ascii="Times New Roman" w:eastAsia="Calibri" w:hAnsi="Times New Roman" w:cs="Times New Roman"/>
          <w:sz w:val="26"/>
          <w:szCs w:val="26"/>
        </w:rPr>
        <w:t>income custo</w:t>
      </w:r>
      <w:r w:rsidR="00141739">
        <w:rPr>
          <w:rFonts w:ascii="Times New Roman" w:eastAsia="Calibri" w:hAnsi="Times New Roman" w:cs="Times New Roman"/>
          <w:sz w:val="26"/>
          <w:szCs w:val="26"/>
        </w:rPr>
        <w:t xml:space="preserve">mers with payment arrangements, and customers </w:t>
      </w:r>
      <w:r w:rsidR="00141739" w:rsidRPr="00FA1360">
        <w:rPr>
          <w:rFonts w:ascii="Times New Roman" w:eastAsia="Calibri" w:hAnsi="Times New Roman" w:cs="Times New Roman"/>
          <w:sz w:val="26"/>
          <w:szCs w:val="26"/>
        </w:rPr>
        <w:t xml:space="preserve">who have received LIHEAP and are in </w:t>
      </w:r>
      <w:r w:rsidR="009A1777">
        <w:rPr>
          <w:rFonts w:ascii="Times New Roman" w:eastAsia="Calibri" w:hAnsi="Times New Roman" w:cs="Times New Roman"/>
          <w:sz w:val="26"/>
          <w:szCs w:val="26"/>
        </w:rPr>
        <w:t>arrears</w:t>
      </w:r>
      <w:r w:rsidR="00141739" w:rsidRPr="00FA1360">
        <w:rPr>
          <w:rFonts w:ascii="Times New Roman" w:eastAsia="Calibri" w:hAnsi="Times New Roman" w:cs="Times New Roman"/>
          <w:sz w:val="26"/>
          <w:szCs w:val="26"/>
        </w:rPr>
        <w:t>.</w:t>
      </w:r>
      <w:r w:rsidR="00273F1C">
        <w:rPr>
          <w:rFonts w:ascii="Times New Roman" w:eastAsia="Calibri" w:hAnsi="Times New Roman" w:cs="Times New Roman"/>
          <w:sz w:val="26"/>
          <w:szCs w:val="26"/>
        </w:rPr>
        <w:t xml:space="preserve">  PGW 2014-2016 Plan at</w:t>
      </w:r>
      <w:r w:rsidR="00485E43">
        <w:rPr>
          <w:rFonts w:ascii="Times New Roman" w:eastAsia="Calibri" w:hAnsi="Times New Roman" w:cs="Times New Roman"/>
          <w:sz w:val="26"/>
          <w:szCs w:val="26"/>
        </w:rPr>
        <w:t> </w:t>
      </w:r>
      <w:r w:rsidR="00273F1C">
        <w:rPr>
          <w:rFonts w:ascii="Times New Roman" w:eastAsia="Calibri" w:hAnsi="Times New Roman" w:cs="Times New Roman"/>
          <w:sz w:val="26"/>
          <w:szCs w:val="26"/>
        </w:rPr>
        <w:t xml:space="preserve">5, 16; </w:t>
      </w:r>
      <w:r w:rsidR="00273F1C" w:rsidRPr="00FA1360">
        <w:rPr>
          <w:rFonts w:ascii="Times New Roman" w:eastAsia="Calibri" w:hAnsi="Times New Roman" w:cs="Times New Roman"/>
          <w:sz w:val="26"/>
          <w:szCs w:val="26"/>
        </w:rPr>
        <w:t xml:space="preserve">PGW </w:t>
      </w:r>
      <w:r w:rsidR="00A4527D">
        <w:rPr>
          <w:rFonts w:ascii="Times New Roman" w:eastAsia="Calibri" w:hAnsi="Times New Roman" w:cs="Times New Roman"/>
          <w:sz w:val="26"/>
          <w:szCs w:val="26"/>
        </w:rPr>
        <w:t xml:space="preserve">2014-2016 USECP </w:t>
      </w:r>
      <w:r w:rsidR="00273F1C" w:rsidRPr="00FA1360">
        <w:rPr>
          <w:rFonts w:ascii="Times New Roman" w:eastAsia="Calibri" w:hAnsi="Times New Roman" w:cs="Times New Roman"/>
          <w:sz w:val="26"/>
          <w:szCs w:val="26"/>
        </w:rPr>
        <w:t>Reply Comments at 7</w:t>
      </w:r>
      <w:r w:rsidR="005B726C">
        <w:rPr>
          <w:rFonts w:ascii="Times New Roman" w:eastAsia="Calibri" w:hAnsi="Times New Roman" w:cs="Times New Roman"/>
          <w:sz w:val="26"/>
          <w:szCs w:val="26"/>
        </w:rPr>
        <w:t>.  In its</w:t>
      </w:r>
      <w:r w:rsidR="00273F1C">
        <w:rPr>
          <w:rFonts w:ascii="Times New Roman" w:eastAsia="Calibri" w:hAnsi="Times New Roman" w:cs="Times New Roman"/>
          <w:sz w:val="26"/>
          <w:szCs w:val="26"/>
        </w:rPr>
        <w:t xml:space="preserve"> </w:t>
      </w:r>
      <w:r w:rsidR="00A4527D">
        <w:rPr>
          <w:rFonts w:ascii="Times New Roman" w:eastAsia="Calibri" w:hAnsi="Times New Roman" w:cs="Times New Roman"/>
          <w:sz w:val="26"/>
          <w:szCs w:val="26"/>
        </w:rPr>
        <w:t>Revised 2014-2016 USECP</w:t>
      </w:r>
      <w:r w:rsidR="00273F1C">
        <w:rPr>
          <w:rFonts w:ascii="Times New Roman" w:eastAsia="Calibri" w:hAnsi="Times New Roman" w:cs="Times New Roman"/>
          <w:sz w:val="26"/>
          <w:szCs w:val="26"/>
        </w:rPr>
        <w:t xml:space="preserve">, </w:t>
      </w:r>
      <w:r w:rsidR="005B726C">
        <w:rPr>
          <w:rFonts w:ascii="Times New Roman" w:eastAsia="Calibri" w:hAnsi="Times New Roman" w:cs="Times New Roman"/>
          <w:sz w:val="26"/>
          <w:szCs w:val="26"/>
        </w:rPr>
        <w:t>PGW also explained that it was planning to re-evaluate its CRP outreach campaign annually:</w:t>
      </w:r>
    </w:p>
    <w:p w:rsidR="00273F1C" w:rsidRDefault="00273F1C" w:rsidP="00231829">
      <w:pPr>
        <w:spacing w:line="360" w:lineRule="auto"/>
        <w:ind w:firstLine="720"/>
        <w:contextualSpacing/>
        <w:rPr>
          <w:rFonts w:ascii="Times New Roman" w:eastAsia="Calibri" w:hAnsi="Times New Roman" w:cs="Times New Roman"/>
          <w:sz w:val="26"/>
          <w:szCs w:val="26"/>
        </w:rPr>
      </w:pPr>
    </w:p>
    <w:p w:rsidR="00273F1C" w:rsidRDefault="00273F1C" w:rsidP="00273F1C">
      <w:pPr>
        <w:spacing w:line="240" w:lineRule="auto"/>
        <w:ind w:left="720" w:right="720"/>
        <w:contextualSpacing/>
        <w:rPr>
          <w:rFonts w:ascii="Times New Roman" w:eastAsia="Calibri" w:hAnsi="Times New Roman" w:cs="Times New Roman"/>
          <w:sz w:val="26"/>
          <w:szCs w:val="26"/>
        </w:rPr>
      </w:pPr>
      <w:r>
        <w:rPr>
          <w:rFonts w:ascii="Times New Roman" w:eastAsia="Calibri" w:hAnsi="Times New Roman" w:cs="Times New Roman"/>
          <w:sz w:val="26"/>
          <w:szCs w:val="26"/>
        </w:rPr>
        <w:t xml:space="preserve">By the end </w:t>
      </w:r>
      <w:r w:rsidRPr="00273F1C">
        <w:rPr>
          <w:rFonts w:ascii="Times New Roman" w:eastAsia="Calibri" w:hAnsi="Times New Roman" w:cs="Times New Roman"/>
          <w:sz w:val="26"/>
          <w:szCs w:val="26"/>
        </w:rPr>
        <w:t>of 2014, PGW expects to identify at</w:t>
      </w:r>
      <w:r>
        <w:rPr>
          <w:rFonts w:ascii="Times New Roman" w:eastAsia="Calibri" w:hAnsi="Times New Roman" w:cs="Times New Roman"/>
          <w:sz w:val="26"/>
          <w:szCs w:val="26"/>
        </w:rPr>
        <w:t xml:space="preserve"> least 10,000 customers who are </w:t>
      </w:r>
      <w:r w:rsidRPr="00273F1C">
        <w:rPr>
          <w:rFonts w:ascii="Times New Roman" w:eastAsia="Calibri" w:hAnsi="Times New Roman" w:cs="Times New Roman"/>
          <w:sz w:val="26"/>
          <w:szCs w:val="26"/>
        </w:rPr>
        <w:t>potentially eligible for CRP to include in t</w:t>
      </w:r>
      <w:r>
        <w:rPr>
          <w:rFonts w:ascii="Times New Roman" w:eastAsia="Calibri" w:hAnsi="Times New Roman" w:cs="Times New Roman"/>
          <w:sz w:val="26"/>
          <w:szCs w:val="26"/>
        </w:rPr>
        <w:t xml:space="preserve">he campaign and at least 15,000 </w:t>
      </w:r>
      <w:r w:rsidRPr="00273F1C">
        <w:rPr>
          <w:rFonts w:ascii="Times New Roman" w:eastAsia="Calibri" w:hAnsi="Times New Roman" w:cs="Times New Roman"/>
          <w:sz w:val="26"/>
          <w:szCs w:val="26"/>
        </w:rPr>
        <w:t xml:space="preserve">customers in each year following. </w:t>
      </w:r>
      <w:r w:rsidR="00485E43">
        <w:rPr>
          <w:rFonts w:ascii="Times New Roman" w:eastAsia="Calibri" w:hAnsi="Times New Roman" w:cs="Times New Roman"/>
          <w:sz w:val="26"/>
          <w:szCs w:val="26"/>
        </w:rPr>
        <w:t xml:space="preserve"> </w:t>
      </w:r>
      <w:r w:rsidRPr="00273F1C">
        <w:rPr>
          <w:rFonts w:ascii="Times New Roman" w:eastAsia="Calibri" w:hAnsi="Times New Roman" w:cs="Times New Roman"/>
          <w:sz w:val="26"/>
          <w:szCs w:val="26"/>
        </w:rPr>
        <w:t>Each</w:t>
      </w:r>
      <w:r>
        <w:rPr>
          <w:rFonts w:ascii="Times New Roman" w:eastAsia="Calibri" w:hAnsi="Times New Roman" w:cs="Times New Roman"/>
          <w:sz w:val="26"/>
          <w:szCs w:val="26"/>
        </w:rPr>
        <w:t xml:space="preserve"> campaign will be evaluated for </w:t>
      </w:r>
      <w:r w:rsidRPr="00273F1C">
        <w:rPr>
          <w:rFonts w:ascii="Times New Roman" w:eastAsia="Calibri" w:hAnsi="Times New Roman" w:cs="Times New Roman"/>
          <w:sz w:val="26"/>
          <w:szCs w:val="26"/>
        </w:rPr>
        <w:t>effectiveness and lessons learned wil</w:t>
      </w:r>
      <w:r>
        <w:rPr>
          <w:rFonts w:ascii="Times New Roman" w:eastAsia="Calibri" w:hAnsi="Times New Roman" w:cs="Times New Roman"/>
          <w:sz w:val="26"/>
          <w:szCs w:val="26"/>
        </w:rPr>
        <w:t xml:space="preserve">l be used to improve successive </w:t>
      </w:r>
      <w:r w:rsidRPr="00273F1C">
        <w:rPr>
          <w:rFonts w:ascii="Times New Roman" w:eastAsia="Calibri" w:hAnsi="Times New Roman" w:cs="Times New Roman"/>
          <w:sz w:val="26"/>
          <w:szCs w:val="26"/>
        </w:rPr>
        <w:t>campaigns.</w:t>
      </w:r>
    </w:p>
    <w:p w:rsidR="00651368" w:rsidRDefault="00651368" w:rsidP="00231829">
      <w:pPr>
        <w:spacing w:line="360" w:lineRule="auto"/>
        <w:ind w:firstLine="720"/>
        <w:contextualSpacing/>
        <w:rPr>
          <w:rFonts w:ascii="Times New Roman" w:eastAsia="Calibri" w:hAnsi="Times New Roman" w:cs="Times New Roman"/>
          <w:sz w:val="26"/>
          <w:szCs w:val="26"/>
        </w:rPr>
      </w:pPr>
    </w:p>
    <w:p w:rsidR="00273F1C" w:rsidRDefault="00A4527D" w:rsidP="00BB4CA1">
      <w:pPr>
        <w:spacing w:line="360" w:lineRule="auto"/>
        <w:contextualSpacing/>
        <w:rPr>
          <w:rFonts w:ascii="Times New Roman" w:eastAsia="Calibri" w:hAnsi="Times New Roman" w:cs="Times New Roman"/>
          <w:sz w:val="26"/>
          <w:szCs w:val="26"/>
        </w:rPr>
      </w:pPr>
      <w:r>
        <w:rPr>
          <w:rFonts w:ascii="Times New Roman" w:eastAsia="Calibri" w:hAnsi="Times New Roman" w:cs="Times New Roman"/>
          <w:sz w:val="26"/>
          <w:szCs w:val="26"/>
        </w:rPr>
        <w:t xml:space="preserve">PGW Revised 2014-2016 </w:t>
      </w:r>
      <w:r w:rsidR="000001E1">
        <w:rPr>
          <w:rFonts w:ascii="Times New Roman" w:eastAsia="Calibri" w:hAnsi="Times New Roman" w:cs="Times New Roman"/>
          <w:sz w:val="26"/>
          <w:szCs w:val="26"/>
        </w:rPr>
        <w:t xml:space="preserve">Plan </w:t>
      </w:r>
      <w:r w:rsidR="00273F1C">
        <w:rPr>
          <w:rFonts w:ascii="Times New Roman" w:eastAsia="Calibri" w:hAnsi="Times New Roman" w:cs="Times New Roman"/>
          <w:sz w:val="26"/>
          <w:szCs w:val="26"/>
        </w:rPr>
        <w:t>at 16.</w:t>
      </w:r>
    </w:p>
    <w:p w:rsidR="00273F1C" w:rsidRDefault="00273F1C" w:rsidP="00231829">
      <w:pPr>
        <w:spacing w:line="360" w:lineRule="auto"/>
        <w:ind w:firstLine="720"/>
        <w:contextualSpacing/>
        <w:rPr>
          <w:rFonts w:ascii="Times New Roman" w:eastAsia="Calibri" w:hAnsi="Times New Roman" w:cs="Times New Roman"/>
          <w:sz w:val="26"/>
          <w:szCs w:val="26"/>
        </w:rPr>
      </w:pPr>
    </w:p>
    <w:p w:rsidR="005B726C" w:rsidRDefault="00BB4CA1" w:rsidP="00231829">
      <w:pPr>
        <w:spacing w:line="360" w:lineRule="auto"/>
        <w:ind w:firstLine="720"/>
        <w:contextualSpacing/>
        <w:rPr>
          <w:rFonts w:ascii="Times New Roman" w:eastAsia="Calibri" w:hAnsi="Times New Roman" w:cs="Times New Roman"/>
          <w:sz w:val="26"/>
          <w:szCs w:val="26"/>
        </w:rPr>
      </w:pPr>
      <w:r>
        <w:rPr>
          <w:rFonts w:ascii="Times New Roman" w:eastAsia="Calibri" w:hAnsi="Times New Roman" w:cs="Times New Roman"/>
          <w:sz w:val="26"/>
          <w:szCs w:val="26"/>
        </w:rPr>
        <w:t>T</w:t>
      </w:r>
      <w:r w:rsidR="00917431">
        <w:rPr>
          <w:rFonts w:ascii="Times New Roman" w:eastAsia="Calibri" w:hAnsi="Times New Roman" w:cs="Times New Roman"/>
          <w:sz w:val="26"/>
          <w:szCs w:val="26"/>
        </w:rPr>
        <w:t xml:space="preserve">he </w:t>
      </w:r>
      <w:r w:rsidR="009A1777">
        <w:rPr>
          <w:rFonts w:ascii="Times New Roman" w:eastAsia="Calibri" w:hAnsi="Times New Roman" w:cs="Times New Roman"/>
          <w:sz w:val="26"/>
          <w:szCs w:val="26"/>
        </w:rPr>
        <w:t xml:space="preserve">Amended </w:t>
      </w:r>
      <w:r w:rsidR="00917431">
        <w:rPr>
          <w:rFonts w:ascii="Times New Roman" w:eastAsia="Calibri" w:hAnsi="Times New Roman" w:cs="Times New Roman"/>
          <w:sz w:val="26"/>
          <w:szCs w:val="26"/>
        </w:rPr>
        <w:t xml:space="preserve">Proposed 2017-2020 Plan proposes </w:t>
      </w:r>
      <w:r w:rsidR="000A394B">
        <w:rPr>
          <w:rFonts w:ascii="Times New Roman" w:eastAsia="Calibri" w:hAnsi="Times New Roman" w:cs="Times New Roman"/>
          <w:sz w:val="26"/>
          <w:szCs w:val="26"/>
        </w:rPr>
        <w:t xml:space="preserve">additional </w:t>
      </w:r>
      <w:r w:rsidR="00917431">
        <w:rPr>
          <w:rFonts w:ascii="Times New Roman" w:eastAsia="Calibri" w:hAnsi="Times New Roman" w:cs="Times New Roman"/>
          <w:sz w:val="26"/>
          <w:szCs w:val="26"/>
        </w:rPr>
        <w:t>modifications to CR</w:t>
      </w:r>
      <w:r w:rsidR="00E32015">
        <w:rPr>
          <w:rFonts w:ascii="Times New Roman" w:eastAsia="Calibri" w:hAnsi="Times New Roman" w:cs="Times New Roman"/>
          <w:sz w:val="26"/>
          <w:szCs w:val="26"/>
        </w:rPr>
        <w:t>P outreach and recertification</w:t>
      </w:r>
      <w:r w:rsidR="000A394B">
        <w:rPr>
          <w:rFonts w:ascii="Times New Roman" w:eastAsia="Calibri" w:hAnsi="Times New Roman" w:cs="Times New Roman"/>
          <w:sz w:val="26"/>
          <w:szCs w:val="26"/>
        </w:rPr>
        <w:t xml:space="preserve"> in an effort to </w:t>
      </w:r>
      <w:r w:rsidR="00917431">
        <w:rPr>
          <w:rFonts w:ascii="Times New Roman" w:eastAsia="Calibri" w:hAnsi="Times New Roman" w:cs="Times New Roman"/>
          <w:sz w:val="26"/>
          <w:szCs w:val="26"/>
        </w:rPr>
        <w:t xml:space="preserve">increase the number of </w:t>
      </w:r>
      <w:r w:rsidR="00E32015">
        <w:rPr>
          <w:rFonts w:ascii="Times New Roman" w:eastAsia="Calibri" w:hAnsi="Times New Roman" w:cs="Times New Roman"/>
          <w:sz w:val="26"/>
          <w:szCs w:val="26"/>
        </w:rPr>
        <w:t xml:space="preserve">CRP </w:t>
      </w:r>
      <w:r w:rsidR="00917431">
        <w:rPr>
          <w:rFonts w:ascii="Times New Roman" w:eastAsia="Calibri" w:hAnsi="Times New Roman" w:cs="Times New Roman"/>
          <w:sz w:val="26"/>
          <w:szCs w:val="26"/>
        </w:rPr>
        <w:t xml:space="preserve">applicants </w:t>
      </w:r>
      <w:r w:rsidR="00917431">
        <w:rPr>
          <w:rFonts w:ascii="Times New Roman" w:eastAsia="Calibri" w:hAnsi="Times New Roman" w:cs="Times New Roman"/>
          <w:sz w:val="26"/>
          <w:szCs w:val="26"/>
        </w:rPr>
        <w:lastRenderedPageBreak/>
        <w:t xml:space="preserve">and decrease the number of customers who leave the program.  Specifically, </w:t>
      </w:r>
      <w:r w:rsidR="00B056A4">
        <w:rPr>
          <w:rFonts w:ascii="Times New Roman" w:eastAsia="Calibri" w:hAnsi="Times New Roman" w:cs="Times New Roman"/>
          <w:sz w:val="26"/>
          <w:szCs w:val="26"/>
        </w:rPr>
        <w:t xml:space="preserve">PGW </w:t>
      </w:r>
      <w:r w:rsidR="00917431">
        <w:rPr>
          <w:rFonts w:ascii="Times New Roman" w:eastAsia="Calibri" w:hAnsi="Times New Roman" w:cs="Times New Roman"/>
          <w:sz w:val="26"/>
          <w:szCs w:val="26"/>
        </w:rPr>
        <w:t xml:space="preserve">proposes to increase outreach to customers who speak Spanish and provide specialized training to bilingual customer service representatives.  </w:t>
      </w:r>
      <w:r w:rsidR="00B056A4">
        <w:rPr>
          <w:rFonts w:ascii="Times New Roman" w:eastAsia="Calibri" w:hAnsi="Times New Roman" w:cs="Times New Roman"/>
          <w:sz w:val="26"/>
          <w:szCs w:val="26"/>
        </w:rPr>
        <w:t xml:space="preserve">PGW </w:t>
      </w:r>
      <w:r w:rsidR="00917431">
        <w:rPr>
          <w:rFonts w:ascii="Times New Roman" w:eastAsia="Calibri" w:hAnsi="Times New Roman" w:cs="Times New Roman"/>
          <w:sz w:val="26"/>
          <w:szCs w:val="26"/>
        </w:rPr>
        <w:t>also proposes to g</w:t>
      </w:r>
      <w:r w:rsidR="000A394B">
        <w:rPr>
          <w:rFonts w:ascii="Times New Roman" w:eastAsia="Calibri" w:hAnsi="Times New Roman" w:cs="Times New Roman"/>
          <w:sz w:val="26"/>
          <w:szCs w:val="26"/>
        </w:rPr>
        <w:t>ive customers more time and assistance</w:t>
      </w:r>
      <w:r w:rsidR="00917431">
        <w:rPr>
          <w:rFonts w:ascii="Times New Roman" w:eastAsia="Calibri" w:hAnsi="Times New Roman" w:cs="Times New Roman"/>
          <w:sz w:val="26"/>
          <w:szCs w:val="26"/>
        </w:rPr>
        <w:t xml:space="preserve"> to recertify for CRP by extending the recertification timeline from 30 to 45 days, allowing LIHEAP recipients to recertify every three years, and provid</w:t>
      </w:r>
      <w:r w:rsidR="00A01C10">
        <w:rPr>
          <w:rFonts w:ascii="Times New Roman" w:eastAsia="Calibri" w:hAnsi="Times New Roman" w:cs="Times New Roman"/>
          <w:sz w:val="26"/>
          <w:szCs w:val="26"/>
        </w:rPr>
        <w:t>ing</w:t>
      </w:r>
      <w:r w:rsidR="00917431">
        <w:rPr>
          <w:rFonts w:ascii="Times New Roman" w:eastAsia="Calibri" w:hAnsi="Times New Roman" w:cs="Times New Roman"/>
          <w:sz w:val="26"/>
          <w:szCs w:val="26"/>
        </w:rPr>
        <w:t xml:space="preserve"> </w:t>
      </w:r>
      <w:r w:rsidR="00A01C10">
        <w:rPr>
          <w:rFonts w:ascii="Times New Roman" w:eastAsia="Calibri" w:hAnsi="Times New Roman" w:cs="Times New Roman"/>
          <w:sz w:val="26"/>
          <w:szCs w:val="26"/>
        </w:rPr>
        <w:t xml:space="preserve">CRP participants with </w:t>
      </w:r>
      <w:r w:rsidR="00917431">
        <w:rPr>
          <w:rFonts w:ascii="Times New Roman" w:eastAsia="Calibri" w:hAnsi="Times New Roman" w:cs="Times New Roman"/>
          <w:sz w:val="26"/>
          <w:szCs w:val="26"/>
        </w:rPr>
        <w:t xml:space="preserve">additional </w:t>
      </w:r>
      <w:r w:rsidR="00E32015">
        <w:rPr>
          <w:rFonts w:ascii="Times New Roman" w:eastAsia="Calibri" w:hAnsi="Times New Roman" w:cs="Times New Roman"/>
          <w:sz w:val="26"/>
          <w:szCs w:val="26"/>
        </w:rPr>
        <w:t xml:space="preserve">education about the recertification process.  </w:t>
      </w:r>
      <w:r w:rsidR="009A1777">
        <w:rPr>
          <w:rFonts w:ascii="Times New Roman" w:eastAsia="Calibri" w:hAnsi="Times New Roman" w:cs="Times New Roman"/>
          <w:sz w:val="26"/>
          <w:szCs w:val="26"/>
        </w:rPr>
        <w:t xml:space="preserve">Amended </w:t>
      </w:r>
      <w:r w:rsidR="00E32015">
        <w:rPr>
          <w:rFonts w:ascii="Times New Roman" w:eastAsia="Calibri" w:hAnsi="Times New Roman" w:cs="Times New Roman"/>
          <w:sz w:val="26"/>
          <w:szCs w:val="26"/>
        </w:rPr>
        <w:t>Proposed 2017-2020 Plan at 5, 15.</w:t>
      </w:r>
      <w:r>
        <w:rPr>
          <w:rFonts w:ascii="Times New Roman" w:eastAsia="Calibri" w:hAnsi="Times New Roman" w:cs="Times New Roman"/>
          <w:sz w:val="26"/>
          <w:szCs w:val="26"/>
        </w:rPr>
        <w:t xml:space="preserve"> </w:t>
      </w:r>
    </w:p>
    <w:p w:rsidR="00BB4CA1" w:rsidRDefault="00BB4CA1" w:rsidP="00231829">
      <w:pPr>
        <w:spacing w:line="360" w:lineRule="auto"/>
        <w:ind w:firstLine="720"/>
        <w:contextualSpacing/>
        <w:rPr>
          <w:rFonts w:ascii="Times New Roman" w:eastAsia="Calibri" w:hAnsi="Times New Roman" w:cs="Times New Roman"/>
          <w:sz w:val="26"/>
          <w:szCs w:val="26"/>
        </w:rPr>
      </w:pPr>
    </w:p>
    <w:p w:rsidR="009A1777" w:rsidRDefault="009A1777" w:rsidP="00231829">
      <w:pPr>
        <w:spacing w:line="360" w:lineRule="auto"/>
        <w:ind w:firstLine="720"/>
        <w:contextualSpacing/>
        <w:rPr>
          <w:rFonts w:ascii="Times New Roman" w:eastAsia="Calibri" w:hAnsi="Times New Roman" w:cs="Times New Roman"/>
          <w:sz w:val="26"/>
          <w:szCs w:val="26"/>
        </w:rPr>
      </w:pPr>
      <w:r>
        <w:rPr>
          <w:rFonts w:ascii="Times New Roman" w:eastAsia="Calibri" w:hAnsi="Times New Roman" w:cs="Times New Roman"/>
          <w:sz w:val="26"/>
          <w:szCs w:val="26"/>
        </w:rPr>
        <w:t>T</w:t>
      </w:r>
      <w:r w:rsidR="00BB4CA1">
        <w:rPr>
          <w:rFonts w:ascii="Times New Roman" w:eastAsia="Calibri" w:hAnsi="Times New Roman" w:cs="Times New Roman"/>
          <w:sz w:val="26"/>
          <w:szCs w:val="26"/>
        </w:rPr>
        <w:t xml:space="preserve">he </w:t>
      </w:r>
      <w:r>
        <w:rPr>
          <w:rFonts w:ascii="Times New Roman" w:eastAsia="Calibri" w:hAnsi="Times New Roman" w:cs="Times New Roman"/>
          <w:sz w:val="26"/>
          <w:szCs w:val="26"/>
        </w:rPr>
        <w:t xml:space="preserve">Amended </w:t>
      </w:r>
      <w:r w:rsidR="00BB4CA1">
        <w:rPr>
          <w:rFonts w:ascii="Times New Roman" w:eastAsia="Calibri" w:hAnsi="Times New Roman" w:cs="Times New Roman"/>
          <w:sz w:val="26"/>
          <w:szCs w:val="26"/>
        </w:rPr>
        <w:t>Proposed 2017-2020 Plan</w:t>
      </w:r>
      <w:r w:rsidR="006561CF">
        <w:rPr>
          <w:rFonts w:ascii="Times New Roman" w:eastAsia="Calibri" w:hAnsi="Times New Roman" w:cs="Times New Roman"/>
          <w:sz w:val="26"/>
          <w:szCs w:val="26"/>
        </w:rPr>
        <w:t>, however,</w:t>
      </w:r>
      <w:r w:rsidR="00BB4CA1">
        <w:rPr>
          <w:rFonts w:ascii="Times New Roman" w:eastAsia="Calibri" w:hAnsi="Times New Roman" w:cs="Times New Roman"/>
          <w:sz w:val="26"/>
          <w:szCs w:val="26"/>
        </w:rPr>
        <w:t xml:space="preserve"> </w:t>
      </w:r>
      <w:r w:rsidR="001D20A1">
        <w:rPr>
          <w:rFonts w:ascii="Times New Roman" w:eastAsia="Calibri" w:hAnsi="Times New Roman" w:cs="Times New Roman"/>
          <w:sz w:val="26"/>
          <w:szCs w:val="26"/>
        </w:rPr>
        <w:t>no longer</w:t>
      </w:r>
      <w:r w:rsidR="00BB4CA1">
        <w:rPr>
          <w:rFonts w:ascii="Times New Roman" w:eastAsia="Calibri" w:hAnsi="Times New Roman" w:cs="Times New Roman"/>
          <w:sz w:val="26"/>
          <w:szCs w:val="26"/>
        </w:rPr>
        <w:t xml:space="preserve"> include</w:t>
      </w:r>
      <w:r w:rsidR="001D20A1">
        <w:rPr>
          <w:rFonts w:ascii="Times New Roman" w:eastAsia="Calibri" w:hAnsi="Times New Roman" w:cs="Times New Roman"/>
          <w:sz w:val="26"/>
          <w:szCs w:val="26"/>
        </w:rPr>
        <w:t>s</w:t>
      </w:r>
      <w:r w:rsidR="00BB4CA1">
        <w:rPr>
          <w:rFonts w:ascii="Times New Roman" w:eastAsia="Calibri" w:hAnsi="Times New Roman" w:cs="Times New Roman"/>
          <w:sz w:val="26"/>
          <w:szCs w:val="26"/>
        </w:rPr>
        <w:t xml:space="preserve"> targeted CRP outreach </w:t>
      </w:r>
      <w:r w:rsidR="001D20A1">
        <w:rPr>
          <w:rFonts w:ascii="Times New Roman" w:eastAsia="Calibri" w:hAnsi="Times New Roman" w:cs="Times New Roman"/>
          <w:sz w:val="26"/>
          <w:szCs w:val="26"/>
        </w:rPr>
        <w:t xml:space="preserve">to </w:t>
      </w:r>
      <w:r w:rsidR="004C1797" w:rsidRPr="00FA1360">
        <w:rPr>
          <w:rFonts w:ascii="Times New Roman" w:eastAsia="Calibri" w:hAnsi="Times New Roman" w:cs="Times New Roman"/>
          <w:sz w:val="26"/>
          <w:szCs w:val="26"/>
        </w:rPr>
        <w:t xml:space="preserve">participants in SCD who may benefit from the </w:t>
      </w:r>
      <w:r w:rsidR="006F2B98">
        <w:rPr>
          <w:rFonts w:ascii="Times New Roman" w:eastAsia="Calibri" w:hAnsi="Times New Roman" w:cs="Times New Roman"/>
          <w:sz w:val="26"/>
          <w:szCs w:val="26"/>
        </w:rPr>
        <w:t xml:space="preserve">CRP </w:t>
      </w:r>
      <w:r w:rsidR="004C1797" w:rsidRPr="00FA1360">
        <w:rPr>
          <w:rFonts w:ascii="Times New Roman" w:eastAsia="Calibri" w:hAnsi="Times New Roman" w:cs="Times New Roman"/>
          <w:sz w:val="26"/>
          <w:szCs w:val="26"/>
        </w:rPr>
        <w:t>program</w:t>
      </w:r>
      <w:r w:rsidR="001D20A1">
        <w:rPr>
          <w:rFonts w:ascii="Times New Roman" w:eastAsia="Calibri" w:hAnsi="Times New Roman" w:cs="Times New Roman"/>
          <w:sz w:val="26"/>
          <w:szCs w:val="26"/>
        </w:rPr>
        <w:t xml:space="preserve">.  </w:t>
      </w:r>
    </w:p>
    <w:p w:rsidR="009A1777" w:rsidRDefault="009A1777" w:rsidP="00231829">
      <w:pPr>
        <w:spacing w:line="360" w:lineRule="auto"/>
        <w:ind w:firstLine="720"/>
        <w:contextualSpacing/>
        <w:rPr>
          <w:rFonts w:ascii="Times New Roman" w:eastAsia="Calibri" w:hAnsi="Times New Roman" w:cs="Times New Roman"/>
          <w:sz w:val="26"/>
          <w:szCs w:val="26"/>
        </w:rPr>
      </w:pPr>
    </w:p>
    <w:p w:rsidR="00C47F76" w:rsidRDefault="000D6CAE" w:rsidP="006C38AB">
      <w:pPr>
        <w:spacing w:line="360" w:lineRule="auto"/>
        <w:contextualSpacing/>
        <w:rPr>
          <w:rFonts w:ascii="Times New Roman" w:eastAsia="Calibri" w:hAnsi="Times New Roman" w:cs="Times New Roman"/>
          <w:sz w:val="26"/>
          <w:szCs w:val="26"/>
        </w:rPr>
      </w:pPr>
      <w:r>
        <w:rPr>
          <w:rFonts w:ascii="Times New Roman" w:eastAsia="Calibri" w:hAnsi="Times New Roman" w:cs="Times New Roman"/>
          <w:sz w:val="26"/>
          <w:szCs w:val="26"/>
        </w:rPr>
        <w:tab/>
      </w:r>
      <w:r w:rsidRPr="000D6CAE">
        <w:rPr>
          <w:rFonts w:ascii="Times New Roman" w:eastAsia="Calibri" w:hAnsi="Times New Roman" w:cs="Times New Roman"/>
          <w:sz w:val="26"/>
          <w:szCs w:val="26"/>
        </w:rPr>
        <w:t xml:space="preserve">In the </w:t>
      </w:r>
      <w:r>
        <w:rPr>
          <w:rFonts w:ascii="Times New Roman" w:eastAsia="Calibri" w:hAnsi="Times New Roman" w:cs="Times New Roman"/>
          <w:sz w:val="26"/>
          <w:szCs w:val="26"/>
        </w:rPr>
        <w:t>Tentative Order,</w:t>
      </w:r>
      <w:r w:rsidR="00D96DBF">
        <w:rPr>
          <w:rFonts w:ascii="Times New Roman" w:eastAsia="Calibri" w:hAnsi="Times New Roman" w:cs="Times New Roman"/>
          <w:sz w:val="26"/>
          <w:szCs w:val="26"/>
        </w:rPr>
        <w:t xml:space="preserve"> we question</w:t>
      </w:r>
      <w:r>
        <w:rPr>
          <w:rFonts w:ascii="Times New Roman" w:eastAsia="Calibri" w:hAnsi="Times New Roman" w:cs="Times New Roman"/>
          <w:sz w:val="26"/>
          <w:szCs w:val="26"/>
        </w:rPr>
        <w:t>ed</w:t>
      </w:r>
      <w:r w:rsidR="00D96DBF">
        <w:rPr>
          <w:rFonts w:ascii="Times New Roman" w:eastAsia="Calibri" w:hAnsi="Times New Roman" w:cs="Times New Roman"/>
          <w:sz w:val="26"/>
          <w:szCs w:val="26"/>
        </w:rPr>
        <w:t xml:space="preserve"> the Company’s decision to discontinue targeted outreach to </w:t>
      </w:r>
      <w:r w:rsidR="004C1797" w:rsidRPr="00FA1360">
        <w:rPr>
          <w:rFonts w:ascii="Times New Roman" w:eastAsia="Calibri" w:hAnsi="Times New Roman" w:cs="Times New Roman"/>
          <w:sz w:val="26"/>
          <w:szCs w:val="26"/>
        </w:rPr>
        <w:t>participants in SCD</w:t>
      </w:r>
      <w:r w:rsidR="00880F4E">
        <w:rPr>
          <w:rFonts w:ascii="Times New Roman" w:eastAsia="Calibri" w:hAnsi="Times New Roman" w:cs="Times New Roman"/>
          <w:sz w:val="26"/>
          <w:szCs w:val="26"/>
        </w:rPr>
        <w:t xml:space="preserve">.  </w:t>
      </w:r>
      <w:r w:rsidR="004C1797">
        <w:rPr>
          <w:rFonts w:ascii="Times New Roman" w:eastAsia="Calibri" w:hAnsi="Times New Roman" w:cs="Times New Roman"/>
          <w:sz w:val="26"/>
          <w:szCs w:val="26"/>
        </w:rPr>
        <w:t>We also</w:t>
      </w:r>
      <w:r w:rsidR="00D96DBF">
        <w:rPr>
          <w:rFonts w:ascii="Times New Roman" w:eastAsia="Calibri" w:hAnsi="Times New Roman" w:cs="Times New Roman"/>
          <w:sz w:val="26"/>
          <w:szCs w:val="26"/>
        </w:rPr>
        <w:t xml:space="preserve"> request</w:t>
      </w:r>
      <w:r>
        <w:rPr>
          <w:rFonts w:ascii="Times New Roman" w:eastAsia="Calibri" w:hAnsi="Times New Roman" w:cs="Times New Roman"/>
          <w:sz w:val="26"/>
          <w:szCs w:val="26"/>
        </w:rPr>
        <w:t>ed</w:t>
      </w:r>
      <w:r w:rsidR="00395B4C">
        <w:rPr>
          <w:rFonts w:ascii="Times New Roman" w:eastAsia="Calibri" w:hAnsi="Times New Roman" w:cs="Times New Roman"/>
          <w:sz w:val="26"/>
          <w:szCs w:val="26"/>
        </w:rPr>
        <w:t xml:space="preserve"> the Company share </w:t>
      </w:r>
      <w:r w:rsidR="004C1797">
        <w:rPr>
          <w:rFonts w:ascii="Times New Roman" w:eastAsia="Calibri" w:hAnsi="Times New Roman" w:cs="Times New Roman"/>
          <w:sz w:val="26"/>
          <w:szCs w:val="26"/>
        </w:rPr>
        <w:t xml:space="preserve">the findings from its annual analysis of its </w:t>
      </w:r>
      <w:r w:rsidR="00395B4C">
        <w:rPr>
          <w:rFonts w:ascii="Times New Roman" w:eastAsia="Calibri" w:hAnsi="Times New Roman" w:cs="Times New Roman"/>
          <w:sz w:val="26"/>
          <w:szCs w:val="26"/>
        </w:rPr>
        <w:t xml:space="preserve">CRP </w:t>
      </w:r>
      <w:r w:rsidR="004C1797">
        <w:rPr>
          <w:rFonts w:ascii="Times New Roman" w:eastAsia="Calibri" w:hAnsi="Times New Roman" w:cs="Times New Roman"/>
          <w:sz w:val="26"/>
          <w:szCs w:val="26"/>
        </w:rPr>
        <w:t>outreach efforts</w:t>
      </w:r>
      <w:r w:rsidR="00D96DBF">
        <w:rPr>
          <w:rFonts w:ascii="Times New Roman" w:eastAsia="Calibri" w:hAnsi="Times New Roman" w:cs="Times New Roman"/>
          <w:sz w:val="26"/>
          <w:szCs w:val="26"/>
        </w:rPr>
        <w:t>.</w:t>
      </w:r>
      <w:r w:rsidR="00C47F76" w:rsidRPr="00C47F76">
        <w:rPr>
          <w:rFonts w:ascii="Times New Roman" w:eastAsia="Calibri" w:hAnsi="Times New Roman" w:cs="Times New Roman"/>
          <w:sz w:val="26"/>
          <w:szCs w:val="26"/>
        </w:rPr>
        <w:t xml:space="preserve"> </w:t>
      </w:r>
    </w:p>
    <w:p w:rsidR="00330620" w:rsidRDefault="00330620" w:rsidP="006C38AB">
      <w:pPr>
        <w:spacing w:line="360" w:lineRule="auto"/>
        <w:contextualSpacing/>
        <w:rPr>
          <w:rFonts w:ascii="Times New Roman" w:eastAsia="Calibri" w:hAnsi="Times New Roman" w:cs="Times New Roman"/>
          <w:sz w:val="26"/>
          <w:szCs w:val="26"/>
        </w:rPr>
      </w:pPr>
    </w:p>
    <w:p w:rsidR="00330620" w:rsidRPr="0063630A" w:rsidRDefault="00411EA9" w:rsidP="00330620">
      <w:pPr>
        <w:spacing w:line="360" w:lineRule="auto"/>
        <w:contextualSpacing/>
        <w:rPr>
          <w:rFonts w:ascii="Times New Roman" w:hAnsi="Times New Roman" w:cs="Times New Roman"/>
          <w:sz w:val="26"/>
          <w:szCs w:val="26"/>
        </w:rPr>
      </w:pPr>
      <w:r>
        <w:rPr>
          <w:rFonts w:ascii="Times New Roman" w:hAnsi="Times New Roman" w:cs="Times New Roman"/>
          <w:sz w:val="26"/>
          <w:szCs w:val="26"/>
        </w:rPr>
        <w:tab/>
        <w:t>PGW asserts</w:t>
      </w:r>
      <w:r w:rsidR="00330620">
        <w:rPr>
          <w:rFonts w:ascii="Times New Roman" w:hAnsi="Times New Roman" w:cs="Times New Roman"/>
          <w:sz w:val="26"/>
          <w:szCs w:val="26"/>
        </w:rPr>
        <w:t xml:space="preserve"> it continues to conduct CRP outreach to all low-income customers who may benefit from the program, including SCD participants.  The Company provided CRP outreach materials to over 63,000 customers fro</w:t>
      </w:r>
      <w:r>
        <w:rPr>
          <w:rFonts w:ascii="Times New Roman" w:hAnsi="Times New Roman" w:cs="Times New Roman"/>
          <w:sz w:val="26"/>
          <w:szCs w:val="26"/>
        </w:rPr>
        <w:t>m 2014 through 2016 (See Table 1</w:t>
      </w:r>
      <w:r w:rsidR="00216D9F">
        <w:rPr>
          <w:rFonts w:ascii="Times New Roman" w:hAnsi="Times New Roman" w:cs="Times New Roman"/>
          <w:sz w:val="26"/>
          <w:szCs w:val="26"/>
        </w:rPr>
        <w:t>0</w:t>
      </w:r>
      <w:r w:rsidR="00330620">
        <w:rPr>
          <w:rFonts w:ascii="Times New Roman" w:hAnsi="Times New Roman" w:cs="Times New Roman"/>
          <w:sz w:val="26"/>
          <w:szCs w:val="26"/>
        </w:rPr>
        <w:t xml:space="preserve">).  </w:t>
      </w:r>
      <w:r>
        <w:rPr>
          <w:rFonts w:ascii="Times New Roman" w:hAnsi="Times New Roman" w:cs="Times New Roman"/>
          <w:sz w:val="26"/>
          <w:szCs w:val="26"/>
        </w:rPr>
        <w:t xml:space="preserve">PGW reports it </w:t>
      </w:r>
      <w:r w:rsidR="00330620">
        <w:rPr>
          <w:rFonts w:ascii="Times New Roman" w:hAnsi="Times New Roman" w:cs="Times New Roman"/>
          <w:sz w:val="26"/>
          <w:szCs w:val="26"/>
        </w:rPr>
        <w:t xml:space="preserve">enrolled 15,310 customers </w:t>
      </w:r>
      <w:r>
        <w:rPr>
          <w:rFonts w:ascii="Times New Roman" w:hAnsi="Times New Roman" w:cs="Times New Roman"/>
          <w:sz w:val="26"/>
          <w:szCs w:val="26"/>
        </w:rPr>
        <w:t xml:space="preserve">into CRP </w:t>
      </w:r>
      <w:r w:rsidR="00330620">
        <w:rPr>
          <w:rFonts w:ascii="Times New Roman" w:hAnsi="Times New Roman" w:cs="Times New Roman"/>
          <w:sz w:val="26"/>
          <w:szCs w:val="26"/>
        </w:rPr>
        <w:t xml:space="preserve">during that time period, some of which may be a direct result of this outreach.  PGW Supplemental Information at 40.  </w:t>
      </w:r>
    </w:p>
    <w:p w:rsidR="00330620" w:rsidRDefault="00330620" w:rsidP="00330620">
      <w:pPr>
        <w:spacing w:line="360" w:lineRule="auto"/>
        <w:contextualSpacing/>
        <w:rPr>
          <w:rFonts w:ascii="Times New Roman" w:hAnsi="Times New Roman" w:cs="Times New Roman"/>
          <w:sz w:val="26"/>
          <w:szCs w:val="26"/>
        </w:rPr>
      </w:pPr>
    </w:p>
    <w:p w:rsidR="00330620" w:rsidRPr="005F6019" w:rsidRDefault="00157D5E" w:rsidP="00330620">
      <w:pPr>
        <w:keepNext/>
        <w:spacing w:line="240" w:lineRule="auto"/>
        <w:contextualSpacing/>
        <w:jc w:val="center"/>
        <w:rPr>
          <w:rFonts w:ascii="Times New Roman" w:hAnsi="Times New Roman" w:cs="Times New Roman"/>
          <w:b/>
          <w:sz w:val="26"/>
          <w:szCs w:val="26"/>
        </w:rPr>
      </w:pPr>
      <w:r>
        <w:rPr>
          <w:rFonts w:ascii="Times New Roman" w:hAnsi="Times New Roman" w:cs="Times New Roman"/>
          <w:b/>
          <w:sz w:val="26"/>
          <w:szCs w:val="26"/>
        </w:rPr>
        <w:t>Table 1</w:t>
      </w:r>
      <w:r w:rsidR="00083E3E">
        <w:rPr>
          <w:rFonts w:ascii="Times New Roman" w:hAnsi="Times New Roman" w:cs="Times New Roman"/>
          <w:b/>
          <w:sz w:val="26"/>
          <w:szCs w:val="26"/>
        </w:rPr>
        <w:t>0</w:t>
      </w:r>
    </w:p>
    <w:p w:rsidR="00330620" w:rsidRPr="005F6019" w:rsidRDefault="00330620" w:rsidP="00330620">
      <w:pPr>
        <w:keepNext/>
        <w:spacing w:line="240" w:lineRule="auto"/>
        <w:contextualSpacing/>
        <w:jc w:val="center"/>
        <w:rPr>
          <w:rFonts w:ascii="Times New Roman" w:hAnsi="Times New Roman" w:cs="Times New Roman"/>
          <w:b/>
          <w:sz w:val="26"/>
          <w:szCs w:val="26"/>
        </w:rPr>
      </w:pPr>
      <w:r w:rsidRPr="005F6019">
        <w:rPr>
          <w:rFonts w:ascii="Times New Roman" w:hAnsi="Times New Roman" w:cs="Times New Roman"/>
          <w:b/>
          <w:sz w:val="26"/>
          <w:szCs w:val="26"/>
        </w:rPr>
        <w:t>CRP Outreach 2014-2016</w:t>
      </w:r>
    </w:p>
    <w:tbl>
      <w:tblPr>
        <w:tblStyle w:val="TableGrid"/>
        <w:tblW w:w="0" w:type="auto"/>
        <w:tblLook w:val="04A0" w:firstRow="1" w:lastRow="0" w:firstColumn="1" w:lastColumn="0" w:noHBand="0" w:noVBand="1"/>
      </w:tblPr>
      <w:tblGrid>
        <w:gridCol w:w="2394"/>
        <w:gridCol w:w="2394"/>
        <w:gridCol w:w="2394"/>
        <w:gridCol w:w="2394"/>
      </w:tblGrid>
      <w:tr w:rsidR="00330620" w:rsidTr="009F0DAD">
        <w:tc>
          <w:tcPr>
            <w:tcW w:w="2394" w:type="dxa"/>
            <w:vAlign w:val="center"/>
          </w:tcPr>
          <w:p w:rsidR="00330620" w:rsidRPr="00AD6653" w:rsidRDefault="00330620" w:rsidP="009F0DAD">
            <w:pPr>
              <w:keepNext/>
              <w:spacing w:before="98" w:after="17"/>
              <w:jc w:val="center"/>
              <w:textAlignment w:val="baseline"/>
              <w:rPr>
                <w:rFonts w:eastAsia="Verdana"/>
                <w:b/>
                <w:color w:val="000000"/>
                <w:sz w:val="26"/>
                <w:szCs w:val="26"/>
              </w:rPr>
            </w:pPr>
            <w:r w:rsidRPr="00AD6653">
              <w:rPr>
                <w:rFonts w:eastAsia="Verdana"/>
                <w:b/>
                <w:color w:val="000000"/>
                <w:sz w:val="26"/>
                <w:szCs w:val="26"/>
              </w:rPr>
              <w:t>Year</w:t>
            </w:r>
          </w:p>
        </w:tc>
        <w:tc>
          <w:tcPr>
            <w:tcW w:w="2394" w:type="dxa"/>
            <w:vAlign w:val="center"/>
          </w:tcPr>
          <w:p w:rsidR="00330620" w:rsidRPr="00AD6653" w:rsidRDefault="00330620" w:rsidP="009F0DAD">
            <w:pPr>
              <w:keepNext/>
              <w:spacing w:before="90" w:after="23"/>
              <w:jc w:val="center"/>
              <w:textAlignment w:val="baseline"/>
              <w:rPr>
                <w:rFonts w:eastAsia="Verdana"/>
                <w:b/>
                <w:color w:val="000000"/>
                <w:sz w:val="26"/>
                <w:szCs w:val="26"/>
              </w:rPr>
            </w:pPr>
            <w:r w:rsidRPr="00AD6653">
              <w:rPr>
                <w:rFonts w:eastAsia="Verdana"/>
                <w:b/>
                <w:color w:val="000000"/>
                <w:sz w:val="26"/>
                <w:szCs w:val="26"/>
              </w:rPr>
              <w:t>Outreach Population</w:t>
            </w:r>
          </w:p>
        </w:tc>
        <w:tc>
          <w:tcPr>
            <w:tcW w:w="2394" w:type="dxa"/>
            <w:vAlign w:val="center"/>
          </w:tcPr>
          <w:p w:rsidR="00330620" w:rsidRPr="00AD6653" w:rsidRDefault="00330620" w:rsidP="009F0DAD">
            <w:pPr>
              <w:keepNext/>
              <w:spacing w:before="85" w:after="30"/>
              <w:jc w:val="center"/>
              <w:textAlignment w:val="baseline"/>
              <w:rPr>
                <w:rFonts w:eastAsia="Verdana"/>
                <w:b/>
                <w:color w:val="000000"/>
                <w:sz w:val="26"/>
                <w:szCs w:val="26"/>
              </w:rPr>
            </w:pPr>
            <w:r w:rsidRPr="00AD6653">
              <w:rPr>
                <w:rFonts w:eastAsia="Verdana"/>
                <w:b/>
                <w:color w:val="000000"/>
                <w:sz w:val="26"/>
                <w:szCs w:val="26"/>
              </w:rPr>
              <w:t>Customers Enrolled</w:t>
            </w:r>
          </w:p>
        </w:tc>
        <w:tc>
          <w:tcPr>
            <w:tcW w:w="2394" w:type="dxa"/>
            <w:vAlign w:val="center"/>
          </w:tcPr>
          <w:p w:rsidR="00330620" w:rsidRPr="00AD6653" w:rsidRDefault="00330620" w:rsidP="009F0DAD">
            <w:pPr>
              <w:keepNext/>
              <w:spacing w:before="79" w:after="36"/>
              <w:jc w:val="center"/>
              <w:textAlignment w:val="baseline"/>
              <w:rPr>
                <w:rFonts w:eastAsia="Verdana"/>
                <w:b/>
                <w:color w:val="000000"/>
                <w:sz w:val="26"/>
                <w:szCs w:val="26"/>
              </w:rPr>
            </w:pPr>
            <w:r w:rsidRPr="00AD6653">
              <w:rPr>
                <w:rFonts w:eastAsia="Verdana"/>
                <w:b/>
                <w:color w:val="000000"/>
                <w:sz w:val="26"/>
                <w:szCs w:val="26"/>
              </w:rPr>
              <w:t>% Enrolled</w:t>
            </w:r>
          </w:p>
        </w:tc>
      </w:tr>
      <w:tr w:rsidR="00330620" w:rsidTr="009F0DAD">
        <w:tc>
          <w:tcPr>
            <w:tcW w:w="2394" w:type="dxa"/>
            <w:vAlign w:val="center"/>
          </w:tcPr>
          <w:p w:rsidR="00330620" w:rsidRPr="00AD6653" w:rsidRDefault="00330620" w:rsidP="009F0DAD">
            <w:pPr>
              <w:keepNext/>
              <w:spacing w:before="72" w:after="11"/>
              <w:jc w:val="center"/>
              <w:textAlignment w:val="baseline"/>
              <w:rPr>
                <w:color w:val="000000"/>
                <w:sz w:val="26"/>
                <w:szCs w:val="26"/>
              </w:rPr>
            </w:pPr>
            <w:r w:rsidRPr="00AD6653">
              <w:rPr>
                <w:color w:val="000000"/>
                <w:sz w:val="26"/>
                <w:szCs w:val="26"/>
              </w:rPr>
              <w:t>2014</w:t>
            </w:r>
          </w:p>
        </w:tc>
        <w:tc>
          <w:tcPr>
            <w:tcW w:w="2394" w:type="dxa"/>
            <w:vAlign w:val="center"/>
          </w:tcPr>
          <w:p w:rsidR="00330620" w:rsidRPr="00AD6653" w:rsidRDefault="00330620" w:rsidP="009F0DAD">
            <w:pPr>
              <w:keepNext/>
              <w:spacing w:before="55" w:after="28"/>
              <w:jc w:val="center"/>
              <w:textAlignment w:val="baseline"/>
              <w:rPr>
                <w:color w:val="000000"/>
                <w:sz w:val="26"/>
                <w:szCs w:val="26"/>
              </w:rPr>
            </w:pPr>
            <w:r w:rsidRPr="00AD6653">
              <w:rPr>
                <w:color w:val="000000"/>
                <w:sz w:val="26"/>
                <w:szCs w:val="26"/>
              </w:rPr>
              <w:t>33,902</w:t>
            </w:r>
          </w:p>
        </w:tc>
        <w:tc>
          <w:tcPr>
            <w:tcW w:w="2394" w:type="dxa"/>
            <w:vAlign w:val="center"/>
          </w:tcPr>
          <w:p w:rsidR="00330620" w:rsidRPr="00AD6653" w:rsidRDefault="00330620" w:rsidP="009F0DAD">
            <w:pPr>
              <w:keepNext/>
              <w:spacing w:before="48" w:after="35"/>
              <w:jc w:val="center"/>
              <w:textAlignment w:val="baseline"/>
              <w:rPr>
                <w:color w:val="000000"/>
                <w:sz w:val="26"/>
                <w:szCs w:val="26"/>
              </w:rPr>
            </w:pPr>
            <w:r w:rsidRPr="00AD6653">
              <w:rPr>
                <w:color w:val="000000"/>
                <w:sz w:val="26"/>
                <w:szCs w:val="26"/>
              </w:rPr>
              <w:t>6,689</w:t>
            </w:r>
          </w:p>
        </w:tc>
        <w:tc>
          <w:tcPr>
            <w:tcW w:w="2394" w:type="dxa"/>
            <w:vAlign w:val="center"/>
          </w:tcPr>
          <w:p w:rsidR="00330620" w:rsidRPr="00AD6653" w:rsidRDefault="00330620" w:rsidP="009F0DAD">
            <w:pPr>
              <w:keepNext/>
              <w:tabs>
                <w:tab w:val="decimal" w:pos="504"/>
              </w:tabs>
              <w:spacing w:before="56" w:after="27"/>
              <w:jc w:val="center"/>
              <w:textAlignment w:val="baseline"/>
              <w:rPr>
                <w:color w:val="000000"/>
                <w:sz w:val="26"/>
                <w:szCs w:val="26"/>
              </w:rPr>
            </w:pPr>
            <w:r w:rsidRPr="00AD6653">
              <w:rPr>
                <w:color w:val="000000"/>
                <w:sz w:val="26"/>
                <w:szCs w:val="26"/>
              </w:rPr>
              <w:t>19.73%</w:t>
            </w:r>
          </w:p>
        </w:tc>
      </w:tr>
      <w:tr w:rsidR="00330620" w:rsidTr="009F0DAD">
        <w:tc>
          <w:tcPr>
            <w:tcW w:w="2394" w:type="dxa"/>
            <w:vAlign w:val="center"/>
          </w:tcPr>
          <w:p w:rsidR="00330620" w:rsidRPr="00AD6653" w:rsidRDefault="00330620" w:rsidP="009F0DAD">
            <w:pPr>
              <w:keepNext/>
              <w:spacing w:before="72" w:after="21"/>
              <w:jc w:val="center"/>
              <w:textAlignment w:val="baseline"/>
              <w:rPr>
                <w:color w:val="000000"/>
                <w:sz w:val="26"/>
                <w:szCs w:val="26"/>
              </w:rPr>
            </w:pPr>
            <w:r w:rsidRPr="00AD6653">
              <w:rPr>
                <w:color w:val="000000"/>
                <w:sz w:val="26"/>
                <w:szCs w:val="26"/>
              </w:rPr>
              <w:t>2015</w:t>
            </w:r>
          </w:p>
        </w:tc>
        <w:tc>
          <w:tcPr>
            <w:tcW w:w="2394" w:type="dxa"/>
            <w:vAlign w:val="center"/>
          </w:tcPr>
          <w:p w:rsidR="00330620" w:rsidRPr="00AD6653" w:rsidRDefault="00330620" w:rsidP="009F0DAD">
            <w:pPr>
              <w:keepNext/>
              <w:spacing w:before="53" w:after="40"/>
              <w:jc w:val="center"/>
              <w:textAlignment w:val="baseline"/>
              <w:rPr>
                <w:color w:val="000000"/>
                <w:sz w:val="26"/>
                <w:szCs w:val="26"/>
              </w:rPr>
            </w:pPr>
            <w:r w:rsidRPr="00AD6653">
              <w:rPr>
                <w:color w:val="000000"/>
                <w:sz w:val="26"/>
                <w:szCs w:val="26"/>
              </w:rPr>
              <w:t>17,156</w:t>
            </w:r>
          </w:p>
        </w:tc>
        <w:tc>
          <w:tcPr>
            <w:tcW w:w="2394" w:type="dxa"/>
            <w:vAlign w:val="center"/>
          </w:tcPr>
          <w:p w:rsidR="00330620" w:rsidRPr="00AD6653" w:rsidRDefault="00330620" w:rsidP="009F0DAD">
            <w:pPr>
              <w:keepNext/>
              <w:spacing w:before="48" w:after="45"/>
              <w:jc w:val="center"/>
              <w:textAlignment w:val="baseline"/>
              <w:rPr>
                <w:color w:val="000000"/>
                <w:sz w:val="26"/>
                <w:szCs w:val="26"/>
              </w:rPr>
            </w:pPr>
            <w:r w:rsidRPr="00AD6653">
              <w:rPr>
                <w:color w:val="000000"/>
                <w:sz w:val="26"/>
                <w:szCs w:val="26"/>
              </w:rPr>
              <w:t>5,453</w:t>
            </w:r>
          </w:p>
        </w:tc>
        <w:tc>
          <w:tcPr>
            <w:tcW w:w="2394" w:type="dxa"/>
            <w:vAlign w:val="center"/>
          </w:tcPr>
          <w:p w:rsidR="00330620" w:rsidRPr="00AD6653" w:rsidRDefault="00330620" w:rsidP="009F0DAD">
            <w:pPr>
              <w:keepNext/>
              <w:tabs>
                <w:tab w:val="decimal" w:pos="504"/>
              </w:tabs>
              <w:spacing w:before="57" w:after="36"/>
              <w:jc w:val="center"/>
              <w:textAlignment w:val="baseline"/>
              <w:rPr>
                <w:color w:val="000000"/>
                <w:sz w:val="26"/>
                <w:szCs w:val="26"/>
              </w:rPr>
            </w:pPr>
            <w:r w:rsidRPr="00AD6653">
              <w:rPr>
                <w:color w:val="000000"/>
                <w:sz w:val="26"/>
                <w:szCs w:val="26"/>
              </w:rPr>
              <w:t>31.78%</w:t>
            </w:r>
          </w:p>
        </w:tc>
      </w:tr>
      <w:tr w:rsidR="00330620" w:rsidTr="009F0DAD">
        <w:tc>
          <w:tcPr>
            <w:tcW w:w="2394" w:type="dxa"/>
            <w:vAlign w:val="center"/>
          </w:tcPr>
          <w:p w:rsidR="00330620" w:rsidRPr="00AD6653" w:rsidRDefault="00330620" w:rsidP="009F0DAD">
            <w:pPr>
              <w:keepNext/>
              <w:spacing w:before="67" w:after="16"/>
              <w:jc w:val="center"/>
              <w:textAlignment w:val="baseline"/>
              <w:rPr>
                <w:color w:val="000000"/>
                <w:sz w:val="26"/>
                <w:szCs w:val="26"/>
              </w:rPr>
            </w:pPr>
            <w:r w:rsidRPr="00AD6653">
              <w:rPr>
                <w:color w:val="000000"/>
                <w:sz w:val="26"/>
                <w:szCs w:val="26"/>
              </w:rPr>
              <w:t>2016</w:t>
            </w:r>
          </w:p>
        </w:tc>
        <w:tc>
          <w:tcPr>
            <w:tcW w:w="2394" w:type="dxa"/>
            <w:vAlign w:val="center"/>
          </w:tcPr>
          <w:p w:rsidR="00330620" w:rsidRPr="00AD6653" w:rsidRDefault="00330620" w:rsidP="009F0DAD">
            <w:pPr>
              <w:keepNext/>
              <w:spacing w:before="48" w:after="35"/>
              <w:jc w:val="center"/>
              <w:textAlignment w:val="baseline"/>
              <w:rPr>
                <w:color w:val="000000"/>
                <w:sz w:val="26"/>
                <w:szCs w:val="26"/>
              </w:rPr>
            </w:pPr>
            <w:r w:rsidRPr="00AD6653">
              <w:rPr>
                <w:color w:val="000000"/>
                <w:sz w:val="26"/>
                <w:szCs w:val="26"/>
              </w:rPr>
              <w:t>12,646</w:t>
            </w:r>
          </w:p>
        </w:tc>
        <w:tc>
          <w:tcPr>
            <w:tcW w:w="2394" w:type="dxa"/>
            <w:vAlign w:val="center"/>
          </w:tcPr>
          <w:p w:rsidR="00330620" w:rsidRPr="00AD6653" w:rsidRDefault="00330620" w:rsidP="009F0DAD">
            <w:pPr>
              <w:keepNext/>
              <w:spacing w:before="43" w:after="40"/>
              <w:jc w:val="center"/>
              <w:textAlignment w:val="baseline"/>
              <w:rPr>
                <w:color w:val="000000"/>
                <w:sz w:val="26"/>
                <w:szCs w:val="26"/>
              </w:rPr>
            </w:pPr>
            <w:r w:rsidRPr="00AD6653">
              <w:rPr>
                <w:color w:val="000000"/>
                <w:sz w:val="26"/>
                <w:szCs w:val="26"/>
              </w:rPr>
              <w:t>3,168</w:t>
            </w:r>
          </w:p>
        </w:tc>
        <w:tc>
          <w:tcPr>
            <w:tcW w:w="2394" w:type="dxa"/>
            <w:vAlign w:val="center"/>
          </w:tcPr>
          <w:p w:rsidR="00330620" w:rsidRPr="00AD6653" w:rsidRDefault="00330620" w:rsidP="009F0DAD">
            <w:pPr>
              <w:keepNext/>
              <w:tabs>
                <w:tab w:val="decimal" w:pos="504"/>
              </w:tabs>
              <w:spacing w:before="53" w:after="30"/>
              <w:jc w:val="center"/>
              <w:textAlignment w:val="baseline"/>
              <w:rPr>
                <w:color w:val="000000"/>
                <w:sz w:val="26"/>
                <w:szCs w:val="26"/>
              </w:rPr>
            </w:pPr>
            <w:r w:rsidRPr="00AD6653">
              <w:rPr>
                <w:color w:val="000000"/>
                <w:sz w:val="26"/>
                <w:szCs w:val="26"/>
              </w:rPr>
              <w:t>25.05%</w:t>
            </w:r>
          </w:p>
        </w:tc>
      </w:tr>
      <w:tr w:rsidR="00330620" w:rsidTr="009F0DAD">
        <w:tc>
          <w:tcPr>
            <w:tcW w:w="2394" w:type="dxa"/>
            <w:vAlign w:val="center"/>
          </w:tcPr>
          <w:p w:rsidR="00330620" w:rsidRPr="00AD6653" w:rsidRDefault="00330620" w:rsidP="009F0DAD">
            <w:pPr>
              <w:keepNext/>
              <w:spacing w:before="69" w:after="36"/>
              <w:jc w:val="center"/>
              <w:textAlignment w:val="baseline"/>
              <w:rPr>
                <w:rFonts w:eastAsia="Verdana"/>
                <w:b/>
                <w:color w:val="000000"/>
                <w:sz w:val="26"/>
                <w:szCs w:val="26"/>
              </w:rPr>
            </w:pPr>
            <w:r w:rsidRPr="00AD6653">
              <w:rPr>
                <w:rFonts w:eastAsia="Verdana"/>
                <w:b/>
                <w:color w:val="000000"/>
                <w:sz w:val="26"/>
                <w:szCs w:val="26"/>
              </w:rPr>
              <w:t>Total</w:t>
            </w:r>
          </w:p>
        </w:tc>
        <w:tc>
          <w:tcPr>
            <w:tcW w:w="2394" w:type="dxa"/>
            <w:vAlign w:val="center"/>
          </w:tcPr>
          <w:p w:rsidR="00330620" w:rsidRPr="00AD6653" w:rsidRDefault="00330620" w:rsidP="009F0DAD">
            <w:pPr>
              <w:keepNext/>
              <w:spacing w:before="69" w:after="36"/>
              <w:jc w:val="center"/>
              <w:textAlignment w:val="baseline"/>
              <w:rPr>
                <w:rFonts w:eastAsia="Verdana"/>
                <w:b/>
                <w:color w:val="000000"/>
                <w:sz w:val="26"/>
                <w:szCs w:val="26"/>
              </w:rPr>
            </w:pPr>
            <w:r w:rsidRPr="00AD6653">
              <w:rPr>
                <w:rFonts w:eastAsia="Verdana"/>
                <w:b/>
                <w:color w:val="000000"/>
                <w:sz w:val="26"/>
                <w:szCs w:val="26"/>
              </w:rPr>
              <w:t>63,704</w:t>
            </w:r>
          </w:p>
        </w:tc>
        <w:tc>
          <w:tcPr>
            <w:tcW w:w="2394" w:type="dxa"/>
            <w:vAlign w:val="center"/>
          </w:tcPr>
          <w:p w:rsidR="00330620" w:rsidRPr="00AD6653" w:rsidRDefault="00330620" w:rsidP="009F0DAD">
            <w:pPr>
              <w:keepNext/>
              <w:spacing w:before="45" w:after="60"/>
              <w:jc w:val="center"/>
              <w:textAlignment w:val="baseline"/>
              <w:rPr>
                <w:rFonts w:eastAsia="Verdana"/>
                <w:b/>
                <w:color w:val="000000"/>
                <w:sz w:val="26"/>
                <w:szCs w:val="26"/>
              </w:rPr>
            </w:pPr>
            <w:r w:rsidRPr="00AD6653">
              <w:rPr>
                <w:rFonts w:eastAsia="Verdana"/>
                <w:b/>
                <w:color w:val="000000"/>
                <w:sz w:val="26"/>
                <w:szCs w:val="26"/>
              </w:rPr>
              <w:t>15,310</w:t>
            </w:r>
          </w:p>
        </w:tc>
        <w:tc>
          <w:tcPr>
            <w:tcW w:w="2394" w:type="dxa"/>
            <w:vAlign w:val="center"/>
          </w:tcPr>
          <w:p w:rsidR="00330620" w:rsidRPr="00AD6653" w:rsidRDefault="00330620" w:rsidP="009F0DAD">
            <w:pPr>
              <w:keepNext/>
              <w:tabs>
                <w:tab w:val="decimal" w:pos="504"/>
              </w:tabs>
              <w:spacing w:before="53" w:after="52"/>
              <w:jc w:val="center"/>
              <w:textAlignment w:val="baseline"/>
              <w:rPr>
                <w:rFonts w:eastAsia="Verdana"/>
                <w:b/>
                <w:color w:val="000000"/>
                <w:sz w:val="26"/>
                <w:szCs w:val="26"/>
              </w:rPr>
            </w:pPr>
            <w:r w:rsidRPr="00AD6653">
              <w:rPr>
                <w:rFonts w:eastAsia="Verdana"/>
                <w:b/>
                <w:color w:val="000000"/>
                <w:sz w:val="26"/>
                <w:szCs w:val="26"/>
              </w:rPr>
              <w:t>24.03%</w:t>
            </w:r>
          </w:p>
        </w:tc>
      </w:tr>
    </w:tbl>
    <w:p w:rsidR="00330620" w:rsidRDefault="00330620" w:rsidP="00330620">
      <w:pPr>
        <w:spacing w:line="360" w:lineRule="auto"/>
        <w:contextualSpacing/>
        <w:rPr>
          <w:rFonts w:ascii="Times New Roman" w:hAnsi="Times New Roman" w:cs="Times New Roman"/>
          <w:sz w:val="26"/>
          <w:szCs w:val="26"/>
        </w:rPr>
      </w:pPr>
      <w:r>
        <w:rPr>
          <w:rFonts w:ascii="Times New Roman" w:hAnsi="Times New Roman" w:cs="Times New Roman"/>
          <w:sz w:val="26"/>
          <w:szCs w:val="26"/>
        </w:rPr>
        <w:t>Source: PGW Supplemental Information at 40.</w:t>
      </w:r>
    </w:p>
    <w:p w:rsidR="00330620" w:rsidRPr="0063630A" w:rsidRDefault="00330620" w:rsidP="00330620">
      <w:pPr>
        <w:spacing w:line="360" w:lineRule="auto"/>
        <w:contextualSpacing/>
        <w:rPr>
          <w:rFonts w:ascii="Times New Roman" w:hAnsi="Times New Roman" w:cs="Times New Roman"/>
          <w:sz w:val="26"/>
          <w:szCs w:val="26"/>
        </w:rPr>
      </w:pPr>
    </w:p>
    <w:p w:rsidR="00330620" w:rsidRDefault="00330620" w:rsidP="00330620">
      <w:pPr>
        <w:spacing w:line="360" w:lineRule="auto"/>
        <w:contextualSpacing/>
        <w:rPr>
          <w:rFonts w:ascii="Times New Roman" w:hAnsi="Times New Roman" w:cs="Times New Roman"/>
          <w:sz w:val="26"/>
          <w:szCs w:val="26"/>
        </w:rPr>
      </w:pPr>
      <w:r>
        <w:rPr>
          <w:rFonts w:ascii="Times New Roman" w:hAnsi="Times New Roman" w:cs="Times New Roman"/>
          <w:sz w:val="26"/>
          <w:szCs w:val="26"/>
        </w:rPr>
        <w:tab/>
        <w:t>CAUSE-PA notes that PGW’s CRP outreach activity in 2016 was just over one-third of the out</w:t>
      </w:r>
      <w:r w:rsidR="00411EA9">
        <w:rPr>
          <w:rFonts w:ascii="Times New Roman" w:hAnsi="Times New Roman" w:cs="Times New Roman"/>
          <w:sz w:val="26"/>
          <w:szCs w:val="26"/>
        </w:rPr>
        <w:t>reach performed in 2014, resulting</w:t>
      </w:r>
      <w:r>
        <w:rPr>
          <w:rFonts w:ascii="Times New Roman" w:hAnsi="Times New Roman" w:cs="Times New Roman"/>
          <w:sz w:val="26"/>
          <w:szCs w:val="26"/>
        </w:rPr>
        <w:t xml:space="preserve"> in less than one-half of program enrollments.  CAUSE asserts the Company is “</w:t>
      </w:r>
      <w:r w:rsidRPr="00E57610">
        <w:rPr>
          <w:rFonts w:ascii="Times New Roman" w:hAnsi="Times New Roman" w:cs="Times New Roman"/>
          <w:sz w:val="26"/>
          <w:szCs w:val="26"/>
        </w:rPr>
        <w:t>not fulfilling the universal service requirements contained within the Choice Act if it does not engage in robust marketing and direct outreach to the eligible population.</w:t>
      </w:r>
      <w:r w:rsidR="00157D5E">
        <w:rPr>
          <w:rFonts w:ascii="Times New Roman" w:hAnsi="Times New Roman" w:cs="Times New Roman"/>
          <w:sz w:val="26"/>
          <w:szCs w:val="26"/>
        </w:rPr>
        <w:t>”  CAUS</w:t>
      </w:r>
      <w:r>
        <w:rPr>
          <w:rFonts w:ascii="Times New Roman" w:hAnsi="Times New Roman" w:cs="Times New Roman"/>
          <w:sz w:val="26"/>
          <w:szCs w:val="26"/>
        </w:rPr>
        <w:t>E-PA Comments at 41.</w:t>
      </w:r>
    </w:p>
    <w:p w:rsidR="00330620" w:rsidRDefault="00330620" w:rsidP="00330620">
      <w:pPr>
        <w:spacing w:line="360" w:lineRule="auto"/>
        <w:contextualSpacing/>
        <w:rPr>
          <w:rFonts w:ascii="Times New Roman" w:hAnsi="Times New Roman" w:cs="Times New Roman"/>
          <w:sz w:val="26"/>
          <w:szCs w:val="26"/>
        </w:rPr>
      </w:pPr>
    </w:p>
    <w:p w:rsidR="00330620" w:rsidRDefault="00330620" w:rsidP="00330620">
      <w:pPr>
        <w:spacing w:line="360" w:lineRule="auto"/>
        <w:contextualSpacing/>
        <w:rPr>
          <w:rFonts w:ascii="Times New Roman" w:hAnsi="Times New Roman" w:cs="Times New Roman"/>
          <w:sz w:val="26"/>
          <w:szCs w:val="26"/>
        </w:rPr>
      </w:pPr>
      <w:r>
        <w:rPr>
          <w:rFonts w:ascii="Times New Roman" w:hAnsi="Times New Roman" w:cs="Times New Roman"/>
          <w:sz w:val="26"/>
          <w:szCs w:val="26"/>
        </w:rPr>
        <w:tab/>
        <w:t>OCA notes that the APPRISE Evaluation identified elderly households as a potentially underserved population.  OCA recommends that PGW expand its CRP Outreach to target elderly customers, particularly those enrolled in the Senior Citizen Discount program that would benefit more from CRP.  OCA Comments at 20.  OCA also suggests that PGW utilize CBOs to provide additional assistance to customers with completing the CRP application/recertification process and increase referrals to the program.  OCA Comments at 12, 19-20.</w:t>
      </w:r>
    </w:p>
    <w:p w:rsidR="00330620" w:rsidRDefault="00330620" w:rsidP="00330620">
      <w:pPr>
        <w:spacing w:line="360" w:lineRule="auto"/>
        <w:contextualSpacing/>
        <w:rPr>
          <w:rFonts w:ascii="Times New Roman" w:hAnsi="Times New Roman" w:cs="Times New Roman"/>
          <w:sz w:val="26"/>
          <w:szCs w:val="26"/>
        </w:rPr>
      </w:pPr>
    </w:p>
    <w:p w:rsidR="00330620" w:rsidRDefault="00330620" w:rsidP="00330620">
      <w:pPr>
        <w:spacing w:line="360" w:lineRule="auto"/>
        <w:contextualSpacing/>
        <w:rPr>
          <w:rFonts w:ascii="Times New Roman" w:hAnsi="Times New Roman" w:cs="Times New Roman"/>
          <w:sz w:val="26"/>
          <w:szCs w:val="26"/>
        </w:rPr>
      </w:pPr>
      <w:r>
        <w:rPr>
          <w:rFonts w:ascii="Times New Roman" w:hAnsi="Times New Roman" w:cs="Times New Roman"/>
          <w:sz w:val="26"/>
          <w:szCs w:val="26"/>
        </w:rPr>
        <w:tab/>
        <w:t xml:space="preserve">TURN </w:t>
      </w:r>
      <w:r w:rsidR="00A9778A" w:rsidRPr="00A9778A">
        <w:rPr>
          <w:rFonts w:ascii="Times New Roman" w:hAnsi="Times New Roman" w:cs="Times New Roman"/>
          <w:i/>
          <w:sz w:val="26"/>
          <w:szCs w:val="26"/>
        </w:rPr>
        <w:t>et al</w:t>
      </w:r>
      <w:r>
        <w:rPr>
          <w:rFonts w:ascii="Times New Roman" w:hAnsi="Times New Roman" w:cs="Times New Roman"/>
          <w:sz w:val="26"/>
          <w:szCs w:val="26"/>
        </w:rPr>
        <w:t xml:space="preserve">. submits that PGW’s current policies may contribute to the decline of CRP enrollment, including the requirement that CRP offer the most advantageous rate, requiring unaffordable restoration terms for low-income customers terminated for non-payment, and setting PIP levels at the highest range of the CAP Policy Statement.  TURN </w:t>
      </w:r>
      <w:r w:rsidR="00A9778A" w:rsidRPr="00A9778A">
        <w:rPr>
          <w:rFonts w:ascii="Times New Roman" w:hAnsi="Times New Roman" w:cs="Times New Roman"/>
          <w:i/>
          <w:sz w:val="26"/>
          <w:szCs w:val="26"/>
        </w:rPr>
        <w:t>et al</w:t>
      </w:r>
      <w:r>
        <w:rPr>
          <w:rFonts w:ascii="Times New Roman" w:hAnsi="Times New Roman" w:cs="Times New Roman"/>
          <w:sz w:val="26"/>
          <w:szCs w:val="26"/>
        </w:rPr>
        <w:t>. Comments at 25-26.</w:t>
      </w:r>
    </w:p>
    <w:p w:rsidR="00330620" w:rsidRDefault="00330620" w:rsidP="00330620">
      <w:pPr>
        <w:spacing w:line="360" w:lineRule="auto"/>
        <w:contextualSpacing/>
        <w:rPr>
          <w:rFonts w:ascii="Times New Roman" w:hAnsi="Times New Roman" w:cs="Times New Roman"/>
          <w:sz w:val="26"/>
          <w:szCs w:val="26"/>
        </w:rPr>
      </w:pPr>
    </w:p>
    <w:p w:rsidR="00330620" w:rsidRDefault="00330620" w:rsidP="00330620">
      <w:pPr>
        <w:spacing w:line="360" w:lineRule="auto"/>
        <w:contextualSpacing/>
        <w:rPr>
          <w:rFonts w:ascii="Times New Roman" w:hAnsi="Times New Roman" w:cs="Times New Roman"/>
          <w:sz w:val="26"/>
          <w:szCs w:val="26"/>
        </w:rPr>
      </w:pPr>
      <w:r>
        <w:rPr>
          <w:rFonts w:ascii="Times New Roman" w:hAnsi="Times New Roman" w:cs="Times New Roman"/>
          <w:sz w:val="26"/>
          <w:szCs w:val="26"/>
        </w:rPr>
        <w:tab/>
        <w:t xml:space="preserve">CAUSE-PA and TURN </w:t>
      </w:r>
      <w:r w:rsidR="00A9778A" w:rsidRPr="00A9778A">
        <w:rPr>
          <w:rFonts w:ascii="Times New Roman" w:hAnsi="Times New Roman" w:cs="Times New Roman"/>
          <w:i/>
          <w:sz w:val="26"/>
          <w:szCs w:val="26"/>
        </w:rPr>
        <w:t>et al</w:t>
      </w:r>
      <w:r>
        <w:rPr>
          <w:rFonts w:ascii="Times New Roman" w:hAnsi="Times New Roman" w:cs="Times New Roman"/>
          <w:sz w:val="26"/>
          <w:szCs w:val="26"/>
        </w:rPr>
        <w:t xml:space="preserve">. separately recommend the Commission refer this issue to the OALJ for an evidentiary hearing.  CAUSE-PA Comments at 41-42 and TURN </w:t>
      </w:r>
      <w:r w:rsidR="00A9778A" w:rsidRPr="00A9778A">
        <w:rPr>
          <w:rFonts w:ascii="Times New Roman" w:hAnsi="Times New Roman" w:cs="Times New Roman"/>
          <w:i/>
          <w:sz w:val="26"/>
          <w:szCs w:val="26"/>
        </w:rPr>
        <w:t>et al</w:t>
      </w:r>
      <w:r>
        <w:rPr>
          <w:rFonts w:ascii="Times New Roman" w:hAnsi="Times New Roman" w:cs="Times New Roman"/>
          <w:sz w:val="26"/>
          <w:szCs w:val="26"/>
        </w:rPr>
        <w:t>. Comments at 28.</w:t>
      </w:r>
    </w:p>
    <w:p w:rsidR="00330620" w:rsidRDefault="00330620" w:rsidP="00330620">
      <w:pPr>
        <w:spacing w:line="360" w:lineRule="auto"/>
        <w:contextualSpacing/>
        <w:rPr>
          <w:rFonts w:ascii="Times New Roman" w:hAnsi="Times New Roman" w:cs="Times New Roman"/>
          <w:sz w:val="26"/>
          <w:szCs w:val="26"/>
        </w:rPr>
      </w:pPr>
    </w:p>
    <w:p w:rsidR="00330620" w:rsidRDefault="00330620" w:rsidP="00330620">
      <w:pPr>
        <w:spacing w:line="360" w:lineRule="auto"/>
        <w:contextualSpacing/>
        <w:rPr>
          <w:rFonts w:ascii="Times New Roman" w:hAnsi="Times New Roman" w:cs="Times New Roman"/>
          <w:sz w:val="26"/>
          <w:szCs w:val="26"/>
        </w:rPr>
      </w:pPr>
      <w:r>
        <w:rPr>
          <w:rFonts w:ascii="Times New Roman" w:hAnsi="Times New Roman" w:cs="Times New Roman"/>
          <w:sz w:val="26"/>
          <w:szCs w:val="26"/>
        </w:rPr>
        <w:tab/>
        <w:t xml:space="preserve">TURN </w:t>
      </w:r>
      <w:r w:rsidR="00A9778A" w:rsidRPr="00A9778A">
        <w:rPr>
          <w:rFonts w:ascii="Times New Roman" w:hAnsi="Times New Roman" w:cs="Times New Roman"/>
          <w:i/>
          <w:sz w:val="26"/>
          <w:szCs w:val="26"/>
        </w:rPr>
        <w:t>et al</w:t>
      </w:r>
      <w:r>
        <w:rPr>
          <w:rFonts w:ascii="Times New Roman" w:hAnsi="Times New Roman" w:cs="Times New Roman"/>
          <w:sz w:val="26"/>
          <w:szCs w:val="26"/>
        </w:rPr>
        <w:t xml:space="preserve">. agrees with OCA that CBOs should be utilized to increase enrollment in CRP.  TURN </w:t>
      </w:r>
      <w:r w:rsidR="00A9778A" w:rsidRPr="00A9778A">
        <w:rPr>
          <w:rFonts w:ascii="Times New Roman" w:hAnsi="Times New Roman" w:cs="Times New Roman"/>
          <w:i/>
          <w:sz w:val="26"/>
          <w:szCs w:val="26"/>
        </w:rPr>
        <w:t>et al</w:t>
      </w:r>
      <w:r>
        <w:rPr>
          <w:rFonts w:ascii="Times New Roman" w:hAnsi="Times New Roman" w:cs="Times New Roman"/>
          <w:sz w:val="26"/>
          <w:szCs w:val="26"/>
        </w:rPr>
        <w:t xml:space="preserve">. Reply Comments at 9-10.  </w:t>
      </w:r>
    </w:p>
    <w:p w:rsidR="00330620" w:rsidRDefault="00330620" w:rsidP="00330620">
      <w:pPr>
        <w:spacing w:line="360" w:lineRule="auto"/>
        <w:contextualSpacing/>
        <w:rPr>
          <w:rFonts w:ascii="Times New Roman" w:hAnsi="Times New Roman" w:cs="Times New Roman"/>
          <w:sz w:val="26"/>
          <w:szCs w:val="26"/>
        </w:rPr>
      </w:pPr>
    </w:p>
    <w:p w:rsidR="00330620" w:rsidRDefault="00330620" w:rsidP="00330620">
      <w:pPr>
        <w:spacing w:line="360" w:lineRule="auto"/>
        <w:contextualSpacing/>
        <w:rPr>
          <w:rFonts w:ascii="Times New Roman" w:hAnsi="Times New Roman" w:cs="Times New Roman"/>
          <w:sz w:val="26"/>
          <w:szCs w:val="26"/>
        </w:rPr>
      </w:pPr>
      <w:r>
        <w:rPr>
          <w:rFonts w:ascii="Times New Roman" w:hAnsi="Times New Roman" w:cs="Times New Roman"/>
          <w:sz w:val="26"/>
          <w:szCs w:val="26"/>
        </w:rPr>
        <w:lastRenderedPageBreak/>
        <w:tab/>
        <w:t>PGW maintains that its current CRP outreach is sufficiently targeting its low-income population:</w:t>
      </w:r>
    </w:p>
    <w:p w:rsidR="00330620" w:rsidRDefault="00330620" w:rsidP="00330620">
      <w:pPr>
        <w:spacing w:line="360" w:lineRule="auto"/>
        <w:contextualSpacing/>
        <w:rPr>
          <w:rFonts w:ascii="Times New Roman" w:hAnsi="Times New Roman" w:cs="Times New Roman"/>
          <w:sz w:val="26"/>
          <w:szCs w:val="26"/>
        </w:rPr>
      </w:pPr>
    </w:p>
    <w:p w:rsidR="00330620" w:rsidRDefault="00330620" w:rsidP="00330620">
      <w:pPr>
        <w:spacing w:line="240" w:lineRule="auto"/>
        <w:ind w:left="720" w:right="720"/>
        <w:contextualSpacing/>
        <w:rPr>
          <w:rFonts w:ascii="Times New Roman" w:hAnsi="Times New Roman" w:cs="Times New Roman"/>
          <w:sz w:val="26"/>
          <w:szCs w:val="26"/>
        </w:rPr>
      </w:pPr>
      <w:r w:rsidRPr="003E54CB">
        <w:rPr>
          <w:rFonts w:ascii="Times New Roman" w:hAnsi="Times New Roman" w:cs="Times New Roman"/>
          <w:sz w:val="26"/>
          <w:szCs w:val="26"/>
        </w:rPr>
        <w:t>PGW engages in direct outreach to customers through its customer service representatives, as well as an advertising campaign that it first implemented in 2015.  In addition, PGW trains its customer service representatives specifically on CRP twice a year.  PGW’s outreach approach is consistent with input received from CRP customers who have indicated that they find out about CRP through PGW representatives.  Thus, PGW’s outreach is specifically targeted toward the channel that customers themselves have indicated they find informative.</w:t>
      </w:r>
    </w:p>
    <w:p w:rsidR="00330620" w:rsidRDefault="00330620" w:rsidP="00330620">
      <w:pPr>
        <w:spacing w:line="360" w:lineRule="auto"/>
        <w:contextualSpacing/>
        <w:rPr>
          <w:rFonts w:ascii="Times New Roman" w:hAnsi="Times New Roman" w:cs="Times New Roman"/>
          <w:sz w:val="26"/>
          <w:szCs w:val="26"/>
        </w:rPr>
      </w:pPr>
    </w:p>
    <w:p w:rsidR="00330620" w:rsidRDefault="00330620" w:rsidP="00330620">
      <w:pPr>
        <w:spacing w:line="360" w:lineRule="auto"/>
        <w:contextualSpacing/>
        <w:rPr>
          <w:rFonts w:ascii="Times New Roman" w:hAnsi="Times New Roman" w:cs="Times New Roman"/>
          <w:sz w:val="26"/>
          <w:szCs w:val="26"/>
        </w:rPr>
      </w:pPr>
      <w:r>
        <w:rPr>
          <w:rFonts w:ascii="Times New Roman" w:hAnsi="Times New Roman" w:cs="Times New Roman"/>
          <w:sz w:val="26"/>
          <w:szCs w:val="26"/>
        </w:rPr>
        <w:t>PGW Reply Comments at 31.</w:t>
      </w:r>
    </w:p>
    <w:p w:rsidR="00330620" w:rsidRDefault="00330620" w:rsidP="00330620">
      <w:pPr>
        <w:spacing w:line="360" w:lineRule="auto"/>
        <w:contextualSpacing/>
        <w:rPr>
          <w:rFonts w:ascii="Times New Roman" w:hAnsi="Times New Roman" w:cs="Times New Roman"/>
          <w:sz w:val="26"/>
          <w:szCs w:val="26"/>
        </w:rPr>
      </w:pPr>
    </w:p>
    <w:p w:rsidR="00330620" w:rsidRDefault="00330620" w:rsidP="00330620">
      <w:pPr>
        <w:spacing w:line="360" w:lineRule="auto"/>
        <w:contextualSpacing/>
        <w:rPr>
          <w:rFonts w:ascii="Times New Roman" w:eastAsia="Calibri" w:hAnsi="Times New Roman" w:cs="Times New Roman"/>
          <w:sz w:val="26"/>
          <w:szCs w:val="26"/>
        </w:rPr>
      </w:pPr>
      <w:r>
        <w:rPr>
          <w:rFonts w:ascii="Times New Roman" w:hAnsi="Times New Roman" w:cs="Times New Roman"/>
          <w:sz w:val="26"/>
          <w:szCs w:val="26"/>
        </w:rPr>
        <w:tab/>
        <w:t>PGW explains that it does not contract with CBOs to help customers complete CRP applications/recertifications and assist with outreach/referrals because it is “</w:t>
      </w:r>
      <w:r w:rsidRPr="009C5C84">
        <w:rPr>
          <w:rFonts w:ascii="Times New Roman" w:hAnsi="Times New Roman" w:cs="Times New Roman"/>
          <w:sz w:val="26"/>
          <w:szCs w:val="26"/>
        </w:rPr>
        <w:t>union-covered work provided pursuant to PGW’s agreement with the Gas Works Employees’ Union of Philadelphia Local 686, Utility Workers’ Union of America AFL-CIO.</w:t>
      </w:r>
      <w:r>
        <w:rPr>
          <w:rFonts w:ascii="Times New Roman" w:hAnsi="Times New Roman" w:cs="Times New Roman"/>
          <w:sz w:val="26"/>
          <w:szCs w:val="26"/>
        </w:rPr>
        <w:t>”  PGW Reply Comments at 5,8.</w:t>
      </w:r>
    </w:p>
    <w:p w:rsidR="00650B90" w:rsidRDefault="00650B90" w:rsidP="006C38AB">
      <w:pPr>
        <w:spacing w:line="360" w:lineRule="auto"/>
        <w:contextualSpacing/>
        <w:rPr>
          <w:rFonts w:ascii="Times New Roman" w:eastAsia="Calibri" w:hAnsi="Times New Roman" w:cs="Times New Roman"/>
          <w:sz w:val="26"/>
          <w:szCs w:val="26"/>
        </w:rPr>
      </w:pPr>
    </w:p>
    <w:p w:rsidR="00330620" w:rsidRDefault="00330620" w:rsidP="006C38AB">
      <w:pPr>
        <w:spacing w:line="360" w:lineRule="auto"/>
        <w:contextualSpacing/>
        <w:rPr>
          <w:rFonts w:ascii="Times New Roman" w:eastAsia="Calibri" w:hAnsi="Times New Roman" w:cs="Times New Roman"/>
          <w:sz w:val="26"/>
          <w:szCs w:val="26"/>
        </w:rPr>
      </w:pPr>
      <w:r w:rsidRPr="00A22F59">
        <w:rPr>
          <w:rFonts w:ascii="Times New Roman" w:eastAsia="Calibri" w:hAnsi="Times New Roman" w:cs="Times New Roman"/>
          <w:i/>
          <w:sz w:val="26"/>
          <w:szCs w:val="26"/>
        </w:rPr>
        <w:t>Resolution</w:t>
      </w:r>
      <w:r>
        <w:rPr>
          <w:rFonts w:ascii="Times New Roman" w:eastAsia="Calibri" w:hAnsi="Times New Roman" w:cs="Times New Roman"/>
          <w:sz w:val="26"/>
          <w:szCs w:val="26"/>
        </w:rPr>
        <w:t>:</w:t>
      </w:r>
      <w:r w:rsidR="00A2544D">
        <w:rPr>
          <w:rFonts w:ascii="Times New Roman" w:eastAsia="Calibri" w:hAnsi="Times New Roman" w:cs="Times New Roman"/>
          <w:sz w:val="26"/>
          <w:szCs w:val="26"/>
        </w:rPr>
        <w:t xml:space="preserve">  We share the concerns of CAUSE-PA about PGW’s consistently declining outreach efforts.  In 2014, the Company provide</w:t>
      </w:r>
      <w:r w:rsidR="00E5002F">
        <w:rPr>
          <w:rFonts w:ascii="Times New Roman" w:eastAsia="Calibri" w:hAnsi="Times New Roman" w:cs="Times New Roman"/>
          <w:sz w:val="26"/>
          <w:szCs w:val="26"/>
        </w:rPr>
        <w:t>d CRP education to 33,902 households.  In 2016</w:t>
      </w:r>
      <w:r w:rsidR="006A6710">
        <w:rPr>
          <w:rFonts w:ascii="Times New Roman" w:eastAsia="Calibri" w:hAnsi="Times New Roman" w:cs="Times New Roman"/>
          <w:sz w:val="26"/>
          <w:szCs w:val="26"/>
        </w:rPr>
        <w:t xml:space="preserve">, the number of </w:t>
      </w:r>
      <w:r w:rsidR="00E5002F">
        <w:rPr>
          <w:rFonts w:ascii="Times New Roman" w:eastAsia="Calibri" w:hAnsi="Times New Roman" w:cs="Times New Roman"/>
          <w:sz w:val="26"/>
          <w:szCs w:val="26"/>
        </w:rPr>
        <w:t xml:space="preserve">households </w:t>
      </w:r>
      <w:r w:rsidR="006A6710">
        <w:rPr>
          <w:rFonts w:ascii="Times New Roman" w:eastAsia="Calibri" w:hAnsi="Times New Roman" w:cs="Times New Roman"/>
          <w:sz w:val="26"/>
          <w:szCs w:val="26"/>
        </w:rPr>
        <w:t xml:space="preserve">provided this education </w:t>
      </w:r>
      <w:r w:rsidR="00E5002F">
        <w:rPr>
          <w:rFonts w:ascii="Times New Roman" w:eastAsia="Calibri" w:hAnsi="Times New Roman" w:cs="Times New Roman"/>
          <w:sz w:val="26"/>
          <w:szCs w:val="26"/>
        </w:rPr>
        <w:t>dropped to 12,646.</w:t>
      </w:r>
      <w:r w:rsidR="006A6710">
        <w:rPr>
          <w:rFonts w:ascii="Times New Roman" w:eastAsia="Calibri" w:hAnsi="Times New Roman" w:cs="Times New Roman"/>
          <w:sz w:val="26"/>
          <w:szCs w:val="26"/>
        </w:rPr>
        <w:t xml:space="preserve">  </w:t>
      </w:r>
      <w:r w:rsidR="00343D8C">
        <w:rPr>
          <w:rFonts w:ascii="Times New Roman" w:eastAsia="Calibri" w:hAnsi="Times New Roman" w:cs="Times New Roman"/>
          <w:sz w:val="26"/>
          <w:szCs w:val="26"/>
        </w:rPr>
        <w:t>Given</w:t>
      </w:r>
      <w:r w:rsidR="00AA522D">
        <w:rPr>
          <w:rFonts w:ascii="Times New Roman" w:eastAsia="Calibri" w:hAnsi="Times New Roman" w:cs="Times New Roman"/>
          <w:sz w:val="26"/>
          <w:szCs w:val="26"/>
        </w:rPr>
        <w:t xml:space="preserve"> the consis</w:t>
      </w:r>
      <w:r w:rsidR="004358D2">
        <w:rPr>
          <w:rFonts w:ascii="Times New Roman" w:eastAsia="Calibri" w:hAnsi="Times New Roman" w:cs="Times New Roman"/>
          <w:sz w:val="26"/>
          <w:szCs w:val="26"/>
        </w:rPr>
        <w:t>tently decreasing program enrollment level</w:t>
      </w:r>
      <w:r w:rsidR="00396769">
        <w:rPr>
          <w:rFonts w:ascii="Times New Roman" w:eastAsia="Calibri" w:hAnsi="Times New Roman" w:cs="Times New Roman"/>
          <w:sz w:val="26"/>
          <w:szCs w:val="26"/>
        </w:rPr>
        <w:t xml:space="preserve">, </w:t>
      </w:r>
      <w:r w:rsidR="004358D2">
        <w:rPr>
          <w:rFonts w:ascii="Times New Roman" w:eastAsia="Calibri" w:hAnsi="Times New Roman" w:cs="Times New Roman"/>
          <w:sz w:val="26"/>
          <w:szCs w:val="26"/>
        </w:rPr>
        <w:t>PGW</w:t>
      </w:r>
      <w:r w:rsidR="00396769">
        <w:rPr>
          <w:rFonts w:ascii="Times New Roman" w:eastAsia="Calibri" w:hAnsi="Times New Roman" w:cs="Times New Roman"/>
          <w:sz w:val="26"/>
          <w:szCs w:val="26"/>
        </w:rPr>
        <w:t xml:space="preserve"> needs to do more to educate income-el</w:t>
      </w:r>
      <w:r w:rsidR="00AA522D">
        <w:rPr>
          <w:rFonts w:ascii="Times New Roman" w:eastAsia="Calibri" w:hAnsi="Times New Roman" w:cs="Times New Roman"/>
          <w:sz w:val="26"/>
          <w:szCs w:val="26"/>
        </w:rPr>
        <w:t xml:space="preserve">igible households about </w:t>
      </w:r>
      <w:r w:rsidR="004358D2">
        <w:rPr>
          <w:rFonts w:ascii="Times New Roman" w:eastAsia="Calibri" w:hAnsi="Times New Roman" w:cs="Times New Roman"/>
          <w:sz w:val="26"/>
          <w:szCs w:val="26"/>
        </w:rPr>
        <w:t xml:space="preserve">CRP and </w:t>
      </w:r>
      <w:r w:rsidR="00396769">
        <w:rPr>
          <w:rFonts w:ascii="Times New Roman" w:eastAsia="Calibri" w:hAnsi="Times New Roman" w:cs="Times New Roman"/>
          <w:sz w:val="26"/>
          <w:szCs w:val="26"/>
        </w:rPr>
        <w:t xml:space="preserve">its other universal service programs.  </w:t>
      </w:r>
    </w:p>
    <w:p w:rsidR="006A6710" w:rsidRDefault="006A6710" w:rsidP="006C38AB">
      <w:pPr>
        <w:spacing w:line="360" w:lineRule="auto"/>
        <w:contextualSpacing/>
        <w:rPr>
          <w:rFonts w:ascii="Times New Roman" w:eastAsia="Calibri" w:hAnsi="Times New Roman" w:cs="Times New Roman"/>
          <w:sz w:val="26"/>
          <w:szCs w:val="26"/>
        </w:rPr>
      </w:pPr>
    </w:p>
    <w:p w:rsidR="00816679" w:rsidRDefault="00A22F59" w:rsidP="006C38AB">
      <w:pPr>
        <w:spacing w:line="360" w:lineRule="auto"/>
        <w:contextualSpacing/>
        <w:rPr>
          <w:rFonts w:ascii="Times New Roman" w:eastAsia="Calibri" w:hAnsi="Times New Roman" w:cs="Times New Roman"/>
          <w:sz w:val="26"/>
          <w:szCs w:val="26"/>
        </w:rPr>
      </w:pPr>
      <w:r>
        <w:rPr>
          <w:rFonts w:ascii="Times New Roman" w:eastAsia="Calibri" w:hAnsi="Times New Roman" w:cs="Times New Roman"/>
          <w:sz w:val="26"/>
          <w:szCs w:val="26"/>
        </w:rPr>
        <w:tab/>
      </w:r>
      <w:r w:rsidR="004358D2">
        <w:rPr>
          <w:rFonts w:ascii="Times New Roman" w:eastAsia="Calibri" w:hAnsi="Times New Roman" w:cs="Times New Roman"/>
          <w:sz w:val="26"/>
          <w:szCs w:val="26"/>
        </w:rPr>
        <w:t>W</w:t>
      </w:r>
      <w:r w:rsidR="00816679">
        <w:rPr>
          <w:rFonts w:ascii="Times New Roman" w:eastAsia="Calibri" w:hAnsi="Times New Roman" w:cs="Times New Roman"/>
          <w:sz w:val="26"/>
          <w:szCs w:val="26"/>
        </w:rPr>
        <w:t xml:space="preserve">e </w:t>
      </w:r>
      <w:r w:rsidR="00B46365">
        <w:rPr>
          <w:rFonts w:ascii="Times New Roman" w:eastAsia="Calibri" w:hAnsi="Times New Roman" w:cs="Times New Roman"/>
          <w:sz w:val="26"/>
          <w:szCs w:val="26"/>
        </w:rPr>
        <w:t>note PGW is taking steps to boost CRP participation.  The Company has</w:t>
      </w:r>
      <w:r w:rsidR="00816679">
        <w:rPr>
          <w:rFonts w:ascii="Times New Roman" w:eastAsia="Calibri" w:hAnsi="Times New Roman" w:cs="Times New Roman"/>
          <w:sz w:val="26"/>
          <w:szCs w:val="26"/>
        </w:rPr>
        <w:t xml:space="preserve"> </w:t>
      </w:r>
      <w:r w:rsidR="00B46365">
        <w:rPr>
          <w:rFonts w:ascii="Times New Roman" w:eastAsia="Calibri" w:hAnsi="Times New Roman" w:cs="Times New Roman"/>
          <w:sz w:val="26"/>
          <w:szCs w:val="26"/>
        </w:rPr>
        <w:t>proposed</w:t>
      </w:r>
      <w:r w:rsidR="004358D2">
        <w:rPr>
          <w:rFonts w:ascii="Times New Roman" w:eastAsia="Calibri" w:hAnsi="Times New Roman" w:cs="Times New Roman"/>
          <w:sz w:val="26"/>
          <w:szCs w:val="26"/>
        </w:rPr>
        <w:t xml:space="preserve"> to enhance</w:t>
      </w:r>
      <w:r w:rsidR="00816679">
        <w:rPr>
          <w:rFonts w:ascii="Times New Roman" w:eastAsia="Calibri" w:hAnsi="Times New Roman" w:cs="Times New Roman"/>
          <w:sz w:val="26"/>
          <w:szCs w:val="26"/>
        </w:rPr>
        <w:t xml:space="preserve"> CRP outreach to </w:t>
      </w:r>
      <w:r w:rsidR="00B46365">
        <w:rPr>
          <w:rFonts w:ascii="Times New Roman" w:eastAsia="Calibri" w:hAnsi="Times New Roman" w:cs="Times New Roman"/>
          <w:sz w:val="26"/>
          <w:szCs w:val="26"/>
        </w:rPr>
        <w:t>Spanish-speaking customers, continue</w:t>
      </w:r>
      <w:r w:rsidR="00816679">
        <w:rPr>
          <w:rFonts w:ascii="Times New Roman" w:eastAsia="Calibri" w:hAnsi="Times New Roman" w:cs="Times New Roman"/>
          <w:sz w:val="26"/>
          <w:szCs w:val="26"/>
        </w:rPr>
        <w:t xml:space="preserve"> </w:t>
      </w:r>
      <w:r w:rsidR="00B46365">
        <w:rPr>
          <w:rFonts w:ascii="Times New Roman" w:eastAsia="Calibri" w:hAnsi="Times New Roman" w:cs="Times New Roman"/>
          <w:sz w:val="26"/>
          <w:szCs w:val="26"/>
        </w:rPr>
        <w:t xml:space="preserve">its </w:t>
      </w:r>
      <w:r w:rsidR="00816679">
        <w:rPr>
          <w:rFonts w:ascii="Times New Roman" w:eastAsia="Calibri" w:hAnsi="Times New Roman" w:cs="Times New Roman"/>
          <w:sz w:val="26"/>
          <w:szCs w:val="26"/>
        </w:rPr>
        <w:t xml:space="preserve">targeted outreach to </w:t>
      </w:r>
      <w:r w:rsidR="00085732">
        <w:rPr>
          <w:rFonts w:ascii="Times New Roman" w:eastAsia="Calibri" w:hAnsi="Times New Roman" w:cs="Times New Roman"/>
          <w:sz w:val="26"/>
          <w:szCs w:val="26"/>
        </w:rPr>
        <w:t xml:space="preserve">SCD </w:t>
      </w:r>
      <w:r w:rsidR="00816679">
        <w:rPr>
          <w:rFonts w:ascii="Times New Roman" w:eastAsia="Calibri" w:hAnsi="Times New Roman" w:cs="Times New Roman"/>
          <w:sz w:val="26"/>
          <w:szCs w:val="26"/>
        </w:rPr>
        <w:t>pa</w:t>
      </w:r>
      <w:r w:rsidR="00B46365">
        <w:rPr>
          <w:rFonts w:ascii="Times New Roman" w:eastAsia="Calibri" w:hAnsi="Times New Roman" w:cs="Times New Roman"/>
          <w:sz w:val="26"/>
          <w:szCs w:val="26"/>
        </w:rPr>
        <w:t>rticipants, and provide</w:t>
      </w:r>
      <w:r w:rsidR="00816679">
        <w:rPr>
          <w:rFonts w:ascii="Times New Roman" w:eastAsia="Calibri" w:hAnsi="Times New Roman" w:cs="Times New Roman"/>
          <w:sz w:val="26"/>
          <w:szCs w:val="26"/>
        </w:rPr>
        <w:t xml:space="preserve"> current </w:t>
      </w:r>
      <w:r w:rsidR="00085732">
        <w:rPr>
          <w:rFonts w:ascii="Times New Roman" w:eastAsia="Calibri" w:hAnsi="Times New Roman" w:cs="Times New Roman"/>
          <w:sz w:val="26"/>
          <w:szCs w:val="26"/>
        </w:rPr>
        <w:t xml:space="preserve">CRP </w:t>
      </w:r>
      <w:r w:rsidR="00816679">
        <w:rPr>
          <w:rFonts w:ascii="Times New Roman" w:eastAsia="Calibri" w:hAnsi="Times New Roman" w:cs="Times New Roman"/>
          <w:sz w:val="26"/>
          <w:szCs w:val="26"/>
        </w:rPr>
        <w:t xml:space="preserve">participants more time and information to recertify.  These actions </w:t>
      </w:r>
      <w:r w:rsidR="00816679" w:rsidRPr="00BA742E">
        <w:rPr>
          <w:rFonts w:ascii="Times New Roman" w:eastAsia="Calibri" w:hAnsi="Times New Roman" w:cs="Times New Roman"/>
          <w:sz w:val="26"/>
          <w:szCs w:val="26"/>
        </w:rPr>
        <w:t xml:space="preserve">should help </w:t>
      </w:r>
      <w:r w:rsidR="00816679">
        <w:rPr>
          <w:rFonts w:ascii="Times New Roman" w:eastAsia="Calibri" w:hAnsi="Times New Roman" w:cs="Times New Roman"/>
          <w:sz w:val="26"/>
          <w:szCs w:val="26"/>
        </w:rPr>
        <w:t xml:space="preserve">make more low-income customers </w:t>
      </w:r>
      <w:r w:rsidR="00816679">
        <w:rPr>
          <w:rFonts w:ascii="Times New Roman" w:eastAsia="Calibri" w:hAnsi="Times New Roman" w:cs="Times New Roman"/>
          <w:sz w:val="26"/>
          <w:szCs w:val="26"/>
        </w:rPr>
        <w:lastRenderedPageBreak/>
        <w:t xml:space="preserve">aware of the </w:t>
      </w:r>
      <w:r w:rsidR="00F272A4">
        <w:rPr>
          <w:rFonts w:ascii="Times New Roman" w:eastAsia="Calibri" w:hAnsi="Times New Roman" w:cs="Times New Roman"/>
          <w:sz w:val="26"/>
          <w:szCs w:val="26"/>
        </w:rPr>
        <w:t>benefits of the program</w:t>
      </w:r>
      <w:r w:rsidR="00085732">
        <w:rPr>
          <w:rFonts w:ascii="Times New Roman" w:eastAsia="Calibri" w:hAnsi="Times New Roman" w:cs="Times New Roman"/>
          <w:sz w:val="26"/>
          <w:szCs w:val="26"/>
        </w:rPr>
        <w:t xml:space="preserve"> and decrease the number of customers removed from the program for failing to recertify</w:t>
      </w:r>
      <w:r w:rsidR="00F272A4">
        <w:rPr>
          <w:rFonts w:ascii="Times New Roman" w:eastAsia="Calibri" w:hAnsi="Times New Roman" w:cs="Times New Roman"/>
          <w:sz w:val="26"/>
          <w:szCs w:val="26"/>
        </w:rPr>
        <w:t xml:space="preserve">.  </w:t>
      </w:r>
    </w:p>
    <w:p w:rsidR="00816679" w:rsidRDefault="00816679" w:rsidP="006C38AB">
      <w:pPr>
        <w:spacing w:line="360" w:lineRule="auto"/>
        <w:contextualSpacing/>
        <w:rPr>
          <w:rFonts w:ascii="Times New Roman" w:eastAsia="Calibri" w:hAnsi="Times New Roman" w:cs="Times New Roman"/>
          <w:sz w:val="26"/>
          <w:szCs w:val="26"/>
        </w:rPr>
      </w:pPr>
    </w:p>
    <w:p w:rsidR="006A6710" w:rsidRDefault="00A22F59" w:rsidP="006C38AB">
      <w:pPr>
        <w:spacing w:line="360" w:lineRule="auto"/>
        <w:contextualSpacing/>
        <w:rPr>
          <w:rFonts w:ascii="Times New Roman" w:eastAsia="Calibri" w:hAnsi="Times New Roman" w:cs="Times New Roman"/>
          <w:sz w:val="26"/>
          <w:szCs w:val="26"/>
        </w:rPr>
      </w:pPr>
      <w:r>
        <w:rPr>
          <w:rFonts w:ascii="Times New Roman" w:eastAsia="Calibri" w:hAnsi="Times New Roman" w:cs="Times New Roman"/>
          <w:sz w:val="26"/>
          <w:szCs w:val="26"/>
        </w:rPr>
        <w:tab/>
      </w:r>
      <w:r w:rsidR="00AA522D">
        <w:rPr>
          <w:rFonts w:ascii="Times New Roman" w:eastAsia="Calibri" w:hAnsi="Times New Roman" w:cs="Times New Roman"/>
          <w:sz w:val="26"/>
          <w:szCs w:val="26"/>
        </w:rPr>
        <w:t xml:space="preserve">We have </w:t>
      </w:r>
      <w:r w:rsidR="000D11C6">
        <w:rPr>
          <w:rFonts w:ascii="Times New Roman" w:eastAsia="Calibri" w:hAnsi="Times New Roman" w:cs="Times New Roman"/>
          <w:sz w:val="26"/>
          <w:szCs w:val="26"/>
        </w:rPr>
        <w:t xml:space="preserve">also </w:t>
      </w:r>
      <w:r w:rsidR="00AA522D">
        <w:rPr>
          <w:rFonts w:ascii="Times New Roman" w:eastAsia="Calibri" w:hAnsi="Times New Roman" w:cs="Times New Roman"/>
          <w:sz w:val="26"/>
          <w:szCs w:val="26"/>
        </w:rPr>
        <w:t xml:space="preserve">directed PGW to allow </w:t>
      </w:r>
      <w:r w:rsidR="00F272A4">
        <w:rPr>
          <w:rFonts w:ascii="Times New Roman" w:eastAsia="Calibri" w:hAnsi="Times New Roman" w:cs="Times New Roman"/>
          <w:sz w:val="26"/>
          <w:szCs w:val="26"/>
        </w:rPr>
        <w:t xml:space="preserve">low-income </w:t>
      </w:r>
      <w:r w:rsidR="00AA522D">
        <w:rPr>
          <w:rFonts w:ascii="Times New Roman" w:eastAsia="Calibri" w:hAnsi="Times New Roman" w:cs="Times New Roman"/>
          <w:sz w:val="26"/>
          <w:szCs w:val="26"/>
        </w:rPr>
        <w:t>customers to enroll in CRP at the PIP level or budget billing, which</w:t>
      </w:r>
      <w:r w:rsidR="006E7744">
        <w:rPr>
          <w:rFonts w:ascii="Times New Roman" w:eastAsia="Calibri" w:hAnsi="Times New Roman" w:cs="Times New Roman"/>
          <w:sz w:val="26"/>
          <w:szCs w:val="26"/>
        </w:rPr>
        <w:t>ever is lower.  This change will</w:t>
      </w:r>
      <w:r w:rsidR="00AA522D">
        <w:rPr>
          <w:rFonts w:ascii="Times New Roman" w:eastAsia="Calibri" w:hAnsi="Times New Roman" w:cs="Times New Roman"/>
          <w:sz w:val="26"/>
          <w:szCs w:val="26"/>
        </w:rPr>
        <w:t xml:space="preserve"> greatly expand the number of households </w:t>
      </w:r>
      <w:r w:rsidR="000D11C6">
        <w:rPr>
          <w:rFonts w:ascii="Times New Roman" w:eastAsia="Calibri" w:hAnsi="Times New Roman" w:cs="Times New Roman"/>
          <w:sz w:val="26"/>
          <w:szCs w:val="26"/>
        </w:rPr>
        <w:t xml:space="preserve">eligible </w:t>
      </w:r>
      <w:r w:rsidR="00AA522D">
        <w:rPr>
          <w:rFonts w:ascii="Times New Roman" w:eastAsia="Calibri" w:hAnsi="Times New Roman" w:cs="Times New Roman"/>
          <w:sz w:val="26"/>
          <w:szCs w:val="26"/>
        </w:rPr>
        <w:t xml:space="preserve">for </w:t>
      </w:r>
      <w:r w:rsidR="006E7744">
        <w:rPr>
          <w:rFonts w:ascii="Times New Roman" w:eastAsia="Calibri" w:hAnsi="Times New Roman" w:cs="Times New Roman"/>
          <w:sz w:val="26"/>
          <w:szCs w:val="26"/>
        </w:rPr>
        <w:t xml:space="preserve">CRP.  </w:t>
      </w:r>
      <w:r w:rsidR="00EF590C">
        <w:rPr>
          <w:rFonts w:ascii="Times New Roman" w:eastAsia="Calibri" w:hAnsi="Times New Roman" w:cs="Times New Roman"/>
          <w:sz w:val="26"/>
          <w:szCs w:val="26"/>
        </w:rPr>
        <w:t xml:space="preserve">This includes the </w:t>
      </w:r>
      <w:r w:rsidR="000D11C6" w:rsidRPr="000D11C6">
        <w:rPr>
          <w:rFonts w:ascii="Times New Roman" w:eastAsia="Calibri" w:hAnsi="Times New Roman" w:cs="Times New Roman"/>
          <w:sz w:val="26"/>
          <w:szCs w:val="26"/>
        </w:rPr>
        <w:t>52,309</w:t>
      </w:r>
      <w:r w:rsidR="000D11C6">
        <w:rPr>
          <w:rFonts w:ascii="Times New Roman" w:eastAsia="Calibri" w:hAnsi="Times New Roman" w:cs="Times New Roman"/>
          <w:sz w:val="26"/>
          <w:szCs w:val="26"/>
        </w:rPr>
        <w:t xml:space="preserve"> confirmed low</w:t>
      </w:r>
      <w:r w:rsidR="006E7744">
        <w:rPr>
          <w:rFonts w:ascii="Times New Roman" w:eastAsia="Calibri" w:hAnsi="Times New Roman" w:cs="Times New Roman"/>
          <w:sz w:val="26"/>
          <w:szCs w:val="26"/>
        </w:rPr>
        <w:t>-</w:t>
      </w:r>
      <w:r w:rsidR="000D11C6">
        <w:rPr>
          <w:rFonts w:ascii="Times New Roman" w:eastAsia="Calibri" w:hAnsi="Times New Roman" w:cs="Times New Roman"/>
          <w:sz w:val="26"/>
          <w:szCs w:val="26"/>
        </w:rPr>
        <w:t xml:space="preserve">income </w:t>
      </w:r>
      <w:r w:rsidR="006E7744">
        <w:rPr>
          <w:rFonts w:ascii="Times New Roman" w:eastAsia="Calibri" w:hAnsi="Times New Roman" w:cs="Times New Roman"/>
          <w:sz w:val="26"/>
          <w:szCs w:val="26"/>
        </w:rPr>
        <w:t xml:space="preserve">PGW </w:t>
      </w:r>
      <w:r w:rsidR="000D11C6">
        <w:rPr>
          <w:rFonts w:ascii="Times New Roman" w:eastAsia="Calibri" w:hAnsi="Times New Roman" w:cs="Times New Roman"/>
          <w:sz w:val="26"/>
          <w:szCs w:val="26"/>
        </w:rPr>
        <w:t xml:space="preserve">customers </w:t>
      </w:r>
      <w:r w:rsidR="00EF590C">
        <w:rPr>
          <w:rFonts w:ascii="Times New Roman" w:eastAsia="Calibri" w:hAnsi="Times New Roman" w:cs="Times New Roman"/>
          <w:sz w:val="26"/>
          <w:szCs w:val="26"/>
        </w:rPr>
        <w:t xml:space="preserve">who </w:t>
      </w:r>
      <w:r w:rsidR="006E7744">
        <w:rPr>
          <w:rFonts w:ascii="Times New Roman" w:eastAsia="Calibri" w:hAnsi="Times New Roman" w:cs="Times New Roman"/>
          <w:sz w:val="26"/>
          <w:szCs w:val="26"/>
        </w:rPr>
        <w:t xml:space="preserve">were enrolled in payment arrangements in 2015.  </w:t>
      </w:r>
      <w:r w:rsidR="006E7744" w:rsidRPr="006E7744">
        <w:rPr>
          <w:rFonts w:ascii="Times New Roman" w:eastAsia="Calibri" w:hAnsi="Times New Roman" w:cs="Times New Roman"/>
          <w:sz w:val="26"/>
          <w:szCs w:val="26"/>
        </w:rPr>
        <w:t xml:space="preserve">PGW Supplemental Information at 8, </w:t>
      </w:r>
      <w:r w:rsidR="006E7744" w:rsidRPr="006E7744">
        <w:rPr>
          <w:rFonts w:ascii="Times New Roman" w:eastAsia="Calibri" w:hAnsi="Times New Roman" w:cs="Times New Roman"/>
          <w:i/>
          <w:sz w:val="26"/>
          <w:szCs w:val="26"/>
        </w:rPr>
        <w:t>citing</w:t>
      </w:r>
      <w:r w:rsidR="006E7744" w:rsidRPr="006E7744">
        <w:rPr>
          <w:rFonts w:ascii="Times New Roman" w:eastAsia="Calibri" w:hAnsi="Times New Roman" w:cs="Times New Roman"/>
          <w:sz w:val="26"/>
          <w:szCs w:val="26"/>
        </w:rPr>
        <w:t xml:space="preserve"> the 2015 Report on Universal Service Programs &amp; Collections Performance at 10.</w:t>
      </w:r>
      <w:r w:rsidR="00816679">
        <w:rPr>
          <w:rFonts w:ascii="Times New Roman" w:eastAsia="Calibri" w:hAnsi="Times New Roman" w:cs="Times New Roman"/>
          <w:sz w:val="26"/>
          <w:szCs w:val="26"/>
        </w:rPr>
        <w:t xml:space="preserve">  Low-income customers who are no longer eligible for further payment arrangements </w:t>
      </w:r>
      <w:r w:rsidR="00EF590C">
        <w:rPr>
          <w:rFonts w:ascii="Times New Roman" w:eastAsia="Calibri" w:hAnsi="Times New Roman" w:cs="Times New Roman"/>
          <w:sz w:val="26"/>
          <w:szCs w:val="26"/>
        </w:rPr>
        <w:t>will also be eligible for CRP.</w:t>
      </w:r>
    </w:p>
    <w:p w:rsidR="00EF590C" w:rsidRDefault="00EF590C" w:rsidP="006C38AB">
      <w:pPr>
        <w:spacing w:line="360" w:lineRule="auto"/>
        <w:contextualSpacing/>
        <w:rPr>
          <w:rFonts w:ascii="Times New Roman" w:eastAsia="Calibri" w:hAnsi="Times New Roman" w:cs="Times New Roman"/>
          <w:sz w:val="26"/>
          <w:szCs w:val="26"/>
        </w:rPr>
      </w:pPr>
    </w:p>
    <w:p w:rsidR="00BA742E" w:rsidRDefault="00A22F59" w:rsidP="006C38AB">
      <w:pPr>
        <w:spacing w:line="360" w:lineRule="auto"/>
        <w:contextualSpacing/>
        <w:rPr>
          <w:rFonts w:ascii="Times New Roman" w:eastAsia="Calibri" w:hAnsi="Times New Roman" w:cs="Times New Roman"/>
          <w:sz w:val="26"/>
          <w:szCs w:val="26"/>
        </w:rPr>
      </w:pPr>
      <w:r>
        <w:rPr>
          <w:rFonts w:ascii="Times New Roman" w:eastAsia="Calibri" w:hAnsi="Times New Roman" w:cs="Times New Roman"/>
          <w:sz w:val="26"/>
          <w:szCs w:val="26"/>
        </w:rPr>
        <w:tab/>
      </w:r>
      <w:r w:rsidR="00EF590C">
        <w:rPr>
          <w:rFonts w:ascii="Times New Roman" w:eastAsia="Calibri" w:hAnsi="Times New Roman" w:cs="Times New Roman"/>
          <w:sz w:val="26"/>
          <w:szCs w:val="26"/>
        </w:rPr>
        <w:t xml:space="preserve">Accordingly, we direct PGW to expand its targeted CRP outreach efforts </w:t>
      </w:r>
      <w:r>
        <w:rPr>
          <w:rFonts w:ascii="Times New Roman" w:eastAsia="Calibri" w:hAnsi="Times New Roman" w:cs="Times New Roman"/>
          <w:sz w:val="26"/>
          <w:szCs w:val="26"/>
        </w:rPr>
        <w:t>(</w:t>
      </w:r>
      <w:r w:rsidRPr="00085732">
        <w:rPr>
          <w:rFonts w:ascii="Times New Roman" w:eastAsia="Calibri" w:hAnsi="Times New Roman" w:cs="Times New Roman"/>
          <w:i/>
          <w:sz w:val="26"/>
          <w:szCs w:val="26"/>
        </w:rPr>
        <w:t>e.g.</w:t>
      </w:r>
      <w:r>
        <w:rPr>
          <w:rFonts w:ascii="Times New Roman" w:eastAsia="Calibri" w:hAnsi="Times New Roman" w:cs="Times New Roman"/>
          <w:sz w:val="26"/>
          <w:szCs w:val="26"/>
        </w:rPr>
        <w:t xml:space="preserve">, direct mail and bill messaging) </w:t>
      </w:r>
      <w:r w:rsidR="00EF590C">
        <w:rPr>
          <w:rFonts w:ascii="Times New Roman" w:eastAsia="Calibri" w:hAnsi="Times New Roman" w:cs="Times New Roman"/>
          <w:sz w:val="26"/>
          <w:szCs w:val="26"/>
        </w:rPr>
        <w:t xml:space="preserve">to include </w:t>
      </w:r>
      <w:r w:rsidR="005472C1">
        <w:rPr>
          <w:rFonts w:ascii="Times New Roman" w:eastAsia="Calibri" w:hAnsi="Times New Roman" w:cs="Times New Roman"/>
          <w:sz w:val="26"/>
          <w:szCs w:val="26"/>
        </w:rPr>
        <w:t xml:space="preserve">low-income customers that may qualify for CRP based on budget billing.  This includes low-income customers currently on payment arrangements, income-eligible customers denied CRP eligibility in the past 12 months, and low-income customers with broken payment agreements. </w:t>
      </w:r>
      <w:r w:rsidR="00085732">
        <w:rPr>
          <w:rFonts w:ascii="Times New Roman" w:eastAsia="Calibri" w:hAnsi="Times New Roman" w:cs="Times New Roman"/>
          <w:sz w:val="26"/>
          <w:szCs w:val="26"/>
        </w:rPr>
        <w:t xml:space="preserve"> </w:t>
      </w:r>
      <w:r w:rsidR="00EF590C">
        <w:rPr>
          <w:rFonts w:ascii="Times New Roman" w:eastAsia="Calibri" w:hAnsi="Times New Roman" w:cs="Times New Roman"/>
          <w:sz w:val="26"/>
          <w:szCs w:val="26"/>
        </w:rPr>
        <w:t>PGW</w:t>
      </w:r>
      <w:r w:rsidR="00085732">
        <w:rPr>
          <w:rFonts w:ascii="Times New Roman" w:eastAsia="Calibri" w:hAnsi="Times New Roman" w:cs="Times New Roman"/>
          <w:sz w:val="26"/>
          <w:szCs w:val="26"/>
        </w:rPr>
        <w:t xml:space="preserve"> should </w:t>
      </w:r>
      <w:r w:rsidR="00BA742E" w:rsidRPr="00BA742E">
        <w:rPr>
          <w:rFonts w:ascii="Times New Roman" w:eastAsia="Calibri" w:hAnsi="Times New Roman" w:cs="Times New Roman"/>
          <w:sz w:val="26"/>
          <w:szCs w:val="26"/>
        </w:rPr>
        <w:t>expand its outreach efforts</w:t>
      </w:r>
      <w:r w:rsidR="00085732">
        <w:rPr>
          <w:rFonts w:ascii="Times New Roman" w:eastAsia="Calibri" w:hAnsi="Times New Roman" w:cs="Times New Roman"/>
          <w:sz w:val="26"/>
          <w:szCs w:val="26"/>
        </w:rPr>
        <w:t>,</w:t>
      </w:r>
      <w:r w:rsidR="00BA742E" w:rsidRPr="00BA742E">
        <w:rPr>
          <w:rFonts w:ascii="Times New Roman" w:eastAsia="Calibri" w:hAnsi="Times New Roman" w:cs="Times New Roman"/>
          <w:sz w:val="26"/>
          <w:szCs w:val="26"/>
        </w:rPr>
        <w:t xml:space="preserve"> as indicated</w:t>
      </w:r>
      <w:r w:rsidR="00085732">
        <w:rPr>
          <w:rFonts w:ascii="Times New Roman" w:eastAsia="Calibri" w:hAnsi="Times New Roman" w:cs="Times New Roman"/>
          <w:sz w:val="26"/>
          <w:szCs w:val="26"/>
        </w:rPr>
        <w:t xml:space="preserve">, as soon as it has made the system enhancements </w:t>
      </w:r>
      <w:r w:rsidR="00B13957">
        <w:rPr>
          <w:rFonts w:ascii="Times New Roman" w:eastAsia="Calibri" w:hAnsi="Times New Roman" w:cs="Times New Roman"/>
          <w:sz w:val="26"/>
          <w:szCs w:val="26"/>
        </w:rPr>
        <w:t>necessary to allow customers to enroll in CRP at budget billing</w:t>
      </w:r>
      <w:r w:rsidR="00413F4D">
        <w:rPr>
          <w:rFonts w:ascii="Times New Roman" w:eastAsia="Calibri" w:hAnsi="Times New Roman" w:cs="Times New Roman"/>
          <w:sz w:val="26"/>
          <w:szCs w:val="26"/>
        </w:rPr>
        <w:t xml:space="preserve"> and reflect this change in its Revised 2017-2020 Plan.</w:t>
      </w:r>
    </w:p>
    <w:p w:rsidR="00706DAC" w:rsidRDefault="00706DAC" w:rsidP="006C38AB">
      <w:pPr>
        <w:spacing w:line="360" w:lineRule="auto"/>
        <w:contextualSpacing/>
        <w:rPr>
          <w:rFonts w:ascii="Times New Roman" w:eastAsia="Calibri" w:hAnsi="Times New Roman" w:cs="Times New Roman"/>
          <w:sz w:val="26"/>
          <w:szCs w:val="26"/>
        </w:rPr>
      </w:pPr>
    </w:p>
    <w:p w:rsidR="00706DAC" w:rsidRPr="000D4D34" w:rsidRDefault="00706DAC" w:rsidP="00885AFA">
      <w:pPr>
        <w:keepNext/>
        <w:spacing w:line="360" w:lineRule="auto"/>
        <w:contextualSpacing/>
        <w:rPr>
          <w:rFonts w:ascii="Times New Roman" w:hAnsi="Times New Roman" w:cs="Times New Roman"/>
          <w:i/>
          <w:sz w:val="26"/>
          <w:szCs w:val="26"/>
        </w:rPr>
      </w:pPr>
      <w:r>
        <w:rPr>
          <w:rFonts w:ascii="Times New Roman" w:hAnsi="Times New Roman" w:cs="Times New Roman"/>
          <w:i/>
          <w:sz w:val="26"/>
          <w:szCs w:val="26"/>
        </w:rPr>
        <w:t xml:space="preserve">b.  </w:t>
      </w:r>
      <w:r w:rsidRPr="000D6CEF">
        <w:rPr>
          <w:rFonts w:ascii="Times New Roman" w:hAnsi="Times New Roman" w:cs="Times New Roman"/>
          <w:i/>
          <w:sz w:val="26"/>
          <w:szCs w:val="26"/>
        </w:rPr>
        <w:t>Hards</w:t>
      </w:r>
      <w:r>
        <w:rPr>
          <w:rFonts w:ascii="Times New Roman" w:hAnsi="Times New Roman" w:cs="Times New Roman"/>
          <w:i/>
          <w:sz w:val="26"/>
          <w:szCs w:val="26"/>
        </w:rPr>
        <w:t>hip Fund Participation</w:t>
      </w:r>
      <w:r>
        <w:rPr>
          <w:rStyle w:val="FootnoteReference"/>
          <w:rFonts w:ascii="Times New Roman" w:hAnsi="Times New Roman" w:cs="Times New Roman"/>
          <w:i/>
          <w:sz w:val="26"/>
          <w:szCs w:val="26"/>
        </w:rPr>
        <w:footnoteReference w:id="49"/>
      </w:r>
    </w:p>
    <w:p w:rsidR="00706DAC" w:rsidRDefault="00706DAC" w:rsidP="00885AFA">
      <w:pPr>
        <w:keepNext/>
        <w:spacing w:line="360" w:lineRule="auto"/>
        <w:contextualSpacing/>
        <w:rPr>
          <w:rFonts w:ascii="Times New Roman" w:hAnsi="Times New Roman" w:cs="Times New Roman"/>
          <w:sz w:val="26"/>
          <w:szCs w:val="26"/>
        </w:rPr>
      </w:pPr>
    </w:p>
    <w:p w:rsidR="00706DAC" w:rsidRDefault="00706DAC" w:rsidP="00706DAC">
      <w:pPr>
        <w:spacing w:line="360" w:lineRule="auto"/>
        <w:contextualSpacing/>
        <w:rPr>
          <w:rFonts w:ascii="Times New Roman" w:hAnsi="Times New Roman" w:cs="Times New Roman"/>
          <w:sz w:val="26"/>
          <w:szCs w:val="26"/>
        </w:rPr>
      </w:pPr>
      <w:r>
        <w:rPr>
          <w:rFonts w:ascii="Times New Roman" w:hAnsi="Times New Roman" w:cs="Times New Roman"/>
          <w:sz w:val="26"/>
          <w:szCs w:val="26"/>
        </w:rPr>
        <w:tab/>
        <w:t xml:space="preserve">CAUSE-PA </w:t>
      </w:r>
      <w:r w:rsidR="0017726C">
        <w:rPr>
          <w:rFonts w:ascii="Times New Roman" w:hAnsi="Times New Roman" w:cs="Times New Roman"/>
          <w:sz w:val="26"/>
          <w:szCs w:val="26"/>
        </w:rPr>
        <w:t xml:space="preserve">raised </w:t>
      </w:r>
      <w:r>
        <w:rPr>
          <w:rFonts w:ascii="Times New Roman" w:hAnsi="Times New Roman" w:cs="Times New Roman"/>
          <w:sz w:val="26"/>
          <w:szCs w:val="26"/>
        </w:rPr>
        <w:t xml:space="preserve">concerns about the declining number of customers served through PGW’s Hardship Fund, citing the annual </w:t>
      </w:r>
      <w:r w:rsidR="00B13957">
        <w:rPr>
          <w:rFonts w:ascii="Times New Roman" w:eastAsia="Times New Roman" w:hAnsi="Times New Roman" w:cs="Times New Roman"/>
          <w:sz w:val="24"/>
          <w:szCs w:val="24"/>
        </w:rPr>
        <w:t>r</w:t>
      </w:r>
      <w:r w:rsidRPr="00B056A4">
        <w:rPr>
          <w:rFonts w:ascii="Times New Roman" w:eastAsia="Times New Roman" w:hAnsi="Times New Roman" w:cs="Times New Roman"/>
          <w:sz w:val="24"/>
          <w:szCs w:val="24"/>
        </w:rPr>
        <w:t>ep</w:t>
      </w:r>
      <w:r w:rsidRPr="0047659E">
        <w:rPr>
          <w:rFonts w:ascii="Times New Roman" w:eastAsia="Times New Roman" w:hAnsi="Times New Roman" w:cs="Times New Roman"/>
          <w:sz w:val="26"/>
          <w:szCs w:val="26"/>
        </w:rPr>
        <w:t>ort</w:t>
      </w:r>
      <w:r w:rsidR="00B13957">
        <w:rPr>
          <w:rFonts w:ascii="Times New Roman" w:eastAsia="Times New Roman" w:hAnsi="Times New Roman" w:cs="Times New Roman"/>
          <w:sz w:val="26"/>
          <w:szCs w:val="26"/>
        </w:rPr>
        <w:t>s</w:t>
      </w:r>
      <w:r w:rsidRPr="0047659E">
        <w:rPr>
          <w:rFonts w:ascii="Times New Roman" w:eastAsia="Times New Roman" w:hAnsi="Times New Roman" w:cs="Times New Roman"/>
          <w:sz w:val="26"/>
          <w:szCs w:val="26"/>
        </w:rPr>
        <w:t xml:space="preserve"> on Universal Service Programs</w:t>
      </w:r>
      <w:r>
        <w:rPr>
          <w:rFonts w:ascii="Times New Roman" w:eastAsia="Times New Roman" w:hAnsi="Times New Roman" w:cs="Times New Roman"/>
          <w:sz w:val="26"/>
          <w:szCs w:val="26"/>
        </w:rPr>
        <w:t xml:space="preserve"> &amp; Collections Performance from 2011 through 2015</w:t>
      </w:r>
      <w:r>
        <w:rPr>
          <w:rFonts w:ascii="Times New Roman" w:hAnsi="Times New Roman" w:cs="Times New Roman"/>
          <w:sz w:val="26"/>
          <w:szCs w:val="26"/>
        </w:rPr>
        <w:t xml:space="preserve">:  </w:t>
      </w:r>
    </w:p>
    <w:p w:rsidR="00706DAC" w:rsidRDefault="00706DAC" w:rsidP="00706DAC">
      <w:pPr>
        <w:spacing w:line="360" w:lineRule="auto"/>
        <w:contextualSpacing/>
        <w:rPr>
          <w:rFonts w:ascii="Times New Roman" w:hAnsi="Times New Roman" w:cs="Times New Roman"/>
          <w:sz w:val="26"/>
          <w:szCs w:val="26"/>
        </w:rPr>
      </w:pPr>
    </w:p>
    <w:p w:rsidR="00706DAC" w:rsidRPr="00157D5E" w:rsidRDefault="00706DAC" w:rsidP="00706DAC">
      <w:pPr>
        <w:keepNext/>
        <w:spacing w:line="240" w:lineRule="auto"/>
        <w:contextualSpacing/>
        <w:jc w:val="center"/>
        <w:rPr>
          <w:rFonts w:ascii="Times New Roman" w:hAnsi="Times New Roman" w:cs="Times New Roman"/>
          <w:b/>
          <w:sz w:val="26"/>
          <w:szCs w:val="26"/>
        </w:rPr>
      </w:pPr>
      <w:r w:rsidRPr="00157D5E">
        <w:rPr>
          <w:rFonts w:ascii="Times New Roman" w:hAnsi="Times New Roman" w:cs="Times New Roman"/>
          <w:b/>
          <w:sz w:val="26"/>
          <w:szCs w:val="26"/>
        </w:rPr>
        <w:lastRenderedPageBreak/>
        <w:t xml:space="preserve">Table </w:t>
      </w:r>
      <w:r w:rsidR="00083E3E">
        <w:rPr>
          <w:rFonts w:ascii="Times New Roman" w:hAnsi="Times New Roman" w:cs="Times New Roman"/>
          <w:b/>
          <w:sz w:val="26"/>
          <w:szCs w:val="26"/>
        </w:rPr>
        <w:t>11</w:t>
      </w:r>
    </w:p>
    <w:p w:rsidR="00706DAC" w:rsidRPr="00157D5E" w:rsidRDefault="00706DAC" w:rsidP="00706DAC">
      <w:pPr>
        <w:keepNext/>
        <w:spacing w:line="240" w:lineRule="auto"/>
        <w:contextualSpacing/>
        <w:jc w:val="center"/>
        <w:rPr>
          <w:rFonts w:ascii="Times New Roman" w:hAnsi="Times New Roman" w:cs="Times New Roman"/>
          <w:b/>
          <w:sz w:val="26"/>
          <w:szCs w:val="26"/>
        </w:rPr>
      </w:pPr>
      <w:r w:rsidRPr="00157D5E">
        <w:rPr>
          <w:rFonts w:ascii="Times New Roman" w:hAnsi="Times New Roman" w:cs="Times New Roman"/>
          <w:b/>
          <w:sz w:val="26"/>
          <w:szCs w:val="26"/>
        </w:rPr>
        <w:t>PGW Customers Receiving Hardship Fund Grants</w:t>
      </w:r>
    </w:p>
    <w:tbl>
      <w:tblPr>
        <w:tblStyle w:val="TableGrid"/>
        <w:tblW w:w="9720" w:type="dxa"/>
        <w:tblInd w:w="-5" w:type="dxa"/>
        <w:tblLook w:val="04A0" w:firstRow="1" w:lastRow="0" w:firstColumn="1" w:lastColumn="0" w:noHBand="0" w:noVBand="1"/>
      </w:tblPr>
      <w:tblGrid>
        <w:gridCol w:w="1372"/>
        <w:gridCol w:w="1149"/>
        <w:gridCol w:w="1147"/>
        <w:gridCol w:w="1150"/>
        <w:gridCol w:w="1147"/>
        <w:gridCol w:w="1150"/>
        <w:gridCol w:w="1147"/>
        <w:gridCol w:w="1458"/>
      </w:tblGrid>
      <w:tr w:rsidR="00706DAC" w:rsidTr="00CC68AB">
        <w:tc>
          <w:tcPr>
            <w:tcW w:w="1206" w:type="dxa"/>
            <w:tcBorders>
              <w:top w:val="single" w:sz="4" w:space="0" w:color="auto"/>
              <w:left w:val="single" w:sz="4" w:space="0" w:color="auto"/>
              <w:bottom w:val="single" w:sz="4" w:space="0" w:color="auto"/>
              <w:right w:val="single" w:sz="4" w:space="0" w:color="auto"/>
            </w:tcBorders>
            <w:vAlign w:val="center"/>
          </w:tcPr>
          <w:p w:rsidR="00706DAC" w:rsidRPr="00157D5E" w:rsidRDefault="00706DAC" w:rsidP="00CC68AB">
            <w:pPr>
              <w:keepNext/>
              <w:jc w:val="center"/>
              <w:rPr>
                <w:sz w:val="26"/>
                <w:szCs w:val="26"/>
              </w:rPr>
            </w:pPr>
          </w:p>
        </w:tc>
        <w:tc>
          <w:tcPr>
            <w:tcW w:w="1209" w:type="dxa"/>
            <w:tcBorders>
              <w:top w:val="single" w:sz="4" w:space="0" w:color="auto"/>
              <w:left w:val="single" w:sz="4" w:space="0" w:color="auto"/>
              <w:bottom w:val="single" w:sz="4" w:space="0" w:color="auto"/>
              <w:right w:val="single" w:sz="4" w:space="0" w:color="auto"/>
            </w:tcBorders>
            <w:vAlign w:val="center"/>
            <w:hideMark/>
          </w:tcPr>
          <w:p w:rsidR="00706DAC" w:rsidRPr="001A2BD6" w:rsidRDefault="00706DAC" w:rsidP="00CC68AB">
            <w:pPr>
              <w:keepNext/>
              <w:jc w:val="center"/>
              <w:rPr>
                <w:b/>
                <w:sz w:val="26"/>
                <w:szCs w:val="26"/>
              </w:rPr>
            </w:pPr>
            <w:r w:rsidRPr="001A2BD6">
              <w:rPr>
                <w:b/>
                <w:sz w:val="26"/>
                <w:szCs w:val="26"/>
              </w:rPr>
              <w:t>2009-2010</w:t>
            </w:r>
          </w:p>
        </w:tc>
        <w:tc>
          <w:tcPr>
            <w:tcW w:w="1206" w:type="dxa"/>
            <w:tcBorders>
              <w:top w:val="single" w:sz="4" w:space="0" w:color="auto"/>
              <w:left w:val="single" w:sz="4" w:space="0" w:color="auto"/>
              <w:bottom w:val="single" w:sz="4" w:space="0" w:color="auto"/>
              <w:right w:val="single" w:sz="4" w:space="0" w:color="auto"/>
            </w:tcBorders>
            <w:vAlign w:val="center"/>
            <w:hideMark/>
          </w:tcPr>
          <w:p w:rsidR="00706DAC" w:rsidRPr="001A2BD6" w:rsidRDefault="00706DAC" w:rsidP="00CC68AB">
            <w:pPr>
              <w:keepNext/>
              <w:jc w:val="center"/>
              <w:rPr>
                <w:b/>
                <w:sz w:val="26"/>
                <w:szCs w:val="26"/>
              </w:rPr>
            </w:pPr>
            <w:r w:rsidRPr="001A2BD6">
              <w:rPr>
                <w:b/>
                <w:sz w:val="26"/>
                <w:szCs w:val="26"/>
              </w:rPr>
              <w:t>2010-2011</w:t>
            </w:r>
          </w:p>
        </w:tc>
        <w:tc>
          <w:tcPr>
            <w:tcW w:w="1210" w:type="dxa"/>
            <w:tcBorders>
              <w:top w:val="single" w:sz="4" w:space="0" w:color="auto"/>
              <w:left w:val="single" w:sz="4" w:space="0" w:color="auto"/>
              <w:bottom w:val="single" w:sz="4" w:space="0" w:color="auto"/>
              <w:right w:val="single" w:sz="4" w:space="0" w:color="auto"/>
            </w:tcBorders>
            <w:vAlign w:val="center"/>
            <w:hideMark/>
          </w:tcPr>
          <w:p w:rsidR="00706DAC" w:rsidRPr="001A2BD6" w:rsidRDefault="00706DAC" w:rsidP="00CC68AB">
            <w:pPr>
              <w:keepNext/>
              <w:jc w:val="center"/>
              <w:rPr>
                <w:b/>
                <w:sz w:val="26"/>
                <w:szCs w:val="26"/>
              </w:rPr>
            </w:pPr>
            <w:r w:rsidRPr="001A2BD6">
              <w:rPr>
                <w:b/>
                <w:sz w:val="26"/>
                <w:szCs w:val="26"/>
              </w:rPr>
              <w:t>2011-2012</w:t>
            </w:r>
          </w:p>
        </w:tc>
        <w:tc>
          <w:tcPr>
            <w:tcW w:w="1206" w:type="dxa"/>
            <w:tcBorders>
              <w:top w:val="single" w:sz="4" w:space="0" w:color="auto"/>
              <w:left w:val="single" w:sz="4" w:space="0" w:color="auto"/>
              <w:bottom w:val="single" w:sz="4" w:space="0" w:color="auto"/>
              <w:right w:val="single" w:sz="4" w:space="0" w:color="auto"/>
            </w:tcBorders>
            <w:vAlign w:val="center"/>
            <w:hideMark/>
          </w:tcPr>
          <w:p w:rsidR="00706DAC" w:rsidRPr="001A2BD6" w:rsidRDefault="00706DAC" w:rsidP="00CC68AB">
            <w:pPr>
              <w:keepNext/>
              <w:jc w:val="center"/>
              <w:rPr>
                <w:b/>
                <w:sz w:val="26"/>
                <w:szCs w:val="26"/>
              </w:rPr>
            </w:pPr>
            <w:r w:rsidRPr="001A2BD6">
              <w:rPr>
                <w:b/>
                <w:sz w:val="26"/>
                <w:szCs w:val="26"/>
              </w:rPr>
              <w:t>2012-2013</w:t>
            </w:r>
          </w:p>
        </w:tc>
        <w:tc>
          <w:tcPr>
            <w:tcW w:w="1210" w:type="dxa"/>
            <w:tcBorders>
              <w:top w:val="single" w:sz="4" w:space="0" w:color="auto"/>
              <w:left w:val="single" w:sz="4" w:space="0" w:color="auto"/>
              <w:bottom w:val="single" w:sz="4" w:space="0" w:color="auto"/>
              <w:right w:val="single" w:sz="4" w:space="0" w:color="auto"/>
            </w:tcBorders>
            <w:vAlign w:val="center"/>
            <w:hideMark/>
          </w:tcPr>
          <w:p w:rsidR="00706DAC" w:rsidRPr="001A2BD6" w:rsidRDefault="00706DAC" w:rsidP="00CC68AB">
            <w:pPr>
              <w:keepNext/>
              <w:jc w:val="center"/>
              <w:rPr>
                <w:b/>
                <w:sz w:val="26"/>
                <w:szCs w:val="26"/>
              </w:rPr>
            </w:pPr>
            <w:r w:rsidRPr="001A2BD6">
              <w:rPr>
                <w:b/>
                <w:sz w:val="26"/>
                <w:szCs w:val="26"/>
              </w:rPr>
              <w:t>2013-2014</w:t>
            </w:r>
          </w:p>
        </w:tc>
        <w:tc>
          <w:tcPr>
            <w:tcW w:w="1206" w:type="dxa"/>
            <w:tcBorders>
              <w:top w:val="single" w:sz="4" w:space="0" w:color="auto"/>
              <w:left w:val="single" w:sz="4" w:space="0" w:color="auto"/>
              <w:bottom w:val="single" w:sz="4" w:space="0" w:color="auto"/>
              <w:right w:val="single" w:sz="4" w:space="0" w:color="auto"/>
            </w:tcBorders>
            <w:vAlign w:val="center"/>
            <w:hideMark/>
          </w:tcPr>
          <w:p w:rsidR="00706DAC" w:rsidRPr="001A2BD6" w:rsidRDefault="00706DAC" w:rsidP="00CC68AB">
            <w:pPr>
              <w:keepNext/>
              <w:jc w:val="center"/>
              <w:rPr>
                <w:b/>
                <w:sz w:val="26"/>
                <w:szCs w:val="26"/>
              </w:rPr>
            </w:pPr>
            <w:r w:rsidRPr="001A2BD6">
              <w:rPr>
                <w:b/>
                <w:sz w:val="26"/>
                <w:szCs w:val="26"/>
              </w:rPr>
              <w:t>2014-2015</w:t>
            </w:r>
          </w:p>
        </w:tc>
        <w:tc>
          <w:tcPr>
            <w:tcW w:w="1267" w:type="dxa"/>
            <w:tcBorders>
              <w:top w:val="single" w:sz="4" w:space="0" w:color="auto"/>
              <w:left w:val="single" w:sz="4" w:space="0" w:color="auto"/>
              <w:bottom w:val="single" w:sz="4" w:space="0" w:color="auto"/>
              <w:right w:val="single" w:sz="4" w:space="0" w:color="auto"/>
            </w:tcBorders>
            <w:vAlign w:val="center"/>
            <w:hideMark/>
          </w:tcPr>
          <w:p w:rsidR="00706DAC" w:rsidRPr="001A2BD6" w:rsidRDefault="00706DAC" w:rsidP="00CC68AB">
            <w:pPr>
              <w:keepNext/>
              <w:jc w:val="center"/>
              <w:rPr>
                <w:b/>
                <w:sz w:val="26"/>
                <w:szCs w:val="26"/>
              </w:rPr>
            </w:pPr>
            <w:r w:rsidRPr="001A2BD6">
              <w:rPr>
                <w:b/>
                <w:sz w:val="26"/>
                <w:szCs w:val="26"/>
              </w:rPr>
              <w:t>2017-2020</w:t>
            </w:r>
            <w:r w:rsidRPr="001A2BD6">
              <w:rPr>
                <w:b/>
                <w:sz w:val="26"/>
                <w:szCs w:val="26"/>
              </w:rPr>
              <w:br/>
              <w:t>(Projected)</w:t>
            </w:r>
          </w:p>
        </w:tc>
      </w:tr>
      <w:tr w:rsidR="00706DAC" w:rsidTr="00CC68AB">
        <w:tc>
          <w:tcPr>
            <w:tcW w:w="1206" w:type="dxa"/>
            <w:tcBorders>
              <w:top w:val="single" w:sz="4" w:space="0" w:color="auto"/>
              <w:left w:val="single" w:sz="4" w:space="0" w:color="auto"/>
              <w:bottom w:val="single" w:sz="4" w:space="0" w:color="auto"/>
              <w:right w:val="single" w:sz="4" w:space="0" w:color="auto"/>
            </w:tcBorders>
            <w:vAlign w:val="center"/>
            <w:hideMark/>
          </w:tcPr>
          <w:p w:rsidR="00706DAC" w:rsidRPr="00157D5E" w:rsidRDefault="00706DAC" w:rsidP="00CC68AB">
            <w:pPr>
              <w:keepNext/>
              <w:jc w:val="center"/>
              <w:rPr>
                <w:sz w:val="26"/>
                <w:szCs w:val="26"/>
              </w:rPr>
            </w:pPr>
            <w:r w:rsidRPr="00157D5E">
              <w:rPr>
                <w:sz w:val="26"/>
                <w:szCs w:val="26"/>
              </w:rPr>
              <w:t>Ratepayers Receiving Grant</w:t>
            </w:r>
          </w:p>
        </w:tc>
        <w:tc>
          <w:tcPr>
            <w:tcW w:w="1209" w:type="dxa"/>
            <w:tcBorders>
              <w:top w:val="single" w:sz="4" w:space="0" w:color="auto"/>
              <w:left w:val="single" w:sz="4" w:space="0" w:color="auto"/>
              <w:bottom w:val="single" w:sz="4" w:space="0" w:color="auto"/>
              <w:right w:val="single" w:sz="4" w:space="0" w:color="auto"/>
            </w:tcBorders>
            <w:vAlign w:val="center"/>
            <w:hideMark/>
          </w:tcPr>
          <w:p w:rsidR="00706DAC" w:rsidRPr="00157D5E" w:rsidRDefault="00706DAC" w:rsidP="00CC68AB">
            <w:pPr>
              <w:keepNext/>
              <w:jc w:val="center"/>
              <w:rPr>
                <w:sz w:val="26"/>
                <w:szCs w:val="26"/>
              </w:rPr>
            </w:pPr>
            <w:r w:rsidRPr="00157D5E">
              <w:rPr>
                <w:sz w:val="26"/>
                <w:szCs w:val="26"/>
              </w:rPr>
              <w:t>2,257</w:t>
            </w:r>
          </w:p>
        </w:tc>
        <w:tc>
          <w:tcPr>
            <w:tcW w:w="1206" w:type="dxa"/>
            <w:tcBorders>
              <w:top w:val="single" w:sz="4" w:space="0" w:color="auto"/>
              <w:left w:val="single" w:sz="4" w:space="0" w:color="auto"/>
              <w:bottom w:val="single" w:sz="4" w:space="0" w:color="auto"/>
              <w:right w:val="single" w:sz="4" w:space="0" w:color="auto"/>
            </w:tcBorders>
            <w:vAlign w:val="center"/>
            <w:hideMark/>
          </w:tcPr>
          <w:p w:rsidR="00706DAC" w:rsidRPr="00157D5E" w:rsidRDefault="00706DAC" w:rsidP="00CC68AB">
            <w:pPr>
              <w:keepNext/>
              <w:jc w:val="center"/>
              <w:rPr>
                <w:sz w:val="26"/>
                <w:szCs w:val="26"/>
              </w:rPr>
            </w:pPr>
            <w:r w:rsidRPr="00157D5E">
              <w:rPr>
                <w:sz w:val="26"/>
                <w:szCs w:val="26"/>
              </w:rPr>
              <w:t>2,263</w:t>
            </w:r>
          </w:p>
        </w:tc>
        <w:tc>
          <w:tcPr>
            <w:tcW w:w="1210" w:type="dxa"/>
            <w:tcBorders>
              <w:top w:val="single" w:sz="4" w:space="0" w:color="auto"/>
              <w:left w:val="single" w:sz="4" w:space="0" w:color="auto"/>
              <w:bottom w:val="single" w:sz="4" w:space="0" w:color="auto"/>
              <w:right w:val="single" w:sz="4" w:space="0" w:color="auto"/>
            </w:tcBorders>
            <w:vAlign w:val="center"/>
            <w:hideMark/>
          </w:tcPr>
          <w:p w:rsidR="00706DAC" w:rsidRPr="00157D5E" w:rsidRDefault="00706DAC" w:rsidP="00CC68AB">
            <w:pPr>
              <w:keepNext/>
              <w:jc w:val="center"/>
              <w:rPr>
                <w:sz w:val="26"/>
                <w:szCs w:val="26"/>
              </w:rPr>
            </w:pPr>
            <w:r w:rsidRPr="00157D5E">
              <w:rPr>
                <w:sz w:val="26"/>
                <w:szCs w:val="26"/>
              </w:rPr>
              <w:t>1,676</w:t>
            </w:r>
          </w:p>
        </w:tc>
        <w:tc>
          <w:tcPr>
            <w:tcW w:w="1206" w:type="dxa"/>
            <w:tcBorders>
              <w:top w:val="single" w:sz="4" w:space="0" w:color="auto"/>
              <w:left w:val="single" w:sz="4" w:space="0" w:color="auto"/>
              <w:bottom w:val="single" w:sz="4" w:space="0" w:color="auto"/>
              <w:right w:val="single" w:sz="4" w:space="0" w:color="auto"/>
            </w:tcBorders>
            <w:vAlign w:val="center"/>
            <w:hideMark/>
          </w:tcPr>
          <w:p w:rsidR="00706DAC" w:rsidRPr="00157D5E" w:rsidRDefault="00706DAC" w:rsidP="00CC68AB">
            <w:pPr>
              <w:keepNext/>
              <w:jc w:val="center"/>
              <w:rPr>
                <w:sz w:val="26"/>
                <w:szCs w:val="26"/>
              </w:rPr>
            </w:pPr>
            <w:r w:rsidRPr="00157D5E">
              <w:rPr>
                <w:sz w:val="26"/>
                <w:szCs w:val="26"/>
              </w:rPr>
              <w:t>1,184</w:t>
            </w:r>
          </w:p>
        </w:tc>
        <w:tc>
          <w:tcPr>
            <w:tcW w:w="1210" w:type="dxa"/>
            <w:tcBorders>
              <w:top w:val="single" w:sz="4" w:space="0" w:color="auto"/>
              <w:left w:val="single" w:sz="4" w:space="0" w:color="auto"/>
              <w:bottom w:val="single" w:sz="4" w:space="0" w:color="auto"/>
              <w:right w:val="single" w:sz="4" w:space="0" w:color="auto"/>
            </w:tcBorders>
            <w:vAlign w:val="center"/>
            <w:hideMark/>
          </w:tcPr>
          <w:p w:rsidR="00706DAC" w:rsidRPr="00157D5E" w:rsidRDefault="00706DAC" w:rsidP="00CC68AB">
            <w:pPr>
              <w:keepNext/>
              <w:jc w:val="center"/>
              <w:rPr>
                <w:sz w:val="26"/>
                <w:szCs w:val="26"/>
              </w:rPr>
            </w:pPr>
            <w:r w:rsidRPr="00157D5E">
              <w:rPr>
                <w:sz w:val="26"/>
                <w:szCs w:val="26"/>
              </w:rPr>
              <w:t>1,324</w:t>
            </w:r>
          </w:p>
        </w:tc>
        <w:tc>
          <w:tcPr>
            <w:tcW w:w="1206" w:type="dxa"/>
            <w:tcBorders>
              <w:top w:val="single" w:sz="4" w:space="0" w:color="auto"/>
              <w:left w:val="single" w:sz="4" w:space="0" w:color="auto"/>
              <w:bottom w:val="single" w:sz="4" w:space="0" w:color="auto"/>
              <w:right w:val="single" w:sz="4" w:space="0" w:color="auto"/>
            </w:tcBorders>
            <w:vAlign w:val="center"/>
            <w:hideMark/>
          </w:tcPr>
          <w:p w:rsidR="00706DAC" w:rsidRPr="00157D5E" w:rsidRDefault="00706DAC" w:rsidP="00CC68AB">
            <w:pPr>
              <w:keepNext/>
              <w:jc w:val="center"/>
              <w:rPr>
                <w:sz w:val="26"/>
                <w:szCs w:val="26"/>
              </w:rPr>
            </w:pPr>
            <w:r w:rsidRPr="00157D5E">
              <w:rPr>
                <w:sz w:val="26"/>
                <w:szCs w:val="26"/>
              </w:rPr>
              <w:t>992</w:t>
            </w:r>
          </w:p>
        </w:tc>
        <w:tc>
          <w:tcPr>
            <w:tcW w:w="1267" w:type="dxa"/>
            <w:tcBorders>
              <w:top w:val="single" w:sz="4" w:space="0" w:color="auto"/>
              <w:left w:val="single" w:sz="4" w:space="0" w:color="auto"/>
              <w:bottom w:val="single" w:sz="4" w:space="0" w:color="auto"/>
              <w:right w:val="single" w:sz="4" w:space="0" w:color="auto"/>
            </w:tcBorders>
            <w:vAlign w:val="center"/>
            <w:hideMark/>
          </w:tcPr>
          <w:p w:rsidR="00706DAC" w:rsidRPr="00157D5E" w:rsidRDefault="00706DAC" w:rsidP="00CC68AB">
            <w:pPr>
              <w:keepNext/>
              <w:jc w:val="center"/>
              <w:rPr>
                <w:sz w:val="26"/>
                <w:szCs w:val="26"/>
              </w:rPr>
            </w:pPr>
            <w:r w:rsidRPr="00157D5E">
              <w:rPr>
                <w:sz w:val="26"/>
                <w:szCs w:val="26"/>
              </w:rPr>
              <w:t>1,000</w:t>
            </w:r>
          </w:p>
        </w:tc>
      </w:tr>
    </w:tbl>
    <w:p w:rsidR="00706DAC" w:rsidRPr="00A5102C" w:rsidRDefault="00706DAC" w:rsidP="00706DAC">
      <w:pPr>
        <w:pStyle w:val="FootnoteText"/>
        <w:keepNext/>
        <w:rPr>
          <w:sz w:val="26"/>
          <w:szCs w:val="26"/>
        </w:rPr>
      </w:pPr>
      <w:r w:rsidRPr="00A5102C">
        <w:rPr>
          <w:sz w:val="26"/>
          <w:szCs w:val="26"/>
        </w:rPr>
        <w:t>Source: 2015 Report on Universal Service Programs &amp; Collections Performance at 52; 2014 Report on Universal Service Programs &amp; Collections Performance at 52; 2013 Report on Universal Service Programs &amp; Collections Performance at 46; 2012 Report on Universal Service Programs &amp; Collections Performance at 44; and 2011 Report on Universal Service Programs &amp; Collections Performance at 50.</w:t>
      </w:r>
    </w:p>
    <w:p w:rsidR="00706DAC" w:rsidRDefault="00706DAC" w:rsidP="00706DAC">
      <w:pPr>
        <w:spacing w:line="360" w:lineRule="auto"/>
        <w:contextualSpacing/>
        <w:rPr>
          <w:rFonts w:ascii="Times New Roman" w:hAnsi="Times New Roman" w:cs="Times New Roman"/>
          <w:sz w:val="26"/>
          <w:szCs w:val="26"/>
        </w:rPr>
      </w:pPr>
    </w:p>
    <w:p w:rsidR="00706DAC" w:rsidRDefault="00706DAC" w:rsidP="00706DAC">
      <w:pPr>
        <w:spacing w:line="360" w:lineRule="auto"/>
        <w:contextualSpacing/>
        <w:rPr>
          <w:rFonts w:ascii="Times New Roman" w:hAnsi="Times New Roman" w:cs="Times New Roman"/>
          <w:sz w:val="26"/>
          <w:szCs w:val="26"/>
        </w:rPr>
      </w:pPr>
      <w:r>
        <w:rPr>
          <w:rFonts w:ascii="Times New Roman" w:hAnsi="Times New Roman" w:cs="Times New Roman"/>
          <w:sz w:val="26"/>
          <w:szCs w:val="26"/>
        </w:rPr>
        <w:t>CAUSE-PA Comments at 49.</w:t>
      </w:r>
    </w:p>
    <w:p w:rsidR="00706DAC" w:rsidRDefault="00706DAC" w:rsidP="00706DAC">
      <w:pPr>
        <w:spacing w:line="360" w:lineRule="auto"/>
        <w:contextualSpacing/>
        <w:rPr>
          <w:rFonts w:ascii="Times New Roman" w:hAnsi="Times New Roman" w:cs="Times New Roman"/>
          <w:sz w:val="26"/>
          <w:szCs w:val="26"/>
        </w:rPr>
      </w:pPr>
    </w:p>
    <w:p w:rsidR="0017726C" w:rsidRDefault="00B13957" w:rsidP="00706DAC">
      <w:pPr>
        <w:spacing w:line="360" w:lineRule="auto"/>
        <w:contextualSpacing/>
        <w:rPr>
          <w:rFonts w:ascii="Times New Roman" w:hAnsi="Times New Roman" w:cs="Times New Roman"/>
          <w:sz w:val="26"/>
          <w:szCs w:val="26"/>
        </w:rPr>
      </w:pPr>
      <w:r>
        <w:rPr>
          <w:rFonts w:ascii="Times New Roman" w:hAnsi="Times New Roman" w:cs="Times New Roman"/>
          <w:sz w:val="26"/>
          <w:szCs w:val="26"/>
        </w:rPr>
        <w:tab/>
        <w:t>PGW explains that Hardship Fund</w:t>
      </w:r>
      <w:r w:rsidR="00706DAC">
        <w:rPr>
          <w:rFonts w:ascii="Times New Roman" w:hAnsi="Times New Roman" w:cs="Times New Roman"/>
          <w:sz w:val="26"/>
          <w:szCs w:val="26"/>
        </w:rPr>
        <w:t xml:space="preserve"> participation </w:t>
      </w:r>
      <w:r>
        <w:rPr>
          <w:rFonts w:ascii="Times New Roman" w:hAnsi="Times New Roman" w:cs="Times New Roman"/>
          <w:sz w:val="26"/>
          <w:szCs w:val="26"/>
        </w:rPr>
        <w:t xml:space="preserve">has </w:t>
      </w:r>
      <w:r w:rsidR="00706DAC">
        <w:rPr>
          <w:rFonts w:ascii="Times New Roman" w:hAnsi="Times New Roman" w:cs="Times New Roman"/>
          <w:sz w:val="26"/>
          <w:szCs w:val="26"/>
        </w:rPr>
        <w:t>decline</w:t>
      </w:r>
      <w:r>
        <w:rPr>
          <w:rFonts w:ascii="Times New Roman" w:hAnsi="Times New Roman" w:cs="Times New Roman"/>
          <w:sz w:val="26"/>
          <w:szCs w:val="26"/>
        </w:rPr>
        <w:t>d</w:t>
      </w:r>
      <w:r w:rsidR="00706DAC">
        <w:rPr>
          <w:rFonts w:ascii="Times New Roman" w:hAnsi="Times New Roman" w:cs="Times New Roman"/>
          <w:sz w:val="26"/>
          <w:szCs w:val="26"/>
        </w:rPr>
        <w:t xml:space="preserve"> as a result of decreased funding sources for UESF, particularly federal grant monies, and a 24% increase in average Hardship Fund grant amounts from 2010 to 2015.</w:t>
      </w:r>
      <w:r w:rsidR="00706DAC">
        <w:rPr>
          <w:rStyle w:val="FootnoteReference"/>
          <w:rFonts w:ascii="Times New Roman" w:hAnsi="Times New Roman" w:cs="Times New Roman"/>
          <w:sz w:val="26"/>
          <w:szCs w:val="26"/>
        </w:rPr>
        <w:footnoteReference w:id="50"/>
      </w:r>
      <w:r w:rsidR="00706DAC">
        <w:rPr>
          <w:rFonts w:ascii="Times New Roman" w:hAnsi="Times New Roman" w:cs="Times New Roman"/>
          <w:sz w:val="26"/>
          <w:szCs w:val="26"/>
        </w:rPr>
        <w:t xml:space="preserve">  PGW Supplemental Response at 2.  </w:t>
      </w:r>
    </w:p>
    <w:p w:rsidR="0017726C" w:rsidRDefault="0017726C" w:rsidP="00706DAC">
      <w:pPr>
        <w:spacing w:line="360" w:lineRule="auto"/>
        <w:contextualSpacing/>
        <w:rPr>
          <w:rFonts w:ascii="Times New Roman" w:hAnsi="Times New Roman" w:cs="Times New Roman"/>
          <w:sz w:val="26"/>
          <w:szCs w:val="26"/>
        </w:rPr>
      </w:pPr>
    </w:p>
    <w:p w:rsidR="00706DAC" w:rsidRPr="00A5102C" w:rsidRDefault="00706DAC" w:rsidP="0031210C">
      <w:pPr>
        <w:spacing w:line="360" w:lineRule="auto"/>
        <w:ind w:firstLine="720"/>
        <w:contextualSpacing/>
        <w:rPr>
          <w:rFonts w:ascii="Times New Roman" w:hAnsi="Times New Roman" w:cs="Times New Roman"/>
          <w:sz w:val="26"/>
          <w:szCs w:val="26"/>
        </w:rPr>
      </w:pPr>
      <w:r>
        <w:rPr>
          <w:rFonts w:ascii="Times New Roman" w:hAnsi="Times New Roman" w:cs="Times New Roman"/>
          <w:sz w:val="26"/>
          <w:szCs w:val="26"/>
        </w:rPr>
        <w:t>Citing the high amount of debt carried by low-income PGW customers,</w:t>
      </w:r>
      <w:r>
        <w:rPr>
          <w:rStyle w:val="FootnoteReference"/>
          <w:rFonts w:ascii="Times New Roman" w:hAnsi="Times New Roman" w:cs="Times New Roman"/>
          <w:sz w:val="26"/>
          <w:szCs w:val="26"/>
        </w:rPr>
        <w:footnoteReference w:id="51"/>
      </w:r>
      <w:r>
        <w:rPr>
          <w:rFonts w:ascii="Times New Roman" w:hAnsi="Times New Roman" w:cs="Times New Roman"/>
          <w:sz w:val="26"/>
          <w:szCs w:val="26"/>
        </w:rPr>
        <w:t xml:space="preserve"> CAUSE-PA recommends that PGW increase its Hardship Fund budget to issue additional grants and increase the grant amounts.  CAUSE-PA Supplemental Comments at 5.</w:t>
      </w:r>
    </w:p>
    <w:p w:rsidR="00706DAC" w:rsidRDefault="00706DAC" w:rsidP="00706DAC">
      <w:pPr>
        <w:spacing w:after="0" w:line="360" w:lineRule="auto"/>
        <w:contextualSpacing/>
        <w:rPr>
          <w:rFonts w:ascii="Times New Roman" w:eastAsia="Times New Roman" w:hAnsi="Times New Roman" w:cs="Times New Roman"/>
          <w:sz w:val="26"/>
          <w:szCs w:val="26"/>
        </w:rPr>
      </w:pPr>
    </w:p>
    <w:p w:rsidR="00706DAC" w:rsidRPr="00706DAC" w:rsidRDefault="00706DAC" w:rsidP="00706DAC">
      <w:pPr>
        <w:spacing w:after="0" w:line="360" w:lineRule="auto"/>
        <w:contextualSpacing/>
        <w:rPr>
          <w:rFonts w:ascii="Times New Roman" w:eastAsia="Times New Roman" w:hAnsi="Times New Roman" w:cs="Times New Roman"/>
          <w:sz w:val="26"/>
          <w:szCs w:val="26"/>
        </w:rPr>
      </w:pPr>
      <w:r w:rsidRPr="00A02215">
        <w:rPr>
          <w:rFonts w:ascii="Times New Roman" w:eastAsia="Times New Roman" w:hAnsi="Times New Roman" w:cs="Times New Roman"/>
          <w:i/>
          <w:sz w:val="26"/>
          <w:szCs w:val="26"/>
        </w:rPr>
        <w:t>Resolution</w:t>
      </w:r>
      <w:r>
        <w:rPr>
          <w:rFonts w:ascii="Times New Roman" w:eastAsia="Times New Roman" w:hAnsi="Times New Roman" w:cs="Times New Roman"/>
          <w:sz w:val="26"/>
          <w:szCs w:val="26"/>
        </w:rPr>
        <w:t xml:space="preserve">: We are not persuaded that the decline in participation in PGW’s </w:t>
      </w:r>
      <w:r w:rsidR="0017726C">
        <w:rPr>
          <w:rFonts w:ascii="Times New Roman" w:eastAsia="Times New Roman" w:hAnsi="Times New Roman" w:cs="Times New Roman"/>
          <w:sz w:val="26"/>
          <w:szCs w:val="26"/>
        </w:rPr>
        <w:t>H</w:t>
      </w:r>
      <w:r>
        <w:rPr>
          <w:rFonts w:ascii="Times New Roman" w:eastAsia="Times New Roman" w:hAnsi="Times New Roman" w:cs="Times New Roman"/>
          <w:sz w:val="26"/>
          <w:szCs w:val="26"/>
        </w:rPr>
        <w:t xml:space="preserve">ardship </w:t>
      </w:r>
      <w:r w:rsidR="0017726C">
        <w:rPr>
          <w:rFonts w:ascii="Times New Roman" w:eastAsia="Times New Roman" w:hAnsi="Times New Roman" w:cs="Times New Roman"/>
          <w:sz w:val="26"/>
          <w:szCs w:val="26"/>
        </w:rPr>
        <w:t>F</w:t>
      </w:r>
      <w:r>
        <w:rPr>
          <w:rFonts w:ascii="Times New Roman" w:eastAsia="Times New Roman" w:hAnsi="Times New Roman" w:cs="Times New Roman"/>
          <w:sz w:val="26"/>
          <w:szCs w:val="26"/>
        </w:rPr>
        <w:t xml:space="preserve">und is due, at least entirely, to decreased UESF funding sources and increase grant amounts.  We note that PGW has proposed 2017-2020 Hardship Fund annual budgets consisting of $795,000 for UESF grants and $795,000 for PGW grants, plus customer/employee contributions.  Available grant money should exceed $1,590,000 </w:t>
      </w:r>
      <w:r>
        <w:rPr>
          <w:rFonts w:ascii="Times New Roman" w:eastAsia="Times New Roman" w:hAnsi="Times New Roman" w:cs="Times New Roman"/>
          <w:sz w:val="26"/>
          <w:szCs w:val="26"/>
        </w:rPr>
        <w:lastRenderedPageBreak/>
        <w:t>annually</w:t>
      </w:r>
      <w:r w:rsidR="00EB6DEA">
        <w:rPr>
          <w:rFonts w:ascii="Times New Roman" w:eastAsia="Times New Roman" w:hAnsi="Times New Roman" w:cs="Times New Roman"/>
          <w:sz w:val="26"/>
          <w:szCs w:val="26"/>
        </w:rPr>
        <w:t xml:space="preserve"> and could serve up to</w:t>
      </w:r>
      <w:r>
        <w:rPr>
          <w:rFonts w:ascii="Times New Roman" w:eastAsia="Times New Roman" w:hAnsi="Times New Roman" w:cs="Times New Roman"/>
          <w:sz w:val="26"/>
          <w:szCs w:val="26"/>
        </w:rPr>
        <w:t xml:space="preserve"> 1,288 customers, based on the 2015 average grant amount of $1,234.</w:t>
      </w:r>
      <w:r w:rsidR="00EB6DEA">
        <w:rPr>
          <w:rFonts w:ascii="Times New Roman" w:eastAsia="Times New Roman" w:hAnsi="Times New Roman" w:cs="Times New Roman"/>
          <w:sz w:val="26"/>
          <w:szCs w:val="26"/>
        </w:rPr>
        <w:t xml:space="preserve">  PGW should </w:t>
      </w:r>
      <w:r w:rsidR="0017726C">
        <w:rPr>
          <w:rFonts w:ascii="Times New Roman" w:eastAsia="Times New Roman" w:hAnsi="Times New Roman" w:cs="Times New Roman"/>
          <w:sz w:val="26"/>
          <w:szCs w:val="26"/>
        </w:rPr>
        <w:t xml:space="preserve">strive to </w:t>
      </w:r>
      <w:r w:rsidR="00EB6DEA">
        <w:rPr>
          <w:rFonts w:ascii="Times New Roman" w:eastAsia="Times New Roman" w:hAnsi="Times New Roman" w:cs="Times New Roman"/>
          <w:sz w:val="26"/>
          <w:szCs w:val="26"/>
        </w:rPr>
        <w:t xml:space="preserve">increase Hardship Fund participation by increasing referrals to the program and working with USEF to </w:t>
      </w:r>
      <w:r w:rsidR="00B13957">
        <w:rPr>
          <w:rFonts w:ascii="Times New Roman" w:eastAsia="Times New Roman" w:hAnsi="Times New Roman" w:cs="Times New Roman"/>
          <w:sz w:val="26"/>
          <w:szCs w:val="26"/>
        </w:rPr>
        <w:t>change the eligibility requirements, as described above</w:t>
      </w:r>
      <w:r w:rsidR="00EB6DEA">
        <w:rPr>
          <w:rFonts w:ascii="Times New Roman" w:eastAsia="Times New Roman" w:hAnsi="Times New Roman" w:cs="Times New Roman"/>
          <w:sz w:val="26"/>
          <w:szCs w:val="26"/>
        </w:rPr>
        <w:t xml:space="preserve">.  </w:t>
      </w:r>
      <w:r w:rsidR="00CA64CD">
        <w:rPr>
          <w:rFonts w:ascii="Times New Roman" w:eastAsia="Times New Roman" w:hAnsi="Times New Roman" w:cs="Times New Roman"/>
          <w:sz w:val="26"/>
          <w:szCs w:val="26"/>
        </w:rPr>
        <w:t xml:space="preserve">The Company should </w:t>
      </w:r>
      <w:r w:rsidR="006B060F">
        <w:rPr>
          <w:rFonts w:ascii="Times New Roman" w:eastAsia="Times New Roman" w:hAnsi="Times New Roman" w:cs="Times New Roman"/>
          <w:sz w:val="26"/>
          <w:szCs w:val="26"/>
        </w:rPr>
        <w:t xml:space="preserve">also </w:t>
      </w:r>
      <w:r w:rsidR="00CA64CD">
        <w:rPr>
          <w:rFonts w:ascii="Times New Roman" w:eastAsia="Times New Roman" w:hAnsi="Times New Roman" w:cs="Times New Roman"/>
          <w:sz w:val="26"/>
          <w:szCs w:val="26"/>
        </w:rPr>
        <w:t>enhance its fundraising efforts to increase the amount of voluntary donations provided to the Hardship Program each year.</w:t>
      </w:r>
      <w:r w:rsidR="00CA64CD">
        <w:rPr>
          <w:rStyle w:val="FootnoteReference"/>
          <w:rFonts w:ascii="Times New Roman" w:eastAsia="Times New Roman" w:hAnsi="Times New Roman" w:cs="Times New Roman"/>
          <w:sz w:val="26"/>
          <w:szCs w:val="26"/>
        </w:rPr>
        <w:footnoteReference w:id="52"/>
      </w:r>
      <w:r w:rsidR="00CA64CD">
        <w:rPr>
          <w:rFonts w:ascii="Times New Roman" w:eastAsia="Times New Roman" w:hAnsi="Times New Roman" w:cs="Times New Roman"/>
          <w:sz w:val="26"/>
          <w:szCs w:val="26"/>
        </w:rPr>
        <w:t xml:space="preserve">  </w:t>
      </w:r>
      <w:r w:rsidR="00EB6DEA">
        <w:rPr>
          <w:rFonts w:ascii="Times New Roman" w:eastAsia="Times New Roman" w:hAnsi="Times New Roman" w:cs="Times New Roman"/>
          <w:sz w:val="26"/>
          <w:szCs w:val="26"/>
        </w:rPr>
        <w:t xml:space="preserve">BCS will continue to monitor PGW’s Hardship Fund participation and may revisit this issue in </w:t>
      </w:r>
      <w:r w:rsidR="00E81C9A">
        <w:rPr>
          <w:rFonts w:ascii="Times New Roman" w:eastAsia="Times New Roman" w:hAnsi="Times New Roman" w:cs="Times New Roman"/>
          <w:sz w:val="26"/>
          <w:szCs w:val="26"/>
        </w:rPr>
        <w:t>the Company’s next USECP</w:t>
      </w:r>
      <w:r w:rsidR="0017726C">
        <w:rPr>
          <w:rFonts w:ascii="Times New Roman" w:eastAsia="Times New Roman" w:hAnsi="Times New Roman" w:cs="Times New Roman"/>
          <w:sz w:val="26"/>
          <w:szCs w:val="26"/>
        </w:rPr>
        <w:t xml:space="preserve"> or earlier</w:t>
      </w:r>
      <w:r w:rsidR="00E81C9A">
        <w:rPr>
          <w:rFonts w:ascii="Times New Roman" w:eastAsia="Times New Roman" w:hAnsi="Times New Roman" w:cs="Times New Roman"/>
          <w:sz w:val="26"/>
          <w:szCs w:val="26"/>
        </w:rPr>
        <w:t>.</w:t>
      </w:r>
    </w:p>
    <w:p w:rsidR="00BA742E" w:rsidRPr="00C47F76" w:rsidRDefault="00BA742E" w:rsidP="006C38AB">
      <w:pPr>
        <w:spacing w:line="360" w:lineRule="auto"/>
        <w:contextualSpacing/>
        <w:rPr>
          <w:rFonts w:ascii="Times New Roman" w:eastAsia="Calibri" w:hAnsi="Times New Roman" w:cs="Times New Roman"/>
          <w:sz w:val="26"/>
          <w:szCs w:val="26"/>
        </w:rPr>
      </w:pPr>
    </w:p>
    <w:p w:rsidR="00C47F76" w:rsidRPr="00C47F76" w:rsidRDefault="00C47F76" w:rsidP="006561CF">
      <w:pPr>
        <w:keepNext/>
        <w:numPr>
          <w:ilvl w:val="0"/>
          <w:numId w:val="41"/>
        </w:numPr>
        <w:spacing w:after="0" w:line="360" w:lineRule="auto"/>
        <w:contextualSpacing/>
        <w:rPr>
          <w:rFonts w:ascii="Times New Roman" w:eastAsia="Calibri" w:hAnsi="Times New Roman" w:cs="Times New Roman"/>
          <w:sz w:val="26"/>
          <w:szCs w:val="26"/>
        </w:rPr>
      </w:pPr>
      <w:r w:rsidRPr="00C47F76">
        <w:rPr>
          <w:rFonts w:ascii="Times New Roman" w:eastAsia="Times New Roman" w:hAnsi="Times New Roman" w:cs="Times New Roman"/>
          <w:b/>
          <w:sz w:val="26"/>
          <w:szCs w:val="26"/>
          <w:u w:val="single"/>
        </w:rPr>
        <w:t>Program Budgets</w:t>
      </w:r>
    </w:p>
    <w:p w:rsidR="00C47F76" w:rsidRPr="00C47F76" w:rsidRDefault="00C47F76" w:rsidP="009A1777">
      <w:pPr>
        <w:keepNext/>
        <w:spacing w:after="0" w:line="360" w:lineRule="auto"/>
        <w:ind w:firstLine="720"/>
        <w:contextualSpacing/>
        <w:rPr>
          <w:rFonts w:ascii="Times New Roman" w:eastAsia="Times New Roman" w:hAnsi="Times New Roman" w:cs="Times New Roman"/>
          <w:sz w:val="26"/>
          <w:szCs w:val="26"/>
        </w:rPr>
      </w:pPr>
    </w:p>
    <w:p w:rsidR="00C47F76" w:rsidRPr="00C47F76" w:rsidRDefault="00157D5E" w:rsidP="009A1777">
      <w:pPr>
        <w:keepNext/>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Table 12</w:t>
      </w:r>
      <w:r w:rsidR="00C47F76" w:rsidRPr="00C47F76">
        <w:rPr>
          <w:rFonts w:ascii="Times New Roman" w:eastAsia="Times New Roman" w:hAnsi="Times New Roman" w:cs="Times New Roman"/>
          <w:sz w:val="26"/>
          <w:szCs w:val="26"/>
        </w:rPr>
        <w:t xml:space="preserve"> below shows </w:t>
      </w:r>
      <w:r w:rsidR="008F7847">
        <w:rPr>
          <w:rFonts w:ascii="Times New Roman" w:eastAsia="Times New Roman" w:hAnsi="Times New Roman" w:cs="Times New Roman"/>
          <w:sz w:val="26"/>
          <w:szCs w:val="26"/>
        </w:rPr>
        <w:t xml:space="preserve">PGW’s </w:t>
      </w:r>
      <w:r w:rsidR="006C2764">
        <w:rPr>
          <w:rFonts w:ascii="Times New Roman" w:eastAsia="Times New Roman" w:hAnsi="Times New Roman" w:cs="Times New Roman"/>
          <w:sz w:val="26"/>
          <w:szCs w:val="26"/>
        </w:rPr>
        <w:t>anticipated</w:t>
      </w:r>
      <w:r w:rsidR="00395B4C">
        <w:rPr>
          <w:rFonts w:ascii="Times New Roman" w:eastAsia="Times New Roman" w:hAnsi="Times New Roman" w:cs="Times New Roman"/>
          <w:sz w:val="26"/>
          <w:szCs w:val="26"/>
        </w:rPr>
        <w:t xml:space="preserve"> </w:t>
      </w:r>
      <w:r w:rsidR="008F7847">
        <w:rPr>
          <w:rFonts w:ascii="Times New Roman" w:eastAsia="Times New Roman" w:hAnsi="Times New Roman" w:cs="Times New Roman"/>
          <w:sz w:val="26"/>
          <w:szCs w:val="26"/>
        </w:rPr>
        <w:t xml:space="preserve">USECP </w:t>
      </w:r>
      <w:r w:rsidR="00395B4C">
        <w:rPr>
          <w:rFonts w:ascii="Times New Roman" w:eastAsia="Times New Roman" w:hAnsi="Times New Roman" w:cs="Times New Roman"/>
          <w:sz w:val="26"/>
          <w:szCs w:val="26"/>
        </w:rPr>
        <w:t>budget levels for 2017-2020</w:t>
      </w:r>
      <w:r w:rsidR="00C47F76" w:rsidRPr="00C47F76">
        <w:rPr>
          <w:rFonts w:ascii="Times New Roman" w:eastAsia="Times New Roman" w:hAnsi="Times New Roman" w:cs="Times New Roman"/>
          <w:sz w:val="26"/>
          <w:szCs w:val="26"/>
        </w:rPr>
        <w:t xml:space="preserve">.  </w:t>
      </w:r>
    </w:p>
    <w:p w:rsidR="00C47F76" w:rsidRPr="00C47F76" w:rsidRDefault="00C47F76" w:rsidP="00B056A4">
      <w:pPr>
        <w:spacing w:after="0" w:line="360" w:lineRule="auto"/>
        <w:ind w:firstLine="720"/>
        <w:contextualSpacing/>
        <w:rPr>
          <w:rFonts w:ascii="Times New Roman" w:eastAsia="Times New Roman" w:hAnsi="Times New Roman" w:cs="Times New Roman"/>
          <w:sz w:val="26"/>
          <w:szCs w:val="26"/>
        </w:rPr>
      </w:pPr>
    </w:p>
    <w:p w:rsidR="00C47F76" w:rsidRPr="00C47F76" w:rsidRDefault="00157D5E" w:rsidP="007F0478">
      <w:pPr>
        <w:keepNext/>
        <w:keepLines/>
        <w:spacing w:after="0" w:line="240" w:lineRule="auto"/>
        <w:contextualSpacing/>
        <w:jc w:val="center"/>
        <w:outlineLvl w:val="4"/>
        <w:rPr>
          <w:rFonts w:ascii="Times New Roman" w:eastAsia="Times New Roman" w:hAnsi="Times New Roman" w:cs="Times New Roman"/>
          <w:b/>
          <w:sz w:val="26"/>
          <w:szCs w:val="26"/>
        </w:rPr>
      </w:pPr>
      <w:r>
        <w:rPr>
          <w:rFonts w:ascii="Times New Roman" w:eastAsia="Times New Roman" w:hAnsi="Times New Roman" w:cs="Times New Roman"/>
          <w:b/>
          <w:sz w:val="26"/>
          <w:szCs w:val="26"/>
        </w:rPr>
        <w:t>Table 12</w:t>
      </w:r>
    </w:p>
    <w:p w:rsidR="00C47F76" w:rsidRPr="00C47F76" w:rsidRDefault="00C47F76" w:rsidP="007F0478">
      <w:pPr>
        <w:keepNext/>
        <w:keepLines/>
        <w:spacing w:after="0" w:line="240" w:lineRule="auto"/>
        <w:contextualSpacing/>
        <w:jc w:val="center"/>
        <w:outlineLvl w:val="4"/>
        <w:rPr>
          <w:rFonts w:ascii="Times New Roman" w:eastAsia="Times New Roman" w:hAnsi="Times New Roman" w:cs="Times New Roman"/>
          <w:b/>
          <w:sz w:val="26"/>
          <w:szCs w:val="26"/>
        </w:rPr>
      </w:pPr>
      <w:r w:rsidRPr="00C47F76">
        <w:rPr>
          <w:rFonts w:ascii="Times New Roman" w:eastAsia="Times New Roman" w:hAnsi="Times New Roman" w:cs="Times New Roman"/>
          <w:b/>
          <w:sz w:val="26"/>
          <w:szCs w:val="26"/>
        </w:rPr>
        <w:t>Projected Budgets and Spending</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950"/>
        <w:gridCol w:w="1802"/>
        <w:gridCol w:w="1859"/>
        <w:gridCol w:w="1859"/>
      </w:tblGrid>
      <w:tr w:rsidR="00C029B4" w:rsidRPr="00C47F76" w:rsidTr="00777BE4">
        <w:trPr>
          <w:cantSplit/>
          <w:jc w:val="center"/>
        </w:trPr>
        <w:tc>
          <w:tcPr>
            <w:tcW w:w="2250" w:type="dxa"/>
            <w:tcBorders>
              <w:top w:val="single" w:sz="4" w:space="0" w:color="auto"/>
            </w:tcBorders>
          </w:tcPr>
          <w:p w:rsidR="00C029B4" w:rsidRPr="00C47F76" w:rsidRDefault="00C029B4" w:rsidP="007F0478">
            <w:pPr>
              <w:keepNext/>
              <w:keepLines/>
              <w:spacing w:after="0" w:line="240" w:lineRule="auto"/>
              <w:contextualSpacing/>
              <w:rPr>
                <w:rFonts w:ascii="Times New Roman" w:eastAsia="Times New Roman" w:hAnsi="Times New Roman" w:cs="Times New Roman"/>
                <w:b/>
                <w:sz w:val="26"/>
                <w:szCs w:val="26"/>
              </w:rPr>
            </w:pPr>
            <w:r w:rsidRPr="00C47F76">
              <w:rPr>
                <w:rFonts w:ascii="Times New Roman" w:eastAsia="Times New Roman" w:hAnsi="Times New Roman" w:cs="Times New Roman"/>
                <w:b/>
                <w:sz w:val="26"/>
                <w:szCs w:val="26"/>
              </w:rPr>
              <w:t>Universal Service Component</w:t>
            </w:r>
          </w:p>
        </w:tc>
        <w:tc>
          <w:tcPr>
            <w:tcW w:w="1950" w:type="dxa"/>
            <w:tcBorders>
              <w:top w:val="single" w:sz="4" w:space="0" w:color="auto"/>
            </w:tcBorders>
            <w:vAlign w:val="center"/>
          </w:tcPr>
          <w:p w:rsidR="00C029B4" w:rsidRPr="00C47F76" w:rsidRDefault="00C029B4" w:rsidP="007F0478">
            <w:pPr>
              <w:keepNext/>
              <w:keepLines/>
              <w:spacing w:after="0" w:line="240" w:lineRule="auto"/>
              <w:contextualSpacing/>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2017</w:t>
            </w:r>
          </w:p>
        </w:tc>
        <w:tc>
          <w:tcPr>
            <w:tcW w:w="1802" w:type="dxa"/>
            <w:tcBorders>
              <w:top w:val="single" w:sz="4" w:space="0" w:color="auto"/>
            </w:tcBorders>
            <w:vAlign w:val="center"/>
          </w:tcPr>
          <w:p w:rsidR="00C029B4" w:rsidRPr="00C47F76" w:rsidRDefault="00C029B4" w:rsidP="007F0478">
            <w:pPr>
              <w:keepNext/>
              <w:keepLines/>
              <w:spacing w:after="0" w:line="240" w:lineRule="auto"/>
              <w:contextualSpacing/>
              <w:jc w:val="center"/>
              <w:rPr>
                <w:rFonts w:ascii="Times New Roman" w:eastAsia="Times New Roman" w:hAnsi="Times New Roman" w:cs="Times New Roman"/>
                <w:b/>
                <w:sz w:val="26"/>
                <w:szCs w:val="26"/>
              </w:rPr>
            </w:pPr>
            <w:r w:rsidRPr="00C47F76">
              <w:rPr>
                <w:rFonts w:ascii="Times New Roman" w:eastAsia="Times New Roman" w:hAnsi="Times New Roman" w:cs="Times New Roman"/>
                <w:b/>
                <w:sz w:val="26"/>
                <w:szCs w:val="26"/>
              </w:rPr>
              <w:t>2</w:t>
            </w:r>
            <w:r>
              <w:rPr>
                <w:rFonts w:ascii="Times New Roman" w:eastAsia="Times New Roman" w:hAnsi="Times New Roman" w:cs="Times New Roman"/>
                <w:b/>
                <w:sz w:val="26"/>
                <w:szCs w:val="26"/>
              </w:rPr>
              <w:t>018</w:t>
            </w:r>
          </w:p>
        </w:tc>
        <w:tc>
          <w:tcPr>
            <w:tcW w:w="1859" w:type="dxa"/>
            <w:tcBorders>
              <w:top w:val="single" w:sz="4" w:space="0" w:color="auto"/>
            </w:tcBorders>
            <w:vAlign w:val="center"/>
          </w:tcPr>
          <w:p w:rsidR="00C029B4" w:rsidRPr="00C47F76" w:rsidRDefault="00C029B4" w:rsidP="007F0478">
            <w:pPr>
              <w:keepNext/>
              <w:keepLines/>
              <w:spacing w:after="0" w:line="240" w:lineRule="auto"/>
              <w:contextualSpacing/>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2019</w:t>
            </w:r>
          </w:p>
        </w:tc>
        <w:tc>
          <w:tcPr>
            <w:tcW w:w="1859" w:type="dxa"/>
            <w:tcBorders>
              <w:top w:val="single" w:sz="4" w:space="0" w:color="auto"/>
            </w:tcBorders>
            <w:vAlign w:val="center"/>
          </w:tcPr>
          <w:p w:rsidR="00C029B4" w:rsidRPr="00C47F76" w:rsidRDefault="00C029B4" w:rsidP="007F0478">
            <w:pPr>
              <w:keepNext/>
              <w:keepLines/>
              <w:spacing w:after="0" w:line="240" w:lineRule="auto"/>
              <w:contextualSpacing/>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2020</w:t>
            </w:r>
          </w:p>
        </w:tc>
      </w:tr>
      <w:tr w:rsidR="00661CFC" w:rsidRPr="00C47F76" w:rsidTr="00777BE4">
        <w:trPr>
          <w:cantSplit/>
          <w:jc w:val="center"/>
        </w:trPr>
        <w:tc>
          <w:tcPr>
            <w:tcW w:w="2250" w:type="dxa"/>
          </w:tcPr>
          <w:p w:rsidR="00661CFC" w:rsidRPr="00C47F76" w:rsidRDefault="00661CFC" w:rsidP="007F0478">
            <w:pPr>
              <w:keepNext/>
              <w:keepLines/>
              <w:spacing w:after="0" w:line="240" w:lineRule="auto"/>
              <w:contextualSpacing/>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CAP (CRP)</w:t>
            </w:r>
          </w:p>
        </w:tc>
        <w:tc>
          <w:tcPr>
            <w:tcW w:w="1950" w:type="dxa"/>
            <w:vAlign w:val="center"/>
          </w:tcPr>
          <w:p w:rsidR="00661CFC" w:rsidRPr="00C47F76" w:rsidRDefault="00661CFC" w:rsidP="003E0724">
            <w:pPr>
              <w:keepNext/>
              <w:keepLines/>
              <w:spacing w:after="0" w:line="240" w:lineRule="auto"/>
              <w:contextualSpacing/>
              <w:jc w:val="center"/>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w:t>
            </w:r>
            <w:r>
              <w:rPr>
                <w:rFonts w:ascii="Times New Roman" w:eastAsia="Times New Roman" w:hAnsi="Times New Roman" w:cs="Times New Roman"/>
                <w:sz w:val="26"/>
                <w:szCs w:val="26"/>
              </w:rPr>
              <w:t>49,973,413</w:t>
            </w:r>
          </w:p>
        </w:tc>
        <w:tc>
          <w:tcPr>
            <w:tcW w:w="1802" w:type="dxa"/>
            <w:vAlign w:val="center"/>
          </w:tcPr>
          <w:p w:rsidR="00661CFC" w:rsidRPr="00C47F76" w:rsidRDefault="00661CFC" w:rsidP="003E0724">
            <w:pPr>
              <w:keepNext/>
              <w:keepLines/>
              <w:spacing w:after="0" w:line="240" w:lineRule="auto"/>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$53,673,383</w:t>
            </w:r>
          </w:p>
        </w:tc>
        <w:tc>
          <w:tcPr>
            <w:tcW w:w="1859" w:type="dxa"/>
            <w:vAlign w:val="center"/>
          </w:tcPr>
          <w:p w:rsidR="00661CFC" w:rsidRPr="00C47F76" w:rsidRDefault="00661CFC" w:rsidP="003E0724">
            <w:pPr>
              <w:keepNext/>
              <w:keepLines/>
              <w:spacing w:after="0" w:line="240" w:lineRule="auto"/>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$56,030,965</w:t>
            </w:r>
          </w:p>
        </w:tc>
        <w:tc>
          <w:tcPr>
            <w:tcW w:w="1859" w:type="dxa"/>
            <w:vAlign w:val="center"/>
          </w:tcPr>
          <w:p w:rsidR="00661CFC" w:rsidRPr="00C47F76" w:rsidRDefault="00661CFC" w:rsidP="003E0724">
            <w:pPr>
              <w:keepNext/>
              <w:keepLines/>
              <w:spacing w:after="0" w:line="240" w:lineRule="auto"/>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$57,296,816</w:t>
            </w:r>
          </w:p>
        </w:tc>
      </w:tr>
      <w:tr w:rsidR="00C029B4" w:rsidRPr="00C47F76" w:rsidTr="00777BE4">
        <w:trPr>
          <w:cantSplit/>
          <w:jc w:val="center"/>
        </w:trPr>
        <w:tc>
          <w:tcPr>
            <w:tcW w:w="2250" w:type="dxa"/>
          </w:tcPr>
          <w:p w:rsidR="00C029B4" w:rsidRPr="00C47F76" w:rsidRDefault="001E3F72" w:rsidP="007F0478">
            <w:pPr>
              <w:keepNext/>
              <w:keepLines/>
              <w:spacing w:after="0" w:line="24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LIURP (CRP Home Comfort</w:t>
            </w:r>
            <w:r w:rsidR="00661CFC">
              <w:rPr>
                <w:rFonts w:ascii="Times New Roman" w:eastAsia="Times New Roman" w:hAnsi="Times New Roman" w:cs="Times New Roman"/>
                <w:sz w:val="26"/>
                <w:szCs w:val="26"/>
              </w:rPr>
              <w:t>)</w:t>
            </w:r>
            <w:r w:rsidR="00BA742E">
              <w:rPr>
                <w:rFonts w:ascii="Times New Roman" w:eastAsia="Times New Roman" w:hAnsi="Times New Roman" w:cs="Times New Roman"/>
                <w:sz w:val="26"/>
                <w:szCs w:val="26"/>
              </w:rPr>
              <w:t>*</w:t>
            </w:r>
          </w:p>
        </w:tc>
        <w:tc>
          <w:tcPr>
            <w:tcW w:w="1950" w:type="dxa"/>
            <w:vAlign w:val="center"/>
          </w:tcPr>
          <w:p w:rsidR="00C029B4" w:rsidRPr="00C47F76" w:rsidRDefault="00C029B4" w:rsidP="007F0478">
            <w:pPr>
              <w:keepNext/>
              <w:keepLines/>
              <w:spacing w:after="0" w:line="240" w:lineRule="auto"/>
              <w:contextualSpacing/>
              <w:jc w:val="center"/>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w:t>
            </w:r>
            <w:r w:rsidR="009148AC">
              <w:t xml:space="preserve"> </w:t>
            </w:r>
            <w:r w:rsidR="00666ABB">
              <w:rPr>
                <w:rFonts w:ascii="Times New Roman" w:eastAsia="Times New Roman" w:hAnsi="Times New Roman" w:cs="Times New Roman"/>
                <w:sz w:val="26"/>
                <w:szCs w:val="26"/>
              </w:rPr>
              <w:t>6,571</w:t>
            </w:r>
            <w:r w:rsidR="009148AC">
              <w:rPr>
                <w:rFonts w:ascii="Times New Roman" w:eastAsia="Times New Roman" w:hAnsi="Times New Roman" w:cs="Times New Roman"/>
                <w:sz w:val="26"/>
                <w:szCs w:val="26"/>
              </w:rPr>
              <w:t>,445</w:t>
            </w:r>
          </w:p>
        </w:tc>
        <w:tc>
          <w:tcPr>
            <w:tcW w:w="1802" w:type="dxa"/>
            <w:vAlign w:val="center"/>
          </w:tcPr>
          <w:p w:rsidR="00C029B4" w:rsidRPr="00C47F76" w:rsidRDefault="001E3F72" w:rsidP="007F0478">
            <w:pPr>
              <w:keepNext/>
              <w:keepLines/>
              <w:spacing w:after="0" w:line="240" w:lineRule="auto"/>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E50899" w:rsidRPr="007673EE">
              <w:rPr>
                <w:rFonts w:ascii="Times New Roman" w:hAnsi="Times New Roman" w:cs="Times New Roman"/>
                <w:sz w:val="26"/>
                <w:szCs w:val="26"/>
              </w:rPr>
              <w:t>6,582,749</w:t>
            </w:r>
          </w:p>
        </w:tc>
        <w:tc>
          <w:tcPr>
            <w:tcW w:w="1859" w:type="dxa"/>
            <w:vAlign w:val="center"/>
          </w:tcPr>
          <w:p w:rsidR="00C029B4" w:rsidRPr="00C47F76" w:rsidRDefault="001E3F72" w:rsidP="007F0478">
            <w:pPr>
              <w:keepNext/>
              <w:keepLines/>
              <w:spacing w:after="0" w:line="240" w:lineRule="auto"/>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AD2336" w:rsidRPr="00AD2336">
              <w:rPr>
                <w:rFonts w:ascii="Times New Roman" w:eastAsia="Times New Roman" w:hAnsi="Times New Roman" w:cs="Times New Roman"/>
                <w:sz w:val="26"/>
                <w:szCs w:val="26"/>
              </w:rPr>
              <w:t>6,697,312</w:t>
            </w:r>
          </w:p>
        </w:tc>
        <w:tc>
          <w:tcPr>
            <w:tcW w:w="1859" w:type="dxa"/>
            <w:vAlign w:val="center"/>
          </w:tcPr>
          <w:p w:rsidR="00C029B4" w:rsidRPr="00C47F76" w:rsidRDefault="001E3F72" w:rsidP="007F0478">
            <w:pPr>
              <w:keepNext/>
              <w:keepLines/>
              <w:spacing w:after="0" w:line="240" w:lineRule="auto"/>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AD2336" w:rsidRPr="00AD2336">
              <w:rPr>
                <w:rFonts w:ascii="Times New Roman" w:eastAsia="Times New Roman" w:hAnsi="Times New Roman" w:cs="Times New Roman"/>
                <w:sz w:val="26"/>
                <w:szCs w:val="26"/>
              </w:rPr>
              <w:t>6,622,194</w:t>
            </w:r>
          </w:p>
        </w:tc>
      </w:tr>
      <w:tr w:rsidR="00C029B4" w:rsidRPr="00C47F76" w:rsidTr="00777BE4">
        <w:trPr>
          <w:cantSplit/>
          <w:jc w:val="center"/>
        </w:trPr>
        <w:tc>
          <w:tcPr>
            <w:tcW w:w="2250" w:type="dxa"/>
          </w:tcPr>
          <w:p w:rsidR="00C029B4" w:rsidRPr="00C47F76" w:rsidRDefault="00C029B4" w:rsidP="007F0478">
            <w:pPr>
              <w:keepNext/>
              <w:keepLines/>
              <w:spacing w:after="0" w:line="240" w:lineRule="auto"/>
              <w:contextualSpacing/>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CARES</w:t>
            </w:r>
          </w:p>
        </w:tc>
        <w:tc>
          <w:tcPr>
            <w:tcW w:w="1950" w:type="dxa"/>
            <w:vAlign w:val="center"/>
          </w:tcPr>
          <w:p w:rsidR="00C029B4" w:rsidRPr="00C47F76" w:rsidRDefault="00C029B4" w:rsidP="007F0478">
            <w:pPr>
              <w:keepNext/>
              <w:keepLines/>
              <w:spacing w:after="0" w:line="240" w:lineRule="auto"/>
              <w:contextualSpacing/>
              <w:jc w:val="center"/>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w:t>
            </w:r>
            <w:r w:rsidR="001E3F72">
              <w:rPr>
                <w:rFonts w:ascii="Times New Roman" w:eastAsia="Times New Roman" w:hAnsi="Times New Roman" w:cs="Times New Roman"/>
                <w:sz w:val="26"/>
                <w:szCs w:val="26"/>
              </w:rPr>
              <w:t>880,800</w:t>
            </w:r>
          </w:p>
        </w:tc>
        <w:tc>
          <w:tcPr>
            <w:tcW w:w="1802" w:type="dxa"/>
            <w:vAlign w:val="center"/>
          </w:tcPr>
          <w:p w:rsidR="00C029B4" w:rsidRPr="00C47F76" w:rsidRDefault="001E3F72" w:rsidP="007F0478">
            <w:pPr>
              <w:keepNext/>
              <w:keepLines/>
              <w:spacing w:after="0" w:line="240" w:lineRule="auto"/>
              <w:contextualSpacing/>
              <w:jc w:val="center"/>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w:t>
            </w:r>
            <w:r>
              <w:rPr>
                <w:rFonts w:ascii="Times New Roman" w:eastAsia="Times New Roman" w:hAnsi="Times New Roman" w:cs="Times New Roman"/>
                <w:sz w:val="26"/>
                <w:szCs w:val="26"/>
              </w:rPr>
              <w:t>880,800</w:t>
            </w:r>
          </w:p>
        </w:tc>
        <w:tc>
          <w:tcPr>
            <w:tcW w:w="1859" w:type="dxa"/>
            <w:vAlign w:val="center"/>
          </w:tcPr>
          <w:p w:rsidR="00C029B4" w:rsidRPr="00C47F76" w:rsidRDefault="001E3F72" w:rsidP="007F0478">
            <w:pPr>
              <w:keepNext/>
              <w:keepLines/>
              <w:spacing w:after="0" w:line="240" w:lineRule="auto"/>
              <w:contextualSpacing/>
              <w:jc w:val="center"/>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w:t>
            </w:r>
            <w:r>
              <w:rPr>
                <w:rFonts w:ascii="Times New Roman" w:eastAsia="Times New Roman" w:hAnsi="Times New Roman" w:cs="Times New Roman"/>
                <w:sz w:val="26"/>
                <w:szCs w:val="26"/>
              </w:rPr>
              <w:t>880,800</w:t>
            </w:r>
          </w:p>
        </w:tc>
        <w:tc>
          <w:tcPr>
            <w:tcW w:w="1859" w:type="dxa"/>
            <w:vAlign w:val="center"/>
          </w:tcPr>
          <w:p w:rsidR="00C029B4" w:rsidRPr="00C47F76" w:rsidRDefault="001E3F72" w:rsidP="007F0478">
            <w:pPr>
              <w:keepNext/>
              <w:keepLines/>
              <w:spacing w:after="0" w:line="240" w:lineRule="auto"/>
              <w:contextualSpacing/>
              <w:jc w:val="center"/>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w:t>
            </w:r>
            <w:r>
              <w:rPr>
                <w:rFonts w:ascii="Times New Roman" w:eastAsia="Times New Roman" w:hAnsi="Times New Roman" w:cs="Times New Roman"/>
                <w:sz w:val="26"/>
                <w:szCs w:val="26"/>
              </w:rPr>
              <w:t>880,800</w:t>
            </w:r>
          </w:p>
        </w:tc>
      </w:tr>
      <w:tr w:rsidR="00C029B4" w:rsidRPr="00C47F76" w:rsidTr="00777BE4">
        <w:trPr>
          <w:cantSplit/>
          <w:jc w:val="center"/>
        </w:trPr>
        <w:tc>
          <w:tcPr>
            <w:tcW w:w="2250" w:type="dxa"/>
          </w:tcPr>
          <w:p w:rsidR="00C029B4" w:rsidRPr="00C47F76" w:rsidRDefault="00C029B4" w:rsidP="00661CFC">
            <w:pPr>
              <w:keepNext/>
              <w:spacing w:after="0" w:line="240" w:lineRule="auto"/>
              <w:contextualSpacing/>
              <w:rPr>
                <w:rFonts w:ascii="Times New Roman" w:eastAsia="Times New Roman" w:hAnsi="Times New Roman" w:cs="Times New Roman"/>
                <w:snapToGrid w:val="0"/>
                <w:sz w:val="26"/>
                <w:szCs w:val="26"/>
              </w:rPr>
            </w:pPr>
            <w:r w:rsidRPr="00C47F76">
              <w:rPr>
                <w:rFonts w:ascii="Times New Roman" w:eastAsia="Times New Roman" w:hAnsi="Times New Roman" w:cs="Times New Roman"/>
                <w:sz w:val="26"/>
                <w:szCs w:val="26"/>
              </w:rPr>
              <w:t>Hardship Fund*</w:t>
            </w:r>
            <w:r w:rsidR="00BA742E">
              <w:rPr>
                <w:rFonts w:ascii="Times New Roman" w:eastAsia="Times New Roman" w:hAnsi="Times New Roman" w:cs="Times New Roman"/>
                <w:sz w:val="26"/>
                <w:szCs w:val="26"/>
              </w:rPr>
              <w:t>*</w:t>
            </w:r>
          </w:p>
        </w:tc>
        <w:tc>
          <w:tcPr>
            <w:tcW w:w="1950" w:type="dxa"/>
            <w:vAlign w:val="center"/>
          </w:tcPr>
          <w:p w:rsidR="00C029B4" w:rsidRPr="00C47F76" w:rsidRDefault="001E3F72" w:rsidP="007F0478">
            <w:pPr>
              <w:keepNext/>
              <w:spacing w:after="0" w:line="240" w:lineRule="auto"/>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$1,055,649</w:t>
            </w:r>
          </w:p>
        </w:tc>
        <w:tc>
          <w:tcPr>
            <w:tcW w:w="1802" w:type="dxa"/>
            <w:vAlign w:val="center"/>
          </w:tcPr>
          <w:p w:rsidR="00C029B4" w:rsidRPr="00C47F76" w:rsidRDefault="001E3F72" w:rsidP="007F0478">
            <w:pPr>
              <w:keepNext/>
              <w:spacing w:after="0" w:line="240" w:lineRule="auto"/>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$1,055,649</w:t>
            </w:r>
          </w:p>
        </w:tc>
        <w:tc>
          <w:tcPr>
            <w:tcW w:w="1859" w:type="dxa"/>
            <w:vAlign w:val="center"/>
          </w:tcPr>
          <w:p w:rsidR="00C029B4" w:rsidRPr="00C47F76" w:rsidRDefault="001E3F72" w:rsidP="007F0478">
            <w:pPr>
              <w:keepNext/>
              <w:spacing w:after="0" w:line="240" w:lineRule="auto"/>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$1,055,649</w:t>
            </w:r>
          </w:p>
        </w:tc>
        <w:tc>
          <w:tcPr>
            <w:tcW w:w="1859" w:type="dxa"/>
            <w:vAlign w:val="center"/>
          </w:tcPr>
          <w:p w:rsidR="00C029B4" w:rsidRPr="00C47F76" w:rsidRDefault="001E3F72" w:rsidP="007F0478">
            <w:pPr>
              <w:keepNext/>
              <w:spacing w:after="0" w:line="240" w:lineRule="auto"/>
              <w:contextualSpacing/>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$1,055,649</w:t>
            </w:r>
          </w:p>
        </w:tc>
      </w:tr>
      <w:tr w:rsidR="00C029B4" w:rsidRPr="00C47F76" w:rsidTr="00777BE4">
        <w:trPr>
          <w:cantSplit/>
          <w:jc w:val="center"/>
        </w:trPr>
        <w:tc>
          <w:tcPr>
            <w:tcW w:w="2250" w:type="dxa"/>
          </w:tcPr>
          <w:p w:rsidR="00C029B4" w:rsidRPr="00C47F76" w:rsidRDefault="00C029B4" w:rsidP="007F0478">
            <w:pPr>
              <w:keepNext/>
              <w:spacing w:after="0" w:line="240" w:lineRule="auto"/>
              <w:contextualSpacing/>
              <w:rPr>
                <w:rFonts w:ascii="Times New Roman" w:eastAsia="Times New Roman" w:hAnsi="Times New Roman" w:cs="Times New Roman"/>
                <w:b/>
                <w:sz w:val="26"/>
                <w:szCs w:val="26"/>
              </w:rPr>
            </w:pPr>
            <w:r w:rsidRPr="00C47F76">
              <w:rPr>
                <w:rFonts w:ascii="Times New Roman" w:eastAsia="Times New Roman" w:hAnsi="Times New Roman" w:cs="Times New Roman"/>
                <w:b/>
                <w:sz w:val="26"/>
                <w:szCs w:val="26"/>
              </w:rPr>
              <w:t>Total</w:t>
            </w:r>
          </w:p>
        </w:tc>
        <w:tc>
          <w:tcPr>
            <w:tcW w:w="1950" w:type="dxa"/>
            <w:vAlign w:val="center"/>
          </w:tcPr>
          <w:p w:rsidR="00C029B4" w:rsidRPr="00C47F76" w:rsidRDefault="00296978" w:rsidP="007F0478">
            <w:pPr>
              <w:keepNext/>
              <w:spacing w:after="0" w:line="240" w:lineRule="auto"/>
              <w:contextualSpacing/>
              <w:jc w:val="center"/>
              <w:rPr>
                <w:rFonts w:ascii="Times New Roman" w:eastAsia="Times New Roman" w:hAnsi="Times New Roman" w:cs="Times New Roman"/>
                <w:color w:val="000000"/>
                <w:sz w:val="26"/>
                <w:szCs w:val="26"/>
              </w:rPr>
            </w:pPr>
            <w:r>
              <w:rPr>
                <w:rFonts w:ascii="Times New Roman" w:hAnsi="Times New Roman" w:cs="Times New Roman"/>
                <w:color w:val="000000"/>
                <w:sz w:val="26"/>
                <w:szCs w:val="26"/>
              </w:rPr>
              <w:t>$58,456,307</w:t>
            </w:r>
          </w:p>
        </w:tc>
        <w:tc>
          <w:tcPr>
            <w:tcW w:w="1802" w:type="dxa"/>
            <w:vAlign w:val="center"/>
          </w:tcPr>
          <w:p w:rsidR="00C029B4" w:rsidRPr="00C47F76" w:rsidRDefault="00BB475C" w:rsidP="007F0478">
            <w:pPr>
              <w:keepNext/>
              <w:spacing w:after="0" w:line="240" w:lineRule="auto"/>
              <w:contextualSpacing/>
              <w:jc w:val="center"/>
              <w:rPr>
                <w:rFonts w:ascii="Times New Roman" w:eastAsia="Times New Roman" w:hAnsi="Times New Roman" w:cs="Times New Roman"/>
                <w:color w:val="000000"/>
                <w:sz w:val="26"/>
                <w:szCs w:val="26"/>
              </w:rPr>
            </w:pPr>
            <w:r>
              <w:rPr>
                <w:rFonts w:ascii="Times New Roman" w:hAnsi="Times New Roman" w:cs="Times New Roman"/>
                <w:color w:val="000000"/>
                <w:sz w:val="26"/>
                <w:szCs w:val="26"/>
              </w:rPr>
              <w:t>$</w:t>
            </w:r>
            <w:r w:rsidR="00296978">
              <w:rPr>
                <w:rFonts w:ascii="Times New Roman" w:hAnsi="Times New Roman" w:cs="Times New Roman"/>
                <w:color w:val="000000"/>
                <w:sz w:val="26"/>
                <w:szCs w:val="26"/>
              </w:rPr>
              <w:t>62,192,581</w:t>
            </w:r>
          </w:p>
        </w:tc>
        <w:tc>
          <w:tcPr>
            <w:tcW w:w="1859" w:type="dxa"/>
            <w:vAlign w:val="center"/>
          </w:tcPr>
          <w:p w:rsidR="00C029B4" w:rsidRPr="00C47F76" w:rsidRDefault="00296978" w:rsidP="007F0478">
            <w:pPr>
              <w:keepNext/>
              <w:spacing w:after="0" w:line="240" w:lineRule="auto"/>
              <w:contextualSpacing/>
              <w:jc w:val="center"/>
              <w:rPr>
                <w:rFonts w:ascii="Times New Roman" w:eastAsia="Times New Roman" w:hAnsi="Times New Roman" w:cs="Times New Roman"/>
                <w:color w:val="000000"/>
                <w:sz w:val="26"/>
                <w:szCs w:val="26"/>
              </w:rPr>
            </w:pPr>
            <w:r>
              <w:rPr>
                <w:rFonts w:ascii="Times New Roman" w:hAnsi="Times New Roman" w:cs="Times New Roman"/>
                <w:color w:val="000000"/>
                <w:sz w:val="26"/>
                <w:szCs w:val="26"/>
              </w:rPr>
              <w:t>$64,664,726</w:t>
            </w:r>
          </w:p>
        </w:tc>
        <w:tc>
          <w:tcPr>
            <w:tcW w:w="1859" w:type="dxa"/>
            <w:vAlign w:val="center"/>
          </w:tcPr>
          <w:p w:rsidR="00C029B4" w:rsidRPr="00C47F76" w:rsidRDefault="00D415B6" w:rsidP="007F0478">
            <w:pPr>
              <w:keepNext/>
              <w:spacing w:after="0" w:line="240" w:lineRule="auto"/>
              <w:contextualSpacing/>
              <w:jc w:val="center"/>
              <w:rPr>
                <w:rFonts w:ascii="Times New Roman" w:hAnsi="Times New Roman" w:cs="Times New Roman"/>
                <w:color w:val="000000"/>
                <w:sz w:val="26"/>
                <w:szCs w:val="26"/>
              </w:rPr>
            </w:pPr>
            <w:r>
              <w:rPr>
                <w:rFonts w:ascii="Times New Roman" w:hAnsi="Times New Roman" w:cs="Times New Roman"/>
                <w:color w:val="000000"/>
                <w:sz w:val="26"/>
                <w:szCs w:val="26"/>
              </w:rPr>
              <w:t>$65,855,459</w:t>
            </w:r>
          </w:p>
        </w:tc>
      </w:tr>
      <w:tr w:rsidR="00C029B4" w:rsidRPr="00C47F76" w:rsidTr="00777BE4">
        <w:trPr>
          <w:cantSplit/>
          <w:jc w:val="center"/>
        </w:trPr>
        <w:tc>
          <w:tcPr>
            <w:tcW w:w="2250" w:type="dxa"/>
          </w:tcPr>
          <w:p w:rsidR="00C029B4" w:rsidRPr="00C47F76" w:rsidRDefault="00C029B4" w:rsidP="007F0478">
            <w:pPr>
              <w:keepNext/>
              <w:spacing w:after="0" w:line="240" w:lineRule="auto"/>
              <w:contextualSpacing/>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Average Monthly Spending pe</w:t>
            </w:r>
            <w:r w:rsidR="00661CFC">
              <w:rPr>
                <w:rFonts w:ascii="Times New Roman" w:eastAsia="Times New Roman" w:hAnsi="Times New Roman" w:cs="Times New Roman"/>
                <w:sz w:val="26"/>
                <w:szCs w:val="26"/>
              </w:rPr>
              <w:t>r non-CRP Residential Customer*</w:t>
            </w:r>
            <w:r w:rsidRPr="00C47F76">
              <w:rPr>
                <w:rFonts w:ascii="Times New Roman" w:eastAsia="Times New Roman" w:hAnsi="Times New Roman" w:cs="Times New Roman"/>
                <w:sz w:val="26"/>
                <w:szCs w:val="26"/>
              </w:rPr>
              <w:t>*</w:t>
            </w:r>
            <w:r w:rsidR="00BA742E">
              <w:rPr>
                <w:rFonts w:ascii="Times New Roman" w:eastAsia="Times New Roman" w:hAnsi="Times New Roman" w:cs="Times New Roman"/>
                <w:sz w:val="26"/>
                <w:szCs w:val="26"/>
              </w:rPr>
              <w:t>*</w:t>
            </w:r>
          </w:p>
        </w:tc>
        <w:tc>
          <w:tcPr>
            <w:tcW w:w="1950" w:type="dxa"/>
            <w:vAlign w:val="center"/>
          </w:tcPr>
          <w:p w:rsidR="00C029B4" w:rsidRPr="00C47F76" w:rsidRDefault="00661CFC" w:rsidP="007F0478">
            <w:pPr>
              <w:keepNext/>
              <w:spacing w:after="0" w:line="240" w:lineRule="auto"/>
              <w:contextualSpacing/>
              <w:jc w:val="center"/>
              <w:rPr>
                <w:rFonts w:ascii="Times New Roman" w:eastAsia="Times New Roman" w:hAnsi="Times New Roman" w:cs="Times New Roman"/>
                <w:color w:val="000000"/>
                <w:sz w:val="26"/>
                <w:szCs w:val="26"/>
              </w:rPr>
            </w:pPr>
            <w:r>
              <w:rPr>
                <w:rFonts w:ascii="Times New Roman" w:hAnsi="Times New Roman" w:cs="Times New Roman"/>
                <w:color w:val="000000"/>
                <w:sz w:val="26"/>
                <w:szCs w:val="26"/>
              </w:rPr>
              <w:t>$7.67</w:t>
            </w:r>
          </w:p>
        </w:tc>
        <w:tc>
          <w:tcPr>
            <w:tcW w:w="1802" w:type="dxa"/>
            <w:vAlign w:val="center"/>
          </w:tcPr>
          <w:p w:rsidR="00C029B4" w:rsidRPr="00C47F76" w:rsidRDefault="00661CFC" w:rsidP="007F0478">
            <w:pPr>
              <w:keepNext/>
              <w:spacing w:after="0" w:line="240" w:lineRule="auto"/>
              <w:contextualSpacing/>
              <w:jc w:val="center"/>
              <w:rPr>
                <w:rFonts w:ascii="Times New Roman" w:eastAsia="Times New Roman" w:hAnsi="Times New Roman" w:cs="Times New Roman"/>
                <w:color w:val="000000"/>
                <w:sz w:val="26"/>
                <w:szCs w:val="26"/>
              </w:rPr>
            </w:pPr>
            <w:r>
              <w:rPr>
                <w:rFonts w:ascii="Times New Roman" w:hAnsi="Times New Roman" w:cs="Times New Roman"/>
                <w:color w:val="000000"/>
                <w:sz w:val="26"/>
                <w:szCs w:val="26"/>
              </w:rPr>
              <w:t>$8.16</w:t>
            </w:r>
          </w:p>
        </w:tc>
        <w:tc>
          <w:tcPr>
            <w:tcW w:w="1859" w:type="dxa"/>
            <w:vAlign w:val="center"/>
          </w:tcPr>
          <w:p w:rsidR="00C029B4" w:rsidRPr="00C47F76" w:rsidRDefault="00661CFC" w:rsidP="007F0478">
            <w:pPr>
              <w:keepNext/>
              <w:spacing w:after="0" w:line="240" w:lineRule="auto"/>
              <w:contextualSpacing/>
              <w:jc w:val="center"/>
              <w:rPr>
                <w:rFonts w:ascii="Times New Roman" w:eastAsia="Times New Roman" w:hAnsi="Times New Roman" w:cs="Times New Roman"/>
                <w:color w:val="000000"/>
                <w:sz w:val="26"/>
                <w:szCs w:val="26"/>
              </w:rPr>
            </w:pPr>
            <w:r>
              <w:rPr>
                <w:rFonts w:ascii="Times New Roman" w:hAnsi="Times New Roman" w:cs="Times New Roman"/>
                <w:color w:val="000000"/>
                <w:sz w:val="26"/>
                <w:szCs w:val="26"/>
              </w:rPr>
              <w:t>$8.48</w:t>
            </w:r>
          </w:p>
        </w:tc>
        <w:tc>
          <w:tcPr>
            <w:tcW w:w="1859" w:type="dxa"/>
            <w:vAlign w:val="center"/>
          </w:tcPr>
          <w:p w:rsidR="00C029B4" w:rsidRPr="00C47F76" w:rsidRDefault="00661CFC" w:rsidP="007F0478">
            <w:pPr>
              <w:keepNext/>
              <w:spacing w:after="0" w:line="240" w:lineRule="auto"/>
              <w:contextualSpacing/>
              <w:jc w:val="center"/>
              <w:rPr>
                <w:rFonts w:ascii="Times New Roman" w:hAnsi="Times New Roman" w:cs="Times New Roman"/>
                <w:color w:val="000000"/>
                <w:sz w:val="26"/>
                <w:szCs w:val="26"/>
              </w:rPr>
            </w:pPr>
            <w:r>
              <w:rPr>
                <w:rFonts w:ascii="Times New Roman" w:hAnsi="Times New Roman" w:cs="Times New Roman"/>
                <w:color w:val="000000"/>
                <w:sz w:val="26"/>
                <w:szCs w:val="26"/>
              </w:rPr>
              <w:t>$8.64</w:t>
            </w:r>
          </w:p>
        </w:tc>
      </w:tr>
    </w:tbl>
    <w:p w:rsidR="00C47F76" w:rsidRPr="0009116C" w:rsidRDefault="00BA742E" w:rsidP="00B056A4">
      <w:pPr>
        <w:keepNext/>
        <w:spacing w:after="0" w:line="240" w:lineRule="auto"/>
        <w:ind w:left="274"/>
        <w:contextualSpacing/>
        <w:rPr>
          <w:rFonts w:ascii="Times New Roman" w:eastAsia="Times New Roman" w:hAnsi="Times New Roman" w:cs="Times New Roman"/>
          <w:sz w:val="26"/>
          <w:szCs w:val="26"/>
        </w:rPr>
      </w:pPr>
      <w:r w:rsidRPr="0009116C">
        <w:rPr>
          <w:rFonts w:ascii="Times New Roman" w:eastAsia="Times New Roman" w:hAnsi="Times New Roman" w:cs="Times New Roman"/>
          <w:sz w:val="26"/>
          <w:szCs w:val="26"/>
        </w:rPr>
        <w:t>*</w:t>
      </w:r>
      <w:r w:rsidR="007673EE" w:rsidRPr="0009116C">
        <w:rPr>
          <w:rFonts w:ascii="Times New Roman" w:eastAsia="Times New Roman" w:hAnsi="Times New Roman" w:cs="Times New Roman"/>
          <w:sz w:val="26"/>
          <w:szCs w:val="26"/>
        </w:rPr>
        <w:t xml:space="preserve"> Includes </w:t>
      </w:r>
      <w:r w:rsidR="00E50899" w:rsidRPr="0009116C">
        <w:rPr>
          <w:rFonts w:ascii="Times New Roman" w:eastAsia="Times New Roman" w:hAnsi="Times New Roman" w:cs="Times New Roman"/>
          <w:sz w:val="26"/>
          <w:szCs w:val="26"/>
        </w:rPr>
        <w:t xml:space="preserve">programmatic/administrative </w:t>
      </w:r>
      <w:r w:rsidR="007673EE" w:rsidRPr="0009116C">
        <w:rPr>
          <w:rFonts w:ascii="Times New Roman" w:eastAsia="Times New Roman" w:hAnsi="Times New Roman" w:cs="Times New Roman"/>
          <w:sz w:val="26"/>
          <w:szCs w:val="26"/>
        </w:rPr>
        <w:t>costs</w:t>
      </w:r>
      <w:r w:rsidR="00E50899" w:rsidRPr="0009116C">
        <w:rPr>
          <w:rFonts w:ascii="Times New Roman" w:eastAsia="Times New Roman" w:hAnsi="Times New Roman" w:cs="Times New Roman"/>
          <w:sz w:val="26"/>
          <w:szCs w:val="26"/>
        </w:rPr>
        <w:t xml:space="preserve"> (including labor)</w:t>
      </w:r>
      <w:r w:rsidR="007673EE" w:rsidRPr="0009116C">
        <w:rPr>
          <w:rFonts w:ascii="Times New Roman" w:eastAsia="Times New Roman" w:hAnsi="Times New Roman" w:cs="Times New Roman"/>
          <w:sz w:val="26"/>
          <w:szCs w:val="26"/>
        </w:rPr>
        <w:t xml:space="preserve"> </w:t>
      </w:r>
      <w:r w:rsidR="00E50899" w:rsidRPr="0009116C">
        <w:rPr>
          <w:rFonts w:ascii="Times New Roman" w:eastAsia="Times New Roman" w:hAnsi="Times New Roman" w:cs="Times New Roman"/>
          <w:sz w:val="26"/>
          <w:szCs w:val="26"/>
        </w:rPr>
        <w:t xml:space="preserve">and costs </w:t>
      </w:r>
      <w:r w:rsidR="007673EE" w:rsidRPr="0009116C">
        <w:rPr>
          <w:rFonts w:ascii="Times New Roman" w:eastAsia="Times New Roman" w:hAnsi="Times New Roman" w:cs="Times New Roman"/>
          <w:sz w:val="26"/>
          <w:szCs w:val="26"/>
        </w:rPr>
        <w:t xml:space="preserve">for the LIME pilot at $120,048/year ($10,004/month).  </w:t>
      </w:r>
    </w:p>
    <w:p w:rsidR="001E3F72" w:rsidRPr="0009116C" w:rsidRDefault="00C47F76" w:rsidP="00B056A4">
      <w:pPr>
        <w:keepNext/>
        <w:spacing w:after="0" w:line="240" w:lineRule="auto"/>
        <w:ind w:left="274"/>
        <w:contextualSpacing/>
        <w:rPr>
          <w:rFonts w:ascii="Times New Roman" w:eastAsia="Times New Roman" w:hAnsi="Times New Roman" w:cs="Times New Roman"/>
          <w:sz w:val="26"/>
          <w:szCs w:val="26"/>
        </w:rPr>
      </w:pPr>
      <w:r w:rsidRPr="0009116C">
        <w:rPr>
          <w:rFonts w:ascii="Times New Roman" w:eastAsia="Times New Roman" w:hAnsi="Times New Roman" w:cs="Times New Roman"/>
          <w:sz w:val="26"/>
          <w:szCs w:val="26"/>
        </w:rPr>
        <w:t>*</w:t>
      </w:r>
      <w:r w:rsidR="00BA742E" w:rsidRPr="0009116C">
        <w:rPr>
          <w:rFonts w:ascii="Times New Roman" w:eastAsia="Times New Roman" w:hAnsi="Times New Roman" w:cs="Times New Roman"/>
          <w:sz w:val="26"/>
          <w:szCs w:val="26"/>
        </w:rPr>
        <w:t>*</w:t>
      </w:r>
      <w:r w:rsidRPr="0009116C">
        <w:rPr>
          <w:rFonts w:ascii="Times New Roman" w:eastAsia="Times New Roman" w:hAnsi="Times New Roman" w:cs="Times New Roman"/>
          <w:sz w:val="26"/>
          <w:szCs w:val="26"/>
        </w:rPr>
        <w:t xml:space="preserve"> Only</w:t>
      </w:r>
      <w:r w:rsidR="00580BFF" w:rsidRPr="0009116C">
        <w:rPr>
          <w:rFonts w:ascii="Times New Roman" w:eastAsia="Times New Roman" w:hAnsi="Times New Roman" w:cs="Times New Roman"/>
          <w:sz w:val="26"/>
          <w:szCs w:val="26"/>
        </w:rPr>
        <w:t xml:space="preserve"> the administrative cost of $260,149</w:t>
      </w:r>
      <w:r w:rsidRPr="0009116C">
        <w:rPr>
          <w:rFonts w:ascii="Times New Roman" w:eastAsia="Times New Roman" w:hAnsi="Times New Roman" w:cs="Times New Roman"/>
          <w:sz w:val="26"/>
          <w:szCs w:val="26"/>
        </w:rPr>
        <w:t xml:space="preserve"> </w:t>
      </w:r>
      <w:r w:rsidR="00F84ED8" w:rsidRPr="0009116C">
        <w:rPr>
          <w:rFonts w:ascii="Times New Roman" w:eastAsia="Times New Roman" w:hAnsi="Times New Roman" w:cs="Times New Roman"/>
          <w:sz w:val="26"/>
          <w:szCs w:val="26"/>
        </w:rPr>
        <w:t xml:space="preserve">and Company contributions of $795,500 </w:t>
      </w:r>
      <w:r w:rsidRPr="0009116C">
        <w:rPr>
          <w:rFonts w:ascii="Times New Roman" w:eastAsia="Times New Roman" w:hAnsi="Times New Roman" w:cs="Times New Roman"/>
          <w:sz w:val="26"/>
          <w:szCs w:val="26"/>
        </w:rPr>
        <w:t xml:space="preserve">for </w:t>
      </w:r>
      <w:r w:rsidR="00F84ED8" w:rsidRPr="0009116C">
        <w:rPr>
          <w:rFonts w:ascii="Times New Roman" w:eastAsia="Times New Roman" w:hAnsi="Times New Roman" w:cs="Times New Roman"/>
          <w:sz w:val="26"/>
          <w:szCs w:val="26"/>
        </w:rPr>
        <w:t>are</w:t>
      </w:r>
      <w:r w:rsidRPr="0009116C">
        <w:rPr>
          <w:rFonts w:ascii="Times New Roman" w:eastAsia="Times New Roman" w:hAnsi="Times New Roman" w:cs="Times New Roman"/>
          <w:sz w:val="26"/>
          <w:szCs w:val="26"/>
        </w:rPr>
        <w:t xml:space="preserve"> recovered in base rates and is counted in the </w:t>
      </w:r>
      <w:r w:rsidR="00F84ED8" w:rsidRPr="0009116C">
        <w:rPr>
          <w:rFonts w:ascii="Times New Roman" w:eastAsia="Times New Roman" w:hAnsi="Times New Roman" w:cs="Times New Roman"/>
          <w:sz w:val="26"/>
          <w:szCs w:val="26"/>
        </w:rPr>
        <w:t>Hardship Fund total</w:t>
      </w:r>
      <w:r w:rsidRPr="0009116C">
        <w:rPr>
          <w:rFonts w:ascii="Times New Roman" w:eastAsia="Times New Roman" w:hAnsi="Times New Roman" w:cs="Times New Roman"/>
          <w:sz w:val="26"/>
          <w:szCs w:val="26"/>
        </w:rPr>
        <w:t>.</w:t>
      </w:r>
      <w:r w:rsidRPr="0009116C" w:rsidDel="00C74172">
        <w:rPr>
          <w:rFonts w:ascii="Times New Roman" w:eastAsia="Times New Roman" w:hAnsi="Times New Roman" w:cs="Times New Roman"/>
          <w:sz w:val="26"/>
          <w:szCs w:val="26"/>
        </w:rPr>
        <w:t xml:space="preserve">  </w:t>
      </w:r>
      <w:r w:rsidR="001E3F72" w:rsidRPr="0009116C">
        <w:rPr>
          <w:rFonts w:ascii="Times New Roman" w:eastAsia="Times New Roman" w:hAnsi="Times New Roman" w:cs="Times New Roman"/>
          <w:sz w:val="26"/>
          <w:szCs w:val="26"/>
        </w:rPr>
        <w:t xml:space="preserve">Voluntary donations by customers </w:t>
      </w:r>
      <w:r w:rsidR="00F84ED8" w:rsidRPr="0009116C">
        <w:rPr>
          <w:rFonts w:ascii="Times New Roman" w:eastAsia="Times New Roman" w:hAnsi="Times New Roman" w:cs="Times New Roman"/>
          <w:sz w:val="26"/>
          <w:szCs w:val="26"/>
        </w:rPr>
        <w:t xml:space="preserve">and the UESF </w:t>
      </w:r>
      <w:r w:rsidR="001E3F72" w:rsidRPr="0009116C">
        <w:rPr>
          <w:rFonts w:ascii="Times New Roman" w:eastAsia="Times New Roman" w:hAnsi="Times New Roman" w:cs="Times New Roman"/>
          <w:sz w:val="26"/>
          <w:szCs w:val="26"/>
        </w:rPr>
        <w:t>funds are not recovered in base rates.</w:t>
      </w:r>
    </w:p>
    <w:p w:rsidR="00C47F76" w:rsidRPr="0009116C" w:rsidRDefault="00C47F76" w:rsidP="0009116C">
      <w:pPr>
        <w:spacing w:after="0" w:line="240" w:lineRule="auto"/>
        <w:ind w:left="274"/>
        <w:contextualSpacing/>
        <w:rPr>
          <w:rFonts w:ascii="Times New Roman" w:eastAsia="Times New Roman" w:hAnsi="Times New Roman" w:cs="Times New Roman"/>
          <w:sz w:val="26"/>
          <w:szCs w:val="26"/>
        </w:rPr>
      </w:pPr>
      <w:r w:rsidRPr="0009116C">
        <w:rPr>
          <w:rFonts w:ascii="Times New Roman" w:eastAsia="Times New Roman" w:hAnsi="Times New Roman" w:cs="Times New Roman"/>
          <w:sz w:val="26"/>
          <w:szCs w:val="26"/>
        </w:rPr>
        <w:t>**</w:t>
      </w:r>
      <w:r w:rsidR="00BA742E" w:rsidRPr="0009116C">
        <w:rPr>
          <w:rFonts w:ascii="Times New Roman" w:eastAsia="Times New Roman" w:hAnsi="Times New Roman" w:cs="Times New Roman"/>
          <w:sz w:val="26"/>
          <w:szCs w:val="26"/>
        </w:rPr>
        <w:t>*</w:t>
      </w:r>
      <w:r w:rsidRPr="0009116C">
        <w:rPr>
          <w:rFonts w:ascii="Times New Roman" w:eastAsia="Times New Roman" w:hAnsi="Times New Roman" w:cs="Times New Roman"/>
          <w:sz w:val="26"/>
          <w:szCs w:val="26"/>
        </w:rPr>
        <w:t xml:space="preserve"> Based on </w:t>
      </w:r>
      <w:r w:rsidR="0047659E" w:rsidRPr="0009116C">
        <w:rPr>
          <w:rFonts w:ascii="Times New Roman" w:eastAsia="Times New Roman" w:hAnsi="Times New Roman" w:cs="Times New Roman"/>
          <w:sz w:val="26"/>
          <w:szCs w:val="26"/>
        </w:rPr>
        <w:t>469,008</w:t>
      </w:r>
      <w:r w:rsidR="00F84ED8" w:rsidRPr="0009116C">
        <w:rPr>
          <w:rFonts w:ascii="Times New Roman" w:eastAsia="Times New Roman" w:hAnsi="Times New Roman" w:cs="Times New Roman"/>
          <w:sz w:val="26"/>
          <w:szCs w:val="26"/>
        </w:rPr>
        <w:t xml:space="preserve"> </w:t>
      </w:r>
      <w:r w:rsidRPr="0009116C">
        <w:rPr>
          <w:rFonts w:ascii="Times New Roman" w:eastAsia="Times New Roman" w:hAnsi="Times New Roman" w:cs="Times New Roman"/>
          <w:sz w:val="26"/>
          <w:szCs w:val="26"/>
        </w:rPr>
        <w:t>non-CRP residential customers, as reporte</w:t>
      </w:r>
      <w:r w:rsidR="001E3F72" w:rsidRPr="0009116C">
        <w:rPr>
          <w:rFonts w:ascii="Times New Roman" w:eastAsia="Times New Roman" w:hAnsi="Times New Roman" w:cs="Times New Roman"/>
          <w:sz w:val="26"/>
          <w:szCs w:val="26"/>
        </w:rPr>
        <w:t>d by PGW as of December 31, 2015</w:t>
      </w:r>
      <w:r w:rsidR="0047659E" w:rsidRPr="0009116C">
        <w:rPr>
          <w:rFonts w:ascii="Times New Roman" w:eastAsia="Times New Roman" w:hAnsi="Times New Roman" w:cs="Times New Roman"/>
          <w:sz w:val="26"/>
          <w:szCs w:val="26"/>
        </w:rPr>
        <w:t>.  In 2015, PGW recouped 73.8</w:t>
      </w:r>
      <w:r w:rsidRPr="0009116C">
        <w:rPr>
          <w:rFonts w:ascii="Times New Roman" w:eastAsia="Times New Roman" w:hAnsi="Times New Roman" w:cs="Times New Roman"/>
          <w:sz w:val="26"/>
          <w:szCs w:val="26"/>
        </w:rPr>
        <w:t xml:space="preserve">% of CRP </w:t>
      </w:r>
      <w:r w:rsidR="0047659E" w:rsidRPr="0009116C">
        <w:rPr>
          <w:rFonts w:ascii="Times New Roman" w:eastAsia="Times New Roman" w:hAnsi="Times New Roman" w:cs="Times New Roman"/>
          <w:sz w:val="26"/>
          <w:szCs w:val="26"/>
        </w:rPr>
        <w:t xml:space="preserve">and LIURP </w:t>
      </w:r>
      <w:r w:rsidRPr="0009116C">
        <w:rPr>
          <w:rFonts w:ascii="Times New Roman" w:eastAsia="Times New Roman" w:hAnsi="Times New Roman" w:cs="Times New Roman"/>
          <w:sz w:val="26"/>
          <w:szCs w:val="26"/>
        </w:rPr>
        <w:t>costs</w:t>
      </w:r>
      <w:r w:rsidR="0047659E" w:rsidRPr="0009116C">
        <w:rPr>
          <w:rFonts w:ascii="Times New Roman" w:eastAsia="Times New Roman" w:hAnsi="Times New Roman" w:cs="Times New Roman"/>
          <w:sz w:val="26"/>
          <w:szCs w:val="26"/>
        </w:rPr>
        <w:t xml:space="preserve"> from residential base rates, 21.3% from commercial, 1.7% from industrial, 2.1</w:t>
      </w:r>
      <w:r w:rsidRPr="0009116C">
        <w:rPr>
          <w:rFonts w:ascii="Times New Roman" w:eastAsia="Times New Roman" w:hAnsi="Times New Roman" w:cs="Times New Roman"/>
          <w:sz w:val="26"/>
          <w:szCs w:val="26"/>
        </w:rPr>
        <w:t xml:space="preserve">% from </w:t>
      </w:r>
      <w:r w:rsidRPr="0009116C">
        <w:rPr>
          <w:rFonts w:ascii="Times New Roman" w:eastAsia="Times New Roman" w:hAnsi="Times New Roman" w:cs="Times New Roman"/>
          <w:sz w:val="26"/>
          <w:szCs w:val="26"/>
        </w:rPr>
        <w:lastRenderedPageBreak/>
        <w:t>municipal, and 1</w:t>
      </w:r>
      <w:r w:rsidR="0047659E" w:rsidRPr="0009116C">
        <w:rPr>
          <w:rFonts w:ascii="Times New Roman" w:eastAsia="Times New Roman" w:hAnsi="Times New Roman" w:cs="Times New Roman"/>
          <w:sz w:val="26"/>
          <w:szCs w:val="26"/>
        </w:rPr>
        <w:t>.1</w:t>
      </w:r>
      <w:r w:rsidRPr="0009116C">
        <w:rPr>
          <w:rFonts w:ascii="Times New Roman" w:eastAsia="Times New Roman" w:hAnsi="Times New Roman" w:cs="Times New Roman"/>
          <w:sz w:val="26"/>
          <w:szCs w:val="26"/>
        </w:rPr>
        <w:t>% from the Philadelphia Housing Authority.</w:t>
      </w:r>
      <w:r w:rsidR="0047659E" w:rsidRPr="0009116C">
        <w:rPr>
          <w:rFonts w:ascii="Times New Roman" w:eastAsia="Times New Roman" w:hAnsi="Times New Roman" w:cs="Times New Roman"/>
          <w:sz w:val="26"/>
          <w:szCs w:val="26"/>
        </w:rPr>
        <w:t xml:space="preserve">  2015 Report on Universal Service Programs &amp; Collections Performance at 6, 41, </w:t>
      </w:r>
      <w:r w:rsidR="0037392C" w:rsidRPr="0009116C">
        <w:rPr>
          <w:rFonts w:ascii="Times New Roman" w:eastAsia="Times New Roman" w:hAnsi="Times New Roman" w:cs="Times New Roman"/>
          <w:sz w:val="26"/>
          <w:szCs w:val="26"/>
        </w:rPr>
        <w:t xml:space="preserve">&amp; </w:t>
      </w:r>
      <w:r w:rsidR="0047659E" w:rsidRPr="0009116C">
        <w:rPr>
          <w:rFonts w:ascii="Times New Roman" w:eastAsia="Times New Roman" w:hAnsi="Times New Roman" w:cs="Times New Roman"/>
          <w:sz w:val="26"/>
          <w:szCs w:val="26"/>
        </w:rPr>
        <w:t>58.</w:t>
      </w:r>
    </w:p>
    <w:p w:rsidR="00AA67E1" w:rsidRPr="0009116C" w:rsidRDefault="00AA67E1" w:rsidP="0009116C">
      <w:pPr>
        <w:spacing w:after="0" w:line="240" w:lineRule="auto"/>
        <w:ind w:left="274"/>
        <w:contextualSpacing/>
        <w:rPr>
          <w:rFonts w:ascii="Times New Roman" w:eastAsia="Times New Roman" w:hAnsi="Times New Roman" w:cs="Times New Roman"/>
          <w:sz w:val="26"/>
          <w:szCs w:val="26"/>
        </w:rPr>
      </w:pPr>
    </w:p>
    <w:p w:rsidR="00AA67E1" w:rsidRPr="0009116C" w:rsidRDefault="00AA67E1" w:rsidP="0009116C">
      <w:pPr>
        <w:spacing w:after="0" w:line="240" w:lineRule="auto"/>
        <w:ind w:left="274"/>
        <w:contextualSpacing/>
        <w:rPr>
          <w:rFonts w:ascii="Times New Roman" w:eastAsia="Times New Roman" w:hAnsi="Times New Roman" w:cs="Times New Roman"/>
          <w:sz w:val="26"/>
          <w:szCs w:val="26"/>
        </w:rPr>
      </w:pPr>
    </w:p>
    <w:p w:rsidR="00661CFC" w:rsidRPr="0009116C" w:rsidRDefault="00661CFC" w:rsidP="0009116C">
      <w:pPr>
        <w:spacing w:after="0" w:line="360" w:lineRule="auto"/>
        <w:contextualSpacing/>
        <w:rPr>
          <w:rFonts w:ascii="Times New Roman" w:eastAsia="Times New Roman" w:hAnsi="Times New Roman" w:cs="Times New Roman"/>
          <w:i/>
          <w:sz w:val="26"/>
          <w:szCs w:val="26"/>
        </w:rPr>
      </w:pPr>
      <w:r w:rsidRPr="0009116C">
        <w:rPr>
          <w:rFonts w:ascii="Times New Roman" w:eastAsia="Times New Roman" w:hAnsi="Times New Roman" w:cs="Times New Roman"/>
          <w:i/>
          <w:sz w:val="26"/>
          <w:szCs w:val="26"/>
        </w:rPr>
        <w:t>a.  CRP (CAP Budget 2018-2020</w:t>
      </w:r>
    </w:p>
    <w:p w:rsidR="00661CFC" w:rsidRDefault="00661CFC" w:rsidP="0009116C">
      <w:pPr>
        <w:spacing w:after="0" w:line="360" w:lineRule="auto"/>
        <w:contextualSpacing/>
        <w:rPr>
          <w:rFonts w:ascii="Times New Roman" w:eastAsia="Times New Roman" w:hAnsi="Times New Roman" w:cs="Times New Roman"/>
          <w:sz w:val="26"/>
          <w:szCs w:val="26"/>
        </w:rPr>
      </w:pPr>
    </w:p>
    <w:p w:rsidR="00661CFC" w:rsidRDefault="0066145F" w:rsidP="0009116C">
      <w:pPr>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The</w:t>
      </w:r>
      <w:r w:rsidR="00661CFC">
        <w:rPr>
          <w:rFonts w:ascii="Times New Roman" w:eastAsia="Times New Roman" w:hAnsi="Times New Roman" w:cs="Times New Roman"/>
          <w:sz w:val="26"/>
          <w:szCs w:val="26"/>
        </w:rPr>
        <w:t xml:space="preserve"> CRP budget</w:t>
      </w:r>
      <w:r w:rsidR="00DA1000">
        <w:rPr>
          <w:rFonts w:ascii="Times New Roman" w:eastAsia="Times New Roman" w:hAnsi="Times New Roman" w:cs="Times New Roman"/>
          <w:sz w:val="26"/>
          <w:szCs w:val="26"/>
        </w:rPr>
        <w:t>s for 2018-2020</w:t>
      </w:r>
      <w:r w:rsidR="00661CFC">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are</w:t>
      </w:r>
      <w:r w:rsidR="0009116C">
        <w:rPr>
          <w:rFonts w:ascii="Times New Roman" w:eastAsia="Times New Roman" w:hAnsi="Times New Roman" w:cs="Times New Roman"/>
          <w:sz w:val="26"/>
          <w:szCs w:val="26"/>
        </w:rPr>
        <w:t xml:space="preserve"> inconsistent with our prior </w:t>
      </w:r>
      <w:r w:rsidR="00661CFC">
        <w:rPr>
          <w:rFonts w:ascii="Times New Roman" w:eastAsia="Times New Roman" w:hAnsi="Times New Roman" w:cs="Times New Roman"/>
          <w:sz w:val="26"/>
          <w:szCs w:val="26"/>
        </w:rPr>
        <w:t>directive that the Company allow customers to enroll in CRP at the PIP or budget bill amount, whicheve</w:t>
      </w:r>
      <w:r w:rsidR="00DA1000">
        <w:rPr>
          <w:rFonts w:ascii="Times New Roman" w:eastAsia="Times New Roman" w:hAnsi="Times New Roman" w:cs="Times New Roman"/>
          <w:sz w:val="26"/>
          <w:szCs w:val="26"/>
        </w:rPr>
        <w:t xml:space="preserve">r is lower, within six (6) months </w:t>
      </w:r>
      <w:r w:rsidR="00DA1000" w:rsidRPr="00DA1000">
        <w:rPr>
          <w:rFonts w:ascii="Times New Roman" w:eastAsia="Times New Roman" w:hAnsi="Times New Roman" w:cs="Times New Roman"/>
          <w:sz w:val="26"/>
          <w:szCs w:val="26"/>
        </w:rPr>
        <w:t>after the approval of its 2017-2020 Plan.</w:t>
      </w:r>
    </w:p>
    <w:p w:rsidR="00DA1000" w:rsidRDefault="00DA1000" w:rsidP="0009116C">
      <w:pPr>
        <w:spacing w:after="0" w:line="360" w:lineRule="auto"/>
        <w:contextualSpacing/>
        <w:rPr>
          <w:rFonts w:ascii="Times New Roman" w:eastAsia="Times New Roman" w:hAnsi="Times New Roman" w:cs="Times New Roman"/>
          <w:sz w:val="26"/>
          <w:szCs w:val="26"/>
        </w:rPr>
      </w:pPr>
    </w:p>
    <w:p w:rsidR="00DA1000" w:rsidRDefault="00DA1000" w:rsidP="0009116C">
      <w:pPr>
        <w:spacing w:after="0" w:line="360" w:lineRule="auto"/>
        <w:contextualSpacing/>
        <w:rPr>
          <w:rFonts w:ascii="Times New Roman" w:eastAsia="Times New Roman" w:hAnsi="Times New Roman" w:cs="Times New Roman"/>
          <w:sz w:val="26"/>
          <w:szCs w:val="26"/>
        </w:rPr>
      </w:pPr>
      <w:r w:rsidRPr="00DA1000">
        <w:rPr>
          <w:rFonts w:ascii="Times New Roman" w:eastAsia="Times New Roman" w:hAnsi="Times New Roman" w:cs="Times New Roman"/>
          <w:i/>
          <w:sz w:val="26"/>
          <w:szCs w:val="26"/>
        </w:rPr>
        <w:t>Resolution</w:t>
      </w:r>
      <w:r>
        <w:rPr>
          <w:rFonts w:ascii="Times New Roman" w:eastAsia="Times New Roman" w:hAnsi="Times New Roman" w:cs="Times New Roman"/>
          <w:sz w:val="26"/>
          <w:szCs w:val="26"/>
        </w:rPr>
        <w:t>: PGW shall update its CRP budget projections for 2018-2020 in its Revised 2017-2020 Plan</w:t>
      </w:r>
      <w:r w:rsidR="0066145F">
        <w:rPr>
          <w:rFonts w:ascii="Times New Roman" w:eastAsia="Times New Roman" w:hAnsi="Times New Roman" w:cs="Times New Roman"/>
          <w:sz w:val="26"/>
          <w:szCs w:val="26"/>
        </w:rPr>
        <w:t xml:space="preserve"> </w:t>
      </w:r>
      <w:r w:rsidR="007B6208">
        <w:rPr>
          <w:rFonts w:ascii="Times New Roman" w:eastAsia="Times New Roman" w:hAnsi="Times New Roman" w:cs="Times New Roman"/>
          <w:sz w:val="26"/>
          <w:szCs w:val="26"/>
        </w:rPr>
        <w:t>consistent with the directive</w:t>
      </w:r>
      <w:r>
        <w:rPr>
          <w:rFonts w:ascii="Times New Roman" w:eastAsia="Times New Roman" w:hAnsi="Times New Roman" w:cs="Times New Roman"/>
          <w:sz w:val="26"/>
          <w:szCs w:val="26"/>
        </w:rPr>
        <w:t>.</w:t>
      </w:r>
    </w:p>
    <w:p w:rsidR="00661CFC" w:rsidRDefault="00661CFC" w:rsidP="0009116C">
      <w:pPr>
        <w:spacing w:after="0" w:line="360" w:lineRule="auto"/>
        <w:contextualSpacing/>
        <w:rPr>
          <w:rFonts w:ascii="Times New Roman" w:eastAsia="Times New Roman" w:hAnsi="Times New Roman" w:cs="Times New Roman"/>
          <w:sz w:val="26"/>
          <w:szCs w:val="26"/>
        </w:rPr>
      </w:pPr>
    </w:p>
    <w:p w:rsidR="00C47F76" w:rsidRPr="003A5D1E" w:rsidRDefault="00DA1000" w:rsidP="00231829">
      <w:pPr>
        <w:spacing w:after="0" w:line="360" w:lineRule="auto"/>
        <w:contextualSpacing/>
        <w:rPr>
          <w:rFonts w:ascii="Times New Roman" w:eastAsia="Times New Roman" w:hAnsi="Times New Roman" w:cs="Times New Roman"/>
          <w:i/>
          <w:sz w:val="26"/>
          <w:szCs w:val="26"/>
        </w:rPr>
      </w:pPr>
      <w:r>
        <w:rPr>
          <w:rFonts w:ascii="Times New Roman" w:eastAsia="Times New Roman" w:hAnsi="Times New Roman" w:cs="Times New Roman"/>
          <w:i/>
          <w:sz w:val="26"/>
          <w:szCs w:val="26"/>
        </w:rPr>
        <w:t>b</w:t>
      </w:r>
      <w:r w:rsidR="006C2764" w:rsidRPr="003A5D1E">
        <w:rPr>
          <w:rFonts w:ascii="Times New Roman" w:eastAsia="Times New Roman" w:hAnsi="Times New Roman" w:cs="Times New Roman"/>
          <w:i/>
          <w:sz w:val="26"/>
          <w:szCs w:val="26"/>
        </w:rPr>
        <w:t xml:space="preserve">.  </w:t>
      </w:r>
      <w:r w:rsidR="00AA67E1" w:rsidRPr="003A5D1E">
        <w:rPr>
          <w:rFonts w:ascii="Times New Roman" w:eastAsia="Times New Roman" w:hAnsi="Times New Roman" w:cs="Times New Roman"/>
          <w:i/>
          <w:sz w:val="26"/>
          <w:szCs w:val="26"/>
        </w:rPr>
        <w:t xml:space="preserve">CRP Home Comfort Budget </w:t>
      </w:r>
      <w:r w:rsidR="00C4217C" w:rsidRPr="003A5D1E">
        <w:rPr>
          <w:rFonts w:ascii="Times New Roman" w:eastAsia="Times New Roman" w:hAnsi="Times New Roman" w:cs="Times New Roman"/>
          <w:i/>
          <w:sz w:val="26"/>
          <w:szCs w:val="26"/>
        </w:rPr>
        <w:t xml:space="preserve">(LIURP) </w:t>
      </w:r>
      <w:r w:rsidR="00AA67E1" w:rsidRPr="003A5D1E">
        <w:rPr>
          <w:rFonts w:ascii="Times New Roman" w:eastAsia="Times New Roman" w:hAnsi="Times New Roman" w:cs="Times New Roman"/>
          <w:i/>
          <w:sz w:val="26"/>
          <w:szCs w:val="26"/>
        </w:rPr>
        <w:t>2018-2020</w:t>
      </w:r>
    </w:p>
    <w:p w:rsidR="009553DD" w:rsidRDefault="009553DD" w:rsidP="00231829">
      <w:pPr>
        <w:spacing w:after="0" w:line="360" w:lineRule="auto"/>
        <w:contextualSpacing/>
        <w:rPr>
          <w:rFonts w:ascii="Times New Roman" w:eastAsia="Times New Roman" w:hAnsi="Times New Roman" w:cs="Times New Roman"/>
          <w:sz w:val="26"/>
          <w:szCs w:val="26"/>
        </w:rPr>
      </w:pPr>
    </w:p>
    <w:p w:rsidR="009553DD" w:rsidRDefault="009553DD" w:rsidP="00231829">
      <w:pPr>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1B0205">
        <w:rPr>
          <w:rFonts w:ascii="Times New Roman" w:eastAsia="Times New Roman" w:hAnsi="Times New Roman" w:cs="Times New Roman"/>
          <w:sz w:val="26"/>
          <w:szCs w:val="26"/>
        </w:rPr>
        <w:t xml:space="preserve">In accordance with the </w:t>
      </w:r>
      <w:r w:rsidR="001B0205" w:rsidRPr="0009116C">
        <w:rPr>
          <w:rFonts w:ascii="Times New Roman" w:eastAsia="Times New Roman" w:hAnsi="Times New Roman" w:cs="Times New Roman"/>
          <w:sz w:val="26"/>
          <w:szCs w:val="26"/>
        </w:rPr>
        <w:t>DSM II Order, the</w:t>
      </w:r>
      <w:r w:rsidR="001B0205">
        <w:rPr>
          <w:rFonts w:ascii="Times New Roman" w:eastAsia="Times New Roman" w:hAnsi="Times New Roman" w:cs="Times New Roman"/>
          <w:sz w:val="26"/>
          <w:szCs w:val="26"/>
        </w:rPr>
        <w:t xml:space="preserve"> FY</w:t>
      </w:r>
      <w:r w:rsidR="003A5D1E">
        <w:rPr>
          <w:rFonts w:ascii="Times New Roman" w:eastAsia="Times New Roman" w:hAnsi="Times New Roman" w:cs="Times New Roman"/>
          <w:sz w:val="26"/>
          <w:szCs w:val="26"/>
        </w:rPr>
        <w:t xml:space="preserve"> 20</w:t>
      </w:r>
      <w:r w:rsidR="001B0205">
        <w:rPr>
          <w:rFonts w:ascii="Times New Roman" w:eastAsia="Times New Roman" w:hAnsi="Times New Roman" w:cs="Times New Roman"/>
          <w:sz w:val="26"/>
          <w:szCs w:val="26"/>
        </w:rPr>
        <w:t>17 budget for the CRP Home Comfort program was set at $5,860,506.  PGW added administrative and programmatic costs of $710,939 to the FY</w:t>
      </w:r>
      <w:r w:rsidR="003A5D1E">
        <w:rPr>
          <w:rFonts w:ascii="Times New Roman" w:eastAsia="Times New Roman" w:hAnsi="Times New Roman" w:cs="Times New Roman"/>
          <w:sz w:val="26"/>
          <w:szCs w:val="26"/>
        </w:rPr>
        <w:t xml:space="preserve"> 20</w:t>
      </w:r>
      <w:r w:rsidR="001B0205">
        <w:rPr>
          <w:rFonts w:ascii="Times New Roman" w:eastAsia="Times New Roman" w:hAnsi="Times New Roman" w:cs="Times New Roman"/>
          <w:sz w:val="26"/>
          <w:szCs w:val="26"/>
        </w:rPr>
        <w:t>17 figure to arrive at a total budget of $6,571,445.  Amended Proposed 2017-2020 Plan at 23.  The remaining estimated program budgets for</w:t>
      </w:r>
      <w:r w:rsidR="003A5D1E">
        <w:rPr>
          <w:rFonts w:ascii="Times New Roman" w:eastAsia="Times New Roman" w:hAnsi="Times New Roman" w:cs="Times New Roman"/>
          <w:sz w:val="26"/>
          <w:szCs w:val="26"/>
        </w:rPr>
        <w:t xml:space="preserve"> the 2018-2020 CRP Home Comfort program</w:t>
      </w:r>
      <w:r w:rsidR="001B0205">
        <w:rPr>
          <w:rFonts w:ascii="Times New Roman" w:eastAsia="Times New Roman" w:hAnsi="Times New Roman" w:cs="Times New Roman"/>
          <w:sz w:val="26"/>
          <w:szCs w:val="26"/>
        </w:rPr>
        <w:t>, including the pro-rated amounts for</w:t>
      </w:r>
      <w:r w:rsidR="003A5D1E">
        <w:rPr>
          <w:rFonts w:ascii="Times New Roman" w:eastAsia="Times New Roman" w:hAnsi="Times New Roman" w:cs="Times New Roman"/>
          <w:sz w:val="26"/>
          <w:szCs w:val="26"/>
        </w:rPr>
        <w:t xml:space="preserve"> the transitional months of</w:t>
      </w:r>
      <w:r w:rsidR="001B0205">
        <w:rPr>
          <w:rFonts w:ascii="Times New Roman" w:eastAsia="Times New Roman" w:hAnsi="Times New Roman" w:cs="Times New Roman"/>
          <w:sz w:val="26"/>
          <w:szCs w:val="26"/>
        </w:rPr>
        <w:t xml:space="preserve"> September 2017–December 2017, were presented in </w:t>
      </w:r>
      <w:r w:rsidR="008F7847">
        <w:rPr>
          <w:rFonts w:ascii="Times New Roman" w:eastAsia="Times New Roman" w:hAnsi="Times New Roman" w:cs="Times New Roman"/>
          <w:sz w:val="26"/>
          <w:szCs w:val="26"/>
        </w:rPr>
        <w:t xml:space="preserve">PGW’s </w:t>
      </w:r>
      <w:r w:rsidR="001B0205" w:rsidRPr="00806632">
        <w:rPr>
          <w:rFonts w:ascii="Times New Roman" w:eastAsia="Times New Roman" w:hAnsi="Times New Roman" w:cs="Times New Roman"/>
          <w:i/>
          <w:sz w:val="26"/>
          <w:szCs w:val="26"/>
        </w:rPr>
        <w:t>Table 6: CRP Home Comfort Estimated Budget</w:t>
      </w:r>
      <w:r w:rsidR="001B0205">
        <w:rPr>
          <w:rFonts w:ascii="Times New Roman" w:eastAsia="Times New Roman" w:hAnsi="Times New Roman" w:cs="Times New Roman"/>
          <w:sz w:val="26"/>
          <w:szCs w:val="26"/>
        </w:rPr>
        <w:t xml:space="preserve"> on page 24 of the Amended Proposed 2017-2020 Plan.  Amended Proposed 2017-2020 Plan at 23.  </w:t>
      </w:r>
    </w:p>
    <w:p w:rsidR="00C83C52" w:rsidRDefault="00C83C52" w:rsidP="00231829">
      <w:pPr>
        <w:spacing w:after="0" w:line="360" w:lineRule="auto"/>
        <w:contextualSpacing/>
        <w:rPr>
          <w:rFonts w:ascii="Times New Roman" w:eastAsia="Times New Roman" w:hAnsi="Times New Roman" w:cs="Times New Roman"/>
          <w:sz w:val="26"/>
          <w:szCs w:val="26"/>
        </w:rPr>
      </w:pPr>
    </w:p>
    <w:p w:rsidR="00C83C52" w:rsidRPr="00C83C52" w:rsidRDefault="00C83C52" w:rsidP="00C83C52">
      <w:pPr>
        <w:spacing w:after="0" w:line="360" w:lineRule="auto"/>
        <w:contextualSpacing/>
        <w:rPr>
          <w:rFonts w:ascii="Times New Roman" w:eastAsia="Times New Roman" w:hAnsi="Times New Roman" w:cs="Times New Roman"/>
          <w:sz w:val="26"/>
          <w:szCs w:val="26"/>
        </w:rPr>
      </w:pPr>
      <w:r w:rsidRPr="00C83C52">
        <w:rPr>
          <w:rFonts w:ascii="Times New Roman" w:eastAsia="Times New Roman" w:hAnsi="Times New Roman" w:cs="Times New Roman"/>
          <w:sz w:val="26"/>
          <w:szCs w:val="26"/>
        </w:rPr>
        <w:tab/>
        <w:t xml:space="preserve">PGW initially stated in its proposed 2017-2020 USECP that the CRP Home Comfort budget “has been set based on a number of reasonable assumptions, and in light of the analysis of the number of customers who still need LIURP and the cost to serve those customers.”  PGW Amended Proposed Plan at 23.  We note that PGW submitted their original needs assessment, </w:t>
      </w:r>
      <w:r w:rsidR="003A5D1E">
        <w:rPr>
          <w:rFonts w:ascii="Times New Roman" w:eastAsia="Times New Roman" w:hAnsi="Times New Roman" w:cs="Times New Roman"/>
          <w:sz w:val="26"/>
          <w:szCs w:val="26"/>
        </w:rPr>
        <w:t>showing</w:t>
      </w:r>
      <w:r w:rsidRPr="00C83C52">
        <w:rPr>
          <w:rFonts w:ascii="Times New Roman" w:eastAsia="Times New Roman" w:hAnsi="Times New Roman" w:cs="Times New Roman"/>
          <w:sz w:val="26"/>
          <w:szCs w:val="26"/>
        </w:rPr>
        <w:t xml:space="preserve"> a total of 21,349</w:t>
      </w:r>
      <w:r w:rsidR="003A5D1E">
        <w:rPr>
          <w:rFonts w:ascii="Times New Roman" w:eastAsia="Times New Roman" w:hAnsi="Times New Roman" w:cs="Times New Roman"/>
          <w:sz w:val="26"/>
          <w:szCs w:val="26"/>
        </w:rPr>
        <w:t xml:space="preserve"> customers needing LIURP</w:t>
      </w:r>
      <w:r w:rsidRPr="00C83C52">
        <w:rPr>
          <w:rFonts w:ascii="Times New Roman" w:eastAsia="Times New Roman" w:hAnsi="Times New Roman" w:cs="Times New Roman"/>
          <w:sz w:val="26"/>
          <w:szCs w:val="26"/>
        </w:rPr>
        <w:t xml:space="preserve">, along with the corresponding 2018-2020 budgets and enrollment numbers.  These budget </w:t>
      </w:r>
      <w:r w:rsidRPr="00C83C52">
        <w:rPr>
          <w:rFonts w:ascii="Times New Roman" w:eastAsia="Times New Roman" w:hAnsi="Times New Roman" w:cs="Times New Roman"/>
          <w:sz w:val="26"/>
          <w:szCs w:val="26"/>
        </w:rPr>
        <w:lastRenderedPageBreak/>
        <w:t xml:space="preserve">and enrollment estimates for 2018-2020 were </w:t>
      </w:r>
      <w:r w:rsidR="003A5D1E">
        <w:rPr>
          <w:rFonts w:ascii="Times New Roman" w:eastAsia="Times New Roman" w:hAnsi="Times New Roman" w:cs="Times New Roman"/>
          <w:sz w:val="26"/>
          <w:szCs w:val="26"/>
        </w:rPr>
        <w:t>proposed</w:t>
      </w:r>
      <w:r w:rsidRPr="00C83C52">
        <w:rPr>
          <w:rFonts w:ascii="Times New Roman" w:eastAsia="Times New Roman" w:hAnsi="Times New Roman" w:cs="Times New Roman"/>
          <w:sz w:val="26"/>
          <w:szCs w:val="26"/>
        </w:rPr>
        <w:t xml:space="preserve"> by PGW, not the Commission.  In response to the Tentative Order where the Commission questioned the needs assessment total, PGW then submitted a revised, increased needs assessment figure of 67,367, but did not adjust the 2018-2020 budgets or enrollment figures. </w:t>
      </w:r>
      <w:r w:rsidR="007B6208">
        <w:rPr>
          <w:rFonts w:ascii="Times New Roman" w:eastAsia="Times New Roman" w:hAnsi="Times New Roman" w:cs="Times New Roman"/>
          <w:sz w:val="26"/>
          <w:szCs w:val="26"/>
        </w:rPr>
        <w:t xml:space="preserve"> </w:t>
      </w:r>
      <w:r w:rsidRPr="00C83C52">
        <w:rPr>
          <w:rFonts w:ascii="Times New Roman" w:eastAsia="Times New Roman" w:hAnsi="Times New Roman" w:cs="Times New Roman"/>
          <w:sz w:val="26"/>
          <w:szCs w:val="26"/>
        </w:rPr>
        <w:t>PGW Supplemental Information at 31.</w:t>
      </w:r>
    </w:p>
    <w:p w:rsidR="00AA67E1" w:rsidRDefault="00AA67E1" w:rsidP="00231829">
      <w:pPr>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p>
    <w:p w:rsidR="001B0205" w:rsidRDefault="00AA67E1" w:rsidP="00231829">
      <w:pPr>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E803B9">
        <w:rPr>
          <w:rFonts w:ascii="Times New Roman" w:eastAsia="Times New Roman" w:hAnsi="Times New Roman" w:cs="Times New Roman"/>
          <w:sz w:val="26"/>
          <w:szCs w:val="26"/>
        </w:rPr>
        <w:t xml:space="preserve">TURN </w:t>
      </w:r>
      <w:r w:rsidR="00E803B9" w:rsidRPr="003A5D1E">
        <w:rPr>
          <w:rFonts w:ascii="Times New Roman" w:eastAsia="Times New Roman" w:hAnsi="Times New Roman" w:cs="Times New Roman"/>
          <w:i/>
          <w:sz w:val="26"/>
          <w:szCs w:val="26"/>
        </w:rPr>
        <w:t>et al</w:t>
      </w:r>
      <w:r w:rsidR="007B6208">
        <w:rPr>
          <w:rFonts w:ascii="Times New Roman" w:eastAsia="Times New Roman" w:hAnsi="Times New Roman" w:cs="Times New Roman"/>
          <w:sz w:val="26"/>
          <w:szCs w:val="26"/>
        </w:rPr>
        <w:t xml:space="preserve">. </w:t>
      </w:r>
      <w:r w:rsidR="00E803B9">
        <w:rPr>
          <w:rFonts w:ascii="Times New Roman" w:eastAsia="Times New Roman" w:hAnsi="Times New Roman" w:cs="Times New Roman"/>
          <w:sz w:val="26"/>
          <w:szCs w:val="26"/>
        </w:rPr>
        <w:t>“urge the Commission to utilize the needs assessment calculation set forth in the Commission’s Tentative Order for purposes of determining a LIURP budget…</w:t>
      </w:r>
      <w:r w:rsidR="007B6208">
        <w:rPr>
          <w:rFonts w:ascii="Times New Roman" w:eastAsia="Times New Roman" w:hAnsi="Times New Roman" w:cs="Times New Roman"/>
          <w:sz w:val="26"/>
          <w:szCs w:val="26"/>
        </w:rPr>
        <w:t>.</w:t>
      </w:r>
      <w:r w:rsidR="00E803B9">
        <w:rPr>
          <w:rFonts w:ascii="Times New Roman" w:eastAsia="Times New Roman" w:hAnsi="Times New Roman" w:cs="Times New Roman"/>
          <w:sz w:val="26"/>
          <w:szCs w:val="26"/>
        </w:rPr>
        <w:t xml:space="preserve">” </w:t>
      </w:r>
      <w:r w:rsidR="007B6208">
        <w:rPr>
          <w:rFonts w:ascii="Times New Roman" w:eastAsia="Times New Roman" w:hAnsi="Times New Roman" w:cs="Times New Roman"/>
          <w:sz w:val="26"/>
          <w:szCs w:val="26"/>
        </w:rPr>
        <w:t xml:space="preserve"> </w:t>
      </w:r>
      <w:r w:rsidR="00E803B9">
        <w:rPr>
          <w:rFonts w:ascii="Times New Roman" w:eastAsia="Times New Roman" w:hAnsi="Times New Roman" w:cs="Times New Roman"/>
          <w:sz w:val="26"/>
          <w:szCs w:val="26"/>
        </w:rPr>
        <w:t>TURN</w:t>
      </w:r>
      <w:r w:rsidR="003A5D1E">
        <w:rPr>
          <w:rFonts w:ascii="Times New Roman" w:eastAsia="Times New Roman" w:hAnsi="Times New Roman" w:cs="Times New Roman"/>
          <w:sz w:val="26"/>
          <w:szCs w:val="26"/>
        </w:rPr>
        <w:t xml:space="preserve"> </w:t>
      </w:r>
      <w:r w:rsidR="003A5D1E" w:rsidRPr="003A5D1E">
        <w:rPr>
          <w:rFonts w:ascii="Times New Roman" w:eastAsia="Times New Roman" w:hAnsi="Times New Roman" w:cs="Times New Roman"/>
          <w:i/>
          <w:sz w:val="26"/>
          <w:szCs w:val="26"/>
        </w:rPr>
        <w:t>et al</w:t>
      </w:r>
      <w:r w:rsidR="007B6208">
        <w:rPr>
          <w:rFonts w:ascii="Times New Roman" w:eastAsia="Times New Roman" w:hAnsi="Times New Roman" w:cs="Times New Roman"/>
          <w:i/>
          <w:sz w:val="26"/>
          <w:szCs w:val="26"/>
        </w:rPr>
        <w:t>.</w:t>
      </w:r>
      <w:r w:rsidR="00E803B9">
        <w:rPr>
          <w:rFonts w:ascii="Times New Roman" w:eastAsia="Times New Roman" w:hAnsi="Times New Roman" w:cs="Times New Roman"/>
          <w:sz w:val="26"/>
          <w:szCs w:val="26"/>
        </w:rPr>
        <w:t xml:space="preserve"> Comments at 24.</w:t>
      </w:r>
    </w:p>
    <w:p w:rsidR="008F2644" w:rsidRDefault="008F2644" w:rsidP="00231829">
      <w:pPr>
        <w:spacing w:after="0" w:line="360" w:lineRule="auto"/>
        <w:contextualSpacing/>
        <w:rPr>
          <w:rFonts w:ascii="Times New Roman" w:eastAsia="Times New Roman" w:hAnsi="Times New Roman" w:cs="Times New Roman"/>
          <w:sz w:val="26"/>
          <w:szCs w:val="26"/>
        </w:rPr>
      </w:pPr>
    </w:p>
    <w:p w:rsidR="008F2644" w:rsidRDefault="008F2644" w:rsidP="00231829">
      <w:pPr>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t>OCA points out that PGW spent near</w:t>
      </w:r>
      <w:r w:rsidR="0017726C">
        <w:rPr>
          <w:rFonts w:ascii="Times New Roman" w:eastAsia="Times New Roman" w:hAnsi="Times New Roman" w:cs="Times New Roman"/>
          <w:sz w:val="26"/>
          <w:szCs w:val="26"/>
        </w:rPr>
        <w:t>ly</w:t>
      </w:r>
      <w:r>
        <w:rPr>
          <w:rFonts w:ascii="Times New Roman" w:eastAsia="Times New Roman" w:hAnsi="Times New Roman" w:cs="Times New Roman"/>
          <w:sz w:val="26"/>
          <w:szCs w:val="26"/>
        </w:rPr>
        <w:t xml:space="preserve"> 100% of its LIURP budget when it was set at $7.6 million in the DSM and 2014-2016 USECP proceedings.</w:t>
      </w:r>
      <w:r w:rsidR="0017726C">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OCA also notes that the </w:t>
      </w:r>
      <w:r w:rsidR="00F40305">
        <w:rPr>
          <w:rFonts w:ascii="Times New Roman" w:eastAsia="Times New Roman" w:hAnsi="Times New Roman" w:cs="Times New Roman"/>
          <w:sz w:val="26"/>
          <w:szCs w:val="26"/>
        </w:rPr>
        <w:t xml:space="preserve">$7.6 million budget would enable more CRP customers to maintain service, that the </w:t>
      </w:r>
      <w:r>
        <w:rPr>
          <w:rFonts w:ascii="Times New Roman" w:eastAsia="Times New Roman" w:hAnsi="Times New Roman" w:cs="Times New Roman"/>
          <w:sz w:val="26"/>
          <w:szCs w:val="26"/>
        </w:rPr>
        <w:t>Commission has expanded the pool of eligible LIURP customers to include non-CRP low-income customers</w:t>
      </w:r>
      <w:r w:rsidR="0017726C">
        <w:rPr>
          <w:rFonts w:ascii="Times New Roman" w:eastAsia="Times New Roman" w:hAnsi="Times New Roman" w:cs="Times New Roman"/>
          <w:sz w:val="26"/>
          <w:szCs w:val="26"/>
        </w:rPr>
        <w:t>,</w:t>
      </w:r>
      <w:r w:rsidR="00F40305">
        <w:rPr>
          <w:rFonts w:ascii="Times New Roman" w:eastAsia="Times New Roman" w:hAnsi="Times New Roman" w:cs="Times New Roman"/>
          <w:sz w:val="26"/>
          <w:szCs w:val="26"/>
        </w:rPr>
        <w:t xml:space="preserve"> and that PGW has proposed a consumption pilot in its 2017-2020 Plan.</w:t>
      </w:r>
      <w:r w:rsidR="0017726C">
        <w:rPr>
          <w:rFonts w:ascii="Times New Roman" w:eastAsia="Times New Roman" w:hAnsi="Times New Roman" w:cs="Times New Roman"/>
          <w:sz w:val="26"/>
          <w:szCs w:val="26"/>
        </w:rPr>
        <w:t xml:space="preserve"> </w:t>
      </w:r>
      <w:r w:rsidR="00F40305">
        <w:rPr>
          <w:rFonts w:ascii="Times New Roman" w:eastAsia="Times New Roman" w:hAnsi="Times New Roman" w:cs="Times New Roman"/>
          <w:sz w:val="26"/>
          <w:szCs w:val="26"/>
        </w:rPr>
        <w:t xml:space="preserve"> For those reasons, OCA submits that PGW’s LIURP budget should be increased to $7.6 million.</w:t>
      </w:r>
      <w:r w:rsidR="00433339">
        <w:rPr>
          <w:rFonts w:ascii="Times New Roman" w:eastAsia="Times New Roman" w:hAnsi="Times New Roman" w:cs="Times New Roman"/>
          <w:sz w:val="26"/>
          <w:szCs w:val="26"/>
        </w:rPr>
        <w:t xml:space="preserve"> </w:t>
      </w:r>
      <w:r w:rsidR="00F40305">
        <w:rPr>
          <w:rFonts w:ascii="Times New Roman" w:eastAsia="Times New Roman" w:hAnsi="Times New Roman" w:cs="Times New Roman"/>
          <w:sz w:val="26"/>
          <w:szCs w:val="26"/>
        </w:rPr>
        <w:t xml:space="preserve"> OCA Comments at 19.</w:t>
      </w:r>
    </w:p>
    <w:p w:rsidR="00F40305" w:rsidRDefault="00F40305" w:rsidP="00231829">
      <w:pPr>
        <w:spacing w:after="0" w:line="360" w:lineRule="auto"/>
        <w:contextualSpacing/>
        <w:rPr>
          <w:rFonts w:ascii="Times New Roman" w:eastAsia="Times New Roman" w:hAnsi="Times New Roman" w:cs="Times New Roman"/>
          <w:sz w:val="26"/>
          <w:szCs w:val="26"/>
        </w:rPr>
      </w:pPr>
    </w:p>
    <w:p w:rsidR="00F40305" w:rsidRDefault="00F40305" w:rsidP="00231829">
      <w:pPr>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3B33D5">
        <w:rPr>
          <w:rFonts w:ascii="Times New Roman" w:eastAsia="Times New Roman" w:hAnsi="Times New Roman" w:cs="Times New Roman"/>
          <w:sz w:val="26"/>
          <w:szCs w:val="26"/>
        </w:rPr>
        <w:t>CAUSE-PA notes that the PGW budget “is woefully inadequate in relation to need…”</w:t>
      </w:r>
      <w:r w:rsidR="00433339">
        <w:rPr>
          <w:rFonts w:ascii="Times New Roman" w:eastAsia="Times New Roman" w:hAnsi="Times New Roman" w:cs="Times New Roman"/>
          <w:sz w:val="26"/>
          <w:szCs w:val="26"/>
        </w:rPr>
        <w:t xml:space="preserve"> </w:t>
      </w:r>
      <w:r w:rsidR="003B33D5">
        <w:rPr>
          <w:rFonts w:ascii="Times New Roman" w:eastAsia="Times New Roman" w:hAnsi="Times New Roman" w:cs="Times New Roman"/>
          <w:sz w:val="26"/>
          <w:szCs w:val="26"/>
        </w:rPr>
        <w:t>and wants the proceeding referred for an evidentiary proceeding.</w:t>
      </w:r>
      <w:r w:rsidR="00433339">
        <w:rPr>
          <w:rFonts w:ascii="Times New Roman" w:eastAsia="Times New Roman" w:hAnsi="Times New Roman" w:cs="Times New Roman"/>
          <w:sz w:val="26"/>
          <w:szCs w:val="26"/>
        </w:rPr>
        <w:t xml:space="preserve"> </w:t>
      </w:r>
      <w:r w:rsidR="003B33D5">
        <w:rPr>
          <w:rFonts w:ascii="Times New Roman" w:eastAsia="Times New Roman" w:hAnsi="Times New Roman" w:cs="Times New Roman"/>
          <w:sz w:val="26"/>
          <w:szCs w:val="26"/>
        </w:rPr>
        <w:t xml:space="preserve"> CAUSE-PA Comments at 48. </w:t>
      </w:r>
    </w:p>
    <w:p w:rsidR="00573902" w:rsidRDefault="00573902" w:rsidP="00231829">
      <w:pPr>
        <w:spacing w:after="0" w:line="360" w:lineRule="auto"/>
        <w:contextualSpacing/>
        <w:rPr>
          <w:rFonts w:ascii="Times New Roman" w:eastAsia="Times New Roman" w:hAnsi="Times New Roman" w:cs="Times New Roman"/>
          <w:sz w:val="26"/>
          <w:szCs w:val="26"/>
        </w:rPr>
      </w:pPr>
    </w:p>
    <w:p w:rsidR="00573902" w:rsidRDefault="00573902" w:rsidP="00231829">
      <w:pPr>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TURN </w:t>
      </w:r>
      <w:r w:rsidRPr="003A5D1E">
        <w:rPr>
          <w:rFonts w:ascii="Times New Roman" w:eastAsia="Times New Roman" w:hAnsi="Times New Roman" w:cs="Times New Roman"/>
          <w:i/>
          <w:sz w:val="26"/>
          <w:szCs w:val="26"/>
        </w:rPr>
        <w:t>et al</w:t>
      </w:r>
      <w:r w:rsidR="007B6208">
        <w:rPr>
          <w:rFonts w:ascii="Times New Roman" w:eastAsia="Times New Roman" w:hAnsi="Times New Roman" w:cs="Times New Roman"/>
          <w:i/>
          <w:sz w:val="26"/>
          <w:szCs w:val="26"/>
        </w:rPr>
        <w:t>.</w:t>
      </w:r>
      <w:r>
        <w:rPr>
          <w:rFonts w:ascii="Times New Roman" w:eastAsia="Times New Roman" w:hAnsi="Times New Roman" w:cs="Times New Roman"/>
          <w:sz w:val="26"/>
          <w:szCs w:val="26"/>
        </w:rPr>
        <w:t xml:space="preserve"> state “that the $7.6 million figure proposed by OCA represents a floor for PGW’s LIURP.” </w:t>
      </w:r>
      <w:r w:rsidR="00433339">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TURN</w:t>
      </w:r>
      <w:r w:rsidR="003A5D1E">
        <w:rPr>
          <w:rFonts w:ascii="Times New Roman" w:eastAsia="Times New Roman" w:hAnsi="Times New Roman" w:cs="Times New Roman"/>
          <w:sz w:val="26"/>
          <w:szCs w:val="26"/>
        </w:rPr>
        <w:t xml:space="preserve"> </w:t>
      </w:r>
      <w:r w:rsidR="003A5D1E" w:rsidRPr="003A5D1E">
        <w:rPr>
          <w:rFonts w:ascii="Times New Roman" w:eastAsia="Times New Roman" w:hAnsi="Times New Roman" w:cs="Times New Roman"/>
          <w:i/>
          <w:sz w:val="26"/>
          <w:szCs w:val="26"/>
        </w:rPr>
        <w:t>et al</w:t>
      </w:r>
      <w:r w:rsidR="007B6208">
        <w:rPr>
          <w:rFonts w:ascii="Times New Roman" w:eastAsia="Times New Roman" w:hAnsi="Times New Roman" w:cs="Times New Roman"/>
          <w:i/>
          <w:sz w:val="26"/>
          <w:szCs w:val="26"/>
        </w:rPr>
        <w:t>.</w:t>
      </w:r>
      <w:r>
        <w:rPr>
          <w:rFonts w:ascii="Times New Roman" w:eastAsia="Times New Roman" w:hAnsi="Times New Roman" w:cs="Times New Roman"/>
          <w:sz w:val="26"/>
          <w:szCs w:val="26"/>
        </w:rPr>
        <w:t xml:space="preserve"> Reply Comments at 4.</w:t>
      </w:r>
    </w:p>
    <w:p w:rsidR="00573902" w:rsidRDefault="00573902" w:rsidP="00231829">
      <w:pPr>
        <w:spacing w:after="0" w:line="360" w:lineRule="auto"/>
        <w:contextualSpacing/>
        <w:rPr>
          <w:rFonts w:ascii="Times New Roman" w:eastAsia="Times New Roman" w:hAnsi="Times New Roman" w:cs="Times New Roman"/>
          <w:sz w:val="26"/>
          <w:szCs w:val="26"/>
        </w:rPr>
      </w:pPr>
    </w:p>
    <w:p w:rsidR="00573902" w:rsidRDefault="00573902" w:rsidP="00231829">
      <w:pPr>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106147">
        <w:rPr>
          <w:rFonts w:ascii="Times New Roman" w:eastAsia="Times New Roman" w:hAnsi="Times New Roman" w:cs="Times New Roman"/>
          <w:sz w:val="26"/>
          <w:szCs w:val="26"/>
        </w:rPr>
        <w:t xml:space="preserve">PGW </w:t>
      </w:r>
      <w:r w:rsidR="00975AA5">
        <w:rPr>
          <w:rFonts w:ascii="Times New Roman" w:eastAsia="Times New Roman" w:hAnsi="Times New Roman" w:cs="Times New Roman"/>
          <w:sz w:val="26"/>
          <w:szCs w:val="26"/>
        </w:rPr>
        <w:t xml:space="preserve">asserts </w:t>
      </w:r>
      <w:r w:rsidR="00106147">
        <w:rPr>
          <w:rFonts w:ascii="Times New Roman" w:eastAsia="Times New Roman" w:hAnsi="Times New Roman" w:cs="Times New Roman"/>
          <w:sz w:val="26"/>
          <w:szCs w:val="26"/>
        </w:rPr>
        <w:t xml:space="preserve">that “a need assessment and a budget are not intrinsically linked.” </w:t>
      </w:r>
      <w:r w:rsidR="00433339">
        <w:rPr>
          <w:rFonts w:ascii="Times New Roman" w:eastAsia="Times New Roman" w:hAnsi="Times New Roman" w:cs="Times New Roman"/>
          <w:sz w:val="26"/>
          <w:szCs w:val="26"/>
        </w:rPr>
        <w:t xml:space="preserve"> </w:t>
      </w:r>
      <w:r w:rsidR="00106147">
        <w:rPr>
          <w:rFonts w:ascii="Times New Roman" w:eastAsia="Times New Roman" w:hAnsi="Times New Roman" w:cs="Times New Roman"/>
          <w:sz w:val="26"/>
          <w:szCs w:val="26"/>
        </w:rPr>
        <w:t xml:space="preserve">PGW Reply Comments at </w:t>
      </w:r>
      <w:r w:rsidR="00EC19E9">
        <w:rPr>
          <w:rFonts w:ascii="Times New Roman" w:eastAsia="Times New Roman" w:hAnsi="Times New Roman" w:cs="Times New Roman"/>
          <w:sz w:val="26"/>
          <w:szCs w:val="26"/>
        </w:rPr>
        <w:t>25</w:t>
      </w:r>
      <w:r w:rsidR="00106147">
        <w:rPr>
          <w:rFonts w:ascii="Times New Roman" w:eastAsia="Times New Roman" w:hAnsi="Times New Roman" w:cs="Times New Roman"/>
          <w:sz w:val="26"/>
          <w:szCs w:val="26"/>
        </w:rPr>
        <w:t xml:space="preserve">. </w:t>
      </w:r>
      <w:r w:rsidR="00433339">
        <w:rPr>
          <w:rFonts w:ascii="Times New Roman" w:eastAsia="Times New Roman" w:hAnsi="Times New Roman" w:cs="Times New Roman"/>
          <w:sz w:val="26"/>
          <w:szCs w:val="26"/>
        </w:rPr>
        <w:t xml:space="preserve"> </w:t>
      </w:r>
      <w:r w:rsidR="00106147">
        <w:rPr>
          <w:rFonts w:ascii="Times New Roman" w:eastAsia="Times New Roman" w:hAnsi="Times New Roman" w:cs="Times New Roman"/>
          <w:sz w:val="26"/>
          <w:szCs w:val="26"/>
        </w:rPr>
        <w:t xml:space="preserve">PGW further argues that the needs assessment does not consider </w:t>
      </w:r>
      <w:r w:rsidR="0022446B">
        <w:rPr>
          <w:rFonts w:ascii="Times New Roman" w:eastAsia="Times New Roman" w:hAnsi="Times New Roman" w:cs="Times New Roman"/>
          <w:sz w:val="26"/>
          <w:szCs w:val="26"/>
        </w:rPr>
        <w:t xml:space="preserve">program </w:t>
      </w:r>
      <w:r w:rsidR="00106147">
        <w:rPr>
          <w:rFonts w:ascii="Times New Roman" w:eastAsia="Times New Roman" w:hAnsi="Times New Roman" w:cs="Times New Roman"/>
          <w:sz w:val="26"/>
          <w:szCs w:val="26"/>
        </w:rPr>
        <w:t>cost impacts or impacts to non-participating customers who are subsidi</w:t>
      </w:r>
      <w:r w:rsidR="0022446B">
        <w:rPr>
          <w:rFonts w:ascii="Times New Roman" w:eastAsia="Times New Roman" w:hAnsi="Times New Roman" w:cs="Times New Roman"/>
          <w:sz w:val="26"/>
          <w:szCs w:val="26"/>
        </w:rPr>
        <w:t>zi</w:t>
      </w:r>
      <w:r w:rsidR="00106147">
        <w:rPr>
          <w:rFonts w:ascii="Times New Roman" w:eastAsia="Times New Roman" w:hAnsi="Times New Roman" w:cs="Times New Roman"/>
          <w:sz w:val="26"/>
          <w:szCs w:val="26"/>
        </w:rPr>
        <w:t xml:space="preserve">ng LIURP. </w:t>
      </w:r>
      <w:r w:rsidR="00433339">
        <w:rPr>
          <w:rFonts w:ascii="Times New Roman" w:eastAsia="Times New Roman" w:hAnsi="Times New Roman" w:cs="Times New Roman"/>
          <w:sz w:val="26"/>
          <w:szCs w:val="26"/>
        </w:rPr>
        <w:t xml:space="preserve"> </w:t>
      </w:r>
      <w:r w:rsidR="00106147">
        <w:rPr>
          <w:rFonts w:ascii="Times New Roman" w:eastAsia="Times New Roman" w:hAnsi="Times New Roman" w:cs="Times New Roman"/>
          <w:sz w:val="26"/>
          <w:szCs w:val="26"/>
        </w:rPr>
        <w:t>PGW suggests “ratepayers could be financially punished</w:t>
      </w:r>
      <w:r w:rsidR="00EC19E9">
        <w:rPr>
          <w:rFonts w:ascii="Times New Roman" w:eastAsia="Times New Roman" w:hAnsi="Times New Roman" w:cs="Times New Roman"/>
          <w:sz w:val="26"/>
          <w:szCs w:val="26"/>
        </w:rPr>
        <w:t xml:space="preserve"> for the </w:t>
      </w:r>
      <w:r w:rsidR="00EC19E9">
        <w:rPr>
          <w:rFonts w:ascii="Times New Roman" w:eastAsia="Times New Roman" w:hAnsi="Times New Roman" w:cs="Times New Roman"/>
          <w:sz w:val="26"/>
          <w:szCs w:val="26"/>
        </w:rPr>
        <w:lastRenderedPageBreak/>
        <w:t xml:space="preserve">composition of the service territory” and insists that TURN </w:t>
      </w:r>
      <w:r w:rsidR="00EC19E9" w:rsidRPr="003A5D1E">
        <w:rPr>
          <w:rFonts w:ascii="Times New Roman" w:eastAsia="Times New Roman" w:hAnsi="Times New Roman" w:cs="Times New Roman"/>
          <w:i/>
          <w:sz w:val="26"/>
          <w:szCs w:val="26"/>
        </w:rPr>
        <w:t>et al</w:t>
      </w:r>
      <w:r w:rsidR="00EC19E9">
        <w:rPr>
          <w:rFonts w:ascii="Times New Roman" w:eastAsia="Times New Roman" w:hAnsi="Times New Roman" w:cs="Times New Roman"/>
          <w:sz w:val="26"/>
          <w:szCs w:val="26"/>
        </w:rPr>
        <w:t xml:space="preserve"> is “misinformed if it believes that PGW is attempting to intentionally understate the need in its service territory just so it can reduce the LIURP budget.” </w:t>
      </w:r>
      <w:r w:rsidR="00433339">
        <w:rPr>
          <w:rFonts w:ascii="Times New Roman" w:eastAsia="Times New Roman" w:hAnsi="Times New Roman" w:cs="Times New Roman"/>
          <w:sz w:val="26"/>
          <w:szCs w:val="26"/>
        </w:rPr>
        <w:t xml:space="preserve"> </w:t>
      </w:r>
      <w:r w:rsidR="00EC19E9">
        <w:rPr>
          <w:rFonts w:ascii="Times New Roman" w:eastAsia="Times New Roman" w:hAnsi="Times New Roman" w:cs="Times New Roman"/>
          <w:sz w:val="26"/>
          <w:szCs w:val="26"/>
        </w:rPr>
        <w:t xml:space="preserve">PGW Reply Comments at 26. </w:t>
      </w:r>
    </w:p>
    <w:p w:rsidR="001B0205" w:rsidRDefault="001B0205" w:rsidP="00231829">
      <w:pPr>
        <w:spacing w:after="0" w:line="360" w:lineRule="auto"/>
        <w:contextualSpacing/>
        <w:rPr>
          <w:rFonts w:ascii="Times New Roman" w:eastAsia="Times New Roman" w:hAnsi="Times New Roman" w:cs="Times New Roman"/>
          <w:sz w:val="26"/>
          <w:szCs w:val="26"/>
        </w:rPr>
      </w:pPr>
    </w:p>
    <w:p w:rsidR="00433339" w:rsidRDefault="00433339" w:rsidP="00231829">
      <w:pPr>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i/>
          <w:sz w:val="26"/>
          <w:szCs w:val="26"/>
        </w:rPr>
        <w:t>Resolution</w:t>
      </w:r>
      <w:r>
        <w:rPr>
          <w:rFonts w:ascii="Times New Roman" w:eastAsia="Times New Roman" w:hAnsi="Times New Roman" w:cs="Times New Roman"/>
          <w:sz w:val="26"/>
          <w:szCs w:val="26"/>
        </w:rPr>
        <w:t>:</w:t>
      </w:r>
      <w:r w:rsidR="00E83168">
        <w:rPr>
          <w:rFonts w:ascii="Times New Roman" w:eastAsia="Times New Roman" w:hAnsi="Times New Roman" w:cs="Times New Roman"/>
          <w:sz w:val="26"/>
          <w:szCs w:val="26"/>
        </w:rPr>
        <w:t xml:space="preserve"> </w:t>
      </w:r>
      <w:r w:rsidR="00E83168" w:rsidRPr="00E83168">
        <w:rPr>
          <w:rFonts w:ascii="Times New Roman" w:eastAsia="Times New Roman" w:hAnsi="Times New Roman" w:cs="Times New Roman"/>
          <w:sz w:val="26"/>
          <w:szCs w:val="26"/>
        </w:rPr>
        <w:t xml:space="preserve"> </w:t>
      </w:r>
      <w:r w:rsidR="00E83168">
        <w:rPr>
          <w:rFonts w:ascii="Times New Roman" w:eastAsia="Times New Roman" w:hAnsi="Times New Roman" w:cs="Times New Roman"/>
          <w:sz w:val="26"/>
          <w:szCs w:val="26"/>
        </w:rPr>
        <w:t>We disagree with PGW and point out that a needs assessment and a budget are linked.</w:t>
      </w:r>
      <w:r w:rsidR="0031369C" w:rsidRPr="0031369C">
        <w:rPr>
          <w:rFonts w:ascii="Times New Roman" w:eastAsia="Times New Roman" w:hAnsi="Times New Roman" w:cs="Times New Roman"/>
          <w:sz w:val="26"/>
          <w:szCs w:val="26"/>
        </w:rPr>
        <w:t xml:space="preserve">  </w:t>
      </w:r>
      <w:r w:rsidR="00E83168">
        <w:rPr>
          <w:rFonts w:ascii="Times New Roman" w:eastAsia="Times New Roman" w:hAnsi="Times New Roman" w:cs="Times New Roman"/>
          <w:sz w:val="26"/>
          <w:szCs w:val="26"/>
        </w:rPr>
        <w:t>Section 58.4(c)</w:t>
      </w:r>
      <w:r w:rsidR="00E83168">
        <w:rPr>
          <w:rStyle w:val="FootnoteReference"/>
          <w:rFonts w:ascii="Times New Roman" w:eastAsia="Times New Roman" w:hAnsi="Times New Roman" w:cs="Times New Roman"/>
          <w:sz w:val="26"/>
          <w:szCs w:val="26"/>
        </w:rPr>
        <w:footnoteReference w:id="53"/>
      </w:r>
      <w:r w:rsidR="00E83168">
        <w:rPr>
          <w:rFonts w:ascii="Times New Roman" w:eastAsia="Times New Roman" w:hAnsi="Times New Roman" w:cs="Times New Roman"/>
          <w:sz w:val="26"/>
          <w:szCs w:val="26"/>
        </w:rPr>
        <w:t xml:space="preserve"> is clear that a LIURP budget should be set considering specific “needs” of a service territory.  We</w:t>
      </w:r>
      <w:r w:rsidR="00E83168" w:rsidRPr="0031369C">
        <w:rPr>
          <w:rFonts w:ascii="Times New Roman" w:eastAsia="Times New Roman" w:hAnsi="Times New Roman" w:cs="Times New Roman"/>
          <w:sz w:val="26"/>
          <w:szCs w:val="26"/>
        </w:rPr>
        <w:t xml:space="preserve"> will continue to u</w:t>
      </w:r>
      <w:r w:rsidR="00E83168">
        <w:rPr>
          <w:rFonts w:ascii="Times New Roman" w:eastAsia="Times New Roman" w:hAnsi="Times New Roman" w:cs="Times New Roman"/>
          <w:sz w:val="26"/>
          <w:szCs w:val="26"/>
        </w:rPr>
        <w:t>se</w:t>
      </w:r>
      <w:r w:rsidR="00E83168" w:rsidRPr="0031369C">
        <w:rPr>
          <w:rFonts w:ascii="Times New Roman" w:eastAsia="Times New Roman" w:hAnsi="Times New Roman" w:cs="Times New Roman"/>
          <w:sz w:val="26"/>
          <w:szCs w:val="26"/>
        </w:rPr>
        <w:t xml:space="preserve"> the needs assessment figure in </w:t>
      </w:r>
      <w:r w:rsidR="00D462C0">
        <w:rPr>
          <w:rFonts w:ascii="Times New Roman" w:eastAsia="Times New Roman" w:hAnsi="Times New Roman" w:cs="Times New Roman"/>
          <w:sz w:val="26"/>
          <w:szCs w:val="26"/>
        </w:rPr>
        <w:t>our</w:t>
      </w:r>
      <w:r w:rsidR="00E83168" w:rsidRPr="0031369C">
        <w:rPr>
          <w:rFonts w:ascii="Times New Roman" w:eastAsia="Times New Roman" w:hAnsi="Times New Roman" w:cs="Times New Roman"/>
          <w:sz w:val="26"/>
          <w:szCs w:val="26"/>
        </w:rPr>
        <w:t xml:space="preserve"> analysis and determination of an appropriate 2018-2020 LIURP budget.</w:t>
      </w:r>
    </w:p>
    <w:p w:rsidR="00433339" w:rsidRDefault="00433339" w:rsidP="00231829">
      <w:pPr>
        <w:spacing w:after="0" w:line="360" w:lineRule="auto"/>
        <w:contextualSpacing/>
        <w:rPr>
          <w:rFonts w:ascii="Times New Roman" w:eastAsia="Times New Roman" w:hAnsi="Times New Roman" w:cs="Times New Roman"/>
          <w:sz w:val="26"/>
          <w:szCs w:val="26"/>
        </w:rPr>
      </w:pPr>
    </w:p>
    <w:p w:rsidR="00186FA8" w:rsidRDefault="000C7FE7" w:rsidP="00231829">
      <w:pPr>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1648FE">
        <w:rPr>
          <w:rFonts w:ascii="Times New Roman" w:eastAsia="Times New Roman" w:hAnsi="Times New Roman" w:cs="Times New Roman"/>
          <w:sz w:val="26"/>
          <w:szCs w:val="26"/>
        </w:rPr>
        <w:t>In addition</w:t>
      </w:r>
      <w:r w:rsidR="00E07F77">
        <w:rPr>
          <w:rFonts w:ascii="Times New Roman" w:eastAsia="Times New Roman" w:hAnsi="Times New Roman" w:cs="Times New Roman"/>
          <w:sz w:val="26"/>
          <w:szCs w:val="26"/>
        </w:rPr>
        <w:t>,</w:t>
      </w:r>
      <w:r w:rsidR="00C83C52">
        <w:rPr>
          <w:rFonts w:ascii="Times New Roman" w:eastAsia="Times New Roman" w:hAnsi="Times New Roman" w:cs="Times New Roman"/>
          <w:sz w:val="26"/>
          <w:szCs w:val="26"/>
        </w:rPr>
        <w:t xml:space="preserve"> as</w:t>
      </w:r>
      <w:r w:rsidR="009E1F5D">
        <w:rPr>
          <w:rFonts w:ascii="Times New Roman" w:eastAsia="Times New Roman" w:hAnsi="Times New Roman" w:cs="Times New Roman"/>
          <w:sz w:val="26"/>
          <w:szCs w:val="26"/>
        </w:rPr>
        <w:t xml:space="preserve"> we</w:t>
      </w:r>
      <w:r w:rsidR="00C83C52">
        <w:rPr>
          <w:rFonts w:ascii="Times New Roman" w:eastAsia="Times New Roman" w:hAnsi="Times New Roman" w:cs="Times New Roman"/>
          <w:sz w:val="26"/>
          <w:szCs w:val="26"/>
        </w:rPr>
        <w:t xml:space="preserve"> noted above</w:t>
      </w:r>
      <w:r w:rsidR="001648FE">
        <w:rPr>
          <w:rFonts w:ascii="Times New Roman" w:eastAsia="Times New Roman" w:hAnsi="Times New Roman" w:cs="Times New Roman"/>
          <w:sz w:val="26"/>
          <w:szCs w:val="26"/>
        </w:rPr>
        <w:t xml:space="preserve">, </w:t>
      </w:r>
      <w:r w:rsidR="00EF4720">
        <w:rPr>
          <w:rFonts w:ascii="Times New Roman" w:eastAsia="Times New Roman" w:hAnsi="Times New Roman" w:cs="Times New Roman"/>
          <w:sz w:val="26"/>
          <w:szCs w:val="26"/>
        </w:rPr>
        <w:t xml:space="preserve">PGW threatened to cancel the proposed </w:t>
      </w:r>
      <w:r w:rsidR="00C83C52">
        <w:rPr>
          <w:rFonts w:ascii="Times New Roman" w:eastAsia="Times New Roman" w:hAnsi="Times New Roman" w:cs="Times New Roman"/>
          <w:sz w:val="26"/>
          <w:szCs w:val="26"/>
        </w:rPr>
        <w:t>h</w:t>
      </w:r>
      <w:r w:rsidR="00EF4720">
        <w:rPr>
          <w:rFonts w:ascii="Times New Roman" w:eastAsia="Times New Roman" w:hAnsi="Times New Roman" w:cs="Times New Roman"/>
          <w:sz w:val="26"/>
          <w:szCs w:val="26"/>
        </w:rPr>
        <w:t xml:space="preserve">ealth </w:t>
      </w:r>
      <w:r w:rsidR="00C83C52">
        <w:rPr>
          <w:rFonts w:ascii="Times New Roman" w:eastAsia="Times New Roman" w:hAnsi="Times New Roman" w:cs="Times New Roman"/>
          <w:sz w:val="26"/>
          <w:szCs w:val="26"/>
        </w:rPr>
        <w:t>and s</w:t>
      </w:r>
      <w:r w:rsidR="00EF4720">
        <w:rPr>
          <w:rFonts w:ascii="Times New Roman" w:eastAsia="Times New Roman" w:hAnsi="Times New Roman" w:cs="Times New Roman"/>
          <w:sz w:val="26"/>
          <w:szCs w:val="26"/>
        </w:rPr>
        <w:t xml:space="preserve">afety </w:t>
      </w:r>
      <w:r w:rsidR="00C83C52">
        <w:rPr>
          <w:rFonts w:ascii="Times New Roman" w:eastAsia="Times New Roman" w:hAnsi="Times New Roman" w:cs="Times New Roman"/>
          <w:sz w:val="26"/>
          <w:szCs w:val="26"/>
        </w:rPr>
        <w:t>p</w:t>
      </w:r>
      <w:r w:rsidR="00EF4720">
        <w:rPr>
          <w:rFonts w:ascii="Times New Roman" w:eastAsia="Times New Roman" w:hAnsi="Times New Roman" w:cs="Times New Roman"/>
          <w:sz w:val="26"/>
          <w:szCs w:val="26"/>
        </w:rPr>
        <w:t xml:space="preserve">ilot if the CRP Home Comfort budget is “increased to accommodate the costs of this pilot.” </w:t>
      </w:r>
      <w:r w:rsidR="009E1F5D">
        <w:rPr>
          <w:rFonts w:ascii="Times New Roman" w:eastAsia="Times New Roman" w:hAnsi="Times New Roman" w:cs="Times New Roman"/>
          <w:sz w:val="26"/>
          <w:szCs w:val="26"/>
        </w:rPr>
        <w:t>We have determined that a revised CRP Home Comfort budget for 2018-2020 is necessary,</w:t>
      </w:r>
      <w:r w:rsidR="009E1F5D" w:rsidRPr="006D0559">
        <w:rPr>
          <w:rFonts w:ascii="Times New Roman" w:eastAsia="Times New Roman" w:hAnsi="Times New Roman" w:cs="Times New Roman"/>
          <w:b/>
          <w:i/>
          <w:sz w:val="26"/>
          <w:szCs w:val="26"/>
        </w:rPr>
        <w:t xml:space="preserve"> not</w:t>
      </w:r>
      <w:r w:rsidR="009E1F5D">
        <w:rPr>
          <w:rFonts w:ascii="Times New Roman" w:eastAsia="Times New Roman" w:hAnsi="Times New Roman" w:cs="Times New Roman"/>
          <w:sz w:val="26"/>
          <w:szCs w:val="26"/>
        </w:rPr>
        <w:t xml:space="preserve"> to accommodate the health and safety pilot, but rather to reflect the increased needs assessment total of low-income customers still needing LIURP. </w:t>
      </w:r>
      <w:r w:rsidR="00EF4720">
        <w:rPr>
          <w:rFonts w:ascii="Times New Roman" w:eastAsia="Times New Roman" w:hAnsi="Times New Roman" w:cs="Times New Roman"/>
          <w:sz w:val="26"/>
          <w:szCs w:val="26"/>
        </w:rPr>
        <w:t xml:space="preserve">We do not appreciate </w:t>
      </w:r>
      <w:r w:rsidR="00186FA8">
        <w:rPr>
          <w:rFonts w:ascii="Times New Roman" w:eastAsia="Times New Roman" w:hAnsi="Times New Roman" w:cs="Times New Roman"/>
          <w:sz w:val="26"/>
          <w:szCs w:val="26"/>
        </w:rPr>
        <w:t xml:space="preserve">the appearance that </w:t>
      </w:r>
      <w:r w:rsidR="00EF4720">
        <w:rPr>
          <w:rFonts w:ascii="Times New Roman" w:eastAsia="Times New Roman" w:hAnsi="Times New Roman" w:cs="Times New Roman"/>
          <w:sz w:val="26"/>
          <w:szCs w:val="26"/>
        </w:rPr>
        <w:t xml:space="preserve">PGW </w:t>
      </w:r>
      <w:r w:rsidR="00186FA8">
        <w:rPr>
          <w:rFonts w:ascii="Times New Roman" w:eastAsia="Times New Roman" w:hAnsi="Times New Roman" w:cs="Times New Roman"/>
          <w:sz w:val="26"/>
          <w:szCs w:val="26"/>
        </w:rPr>
        <w:t xml:space="preserve">is </w:t>
      </w:r>
      <w:r w:rsidR="00EF4720">
        <w:rPr>
          <w:rFonts w:ascii="Times New Roman" w:eastAsia="Times New Roman" w:hAnsi="Times New Roman" w:cs="Times New Roman"/>
          <w:sz w:val="26"/>
          <w:szCs w:val="26"/>
        </w:rPr>
        <w:t xml:space="preserve">pitting a much-needed </w:t>
      </w:r>
      <w:r w:rsidR="00186FA8">
        <w:rPr>
          <w:rFonts w:ascii="Times New Roman" w:eastAsia="Times New Roman" w:hAnsi="Times New Roman" w:cs="Times New Roman"/>
          <w:sz w:val="26"/>
          <w:szCs w:val="26"/>
        </w:rPr>
        <w:t xml:space="preserve">and </w:t>
      </w:r>
      <w:r w:rsidR="0083129C">
        <w:rPr>
          <w:rFonts w:ascii="Times New Roman" w:eastAsia="Times New Roman" w:hAnsi="Times New Roman" w:cs="Times New Roman"/>
          <w:sz w:val="26"/>
          <w:szCs w:val="26"/>
        </w:rPr>
        <w:t xml:space="preserve">potentially </w:t>
      </w:r>
      <w:r w:rsidR="00186FA8">
        <w:rPr>
          <w:rFonts w:ascii="Times New Roman" w:eastAsia="Times New Roman" w:hAnsi="Times New Roman" w:cs="Times New Roman"/>
          <w:sz w:val="26"/>
          <w:szCs w:val="26"/>
        </w:rPr>
        <w:t>valuable</w:t>
      </w:r>
      <w:r w:rsidR="00EF4720">
        <w:rPr>
          <w:rFonts w:ascii="Times New Roman" w:eastAsia="Times New Roman" w:hAnsi="Times New Roman" w:cs="Times New Roman"/>
          <w:sz w:val="26"/>
          <w:szCs w:val="26"/>
        </w:rPr>
        <w:t xml:space="preserve"> health and safety pilot against any</w:t>
      </w:r>
      <w:r w:rsidR="00186FA8">
        <w:rPr>
          <w:rFonts w:ascii="Times New Roman" w:eastAsia="Times New Roman" w:hAnsi="Times New Roman" w:cs="Times New Roman"/>
          <w:sz w:val="26"/>
          <w:szCs w:val="26"/>
        </w:rPr>
        <w:t xml:space="preserve"> CRP Home Comfort budget increase </w:t>
      </w:r>
      <w:r>
        <w:rPr>
          <w:rFonts w:ascii="Times New Roman" w:eastAsia="Times New Roman" w:hAnsi="Times New Roman" w:cs="Times New Roman"/>
          <w:sz w:val="26"/>
          <w:szCs w:val="26"/>
        </w:rPr>
        <w:t xml:space="preserve">that the Commission may </w:t>
      </w:r>
      <w:r w:rsidR="00186FA8">
        <w:rPr>
          <w:rFonts w:ascii="Times New Roman" w:eastAsia="Times New Roman" w:hAnsi="Times New Roman" w:cs="Times New Roman"/>
          <w:sz w:val="26"/>
          <w:szCs w:val="26"/>
        </w:rPr>
        <w:t>deem necessary to satisfy</w:t>
      </w:r>
      <w:r w:rsidR="000E7C3C">
        <w:rPr>
          <w:rFonts w:ascii="Times New Roman" w:eastAsia="Times New Roman" w:hAnsi="Times New Roman" w:cs="Times New Roman"/>
          <w:sz w:val="26"/>
          <w:szCs w:val="26"/>
        </w:rPr>
        <w:t xml:space="preserve"> the provisions of 66 Pa. C.S. </w:t>
      </w:r>
      <w:r w:rsidR="00362854" w:rsidRPr="007944A5">
        <w:rPr>
          <w:rFonts w:ascii="Times New Roman" w:eastAsia="Times New Roman" w:hAnsi="Times New Roman" w:cs="Times New Roman"/>
          <w:sz w:val="26"/>
          <w:szCs w:val="26"/>
        </w:rPr>
        <w:t>§</w:t>
      </w:r>
      <w:r w:rsidR="00362854">
        <w:rPr>
          <w:rFonts w:ascii="Times New Roman" w:eastAsia="Times New Roman" w:hAnsi="Times New Roman" w:cs="Times New Roman"/>
          <w:sz w:val="26"/>
          <w:szCs w:val="26"/>
        </w:rPr>
        <w:t xml:space="preserve"> </w:t>
      </w:r>
      <w:r w:rsidR="000E7C3C">
        <w:rPr>
          <w:rFonts w:ascii="Times New Roman" w:eastAsia="Times New Roman" w:hAnsi="Times New Roman" w:cs="Times New Roman"/>
          <w:sz w:val="26"/>
          <w:szCs w:val="26"/>
        </w:rPr>
        <w:t xml:space="preserve">2203(8), </w:t>
      </w:r>
      <w:r w:rsidR="000E7C3C">
        <w:rPr>
          <w:rFonts w:ascii="Times New Roman" w:eastAsia="Times New Roman" w:hAnsi="Times New Roman" w:cs="Times New Roman"/>
          <w:sz w:val="26"/>
          <w:szCs w:val="26"/>
        </w:rPr>
        <w:lastRenderedPageBreak/>
        <w:t xml:space="preserve">which requires </w:t>
      </w:r>
      <w:r w:rsidR="00C83C52">
        <w:rPr>
          <w:rFonts w:ascii="Times New Roman" w:eastAsia="Times New Roman" w:hAnsi="Times New Roman" w:cs="Times New Roman"/>
          <w:sz w:val="26"/>
          <w:szCs w:val="26"/>
        </w:rPr>
        <w:t xml:space="preserve">universal service </w:t>
      </w:r>
      <w:r w:rsidR="000E7C3C">
        <w:rPr>
          <w:rFonts w:ascii="Times New Roman" w:eastAsia="Times New Roman" w:hAnsi="Times New Roman" w:cs="Times New Roman"/>
          <w:sz w:val="26"/>
          <w:szCs w:val="26"/>
        </w:rPr>
        <w:t>program</w:t>
      </w:r>
      <w:r w:rsidR="00C83C52">
        <w:rPr>
          <w:rFonts w:ascii="Times New Roman" w:eastAsia="Times New Roman" w:hAnsi="Times New Roman" w:cs="Times New Roman"/>
          <w:sz w:val="26"/>
          <w:szCs w:val="26"/>
        </w:rPr>
        <w:t>s, including LIURP,</w:t>
      </w:r>
      <w:r w:rsidR="000E7C3C">
        <w:rPr>
          <w:rFonts w:ascii="Times New Roman" w:eastAsia="Times New Roman" w:hAnsi="Times New Roman" w:cs="Times New Roman"/>
          <w:sz w:val="26"/>
          <w:szCs w:val="26"/>
        </w:rPr>
        <w:t xml:space="preserve"> to be “</w:t>
      </w:r>
      <w:r w:rsidR="00186FA8">
        <w:rPr>
          <w:rFonts w:ascii="Times New Roman" w:eastAsia="Times New Roman" w:hAnsi="Times New Roman" w:cs="Times New Roman"/>
          <w:sz w:val="26"/>
          <w:szCs w:val="26"/>
        </w:rPr>
        <w:t>appropriately funded</w:t>
      </w:r>
      <w:r w:rsidR="000E7C3C">
        <w:rPr>
          <w:rFonts w:ascii="Times New Roman" w:eastAsia="Times New Roman" w:hAnsi="Times New Roman" w:cs="Times New Roman"/>
          <w:sz w:val="26"/>
          <w:szCs w:val="26"/>
        </w:rPr>
        <w:t>.”</w:t>
      </w:r>
      <w:r w:rsidR="00C83C52">
        <w:rPr>
          <w:rStyle w:val="FootnoteReference"/>
          <w:rFonts w:ascii="Times New Roman" w:eastAsia="Times New Roman" w:hAnsi="Times New Roman" w:cs="Times New Roman"/>
          <w:sz w:val="26"/>
          <w:szCs w:val="26"/>
        </w:rPr>
        <w:footnoteReference w:id="54"/>
      </w:r>
    </w:p>
    <w:p w:rsidR="00186FA8" w:rsidRDefault="00186FA8" w:rsidP="00231829">
      <w:pPr>
        <w:spacing w:after="0" w:line="360" w:lineRule="auto"/>
        <w:contextualSpacing/>
        <w:rPr>
          <w:rFonts w:ascii="Times New Roman" w:eastAsia="Times New Roman" w:hAnsi="Times New Roman" w:cs="Times New Roman"/>
          <w:sz w:val="26"/>
          <w:szCs w:val="26"/>
        </w:rPr>
      </w:pPr>
    </w:p>
    <w:p w:rsidR="0083129C" w:rsidRDefault="0083129C" w:rsidP="0083129C">
      <w:pPr>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To determine an appropriate LIURP budget, we will first consider PGW’s proposed 2018-2020 PGW budgets shown in Table 12: </w:t>
      </w:r>
      <w:r w:rsidRPr="001B6CE3">
        <w:rPr>
          <w:rFonts w:ascii="Times New Roman" w:eastAsia="Times New Roman" w:hAnsi="Times New Roman" w:cs="Times New Roman"/>
          <w:i/>
          <w:sz w:val="26"/>
          <w:szCs w:val="26"/>
        </w:rPr>
        <w:t>Projected Budgets and Spending</w:t>
      </w:r>
      <w:r>
        <w:rPr>
          <w:rFonts w:ascii="Times New Roman" w:eastAsia="Times New Roman" w:hAnsi="Times New Roman" w:cs="Times New Roman"/>
          <w:sz w:val="26"/>
          <w:szCs w:val="26"/>
        </w:rPr>
        <w:t xml:space="preserve">, which include program and estimated administrative costs. An average of the 2018-2020 budgets results in a $6,634,085 average budget figure. We also consider PGW’s proposed 2018-2020 program enrollment figures in Table </w:t>
      </w:r>
      <w:r w:rsidR="00216D9F">
        <w:rPr>
          <w:rFonts w:ascii="Times New Roman" w:eastAsia="Times New Roman" w:hAnsi="Times New Roman" w:cs="Times New Roman"/>
          <w:sz w:val="26"/>
          <w:szCs w:val="26"/>
        </w:rPr>
        <w:t>8</w:t>
      </w:r>
      <w:r>
        <w:rPr>
          <w:rFonts w:ascii="Times New Roman" w:eastAsia="Times New Roman" w:hAnsi="Times New Roman" w:cs="Times New Roman"/>
          <w:sz w:val="26"/>
          <w:szCs w:val="26"/>
        </w:rPr>
        <w:t xml:space="preserve"> </w:t>
      </w:r>
      <w:r w:rsidRPr="001B6CE3">
        <w:rPr>
          <w:rFonts w:ascii="Times New Roman" w:eastAsia="Times New Roman" w:hAnsi="Times New Roman" w:cs="Times New Roman"/>
          <w:i/>
          <w:sz w:val="26"/>
          <w:szCs w:val="26"/>
        </w:rPr>
        <w:t>Projected Enrollment Levels</w:t>
      </w:r>
      <w:r w:rsidR="00B55A38">
        <w:rPr>
          <w:rFonts w:ascii="Times New Roman" w:eastAsia="Times New Roman" w:hAnsi="Times New Roman" w:cs="Times New Roman"/>
          <w:i/>
          <w:sz w:val="26"/>
          <w:szCs w:val="26"/>
        </w:rPr>
        <w:t xml:space="preserve">, </w:t>
      </w:r>
      <w:r w:rsidR="00B55A38">
        <w:rPr>
          <w:rFonts w:ascii="Times New Roman" w:eastAsia="Times New Roman" w:hAnsi="Times New Roman" w:cs="Times New Roman"/>
          <w:sz w:val="26"/>
          <w:szCs w:val="26"/>
        </w:rPr>
        <w:t>which yields an average of 2,735 jobs/year</w:t>
      </w:r>
      <w:r w:rsidRPr="009E1F5D">
        <w:rPr>
          <w:rFonts w:ascii="Times New Roman" w:eastAsia="Times New Roman" w:hAnsi="Times New Roman" w:cs="Times New Roman"/>
          <w:sz w:val="26"/>
          <w:szCs w:val="26"/>
        </w:rPr>
        <w:t>. By using th</w:t>
      </w:r>
      <w:r w:rsidR="00B55A38">
        <w:rPr>
          <w:rFonts w:ascii="Times New Roman" w:eastAsia="Times New Roman" w:hAnsi="Times New Roman" w:cs="Times New Roman"/>
          <w:sz w:val="26"/>
          <w:szCs w:val="26"/>
        </w:rPr>
        <w:t>ose</w:t>
      </w:r>
      <w:r>
        <w:rPr>
          <w:rFonts w:ascii="Times New Roman" w:eastAsia="Times New Roman" w:hAnsi="Times New Roman" w:cs="Times New Roman"/>
          <w:sz w:val="26"/>
          <w:szCs w:val="26"/>
        </w:rPr>
        <w:t xml:space="preserve"> figures</w:t>
      </w:r>
      <w:r w:rsidR="00B55A38">
        <w:rPr>
          <w:rFonts w:ascii="Times New Roman" w:eastAsia="Times New Roman" w:hAnsi="Times New Roman" w:cs="Times New Roman"/>
          <w:sz w:val="26"/>
          <w:szCs w:val="26"/>
        </w:rPr>
        <w:t>, originally</w:t>
      </w:r>
      <w:r>
        <w:rPr>
          <w:rFonts w:ascii="Times New Roman" w:eastAsia="Times New Roman" w:hAnsi="Times New Roman" w:cs="Times New Roman"/>
          <w:sz w:val="26"/>
          <w:szCs w:val="26"/>
        </w:rPr>
        <w:t xml:space="preserve"> proposed by PGW</w:t>
      </w:r>
      <w:r>
        <w:rPr>
          <w:rFonts w:ascii="Times New Roman" w:eastAsia="Times New Roman" w:hAnsi="Times New Roman" w:cs="Times New Roman"/>
          <w:i/>
          <w:sz w:val="26"/>
          <w:szCs w:val="26"/>
        </w:rPr>
        <w:t xml:space="preserve">, </w:t>
      </w:r>
      <w:r w:rsidRPr="001B6CE3">
        <w:rPr>
          <w:rFonts w:ascii="Times New Roman" w:eastAsia="Times New Roman" w:hAnsi="Times New Roman" w:cs="Times New Roman"/>
          <w:sz w:val="26"/>
          <w:szCs w:val="26"/>
        </w:rPr>
        <w:t xml:space="preserve">we can </w:t>
      </w:r>
      <w:r>
        <w:rPr>
          <w:rFonts w:ascii="Times New Roman" w:eastAsia="Times New Roman" w:hAnsi="Times New Roman" w:cs="Times New Roman"/>
          <w:sz w:val="26"/>
          <w:szCs w:val="26"/>
        </w:rPr>
        <w:t xml:space="preserve">then </w:t>
      </w:r>
      <w:r w:rsidRPr="001B6CE3">
        <w:rPr>
          <w:rFonts w:ascii="Times New Roman" w:eastAsia="Times New Roman" w:hAnsi="Times New Roman" w:cs="Times New Roman"/>
          <w:sz w:val="26"/>
          <w:szCs w:val="26"/>
        </w:rPr>
        <w:t>calculate</w:t>
      </w:r>
      <w:r>
        <w:rPr>
          <w:rFonts w:ascii="Times New Roman" w:eastAsia="Times New Roman" w:hAnsi="Times New Roman" w:cs="Times New Roman"/>
          <w:sz w:val="26"/>
          <w:szCs w:val="26"/>
        </w:rPr>
        <w:t xml:space="preserve"> PGW’s average projected job cost from 2018-2020.  That resulting average job cost figure is $2,426.  </w:t>
      </w:r>
    </w:p>
    <w:p w:rsidR="0083129C" w:rsidRDefault="0083129C" w:rsidP="0083129C">
      <w:pPr>
        <w:spacing w:after="0" w:line="360" w:lineRule="auto"/>
        <w:ind w:firstLine="720"/>
        <w:contextualSpacing/>
        <w:rPr>
          <w:rFonts w:ascii="Times New Roman" w:eastAsia="Times New Roman" w:hAnsi="Times New Roman" w:cs="Times New Roman"/>
          <w:sz w:val="26"/>
          <w:szCs w:val="26"/>
        </w:rPr>
      </w:pPr>
    </w:p>
    <w:p w:rsidR="0083129C" w:rsidRDefault="00B55A38" w:rsidP="0083129C">
      <w:pPr>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83129C">
        <w:rPr>
          <w:rFonts w:ascii="Times New Roman" w:eastAsia="Times New Roman" w:hAnsi="Times New Roman" w:cs="Times New Roman"/>
          <w:sz w:val="26"/>
          <w:szCs w:val="26"/>
        </w:rPr>
        <w:t>We note that it is not appropriate to use PGW’s proposed September 2017-December 2017 transition budget or enrollment figures, since the FY 2017 budget was previously settled and those transitional months only represent a partial calendar year. The budgets PGW proposed for 2018-2020 are based upon full calendar years.</w:t>
      </w:r>
    </w:p>
    <w:p w:rsidR="0083129C" w:rsidRDefault="0083129C" w:rsidP="0083129C">
      <w:pPr>
        <w:spacing w:after="0" w:line="360" w:lineRule="auto"/>
        <w:contextualSpacing/>
        <w:rPr>
          <w:rFonts w:ascii="Times New Roman" w:eastAsia="Times New Roman" w:hAnsi="Times New Roman" w:cs="Times New Roman"/>
          <w:sz w:val="26"/>
          <w:szCs w:val="26"/>
        </w:rPr>
      </w:pPr>
    </w:p>
    <w:p w:rsidR="00B76DCB" w:rsidRDefault="00774EC0" w:rsidP="00231829">
      <w:pPr>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6D0559">
        <w:rPr>
          <w:rFonts w:ascii="Times New Roman" w:eastAsia="Times New Roman" w:hAnsi="Times New Roman" w:cs="Times New Roman"/>
          <w:sz w:val="26"/>
          <w:szCs w:val="26"/>
        </w:rPr>
        <w:t xml:space="preserve"> </w:t>
      </w:r>
      <w:r w:rsidR="00B76DCB">
        <w:rPr>
          <w:rFonts w:ascii="Times New Roman" w:eastAsia="Times New Roman" w:hAnsi="Times New Roman" w:cs="Times New Roman"/>
          <w:sz w:val="26"/>
          <w:szCs w:val="26"/>
        </w:rPr>
        <w:t xml:space="preserve">In the </w:t>
      </w:r>
      <w:r w:rsidR="00B76DCB" w:rsidRPr="007B6208">
        <w:rPr>
          <w:rFonts w:ascii="Times New Roman" w:eastAsia="Times New Roman" w:hAnsi="Times New Roman" w:cs="Times New Roman"/>
          <w:i/>
          <w:sz w:val="26"/>
          <w:szCs w:val="26"/>
        </w:rPr>
        <w:t>Needs Assessment</w:t>
      </w:r>
      <w:r w:rsidR="00B76DCB">
        <w:rPr>
          <w:rFonts w:ascii="Times New Roman" w:eastAsia="Times New Roman" w:hAnsi="Times New Roman" w:cs="Times New Roman"/>
          <w:sz w:val="26"/>
          <w:szCs w:val="26"/>
        </w:rPr>
        <w:t xml:space="preserve"> section above, we calculated 84,630 as the revised total number of low-income customers needing CRP Home Comfort</w:t>
      </w:r>
      <w:r w:rsidR="007B6208">
        <w:rPr>
          <w:rFonts w:ascii="Times New Roman" w:eastAsia="Times New Roman" w:hAnsi="Times New Roman" w:cs="Times New Roman"/>
          <w:sz w:val="26"/>
          <w:szCs w:val="26"/>
        </w:rPr>
        <w:t>/LIURP</w:t>
      </w:r>
      <w:r w:rsidR="00B76DCB">
        <w:rPr>
          <w:rFonts w:ascii="Times New Roman" w:eastAsia="Times New Roman" w:hAnsi="Times New Roman" w:cs="Times New Roman"/>
          <w:sz w:val="26"/>
          <w:szCs w:val="26"/>
        </w:rPr>
        <w:t>.</w:t>
      </w:r>
      <w:r w:rsidR="007B6208">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sidR="002048F4">
        <w:rPr>
          <w:rFonts w:ascii="Times New Roman" w:eastAsia="Times New Roman" w:hAnsi="Times New Roman" w:cs="Times New Roman"/>
          <w:sz w:val="26"/>
          <w:szCs w:val="26"/>
        </w:rPr>
        <w:t xml:space="preserve">The difference between the </w:t>
      </w:r>
      <w:r w:rsidR="00E07F77">
        <w:rPr>
          <w:rFonts w:ascii="Times New Roman" w:eastAsia="Times New Roman" w:hAnsi="Times New Roman" w:cs="Times New Roman"/>
          <w:sz w:val="26"/>
          <w:szCs w:val="26"/>
        </w:rPr>
        <w:t xml:space="preserve">revised </w:t>
      </w:r>
      <w:r w:rsidR="002048F4">
        <w:rPr>
          <w:rFonts w:ascii="Times New Roman" w:eastAsia="Times New Roman" w:hAnsi="Times New Roman" w:cs="Times New Roman"/>
          <w:sz w:val="26"/>
          <w:szCs w:val="26"/>
        </w:rPr>
        <w:t xml:space="preserve">PGW needs assessment figure (67,367) and the Commission’s figure (84,630) represents an increase of 20.4%. </w:t>
      </w:r>
      <w:r>
        <w:rPr>
          <w:rFonts w:ascii="Times New Roman" w:eastAsia="Times New Roman" w:hAnsi="Times New Roman" w:cs="Times New Roman"/>
          <w:sz w:val="26"/>
          <w:szCs w:val="26"/>
        </w:rPr>
        <w:t xml:space="preserve"> </w:t>
      </w:r>
      <w:r w:rsidR="002048F4">
        <w:rPr>
          <w:rFonts w:ascii="Times New Roman" w:eastAsia="Times New Roman" w:hAnsi="Times New Roman" w:cs="Times New Roman"/>
          <w:sz w:val="26"/>
          <w:szCs w:val="26"/>
        </w:rPr>
        <w:t>If we apply th</w:t>
      </w:r>
      <w:r w:rsidR="00B76DCB">
        <w:rPr>
          <w:rFonts w:ascii="Times New Roman" w:eastAsia="Times New Roman" w:hAnsi="Times New Roman" w:cs="Times New Roman"/>
          <w:sz w:val="26"/>
          <w:szCs w:val="26"/>
        </w:rPr>
        <w:t>at</w:t>
      </w:r>
      <w:r w:rsidR="002048F4">
        <w:rPr>
          <w:rFonts w:ascii="Times New Roman" w:eastAsia="Times New Roman" w:hAnsi="Times New Roman" w:cs="Times New Roman"/>
          <w:sz w:val="26"/>
          <w:szCs w:val="26"/>
        </w:rPr>
        <w:t xml:space="preserve"> same percentage increase (20.4%) to the average number of jobs from the calculation above (2,735), we get a new average number of jobs of 3,293 for the years 2018-2020.  </w:t>
      </w:r>
    </w:p>
    <w:p w:rsidR="00B76DCB" w:rsidRDefault="00B76DCB" w:rsidP="00231829">
      <w:pPr>
        <w:spacing w:after="0" w:line="360" w:lineRule="auto"/>
        <w:contextualSpacing/>
        <w:rPr>
          <w:rFonts w:ascii="Times New Roman" w:eastAsia="Times New Roman" w:hAnsi="Times New Roman" w:cs="Times New Roman"/>
          <w:sz w:val="26"/>
          <w:szCs w:val="26"/>
        </w:rPr>
      </w:pPr>
    </w:p>
    <w:p w:rsidR="00750ECD" w:rsidRDefault="00B76DCB" w:rsidP="00231829">
      <w:pPr>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2048F4">
        <w:rPr>
          <w:rFonts w:ascii="Times New Roman" w:eastAsia="Times New Roman" w:hAnsi="Times New Roman" w:cs="Times New Roman"/>
          <w:sz w:val="26"/>
          <w:szCs w:val="26"/>
        </w:rPr>
        <w:t>We then take the new average number of jobs (3,293) and multiply it by the average job cost</w:t>
      </w:r>
      <w:r>
        <w:rPr>
          <w:rFonts w:ascii="Times New Roman" w:eastAsia="Times New Roman" w:hAnsi="Times New Roman" w:cs="Times New Roman"/>
          <w:sz w:val="26"/>
          <w:szCs w:val="26"/>
        </w:rPr>
        <w:t xml:space="preserve"> ($2,426)</w:t>
      </w:r>
      <w:r w:rsidR="002048F4">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we determined</w:t>
      </w:r>
      <w:r w:rsidR="002048F4">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from PGW’s proposed budget and enrollment figures </w:t>
      </w:r>
      <w:r w:rsidR="00750ECD">
        <w:rPr>
          <w:rFonts w:ascii="Times New Roman" w:eastAsia="Times New Roman" w:hAnsi="Times New Roman" w:cs="Times New Roman"/>
          <w:sz w:val="26"/>
          <w:szCs w:val="26"/>
        </w:rPr>
        <w:t>above</w:t>
      </w:r>
      <w:r>
        <w:rPr>
          <w:rFonts w:ascii="Times New Roman" w:eastAsia="Times New Roman" w:hAnsi="Times New Roman" w:cs="Times New Roman"/>
          <w:sz w:val="26"/>
          <w:szCs w:val="26"/>
        </w:rPr>
        <w:t>.</w:t>
      </w:r>
      <w:r w:rsidR="00750ECD">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This calculation</w:t>
      </w:r>
      <w:r w:rsidR="00750ECD">
        <w:rPr>
          <w:rFonts w:ascii="Times New Roman" w:eastAsia="Times New Roman" w:hAnsi="Times New Roman" w:cs="Times New Roman"/>
          <w:sz w:val="26"/>
          <w:szCs w:val="26"/>
        </w:rPr>
        <w:t xml:space="preserve"> yields an average </w:t>
      </w:r>
      <w:r>
        <w:rPr>
          <w:rFonts w:ascii="Times New Roman" w:eastAsia="Times New Roman" w:hAnsi="Times New Roman" w:cs="Times New Roman"/>
          <w:sz w:val="26"/>
          <w:szCs w:val="26"/>
        </w:rPr>
        <w:t xml:space="preserve">annual </w:t>
      </w:r>
      <w:r w:rsidR="00750ECD">
        <w:rPr>
          <w:rFonts w:ascii="Times New Roman" w:eastAsia="Times New Roman" w:hAnsi="Times New Roman" w:cs="Times New Roman"/>
          <w:sz w:val="26"/>
          <w:szCs w:val="26"/>
        </w:rPr>
        <w:t xml:space="preserve">budget </w:t>
      </w:r>
      <w:r>
        <w:rPr>
          <w:rFonts w:ascii="Times New Roman" w:eastAsia="Times New Roman" w:hAnsi="Times New Roman" w:cs="Times New Roman"/>
          <w:sz w:val="26"/>
          <w:szCs w:val="26"/>
        </w:rPr>
        <w:t xml:space="preserve">figure </w:t>
      </w:r>
      <w:r w:rsidR="00750ECD">
        <w:rPr>
          <w:rFonts w:ascii="Times New Roman" w:eastAsia="Times New Roman" w:hAnsi="Times New Roman" w:cs="Times New Roman"/>
          <w:sz w:val="26"/>
          <w:szCs w:val="26"/>
        </w:rPr>
        <w:t xml:space="preserve">of $7,988,818. </w:t>
      </w:r>
      <w:r w:rsidR="00774EC0">
        <w:rPr>
          <w:rFonts w:ascii="Times New Roman" w:eastAsia="Times New Roman" w:hAnsi="Times New Roman" w:cs="Times New Roman"/>
          <w:sz w:val="26"/>
          <w:szCs w:val="26"/>
        </w:rPr>
        <w:t xml:space="preserve"> </w:t>
      </w:r>
      <w:r w:rsidR="00750ECD">
        <w:rPr>
          <w:rFonts w:ascii="Times New Roman" w:eastAsia="Times New Roman" w:hAnsi="Times New Roman" w:cs="Times New Roman"/>
          <w:sz w:val="26"/>
          <w:szCs w:val="26"/>
        </w:rPr>
        <w:t>This new CRP Home Comfort average budget for the years 2018-2020, includes both program and administrative costs</w:t>
      </w:r>
      <w:r>
        <w:rPr>
          <w:rFonts w:ascii="Times New Roman" w:eastAsia="Times New Roman" w:hAnsi="Times New Roman" w:cs="Times New Roman"/>
          <w:sz w:val="26"/>
          <w:szCs w:val="26"/>
        </w:rPr>
        <w:t>, as did the budgets from which it was derived</w:t>
      </w:r>
      <w:r w:rsidR="00750ECD">
        <w:rPr>
          <w:rFonts w:ascii="Times New Roman" w:eastAsia="Times New Roman" w:hAnsi="Times New Roman" w:cs="Times New Roman"/>
          <w:sz w:val="26"/>
          <w:szCs w:val="26"/>
        </w:rPr>
        <w:t>.</w:t>
      </w:r>
      <w:r w:rsidR="00D1166B">
        <w:rPr>
          <w:rFonts w:ascii="Times New Roman" w:eastAsia="Times New Roman" w:hAnsi="Times New Roman" w:cs="Times New Roman"/>
          <w:sz w:val="26"/>
          <w:szCs w:val="26"/>
        </w:rPr>
        <w:t xml:space="preserve"> </w:t>
      </w:r>
      <w:r w:rsidR="00774EC0">
        <w:rPr>
          <w:rFonts w:ascii="Times New Roman" w:eastAsia="Times New Roman" w:hAnsi="Times New Roman" w:cs="Times New Roman"/>
          <w:sz w:val="26"/>
          <w:szCs w:val="26"/>
        </w:rPr>
        <w:t xml:space="preserve"> </w:t>
      </w:r>
      <w:r w:rsidR="00D1166B">
        <w:rPr>
          <w:rFonts w:ascii="Times New Roman" w:eastAsia="Times New Roman" w:hAnsi="Times New Roman" w:cs="Times New Roman"/>
          <w:sz w:val="26"/>
          <w:szCs w:val="26"/>
        </w:rPr>
        <w:t xml:space="preserve">We direct PGW to adjust the budgets and corresponding enrollment figures for the program years 2018-2020, and </w:t>
      </w:r>
      <w:r>
        <w:rPr>
          <w:rFonts w:ascii="Times New Roman" w:eastAsia="Times New Roman" w:hAnsi="Times New Roman" w:cs="Times New Roman"/>
          <w:sz w:val="26"/>
          <w:szCs w:val="26"/>
        </w:rPr>
        <w:t xml:space="preserve">to </w:t>
      </w:r>
      <w:r w:rsidR="00D1166B">
        <w:rPr>
          <w:rFonts w:ascii="Times New Roman" w:eastAsia="Times New Roman" w:hAnsi="Times New Roman" w:cs="Times New Roman"/>
          <w:sz w:val="26"/>
          <w:szCs w:val="26"/>
        </w:rPr>
        <w:t>provide</w:t>
      </w:r>
      <w:r>
        <w:rPr>
          <w:rFonts w:ascii="Times New Roman" w:eastAsia="Times New Roman" w:hAnsi="Times New Roman" w:cs="Times New Roman"/>
          <w:sz w:val="26"/>
          <w:szCs w:val="26"/>
        </w:rPr>
        <w:t xml:space="preserve"> </w:t>
      </w:r>
      <w:r w:rsidR="00D1166B">
        <w:rPr>
          <w:rFonts w:ascii="Times New Roman" w:eastAsia="Times New Roman" w:hAnsi="Times New Roman" w:cs="Times New Roman"/>
          <w:sz w:val="26"/>
          <w:szCs w:val="26"/>
        </w:rPr>
        <w:t xml:space="preserve">these figures in </w:t>
      </w:r>
      <w:r w:rsidR="00774EC0">
        <w:rPr>
          <w:rFonts w:ascii="Times New Roman" w:eastAsia="Times New Roman" w:hAnsi="Times New Roman" w:cs="Times New Roman"/>
          <w:sz w:val="26"/>
          <w:szCs w:val="26"/>
        </w:rPr>
        <w:t xml:space="preserve">its </w:t>
      </w:r>
      <w:r w:rsidR="00D1166B">
        <w:rPr>
          <w:rFonts w:ascii="Times New Roman" w:eastAsia="Times New Roman" w:hAnsi="Times New Roman" w:cs="Times New Roman"/>
          <w:sz w:val="26"/>
          <w:szCs w:val="26"/>
        </w:rPr>
        <w:t xml:space="preserve">revised 2017-2020 USECP. </w:t>
      </w:r>
      <w:r w:rsidR="00750ECD">
        <w:rPr>
          <w:rFonts w:ascii="Times New Roman" w:eastAsia="Times New Roman" w:hAnsi="Times New Roman" w:cs="Times New Roman"/>
          <w:sz w:val="26"/>
          <w:szCs w:val="26"/>
        </w:rPr>
        <w:t xml:space="preserve"> </w:t>
      </w:r>
    </w:p>
    <w:p w:rsidR="00750ECD" w:rsidRDefault="00750ECD" w:rsidP="00231829">
      <w:pPr>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p>
    <w:p w:rsidR="004F43A8" w:rsidRDefault="00750ECD" w:rsidP="00231829">
      <w:pPr>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t xml:space="preserve">Additionally, we will grant a temporary </w:t>
      </w:r>
      <w:r w:rsidR="00774EC0">
        <w:rPr>
          <w:rFonts w:ascii="Times New Roman" w:eastAsia="Times New Roman" w:hAnsi="Times New Roman" w:cs="Times New Roman"/>
          <w:sz w:val="26"/>
          <w:szCs w:val="26"/>
        </w:rPr>
        <w:t xml:space="preserve">partial </w:t>
      </w:r>
      <w:r>
        <w:rPr>
          <w:rFonts w:ascii="Times New Roman" w:eastAsia="Times New Roman" w:hAnsi="Times New Roman" w:cs="Times New Roman"/>
          <w:sz w:val="26"/>
          <w:szCs w:val="26"/>
        </w:rPr>
        <w:t xml:space="preserve">waiver of </w:t>
      </w:r>
      <w:r w:rsidR="00C12C04">
        <w:rPr>
          <w:rFonts w:ascii="Times New Roman" w:eastAsia="Times New Roman" w:hAnsi="Times New Roman" w:cs="Times New Roman"/>
          <w:sz w:val="26"/>
          <w:szCs w:val="26"/>
        </w:rPr>
        <w:t xml:space="preserve">the administrative cost limitations under </w:t>
      </w:r>
      <w:r w:rsidR="00774EC0">
        <w:rPr>
          <w:rFonts w:ascii="Times New Roman" w:eastAsia="Times New Roman" w:hAnsi="Times New Roman" w:cs="Times New Roman"/>
          <w:sz w:val="26"/>
          <w:szCs w:val="26"/>
        </w:rPr>
        <w:t>Section</w:t>
      </w:r>
      <w:r w:rsidR="007944A5" w:rsidRPr="007944A5">
        <w:rPr>
          <w:rFonts w:ascii="Times New Roman" w:eastAsia="Times New Roman" w:hAnsi="Times New Roman" w:cs="Times New Roman"/>
          <w:sz w:val="26"/>
          <w:szCs w:val="26"/>
        </w:rPr>
        <w:t> 58.5</w:t>
      </w:r>
      <w:r w:rsidR="007944A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for the </w:t>
      </w:r>
      <w:r w:rsidR="001F6E8C">
        <w:rPr>
          <w:rFonts w:ascii="Times New Roman" w:eastAsia="Times New Roman" w:hAnsi="Times New Roman" w:cs="Times New Roman"/>
          <w:sz w:val="26"/>
          <w:szCs w:val="26"/>
        </w:rPr>
        <w:t>2018, 2019, and 2020 CRP Home Comfort budgets</w:t>
      </w:r>
      <w:r>
        <w:rPr>
          <w:rFonts w:ascii="Times New Roman" w:eastAsia="Times New Roman" w:hAnsi="Times New Roman" w:cs="Times New Roman"/>
          <w:sz w:val="26"/>
          <w:szCs w:val="26"/>
        </w:rPr>
        <w:t xml:space="preserve"> to allow PGW to develop and implement </w:t>
      </w:r>
      <w:r w:rsidR="00774EC0">
        <w:rPr>
          <w:rFonts w:ascii="Times New Roman" w:eastAsia="Times New Roman" w:hAnsi="Times New Roman" w:cs="Times New Roman"/>
          <w:sz w:val="26"/>
          <w:szCs w:val="26"/>
        </w:rPr>
        <w:t xml:space="preserve">appropriate </w:t>
      </w:r>
      <w:r>
        <w:rPr>
          <w:rFonts w:ascii="Times New Roman" w:eastAsia="Times New Roman" w:hAnsi="Times New Roman" w:cs="Times New Roman"/>
          <w:sz w:val="26"/>
          <w:szCs w:val="26"/>
        </w:rPr>
        <w:t>marketing, outreach</w:t>
      </w:r>
      <w:r w:rsidR="00774EC0">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and internal procedures to effectively promote</w:t>
      </w:r>
      <w:r w:rsidR="00C12C04">
        <w:rPr>
          <w:rFonts w:ascii="Times New Roman" w:eastAsia="Times New Roman" w:hAnsi="Times New Roman" w:cs="Times New Roman"/>
          <w:sz w:val="26"/>
          <w:szCs w:val="26"/>
        </w:rPr>
        <w:t>, identify</w:t>
      </w:r>
      <w:r w:rsidR="00774EC0">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and screen </w:t>
      </w:r>
      <w:r w:rsidR="004F43A8">
        <w:rPr>
          <w:rFonts w:ascii="Times New Roman" w:eastAsia="Times New Roman" w:hAnsi="Times New Roman" w:cs="Times New Roman"/>
          <w:sz w:val="26"/>
          <w:szCs w:val="26"/>
        </w:rPr>
        <w:t>all the newly eligible non-CRP and other low-income customers for CRP Home Comfort.</w:t>
      </w:r>
      <w:r w:rsidR="007944A5">
        <w:rPr>
          <w:rFonts w:ascii="Times New Roman" w:eastAsia="Times New Roman" w:hAnsi="Times New Roman" w:cs="Times New Roman"/>
          <w:sz w:val="26"/>
          <w:szCs w:val="26"/>
        </w:rPr>
        <w:t xml:space="preserve"> </w:t>
      </w:r>
    </w:p>
    <w:p w:rsidR="00AA67E1" w:rsidRPr="00C47F76" w:rsidRDefault="00AA67E1" w:rsidP="00231829">
      <w:pPr>
        <w:spacing w:after="0" w:line="360" w:lineRule="auto"/>
        <w:contextualSpacing/>
        <w:rPr>
          <w:rFonts w:ascii="Times New Roman" w:eastAsia="Times New Roman" w:hAnsi="Times New Roman" w:cs="Times New Roman"/>
          <w:sz w:val="26"/>
          <w:szCs w:val="26"/>
        </w:rPr>
      </w:pPr>
    </w:p>
    <w:p w:rsidR="002544C1" w:rsidRPr="006C2764" w:rsidRDefault="00DA1000" w:rsidP="000648AA">
      <w:pPr>
        <w:keepNext/>
        <w:spacing w:after="0" w:line="360" w:lineRule="auto"/>
        <w:contextualSpacing/>
        <w:rPr>
          <w:rFonts w:ascii="Times New Roman" w:eastAsia="Times New Roman" w:hAnsi="Times New Roman" w:cs="Times New Roman"/>
          <w:i/>
          <w:sz w:val="26"/>
          <w:szCs w:val="26"/>
        </w:rPr>
      </w:pPr>
      <w:r>
        <w:rPr>
          <w:rFonts w:ascii="Times New Roman" w:eastAsia="Times New Roman" w:hAnsi="Times New Roman" w:cs="Times New Roman"/>
          <w:i/>
          <w:sz w:val="26"/>
          <w:szCs w:val="26"/>
        </w:rPr>
        <w:t>c</w:t>
      </w:r>
      <w:r w:rsidR="006C2764" w:rsidRPr="006C2764">
        <w:rPr>
          <w:rFonts w:ascii="Times New Roman" w:eastAsia="Times New Roman" w:hAnsi="Times New Roman" w:cs="Times New Roman"/>
          <w:i/>
          <w:sz w:val="26"/>
          <w:szCs w:val="26"/>
        </w:rPr>
        <w:t xml:space="preserve">.  </w:t>
      </w:r>
      <w:r w:rsidR="002544C1" w:rsidRPr="009C1ACE">
        <w:rPr>
          <w:rFonts w:ascii="Times New Roman" w:eastAsia="Times New Roman" w:hAnsi="Times New Roman" w:cs="Times New Roman"/>
          <w:i/>
          <w:sz w:val="26"/>
          <w:szCs w:val="26"/>
        </w:rPr>
        <w:t>Hardship Fund</w:t>
      </w:r>
      <w:r w:rsidR="006C2764" w:rsidRPr="009C1ACE">
        <w:rPr>
          <w:rFonts w:ascii="Times New Roman" w:eastAsia="Times New Roman" w:hAnsi="Times New Roman" w:cs="Times New Roman"/>
          <w:i/>
          <w:sz w:val="26"/>
          <w:szCs w:val="26"/>
        </w:rPr>
        <w:t xml:space="preserve"> Administrative Costs</w:t>
      </w:r>
    </w:p>
    <w:p w:rsidR="002544C1" w:rsidRDefault="002544C1" w:rsidP="000648AA">
      <w:pPr>
        <w:keepNext/>
        <w:spacing w:after="0" w:line="360" w:lineRule="auto"/>
        <w:contextualSpacing/>
        <w:rPr>
          <w:rFonts w:ascii="Times New Roman" w:eastAsia="Times New Roman" w:hAnsi="Times New Roman" w:cs="Times New Roman"/>
          <w:i/>
          <w:sz w:val="26"/>
          <w:szCs w:val="26"/>
        </w:rPr>
      </w:pPr>
    </w:p>
    <w:p w:rsidR="002544C1" w:rsidRPr="002C033F" w:rsidRDefault="002C033F" w:rsidP="00231829">
      <w:pPr>
        <w:spacing w:after="0" w:line="360" w:lineRule="auto"/>
        <w:contextualSpacing/>
        <w:rPr>
          <w:rFonts w:ascii="Times New Roman" w:eastAsia="Calibri" w:hAnsi="Times New Roman" w:cs="Times New Roman"/>
          <w:sz w:val="26"/>
          <w:szCs w:val="26"/>
        </w:rPr>
      </w:pPr>
      <w:r>
        <w:rPr>
          <w:rFonts w:ascii="Times New Roman" w:eastAsia="Times New Roman" w:hAnsi="Times New Roman" w:cs="Times New Roman"/>
          <w:sz w:val="26"/>
          <w:szCs w:val="26"/>
        </w:rPr>
        <w:tab/>
      </w:r>
      <w:r w:rsidR="001B78A5" w:rsidRPr="002C033F">
        <w:rPr>
          <w:rFonts w:ascii="Times New Roman" w:eastAsia="Times New Roman" w:hAnsi="Times New Roman" w:cs="Times New Roman"/>
          <w:sz w:val="26"/>
          <w:szCs w:val="26"/>
        </w:rPr>
        <w:t xml:space="preserve">PGW estimates that it will pay </w:t>
      </w:r>
      <w:r w:rsidR="007016D9">
        <w:rPr>
          <w:rFonts w:ascii="Times New Roman" w:eastAsia="Times New Roman" w:hAnsi="Times New Roman" w:cs="Times New Roman"/>
          <w:sz w:val="26"/>
          <w:szCs w:val="26"/>
        </w:rPr>
        <w:t>UESF</w:t>
      </w:r>
      <w:r w:rsidR="001B78A5" w:rsidRPr="002C033F">
        <w:rPr>
          <w:rFonts w:ascii="Times New Roman" w:eastAsia="Times New Roman" w:hAnsi="Times New Roman" w:cs="Times New Roman"/>
          <w:sz w:val="26"/>
          <w:szCs w:val="26"/>
        </w:rPr>
        <w:t xml:space="preserve"> $260,149 annually to administer its Hardship Fund program through 2020.  </w:t>
      </w:r>
      <w:r w:rsidR="001B78A5" w:rsidRPr="002C033F">
        <w:rPr>
          <w:rFonts w:ascii="Times New Roman" w:eastAsia="Calibri" w:hAnsi="Times New Roman" w:cs="Times New Roman"/>
          <w:sz w:val="26"/>
          <w:szCs w:val="26"/>
        </w:rPr>
        <w:t xml:space="preserve">Proposed 2017-2020 USECP at 30.  </w:t>
      </w:r>
      <w:r w:rsidR="001B78A5" w:rsidRPr="002C033F">
        <w:rPr>
          <w:rFonts w:ascii="Times New Roman" w:eastAsia="Times New Roman" w:hAnsi="Times New Roman" w:cs="Times New Roman"/>
          <w:sz w:val="26"/>
          <w:szCs w:val="26"/>
        </w:rPr>
        <w:t>T</w:t>
      </w:r>
      <w:r w:rsidR="002544C1" w:rsidRPr="002C033F">
        <w:rPr>
          <w:rFonts w:ascii="Times New Roman" w:eastAsia="Times New Roman" w:hAnsi="Times New Roman" w:cs="Times New Roman"/>
          <w:sz w:val="26"/>
          <w:szCs w:val="26"/>
        </w:rPr>
        <w:t>he April 11 Secretari</w:t>
      </w:r>
      <w:r w:rsidR="001B78A5" w:rsidRPr="002C033F">
        <w:rPr>
          <w:rFonts w:ascii="Times New Roman" w:eastAsia="Times New Roman" w:hAnsi="Times New Roman" w:cs="Times New Roman"/>
          <w:sz w:val="26"/>
          <w:szCs w:val="26"/>
        </w:rPr>
        <w:t>al Letter noted</w:t>
      </w:r>
      <w:r w:rsidR="00A31E87" w:rsidRPr="002C033F">
        <w:rPr>
          <w:rFonts w:ascii="Times New Roman" w:eastAsia="Times New Roman" w:hAnsi="Times New Roman" w:cs="Times New Roman"/>
          <w:sz w:val="26"/>
          <w:szCs w:val="26"/>
        </w:rPr>
        <w:t xml:space="preserve">, </w:t>
      </w:r>
      <w:r w:rsidR="00A31E87" w:rsidRPr="002C033F">
        <w:rPr>
          <w:rFonts w:ascii="Times New Roman" w:eastAsia="Times New Roman" w:hAnsi="Times New Roman" w:cs="Times New Roman"/>
          <w:i/>
          <w:sz w:val="26"/>
          <w:szCs w:val="26"/>
        </w:rPr>
        <w:t>inter alia</w:t>
      </w:r>
      <w:r w:rsidR="00A31E87" w:rsidRPr="002C033F">
        <w:rPr>
          <w:rFonts w:ascii="Times New Roman" w:eastAsia="Times New Roman" w:hAnsi="Times New Roman" w:cs="Times New Roman"/>
          <w:sz w:val="26"/>
          <w:szCs w:val="26"/>
        </w:rPr>
        <w:t>,</w:t>
      </w:r>
      <w:r w:rsidR="001B78A5" w:rsidRPr="002C033F">
        <w:rPr>
          <w:rFonts w:ascii="Times New Roman" w:eastAsia="Times New Roman" w:hAnsi="Times New Roman" w:cs="Times New Roman"/>
          <w:sz w:val="26"/>
          <w:szCs w:val="26"/>
        </w:rPr>
        <w:t xml:space="preserve"> </w:t>
      </w:r>
      <w:r w:rsidR="00A31E87" w:rsidRPr="002C033F">
        <w:rPr>
          <w:rFonts w:ascii="Times New Roman" w:eastAsia="Times New Roman" w:hAnsi="Times New Roman" w:cs="Times New Roman"/>
          <w:sz w:val="26"/>
          <w:szCs w:val="26"/>
        </w:rPr>
        <w:t xml:space="preserve">that </w:t>
      </w:r>
      <w:r w:rsidR="001B78A5" w:rsidRPr="002C033F">
        <w:rPr>
          <w:rFonts w:ascii="Times New Roman" w:eastAsia="Times New Roman" w:hAnsi="Times New Roman" w:cs="Times New Roman"/>
          <w:sz w:val="26"/>
          <w:szCs w:val="26"/>
        </w:rPr>
        <w:t>administrative spending averaged $262.25 per Hardship Fund participant in 2015</w:t>
      </w:r>
      <w:r w:rsidR="00A31E87" w:rsidRPr="002C033F">
        <w:rPr>
          <w:rFonts w:ascii="Times New Roman" w:eastAsia="Times New Roman" w:hAnsi="Times New Roman" w:cs="Times New Roman"/>
          <w:sz w:val="26"/>
          <w:szCs w:val="26"/>
        </w:rPr>
        <w:t xml:space="preserve"> and will average $260.15 per participant for 2017 through 2020 (based on Company projections).</w:t>
      </w:r>
      <w:r w:rsidR="001B78A5" w:rsidRPr="002C033F">
        <w:rPr>
          <w:rFonts w:ascii="Times New Roman" w:eastAsia="Times New Roman" w:hAnsi="Times New Roman" w:cs="Times New Roman"/>
          <w:sz w:val="26"/>
          <w:szCs w:val="26"/>
        </w:rPr>
        <w:t xml:space="preserve">.  </w:t>
      </w:r>
      <w:r w:rsidR="002544C1" w:rsidRPr="002C033F">
        <w:rPr>
          <w:rFonts w:ascii="Times New Roman" w:eastAsia="Times New Roman" w:hAnsi="Times New Roman" w:cs="Times New Roman"/>
          <w:sz w:val="26"/>
          <w:szCs w:val="26"/>
        </w:rPr>
        <w:t xml:space="preserve">PGW was asked to provide a justification and cost breakdown for the annual operating costs paid to the UESF for administering PGW’s Hardship Fund program.  </w:t>
      </w:r>
      <w:r w:rsidR="001B78A5" w:rsidRPr="002C033F">
        <w:rPr>
          <w:rFonts w:ascii="Times New Roman" w:eastAsia="Calibri" w:hAnsi="Times New Roman" w:cs="Times New Roman"/>
          <w:sz w:val="26"/>
          <w:szCs w:val="26"/>
        </w:rPr>
        <w:t xml:space="preserve">April 11 Secretarial Letter at 2. </w:t>
      </w:r>
      <w:r w:rsidR="00B23610" w:rsidRPr="002C033F">
        <w:rPr>
          <w:rFonts w:ascii="Times New Roman" w:eastAsia="Calibri" w:hAnsi="Times New Roman" w:cs="Times New Roman"/>
          <w:sz w:val="26"/>
          <w:szCs w:val="26"/>
        </w:rPr>
        <w:t xml:space="preserve"> </w:t>
      </w:r>
    </w:p>
    <w:p w:rsidR="001B78A5" w:rsidRPr="002C033F" w:rsidRDefault="001B78A5" w:rsidP="00231829">
      <w:pPr>
        <w:spacing w:after="0" w:line="360" w:lineRule="auto"/>
        <w:contextualSpacing/>
        <w:rPr>
          <w:rFonts w:ascii="Times New Roman" w:eastAsia="Calibri" w:hAnsi="Times New Roman" w:cs="Times New Roman"/>
          <w:sz w:val="26"/>
          <w:szCs w:val="26"/>
        </w:rPr>
      </w:pPr>
    </w:p>
    <w:p w:rsidR="001B78A5" w:rsidRPr="002C033F" w:rsidRDefault="002C033F" w:rsidP="00231829">
      <w:pPr>
        <w:spacing w:after="0" w:line="360" w:lineRule="auto"/>
        <w:contextualSpacing/>
        <w:rPr>
          <w:rFonts w:ascii="Times New Roman" w:eastAsia="Calibri" w:hAnsi="Times New Roman" w:cs="Times New Roman"/>
          <w:sz w:val="26"/>
          <w:szCs w:val="26"/>
        </w:rPr>
      </w:pPr>
      <w:r w:rsidRPr="002C033F">
        <w:rPr>
          <w:rFonts w:ascii="Times New Roman" w:eastAsia="Calibri" w:hAnsi="Times New Roman" w:cs="Times New Roman"/>
          <w:sz w:val="26"/>
          <w:szCs w:val="26"/>
        </w:rPr>
        <w:tab/>
      </w:r>
      <w:r w:rsidR="00A31E87" w:rsidRPr="002C033F">
        <w:rPr>
          <w:rFonts w:ascii="Times New Roman" w:eastAsia="Calibri" w:hAnsi="Times New Roman" w:cs="Times New Roman"/>
          <w:sz w:val="26"/>
          <w:szCs w:val="26"/>
        </w:rPr>
        <w:t xml:space="preserve">PGW did not provide a cost breakdown of the administrative funds paid to USEF.  Instead, PGW explained that it shares the UESF operating expenses </w:t>
      </w:r>
      <w:r w:rsidR="00B23610" w:rsidRPr="002C033F">
        <w:rPr>
          <w:rFonts w:ascii="Times New Roman" w:eastAsia="Calibri" w:hAnsi="Times New Roman" w:cs="Times New Roman"/>
          <w:sz w:val="26"/>
          <w:szCs w:val="26"/>
        </w:rPr>
        <w:t xml:space="preserve">equally with PECO and </w:t>
      </w:r>
      <w:r w:rsidR="007016D9">
        <w:rPr>
          <w:rFonts w:ascii="Times New Roman" w:eastAsia="Calibri" w:hAnsi="Times New Roman" w:cs="Times New Roman"/>
          <w:sz w:val="26"/>
          <w:szCs w:val="26"/>
        </w:rPr>
        <w:t xml:space="preserve">the </w:t>
      </w:r>
      <w:r w:rsidR="00B23610" w:rsidRPr="002C033F">
        <w:rPr>
          <w:rFonts w:ascii="Times New Roman" w:eastAsia="Calibri" w:hAnsi="Times New Roman" w:cs="Times New Roman"/>
          <w:sz w:val="26"/>
          <w:szCs w:val="26"/>
        </w:rPr>
        <w:t>Philadelphia Water Department and “additional funds” have been paid for the administration of a special City grant and</w:t>
      </w:r>
      <w:r w:rsidR="0018211F" w:rsidRPr="002C033F">
        <w:rPr>
          <w:rFonts w:ascii="Times New Roman" w:eastAsia="Calibri" w:hAnsi="Times New Roman" w:cs="Times New Roman"/>
          <w:sz w:val="26"/>
          <w:szCs w:val="26"/>
        </w:rPr>
        <w:t xml:space="preserve"> increased operating expenses. </w:t>
      </w:r>
      <w:r w:rsidR="00B23610" w:rsidRPr="002C033F">
        <w:rPr>
          <w:rFonts w:ascii="Times New Roman" w:eastAsia="Calibri" w:hAnsi="Times New Roman" w:cs="Times New Roman"/>
          <w:sz w:val="26"/>
          <w:szCs w:val="26"/>
        </w:rPr>
        <w:t xml:space="preserve"> </w:t>
      </w:r>
      <w:r w:rsidR="0018211F" w:rsidRPr="002C033F">
        <w:rPr>
          <w:rFonts w:ascii="Times New Roman" w:eastAsia="Calibri" w:hAnsi="Times New Roman" w:cs="Times New Roman"/>
          <w:sz w:val="26"/>
          <w:szCs w:val="26"/>
        </w:rPr>
        <w:t xml:space="preserve">PGW reports it </w:t>
      </w:r>
      <w:r w:rsidR="0018211F" w:rsidRPr="002C033F">
        <w:rPr>
          <w:rFonts w:ascii="Times New Roman" w:eastAsia="Calibri" w:hAnsi="Times New Roman" w:cs="Times New Roman"/>
          <w:sz w:val="26"/>
          <w:szCs w:val="26"/>
        </w:rPr>
        <w:lastRenderedPageBreak/>
        <w:t>does not ha</w:t>
      </w:r>
      <w:r w:rsidR="007016D9">
        <w:rPr>
          <w:rFonts w:ascii="Times New Roman" w:eastAsia="Calibri" w:hAnsi="Times New Roman" w:cs="Times New Roman"/>
          <w:sz w:val="26"/>
          <w:szCs w:val="26"/>
        </w:rPr>
        <w:t>ve the resources to administer its</w:t>
      </w:r>
      <w:r w:rsidR="0018211F" w:rsidRPr="002C033F">
        <w:rPr>
          <w:rFonts w:ascii="Times New Roman" w:eastAsia="Calibri" w:hAnsi="Times New Roman" w:cs="Times New Roman"/>
          <w:sz w:val="26"/>
          <w:szCs w:val="26"/>
        </w:rPr>
        <w:t xml:space="preserve"> Hardship Fund program.  </w:t>
      </w:r>
      <w:r w:rsidR="00BF2708" w:rsidRPr="002C033F">
        <w:rPr>
          <w:rFonts w:ascii="Times New Roman" w:eastAsia="Calibri" w:hAnsi="Times New Roman" w:cs="Times New Roman"/>
          <w:sz w:val="26"/>
          <w:szCs w:val="26"/>
        </w:rPr>
        <w:t>If required to administer the program and pay for grants provided by UESF, PGW reques</w:t>
      </w:r>
      <w:r w:rsidR="007016D9">
        <w:rPr>
          <w:rFonts w:ascii="Times New Roman" w:eastAsia="Calibri" w:hAnsi="Times New Roman" w:cs="Times New Roman"/>
          <w:sz w:val="26"/>
          <w:szCs w:val="26"/>
        </w:rPr>
        <w:t>ts cost recovery through its US</w:t>
      </w:r>
      <w:r w:rsidR="00BF2708" w:rsidRPr="002C033F">
        <w:rPr>
          <w:rFonts w:ascii="Times New Roman" w:eastAsia="Calibri" w:hAnsi="Times New Roman" w:cs="Times New Roman"/>
          <w:sz w:val="26"/>
          <w:szCs w:val="26"/>
        </w:rPr>
        <w:t xml:space="preserve">C Surcharge.  </w:t>
      </w:r>
      <w:r w:rsidR="007016D9">
        <w:rPr>
          <w:rFonts w:ascii="Times New Roman" w:eastAsia="Calibri" w:hAnsi="Times New Roman" w:cs="Times New Roman"/>
          <w:sz w:val="26"/>
          <w:szCs w:val="26"/>
        </w:rPr>
        <w:t xml:space="preserve">PGW </w:t>
      </w:r>
      <w:r w:rsidR="0018211F" w:rsidRPr="002C033F">
        <w:rPr>
          <w:rFonts w:ascii="Times New Roman" w:eastAsia="Calibri" w:hAnsi="Times New Roman" w:cs="Times New Roman"/>
          <w:sz w:val="26"/>
          <w:szCs w:val="26"/>
        </w:rPr>
        <w:t>Response at 2-3.</w:t>
      </w:r>
    </w:p>
    <w:p w:rsidR="00BF2708" w:rsidRPr="002C033F" w:rsidRDefault="00BF2708" w:rsidP="00231829">
      <w:pPr>
        <w:spacing w:after="0" w:line="360" w:lineRule="auto"/>
        <w:contextualSpacing/>
        <w:rPr>
          <w:rFonts w:ascii="Times New Roman" w:eastAsia="Times New Roman" w:hAnsi="Times New Roman" w:cs="Times New Roman"/>
          <w:sz w:val="26"/>
          <w:szCs w:val="26"/>
        </w:rPr>
      </w:pPr>
    </w:p>
    <w:p w:rsidR="00B23610" w:rsidRPr="002C033F" w:rsidRDefault="002C033F" w:rsidP="00231829">
      <w:pPr>
        <w:spacing w:after="0" w:line="360" w:lineRule="auto"/>
        <w:contextualSpacing/>
        <w:rPr>
          <w:rFonts w:ascii="Times New Roman" w:eastAsia="Times New Roman" w:hAnsi="Times New Roman" w:cs="Times New Roman"/>
          <w:sz w:val="26"/>
          <w:szCs w:val="26"/>
        </w:rPr>
      </w:pPr>
      <w:r w:rsidRPr="002C033F">
        <w:rPr>
          <w:rFonts w:ascii="Times New Roman" w:eastAsia="Times New Roman" w:hAnsi="Times New Roman" w:cs="Times New Roman"/>
          <w:sz w:val="26"/>
          <w:szCs w:val="26"/>
        </w:rPr>
        <w:tab/>
      </w:r>
      <w:r w:rsidR="00BF2708" w:rsidRPr="002C033F">
        <w:rPr>
          <w:rFonts w:ascii="Times New Roman" w:eastAsia="Times New Roman" w:hAnsi="Times New Roman" w:cs="Times New Roman"/>
          <w:sz w:val="26"/>
          <w:szCs w:val="26"/>
        </w:rPr>
        <w:t xml:space="preserve">CAUSE-PA notes that PGW does not provide any information about the City grant or increased operating expenses.  CAUSE-PA recommends that </w:t>
      </w:r>
      <w:r w:rsidR="008B1309" w:rsidRPr="002C033F">
        <w:rPr>
          <w:rFonts w:ascii="Times New Roman" w:eastAsia="Times New Roman" w:hAnsi="Times New Roman" w:cs="Times New Roman"/>
          <w:sz w:val="26"/>
          <w:szCs w:val="26"/>
        </w:rPr>
        <w:t xml:space="preserve">the Commission refer this matter to the OALJ for a review of the relationship between PGW and UESF.  CAUSE-PA Supplemental Comments at 6.  </w:t>
      </w:r>
    </w:p>
    <w:p w:rsidR="00BF2708" w:rsidRDefault="00BF2708" w:rsidP="00231829">
      <w:pPr>
        <w:spacing w:after="0" w:line="360" w:lineRule="auto"/>
        <w:contextualSpacing/>
        <w:rPr>
          <w:rFonts w:ascii="Times New Roman" w:eastAsia="Times New Roman" w:hAnsi="Times New Roman" w:cs="Times New Roman"/>
          <w:i/>
          <w:sz w:val="26"/>
          <w:szCs w:val="26"/>
        </w:rPr>
      </w:pPr>
    </w:p>
    <w:p w:rsidR="00C47F76" w:rsidRPr="001C6592" w:rsidRDefault="000D6CAE" w:rsidP="00231829">
      <w:pPr>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i/>
          <w:sz w:val="26"/>
          <w:szCs w:val="26"/>
        </w:rPr>
        <w:t xml:space="preserve">Resolution: </w:t>
      </w:r>
      <w:r w:rsidR="001C6592" w:rsidRPr="00196E5A">
        <w:rPr>
          <w:rFonts w:ascii="Times New Roman" w:eastAsia="Times New Roman" w:hAnsi="Times New Roman" w:cs="Times New Roman"/>
          <w:color w:val="0D0D0D" w:themeColor="text1" w:themeTint="F2"/>
          <w:sz w:val="26"/>
          <w:szCs w:val="26"/>
        </w:rPr>
        <w:t>We continue to have concerns about the high administrative</w:t>
      </w:r>
      <w:r w:rsidR="001C6592">
        <w:rPr>
          <w:rFonts w:ascii="Times New Roman" w:eastAsia="Times New Roman" w:hAnsi="Times New Roman" w:cs="Times New Roman"/>
          <w:color w:val="0D0D0D" w:themeColor="text1" w:themeTint="F2"/>
          <w:sz w:val="26"/>
          <w:szCs w:val="26"/>
        </w:rPr>
        <w:t xml:space="preserve"> (operating)</w:t>
      </w:r>
      <w:r w:rsidR="001C6592" w:rsidRPr="00196E5A">
        <w:rPr>
          <w:rFonts w:ascii="Times New Roman" w:eastAsia="Times New Roman" w:hAnsi="Times New Roman" w:cs="Times New Roman"/>
          <w:color w:val="0D0D0D" w:themeColor="text1" w:themeTint="F2"/>
          <w:sz w:val="26"/>
          <w:szCs w:val="26"/>
        </w:rPr>
        <w:t xml:space="preserve"> costs f</w:t>
      </w:r>
      <w:r w:rsidR="001C6592">
        <w:rPr>
          <w:rFonts w:ascii="Times New Roman" w:eastAsia="Times New Roman" w:hAnsi="Times New Roman" w:cs="Times New Roman"/>
          <w:color w:val="0D0D0D" w:themeColor="text1" w:themeTint="F2"/>
          <w:sz w:val="26"/>
          <w:szCs w:val="26"/>
        </w:rPr>
        <w:t>or PGW’s Hardship Fund program.  We are not opposed to the agreement reached by PGW, PECO</w:t>
      </w:r>
      <w:r w:rsidR="00AF3425">
        <w:rPr>
          <w:rFonts w:ascii="Times New Roman" w:eastAsia="Times New Roman" w:hAnsi="Times New Roman" w:cs="Times New Roman"/>
          <w:color w:val="0D0D0D" w:themeColor="text1" w:themeTint="F2"/>
          <w:sz w:val="26"/>
          <w:szCs w:val="26"/>
        </w:rPr>
        <w:t>,</w:t>
      </w:r>
      <w:r w:rsidR="001C6592">
        <w:rPr>
          <w:rFonts w:ascii="Times New Roman" w:eastAsia="Times New Roman" w:hAnsi="Times New Roman" w:cs="Times New Roman"/>
          <w:color w:val="0D0D0D" w:themeColor="text1" w:themeTint="F2"/>
          <w:sz w:val="26"/>
          <w:szCs w:val="26"/>
        </w:rPr>
        <w:t xml:space="preserve"> and the Philadelphia Water Department </w:t>
      </w:r>
      <w:r w:rsidR="00EE73F0">
        <w:rPr>
          <w:rFonts w:ascii="Times New Roman" w:eastAsia="Times New Roman" w:hAnsi="Times New Roman" w:cs="Times New Roman"/>
          <w:color w:val="0D0D0D" w:themeColor="text1" w:themeTint="F2"/>
          <w:sz w:val="26"/>
          <w:szCs w:val="26"/>
        </w:rPr>
        <w:t xml:space="preserve">to share the operating costs of UESF.  However, PGW should not be identifying the full amount paid to UESF as </w:t>
      </w:r>
      <w:r w:rsidR="00583560">
        <w:rPr>
          <w:rFonts w:ascii="Times New Roman" w:eastAsia="Times New Roman" w:hAnsi="Times New Roman" w:cs="Times New Roman"/>
          <w:color w:val="0D0D0D" w:themeColor="text1" w:themeTint="F2"/>
          <w:sz w:val="26"/>
          <w:szCs w:val="26"/>
        </w:rPr>
        <w:t>“</w:t>
      </w:r>
      <w:r w:rsidR="00EE73F0">
        <w:rPr>
          <w:rFonts w:ascii="Times New Roman" w:eastAsia="Times New Roman" w:hAnsi="Times New Roman" w:cs="Times New Roman"/>
          <w:color w:val="0D0D0D" w:themeColor="text1" w:themeTint="F2"/>
          <w:sz w:val="26"/>
          <w:szCs w:val="26"/>
        </w:rPr>
        <w:t>Hardship Fund</w:t>
      </w:r>
      <w:r w:rsidR="00583560">
        <w:rPr>
          <w:rFonts w:ascii="Times New Roman" w:eastAsia="Times New Roman" w:hAnsi="Times New Roman" w:cs="Times New Roman"/>
          <w:color w:val="0D0D0D" w:themeColor="text1" w:themeTint="F2"/>
          <w:sz w:val="26"/>
          <w:szCs w:val="26"/>
        </w:rPr>
        <w:t>”</w:t>
      </w:r>
      <w:r w:rsidR="00EE73F0">
        <w:rPr>
          <w:rFonts w:ascii="Times New Roman" w:eastAsia="Times New Roman" w:hAnsi="Times New Roman" w:cs="Times New Roman"/>
          <w:color w:val="0D0D0D" w:themeColor="text1" w:themeTint="F2"/>
          <w:sz w:val="26"/>
          <w:szCs w:val="26"/>
        </w:rPr>
        <w:t xml:space="preserve"> operating expenses if these funds are used to support other UESF activities.  </w:t>
      </w:r>
      <w:r w:rsidR="00583560">
        <w:rPr>
          <w:rFonts w:ascii="Times New Roman" w:eastAsia="Times New Roman" w:hAnsi="Times New Roman" w:cs="Times New Roman"/>
          <w:color w:val="0D0D0D" w:themeColor="text1" w:themeTint="F2"/>
          <w:sz w:val="26"/>
          <w:szCs w:val="26"/>
        </w:rPr>
        <w:t xml:space="preserve">For example, it is unclear if the “City </w:t>
      </w:r>
      <w:r w:rsidR="00FF4C97">
        <w:rPr>
          <w:rFonts w:ascii="Times New Roman" w:eastAsia="Times New Roman" w:hAnsi="Times New Roman" w:cs="Times New Roman"/>
          <w:color w:val="0D0D0D" w:themeColor="text1" w:themeTint="F2"/>
          <w:sz w:val="26"/>
          <w:szCs w:val="26"/>
        </w:rPr>
        <w:t>grant” administered by UESF is part of</w:t>
      </w:r>
      <w:r w:rsidR="002B1B23">
        <w:rPr>
          <w:rFonts w:ascii="Times New Roman" w:eastAsia="Times New Roman" w:hAnsi="Times New Roman" w:cs="Times New Roman"/>
          <w:color w:val="0D0D0D" w:themeColor="text1" w:themeTint="F2"/>
          <w:sz w:val="26"/>
          <w:szCs w:val="26"/>
        </w:rPr>
        <w:t xml:space="preserve"> the </w:t>
      </w:r>
      <w:r w:rsidR="00FF4C97">
        <w:rPr>
          <w:rFonts w:ascii="Times New Roman" w:eastAsia="Times New Roman" w:hAnsi="Times New Roman" w:cs="Times New Roman"/>
          <w:color w:val="0D0D0D" w:themeColor="text1" w:themeTint="F2"/>
          <w:sz w:val="26"/>
          <w:szCs w:val="26"/>
        </w:rPr>
        <w:t xml:space="preserve">PGW’s </w:t>
      </w:r>
      <w:r w:rsidR="002B1B23">
        <w:rPr>
          <w:rFonts w:ascii="Times New Roman" w:eastAsia="Times New Roman" w:hAnsi="Times New Roman" w:cs="Times New Roman"/>
          <w:color w:val="0D0D0D" w:themeColor="text1" w:themeTint="F2"/>
          <w:sz w:val="26"/>
          <w:szCs w:val="26"/>
        </w:rPr>
        <w:t>Hardship Fund grant</w:t>
      </w:r>
      <w:r w:rsidR="00FF4C97">
        <w:rPr>
          <w:rFonts w:ascii="Times New Roman" w:eastAsia="Times New Roman" w:hAnsi="Times New Roman" w:cs="Times New Roman"/>
          <w:color w:val="0D0D0D" w:themeColor="text1" w:themeTint="F2"/>
          <w:sz w:val="26"/>
          <w:szCs w:val="26"/>
        </w:rPr>
        <w:t xml:space="preserve"> or a separate grant offered by the agency.</w:t>
      </w:r>
      <w:r w:rsidR="001C6592">
        <w:rPr>
          <w:rFonts w:ascii="Times New Roman" w:eastAsia="Times New Roman" w:hAnsi="Times New Roman" w:cs="Times New Roman"/>
          <w:color w:val="0D0D0D" w:themeColor="text1" w:themeTint="F2"/>
          <w:sz w:val="26"/>
          <w:szCs w:val="26"/>
        </w:rPr>
        <w:t xml:space="preserve"> </w:t>
      </w:r>
    </w:p>
    <w:p w:rsidR="002C033F" w:rsidRDefault="002C033F" w:rsidP="00231829">
      <w:pPr>
        <w:spacing w:after="0" w:line="360" w:lineRule="auto"/>
        <w:contextualSpacing/>
        <w:rPr>
          <w:rFonts w:ascii="Times New Roman" w:eastAsia="Times New Roman" w:hAnsi="Times New Roman" w:cs="Times New Roman"/>
          <w:sz w:val="26"/>
          <w:szCs w:val="26"/>
        </w:rPr>
      </w:pPr>
    </w:p>
    <w:p w:rsidR="001C6592" w:rsidRPr="002C033F" w:rsidRDefault="008B320A" w:rsidP="00231829">
      <w:pPr>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4D0D2E">
        <w:rPr>
          <w:rFonts w:ascii="Times New Roman" w:eastAsia="Times New Roman" w:hAnsi="Times New Roman" w:cs="Times New Roman"/>
          <w:sz w:val="26"/>
          <w:szCs w:val="26"/>
        </w:rPr>
        <w:t xml:space="preserve">Sections </w:t>
      </w:r>
      <w:r w:rsidR="004D0D2E" w:rsidRPr="00E05417">
        <w:rPr>
          <w:rFonts w:ascii="Times New Roman" w:eastAsia="Times New Roman" w:hAnsi="Times New Roman" w:cs="Times New Roman"/>
          <w:sz w:val="26"/>
          <w:szCs w:val="26"/>
        </w:rPr>
        <w:t xml:space="preserve">62.3(4) </w:t>
      </w:r>
      <w:r w:rsidR="004D0D2E">
        <w:rPr>
          <w:rFonts w:ascii="Times New Roman" w:eastAsia="Times New Roman" w:hAnsi="Times New Roman" w:cs="Times New Roman"/>
          <w:sz w:val="26"/>
          <w:szCs w:val="26"/>
        </w:rPr>
        <w:t xml:space="preserve">of Commission regulations </w:t>
      </w:r>
      <w:r w:rsidR="004D0D2E" w:rsidRPr="00E05417">
        <w:rPr>
          <w:rFonts w:ascii="Times New Roman" w:eastAsia="Times New Roman" w:hAnsi="Times New Roman" w:cs="Times New Roman"/>
          <w:sz w:val="26"/>
          <w:szCs w:val="26"/>
        </w:rPr>
        <w:t xml:space="preserve">direct the Commission to </w:t>
      </w:r>
      <w:r w:rsidR="004D0D2E">
        <w:rPr>
          <w:rFonts w:ascii="Times New Roman" w:eastAsia="Times New Roman" w:hAnsi="Times New Roman" w:cs="Times New Roman"/>
          <w:sz w:val="26"/>
          <w:szCs w:val="26"/>
        </w:rPr>
        <w:t>establish</w:t>
      </w:r>
      <w:r w:rsidR="004D0D2E" w:rsidRPr="00E05417">
        <w:rPr>
          <w:rFonts w:ascii="Times New Roman" w:eastAsia="Times New Roman" w:hAnsi="Times New Roman" w:cs="Times New Roman"/>
          <w:sz w:val="26"/>
          <w:szCs w:val="26"/>
        </w:rPr>
        <w:t xml:space="preserve"> whether universal service programs are operated in a cost effective and </w:t>
      </w:r>
      <w:r w:rsidR="004D0D2E" w:rsidRPr="00BD08CA">
        <w:rPr>
          <w:rFonts w:ascii="Times New Roman" w:eastAsia="Times New Roman" w:hAnsi="Times New Roman" w:cs="Times New Roman"/>
          <w:sz w:val="26"/>
          <w:szCs w:val="26"/>
        </w:rPr>
        <w:t>efficient</w:t>
      </w:r>
      <w:r w:rsidR="004D0D2E" w:rsidRPr="00E05417">
        <w:rPr>
          <w:rFonts w:ascii="Times New Roman" w:eastAsia="Times New Roman" w:hAnsi="Times New Roman" w:cs="Times New Roman"/>
          <w:sz w:val="26"/>
          <w:szCs w:val="26"/>
        </w:rPr>
        <w:t xml:space="preserve"> manner.</w:t>
      </w:r>
      <w:r w:rsidR="004D0D2E">
        <w:rPr>
          <w:rFonts w:ascii="Times New Roman" w:eastAsia="Times New Roman" w:hAnsi="Times New Roman" w:cs="Times New Roman"/>
          <w:sz w:val="26"/>
          <w:szCs w:val="26"/>
        </w:rPr>
        <w:t xml:space="preserve">  </w:t>
      </w:r>
      <w:r w:rsidR="000F1DAE">
        <w:rPr>
          <w:rFonts w:ascii="Times New Roman" w:eastAsia="Times New Roman" w:hAnsi="Times New Roman" w:cs="Times New Roman"/>
          <w:color w:val="0D0D0D" w:themeColor="text1" w:themeTint="F2"/>
          <w:sz w:val="26"/>
          <w:szCs w:val="26"/>
        </w:rPr>
        <w:t>We are not rejecting PGW’s Hardship Fund budget at this time b</w:t>
      </w:r>
      <w:r w:rsidR="000F1DAE">
        <w:rPr>
          <w:rFonts w:ascii="Times New Roman" w:eastAsia="Times New Roman" w:hAnsi="Times New Roman" w:cs="Times New Roman"/>
          <w:sz w:val="26"/>
          <w:szCs w:val="26"/>
        </w:rPr>
        <w:t>ecause the operating costs are recovered through PGW’s base rates.  W</w:t>
      </w:r>
      <w:r w:rsidR="000F1DAE">
        <w:rPr>
          <w:rFonts w:ascii="Times New Roman" w:hAnsi="Times New Roman"/>
          <w:color w:val="0D0D0D"/>
          <w:sz w:val="26"/>
          <w:szCs w:val="26"/>
        </w:rPr>
        <w:t>e may seek additional details about PGW’s Hardship Fund operating costs in our review of the Comp</w:t>
      </w:r>
      <w:r w:rsidR="007016D9">
        <w:rPr>
          <w:rFonts w:ascii="Times New Roman" w:hAnsi="Times New Roman"/>
          <w:color w:val="0D0D0D"/>
          <w:sz w:val="26"/>
          <w:szCs w:val="26"/>
        </w:rPr>
        <w:t>any’s next base rate proceeding</w:t>
      </w:r>
      <w:r w:rsidR="000F1DAE">
        <w:rPr>
          <w:rFonts w:ascii="Times New Roman" w:eastAsia="Times New Roman" w:hAnsi="Times New Roman" w:cs="Times New Roman"/>
          <w:color w:val="0D0D0D" w:themeColor="text1" w:themeTint="F2"/>
          <w:sz w:val="26"/>
          <w:szCs w:val="26"/>
        </w:rPr>
        <w:t>.</w:t>
      </w:r>
      <w:r w:rsidR="00E72D03">
        <w:rPr>
          <w:rStyle w:val="FootnoteReference"/>
          <w:rFonts w:ascii="Times New Roman" w:eastAsia="Times New Roman" w:hAnsi="Times New Roman" w:cs="Times New Roman"/>
          <w:color w:val="0D0D0D" w:themeColor="text1" w:themeTint="F2"/>
          <w:sz w:val="26"/>
          <w:szCs w:val="26"/>
        </w:rPr>
        <w:footnoteReference w:id="55"/>
      </w:r>
    </w:p>
    <w:p w:rsidR="00C47F76" w:rsidRPr="00C47F76" w:rsidRDefault="00C47F76" w:rsidP="00231829">
      <w:pPr>
        <w:spacing w:after="0" w:line="360" w:lineRule="auto"/>
        <w:contextualSpacing/>
        <w:rPr>
          <w:rFonts w:ascii="Times New Roman" w:eastAsia="Times New Roman" w:hAnsi="Times New Roman" w:cs="Times New Roman"/>
          <w:sz w:val="26"/>
          <w:szCs w:val="26"/>
        </w:rPr>
      </w:pPr>
    </w:p>
    <w:p w:rsidR="00C47F76" w:rsidRPr="00C47F76" w:rsidRDefault="00C47F76" w:rsidP="006561CF">
      <w:pPr>
        <w:keepNext/>
        <w:numPr>
          <w:ilvl w:val="0"/>
          <w:numId w:val="41"/>
        </w:numPr>
        <w:spacing w:after="0" w:line="360" w:lineRule="auto"/>
        <w:contextualSpacing/>
        <w:rPr>
          <w:rFonts w:ascii="Times New Roman" w:eastAsia="Times New Roman" w:hAnsi="Times New Roman" w:cs="Times New Roman"/>
          <w:b/>
          <w:sz w:val="26"/>
          <w:szCs w:val="26"/>
          <w:u w:val="single"/>
        </w:rPr>
      </w:pPr>
      <w:r w:rsidRPr="00C47F76">
        <w:rPr>
          <w:rFonts w:ascii="Times New Roman" w:eastAsia="Times New Roman" w:hAnsi="Times New Roman" w:cs="Times New Roman"/>
          <w:b/>
          <w:sz w:val="26"/>
          <w:szCs w:val="26"/>
          <w:u w:val="single"/>
        </w:rPr>
        <w:lastRenderedPageBreak/>
        <w:t>Use of Community-Based Organizations (CBOs)</w:t>
      </w:r>
    </w:p>
    <w:p w:rsidR="00C47F76" w:rsidRPr="00C47F76" w:rsidRDefault="00C47F76" w:rsidP="00231829">
      <w:pPr>
        <w:keepNext/>
        <w:spacing w:after="0" w:line="360" w:lineRule="auto"/>
        <w:ind w:firstLine="720"/>
        <w:contextualSpacing/>
        <w:rPr>
          <w:rFonts w:ascii="Times New Roman" w:eastAsia="Times New Roman" w:hAnsi="Times New Roman" w:cs="Times New Roman"/>
          <w:sz w:val="26"/>
          <w:szCs w:val="26"/>
        </w:rPr>
      </w:pPr>
    </w:p>
    <w:p w:rsidR="009A1777" w:rsidRDefault="00D854EC" w:rsidP="00C24645">
      <w:pPr>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C24645" w:rsidRPr="00F4694E">
        <w:rPr>
          <w:rFonts w:ascii="Times New Roman" w:eastAsia="Times New Roman" w:hAnsi="Times New Roman" w:cs="Times New Roman"/>
          <w:sz w:val="26"/>
          <w:szCs w:val="26"/>
        </w:rPr>
        <w:t xml:space="preserve">The </w:t>
      </w:r>
      <w:r w:rsidR="00C24645">
        <w:rPr>
          <w:rFonts w:ascii="Times New Roman" w:eastAsia="Times New Roman" w:hAnsi="Times New Roman" w:cs="Times New Roman"/>
          <w:sz w:val="26"/>
          <w:szCs w:val="26"/>
        </w:rPr>
        <w:t>Gas Competition Act</w:t>
      </w:r>
      <w:r w:rsidR="00C24645" w:rsidRPr="00F4694E">
        <w:rPr>
          <w:rFonts w:ascii="Times New Roman" w:eastAsia="Times New Roman" w:hAnsi="Times New Roman" w:cs="Times New Roman"/>
          <w:sz w:val="26"/>
          <w:szCs w:val="26"/>
        </w:rPr>
        <w:t xml:space="preserve"> directs the Commission to “encourage the use of [CBOs] that have the necessary technical and administrative experience to be the direct providers of services or programs which reduce energy consumption or otherwise assist low income retail gas customers to afford natural gas service.”  66 Pa.</w:t>
      </w:r>
      <w:r w:rsidR="0037392C">
        <w:rPr>
          <w:rFonts w:ascii="Times New Roman" w:eastAsia="Times New Roman" w:hAnsi="Times New Roman" w:cs="Times New Roman"/>
          <w:sz w:val="26"/>
          <w:szCs w:val="26"/>
        </w:rPr>
        <w:t xml:space="preserve"> </w:t>
      </w:r>
      <w:r w:rsidR="00C24645" w:rsidRPr="00F4694E">
        <w:rPr>
          <w:rFonts w:ascii="Times New Roman" w:eastAsia="Times New Roman" w:hAnsi="Times New Roman" w:cs="Times New Roman"/>
          <w:sz w:val="26"/>
          <w:szCs w:val="26"/>
        </w:rPr>
        <w:t>C.S. § 2203(8).</w:t>
      </w:r>
      <w:r w:rsidR="00C47F76" w:rsidRPr="00C47F76">
        <w:rPr>
          <w:rFonts w:ascii="Times New Roman" w:eastAsia="Times New Roman" w:hAnsi="Times New Roman" w:cs="Times New Roman"/>
          <w:sz w:val="26"/>
          <w:szCs w:val="26"/>
        </w:rPr>
        <w:t xml:space="preserve">  PGW utilizes community agencies throughout the Company’s service territory as referral agencies or contractors in the CRP, CARES, and Hardship Fund programs.  PGW’s CARES program coordinates with Neighborhood Energy Centers and UESF intake sites</w:t>
      </w:r>
      <w:r w:rsidR="00395B4C">
        <w:rPr>
          <w:rStyle w:val="FootnoteReference"/>
          <w:rFonts w:ascii="Times New Roman" w:eastAsia="Times New Roman" w:hAnsi="Times New Roman" w:cs="Times New Roman"/>
          <w:sz w:val="26"/>
          <w:szCs w:val="26"/>
        </w:rPr>
        <w:footnoteReference w:id="56"/>
      </w:r>
      <w:r w:rsidR="00C47F76" w:rsidRPr="00C47F76">
        <w:rPr>
          <w:rFonts w:ascii="Times New Roman" w:eastAsia="Times New Roman" w:hAnsi="Times New Roman" w:cs="Times New Roman"/>
          <w:sz w:val="26"/>
          <w:szCs w:val="26"/>
        </w:rPr>
        <w:t xml:space="preserve"> to help customer</w:t>
      </w:r>
      <w:r w:rsidR="004915FE">
        <w:rPr>
          <w:rFonts w:ascii="Times New Roman" w:eastAsia="Times New Roman" w:hAnsi="Times New Roman" w:cs="Times New Roman"/>
          <w:sz w:val="26"/>
          <w:szCs w:val="26"/>
        </w:rPr>
        <w:t>s resolve payment issues</w:t>
      </w:r>
      <w:r w:rsidR="00C47F76" w:rsidRPr="00C47F76">
        <w:rPr>
          <w:rFonts w:ascii="Times New Roman" w:eastAsia="Times New Roman" w:hAnsi="Times New Roman" w:cs="Times New Roman"/>
          <w:sz w:val="26"/>
          <w:szCs w:val="26"/>
        </w:rPr>
        <w:t xml:space="preserve">.  The Company utilizes other social service agencies as needed based on the customer’s situation.  </w:t>
      </w:r>
    </w:p>
    <w:p w:rsidR="009A1777" w:rsidRDefault="009A1777" w:rsidP="00C24645">
      <w:pPr>
        <w:spacing w:after="0" w:line="360" w:lineRule="auto"/>
        <w:contextualSpacing/>
        <w:rPr>
          <w:rFonts w:ascii="Times New Roman" w:eastAsia="Times New Roman" w:hAnsi="Times New Roman" w:cs="Times New Roman"/>
          <w:sz w:val="26"/>
          <w:szCs w:val="26"/>
        </w:rPr>
      </w:pPr>
    </w:p>
    <w:p w:rsidR="00C47F76" w:rsidRPr="00C47F76" w:rsidRDefault="00B63E24" w:rsidP="009A1777">
      <w:pPr>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i/>
          <w:sz w:val="26"/>
          <w:szCs w:val="26"/>
        </w:rPr>
        <w:t xml:space="preserve">Resolution: </w:t>
      </w:r>
      <w:r w:rsidRPr="00BB44CA">
        <w:rPr>
          <w:rFonts w:ascii="Times New Roman" w:eastAsia="Times New Roman" w:hAnsi="Times New Roman" w:cs="Times New Roman"/>
          <w:sz w:val="26"/>
          <w:szCs w:val="26"/>
        </w:rPr>
        <w:t xml:space="preserve">Consistent with </w:t>
      </w:r>
      <w:r>
        <w:rPr>
          <w:rFonts w:ascii="Times New Roman" w:eastAsia="Times New Roman" w:hAnsi="Times New Roman" w:cs="Times New Roman"/>
          <w:sz w:val="26"/>
          <w:szCs w:val="26"/>
        </w:rPr>
        <w:t xml:space="preserve">the </w:t>
      </w:r>
      <w:r w:rsidRPr="00BB44CA">
        <w:rPr>
          <w:rFonts w:ascii="Times New Roman" w:eastAsia="Times New Roman" w:hAnsi="Times New Roman" w:cs="Times New Roman"/>
          <w:sz w:val="26"/>
          <w:szCs w:val="26"/>
        </w:rPr>
        <w:t>Tentative Order</w:t>
      </w:r>
      <w:r w:rsidRPr="005F4CC0">
        <w:rPr>
          <w:rFonts w:ascii="Times New Roman" w:eastAsia="Times New Roman" w:hAnsi="Times New Roman" w:cs="Times New Roman"/>
          <w:color w:val="0D0D0D" w:themeColor="text1" w:themeTint="F2"/>
          <w:sz w:val="26"/>
          <w:szCs w:val="26"/>
        </w:rPr>
        <w:t>,</w:t>
      </w:r>
      <w:r>
        <w:rPr>
          <w:rFonts w:ascii="Times New Roman" w:eastAsia="Times New Roman" w:hAnsi="Times New Roman" w:cs="Times New Roman"/>
          <w:color w:val="0D0D0D" w:themeColor="text1" w:themeTint="F2"/>
          <w:sz w:val="26"/>
          <w:szCs w:val="26"/>
        </w:rPr>
        <w:t xml:space="preserve"> we</w:t>
      </w:r>
      <w:r w:rsidR="00C47F76" w:rsidRPr="00C47F76">
        <w:rPr>
          <w:rFonts w:ascii="Times New Roman" w:eastAsia="Times New Roman" w:hAnsi="Times New Roman" w:cs="Times New Roman"/>
          <w:sz w:val="26"/>
          <w:szCs w:val="26"/>
        </w:rPr>
        <w:t xml:space="preserve"> find that PGW’s use of CBOs complies with the intent of the </w:t>
      </w:r>
      <w:r w:rsidR="00AF3425">
        <w:rPr>
          <w:rFonts w:ascii="Times New Roman" w:eastAsia="Times New Roman" w:hAnsi="Times New Roman" w:cs="Times New Roman"/>
          <w:sz w:val="26"/>
          <w:szCs w:val="26"/>
        </w:rPr>
        <w:t xml:space="preserve">Gas </w:t>
      </w:r>
      <w:r w:rsidR="00C47F76" w:rsidRPr="00C47F76">
        <w:rPr>
          <w:rFonts w:ascii="Times New Roman" w:eastAsia="Times New Roman" w:hAnsi="Times New Roman" w:cs="Times New Roman"/>
          <w:sz w:val="26"/>
          <w:szCs w:val="26"/>
        </w:rPr>
        <w:t xml:space="preserve">Competition Act.  </w:t>
      </w:r>
    </w:p>
    <w:p w:rsidR="00C47F76" w:rsidRPr="00C47F76" w:rsidRDefault="00C47F76" w:rsidP="00231829">
      <w:pPr>
        <w:spacing w:after="0" w:line="360" w:lineRule="auto"/>
        <w:ind w:firstLine="720"/>
        <w:contextualSpacing/>
        <w:rPr>
          <w:rFonts w:ascii="Times New Roman" w:eastAsia="Times New Roman" w:hAnsi="Times New Roman" w:cs="Times New Roman"/>
          <w:sz w:val="26"/>
          <w:szCs w:val="26"/>
        </w:rPr>
      </w:pPr>
    </w:p>
    <w:p w:rsidR="00C47F76" w:rsidRPr="00C47F76" w:rsidRDefault="0077561A" w:rsidP="006561CF">
      <w:pPr>
        <w:keepNext/>
        <w:numPr>
          <w:ilvl w:val="0"/>
          <w:numId w:val="41"/>
        </w:numPr>
        <w:spacing w:after="0" w:line="360" w:lineRule="auto"/>
        <w:contextualSpacing/>
        <w:rPr>
          <w:rFonts w:ascii="Times New Roman" w:eastAsia="Times New Roman" w:hAnsi="Times New Roman" w:cs="Times New Roman"/>
          <w:b/>
          <w:sz w:val="26"/>
          <w:szCs w:val="26"/>
          <w:u w:val="single"/>
        </w:rPr>
      </w:pPr>
      <w:r w:rsidRPr="005F4CC0">
        <w:rPr>
          <w:rFonts w:ascii="Times New Roman" w:eastAsia="Times New Roman" w:hAnsi="Times New Roman" w:cs="Times New Roman"/>
          <w:b/>
          <w:color w:val="0D0D0D" w:themeColor="text1" w:themeTint="F2"/>
          <w:sz w:val="26"/>
          <w:szCs w:val="26"/>
          <w:u w:val="single"/>
        </w:rPr>
        <w:t>Organizational Structure</w:t>
      </w:r>
    </w:p>
    <w:p w:rsidR="00C47F76" w:rsidRPr="00C47F76" w:rsidRDefault="00C47F76" w:rsidP="0077561A">
      <w:pPr>
        <w:keepNext/>
        <w:tabs>
          <w:tab w:val="left" w:pos="6660"/>
        </w:tabs>
        <w:spacing w:after="0" w:line="360" w:lineRule="auto"/>
        <w:ind w:firstLine="720"/>
        <w:contextualSpacing/>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ab/>
      </w:r>
    </w:p>
    <w:p w:rsidR="00C47F76" w:rsidRPr="00C47F76" w:rsidRDefault="00C47F76" w:rsidP="00231829">
      <w:pPr>
        <w:spacing w:after="0" w:line="360" w:lineRule="auto"/>
        <w:ind w:firstLine="720"/>
        <w:contextualSpacing/>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PGW reports the following organizational structure for its universal service programs:</w:t>
      </w:r>
    </w:p>
    <w:p w:rsidR="00C47F76" w:rsidRPr="00C47F76" w:rsidRDefault="00C47F76" w:rsidP="00231829">
      <w:pPr>
        <w:spacing w:after="0" w:line="360" w:lineRule="auto"/>
        <w:ind w:firstLine="720"/>
        <w:contextualSpacing/>
        <w:rPr>
          <w:rFonts w:ascii="Times New Roman" w:eastAsia="Times New Roman" w:hAnsi="Times New Roman" w:cs="Times New Roman"/>
          <w:sz w:val="26"/>
          <w:szCs w:val="26"/>
        </w:rPr>
      </w:pPr>
    </w:p>
    <w:p w:rsidR="00C47F76" w:rsidRDefault="00C47F76" w:rsidP="00231829">
      <w:pPr>
        <w:spacing w:after="0" w:line="360" w:lineRule="auto"/>
        <w:ind w:firstLine="720"/>
        <w:contextualSpacing/>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 xml:space="preserve">1 Director, Regulatory Compliance </w:t>
      </w:r>
    </w:p>
    <w:p w:rsidR="00EA6568" w:rsidRPr="00C47F76" w:rsidRDefault="00EA6568" w:rsidP="00231829">
      <w:pPr>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1 Director, Customer Programs</w:t>
      </w:r>
    </w:p>
    <w:p w:rsidR="00C47F76" w:rsidRDefault="00C47F76" w:rsidP="00231829">
      <w:pPr>
        <w:spacing w:after="0" w:line="360" w:lineRule="auto"/>
        <w:ind w:firstLine="720"/>
        <w:contextualSpacing/>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1 Manager, Universal Services</w:t>
      </w:r>
    </w:p>
    <w:p w:rsidR="00EA6568" w:rsidRPr="00C47F76" w:rsidRDefault="00EA6568" w:rsidP="00231829">
      <w:pPr>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 Manager, </w:t>
      </w:r>
      <w:r w:rsidRPr="00EA6568">
        <w:rPr>
          <w:rFonts w:ascii="Times New Roman" w:eastAsia="Times New Roman" w:hAnsi="Times New Roman" w:cs="Times New Roman"/>
          <w:sz w:val="26"/>
          <w:szCs w:val="26"/>
        </w:rPr>
        <w:t>Energy Efficiency and Emerging Customer Programs</w:t>
      </w:r>
    </w:p>
    <w:p w:rsidR="00C47F76" w:rsidRDefault="00C47F76" w:rsidP="00231829">
      <w:pPr>
        <w:spacing w:after="0" w:line="360" w:lineRule="auto"/>
        <w:ind w:firstLine="720"/>
        <w:contextualSpacing/>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1 Supervisor, Universal Services</w:t>
      </w:r>
    </w:p>
    <w:p w:rsidR="00EA6568" w:rsidRPr="00C47F76" w:rsidRDefault="00EA6568" w:rsidP="00231829">
      <w:pPr>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1 </w:t>
      </w:r>
      <w:r w:rsidRPr="00EA6568">
        <w:rPr>
          <w:rFonts w:ascii="Times New Roman" w:eastAsia="Times New Roman" w:hAnsi="Times New Roman" w:cs="Times New Roman"/>
          <w:sz w:val="26"/>
          <w:szCs w:val="26"/>
        </w:rPr>
        <w:t>Analyst, Energy Efficiency and Emerging Customer Programs</w:t>
      </w:r>
    </w:p>
    <w:p w:rsidR="00C47F76" w:rsidRPr="00C47F76" w:rsidRDefault="00C47F76" w:rsidP="00231829">
      <w:pPr>
        <w:spacing w:after="0" w:line="360" w:lineRule="auto"/>
        <w:ind w:firstLine="720"/>
        <w:contextualSpacing/>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Universal Service Representatives</w:t>
      </w:r>
    </w:p>
    <w:p w:rsidR="00C47F76" w:rsidRPr="00C47F76" w:rsidRDefault="00C47F76" w:rsidP="00231829">
      <w:pPr>
        <w:spacing w:after="0" w:line="360" w:lineRule="auto"/>
        <w:ind w:firstLine="720"/>
        <w:contextualSpacing/>
        <w:rPr>
          <w:rFonts w:ascii="Times New Roman" w:eastAsia="Times New Roman" w:hAnsi="Times New Roman" w:cs="Times New Roman"/>
          <w:sz w:val="26"/>
          <w:szCs w:val="26"/>
        </w:rPr>
      </w:pPr>
    </w:p>
    <w:p w:rsidR="009A1777" w:rsidRDefault="00C47F76" w:rsidP="00231829">
      <w:pPr>
        <w:spacing w:after="0" w:line="360" w:lineRule="auto"/>
        <w:ind w:firstLine="720"/>
        <w:contextualSpacing/>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In addition to those listed above, the company employs various support staff for PGW District Offi</w:t>
      </w:r>
      <w:r w:rsidR="00D854EC">
        <w:rPr>
          <w:rFonts w:ascii="Times New Roman" w:eastAsia="Times New Roman" w:hAnsi="Times New Roman" w:cs="Times New Roman"/>
          <w:sz w:val="26"/>
          <w:szCs w:val="26"/>
        </w:rPr>
        <w:t>ces, Call Centers, and the CRP Home Comfort</w:t>
      </w:r>
      <w:r w:rsidRPr="00C47F76">
        <w:rPr>
          <w:rFonts w:ascii="Times New Roman" w:eastAsia="Times New Roman" w:hAnsi="Times New Roman" w:cs="Times New Roman"/>
          <w:sz w:val="26"/>
          <w:szCs w:val="26"/>
        </w:rPr>
        <w:t xml:space="preserve"> program.  </w:t>
      </w:r>
    </w:p>
    <w:p w:rsidR="0013036C" w:rsidRDefault="0013036C" w:rsidP="00231829">
      <w:pPr>
        <w:spacing w:after="0" w:line="360" w:lineRule="auto"/>
        <w:ind w:firstLine="720"/>
        <w:contextualSpacing/>
        <w:rPr>
          <w:rFonts w:ascii="Times New Roman" w:eastAsia="Times New Roman" w:hAnsi="Times New Roman" w:cs="Times New Roman"/>
          <w:sz w:val="26"/>
          <w:szCs w:val="26"/>
        </w:rPr>
      </w:pPr>
    </w:p>
    <w:p w:rsidR="0013036C" w:rsidRPr="000A2A7C" w:rsidRDefault="009542FF" w:rsidP="0013036C">
      <w:pPr>
        <w:spacing w:after="0" w:line="360" w:lineRule="auto"/>
        <w:contextualSpacing/>
        <w:rPr>
          <w:rFonts w:ascii="Times New Roman" w:eastAsia="Times New Roman" w:hAnsi="Times New Roman" w:cs="Times New Roman"/>
          <w:i/>
          <w:sz w:val="26"/>
          <w:szCs w:val="26"/>
        </w:rPr>
      </w:pPr>
      <w:r w:rsidRPr="000A2A7C">
        <w:rPr>
          <w:rFonts w:ascii="Times New Roman" w:eastAsia="Times New Roman" w:hAnsi="Times New Roman" w:cs="Times New Roman"/>
          <w:i/>
          <w:sz w:val="26"/>
          <w:szCs w:val="26"/>
        </w:rPr>
        <w:t>CARES Staffing</w:t>
      </w:r>
    </w:p>
    <w:p w:rsidR="0013036C" w:rsidRPr="000A2A7C" w:rsidRDefault="0013036C" w:rsidP="0013036C">
      <w:pPr>
        <w:spacing w:after="0" w:line="360" w:lineRule="auto"/>
        <w:contextualSpacing/>
        <w:rPr>
          <w:rFonts w:ascii="Times New Roman" w:eastAsia="Times New Roman" w:hAnsi="Times New Roman" w:cs="Times New Roman"/>
          <w:sz w:val="26"/>
          <w:szCs w:val="26"/>
        </w:rPr>
      </w:pPr>
    </w:p>
    <w:p w:rsidR="0013036C" w:rsidRPr="000A2A7C" w:rsidRDefault="009542FF" w:rsidP="0013036C">
      <w:pPr>
        <w:spacing w:after="0" w:line="360" w:lineRule="auto"/>
        <w:contextualSpacing/>
        <w:rPr>
          <w:rFonts w:ascii="Times New Roman" w:eastAsia="Calibri" w:hAnsi="Times New Roman" w:cs="Times New Roman"/>
          <w:sz w:val="26"/>
          <w:szCs w:val="26"/>
        </w:rPr>
      </w:pPr>
      <w:r w:rsidRPr="000A2A7C">
        <w:rPr>
          <w:rFonts w:ascii="Times New Roman" w:eastAsia="Times New Roman" w:hAnsi="Times New Roman" w:cs="Times New Roman"/>
          <w:sz w:val="26"/>
          <w:szCs w:val="26"/>
        </w:rPr>
        <w:tab/>
      </w:r>
      <w:r w:rsidR="0013036C" w:rsidRPr="000A2A7C">
        <w:rPr>
          <w:rFonts w:ascii="Times New Roman" w:eastAsia="Times New Roman" w:hAnsi="Times New Roman" w:cs="Times New Roman"/>
          <w:sz w:val="26"/>
          <w:szCs w:val="26"/>
        </w:rPr>
        <w:t xml:space="preserve">In the April 11 Secretarial Letter, </w:t>
      </w:r>
      <w:r w:rsidR="00AF3425">
        <w:rPr>
          <w:rFonts w:ascii="Times New Roman" w:eastAsia="Times New Roman" w:hAnsi="Times New Roman" w:cs="Times New Roman"/>
          <w:sz w:val="26"/>
          <w:szCs w:val="26"/>
        </w:rPr>
        <w:t xml:space="preserve">we asked </w:t>
      </w:r>
      <w:r w:rsidR="0013036C" w:rsidRPr="000A2A7C">
        <w:rPr>
          <w:rFonts w:ascii="Times New Roman" w:eastAsia="Times New Roman" w:hAnsi="Times New Roman" w:cs="Times New Roman"/>
          <w:sz w:val="26"/>
          <w:szCs w:val="26"/>
        </w:rPr>
        <w:t xml:space="preserve">PGW to </w:t>
      </w:r>
      <w:r w:rsidR="0013036C" w:rsidRPr="000A2A7C">
        <w:rPr>
          <w:rFonts w:ascii="Times New Roman" w:eastAsia="Calibri" w:hAnsi="Times New Roman" w:cs="Times New Roman"/>
          <w:sz w:val="26"/>
          <w:szCs w:val="26"/>
        </w:rPr>
        <w:t>identify how many people are employed in the PGW Cares unit and the job titles of this staff.</w:t>
      </w:r>
      <w:r w:rsidR="001D0986" w:rsidRPr="000A2A7C">
        <w:rPr>
          <w:rFonts w:ascii="Times New Roman" w:eastAsia="Calibri" w:hAnsi="Times New Roman" w:cs="Times New Roman"/>
          <w:sz w:val="26"/>
          <w:szCs w:val="26"/>
        </w:rPr>
        <w:t xml:space="preserve">  April 11 Secretarial Letter at 1.  PGW reports it has 140 customer service representatives that perform quick-fix referrals and six members of its Universal Services department that handle follow-up case management (One Manager, one supervisor,</w:t>
      </w:r>
      <w:r w:rsidR="00042021">
        <w:rPr>
          <w:rFonts w:ascii="Times New Roman" w:eastAsia="Calibri" w:hAnsi="Times New Roman" w:cs="Times New Roman"/>
          <w:sz w:val="26"/>
          <w:szCs w:val="26"/>
        </w:rPr>
        <w:t xml:space="preserve"> and four employees).  PGW </w:t>
      </w:r>
      <w:r w:rsidR="001D0986" w:rsidRPr="000A2A7C">
        <w:rPr>
          <w:rFonts w:ascii="Times New Roman" w:eastAsia="Calibri" w:hAnsi="Times New Roman" w:cs="Times New Roman"/>
          <w:sz w:val="26"/>
          <w:szCs w:val="26"/>
        </w:rPr>
        <w:t xml:space="preserve">Response at 2.  </w:t>
      </w:r>
    </w:p>
    <w:p w:rsidR="009D6126" w:rsidRPr="000A2A7C" w:rsidRDefault="009D6126" w:rsidP="0013036C">
      <w:pPr>
        <w:spacing w:after="0" w:line="360" w:lineRule="auto"/>
        <w:contextualSpacing/>
        <w:rPr>
          <w:rFonts w:ascii="Times New Roman" w:eastAsia="Calibri" w:hAnsi="Times New Roman" w:cs="Times New Roman"/>
          <w:sz w:val="26"/>
          <w:szCs w:val="26"/>
        </w:rPr>
      </w:pPr>
    </w:p>
    <w:p w:rsidR="001E7987" w:rsidRPr="000A2A7C" w:rsidRDefault="009542FF" w:rsidP="0013036C">
      <w:pPr>
        <w:spacing w:after="0" w:line="360" w:lineRule="auto"/>
        <w:contextualSpacing/>
        <w:rPr>
          <w:rFonts w:ascii="Times New Roman" w:eastAsia="Calibri" w:hAnsi="Times New Roman" w:cs="Times New Roman"/>
          <w:sz w:val="26"/>
          <w:szCs w:val="26"/>
        </w:rPr>
      </w:pPr>
      <w:r w:rsidRPr="000A2A7C">
        <w:rPr>
          <w:rFonts w:ascii="Times New Roman" w:eastAsia="Calibri" w:hAnsi="Times New Roman" w:cs="Times New Roman"/>
          <w:sz w:val="26"/>
          <w:szCs w:val="26"/>
        </w:rPr>
        <w:tab/>
      </w:r>
      <w:r w:rsidR="007448E3" w:rsidRPr="000A2A7C">
        <w:rPr>
          <w:rFonts w:ascii="Times New Roman" w:eastAsia="Calibri" w:hAnsi="Times New Roman" w:cs="Times New Roman"/>
          <w:sz w:val="26"/>
          <w:szCs w:val="26"/>
        </w:rPr>
        <w:t xml:space="preserve">CAUSE-PA argues that PGW’s </w:t>
      </w:r>
      <w:r w:rsidR="009D6126" w:rsidRPr="000A2A7C">
        <w:rPr>
          <w:rFonts w:ascii="Times New Roman" w:eastAsia="Calibri" w:hAnsi="Times New Roman" w:cs="Times New Roman"/>
          <w:sz w:val="26"/>
          <w:szCs w:val="26"/>
        </w:rPr>
        <w:t xml:space="preserve">CARES </w:t>
      </w:r>
      <w:r w:rsidR="007448E3" w:rsidRPr="000A2A7C">
        <w:rPr>
          <w:rFonts w:ascii="Times New Roman" w:eastAsia="Calibri" w:hAnsi="Times New Roman" w:cs="Times New Roman"/>
          <w:sz w:val="26"/>
          <w:szCs w:val="26"/>
        </w:rPr>
        <w:t xml:space="preserve">program is essentially non-existent </w:t>
      </w:r>
      <w:r w:rsidR="00345A63">
        <w:rPr>
          <w:rFonts w:ascii="Times New Roman" w:eastAsia="Calibri" w:hAnsi="Times New Roman" w:cs="Times New Roman"/>
          <w:sz w:val="26"/>
          <w:szCs w:val="26"/>
        </w:rPr>
        <w:t xml:space="preserve">and </w:t>
      </w:r>
      <w:r w:rsidR="005C3B4C" w:rsidRPr="000A2A7C">
        <w:rPr>
          <w:rFonts w:ascii="Times New Roman" w:eastAsia="Calibri" w:hAnsi="Times New Roman" w:cs="Times New Roman"/>
          <w:sz w:val="26"/>
          <w:szCs w:val="26"/>
        </w:rPr>
        <w:t>do</w:t>
      </w:r>
      <w:r w:rsidR="00345A63">
        <w:rPr>
          <w:rFonts w:ascii="Times New Roman" w:eastAsia="Calibri" w:hAnsi="Times New Roman" w:cs="Times New Roman"/>
          <w:sz w:val="26"/>
          <w:szCs w:val="26"/>
        </w:rPr>
        <w:t>es</w:t>
      </w:r>
      <w:r w:rsidR="005C3B4C" w:rsidRPr="000A2A7C">
        <w:rPr>
          <w:rFonts w:ascii="Times New Roman" w:eastAsia="Calibri" w:hAnsi="Times New Roman" w:cs="Times New Roman"/>
          <w:sz w:val="26"/>
          <w:szCs w:val="26"/>
        </w:rPr>
        <w:t xml:space="preserve"> not justify its annual $880,000 budget.  CAUSE-PA </w:t>
      </w:r>
      <w:r w:rsidR="008D5A3C" w:rsidRPr="000A2A7C">
        <w:rPr>
          <w:rFonts w:ascii="Times New Roman" w:eastAsia="Calibri" w:hAnsi="Times New Roman" w:cs="Times New Roman"/>
          <w:sz w:val="26"/>
          <w:szCs w:val="26"/>
        </w:rPr>
        <w:t xml:space="preserve">Supplemental </w:t>
      </w:r>
      <w:r w:rsidR="005C3B4C" w:rsidRPr="000A2A7C">
        <w:rPr>
          <w:rFonts w:ascii="Times New Roman" w:eastAsia="Calibri" w:hAnsi="Times New Roman" w:cs="Times New Roman"/>
          <w:sz w:val="26"/>
          <w:szCs w:val="26"/>
        </w:rPr>
        <w:t>Comments at 4.</w:t>
      </w:r>
      <w:r w:rsidR="008D5A3C" w:rsidRPr="000A2A7C">
        <w:rPr>
          <w:rFonts w:ascii="Times New Roman" w:eastAsia="Calibri" w:hAnsi="Times New Roman" w:cs="Times New Roman"/>
          <w:sz w:val="26"/>
          <w:szCs w:val="26"/>
        </w:rPr>
        <w:t xml:space="preserve">  TURN et al. and OCA separately question the ability of six people in the Universal Service unit to provide case management services to 812 cases per year in addition to other universal service duties.  TURN et al. Supplemental Comments at 9 and OCA Supplemental Reply Comments at 4.  </w:t>
      </w:r>
    </w:p>
    <w:p w:rsidR="001E7987" w:rsidRPr="000A2A7C" w:rsidRDefault="001E7987" w:rsidP="0013036C">
      <w:pPr>
        <w:spacing w:after="0" w:line="360" w:lineRule="auto"/>
        <w:contextualSpacing/>
        <w:rPr>
          <w:rFonts w:ascii="Times New Roman" w:eastAsia="Calibri" w:hAnsi="Times New Roman" w:cs="Times New Roman"/>
          <w:sz w:val="26"/>
          <w:szCs w:val="26"/>
        </w:rPr>
      </w:pPr>
    </w:p>
    <w:p w:rsidR="009D6126" w:rsidRPr="00345A63" w:rsidRDefault="009542FF" w:rsidP="0013036C">
      <w:pPr>
        <w:spacing w:after="0" w:line="360" w:lineRule="auto"/>
        <w:contextualSpacing/>
        <w:rPr>
          <w:rFonts w:ascii="Times New Roman" w:eastAsia="Calibri" w:hAnsi="Times New Roman" w:cs="Times New Roman"/>
          <w:sz w:val="26"/>
          <w:szCs w:val="26"/>
        </w:rPr>
      </w:pPr>
      <w:r w:rsidRPr="000A2A7C">
        <w:rPr>
          <w:rFonts w:ascii="Times New Roman" w:eastAsia="Calibri" w:hAnsi="Times New Roman" w:cs="Times New Roman"/>
          <w:sz w:val="26"/>
          <w:szCs w:val="26"/>
        </w:rPr>
        <w:tab/>
      </w:r>
      <w:r w:rsidR="005C3B4C" w:rsidRPr="00345A63">
        <w:rPr>
          <w:rFonts w:ascii="Times New Roman" w:eastAsia="Calibri" w:hAnsi="Times New Roman" w:cs="Times New Roman"/>
          <w:sz w:val="26"/>
          <w:szCs w:val="26"/>
        </w:rPr>
        <w:t xml:space="preserve">CAUSE-PA, TURN et al, and OCA separately </w:t>
      </w:r>
      <w:r w:rsidR="008D5A3C" w:rsidRPr="00345A63">
        <w:rPr>
          <w:rFonts w:ascii="Times New Roman" w:eastAsia="Calibri" w:hAnsi="Times New Roman" w:cs="Times New Roman"/>
          <w:sz w:val="26"/>
          <w:szCs w:val="26"/>
        </w:rPr>
        <w:t>suggest that PGW gives insufficient attention to the C</w:t>
      </w:r>
      <w:r w:rsidR="008B320A" w:rsidRPr="00345A63">
        <w:rPr>
          <w:rFonts w:ascii="Times New Roman" w:eastAsia="Calibri" w:hAnsi="Times New Roman" w:cs="Times New Roman"/>
          <w:sz w:val="26"/>
          <w:szCs w:val="26"/>
        </w:rPr>
        <w:t xml:space="preserve">ARES program and recommend the </w:t>
      </w:r>
      <w:r w:rsidR="008D5A3C" w:rsidRPr="00345A63">
        <w:rPr>
          <w:rFonts w:ascii="Times New Roman" w:eastAsia="Calibri" w:hAnsi="Times New Roman" w:cs="Times New Roman"/>
          <w:sz w:val="26"/>
          <w:szCs w:val="26"/>
        </w:rPr>
        <w:t>Company</w:t>
      </w:r>
      <w:r w:rsidR="005C3B4C" w:rsidRPr="00345A63">
        <w:rPr>
          <w:rFonts w:ascii="Times New Roman" w:eastAsia="Calibri" w:hAnsi="Times New Roman" w:cs="Times New Roman"/>
          <w:sz w:val="26"/>
          <w:szCs w:val="26"/>
        </w:rPr>
        <w:t xml:space="preserve"> </w:t>
      </w:r>
      <w:r w:rsidR="008B320A" w:rsidRPr="00345A63">
        <w:rPr>
          <w:rFonts w:ascii="Times New Roman" w:eastAsia="Calibri" w:hAnsi="Times New Roman" w:cs="Times New Roman"/>
          <w:sz w:val="26"/>
          <w:szCs w:val="26"/>
        </w:rPr>
        <w:t>establish a</w:t>
      </w:r>
      <w:r w:rsidR="005C3B4C" w:rsidRPr="00345A63">
        <w:rPr>
          <w:rFonts w:ascii="Times New Roman" w:eastAsia="Calibri" w:hAnsi="Times New Roman" w:cs="Times New Roman"/>
          <w:sz w:val="26"/>
          <w:szCs w:val="26"/>
        </w:rPr>
        <w:t xml:space="preserve"> CARES </w:t>
      </w:r>
      <w:r w:rsidR="008D5A3C" w:rsidRPr="00345A63">
        <w:rPr>
          <w:rFonts w:ascii="Times New Roman" w:eastAsia="Calibri" w:hAnsi="Times New Roman" w:cs="Times New Roman"/>
          <w:sz w:val="26"/>
          <w:szCs w:val="26"/>
        </w:rPr>
        <w:t>unit</w:t>
      </w:r>
      <w:r w:rsidR="005C3B4C" w:rsidRPr="00345A63">
        <w:rPr>
          <w:rFonts w:ascii="Times New Roman" w:eastAsia="Calibri" w:hAnsi="Times New Roman" w:cs="Times New Roman"/>
          <w:sz w:val="26"/>
          <w:szCs w:val="26"/>
        </w:rPr>
        <w:t xml:space="preserve">.  CAUSE-PA </w:t>
      </w:r>
      <w:r w:rsidR="001E7987" w:rsidRPr="00345A63">
        <w:rPr>
          <w:rFonts w:ascii="Times New Roman" w:eastAsia="Calibri" w:hAnsi="Times New Roman" w:cs="Times New Roman"/>
          <w:sz w:val="26"/>
          <w:szCs w:val="26"/>
        </w:rPr>
        <w:t>Supplemental Comments at 5; TURN et al. Supplemental Comments at 10; and OCA Supplemental Reply Comments at 3</w:t>
      </w:r>
      <w:r w:rsidR="008D5A3C" w:rsidRPr="00345A63">
        <w:rPr>
          <w:rFonts w:ascii="Times New Roman" w:eastAsia="Calibri" w:hAnsi="Times New Roman" w:cs="Times New Roman"/>
          <w:sz w:val="26"/>
          <w:szCs w:val="26"/>
        </w:rPr>
        <w:t>-4</w:t>
      </w:r>
      <w:r w:rsidR="001E7987" w:rsidRPr="00345A63">
        <w:rPr>
          <w:rFonts w:ascii="Times New Roman" w:eastAsia="Calibri" w:hAnsi="Times New Roman" w:cs="Times New Roman"/>
          <w:sz w:val="26"/>
          <w:szCs w:val="26"/>
        </w:rPr>
        <w:t xml:space="preserve">. </w:t>
      </w:r>
    </w:p>
    <w:p w:rsidR="004848AA" w:rsidRPr="00345A63" w:rsidRDefault="004848AA" w:rsidP="0013036C">
      <w:pPr>
        <w:spacing w:after="0" w:line="360" w:lineRule="auto"/>
        <w:contextualSpacing/>
        <w:rPr>
          <w:rFonts w:ascii="Times New Roman" w:eastAsia="Calibri" w:hAnsi="Times New Roman" w:cs="Times New Roman"/>
          <w:sz w:val="26"/>
          <w:szCs w:val="26"/>
        </w:rPr>
      </w:pPr>
    </w:p>
    <w:p w:rsidR="004848AA" w:rsidRPr="00345A63" w:rsidRDefault="008B320A" w:rsidP="0013036C">
      <w:pPr>
        <w:spacing w:after="0" w:line="360" w:lineRule="auto"/>
        <w:contextualSpacing/>
        <w:rPr>
          <w:rFonts w:ascii="Times New Roman" w:eastAsia="Times New Roman" w:hAnsi="Times New Roman" w:cs="Times New Roman"/>
          <w:sz w:val="26"/>
          <w:szCs w:val="26"/>
        </w:rPr>
      </w:pPr>
      <w:r w:rsidRPr="00345A63">
        <w:rPr>
          <w:rFonts w:ascii="Times New Roman" w:eastAsia="Calibri" w:hAnsi="Times New Roman" w:cs="Times New Roman"/>
          <w:sz w:val="26"/>
          <w:szCs w:val="26"/>
        </w:rPr>
        <w:tab/>
      </w:r>
      <w:r w:rsidR="004848AA" w:rsidRPr="00345A63">
        <w:rPr>
          <w:rFonts w:ascii="Times New Roman" w:eastAsia="Calibri" w:hAnsi="Times New Roman" w:cs="Times New Roman"/>
          <w:sz w:val="26"/>
          <w:szCs w:val="26"/>
        </w:rPr>
        <w:t xml:space="preserve">PGW maintains its CARES staffing level and budget is appropriate.  The Company notes it </w:t>
      </w:r>
      <w:r w:rsidR="008D553D" w:rsidRPr="00345A63">
        <w:rPr>
          <w:rFonts w:ascii="Times New Roman" w:eastAsia="Calibri" w:hAnsi="Times New Roman" w:cs="Times New Roman"/>
          <w:sz w:val="26"/>
          <w:szCs w:val="26"/>
        </w:rPr>
        <w:t xml:space="preserve">the CARES budget includes LIHEAP outreach.  Customers who receive LIHEAP grants are not counted as a CARES referral or case managed.  PGW Supplemental Reply Comments at 2-3.  </w:t>
      </w:r>
    </w:p>
    <w:p w:rsidR="009A1777" w:rsidRPr="00345A63" w:rsidRDefault="009A1777" w:rsidP="00231829">
      <w:pPr>
        <w:spacing w:after="0" w:line="360" w:lineRule="auto"/>
        <w:ind w:firstLine="720"/>
        <w:contextualSpacing/>
        <w:rPr>
          <w:rFonts w:ascii="Times New Roman" w:eastAsia="Times New Roman" w:hAnsi="Times New Roman" w:cs="Times New Roman"/>
          <w:sz w:val="26"/>
          <w:szCs w:val="26"/>
        </w:rPr>
      </w:pPr>
    </w:p>
    <w:p w:rsidR="00C47F76" w:rsidRPr="00345A63" w:rsidRDefault="000D6CAE" w:rsidP="009A1777">
      <w:pPr>
        <w:spacing w:after="0" w:line="360" w:lineRule="auto"/>
        <w:contextualSpacing/>
        <w:rPr>
          <w:rFonts w:ascii="Times New Roman" w:eastAsia="Times New Roman" w:hAnsi="Times New Roman" w:cs="Times New Roman"/>
          <w:sz w:val="26"/>
          <w:szCs w:val="26"/>
        </w:rPr>
      </w:pPr>
      <w:r w:rsidRPr="00345A63">
        <w:rPr>
          <w:rFonts w:ascii="Times New Roman" w:eastAsia="Times New Roman" w:hAnsi="Times New Roman" w:cs="Times New Roman"/>
          <w:i/>
          <w:sz w:val="26"/>
          <w:szCs w:val="26"/>
        </w:rPr>
        <w:t>Resolution</w:t>
      </w:r>
      <w:r w:rsidRPr="00345A63">
        <w:rPr>
          <w:rFonts w:ascii="Times New Roman" w:eastAsia="Times New Roman" w:hAnsi="Times New Roman" w:cs="Times New Roman"/>
          <w:sz w:val="26"/>
          <w:szCs w:val="26"/>
        </w:rPr>
        <w:t>:</w:t>
      </w:r>
      <w:r w:rsidR="000A2A7C" w:rsidRPr="00345A63">
        <w:rPr>
          <w:rFonts w:ascii="Times New Roman" w:eastAsia="Times New Roman" w:hAnsi="Times New Roman" w:cs="Times New Roman"/>
          <w:sz w:val="26"/>
          <w:szCs w:val="26"/>
        </w:rPr>
        <w:t xml:space="preserve"> The purpose of CARES is to provide assistance to households experiencing an extenuating circumstance or emergency that may contribute to an inability to pay the utility bill.  This assistance may be provided through referrals to universal service or community programs, ongoing counseling (case management), or bill credits.  We are not persuaded that PGW’s use of customer service representatives and a Universal Service unit to provide referral and case management services is, by itself, evidence of insufficient attention to the program.</w:t>
      </w:r>
      <w:r w:rsidR="00345A63">
        <w:rPr>
          <w:rFonts w:ascii="Times New Roman" w:eastAsia="Times New Roman" w:hAnsi="Times New Roman" w:cs="Times New Roman"/>
          <w:sz w:val="26"/>
          <w:szCs w:val="26"/>
        </w:rPr>
        <w:t xml:space="preserve">  </w:t>
      </w:r>
    </w:p>
    <w:p w:rsidR="00885AFA" w:rsidRPr="00345A63" w:rsidRDefault="00885AFA" w:rsidP="009A1777">
      <w:pPr>
        <w:spacing w:after="0" w:line="360" w:lineRule="auto"/>
        <w:contextualSpacing/>
        <w:rPr>
          <w:rFonts w:ascii="Times New Roman" w:eastAsia="Times New Roman" w:hAnsi="Times New Roman" w:cs="Times New Roman"/>
          <w:sz w:val="26"/>
          <w:szCs w:val="26"/>
        </w:rPr>
      </w:pPr>
    </w:p>
    <w:p w:rsidR="00C47F76" w:rsidRPr="00345A63" w:rsidRDefault="00345A63" w:rsidP="00231829">
      <w:pPr>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00601F1F">
        <w:rPr>
          <w:rFonts w:ascii="Times New Roman" w:eastAsia="Times New Roman" w:hAnsi="Times New Roman" w:cs="Times New Roman"/>
          <w:sz w:val="26"/>
          <w:szCs w:val="26"/>
        </w:rPr>
        <w:t>However, w</w:t>
      </w:r>
      <w:r w:rsidRPr="00345A63">
        <w:rPr>
          <w:rFonts w:ascii="Times New Roman" w:eastAsia="Times New Roman" w:hAnsi="Times New Roman" w:cs="Times New Roman"/>
          <w:sz w:val="26"/>
          <w:szCs w:val="26"/>
        </w:rPr>
        <w:t xml:space="preserve">e </w:t>
      </w:r>
      <w:r w:rsidR="00601F1F">
        <w:rPr>
          <w:rFonts w:ascii="Times New Roman" w:eastAsia="Times New Roman" w:hAnsi="Times New Roman" w:cs="Times New Roman"/>
          <w:sz w:val="26"/>
          <w:szCs w:val="26"/>
        </w:rPr>
        <w:t xml:space="preserve">do </w:t>
      </w:r>
      <w:r w:rsidRPr="00345A63">
        <w:rPr>
          <w:rFonts w:ascii="Times New Roman" w:eastAsia="Times New Roman" w:hAnsi="Times New Roman" w:cs="Times New Roman"/>
          <w:sz w:val="26"/>
          <w:szCs w:val="26"/>
        </w:rPr>
        <w:t xml:space="preserve">require more information about the CARES services provided by PGW.  </w:t>
      </w:r>
      <w:r w:rsidR="00885AFA" w:rsidRPr="00345A63">
        <w:rPr>
          <w:rFonts w:ascii="Times New Roman" w:eastAsia="Times New Roman" w:hAnsi="Times New Roman" w:cs="Times New Roman"/>
          <w:sz w:val="26"/>
          <w:szCs w:val="26"/>
        </w:rPr>
        <w:t xml:space="preserve">As described above, </w:t>
      </w:r>
      <w:r w:rsidR="00AC6DB7" w:rsidRPr="00345A63">
        <w:rPr>
          <w:rFonts w:ascii="Times New Roman" w:eastAsia="Times New Roman" w:hAnsi="Times New Roman" w:cs="Times New Roman"/>
          <w:sz w:val="26"/>
          <w:szCs w:val="26"/>
        </w:rPr>
        <w:t xml:space="preserve">we have directed PGW to file and serve an annual report detailing the number of customers served through CARES case management and quick-fix referrals through 2020.  Based on this </w:t>
      </w:r>
      <w:r w:rsidR="002475F7" w:rsidRPr="00345A63">
        <w:rPr>
          <w:rFonts w:ascii="Times New Roman" w:eastAsia="Times New Roman" w:hAnsi="Times New Roman" w:cs="Times New Roman"/>
          <w:sz w:val="26"/>
          <w:szCs w:val="26"/>
        </w:rPr>
        <w:t xml:space="preserve">additional </w:t>
      </w:r>
      <w:r w:rsidR="00AC6DB7" w:rsidRPr="00345A63">
        <w:rPr>
          <w:rFonts w:ascii="Times New Roman" w:eastAsia="Times New Roman" w:hAnsi="Times New Roman" w:cs="Times New Roman"/>
          <w:sz w:val="26"/>
          <w:szCs w:val="26"/>
        </w:rPr>
        <w:t>information</w:t>
      </w:r>
      <w:r w:rsidR="002475F7" w:rsidRPr="00345A63">
        <w:rPr>
          <w:rFonts w:ascii="Times New Roman" w:eastAsia="Times New Roman" w:hAnsi="Times New Roman" w:cs="Times New Roman"/>
          <w:sz w:val="26"/>
          <w:szCs w:val="26"/>
        </w:rPr>
        <w:t xml:space="preserve"> about PGW</w:t>
      </w:r>
      <w:r w:rsidR="00601F1F">
        <w:rPr>
          <w:rFonts w:ascii="Times New Roman" w:eastAsia="Times New Roman" w:hAnsi="Times New Roman" w:cs="Times New Roman"/>
          <w:sz w:val="26"/>
          <w:szCs w:val="26"/>
        </w:rPr>
        <w:t>’</w:t>
      </w:r>
      <w:r w:rsidR="002475F7" w:rsidRPr="00345A63">
        <w:rPr>
          <w:rFonts w:ascii="Times New Roman" w:eastAsia="Times New Roman" w:hAnsi="Times New Roman" w:cs="Times New Roman"/>
          <w:sz w:val="26"/>
          <w:szCs w:val="26"/>
        </w:rPr>
        <w:t>s CARES activity</w:t>
      </w:r>
      <w:r w:rsidR="00AC6DB7" w:rsidRPr="00345A63">
        <w:rPr>
          <w:rFonts w:ascii="Times New Roman" w:eastAsia="Times New Roman" w:hAnsi="Times New Roman" w:cs="Times New Roman"/>
          <w:sz w:val="26"/>
          <w:szCs w:val="26"/>
        </w:rPr>
        <w:t>, we may revisit this issue in PGW’s next USECP filing</w:t>
      </w:r>
      <w:r w:rsidR="00AF3425">
        <w:rPr>
          <w:rFonts w:ascii="Times New Roman" w:eastAsia="Times New Roman" w:hAnsi="Times New Roman" w:cs="Times New Roman"/>
          <w:sz w:val="26"/>
          <w:szCs w:val="26"/>
        </w:rPr>
        <w:t xml:space="preserve"> or earlier</w:t>
      </w:r>
      <w:r w:rsidR="00AC6DB7" w:rsidRPr="00345A63">
        <w:rPr>
          <w:rFonts w:ascii="Times New Roman" w:eastAsia="Times New Roman" w:hAnsi="Times New Roman" w:cs="Times New Roman"/>
          <w:sz w:val="26"/>
          <w:szCs w:val="26"/>
        </w:rPr>
        <w:t xml:space="preserve">. </w:t>
      </w:r>
    </w:p>
    <w:p w:rsidR="00345A63" w:rsidRPr="00C47F76" w:rsidRDefault="00345A63" w:rsidP="00231829">
      <w:pPr>
        <w:spacing w:after="0" w:line="360" w:lineRule="auto"/>
        <w:contextualSpacing/>
        <w:rPr>
          <w:rFonts w:ascii="Times New Roman" w:eastAsia="Times New Roman" w:hAnsi="Times New Roman" w:cs="Times New Roman"/>
          <w:sz w:val="26"/>
          <w:szCs w:val="26"/>
          <w:u w:val="single"/>
        </w:rPr>
      </w:pPr>
    </w:p>
    <w:p w:rsidR="00C47F76" w:rsidRPr="00C47F76" w:rsidRDefault="00C47F76" w:rsidP="00231829">
      <w:pPr>
        <w:keepNext/>
        <w:numPr>
          <w:ilvl w:val="0"/>
          <w:numId w:val="30"/>
        </w:numPr>
        <w:spacing w:after="0" w:line="360" w:lineRule="auto"/>
        <w:contextualSpacing/>
        <w:rPr>
          <w:rFonts w:ascii="Times New Roman" w:eastAsia="Times New Roman" w:hAnsi="Times New Roman" w:cs="Times New Roman"/>
          <w:b/>
          <w:sz w:val="26"/>
          <w:szCs w:val="26"/>
          <w:u w:val="single"/>
        </w:rPr>
      </w:pPr>
      <w:r w:rsidRPr="00C47F76">
        <w:rPr>
          <w:rFonts w:ascii="Times New Roman" w:eastAsia="Times New Roman" w:hAnsi="Times New Roman" w:cs="Times New Roman"/>
          <w:b/>
          <w:sz w:val="26"/>
          <w:szCs w:val="26"/>
        </w:rPr>
        <w:t>CONCLUSION</w:t>
      </w:r>
    </w:p>
    <w:p w:rsidR="00C47F76" w:rsidRPr="00C47F76" w:rsidRDefault="00C47F76" w:rsidP="00231829">
      <w:pPr>
        <w:keepNext/>
        <w:spacing w:after="0" w:line="360" w:lineRule="auto"/>
        <w:ind w:firstLine="720"/>
        <w:contextualSpacing/>
        <w:rPr>
          <w:rFonts w:ascii="Times New Roman" w:eastAsia="Times New Roman" w:hAnsi="Times New Roman" w:cs="Times New Roman"/>
          <w:sz w:val="26"/>
          <w:szCs w:val="26"/>
        </w:rPr>
      </w:pPr>
    </w:p>
    <w:p w:rsidR="000D6CAE" w:rsidRDefault="000D6CAE" w:rsidP="00D854EC">
      <w:pPr>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color w:val="0D0D0D" w:themeColor="text1" w:themeTint="F2"/>
          <w:sz w:val="26"/>
          <w:szCs w:val="26"/>
        </w:rPr>
        <w:t xml:space="preserve">We have identified in this Order </w:t>
      </w:r>
      <w:r w:rsidRPr="00724FF0">
        <w:rPr>
          <w:rFonts w:ascii="Times New Roman" w:eastAsia="Times New Roman" w:hAnsi="Times New Roman"/>
          <w:color w:val="000000"/>
          <w:spacing w:val="4"/>
          <w:sz w:val="26"/>
          <w:szCs w:val="26"/>
        </w:rPr>
        <w:t>a number of issues</w:t>
      </w:r>
      <w:r>
        <w:rPr>
          <w:rFonts w:ascii="Times New Roman" w:eastAsia="Times New Roman" w:hAnsi="Times New Roman"/>
          <w:color w:val="000000"/>
          <w:spacing w:val="4"/>
          <w:sz w:val="26"/>
          <w:szCs w:val="26"/>
        </w:rPr>
        <w:t xml:space="preserve"> and concerns</w:t>
      </w:r>
      <w:r w:rsidRPr="00724FF0">
        <w:rPr>
          <w:rFonts w:ascii="Times New Roman" w:eastAsia="Times New Roman" w:hAnsi="Times New Roman"/>
          <w:color w:val="000000"/>
          <w:spacing w:val="4"/>
          <w:sz w:val="26"/>
          <w:szCs w:val="26"/>
        </w:rPr>
        <w:t xml:space="preserve"> </w:t>
      </w:r>
      <w:r>
        <w:rPr>
          <w:rFonts w:ascii="Times New Roman" w:eastAsia="Times New Roman" w:hAnsi="Times New Roman"/>
          <w:color w:val="000000"/>
          <w:spacing w:val="4"/>
          <w:sz w:val="26"/>
          <w:szCs w:val="26"/>
        </w:rPr>
        <w:t>that PGW must address in a compliance filing</w:t>
      </w:r>
      <w:r w:rsidRPr="00724FF0">
        <w:rPr>
          <w:rFonts w:ascii="Times New Roman" w:eastAsia="Times New Roman" w:hAnsi="Times New Roman"/>
          <w:color w:val="000000"/>
          <w:spacing w:val="4"/>
          <w:sz w:val="26"/>
          <w:szCs w:val="26"/>
        </w:rPr>
        <w:t xml:space="preserve">. </w:t>
      </w:r>
      <w:r>
        <w:rPr>
          <w:rFonts w:ascii="Times New Roman" w:eastAsia="Times New Roman" w:hAnsi="Times New Roman"/>
          <w:color w:val="000000"/>
          <w:spacing w:val="4"/>
          <w:sz w:val="26"/>
          <w:szCs w:val="26"/>
        </w:rPr>
        <w:t xml:space="preserve"> </w:t>
      </w:r>
      <w:r w:rsidRPr="00724FF0">
        <w:rPr>
          <w:rFonts w:ascii="Times New Roman" w:eastAsia="Times New Roman" w:hAnsi="Times New Roman"/>
          <w:color w:val="000000"/>
          <w:spacing w:val="4"/>
          <w:sz w:val="26"/>
          <w:szCs w:val="26"/>
        </w:rPr>
        <w:t xml:space="preserve">For these reasons, it </w:t>
      </w:r>
      <w:r>
        <w:rPr>
          <w:rFonts w:ascii="Times New Roman" w:eastAsia="Times New Roman" w:hAnsi="Times New Roman"/>
          <w:color w:val="000000"/>
          <w:spacing w:val="4"/>
          <w:sz w:val="26"/>
          <w:szCs w:val="26"/>
        </w:rPr>
        <w:t>is premature to approve PGW’</w:t>
      </w:r>
      <w:r w:rsidRPr="00724FF0">
        <w:rPr>
          <w:rFonts w:ascii="Times New Roman" w:eastAsia="Times New Roman" w:hAnsi="Times New Roman"/>
          <w:color w:val="000000"/>
          <w:spacing w:val="4"/>
          <w:sz w:val="26"/>
          <w:szCs w:val="26"/>
        </w:rPr>
        <w:t xml:space="preserve">s </w:t>
      </w:r>
      <w:r>
        <w:rPr>
          <w:rFonts w:ascii="Times New Roman" w:eastAsia="Times New Roman" w:hAnsi="Times New Roman"/>
          <w:color w:val="000000"/>
          <w:spacing w:val="4"/>
          <w:sz w:val="26"/>
          <w:szCs w:val="26"/>
        </w:rPr>
        <w:t xml:space="preserve">2017-2020 </w:t>
      </w:r>
      <w:r w:rsidRPr="00724FF0">
        <w:rPr>
          <w:rFonts w:ascii="Times New Roman" w:eastAsia="Times New Roman" w:hAnsi="Times New Roman"/>
          <w:color w:val="000000"/>
          <w:spacing w:val="4"/>
          <w:sz w:val="26"/>
          <w:szCs w:val="26"/>
        </w:rPr>
        <w:t>Plan</w:t>
      </w:r>
      <w:r>
        <w:rPr>
          <w:rFonts w:ascii="Times New Roman" w:eastAsia="Times New Roman" w:hAnsi="Times New Roman"/>
          <w:color w:val="000000"/>
          <w:spacing w:val="4"/>
          <w:sz w:val="26"/>
          <w:szCs w:val="26"/>
        </w:rPr>
        <w:t xml:space="preserve"> at this time</w:t>
      </w:r>
      <w:r w:rsidRPr="00724FF0">
        <w:rPr>
          <w:rFonts w:ascii="Times New Roman" w:eastAsia="Times New Roman" w:hAnsi="Times New Roman"/>
          <w:color w:val="000000"/>
          <w:spacing w:val="4"/>
          <w:sz w:val="26"/>
          <w:szCs w:val="26"/>
        </w:rPr>
        <w:t>.</w:t>
      </w:r>
      <w:r>
        <w:rPr>
          <w:rStyle w:val="FootnoteReference"/>
          <w:color w:val="000000"/>
          <w:spacing w:val="4"/>
          <w:sz w:val="26"/>
          <w:szCs w:val="26"/>
        </w:rPr>
        <w:footnoteReference w:id="57"/>
      </w:r>
    </w:p>
    <w:p w:rsidR="000D6CAE" w:rsidRDefault="000D6CAE" w:rsidP="00D854EC">
      <w:pPr>
        <w:spacing w:after="0" w:line="360" w:lineRule="auto"/>
        <w:ind w:firstLine="720"/>
        <w:contextualSpacing/>
        <w:rPr>
          <w:rFonts w:ascii="Times New Roman" w:eastAsia="Times New Roman" w:hAnsi="Times New Roman" w:cs="Times New Roman"/>
          <w:sz w:val="26"/>
          <w:szCs w:val="26"/>
        </w:rPr>
      </w:pPr>
    </w:p>
    <w:p w:rsidR="000D6CAE" w:rsidRDefault="000D6CAE" w:rsidP="00D854EC">
      <w:pPr>
        <w:spacing w:after="0" w:line="360" w:lineRule="auto"/>
        <w:ind w:firstLine="720"/>
        <w:contextualSpacing/>
        <w:rPr>
          <w:rFonts w:ascii="Times New Roman" w:eastAsia="Times New Roman" w:hAnsi="Times New Roman" w:cs="Times New Roman"/>
          <w:color w:val="0D0D0D" w:themeColor="text1" w:themeTint="F2"/>
          <w:sz w:val="26"/>
          <w:szCs w:val="26"/>
        </w:rPr>
      </w:pPr>
      <w:r w:rsidRPr="00C026E6">
        <w:rPr>
          <w:rFonts w:ascii="Times New Roman" w:eastAsia="Times New Roman" w:hAnsi="Times New Roman" w:cs="Times New Roman"/>
          <w:color w:val="0D0D0D" w:themeColor="text1" w:themeTint="F2"/>
          <w:sz w:val="26"/>
          <w:szCs w:val="26"/>
        </w:rPr>
        <w:t>Therefore, a</w:t>
      </w:r>
      <w:r>
        <w:rPr>
          <w:rFonts w:ascii="Times New Roman" w:eastAsia="Times New Roman" w:hAnsi="Times New Roman" w:cs="Times New Roman"/>
          <w:color w:val="0D0D0D" w:themeColor="text1" w:themeTint="F2"/>
          <w:sz w:val="26"/>
          <w:szCs w:val="26"/>
        </w:rPr>
        <w:t>pproval of PGW’s 2017-2020</w:t>
      </w:r>
      <w:r w:rsidRPr="00C026E6">
        <w:rPr>
          <w:rFonts w:ascii="Times New Roman" w:eastAsia="Times New Roman" w:hAnsi="Times New Roman" w:cs="Times New Roman"/>
          <w:color w:val="0D0D0D" w:themeColor="text1" w:themeTint="F2"/>
          <w:sz w:val="26"/>
          <w:szCs w:val="26"/>
        </w:rPr>
        <w:t xml:space="preserve"> Plan is deferred pending the Commission’</w:t>
      </w:r>
      <w:r>
        <w:rPr>
          <w:rFonts w:ascii="Times New Roman" w:eastAsia="Times New Roman" w:hAnsi="Times New Roman" w:cs="Times New Roman"/>
          <w:color w:val="0D0D0D" w:themeColor="text1" w:themeTint="F2"/>
          <w:sz w:val="26"/>
          <w:szCs w:val="26"/>
        </w:rPr>
        <w:t>s review of the Company</w:t>
      </w:r>
      <w:r w:rsidRPr="00C026E6">
        <w:rPr>
          <w:rFonts w:ascii="Times New Roman" w:eastAsia="Times New Roman" w:hAnsi="Times New Roman" w:cs="Times New Roman"/>
          <w:color w:val="0D0D0D" w:themeColor="text1" w:themeTint="F2"/>
          <w:sz w:val="26"/>
          <w:szCs w:val="26"/>
        </w:rPr>
        <w:t>’s Revised Plan to be filed in compl</w:t>
      </w:r>
      <w:r>
        <w:rPr>
          <w:rFonts w:ascii="Times New Roman" w:eastAsia="Times New Roman" w:hAnsi="Times New Roman" w:cs="Times New Roman"/>
          <w:color w:val="0D0D0D" w:themeColor="text1" w:themeTint="F2"/>
          <w:sz w:val="26"/>
          <w:szCs w:val="26"/>
        </w:rPr>
        <w:t>iance with this Order.  PGW</w:t>
      </w:r>
      <w:r w:rsidRPr="00C026E6">
        <w:rPr>
          <w:rFonts w:ascii="Times New Roman" w:eastAsia="Times New Roman" w:hAnsi="Times New Roman" w:cs="Times New Roman"/>
          <w:color w:val="0D0D0D" w:themeColor="text1" w:themeTint="F2"/>
          <w:sz w:val="26"/>
          <w:szCs w:val="26"/>
        </w:rPr>
        <w:t xml:space="preserve"> shall serve and file its Revised Plan within 30 days of the entry date of this Order.  Thereafter, stakeholders shall have 10 days to file exceptions and 5 days to reply to exceptions relative to whether the Revised Plan is in compliance with this Order.</w:t>
      </w:r>
    </w:p>
    <w:p w:rsidR="000D6CAE" w:rsidRDefault="000D6CAE" w:rsidP="00D854EC">
      <w:pPr>
        <w:spacing w:after="0" w:line="360" w:lineRule="auto"/>
        <w:ind w:firstLine="720"/>
        <w:contextualSpacing/>
        <w:rPr>
          <w:rFonts w:ascii="Times New Roman" w:eastAsia="Times New Roman" w:hAnsi="Times New Roman" w:cs="Times New Roman"/>
          <w:sz w:val="26"/>
          <w:szCs w:val="26"/>
        </w:rPr>
      </w:pPr>
    </w:p>
    <w:p w:rsidR="00C47F76" w:rsidRDefault="0033240C" w:rsidP="00F8735C">
      <w:pPr>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The </w:t>
      </w:r>
      <w:r w:rsidR="00F8735C" w:rsidRPr="00F8735C">
        <w:rPr>
          <w:rFonts w:ascii="Times New Roman" w:eastAsia="Times New Roman" w:hAnsi="Times New Roman" w:cs="Times New Roman"/>
          <w:sz w:val="26"/>
          <w:szCs w:val="26"/>
        </w:rPr>
        <w:t>findings</w:t>
      </w:r>
      <w:r>
        <w:rPr>
          <w:rFonts w:ascii="Times New Roman" w:eastAsia="Times New Roman" w:hAnsi="Times New Roman" w:cs="Times New Roman"/>
          <w:sz w:val="26"/>
          <w:szCs w:val="26"/>
        </w:rPr>
        <w:t>, conclusions, and resolutions</w:t>
      </w:r>
      <w:r w:rsidR="00F8735C" w:rsidRPr="00F8735C">
        <w:rPr>
          <w:rFonts w:ascii="Times New Roman" w:eastAsia="Times New Roman" w:hAnsi="Times New Roman" w:cs="Times New Roman"/>
          <w:sz w:val="26"/>
          <w:szCs w:val="26"/>
        </w:rPr>
        <w:t xml:space="preserve"> herein do not limit the Commission’s authority to order</w:t>
      </w:r>
      <w:r w:rsidR="00F8735C">
        <w:rPr>
          <w:rFonts w:ascii="Times New Roman" w:eastAsia="Times New Roman" w:hAnsi="Times New Roman" w:cs="Times New Roman"/>
          <w:sz w:val="26"/>
          <w:szCs w:val="26"/>
        </w:rPr>
        <w:t xml:space="preserve"> future changes to the 2017-2020</w:t>
      </w:r>
      <w:r w:rsidR="00F8735C" w:rsidRPr="00F8735C">
        <w:rPr>
          <w:rFonts w:ascii="Times New Roman" w:eastAsia="Times New Roman" w:hAnsi="Times New Roman" w:cs="Times New Roman"/>
          <w:sz w:val="26"/>
          <w:szCs w:val="26"/>
        </w:rPr>
        <w:t xml:space="preserve"> USECP based on evaluation findings, universal service data, rate-making considerations, or other relevant factors.</w:t>
      </w:r>
    </w:p>
    <w:p w:rsidR="00F8735C" w:rsidRDefault="00F8735C" w:rsidP="00F8735C">
      <w:pPr>
        <w:spacing w:after="0" w:line="360" w:lineRule="auto"/>
        <w:contextualSpacing/>
        <w:rPr>
          <w:rFonts w:ascii="Times New Roman" w:eastAsia="Times New Roman" w:hAnsi="Times New Roman" w:cs="Times New Roman"/>
          <w:sz w:val="26"/>
          <w:szCs w:val="26"/>
        </w:rPr>
      </w:pPr>
    </w:p>
    <w:p w:rsidR="00F8735C" w:rsidRPr="00D854EC" w:rsidRDefault="00F8735C" w:rsidP="00F8735C">
      <w:pPr>
        <w:spacing w:after="0" w:line="360" w:lineRule="auto"/>
        <w:contextualSpacing/>
        <w:rPr>
          <w:rFonts w:ascii="Times New Roman" w:eastAsia="Times New Roman" w:hAnsi="Times New Roman" w:cs="Times New Roman"/>
          <w:b/>
          <w:sz w:val="26"/>
          <w:szCs w:val="26"/>
        </w:rPr>
      </w:pPr>
      <w:r>
        <w:rPr>
          <w:rFonts w:ascii="Times New Roman" w:eastAsia="Times New Roman" w:hAnsi="Times New Roman" w:cs="Times New Roman"/>
          <w:color w:val="0D0D0D" w:themeColor="text1" w:themeTint="F2"/>
          <w:sz w:val="26"/>
          <w:szCs w:val="26"/>
        </w:rPr>
        <w:tab/>
      </w:r>
      <w:r w:rsidRPr="000D643B">
        <w:rPr>
          <w:rFonts w:ascii="Times New Roman" w:eastAsia="Times New Roman" w:hAnsi="Times New Roman" w:cs="Times New Roman"/>
          <w:color w:val="0D0D0D" w:themeColor="text1" w:themeTint="F2"/>
          <w:sz w:val="26"/>
          <w:szCs w:val="26"/>
        </w:rPr>
        <w:t xml:space="preserve">Consistent with the discussion above, we shall direct </w:t>
      </w:r>
      <w:r>
        <w:rPr>
          <w:rFonts w:ascii="Times New Roman" w:eastAsia="Times New Roman" w:hAnsi="Times New Roman" w:cs="Times New Roman"/>
          <w:color w:val="0D0D0D" w:themeColor="text1" w:themeTint="F2"/>
          <w:sz w:val="26"/>
          <w:szCs w:val="26"/>
        </w:rPr>
        <w:t>PGW</w:t>
      </w:r>
      <w:r w:rsidRPr="000D643B">
        <w:rPr>
          <w:rFonts w:ascii="Times New Roman" w:eastAsia="Times New Roman" w:hAnsi="Times New Roman" w:cs="Times New Roman"/>
          <w:color w:val="0D0D0D" w:themeColor="text1" w:themeTint="F2"/>
          <w:sz w:val="26"/>
          <w:szCs w:val="26"/>
        </w:rPr>
        <w:t xml:space="preserve"> to amend and file </w:t>
      </w:r>
      <w:r>
        <w:rPr>
          <w:rFonts w:ascii="Times New Roman" w:eastAsia="Times New Roman" w:hAnsi="Times New Roman" w:cs="Times New Roman"/>
          <w:color w:val="0D0D0D" w:themeColor="text1" w:themeTint="F2"/>
          <w:sz w:val="26"/>
          <w:szCs w:val="26"/>
        </w:rPr>
        <w:t>a Revised USECP for 2017-2020</w:t>
      </w:r>
      <w:r w:rsidRPr="000D643B">
        <w:rPr>
          <w:rFonts w:ascii="Times New Roman" w:eastAsia="Times New Roman" w:hAnsi="Times New Roman" w:cs="Times New Roman"/>
          <w:color w:val="0D0D0D" w:themeColor="text1" w:themeTint="F2"/>
          <w:sz w:val="26"/>
          <w:szCs w:val="26"/>
        </w:rPr>
        <w:t xml:space="preserve"> </w:t>
      </w:r>
      <w:r>
        <w:rPr>
          <w:rFonts w:ascii="Times New Roman" w:eastAsia="Times New Roman" w:hAnsi="Times New Roman" w:cs="Times New Roman"/>
          <w:color w:val="0D0D0D" w:themeColor="text1" w:themeTint="F2"/>
          <w:sz w:val="26"/>
          <w:szCs w:val="26"/>
        </w:rPr>
        <w:t xml:space="preserve">in compliance with this Order </w:t>
      </w:r>
      <w:r w:rsidRPr="000D643B">
        <w:rPr>
          <w:rFonts w:ascii="Times New Roman" w:eastAsia="Times New Roman" w:hAnsi="Times New Roman" w:cs="Times New Roman"/>
          <w:color w:val="0D0D0D" w:themeColor="text1" w:themeTint="F2"/>
          <w:sz w:val="26"/>
          <w:szCs w:val="26"/>
        </w:rPr>
        <w:t>and to perform the following:</w:t>
      </w:r>
    </w:p>
    <w:p w:rsidR="00E11220" w:rsidRDefault="00E11220" w:rsidP="00F8735C">
      <w:pPr>
        <w:spacing w:after="0" w:line="360" w:lineRule="auto"/>
        <w:contextualSpacing/>
        <w:rPr>
          <w:rFonts w:ascii="Times New Roman" w:eastAsia="Times New Roman" w:hAnsi="Times New Roman" w:cs="Times New Roman"/>
          <w:sz w:val="26"/>
          <w:szCs w:val="26"/>
        </w:rPr>
      </w:pPr>
    </w:p>
    <w:p w:rsidR="00E11220" w:rsidRDefault="00253084" w:rsidP="00181BBA">
      <w:pPr>
        <w:pStyle w:val="ListParagraph"/>
        <w:numPr>
          <w:ilvl w:val="0"/>
          <w:numId w:val="45"/>
        </w:numPr>
        <w:spacing w:line="360" w:lineRule="auto"/>
        <w:rPr>
          <w:sz w:val="26"/>
          <w:szCs w:val="26"/>
        </w:rPr>
      </w:pPr>
      <w:r>
        <w:rPr>
          <w:sz w:val="26"/>
          <w:szCs w:val="26"/>
        </w:rPr>
        <w:t>A</w:t>
      </w:r>
      <w:r w:rsidR="009C1ACE">
        <w:rPr>
          <w:sz w:val="26"/>
          <w:szCs w:val="26"/>
        </w:rPr>
        <w:t>llow eligible low-income customers to enroll in CRP at the PIP or the budget bill amount, whichever is lower</w:t>
      </w:r>
      <w:r>
        <w:rPr>
          <w:sz w:val="26"/>
          <w:szCs w:val="26"/>
        </w:rPr>
        <w:t>, within six (6) months after the approval of its 2017-2020 Plan</w:t>
      </w:r>
      <w:r w:rsidR="009C1ACE">
        <w:rPr>
          <w:sz w:val="26"/>
          <w:szCs w:val="26"/>
        </w:rPr>
        <w:t xml:space="preserve">.  </w:t>
      </w:r>
      <w:r>
        <w:rPr>
          <w:sz w:val="26"/>
          <w:szCs w:val="26"/>
        </w:rPr>
        <w:t>The Company</w:t>
      </w:r>
      <w:r w:rsidRPr="00253084">
        <w:rPr>
          <w:sz w:val="26"/>
          <w:szCs w:val="26"/>
        </w:rPr>
        <w:t xml:space="preserve"> should also review, at least once per year, CRP accounts to ensure customers are paying the most affordable CRP rate (i.e., PIP or budget billing).</w:t>
      </w:r>
      <w:r>
        <w:rPr>
          <w:sz w:val="26"/>
          <w:szCs w:val="26"/>
        </w:rPr>
        <w:t xml:space="preserve">  PGW should identify these changes</w:t>
      </w:r>
      <w:r w:rsidR="009C1ACE">
        <w:rPr>
          <w:sz w:val="26"/>
          <w:szCs w:val="26"/>
        </w:rPr>
        <w:t xml:space="preserve"> </w:t>
      </w:r>
      <w:r>
        <w:rPr>
          <w:sz w:val="26"/>
          <w:szCs w:val="26"/>
        </w:rPr>
        <w:t>in its</w:t>
      </w:r>
      <w:r w:rsidR="009C1ACE">
        <w:rPr>
          <w:sz w:val="26"/>
          <w:szCs w:val="26"/>
        </w:rPr>
        <w:t xml:space="preserve"> Revised 2017-2019 Plan.</w:t>
      </w:r>
    </w:p>
    <w:p w:rsidR="00253084" w:rsidRDefault="00253084" w:rsidP="00F8735C">
      <w:pPr>
        <w:pStyle w:val="ListParagraph"/>
        <w:spacing w:line="360" w:lineRule="auto"/>
        <w:ind w:left="0"/>
        <w:rPr>
          <w:sz w:val="26"/>
          <w:szCs w:val="26"/>
        </w:rPr>
      </w:pPr>
    </w:p>
    <w:p w:rsidR="00253084" w:rsidRDefault="00253084" w:rsidP="00181BBA">
      <w:pPr>
        <w:pStyle w:val="ListParagraph"/>
        <w:numPr>
          <w:ilvl w:val="0"/>
          <w:numId w:val="45"/>
        </w:numPr>
        <w:spacing w:line="360" w:lineRule="auto"/>
        <w:rPr>
          <w:color w:val="0D0D0D" w:themeColor="text1" w:themeTint="F2"/>
          <w:sz w:val="26"/>
          <w:szCs w:val="26"/>
        </w:rPr>
      </w:pPr>
      <w:r>
        <w:rPr>
          <w:color w:val="0D0D0D" w:themeColor="text1" w:themeTint="F2"/>
          <w:sz w:val="26"/>
          <w:szCs w:val="26"/>
        </w:rPr>
        <w:t xml:space="preserve">Provide notices to the customers when they reach 50%, 80%, and 100% of the CRP consumption limit.  These notices should include energy conservation tips, information about CRP Home Comfort Services, and allowable exemptions to the consumption limit.  </w:t>
      </w:r>
      <w:r w:rsidR="005B26BA">
        <w:rPr>
          <w:color w:val="0D0D0D" w:themeColor="text1" w:themeTint="F2"/>
          <w:sz w:val="26"/>
          <w:szCs w:val="26"/>
        </w:rPr>
        <w:t>PGW should include this policy and procedural change in its Revised 2017-2020 Plan.</w:t>
      </w:r>
    </w:p>
    <w:p w:rsidR="005B26BA" w:rsidRDefault="005B26BA" w:rsidP="00F8735C">
      <w:pPr>
        <w:pStyle w:val="ListParagraph"/>
        <w:spacing w:line="360" w:lineRule="auto"/>
        <w:ind w:left="0"/>
        <w:rPr>
          <w:color w:val="0D0D0D" w:themeColor="text1" w:themeTint="F2"/>
          <w:sz w:val="26"/>
          <w:szCs w:val="26"/>
        </w:rPr>
      </w:pPr>
    </w:p>
    <w:p w:rsidR="005B26BA" w:rsidRDefault="005B26BA" w:rsidP="00181BBA">
      <w:pPr>
        <w:pStyle w:val="ListParagraph"/>
        <w:numPr>
          <w:ilvl w:val="0"/>
          <w:numId w:val="45"/>
        </w:numPr>
        <w:spacing w:line="360" w:lineRule="auto"/>
        <w:rPr>
          <w:sz w:val="26"/>
          <w:szCs w:val="26"/>
        </w:rPr>
      </w:pPr>
      <w:r>
        <w:rPr>
          <w:sz w:val="26"/>
          <w:szCs w:val="26"/>
        </w:rPr>
        <w:t xml:space="preserve">Provide </w:t>
      </w:r>
      <w:r w:rsidRPr="005B26BA">
        <w:rPr>
          <w:sz w:val="26"/>
          <w:szCs w:val="26"/>
        </w:rPr>
        <w:t xml:space="preserve">customers </w:t>
      </w:r>
      <w:r>
        <w:rPr>
          <w:sz w:val="26"/>
          <w:szCs w:val="26"/>
        </w:rPr>
        <w:t xml:space="preserve">with </w:t>
      </w:r>
      <w:r w:rsidRPr="005B26BA">
        <w:rPr>
          <w:sz w:val="26"/>
          <w:szCs w:val="26"/>
        </w:rPr>
        <w:t xml:space="preserve">30 days to dispute information gathered from external sources prior to removing </w:t>
      </w:r>
      <w:r>
        <w:rPr>
          <w:sz w:val="26"/>
          <w:szCs w:val="26"/>
        </w:rPr>
        <w:t xml:space="preserve">them from CRP.  </w:t>
      </w:r>
      <w:r w:rsidRPr="005B26BA">
        <w:rPr>
          <w:sz w:val="26"/>
          <w:szCs w:val="26"/>
        </w:rPr>
        <w:t xml:space="preserve">PGW’s </w:t>
      </w:r>
      <w:r>
        <w:rPr>
          <w:sz w:val="26"/>
          <w:szCs w:val="26"/>
        </w:rPr>
        <w:t xml:space="preserve">shall also </w:t>
      </w:r>
      <w:r w:rsidRPr="005B26BA">
        <w:rPr>
          <w:sz w:val="26"/>
          <w:szCs w:val="26"/>
        </w:rPr>
        <w:t>provide customers with a written description of their FCRA rights if the Company is taking adverse action based on information gathered by a credit reporting agency.</w:t>
      </w:r>
      <w:r>
        <w:rPr>
          <w:sz w:val="26"/>
          <w:szCs w:val="26"/>
        </w:rPr>
        <w:t xml:space="preserve">  The Company should implement these modifications upon final approval of its USECP and identify these changes in its Revised 2017-2020 Plan.</w:t>
      </w:r>
    </w:p>
    <w:p w:rsidR="00692BC5" w:rsidRDefault="00692BC5" w:rsidP="00F8735C">
      <w:pPr>
        <w:pStyle w:val="ListParagraph"/>
        <w:spacing w:line="360" w:lineRule="auto"/>
        <w:ind w:left="0"/>
        <w:rPr>
          <w:sz w:val="26"/>
          <w:szCs w:val="26"/>
        </w:rPr>
      </w:pPr>
    </w:p>
    <w:p w:rsidR="00692BC5" w:rsidRPr="00181BBA" w:rsidRDefault="00692BC5" w:rsidP="00181BBA">
      <w:pPr>
        <w:pStyle w:val="ListParagraph"/>
        <w:numPr>
          <w:ilvl w:val="0"/>
          <w:numId w:val="45"/>
        </w:numPr>
        <w:spacing w:line="360" w:lineRule="auto"/>
        <w:rPr>
          <w:sz w:val="26"/>
          <w:szCs w:val="26"/>
        </w:rPr>
      </w:pPr>
      <w:r w:rsidRPr="00181BBA">
        <w:rPr>
          <w:sz w:val="26"/>
          <w:szCs w:val="26"/>
        </w:rPr>
        <w:lastRenderedPageBreak/>
        <w:t>Accept any federal or state tax form filed in the past 12 months as proof of self-employment income, effective upon final approval of its USECP.  PGW shall identify this policy change in its Revised 2017-2019 Plan.</w:t>
      </w:r>
    </w:p>
    <w:p w:rsidR="00692BC5" w:rsidRDefault="00692BC5" w:rsidP="00692BC5">
      <w:pPr>
        <w:spacing w:after="0" w:line="360" w:lineRule="auto"/>
        <w:contextualSpacing/>
        <w:rPr>
          <w:rFonts w:ascii="Times New Roman" w:eastAsia="Times New Roman" w:hAnsi="Times New Roman" w:cs="Times New Roman"/>
          <w:sz w:val="26"/>
          <w:szCs w:val="26"/>
        </w:rPr>
      </w:pPr>
    </w:p>
    <w:p w:rsidR="00692BC5" w:rsidRPr="00181BBA" w:rsidRDefault="00692BC5" w:rsidP="00181BBA">
      <w:pPr>
        <w:pStyle w:val="ListParagraph"/>
        <w:numPr>
          <w:ilvl w:val="0"/>
          <w:numId w:val="45"/>
        </w:numPr>
        <w:spacing w:line="360" w:lineRule="auto"/>
        <w:rPr>
          <w:sz w:val="26"/>
          <w:szCs w:val="26"/>
        </w:rPr>
      </w:pPr>
      <w:r w:rsidRPr="00181BBA">
        <w:rPr>
          <w:sz w:val="26"/>
          <w:szCs w:val="26"/>
        </w:rPr>
        <w:t xml:space="preserve">Allow customers to document a change in income when determining the amount to pay to re-enroll in CRP and recalculate the PIP CRP Cure amount from the date of this income change.  </w:t>
      </w:r>
      <w:r w:rsidR="00911684" w:rsidRPr="00181BBA">
        <w:rPr>
          <w:sz w:val="26"/>
          <w:szCs w:val="26"/>
        </w:rPr>
        <w:t>PGW should provide retroactive arrearage forgiveness for months spent out of the program once the CRP Cure amount is paid in-full.  The Company shall</w:t>
      </w:r>
      <w:r w:rsidRPr="00181BBA">
        <w:rPr>
          <w:sz w:val="26"/>
          <w:szCs w:val="26"/>
        </w:rPr>
        <w:t xml:space="preserve"> implement th</w:t>
      </w:r>
      <w:r w:rsidR="00911684" w:rsidRPr="00181BBA">
        <w:rPr>
          <w:sz w:val="26"/>
          <w:szCs w:val="26"/>
        </w:rPr>
        <w:t>ese</w:t>
      </w:r>
      <w:r w:rsidRPr="00181BBA">
        <w:rPr>
          <w:sz w:val="26"/>
          <w:szCs w:val="26"/>
        </w:rPr>
        <w:t xml:space="preserve"> policy and procedure change</w:t>
      </w:r>
      <w:r w:rsidR="00911684" w:rsidRPr="00181BBA">
        <w:rPr>
          <w:sz w:val="26"/>
          <w:szCs w:val="26"/>
        </w:rPr>
        <w:t>s</w:t>
      </w:r>
      <w:r w:rsidRPr="00181BBA">
        <w:rPr>
          <w:sz w:val="26"/>
          <w:szCs w:val="26"/>
        </w:rPr>
        <w:t xml:space="preserve"> within three months after final approval of its USECP </w:t>
      </w:r>
      <w:r w:rsidR="00911684" w:rsidRPr="00181BBA">
        <w:rPr>
          <w:sz w:val="26"/>
          <w:szCs w:val="26"/>
        </w:rPr>
        <w:t>and identify these</w:t>
      </w:r>
      <w:r w:rsidRPr="00181BBA">
        <w:rPr>
          <w:sz w:val="26"/>
          <w:szCs w:val="26"/>
        </w:rPr>
        <w:t xml:space="preserve"> change</w:t>
      </w:r>
      <w:r w:rsidR="00911684" w:rsidRPr="00181BBA">
        <w:rPr>
          <w:sz w:val="26"/>
          <w:szCs w:val="26"/>
        </w:rPr>
        <w:t>s</w:t>
      </w:r>
      <w:r w:rsidRPr="00181BBA">
        <w:rPr>
          <w:sz w:val="26"/>
          <w:szCs w:val="26"/>
        </w:rPr>
        <w:t xml:space="preserve"> in its Revised 2017-2020 Plan.</w:t>
      </w:r>
    </w:p>
    <w:p w:rsidR="00692BC5" w:rsidRDefault="00692BC5" w:rsidP="00692BC5">
      <w:pPr>
        <w:spacing w:after="0" w:line="360" w:lineRule="auto"/>
        <w:contextualSpacing/>
        <w:rPr>
          <w:rFonts w:ascii="Times New Roman" w:eastAsia="Times New Roman" w:hAnsi="Times New Roman" w:cs="Times New Roman"/>
          <w:sz w:val="26"/>
          <w:szCs w:val="26"/>
        </w:rPr>
      </w:pPr>
    </w:p>
    <w:p w:rsidR="000B2D27" w:rsidRPr="00181BBA" w:rsidRDefault="000B2D27" w:rsidP="00181BBA">
      <w:pPr>
        <w:pStyle w:val="ListParagraph"/>
        <w:numPr>
          <w:ilvl w:val="0"/>
          <w:numId w:val="45"/>
        </w:numPr>
        <w:spacing w:line="360" w:lineRule="auto"/>
        <w:rPr>
          <w:sz w:val="26"/>
          <w:szCs w:val="26"/>
        </w:rPr>
      </w:pPr>
      <w:r w:rsidRPr="00181BBA">
        <w:rPr>
          <w:sz w:val="26"/>
          <w:szCs w:val="26"/>
        </w:rPr>
        <w:t>Implement its online CRP application process before January 2018 and clarify in its Revised 2017-2020 Plan that (1) the online portal will allow customers to securely submit requested documentation and (2) use of this online process will not automatically enroll customers into electronic billing or notices.</w:t>
      </w:r>
    </w:p>
    <w:p w:rsidR="000B2D27" w:rsidRDefault="000B2D27" w:rsidP="000B2D27">
      <w:pPr>
        <w:spacing w:after="0" w:line="360" w:lineRule="auto"/>
        <w:contextualSpacing/>
        <w:rPr>
          <w:rFonts w:ascii="Times New Roman" w:hAnsi="Times New Roman" w:cs="Times New Roman"/>
          <w:sz w:val="26"/>
          <w:szCs w:val="26"/>
        </w:rPr>
      </w:pPr>
    </w:p>
    <w:p w:rsidR="000B2D27" w:rsidRPr="00181BBA" w:rsidRDefault="00CD2397" w:rsidP="00181BBA">
      <w:pPr>
        <w:pStyle w:val="ListParagraph"/>
        <w:numPr>
          <w:ilvl w:val="0"/>
          <w:numId w:val="45"/>
        </w:numPr>
        <w:spacing w:line="360" w:lineRule="auto"/>
        <w:rPr>
          <w:sz w:val="26"/>
          <w:szCs w:val="26"/>
        </w:rPr>
      </w:pPr>
      <w:r w:rsidRPr="00181BBA">
        <w:rPr>
          <w:sz w:val="26"/>
          <w:szCs w:val="26"/>
        </w:rPr>
        <w:t>Implement changes necessary to ensure that CRP customers receive retroactive arrearage forgiveness for any months missed once they pay the CRP balance in-full.  This change will be implemented within three months of final approval of its USECP and PGW shall reflect this policy change in its Revised 2017-2020 USECP.</w:t>
      </w:r>
    </w:p>
    <w:p w:rsidR="00911684" w:rsidRDefault="00911684" w:rsidP="000B2D27">
      <w:pPr>
        <w:spacing w:after="0" w:line="360" w:lineRule="auto"/>
        <w:contextualSpacing/>
        <w:rPr>
          <w:rFonts w:ascii="Times New Roman" w:eastAsia="Times New Roman" w:hAnsi="Times New Roman" w:cs="Times New Roman"/>
          <w:sz w:val="26"/>
          <w:szCs w:val="26"/>
        </w:rPr>
      </w:pPr>
    </w:p>
    <w:p w:rsidR="00911684" w:rsidRPr="00181BBA" w:rsidRDefault="00D55727" w:rsidP="00181BBA">
      <w:pPr>
        <w:pStyle w:val="ListParagraph"/>
        <w:numPr>
          <w:ilvl w:val="0"/>
          <w:numId w:val="45"/>
        </w:numPr>
        <w:spacing w:line="360" w:lineRule="auto"/>
        <w:rPr>
          <w:sz w:val="26"/>
          <w:szCs w:val="26"/>
        </w:rPr>
      </w:pPr>
      <w:r w:rsidRPr="00181BBA">
        <w:rPr>
          <w:sz w:val="26"/>
          <w:szCs w:val="26"/>
        </w:rPr>
        <w:t>Allow all</w:t>
      </w:r>
      <w:r w:rsidR="00911684" w:rsidRPr="00181BBA">
        <w:rPr>
          <w:sz w:val="26"/>
          <w:szCs w:val="26"/>
        </w:rPr>
        <w:t xml:space="preserve"> low-in</w:t>
      </w:r>
      <w:r w:rsidRPr="00181BBA">
        <w:rPr>
          <w:sz w:val="26"/>
          <w:szCs w:val="26"/>
        </w:rPr>
        <w:t xml:space="preserve">come customers to qualify for </w:t>
      </w:r>
      <w:r w:rsidR="00764359" w:rsidRPr="00181BBA">
        <w:rPr>
          <w:sz w:val="26"/>
          <w:szCs w:val="26"/>
        </w:rPr>
        <w:t>CRP Home Comfort</w:t>
      </w:r>
      <w:r w:rsidR="00911684" w:rsidRPr="00181BBA">
        <w:rPr>
          <w:sz w:val="26"/>
          <w:szCs w:val="26"/>
        </w:rPr>
        <w:t xml:space="preserve"> </w:t>
      </w:r>
      <w:r w:rsidRPr="00181BBA">
        <w:rPr>
          <w:sz w:val="26"/>
          <w:szCs w:val="26"/>
        </w:rPr>
        <w:t>services</w:t>
      </w:r>
      <w:r w:rsidR="00911684" w:rsidRPr="00181BBA">
        <w:rPr>
          <w:sz w:val="26"/>
          <w:szCs w:val="26"/>
        </w:rPr>
        <w:t xml:space="preserve">, regardless of their enrollment status in CRP. </w:t>
      </w:r>
      <w:r w:rsidRPr="00181BBA">
        <w:rPr>
          <w:sz w:val="26"/>
          <w:szCs w:val="26"/>
        </w:rPr>
        <w:t xml:space="preserve"> </w:t>
      </w:r>
      <w:r w:rsidR="00911684" w:rsidRPr="00181BBA">
        <w:rPr>
          <w:sz w:val="26"/>
          <w:szCs w:val="26"/>
        </w:rPr>
        <w:t xml:space="preserve">PGW </w:t>
      </w:r>
      <w:r w:rsidRPr="00181BBA">
        <w:rPr>
          <w:sz w:val="26"/>
          <w:szCs w:val="26"/>
        </w:rPr>
        <w:t>shall</w:t>
      </w:r>
      <w:r w:rsidR="00911684" w:rsidRPr="00181BBA">
        <w:rPr>
          <w:sz w:val="26"/>
          <w:szCs w:val="26"/>
        </w:rPr>
        <w:t xml:space="preserve"> </w:t>
      </w:r>
      <w:r w:rsidRPr="00181BBA">
        <w:rPr>
          <w:sz w:val="26"/>
          <w:szCs w:val="26"/>
        </w:rPr>
        <w:t>reflect this policy change and submit an updated</w:t>
      </w:r>
      <w:r w:rsidR="00911684" w:rsidRPr="00181BBA">
        <w:rPr>
          <w:sz w:val="26"/>
          <w:szCs w:val="26"/>
        </w:rPr>
        <w:t xml:space="preserve"> Needs Assessment in its Revised 2017-2020 Plan.</w:t>
      </w:r>
    </w:p>
    <w:p w:rsidR="00692BC5" w:rsidRDefault="00692BC5" w:rsidP="00692BC5">
      <w:pPr>
        <w:spacing w:after="0" w:line="360" w:lineRule="auto"/>
        <w:contextualSpacing/>
        <w:rPr>
          <w:rFonts w:ascii="Times New Roman" w:eastAsia="Times New Roman" w:hAnsi="Times New Roman" w:cs="Times New Roman"/>
          <w:sz w:val="26"/>
          <w:szCs w:val="26"/>
        </w:rPr>
      </w:pPr>
    </w:p>
    <w:p w:rsidR="00692BC5" w:rsidRPr="001F2C0E" w:rsidRDefault="00FE7B46" w:rsidP="00181BBA">
      <w:pPr>
        <w:pStyle w:val="ListParagraph"/>
        <w:numPr>
          <w:ilvl w:val="0"/>
          <w:numId w:val="45"/>
        </w:numPr>
        <w:spacing w:line="360" w:lineRule="auto"/>
        <w:rPr>
          <w:sz w:val="26"/>
          <w:szCs w:val="26"/>
        </w:rPr>
      </w:pPr>
      <w:r w:rsidRPr="00FE18A6">
        <w:rPr>
          <w:sz w:val="26"/>
          <w:szCs w:val="26"/>
        </w:rPr>
        <w:lastRenderedPageBreak/>
        <w:t xml:space="preserve">Perform LIURP outreach and notify all known income-eligible customers about their </w:t>
      </w:r>
      <w:r w:rsidRPr="001F2C0E">
        <w:rPr>
          <w:sz w:val="26"/>
          <w:szCs w:val="26"/>
        </w:rPr>
        <w:t>potential eligibility for LIURP services.</w:t>
      </w:r>
      <w:r w:rsidR="00AA0D64">
        <w:rPr>
          <w:sz w:val="26"/>
          <w:szCs w:val="26"/>
        </w:rPr>
        <w:t xml:space="preserve">  </w:t>
      </w:r>
      <w:r w:rsidR="00AA0D64">
        <w:rPr>
          <w:rFonts w:eastAsia="Calibri"/>
          <w:sz w:val="26"/>
          <w:szCs w:val="26"/>
        </w:rPr>
        <w:t xml:space="preserve">This enhanced LIURP </w:t>
      </w:r>
      <w:r w:rsidR="00AA0D64" w:rsidRPr="00181BBA">
        <w:rPr>
          <w:rFonts w:eastAsia="Calibri"/>
          <w:sz w:val="26"/>
          <w:szCs w:val="26"/>
        </w:rPr>
        <w:t>outreach effort should be reflected in PGW’s Revised 2017-2020 Plan.</w:t>
      </w:r>
    </w:p>
    <w:p w:rsidR="00F8735C" w:rsidRPr="00764359" w:rsidRDefault="00F8735C" w:rsidP="00F8735C">
      <w:pPr>
        <w:pStyle w:val="ListParagraph"/>
        <w:spacing w:line="360" w:lineRule="auto"/>
        <w:ind w:left="0"/>
        <w:rPr>
          <w:sz w:val="26"/>
          <w:szCs w:val="26"/>
        </w:rPr>
      </w:pPr>
    </w:p>
    <w:p w:rsidR="001F2C0E" w:rsidRPr="00181BBA" w:rsidRDefault="00FE18A6" w:rsidP="00181BBA">
      <w:pPr>
        <w:pStyle w:val="ListParagraph"/>
        <w:numPr>
          <w:ilvl w:val="0"/>
          <w:numId w:val="45"/>
        </w:numPr>
        <w:spacing w:line="360" w:lineRule="auto"/>
        <w:rPr>
          <w:sz w:val="26"/>
          <w:szCs w:val="26"/>
        </w:rPr>
      </w:pPr>
      <w:r w:rsidRPr="00181BBA">
        <w:rPr>
          <w:sz w:val="26"/>
          <w:szCs w:val="26"/>
        </w:rPr>
        <w:t xml:space="preserve">Notify the Commission and other stakeholders when a meeting in 2019 or 2020 is scheduled to discuss the Conservation Incentive Pilot program. </w:t>
      </w:r>
    </w:p>
    <w:p w:rsidR="001F2C0E" w:rsidRDefault="001F2C0E" w:rsidP="0007567A">
      <w:pPr>
        <w:spacing w:line="360" w:lineRule="auto"/>
        <w:contextualSpacing/>
        <w:rPr>
          <w:rFonts w:ascii="Times New Roman" w:hAnsi="Times New Roman" w:cs="Times New Roman"/>
          <w:sz w:val="26"/>
          <w:szCs w:val="26"/>
        </w:rPr>
      </w:pPr>
    </w:p>
    <w:p w:rsidR="001F2C0E" w:rsidRPr="00181BBA" w:rsidRDefault="001F2C0E" w:rsidP="00181BBA">
      <w:pPr>
        <w:pStyle w:val="ListParagraph"/>
        <w:numPr>
          <w:ilvl w:val="0"/>
          <w:numId w:val="45"/>
        </w:numPr>
        <w:spacing w:line="360" w:lineRule="auto"/>
        <w:rPr>
          <w:sz w:val="26"/>
          <w:szCs w:val="26"/>
        </w:rPr>
      </w:pPr>
      <w:r w:rsidRPr="00181BBA">
        <w:rPr>
          <w:sz w:val="26"/>
          <w:szCs w:val="26"/>
        </w:rPr>
        <w:t>File and serve an annual report at this docket detailing the number of customers served through CARES case management and quick-fix referral services during the previous calendar year. PGW shall file and serve the first report – describing 2017 activity – by April 1, 2018 and submit a report by April 1 each year through 2020.</w:t>
      </w:r>
    </w:p>
    <w:p w:rsidR="001F2C0E" w:rsidRDefault="001F2C0E" w:rsidP="0007567A">
      <w:pPr>
        <w:spacing w:line="360" w:lineRule="auto"/>
        <w:contextualSpacing/>
        <w:rPr>
          <w:rFonts w:ascii="Times New Roman" w:eastAsia="Times New Roman" w:hAnsi="Times New Roman" w:cs="Times New Roman"/>
          <w:sz w:val="26"/>
          <w:szCs w:val="26"/>
        </w:rPr>
      </w:pPr>
    </w:p>
    <w:p w:rsidR="009269BE" w:rsidRPr="004D2D21" w:rsidRDefault="001F2C0E" w:rsidP="004D2D21">
      <w:pPr>
        <w:pStyle w:val="ListParagraph"/>
        <w:numPr>
          <w:ilvl w:val="0"/>
          <w:numId w:val="45"/>
        </w:numPr>
        <w:spacing w:line="360" w:lineRule="auto"/>
        <w:rPr>
          <w:sz w:val="26"/>
          <w:szCs w:val="26"/>
        </w:rPr>
      </w:pPr>
      <w:r w:rsidRPr="00181BBA">
        <w:rPr>
          <w:sz w:val="26"/>
          <w:szCs w:val="26"/>
        </w:rPr>
        <w:t xml:space="preserve">File and serve quarterly updates at this docket, beginning October 1, 2017, about its </w:t>
      </w:r>
      <w:r w:rsidR="00FD1B9F" w:rsidRPr="00181BBA">
        <w:rPr>
          <w:sz w:val="26"/>
          <w:szCs w:val="26"/>
        </w:rPr>
        <w:t xml:space="preserve">ongoing </w:t>
      </w:r>
      <w:r w:rsidRPr="00181BBA">
        <w:rPr>
          <w:sz w:val="26"/>
          <w:szCs w:val="26"/>
        </w:rPr>
        <w:t xml:space="preserve">discussions with UESF regarding </w:t>
      </w:r>
      <w:r w:rsidR="00FD1B9F" w:rsidRPr="00181BBA">
        <w:rPr>
          <w:sz w:val="26"/>
          <w:szCs w:val="26"/>
        </w:rPr>
        <w:t xml:space="preserve">potential </w:t>
      </w:r>
      <w:r w:rsidRPr="00181BBA">
        <w:rPr>
          <w:sz w:val="26"/>
          <w:szCs w:val="26"/>
        </w:rPr>
        <w:t>changes to Hardship Fund eligibility</w:t>
      </w:r>
      <w:r w:rsidR="00FD1B9F" w:rsidRPr="00181BBA">
        <w:rPr>
          <w:sz w:val="26"/>
          <w:szCs w:val="26"/>
        </w:rPr>
        <w:t xml:space="preserve"> criteria</w:t>
      </w:r>
      <w:r w:rsidRPr="00181BBA">
        <w:rPr>
          <w:sz w:val="26"/>
          <w:szCs w:val="26"/>
        </w:rPr>
        <w:t xml:space="preserve"> until this issue is resolved.</w:t>
      </w:r>
    </w:p>
    <w:p w:rsidR="00FD1B9F" w:rsidRDefault="00FD1B9F" w:rsidP="0007567A">
      <w:pPr>
        <w:spacing w:line="360" w:lineRule="auto"/>
        <w:contextualSpacing/>
        <w:rPr>
          <w:rFonts w:ascii="Times New Roman" w:eastAsia="Times New Roman" w:hAnsi="Times New Roman" w:cs="Times New Roman"/>
          <w:sz w:val="26"/>
          <w:szCs w:val="26"/>
        </w:rPr>
      </w:pPr>
    </w:p>
    <w:p w:rsidR="00FD1B9F" w:rsidRPr="00181BBA" w:rsidRDefault="00413F4D" w:rsidP="00181BBA">
      <w:pPr>
        <w:pStyle w:val="ListParagraph"/>
        <w:numPr>
          <w:ilvl w:val="0"/>
          <w:numId w:val="45"/>
        </w:numPr>
        <w:spacing w:line="360" w:lineRule="auto"/>
        <w:rPr>
          <w:sz w:val="26"/>
          <w:szCs w:val="26"/>
        </w:rPr>
      </w:pPr>
      <w:r w:rsidRPr="00181BBA">
        <w:rPr>
          <w:rFonts w:eastAsia="Calibri"/>
          <w:sz w:val="26"/>
          <w:szCs w:val="26"/>
        </w:rPr>
        <w:t>Expand CRP outreach efforts (</w:t>
      </w:r>
      <w:r w:rsidRPr="00181BBA">
        <w:rPr>
          <w:rFonts w:eastAsia="Calibri"/>
          <w:i/>
          <w:sz w:val="26"/>
          <w:szCs w:val="26"/>
        </w:rPr>
        <w:t>e.g.</w:t>
      </w:r>
      <w:r w:rsidRPr="00181BBA">
        <w:rPr>
          <w:rFonts w:eastAsia="Calibri"/>
          <w:sz w:val="26"/>
          <w:szCs w:val="26"/>
        </w:rPr>
        <w:t>, direct mail and bill messaging) to include low-income customers that may qualify for CRP based on budget billing.  This includes low-income customers currently on payment arrangements, income-eligible customers denied CRP eligibility in the past 12 months, and low-income customers with broken payment agreements.  This enhanced CRP outreach effort should be reflected in PGW’s Revised 2017-2020 Plan.</w:t>
      </w:r>
    </w:p>
    <w:p w:rsidR="001F2C0E" w:rsidRDefault="001F2C0E" w:rsidP="0007567A">
      <w:pPr>
        <w:spacing w:line="360" w:lineRule="auto"/>
        <w:contextualSpacing/>
        <w:rPr>
          <w:rFonts w:ascii="Times New Roman" w:hAnsi="Times New Roman" w:cs="Times New Roman"/>
          <w:sz w:val="26"/>
          <w:szCs w:val="26"/>
        </w:rPr>
      </w:pPr>
    </w:p>
    <w:p w:rsidR="00764359" w:rsidRPr="00181BBA" w:rsidRDefault="00764359" w:rsidP="00181BBA">
      <w:pPr>
        <w:pStyle w:val="ListParagraph"/>
        <w:numPr>
          <w:ilvl w:val="0"/>
          <w:numId w:val="45"/>
        </w:numPr>
        <w:spacing w:line="360" w:lineRule="auto"/>
        <w:rPr>
          <w:sz w:val="26"/>
          <w:szCs w:val="26"/>
        </w:rPr>
      </w:pPr>
      <w:r w:rsidRPr="00181BBA">
        <w:rPr>
          <w:sz w:val="26"/>
          <w:szCs w:val="26"/>
        </w:rPr>
        <w:t xml:space="preserve">Adjust the </w:t>
      </w:r>
      <w:r w:rsidR="004D2D21">
        <w:rPr>
          <w:sz w:val="26"/>
          <w:szCs w:val="26"/>
        </w:rPr>
        <w:t xml:space="preserve">CRP and </w:t>
      </w:r>
      <w:r w:rsidRPr="00181BBA">
        <w:rPr>
          <w:sz w:val="26"/>
          <w:szCs w:val="26"/>
        </w:rPr>
        <w:t>CRP Home Comfort budgets and corresponding enrollment figures for the program years 2018-2020, and provide these figures in the Revised 2017-2020 Plan.</w:t>
      </w:r>
    </w:p>
    <w:p w:rsidR="00764359" w:rsidRPr="00FE18A6" w:rsidRDefault="00764359" w:rsidP="0007567A">
      <w:pPr>
        <w:spacing w:line="360" w:lineRule="auto"/>
        <w:contextualSpacing/>
        <w:rPr>
          <w:rFonts w:ascii="Times New Roman" w:hAnsi="Times New Roman" w:cs="Times New Roman"/>
          <w:sz w:val="26"/>
          <w:szCs w:val="26"/>
        </w:rPr>
      </w:pPr>
    </w:p>
    <w:p w:rsidR="00F8735C" w:rsidRPr="000D643B" w:rsidRDefault="00F8735C" w:rsidP="00601F1F">
      <w:pPr>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PGW</w:t>
      </w:r>
      <w:r w:rsidRPr="001772CB">
        <w:rPr>
          <w:rFonts w:ascii="Times New Roman" w:eastAsia="Times New Roman" w:hAnsi="Times New Roman" w:cs="Times New Roman"/>
          <w:sz w:val="26"/>
          <w:szCs w:val="26"/>
        </w:rPr>
        <w:t xml:space="preserve"> will file and serve its </w:t>
      </w:r>
      <w:r w:rsidRPr="004F282C">
        <w:rPr>
          <w:rFonts w:ascii="Times New Roman" w:eastAsia="Times New Roman" w:hAnsi="Times New Roman" w:cs="Times New Roman"/>
          <w:sz w:val="26"/>
          <w:szCs w:val="26"/>
        </w:rPr>
        <w:t xml:space="preserve">Revised </w:t>
      </w:r>
      <w:r>
        <w:rPr>
          <w:rFonts w:ascii="Times New Roman" w:eastAsia="Times New Roman" w:hAnsi="Times New Roman" w:cs="Times New Roman"/>
          <w:sz w:val="26"/>
          <w:szCs w:val="26"/>
        </w:rPr>
        <w:t>Plan for 2017-2020</w:t>
      </w:r>
      <w:r w:rsidRPr="004F282C">
        <w:rPr>
          <w:rFonts w:ascii="Times New Roman" w:eastAsia="Times New Roman" w:hAnsi="Times New Roman" w:cs="Times New Roman"/>
          <w:sz w:val="26"/>
          <w:szCs w:val="26"/>
        </w:rPr>
        <w:t xml:space="preserve"> in a compliance filing within 30 days of entry of this order, reflecting the changes directed consistent with this Order.  </w:t>
      </w:r>
      <w:r w:rsidRPr="00E667A5">
        <w:rPr>
          <w:rFonts w:ascii="Times New Roman" w:eastAsia="Times New Roman" w:hAnsi="Times New Roman" w:cs="Times New Roman"/>
          <w:sz w:val="26"/>
          <w:szCs w:val="26"/>
        </w:rPr>
        <w:t xml:space="preserve">We invite </w:t>
      </w:r>
      <w:r>
        <w:rPr>
          <w:rFonts w:ascii="Times New Roman" w:eastAsia="Times New Roman" w:hAnsi="Times New Roman" w:cs="Times New Roman"/>
          <w:sz w:val="26"/>
          <w:szCs w:val="26"/>
        </w:rPr>
        <w:t>PGW</w:t>
      </w:r>
      <w:r w:rsidRPr="00E667A5">
        <w:rPr>
          <w:rFonts w:ascii="Times New Roman" w:eastAsia="Times New Roman" w:hAnsi="Times New Roman" w:cs="Times New Roman"/>
          <w:sz w:val="26"/>
          <w:szCs w:val="26"/>
        </w:rPr>
        <w:t xml:space="preserve"> to submit its Revised </w:t>
      </w:r>
      <w:r>
        <w:rPr>
          <w:rFonts w:ascii="Times New Roman" w:eastAsia="Times New Roman" w:hAnsi="Times New Roman" w:cs="Times New Roman"/>
          <w:sz w:val="26"/>
          <w:szCs w:val="26"/>
        </w:rPr>
        <w:t xml:space="preserve">2017-2020 </w:t>
      </w:r>
      <w:r w:rsidRPr="00E667A5">
        <w:rPr>
          <w:rFonts w:ascii="Times New Roman" w:eastAsia="Times New Roman" w:hAnsi="Times New Roman" w:cs="Times New Roman"/>
          <w:sz w:val="26"/>
          <w:szCs w:val="26"/>
        </w:rPr>
        <w:t>Plan to BCS for a compliance review prior to filin</w:t>
      </w:r>
      <w:r w:rsidRPr="001772CB">
        <w:rPr>
          <w:rFonts w:ascii="Times New Roman" w:eastAsia="Times New Roman" w:hAnsi="Times New Roman" w:cs="Times New Roman"/>
          <w:sz w:val="26"/>
          <w:szCs w:val="26"/>
        </w:rPr>
        <w:t xml:space="preserve">g.  </w:t>
      </w:r>
      <w:r>
        <w:rPr>
          <w:rFonts w:ascii="Times New Roman" w:eastAsia="Times New Roman" w:hAnsi="Times New Roman" w:cs="Times New Roman"/>
          <w:sz w:val="26"/>
          <w:szCs w:val="26"/>
        </w:rPr>
        <w:t>PGW</w:t>
      </w:r>
      <w:r w:rsidRPr="001772CB">
        <w:rPr>
          <w:rFonts w:ascii="Times New Roman" w:eastAsia="Times New Roman" w:hAnsi="Times New Roman" w:cs="Times New Roman"/>
          <w:sz w:val="26"/>
          <w:szCs w:val="26"/>
        </w:rPr>
        <w:t xml:space="preserve">’s existing 2014-2016 USECP will continue in operation in whole or in part until replacement provisions of its Revised </w:t>
      </w:r>
      <w:r>
        <w:rPr>
          <w:rFonts w:ascii="Times New Roman" w:eastAsia="Times New Roman" w:hAnsi="Times New Roman" w:cs="Times New Roman"/>
          <w:sz w:val="26"/>
          <w:szCs w:val="26"/>
        </w:rPr>
        <w:t>2017-2020</w:t>
      </w:r>
      <w:r w:rsidRPr="001772CB">
        <w:rPr>
          <w:rFonts w:ascii="Times New Roman" w:eastAsia="Times New Roman" w:hAnsi="Times New Roman" w:cs="Times New Roman"/>
          <w:sz w:val="26"/>
          <w:szCs w:val="26"/>
        </w:rPr>
        <w:t xml:space="preserve"> USECP are implemented.</w:t>
      </w:r>
    </w:p>
    <w:p w:rsidR="00F8735C" w:rsidRPr="000D643B" w:rsidRDefault="00F8735C" w:rsidP="00F8735C">
      <w:pPr>
        <w:spacing w:after="0" w:line="360" w:lineRule="auto"/>
        <w:rPr>
          <w:rFonts w:ascii="Times New Roman" w:eastAsia="Times New Roman" w:hAnsi="Times New Roman" w:cs="Times New Roman"/>
          <w:sz w:val="26"/>
          <w:szCs w:val="26"/>
        </w:rPr>
      </w:pPr>
    </w:p>
    <w:p w:rsidR="00C47F76" w:rsidRPr="00F8735C" w:rsidRDefault="00106E8A" w:rsidP="00F8735C">
      <w:pPr>
        <w:spacing w:after="0" w:line="360" w:lineRule="auto"/>
        <w:contextualSpacing/>
        <w:rPr>
          <w:rFonts w:ascii="Times New Roman" w:hAnsi="Times New Roman" w:cs="Times New Roman"/>
          <w:color w:val="0D0D0D" w:themeColor="text1" w:themeTint="F2"/>
          <w:sz w:val="26"/>
          <w:szCs w:val="26"/>
        </w:rPr>
      </w:pPr>
      <w:r>
        <w:rPr>
          <w:rFonts w:ascii="Times New Roman" w:eastAsia="Times New Roman" w:hAnsi="Times New Roman" w:cs="Times New Roman"/>
          <w:sz w:val="26"/>
          <w:szCs w:val="26"/>
        </w:rPr>
        <w:tab/>
      </w:r>
      <w:r w:rsidR="00F8735C" w:rsidRPr="000D643B">
        <w:rPr>
          <w:rFonts w:ascii="Times New Roman" w:eastAsia="Times New Roman" w:hAnsi="Times New Roman" w:cs="Times New Roman"/>
          <w:sz w:val="26"/>
          <w:szCs w:val="26"/>
        </w:rPr>
        <w:t xml:space="preserve">Having addressed </w:t>
      </w:r>
      <w:r w:rsidR="00F8735C">
        <w:rPr>
          <w:rFonts w:ascii="Times New Roman" w:eastAsia="Times New Roman" w:hAnsi="Times New Roman" w:cs="Times New Roman"/>
          <w:sz w:val="26"/>
          <w:szCs w:val="26"/>
        </w:rPr>
        <w:t>PGW</w:t>
      </w:r>
      <w:r w:rsidR="00F8735C" w:rsidRPr="000D643B">
        <w:rPr>
          <w:rFonts w:ascii="Times New Roman" w:eastAsia="Times New Roman" w:hAnsi="Times New Roman" w:cs="Times New Roman"/>
          <w:sz w:val="26"/>
          <w:szCs w:val="26"/>
        </w:rPr>
        <w:t xml:space="preserve">’s </w:t>
      </w:r>
      <w:r w:rsidR="00F8735C">
        <w:rPr>
          <w:rFonts w:ascii="Times New Roman" w:eastAsia="Times New Roman" w:hAnsi="Times New Roman" w:cs="Times New Roman"/>
          <w:sz w:val="26"/>
          <w:szCs w:val="26"/>
        </w:rPr>
        <w:t xml:space="preserve">Amended Proposed 2017-2020 Plan and the comments, </w:t>
      </w:r>
      <w:r w:rsidR="00F8735C" w:rsidRPr="000D643B">
        <w:rPr>
          <w:rFonts w:ascii="Times New Roman" w:eastAsia="Times New Roman" w:hAnsi="Times New Roman" w:cs="Times New Roman"/>
          <w:sz w:val="26"/>
          <w:szCs w:val="26"/>
        </w:rPr>
        <w:t>reply comments</w:t>
      </w:r>
      <w:r w:rsidR="00F8735C">
        <w:rPr>
          <w:rFonts w:ascii="Times New Roman" w:eastAsia="Times New Roman" w:hAnsi="Times New Roman" w:cs="Times New Roman"/>
          <w:sz w:val="26"/>
          <w:szCs w:val="26"/>
        </w:rPr>
        <w:t>, and supplemental information in the record</w:t>
      </w:r>
      <w:r w:rsidR="00F8735C" w:rsidRPr="000D643B">
        <w:rPr>
          <w:rFonts w:ascii="Times New Roman" w:eastAsia="Times New Roman" w:hAnsi="Times New Roman" w:cs="Times New Roman"/>
          <w:sz w:val="26"/>
          <w:szCs w:val="26"/>
        </w:rPr>
        <w:t>, we note that any issue, comment, or reply comment requesting a furth</w:t>
      </w:r>
      <w:r w:rsidR="00F8735C">
        <w:rPr>
          <w:rFonts w:ascii="Times New Roman" w:eastAsia="Times New Roman" w:hAnsi="Times New Roman" w:cs="Times New Roman"/>
          <w:sz w:val="26"/>
          <w:szCs w:val="26"/>
        </w:rPr>
        <w:t>er deviation from the Amended Proposed 2017-2020</w:t>
      </w:r>
      <w:r w:rsidR="00F8735C" w:rsidRPr="000D643B">
        <w:rPr>
          <w:rFonts w:ascii="Times New Roman" w:eastAsia="Times New Roman" w:hAnsi="Times New Roman" w:cs="Times New Roman"/>
          <w:sz w:val="26"/>
          <w:szCs w:val="26"/>
        </w:rPr>
        <w:t xml:space="preserve"> Plan, but which we may not have specifically delineated herein, shall be deemed to have been duly considered and denied without further discussion.  The Commission is not required to consider expressly or at length each contention or argument raised by the parties.  </w:t>
      </w:r>
      <w:r w:rsidR="00F8735C" w:rsidRPr="00AF3E56">
        <w:rPr>
          <w:rFonts w:ascii="Times New Roman" w:eastAsia="Times New Roman" w:hAnsi="Times New Roman" w:cs="Times New Roman"/>
          <w:i/>
          <w:sz w:val="26"/>
          <w:szCs w:val="26"/>
        </w:rPr>
        <w:t>Consolidated Rail Corp. v. Pa. PUC</w:t>
      </w:r>
      <w:r w:rsidR="00F8735C" w:rsidRPr="000D643B">
        <w:rPr>
          <w:rFonts w:ascii="Times New Roman" w:eastAsia="Times New Roman" w:hAnsi="Times New Roman" w:cs="Times New Roman"/>
          <w:sz w:val="26"/>
          <w:szCs w:val="26"/>
        </w:rPr>
        <w:t xml:space="preserve">, 625 A.2d 741 (Pa. Cmwlth. 1993); </w:t>
      </w:r>
      <w:r w:rsidR="00F8735C" w:rsidRPr="00100513">
        <w:rPr>
          <w:rFonts w:ascii="Times New Roman" w:eastAsia="Times New Roman" w:hAnsi="Times New Roman" w:cs="Times New Roman"/>
          <w:i/>
          <w:sz w:val="26"/>
          <w:szCs w:val="26"/>
        </w:rPr>
        <w:t>see</w:t>
      </w:r>
      <w:r w:rsidR="00F8735C">
        <w:rPr>
          <w:rFonts w:ascii="Times New Roman" w:eastAsia="Times New Roman" w:hAnsi="Times New Roman" w:cs="Times New Roman"/>
          <w:i/>
          <w:sz w:val="26"/>
          <w:szCs w:val="26"/>
        </w:rPr>
        <w:t xml:space="preserve"> also</w:t>
      </w:r>
      <w:r w:rsidR="00F8735C" w:rsidRPr="000D643B">
        <w:rPr>
          <w:rFonts w:ascii="Times New Roman" w:eastAsia="Times New Roman" w:hAnsi="Times New Roman" w:cs="Times New Roman"/>
          <w:sz w:val="26"/>
          <w:szCs w:val="26"/>
        </w:rPr>
        <w:t xml:space="preserve">, </w:t>
      </w:r>
      <w:r w:rsidR="00F8735C" w:rsidRPr="00100513">
        <w:rPr>
          <w:rFonts w:ascii="Times New Roman" w:eastAsia="Times New Roman" w:hAnsi="Times New Roman" w:cs="Times New Roman"/>
          <w:i/>
          <w:sz w:val="26"/>
          <w:szCs w:val="26"/>
        </w:rPr>
        <w:t>generally</w:t>
      </w:r>
      <w:r w:rsidR="00F8735C" w:rsidRPr="000D643B">
        <w:rPr>
          <w:rFonts w:ascii="Times New Roman" w:eastAsia="Times New Roman" w:hAnsi="Times New Roman" w:cs="Times New Roman"/>
          <w:sz w:val="26"/>
          <w:szCs w:val="26"/>
        </w:rPr>
        <w:t xml:space="preserve">, </w:t>
      </w:r>
      <w:r w:rsidR="00F8735C" w:rsidRPr="00AF3E56">
        <w:rPr>
          <w:rFonts w:ascii="Times New Roman" w:eastAsia="Times New Roman" w:hAnsi="Times New Roman" w:cs="Times New Roman"/>
          <w:i/>
          <w:sz w:val="26"/>
          <w:szCs w:val="26"/>
        </w:rPr>
        <w:t>U. of PA v. Pa. PUC</w:t>
      </w:r>
      <w:r w:rsidR="00F8735C" w:rsidRPr="000D643B">
        <w:rPr>
          <w:rFonts w:ascii="Times New Roman" w:eastAsia="Times New Roman" w:hAnsi="Times New Roman" w:cs="Times New Roman"/>
          <w:sz w:val="26"/>
          <w:szCs w:val="26"/>
        </w:rPr>
        <w:t>, 485 A.2d 1217 (Pa. Cmwlth. 1984)</w:t>
      </w:r>
      <w:r w:rsidR="00F8735C">
        <w:rPr>
          <w:rFonts w:ascii="Times New Roman" w:eastAsia="Times New Roman" w:hAnsi="Times New Roman" w:cs="Times New Roman"/>
          <w:sz w:val="26"/>
          <w:szCs w:val="26"/>
        </w:rPr>
        <w:t xml:space="preserve">; </w:t>
      </w:r>
      <w:r w:rsidR="00D854EC" w:rsidRPr="00F4694E">
        <w:rPr>
          <w:rFonts w:ascii="Times New Roman" w:hAnsi="Times New Roman" w:cs="Times New Roman"/>
          <w:b/>
          <w:sz w:val="26"/>
          <w:szCs w:val="26"/>
        </w:rPr>
        <w:t>THEREFORE,</w:t>
      </w:r>
    </w:p>
    <w:p w:rsidR="00C47F76" w:rsidRPr="00C47F76" w:rsidRDefault="00C47F76" w:rsidP="00231829">
      <w:pPr>
        <w:keepNext/>
        <w:spacing w:after="0" w:line="360" w:lineRule="auto"/>
        <w:contextualSpacing/>
        <w:rPr>
          <w:rFonts w:ascii="Times New Roman" w:eastAsia="Times New Roman" w:hAnsi="Times New Roman" w:cs="Times New Roman"/>
          <w:b/>
          <w:sz w:val="26"/>
          <w:szCs w:val="26"/>
        </w:rPr>
      </w:pPr>
    </w:p>
    <w:p w:rsidR="00C47F76" w:rsidRPr="00C47F76" w:rsidRDefault="00C47F76" w:rsidP="00231829">
      <w:pPr>
        <w:keepNext/>
        <w:spacing w:after="0" w:line="360" w:lineRule="auto"/>
        <w:ind w:firstLine="720"/>
        <w:contextualSpacing/>
        <w:rPr>
          <w:rFonts w:ascii="Times New Roman" w:eastAsia="Times New Roman" w:hAnsi="Times New Roman" w:cs="Times New Roman"/>
          <w:b/>
          <w:sz w:val="26"/>
          <w:szCs w:val="26"/>
        </w:rPr>
      </w:pPr>
      <w:r w:rsidRPr="00C47F76">
        <w:rPr>
          <w:rFonts w:ascii="Times New Roman" w:eastAsia="Times New Roman" w:hAnsi="Times New Roman" w:cs="Times New Roman"/>
          <w:b/>
          <w:sz w:val="26"/>
          <w:szCs w:val="26"/>
        </w:rPr>
        <w:t>IT IS ORDERED:</w:t>
      </w:r>
    </w:p>
    <w:p w:rsidR="00C47F76" w:rsidRPr="00C47F76" w:rsidRDefault="00C47F76" w:rsidP="00231829">
      <w:pPr>
        <w:keepNext/>
        <w:spacing w:after="0" w:line="360" w:lineRule="auto"/>
        <w:contextualSpacing/>
        <w:rPr>
          <w:rFonts w:ascii="Times New Roman" w:eastAsia="Times New Roman" w:hAnsi="Times New Roman" w:cs="Times New Roman"/>
          <w:sz w:val="26"/>
          <w:szCs w:val="26"/>
        </w:rPr>
      </w:pPr>
    </w:p>
    <w:p w:rsidR="00C47F76" w:rsidRPr="00C47F76" w:rsidRDefault="00F8735C" w:rsidP="0020012B">
      <w:pPr>
        <w:numPr>
          <w:ilvl w:val="0"/>
          <w:numId w:val="16"/>
        </w:numPr>
        <w:spacing w:after="0" w:line="360" w:lineRule="auto"/>
        <w:ind w:left="0" w:firstLine="720"/>
        <w:contextualSpacing/>
        <w:rPr>
          <w:rFonts w:ascii="Times New Roman" w:eastAsia="Times New Roman" w:hAnsi="Times New Roman" w:cs="Times New Roman"/>
          <w:sz w:val="26"/>
          <w:szCs w:val="26"/>
        </w:rPr>
      </w:pPr>
      <w:r w:rsidRPr="00D9627C">
        <w:rPr>
          <w:rFonts w:ascii="Times New Roman" w:eastAsia="Times New Roman" w:hAnsi="Times New Roman" w:cs="Times New Roman"/>
          <w:color w:val="0D0D0D" w:themeColor="text1" w:themeTint="F2"/>
          <w:sz w:val="26"/>
          <w:szCs w:val="26"/>
        </w:rPr>
        <w:t xml:space="preserve">That </w:t>
      </w:r>
      <w:r>
        <w:rPr>
          <w:rFonts w:ascii="Times New Roman" w:eastAsia="Times New Roman" w:hAnsi="Times New Roman" w:cs="Times New Roman"/>
          <w:color w:val="0D0D0D" w:themeColor="text1" w:themeTint="F2"/>
          <w:sz w:val="26"/>
          <w:szCs w:val="26"/>
        </w:rPr>
        <w:t>Philadelphia Gas Works</w:t>
      </w:r>
      <w:r w:rsidRPr="00D9627C">
        <w:rPr>
          <w:rFonts w:ascii="Times New Roman" w:eastAsia="Times New Roman" w:hAnsi="Times New Roman" w:cs="Times New Roman"/>
          <w:color w:val="0D0D0D" w:themeColor="text1" w:themeTint="F2"/>
          <w:sz w:val="26"/>
          <w:szCs w:val="26"/>
        </w:rPr>
        <w:t xml:space="preserve"> shall file a Revised Universal Service and Energy</w:t>
      </w:r>
      <w:r>
        <w:rPr>
          <w:rFonts w:ascii="Times New Roman" w:eastAsia="Times New Roman" w:hAnsi="Times New Roman" w:cs="Times New Roman"/>
          <w:color w:val="0D0D0D" w:themeColor="text1" w:themeTint="F2"/>
          <w:sz w:val="26"/>
          <w:szCs w:val="26"/>
        </w:rPr>
        <w:t xml:space="preserve"> Conservation Plan for 2017-2020</w:t>
      </w:r>
      <w:r w:rsidRPr="00D9627C">
        <w:rPr>
          <w:rFonts w:ascii="Times New Roman" w:eastAsia="Times New Roman" w:hAnsi="Times New Roman" w:cs="Times New Roman"/>
          <w:color w:val="0D0D0D" w:themeColor="text1" w:themeTint="F2"/>
          <w:sz w:val="26"/>
          <w:szCs w:val="26"/>
        </w:rPr>
        <w:t xml:space="preserve"> within thirty (30) days of the entry date of this Order.</w:t>
      </w:r>
      <w:r w:rsidR="00C47F76" w:rsidRPr="00C47F76">
        <w:rPr>
          <w:rFonts w:ascii="Times New Roman" w:eastAsia="Times New Roman" w:hAnsi="Times New Roman" w:cs="Times New Roman"/>
          <w:sz w:val="26"/>
          <w:szCs w:val="26"/>
        </w:rPr>
        <w:t xml:space="preserve">  </w:t>
      </w:r>
    </w:p>
    <w:p w:rsidR="00C47F76" w:rsidRPr="00C47F76" w:rsidRDefault="00C47F76" w:rsidP="00231829">
      <w:pPr>
        <w:spacing w:after="0" w:line="360" w:lineRule="auto"/>
        <w:ind w:firstLine="720"/>
        <w:contextualSpacing/>
        <w:rPr>
          <w:rFonts w:ascii="Times New Roman" w:eastAsia="Times New Roman" w:hAnsi="Times New Roman" w:cs="Times New Roman"/>
          <w:sz w:val="26"/>
          <w:szCs w:val="26"/>
        </w:rPr>
      </w:pPr>
    </w:p>
    <w:p w:rsidR="00C47F76" w:rsidRDefault="00F8735C" w:rsidP="0020012B">
      <w:pPr>
        <w:numPr>
          <w:ilvl w:val="0"/>
          <w:numId w:val="16"/>
        </w:numPr>
        <w:spacing w:after="0" w:line="360" w:lineRule="auto"/>
        <w:ind w:left="0" w:firstLine="720"/>
        <w:contextualSpacing/>
        <w:rPr>
          <w:rFonts w:ascii="Times New Roman" w:eastAsia="Times New Roman" w:hAnsi="Times New Roman" w:cs="Times New Roman"/>
          <w:sz w:val="26"/>
          <w:szCs w:val="26"/>
        </w:rPr>
      </w:pPr>
      <w:r w:rsidRPr="00D9627C">
        <w:rPr>
          <w:rFonts w:ascii="Times New Roman" w:eastAsia="Times New Roman" w:hAnsi="Times New Roman" w:cs="Times New Roman"/>
          <w:color w:val="0D0D0D" w:themeColor="text1" w:themeTint="F2"/>
          <w:sz w:val="26"/>
          <w:szCs w:val="26"/>
        </w:rPr>
        <w:t>That the Revised Universal Service and Energy Conservation Plan shall be filed in both clean and redline copies and served on the parties to this docket.</w:t>
      </w:r>
    </w:p>
    <w:p w:rsidR="00C31CF5" w:rsidRDefault="00C31CF5" w:rsidP="00C31CF5">
      <w:pPr>
        <w:spacing w:after="0" w:line="360" w:lineRule="auto"/>
        <w:ind w:left="720"/>
        <w:contextualSpacing/>
        <w:rPr>
          <w:rFonts w:ascii="Times New Roman" w:eastAsia="Times New Roman" w:hAnsi="Times New Roman" w:cs="Times New Roman"/>
          <w:sz w:val="26"/>
          <w:szCs w:val="26"/>
        </w:rPr>
      </w:pPr>
    </w:p>
    <w:p w:rsidR="00AA1370" w:rsidRDefault="00106E8A" w:rsidP="0020012B">
      <w:pPr>
        <w:numPr>
          <w:ilvl w:val="0"/>
          <w:numId w:val="16"/>
        </w:numPr>
        <w:spacing w:after="0" w:line="360" w:lineRule="auto"/>
        <w:ind w:left="0" w:firstLine="720"/>
        <w:contextualSpacing/>
        <w:rPr>
          <w:rFonts w:ascii="Times New Roman" w:eastAsia="Times New Roman" w:hAnsi="Times New Roman" w:cs="Times New Roman"/>
          <w:sz w:val="26"/>
          <w:szCs w:val="26"/>
        </w:rPr>
      </w:pPr>
      <w:r w:rsidRPr="00D9627C">
        <w:rPr>
          <w:rFonts w:ascii="Times New Roman" w:eastAsia="Times New Roman" w:hAnsi="Times New Roman" w:cs="Times New Roman"/>
          <w:color w:val="0D0D0D" w:themeColor="text1" w:themeTint="F2"/>
          <w:sz w:val="26"/>
          <w:szCs w:val="26"/>
        </w:rPr>
        <w:t xml:space="preserve">That the Revised Universal Service and Energy Conservation Plan shall be provided electronically in Word®-compatible format to Joseph Magee, Bureau of </w:t>
      </w:r>
      <w:r w:rsidRPr="00D9627C">
        <w:rPr>
          <w:rFonts w:ascii="Times New Roman" w:eastAsia="Times New Roman" w:hAnsi="Times New Roman" w:cs="Times New Roman"/>
          <w:color w:val="0D0D0D" w:themeColor="text1" w:themeTint="F2"/>
          <w:sz w:val="26"/>
          <w:szCs w:val="26"/>
        </w:rPr>
        <w:lastRenderedPageBreak/>
        <w:t xml:space="preserve">Consumer Services, </w:t>
      </w:r>
      <w:hyperlink r:id="rId8" w:history="1">
        <w:r w:rsidRPr="000A1772">
          <w:rPr>
            <w:rStyle w:val="Hyperlink"/>
            <w:rFonts w:ascii="Times New Roman" w:eastAsia="Times New Roman" w:hAnsi="Times New Roman" w:cs="Times New Roman"/>
            <w:sz w:val="26"/>
            <w:szCs w:val="26"/>
          </w:rPr>
          <w:t>jmagee@pa.gov</w:t>
        </w:r>
      </w:hyperlink>
      <w:r>
        <w:rPr>
          <w:rFonts w:ascii="Times New Roman" w:eastAsia="Times New Roman" w:hAnsi="Times New Roman" w:cs="Times New Roman"/>
          <w:color w:val="0D0D0D" w:themeColor="text1" w:themeTint="F2"/>
          <w:sz w:val="26"/>
          <w:szCs w:val="26"/>
        </w:rPr>
        <w:t>,</w:t>
      </w:r>
      <w:r w:rsidRPr="00D9627C">
        <w:rPr>
          <w:rFonts w:ascii="Times New Roman" w:eastAsia="Times New Roman" w:hAnsi="Times New Roman" w:cs="Times New Roman"/>
          <w:color w:val="0D0D0D" w:themeColor="text1" w:themeTint="F2"/>
          <w:sz w:val="26"/>
          <w:szCs w:val="26"/>
        </w:rPr>
        <w:t xml:space="preserve"> Sarah Dewey, Bureau of C</w:t>
      </w:r>
      <w:r>
        <w:rPr>
          <w:rFonts w:ascii="Times New Roman" w:eastAsia="Times New Roman" w:hAnsi="Times New Roman" w:cs="Times New Roman"/>
          <w:color w:val="0D0D0D" w:themeColor="text1" w:themeTint="F2"/>
          <w:sz w:val="26"/>
          <w:szCs w:val="26"/>
        </w:rPr>
        <w:t xml:space="preserve">onsumer Services, </w:t>
      </w:r>
      <w:hyperlink r:id="rId9" w:history="1">
        <w:r w:rsidRPr="000A1772">
          <w:rPr>
            <w:rStyle w:val="Hyperlink"/>
            <w:rFonts w:ascii="Times New Roman" w:eastAsia="Times New Roman" w:hAnsi="Times New Roman" w:cs="Times New Roman"/>
            <w:sz w:val="26"/>
            <w:szCs w:val="26"/>
          </w:rPr>
          <w:t>sdewey@pa.gov</w:t>
        </w:r>
      </w:hyperlink>
      <w:r>
        <w:rPr>
          <w:rFonts w:ascii="Times New Roman" w:eastAsia="Times New Roman" w:hAnsi="Times New Roman" w:cs="Times New Roman"/>
          <w:color w:val="0D0D0D" w:themeColor="text1" w:themeTint="F2"/>
          <w:sz w:val="26"/>
          <w:szCs w:val="26"/>
        </w:rPr>
        <w:t xml:space="preserve">, </w:t>
      </w:r>
      <w:r w:rsidRPr="00D9627C">
        <w:rPr>
          <w:rFonts w:ascii="Times New Roman" w:eastAsia="Times New Roman" w:hAnsi="Times New Roman" w:cs="Times New Roman"/>
          <w:color w:val="0D0D0D" w:themeColor="text1" w:themeTint="F2"/>
          <w:sz w:val="26"/>
          <w:szCs w:val="26"/>
        </w:rPr>
        <w:t xml:space="preserve"> and Louise Fink Smith, Law Bureau, </w:t>
      </w:r>
      <w:hyperlink r:id="rId10" w:history="1">
        <w:r w:rsidRPr="000A1772">
          <w:rPr>
            <w:rStyle w:val="Hyperlink"/>
            <w:rFonts w:ascii="Times New Roman" w:eastAsia="Times New Roman" w:hAnsi="Times New Roman" w:cs="Times New Roman"/>
            <w:sz w:val="26"/>
            <w:szCs w:val="26"/>
          </w:rPr>
          <w:t>finksmith@pa.gov</w:t>
        </w:r>
      </w:hyperlink>
      <w:r>
        <w:rPr>
          <w:rFonts w:ascii="Times New Roman" w:eastAsia="Times New Roman" w:hAnsi="Times New Roman" w:cs="Times New Roman"/>
          <w:color w:val="0D0D0D" w:themeColor="text1" w:themeTint="F2"/>
          <w:sz w:val="26"/>
          <w:szCs w:val="26"/>
        </w:rPr>
        <w:t>.</w:t>
      </w:r>
      <w:r w:rsidR="00AA1370">
        <w:rPr>
          <w:rFonts w:ascii="Times New Roman" w:eastAsia="Times New Roman" w:hAnsi="Times New Roman" w:cs="Times New Roman"/>
          <w:sz w:val="26"/>
          <w:szCs w:val="26"/>
        </w:rPr>
        <w:t xml:space="preserve"> </w:t>
      </w:r>
    </w:p>
    <w:p w:rsidR="001D7B1A" w:rsidRDefault="001D7B1A" w:rsidP="001D7B1A">
      <w:pPr>
        <w:spacing w:after="0" w:line="360" w:lineRule="auto"/>
        <w:ind w:left="720"/>
        <w:contextualSpacing/>
        <w:rPr>
          <w:rFonts w:ascii="Times New Roman" w:eastAsia="Times New Roman" w:hAnsi="Times New Roman" w:cs="Times New Roman"/>
          <w:sz w:val="26"/>
          <w:szCs w:val="26"/>
        </w:rPr>
      </w:pPr>
    </w:p>
    <w:p w:rsidR="006D7173" w:rsidRPr="006D7173" w:rsidRDefault="006D7173" w:rsidP="006D7173">
      <w:pPr>
        <w:numPr>
          <w:ilvl w:val="0"/>
          <w:numId w:val="16"/>
        </w:numPr>
        <w:spacing w:after="0" w:line="360" w:lineRule="auto"/>
        <w:ind w:left="0" w:firstLine="720"/>
        <w:contextualSpacing/>
        <w:rPr>
          <w:rFonts w:ascii="Times New Roman" w:eastAsia="Times New Roman" w:hAnsi="Times New Roman" w:cs="Times New Roman"/>
          <w:sz w:val="26"/>
          <w:szCs w:val="26"/>
        </w:rPr>
      </w:pPr>
      <w:r w:rsidRPr="00D9627C">
        <w:rPr>
          <w:rFonts w:ascii="Times New Roman" w:eastAsia="Times New Roman" w:hAnsi="Times New Roman" w:cs="Times New Roman"/>
          <w:color w:val="0D0D0D" w:themeColor="text1" w:themeTint="F2"/>
          <w:sz w:val="26"/>
          <w:szCs w:val="26"/>
        </w:rPr>
        <w:t xml:space="preserve">That the Revised </w:t>
      </w:r>
      <w:r w:rsidR="00601F1F">
        <w:rPr>
          <w:rFonts w:ascii="Times New Roman" w:eastAsia="Times New Roman" w:hAnsi="Times New Roman" w:cs="Times New Roman"/>
          <w:color w:val="0D0D0D" w:themeColor="text1" w:themeTint="F2"/>
          <w:sz w:val="26"/>
          <w:szCs w:val="26"/>
        </w:rPr>
        <w:t xml:space="preserve">2017-2020 </w:t>
      </w:r>
      <w:r w:rsidRPr="00D9627C">
        <w:rPr>
          <w:rFonts w:ascii="Times New Roman" w:eastAsia="Times New Roman" w:hAnsi="Times New Roman" w:cs="Times New Roman"/>
          <w:color w:val="0D0D0D" w:themeColor="text1" w:themeTint="F2"/>
          <w:sz w:val="26"/>
          <w:szCs w:val="26"/>
        </w:rPr>
        <w:t>Universal Service and Energy</w:t>
      </w:r>
      <w:r>
        <w:rPr>
          <w:rFonts w:ascii="Times New Roman" w:eastAsia="Times New Roman" w:hAnsi="Times New Roman" w:cs="Times New Roman"/>
          <w:color w:val="0D0D0D" w:themeColor="text1" w:themeTint="F2"/>
          <w:sz w:val="26"/>
          <w:szCs w:val="26"/>
        </w:rPr>
        <w:t xml:space="preserve"> Conservation Plan shall </w:t>
      </w:r>
      <w:r w:rsidR="00DE3F24">
        <w:rPr>
          <w:rFonts w:ascii="Times New Roman" w:eastAsia="Times New Roman" w:hAnsi="Times New Roman" w:cs="Times New Roman"/>
          <w:color w:val="0D0D0D" w:themeColor="text1" w:themeTint="F2"/>
          <w:sz w:val="26"/>
          <w:szCs w:val="26"/>
        </w:rPr>
        <w:t>include:</w:t>
      </w:r>
    </w:p>
    <w:p w:rsidR="00C47F76" w:rsidRPr="00AA0D64" w:rsidRDefault="006D7173" w:rsidP="00AA0D64">
      <w:pPr>
        <w:pStyle w:val="ListParagraph"/>
        <w:numPr>
          <w:ilvl w:val="0"/>
          <w:numId w:val="46"/>
        </w:numPr>
        <w:spacing w:line="360" w:lineRule="auto"/>
        <w:rPr>
          <w:sz w:val="26"/>
          <w:szCs w:val="26"/>
        </w:rPr>
      </w:pPr>
      <w:r w:rsidRPr="00AA0D64">
        <w:rPr>
          <w:sz w:val="26"/>
          <w:szCs w:val="26"/>
        </w:rPr>
        <w:t>Enrolling customers in CRP at the PIP or the budget bill amount, whichever is lower.</w:t>
      </w:r>
    </w:p>
    <w:p w:rsidR="006D7173" w:rsidRPr="00AA0D64" w:rsidRDefault="006D7173" w:rsidP="00AA0D64">
      <w:pPr>
        <w:pStyle w:val="ListParagraph"/>
        <w:numPr>
          <w:ilvl w:val="0"/>
          <w:numId w:val="46"/>
        </w:numPr>
        <w:spacing w:line="360" w:lineRule="auto"/>
        <w:rPr>
          <w:sz w:val="26"/>
          <w:szCs w:val="26"/>
        </w:rPr>
      </w:pPr>
      <w:r w:rsidRPr="00AA0D64">
        <w:rPr>
          <w:sz w:val="26"/>
          <w:szCs w:val="26"/>
        </w:rPr>
        <w:t>Providing notifications to customers when they reach 50%, 80%, and 100% of the CRP consumption limit.</w:t>
      </w:r>
    </w:p>
    <w:p w:rsidR="006D7173" w:rsidRPr="00AA0D64" w:rsidRDefault="006D7173" w:rsidP="00AA0D64">
      <w:pPr>
        <w:pStyle w:val="ListParagraph"/>
        <w:numPr>
          <w:ilvl w:val="0"/>
          <w:numId w:val="46"/>
        </w:numPr>
        <w:spacing w:line="360" w:lineRule="auto"/>
        <w:rPr>
          <w:sz w:val="26"/>
          <w:szCs w:val="26"/>
        </w:rPr>
      </w:pPr>
      <w:r w:rsidRPr="00AA0D64">
        <w:rPr>
          <w:sz w:val="26"/>
          <w:szCs w:val="26"/>
        </w:rPr>
        <w:t>Providing customers with 30 days to dispute information gathered from external sources prior to removing them from CRP.</w:t>
      </w:r>
    </w:p>
    <w:p w:rsidR="006D7173" w:rsidRPr="00AA0D64" w:rsidRDefault="006D7173" w:rsidP="00AA0D64">
      <w:pPr>
        <w:pStyle w:val="ListParagraph"/>
        <w:numPr>
          <w:ilvl w:val="0"/>
          <w:numId w:val="46"/>
        </w:numPr>
        <w:spacing w:line="360" w:lineRule="auto"/>
        <w:rPr>
          <w:sz w:val="26"/>
          <w:szCs w:val="26"/>
        </w:rPr>
      </w:pPr>
      <w:r w:rsidRPr="00AA0D64">
        <w:rPr>
          <w:sz w:val="26"/>
          <w:szCs w:val="26"/>
        </w:rPr>
        <w:t>Accepting any federal or state tax form filed in the past 12 months as proof of self-employment income.</w:t>
      </w:r>
    </w:p>
    <w:p w:rsidR="006D7173" w:rsidRPr="00AA0D64" w:rsidRDefault="006D7173" w:rsidP="00AA0D64">
      <w:pPr>
        <w:pStyle w:val="ListParagraph"/>
        <w:numPr>
          <w:ilvl w:val="0"/>
          <w:numId w:val="46"/>
        </w:numPr>
        <w:spacing w:line="360" w:lineRule="auto"/>
        <w:rPr>
          <w:sz w:val="26"/>
          <w:szCs w:val="26"/>
        </w:rPr>
      </w:pPr>
      <w:r w:rsidRPr="00AA0D64">
        <w:rPr>
          <w:sz w:val="26"/>
          <w:szCs w:val="26"/>
        </w:rPr>
        <w:t>Allowing customers to document a change in income when determining the amount to pay to re-enroll in CRP and recalculate the PIP CRP Cure amount from the date of this income change.</w:t>
      </w:r>
    </w:p>
    <w:p w:rsidR="006D7173" w:rsidRPr="00AA0D64" w:rsidRDefault="006D7173" w:rsidP="00AA0D64">
      <w:pPr>
        <w:pStyle w:val="ListParagraph"/>
        <w:numPr>
          <w:ilvl w:val="0"/>
          <w:numId w:val="46"/>
        </w:numPr>
        <w:spacing w:line="360" w:lineRule="auto"/>
        <w:rPr>
          <w:sz w:val="26"/>
          <w:szCs w:val="26"/>
        </w:rPr>
      </w:pPr>
      <w:r w:rsidRPr="00AA0D64">
        <w:rPr>
          <w:sz w:val="26"/>
          <w:szCs w:val="26"/>
        </w:rPr>
        <w:t xml:space="preserve">Providing retroactive arrearage forgiveness </w:t>
      </w:r>
      <w:r w:rsidR="00DE3F24" w:rsidRPr="00AA0D64">
        <w:rPr>
          <w:sz w:val="26"/>
          <w:szCs w:val="26"/>
        </w:rPr>
        <w:t>for any months missed once they pay the CRP balance or CRP Cure amount in-full</w:t>
      </w:r>
    </w:p>
    <w:p w:rsidR="006D7173" w:rsidRPr="00AA0D64" w:rsidRDefault="00DE3F24" w:rsidP="00AA0D64">
      <w:pPr>
        <w:pStyle w:val="ListParagraph"/>
        <w:numPr>
          <w:ilvl w:val="0"/>
          <w:numId w:val="46"/>
        </w:numPr>
        <w:spacing w:line="360" w:lineRule="auto"/>
        <w:rPr>
          <w:sz w:val="26"/>
          <w:szCs w:val="26"/>
        </w:rPr>
      </w:pPr>
      <w:r w:rsidRPr="00AA0D64">
        <w:rPr>
          <w:sz w:val="26"/>
          <w:szCs w:val="26"/>
        </w:rPr>
        <w:t>Clarification about its online CRP application process.</w:t>
      </w:r>
    </w:p>
    <w:p w:rsidR="00DE3F24" w:rsidRPr="00AA0D64" w:rsidRDefault="004D2D21" w:rsidP="00AA0D64">
      <w:pPr>
        <w:pStyle w:val="ListParagraph"/>
        <w:numPr>
          <w:ilvl w:val="0"/>
          <w:numId w:val="46"/>
        </w:numPr>
        <w:spacing w:line="360" w:lineRule="auto"/>
        <w:rPr>
          <w:sz w:val="26"/>
          <w:szCs w:val="26"/>
        </w:rPr>
      </w:pPr>
      <w:r w:rsidRPr="00AA0D64">
        <w:rPr>
          <w:sz w:val="26"/>
          <w:szCs w:val="26"/>
        </w:rPr>
        <w:t>Allowing non-CRP low-income customers to qualify for CRP Home Comfort.</w:t>
      </w:r>
    </w:p>
    <w:p w:rsidR="004D2D21" w:rsidRPr="00AA0D64" w:rsidRDefault="00BE7293" w:rsidP="00AA0D64">
      <w:pPr>
        <w:pStyle w:val="ListParagraph"/>
        <w:numPr>
          <w:ilvl w:val="0"/>
          <w:numId w:val="46"/>
        </w:numPr>
        <w:spacing w:line="360" w:lineRule="auto"/>
        <w:rPr>
          <w:sz w:val="26"/>
          <w:szCs w:val="26"/>
        </w:rPr>
      </w:pPr>
      <w:r w:rsidRPr="00AA0D64">
        <w:rPr>
          <w:sz w:val="26"/>
          <w:szCs w:val="26"/>
        </w:rPr>
        <w:t xml:space="preserve">Explanation of expanded </w:t>
      </w:r>
      <w:r w:rsidR="004D2D21" w:rsidRPr="00AA0D64">
        <w:rPr>
          <w:sz w:val="26"/>
          <w:szCs w:val="26"/>
        </w:rPr>
        <w:t>outreach efforts</w:t>
      </w:r>
      <w:r w:rsidRPr="00AA0D64">
        <w:rPr>
          <w:sz w:val="26"/>
          <w:szCs w:val="26"/>
        </w:rPr>
        <w:t xml:space="preserve"> for CRP and LIURP </w:t>
      </w:r>
      <w:r w:rsidR="004D2D21" w:rsidRPr="00AA0D64">
        <w:rPr>
          <w:sz w:val="26"/>
          <w:szCs w:val="26"/>
        </w:rPr>
        <w:t>.</w:t>
      </w:r>
    </w:p>
    <w:p w:rsidR="004D2D21" w:rsidRPr="00AA0D64" w:rsidRDefault="00BE7293" w:rsidP="00AA0D64">
      <w:pPr>
        <w:pStyle w:val="ListParagraph"/>
        <w:numPr>
          <w:ilvl w:val="0"/>
          <w:numId w:val="46"/>
        </w:numPr>
        <w:spacing w:line="360" w:lineRule="auto"/>
        <w:rPr>
          <w:sz w:val="26"/>
          <w:szCs w:val="26"/>
        </w:rPr>
      </w:pPr>
      <w:r w:rsidRPr="00AA0D64">
        <w:rPr>
          <w:sz w:val="26"/>
          <w:szCs w:val="26"/>
        </w:rPr>
        <w:t>Updated CRP and CRP Home Comfort budget and enrollment estimates for 2018-2020.</w:t>
      </w:r>
    </w:p>
    <w:p w:rsidR="00C47F76" w:rsidRPr="00C47F76" w:rsidRDefault="00C47F76" w:rsidP="00231829">
      <w:pPr>
        <w:spacing w:after="0" w:line="360" w:lineRule="auto"/>
        <w:ind w:firstLine="720"/>
        <w:contextualSpacing/>
        <w:rPr>
          <w:rFonts w:ascii="Times New Roman" w:eastAsia="Times New Roman" w:hAnsi="Times New Roman" w:cs="Times New Roman"/>
          <w:sz w:val="26"/>
          <w:szCs w:val="26"/>
        </w:rPr>
      </w:pPr>
    </w:p>
    <w:p w:rsidR="00AA0D64" w:rsidRDefault="00AA0D64" w:rsidP="00AA0D64">
      <w:pPr>
        <w:numPr>
          <w:ilvl w:val="0"/>
          <w:numId w:val="16"/>
        </w:numPr>
        <w:spacing w:after="0" w:line="360" w:lineRule="auto"/>
        <w:ind w:left="0"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Philadelphia Gas Works will notify the </w:t>
      </w:r>
      <w:r w:rsidRPr="00AA0D64">
        <w:rPr>
          <w:rFonts w:ascii="Times New Roman" w:eastAsia="Times New Roman" w:hAnsi="Times New Roman" w:cs="Times New Roman"/>
          <w:sz w:val="26"/>
          <w:szCs w:val="26"/>
        </w:rPr>
        <w:t xml:space="preserve">Commission and other stakeholders </w:t>
      </w:r>
      <w:r w:rsidR="00601F1F">
        <w:rPr>
          <w:rFonts w:ascii="Times New Roman" w:eastAsia="Times New Roman" w:hAnsi="Times New Roman" w:cs="Times New Roman"/>
          <w:sz w:val="26"/>
          <w:szCs w:val="26"/>
        </w:rPr>
        <w:t xml:space="preserve">at least 30 days in </w:t>
      </w:r>
      <w:r w:rsidR="00FC575B">
        <w:rPr>
          <w:rFonts w:ascii="Times New Roman" w:eastAsia="Times New Roman" w:hAnsi="Times New Roman" w:cs="Times New Roman"/>
          <w:sz w:val="26"/>
          <w:szCs w:val="26"/>
        </w:rPr>
        <w:t>advance</w:t>
      </w:r>
      <w:r w:rsidR="00601F1F">
        <w:rPr>
          <w:rFonts w:ascii="Times New Roman" w:eastAsia="Times New Roman" w:hAnsi="Times New Roman" w:cs="Times New Roman"/>
          <w:sz w:val="26"/>
          <w:szCs w:val="26"/>
        </w:rPr>
        <w:t xml:space="preserve"> </w:t>
      </w:r>
      <w:r w:rsidRPr="00AA0D64">
        <w:rPr>
          <w:rFonts w:ascii="Times New Roman" w:eastAsia="Times New Roman" w:hAnsi="Times New Roman" w:cs="Times New Roman"/>
          <w:sz w:val="26"/>
          <w:szCs w:val="26"/>
        </w:rPr>
        <w:t>when a meeting in 2019 or 2020 is scheduled to discuss the Conservation Incentive Pilot program.</w:t>
      </w:r>
    </w:p>
    <w:p w:rsidR="00AA0D64" w:rsidRDefault="00AA0D64" w:rsidP="00AA0D64">
      <w:pPr>
        <w:spacing w:after="0" w:line="360" w:lineRule="auto"/>
        <w:ind w:left="720"/>
        <w:contextualSpacing/>
        <w:rPr>
          <w:rFonts w:ascii="Times New Roman" w:eastAsia="Times New Roman" w:hAnsi="Times New Roman" w:cs="Times New Roman"/>
          <w:sz w:val="26"/>
          <w:szCs w:val="26"/>
        </w:rPr>
      </w:pPr>
    </w:p>
    <w:p w:rsidR="00AA0D64" w:rsidRDefault="00AA0D64" w:rsidP="00AA0D64">
      <w:pPr>
        <w:numPr>
          <w:ilvl w:val="0"/>
          <w:numId w:val="16"/>
        </w:numPr>
        <w:spacing w:after="0" w:line="360" w:lineRule="auto"/>
        <w:ind w:left="0"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Philadelphia Gas works will file and serve </w:t>
      </w:r>
      <w:r w:rsidRPr="00AA0D64">
        <w:rPr>
          <w:rFonts w:ascii="Times New Roman" w:eastAsia="Times New Roman" w:hAnsi="Times New Roman" w:cs="Times New Roman"/>
          <w:sz w:val="26"/>
          <w:szCs w:val="26"/>
        </w:rPr>
        <w:t>an annual report at this docket detailing the number of customers served through CARES case management and quick-fix referral services</w:t>
      </w:r>
      <w:r>
        <w:rPr>
          <w:rFonts w:ascii="Times New Roman" w:eastAsia="Times New Roman" w:hAnsi="Times New Roman" w:cs="Times New Roman"/>
          <w:sz w:val="26"/>
          <w:szCs w:val="26"/>
        </w:rPr>
        <w:t xml:space="preserve"> on April 1</w:t>
      </w:r>
      <w:r w:rsidRPr="00AA0D64">
        <w:rPr>
          <w:rFonts w:ascii="Times New Roman" w:eastAsia="Times New Roman" w:hAnsi="Times New Roman" w:cs="Times New Roman"/>
          <w:sz w:val="26"/>
          <w:szCs w:val="26"/>
          <w:vertAlign w:val="superscript"/>
        </w:rPr>
        <w:t>st</w:t>
      </w:r>
      <w:r>
        <w:rPr>
          <w:rFonts w:ascii="Times New Roman" w:eastAsia="Times New Roman" w:hAnsi="Times New Roman" w:cs="Times New Roman"/>
          <w:sz w:val="26"/>
          <w:szCs w:val="26"/>
        </w:rPr>
        <w:t xml:space="preserve"> each year through 2020.</w:t>
      </w:r>
    </w:p>
    <w:p w:rsidR="00AA0D64" w:rsidRDefault="00AA0D64" w:rsidP="00AA0D64">
      <w:pPr>
        <w:spacing w:after="0" w:line="360" w:lineRule="auto"/>
        <w:ind w:left="720"/>
        <w:contextualSpacing/>
        <w:rPr>
          <w:rFonts w:ascii="Times New Roman" w:eastAsia="Times New Roman" w:hAnsi="Times New Roman" w:cs="Times New Roman"/>
          <w:sz w:val="26"/>
          <w:szCs w:val="26"/>
        </w:rPr>
      </w:pPr>
    </w:p>
    <w:p w:rsidR="00AA0D64" w:rsidRDefault="00AA0D64" w:rsidP="00AA0D64">
      <w:pPr>
        <w:numPr>
          <w:ilvl w:val="0"/>
          <w:numId w:val="16"/>
        </w:numPr>
        <w:spacing w:after="0" w:line="360" w:lineRule="auto"/>
        <w:ind w:left="0"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Philadelphia Gas Works will file and serve </w:t>
      </w:r>
      <w:r w:rsidRPr="00AA0D64">
        <w:rPr>
          <w:rFonts w:ascii="Times New Roman" w:eastAsia="Times New Roman" w:hAnsi="Times New Roman" w:cs="Times New Roman"/>
          <w:sz w:val="26"/>
          <w:szCs w:val="26"/>
        </w:rPr>
        <w:t>quarterly updates at this docket, beginning October 1, 2017, about i</w:t>
      </w:r>
      <w:r>
        <w:rPr>
          <w:rFonts w:ascii="Times New Roman" w:eastAsia="Times New Roman" w:hAnsi="Times New Roman" w:cs="Times New Roman"/>
          <w:sz w:val="26"/>
          <w:szCs w:val="26"/>
        </w:rPr>
        <w:t>ts ongoing Hardship Fund discussions with the Utility Emergency Service Fund.</w:t>
      </w:r>
    </w:p>
    <w:p w:rsidR="00601F1F" w:rsidRPr="00AA0D64" w:rsidRDefault="00601F1F" w:rsidP="00601F1F">
      <w:pPr>
        <w:spacing w:after="0" w:line="360" w:lineRule="auto"/>
        <w:ind w:left="720"/>
        <w:contextualSpacing/>
        <w:rPr>
          <w:rFonts w:ascii="Times New Roman" w:eastAsia="Times New Roman" w:hAnsi="Times New Roman" w:cs="Times New Roman"/>
          <w:sz w:val="26"/>
          <w:szCs w:val="26"/>
        </w:rPr>
      </w:pPr>
    </w:p>
    <w:p w:rsidR="00C47F76" w:rsidRPr="00C47F76" w:rsidRDefault="00106E8A" w:rsidP="0020012B">
      <w:pPr>
        <w:numPr>
          <w:ilvl w:val="0"/>
          <w:numId w:val="16"/>
        </w:numPr>
        <w:spacing w:after="0" w:line="360" w:lineRule="auto"/>
        <w:ind w:left="0" w:firstLine="720"/>
        <w:contextualSpacing/>
        <w:rPr>
          <w:rFonts w:ascii="Times New Roman" w:eastAsia="Times New Roman" w:hAnsi="Times New Roman" w:cs="Times New Roman"/>
          <w:sz w:val="26"/>
          <w:szCs w:val="26"/>
        </w:rPr>
      </w:pPr>
      <w:r w:rsidRPr="00D9627C">
        <w:rPr>
          <w:rFonts w:ascii="Times New Roman" w:eastAsia="Times New Roman" w:hAnsi="Times New Roman" w:cs="Times New Roman"/>
          <w:color w:val="0D0D0D" w:themeColor="text1" w:themeTint="F2"/>
          <w:sz w:val="26"/>
          <w:szCs w:val="26"/>
        </w:rPr>
        <w:t>That exceptions to the Revised Universal Service and Energy Conservation Plan may be filed within 10 days of the date of its filing and service.  Reply exceptions may be filed within five (5) days of the due date for the filing of exceptions.</w:t>
      </w:r>
    </w:p>
    <w:p w:rsidR="00C47F76" w:rsidRPr="00C47F76" w:rsidRDefault="00C47F76" w:rsidP="00231829">
      <w:pPr>
        <w:spacing w:after="0" w:line="360" w:lineRule="auto"/>
        <w:ind w:firstLine="720"/>
        <w:contextualSpacing/>
        <w:rPr>
          <w:rFonts w:ascii="Times New Roman" w:eastAsia="Times New Roman" w:hAnsi="Times New Roman" w:cs="Times New Roman"/>
          <w:sz w:val="26"/>
          <w:szCs w:val="26"/>
        </w:rPr>
      </w:pPr>
    </w:p>
    <w:p w:rsidR="00C47F76" w:rsidRPr="00106E8A" w:rsidRDefault="00106E8A" w:rsidP="00FC575B">
      <w:pPr>
        <w:keepNext/>
        <w:numPr>
          <w:ilvl w:val="0"/>
          <w:numId w:val="16"/>
        </w:numPr>
        <w:spacing w:after="0" w:line="360" w:lineRule="auto"/>
        <w:ind w:left="0" w:firstLine="720"/>
        <w:contextualSpacing/>
        <w:rPr>
          <w:rFonts w:ascii="Times New Roman" w:eastAsia="Times New Roman" w:hAnsi="Times New Roman" w:cs="Times New Roman"/>
          <w:sz w:val="26"/>
          <w:szCs w:val="26"/>
        </w:rPr>
      </w:pPr>
      <w:r w:rsidRPr="00D9627C">
        <w:rPr>
          <w:rFonts w:ascii="Times New Roman" w:eastAsia="Times New Roman" w:hAnsi="Times New Roman" w:cs="Times New Roman"/>
          <w:color w:val="0D0D0D" w:themeColor="text1" w:themeTint="F2"/>
          <w:sz w:val="26"/>
          <w:szCs w:val="26"/>
        </w:rPr>
        <w:t xml:space="preserve">That the Commission’s Bureau of Consumer Services, with the assistance of the Law Bureau, will evaluate the compliance filing, as well as any exceptions and reply exceptions filed thereto, and prepare a recommendation for the Commission’s consideration relative to approving or rejecting </w:t>
      </w:r>
      <w:r>
        <w:rPr>
          <w:rFonts w:ascii="Times New Roman" w:eastAsia="Times New Roman" w:hAnsi="Times New Roman" w:cs="Times New Roman"/>
          <w:color w:val="0D0D0D" w:themeColor="text1" w:themeTint="F2"/>
          <w:sz w:val="26"/>
          <w:szCs w:val="26"/>
        </w:rPr>
        <w:t>Philadelphia Gas Works’</w:t>
      </w:r>
      <w:r w:rsidRPr="00D9627C">
        <w:rPr>
          <w:rFonts w:ascii="Times New Roman" w:eastAsia="Times New Roman" w:hAnsi="Times New Roman" w:cs="Times New Roman"/>
          <w:color w:val="0D0D0D" w:themeColor="text1" w:themeTint="F2"/>
          <w:sz w:val="26"/>
          <w:szCs w:val="26"/>
        </w:rPr>
        <w:t xml:space="preserve"> Revised Universal Service and Energy</w:t>
      </w:r>
      <w:r>
        <w:rPr>
          <w:rFonts w:ascii="Times New Roman" w:eastAsia="Times New Roman" w:hAnsi="Times New Roman" w:cs="Times New Roman"/>
          <w:color w:val="0D0D0D" w:themeColor="text1" w:themeTint="F2"/>
          <w:sz w:val="26"/>
          <w:szCs w:val="26"/>
        </w:rPr>
        <w:t xml:space="preserve"> Conservation Plan for 2017-2020.</w:t>
      </w:r>
      <w:r w:rsidR="00C47F76" w:rsidRPr="00106E8A">
        <w:rPr>
          <w:rFonts w:ascii="Times New Roman" w:eastAsia="Times New Roman" w:hAnsi="Times New Roman" w:cs="Times New Roman"/>
          <w:sz w:val="26"/>
          <w:szCs w:val="26"/>
        </w:rPr>
        <w:t xml:space="preserve">  </w:t>
      </w:r>
    </w:p>
    <w:p w:rsidR="00C47F76" w:rsidRPr="00C47F76" w:rsidRDefault="00C47F76" w:rsidP="0066145F">
      <w:pPr>
        <w:keepNext/>
        <w:spacing w:after="0" w:line="360" w:lineRule="auto"/>
        <w:contextualSpacing/>
        <w:rPr>
          <w:rFonts w:ascii="Times New Roman" w:eastAsia="Times New Roman" w:hAnsi="Times New Roman" w:cs="Times New Roman"/>
          <w:sz w:val="26"/>
          <w:szCs w:val="26"/>
        </w:rPr>
      </w:pPr>
    </w:p>
    <w:p w:rsidR="00C47F76" w:rsidRPr="00C47F76" w:rsidRDefault="00342CBF">
      <w:pPr>
        <w:keepNext/>
        <w:spacing w:after="0" w:line="360" w:lineRule="auto"/>
        <w:ind w:left="2880" w:firstLine="720"/>
        <w:contextualSpacing/>
        <w:rPr>
          <w:rFonts w:ascii="Times New Roman" w:eastAsia="Times New Roman" w:hAnsi="Times New Roman" w:cs="Times New Roman"/>
          <w:b/>
          <w:sz w:val="26"/>
          <w:szCs w:val="26"/>
        </w:rPr>
      </w:pPr>
      <w:bookmarkStart w:id="4" w:name="_GoBack"/>
      <w:r w:rsidRPr="009F01BA">
        <w:rPr>
          <w:b/>
          <w:noProof/>
          <w:sz w:val="20"/>
          <w:szCs w:val="20"/>
        </w:rPr>
        <w:drawing>
          <wp:anchor distT="0" distB="0" distL="114300" distR="114300" simplePos="0" relativeHeight="251658240" behindDoc="1" locked="0" layoutInCell="1" allowOverlap="1" wp14:anchorId="6BDB2238" wp14:editId="50BCAEA9">
            <wp:simplePos x="0" y="0"/>
            <wp:positionH relativeFrom="column">
              <wp:posOffset>2457450</wp:posOffset>
            </wp:positionH>
            <wp:positionV relativeFrom="paragraph">
              <wp:posOffset>84455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4"/>
      <w:r w:rsidR="00C47F76" w:rsidRPr="00C47F76">
        <w:rPr>
          <w:rFonts w:ascii="Times New Roman" w:eastAsia="Times New Roman" w:hAnsi="Times New Roman" w:cs="Times New Roman"/>
          <w:sz w:val="26"/>
          <w:szCs w:val="26"/>
        </w:rPr>
        <w:tab/>
      </w:r>
      <w:r w:rsidR="00C47F76" w:rsidRPr="00C47F76">
        <w:rPr>
          <w:rFonts w:ascii="Times New Roman" w:eastAsia="Times New Roman" w:hAnsi="Times New Roman" w:cs="Times New Roman"/>
          <w:b/>
          <w:sz w:val="26"/>
          <w:szCs w:val="26"/>
        </w:rPr>
        <w:t>BY THE COMMISSION,</w:t>
      </w:r>
    </w:p>
    <w:p w:rsidR="00C47F76" w:rsidRPr="00C47F76" w:rsidRDefault="00DF5B6B">
      <w:pPr>
        <w:keepNext/>
        <w:tabs>
          <w:tab w:val="left" w:pos="5140"/>
        </w:tabs>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ab/>
      </w:r>
    </w:p>
    <w:p w:rsidR="00C47F76" w:rsidRPr="00C47F76" w:rsidRDefault="00C47F76">
      <w:pPr>
        <w:keepNext/>
        <w:spacing w:after="0" w:line="360" w:lineRule="auto"/>
        <w:contextualSpacing/>
        <w:rPr>
          <w:rFonts w:ascii="Times New Roman" w:eastAsia="Times New Roman" w:hAnsi="Times New Roman" w:cs="Times New Roman"/>
          <w:sz w:val="26"/>
          <w:szCs w:val="26"/>
        </w:rPr>
      </w:pPr>
    </w:p>
    <w:p w:rsidR="00C47F76" w:rsidRPr="00C47F76" w:rsidRDefault="00C47F76" w:rsidP="00FC575B">
      <w:pPr>
        <w:keepNext/>
        <w:spacing w:after="0" w:line="360" w:lineRule="auto"/>
        <w:contextualSpacing/>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ab/>
      </w:r>
      <w:r w:rsidRPr="00C47F76">
        <w:rPr>
          <w:rFonts w:ascii="Times New Roman" w:eastAsia="Times New Roman" w:hAnsi="Times New Roman" w:cs="Times New Roman"/>
          <w:sz w:val="26"/>
          <w:szCs w:val="26"/>
        </w:rPr>
        <w:tab/>
      </w:r>
      <w:r w:rsidRPr="00C47F76">
        <w:rPr>
          <w:rFonts w:ascii="Times New Roman" w:eastAsia="Times New Roman" w:hAnsi="Times New Roman" w:cs="Times New Roman"/>
          <w:sz w:val="26"/>
          <w:szCs w:val="26"/>
        </w:rPr>
        <w:tab/>
      </w:r>
      <w:r w:rsidRPr="00C47F76">
        <w:rPr>
          <w:rFonts w:ascii="Times New Roman" w:eastAsia="Times New Roman" w:hAnsi="Times New Roman" w:cs="Times New Roman"/>
          <w:sz w:val="26"/>
          <w:szCs w:val="26"/>
        </w:rPr>
        <w:tab/>
      </w:r>
      <w:r w:rsidRPr="00C47F76">
        <w:rPr>
          <w:rFonts w:ascii="Times New Roman" w:eastAsia="Times New Roman" w:hAnsi="Times New Roman" w:cs="Times New Roman"/>
          <w:sz w:val="26"/>
          <w:szCs w:val="26"/>
        </w:rPr>
        <w:tab/>
      </w:r>
      <w:r w:rsidRPr="00C47F76">
        <w:rPr>
          <w:rFonts w:ascii="Times New Roman" w:eastAsia="Times New Roman" w:hAnsi="Times New Roman" w:cs="Times New Roman"/>
          <w:sz w:val="26"/>
          <w:szCs w:val="26"/>
        </w:rPr>
        <w:tab/>
        <w:t>Rosemary Chiavetta</w:t>
      </w:r>
    </w:p>
    <w:p w:rsidR="00C47F76" w:rsidRPr="00C47F76" w:rsidRDefault="00C47F76" w:rsidP="00FC575B">
      <w:pPr>
        <w:keepNext/>
        <w:spacing w:after="0" w:line="360" w:lineRule="auto"/>
        <w:contextualSpacing/>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ab/>
      </w:r>
      <w:r w:rsidRPr="00C47F76">
        <w:rPr>
          <w:rFonts w:ascii="Times New Roman" w:eastAsia="Times New Roman" w:hAnsi="Times New Roman" w:cs="Times New Roman"/>
          <w:sz w:val="26"/>
          <w:szCs w:val="26"/>
        </w:rPr>
        <w:tab/>
      </w:r>
      <w:r w:rsidRPr="00C47F76">
        <w:rPr>
          <w:rFonts w:ascii="Times New Roman" w:eastAsia="Times New Roman" w:hAnsi="Times New Roman" w:cs="Times New Roman"/>
          <w:sz w:val="26"/>
          <w:szCs w:val="26"/>
        </w:rPr>
        <w:tab/>
      </w:r>
      <w:r w:rsidRPr="00C47F76">
        <w:rPr>
          <w:rFonts w:ascii="Times New Roman" w:eastAsia="Times New Roman" w:hAnsi="Times New Roman" w:cs="Times New Roman"/>
          <w:sz w:val="26"/>
          <w:szCs w:val="26"/>
        </w:rPr>
        <w:tab/>
      </w:r>
      <w:r w:rsidRPr="00C47F76">
        <w:rPr>
          <w:rFonts w:ascii="Times New Roman" w:eastAsia="Times New Roman" w:hAnsi="Times New Roman" w:cs="Times New Roman"/>
          <w:sz w:val="26"/>
          <w:szCs w:val="26"/>
        </w:rPr>
        <w:tab/>
      </w:r>
      <w:r w:rsidRPr="00C47F76">
        <w:rPr>
          <w:rFonts w:ascii="Times New Roman" w:eastAsia="Times New Roman" w:hAnsi="Times New Roman" w:cs="Times New Roman"/>
          <w:sz w:val="26"/>
          <w:szCs w:val="26"/>
        </w:rPr>
        <w:tab/>
        <w:t>Secretary</w:t>
      </w:r>
    </w:p>
    <w:p w:rsidR="00C47F76" w:rsidRPr="00C47F76" w:rsidRDefault="00C47F76" w:rsidP="00FC575B">
      <w:pPr>
        <w:keepNext/>
        <w:spacing w:after="0" w:line="360" w:lineRule="auto"/>
        <w:contextualSpacing/>
        <w:rPr>
          <w:rFonts w:ascii="Times New Roman" w:eastAsia="Times New Roman" w:hAnsi="Times New Roman" w:cs="Times New Roman"/>
          <w:sz w:val="26"/>
          <w:szCs w:val="26"/>
        </w:rPr>
      </w:pPr>
    </w:p>
    <w:p w:rsidR="00C47F76" w:rsidRPr="00C47F76" w:rsidRDefault="00C47F76" w:rsidP="00FC575B">
      <w:pPr>
        <w:keepNext/>
        <w:spacing w:after="0" w:line="360" w:lineRule="auto"/>
        <w:contextualSpacing/>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(SEAL)</w:t>
      </w:r>
    </w:p>
    <w:p w:rsidR="00C47F76" w:rsidRPr="00C47F76" w:rsidRDefault="00C47F76" w:rsidP="00FC575B">
      <w:pPr>
        <w:keepNext/>
        <w:spacing w:after="0" w:line="360" w:lineRule="auto"/>
        <w:contextualSpacing/>
        <w:rPr>
          <w:rFonts w:ascii="Times New Roman" w:eastAsia="Times New Roman" w:hAnsi="Times New Roman" w:cs="Times New Roman"/>
          <w:sz w:val="26"/>
          <w:szCs w:val="26"/>
        </w:rPr>
      </w:pPr>
    </w:p>
    <w:p w:rsidR="00C47F76" w:rsidRPr="00C47F76" w:rsidRDefault="00C47F76" w:rsidP="00FC575B">
      <w:pPr>
        <w:keepNext/>
        <w:spacing w:after="0" w:line="360" w:lineRule="auto"/>
        <w:contextualSpacing/>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 xml:space="preserve">ORDER ADOPTED:  </w:t>
      </w:r>
      <w:r w:rsidR="007C1608">
        <w:rPr>
          <w:rFonts w:ascii="Times New Roman" w:eastAsia="Times New Roman" w:hAnsi="Times New Roman" w:cs="Times New Roman"/>
          <w:sz w:val="26"/>
          <w:szCs w:val="26"/>
        </w:rPr>
        <w:t>August 3</w:t>
      </w:r>
      <w:r w:rsidR="00151399">
        <w:rPr>
          <w:rFonts w:ascii="Times New Roman" w:eastAsia="Times New Roman" w:hAnsi="Times New Roman" w:cs="Times New Roman"/>
          <w:sz w:val="26"/>
          <w:szCs w:val="26"/>
        </w:rPr>
        <w:t>, 2017</w:t>
      </w:r>
    </w:p>
    <w:p w:rsidR="002F357B" w:rsidRPr="00B63E24" w:rsidRDefault="00C47F76" w:rsidP="00FC575B">
      <w:pPr>
        <w:keepNext/>
        <w:spacing w:after="0" w:line="360" w:lineRule="auto"/>
        <w:contextualSpacing/>
        <w:rPr>
          <w:rFonts w:ascii="Times New Roman" w:eastAsia="Times New Roman" w:hAnsi="Times New Roman" w:cs="Times New Roman"/>
          <w:sz w:val="26"/>
          <w:szCs w:val="26"/>
        </w:rPr>
      </w:pPr>
      <w:r w:rsidRPr="00C47F76">
        <w:rPr>
          <w:rFonts w:ascii="Times New Roman" w:eastAsia="Times New Roman" w:hAnsi="Times New Roman" w:cs="Times New Roman"/>
          <w:sz w:val="26"/>
          <w:szCs w:val="26"/>
        </w:rPr>
        <w:t>ORDER ENTERED:</w:t>
      </w:r>
      <w:r w:rsidR="0077561A">
        <w:rPr>
          <w:rFonts w:ascii="Times New Roman" w:eastAsia="Times New Roman" w:hAnsi="Times New Roman" w:cs="Times New Roman"/>
          <w:sz w:val="26"/>
          <w:szCs w:val="26"/>
        </w:rPr>
        <w:t xml:space="preserve">   </w:t>
      </w:r>
      <w:r w:rsidR="00342CBF">
        <w:rPr>
          <w:rFonts w:ascii="Times New Roman" w:eastAsia="Times New Roman" w:hAnsi="Times New Roman" w:cs="Times New Roman"/>
          <w:sz w:val="26"/>
          <w:szCs w:val="26"/>
        </w:rPr>
        <w:t>August 3, 2017</w:t>
      </w:r>
    </w:p>
    <w:sectPr w:rsidR="002F357B" w:rsidRPr="00B63E24" w:rsidSect="005E1E54">
      <w:footerReference w:type="even" r:id="rId12"/>
      <w:footerReference w:type="default" r:id="rId13"/>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1F5D" w:rsidRDefault="00001F5D" w:rsidP="00C47F76">
      <w:pPr>
        <w:spacing w:after="0" w:line="240" w:lineRule="auto"/>
      </w:pPr>
      <w:r>
        <w:separator/>
      </w:r>
    </w:p>
  </w:endnote>
  <w:endnote w:type="continuationSeparator" w:id="0">
    <w:p w:rsidR="00001F5D" w:rsidRDefault="00001F5D" w:rsidP="00C47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A15" w:rsidRDefault="008D4A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8D4A15" w:rsidRDefault="008D4A15">
    <w:pPr>
      <w:pStyle w:val="Footer"/>
    </w:pPr>
  </w:p>
  <w:p w:rsidR="008D4A15" w:rsidRDefault="008D4A1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A15" w:rsidRDefault="008D4A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42CBF">
      <w:rPr>
        <w:rStyle w:val="PageNumber"/>
        <w:noProof/>
      </w:rPr>
      <w:t>91</w:t>
    </w:r>
    <w:r>
      <w:rPr>
        <w:rStyle w:val="PageNumber"/>
      </w:rPr>
      <w:fldChar w:fldCharType="end"/>
    </w:r>
  </w:p>
  <w:p w:rsidR="008D4A15" w:rsidRDefault="008D4A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1F5D" w:rsidRDefault="00001F5D" w:rsidP="00C47F76">
      <w:pPr>
        <w:spacing w:after="0" w:line="240" w:lineRule="auto"/>
      </w:pPr>
      <w:r>
        <w:separator/>
      </w:r>
    </w:p>
  </w:footnote>
  <w:footnote w:type="continuationSeparator" w:id="0">
    <w:p w:rsidR="00001F5D" w:rsidRDefault="00001F5D" w:rsidP="00C47F76">
      <w:pPr>
        <w:spacing w:after="0" w:line="240" w:lineRule="auto"/>
      </w:pPr>
      <w:r>
        <w:continuationSeparator/>
      </w:r>
    </w:p>
  </w:footnote>
  <w:footnote w:id="1">
    <w:p w:rsidR="008D4A15" w:rsidRPr="0064403A" w:rsidRDefault="008D4A15" w:rsidP="00B421DD">
      <w:pPr>
        <w:pStyle w:val="FootnoteText"/>
        <w:rPr>
          <w:sz w:val="24"/>
          <w:szCs w:val="24"/>
        </w:rPr>
      </w:pPr>
      <w:r w:rsidRPr="0064403A">
        <w:rPr>
          <w:rStyle w:val="FootnoteReference"/>
          <w:sz w:val="24"/>
          <w:szCs w:val="24"/>
        </w:rPr>
        <w:footnoteRef/>
      </w:r>
      <w:r w:rsidRPr="0064403A">
        <w:rPr>
          <w:sz w:val="24"/>
          <w:szCs w:val="24"/>
        </w:rPr>
        <w:t xml:space="preserve">  PGW reported serving </w:t>
      </w:r>
      <w:r>
        <w:rPr>
          <w:sz w:val="24"/>
          <w:szCs w:val="24"/>
        </w:rPr>
        <w:t>470,788</w:t>
      </w:r>
      <w:r w:rsidRPr="0064403A">
        <w:rPr>
          <w:sz w:val="24"/>
          <w:szCs w:val="24"/>
        </w:rPr>
        <w:t xml:space="preserve"> customers in 2015.  2015 Report on Universal Service Programs &amp; Collections Performance at 6.</w:t>
      </w:r>
      <w:r>
        <w:rPr>
          <w:sz w:val="24"/>
          <w:szCs w:val="24"/>
        </w:rPr>
        <w:t xml:space="preserve">  The yearly </w:t>
      </w:r>
      <w:r w:rsidRPr="002057D1">
        <w:rPr>
          <w:sz w:val="24"/>
          <w:szCs w:val="24"/>
        </w:rPr>
        <w:t>Report</w:t>
      </w:r>
      <w:r>
        <w:rPr>
          <w:sz w:val="24"/>
          <w:szCs w:val="24"/>
        </w:rPr>
        <w:t>s</w:t>
      </w:r>
      <w:r w:rsidRPr="002057D1">
        <w:rPr>
          <w:sz w:val="24"/>
          <w:szCs w:val="24"/>
        </w:rPr>
        <w:t xml:space="preserve"> on Universal Service Programs &amp; Collections Performance</w:t>
      </w:r>
      <w:r>
        <w:rPr>
          <w:sz w:val="24"/>
          <w:szCs w:val="24"/>
        </w:rPr>
        <w:t xml:space="preserve"> can be found on the Commission’s website at: </w:t>
      </w:r>
      <w:hyperlink r:id="rId1" w:history="1">
        <w:r w:rsidRPr="004B783F">
          <w:rPr>
            <w:rStyle w:val="Hyperlink"/>
            <w:sz w:val="24"/>
            <w:szCs w:val="24"/>
          </w:rPr>
          <w:t>http://www.puc.pa.gov/filing_resources/universal_service_reports.aspx</w:t>
        </w:r>
      </w:hyperlink>
      <w:r>
        <w:rPr>
          <w:sz w:val="24"/>
          <w:szCs w:val="24"/>
        </w:rPr>
        <w:t xml:space="preserve">. </w:t>
      </w:r>
    </w:p>
  </w:footnote>
  <w:footnote w:id="2">
    <w:p w:rsidR="008D4A15" w:rsidRPr="00651CBB" w:rsidRDefault="008D4A15">
      <w:pPr>
        <w:pStyle w:val="FootnoteText"/>
        <w:rPr>
          <w:sz w:val="24"/>
          <w:szCs w:val="24"/>
        </w:rPr>
      </w:pPr>
      <w:r w:rsidRPr="00651CBB">
        <w:rPr>
          <w:rStyle w:val="FootnoteReference"/>
          <w:sz w:val="24"/>
          <w:szCs w:val="24"/>
        </w:rPr>
        <w:footnoteRef/>
      </w:r>
      <w:r w:rsidRPr="00651CBB">
        <w:rPr>
          <w:sz w:val="24"/>
          <w:szCs w:val="24"/>
        </w:rPr>
        <w:t xml:space="preserve">  The Action Alliance of Senior Citizens of Greater Philadelphia was not identified as a partner with TURN in </w:t>
      </w:r>
      <w:r>
        <w:rPr>
          <w:sz w:val="24"/>
          <w:szCs w:val="24"/>
        </w:rPr>
        <w:t>the 2014-2016 USECP</w:t>
      </w:r>
      <w:r w:rsidRPr="00651CBB">
        <w:rPr>
          <w:sz w:val="24"/>
          <w:szCs w:val="24"/>
        </w:rPr>
        <w:t xml:space="preserve"> </w:t>
      </w:r>
      <w:r>
        <w:rPr>
          <w:sz w:val="24"/>
          <w:szCs w:val="24"/>
        </w:rPr>
        <w:t>proceeding</w:t>
      </w:r>
      <w:r w:rsidRPr="00651CBB">
        <w:rPr>
          <w:sz w:val="24"/>
          <w:szCs w:val="24"/>
        </w:rPr>
        <w:t>.</w:t>
      </w:r>
    </w:p>
  </w:footnote>
  <w:footnote w:id="3">
    <w:p w:rsidR="008D4A15" w:rsidRPr="005148EB" w:rsidRDefault="008D4A15" w:rsidP="00CD4268">
      <w:pPr>
        <w:pStyle w:val="FootnoteText"/>
        <w:rPr>
          <w:sz w:val="24"/>
          <w:szCs w:val="24"/>
        </w:rPr>
      </w:pPr>
      <w:r w:rsidRPr="00F52D95">
        <w:rPr>
          <w:rStyle w:val="FootnoteReference"/>
          <w:szCs w:val="24"/>
        </w:rPr>
        <w:footnoteRef/>
      </w:r>
      <w:r w:rsidRPr="00F52D95">
        <w:rPr>
          <w:sz w:val="24"/>
          <w:szCs w:val="24"/>
        </w:rPr>
        <w:t xml:space="preserve">  </w:t>
      </w:r>
      <w:r w:rsidRPr="006127CD">
        <w:rPr>
          <w:i/>
          <w:sz w:val="24"/>
          <w:szCs w:val="24"/>
        </w:rPr>
        <w:t>Pa. PUC, et al., v. PGW</w:t>
      </w:r>
      <w:r w:rsidRPr="006127CD">
        <w:rPr>
          <w:sz w:val="24"/>
          <w:szCs w:val="24"/>
        </w:rPr>
        <w:t xml:space="preserve">, Docket Nos. R-2009-2139884, </w:t>
      </w:r>
      <w:r w:rsidRPr="006127CD">
        <w:rPr>
          <w:i/>
          <w:sz w:val="24"/>
          <w:szCs w:val="24"/>
        </w:rPr>
        <w:t>et al.</w:t>
      </w:r>
      <w:r w:rsidRPr="006127CD">
        <w:rPr>
          <w:sz w:val="24"/>
          <w:szCs w:val="24"/>
        </w:rPr>
        <w:t xml:space="preserve"> (July 29, 2010) (</w:t>
      </w:r>
      <w:r w:rsidRPr="006127CD">
        <w:rPr>
          <w:i/>
          <w:sz w:val="24"/>
          <w:szCs w:val="24"/>
        </w:rPr>
        <w:t>PGW’s 2009 Rate Case</w:t>
      </w:r>
      <w:r w:rsidRPr="006127CD">
        <w:rPr>
          <w:sz w:val="24"/>
          <w:szCs w:val="24"/>
        </w:rPr>
        <w:t xml:space="preserve">) and </w:t>
      </w:r>
      <w:r w:rsidRPr="006127CD">
        <w:rPr>
          <w:i/>
          <w:sz w:val="24"/>
          <w:szCs w:val="24"/>
        </w:rPr>
        <w:t>PGW’s Revised Petition for Approval of Energy Conservation and DSM Plan</w:t>
      </w:r>
      <w:r w:rsidRPr="006127CD">
        <w:rPr>
          <w:sz w:val="24"/>
          <w:szCs w:val="24"/>
        </w:rPr>
        <w:t>, Docket No. P</w:t>
      </w:r>
      <w:r w:rsidRPr="006127CD">
        <w:rPr>
          <w:sz w:val="24"/>
          <w:szCs w:val="24"/>
        </w:rPr>
        <w:noBreakHyphen/>
        <w:t>2009-2097639 (July 29, 2009) (</w:t>
      </w:r>
      <w:r w:rsidRPr="006127CD">
        <w:rPr>
          <w:i/>
          <w:sz w:val="24"/>
          <w:szCs w:val="24"/>
        </w:rPr>
        <w:t>PGW’s Revised DSM I Plan</w:t>
      </w:r>
      <w:r w:rsidRPr="006127CD">
        <w:rPr>
          <w:sz w:val="24"/>
          <w:szCs w:val="24"/>
        </w:rPr>
        <w:t xml:space="preserve">), collectively </w:t>
      </w:r>
      <w:r w:rsidRPr="006127CD">
        <w:rPr>
          <w:i/>
          <w:sz w:val="24"/>
          <w:szCs w:val="24"/>
        </w:rPr>
        <w:t>DSM I Settlement Order</w:t>
      </w:r>
      <w:r w:rsidRPr="006127CD">
        <w:rPr>
          <w:sz w:val="24"/>
          <w:szCs w:val="24"/>
        </w:rPr>
        <w:t xml:space="preserve">.  </w:t>
      </w:r>
      <w:r w:rsidRPr="006127CD">
        <w:rPr>
          <w:i/>
          <w:sz w:val="24"/>
          <w:szCs w:val="24"/>
        </w:rPr>
        <w:t xml:space="preserve">See </w:t>
      </w:r>
      <w:r w:rsidRPr="006127CD">
        <w:rPr>
          <w:sz w:val="24"/>
          <w:szCs w:val="24"/>
        </w:rPr>
        <w:t>DSM I Settlement at 10 &amp; 11.</w:t>
      </w:r>
    </w:p>
  </w:footnote>
  <w:footnote w:id="4">
    <w:p w:rsidR="008D4A15" w:rsidRPr="00084468" w:rsidRDefault="008D4A15" w:rsidP="0078474B">
      <w:pPr>
        <w:pStyle w:val="FootnoteText"/>
        <w:rPr>
          <w:sz w:val="24"/>
        </w:rPr>
      </w:pPr>
      <w:r w:rsidRPr="00D142B6">
        <w:rPr>
          <w:rStyle w:val="FootnoteReference"/>
          <w:sz w:val="24"/>
        </w:rPr>
        <w:footnoteRef/>
      </w:r>
      <w:r w:rsidRPr="00D142B6">
        <w:rPr>
          <w:sz w:val="24"/>
        </w:rPr>
        <w:t xml:space="preserve">  This </w:t>
      </w:r>
      <w:r>
        <w:rPr>
          <w:sz w:val="24"/>
        </w:rPr>
        <w:t xml:space="preserve">DSM II </w:t>
      </w:r>
      <w:r w:rsidRPr="00D142B6">
        <w:rPr>
          <w:sz w:val="24"/>
        </w:rPr>
        <w:t xml:space="preserve">docket is occasionally referred to by stakeholders as the </w:t>
      </w:r>
      <w:r w:rsidRPr="00D142B6">
        <w:rPr>
          <w:i/>
          <w:sz w:val="24"/>
        </w:rPr>
        <w:t>DSM Continuation</w:t>
      </w:r>
      <w:r w:rsidRPr="00D142B6">
        <w:rPr>
          <w:sz w:val="24"/>
        </w:rPr>
        <w:t xml:space="preserve"> docket.</w:t>
      </w:r>
      <w:r>
        <w:rPr>
          <w:sz w:val="24"/>
        </w:rPr>
        <w:t xml:space="preserve">  </w:t>
      </w:r>
      <w:r>
        <w:rPr>
          <w:i/>
          <w:sz w:val="24"/>
        </w:rPr>
        <w:t>See</w:t>
      </w:r>
      <w:r>
        <w:rPr>
          <w:sz w:val="24"/>
        </w:rPr>
        <w:t xml:space="preserve"> PGW Supplemental Information at 34-35.</w:t>
      </w:r>
    </w:p>
  </w:footnote>
  <w:footnote w:id="5">
    <w:p w:rsidR="008D4A15" w:rsidRPr="0064403A" w:rsidRDefault="008D4A15" w:rsidP="007306BC">
      <w:pPr>
        <w:pStyle w:val="FootnoteText"/>
        <w:keepLines/>
        <w:rPr>
          <w:sz w:val="24"/>
          <w:szCs w:val="24"/>
        </w:rPr>
      </w:pPr>
      <w:r w:rsidRPr="0064403A">
        <w:rPr>
          <w:rStyle w:val="FootnoteReference"/>
          <w:sz w:val="24"/>
          <w:szCs w:val="24"/>
        </w:rPr>
        <w:footnoteRef/>
      </w:r>
      <w:r w:rsidRPr="0064403A">
        <w:rPr>
          <w:sz w:val="24"/>
          <w:szCs w:val="24"/>
        </w:rPr>
        <w:t xml:space="preserve">  PGW’s </w:t>
      </w:r>
      <w:r>
        <w:rPr>
          <w:sz w:val="24"/>
          <w:szCs w:val="24"/>
        </w:rPr>
        <w:t xml:space="preserve">Amended </w:t>
      </w:r>
      <w:r w:rsidRPr="0064403A">
        <w:rPr>
          <w:sz w:val="24"/>
          <w:szCs w:val="24"/>
        </w:rPr>
        <w:t>Proposed 2017-2020 Plan contains an additional component, the Senior Citizen Discount (SCD), which provides a 20</w:t>
      </w:r>
      <w:r>
        <w:rPr>
          <w:sz w:val="24"/>
          <w:szCs w:val="24"/>
        </w:rPr>
        <w:t>%</w:t>
      </w:r>
      <w:r w:rsidRPr="0064403A">
        <w:rPr>
          <w:sz w:val="24"/>
          <w:szCs w:val="24"/>
        </w:rPr>
        <w:t xml:space="preserve"> discount off monthly gas bills for senior citizens.  This program is being phased out and is not accepting new customers.  PGW estimates that approximately 14,400 households will be enrolled in this program in 2017.  This number is expected to decline by over 2,000 annually over the next four years.  Because income is not an eligibility criterion, the SCD does not meet the definition of a universal service</w:t>
      </w:r>
      <w:r>
        <w:rPr>
          <w:sz w:val="24"/>
          <w:szCs w:val="24"/>
        </w:rPr>
        <w:t xml:space="preserve"> program</w:t>
      </w:r>
      <w:r w:rsidRPr="0064403A">
        <w:rPr>
          <w:sz w:val="24"/>
          <w:szCs w:val="24"/>
        </w:rPr>
        <w:t xml:space="preserve">. </w:t>
      </w:r>
    </w:p>
  </w:footnote>
  <w:footnote w:id="6">
    <w:p w:rsidR="008D4A15" w:rsidRPr="00120823" w:rsidRDefault="008D4A15">
      <w:pPr>
        <w:pStyle w:val="FootnoteText"/>
        <w:rPr>
          <w:sz w:val="24"/>
          <w:szCs w:val="24"/>
        </w:rPr>
      </w:pPr>
      <w:r w:rsidRPr="00120823">
        <w:rPr>
          <w:rStyle w:val="FootnoteReference"/>
          <w:sz w:val="24"/>
          <w:szCs w:val="24"/>
        </w:rPr>
        <w:footnoteRef/>
      </w:r>
      <w:r w:rsidRPr="00120823">
        <w:rPr>
          <w:sz w:val="24"/>
          <w:szCs w:val="24"/>
        </w:rPr>
        <w:t xml:space="preserve"> </w:t>
      </w:r>
      <w:r>
        <w:rPr>
          <w:sz w:val="24"/>
          <w:szCs w:val="24"/>
        </w:rPr>
        <w:t xml:space="preserve"> </w:t>
      </w:r>
      <w:r w:rsidRPr="00120823">
        <w:rPr>
          <w:sz w:val="24"/>
          <w:szCs w:val="24"/>
        </w:rPr>
        <w:t>The surcharge recovers 73.8% of CRP and LIURP costs from residential base rates, 21.3% from commercial, 1.7% from industrial, 2.1% from municipal, and 1.1% from the Philadelphia Housing Authority.  2015 Report on Universal Service Programs &amp; Collections Performance at</w:t>
      </w:r>
      <w:r>
        <w:rPr>
          <w:sz w:val="24"/>
          <w:szCs w:val="24"/>
        </w:rPr>
        <w:t> </w:t>
      </w:r>
      <w:r w:rsidRPr="00120823">
        <w:rPr>
          <w:sz w:val="24"/>
          <w:szCs w:val="24"/>
        </w:rPr>
        <w:t>6, 41, &amp; 58</w:t>
      </w:r>
    </w:p>
  </w:footnote>
  <w:footnote w:id="7">
    <w:p w:rsidR="008D4A15" w:rsidRPr="0064403A" w:rsidRDefault="008D4A15">
      <w:pPr>
        <w:pStyle w:val="FootnoteText"/>
        <w:rPr>
          <w:sz w:val="24"/>
          <w:szCs w:val="24"/>
        </w:rPr>
      </w:pPr>
      <w:r w:rsidRPr="0064403A">
        <w:rPr>
          <w:rStyle w:val="FootnoteReference"/>
          <w:sz w:val="24"/>
          <w:szCs w:val="24"/>
        </w:rPr>
        <w:footnoteRef/>
      </w:r>
      <w:r w:rsidRPr="0064403A">
        <w:rPr>
          <w:sz w:val="24"/>
          <w:szCs w:val="24"/>
        </w:rPr>
        <w:t xml:space="preserve"> </w:t>
      </w:r>
      <w:r>
        <w:rPr>
          <w:sz w:val="24"/>
          <w:szCs w:val="24"/>
        </w:rPr>
        <w:t xml:space="preserve"> </w:t>
      </w:r>
      <w:r w:rsidRPr="0064403A">
        <w:rPr>
          <w:sz w:val="24"/>
          <w:szCs w:val="24"/>
        </w:rPr>
        <w:t>Customers will not be removed from CRP if they are unable to accept weatherization services due to health, safety, or structural issues in the home, serious illness of a household member, landlord refusal</w:t>
      </w:r>
      <w:r>
        <w:rPr>
          <w:sz w:val="24"/>
          <w:szCs w:val="24"/>
        </w:rPr>
        <w:t>,</w:t>
      </w:r>
      <w:r w:rsidRPr="0064403A">
        <w:rPr>
          <w:sz w:val="24"/>
          <w:szCs w:val="24"/>
        </w:rPr>
        <w:t xml:space="preserve"> or other severe circumstances outside the customer’s </w:t>
      </w:r>
      <w:r w:rsidRPr="008D3BFA">
        <w:rPr>
          <w:sz w:val="24"/>
          <w:szCs w:val="24"/>
        </w:rPr>
        <w:t>control.  Amended Proposed 2017-2020 Plan at 8.</w:t>
      </w:r>
    </w:p>
  </w:footnote>
  <w:footnote w:id="8">
    <w:p w:rsidR="008D4A15" w:rsidRDefault="008D4A15" w:rsidP="00BE4096">
      <w:pPr>
        <w:pStyle w:val="FootnoteText"/>
      </w:pPr>
      <w:r>
        <w:rPr>
          <w:rStyle w:val="FootnoteReference"/>
        </w:rPr>
        <w:footnoteRef/>
      </w:r>
      <w:r>
        <w:t xml:space="preserve">  PGW Supplemental Information at 8, </w:t>
      </w:r>
      <w:r w:rsidRPr="00E0669F">
        <w:rPr>
          <w:i/>
        </w:rPr>
        <w:t>citing</w:t>
      </w:r>
      <w:r>
        <w:t xml:space="preserve"> the 2013</w:t>
      </w:r>
      <w:r w:rsidRPr="00E0669F">
        <w:t xml:space="preserve"> Report on Universal Service Program</w:t>
      </w:r>
      <w:r>
        <w:t>s &amp; Collections Performance at 17</w:t>
      </w:r>
      <w:r w:rsidRPr="00E0669F">
        <w:t>.</w:t>
      </w:r>
    </w:p>
  </w:footnote>
  <w:footnote w:id="9">
    <w:p w:rsidR="008D4A15" w:rsidRDefault="008D4A15" w:rsidP="00BE4096">
      <w:pPr>
        <w:pStyle w:val="FootnoteText"/>
      </w:pPr>
      <w:r>
        <w:rPr>
          <w:rStyle w:val="FootnoteReference"/>
        </w:rPr>
        <w:footnoteRef/>
      </w:r>
      <w:r>
        <w:t xml:space="preserve">  PGW Supplemental Information at 8, </w:t>
      </w:r>
      <w:r w:rsidRPr="00E0669F">
        <w:rPr>
          <w:i/>
        </w:rPr>
        <w:t>citing</w:t>
      </w:r>
      <w:r>
        <w:t xml:space="preserve"> the 2014</w:t>
      </w:r>
      <w:r w:rsidRPr="00E0669F">
        <w:t xml:space="preserve"> Report on Universal Service Program</w:t>
      </w:r>
      <w:r>
        <w:t>s &amp; Collections Performance at 10</w:t>
      </w:r>
      <w:r w:rsidRPr="00E0669F">
        <w:t>.</w:t>
      </w:r>
    </w:p>
  </w:footnote>
  <w:footnote w:id="10">
    <w:p w:rsidR="008D4A15" w:rsidRDefault="008D4A15" w:rsidP="00BE4096">
      <w:pPr>
        <w:pStyle w:val="FootnoteText"/>
      </w:pPr>
      <w:r>
        <w:rPr>
          <w:rStyle w:val="FootnoteReference"/>
        </w:rPr>
        <w:footnoteRef/>
      </w:r>
      <w:r>
        <w:t xml:space="preserve">  PGW Supplemental Information at 8, </w:t>
      </w:r>
      <w:r w:rsidRPr="00E0669F">
        <w:rPr>
          <w:i/>
        </w:rPr>
        <w:t>citing</w:t>
      </w:r>
      <w:r>
        <w:t xml:space="preserve"> the 2015</w:t>
      </w:r>
      <w:r w:rsidRPr="00E0669F">
        <w:t xml:space="preserve"> Report on Universal Service Program</w:t>
      </w:r>
      <w:r>
        <w:t>s &amp; Collections Performance at 10</w:t>
      </w:r>
      <w:r w:rsidRPr="00E0669F">
        <w:t>.</w:t>
      </w:r>
    </w:p>
  </w:footnote>
  <w:footnote w:id="11">
    <w:p w:rsidR="008D4A15" w:rsidRPr="00862BAA" w:rsidRDefault="008D4A15">
      <w:pPr>
        <w:pStyle w:val="FootnoteText"/>
        <w:rPr>
          <w:sz w:val="24"/>
          <w:szCs w:val="24"/>
        </w:rPr>
      </w:pPr>
      <w:r>
        <w:rPr>
          <w:rStyle w:val="FootnoteReference"/>
        </w:rPr>
        <w:footnoteRef/>
      </w:r>
      <w:r>
        <w:t xml:space="preserve">  </w:t>
      </w:r>
      <w:r w:rsidRPr="00862BAA">
        <w:rPr>
          <w:sz w:val="24"/>
          <w:szCs w:val="24"/>
        </w:rPr>
        <w:t>The CAP Policy Statement proposes different ways utilities can determine if a household is payment troubled (</w:t>
      </w:r>
      <w:r w:rsidRPr="00726C63">
        <w:rPr>
          <w:i/>
          <w:sz w:val="24"/>
          <w:szCs w:val="24"/>
        </w:rPr>
        <w:t>i.e.</w:t>
      </w:r>
      <w:r w:rsidRPr="00862BAA">
        <w:rPr>
          <w:sz w:val="24"/>
          <w:szCs w:val="24"/>
        </w:rPr>
        <w:t xml:space="preserve">, housing and utility costs exceeding 45% of household income, $100 or less in disposable income after household expenses, have an arrearage, or has a termination notice or broken payment agreement.)  Section 69.265(4)(iii)(A-D).  PGW does not require customers to be determined “payment troubled” to qualify for CRP.  Amended Proposed 2017-2020 Plan at 5.   </w:t>
      </w:r>
    </w:p>
  </w:footnote>
  <w:footnote w:id="12">
    <w:p w:rsidR="008D4A15" w:rsidRDefault="008D4A15">
      <w:pPr>
        <w:pStyle w:val="FootnoteText"/>
      </w:pPr>
      <w:r>
        <w:rPr>
          <w:rStyle w:val="FootnoteReference"/>
        </w:rPr>
        <w:footnoteRef/>
      </w:r>
      <w:r>
        <w:t xml:space="preserve">  However, the CAP Policy Statement does establish minimum payment ranges for gas heating, non-heating, and electric heating CAP accounts.  See Section 69.265(3)(i)(A-C).  In compliance with the CAP Policy Statement, PGW charges CRP customers a minimum of $25 per month.  Amended Proposed 2017-2020 Plan at 6.</w:t>
      </w:r>
    </w:p>
  </w:footnote>
  <w:footnote w:id="13">
    <w:p w:rsidR="008D4A15" w:rsidRDefault="008D4A15">
      <w:pPr>
        <w:pStyle w:val="FootnoteText"/>
      </w:pPr>
      <w:r>
        <w:rPr>
          <w:rStyle w:val="FootnoteReference"/>
        </w:rPr>
        <w:footnoteRef/>
      </w:r>
      <w:r>
        <w:t xml:space="preserve">  </w:t>
      </w:r>
      <w:r w:rsidRPr="008F3EC9">
        <w:t xml:space="preserve">First, Peach does not consider the decrease in CAP credit expenditures resulting from lower gas costs when determining program costs.  The fact that 14% of current CRP customers now have a budget amount below the PIP level means the </w:t>
      </w:r>
      <w:r>
        <w:t>C</w:t>
      </w:r>
      <w:r w:rsidRPr="008F3EC9">
        <w:t>ompany is applying little or no CAP credits on th</w:t>
      </w:r>
      <w:r>
        <w:t>ose CRP customers’</w:t>
      </w:r>
      <w:r w:rsidRPr="008F3EC9">
        <w:t xml:space="preserve"> monthly bills over the course of the year.  Second,</w:t>
      </w:r>
      <w:r>
        <w:t xml:space="preserve"> it is not clear why Peach concludes that this cost will remain relatively constant from year to year.  </w:t>
      </w:r>
    </w:p>
  </w:footnote>
  <w:footnote w:id="14">
    <w:p w:rsidR="008D4A15" w:rsidRPr="008D3BFA" w:rsidRDefault="008D4A15">
      <w:pPr>
        <w:pStyle w:val="FootnoteText"/>
        <w:rPr>
          <w:sz w:val="24"/>
          <w:szCs w:val="24"/>
        </w:rPr>
      </w:pPr>
      <w:r w:rsidRPr="00840785">
        <w:rPr>
          <w:rStyle w:val="FootnoteReference"/>
          <w:sz w:val="24"/>
          <w:szCs w:val="24"/>
        </w:rPr>
        <w:footnoteRef/>
      </w:r>
      <w:r w:rsidRPr="00840785">
        <w:rPr>
          <w:sz w:val="24"/>
          <w:szCs w:val="24"/>
        </w:rPr>
        <w:t xml:space="preserve"> </w:t>
      </w:r>
      <w:r>
        <w:rPr>
          <w:sz w:val="24"/>
          <w:szCs w:val="24"/>
        </w:rPr>
        <w:t xml:space="preserve"> </w:t>
      </w:r>
      <w:r w:rsidRPr="00840785">
        <w:rPr>
          <w:sz w:val="24"/>
          <w:szCs w:val="24"/>
        </w:rPr>
        <w:t>PGW reports it determined this consumption limit by analyzing two years of consumption history and CRP discounts for participants with 12 consecutive months or more of prior usage</w:t>
      </w:r>
      <w:r>
        <w:rPr>
          <w:sz w:val="24"/>
          <w:szCs w:val="24"/>
        </w:rPr>
        <w:t>.</w:t>
      </w:r>
      <w:r w:rsidRPr="00840785">
        <w:rPr>
          <w:sz w:val="24"/>
          <w:szCs w:val="24"/>
        </w:rPr>
        <w:t xml:space="preserve">  </w:t>
      </w:r>
      <w:r w:rsidRPr="008D3BFA">
        <w:rPr>
          <w:sz w:val="24"/>
          <w:szCs w:val="24"/>
        </w:rPr>
        <w:t xml:space="preserve">When describing this consumption limit to customers, PGW will covert this usage into dollars.  Amended Proposed 2017-2020 Plan at 16.  </w:t>
      </w:r>
    </w:p>
  </w:footnote>
  <w:footnote w:id="15">
    <w:p w:rsidR="008D4A15" w:rsidRPr="00840785" w:rsidRDefault="008D4A15">
      <w:pPr>
        <w:pStyle w:val="FootnoteText"/>
        <w:rPr>
          <w:sz w:val="24"/>
          <w:szCs w:val="24"/>
        </w:rPr>
      </w:pPr>
      <w:r w:rsidRPr="008D3BFA">
        <w:rPr>
          <w:rStyle w:val="FootnoteReference"/>
          <w:sz w:val="24"/>
          <w:szCs w:val="24"/>
        </w:rPr>
        <w:footnoteRef/>
      </w:r>
      <w:r w:rsidRPr="008D3BFA">
        <w:rPr>
          <w:sz w:val="24"/>
          <w:szCs w:val="24"/>
        </w:rPr>
        <w:t xml:space="preserve">  Section 69.265</w:t>
      </w:r>
      <w:r w:rsidRPr="00840785">
        <w:rPr>
          <w:sz w:val="24"/>
          <w:szCs w:val="24"/>
        </w:rPr>
        <w:t>(3)(vi)(A-E)</w:t>
      </w:r>
      <w:r>
        <w:rPr>
          <w:sz w:val="24"/>
          <w:szCs w:val="24"/>
        </w:rPr>
        <w:t>.</w:t>
      </w:r>
    </w:p>
  </w:footnote>
  <w:footnote w:id="16">
    <w:p w:rsidR="008D4A15" w:rsidRDefault="008D4A15" w:rsidP="00E64406">
      <w:pPr>
        <w:pStyle w:val="NormalWeb"/>
        <w:spacing w:before="0" w:beforeAutospacing="0" w:after="0" w:afterAutospacing="0"/>
      </w:pPr>
      <w:r>
        <w:rPr>
          <w:rStyle w:val="FootnoteReference"/>
        </w:rPr>
        <w:footnoteRef/>
      </w:r>
      <w:r>
        <w:t xml:space="preserve"> </w:t>
      </w:r>
      <w:bookmarkStart w:id="1" w:name="69.265."/>
      <w:r>
        <w:t xml:space="preserve"> </w:t>
      </w:r>
      <w:r w:rsidRPr="003C3449">
        <w:t>Section 69.265(3)</w:t>
      </w:r>
      <w:r>
        <w:t xml:space="preserve">(vi): </w:t>
      </w:r>
      <w:r>
        <w:rPr>
          <w:i/>
          <w:iCs/>
        </w:rPr>
        <w:t>Exemptions.</w:t>
      </w:r>
      <w:r>
        <w:t xml:space="preserve"> A utility may exempt a household from a CAP control feature if one or more of the following conditions exist: </w:t>
      </w:r>
    </w:p>
    <w:p w:rsidR="008D4A15" w:rsidRDefault="008D4A15" w:rsidP="00E64406">
      <w:pPr>
        <w:pStyle w:val="NormalWeb"/>
        <w:spacing w:before="0" w:beforeAutospacing="0" w:after="0" w:afterAutospacing="0"/>
      </w:pPr>
      <w:r>
        <w:t xml:space="preserve">  (A)  The household experienced the addition of a family member. </w:t>
      </w:r>
    </w:p>
    <w:p w:rsidR="008D4A15" w:rsidRDefault="008D4A15" w:rsidP="00E64406">
      <w:pPr>
        <w:pStyle w:val="NormalWeb"/>
        <w:spacing w:before="0" w:beforeAutospacing="0" w:after="0" w:afterAutospacing="0"/>
      </w:pPr>
      <w:r>
        <w:t xml:space="preserve">  (B)  A member of the household experienced a serious illness. </w:t>
      </w:r>
    </w:p>
    <w:p w:rsidR="008D4A15" w:rsidRDefault="008D4A15" w:rsidP="00E64406">
      <w:pPr>
        <w:pStyle w:val="NormalWeb"/>
        <w:spacing w:before="0" w:beforeAutospacing="0" w:after="0" w:afterAutospacing="0"/>
      </w:pPr>
      <w:r>
        <w:t xml:space="preserve">  (C)  Energy consumption was beyond the household’s ability to control. </w:t>
      </w:r>
    </w:p>
    <w:p w:rsidR="008D4A15" w:rsidRDefault="008D4A15" w:rsidP="00E64406">
      <w:pPr>
        <w:pStyle w:val="NormalWeb"/>
        <w:spacing w:before="0" w:beforeAutospacing="0" w:after="0" w:afterAutospacing="0"/>
      </w:pPr>
      <w:r>
        <w:t xml:space="preserve">  (D)  The household is located in housing that is or has been condemned or has housing code violations that negatively affect energy consumption. </w:t>
      </w:r>
      <w:bookmarkEnd w:id="1"/>
    </w:p>
  </w:footnote>
  <w:footnote w:id="17">
    <w:p w:rsidR="008D4A15" w:rsidRPr="0052639D" w:rsidRDefault="008D4A15">
      <w:pPr>
        <w:pStyle w:val="FootnoteText"/>
        <w:rPr>
          <w:sz w:val="24"/>
          <w:szCs w:val="24"/>
        </w:rPr>
      </w:pPr>
      <w:r w:rsidRPr="0052639D">
        <w:rPr>
          <w:rStyle w:val="FootnoteReference"/>
          <w:sz w:val="24"/>
          <w:szCs w:val="24"/>
        </w:rPr>
        <w:footnoteRef/>
      </w:r>
      <w:r w:rsidRPr="0052639D">
        <w:rPr>
          <w:sz w:val="24"/>
          <w:szCs w:val="24"/>
        </w:rPr>
        <w:t xml:space="preserve"> </w:t>
      </w:r>
      <w:r>
        <w:rPr>
          <w:sz w:val="24"/>
          <w:szCs w:val="24"/>
        </w:rPr>
        <w:t xml:space="preserve"> </w:t>
      </w:r>
      <w:r w:rsidRPr="0052639D">
        <w:rPr>
          <w:sz w:val="24"/>
          <w:szCs w:val="24"/>
        </w:rPr>
        <w:t xml:space="preserve">For example, PGW waives its annual CRP recertification requirement for households who receives a LIHEAP grant each year and assigns it to PGW.  These households must recertify for CRP every three years.  Amended Proposed Plan at 17. </w:t>
      </w:r>
    </w:p>
  </w:footnote>
  <w:footnote w:id="18">
    <w:p w:rsidR="008D4A15" w:rsidRPr="00A91982" w:rsidRDefault="008D4A15">
      <w:pPr>
        <w:pStyle w:val="FootnoteText"/>
        <w:rPr>
          <w:sz w:val="24"/>
        </w:rPr>
      </w:pPr>
      <w:r w:rsidRPr="00A91982">
        <w:rPr>
          <w:rStyle w:val="FootnoteReference"/>
          <w:sz w:val="24"/>
        </w:rPr>
        <w:footnoteRef/>
      </w:r>
      <w:r w:rsidRPr="00A91982">
        <w:rPr>
          <w:sz w:val="24"/>
        </w:rPr>
        <w:t xml:space="preserve">  </w:t>
      </w:r>
      <w:hyperlink r:id="rId2" w:history="1">
        <w:r w:rsidRPr="00A91982">
          <w:rPr>
            <w:rStyle w:val="Hyperlink"/>
            <w:sz w:val="24"/>
          </w:rPr>
          <w:t>http://www.dhs.pa.gov/cs/groups/webcontent/documents/document/c_241596.pdf</w:t>
        </w:r>
      </w:hyperlink>
      <w:r w:rsidRPr="00A91982">
        <w:rPr>
          <w:sz w:val="24"/>
        </w:rPr>
        <w:t xml:space="preserve"> </w:t>
      </w:r>
    </w:p>
  </w:footnote>
  <w:footnote w:id="19">
    <w:p w:rsidR="008D4A15" w:rsidRPr="00A91982" w:rsidRDefault="008D4A15">
      <w:pPr>
        <w:pStyle w:val="FootnoteText"/>
        <w:rPr>
          <w:sz w:val="24"/>
        </w:rPr>
      </w:pPr>
      <w:r w:rsidRPr="00726C63">
        <w:rPr>
          <w:rStyle w:val="FootnoteReference"/>
          <w:sz w:val="24"/>
        </w:rPr>
        <w:footnoteRef/>
      </w:r>
      <w:r w:rsidRPr="00726C63">
        <w:rPr>
          <w:sz w:val="24"/>
        </w:rPr>
        <w:t xml:space="preserve">  DHS does not allow certain expenses to be deducted from self-employment income for LIHEAP (</w:t>
      </w:r>
      <w:r w:rsidRPr="00726C63">
        <w:rPr>
          <w:i/>
          <w:sz w:val="24"/>
        </w:rPr>
        <w:t>e.g.,</w:t>
      </w:r>
      <w:r w:rsidRPr="00726C63">
        <w:rPr>
          <w:sz w:val="24"/>
        </w:rPr>
        <w:t xml:space="preserve"> depreciation, entertainment expenses, and personal transportation</w:t>
      </w:r>
      <w:r w:rsidRPr="00A91982">
        <w:rPr>
          <w:sz w:val="24"/>
        </w:rPr>
        <w:t>).  Section</w:t>
      </w:r>
      <w:r>
        <w:rPr>
          <w:sz w:val="24"/>
        </w:rPr>
        <w:t> </w:t>
      </w:r>
      <w:r w:rsidRPr="00A91982">
        <w:rPr>
          <w:sz w:val="24"/>
        </w:rPr>
        <w:t>601.82 (2)(i).</w:t>
      </w:r>
    </w:p>
  </w:footnote>
  <w:footnote w:id="20">
    <w:p w:rsidR="008D4A15" w:rsidRDefault="008D4A15">
      <w:pPr>
        <w:pStyle w:val="FootnoteText"/>
      </w:pPr>
      <w:r>
        <w:rPr>
          <w:rStyle w:val="FootnoteReference"/>
        </w:rPr>
        <w:footnoteRef/>
      </w:r>
      <w:r>
        <w:t xml:space="preserve">  PECO is the EDC serving the vast majority of PGW’s customers.</w:t>
      </w:r>
    </w:p>
  </w:footnote>
  <w:footnote w:id="21">
    <w:p w:rsidR="008D4A15" w:rsidRPr="00A91982" w:rsidRDefault="008D4A15" w:rsidP="00A91982">
      <w:pPr>
        <w:pStyle w:val="FootnoteText"/>
        <w:rPr>
          <w:sz w:val="24"/>
        </w:rPr>
      </w:pPr>
      <w:r w:rsidRPr="00A91982">
        <w:rPr>
          <w:rStyle w:val="FootnoteReference"/>
          <w:sz w:val="24"/>
        </w:rPr>
        <w:footnoteRef/>
      </w:r>
      <w:r w:rsidRPr="00A91982">
        <w:rPr>
          <w:sz w:val="24"/>
        </w:rPr>
        <w:t xml:space="preserve">  </w:t>
      </w:r>
      <w:r w:rsidRPr="00A91982">
        <w:rPr>
          <w:i/>
          <w:sz w:val="24"/>
        </w:rPr>
        <w:t>See Energy Affordability for Low Income Customers</w:t>
      </w:r>
      <w:r w:rsidRPr="00A91982">
        <w:rPr>
          <w:sz w:val="24"/>
        </w:rPr>
        <w:t>, Docket No. M</w:t>
      </w:r>
      <w:r>
        <w:rPr>
          <w:sz w:val="24"/>
        </w:rPr>
        <w:noBreakHyphen/>
      </w:r>
      <w:r w:rsidRPr="00A91982">
        <w:rPr>
          <w:sz w:val="24"/>
        </w:rPr>
        <w:t>2017-2587711(Order entered May 5, 2017).</w:t>
      </w:r>
    </w:p>
  </w:footnote>
  <w:footnote w:id="22">
    <w:p w:rsidR="008D4A15" w:rsidRPr="00406C40" w:rsidRDefault="008D4A15" w:rsidP="006561CF">
      <w:pPr>
        <w:pStyle w:val="FootnoteText"/>
        <w:rPr>
          <w:sz w:val="24"/>
          <w:szCs w:val="24"/>
        </w:rPr>
      </w:pPr>
      <w:r w:rsidRPr="00406C40">
        <w:rPr>
          <w:rStyle w:val="FootnoteReference"/>
          <w:sz w:val="24"/>
          <w:szCs w:val="24"/>
        </w:rPr>
        <w:footnoteRef/>
      </w:r>
      <w:r w:rsidRPr="00406C40">
        <w:rPr>
          <w:sz w:val="24"/>
          <w:szCs w:val="24"/>
        </w:rPr>
        <w:t xml:space="preserve"> </w:t>
      </w:r>
      <w:r>
        <w:rPr>
          <w:sz w:val="24"/>
          <w:szCs w:val="24"/>
        </w:rPr>
        <w:t xml:space="preserve"> </w:t>
      </w:r>
      <w:r w:rsidRPr="00406C40">
        <w:rPr>
          <w:sz w:val="24"/>
          <w:szCs w:val="24"/>
        </w:rPr>
        <w:t>Using weather</w:t>
      </w:r>
      <w:r>
        <w:rPr>
          <w:sz w:val="24"/>
          <w:szCs w:val="24"/>
        </w:rPr>
        <w:t>-</w:t>
      </w:r>
      <w:r w:rsidRPr="00406C40">
        <w:rPr>
          <w:sz w:val="24"/>
          <w:szCs w:val="24"/>
        </w:rPr>
        <w:t xml:space="preserve">normalized usage.  </w:t>
      </w:r>
      <w:r>
        <w:rPr>
          <w:sz w:val="24"/>
          <w:szCs w:val="24"/>
        </w:rPr>
        <w:t xml:space="preserve">Amended </w:t>
      </w:r>
      <w:r w:rsidRPr="00406C40">
        <w:rPr>
          <w:sz w:val="24"/>
          <w:szCs w:val="24"/>
        </w:rPr>
        <w:t xml:space="preserve">Proposed 2017-2020 Plan at 20.  </w:t>
      </w:r>
    </w:p>
  </w:footnote>
  <w:footnote w:id="23">
    <w:p w:rsidR="008D4A15" w:rsidRPr="005C6264" w:rsidRDefault="008D4A15">
      <w:pPr>
        <w:pStyle w:val="FootnoteText"/>
        <w:rPr>
          <w:sz w:val="24"/>
          <w:szCs w:val="24"/>
        </w:rPr>
      </w:pPr>
      <w:r w:rsidRPr="005C6264">
        <w:rPr>
          <w:rStyle w:val="FootnoteReference"/>
          <w:sz w:val="24"/>
          <w:szCs w:val="24"/>
        </w:rPr>
        <w:footnoteRef/>
      </w:r>
      <w:r w:rsidRPr="005C6264">
        <w:rPr>
          <w:sz w:val="24"/>
          <w:szCs w:val="24"/>
        </w:rPr>
        <w:t xml:space="preserve">  2014-2016 </w:t>
      </w:r>
      <w:r>
        <w:rPr>
          <w:sz w:val="24"/>
          <w:szCs w:val="24"/>
        </w:rPr>
        <w:t xml:space="preserve">PGW </w:t>
      </w:r>
      <w:r w:rsidRPr="005C6264">
        <w:rPr>
          <w:sz w:val="24"/>
          <w:szCs w:val="24"/>
        </w:rPr>
        <w:t>USECP Final Order at 57.</w:t>
      </w:r>
    </w:p>
  </w:footnote>
  <w:footnote w:id="24">
    <w:p w:rsidR="008D4A15" w:rsidRPr="004469F1" w:rsidRDefault="008D4A15" w:rsidP="006561CF">
      <w:pPr>
        <w:pStyle w:val="FootnoteText"/>
        <w:rPr>
          <w:sz w:val="24"/>
          <w:szCs w:val="24"/>
        </w:rPr>
      </w:pPr>
      <w:r w:rsidRPr="006B6334">
        <w:rPr>
          <w:rStyle w:val="FootnoteReference"/>
          <w:sz w:val="24"/>
          <w:szCs w:val="24"/>
        </w:rPr>
        <w:footnoteRef/>
      </w:r>
      <w:r w:rsidRPr="006B6334">
        <w:rPr>
          <w:sz w:val="24"/>
          <w:szCs w:val="24"/>
        </w:rPr>
        <w:t xml:space="preserve"> </w:t>
      </w:r>
      <w:r>
        <w:rPr>
          <w:sz w:val="24"/>
          <w:szCs w:val="24"/>
        </w:rPr>
        <w:t xml:space="preserve"> </w:t>
      </w:r>
      <w:r w:rsidRPr="004469F1">
        <w:rPr>
          <w:sz w:val="24"/>
          <w:szCs w:val="24"/>
        </w:rPr>
        <w:t xml:space="preserve">PGW states that it will target buildings that have received Section 8 housing vouchers or </w:t>
      </w:r>
      <w:r w:rsidRPr="001A7795">
        <w:rPr>
          <w:sz w:val="24"/>
          <w:szCs w:val="24"/>
        </w:rPr>
        <w:t>Low Income</w:t>
      </w:r>
      <w:r w:rsidRPr="004469F1">
        <w:rPr>
          <w:sz w:val="24"/>
          <w:szCs w:val="24"/>
        </w:rPr>
        <w:t xml:space="preserve"> Housing Tax Credits.  Amended Proposed 2017-2020 Plan at 39.  </w:t>
      </w:r>
    </w:p>
  </w:footnote>
  <w:footnote w:id="25">
    <w:p w:rsidR="008D4A15" w:rsidRPr="004469F1" w:rsidRDefault="008D4A15" w:rsidP="006561CF">
      <w:pPr>
        <w:pStyle w:val="FootnoteText"/>
        <w:rPr>
          <w:sz w:val="24"/>
          <w:szCs w:val="24"/>
        </w:rPr>
      </w:pPr>
      <w:r w:rsidRPr="004469F1">
        <w:rPr>
          <w:rStyle w:val="FootnoteReference"/>
          <w:sz w:val="24"/>
          <w:szCs w:val="24"/>
        </w:rPr>
        <w:footnoteRef/>
      </w:r>
      <w:r w:rsidRPr="004469F1">
        <w:rPr>
          <w:sz w:val="24"/>
          <w:szCs w:val="24"/>
        </w:rPr>
        <w:t xml:space="preserve">  PGW</w:t>
      </w:r>
      <w:r>
        <w:rPr>
          <w:sz w:val="24"/>
          <w:szCs w:val="24"/>
        </w:rPr>
        <w:t xml:space="preserve"> proposes to reserve the flexibility to </w:t>
      </w:r>
      <w:r w:rsidRPr="004469F1">
        <w:rPr>
          <w:sz w:val="24"/>
          <w:szCs w:val="24"/>
        </w:rPr>
        <w:t>reduce the percentage of tenants that must be</w:t>
      </w:r>
      <w:r>
        <w:rPr>
          <w:sz w:val="24"/>
          <w:szCs w:val="24"/>
        </w:rPr>
        <w:t xml:space="preserve"> residing in a</w:t>
      </w:r>
      <w:r w:rsidRPr="004469F1">
        <w:rPr>
          <w:sz w:val="24"/>
          <w:szCs w:val="24"/>
        </w:rPr>
        <w:t xml:space="preserve"> low-income for </w:t>
      </w:r>
      <w:r>
        <w:rPr>
          <w:sz w:val="24"/>
          <w:szCs w:val="24"/>
        </w:rPr>
        <w:t>th</w:t>
      </w:r>
      <w:r w:rsidRPr="004469F1">
        <w:rPr>
          <w:sz w:val="24"/>
          <w:szCs w:val="24"/>
        </w:rPr>
        <w:t>a</w:t>
      </w:r>
      <w:r>
        <w:rPr>
          <w:sz w:val="24"/>
          <w:szCs w:val="24"/>
        </w:rPr>
        <w:t>t</w:t>
      </w:r>
      <w:r w:rsidRPr="004469F1">
        <w:rPr>
          <w:sz w:val="24"/>
          <w:szCs w:val="24"/>
        </w:rPr>
        <w:t xml:space="preserve"> building to qualify for this program if there is programmatic or budgetary justification.  Amended Proposed 2017-2020 Plan at 20-21.</w:t>
      </w:r>
    </w:p>
  </w:footnote>
  <w:footnote w:id="26">
    <w:p w:rsidR="008D4A15" w:rsidRPr="004469F1" w:rsidRDefault="008D4A15" w:rsidP="006561CF">
      <w:pPr>
        <w:pStyle w:val="FootnoteText"/>
        <w:rPr>
          <w:sz w:val="24"/>
          <w:szCs w:val="24"/>
        </w:rPr>
      </w:pPr>
      <w:r w:rsidRPr="004469F1">
        <w:rPr>
          <w:rStyle w:val="FootnoteReference"/>
          <w:sz w:val="24"/>
          <w:szCs w:val="24"/>
        </w:rPr>
        <w:footnoteRef/>
      </w:r>
      <w:r w:rsidRPr="004469F1">
        <w:rPr>
          <w:sz w:val="24"/>
          <w:szCs w:val="24"/>
        </w:rPr>
        <w:t xml:space="preserve">  CRP participation is not required for CARES or Hardship Fund eligibility.</w:t>
      </w:r>
    </w:p>
  </w:footnote>
  <w:footnote w:id="27">
    <w:p w:rsidR="008D4A15" w:rsidRPr="00B1093A" w:rsidRDefault="008D4A15" w:rsidP="006561CF">
      <w:pPr>
        <w:pStyle w:val="FootnoteText"/>
        <w:rPr>
          <w:sz w:val="24"/>
          <w:szCs w:val="24"/>
        </w:rPr>
      </w:pPr>
      <w:r w:rsidRPr="00B1093A">
        <w:rPr>
          <w:rStyle w:val="FootnoteReference"/>
          <w:sz w:val="24"/>
          <w:szCs w:val="24"/>
        </w:rPr>
        <w:footnoteRef/>
      </w:r>
      <w:r w:rsidRPr="00B1093A">
        <w:rPr>
          <w:sz w:val="24"/>
          <w:szCs w:val="24"/>
        </w:rPr>
        <w:t xml:space="preserve">  Peoples </w:t>
      </w:r>
      <w:r>
        <w:rPr>
          <w:sz w:val="24"/>
          <w:szCs w:val="24"/>
        </w:rPr>
        <w:t xml:space="preserve">2015-2018 USECP Final Order, Docket No. </w:t>
      </w:r>
      <w:r w:rsidRPr="00B1093A">
        <w:rPr>
          <w:sz w:val="24"/>
          <w:szCs w:val="24"/>
        </w:rPr>
        <w:t>M-2014-</w:t>
      </w:r>
      <w:r w:rsidRPr="00A669EE">
        <w:rPr>
          <w:sz w:val="24"/>
          <w:szCs w:val="24"/>
        </w:rPr>
        <w:t>2432515 (</w:t>
      </w:r>
      <w:r>
        <w:rPr>
          <w:sz w:val="24"/>
          <w:szCs w:val="24"/>
        </w:rPr>
        <w:t xml:space="preserve">Order entered </w:t>
      </w:r>
      <w:r w:rsidRPr="00A669EE">
        <w:rPr>
          <w:sz w:val="24"/>
          <w:szCs w:val="24"/>
        </w:rPr>
        <w:t>December 17, 2015),</w:t>
      </w:r>
      <w:r w:rsidRPr="00B1093A">
        <w:rPr>
          <w:sz w:val="24"/>
          <w:szCs w:val="24"/>
        </w:rPr>
        <w:t xml:space="preserve"> at </w:t>
      </w:r>
      <w:r>
        <w:rPr>
          <w:sz w:val="24"/>
          <w:szCs w:val="24"/>
        </w:rPr>
        <w:t>34-</w:t>
      </w:r>
      <w:r w:rsidRPr="00B1093A">
        <w:rPr>
          <w:sz w:val="24"/>
          <w:szCs w:val="24"/>
        </w:rPr>
        <w:t>37</w:t>
      </w:r>
      <w:r>
        <w:rPr>
          <w:sz w:val="24"/>
          <w:szCs w:val="24"/>
        </w:rPr>
        <w:t>, which rejected a settlement provision that relied upon CAP/non-CAP</w:t>
      </w:r>
      <w:r w:rsidRPr="00A95A24">
        <w:rPr>
          <w:sz w:val="24"/>
          <w:szCs w:val="24"/>
        </w:rPr>
        <w:t xml:space="preserve"> </w:t>
      </w:r>
      <w:r w:rsidRPr="002F186F">
        <w:rPr>
          <w:sz w:val="24"/>
          <w:szCs w:val="24"/>
        </w:rPr>
        <w:t>determination as an eligibility requirement for LIURP.</w:t>
      </w:r>
    </w:p>
  </w:footnote>
  <w:footnote w:id="28">
    <w:p w:rsidR="008D4A15" w:rsidRPr="002F186F" w:rsidRDefault="008D4A15" w:rsidP="008130B8">
      <w:pPr>
        <w:pStyle w:val="FootnoteText"/>
        <w:rPr>
          <w:sz w:val="24"/>
          <w:szCs w:val="24"/>
        </w:rPr>
      </w:pPr>
      <w:r w:rsidRPr="005C6264">
        <w:rPr>
          <w:rStyle w:val="FootnoteReference"/>
          <w:sz w:val="24"/>
          <w:szCs w:val="24"/>
        </w:rPr>
        <w:footnoteRef/>
      </w:r>
      <w:r w:rsidRPr="005C6264">
        <w:rPr>
          <w:sz w:val="24"/>
          <w:szCs w:val="24"/>
        </w:rPr>
        <w:t xml:space="preserve">  The ALJs’ Recommended Decision included discussion and the recommendation that agreed with the exclusion of non-CRP customers from LIURP eligibility.</w:t>
      </w:r>
      <w:r w:rsidRPr="00FD3F75">
        <w:rPr>
          <w:sz w:val="24"/>
          <w:szCs w:val="24"/>
        </w:rPr>
        <w:t xml:space="preserve"> </w:t>
      </w:r>
      <w:r>
        <w:rPr>
          <w:sz w:val="24"/>
          <w:szCs w:val="24"/>
        </w:rPr>
        <w:t xml:space="preserve"> </w:t>
      </w:r>
      <w:r w:rsidRPr="00FD3F75">
        <w:rPr>
          <w:sz w:val="24"/>
          <w:szCs w:val="24"/>
        </w:rPr>
        <w:t>R</w:t>
      </w:r>
      <w:r>
        <w:rPr>
          <w:sz w:val="24"/>
          <w:szCs w:val="24"/>
        </w:rPr>
        <w:t xml:space="preserve">ecommended </w:t>
      </w:r>
      <w:r w:rsidRPr="00FD3F75">
        <w:rPr>
          <w:sz w:val="24"/>
          <w:szCs w:val="24"/>
        </w:rPr>
        <w:t>D</w:t>
      </w:r>
      <w:r>
        <w:rPr>
          <w:sz w:val="24"/>
          <w:szCs w:val="24"/>
        </w:rPr>
        <w:t xml:space="preserve">ecision, </w:t>
      </w:r>
      <w:r w:rsidRPr="00FD3F75">
        <w:rPr>
          <w:sz w:val="24"/>
          <w:szCs w:val="24"/>
        </w:rPr>
        <w:t>Docket No. P</w:t>
      </w:r>
      <w:r>
        <w:rPr>
          <w:sz w:val="24"/>
          <w:szCs w:val="24"/>
        </w:rPr>
        <w:noBreakHyphen/>
      </w:r>
      <w:r w:rsidRPr="00FD3F75">
        <w:rPr>
          <w:sz w:val="24"/>
          <w:szCs w:val="24"/>
        </w:rPr>
        <w:t>2014</w:t>
      </w:r>
      <w:r>
        <w:rPr>
          <w:sz w:val="24"/>
          <w:szCs w:val="24"/>
        </w:rPr>
        <w:noBreakHyphen/>
      </w:r>
      <w:r w:rsidRPr="00FD3F75">
        <w:rPr>
          <w:sz w:val="24"/>
          <w:szCs w:val="24"/>
        </w:rPr>
        <w:t>2459362</w:t>
      </w:r>
      <w:r>
        <w:rPr>
          <w:sz w:val="24"/>
          <w:szCs w:val="24"/>
        </w:rPr>
        <w:t xml:space="preserve"> (March 18, 2016)</w:t>
      </w:r>
      <w:r w:rsidRPr="00FD3F75">
        <w:rPr>
          <w:sz w:val="24"/>
          <w:szCs w:val="24"/>
        </w:rPr>
        <w:t>, at 134-140.The Commission then appr</w:t>
      </w:r>
      <w:r w:rsidRPr="006D7173">
        <w:rPr>
          <w:sz w:val="24"/>
          <w:szCs w:val="24"/>
        </w:rPr>
        <w:t>oved the DSM II Final Order on November 01, 2016 , but failed to recognize that the eligibility exclusion was inconsistent</w:t>
      </w:r>
      <w:r>
        <w:rPr>
          <w:sz w:val="24"/>
          <w:szCs w:val="24"/>
        </w:rPr>
        <w:t xml:space="preserve"> with</w:t>
      </w:r>
      <w:r w:rsidRPr="002F186F">
        <w:rPr>
          <w:sz w:val="24"/>
          <w:szCs w:val="24"/>
        </w:rPr>
        <w:t xml:space="preserve"> LIURP regulations at Section 58.10 (a)(1)</w:t>
      </w:r>
      <w:r>
        <w:rPr>
          <w:sz w:val="24"/>
          <w:szCs w:val="24"/>
        </w:rPr>
        <w:t>.</w:t>
      </w:r>
    </w:p>
  </w:footnote>
  <w:footnote w:id="29">
    <w:p w:rsidR="008D4A15" w:rsidRPr="00E26C22" w:rsidRDefault="008D4A15">
      <w:pPr>
        <w:pStyle w:val="FootnoteText"/>
        <w:rPr>
          <w:sz w:val="24"/>
          <w:szCs w:val="24"/>
        </w:rPr>
      </w:pPr>
      <w:r w:rsidRPr="00E26C22">
        <w:rPr>
          <w:rStyle w:val="FootnoteReference"/>
          <w:sz w:val="24"/>
          <w:szCs w:val="24"/>
        </w:rPr>
        <w:footnoteRef/>
      </w:r>
      <w:r w:rsidRPr="00E26C22">
        <w:rPr>
          <w:sz w:val="24"/>
          <w:szCs w:val="24"/>
        </w:rPr>
        <w:t xml:space="preserve">  PGW does its CRP income verification in house.  The percentage of additional non-CRP customers who would require income verification </w:t>
      </w:r>
      <w:r>
        <w:rPr>
          <w:sz w:val="24"/>
          <w:szCs w:val="24"/>
        </w:rPr>
        <w:t>should</w:t>
      </w:r>
      <w:r w:rsidRPr="00E26C22">
        <w:rPr>
          <w:sz w:val="24"/>
          <w:szCs w:val="24"/>
        </w:rPr>
        <w:t xml:space="preserve"> be minimal; so also </w:t>
      </w:r>
      <w:r>
        <w:rPr>
          <w:sz w:val="24"/>
          <w:szCs w:val="24"/>
        </w:rPr>
        <w:t>sh</w:t>
      </w:r>
      <w:r w:rsidRPr="00E26C22">
        <w:rPr>
          <w:sz w:val="24"/>
          <w:szCs w:val="24"/>
        </w:rPr>
        <w:t>ould be the increase in costs</w:t>
      </w:r>
      <w:r>
        <w:rPr>
          <w:sz w:val="24"/>
          <w:szCs w:val="24"/>
        </w:rPr>
        <w:t>, particularly after the new procedures have been developed and implemented</w:t>
      </w:r>
      <w:r w:rsidRPr="00E26C22">
        <w:rPr>
          <w:sz w:val="24"/>
          <w:szCs w:val="24"/>
        </w:rPr>
        <w:t xml:space="preserve">. </w:t>
      </w:r>
    </w:p>
  </w:footnote>
  <w:footnote w:id="30">
    <w:p w:rsidR="008D4A15" w:rsidRPr="00984A92" w:rsidRDefault="008D4A15" w:rsidP="0029642A">
      <w:pPr>
        <w:pStyle w:val="FootnoteText"/>
        <w:rPr>
          <w:sz w:val="24"/>
          <w:szCs w:val="24"/>
        </w:rPr>
      </w:pPr>
      <w:r w:rsidRPr="00984A92">
        <w:rPr>
          <w:rStyle w:val="FootnoteReference"/>
          <w:sz w:val="24"/>
          <w:szCs w:val="24"/>
        </w:rPr>
        <w:footnoteRef/>
      </w:r>
      <w:r w:rsidRPr="00984A92">
        <w:rPr>
          <w:sz w:val="24"/>
          <w:szCs w:val="24"/>
        </w:rPr>
        <w:t xml:space="preserve">  PGW’s LIURP</w:t>
      </w:r>
      <w:r>
        <w:rPr>
          <w:sz w:val="24"/>
          <w:szCs w:val="24"/>
        </w:rPr>
        <w:t>,</w:t>
      </w:r>
      <w:r w:rsidRPr="00984A92">
        <w:rPr>
          <w:sz w:val="24"/>
          <w:szCs w:val="24"/>
        </w:rPr>
        <w:t xml:space="preserve"> in </w:t>
      </w:r>
      <w:r>
        <w:rPr>
          <w:sz w:val="24"/>
          <w:szCs w:val="24"/>
        </w:rPr>
        <w:t xml:space="preserve">previous </w:t>
      </w:r>
      <w:r w:rsidRPr="00984A92">
        <w:rPr>
          <w:sz w:val="24"/>
          <w:szCs w:val="24"/>
        </w:rPr>
        <w:t>USECP</w:t>
      </w:r>
      <w:r>
        <w:rPr>
          <w:sz w:val="24"/>
          <w:szCs w:val="24"/>
        </w:rPr>
        <w:t>s</w:t>
      </w:r>
      <w:r w:rsidRPr="00984A92">
        <w:rPr>
          <w:sz w:val="24"/>
          <w:szCs w:val="24"/>
        </w:rPr>
        <w:t xml:space="preserve"> </w:t>
      </w:r>
      <w:r>
        <w:rPr>
          <w:sz w:val="24"/>
          <w:szCs w:val="24"/>
        </w:rPr>
        <w:t xml:space="preserve">and as </w:t>
      </w:r>
      <w:r w:rsidRPr="00984A92">
        <w:rPr>
          <w:sz w:val="24"/>
          <w:szCs w:val="24"/>
        </w:rPr>
        <w:t>part of DSM</w:t>
      </w:r>
      <w:r>
        <w:rPr>
          <w:sz w:val="24"/>
          <w:szCs w:val="24"/>
        </w:rPr>
        <w:t>,</w:t>
      </w:r>
      <w:r w:rsidRPr="00984A92">
        <w:rPr>
          <w:sz w:val="24"/>
          <w:szCs w:val="24"/>
        </w:rPr>
        <w:t xml:space="preserve"> was a completely different program</w:t>
      </w:r>
      <w:r>
        <w:rPr>
          <w:sz w:val="24"/>
          <w:szCs w:val="24"/>
        </w:rPr>
        <w:t>.</w:t>
      </w:r>
      <w:r w:rsidRPr="00984A92">
        <w:rPr>
          <w:sz w:val="24"/>
          <w:szCs w:val="24"/>
        </w:rPr>
        <w:t xml:space="preserve">  </w:t>
      </w:r>
      <w:r>
        <w:rPr>
          <w:sz w:val="24"/>
          <w:szCs w:val="24"/>
        </w:rPr>
        <w:t xml:space="preserve">Prior to DSM, PGW’s LIURP had a much reduced budget of approximately $2 million per year, according to PGW’s 2004-2010 LIURP reporting.  Once LIURP became part of DSM, the budget increased substantially and the focus shifted to more comprehensive, whole-house treatment of heating jobs.  </w:t>
      </w:r>
      <w:r w:rsidRPr="00984A92">
        <w:rPr>
          <w:sz w:val="24"/>
          <w:szCs w:val="24"/>
        </w:rPr>
        <w:t xml:space="preserve">The restriction on LIURP eligibility, approved under those </w:t>
      </w:r>
      <w:r>
        <w:rPr>
          <w:sz w:val="24"/>
          <w:szCs w:val="24"/>
        </w:rPr>
        <w:t xml:space="preserve">previous </w:t>
      </w:r>
      <w:r w:rsidRPr="00984A92">
        <w:rPr>
          <w:sz w:val="24"/>
          <w:szCs w:val="24"/>
        </w:rPr>
        <w:t>circumstances</w:t>
      </w:r>
      <w:r>
        <w:rPr>
          <w:sz w:val="24"/>
          <w:szCs w:val="24"/>
        </w:rPr>
        <w:t>,</w:t>
      </w:r>
      <w:r w:rsidRPr="00984A92">
        <w:rPr>
          <w:sz w:val="24"/>
          <w:szCs w:val="24"/>
        </w:rPr>
        <w:t xml:space="preserve"> does not warrant approval of the restriction </w:t>
      </w:r>
      <w:r>
        <w:rPr>
          <w:sz w:val="24"/>
          <w:szCs w:val="24"/>
        </w:rPr>
        <w:t xml:space="preserve">to CRP customers </w:t>
      </w:r>
      <w:r w:rsidRPr="00984A92">
        <w:rPr>
          <w:sz w:val="24"/>
          <w:szCs w:val="24"/>
        </w:rPr>
        <w:t>going forward.</w:t>
      </w:r>
    </w:p>
  </w:footnote>
  <w:footnote w:id="31">
    <w:p w:rsidR="008D4A15" w:rsidRPr="00986D42" w:rsidRDefault="008D4A15" w:rsidP="00303A1C">
      <w:pPr>
        <w:pStyle w:val="FootnoteText"/>
        <w:rPr>
          <w:sz w:val="24"/>
          <w:szCs w:val="24"/>
        </w:rPr>
      </w:pPr>
      <w:r w:rsidRPr="00986D42">
        <w:rPr>
          <w:rStyle w:val="FootnoteReference"/>
          <w:sz w:val="24"/>
          <w:szCs w:val="24"/>
        </w:rPr>
        <w:footnoteRef/>
      </w:r>
      <w:r w:rsidRPr="00986D42">
        <w:rPr>
          <w:sz w:val="24"/>
          <w:szCs w:val="24"/>
        </w:rPr>
        <w:t xml:space="preserve">  PGW has not provided notice to the non-CRP low-income customers who would be affected if a waiver were granted to allow PGW to continue to exclude them from LIURP eligibility.</w:t>
      </w:r>
    </w:p>
  </w:footnote>
  <w:footnote w:id="32">
    <w:p w:rsidR="008D4A15" w:rsidRPr="00AC4A37" w:rsidRDefault="008D4A15">
      <w:pPr>
        <w:pStyle w:val="FootnoteText"/>
        <w:rPr>
          <w:sz w:val="24"/>
          <w:szCs w:val="24"/>
        </w:rPr>
      </w:pPr>
      <w:r w:rsidRPr="00AC4A37">
        <w:rPr>
          <w:rStyle w:val="FootnoteReference"/>
          <w:sz w:val="24"/>
          <w:szCs w:val="24"/>
        </w:rPr>
        <w:footnoteRef/>
      </w:r>
      <w:r w:rsidRPr="00AC4A37">
        <w:rPr>
          <w:sz w:val="24"/>
          <w:szCs w:val="24"/>
        </w:rPr>
        <w:t xml:space="preserve">  As noted earlier, PGW is transitioning its LIURP </w:t>
      </w:r>
      <w:r>
        <w:rPr>
          <w:sz w:val="24"/>
          <w:szCs w:val="24"/>
        </w:rPr>
        <w:t xml:space="preserve">program </w:t>
      </w:r>
      <w:r w:rsidRPr="00AC4A37">
        <w:rPr>
          <w:sz w:val="24"/>
          <w:szCs w:val="24"/>
        </w:rPr>
        <w:t>budget from a fiscal</w:t>
      </w:r>
      <w:r>
        <w:rPr>
          <w:sz w:val="24"/>
          <w:szCs w:val="24"/>
        </w:rPr>
        <w:t xml:space="preserve"> </w:t>
      </w:r>
      <w:r w:rsidRPr="00AC4A37">
        <w:rPr>
          <w:sz w:val="24"/>
          <w:szCs w:val="24"/>
        </w:rPr>
        <w:t>year that end</w:t>
      </w:r>
      <w:r>
        <w:rPr>
          <w:sz w:val="24"/>
          <w:szCs w:val="24"/>
        </w:rPr>
        <w:t>s</w:t>
      </w:r>
      <w:r w:rsidRPr="00AC4A37">
        <w:rPr>
          <w:sz w:val="24"/>
          <w:szCs w:val="24"/>
        </w:rPr>
        <w:t xml:space="preserve"> August</w:t>
      </w:r>
      <w:r>
        <w:rPr>
          <w:sz w:val="24"/>
          <w:szCs w:val="24"/>
        </w:rPr>
        <w:t> </w:t>
      </w:r>
      <w:r w:rsidRPr="00AC4A37">
        <w:rPr>
          <w:sz w:val="24"/>
          <w:szCs w:val="24"/>
        </w:rPr>
        <w:t xml:space="preserve">31, 2017, to a calendar year, consistent with universal service reporting requirements.  </w:t>
      </w:r>
    </w:p>
  </w:footnote>
  <w:footnote w:id="33">
    <w:p w:rsidR="008D4A15" w:rsidRPr="00A947AA" w:rsidRDefault="008D4A15">
      <w:pPr>
        <w:pStyle w:val="FootnoteText"/>
        <w:rPr>
          <w:sz w:val="24"/>
          <w:szCs w:val="24"/>
        </w:rPr>
      </w:pPr>
      <w:r w:rsidRPr="00A947AA">
        <w:rPr>
          <w:rStyle w:val="FootnoteReference"/>
          <w:sz w:val="24"/>
          <w:szCs w:val="24"/>
        </w:rPr>
        <w:footnoteRef/>
      </w:r>
      <w:r w:rsidRPr="00A947AA">
        <w:rPr>
          <w:sz w:val="24"/>
          <w:szCs w:val="24"/>
        </w:rPr>
        <w:t xml:space="preserve">  </w:t>
      </w:r>
      <w:r w:rsidRPr="00A947AA">
        <w:rPr>
          <w:i/>
          <w:sz w:val="24"/>
          <w:szCs w:val="24"/>
        </w:rPr>
        <w:t>See</w:t>
      </w:r>
      <w:r w:rsidRPr="00A947AA">
        <w:rPr>
          <w:sz w:val="24"/>
          <w:szCs w:val="24"/>
        </w:rPr>
        <w:t xml:space="preserve"> </w:t>
      </w:r>
      <w:hyperlink r:id="rId3" w:history="1">
        <w:r w:rsidRPr="00A947AA">
          <w:rPr>
            <w:rStyle w:val="Hyperlink"/>
            <w:sz w:val="24"/>
            <w:szCs w:val="24"/>
          </w:rPr>
          <w:t>http://www.dhs.pa.gov/cs/groups/webcontent/documents/document/c_261235.pdf</w:t>
        </w:r>
      </w:hyperlink>
      <w:r>
        <w:rPr>
          <w:sz w:val="24"/>
          <w:szCs w:val="24"/>
        </w:rPr>
        <w:t xml:space="preserve"> </w:t>
      </w:r>
      <w:r w:rsidRPr="00A947AA">
        <w:rPr>
          <w:sz w:val="24"/>
          <w:szCs w:val="24"/>
        </w:rPr>
        <w:t xml:space="preserve">for details of the Crisis Interface Program which is part of the LIHEAP </w:t>
      </w:r>
      <w:r>
        <w:rPr>
          <w:sz w:val="24"/>
          <w:szCs w:val="24"/>
        </w:rPr>
        <w:t xml:space="preserve">State </w:t>
      </w:r>
      <w:r w:rsidRPr="00A947AA">
        <w:rPr>
          <w:sz w:val="24"/>
          <w:szCs w:val="24"/>
        </w:rPr>
        <w:t>Plan.</w:t>
      </w:r>
    </w:p>
  </w:footnote>
  <w:footnote w:id="34">
    <w:p w:rsidR="008D4A15" w:rsidRPr="00FA501B" w:rsidRDefault="008D4A15" w:rsidP="00FA501B">
      <w:pPr>
        <w:pStyle w:val="FootnoteText"/>
        <w:rPr>
          <w:sz w:val="24"/>
          <w:szCs w:val="24"/>
        </w:rPr>
      </w:pPr>
      <w:r w:rsidRPr="00FA501B">
        <w:rPr>
          <w:rStyle w:val="FootnoteReference"/>
          <w:sz w:val="24"/>
          <w:szCs w:val="24"/>
        </w:rPr>
        <w:footnoteRef/>
      </w:r>
      <w:r w:rsidRPr="00FA501B">
        <w:rPr>
          <w:sz w:val="24"/>
          <w:szCs w:val="24"/>
        </w:rPr>
        <w:t xml:space="preserve">  We will address Section 58.5 further in our discussion of the 2018-2020 CRP Home Comfort budget below.  We note in passing, however, that Section 58.5 relates to LIURP administrative costs.  PGW was granted a waiver of Section 58.5 in the DSM proceeding when the CRP Home Comfort program was part of a portfolio of DSM programs.  Administrative costs were calculated for the entire portfolio.  According to the First Amended </w:t>
      </w:r>
      <w:r>
        <w:rPr>
          <w:sz w:val="24"/>
          <w:szCs w:val="24"/>
        </w:rPr>
        <w:t xml:space="preserve">Proposed </w:t>
      </w:r>
      <w:r w:rsidRPr="00FA501B">
        <w:rPr>
          <w:sz w:val="24"/>
          <w:szCs w:val="24"/>
        </w:rPr>
        <w:t xml:space="preserve">USECP for 2017-2020, the projected administrative costs of $710,939 for the </w:t>
      </w:r>
      <w:r>
        <w:rPr>
          <w:sz w:val="24"/>
          <w:szCs w:val="24"/>
        </w:rPr>
        <w:t xml:space="preserve">FY </w:t>
      </w:r>
      <w:r w:rsidRPr="00FA501B">
        <w:rPr>
          <w:sz w:val="24"/>
          <w:szCs w:val="24"/>
        </w:rPr>
        <w:t>2017 CRP Home Comfort budget are well under the 15% administrative cap specified in Section 58.5.</w:t>
      </w:r>
      <w:r>
        <w:rPr>
          <w:sz w:val="24"/>
          <w:szCs w:val="24"/>
        </w:rPr>
        <w:t xml:space="preserve">  Thus there is no need for a waiver for FY 2017 or the transitional months.  </w:t>
      </w:r>
    </w:p>
  </w:footnote>
  <w:footnote w:id="35">
    <w:p w:rsidR="008D4A15" w:rsidRPr="0043467A" w:rsidRDefault="008D4A15">
      <w:pPr>
        <w:pStyle w:val="FootnoteText"/>
        <w:rPr>
          <w:sz w:val="24"/>
          <w:szCs w:val="24"/>
        </w:rPr>
      </w:pPr>
      <w:r w:rsidRPr="0043467A">
        <w:rPr>
          <w:rStyle w:val="FootnoteReference"/>
          <w:sz w:val="24"/>
          <w:szCs w:val="24"/>
        </w:rPr>
        <w:footnoteRef/>
      </w:r>
      <w:r w:rsidRPr="0043467A">
        <w:rPr>
          <w:sz w:val="24"/>
          <w:szCs w:val="24"/>
        </w:rPr>
        <w:t xml:space="preserve">  We also note that these sections of our regulations are under review at Docket No. M</w:t>
      </w:r>
      <w:r>
        <w:rPr>
          <w:sz w:val="24"/>
          <w:szCs w:val="24"/>
        </w:rPr>
        <w:noBreakHyphen/>
      </w:r>
      <w:r w:rsidRPr="0043467A">
        <w:rPr>
          <w:sz w:val="24"/>
          <w:szCs w:val="24"/>
        </w:rPr>
        <w:t>2017</w:t>
      </w:r>
      <w:r>
        <w:rPr>
          <w:sz w:val="24"/>
          <w:szCs w:val="24"/>
        </w:rPr>
        <w:noBreakHyphen/>
      </w:r>
      <w:r w:rsidRPr="0043467A">
        <w:rPr>
          <w:sz w:val="24"/>
          <w:szCs w:val="24"/>
        </w:rPr>
        <w:t xml:space="preserve">2596907. </w:t>
      </w:r>
    </w:p>
  </w:footnote>
  <w:footnote w:id="36">
    <w:p w:rsidR="008D4A15" w:rsidRPr="008C603D" w:rsidRDefault="008D4A15" w:rsidP="0043467A">
      <w:pPr>
        <w:pStyle w:val="Heading4"/>
        <w:keepNext w:val="0"/>
        <w:jc w:val="left"/>
        <w:rPr>
          <w:b w:val="0"/>
          <w:sz w:val="24"/>
          <w:szCs w:val="24"/>
        </w:rPr>
      </w:pPr>
      <w:r w:rsidRPr="008C603D">
        <w:rPr>
          <w:rStyle w:val="FootnoteReference"/>
          <w:b w:val="0"/>
          <w:sz w:val="24"/>
          <w:szCs w:val="24"/>
        </w:rPr>
        <w:footnoteRef/>
      </w:r>
      <w:r w:rsidRPr="008C603D">
        <w:rPr>
          <w:b w:val="0"/>
          <w:sz w:val="24"/>
          <w:szCs w:val="24"/>
        </w:rPr>
        <w:t xml:space="preserve">  </w:t>
      </w:r>
      <w:bookmarkStart w:id="2" w:name="58.9."/>
      <w:r>
        <w:rPr>
          <w:b w:val="0"/>
          <w:sz w:val="24"/>
          <w:szCs w:val="24"/>
        </w:rPr>
        <w:t xml:space="preserve">Section </w:t>
      </w:r>
      <w:r w:rsidRPr="008C603D">
        <w:rPr>
          <w:b w:val="0"/>
          <w:sz w:val="24"/>
          <w:szCs w:val="24"/>
        </w:rPr>
        <w:t>58.9</w:t>
      </w:r>
      <w:r>
        <w:rPr>
          <w:b w:val="0"/>
          <w:sz w:val="24"/>
          <w:szCs w:val="24"/>
        </w:rPr>
        <w:t xml:space="preserve"> relating to p</w:t>
      </w:r>
      <w:r w:rsidRPr="008C603D">
        <w:rPr>
          <w:b w:val="0"/>
          <w:sz w:val="24"/>
          <w:szCs w:val="24"/>
        </w:rPr>
        <w:t>rogram announcement</w:t>
      </w:r>
      <w:r>
        <w:rPr>
          <w:b w:val="0"/>
          <w:sz w:val="24"/>
          <w:szCs w:val="24"/>
        </w:rPr>
        <w:t xml:space="preserve"> provides that:</w:t>
      </w:r>
    </w:p>
    <w:p w:rsidR="008D4A15" w:rsidRPr="004500F5" w:rsidRDefault="008D4A15" w:rsidP="00751EB6">
      <w:pPr>
        <w:pStyle w:val="NormalWeb"/>
        <w:spacing w:before="0" w:beforeAutospacing="0" w:after="0" w:afterAutospacing="0"/>
      </w:pPr>
      <w:r w:rsidRPr="008C603D">
        <w:t>(a)  A covered utility shall provide notice of program</w:t>
      </w:r>
      <w:r w:rsidRPr="004500F5">
        <w:t xml:space="preserve"> activities as follows: </w:t>
      </w:r>
    </w:p>
    <w:p w:rsidR="008D4A15" w:rsidRPr="004500F5" w:rsidRDefault="008D4A15" w:rsidP="00751EB6">
      <w:pPr>
        <w:pStyle w:val="NormalWeb"/>
        <w:spacing w:before="0" w:beforeAutospacing="0" w:after="0" w:afterAutospacing="0"/>
      </w:pPr>
      <w:r w:rsidRPr="004500F5">
        <w:t xml:space="preserve">  (1)  The utility shall, at least annually, review its customer records to identify customers who appear to be eligible for low income usage reduction service. </w:t>
      </w:r>
      <w:r>
        <w:t xml:space="preserve"> </w:t>
      </w:r>
      <w:r w:rsidRPr="004500F5">
        <w:t xml:space="preserve">The utility shall then provide a targeted mass mailing to each customer identified through this procedure so as to solicit applications for consideration of program services. </w:t>
      </w:r>
      <w:r>
        <w:t xml:space="preserve"> </w:t>
      </w:r>
      <w:r w:rsidRPr="004500F5">
        <w:t>A copy of this notice shall also be sent to publicly and privately funded agencies which assist low income customers within the covered utility’s service territory.</w:t>
      </w:r>
      <w:r>
        <w:t xml:space="preserve"> </w:t>
      </w:r>
      <w:r w:rsidRPr="004500F5">
        <w:t xml:space="preserve"> A covered utility shall also consider providing public service announcements regarding its low-income usage reduction program in local newspapers and on local radio and television. </w:t>
      </w:r>
    </w:p>
    <w:p w:rsidR="008D4A15" w:rsidRPr="004B2282" w:rsidRDefault="008D4A15" w:rsidP="00751EB6">
      <w:pPr>
        <w:pStyle w:val="NormalWeb"/>
        <w:spacing w:before="0" w:beforeAutospacing="0" w:after="0" w:afterAutospacing="0"/>
      </w:pPr>
      <w:r w:rsidRPr="004500F5">
        <w:t xml:space="preserve">  (2)  If available program resources exceed initial customer response, the targeted mass mailing shall be followed by a personalized letter to customers who did not respond to the mass mailing. </w:t>
      </w:r>
    </w:p>
    <w:p w:rsidR="008D4A15" w:rsidRPr="004B2282" w:rsidRDefault="008D4A15" w:rsidP="00751EB6">
      <w:pPr>
        <w:pStyle w:val="NormalWeb"/>
        <w:spacing w:before="0" w:beforeAutospacing="0" w:after="0" w:afterAutospacing="0"/>
      </w:pPr>
      <w:r w:rsidRPr="004B2282">
        <w:t xml:space="preserve">  (3)  If available program resources still exceed customer response, personal contact should be made with customers who have not responded to earlier program announcements. </w:t>
      </w:r>
    </w:p>
    <w:p w:rsidR="008D4A15" w:rsidRPr="004B2282" w:rsidRDefault="008D4A15" w:rsidP="00751EB6">
      <w:pPr>
        <w:pStyle w:val="NormalWeb"/>
        <w:spacing w:before="0" w:beforeAutospacing="0" w:after="0" w:afterAutospacing="0"/>
      </w:pPr>
      <w:r w:rsidRPr="004B2282">
        <w:t xml:space="preserve">(b)  If, after implementing notice requirements of subsection (a), additional funding resources remain, a covered utility shall send each of its residential customers notice of its usage reduction program along with a description of program services, eligibility rules and how customers may be considered for program services. </w:t>
      </w:r>
      <w:bookmarkEnd w:id="2"/>
    </w:p>
  </w:footnote>
  <w:footnote w:id="37">
    <w:p w:rsidR="008D4A15" w:rsidRPr="004500F5" w:rsidRDefault="008D4A15" w:rsidP="004500F5">
      <w:pPr>
        <w:pStyle w:val="FootnoteText"/>
        <w:rPr>
          <w:sz w:val="24"/>
          <w:szCs w:val="24"/>
        </w:rPr>
      </w:pPr>
      <w:r w:rsidRPr="004500F5">
        <w:rPr>
          <w:rStyle w:val="FootnoteReference"/>
          <w:sz w:val="24"/>
          <w:szCs w:val="24"/>
        </w:rPr>
        <w:footnoteRef/>
      </w:r>
      <w:r w:rsidRPr="004500F5">
        <w:rPr>
          <w:sz w:val="24"/>
          <w:szCs w:val="24"/>
        </w:rPr>
        <w:t xml:space="preserve">  Section </w:t>
      </w:r>
      <w:r>
        <w:rPr>
          <w:sz w:val="24"/>
          <w:szCs w:val="24"/>
        </w:rPr>
        <w:t>5</w:t>
      </w:r>
      <w:r w:rsidRPr="004500F5">
        <w:rPr>
          <w:sz w:val="24"/>
          <w:szCs w:val="24"/>
        </w:rPr>
        <w:t>8.11 provides that:</w:t>
      </w:r>
    </w:p>
    <w:p w:rsidR="008D4A15" w:rsidRPr="00FA501B" w:rsidRDefault="008D4A15" w:rsidP="004500F5">
      <w:pPr>
        <w:spacing w:after="0" w:line="240" w:lineRule="auto"/>
        <w:rPr>
          <w:rFonts w:ascii="Times New Roman" w:eastAsia="Times New Roman" w:hAnsi="Times New Roman" w:cs="Times New Roman"/>
          <w:sz w:val="24"/>
          <w:szCs w:val="24"/>
        </w:rPr>
      </w:pPr>
      <w:bookmarkStart w:id="3" w:name="58.11."/>
      <w:r w:rsidRPr="004500F5">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w:t>
      </w:r>
      <w:r w:rsidRPr="004500F5">
        <w:rPr>
          <w:rFonts w:ascii="Times New Roman" w:eastAsia="Times New Roman" w:hAnsi="Times New Roman" w:cs="Times New Roman"/>
          <w:sz w:val="24"/>
          <w:szCs w:val="24"/>
        </w:rPr>
        <w:t>If an applicant is eligible to receive program services, an onsite energy survey shall be performed to determine if the</w:t>
      </w:r>
      <w:r w:rsidRPr="00FA501B">
        <w:rPr>
          <w:rFonts w:ascii="Times New Roman" w:eastAsia="Times New Roman" w:hAnsi="Times New Roman" w:cs="Times New Roman"/>
          <w:sz w:val="24"/>
          <w:szCs w:val="24"/>
        </w:rPr>
        <w:t xml:space="preserve"> installation of program measures would be appropriate. </w:t>
      </w:r>
      <w:r>
        <w:rPr>
          <w:rFonts w:ascii="Times New Roman" w:eastAsia="Times New Roman" w:hAnsi="Times New Roman" w:cs="Times New Roman"/>
          <w:sz w:val="24"/>
          <w:szCs w:val="24"/>
        </w:rPr>
        <w:t xml:space="preserve"> </w:t>
      </w:r>
      <w:r w:rsidRPr="00FA501B">
        <w:rPr>
          <w:rFonts w:ascii="Times New Roman" w:eastAsia="Times New Roman" w:hAnsi="Times New Roman" w:cs="Times New Roman"/>
          <w:sz w:val="24"/>
          <w:szCs w:val="24"/>
        </w:rPr>
        <w:t xml:space="preserve">The installation of a program measure is considered appropriate if it is not already present and performing effectively and when the energy savings derived from the installation will result in a simple payback of 7 years or less. </w:t>
      </w:r>
      <w:r>
        <w:rPr>
          <w:rFonts w:ascii="Times New Roman" w:eastAsia="Times New Roman" w:hAnsi="Times New Roman" w:cs="Times New Roman"/>
          <w:sz w:val="24"/>
          <w:szCs w:val="24"/>
        </w:rPr>
        <w:t xml:space="preserve"> </w:t>
      </w:r>
      <w:r w:rsidRPr="00FA501B">
        <w:rPr>
          <w:rFonts w:ascii="Times New Roman" w:eastAsia="Times New Roman" w:hAnsi="Times New Roman" w:cs="Times New Roman"/>
          <w:sz w:val="24"/>
          <w:szCs w:val="24"/>
        </w:rPr>
        <w:t xml:space="preserve">A 12-year simple payback criterion shall be utilized for the installation of side wall insulation, attic insulation, space heating system replacement, water heater replacements and refrigerator replacement when the expected lifetime of the measure exceeds the payback period. </w:t>
      </w:r>
    </w:p>
    <w:p w:rsidR="008D4A15" w:rsidRPr="004500F5" w:rsidRDefault="008D4A15" w:rsidP="00FA501B">
      <w:pPr>
        <w:spacing w:after="0" w:line="240" w:lineRule="auto"/>
        <w:rPr>
          <w:sz w:val="24"/>
          <w:szCs w:val="24"/>
        </w:rPr>
      </w:pPr>
      <w:r w:rsidRPr="00FA501B">
        <w:rPr>
          <w:rFonts w:ascii="Times New Roman" w:eastAsia="Times New Roman" w:hAnsi="Times New Roman" w:cs="Times New Roman"/>
          <w:sz w:val="24"/>
          <w:szCs w:val="24"/>
        </w:rPr>
        <w:t>(b)</w:t>
      </w:r>
      <w:r>
        <w:rPr>
          <w:rFonts w:ascii="Times New Roman" w:eastAsia="Times New Roman" w:hAnsi="Times New Roman" w:cs="Times New Roman"/>
          <w:sz w:val="24"/>
          <w:szCs w:val="24"/>
        </w:rPr>
        <w:t xml:space="preserve">  </w:t>
      </w:r>
      <w:r w:rsidRPr="004500F5">
        <w:rPr>
          <w:rFonts w:ascii="Times New Roman" w:eastAsia="Times New Roman" w:hAnsi="Times New Roman" w:cs="Times New Roman"/>
          <w:sz w:val="24"/>
          <w:szCs w:val="24"/>
        </w:rPr>
        <w:t>Program funds may not be used for measures that involve fuel switching between Commission regulated utilities. This stipulation does not apply to fuel switching within a dual-fuel utility.</w:t>
      </w:r>
      <w:bookmarkEnd w:id="3"/>
    </w:p>
  </w:footnote>
  <w:footnote w:id="38">
    <w:p w:rsidR="008D4A15" w:rsidRPr="006D5196" w:rsidRDefault="008D4A15" w:rsidP="00BD4C0F">
      <w:pPr>
        <w:pStyle w:val="FootnoteText"/>
        <w:keepLines/>
        <w:rPr>
          <w:sz w:val="24"/>
          <w:szCs w:val="24"/>
        </w:rPr>
      </w:pPr>
      <w:r w:rsidRPr="00BD4C0F">
        <w:rPr>
          <w:rStyle w:val="FootnoteReference"/>
          <w:sz w:val="24"/>
          <w:szCs w:val="24"/>
        </w:rPr>
        <w:footnoteRef/>
      </w:r>
      <w:r w:rsidRPr="00BD4C0F">
        <w:rPr>
          <w:sz w:val="24"/>
          <w:szCs w:val="24"/>
        </w:rPr>
        <w:t xml:space="preserve">  PGW asserted that it “</w:t>
      </w:r>
      <w:r w:rsidRPr="006D5196">
        <w:rPr>
          <w:sz w:val="24"/>
          <w:szCs w:val="24"/>
        </w:rPr>
        <w:t xml:space="preserve">will enhance its CARES program to enable our customer service representatives to track customers provided with information in a ‘quick-fix’ manner (e.g., referrals to organizations that provide services for the unemployed, recent immigrants, senior citizens, etc.).  This improvement will allow us to systematically quantify the number and types of referrals made for customers and to possibly increase the customers referred for case management.”  </w:t>
      </w:r>
      <w:r w:rsidRPr="006D5196">
        <w:rPr>
          <w:rFonts w:eastAsia="Calibri"/>
          <w:sz w:val="24"/>
          <w:szCs w:val="24"/>
        </w:rPr>
        <w:t>PGW Revised 2014-2016 Plan at 20.</w:t>
      </w:r>
    </w:p>
  </w:footnote>
  <w:footnote w:id="39">
    <w:p w:rsidR="008D4A15" w:rsidRPr="005B0B1E" w:rsidRDefault="008D4A15">
      <w:pPr>
        <w:pStyle w:val="FootnoteText"/>
        <w:rPr>
          <w:sz w:val="24"/>
          <w:szCs w:val="24"/>
        </w:rPr>
      </w:pPr>
      <w:r w:rsidRPr="005B0B1E">
        <w:rPr>
          <w:rStyle w:val="FootnoteReference"/>
          <w:sz w:val="24"/>
          <w:szCs w:val="24"/>
        </w:rPr>
        <w:footnoteRef/>
      </w:r>
      <w:r w:rsidRPr="005B0B1E">
        <w:rPr>
          <w:sz w:val="24"/>
          <w:szCs w:val="24"/>
        </w:rPr>
        <w:t xml:space="preserve">  Since the quick-fix tracking system w</w:t>
      </w:r>
      <w:r>
        <w:rPr>
          <w:sz w:val="24"/>
          <w:szCs w:val="24"/>
        </w:rPr>
        <w:t>as</w:t>
      </w:r>
      <w:r w:rsidRPr="005B0B1E">
        <w:rPr>
          <w:sz w:val="24"/>
          <w:szCs w:val="24"/>
        </w:rPr>
        <w:t xml:space="preserve"> implemented in the </w:t>
      </w:r>
      <w:r>
        <w:rPr>
          <w:sz w:val="24"/>
          <w:szCs w:val="24"/>
        </w:rPr>
        <w:t>s</w:t>
      </w:r>
      <w:r w:rsidRPr="005B0B1E">
        <w:rPr>
          <w:sz w:val="24"/>
          <w:szCs w:val="24"/>
        </w:rPr>
        <w:t>pring of 2017, we anticipate the first report will only provide partial referral data for that calendar year.</w:t>
      </w:r>
    </w:p>
  </w:footnote>
  <w:footnote w:id="40">
    <w:p w:rsidR="008D4A15" w:rsidRPr="00982546" w:rsidRDefault="008D4A15">
      <w:pPr>
        <w:pStyle w:val="FootnoteText"/>
        <w:rPr>
          <w:sz w:val="24"/>
          <w:szCs w:val="24"/>
        </w:rPr>
      </w:pPr>
      <w:r w:rsidRPr="00C82F70">
        <w:rPr>
          <w:rStyle w:val="FootnoteReference"/>
          <w:sz w:val="24"/>
          <w:szCs w:val="24"/>
        </w:rPr>
        <w:footnoteRef/>
      </w:r>
      <w:r w:rsidRPr="00C82F70">
        <w:rPr>
          <w:sz w:val="24"/>
          <w:szCs w:val="24"/>
        </w:rPr>
        <w:t xml:space="preserve"> </w:t>
      </w:r>
      <w:r>
        <w:rPr>
          <w:sz w:val="24"/>
          <w:szCs w:val="24"/>
        </w:rPr>
        <w:t xml:space="preserve"> </w:t>
      </w:r>
      <w:r w:rsidRPr="00A13FDD">
        <w:rPr>
          <w:sz w:val="24"/>
          <w:szCs w:val="24"/>
        </w:rPr>
        <w:t>“Deferred” or “Frozen” arrears is customer debt that is set-aside for forgiveness when a customer enrolls into CRP.</w:t>
      </w:r>
    </w:p>
  </w:footnote>
  <w:footnote w:id="41">
    <w:p w:rsidR="008D4A15" w:rsidRPr="009F13AE" w:rsidRDefault="008D4A15">
      <w:pPr>
        <w:pStyle w:val="FootnoteText"/>
        <w:rPr>
          <w:sz w:val="24"/>
          <w:szCs w:val="24"/>
        </w:rPr>
      </w:pPr>
      <w:r w:rsidRPr="00A13FDD">
        <w:rPr>
          <w:rStyle w:val="FootnoteReference"/>
          <w:sz w:val="24"/>
          <w:szCs w:val="24"/>
        </w:rPr>
        <w:footnoteRef/>
      </w:r>
      <w:r w:rsidRPr="00A13FDD">
        <w:rPr>
          <w:sz w:val="24"/>
          <w:szCs w:val="24"/>
        </w:rPr>
        <w:t xml:space="preserve">  “To restore service and re-enroll in CRP, the customer must pay the past due CRP bills in full, plus the reconnection fee, and, if applicable, a dig fee.  No deposit is required.  Once the customer satisfies all payment requirements and reapplies, their balance is placed back in the </w:t>
      </w:r>
      <w:r w:rsidRPr="009F13AE">
        <w:rPr>
          <w:sz w:val="24"/>
          <w:szCs w:val="24"/>
        </w:rPr>
        <w:t>frozen arrears.”  Amended Proposed 2017-2020 Plan at 17.</w:t>
      </w:r>
    </w:p>
  </w:footnote>
  <w:footnote w:id="42">
    <w:p w:rsidR="008D4A15" w:rsidRDefault="008D4A15" w:rsidP="0069683C">
      <w:pPr>
        <w:pStyle w:val="FootnoteText"/>
      </w:pPr>
      <w:r w:rsidRPr="009F13AE">
        <w:rPr>
          <w:rStyle w:val="FootnoteReference"/>
          <w:sz w:val="24"/>
          <w:szCs w:val="24"/>
        </w:rPr>
        <w:footnoteRef/>
      </w:r>
      <w:r w:rsidRPr="005B0B1E">
        <w:rPr>
          <w:sz w:val="24"/>
          <w:szCs w:val="24"/>
        </w:rPr>
        <w:t xml:space="preserve"> </w:t>
      </w:r>
      <w:r>
        <w:rPr>
          <w:sz w:val="24"/>
          <w:szCs w:val="24"/>
        </w:rPr>
        <w:t xml:space="preserve"> </w:t>
      </w:r>
      <w:r w:rsidRPr="005B0B1E">
        <w:rPr>
          <w:sz w:val="24"/>
          <w:szCs w:val="24"/>
        </w:rPr>
        <w:t>“To PGW’s knowledge, UESF does not track this information.”  PGW Supplemental Information at 27.</w:t>
      </w:r>
    </w:p>
  </w:footnote>
  <w:footnote w:id="43">
    <w:p w:rsidR="008D4A15" w:rsidRPr="009F13AE" w:rsidRDefault="008D4A15">
      <w:pPr>
        <w:pStyle w:val="FootnoteText"/>
        <w:rPr>
          <w:sz w:val="24"/>
          <w:szCs w:val="24"/>
        </w:rPr>
      </w:pPr>
      <w:r w:rsidRPr="009F13AE">
        <w:rPr>
          <w:rStyle w:val="FootnoteReference"/>
          <w:sz w:val="24"/>
          <w:szCs w:val="24"/>
        </w:rPr>
        <w:footnoteRef/>
      </w:r>
      <w:r w:rsidRPr="009F13AE">
        <w:rPr>
          <w:sz w:val="24"/>
          <w:szCs w:val="24"/>
        </w:rPr>
        <w:t xml:space="preserve">  UE</w:t>
      </w:r>
      <w:r>
        <w:rPr>
          <w:sz w:val="24"/>
          <w:szCs w:val="24"/>
        </w:rPr>
        <w:t>S</w:t>
      </w:r>
      <w:r w:rsidRPr="009F13AE">
        <w:rPr>
          <w:sz w:val="24"/>
          <w:szCs w:val="24"/>
        </w:rPr>
        <w:t xml:space="preserve">F provides </w:t>
      </w:r>
      <w:r>
        <w:rPr>
          <w:sz w:val="24"/>
          <w:szCs w:val="24"/>
        </w:rPr>
        <w:t>approximately 50</w:t>
      </w:r>
      <w:r w:rsidRPr="009F13AE">
        <w:rPr>
          <w:sz w:val="24"/>
          <w:szCs w:val="24"/>
        </w:rPr>
        <w:t xml:space="preserve">% of PGW’s </w:t>
      </w:r>
      <w:r>
        <w:rPr>
          <w:sz w:val="24"/>
          <w:szCs w:val="24"/>
        </w:rPr>
        <w:t>H</w:t>
      </w:r>
      <w:r w:rsidRPr="009F13AE">
        <w:rPr>
          <w:sz w:val="24"/>
          <w:szCs w:val="24"/>
        </w:rPr>
        <w:t>ardship Fund</w:t>
      </w:r>
      <w:r>
        <w:rPr>
          <w:sz w:val="24"/>
          <w:szCs w:val="24"/>
        </w:rPr>
        <w:t xml:space="preserve"> grant monies</w:t>
      </w:r>
      <w:r w:rsidRPr="009F13AE">
        <w:rPr>
          <w:sz w:val="24"/>
          <w:szCs w:val="24"/>
        </w:rPr>
        <w:t>.</w:t>
      </w:r>
    </w:p>
  </w:footnote>
  <w:footnote w:id="44">
    <w:p w:rsidR="008D4A15" w:rsidRPr="00132DDF" w:rsidRDefault="008D4A15" w:rsidP="0048125D">
      <w:pPr>
        <w:pStyle w:val="FootnoteText"/>
        <w:rPr>
          <w:sz w:val="24"/>
          <w:szCs w:val="24"/>
        </w:rPr>
      </w:pPr>
      <w:r w:rsidRPr="00132DDF">
        <w:rPr>
          <w:rStyle w:val="FootnoteReference"/>
          <w:sz w:val="24"/>
          <w:szCs w:val="24"/>
        </w:rPr>
        <w:footnoteRef/>
      </w:r>
      <w:r w:rsidRPr="00132DDF">
        <w:rPr>
          <w:sz w:val="24"/>
          <w:szCs w:val="24"/>
        </w:rPr>
        <w:t xml:space="preserve"> </w:t>
      </w:r>
      <w:r>
        <w:rPr>
          <w:sz w:val="24"/>
          <w:szCs w:val="24"/>
        </w:rPr>
        <w:t xml:space="preserve"> </w:t>
      </w:r>
      <w:r w:rsidRPr="00132DDF">
        <w:rPr>
          <w:sz w:val="24"/>
          <w:szCs w:val="24"/>
        </w:rPr>
        <w:t xml:space="preserve">This provision is listed as Title 66 Section 2203(8) for Natural Gas Competition. </w:t>
      </w:r>
    </w:p>
  </w:footnote>
  <w:footnote w:id="45">
    <w:p w:rsidR="008D4A15" w:rsidRDefault="008D4A15" w:rsidP="006561CF">
      <w:pPr>
        <w:pStyle w:val="FootnoteText"/>
      </w:pPr>
      <w:r w:rsidRPr="009B29C7">
        <w:rPr>
          <w:rStyle w:val="FootnoteReference"/>
          <w:sz w:val="24"/>
          <w:szCs w:val="24"/>
        </w:rPr>
        <w:footnoteRef/>
      </w:r>
      <w:r w:rsidRPr="009B29C7">
        <w:rPr>
          <w:sz w:val="24"/>
          <w:szCs w:val="24"/>
        </w:rPr>
        <w:t xml:space="preserve">  </w:t>
      </w:r>
      <w:r w:rsidRPr="009B29C7">
        <w:rPr>
          <w:i/>
          <w:sz w:val="24"/>
          <w:szCs w:val="24"/>
        </w:rPr>
        <w:t>See</w:t>
      </w:r>
      <w:r w:rsidRPr="009B29C7">
        <w:rPr>
          <w:sz w:val="24"/>
          <w:szCs w:val="24"/>
        </w:rPr>
        <w:t xml:space="preserve"> Amended Proposed</w:t>
      </w:r>
      <w:r>
        <w:rPr>
          <w:sz w:val="26"/>
          <w:szCs w:val="26"/>
        </w:rPr>
        <w:t xml:space="preserve"> 2017-2020 Plan at 14.  </w:t>
      </w:r>
    </w:p>
  </w:footnote>
  <w:footnote w:id="46">
    <w:p w:rsidR="008D4A15" w:rsidRPr="00A108DB" w:rsidRDefault="008D4A15" w:rsidP="00EC6910">
      <w:pPr>
        <w:pStyle w:val="FootnoteText"/>
        <w:rPr>
          <w:sz w:val="24"/>
          <w:szCs w:val="24"/>
        </w:rPr>
      </w:pPr>
      <w:r w:rsidRPr="00A108DB">
        <w:rPr>
          <w:rStyle w:val="FootnoteReference"/>
          <w:sz w:val="24"/>
          <w:szCs w:val="24"/>
        </w:rPr>
        <w:footnoteRef/>
      </w:r>
      <w:r w:rsidRPr="00A108DB">
        <w:rPr>
          <w:sz w:val="24"/>
          <w:szCs w:val="24"/>
        </w:rPr>
        <w:t xml:space="preserve">  As reported by PGW, 2015 US Collections report</w:t>
      </w:r>
      <w:r>
        <w:rPr>
          <w:sz w:val="24"/>
          <w:szCs w:val="24"/>
        </w:rPr>
        <w:t xml:space="preserve"> at</w:t>
      </w:r>
      <w:r w:rsidRPr="00A108DB">
        <w:rPr>
          <w:sz w:val="24"/>
          <w:szCs w:val="24"/>
        </w:rPr>
        <w:t xml:space="preserve"> 7</w:t>
      </w:r>
      <w:r>
        <w:rPr>
          <w:sz w:val="24"/>
          <w:szCs w:val="24"/>
        </w:rPr>
        <w:t xml:space="preserve">, and </w:t>
      </w:r>
      <w:r w:rsidRPr="00A108DB">
        <w:rPr>
          <w:sz w:val="24"/>
          <w:szCs w:val="24"/>
        </w:rPr>
        <w:t xml:space="preserve">confirmed by 2011-2013 American Community Survey 3-Year Estimates for Philadelphia County </w:t>
      </w:r>
      <w:r>
        <w:rPr>
          <w:sz w:val="24"/>
          <w:szCs w:val="24"/>
        </w:rPr>
        <w:t>–</w:t>
      </w:r>
      <w:r w:rsidRPr="00A108DB">
        <w:rPr>
          <w:sz w:val="24"/>
          <w:szCs w:val="24"/>
        </w:rPr>
        <w:t xml:space="preserve"> United States Census Bureau.</w:t>
      </w:r>
    </w:p>
  </w:footnote>
  <w:footnote w:id="47">
    <w:p w:rsidR="008D4A15" w:rsidRPr="00DC2C96" w:rsidRDefault="008D4A15">
      <w:pPr>
        <w:pStyle w:val="FootnoteText"/>
        <w:rPr>
          <w:sz w:val="24"/>
          <w:szCs w:val="24"/>
        </w:rPr>
      </w:pPr>
      <w:r w:rsidRPr="00DC2C96">
        <w:rPr>
          <w:rStyle w:val="FootnoteReference"/>
          <w:sz w:val="24"/>
          <w:szCs w:val="24"/>
        </w:rPr>
        <w:footnoteRef/>
      </w:r>
      <w:r w:rsidRPr="00DC2C96">
        <w:rPr>
          <w:sz w:val="24"/>
          <w:szCs w:val="24"/>
        </w:rPr>
        <w:t xml:space="preserve">  This figure comes from PGW 2014-2016 USECP (M-2013-2366301) at 8, and  the DSM RD (P-2014-2459362) at 12.</w:t>
      </w:r>
    </w:p>
  </w:footnote>
  <w:footnote w:id="48">
    <w:p w:rsidR="008D4A15" w:rsidRPr="00DC2C96" w:rsidRDefault="008D4A15" w:rsidP="00DC2C96">
      <w:pPr>
        <w:pStyle w:val="FootnoteText"/>
        <w:rPr>
          <w:sz w:val="24"/>
          <w:szCs w:val="24"/>
        </w:rPr>
      </w:pPr>
      <w:r w:rsidRPr="00DC2C96">
        <w:rPr>
          <w:rStyle w:val="FootnoteReference"/>
          <w:sz w:val="24"/>
          <w:szCs w:val="24"/>
        </w:rPr>
        <w:footnoteRef/>
      </w:r>
      <w:r w:rsidRPr="00DC2C96">
        <w:rPr>
          <w:sz w:val="24"/>
          <w:szCs w:val="24"/>
        </w:rPr>
        <w:t xml:space="preserve">  Section 54(c) provides that a</w:t>
      </w:r>
    </w:p>
    <w:p w:rsidR="008D4A15" w:rsidRPr="00DC2C96" w:rsidRDefault="008D4A15" w:rsidP="00DC2C96">
      <w:pPr>
        <w:pStyle w:val="FootnoteText"/>
        <w:rPr>
          <w:sz w:val="24"/>
          <w:szCs w:val="24"/>
        </w:rPr>
      </w:pPr>
      <w:r w:rsidRPr="00DC2C96">
        <w:rPr>
          <w:sz w:val="24"/>
          <w:szCs w:val="24"/>
        </w:rPr>
        <w:t xml:space="preserve">[R]revision to a covered utility’s program funding level is to be computed based upon factors listed in this section. These factors are the following: </w:t>
      </w:r>
    </w:p>
    <w:p w:rsidR="008D4A15" w:rsidRPr="00DC2C96" w:rsidRDefault="008D4A15" w:rsidP="00DC2C96">
      <w:pPr>
        <w:pStyle w:val="FootnoteText"/>
        <w:rPr>
          <w:sz w:val="24"/>
          <w:szCs w:val="24"/>
        </w:rPr>
      </w:pPr>
      <w:r w:rsidRPr="00DC2C96">
        <w:rPr>
          <w:sz w:val="24"/>
          <w:szCs w:val="24"/>
        </w:rPr>
        <w:t xml:space="preserve">   (1)  The number of eligible customers that could be provided cost-effective usage reduction services. The calculation shall take into consideration the number of customer dwellings that have already received, or are not otherwise in need of, usage reduction services. </w:t>
      </w:r>
    </w:p>
    <w:p w:rsidR="008D4A15" w:rsidRPr="00DC2C96" w:rsidRDefault="008D4A15" w:rsidP="00DC2C96">
      <w:pPr>
        <w:pStyle w:val="FootnoteText"/>
        <w:rPr>
          <w:sz w:val="24"/>
          <w:szCs w:val="24"/>
        </w:rPr>
      </w:pPr>
      <w:r w:rsidRPr="00DC2C96">
        <w:rPr>
          <w:sz w:val="24"/>
          <w:szCs w:val="24"/>
        </w:rPr>
        <w:t xml:space="preserve">   (2)  Expected customer participation rates for eligible customers. Expected participation rates shall be based on historical participation rates when customers have been solicited through approved personal contact methods.</w:t>
      </w:r>
    </w:p>
  </w:footnote>
  <w:footnote w:id="49">
    <w:p w:rsidR="008D4A15" w:rsidRPr="00132DDF" w:rsidRDefault="008D4A15" w:rsidP="00706DAC">
      <w:pPr>
        <w:pStyle w:val="FootnoteText"/>
        <w:rPr>
          <w:sz w:val="24"/>
          <w:szCs w:val="24"/>
        </w:rPr>
      </w:pPr>
      <w:r w:rsidRPr="00132DDF">
        <w:rPr>
          <w:rStyle w:val="FootnoteReference"/>
          <w:sz w:val="24"/>
          <w:szCs w:val="24"/>
        </w:rPr>
        <w:footnoteRef/>
      </w:r>
      <w:r w:rsidRPr="00132DDF">
        <w:rPr>
          <w:sz w:val="24"/>
          <w:szCs w:val="24"/>
        </w:rPr>
        <w:t xml:space="preserve"> </w:t>
      </w:r>
      <w:r>
        <w:rPr>
          <w:sz w:val="24"/>
          <w:szCs w:val="24"/>
        </w:rPr>
        <w:t xml:space="preserve"> </w:t>
      </w:r>
      <w:r w:rsidRPr="00132DDF">
        <w:rPr>
          <w:sz w:val="24"/>
          <w:szCs w:val="24"/>
        </w:rPr>
        <w:t>This issue was not addressed in the Tentative Order.</w:t>
      </w:r>
    </w:p>
  </w:footnote>
  <w:footnote w:id="50">
    <w:p w:rsidR="008D4A15" w:rsidRPr="001A2BD6" w:rsidRDefault="008D4A15" w:rsidP="00706DAC">
      <w:pPr>
        <w:pStyle w:val="FootnoteText"/>
        <w:rPr>
          <w:sz w:val="24"/>
          <w:szCs w:val="24"/>
        </w:rPr>
      </w:pPr>
      <w:r w:rsidRPr="001A2BD6">
        <w:rPr>
          <w:rStyle w:val="FootnoteReference"/>
          <w:sz w:val="24"/>
          <w:szCs w:val="24"/>
        </w:rPr>
        <w:footnoteRef/>
      </w:r>
      <w:r w:rsidRPr="001A2BD6">
        <w:rPr>
          <w:sz w:val="24"/>
          <w:szCs w:val="24"/>
        </w:rPr>
        <w:t xml:space="preserve">  The average PGW Hardship Fund grant increased from $998</w:t>
      </w:r>
      <w:r>
        <w:rPr>
          <w:sz w:val="24"/>
          <w:szCs w:val="24"/>
        </w:rPr>
        <w:t xml:space="preserve"> </w:t>
      </w:r>
      <w:r w:rsidRPr="001A2BD6">
        <w:rPr>
          <w:sz w:val="24"/>
          <w:szCs w:val="24"/>
        </w:rPr>
        <w:t>to $1,234 from 2010 to 2015.  2010 Report on Universal Service Programs &amp; Collections Performance at 51 and 2015 Report on Universal Service Programs &amp; Collections Performance at 52.</w:t>
      </w:r>
    </w:p>
  </w:footnote>
  <w:footnote w:id="51">
    <w:p w:rsidR="008D4A15" w:rsidRPr="001A2BD6" w:rsidRDefault="008D4A15" w:rsidP="00706DAC">
      <w:pPr>
        <w:pStyle w:val="FootnoteText"/>
        <w:rPr>
          <w:sz w:val="24"/>
          <w:szCs w:val="24"/>
        </w:rPr>
      </w:pPr>
      <w:r w:rsidRPr="001A2BD6">
        <w:rPr>
          <w:rStyle w:val="FootnoteReference"/>
          <w:sz w:val="24"/>
          <w:szCs w:val="24"/>
        </w:rPr>
        <w:footnoteRef/>
      </w:r>
      <w:r w:rsidRPr="001A2BD6">
        <w:rPr>
          <w:sz w:val="24"/>
          <w:szCs w:val="24"/>
        </w:rPr>
        <w:t xml:space="preserve">  In 2015, PGW reported 21,237 confirmed low-income customers carried debt totaling $14,958,895.  2015 Report on Universal Service Programs &amp; Collections Performance at 18, 22.</w:t>
      </w:r>
    </w:p>
  </w:footnote>
  <w:footnote w:id="52">
    <w:p w:rsidR="008D4A15" w:rsidRPr="008D4A15" w:rsidRDefault="008D4A15">
      <w:pPr>
        <w:pStyle w:val="FootnoteText"/>
        <w:rPr>
          <w:sz w:val="24"/>
          <w:szCs w:val="24"/>
        </w:rPr>
      </w:pPr>
      <w:r w:rsidRPr="008D4A15">
        <w:rPr>
          <w:rStyle w:val="FootnoteReference"/>
          <w:sz w:val="24"/>
          <w:szCs w:val="24"/>
        </w:rPr>
        <w:footnoteRef/>
      </w:r>
      <w:r w:rsidRPr="008D4A15">
        <w:rPr>
          <w:sz w:val="24"/>
          <w:szCs w:val="24"/>
        </w:rPr>
        <w:t xml:space="preserve"> PGW collected only $678 voluntary contributions from ratepayers in 2015. </w:t>
      </w:r>
    </w:p>
  </w:footnote>
  <w:footnote w:id="53">
    <w:p w:rsidR="008D4A15" w:rsidRPr="00975AA5" w:rsidRDefault="008D4A15" w:rsidP="00E83168">
      <w:pPr>
        <w:pStyle w:val="NormalWeb"/>
        <w:spacing w:before="0" w:beforeAutospacing="0" w:after="0" w:afterAutospacing="0"/>
      </w:pPr>
      <w:r>
        <w:rPr>
          <w:rStyle w:val="FootnoteReference"/>
        </w:rPr>
        <w:footnoteRef/>
      </w:r>
      <w:r>
        <w:t xml:space="preserve">  58.4</w:t>
      </w:r>
      <w:r w:rsidRPr="00975AA5">
        <w:t>(c)</w:t>
      </w:r>
      <w:r>
        <w:t xml:space="preserve">  </w:t>
      </w:r>
      <w:r w:rsidRPr="00975AA5">
        <w:rPr>
          <w:i/>
          <w:iCs/>
        </w:rPr>
        <w:t>Guidelines for revising program funding.</w:t>
      </w:r>
      <w:r w:rsidRPr="00975AA5">
        <w:t xml:space="preserve"> </w:t>
      </w:r>
      <w:r>
        <w:t xml:space="preserve"> </w:t>
      </w:r>
      <w:r w:rsidRPr="00975AA5">
        <w:t xml:space="preserve">A revision to a covered utility’s program funding level is to be computed based upon factors listed in this section. </w:t>
      </w:r>
      <w:r>
        <w:t xml:space="preserve"> </w:t>
      </w:r>
      <w:r w:rsidRPr="00975AA5">
        <w:t xml:space="preserve">These factors are the following: </w:t>
      </w:r>
    </w:p>
    <w:p w:rsidR="008D4A15" w:rsidRPr="00975AA5" w:rsidRDefault="008D4A15" w:rsidP="00E8316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75AA5">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975AA5">
        <w:rPr>
          <w:rFonts w:ascii="Times New Roman" w:eastAsia="Times New Roman" w:hAnsi="Times New Roman" w:cs="Times New Roman"/>
          <w:sz w:val="24"/>
          <w:szCs w:val="24"/>
        </w:rPr>
        <w:t xml:space="preserve">The number of eligible customers that could be provided cost-effective usage reduction services. </w:t>
      </w:r>
      <w:r>
        <w:rPr>
          <w:rFonts w:ascii="Times New Roman" w:eastAsia="Times New Roman" w:hAnsi="Times New Roman" w:cs="Times New Roman"/>
          <w:sz w:val="24"/>
          <w:szCs w:val="24"/>
        </w:rPr>
        <w:t xml:space="preserve"> </w:t>
      </w:r>
      <w:r w:rsidRPr="00975AA5">
        <w:rPr>
          <w:rFonts w:ascii="Times New Roman" w:eastAsia="Times New Roman" w:hAnsi="Times New Roman" w:cs="Times New Roman"/>
          <w:sz w:val="24"/>
          <w:szCs w:val="24"/>
        </w:rPr>
        <w:t xml:space="preserve">The calculation shall take into consideration the number of customer dwellings that have already received, or are not otherwise in need of, usage reduction services. </w:t>
      </w:r>
    </w:p>
    <w:p w:rsidR="008D4A15" w:rsidRPr="00975AA5" w:rsidRDefault="008D4A15" w:rsidP="00E8316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75AA5">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975AA5">
        <w:rPr>
          <w:rFonts w:ascii="Times New Roman" w:eastAsia="Times New Roman" w:hAnsi="Times New Roman" w:cs="Times New Roman"/>
          <w:sz w:val="24"/>
          <w:szCs w:val="24"/>
        </w:rPr>
        <w:t xml:space="preserve">Expected customer participation rates for eligible customers. Expected participation rates shall be based on historical participation rates when customers have been solicited through approved personal contact methods. </w:t>
      </w:r>
    </w:p>
    <w:p w:rsidR="008D4A15" w:rsidRPr="00975AA5" w:rsidRDefault="008D4A15" w:rsidP="00E8316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75AA5">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975AA5">
        <w:rPr>
          <w:rFonts w:ascii="Times New Roman" w:eastAsia="Times New Roman" w:hAnsi="Times New Roman" w:cs="Times New Roman"/>
          <w:sz w:val="24"/>
          <w:szCs w:val="24"/>
        </w:rPr>
        <w:t xml:space="preserve">The total expense of providing usage reduction services, including costs of program measures, conservation education expenses and prorated expenses for program administration. </w:t>
      </w:r>
    </w:p>
    <w:p w:rsidR="008D4A15" w:rsidRDefault="008D4A15" w:rsidP="00E83168">
      <w:pPr>
        <w:spacing w:after="0" w:line="240" w:lineRule="auto"/>
      </w:pPr>
      <w:r>
        <w:rPr>
          <w:rFonts w:ascii="Times New Roman" w:eastAsia="Times New Roman" w:hAnsi="Times New Roman" w:cs="Times New Roman"/>
          <w:sz w:val="24"/>
          <w:szCs w:val="24"/>
        </w:rPr>
        <w:t xml:space="preserve">  </w:t>
      </w:r>
      <w:r w:rsidRPr="00975AA5">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sidRPr="00975AA5">
        <w:rPr>
          <w:rFonts w:ascii="Times New Roman" w:eastAsia="Times New Roman" w:hAnsi="Times New Roman" w:cs="Times New Roman"/>
          <w:sz w:val="24"/>
          <w:szCs w:val="24"/>
        </w:rPr>
        <w:t xml:space="preserve">A plan for providing program services within a reasonable period of time, with consideration given to the contractor capacity necessary for provision of services and the impact on utility rates. </w:t>
      </w:r>
    </w:p>
  </w:footnote>
  <w:footnote w:id="54">
    <w:p w:rsidR="008D4A15" w:rsidRPr="002F186F" w:rsidRDefault="008D4A15">
      <w:pPr>
        <w:pStyle w:val="FootnoteText"/>
        <w:rPr>
          <w:sz w:val="24"/>
          <w:szCs w:val="24"/>
        </w:rPr>
      </w:pPr>
      <w:r w:rsidRPr="002F186F">
        <w:rPr>
          <w:rStyle w:val="FootnoteReference"/>
          <w:sz w:val="24"/>
          <w:szCs w:val="24"/>
        </w:rPr>
        <w:footnoteRef/>
      </w:r>
      <w:r w:rsidRPr="002F186F">
        <w:rPr>
          <w:sz w:val="24"/>
          <w:szCs w:val="24"/>
        </w:rPr>
        <w:t xml:space="preserve">  2203(8) provides that the Commission “shall ensure that universal service and energy conservation policies, activities and services are appropriately funded and available in each natural gas distribution service territory. </w:t>
      </w:r>
      <w:r>
        <w:rPr>
          <w:sz w:val="24"/>
          <w:szCs w:val="24"/>
        </w:rPr>
        <w:t xml:space="preserve"> </w:t>
      </w:r>
      <w:r w:rsidRPr="002F186F">
        <w:rPr>
          <w:sz w:val="24"/>
          <w:szCs w:val="24"/>
        </w:rPr>
        <w:t>The commission shall encourage the use of community-based organizations that have the necessary technical and administrative experience to be the direct providers of services or programs which reduce energy consumption or otherwise assist low-income retail gas customers to afford natural gas service.</w:t>
      </w:r>
      <w:r>
        <w:rPr>
          <w:sz w:val="24"/>
          <w:szCs w:val="24"/>
        </w:rPr>
        <w:t xml:space="preserve"> </w:t>
      </w:r>
      <w:r w:rsidRPr="002F186F">
        <w:rPr>
          <w:sz w:val="24"/>
          <w:szCs w:val="24"/>
        </w:rPr>
        <w:t xml:space="preserve"> Programs under this paragraph shall be subject to the administrative oversight of the commission, which shall ensure that the programs are operated in a cost-effective manner</w:t>
      </w:r>
      <w:r>
        <w:rPr>
          <w:sz w:val="24"/>
          <w:szCs w:val="24"/>
        </w:rPr>
        <w:t>.</w:t>
      </w:r>
    </w:p>
  </w:footnote>
  <w:footnote w:id="55">
    <w:p w:rsidR="008D4A15" w:rsidRPr="007016D9" w:rsidRDefault="008D4A15">
      <w:pPr>
        <w:pStyle w:val="FootnoteText"/>
        <w:rPr>
          <w:sz w:val="24"/>
          <w:szCs w:val="24"/>
        </w:rPr>
      </w:pPr>
      <w:r w:rsidRPr="007016D9">
        <w:rPr>
          <w:rStyle w:val="FootnoteReference"/>
          <w:sz w:val="24"/>
          <w:szCs w:val="24"/>
        </w:rPr>
        <w:footnoteRef/>
      </w:r>
      <w:r w:rsidRPr="007016D9">
        <w:rPr>
          <w:sz w:val="24"/>
          <w:szCs w:val="24"/>
        </w:rPr>
        <w:t xml:space="preserve"> </w:t>
      </w:r>
      <w:r>
        <w:rPr>
          <w:sz w:val="24"/>
          <w:szCs w:val="24"/>
        </w:rPr>
        <w:t xml:space="preserve"> </w:t>
      </w:r>
      <w:r w:rsidRPr="007016D9">
        <w:rPr>
          <w:sz w:val="24"/>
          <w:szCs w:val="24"/>
        </w:rPr>
        <w:t xml:space="preserve">We also questioned the administrative costs paid to UESF in PECO’s 2016-2018 USECP proceeding and made a similar recommendation in that proceeding.  See PECO 2016-2018 USECP Final Order, Docket No. M-2015-2507139 (August 11, 2016), at 64-66. </w:t>
      </w:r>
    </w:p>
  </w:footnote>
  <w:footnote w:id="56">
    <w:p w:rsidR="008D4A15" w:rsidRPr="007016D9" w:rsidRDefault="008D4A15" w:rsidP="00395B4C">
      <w:pPr>
        <w:pStyle w:val="FootnoteText"/>
        <w:rPr>
          <w:sz w:val="24"/>
          <w:szCs w:val="24"/>
        </w:rPr>
      </w:pPr>
      <w:r w:rsidRPr="007016D9">
        <w:rPr>
          <w:rStyle w:val="FootnoteReference"/>
          <w:sz w:val="24"/>
          <w:szCs w:val="24"/>
        </w:rPr>
        <w:footnoteRef/>
      </w:r>
      <w:r w:rsidRPr="007016D9">
        <w:rPr>
          <w:sz w:val="24"/>
          <w:szCs w:val="24"/>
        </w:rPr>
        <w:t xml:space="preserve">  A full listing of Neighborhood Energy Centers and UESF intake sites is provided in Appendices C and D of the Amended Proposed 2017-2020 Plan. </w:t>
      </w:r>
    </w:p>
  </w:footnote>
  <w:footnote w:id="57">
    <w:p w:rsidR="008D4A15" w:rsidRPr="00A92F2E" w:rsidRDefault="008D4A15" w:rsidP="000D6CAE">
      <w:pPr>
        <w:pStyle w:val="FootnoteText"/>
        <w:rPr>
          <w:sz w:val="24"/>
          <w:szCs w:val="24"/>
        </w:rPr>
      </w:pPr>
      <w:r w:rsidRPr="00A92F2E">
        <w:rPr>
          <w:rStyle w:val="FootnoteReference"/>
          <w:sz w:val="24"/>
          <w:szCs w:val="24"/>
        </w:rPr>
        <w:footnoteRef/>
      </w:r>
      <w:r w:rsidRPr="00A92F2E">
        <w:rPr>
          <w:sz w:val="24"/>
          <w:szCs w:val="24"/>
        </w:rPr>
        <w:t xml:space="preserve">  </w:t>
      </w:r>
      <w:r>
        <w:rPr>
          <w:sz w:val="24"/>
          <w:szCs w:val="24"/>
        </w:rPr>
        <w:t>T</w:t>
      </w:r>
      <w:r w:rsidRPr="00A92F2E">
        <w:rPr>
          <w:sz w:val="24"/>
          <w:szCs w:val="24"/>
        </w:rPr>
        <w:t xml:space="preserve">he existing 2014-2016 Plan will remain in effect until a </w:t>
      </w:r>
      <w:r>
        <w:rPr>
          <w:sz w:val="24"/>
          <w:szCs w:val="24"/>
        </w:rPr>
        <w:t xml:space="preserve">Revised </w:t>
      </w:r>
      <w:r w:rsidRPr="00A92F2E">
        <w:rPr>
          <w:sz w:val="24"/>
          <w:szCs w:val="24"/>
        </w:rPr>
        <w:t xml:space="preserve">Plan </w:t>
      </w:r>
      <w:r>
        <w:rPr>
          <w:sz w:val="24"/>
          <w:szCs w:val="24"/>
        </w:rPr>
        <w:t xml:space="preserve">filed in compliance with this Order </w:t>
      </w:r>
      <w:r w:rsidRPr="00A92F2E">
        <w:rPr>
          <w:sz w:val="24"/>
          <w:szCs w:val="24"/>
        </w:rPr>
        <w:t>is approved.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76CF92E"/>
    <w:lvl w:ilvl="0">
      <w:numFmt w:val="bullet"/>
      <w:lvlText w:val="*"/>
      <w:lvlJc w:val="left"/>
    </w:lvl>
  </w:abstractNum>
  <w:abstractNum w:abstractNumId="1" w15:restartNumberingAfterBreak="0">
    <w:nsid w:val="00E907CD"/>
    <w:multiLevelType w:val="hybridMultilevel"/>
    <w:tmpl w:val="DFBCC6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7877B5"/>
    <w:multiLevelType w:val="hybridMultilevel"/>
    <w:tmpl w:val="707CC1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0615A1"/>
    <w:multiLevelType w:val="hybridMultilevel"/>
    <w:tmpl w:val="F64A1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723F28"/>
    <w:multiLevelType w:val="hybridMultilevel"/>
    <w:tmpl w:val="3A22A0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402399"/>
    <w:multiLevelType w:val="hybridMultilevel"/>
    <w:tmpl w:val="D766DE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AC3432"/>
    <w:multiLevelType w:val="hybridMultilevel"/>
    <w:tmpl w:val="19400D22"/>
    <w:lvl w:ilvl="0" w:tplc="E9749D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A7D0547"/>
    <w:multiLevelType w:val="hybridMultilevel"/>
    <w:tmpl w:val="C2921032"/>
    <w:lvl w:ilvl="0" w:tplc="266A0F94">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B6F44EF"/>
    <w:multiLevelType w:val="hybridMultilevel"/>
    <w:tmpl w:val="6FA6C0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FE45D6"/>
    <w:multiLevelType w:val="hybridMultilevel"/>
    <w:tmpl w:val="363ACA46"/>
    <w:lvl w:ilvl="0" w:tplc="0409000F">
      <w:start w:val="1"/>
      <w:numFmt w:val="decimal"/>
      <w:lvlText w:val="%1."/>
      <w:lvlJc w:val="left"/>
      <w:pPr>
        <w:ind w:left="990" w:hanging="360"/>
      </w:pPr>
      <w:rPr>
        <w:rFont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15:restartNumberingAfterBreak="0">
    <w:nsid w:val="12574149"/>
    <w:multiLevelType w:val="hybridMultilevel"/>
    <w:tmpl w:val="9D404024"/>
    <w:lvl w:ilvl="0" w:tplc="95EE63DC">
      <w:start w:val="1"/>
      <w:numFmt w:val="bullet"/>
      <w:lvlText w:val=""/>
      <w:lvlJc w:val="left"/>
      <w:pPr>
        <w:tabs>
          <w:tab w:val="num" w:pos="1872"/>
        </w:tabs>
        <w:ind w:left="1872" w:hanging="43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AD45A9"/>
    <w:multiLevelType w:val="hybridMultilevel"/>
    <w:tmpl w:val="C52CBDB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63070A0"/>
    <w:multiLevelType w:val="hybridMultilevel"/>
    <w:tmpl w:val="1586190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B1E76C4"/>
    <w:multiLevelType w:val="hybridMultilevel"/>
    <w:tmpl w:val="0F2448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8F3A0D"/>
    <w:multiLevelType w:val="hybridMultilevel"/>
    <w:tmpl w:val="65BAF3C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1E3A5629"/>
    <w:multiLevelType w:val="hybridMultilevel"/>
    <w:tmpl w:val="7A78DF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3F10C33"/>
    <w:multiLevelType w:val="hybridMultilevel"/>
    <w:tmpl w:val="884E88FA"/>
    <w:lvl w:ilvl="0" w:tplc="A2DC692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26BD4E30"/>
    <w:multiLevelType w:val="hybridMultilevel"/>
    <w:tmpl w:val="94540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B87CAC"/>
    <w:multiLevelType w:val="hybridMultilevel"/>
    <w:tmpl w:val="43E4E6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654B06"/>
    <w:multiLevelType w:val="hybridMultilevel"/>
    <w:tmpl w:val="41667664"/>
    <w:lvl w:ilvl="0" w:tplc="C29A330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1386351"/>
    <w:multiLevelType w:val="hybridMultilevel"/>
    <w:tmpl w:val="DCD2E9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554F19"/>
    <w:multiLevelType w:val="hybridMultilevel"/>
    <w:tmpl w:val="837CB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0E0897"/>
    <w:multiLevelType w:val="hybridMultilevel"/>
    <w:tmpl w:val="D222FCA4"/>
    <w:lvl w:ilvl="0" w:tplc="7DA232F0">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550891"/>
    <w:multiLevelType w:val="hybridMultilevel"/>
    <w:tmpl w:val="C9D81C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9859BA"/>
    <w:multiLevelType w:val="hybridMultilevel"/>
    <w:tmpl w:val="0F6E431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CE315D0"/>
    <w:multiLevelType w:val="hybridMultilevel"/>
    <w:tmpl w:val="285A9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9923AA"/>
    <w:multiLevelType w:val="hybridMultilevel"/>
    <w:tmpl w:val="758A8C82"/>
    <w:lvl w:ilvl="0" w:tplc="D3669602">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333789"/>
    <w:multiLevelType w:val="hybridMultilevel"/>
    <w:tmpl w:val="4D983D04"/>
    <w:lvl w:ilvl="0" w:tplc="266A0F94">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76F294F"/>
    <w:multiLevelType w:val="hybridMultilevel"/>
    <w:tmpl w:val="5CA49598"/>
    <w:lvl w:ilvl="0" w:tplc="266A0F94">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7F96FCF"/>
    <w:multiLevelType w:val="hybridMultilevel"/>
    <w:tmpl w:val="4494486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A9F6A67"/>
    <w:multiLevelType w:val="hybridMultilevel"/>
    <w:tmpl w:val="63A4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B244EF"/>
    <w:multiLevelType w:val="hybridMultilevel"/>
    <w:tmpl w:val="D010B2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E9E3DAF"/>
    <w:multiLevelType w:val="hybridMultilevel"/>
    <w:tmpl w:val="411AEBE6"/>
    <w:lvl w:ilvl="0" w:tplc="95EE63DC">
      <w:start w:val="1"/>
      <w:numFmt w:val="bullet"/>
      <w:lvlText w:val=""/>
      <w:lvlJc w:val="left"/>
      <w:pPr>
        <w:tabs>
          <w:tab w:val="num" w:pos="1872"/>
        </w:tabs>
        <w:ind w:left="1872" w:hanging="43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134772D"/>
    <w:multiLevelType w:val="hybridMultilevel"/>
    <w:tmpl w:val="975874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4BB4972"/>
    <w:multiLevelType w:val="hybridMultilevel"/>
    <w:tmpl w:val="AE441BF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57DA0787"/>
    <w:multiLevelType w:val="hybridMultilevel"/>
    <w:tmpl w:val="124A2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021436"/>
    <w:multiLevelType w:val="hybridMultilevel"/>
    <w:tmpl w:val="01243BD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5BB277D9"/>
    <w:multiLevelType w:val="hybridMultilevel"/>
    <w:tmpl w:val="3224E59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0950641"/>
    <w:multiLevelType w:val="hybridMultilevel"/>
    <w:tmpl w:val="54CA34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1B069B"/>
    <w:multiLevelType w:val="hybridMultilevel"/>
    <w:tmpl w:val="02E69516"/>
    <w:lvl w:ilvl="0" w:tplc="04090015">
      <w:start w:val="1"/>
      <w:numFmt w:val="upperLetter"/>
      <w:lvlText w:val="%1."/>
      <w:lvlJc w:val="left"/>
      <w:pPr>
        <w:ind w:left="81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244CBE"/>
    <w:multiLevelType w:val="hybridMultilevel"/>
    <w:tmpl w:val="D5163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FA192B"/>
    <w:multiLevelType w:val="hybridMultilevel"/>
    <w:tmpl w:val="D222FCA4"/>
    <w:lvl w:ilvl="0" w:tplc="7DA232F0">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F176C7"/>
    <w:multiLevelType w:val="hybridMultilevel"/>
    <w:tmpl w:val="34C287A8"/>
    <w:lvl w:ilvl="0" w:tplc="266A0F94">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EF57EB"/>
    <w:multiLevelType w:val="hybridMultilevel"/>
    <w:tmpl w:val="45E248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1209F7"/>
    <w:multiLevelType w:val="hybridMultilevel"/>
    <w:tmpl w:val="CFF6A0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FFE037E"/>
    <w:multiLevelType w:val="hybridMultilevel"/>
    <w:tmpl w:val="94864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6"/>
  </w:num>
  <w:num w:numId="3">
    <w:abstractNumId w:val="32"/>
  </w:num>
  <w:num w:numId="4">
    <w:abstractNumId w:val="28"/>
  </w:num>
  <w:num w:numId="5">
    <w:abstractNumId w:val="27"/>
  </w:num>
  <w:num w:numId="6">
    <w:abstractNumId w:val="42"/>
  </w:num>
  <w:num w:numId="7">
    <w:abstractNumId w:val="7"/>
  </w:num>
  <w:num w:numId="8">
    <w:abstractNumId w:val="10"/>
  </w:num>
  <w:num w:numId="9">
    <w:abstractNumId w:val="15"/>
  </w:num>
  <w:num w:numId="10">
    <w:abstractNumId w:val="37"/>
  </w:num>
  <w:num w:numId="11">
    <w:abstractNumId w:val="14"/>
  </w:num>
  <w:num w:numId="12">
    <w:abstractNumId w:val="11"/>
  </w:num>
  <w:num w:numId="13">
    <w:abstractNumId w:val="12"/>
  </w:num>
  <w:num w:numId="14">
    <w:abstractNumId w:val="29"/>
  </w:num>
  <w:num w:numId="15">
    <w:abstractNumId w:val="35"/>
  </w:num>
  <w:num w:numId="16">
    <w:abstractNumId w:val="6"/>
  </w:num>
  <w:num w:numId="17">
    <w:abstractNumId w:val="19"/>
  </w:num>
  <w:num w:numId="18">
    <w:abstractNumId w:val="39"/>
  </w:num>
  <w:num w:numId="19">
    <w:abstractNumId w:val="21"/>
  </w:num>
  <w:num w:numId="20">
    <w:abstractNumId w:val="33"/>
  </w:num>
  <w:num w:numId="21">
    <w:abstractNumId w:val="41"/>
  </w:num>
  <w:num w:numId="22">
    <w:abstractNumId w:val="43"/>
  </w:num>
  <w:num w:numId="23">
    <w:abstractNumId w:val="5"/>
  </w:num>
  <w:num w:numId="24">
    <w:abstractNumId w:val="23"/>
  </w:num>
  <w:num w:numId="25">
    <w:abstractNumId w:val="18"/>
  </w:num>
  <w:num w:numId="26">
    <w:abstractNumId w:val="1"/>
  </w:num>
  <w:num w:numId="27">
    <w:abstractNumId w:val="13"/>
  </w:num>
  <w:num w:numId="28">
    <w:abstractNumId w:val="20"/>
  </w:num>
  <w:num w:numId="29">
    <w:abstractNumId w:val="8"/>
  </w:num>
  <w:num w:numId="30">
    <w:abstractNumId w:val="26"/>
  </w:num>
  <w:num w:numId="31">
    <w:abstractNumId w:val="31"/>
  </w:num>
  <w:num w:numId="32">
    <w:abstractNumId w:val="36"/>
  </w:num>
  <w:num w:numId="33">
    <w:abstractNumId w:val="34"/>
  </w:num>
  <w:num w:numId="34">
    <w:abstractNumId w:val="44"/>
  </w:num>
  <w:num w:numId="35">
    <w:abstractNumId w:val="30"/>
  </w:num>
  <w:num w:numId="36">
    <w:abstractNumId w:val="2"/>
  </w:num>
  <w:num w:numId="37">
    <w:abstractNumId w:val="9"/>
  </w:num>
  <w:num w:numId="38">
    <w:abstractNumId w:val="45"/>
  </w:num>
  <w:num w:numId="39">
    <w:abstractNumId w:val="3"/>
  </w:num>
  <w:num w:numId="40">
    <w:abstractNumId w:val="38"/>
  </w:num>
  <w:num w:numId="41">
    <w:abstractNumId w:val="22"/>
  </w:num>
  <w:num w:numId="42">
    <w:abstractNumId w:val="4"/>
  </w:num>
  <w:num w:numId="43">
    <w:abstractNumId w:val="25"/>
  </w:num>
  <w:num w:numId="44">
    <w:abstractNumId w:val="17"/>
  </w:num>
  <w:num w:numId="45">
    <w:abstractNumId w:val="40"/>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F76"/>
    <w:rsid w:val="000001E1"/>
    <w:rsid w:val="00001F5D"/>
    <w:rsid w:val="00005480"/>
    <w:rsid w:val="00011195"/>
    <w:rsid w:val="0001418D"/>
    <w:rsid w:val="00016453"/>
    <w:rsid w:val="00020D75"/>
    <w:rsid w:val="00022CBB"/>
    <w:rsid w:val="00023E26"/>
    <w:rsid w:val="000254D2"/>
    <w:rsid w:val="000347AE"/>
    <w:rsid w:val="000352D5"/>
    <w:rsid w:val="0003536F"/>
    <w:rsid w:val="000359B2"/>
    <w:rsid w:val="0003746E"/>
    <w:rsid w:val="000412B6"/>
    <w:rsid w:val="000413E8"/>
    <w:rsid w:val="00042021"/>
    <w:rsid w:val="0004466C"/>
    <w:rsid w:val="00047362"/>
    <w:rsid w:val="000515F4"/>
    <w:rsid w:val="00052B42"/>
    <w:rsid w:val="000551AF"/>
    <w:rsid w:val="00055D9D"/>
    <w:rsid w:val="00057098"/>
    <w:rsid w:val="000571AE"/>
    <w:rsid w:val="00060B5D"/>
    <w:rsid w:val="00062460"/>
    <w:rsid w:val="000648AA"/>
    <w:rsid w:val="00067D85"/>
    <w:rsid w:val="00071AAC"/>
    <w:rsid w:val="00074130"/>
    <w:rsid w:val="00075138"/>
    <w:rsid w:val="0007567A"/>
    <w:rsid w:val="00076C03"/>
    <w:rsid w:val="000812FE"/>
    <w:rsid w:val="00082F99"/>
    <w:rsid w:val="00083E3E"/>
    <w:rsid w:val="00084468"/>
    <w:rsid w:val="00085732"/>
    <w:rsid w:val="0008663F"/>
    <w:rsid w:val="00090FC2"/>
    <w:rsid w:val="0009116C"/>
    <w:rsid w:val="00091181"/>
    <w:rsid w:val="0009205A"/>
    <w:rsid w:val="00093555"/>
    <w:rsid w:val="000941CA"/>
    <w:rsid w:val="00095F83"/>
    <w:rsid w:val="000964BE"/>
    <w:rsid w:val="000968A0"/>
    <w:rsid w:val="00096A00"/>
    <w:rsid w:val="00096A7E"/>
    <w:rsid w:val="000A05F3"/>
    <w:rsid w:val="000A2A7C"/>
    <w:rsid w:val="000A394B"/>
    <w:rsid w:val="000A4314"/>
    <w:rsid w:val="000A7332"/>
    <w:rsid w:val="000A7D47"/>
    <w:rsid w:val="000B09F5"/>
    <w:rsid w:val="000B17EE"/>
    <w:rsid w:val="000B17F6"/>
    <w:rsid w:val="000B2BAE"/>
    <w:rsid w:val="000B2D27"/>
    <w:rsid w:val="000B4D73"/>
    <w:rsid w:val="000C0B68"/>
    <w:rsid w:val="000C0D9A"/>
    <w:rsid w:val="000C105A"/>
    <w:rsid w:val="000C1922"/>
    <w:rsid w:val="000C4EEA"/>
    <w:rsid w:val="000C6CB3"/>
    <w:rsid w:val="000C76AF"/>
    <w:rsid w:val="000C7FE7"/>
    <w:rsid w:val="000D11C6"/>
    <w:rsid w:val="000D1DA9"/>
    <w:rsid w:val="000D28C7"/>
    <w:rsid w:val="000D4D34"/>
    <w:rsid w:val="000D5825"/>
    <w:rsid w:val="000D67C0"/>
    <w:rsid w:val="000D6CAE"/>
    <w:rsid w:val="000E25C6"/>
    <w:rsid w:val="000E3810"/>
    <w:rsid w:val="000E4D94"/>
    <w:rsid w:val="000E78C7"/>
    <w:rsid w:val="000E7C3C"/>
    <w:rsid w:val="000F1DAE"/>
    <w:rsid w:val="000F54FA"/>
    <w:rsid w:val="000F5E30"/>
    <w:rsid w:val="000F62D8"/>
    <w:rsid w:val="000F6FF7"/>
    <w:rsid w:val="0010017F"/>
    <w:rsid w:val="001040D5"/>
    <w:rsid w:val="00105E07"/>
    <w:rsid w:val="00106147"/>
    <w:rsid w:val="00106E8A"/>
    <w:rsid w:val="00111960"/>
    <w:rsid w:val="001130D8"/>
    <w:rsid w:val="00113210"/>
    <w:rsid w:val="001170AA"/>
    <w:rsid w:val="00117A1B"/>
    <w:rsid w:val="00120823"/>
    <w:rsid w:val="0012092B"/>
    <w:rsid w:val="00121FBF"/>
    <w:rsid w:val="0012304E"/>
    <w:rsid w:val="001231D4"/>
    <w:rsid w:val="00124592"/>
    <w:rsid w:val="00124E49"/>
    <w:rsid w:val="0012607B"/>
    <w:rsid w:val="0012724A"/>
    <w:rsid w:val="001273FD"/>
    <w:rsid w:val="0012788E"/>
    <w:rsid w:val="00127930"/>
    <w:rsid w:val="0013036C"/>
    <w:rsid w:val="00130D43"/>
    <w:rsid w:val="00131B17"/>
    <w:rsid w:val="00132DDF"/>
    <w:rsid w:val="00133577"/>
    <w:rsid w:val="00133889"/>
    <w:rsid w:val="00135688"/>
    <w:rsid w:val="00135FEB"/>
    <w:rsid w:val="00136439"/>
    <w:rsid w:val="00141739"/>
    <w:rsid w:val="00144CF1"/>
    <w:rsid w:val="00147018"/>
    <w:rsid w:val="00150DD0"/>
    <w:rsid w:val="00150E77"/>
    <w:rsid w:val="00150EC2"/>
    <w:rsid w:val="001510DD"/>
    <w:rsid w:val="00151399"/>
    <w:rsid w:val="001520AC"/>
    <w:rsid w:val="001528C8"/>
    <w:rsid w:val="00153A53"/>
    <w:rsid w:val="00156839"/>
    <w:rsid w:val="00157D5E"/>
    <w:rsid w:val="001610D7"/>
    <w:rsid w:val="00161483"/>
    <w:rsid w:val="00161B32"/>
    <w:rsid w:val="00161B7B"/>
    <w:rsid w:val="0016481E"/>
    <w:rsid w:val="001648FE"/>
    <w:rsid w:val="00166584"/>
    <w:rsid w:val="0017268F"/>
    <w:rsid w:val="001741C6"/>
    <w:rsid w:val="0017647C"/>
    <w:rsid w:val="0017685D"/>
    <w:rsid w:val="00176C8F"/>
    <w:rsid w:val="0017726C"/>
    <w:rsid w:val="00180FE8"/>
    <w:rsid w:val="00181335"/>
    <w:rsid w:val="00181BBA"/>
    <w:rsid w:val="0018211F"/>
    <w:rsid w:val="001829AB"/>
    <w:rsid w:val="00183292"/>
    <w:rsid w:val="00183FCA"/>
    <w:rsid w:val="00184114"/>
    <w:rsid w:val="00185AED"/>
    <w:rsid w:val="00186234"/>
    <w:rsid w:val="00186EEC"/>
    <w:rsid w:val="00186FA8"/>
    <w:rsid w:val="00190225"/>
    <w:rsid w:val="001915FA"/>
    <w:rsid w:val="00191A09"/>
    <w:rsid w:val="00192BE2"/>
    <w:rsid w:val="00192CA3"/>
    <w:rsid w:val="001946B6"/>
    <w:rsid w:val="0019542E"/>
    <w:rsid w:val="00195E63"/>
    <w:rsid w:val="00196042"/>
    <w:rsid w:val="001968C0"/>
    <w:rsid w:val="001969C9"/>
    <w:rsid w:val="00197314"/>
    <w:rsid w:val="001975EE"/>
    <w:rsid w:val="001A1AB4"/>
    <w:rsid w:val="001A2BD6"/>
    <w:rsid w:val="001A3CFB"/>
    <w:rsid w:val="001A4DBA"/>
    <w:rsid w:val="001A5474"/>
    <w:rsid w:val="001A556B"/>
    <w:rsid w:val="001A5F9C"/>
    <w:rsid w:val="001A7795"/>
    <w:rsid w:val="001A7C0C"/>
    <w:rsid w:val="001B0205"/>
    <w:rsid w:val="001B1FB3"/>
    <w:rsid w:val="001B2056"/>
    <w:rsid w:val="001B494E"/>
    <w:rsid w:val="001B52FC"/>
    <w:rsid w:val="001B6CE3"/>
    <w:rsid w:val="001B789C"/>
    <w:rsid w:val="001B78A5"/>
    <w:rsid w:val="001B7F52"/>
    <w:rsid w:val="001C0C42"/>
    <w:rsid w:val="001C21F6"/>
    <w:rsid w:val="001C2395"/>
    <w:rsid w:val="001C4E1C"/>
    <w:rsid w:val="001C6084"/>
    <w:rsid w:val="001C626E"/>
    <w:rsid w:val="001C6592"/>
    <w:rsid w:val="001C67DF"/>
    <w:rsid w:val="001C6EF7"/>
    <w:rsid w:val="001C75BE"/>
    <w:rsid w:val="001D0206"/>
    <w:rsid w:val="001D07C2"/>
    <w:rsid w:val="001D0986"/>
    <w:rsid w:val="001D13D7"/>
    <w:rsid w:val="001D13FB"/>
    <w:rsid w:val="001D1EBE"/>
    <w:rsid w:val="001D20A1"/>
    <w:rsid w:val="001D262B"/>
    <w:rsid w:val="001D7B1A"/>
    <w:rsid w:val="001D7BCB"/>
    <w:rsid w:val="001E0103"/>
    <w:rsid w:val="001E14EF"/>
    <w:rsid w:val="001E1A5A"/>
    <w:rsid w:val="001E3F72"/>
    <w:rsid w:val="001E50CB"/>
    <w:rsid w:val="001E5330"/>
    <w:rsid w:val="001E5BBF"/>
    <w:rsid w:val="001E7987"/>
    <w:rsid w:val="001F072F"/>
    <w:rsid w:val="001F2C0E"/>
    <w:rsid w:val="001F3450"/>
    <w:rsid w:val="001F3698"/>
    <w:rsid w:val="001F3BD0"/>
    <w:rsid w:val="001F4259"/>
    <w:rsid w:val="001F6E8C"/>
    <w:rsid w:val="001F73AD"/>
    <w:rsid w:val="0020012B"/>
    <w:rsid w:val="0020117B"/>
    <w:rsid w:val="00203802"/>
    <w:rsid w:val="00203A31"/>
    <w:rsid w:val="00203AAB"/>
    <w:rsid w:val="0020410F"/>
    <w:rsid w:val="002048F4"/>
    <w:rsid w:val="002057D1"/>
    <w:rsid w:val="00206037"/>
    <w:rsid w:val="00207922"/>
    <w:rsid w:val="00210FFA"/>
    <w:rsid w:val="00212623"/>
    <w:rsid w:val="00212CD7"/>
    <w:rsid w:val="00212D98"/>
    <w:rsid w:val="002133D9"/>
    <w:rsid w:val="00213F90"/>
    <w:rsid w:val="00216D9F"/>
    <w:rsid w:val="00220450"/>
    <w:rsid w:val="00221D43"/>
    <w:rsid w:val="0022446B"/>
    <w:rsid w:val="00225829"/>
    <w:rsid w:val="0022604D"/>
    <w:rsid w:val="0022788B"/>
    <w:rsid w:val="00227E82"/>
    <w:rsid w:val="00227F54"/>
    <w:rsid w:val="002303A3"/>
    <w:rsid w:val="00230F1A"/>
    <w:rsid w:val="0023110E"/>
    <w:rsid w:val="00231829"/>
    <w:rsid w:val="00231902"/>
    <w:rsid w:val="0023227B"/>
    <w:rsid w:val="00232782"/>
    <w:rsid w:val="002345E3"/>
    <w:rsid w:val="002364C4"/>
    <w:rsid w:val="002369B0"/>
    <w:rsid w:val="002408ED"/>
    <w:rsid w:val="00245474"/>
    <w:rsid w:val="00245B98"/>
    <w:rsid w:val="002475F7"/>
    <w:rsid w:val="00247623"/>
    <w:rsid w:val="00247CFD"/>
    <w:rsid w:val="0025016F"/>
    <w:rsid w:val="00250F48"/>
    <w:rsid w:val="0025202F"/>
    <w:rsid w:val="00252B38"/>
    <w:rsid w:val="00253084"/>
    <w:rsid w:val="00253F57"/>
    <w:rsid w:val="00254413"/>
    <w:rsid w:val="002544C1"/>
    <w:rsid w:val="00254F78"/>
    <w:rsid w:val="00257824"/>
    <w:rsid w:val="00257DD6"/>
    <w:rsid w:val="002601F6"/>
    <w:rsid w:val="00260BA0"/>
    <w:rsid w:val="00261C70"/>
    <w:rsid w:val="00261D84"/>
    <w:rsid w:val="00262B3A"/>
    <w:rsid w:val="00264368"/>
    <w:rsid w:val="002673DB"/>
    <w:rsid w:val="0026743A"/>
    <w:rsid w:val="00270332"/>
    <w:rsid w:val="00273F1C"/>
    <w:rsid w:val="00275EFF"/>
    <w:rsid w:val="002768B2"/>
    <w:rsid w:val="00277A94"/>
    <w:rsid w:val="00280815"/>
    <w:rsid w:val="002862E6"/>
    <w:rsid w:val="00287C2B"/>
    <w:rsid w:val="0029266D"/>
    <w:rsid w:val="002927B4"/>
    <w:rsid w:val="00292CD7"/>
    <w:rsid w:val="00293892"/>
    <w:rsid w:val="0029565E"/>
    <w:rsid w:val="00296197"/>
    <w:rsid w:val="0029642A"/>
    <w:rsid w:val="002964E6"/>
    <w:rsid w:val="00296978"/>
    <w:rsid w:val="0029786A"/>
    <w:rsid w:val="002A265F"/>
    <w:rsid w:val="002A3F1B"/>
    <w:rsid w:val="002A4D74"/>
    <w:rsid w:val="002A570A"/>
    <w:rsid w:val="002A5747"/>
    <w:rsid w:val="002A5901"/>
    <w:rsid w:val="002A5AEF"/>
    <w:rsid w:val="002B09C4"/>
    <w:rsid w:val="002B18A9"/>
    <w:rsid w:val="002B1B23"/>
    <w:rsid w:val="002B23FA"/>
    <w:rsid w:val="002B583E"/>
    <w:rsid w:val="002C033F"/>
    <w:rsid w:val="002C6C27"/>
    <w:rsid w:val="002C723A"/>
    <w:rsid w:val="002C7D9B"/>
    <w:rsid w:val="002C7FCF"/>
    <w:rsid w:val="002D097B"/>
    <w:rsid w:val="002D1E54"/>
    <w:rsid w:val="002D41F2"/>
    <w:rsid w:val="002D46A6"/>
    <w:rsid w:val="002D5A91"/>
    <w:rsid w:val="002D6B1A"/>
    <w:rsid w:val="002D7FF2"/>
    <w:rsid w:val="002E2762"/>
    <w:rsid w:val="002E385F"/>
    <w:rsid w:val="002E6740"/>
    <w:rsid w:val="002E6F5E"/>
    <w:rsid w:val="002F0C92"/>
    <w:rsid w:val="002F0DF5"/>
    <w:rsid w:val="002F0E89"/>
    <w:rsid w:val="002F186F"/>
    <w:rsid w:val="002F1A87"/>
    <w:rsid w:val="002F2AAF"/>
    <w:rsid w:val="002F357B"/>
    <w:rsid w:val="002F39D0"/>
    <w:rsid w:val="002F3D1A"/>
    <w:rsid w:val="002F4DCD"/>
    <w:rsid w:val="00302036"/>
    <w:rsid w:val="00303A1C"/>
    <w:rsid w:val="00303E82"/>
    <w:rsid w:val="00304A3F"/>
    <w:rsid w:val="00305B68"/>
    <w:rsid w:val="00305FDB"/>
    <w:rsid w:val="003067B1"/>
    <w:rsid w:val="00310C3E"/>
    <w:rsid w:val="003111E4"/>
    <w:rsid w:val="00311B9C"/>
    <w:rsid w:val="0031210C"/>
    <w:rsid w:val="003130E8"/>
    <w:rsid w:val="0031369C"/>
    <w:rsid w:val="003152DD"/>
    <w:rsid w:val="00316DDC"/>
    <w:rsid w:val="00316F82"/>
    <w:rsid w:val="00321B1A"/>
    <w:rsid w:val="00321F7F"/>
    <w:rsid w:val="00322E79"/>
    <w:rsid w:val="003233DF"/>
    <w:rsid w:val="00323B81"/>
    <w:rsid w:val="0032454A"/>
    <w:rsid w:val="00326B9A"/>
    <w:rsid w:val="00330620"/>
    <w:rsid w:val="003309A7"/>
    <w:rsid w:val="0033240C"/>
    <w:rsid w:val="003326CE"/>
    <w:rsid w:val="0033284A"/>
    <w:rsid w:val="0033326F"/>
    <w:rsid w:val="003346C9"/>
    <w:rsid w:val="00335ACE"/>
    <w:rsid w:val="00335DD5"/>
    <w:rsid w:val="003412B5"/>
    <w:rsid w:val="00341ADB"/>
    <w:rsid w:val="00342178"/>
    <w:rsid w:val="00342A79"/>
    <w:rsid w:val="00342CBF"/>
    <w:rsid w:val="00343D8C"/>
    <w:rsid w:val="003447FC"/>
    <w:rsid w:val="00345A63"/>
    <w:rsid w:val="003470D8"/>
    <w:rsid w:val="003472F0"/>
    <w:rsid w:val="003474FD"/>
    <w:rsid w:val="003515A9"/>
    <w:rsid w:val="00353561"/>
    <w:rsid w:val="00354EFC"/>
    <w:rsid w:val="003601EC"/>
    <w:rsid w:val="00361320"/>
    <w:rsid w:val="00361D27"/>
    <w:rsid w:val="00361D40"/>
    <w:rsid w:val="00362854"/>
    <w:rsid w:val="00362A9F"/>
    <w:rsid w:val="00362F67"/>
    <w:rsid w:val="00365AE5"/>
    <w:rsid w:val="0036658F"/>
    <w:rsid w:val="00367395"/>
    <w:rsid w:val="00370F8B"/>
    <w:rsid w:val="00371195"/>
    <w:rsid w:val="00372BB4"/>
    <w:rsid w:val="0037392C"/>
    <w:rsid w:val="003749C0"/>
    <w:rsid w:val="00374E7B"/>
    <w:rsid w:val="0037608C"/>
    <w:rsid w:val="00376EF4"/>
    <w:rsid w:val="003771AA"/>
    <w:rsid w:val="003773B5"/>
    <w:rsid w:val="00380DD0"/>
    <w:rsid w:val="00381753"/>
    <w:rsid w:val="003829A6"/>
    <w:rsid w:val="00385D4D"/>
    <w:rsid w:val="00386FDA"/>
    <w:rsid w:val="00391AB0"/>
    <w:rsid w:val="00393B75"/>
    <w:rsid w:val="00394E9D"/>
    <w:rsid w:val="00395B4C"/>
    <w:rsid w:val="00396769"/>
    <w:rsid w:val="003968DA"/>
    <w:rsid w:val="00396902"/>
    <w:rsid w:val="00397269"/>
    <w:rsid w:val="003976E5"/>
    <w:rsid w:val="003A0D61"/>
    <w:rsid w:val="003A1CFF"/>
    <w:rsid w:val="003A360B"/>
    <w:rsid w:val="003A4BB9"/>
    <w:rsid w:val="003A55AC"/>
    <w:rsid w:val="003A5D1E"/>
    <w:rsid w:val="003A7176"/>
    <w:rsid w:val="003B2318"/>
    <w:rsid w:val="003B238E"/>
    <w:rsid w:val="003B2916"/>
    <w:rsid w:val="003B33D5"/>
    <w:rsid w:val="003B3911"/>
    <w:rsid w:val="003B5C8B"/>
    <w:rsid w:val="003B679E"/>
    <w:rsid w:val="003B7114"/>
    <w:rsid w:val="003C16E8"/>
    <w:rsid w:val="003C393C"/>
    <w:rsid w:val="003C457C"/>
    <w:rsid w:val="003C4DB7"/>
    <w:rsid w:val="003C755F"/>
    <w:rsid w:val="003D1CB3"/>
    <w:rsid w:val="003D2E38"/>
    <w:rsid w:val="003D2F01"/>
    <w:rsid w:val="003D67F0"/>
    <w:rsid w:val="003D72C5"/>
    <w:rsid w:val="003D7914"/>
    <w:rsid w:val="003E0724"/>
    <w:rsid w:val="003E12C5"/>
    <w:rsid w:val="003E27B5"/>
    <w:rsid w:val="003E282D"/>
    <w:rsid w:val="003E2F3F"/>
    <w:rsid w:val="003E54CF"/>
    <w:rsid w:val="003E58E3"/>
    <w:rsid w:val="003E5A73"/>
    <w:rsid w:val="003E6974"/>
    <w:rsid w:val="003E6D29"/>
    <w:rsid w:val="003E7347"/>
    <w:rsid w:val="003F0A36"/>
    <w:rsid w:val="003F2AB0"/>
    <w:rsid w:val="00403260"/>
    <w:rsid w:val="00406C40"/>
    <w:rsid w:val="0041034F"/>
    <w:rsid w:val="00410A3F"/>
    <w:rsid w:val="00410E2C"/>
    <w:rsid w:val="00411EA9"/>
    <w:rsid w:val="00412294"/>
    <w:rsid w:val="00413172"/>
    <w:rsid w:val="00413F4D"/>
    <w:rsid w:val="00417A36"/>
    <w:rsid w:val="00421A50"/>
    <w:rsid w:val="004236C6"/>
    <w:rsid w:val="00424DA6"/>
    <w:rsid w:val="00425604"/>
    <w:rsid w:val="00430A40"/>
    <w:rsid w:val="004322BA"/>
    <w:rsid w:val="00432A85"/>
    <w:rsid w:val="00433339"/>
    <w:rsid w:val="0043467A"/>
    <w:rsid w:val="00434783"/>
    <w:rsid w:val="00435042"/>
    <w:rsid w:val="004358D2"/>
    <w:rsid w:val="00443018"/>
    <w:rsid w:val="00444740"/>
    <w:rsid w:val="004458FF"/>
    <w:rsid w:val="004459D2"/>
    <w:rsid w:val="00446930"/>
    <w:rsid w:val="004469F1"/>
    <w:rsid w:val="004500F5"/>
    <w:rsid w:val="00450598"/>
    <w:rsid w:val="00451495"/>
    <w:rsid w:val="004518C7"/>
    <w:rsid w:val="0045273C"/>
    <w:rsid w:val="004527FB"/>
    <w:rsid w:val="00454007"/>
    <w:rsid w:val="00456C75"/>
    <w:rsid w:val="00456FBA"/>
    <w:rsid w:val="004579CF"/>
    <w:rsid w:val="00461357"/>
    <w:rsid w:val="00461E08"/>
    <w:rsid w:val="00471265"/>
    <w:rsid w:val="00474518"/>
    <w:rsid w:val="00474C8B"/>
    <w:rsid w:val="00474C92"/>
    <w:rsid w:val="0047659E"/>
    <w:rsid w:val="00476877"/>
    <w:rsid w:val="00477A85"/>
    <w:rsid w:val="0048125D"/>
    <w:rsid w:val="004848AA"/>
    <w:rsid w:val="00485E43"/>
    <w:rsid w:val="0048642A"/>
    <w:rsid w:val="0048731E"/>
    <w:rsid w:val="00487B90"/>
    <w:rsid w:val="004915FE"/>
    <w:rsid w:val="00491F0D"/>
    <w:rsid w:val="004927C0"/>
    <w:rsid w:val="00494C21"/>
    <w:rsid w:val="0049570D"/>
    <w:rsid w:val="00495BE2"/>
    <w:rsid w:val="00496577"/>
    <w:rsid w:val="004975E7"/>
    <w:rsid w:val="00497A1F"/>
    <w:rsid w:val="004A061F"/>
    <w:rsid w:val="004A0D09"/>
    <w:rsid w:val="004A127E"/>
    <w:rsid w:val="004A3C6A"/>
    <w:rsid w:val="004A4BA0"/>
    <w:rsid w:val="004A574C"/>
    <w:rsid w:val="004A5A38"/>
    <w:rsid w:val="004B028F"/>
    <w:rsid w:val="004B212E"/>
    <w:rsid w:val="004B783F"/>
    <w:rsid w:val="004C15EB"/>
    <w:rsid w:val="004C1797"/>
    <w:rsid w:val="004C214B"/>
    <w:rsid w:val="004C46BE"/>
    <w:rsid w:val="004C4D4D"/>
    <w:rsid w:val="004C5857"/>
    <w:rsid w:val="004C58DD"/>
    <w:rsid w:val="004C6348"/>
    <w:rsid w:val="004C685B"/>
    <w:rsid w:val="004C6CEB"/>
    <w:rsid w:val="004C78D2"/>
    <w:rsid w:val="004C7B9F"/>
    <w:rsid w:val="004D0884"/>
    <w:rsid w:val="004D0973"/>
    <w:rsid w:val="004D0D2E"/>
    <w:rsid w:val="004D146A"/>
    <w:rsid w:val="004D2D21"/>
    <w:rsid w:val="004D4A3C"/>
    <w:rsid w:val="004D5A4D"/>
    <w:rsid w:val="004D5ED1"/>
    <w:rsid w:val="004D6486"/>
    <w:rsid w:val="004E006C"/>
    <w:rsid w:val="004E03B1"/>
    <w:rsid w:val="004E0B2E"/>
    <w:rsid w:val="004E296F"/>
    <w:rsid w:val="004F0505"/>
    <w:rsid w:val="004F08D4"/>
    <w:rsid w:val="004F43A8"/>
    <w:rsid w:val="004F4D32"/>
    <w:rsid w:val="004F5DF9"/>
    <w:rsid w:val="00502557"/>
    <w:rsid w:val="00503777"/>
    <w:rsid w:val="005059CF"/>
    <w:rsid w:val="00505AC2"/>
    <w:rsid w:val="005067D7"/>
    <w:rsid w:val="00506DDA"/>
    <w:rsid w:val="0050736C"/>
    <w:rsid w:val="00511495"/>
    <w:rsid w:val="00512328"/>
    <w:rsid w:val="005148EB"/>
    <w:rsid w:val="0051526F"/>
    <w:rsid w:val="0051619C"/>
    <w:rsid w:val="00517671"/>
    <w:rsid w:val="005176E3"/>
    <w:rsid w:val="00520250"/>
    <w:rsid w:val="00520D9A"/>
    <w:rsid w:val="00520E1A"/>
    <w:rsid w:val="00524966"/>
    <w:rsid w:val="005258B4"/>
    <w:rsid w:val="0052639D"/>
    <w:rsid w:val="005275F5"/>
    <w:rsid w:val="00527844"/>
    <w:rsid w:val="005322D2"/>
    <w:rsid w:val="00533041"/>
    <w:rsid w:val="00534845"/>
    <w:rsid w:val="00536140"/>
    <w:rsid w:val="005362D8"/>
    <w:rsid w:val="00540309"/>
    <w:rsid w:val="005449CC"/>
    <w:rsid w:val="00544D94"/>
    <w:rsid w:val="00544FA6"/>
    <w:rsid w:val="00545B09"/>
    <w:rsid w:val="005464D2"/>
    <w:rsid w:val="005472C1"/>
    <w:rsid w:val="00551352"/>
    <w:rsid w:val="00556BD9"/>
    <w:rsid w:val="00557CB3"/>
    <w:rsid w:val="00560410"/>
    <w:rsid w:val="00561AE1"/>
    <w:rsid w:val="00562C93"/>
    <w:rsid w:val="00563453"/>
    <w:rsid w:val="005704E3"/>
    <w:rsid w:val="00571B75"/>
    <w:rsid w:val="00571D45"/>
    <w:rsid w:val="00573902"/>
    <w:rsid w:val="0057428B"/>
    <w:rsid w:val="00574936"/>
    <w:rsid w:val="00576C15"/>
    <w:rsid w:val="00580484"/>
    <w:rsid w:val="00580BFF"/>
    <w:rsid w:val="00582404"/>
    <w:rsid w:val="00583560"/>
    <w:rsid w:val="005867EF"/>
    <w:rsid w:val="00592158"/>
    <w:rsid w:val="00592B6E"/>
    <w:rsid w:val="00592E00"/>
    <w:rsid w:val="00596E50"/>
    <w:rsid w:val="005A0792"/>
    <w:rsid w:val="005A1749"/>
    <w:rsid w:val="005A17E7"/>
    <w:rsid w:val="005A581F"/>
    <w:rsid w:val="005A58D8"/>
    <w:rsid w:val="005A6C7A"/>
    <w:rsid w:val="005B032D"/>
    <w:rsid w:val="005B0B1E"/>
    <w:rsid w:val="005B0B72"/>
    <w:rsid w:val="005B11B7"/>
    <w:rsid w:val="005B1AEB"/>
    <w:rsid w:val="005B24F2"/>
    <w:rsid w:val="005B26BA"/>
    <w:rsid w:val="005B3BA8"/>
    <w:rsid w:val="005B64E5"/>
    <w:rsid w:val="005B6D99"/>
    <w:rsid w:val="005B726C"/>
    <w:rsid w:val="005B7D8D"/>
    <w:rsid w:val="005B7F67"/>
    <w:rsid w:val="005C00B6"/>
    <w:rsid w:val="005C3B4C"/>
    <w:rsid w:val="005C3FC8"/>
    <w:rsid w:val="005C4B56"/>
    <w:rsid w:val="005C6264"/>
    <w:rsid w:val="005C7304"/>
    <w:rsid w:val="005C7E1A"/>
    <w:rsid w:val="005D1A3C"/>
    <w:rsid w:val="005D311A"/>
    <w:rsid w:val="005D33ED"/>
    <w:rsid w:val="005D3EED"/>
    <w:rsid w:val="005D6C54"/>
    <w:rsid w:val="005E1E54"/>
    <w:rsid w:val="005E3ADC"/>
    <w:rsid w:val="005E66E8"/>
    <w:rsid w:val="005F3703"/>
    <w:rsid w:val="005F3E71"/>
    <w:rsid w:val="005F4208"/>
    <w:rsid w:val="005F46D4"/>
    <w:rsid w:val="005F48B5"/>
    <w:rsid w:val="005F5F3E"/>
    <w:rsid w:val="00601F1F"/>
    <w:rsid w:val="00605522"/>
    <w:rsid w:val="006067A7"/>
    <w:rsid w:val="00611128"/>
    <w:rsid w:val="00611560"/>
    <w:rsid w:val="00611937"/>
    <w:rsid w:val="006127CD"/>
    <w:rsid w:val="00612E14"/>
    <w:rsid w:val="00613F16"/>
    <w:rsid w:val="00617327"/>
    <w:rsid w:val="00617DC9"/>
    <w:rsid w:val="00617E5A"/>
    <w:rsid w:val="00620A4F"/>
    <w:rsid w:val="00622506"/>
    <w:rsid w:val="00624FE3"/>
    <w:rsid w:val="00630223"/>
    <w:rsid w:val="00630674"/>
    <w:rsid w:val="00630CA6"/>
    <w:rsid w:val="00631101"/>
    <w:rsid w:val="00631212"/>
    <w:rsid w:val="00632056"/>
    <w:rsid w:val="00633407"/>
    <w:rsid w:val="00634EB9"/>
    <w:rsid w:val="00635A42"/>
    <w:rsid w:val="00642148"/>
    <w:rsid w:val="00642219"/>
    <w:rsid w:val="00642FE3"/>
    <w:rsid w:val="00643209"/>
    <w:rsid w:val="0064386F"/>
    <w:rsid w:val="0064403A"/>
    <w:rsid w:val="006451C1"/>
    <w:rsid w:val="00646703"/>
    <w:rsid w:val="00646FB5"/>
    <w:rsid w:val="0064759C"/>
    <w:rsid w:val="00650B90"/>
    <w:rsid w:val="00651368"/>
    <w:rsid w:val="00651401"/>
    <w:rsid w:val="00651CBB"/>
    <w:rsid w:val="006522FD"/>
    <w:rsid w:val="00654B3A"/>
    <w:rsid w:val="006561CF"/>
    <w:rsid w:val="006570F9"/>
    <w:rsid w:val="00660462"/>
    <w:rsid w:val="00660770"/>
    <w:rsid w:val="006612CA"/>
    <w:rsid w:val="0066145F"/>
    <w:rsid w:val="00661CFC"/>
    <w:rsid w:val="00662A6C"/>
    <w:rsid w:val="00664D60"/>
    <w:rsid w:val="00664E58"/>
    <w:rsid w:val="006656B5"/>
    <w:rsid w:val="00665A54"/>
    <w:rsid w:val="006666EB"/>
    <w:rsid w:val="00666946"/>
    <w:rsid w:val="00666ABB"/>
    <w:rsid w:val="00667E93"/>
    <w:rsid w:val="00670B70"/>
    <w:rsid w:val="0067139C"/>
    <w:rsid w:val="00672D54"/>
    <w:rsid w:val="00672DC4"/>
    <w:rsid w:val="00675350"/>
    <w:rsid w:val="00677629"/>
    <w:rsid w:val="00680B92"/>
    <w:rsid w:val="00680CB5"/>
    <w:rsid w:val="00681520"/>
    <w:rsid w:val="00681A7F"/>
    <w:rsid w:val="00682D60"/>
    <w:rsid w:val="00683C8E"/>
    <w:rsid w:val="00686C68"/>
    <w:rsid w:val="00687981"/>
    <w:rsid w:val="00687DEA"/>
    <w:rsid w:val="0069054A"/>
    <w:rsid w:val="00690589"/>
    <w:rsid w:val="00691969"/>
    <w:rsid w:val="00692BC5"/>
    <w:rsid w:val="00693298"/>
    <w:rsid w:val="00693347"/>
    <w:rsid w:val="0069349A"/>
    <w:rsid w:val="00695D60"/>
    <w:rsid w:val="00696602"/>
    <w:rsid w:val="00696763"/>
    <w:rsid w:val="0069683C"/>
    <w:rsid w:val="00697532"/>
    <w:rsid w:val="006A1C55"/>
    <w:rsid w:val="006A6710"/>
    <w:rsid w:val="006B060F"/>
    <w:rsid w:val="006B1FC0"/>
    <w:rsid w:val="006B22BA"/>
    <w:rsid w:val="006B3BCB"/>
    <w:rsid w:val="006B3E6D"/>
    <w:rsid w:val="006B4EDB"/>
    <w:rsid w:val="006B5747"/>
    <w:rsid w:val="006B6334"/>
    <w:rsid w:val="006C2764"/>
    <w:rsid w:val="006C37AA"/>
    <w:rsid w:val="006C38AB"/>
    <w:rsid w:val="006C48C1"/>
    <w:rsid w:val="006C526C"/>
    <w:rsid w:val="006C6A7C"/>
    <w:rsid w:val="006D0559"/>
    <w:rsid w:val="006D137D"/>
    <w:rsid w:val="006D1438"/>
    <w:rsid w:val="006D1583"/>
    <w:rsid w:val="006D2A08"/>
    <w:rsid w:val="006D37DE"/>
    <w:rsid w:val="006D4336"/>
    <w:rsid w:val="006D5196"/>
    <w:rsid w:val="006D7173"/>
    <w:rsid w:val="006D7DFD"/>
    <w:rsid w:val="006E001E"/>
    <w:rsid w:val="006E310B"/>
    <w:rsid w:val="006E7253"/>
    <w:rsid w:val="006E7744"/>
    <w:rsid w:val="006F286D"/>
    <w:rsid w:val="006F2B98"/>
    <w:rsid w:val="006F2BB1"/>
    <w:rsid w:val="006F5241"/>
    <w:rsid w:val="006F61A8"/>
    <w:rsid w:val="006F6288"/>
    <w:rsid w:val="006F64B3"/>
    <w:rsid w:val="006F64C7"/>
    <w:rsid w:val="006F7DF9"/>
    <w:rsid w:val="006F7E08"/>
    <w:rsid w:val="00700851"/>
    <w:rsid w:val="00700E2C"/>
    <w:rsid w:val="007016D9"/>
    <w:rsid w:val="00701C3D"/>
    <w:rsid w:val="00702738"/>
    <w:rsid w:val="00706DAC"/>
    <w:rsid w:val="00710743"/>
    <w:rsid w:val="007107AB"/>
    <w:rsid w:val="007140A1"/>
    <w:rsid w:val="00714B70"/>
    <w:rsid w:val="00714B75"/>
    <w:rsid w:val="00716161"/>
    <w:rsid w:val="00717646"/>
    <w:rsid w:val="007213BE"/>
    <w:rsid w:val="00721771"/>
    <w:rsid w:val="00722244"/>
    <w:rsid w:val="00725980"/>
    <w:rsid w:val="0072616A"/>
    <w:rsid w:val="00726C63"/>
    <w:rsid w:val="0072741A"/>
    <w:rsid w:val="007277AD"/>
    <w:rsid w:val="007306BC"/>
    <w:rsid w:val="007329B0"/>
    <w:rsid w:val="00737D49"/>
    <w:rsid w:val="00737E80"/>
    <w:rsid w:val="007411EA"/>
    <w:rsid w:val="00741E6C"/>
    <w:rsid w:val="00743C39"/>
    <w:rsid w:val="007448E3"/>
    <w:rsid w:val="00745512"/>
    <w:rsid w:val="0074716D"/>
    <w:rsid w:val="0074756D"/>
    <w:rsid w:val="00747CF3"/>
    <w:rsid w:val="00747F39"/>
    <w:rsid w:val="00750ECD"/>
    <w:rsid w:val="00751637"/>
    <w:rsid w:val="00751EB6"/>
    <w:rsid w:val="00753F3D"/>
    <w:rsid w:val="0075633C"/>
    <w:rsid w:val="00757042"/>
    <w:rsid w:val="00757D44"/>
    <w:rsid w:val="00757F7A"/>
    <w:rsid w:val="00761F39"/>
    <w:rsid w:val="0076243A"/>
    <w:rsid w:val="00763F0E"/>
    <w:rsid w:val="00764359"/>
    <w:rsid w:val="0076598B"/>
    <w:rsid w:val="007673CC"/>
    <w:rsid w:val="007673EE"/>
    <w:rsid w:val="00771FC8"/>
    <w:rsid w:val="00773268"/>
    <w:rsid w:val="00773522"/>
    <w:rsid w:val="00773714"/>
    <w:rsid w:val="00773742"/>
    <w:rsid w:val="0077468D"/>
    <w:rsid w:val="00774EC0"/>
    <w:rsid w:val="0077561A"/>
    <w:rsid w:val="00775CEE"/>
    <w:rsid w:val="007774A3"/>
    <w:rsid w:val="007774B5"/>
    <w:rsid w:val="007778BA"/>
    <w:rsid w:val="00777BE4"/>
    <w:rsid w:val="007804AB"/>
    <w:rsid w:val="0078221D"/>
    <w:rsid w:val="00782846"/>
    <w:rsid w:val="0078474B"/>
    <w:rsid w:val="00784BA7"/>
    <w:rsid w:val="007862F0"/>
    <w:rsid w:val="0078700B"/>
    <w:rsid w:val="00787A2F"/>
    <w:rsid w:val="00787CA9"/>
    <w:rsid w:val="007907DA"/>
    <w:rsid w:val="0079182B"/>
    <w:rsid w:val="00792D68"/>
    <w:rsid w:val="007944A5"/>
    <w:rsid w:val="007954F2"/>
    <w:rsid w:val="00795B4E"/>
    <w:rsid w:val="00796818"/>
    <w:rsid w:val="00796D19"/>
    <w:rsid w:val="00796EBD"/>
    <w:rsid w:val="007A3584"/>
    <w:rsid w:val="007A36D1"/>
    <w:rsid w:val="007A3B9D"/>
    <w:rsid w:val="007A55C8"/>
    <w:rsid w:val="007B085A"/>
    <w:rsid w:val="007B0F4D"/>
    <w:rsid w:val="007B246B"/>
    <w:rsid w:val="007B45E4"/>
    <w:rsid w:val="007B6208"/>
    <w:rsid w:val="007C021C"/>
    <w:rsid w:val="007C1608"/>
    <w:rsid w:val="007C389E"/>
    <w:rsid w:val="007C7436"/>
    <w:rsid w:val="007D0046"/>
    <w:rsid w:val="007D366B"/>
    <w:rsid w:val="007D4A16"/>
    <w:rsid w:val="007D6752"/>
    <w:rsid w:val="007D7901"/>
    <w:rsid w:val="007E5045"/>
    <w:rsid w:val="007E5224"/>
    <w:rsid w:val="007E5689"/>
    <w:rsid w:val="007E5846"/>
    <w:rsid w:val="007E5EC3"/>
    <w:rsid w:val="007E6229"/>
    <w:rsid w:val="007E6793"/>
    <w:rsid w:val="007E69F0"/>
    <w:rsid w:val="007E7C1E"/>
    <w:rsid w:val="007F0478"/>
    <w:rsid w:val="007F23C0"/>
    <w:rsid w:val="007F2CBD"/>
    <w:rsid w:val="007F3824"/>
    <w:rsid w:val="00800700"/>
    <w:rsid w:val="008007A4"/>
    <w:rsid w:val="008028C9"/>
    <w:rsid w:val="00803843"/>
    <w:rsid w:val="00805341"/>
    <w:rsid w:val="00806632"/>
    <w:rsid w:val="008130B8"/>
    <w:rsid w:val="008130FC"/>
    <w:rsid w:val="00816679"/>
    <w:rsid w:val="00817564"/>
    <w:rsid w:val="008200E6"/>
    <w:rsid w:val="0082039B"/>
    <w:rsid w:val="008213E9"/>
    <w:rsid w:val="00821A26"/>
    <w:rsid w:val="00822DF4"/>
    <w:rsid w:val="0082385C"/>
    <w:rsid w:val="00824D2E"/>
    <w:rsid w:val="008255BB"/>
    <w:rsid w:val="008256A7"/>
    <w:rsid w:val="00826C72"/>
    <w:rsid w:val="00826D06"/>
    <w:rsid w:val="0083001D"/>
    <w:rsid w:val="00831032"/>
    <w:rsid w:val="0083129C"/>
    <w:rsid w:val="008314A8"/>
    <w:rsid w:val="00831DB5"/>
    <w:rsid w:val="0083364D"/>
    <w:rsid w:val="00835166"/>
    <w:rsid w:val="0083558F"/>
    <w:rsid w:val="00835B4E"/>
    <w:rsid w:val="00840785"/>
    <w:rsid w:val="0084090E"/>
    <w:rsid w:val="008419FC"/>
    <w:rsid w:val="008429B5"/>
    <w:rsid w:val="008430DB"/>
    <w:rsid w:val="0084375F"/>
    <w:rsid w:val="00844033"/>
    <w:rsid w:val="008463A2"/>
    <w:rsid w:val="00846D3D"/>
    <w:rsid w:val="00846D9A"/>
    <w:rsid w:val="00850144"/>
    <w:rsid w:val="008519C8"/>
    <w:rsid w:val="00851B6E"/>
    <w:rsid w:val="00852C44"/>
    <w:rsid w:val="00852CA9"/>
    <w:rsid w:val="00852D8D"/>
    <w:rsid w:val="00855AC3"/>
    <w:rsid w:val="00860F3F"/>
    <w:rsid w:val="00861A51"/>
    <w:rsid w:val="00862527"/>
    <w:rsid w:val="00862BAA"/>
    <w:rsid w:val="00863B6F"/>
    <w:rsid w:val="00863CBF"/>
    <w:rsid w:val="0086464B"/>
    <w:rsid w:val="00865B7C"/>
    <w:rsid w:val="00870CEA"/>
    <w:rsid w:val="00873161"/>
    <w:rsid w:val="00873468"/>
    <w:rsid w:val="00876F09"/>
    <w:rsid w:val="00880F4E"/>
    <w:rsid w:val="008812B4"/>
    <w:rsid w:val="00881C18"/>
    <w:rsid w:val="00882077"/>
    <w:rsid w:val="00882ED4"/>
    <w:rsid w:val="008851D2"/>
    <w:rsid w:val="00885AFA"/>
    <w:rsid w:val="00887509"/>
    <w:rsid w:val="00890350"/>
    <w:rsid w:val="00891E2C"/>
    <w:rsid w:val="008921A5"/>
    <w:rsid w:val="00892A1C"/>
    <w:rsid w:val="0089316B"/>
    <w:rsid w:val="00894D79"/>
    <w:rsid w:val="00895282"/>
    <w:rsid w:val="0089782F"/>
    <w:rsid w:val="008A16F5"/>
    <w:rsid w:val="008A4BFA"/>
    <w:rsid w:val="008A56C1"/>
    <w:rsid w:val="008B0692"/>
    <w:rsid w:val="008B1309"/>
    <w:rsid w:val="008B31FC"/>
    <w:rsid w:val="008B320A"/>
    <w:rsid w:val="008B34AB"/>
    <w:rsid w:val="008B7AA3"/>
    <w:rsid w:val="008C0367"/>
    <w:rsid w:val="008C1C79"/>
    <w:rsid w:val="008C2592"/>
    <w:rsid w:val="008C591B"/>
    <w:rsid w:val="008C603D"/>
    <w:rsid w:val="008D15E0"/>
    <w:rsid w:val="008D3BFA"/>
    <w:rsid w:val="008D4A15"/>
    <w:rsid w:val="008D553D"/>
    <w:rsid w:val="008D5A3C"/>
    <w:rsid w:val="008D6838"/>
    <w:rsid w:val="008D7BED"/>
    <w:rsid w:val="008E03B5"/>
    <w:rsid w:val="008E1203"/>
    <w:rsid w:val="008E4929"/>
    <w:rsid w:val="008E5440"/>
    <w:rsid w:val="008E7AE9"/>
    <w:rsid w:val="008F00B9"/>
    <w:rsid w:val="008F2644"/>
    <w:rsid w:val="008F2B63"/>
    <w:rsid w:val="008F3EC9"/>
    <w:rsid w:val="008F47DB"/>
    <w:rsid w:val="008F6357"/>
    <w:rsid w:val="008F6C45"/>
    <w:rsid w:val="008F760E"/>
    <w:rsid w:val="008F7847"/>
    <w:rsid w:val="009014CA"/>
    <w:rsid w:val="00903C47"/>
    <w:rsid w:val="00903DE2"/>
    <w:rsid w:val="00904110"/>
    <w:rsid w:val="00904DDB"/>
    <w:rsid w:val="00907E09"/>
    <w:rsid w:val="00911684"/>
    <w:rsid w:val="00911999"/>
    <w:rsid w:val="00912705"/>
    <w:rsid w:val="0091350D"/>
    <w:rsid w:val="0091375C"/>
    <w:rsid w:val="00914489"/>
    <w:rsid w:val="009148AC"/>
    <w:rsid w:val="00915259"/>
    <w:rsid w:val="0091533E"/>
    <w:rsid w:val="0091618E"/>
    <w:rsid w:val="00916B2A"/>
    <w:rsid w:val="0091722B"/>
    <w:rsid w:val="00917431"/>
    <w:rsid w:val="00917CE2"/>
    <w:rsid w:val="009249CA"/>
    <w:rsid w:val="00924B6F"/>
    <w:rsid w:val="00924E8E"/>
    <w:rsid w:val="009268F1"/>
    <w:rsid w:val="009269BE"/>
    <w:rsid w:val="00927162"/>
    <w:rsid w:val="00930604"/>
    <w:rsid w:val="009311C9"/>
    <w:rsid w:val="00931762"/>
    <w:rsid w:val="00931D0C"/>
    <w:rsid w:val="00932F04"/>
    <w:rsid w:val="00934E42"/>
    <w:rsid w:val="00935E77"/>
    <w:rsid w:val="00937751"/>
    <w:rsid w:val="00942B01"/>
    <w:rsid w:val="00947E7D"/>
    <w:rsid w:val="009506FF"/>
    <w:rsid w:val="0095072E"/>
    <w:rsid w:val="00950830"/>
    <w:rsid w:val="00950DF5"/>
    <w:rsid w:val="009519AE"/>
    <w:rsid w:val="009542FF"/>
    <w:rsid w:val="009551CF"/>
    <w:rsid w:val="009553DD"/>
    <w:rsid w:val="009554DC"/>
    <w:rsid w:val="009565B2"/>
    <w:rsid w:val="00957345"/>
    <w:rsid w:val="00961AF0"/>
    <w:rsid w:val="009627B9"/>
    <w:rsid w:val="00964FE3"/>
    <w:rsid w:val="00967DD3"/>
    <w:rsid w:val="00967EEC"/>
    <w:rsid w:val="00970AEC"/>
    <w:rsid w:val="0097123D"/>
    <w:rsid w:val="00974BD0"/>
    <w:rsid w:val="00975AA5"/>
    <w:rsid w:val="009772CB"/>
    <w:rsid w:val="00982546"/>
    <w:rsid w:val="009833A3"/>
    <w:rsid w:val="0098353C"/>
    <w:rsid w:val="0098388C"/>
    <w:rsid w:val="00984A92"/>
    <w:rsid w:val="009856C7"/>
    <w:rsid w:val="00986D42"/>
    <w:rsid w:val="0098702C"/>
    <w:rsid w:val="009910E7"/>
    <w:rsid w:val="00991338"/>
    <w:rsid w:val="00991A63"/>
    <w:rsid w:val="00993F4B"/>
    <w:rsid w:val="009941EC"/>
    <w:rsid w:val="00995076"/>
    <w:rsid w:val="009955C5"/>
    <w:rsid w:val="0099686F"/>
    <w:rsid w:val="009A0DE3"/>
    <w:rsid w:val="009A0E07"/>
    <w:rsid w:val="009A1777"/>
    <w:rsid w:val="009A21BD"/>
    <w:rsid w:val="009A23ED"/>
    <w:rsid w:val="009A2CC3"/>
    <w:rsid w:val="009A32FA"/>
    <w:rsid w:val="009A4383"/>
    <w:rsid w:val="009A44C3"/>
    <w:rsid w:val="009A4E1F"/>
    <w:rsid w:val="009A4F02"/>
    <w:rsid w:val="009B0F2C"/>
    <w:rsid w:val="009B1775"/>
    <w:rsid w:val="009B2BBB"/>
    <w:rsid w:val="009B2DCA"/>
    <w:rsid w:val="009B5772"/>
    <w:rsid w:val="009C097E"/>
    <w:rsid w:val="009C1ACE"/>
    <w:rsid w:val="009C28EA"/>
    <w:rsid w:val="009C375F"/>
    <w:rsid w:val="009C5E3A"/>
    <w:rsid w:val="009C5F29"/>
    <w:rsid w:val="009C7426"/>
    <w:rsid w:val="009D1BC6"/>
    <w:rsid w:val="009D586F"/>
    <w:rsid w:val="009D5D8F"/>
    <w:rsid w:val="009D6126"/>
    <w:rsid w:val="009D77BC"/>
    <w:rsid w:val="009E01B8"/>
    <w:rsid w:val="009E1F5D"/>
    <w:rsid w:val="009E2CB4"/>
    <w:rsid w:val="009E65FA"/>
    <w:rsid w:val="009E749E"/>
    <w:rsid w:val="009E7F4D"/>
    <w:rsid w:val="009F0DAD"/>
    <w:rsid w:val="009F13AE"/>
    <w:rsid w:val="009F17B0"/>
    <w:rsid w:val="009F1AFA"/>
    <w:rsid w:val="009F2009"/>
    <w:rsid w:val="009F2397"/>
    <w:rsid w:val="009F4573"/>
    <w:rsid w:val="009F48B1"/>
    <w:rsid w:val="009F5616"/>
    <w:rsid w:val="00A01190"/>
    <w:rsid w:val="00A01C10"/>
    <w:rsid w:val="00A02215"/>
    <w:rsid w:val="00A02464"/>
    <w:rsid w:val="00A02C32"/>
    <w:rsid w:val="00A03053"/>
    <w:rsid w:val="00A031EE"/>
    <w:rsid w:val="00A03A09"/>
    <w:rsid w:val="00A06905"/>
    <w:rsid w:val="00A13FDD"/>
    <w:rsid w:val="00A15220"/>
    <w:rsid w:val="00A1551A"/>
    <w:rsid w:val="00A2276E"/>
    <w:rsid w:val="00A22F59"/>
    <w:rsid w:val="00A22FFB"/>
    <w:rsid w:val="00A233CF"/>
    <w:rsid w:val="00A24156"/>
    <w:rsid w:val="00A2544D"/>
    <w:rsid w:val="00A25839"/>
    <w:rsid w:val="00A25CFC"/>
    <w:rsid w:val="00A2628D"/>
    <w:rsid w:val="00A266BB"/>
    <w:rsid w:val="00A273A5"/>
    <w:rsid w:val="00A276FC"/>
    <w:rsid w:val="00A3185A"/>
    <w:rsid w:val="00A31E87"/>
    <w:rsid w:val="00A32ED0"/>
    <w:rsid w:val="00A33DF5"/>
    <w:rsid w:val="00A35393"/>
    <w:rsid w:val="00A3687F"/>
    <w:rsid w:val="00A41008"/>
    <w:rsid w:val="00A4206F"/>
    <w:rsid w:val="00A424A1"/>
    <w:rsid w:val="00A43449"/>
    <w:rsid w:val="00A4527D"/>
    <w:rsid w:val="00A476A9"/>
    <w:rsid w:val="00A51625"/>
    <w:rsid w:val="00A549E6"/>
    <w:rsid w:val="00A54C01"/>
    <w:rsid w:val="00A57D68"/>
    <w:rsid w:val="00A605E3"/>
    <w:rsid w:val="00A60E2D"/>
    <w:rsid w:val="00A6147B"/>
    <w:rsid w:val="00A62857"/>
    <w:rsid w:val="00A646CE"/>
    <w:rsid w:val="00A669EE"/>
    <w:rsid w:val="00A71184"/>
    <w:rsid w:val="00A71539"/>
    <w:rsid w:val="00A7198D"/>
    <w:rsid w:val="00A72E01"/>
    <w:rsid w:val="00A73205"/>
    <w:rsid w:val="00A73FF6"/>
    <w:rsid w:val="00A82FD7"/>
    <w:rsid w:val="00A8510E"/>
    <w:rsid w:val="00A85D1B"/>
    <w:rsid w:val="00A85E42"/>
    <w:rsid w:val="00A8672C"/>
    <w:rsid w:val="00A902F0"/>
    <w:rsid w:val="00A90DA6"/>
    <w:rsid w:val="00A9153B"/>
    <w:rsid w:val="00A91982"/>
    <w:rsid w:val="00A91C04"/>
    <w:rsid w:val="00A9249E"/>
    <w:rsid w:val="00A947AA"/>
    <w:rsid w:val="00A95A24"/>
    <w:rsid w:val="00A96EEE"/>
    <w:rsid w:val="00A9778A"/>
    <w:rsid w:val="00A979B4"/>
    <w:rsid w:val="00A97F73"/>
    <w:rsid w:val="00AA0D64"/>
    <w:rsid w:val="00AA1370"/>
    <w:rsid w:val="00AA1665"/>
    <w:rsid w:val="00AA169D"/>
    <w:rsid w:val="00AA191C"/>
    <w:rsid w:val="00AA1DE7"/>
    <w:rsid w:val="00AA201B"/>
    <w:rsid w:val="00AA25A3"/>
    <w:rsid w:val="00AA522D"/>
    <w:rsid w:val="00AA611F"/>
    <w:rsid w:val="00AA678A"/>
    <w:rsid w:val="00AA67E1"/>
    <w:rsid w:val="00AA6F42"/>
    <w:rsid w:val="00AB0451"/>
    <w:rsid w:val="00AB3755"/>
    <w:rsid w:val="00AB3F8F"/>
    <w:rsid w:val="00AB4302"/>
    <w:rsid w:val="00AB470D"/>
    <w:rsid w:val="00AB513A"/>
    <w:rsid w:val="00AB7459"/>
    <w:rsid w:val="00AC0785"/>
    <w:rsid w:val="00AC2B43"/>
    <w:rsid w:val="00AC4A37"/>
    <w:rsid w:val="00AC64DC"/>
    <w:rsid w:val="00AC681F"/>
    <w:rsid w:val="00AC6DB7"/>
    <w:rsid w:val="00AD0BBA"/>
    <w:rsid w:val="00AD2336"/>
    <w:rsid w:val="00AD5F36"/>
    <w:rsid w:val="00AD6DB7"/>
    <w:rsid w:val="00AD7AE9"/>
    <w:rsid w:val="00AE0DE4"/>
    <w:rsid w:val="00AE14AB"/>
    <w:rsid w:val="00AE47BF"/>
    <w:rsid w:val="00AE5B53"/>
    <w:rsid w:val="00AE617C"/>
    <w:rsid w:val="00AF00AE"/>
    <w:rsid w:val="00AF0774"/>
    <w:rsid w:val="00AF2D9A"/>
    <w:rsid w:val="00AF3358"/>
    <w:rsid w:val="00AF3425"/>
    <w:rsid w:val="00AF4663"/>
    <w:rsid w:val="00AF5453"/>
    <w:rsid w:val="00AF597E"/>
    <w:rsid w:val="00AF5AF9"/>
    <w:rsid w:val="00B00242"/>
    <w:rsid w:val="00B0039F"/>
    <w:rsid w:val="00B004F6"/>
    <w:rsid w:val="00B00EE5"/>
    <w:rsid w:val="00B04FC1"/>
    <w:rsid w:val="00B055EC"/>
    <w:rsid w:val="00B056A4"/>
    <w:rsid w:val="00B05CE6"/>
    <w:rsid w:val="00B06046"/>
    <w:rsid w:val="00B07F79"/>
    <w:rsid w:val="00B11B40"/>
    <w:rsid w:val="00B13957"/>
    <w:rsid w:val="00B140CE"/>
    <w:rsid w:val="00B15284"/>
    <w:rsid w:val="00B16A30"/>
    <w:rsid w:val="00B172C1"/>
    <w:rsid w:val="00B2042B"/>
    <w:rsid w:val="00B230F6"/>
    <w:rsid w:val="00B23610"/>
    <w:rsid w:val="00B241CB"/>
    <w:rsid w:val="00B24DAD"/>
    <w:rsid w:val="00B25678"/>
    <w:rsid w:val="00B2749D"/>
    <w:rsid w:val="00B32A03"/>
    <w:rsid w:val="00B3369E"/>
    <w:rsid w:val="00B34072"/>
    <w:rsid w:val="00B34834"/>
    <w:rsid w:val="00B353CA"/>
    <w:rsid w:val="00B35A7A"/>
    <w:rsid w:val="00B35FE1"/>
    <w:rsid w:val="00B37388"/>
    <w:rsid w:val="00B37E15"/>
    <w:rsid w:val="00B413AB"/>
    <w:rsid w:val="00B421DD"/>
    <w:rsid w:val="00B46365"/>
    <w:rsid w:val="00B47290"/>
    <w:rsid w:val="00B47891"/>
    <w:rsid w:val="00B50CF0"/>
    <w:rsid w:val="00B51BC1"/>
    <w:rsid w:val="00B52546"/>
    <w:rsid w:val="00B55647"/>
    <w:rsid w:val="00B55A38"/>
    <w:rsid w:val="00B55FA2"/>
    <w:rsid w:val="00B56DCC"/>
    <w:rsid w:val="00B57588"/>
    <w:rsid w:val="00B601DC"/>
    <w:rsid w:val="00B6049F"/>
    <w:rsid w:val="00B620A2"/>
    <w:rsid w:val="00B62500"/>
    <w:rsid w:val="00B62EF4"/>
    <w:rsid w:val="00B63E24"/>
    <w:rsid w:val="00B64B18"/>
    <w:rsid w:val="00B6553E"/>
    <w:rsid w:val="00B6565C"/>
    <w:rsid w:val="00B65806"/>
    <w:rsid w:val="00B65EDB"/>
    <w:rsid w:val="00B70CBC"/>
    <w:rsid w:val="00B71819"/>
    <w:rsid w:val="00B71E16"/>
    <w:rsid w:val="00B729E1"/>
    <w:rsid w:val="00B73DE3"/>
    <w:rsid w:val="00B73FC8"/>
    <w:rsid w:val="00B74903"/>
    <w:rsid w:val="00B75DB1"/>
    <w:rsid w:val="00B76DCB"/>
    <w:rsid w:val="00B81E9A"/>
    <w:rsid w:val="00B840AC"/>
    <w:rsid w:val="00B84941"/>
    <w:rsid w:val="00B85D6E"/>
    <w:rsid w:val="00B8652C"/>
    <w:rsid w:val="00B87D59"/>
    <w:rsid w:val="00B9087B"/>
    <w:rsid w:val="00B931AE"/>
    <w:rsid w:val="00B94A25"/>
    <w:rsid w:val="00BA2293"/>
    <w:rsid w:val="00BA2EE5"/>
    <w:rsid w:val="00BA41DC"/>
    <w:rsid w:val="00BA4DBB"/>
    <w:rsid w:val="00BA742E"/>
    <w:rsid w:val="00BB03AB"/>
    <w:rsid w:val="00BB13A7"/>
    <w:rsid w:val="00BB1949"/>
    <w:rsid w:val="00BB2FD8"/>
    <w:rsid w:val="00BB337B"/>
    <w:rsid w:val="00BB475C"/>
    <w:rsid w:val="00BB4CA1"/>
    <w:rsid w:val="00BB5FFC"/>
    <w:rsid w:val="00BB69F7"/>
    <w:rsid w:val="00BB6CFB"/>
    <w:rsid w:val="00BB6EE1"/>
    <w:rsid w:val="00BC0E7B"/>
    <w:rsid w:val="00BC0E95"/>
    <w:rsid w:val="00BC4362"/>
    <w:rsid w:val="00BC4530"/>
    <w:rsid w:val="00BC75A8"/>
    <w:rsid w:val="00BC7F6C"/>
    <w:rsid w:val="00BD2FD0"/>
    <w:rsid w:val="00BD35EF"/>
    <w:rsid w:val="00BD4C0F"/>
    <w:rsid w:val="00BD5830"/>
    <w:rsid w:val="00BD639B"/>
    <w:rsid w:val="00BE0691"/>
    <w:rsid w:val="00BE4096"/>
    <w:rsid w:val="00BE7293"/>
    <w:rsid w:val="00BE7592"/>
    <w:rsid w:val="00BE7A79"/>
    <w:rsid w:val="00BF12D4"/>
    <w:rsid w:val="00BF2708"/>
    <w:rsid w:val="00BF282F"/>
    <w:rsid w:val="00BF3DC6"/>
    <w:rsid w:val="00BF4087"/>
    <w:rsid w:val="00BF5B7B"/>
    <w:rsid w:val="00C029B4"/>
    <w:rsid w:val="00C0514C"/>
    <w:rsid w:val="00C05A97"/>
    <w:rsid w:val="00C05EC8"/>
    <w:rsid w:val="00C06450"/>
    <w:rsid w:val="00C069F7"/>
    <w:rsid w:val="00C07AC4"/>
    <w:rsid w:val="00C110E8"/>
    <w:rsid w:val="00C11E40"/>
    <w:rsid w:val="00C12C04"/>
    <w:rsid w:val="00C1359D"/>
    <w:rsid w:val="00C13F06"/>
    <w:rsid w:val="00C14586"/>
    <w:rsid w:val="00C1648C"/>
    <w:rsid w:val="00C16F5E"/>
    <w:rsid w:val="00C20BD5"/>
    <w:rsid w:val="00C21430"/>
    <w:rsid w:val="00C22E96"/>
    <w:rsid w:val="00C23654"/>
    <w:rsid w:val="00C237F6"/>
    <w:rsid w:val="00C24645"/>
    <w:rsid w:val="00C24B8B"/>
    <w:rsid w:val="00C255D8"/>
    <w:rsid w:val="00C260F9"/>
    <w:rsid w:val="00C26E58"/>
    <w:rsid w:val="00C2720D"/>
    <w:rsid w:val="00C2728B"/>
    <w:rsid w:val="00C30F44"/>
    <w:rsid w:val="00C3122E"/>
    <w:rsid w:val="00C31CF5"/>
    <w:rsid w:val="00C31F84"/>
    <w:rsid w:val="00C32F38"/>
    <w:rsid w:val="00C362B0"/>
    <w:rsid w:val="00C40A23"/>
    <w:rsid w:val="00C412B7"/>
    <w:rsid w:val="00C416F8"/>
    <w:rsid w:val="00C41891"/>
    <w:rsid w:val="00C4217C"/>
    <w:rsid w:val="00C43322"/>
    <w:rsid w:val="00C436FB"/>
    <w:rsid w:val="00C457D1"/>
    <w:rsid w:val="00C47F76"/>
    <w:rsid w:val="00C50304"/>
    <w:rsid w:val="00C5297B"/>
    <w:rsid w:val="00C5412D"/>
    <w:rsid w:val="00C5450F"/>
    <w:rsid w:val="00C554EF"/>
    <w:rsid w:val="00C55B27"/>
    <w:rsid w:val="00C56858"/>
    <w:rsid w:val="00C61496"/>
    <w:rsid w:val="00C634CF"/>
    <w:rsid w:val="00C6354A"/>
    <w:rsid w:val="00C64B1C"/>
    <w:rsid w:val="00C72FBD"/>
    <w:rsid w:val="00C740D2"/>
    <w:rsid w:val="00C7625B"/>
    <w:rsid w:val="00C76769"/>
    <w:rsid w:val="00C76FDE"/>
    <w:rsid w:val="00C77702"/>
    <w:rsid w:val="00C77AF8"/>
    <w:rsid w:val="00C82239"/>
    <w:rsid w:val="00C82F70"/>
    <w:rsid w:val="00C835E0"/>
    <w:rsid w:val="00C83C52"/>
    <w:rsid w:val="00C8423C"/>
    <w:rsid w:val="00C86FF7"/>
    <w:rsid w:val="00C908CF"/>
    <w:rsid w:val="00C91967"/>
    <w:rsid w:val="00C921CB"/>
    <w:rsid w:val="00C92FC9"/>
    <w:rsid w:val="00C96CBE"/>
    <w:rsid w:val="00C96E6B"/>
    <w:rsid w:val="00C97892"/>
    <w:rsid w:val="00C97F07"/>
    <w:rsid w:val="00CA12D0"/>
    <w:rsid w:val="00CA2F7A"/>
    <w:rsid w:val="00CA4C54"/>
    <w:rsid w:val="00CA64CD"/>
    <w:rsid w:val="00CA796B"/>
    <w:rsid w:val="00CA7C20"/>
    <w:rsid w:val="00CB00FA"/>
    <w:rsid w:val="00CB0FC5"/>
    <w:rsid w:val="00CB1DEE"/>
    <w:rsid w:val="00CB2210"/>
    <w:rsid w:val="00CB4825"/>
    <w:rsid w:val="00CB4D64"/>
    <w:rsid w:val="00CB5966"/>
    <w:rsid w:val="00CB660F"/>
    <w:rsid w:val="00CB746B"/>
    <w:rsid w:val="00CB7CED"/>
    <w:rsid w:val="00CC5721"/>
    <w:rsid w:val="00CC68AB"/>
    <w:rsid w:val="00CC7151"/>
    <w:rsid w:val="00CC7A55"/>
    <w:rsid w:val="00CD00F5"/>
    <w:rsid w:val="00CD1BB6"/>
    <w:rsid w:val="00CD2397"/>
    <w:rsid w:val="00CD4268"/>
    <w:rsid w:val="00CD491A"/>
    <w:rsid w:val="00CD502F"/>
    <w:rsid w:val="00CE1A6E"/>
    <w:rsid w:val="00CE33D3"/>
    <w:rsid w:val="00CE416A"/>
    <w:rsid w:val="00CE45DD"/>
    <w:rsid w:val="00CE5953"/>
    <w:rsid w:val="00CE5B90"/>
    <w:rsid w:val="00CE7BB3"/>
    <w:rsid w:val="00CF10EB"/>
    <w:rsid w:val="00CF14D8"/>
    <w:rsid w:val="00CF32BB"/>
    <w:rsid w:val="00CF4DD9"/>
    <w:rsid w:val="00CF6B07"/>
    <w:rsid w:val="00CF7C5D"/>
    <w:rsid w:val="00D00205"/>
    <w:rsid w:val="00D01098"/>
    <w:rsid w:val="00D0158F"/>
    <w:rsid w:val="00D01F4C"/>
    <w:rsid w:val="00D0336B"/>
    <w:rsid w:val="00D03EC8"/>
    <w:rsid w:val="00D05868"/>
    <w:rsid w:val="00D06F05"/>
    <w:rsid w:val="00D10FFB"/>
    <w:rsid w:val="00D1166B"/>
    <w:rsid w:val="00D12056"/>
    <w:rsid w:val="00D1216D"/>
    <w:rsid w:val="00D142B6"/>
    <w:rsid w:val="00D14C97"/>
    <w:rsid w:val="00D16269"/>
    <w:rsid w:val="00D166FE"/>
    <w:rsid w:val="00D16BB5"/>
    <w:rsid w:val="00D22E4C"/>
    <w:rsid w:val="00D233FD"/>
    <w:rsid w:val="00D25EDA"/>
    <w:rsid w:val="00D3067C"/>
    <w:rsid w:val="00D3385F"/>
    <w:rsid w:val="00D37AC2"/>
    <w:rsid w:val="00D41083"/>
    <w:rsid w:val="00D415B6"/>
    <w:rsid w:val="00D420E6"/>
    <w:rsid w:val="00D43120"/>
    <w:rsid w:val="00D43890"/>
    <w:rsid w:val="00D462C0"/>
    <w:rsid w:val="00D50658"/>
    <w:rsid w:val="00D523C8"/>
    <w:rsid w:val="00D52600"/>
    <w:rsid w:val="00D543CD"/>
    <w:rsid w:val="00D55612"/>
    <w:rsid w:val="00D55661"/>
    <w:rsid w:val="00D55727"/>
    <w:rsid w:val="00D56BAD"/>
    <w:rsid w:val="00D572FB"/>
    <w:rsid w:val="00D61B0C"/>
    <w:rsid w:val="00D62A52"/>
    <w:rsid w:val="00D63132"/>
    <w:rsid w:val="00D65142"/>
    <w:rsid w:val="00D659B3"/>
    <w:rsid w:val="00D65FA0"/>
    <w:rsid w:val="00D7328F"/>
    <w:rsid w:val="00D736F3"/>
    <w:rsid w:val="00D737BD"/>
    <w:rsid w:val="00D7415B"/>
    <w:rsid w:val="00D763C2"/>
    <w:rsid w:val="00D77903"/>
    <w:rsid w:val="00D77F6F"/>
    <w:rsid w:val="00D80410"/>
    <w:rsid w:val="00D8115E"/>
    <w:rsid w:val="00D82A14"/>
    <w:rsid w:val="00D82A1B"/>
    <w:rsid w:val="00D854EC"/>
    <w:rsid w:val="00D85F61"/>
    <w:rsid w:val="00D918AC"/>
    <w:rsid w:val="00D94DE7"/>
    <w:rsid w:val="00D96DBF"/>
    <w:rsid w:val="00DA005B"/>
    <w:rsid w:val="00DA01A9"/>
    <w:rsid w:val="00DA0A0E"/>
    <w:rsid w:val="00DA1000"/>
    <w:rsid w:val="00DA1AAC"/>
    <w:rsid w:val="00DA3067"/>
    <w:rsid w:val="00DA3BC0"/>
    <w:rsid w:val="00DA55B0"/>
    <w:rsid w:val="00DA6684"/>
    <w:rsid w:val="00DA66C9"/>
    <w:rsid w:val="00DA6EF1"/>
    <w:rsid w:val="00DA77C7"/>
    <w:rsid w:val="00DB03D4"/>
    <w:rsid w:val="00DB2018"/>
    <w:rsid w:val="00DB329F"/>
    <w:rsid w:val="00DB4D1A"/>
    <w:rsid w:val="00DB5500"/>
    <w:rsid w:val="00DC2C96"/>
    <w:rsid w:val="00DC3D40"/>
    <w:rsid w:val="00DC4499"/>
    <w:rsid w:val="00DC5244"/>
    <w:rsid w:val="00DC5A1E"/>
    <w:rsid w:val="00DC6BA4"/>
    <w:rsid w:val="00DD38CE"/>
    <w:rsid w:val="00DD77E6"/>
    <w:rsid w:val="00DE0637"/>
    <w:rsid w:val="00DE1928"/>
    <w:rsid w:val="00DE361C"/>
    <w:rsid w:val="00DE3F24"/>
    <w:rsid w:val="00DE4DB8"/>
    <w:rsid w:val="00DE4DBE"/>
    <w:rsid w:val="00DE564C"/>
    <w:rsid w:val="00DE6BBD"/>
    <w:rsid w:val="00DF037B"/>
    <w:rsid w:val="00DF288E"/>
    <w:rsid w:val="00DF4457"/>
    <w:rsid w:val="00DF5B6B"/>
    <w:rsid w:val="00DF5CED"/>
    <w:rsid w:val="00DF6721"/>
    <w:rsid w:val="00DF70C5"/>
    <w:rsid w:val="00DF7F08"/>
    <w:rsid w:val="00E005F9"/>
    <w:rsid w:val="00E016C7"/>
    <w:rsid w:val="00E03B3E"/>
    <w:rsid w:val="00E0460F"/>
    <w:rsid w:val="00E04F96"/>
    <w:rsid w:val="00E079B5"/>
    <w:rsid w:val="00E07F77"/>
    <w:rsid w:val="00E11220"/>
    <w:rsid w:val="00E13602"/>
    <w:rsid w:val="00E13A5D"/>
    <w:rsid w:val="00E168E5"/>
    <w:rsid w:val="00E2043E"/>
    <w:rsid w:val="00E2085B"/>
    <w:rsid w:val="00E2088E"/>
    <w:rsid w:val="00E229B7"/>
    <w:rsid w:val="00E255EA"/>
    <w:rsid w:val="00E26C22"/>
    <w:rsid w:val="00E26E0D"/>
    <w:rsid w:val="00E27657"/>
    <w:rsid w:val="00E30A3F"/>
    <w:rsid w:val="00E30B15"/>
    <w:rsid w:val="00E3142C"/>
    <w:rsid w:val="00E316E3"/>
    <w:rsid w:val="00E32015"/>
    <w:rsid w:val="00E32D4E"/>
    <w:rsid w:val="00E361E2"/>
    <w:rsid w:val="00E37ACD"/>
    <w:rsid w:val="00E40B6F"/>
    <w:rsid w:val="00E4117D"/>
    <w:rsid w:val="00E42A54"/>
    <w:rsid w:val="00E5002F"/>
    <w:rsid w:val="00E50899"/>
    <w:rsid w:val="00E5376B"/>
    <w:rsid w:val="00E53CEE"/>
    <w:rsid w:val="00E544F4"/>
    <w:rsid w:val="00E54EE3"/>
    <w:rsid w:val="00E55CE8"/>
    <w:rsid w:val="00E5666E"/>
    <w:rsid w:val="00E60814"/>
    <w:rsid w:val="00E60A47"/>
    <w:rsid w:val="00E616DB"/>
    <w:rsid w:val="00E62126"/>
    <w:rsid w:val="00E6362D"/>
    <w:rsid w:val="00E64406"/>
    <w:rsid w:val="00E645F1"/>
    <w:rsid w:val="00E6460F"/>
    <w:rsid w:val="00E6486E"/>
    <w:rsid w:val="00E6582B"/>
    <w:rsid w:val="00E6608D"/>
    <w:rsid w:val="00E660A4"/>
    <w:rsid w:val="00E7130C"/>
    <w:rsid w:val="00E7298F"/>
    <w:rsid w:val="00E72D03"/>
    <w:rsid w:val="00E73ADC"/>
    <w:rsid w:val="00E73C5C"/>
    <w:rsid w:val="00E74895"/>
    <w:rsid w:val="00E75436"/>
    <w:rsid w:val="00E763D5"/>
    <w:rsid w:val="00E803B9"/>
    <w:rsid w:val="00E8083D"/>
    <w:rsid w:val="00E81C9A"/>
    <w:rsid w:val="00E83168"/>
    <w:rsid w:val="00E833FD"/>
    <w:rsid w:val="00E8580B"/>
    <w:rsid w:val="00E85DCF"/>
    <w:rsid w:val="00E85E6D"/>
    <w:rsid w:val="00E85EC4"/>
    <w:rsid w:val="00E8683B"/>
    <w:rsid w:val="00E87161"/>
    <w:rsid w:val="00E873A8"/>
    <w:rsid w:val="00E9432E"/>
    <w:rsid w:val="00E94504"/>
    <w:rsid w:val="00E94AE8"/>
    <w:rsid w:val="00E9658C"/>
    <w:rsid w:val="00EA0EE4"/>
    <w:rsid w:val="00EA1085"/>
    <w:rsid w:val="00EA1825"/>
    <w:rsid w:val="00EA2900"/>
    <w:rsid w:val="00EA3D82"/>
    <w:rsid w:val="00EA5DC7"/>
    <w:rsid w:val="00EA5EB6"/>
    <w:rsid w:val="00EA6468"/>
    <w:rsid w:val="00EA6568"/>
    <w:rsid w:val="00EB0088"/>
    <w:rsid w:val="00EB04A8"/>
    <w:rsid w:val="00EB08C3"/>
    <w:rsid w:val="00EB5AB6"/>
    <w:rsid w:val="00EB6133"/>
    <w:rsid w:val="00EB6DEA"/>
    <w:rsid w:val="00EB6E71"/>
    <w:rsid w:val="00EB7126"/>
    <w:rsid w:val="00EB7308"/>
    <w:rsid w:val="00EB7771"/>
    <w:rsid w:val="00EC0D63"/>
    <w:rsid w:val="00EC16EA"/>
    <w:rsid w:val="00EC19E9"/>
    <w:rsid w:val="00EC1EEB"/>
    <w:rsid w:val="00EC41DB"/>
    <w:rsid w:val="00EC51C3"/>
    <w:rsid w:val="00EC557C"/>
    <w:rsid w:val="00EC60AE"/>
    <w:rsid w:val="00EC6910"/>
    <w:rsid w:val="00EC7454"/>
    <w:rsid w:val="00ED3E21"/>
    <w:rsid w:val="00ED5135"/>
    <w:rsid w:val="00ED5E82"/>
    <w:rsid w:val="00EE01B1"/>
    <w:rsid w:val="00EE0BF5"/>
    <w:rsid w:val="00EE0D0F"/>
    <w:rsid w:val="00EE26AE"/>
    <w:rsid w:val="00EE324C"/>
    <w:rsid w:val="00EE62FE"/>
    <w:rsid w:val="00EE73F0"/>
    <w:rsid w:val="00EF0560"/>
    <w:rsid w:val="00EF10A6"/>
    <w:rsid w:val="00EF16D0"/>
    <w:rsid w:val="00EF1FAD"/>
    <w:rsid w:val="00EF4720"/>
    <w:rsid w:val="00EF590C"/>
    <w:rsid w:val="00EF72CF"/>
    <w:rsid w:val="00EF7E00"/>
    <w:rsid w:val="00F00288"/>
    <w:rsid w:val="00F00EA7"/>
    <w:rsid w:val="00F00F94"/>
    <w:rsid w:val="00F017CA"/>
    <w:rsid w:val="00F060DF"/>
    <w:rsid w:val="00F12C35"/>
    <w:rsid w:val="00F1471D"/>
    <w:rsid w:val="00F151C5"/>
    <w:rsid w:val="00F15DC2"/>
    <w:rsid w:val="00F15E86"/>
    <w:rsid w:val="00F16482"/>
    <w:rsid w:val="00F1770B"/>
    <w:rsid w:val="00F17CF2"/>
    <w:rsid w:val="00F256EC"/>
    <w:rsid w:val="00F25C10"/>
    <w:rsid w:val="00F26212"/>
    <w:rsid w:val="00F272A4"/>
    <w:rsid w:val="00F274E4"/>
    <w:rsid w:val="00F27E05"/>
    <w:rsid w:val="00F349C0"/>
    <w:rsid w:val="00F34DF7"/>
    <w:rsid w:val="00F364A9"/>
    <w:rsid w:val="00F365B2"/>
    <w:rsid w:val="00F4022B"/>
    <w:rsid w:val="00F40305"/>
    <w:rsid w:val="00F40FAA"/>
    <w:rsid w:val="00F41689"/>
    <w:rsid w:val="00F42050"/>
    <w:rsid w:val="00F45D4D"/>
    <w:rsid w:val="00F46983"/>
    <w:rsid w:val="00F4724E"/>
    <w:rsid w:val="00F472D6"/>
    <w:rsid w:val="00F524D7"/>
    <w:rsid w:val="00F52663"/>
    <w:rsid w:val="00F52D95"/>
    <w:rsid w:val="00F54458"/>
    <w:rsid w:val="00F577F3"/>
    <w:rsid w:val="00F57D9F"/>
    <w:rsid w:val="00F60B67"/>
    <w:rsid w:val="00F62C73"/>
    <w:rsid w:val="00F650DD"/>
    <w:rsid w:val="00F66B8B"/>
    <w:rsid w:val="00F66DC9"/>
    <w:rsid w:val="00F70700"/>
    <w:rsid w:val="00F70859"/>
    <w:rsid w:val="00F728C0"/>
    <w:rsid w:val="00F73771"/>
    <w:rsid w:val="00F74341"/>
    <w:rsid w:val="00F744B9"/>
    <w:rsid w:val="00F7452F"/>
    <w:rsid w:val="00F75948"/>
    <w:rsid w:val="00F75F18"/>
    <w:rsid w:val="00F760BF"/>
    <w:rsid w:val="00F76608"/>
    <w:rsid w:val="00F77CA3"/>
    <w:rsid w:val="00F77D29"/>
    <w:rsid w:val="00F77E2E"/>
    <w:rsid w:val="00F80785"/>
    <w:rsid w:val="00F838AA"/>
    <w:rsid w:val="00F84099"/>
    <w:rsid w:val="00F84ED8"/>
    <w:rsid w:val="00F86651"/>
    <w:rsid w:val="00F8735C"/>
    <w:rsid w:val="00F90694"/>
    <w:rsid w:val="00F91B7E"/>
    <w:rsid w:val="00F94F23"/>
    <w:rsid w:val="00F95BE0"/>
    <w:rsid w:val="00F96A0E"/>
    <w:rsid w:val="00F96ECC"/>
    <w:rsid w:val="00FA03C0"/>
    <w:rsid w:val="00FA21CC"/>
    <w:rsid w:val="00FA3FF1"/>
    <w:rsid w:val="00FA45FA"/>
    <w:rsid w:val="00FA501B"/>
    <w:rsid w:val="00FA55C8"/>
    <w:rsid w:val="00FA7B07"/>
    <w:rsid w:val="00FB2489"/>
    <w:rsid w:val="00FB26FB"/>
    <w:rsid w:val="00FB444B"/>
    <w:rsid w:val="00FB6842"/>
    <w:rsid w:val="00FB77D2"/>
    <w:rsid w:val="00FC0213"/>
    <w:rsid w:val="00FC1791"/>
    <w:rsid w:val="00FC2066"/>
    <w:rsid w:val="00FC317F"/>
    <w:rsid w:val="00FC364B"/>
    <w:rsid w:val="00FC3BE3"/>
    <w:rsid w:val="00FC42C3"/>
    <w:rsid w:val="00FC575B"/>
    <w:rsid w:val="00FC6AC3"/>
    <w:rsid w:val="00FD0DC7"/>
    <w:rsid w:val="00FD19CD"/>
    <w:rsid w:val="00FD1B9F"/>
    <w:rsid w:val="00FD31A6"/>
    <w:rsid w:val="00FD3F75"/>
    <w:rsid w:val="00FD4F8F"/>
    <w:rsid w:val="00FD71E4"/>
    <w:rsid w:val="00FD7E9A"/>
    <w:rsid w:val="00FE18A6"/>
    <w:rsid w:val="00FE3ECA"/>
    <w:rsid w:val="00FE7AF5"/>
    <w:rsid w:val="00FE7B46"/>
    <w:rsid w:val="00FF352A"/>
    <w:rsid w:val="00FF4792"/>
    <w:rsid w:val="00FF481B"/>
    <w:rsid w:val="00FF4AE6"/>
    <w:rsid w:val="00FF4C97"/>
    <w:rsid w:val="00FF6981"/>
    <w:rsid w:val="00FF6F27"/>
    <w:rsid w:val="00FF7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F5419"/>
  <w15:docId w15:val="{4F564E85-9124-44DB-8FB5-D7E71AC87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qFormat/>
    <w:rsid w:val="00C47F76"/>
    <w:pPr>
      <w:keepNext/>
      <w:spacing w:after="0" w:line="240" w:lineRule="auto"/>
      <w:jc w:val="center"/>
      <w:outlineLvl w:val="0"/>
    </w:pPr>
    <w:rPr>
      <w:rFonts w:ascii="Times New Roman" w:eastAsia="Times New Roman" w:hAnsi="Times New Roman" w:cs="Times New Roman"/>
      <w:b/>
      <w:sz w:val="26"/>
      <w:szCs w:val="20"/>
    </w:rPr>
  </w:style>
  <w:style w:type="paragraph" w:styleId="Heading2">
    <w:name w:val="heading 2"/>
    <w:basedOn w:val="Normal"/>
    <w:next w:val="Normal"/>
    <w:link w:val="Heading2Char"/>
    <w:qFormat/>
    <w:rsid w:val="00C47F76"/>
    <w:pPr>
      <w:keepNext/>
      <w:spacing w:after="0" w:line="240" w:lineRule="auto"/>
      <w:outlineLvl w:val="1"/>
    </w:pPr>
    <w:rPr>
      <w:rFonts w:ascii="Times New Roman" w:eastAsia="Times New Roman" w:hAnsi="Times New Roman" w:cs="Times New Roman"/>
      <w:b/>
      <w:sz w:val="26"/>
      <w:szCs w:val="20"/>
    </w:rPr>
  </w:style>
  <w:style w:type="paragraph" w:styleId="Heading3">
    <w:name w:val="heading 3"/>
    <w:basedOn w:val="Normal"/>
    <w:next w:val="Normal"/>
    <w:link w:val="Heading3Char"/>
    <w:qFormat/>
    <w:rsid w:val="00C47F76"/>
    <w:pPr>
      <w:keepNext/>
      <w:spacing w:after="0" w:line="240" w:lineRule="auto"/>
      <w:outlineLvl w:val="2"/>
    </w:pPr>
    <w:rPr>
      <w:rFonts w:ascii="Times New Roman" w:eastAsia="Times New Roman" w:hAnsi="Times New Roman" w:cs="Times New Roman"/>
      <w:b/>
      <w:sz w:val="24"/>
      <w:szCs w:val="20"/>
    </w:rPr>
  </w:style>
  <w:style w:type="paragraph" w:styleId="Heading4">
    <w:name w:val="heading 4"/>
    <w:basedOn w:val="Normal"/>
    <w:next w:val="Normal"/>
    <w:link w:val="Heading4Char"/>
    <w:qFormat/>
    <w:rsid w:val="00C47F76"/>
    <w:pPr>
      <w:keepNext/>
      <w:spacing w:after="0" w:line="240" w:lineRule="auto"/>
      <w:jc w:val="center"/>
      <w:outlineLvl w:val="3"/>
    </w:pPr>
    <w:rPr>
      <w:rFonts w:ascii="Times New Roman" w:eastAsia="Times New Roman" w:hAnsi="Times New Roman" w:cs="Times New Roman"/>
      <w:b/>
      <w:sz w:val="32"/>
      <w:szCs w:val="20"/>
    </w:rPr>
  </w:style>
  <w:style w:type="paragraph" w:styleId="Heading5">
    <w:name w:val="heading 5"/>
    <w:basedOn w:val="Normal"/>
    <w:next w:val="Normal"/>
    <w:link w:val="Heading5Char"/>
    <w:qFormat/>
    <w:rsid w:val="00C47F76"/>
    <w:pPr>
      <w:keepNext/>
      <w:spacing w:after="0" w:line="240" w:lineRule="auto"/>
      <w:jc w:val="center"/>
      <w:outlineLvl w:val="4"/>
    </w:pPr>
    <w:rPr>
      <w:rFonts w:ascii="Times New Roman" w:eastAsia="Times New Roman" w:hAnsi="Times New Roman" w:cs="Times New Roman"/>
      <w:b/>
      <w:sz w:val="24"/>
      <w:szCs w:val="20"/>
    </w:rPr>
  </w:style>
  <w:style w:type="paragraph" w:styleId="Heading7">
    <w:name w:val="heading 7"/>
    <w:basedOn w:val="Normal"/>
    <w:next w:val="Normal"/>
    <w:link w:val="Heading7Char"/>
    <w:qFormat/>
    <w:rsid w:val="00C47F76"/>
    <w:pPr>
      <w:keepNext/>
      <w:spacing w:after="0" w:line="240" w:lineRule="auto"/>
      <w:ind w:left="720" w:hanging="630"/>
      <w:jc w:val="center"/>
      <w:outlineLvl w:val="6"/>
    </w:pPr>
    <w:rPr>
      <w:rFonts w:ascii="Times New Roman" w:eastAsia="Times New Roman" w:hAnsi="Times New Roman" w:cs="Times New Roman"/>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7F76"/>
    <w:rPr>
      <w:rFonts w:ascii="Times New Roman" w:eastAsia="Times New Roman" w:hAnsi="Times New Roman" w:cs="Times New Roman"/>
      <w:b/>
      <w:sz w:val="26"/>
      <w:szCs w:val="20"/>
    </w:rPr>
  </w:style>
  <w:style w:type="character" w:customStyle="1" w:styleId="Heading2Char">
    <w:name w:val="Heading 2 Char"/>
    <w:basedOn w:val="DefaultParagraphFont"/>
    <w:link w:val="Heading2"/>
    <w:rsid w:val="00C47F76"/>
    <w:rPr>
      <w:rFonts w:ascii="Times New Roman" w:eastAsia="Times New Roman" w:hAnsi="Times New Roman" w:cs="Times New Roman"/>
      <w:b/>
      <w:sz w:val="26"/>
      <w:szCs w:val="20"/>
    </w:rPr>
  </w:style>
  <w:style w:type="character" w:customStyle="1" w:styleId="Heading3Char">
    <w:name w:val="Heading 3 Char"/>
    <w:basedOn w:val="DefaultParagraphFont"/>
    <w:link w:val="Heading3"/>
    <w:rsid w:val="00C47F76"/>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C47F76"/>
    <w:rPr>
      <w:rFonts w:ascii="Times New Roman" w:eastAsia="Times New Roman" w:hAnsi="Times New Roman" w:cs="Times New Roman"/>
      <w:b/>
      <w:sz w:val="32"/>
      <w:szCs w:val="20"/>
    </w:rPr>
  </w:style>
  <w:style w:type="character" w:customStyle="1" w:styleId="Heading5Char">
    <w:name w:val="Heading 5 Char"/>
    <w:basedOn w:val="DefaultParagraphFont"/>
    <w:link w:val="Heading5"/>
    <w:rsid w:val="00C47F76"/>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C47F76"/>
    <w:rPr>
      <w:rFonts w:ascii="Times New Roman" w:eastAsia="Times New Roman" w:hAnsi="Times New Roman" w:cs="Times New Roman"/>
      <w:b/>
      <w:sz w:val="26"/>
      <w:szCs w:val="20"/>
    </w:rPr>
  </w:style>
  <w:style w:type="numbering" w:customStyle="1" w:styleId="NoList1">
    <w:name w:val="No List1"/>
    <w:next w:val="NoList"/>
    <w:uiPriority w:val="99"/>
    <w:semiHidden/>
    <w:unhideWhenUsed/>
    <w:rsid w:val="00C47F76"/>
  </w:style>
  <w:style w:type="paragraph" w:styleId="BodyText">
    <w:name w:val="Body Text"/>
    <w:basedOn w:val="Normal"/>
    <w:link w:val="BodyTextChar"/>
    <w:rsid w:val="00C47F76"/>
    <w:pPr>
      <w:spacing w:after="0" w:line="240" w:lineRule="auto"/>
      <w:ind w:right="1008"/>
      <w:jc w:val="both"/>
    </w:pPr>
    <w:rPr>
      <w:rFonts w:ascii="Times New Roman" w:eastAsia="Times New Roman" w:hAnsi="Times New Roman" w:cs="Times New Roman"/>
      <w:sz w:val="26"/>
      <w:szCs w:val="20"/>
    </w:rPr>
  </w:style>
  <w:style w:type="character" w:customStyle="1" w:styleId="BodyTextChar">
    <w:name w:val="Body Text Char"/>
    <w:basedOn w:val="DefaultParagraphFont"/>
    <w:link w:val="BodyText"/>
    <w:rsid w:val="00C47F76"/>
    <w:rPr>
      <w:rFonts w:ascii="Times New Roman" w:eastAsia="Times New Roman" w:hAnsi="Times New Roman" w:cs="Times New Roman"/>
      <w:sz w:val="26"/>
      <w:szCs w:val="20"/>
    </w:rPr>
  </w:style>
  <w:style w:type="paragraph" w:styleId="Footer">
    <w:name w:val="footer"/>
    <w:basedOn w:val="Normal"/>
    <w:link w:val="FooterChar"/>
    <w:rsid w:val="00C47F76"/>
    <w:pPr>
      <w:tabs>
        <w:tab w:val="center" w:pos="4320"/>
        <w:tab w:val="right" w:pos="8640"/>
      </w:tabs>
      <w:spacing w:after="0" w:line="240" w:lineRule="auto"/>
    </w:pPr>
    <w:rPr>
      <w:rFonts w:ascii="Times New Roman" w:eastAsia="Times New Roman" w:hAnsi="Times New Roman" w:cs="Times New Roman"/>
      <w:sz w:val="26"/>
      <w:szCs w:val="20"/>
    </w:rPr>
  </w:style>
  <w:style w:type="character" w:customStyle="1" w:styleId="FooterChar">
    <w:name w:val="Footer Char"/>
    <w:basedOn w:val="DefaultParagraphFont"/>
    <w:link w:val="Footer"/>
    <w:rsid w:val="00C47F76"/>
    <w:rPr>
      <w:rFonts w:ascii="Times New Roman" w:eastAsia="Times New Roman" w:hAnsi="Times New Roman" w:cs="Times New Roman"/>
      <w:sz w:val="26"/>
      <w:szCs w:val="20"/>
    </w:rPr>
  </w:style>
  <w:style w:type="character" w:styleId="PageNumber">
    <w:name w:val="page number"/>
    <w:basedOn w:val="DefaultParagraphFont"/>
    <w:rsid w:val="00C47F76"/>
  </w:style>
  <w:style w:type="paragraph" w:styleId="BodyTextIndent">
    <w:name w:val="Body Text Indent"/>
    <w:basedOn w:val="Normal"/>
    <w:link w:val="BodyTextIndentChar"/>
    <w:rsid w:val="00C47F76"/>
    <w:pPr>
      <w:spacing w:after="0" w:line="480" w:lineRule="auto"/>
      <w:ind w:firstLine="144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C47F76"/>
    <w:rPr>
      <w:rFonts w:ascii="Times New Roman" w:eastAsia="Times New Roman" w:hAnsi="Times New Roman" w:cs="Times New Roman"/>
      <w:sz w:val="26"/>
      <w:szCs w:val="20"/>
    </w:rPr>
  </w:style>
  <w:style w:type="paragraph" w:styleId="BodyTextIndent2">
    <w:name w:val="Body Text Indent 2"/>
    <w:basedOn w:val="Normal"/>
    <w:link w:val="BodyTextIndent2Char"/>
    <w:rsid w:val="00C47F76"/>
    <w:pPr>
      <w:spacing w:after="0" w:line="480" w:lineRule="auto"/>
      <w:ind w:firstLine="1440"/>
    </w:pPr>
    <w:rPr>
      <w:rFonts w:ascii="Times New Roman" w:eastAsia="Times New Roman" w:hAnsi="Times New Roman" w:cs="Times New Roman"/>
      <w:b/>
      <w:sz w:val="24"/>
      <w:szCs w:val="20"/>
    </w:rPr>
  </w:style>
  <w:style w:type="character" w:customStyle="1" w:styleId="BodyTextIndent2Char">
    <w:name w:val="Body Text Indent 2 Char"/>
    <w:basedOn w:val="DefaultParagraphFont"/>
    <w:link w:val="BodyTextIndent2"/>
    <w:rsid w:val="00C47F76"/>
    <w:rPr>
      <w:rFonts w:ascii="Times New Roman" w:eastAsia="Times New Roman" w:hAnsi="Times New Roman" w:cs="Times New Roman"/>
      <w:b/>
      <w:sz w:val="24"/>
      <w:szCs w:val="20"/>
    </w:rPr>
  </w:style>
  <w:style w:type="table" w:styleId="TableGrid">
    <w:name w:val="Table Grid"/>
    <w:basedOn w:val="TableNormal"/>
    <w:uiPriority w:val="39"/>
    <w:rsid w:val="00C47F7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1,Footnote Text Char Char1,Footnote Text Char1 Char Char,Footnote Text Char Char1 Char Char,Footnote Text Char2 Char Char1 Char Char,Footnote Text Char1 Char Char Char Char Char1"/>
    <w:basedOn w:val="Normal"/>
    <w:link w:val="FootnoteTextChar"/>
    <w:uiPriority w:val="99"/>
    <w:rsid w:val="00C47F7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Footnote Text Char Char1 Char,Footnote Text Char1 Char Char Char,Footnote Text Char Char1 Char Char Char,Footnote Text Char2 Char Char1 Char Char Char,Footnote Text Char1 Char Char Char Char Char1 Char"/>
    <w:basedOn w:val="DefaultParagraphFont"/>
    <w:link w:val="FootnoteText"/>
    <w:uiPriority w:val="99"/>
    <w:rsid w:val="00C47F76"/>
    <w:rPr>
      <w:rFonts w:ascii="Times New Roman" w:eastAsia="Times New Roman" w:hAnsi="Times New Roman" w:cs="Times New Roman"/>
      <w:sz w:val="20"/>
      <w:szCs w:val="20"/>
    </w:rPr>
  </w:style>
  <w:style w:type="character" w:styleId="FootnoteReference">
    <w:name w:val="footnote reference"/>
    <w:aliases w:val="o,fr,footnote text"/>
    <w:uiPriority w:val="99"/>
    <w:rsid w:val="00C47F76"/>
    <w:rPr>
      <w:vertAlign w:val="superscript"/>
    </w:rPr>
  </w:style>
  <w:style w:type="paragraph" w:styleId="ListParagraph">
    <w:name w:val="List Paragraph"/>
    <w:basedOn w:val="Normal"/>
    <w:uiPriority w:val="34"/>
    <w:qFormat/>
    <w:rsid w:val="00C47F76"/>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rsid w:val="00C47F76"/>
    <w:rPr>
      <w:color w:val="0000FF"/>
      <w:u w:val="single"/>
    </w:rPr>
  </w:style>
  <w:style w:type="character" w:styleId="FollowedHyperlink">
    <w:name w:val="FollowedHyperlink"/>
    <w:uiPriority w:val="99"/>
    <w:semiHidden/>
    <w:unhideWhenUsed/>
    <w:rsid w:val="00C47F76"/>
    <w:rPr>
      <w:color w:val="800080"/>
      <w:u w:val="single"/>
    </w:rPr>
  </w:style>
  <w:style w:type="character" w:styleId="CommentReference">
    <w:name w:val="annotation reference"/>
    <w:uiPriority w:val="99"/>
    <w:semiHidden/>
    <w:unhideWhenUsed/>
    <w:rsid w:val="00C47F76"/>
    <w:rPr>
      <w:sz w:val="16"/>
      <w:szCs w:val="16"/>
    </w:rPr>
  </w:style>
  <w:style w:type="paragraph" w:styleId="CommentText">
    <w:name w:val="annotation text"/>
    <w:basedOn w:val="Normal"/>
    <w:link w:val="CommentTextChar"/>
    <w:uiPriority w:val="99"/>
    <w:semiHidden/>
    <w:unhideWhenUsed/>
    <w:rsid w:val="00C47F7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C47F7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47F76"/>
    <w:rPr>
      <w:b/>
      <w:bCs/>
    </w:rPr>
  </w:style>
  <w:style w:type="character" w:customStyle="1" w:styleId="CommentSubjectChar">
    <w:name w:val="Comment Subject Char"/>
    <w:basedOn w:val="CommentTextChar"/>
    <w:link w:val="CommentSubject"/>
    <w:uiPriority w:val="99"/>
    <w:semiHidden/>
    <w:rsid w:val="00C47F7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47F7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C47F76"/>
    <w:rPr>
      <w:rFonts w:ascii="Tahoma" w:eastAsia="Times New Roman" w:hAnsi="Tahoma" w:cs="Tahoma"/>
      <w:sz w:val="16"/>
      <w:szCs w:val="16"/>
    </w:rPr>
  </w:style>
  <w:style w:type="paragraph" w:styleId="Header">
    <w:name w:val="header"/>
    <w:basedOn w:val="Normal"/>
    <w:link w:val="HeaderChar"/>
    <w:uiPriority w:val="99"/>
    <w:unhideWhenUsed/>
    <w:rsid w:val="00C47F76"/>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C47F76"/>
    <w:rPr>
      <w:rFonts w:ascii="Times New Roman" w:eastAsia="Times New Roman" w:hAnsi="Times New Roman" w:cs="Times New Roman"/>
      <w:sz w:val="24"/>
      <w:szCs w:val="24"/>
    </w:rPr>
  </w:style>
  <w:style w:type="character" w:styleId="Strong">
    <w:name w:val="Strong"/>
    <w:uiPriority w:val="22"/>
    <w:qFormat/>
    <w:rsid w:val="00C47F76"/>
    <w:rPr>
      <w:b/>
      <w:bCs/>
    </w:rPr>
  </w:style>
  <w:style w:type="table" w:styleId="LightShading-Accent1">
    <w:name w:val="Light Shading Accent 1"/>
    <w:basedOn w:val="TableNormal"/>
    <w:uiPriority w:val="60"/>
    <w:rsid w:val="00C47F76"/>
    <w:pPr>
      <w:spacing w:after="0" w:line="240" w:lineRule="auto"/>
    </w:pPr>
    <w:rPr>
      <w:rFonts w:ascii="Calibri" w:eastAsia="Times New Roman" w:hAnsi="Calibri" w:cs="Times New Roman"/>
      <w:color w:val="365F91"/>
      <w:lang w:eastAsia="ja-JP"/>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firstCol">
      <w:rPr>
        <w:b/>
        <w:bCs/>
        <w:color w:val="365F91"/>
      </w:rPr>
    </w:tblStylePr>
    <w:tblStylePr w:type="lastCol">
      <w:rPr>
        <w:b/>
        <w:bCs/>
        <w:color w:val="365F91"/>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unhideWhenUsed/>
    <w:rsid w:val="00BE409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246">
      <w:bodyDiv w:val="1"/>
      <w:marLeft w:val="0"/>
      <w:marRight w:val="0"/>
      <w:marTop w:val="0"/>
      <w:marBottom w:val="0"/>
      <w:divBdr>
        <w:top w:val="none" w:sz="0" w:space="0" w:color="auto"/>
        <w:left w:val="none" w:sz="0" w:space="0" w:color="auto"/>
        <w:bottom w:val="none" w:sz="0" w:space="0" w:color="auto"/>
        <w:right w:val="none" w:sz="0" w:space="0" w:color="auto"/>
      </w:divBdr>
      <w:divsChild>
        <w:div w:id="9296967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505910">
      <w:bodyDiv w:val="1"/>
      <w:marLeft w:val="0"/>
      <w:marRight w:val="0"/>
      <w:marTop w:val="0"/>
      <w:marBottom w:val="0"/>
      <w:divBdr>
        <w:top w:val="none" w:sz="0" w:space="0" w:color="auto"/>
        <w:left w:val="none" w:sz="0" w:space="0" w:color="auto"/>
        <w:bottom w:val="none" w:sz="0" w:space="0" w:color="auto"/>
        <w:right w:val="none" w:sz="0" w:space="0" w:color="auto"/>
      </w:divBdr>
      <w:divsChild>
        <w:div w:id="13645250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0452468">
      <w:bodyDiv w:val="1"/>
      <w:marLeft w:val="0"/>
      <w:marRight w:val="0"/>
      <w:marTop w:val="0"/>
      <w:marBottom w:val="0"/>
      <w:divBdr>
        <w:top w:val="none" w:sz="0" w:space="0" w:color="auto"/>
        <w:left w:val="none" w:sz="0" w:space="0" w:color="auto"/>
        <w:bottom w:val="none" w:sz="0" w:space="0" w:color="auto"/>
        <w:right w:val="none" w:sz="0" w:space="0" w:color="auto"/>
      </w:divBdr>
      <w:divsChild>
        <w:div w:id="767194441">
          <w:marLeft w:val="0"/>
          <w:marRight w:val="0"/>
          <w:marTop w:val="0"/>
          <w:marBottom w:val="0"/>
          <w:divBdr>
            <w:top w:val="none" w:sz="0" w:space="0" w:color="auto"/>
            <w:left w:val="none" w:sz="0" w:space="0" w:color="auto"/>
            <w:bottom w:val="none" w:sz="0" w:space="0" w:color="auto"/>
            <w:right w:val="none" w:sz="0" w:space="0" w:color="auto"/>
          </w:divBdr>
        </w:div>
      </w:divsChild>
    </w:div>
    <w:div w:id="1163622260">
      <w:bodyDiv w:val="1"/>
      <w:marLeft w:val="0"/>
      <w:marRight w:val="0"/>
      <w:marTop w:val="0"/>
      <w:marBottom w:val="0"/>
      <w:divBdr>
        <w:top w:val="none" w:sz="0" w:space="0" w:color="auto"/>
        <w:left w:val="none" w:sz="0" w:space="0" w:color="auto"/>
        <w:bottom w:val="none" w:sz="0" w:space="0" w:color="auto"/>
        <w:right w:val="none" w:sz="0" w:space="0" w:color="auto"/>
      </w:divBdr>
      <w:divsChild>
        <w:div w:id="7663917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4134130">
      <w:bodyDiv w:val="1"/>
      <w:marLeft w:val="0"/>
      <w:marRight w:val="0"/>
      <w:marTop w:val="0"/>
      <w:marBottom w:val="0"/>
      <w:divBdr>
        <w:top w:val="none" w:sz="0" w:space="0" w:color="auto"/>
        <w:left w:val="none" w:sz="0" w:space="0" w:color="auto"/>
        <w:bottom w:val="none" w:sz="0" w:space="0" w:color="auto"/>
        <w:right w:val="none" w:sz="0" w:space="0" w:color="auto"/>
      </w:divBdr>
      <w:divsChild>
        <w:div w:id="1448625542">
          <w:marLeft w:val="0"/>
          <w:marRight w:val="0"/>
          <w:marTop w:val="0"/>
          <w:marBottom w:val="0"/>
          <w:divBdr>
            <w:top w:val="none" w:sz="0" w:space="0" w:color="auto"/>
            <w:left w:val="none" w:sz="0" w:space="0" w:color="auto"/>
            <w:bottom w:val="none" w:sz="0" w:space="0" w:color="auto"/>
            <w:right w:val="none" w:sz="0" w:space="0" w:color="auto"/>
          </w:divBdr>
        </w:div>
      </w:divsChild>
    </w:div>
    <w:div w:id="159516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agee@pa.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ksmith@pa.gov" TargetMode="External"/><Relationship Id="rId4" Type="http://schemas.openxmlformats.org/officeDocument/2006/relationships/settings" Target="settings.xml"/><Relationship Id="rId9" Type="http://schemas.openxmlformats.org/officeDocument/2006/relationships/hyperlink" Target="mailto:sdewey@pa.gov"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dhs.pa.gov/cs/groups/webcontent/documents/document/c_261235.pdf" TargetMode="External"/><Relationship Id="rId2" Type="http://schemas.openxmlformats.org/officeDocument/2006/relationships/hyperlink" Target="http://www.dhs.pa.gov/cs/groups/webcontent/documents/document/c_241596.pdf" TargetMode="External"/><Relationship Id="rId1" Type="http://schemas.openxmlformats.org/officeDocument/2006/relationships/hyperlink" Target="http://www.puc.pa.gov/filing_resources/universal_service_report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11E22-62A2-4C33-ABA1-3C593A5DA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91</Pages>
  <Words>22034</Words>
  <Characters>125594</Characters>
  <Application>Microsoft Office Word</Application>
  <DocSecurity>0</DocSecurity>
  <Lines>1046</Lines>
  <Paragraphs>294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147334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Farner, Joyce</cp:lastModifiedBy>
  <cp:revision>3</cp:revision>
  <cp:lastPrinted>2017-08-03T11:11:00Z</cp:lastPrinted>
  <dcterms:created xsi:type="dcterms:W3CDTF">2017-08-02T12:25:00Z</dcterms:created>
  <dcterms:modified xsi:type="dcterms:W3CDTF">2017-08-03T11:11:00Z</dcterms:modified>
</cp:coreProperties>
</file>