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250C" w14:textId="77777777" w:rsidR="003A3513" w:rsidRPr="00314E5E" w:rsidRDefault="003A3513" w:rsidP="00D73310">
      <w:pPr>
        <w:widowControl/>
        <w:tabs>
          <w:tab w:val="center" w:pos="4680"/>
        </w:tabs>
        <w:suppressAutoHyphens/>
        <w:jc w:val="center"/>
        <w:rPr>
          <w:b/>
          <w:sz w:val="26"/>
          <w:szCs w:val="26"/>
        </w:rPr>
      </w:pPr>
      <w:r w:rsidRPr="00314E5E">
        <w:rPr>
          <w:b/>
          <w:sz w:val="26"/>
          <w:szCs w:val="26"/>
        </w:rPr>
        <w:t>PENNSYLVANIA</w:t>
      </w:r>
    </w:p>
    <w:p w14:paraId="21A80657" w14:textId="77777777" w:rsidR="003A3513" w:rsidRPr="00314E5E" w:rsidRDefault="003A3513" w:rsidP="00D73310">
      <w:pPr>
        <w:widowControl/>
        <w:tabs>
          <w:tab w:val="center" w:pos="4680"/>
        </w:tabs>
        <w:suppressAutoHyphens/>
        <w:jc w:val="center"/>
        <w:rPr>
          <w:sz w:val="26"/>
          <w:szCs w:val="26"/>
        </w:rPr>
      </w:pPr>
      <w:r w:rsidRPr="00314E5E">
        <w:rPr>
          <w:b/>
          <w:sz w:val="26"/>
          <w:szCs w:val="26"/>
        </w:rPr>
        <w:t>PUBLIC UTILITY COMMISSION</w:t>
      </w:r>
    </w:p>
    <w:p w14:paraId="46080E4C" w14:textId="77777777" w:rsidR="003A3513" w:rsidRDefault="003A3513" w:rsidP="00D73310">
      <w:pPr>
        <w:widowControl/>
        <w:tabs>
          <w:tab w:val="center" w:pos="4680"/>
        </w:tabs>
        <w:suppressAutoHyphens/>
        <w:jc w:val="center"/>
        <w:rPr>
          <w:b/>
          <w:sz w:val="26"/>
          <w:szCs w:val="26"/>
        </w:rPr>
      </w:pPr>
      <w:r w:rsidRPr="00314E5E">
        <w:rPr>
          <w:b/>
          <w:sz w:val="26"/>
          <w:szCs w:val="26"/>
        </w:rPr>
        <w:t>Harrisburg, PA 17105-3265</w:t>
      </w:r>
    </w:p>
    <w:p w14:paraId="3E195985" w14:textId="77777777" w:rsidR="003A3513" w:rsidRPr="00314E5E" w:rsidRDefault="003A3513" w:rsidP="00D73310">
      <w:pPr>
        <w:widowControl/>
        <w:tabs>
          <w:tab w:val="center" w:pos="4680"/>
        </w:tabs>
        <w:suppressAutoHyphens/>
        <w:jc w:val="center"/>
        <w:rPr>
          <w:sz w:val="26"/>
          <w:szCs w:val="26"/>
        </w:rPr>
      </w:pPr>
    </w:p>
    <w:p w14:paraId="6D8C09F9" w14:textId="77777777" w:rsidR="003A3513" w:rsidRPr="00314E5E" w:rsidRDefault="003A3513" w:rsidP="00D73310">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370"/>
      </w:tblGrid>
      <w:tr w:rsidR="003A3513" w:rsidRPr="00314E5E" w14:paraId="2428A9AD" w14:textId="77777777" w:rsidTr="00F45562">
        <w:tc>
          <w:tcPr>
            <w:tcW w:w="5058" w:type="dxa"/>
          </w:tcPr>
          <w:p w14:paraId="30677A50" w14:textId="77777777" w:rsidR="003A3513" w:rsidRPr="00314E5E" w:rsidRDefault="003A3513" w:rsidP="00D73310">
            <w:pPr>
              <w:widowControl/>
              <w:rPr>
                <w:sz w:val="26"/>
                <w:szCs w:val="26"/>
              </w:rPr>
            </w:pPr>
          </w:p>
        </w:tc>
        <w:tc>
          <w:tcPr>
            <w:tcW w:w="4428" w:type="dxa"/>
          </w:tcPr>
          <w:p w14:paraId="0CCC156C" w14:textId="77777777" w:rsidR="003A3513" w:rsidRPr="00314E5E" w:rsidRDefault="003A3513" w:rsidP="00D73310">
            <w:pPr>
              <w:widowControl/>
              <w:ind w:right="-90"/>
              <w:jc w:val="right"/>
              <w:rPr>
                <w:sz w:val="26"/>
                <w:szCs w:val="26"/>
              </w:rPr>
            </w:pPr>
            <w:r>
              <w:rPr>
                <w:sz w:val="26"/>
                <w:szCs w:val="26"/>
              </w:rPr>
              <w:t>Public Meeting held July 12, 2017</w:t>
            </w:r>
          </w:p>
          <w:p w14:paraId="0C5E9938" w14:textId="77777777" w:rsidR="003A3513" w:rsidRPr="00314E5E" w:rsidRDefault="003A3513" w:rsidP="00D73310">
            <w:pPr>
              <w:widowControl/>
              <w:jc w:val="right"/>
              <w:rPr>
                <w:sz w:val="26"/>
                <w:szCs w:val="26"/>
              </w:rPr>
            </w:pPr>
          </w:p>
        </w:tc>
      </w:tr>
      <w:tr w:rsidR="003A3513" w:rsidRPr="00314E5E" w14:paraId="4D0C77D7" w14:textId="77777777" w:rsidTr="00F45562">
        <w:tc>
          <w:tcPr>
            <w:tcW w:w="9486" w:type="dxa"/>
            <w:gridSpan w:val="2"/>
          </w:tcPr>
          <w:p w14:paraId="47020B64" w14:textId="77777777" w:rsidR="003A3513" w:rsidRDefault="003A3513" w:rsidP="00D73310">
            <w:pPr>
              <w:widowControl/>
              <w:rPr>
                <w:sz w:val="26"/>
                <w:szCs w:val="26"/>
              </w:rPr>
            </w:pPr>
          </w:p>
          <w:p w14:paraId="347BE85A" w14:textId="77777777" w:rsidR="003A3513" w:rsidRPr="00314E5E" w:rsidRDefault="003A3513" w:rsidP="00D73310">
            <w:pPr>
              <w:widowControl/>
              <w:rPr>
                <w:sz w:val="26"/>
                <w:szCs w:val="26"/>
              </w:rPr>
            </w:pPr>
            <w:r w:rsidRPr="00314E5E">
              <w:rPr>
                <w:sz w:val="26"/>
                <w:szCs w:val="26"/>
              </w:rPr>
              <w:t>Commissioners Present:</w:t>
            </w:r>
          </w:p>
          <w:p w14:paraId="108D8330" w14:textId="77777777" w:rsidR="003A3513" w:rsidRDefault="003A3513" w:rsidP="00D73310">
            <w:pPr>
              <w:widowControl/>
              <w:tabs>
                <w:tab w:val="left" w:pos="705"/>
              </w:tabs>
              <w:ind w:firstLine="720"/>
              <w:rPr>
                <w:sz w:val="26"/>
                <w:szCs w:val="26"/>
              </w:rPr>
            </w:pPr>
          </w:p>
          <w:p w14:paraId="1FEE8EA6" w14:textId="77777777" w:rsidR="003A3513" w:rsidRPr="00314E5E" w:rsidRDefault="003A3513" w:rsidP="00D73310">
            <w:pPr>
              <w:widowControl/>
              <w:tabs>
                <w:tab w:val="left" w:pos="540"/>
              </w:tabs>
              <w:ind w:firstLine="720"/>
              <w:rPr>
                <w:sz w:val="26"/>
                <w:szCs w:val="26"/>
              </w:rPr>
            </w:pPr>
            <w:r w:rsidRPr="00314E5E">
              <w:rPr>
                <w:sz w:val="26"/>
                <w:szCs w:val="26"/>
              </w:rPr>
              <w:t>Gladys M. Brown, Chairman</w:t>
            </w:r>
          </w:p>
          <w:p w14:paraId="1DE3315A" w14:textId="77777777" w:rsidR="003A3513" w:rsidRPr="00314E5E" w:rsidRDefault="003A3513" w:rsidP="00D73310">
            <w:pPr>
              <w:widowControl/>
              <w:tabs>
                <w:tab w:val="left" w:pos="705"/>
              </w:tabs>
              <w:ind w:firstLine="720"/>
              <w:rPr>
                <w:sz w:val="26"/>
                <w:szCs w:val="26"/>
              </w:rPr>
            </w:pPr>
            <w:r w:rsidRPr="00314E5E">
              <w:rPr>
                <w:sz w:val="26"/>
                <w:szCs w:val="26"/>
              </w:rPr>
              <w:t>Andrew G. Place, Vice Chairman</w:t>
            </w:r>
          </w:p>
          <w:p w14:paraId="2FE90244" w14:textId="77777777" w:rsidR="003A3513" w:rsidRPr="00314E5E" w:rsidRDefault="003A3513" w:rsidP="00D73310">
            <w:pPr>
              <w:widowControl/>
              <w:tabs>
                <w:tab w:val="left" w:pos="705"/>
              </w:tabs>
              <w:ind w:firstLine="720"/>
              <w:rPr>
                <w:sz w:val="26"/>
                <w:szCs w:val="26"/>
              </w:rPr>
            </w:pPr>
            <w:r w:rsidRPr="00314E5E">
              <w:rPr>
                <w:sz w:val="26"/>
                <w:szCs w:val="26"/>
              </w:rPr>
              <w:t>John F. Coleman, Jr.</w:t>
            </w:r>
          </w:p>
          <w:p w14:paraId="1908C9DD" w14:textId="77777777" w:rsidR="003A3513" w:rsidRDefault="003A3513" w:rsidP="00D73310">
            <w:pPr>
              <w:widowControl/>
              <w:tabs>
                <w:tab w:val="left" w:pos="705"/>
              </w:tabs>
              <w:ind w:firstLine="720"/>
              <w:rPr>
                <w:sz w:val="26"/>
                <w:szCs w:val="26"/>
              </w:rPr>
            </w:pPr>
            <w:r w:rsidRPr="00314E5E">
              <w:rPr>
                <w:sz w:val="26"/>
                <w:szCs w:val="26"/>
              </w:rPr>
              <w:t>Robert F. Powelson</w:t>
            </w:r>
          </w:p>
          <w:p w14:paraId="0134F0FD" w14:textId="77777777" w:rsidR="003A3513" w:rsidRPr="00314E5E" w:rsidRDefault="003A3513" w:rsidP="00D73310">
            <w:pPr>
              <w:widowControl/>
              <w:tabs>
                <w:tab w:val="left" w:pos="705"/>
              </w:tabs>
              <w:ind w:firstLine="720"/>
              <w:rPr>
                <w:sz w:val="26"/>
                <w:szCs w:val="26"/>
              </w:rPr>
            </w:pPr>
            <w:r>
              <w:rPr>
                <w:sz w:val="26"/>
                <w:szCs w:val="26"/>
              </w:rPr>
              <w:t>David W. Sweet</w:t>
            </w:r>
          </w:p>
          <w:p w14:paraId="670DDB3F" w14:textId="77777777" w:rsidR="003A3513" w:rsidRDefault="003A3513" w:rsidP="00D73310">
            <w:pPr>
              <w:widowControl/>
              <w:rPr>
                <w:sz w:val="26"/>
                <w:szCs w:val="26"/>
              </w:rPr>
            </w:pPr>
          </w:p>
          <w:p w14:paraId="19A0E8B7" w14:textId="77777777" w:rsidR="003A3513" w:rsidRPr="00314E5E" w:rsidRDefault="003A3513" w:rsidP="00D73310">
            <w:pPr>
              <w:widowControl/>
              <w:rPr>
                <w:sz w:val="26"/>
                <w:szCs w:val="26"/>
              </w:rPr>
            </w:pPr>
          </w:p>
        </w:tc>
      </w:tr>
      <w:tr w:rsidR="003A3513" w:rsidRPr="00314E5E" w14:paraId="0EABF0E1" w14:textId="77777777" w:rsidTr="00F45562">
        <w:tc>
          <w:tcPr>
            <w:tcW w:w="5058" w:type="dxa"/>
          </w:tcPr>
          <w:p w14:paraId="725E5842" w14:textId="77777777" w:rsidR="003A3513" w:rsidRPr="00314E5E" w:rsidRDefault="003A3513" w:rsidP="00D73310">
            <w:pPr>
              <w:widowControl/>
              <w:rPr>
                <w:sz w:val="26"/>
                <w:szCs w:val="26"/>
              </w:rPr>
            </w:pPr>
            <w:r>
              <w:rPr>
                <w:sz w:val="26"/>
                <w:szCs w:val="26"/>
              </w:rPr>
              <w:t>Gary Peterson</w:t>
            </w:r>
            <w:r w:rsidRPr="00314E5E">
              <w:rPr>
                <w:sz w:val="26"/>
                <w:szCs w:val="26"/>
              </w:rPr>
              <w:t xml:space="preserve"> </w:t>
            </w:r>
          </w:p>
          <w:p w14:paraId="286CBE0F" w14:textId="77777777" w:rsidR="003A3513" w:rsidRPr="00314E5E" w:rsidRDefault="003A3513" w:rsidP="00D73310">
            <w:pPr>
              <w:widowControl/>
              <w:jc w:val="right"/>
              <w:rPr>
                <w:sz w:val="26"/>
                <w:szCs w:val="26"/>
              </w:rPr>
            </w:pPr>
          </w:p>
        </w:tc>
        <w:tc>
          <w:tcPr>
            <w:tcW w:w="4428" w:type="dxa"/>
          </w:tcPr>
          <w:p w14:paraId="6EC41672" w14:textId="77777777" w:rsidR="000373F1" w:rsidRPr="00314E5E" w:rsidRDefault="003A3513" w:rsidP="00D73310">
            <w:pPr>
              <w:widowControl/>
              <w:jc w:val="right"/>
              <w:rPr>
                <w:sz w:val="26"/>
                <w:szCs w:val="26"/>
              </w:rPr>
            </w:pPr>
            <w:r>
              <w:rPr>
                <w:sz w:val="26"/>
                <w:szCs w:val="26"/>
              </w:rPr>
              <w:t>C-2016-2572890</w:t>
            </w:r>
          </w:p>
          <w:p w14:paraId="739DFAD0" w14:textId="77777777" w:rsidR="003A3513" w:rsidRPr="00314E5E" w:rsidRDefault="003A3513" w:rsidP="00D73310">
            <w:pPr>
              <w:widowControl/>
              <w:jc w:val="right"/>
              <w:rPr>
                <w:sz w:val="26"/>
                <w:szCs w:val="26"/>
              </w:rPr>
            </w:pPr>
            <w:r w:rsidRPr="00314E5E">
              <w:rPr>
                <w:sz w:val="26"/>
                <w:szCs w:val="26"/>
              </w:rPr>
              <w:t xml:space="preserve"> </w:t>
            </w:r>
          </w:p>
        </w:tc>
      </w:tr>
      <w:tr w:rsidR="003A3513" w:rsidRPr="00314E5E" w14:paraId="5799B430" w14:textId="77777777" w:rsidTr="00F45562">
        <w:tc>
          <w:tcPr>
            <w:tcW w:w="5058" w:type="dxa"/>
          </w:tcPr>
          <w:p w14:paraId="7544B031" w14:textId="77777777" w:rsidR="003A3513" w:rsidRPr="00314E5E" w:rsidRDefault="003A3513" w:rsidP="00D73310">
            <w:pPr>
              <w:widowControl/>
              <w:ind w:firstLine="720"/>
              <w:rPr>
                <w:sz w:val="26"/>
                <w:szCs w:val="26"/>
              </w:rPr>
            </w:pPr>
            <w:r w:rsidRPr="00314E5E">
              <w:rPr>
                <w:sz w:val="26"/>
                <w:szCs w:val="26"/>
              </w:rPr>
              <w:t>v.</w:t>
            </w:r>
          </w:p>
          <w:p w14:paraId="67283A70" w14:textId="77777777" w:rsidR="003A3513" w:rsidRPr="00314E5E" w:rsidRDefault="003A3513" w:rsidP="00D73310">
            <w:pPr>
              <w:widowControl/>
              <w:ind w:firstLine="1440"/>
              <w:rPr>
                <w:sz w:val="26"/>
                <w:szCs w:val="26"/>
              </w:rPr>
            </w:pPr>
          </w:p>
        </w:tc>
        <w:tc>
          <w:tcPr>
            <w:tcW w:w="4428" w:type="dxa"/>
          </w:tcPr>
          <w:p w14:paraId="0D56D799" w14:textId="77777777" w:rsidR="003A3513" w:rsidRPr="00314E5E" w:rsidRDefault="003A3513" w:rsidP="00D73310">
            <w:pPr>
              <w:widowControl/>
              <w:rPr>
                <w:sz w:val="26"/>
                <w:szCs w:val="26"/>
              </w:rPr>
            </w:pPr>
          </w:p>
        </w:tc>
      </w:tr>
      <w:tr w:rsidR="003A3513" w:rsidRPr="00314E5E" w14:paraId="0129BA9B" w14:textId="77777777" w:rsidTr="00F45562">
        <w:tc>
          <w:tcPr>
            <w:tcW w:w="5058" w:type="dxa"/>
          </w:tcPr>
          <w:p w14:paraId="3EA28AB3" w14:textId="77777777" w:rsidR="003A3513" w:rsidRPr="00314E5E" w:rsidRDefault="003A3513" w:rsidP="00D73310">
            <w:pPr>
              <w:widowControl/>
              <w:spacing w:line="360" w:lineRule="auto"/>
              <w:rPr>
                <w:sz w:val="26"/>
                <w:szCs w:val="26"/>
              </w:rPr>
            </w:pPr>
            <w:r>
              <w:rPr>
                <w:sz w:val="26"/>
                <w:szCs w:val="26"/>
              </w:rPr>
              <w:t>PECO Energy Company</w:t>
            </w:r>
          </w:p>
        </w:tc>
        <w:tc>
          <w:tcPr>
            <w:tcW w:w="4428" w:type="dxa"/>
          </w:tcPr>
          <w:p w14:paraId="7CAFD921" w14:textId="77777777" w:rsidR="003A3513" w:rsidRPr="00314E5E" w:rsidRDefault="003A3513" w:rsidP="00D73310">
            <w:pPr>
              <w:widowControl/>
              <w:rPr>
                <w:sz w:val="26"/>
                <w:szCs w:val="26"/>
              </w:rPr>
            </w:pPr>
          </w:p>
        </w:tc>
      </w:tr>
    </w:tbl>
    <w:p w14:paraId="38E88A46" w14:textId="77777777" w:rsidR="003A3513" w:rsidRDefault="003A3513" w:rsidP="00D73310">
      <w:pPr>
        <w:widowControl/>
        <w:spacing w:line="360" w:lineRule="auto"/>
        <w:rPr>
          <w:sz w:val="26"/>
          <w:szCs w:val="26"/>
        </w:rPr>
      </w:pPr>
    </w:p>
    <w:p w14:paraId="4C0D8196" w14:textId="77777777" w:rsidR="003A3513" w:rsidRDefault="003A3513" w:rsidP="00D73310">
      <w:pPr>
        <w:widowControl/>
        <w:spacing w:line="360" w:lineRule="auto"/>
        <w:jc w:val="center"/>
        <w:rPr>
          <w:b/>
          <w:sz w:val="26"/>
          <w:szCs w:val="26"/>
        </w:rPr>
      </w:pPr>
      <w:r w:rsidRPr="00314E5E">
        <w:rPr>
          <w:b/>
          <w:sz w:val="26"/>
          <w:szCs w:val="26"/>
        </w:rPr>
        <w:t xml:space="preserve">OPINION </w:t>
      </w:r>
      <w:smartTag w:uri="urn:schemas-microsoft-com:office:smarttags" w:element="stockticker">
        <w:r w:rsidRPr="00314E5E">
          <w:rPr>
            <w:b/>
            <w:sz w:val="26"/>
            <w:szCs w:val="26"/>
          </w:rPr>
          <w:t>AND</w:t>
        </w:r>
      </w:smartTag>
      <w:r w:rsidRPr="00314E5E">
        <w:rPr>
          <w:b/>
          <w:sz w:val="26"/>
          <w:szCs w:val="26"/>
        </w:rPr>
        <w:t xml:space="preserve"> ORDER</w:t>
      </w:r>
    </w:p>
    <w:p w14:paraId="3D313AD9" w14:textId="77777777" w:rsidR="003A3513" w:rsidRDefault="003A3513" w:rsidP="00D73310">
      <w:pPr>
        <w:widowControl/>
        <w:spacing w:line="360" w:lineRule="auto"/>
        <w:jc w:val="center"/>
        <w:rPr>
          <w:b/>
          <w:sz w:val="26"/>
          <w:szCs w:val="26"/>
        </w:rPr>
      </w:pPr>
    </w:p>
    <w:p w14:paraId="24AB6B21" w14:textId="77777777" w:rsidR="003A3513" w:rsidRPr="00314E5E" w:rsidRDefault="003A3513" w:rsidP="00D73310">
      <w:pPr>
        <w:widowControl/>
        <w:spacing w:line="360" w:lineRule="auto"/>
        <w:rPr>
          <w:b/>
          <w:sz w:val="26"/>
          <w:szCs w:val="26"/>
        </w:rPr>
      </w:pPr>
      <w:r w:rsidRPr="00314E5E">
        <w:rPr>
          <w:b/>
          <w:sz w:val="26"/>
          <w:szCs w:val="26"/>
        </w:rPr>
        <w:t>BY THE COMMISSION:</w:t>
      </w:r>
    </w:p>
    <w:p w14:paraId="5F3991BA" w14:textId="77777777" w:rsidR="003A3513" w:rsidRPr="00314E5E" w:rsidRDefault="003A3513" w:rsidP="00D73310">
      <w:pPr>
        <w:widowControl/>
        <w:spacing w:line="360" w:lineRule="auto"/>
        <w:rPr>
          <w:sz w:val="26"/>
          <w:szCs w:val="26"/>
        </w:rPr>
      </w:pPr>
    </w:p>
    <w:p w14:paraId="3E986403" w14:textId="77777777" w:rsidR="00AD26C8" w:rsidRPr="00AD26C8" w:rsidRDefault="003A3513" w:rsidP="00D73310">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Pr>
          <w:color w:val="000000"/>
          <w:sz w:val="26"/>
          <w:szCs w:val="26"/>
        </w:rPr>
        <w:t xml:space="preserve">is </w:t>
      </w:r>
      <w:r w:rsidRPr="00314E5E">
        <w:rPr>
          <w:color w:val="000000"/>
          <w:sz w:val="26"/>
          <w:szCs w:val="26"/>
        </w:rPr>
        <w:t>the Initial Decision (I.D.) of Administrative Law Judge</w:t>
      </w:r>
      <w:r w:rsidR="00AD26C8">
        <w:rPr>
          <w:color w:val="000000"/>
          <w:sz w:val="26"/>
          <w:szCs w:val="26"/>
        </w:rPr>
        <w:t xml:space="preserve"> (ALJ)</w:t>
      </w:r>
      <w:r w:rsidRPr="00314E5E">
        <w:rPr>
          <w:color w:val="000000"/>
          <w:sz w:val="26"/>
          <w:szCs w:val="26"/>
        </w:rPr>
        <w:t xml:space="preserve"> </w:t>
      </w:r>
      <w:r>
        <w:rPr>
          <w:color w:val="000000"/>
          <w:sz w:val="26"/>
          <w:szCs w:val="26"/>
        </w:rPr>
        <w:t>Benjamin J. Myers, which was issued on May 17, 2017</w:t>
      </w:r>
      <w:r w:rsidRPr="00314E5E">
        <w:rPr>
          <w:color w:val="000000"/>
          <w:sz w:val="26"/>
          <w:szCs w:val="26"/>
        </w:rPr>
        <w:t xml:space="preserve">, in the above-captioned proceeding.  </w:t>
      </w:r>
      <w:r w:rsidR="00AD26C8" w:rsidRPr="00AD26C8">
        <w:rPr>
          <w:sz w:val="26"/>
          <w:szCs w:val="26"/>
        </w:rPr>
        <w:t xml:space="preserve">The Initial Decision </w:t>
      </w:r>
      <w:r w:rsidR="00AD26C8">
        <w:rPr>
          <w:sz w:val="26"/>
          <w:szCs w:val="26"/>
        </w:rPr>
        <w:t>denied</w:t>
      </w:r>
      <w:r w:rsidR="00AD26C8" w:rsidRPr="00AD26C8">
        <w:rPr>
          <w:sz w:val="26"/>
          <w:szCs w:val="26"/>
        </w:rPr>
        <w:t xml:space="preserve"> the </w:t>
      </w:r>
      <w:r w:rsidR="00AD26C8">
        <w:rPr>
          <w:sz w:val="26"/>
          <w:szCs w:val="26"/>
        </w:rPr>
        <w:t>Formal Complaint filed on October 21, 2016, by Gary Peterson</w:t>
      </w:r>
      <w:r w:rsidR="00AD26C8" w:rsidRPr="00AD26C8">
        <w:rPr>
          <w:sz w:val="26"/>
          <w:szCs w:val="26"/>
        </w:rPr>
        <w:t xml:space="preserve"> (Complainant) against </w:t>
      </w:r>
      <w:r w:rsidR="00AD26C8">
        <w:rPr>
          <w:sz w:val="26"/>
          <w:szCs w:val="26"/>
        </w:rPr>
        <w:t xml:space="preserve">PECO Energy Company </w:t>
      </w:r>
      <w:r w:rsidR="00AD26C8" w:rsidRPr="00AD26C8">
        <w:rPr>
          <w:sz w:val="26"/>
          <w:szCs w:val="26"/>
        </w:rPr>
        <w:t>(P</w:t>
      </w:r>
      <w:r w:rsidR="00AD26C8">
        <w:rPr>
          <w:sz w:val="26"/>
          <w:szCs w:val="26"/>
        </w:rPr>
        <w:t>ECO</w:t>
      </w:r>
      <w:r w:rsidR="00AD26C8" w:rsidRPr="00AD26C8">
        <w:rPr>
          <w:sz w:val="26"/>
          <w:szCs w:val="26"/>
        </w:rPr>
        <w:t xml:space="preserve"> or the Company).  No Exceptions were filed.  However, we exercised our right to review the Initial Decision pursuant to Section 332(h) of the Public Utility Code (Code), 66 Pa. C.S. § 332(h).  For the reasons set forth herein, we shall adopt the Initial Decision as modified.</w:t>
      </w:r>
    </w:p>
    <w:p w14:paraId="77419FF4" w14:textId="77777777" w:rsidR="003A3513" w:rsidRPr="00AD26C8" w:rsidRDefault="003A3513" w:rsidP="00D73310">
      <w:pPr>
        <w:widowControl/>
        <w:spacing w:line="360" w:lineRule="auto"/>
        <w:ind w:firstLine="1440"/>
        <w:rPr>
          <w:sz w:val="26"/>
          <w:szCs w:val="26"/>
        </w:rPr>
      </w:pPr>
    </w:p>
    <w:p w14:paraId="2BA23DD1" w14:textId="77777777" w:rsidR="003A3513" w:rsidRDefault="003A3513" w:rsidP="00D73310">
      <w:pPr>
        <w:keepNext/>
        <w:keepLines/>
        <w:widowControl/>
        <w:spacing w:line="360" w:lineRule="auto"/>
        <w:jc w:val="center"/>
        <w:rPr>
          <w:b/>
          <w:sz w:val="26"/>
          <w:szCs w:val="26"/>
        </w:rPr>
      </w:pPr>
      <w:r w:rsidRPr="00AD26C8">
        <w:rPr>
          <w:b/>
          <w:sz w:val="26"/>
          <w:szCs w:val="26"/>
        </w:rPr>
        <w:lastRenderedPageBreak/>
        <w:t>History of the Proceeding</w:t>
      </w:r>
    </w:p>
    <w:p w14:paraId="0A2A3D3E" w14:textId="77777777" w:rsidR="00B442E5" w:rsidRDefault="00B442E5" w:rsidP="00D73310">
      <w:pPr>
        <w:pStyle w:val="Default"/>
        <w:keepNext/>
        <w:keepLines/>
        <w:spacing w:line="360" w:lineRule="auto"/>
      </w:pPr>
    </w:p>
    <w:p w14:paraId="117C1D7D" w14:textId="0810500F" w:rsidR="001E20E6" w:rsidRDefault="00B442E5" w:rsidP="00D73310">
      <w:pPr>
        <w:widowControl/>
        <w:spacing w:line="360" w:lineRule="auto"/>
        <w:rPr>
          <w:sz w:val="26"/>
          <w:szCs w:val="26"/>
        </w:rPr>
      </w:pPr>
      <w:r>
        <w:rPr>
          <w:sz w:val="26"/>
          <w:szCs w:val="26"/>
        </w:rPr>
        <w:tab/>
      </w:r>
      <w:r>
        <w:rPr>
          <w:sz w:val="26"/>
          <w:szCs w:val="26"/>
        </w:rPr>
        <w:tab/>
      </w:r>
      <w:r w:rsidRPr="00B442E5">
        <w:rPr>
          <w:sz w:val="26"/>
          <w:szCs w:val="26"/>
        </w:rPr>
        <w:t>On O</w:t>
      </w:r>
      <w:r>
        <w:rPr>
          <w:sz w:val="26"/>
          <w:szCs w:val="26"/>
        </w:rPr>
        <w:t xml:space="preserve">ctober 21, 2016, the </w:t>
      </w:r>
      <w:r w:rsidRPr="00B442E5">
        <w:rPr>
          <w:sz w:val="26"/>
          <w:szCs w:val="26"/>
        </w:rPr>
        <w:t xml:space="preserve">Complainant filed a </w:t>
      </w:r>
      <w:r w:rsidR="00201B18">
        <w:rPr>
          <w:sz w:val="26"/>
          <w:szCs w:val="26"/>
        </w:rPr>
        <w:t>F</w:t>
      </w:r>
      <w:r>
        <w:rPr>
          <w:sz w:val="26"/>
          <w:szCs w:val="26"/>
        </w:rPr>
        <w:t>ormal C</w:t>
      </w:r>
      <w:r w:rsidR="00D34C2F">
        <w:rPr>
          <w:sz w:val="26"/>
          <w:szCs w:val="26"/>
        </w:rPr>
        <w:t xml:space="preserve">omplaint </w:t>
      </w:r>
      <w:r w:rsidR="00201B18">
        <w:rPr>
          <w:sz w:val="26"/>
          <w:szCs w:val="26"/>
        </w:rPr>
        <w:t xml:space="preserve">(Complaint) </w:t>
      </w:r>
      <w:r w:rsidR="00D34C2F">
        <w:rPr>
          <w:sz w:val="26"/>
          <w:szCs w:val="26"/>
        </w:rPr>
        <w:t xml:space="preserve">against PECO with the </w:t>
      </w:r>
      <w:r>
        <w:rPr>
          <w:sz w:val="26"/>
          <w:szCs w:val="26"/>
        </w:rPr>
        <w:t>Commission</w:t>
      </w:r>
      <w:r w:rsidR="00E350D5">
        <w:rPr>
          <w:sz w:val="26"/>
          <w:szCs w:val="26"/>
        </w:rPr>
        <w:t xml:space="preserve">. </w:t>
      </w:r>
      <w:r w:rsidR="00EA1772">
        <w:rPr>
          <w:sz w:val="26"/>
          <w:szCs w:val="26"/>
        </w:rPr>
        <w:t xml:space="preserve"> </w:t>
      </w:r>
      <w:r w:rsidR="00D34C2F">
        <w:rPr>
          <w:sz w:val="26"/>
          <w:szCs w:val="26"/>
        </w:rPr>
        <w:t xml:space="preserve">The Complaint was a timely appeal of a decision rendered by the Commission’s Bureau of Consumer Services (BCS) at BCS Case Number </w:t>
      </w:r>
      <w:r w:rsidR="00166633">
        <w:rPr>
          <w:sz w:val="26"/>
          <w:szCs w:val="26"/>
        </w:rPr>
        <w:t>003432913</w:t>
      </w:r>
      <w:r w:rsidR="00D34C2F">
        <w:rPr>
          <w:sz w:val="26"/>
          <w:szCs w:val="26"/>
        </w:rPr>
        <w:t xml:space="preserve">. </w:t>
      </w:r>
      <w:r w:rsidR="00166633">
        <w:rPr>
          <w:sz w:val="26"/>
          <w:szCs w:val="26"/>
        </w:rPr>
        <w:t xml:space="preserve"> </w:t>
      </w:r>
      <w:r w:rsidR="00D34C2F">
        <w:rPr>
          <w:sz w:val="26"/>
          <w:szCs w:val="26"/>
        </w:rPr>
        <w:t xml:space="preserve">In his </w:t>
      </w:r>
      <w:r w:rsidR="00E350D5">
        <w:rPr>
          <w:sz w:val="26"/>
          <w:szCs w:val="26"/>
        </w:rPr>
        <w:t>C</w:t>
      </w:r>
      <w:r w:rsidRPr="00B442E5">
        <w:rPr>
          <w:sz w:val="26"/>
          <w:szCs w:val="26"/>
        </w:rPr>
        <w:t>omplaint</w:t>
      </w:r>
      <w:r w:rsidR="00D34C2F">
        <w:rPr>
          <w:sz w:val="26"/>
          <w:szCs w:val="26"/>
        </w:rPr>
        <w:t>, Mr. Peterson</w:t>
      </w:r>
      <w:r w:rsidRPr="00B442E5">
        <w:rPr>
          <w:sz w:val="26"/>
          <w:szCs w:val="26"/>
        </w:rPr>
        <w:t xml:space="preserve"> requested that the Commission dire</w:t>
      </w:r>
      <w:r w:rsidR="00E350D5">
        <w:rPr>
          <w:sz w:val="26"/>
          <w:szCs w:val="26"/>
        </w:rPr>
        <w:t>ct PECO</w:t>
      </w:r>
      <w:r w:rsidRPr="00B442E5">
        <w:rPr>
          <w:sz w:val="26"/>
          <w:szCs w:val="26"/>
        </w:rPr>
        <w:t xml:space="preserve"> to reimburse him for damages to personal property in the amount of $24,579.72 which he sustained </w:t>
      </w:r>
      <w:r w:rsidR="00A923DF" w:rsidRPr="00B442E5">
        <w:rPr>
          <w:sz w:val="26"/>
          <w:szCs w:val="26"/>
        </w:rPr>
        <w:t>because of</w:t>
      </w:r>
      <w:r w:rsidRPr="00B442E5">
        <w:rPr>
          <w:sz w:val="26"/>
          <w:szCs w:val="26"/>
        </w:rPr>
        <w:t xml:space="preserve"> </w:t>
      </w:r>
      <w:r w:rsidR="00E350D5">
        <w:rPr>
          <w:sz w:val="26"/>
          <w:szCs w:val="26"/>
        </w:rPr>
        <w:t>the Company</w:t>
      </w:r>
      <w:r w:rsidRPr="00B442E5">
        <w:rPr>
          <w:sz w:val="26"/>
          <w:szCs w:val="26"/>
        </w:rPr>
        <w:t xml:space="preserve">’s transformer. </w:t>
      </w:r>
      <w:r w:rsidR="00E350D5">
        <w:rPr>
          <w:sz w:val="26"/>
          <w:szCs w:val="26"/>
        </w:rPr>
        <w:t xml:space="preserve"> The Complainant a</w:t>
      </w:r>
      <w:r w:rsidRPr="00B442E5">
        <w:rPr>
          <w:sz w:val="26"/>
          <w:szCs w:val="26"/>
        </w:rPr>
        <w:t xml:space="preserve">ttached a letter </w:t>
      </w:r>
      <w:r w:rsidR="00E350D5">
        <w:rPr>
          <w:sz w:val="26"/>
          <w:szCs w:val="26"/>
        </w:rPr>
        <w:t xml:space="preserve">to his Complaint </w:t>
      </w:r>
      <w:r w:rsidR="00761BB0">
        <w:rPr>
          <w:sz w:val="26"/>
          <w:szCs w:val="26"/>
        </w:rPr>
        <w:t xml:space="preserve">from </w:t>
      </w:r>
      <w:r w:rsidR="00EA1772">
        <w:rPr>
          <w:sz w:val="26"/>
          <w:szCs w:val="26"/>
        </w:rPr>
        <w:t xml:space="preserve">his </w:t>
      </w:r>
      <w:r w:rsidRPr="00B442E5">
        <w:rPr>
          <w:sz w:val="26"/>
          <w:szCs w:val="26"/>
        </w:rPr>
        <w:t xml:space="preserve">property insurance carrier </w:t>
      </w:r>
      <w:r w:rsidR="00EA1772">
        <w:rPr>
          <w:sz w:val="26"/>
          <w:szCs w:val="26"/>
        </w:rPr>
        <w:t xml:space="preserve">that denied </w:t>
      </w:r>
      <w:r w:rsidRPr="00B442E5">
        <w:rPr>
          <w:sz w:val="26"/>
          <w:szCs w:val="26"/>
        </w:rPr>
        <w:t>his claim because the damages he suffered were the result of consequences or e</w:t>
      </w:r>
      <w:r w:rsidR="00761BB0">
        <w:rPr>
          <w:sz w:val="26"/>
          <w:szCs w:val="26"/>
        </w:rPr>
        <w:t>vents not covered by his policy.  In addition, the Complainant indicated that the Company told him that it is limited to a liability payment of $500.</w:t>
      </w:r>
    </w:p>
    <w:p w14:paraId="6183ED18" w14:textId="77777777" w:rsidR="00B442E5" w:rsidRDefault="00B442E5" w:rsidP="00D73310">
      <w:pPr>
        <w:widowControl/>
        <w:spacing w:line="360" w:lineRule="auto"/>
        <w:rPr>
          <w:sz w:val="26"/>
          <w:szCs w:val="26"/>
        </w:rPr>
      </w:pPr>
    </w:p>
    <w:p w14:paraId="1D2BA3C3" w14:textId="42395E6D" w:rsidR="00B442E5" w:rsidRPr="00B442E5" w:rsidRDefault="00B442E5" w:rsidP="00D73310">
      <w:pPr>
        <w:pStyle w:val="Default"/>
        <w:spacing w:line="360" w:lineRule="auto"/>
        <w:ind w:firstLine="1440"/>
        <w:rPr>
          <w:sz w:val="26"/>
          <w:szCs w:val="26"/>
        </w:rPr>
      </w:pPr>
      <w:r w:rsidRPr="00B442E5">
        <w:rPr>
          <w:sz w:val="26"/>
          <w:szCs w:val="26"/>
        </w:rPr>
        <w:t>On N</w:t>
      </w:r>
      <w:r w:rsidR="00457983">
        <w:rPr>
          <w:sz w:val="26"/>
          <w:szCs w:val="26"/>
        </w:rPr>
        <w:t>ovember 15, 2016, PECO filed an Answer to the C</w:t>
      </w:r>
      <w:r w:rsidRPr="00B442E5">
        <w:rPr>
          <w:sz w:val="26"/>
          <w:szCs w:val="26"/>
        </w:rPr>
        <w:t>omplaint</w:t>
      </w:r>
      <w:r w:rsidR="00457983">
        <w:rPr>
          <w:sz w:val="26"/>
          <w:szCs w:val="26"/>
        </w:rPr>
        <w:t xml:space="preserve"> denying</w:t>
      </w:r>
      <w:r w:rsidRPr="00B442E5">
        <w:rPr>
          <w:sz w:val="26"/>
          <w:szCs w:val="26"/>
        </w:rPr>
        <w:t xml:space="preserve"> the various avermen</w:t>
      </w:r>
      <w:r w:rsidR="00457983">
        <w:rPr>
          <w:sz w:val="26"/>
          <w:szCs w:val="26"/>
        </w:rPr>
        <w:t>ts of the C</w:t>
      </w:r>
      <w:r w:rsidRPr="00B442E5">
        <w:rPr>
          <w:sz w:val="26"/>
          <w:szCs w:val="26"/>
        </w:rPr>
        <w:t>omplaint</w:t>
      </w:r>
      <w:r w:rsidR="00457983">
        <w:rPr>
          <w:sz w:val="26"/>
          <w:szCs w:val="26"/>
        </w:rPr>
        <w:t>.  PECO</w:t>
      </w:r>
      <w:r w:rsidRPr="00B442E5">
        <w:rPr>
          <w:sz w:val="26"/>
          <w:szCs w:val="26"/>
        </w:rPr>
        <w:t xml:space="preserve"> provide</w:t>
      </w:r>
      <w:r w:rsidR="00457983">
        <w:rPr>
          <w:sz w:val="26"/>
          <w:szCs w:val="26"/>
        </w:rPr>
        <w:t>d a chronology of the Company</w:t>
      </w:r>
      <w:r w:rsidRPr="00B442E5">
        <w:rPr>
          <w:sz w:val="26"/>
          <w:szCs w:val="26"/>
        </w:rPr>
        <w:t xml:space="preserve">’s interactions with the Complainant as well as a brief history of the claim </w:t>
      </w:r>
      <w:r w:rsidR="00A923DF">
        <w:rPr>
          <w:sz w:val="26"/>
          <w:szCs w:val="26"/>
        </w:rPr>
        <w:t>that</w:t>
      </w:r>
      <w:r w:rsidRPr="00B442E5">
        <w:rPr>
          <w:sz w:val="26"/>
          <w:szCs w:val="26"/>
        </w:rPr>
        <w:t xml:space="preserve"> </w:t>
      </w:r>
      <w:r w:rsidR="00A923DF">
        <w:rPr>
          <w:sz w:val="26"/>
          <w:szCs w:val="26"/>
        </w:rPr>
        <w:t>was</w:t>
      </w:r>
      <w:r w:rsidRPr="00B442E5">
        <w:rPr>
          <w:sz w:val="26"/>
          <w:szCs w:val="26"/>
        </w:rPr>
        <w:t xml:space="preserve"> filed by the Complainant for his damages. </w:t>
      </w:r>
      <w:r w:rsidR="00457983">
        <w:rPr>
          <w:sz w:val="26"/>
          <w:szCs w:val="26"/>
        </w:rPr>
        <w:t xml:space="preserve"> In particular, PECO</w:t>
      </w:r>
      <w:r w:rsidRPr="00B442E5">
        <w:rPr>
          <w:sz w:val="26"/>
          <w:szCs w:val="26"/>
        </w:rPr>
        <w:t xml:space="preserve"> denied there were any unreasonable service reliability issues at the Complainant’s address and cited tariff language rela</w:t>
      </w:r>
      <w:r w:rsidR="00457983">
        <w:rPr>
          <w:sz w:val="26"/>
          <w:szCs w:val="26"/>
        </w:rPr>
        <w:t>ting to the limits of PECO</w:t>
      </w:r>
      <w:r w:rsidRPr="00B442E5">
        <w:rPr>
          <w:sz w:val="26"/>
          <w:szCs w:val="26"/>
        </w:rPr>
        <w:t xml:space="preserve">’s liability as a result of service interruptions and variations. </w:t>
      </w:r>
      <w:r w:rsidR="00457983">
        <w:rPr>
          <w:sz w:val="26"/>
          <w:szCs w:val="26"/>
        </w:rPr>
        <w:t xml:space="preserve"> PECO </w:t>
      </w:r>
      <w:r w:rsidR="00A923DF">
        <w:rPr>
          <w:sz w:val="26"/>
          <w:szCs w:val="26"/>
        </w:rPr>
        <w:t xml:space="preserve">argued in its </w:t>
      </w:r>
      <w:r w:rsidR="00457983">
        <w:rPr>
          <w:sz w:val="26"/>
          <w:szCs w:val="26"/>
        </w:rPr>
        <w:t>A</w:t>
      </w:r>
      <w:r w:rsidRPr="00B442E5">
        <w:rPr>
          <w:sz w:val="26"/>
          <w:szCs w:val="26"/>
        </w:rPr>
        <w:t xml:space="preserve">nswer that while an outage </w:t>
      </w:r>
      <w:r w:rsidR="00A923DF">
        <w:rPr>
          <w:sz w:val="26"/>
          <w:szCs w:val="26"/>
        </w:rPr>
        <w:t xml:space="preserve">that </w:t>
      </w:r>
      <w:r w:rsidRPr="00B442E5">
        <w:rPr>
          <w:sz w:val="26"/>
          <w:szCs w:val="26"/>
        </w:rPr>
        <w:t xml:space="preserve">affected the Complainant on August 27, 2015, </w:t>
      </w:r>
      <w:r w:rsidR="00A923DF">
        <w:rPr>
          <w:sz w:val="26"/>
          <w:szCs w:val="26"/>
        </w:rPr>
        <w:t xml:space="preserve">did occur, </w:t>
      </w:r>
      <w:r w:rsidRPr="00B442E5">
        <w:rPr>
          <w:sz w:val="26"/>
          <w:szCs w:val="26"/>
        </w:rPr>
        <w:t xml:space="preserve">it was the result </w:t>
      </w:r>
      <w:r w:rsidR="00457983">
        <w:rPr>
          <w:sz w:val="26"/>
          <w:szCs w:val="26"/>
        </w:rPr>
        <w:t>of factors beyond the Company</w:t>
      </w:r>
      <w:r w:rsidRPr="00B442E5">
        <w:rPr>
          <w:sz w:val="26"/>
          <w:szCs w:val="26"/>
        </w:rPr>
        <w:t>’s co</w:t>
      </w:r>
      <w:r w:rsidR="00457983">
        <w:rPr>
          <w:sz w:val="26"/>
          <w:szCs w:val="26"/>
        </w:rPr>
        <w:t>ntrol</w:t>
      </w:r>
      <w:r w:rsidR="0082790D">
        <w:rPr>
          <w:sz w:val="26"/>
          <w:szCs w:val="26"/>
        </w:rPr>
        <w:t>,</w:t>
      </w:r>
      <w:r w:rsidR="00457983">
        <w:rPr>
          <w:sz w:val="26"/>
          <w:szCs w:val="26"/>
        </w:rPr>
        <w:t xml:space="preserve"> and</w:t>
      </w:r>
      <w:r w:rsidR="0082790D">
        <w:rPr>
          <w:sz w:val="26"/>
          <w:szCs w:val="26"/>
        </w:rPr>
        <w:t>,</w:t>
      </w:r>
      <w:r w:rsidR="00457983">
        <w:rPr>
          <w:sz w:val="26"/>
          <w:szCs w:val="26"/>
        </w:rPr>
        <w:t xml:space="preserve"> as such</w:t>
      </w:r>
      <w:r w:rsidR="0082790D">
        <w:rPr>
          <w:sz w:val="26"/>
          <w:szCs w:val="26"/>
        </w:rPr>
        <w:t>,</w:t>
      </w:r>
      <w:r w:rsidR="00457983">
        <w:rPr>
          <w:sz w:val="26"/>
          <w:szCs w:val="26"/>
        </w:rPr>
        <w:t xml:space="preserve"> the Company</w:t>
      </w:r>
      <w:r w:rsidRPr="00B442E5">
        <w:rPr>
          <w:sz w:val="26"/>
          <w:szCs w:val="26"/>
        </w:rPr>
        <w:t>’s governing tarif</w:t>
      </w:r>
      <w:r w:rsidR="00457983">
        <w:rPr>
          <w:sz w:val="26"/>
          <w:szCs w:val="26"/>
        </w:rPr>
        <w:t>f language capped its liability at $500.</w:t>
      </w:r>
    </w:p>
    <w:p w14:paraId="2E3634DA" w14:textId="77777777" w:rsidR="00457983" w:rsidRDefault="00457983" w:rsidP="00D73310">
      <w:pPr>
        <w:pStyle w:val="Default"/>
        <w:spacing w:line="360" w:lineRule="auto"/>
        <w:rPr>
          <w:sz w:val="26"/>
          <w:szCs w:val="26"/>
        </w:rPr>
      </w:pPr>
    </w:p>
    <w:p w14:paraId="70964DD5" w14:textId="1078093A" w:rsidR="00B442E5" w:rsidRDefault="00D34C2F" w:rsidP="00D73310">
      <w:pPr>
        <w:widowControl/>
        <w:spacing w:line="360" w:lineRule="auto"/>
        <w:ind w:firstLine="1440"/>
        <w:rPr>
          <w:sz w:val="26"/>
          <w:szCs w:val="26"/>
        </w:rPr>
      </w:pPr>
      <w:r>
        <w:rPr>
          <w:sz w:val="26"/>
          <w:szCs w:val="26"/>
        </w:rPr>
        <w:t>ALJ Myers conducted a</w:t>
      </w:r>
      <w:r w:rsidR="00457983">
        <w:rPr>
          <w:sz w:val="26"/>
          <w:szCs w:val="26"/>
        </w:rPr>
        <w:t xml:space="preserve">n evidentiary </w:t>
      </w:r>
      <w:r w:rsidR="00B442E5" w:rsidRPr="00B442E5">
        <w:rPr>
          <w:sz w:val="26"/>
          <w:szCs w:val="26"/>
        </w:rPr>
        <w:t>hearing on February 3, 2017</w:t>
      </w:r>
      <w:r>
        <w:rPr>
          <w:sz w:val="26"/>
          <w:szCs w:val="26"/>
        </w:rPr>
        <w:t>, as scheduled</w:t>
      </w:r>
      <w:r w:rsidR="00B442E5" w:rsidRPr="00B442E5">
        <w:rPr>
          <w:sz w:val="26"/>
          <w:szCs w:val="26"/>
        </w:rPr>
        <w:t xml:space="preserve">. </w:t>
      </w:r>
      <w:r>
        <w:rPr>
          <w:sz w:val="26"/>
          <w:szCs w:val="26"/>
        </w:rPr>
        <w:t xml:space="preserve"> </w:t>
      </w:r>
      <w:r w:rsidR="00B442E5" w:rsidRPr="00B442E5">
        <w:rPr>
          <w:sz w:val="26"/>
          <w:szCs w:val="26"/>
        </w:rPr>
        <w:t xml:space="preserve">The Complainant appeared </w:t>
      </w:r>
      <w:r w:rsidR="00B442E5" w:rsidRPr="00B442E5">
        <w:rPr>
          <w:i/>
          <w:iCs/>
          <w:sz w:val="26"/>
          <w:szCs w:val="26"/>
        </w:rPr>
        <w:t xml:space="preserve">pro se </w:t>
      </w:r>
      <w:r w:rsidR="00B442E5" w:rsidRPr="00B442E5">
        <w:rPr>
          <w:sz w:val="26"/>
          <w:szCs w:val="26"/>
        </w:rPr>
        <w:t>and presented testimony</w:t>
      </w:r>
      <w:r w:rsidR="00A923DF">
        <w:rPr>
          <w:sz w:val="26"/>
          <w:szCs w:val="26"/>
        </w:rPr>
        <w:t xml:space="preserve"> and the </w:t>
      </w:r>
      <w:r w:rsidR="00B442E5" w:rsidRPr="00B442E5">
        <w:rPr>
          <w:sz w:val="26"/>
          <w:szCs w:val="26"/>
        </w:rPr>
        <w:t xml:space="preserve">testimony of one </w:t>
      </w:r>
      <w:r w:rsidR="00457983">
        <w:rPr>
          <w:sz w:val="26"/>
          <w:szCs w:val="26"/>
        </w:rPr>
        <w:t xml:space="preserve">other </w:t>
      </w:r>
      <w:r w:rsidR="00B442E5" w:rsidRPr="00B442E5">
        <w:rPr>
          <w:sz w:val="26"/>
          <w:szCs w:val="26"/>
        </w:rPr>
        <w:t xml:space="preserve">witness. </w:t>
      </w:r>
      <w:r w:rsidR="00457983">
        <w:rPr>
          <w:sz w:val="26"/>
          <w:szCs w:val="26"/>
        </w:rPr>
        <w:t xml:space="preserve"> </w:t>
      </w:r>
      <w:r w:rsidR="00B442E5" w:rsidRPr="00B442E5">
        <w:rPr>
          <w:sz w:val="26"/>
          <w:szCs w:val="26"/>
        </w:rPr>
        <w:t>The Complainant and his witness sponsored a total of eight exhibits which were admitted into the record subject to certain obj</w:t>
      </w:r>
      <w:r w:rsidR="00457983">
        <w:rPr>
          <w:sz w:val="26"/>
          <w:szCs w:val="26"/>
        </w:rPr>
        <w:t>ections lodged by the Company</w:t>
      </w:r>
      <w:r w:rsidR="00B442E5" w:rsidRPr="00B442E5">
        <w:rPr>
          <w:sz w:val="26"/>
          <w:szCs w:val="26"/>
        </w:rPr>
        <w:t xml:space="preserve">. </w:t>
      </w:r>
      <w:r w:rsidR="0082790D">
        <w:rPr>
          <w:sz w:val="26"/>
          <w:szCs w:val="26"/>
        </w:rPr>
        <w:t xml:space="preserve"> </w:t>
      </w:r>
      <w:r w:rsidR="00457983">
        <w:rPr>
          <w:sz w:val="26"/>
          <w:szCs w:val="26"/>
        </w:rPr>
        <w:t xml:space="preserve">PECO was </w:t>
      </w:r>
      <w:r w:rsidR="00B442E5" w:rsidRPr="00B442E5">
        <w:rPr>
          <w:sz w:val="26"/>
          <w:szCs w:val="26"/>
        </w:rPr>
        <w:t xml:space="preserve">represented </w:t>
      </w:r>
      <w:r w:rsidR="00457983">
        <w:rPr>
          <w:sz w:val="26"/>
          <w:szCs w:val="26"/>
        </w:rPr>
        <w:t>by counsel</w:t>
      </w:r>
      <w:r>
        <w:rPr>
          <w:sz w:val="26"/>
          <w:szCs w:val="26"/>
        </w:rPr>
        <w:t xml:space="preserve"> and</w:t>
      </w:r>
      <w:r w:rsidR="00B442E5" w:rsidRPr="00B442E5">
        <w:rPr>
          <w:sz w:val="26"/>
          <w:szCs w:val="26"/>
        </w:rPr>
        <w:t xml:space="preserve"> presented </w:t>
      </w:r>
      <w:r>
        <w:rPr>
          <w:sz w:val="26"/>
          <w:szCs w:val="26"/>
        </w:rPr>
        <w:t xml:space="preserve">the testimony of </w:t>
      </w:r>
      <w:r w:rsidR="00B442E5" w:rsidRPr="00B442E5">
        <w:rPr>
          <w:sz w:val="26"/>
          <w:szCs w:val="26"/>
        </w:rPr>
        <w:t xml:space="preserve">two witnesses who </w:t>
      </w:r>
      <w:r w:rsidR="00B442E5" w:rsidRPr="00B442E5">
        <w:rPr>
          <w:sz w:val="26"/>
          <w:szCs w:val="26"/>
        </w:rPr>
        <w:lastRenderedPageBreak/>
        <w:t>spon</w:t>
      </w:r>
      <w:r w:rsidR="00457983">
        <w:rPr>
          <w:sz w:val="26"/>
          <w:szCs w:val="26"/>
        </w:rPr>
        <w:t>sored eleven</w:t>
      </w:r>
      <w:r w:rsidR="00B442E5" w:rsidRPr="00B442E5">
        <w:rPr>
          <w:sz w:val="26"/>
          <w:szCs w:val="26"/>
        </w:rPr>
        <w:t xml:space="preserve"> exhibits that were admitted into the record. </w:t>
      </w:r>
      <w:r w:rsidR="00457983">
        <w:rPr>
          <w:sz w:val="26"/>
          <w:szCs w:val="26"/>
        </w:rPr>
        <w:t xml:space="preserve"> </w:t>
      </w:r>
      <w:r>
        <w:rPr>
          <w:sz w:val="26"/>
          <w:szCs w:val="26"/>
        </w:rPr>
        <w:t xml:space="preserve">The record in this proceeding consists of a transcript </w:t>
      </w:r>
      <w:r w:rsidR="00B442E5" w:rsidRPr="00B442E5">
        <w:rPr>
          <w:sz w:val="26"/>
          <w:szCs w:val="26"/>
        </w:rPr>
        <w:t xml:space="preserve">of </w:t>
      </w:r>
      <w:r>
        <w:rPr>
          <w:sz w:val="26"/>
          <w:szCs w:val="26"/>
        </w:rPr>
        <w:t>eighty</w:t>
      </w:r>
      <w:r w:rsidR="00B442E5" w:rsidRPr="00B442E5">
        <w:rPr>
          <w:sz w:val="26"/>
          <w:szCs w:val="26"/>
        </w:rPr>
        <w:t xml:space="preserve"> pages</w:t>
      </w:r>
      <w:r>
        <w:rPr>
          <w:sz w:val="26"/>
          <w:szCs w:val="26"/>
        </w:rPr>
        <w:t xml:space="preserve"> and the nineteen exhibits</w:t>
      </w:r>
      <w:r w:rsidR="00B442E5" w:rsidRPr="00B442E5">
        <w:rPr>
          <w:sz w:val="26"/>
          <w:szCs w:val="26"/>
        </w:rPr>
        <w:t xml:space="preserve">. </w:t>
      </w:r>
      <w:r w:rsidR="00F5648E">
        <w:rPr>
          <w:sz w:val="26"/>
          <w:szCs w:val="26"/>
        </w:rPr>
        <w:t xml:space="preserve"> </w:t>
      </w:r>
      <w:r w:rsidR="00B442E5" w:rsidRPr="00B442E5">
        <w:rPr>
          <w:sz w:val="26"/>
          <w:szCs w:val="26"/>
        </w:rPr>
        <w:t xml:space="preserve">The record </w:t>
      </w:r>
      <w:r>
        <w:rPr>
          <w:sz w:val="26"/>
          <w:szCs w:val="26"/>
        </w:rPr>
        <w:t xml:space="preserve">was </w:t>
      </w:r>
      <w:r w:rsidR="00B442E5" w:rsidRPr="00B442E5">
        <w:rPr>
          <w:sz w:val="26"/>
          <w:szCs w:val="26"/>
        </w:rPr>
        <w:t>closed on February 28, 2017, the date the transcript was filed with the Secretary’s Bureau.</w:t>
      </w:r>
    </w:p>
    <w:p w14:paraId="5134DEE3" w14:textId="77777777" w:rsidR="005E1B06" w:rsidRDefault="005E1B06" w:rsidP="00D73310">
      <w:pPr>
        <w:widowControl/>
        <w:spacing w:line="360" w:lineRule="auto"/>
        <w:ind w:firstLine="1440"/>
        <w:rPr>
          <w:sz w:val="26"/>
          <w:szCs w:val="26"/>
        </w:rPr>
      </w:pPr>
    </w:p>
    <w:p w14:paraId="745783B4" w14:textId="77777777" w:rsidR="005E1B06" w:rsidRDefault="005E1B06" w:rsidP="00D73310">
      <w:pPr>
        <w:widowControl/>
        <w:spacing w:line="360" w:lineRule="auto"/>
        <w:ind w:firstLine="1440"/>
        <w:rPr>
          <w:sz w:val="26"/>
          <w:szCs w:val="26"/>
        </w:rPr>
      </w:pPr>
      <w:r>
        <w:rPr>
          <w:sz w:val="26"/>
          <w:szCs w:val="26"/>
        </w:rPr>
        <w:t>On May 17, 2017, the ALJ’s Initial Decision was issued.  The ALJ concluded that the Complainant failed to establish by a preponderance of the evidence that PECO violated the Public Utility Code (Code) or Commission Regulations relative to the power outage and associated electrical surge at the Complainant’s residence.  As such, the ALJ denied the Complaint.</w:t>
      </w:r>
      <w:r w:rsidR="00B15DEF">
        <w:rPr>
          <w:sz w:val="26"/>
          <w:szCs w:val="26"/>
        </w:rPr>
        <w:t xml:space="preserve">  No </w:t>
      </w:r>
      <w:r w:rsidR="0082790D">
        <w:rPr>
          <w:sz w:val="26"/>
          <w:szCs w:val="26"/>
        </w:rPr>
        <w:t>E</w:t>
      </w:r>
      <w:r w:rsidR="00B15DEF">
        <w:rPr>
          <w:sz w:val="26"/>
          <w:szCs w:val="26"/>
        </w:rPr>
        <w:t>xceptions were filed with the Commission.</w:t>
      </w:r>
    </w:p>
    <w:p w14:paraId="5C64770A" w14:textId="77777777" w:rsidR="0030591A" w:rsidRDefault="0030591A" w:rsidP="00D73310">
      <w:pPr>
        <w:widowControl/>
        <w:spacing w:line="360" w:lineRule="auto"/>
        <w:ind w:firstLine="1440"/>
        <w:rPr>
          <w:sz w:val="26"/>
          <w:szCs w:val="26"/>
        </w:rPr>
      </w:pPr>
    </w:p>
    <w:p w14:paraId="1537B525" w14:textId="77777777" w:rsidR="0030591A" w:rsidRDefault="0030591A" w:rsidP="00D73310">
      <w:pPr>
        <w:keepNext/>
        <w:keepLines/>
        <w:widowControl/>
        <w:spacing w:line="360" w:lineRule="auto"/>
        <w:jc w:val="center"/>
        <w:rPr>
          <w:b/>
          <w:sz w:val="26"/>
          <w:szCs w:val="26"/>
        </w:rPr>
      </w:pPr>
      <w:r>
        <w:rPr>
          <w:b/>
          <w:sz w:val="26"/>
          <w:szCs w:val="26"/>
        </w:rPr>
        <w:t>Background</w:t>
      </w:r>
    </w:p>
    <w:p w14:paraId="152CFF3F" w14:textId="77777777" w:rsidR="0030591A" w:rsidRDefault="0030591A" w:rsidP="00D73310">
      <w:pPr>
        <w:keepNext/>
        <w:keepLines/>
        <w:widowControl/>
        <w:spacing w:line="360" w:lineRule="auto"/>
        <w:rPr>
          <w:b/>
          <w:sz w:val="26"/>
          <w:szCs w:val="26"/>
        </w:rPr>
      </w:pPr>
    </w:p>
    <w:p w14:paraId="7A48CD34" w14:textId="690D1F13" w:rsidR="00F2326D" w:rsidRDefault="0030591A" w:rsidP="00D73310">
      <w:pPr>
        <w:widowControl/>
        <w:spacing w:line="360" w:lineRule="auto"/>
        <w:rPr>
          <w:sz w:val="26"/>
          <w:szCs w:val="26"/>
        </w:rPr>
      </w:pPr>
      <w:r>
        <w:rPr>
          <w:b/>
          <w:sz w:val="26"/>
          <w:szCs w:val="26"/>
        </w:rPr>
        <w:tab/>
      </w:r>
      <w:r>
        <w:rPr>
          <w:b/>
          <w:sz w:val="26"/>
          <w:szCs w:val="26"/>
        </w:rPr>
        <w:tab/>
      </w:r>
      <w:r w:rsidRPr="0030591A">
        <w:rPr>
          <w:sz w:val="26"/>
          <w:szCs w:val="26"/>
        </w:rPr>
        <w:t>On August 27, 2015, a primary electric wire outside of the Complainant’s residence came down</w:t>
      </w:r>
      <w:r w:rsidR="00F5648E">
        <w:rPr>
          <w:sz w:val="26"/>
          <w:szCs w:val="26"/>
        </w:rPr>
        <w:t xml:space="preserve"> and made c</w:t>
      </w:r>
      <w:r w:rsidR="00631656">
        <w:rPr>
          <w:sz w:val="26"/>
          <w:szCs w:val="26"/>
        </w:rPr>
        <w:t xml:space="preserve">ontact with </w:t>
      </w:r>
      <w:r w:rsidR="00F5648E">
        <w:rPr>
          <w:sz w:val="26"/>
          <w:szCs w:val="26"/>
        </w:rPr>
        <w:t xml:space="preserve">the </w:t>
      </w:r>
      <w:r w:rsidR="00631656">
        <w:rPr>
          <w:sz w:val="26"/>
          <w:szCs w:val="26"/>
        </w:rPr>
        <w:t>secondary wires below it</w:t>
      </w:r>
      <w:r w:rsidR="00F5648E">
        <w:rPr>
          <w:sz w:val="26"/>
          <w:szCs w:val="26"/>
        </w:rPr>
        <w:t xml:space="preserve"> caus</w:t>
      </w:r>
      <w:r w:rsidR="00983DD3">
        <w:rPr>
          <w:sz w:val="26"/>
          <w:szCs w:val="26"/>
        </w:rPr>
        <w:t xml:space="preserve">ing </w:t>
      </w:r>
      <w:r w:rsidR="00631656">
        <w:rPr>
          <w:sz w:val="26"/>
          <w:szCs w:val="26"/>
        </w:rPr>
        <w:t xml:space="preserve">high voltage electricity to arc </w:t>
      </w:r>
      <w:r w:rsidR="005C029A">
        <w:rPr>
          <w:sz w:val="26"/>
          <w:szCs w:val="26"/>
        </w:rPr>
        <w:t>into the lower voltage secondary wires.  Findings of Fact (FOF) Nos. 13 and 14.  This high voltage electricity flowed into the adjoining transformer causing it to explode, then flowed into the Complainant’s residence as an electrical surge and damaged or destroyed various electronic items in the Complainant’s home.</w:t>
      </w:r>
      <w:r w:rsidRPr="0030591A">
        <w:rPr>
          <w:sz w:val="26"/>
          <w:szCs w:val="26"/>
        </w:rPr>
        <w:t xml:space="preserve"> </w:t>
      </w:r>
      <w:r w:rsidR="005C029A">
        <w:rPr>
          <w:sz w:val="26"/>
          <w:szCs w:val="26"/>
        </w:rPr>
        <w:t xml:space="preserve"> Tr. at 33</w:t>
      </w:r>
      <w:r w:rsidR="0082790D">
        <w:rPr>
          <w:sz w:val="26"/>
          <w:szCs w:val="26"/>
        </w:rPr>
        <w:t>;</w:t>
      </w:r>
      <w:r w:rsidR="005C029A">
        <w:rPr>
          <w:sz w:val="26"/>
          <w:szCs w:val="26"/>
        </w:rPr>
        <w:t xml:space="preserve"> FOF Nos. 15, 16 and 18.</w:t>
      </w:r>
      <w:r w:rsidR="00A173AD">
        <w:rPr>
          <w:sz w:val="26"/>
          <w:szCs w:val="26"/>
        </w:rPr>
        <w:t xml:space="preserve">  The Complainant provided an itemization of the estimated cost to repair or replace the damaged items which totaled approximately $24, 579.72.  Tr. at</w:t>
      </w:r>
      <w:r w:rsidR="00983DD3">
        <w:rPr>
          <w:sz w:val="26"/>
          <w:szCs w:val="26"/>
        </w:rPr>
        <w:t> </w:t>
      </w:r>
      <w:r w:rsidR="00A173AD">
        <w:rPr>
          <w:sz w:val="26"/>
          <w:szCs w:val="26"/>
        </w:rPr>
        <w:t>10</w:t>
      </w:r>
      <w:r w:rsidR="0082790D">
        <w:rPr>
          <w:sz w:val="26"/>
          <w:szCs w:val="26"/>
        </w:rPr>
        <w:t>;</w:t>
      </w:r>
      <w:r w:rsidR="00A173AD">
        <w:rPr>
          <w:sz w:val="26"/>
          <w:szCs w:val="26"/>
        </w:rPr>
        <w:t xml:space="preserve"> FOF No. 19.</w:t>
      </w:r>
    </w:p>
    <w:p w14:paraId="55F5425E" w14:textId="77777777" w:rsidR="00F2326D" w:rsidRDefault="00F2326D" w:rsidP="00D73310">
      <w:pPr>
        <w:widowControl/>
        <w:spacing w:line="360" w:lineRule="auto"/>
        <w:rPr>
          <w:sz w:val="26"/>
          <w:szCs w:val="26"/>
        </w:rPr>
      </w:pPr>
    </w:p>
    <w:p w14:paraId="3D00015E" w14:textId="2EF62B9F" w:rsidR="00F2326D" w:rsidRDefault="00983DD3" w:rsidP="00D73310">
      <w:pPr>
        <w:widowControl/>
        <w:spacing w:line="360" w:lineRule="auto"/>
        <w:ind w:firstLine="1440"/>
        <w:rPr>
          <w:sz w:val="26"/>
          <w:szCs w:val="26"/>
        </w:rPr>
      </w:pPr>
      <w:r>
        <w:rPr>
          <w:sz w:val="26"/>
          <w:szCs w:val="26"/>
        </w:rPr>
        <w:t>Because of</w:t>
      </w:r>
      <w:r w:rsidR="00F2326D">
        <w:rPr>
          <w:sz w:val="26"/>
          <w:szCs w:val="26"/>
        </w:rPr>
        <w:t xml:space="preserve"> the damaged caused by this incident, t</w:t>
      </w:r>
      <w:r w:rsidR="00A173AD">
        <w:rPr>
          <w:sz w:val="26"/>
          <w:szCs w:val="26"/>
        </w:rPr>
        <w:t>he Complainant filed a claim with his property insurance carrier</w:t>
      </w:r>
      <w:r w:rsidR="0082790D">
        <w:rPr>
          <w:sz w:val="26"/>
          <w:szCs w:val="26"/>
        </w:rPr>
        <w:t>,</w:t>
      </w:r>
      <w:r w:rsidR="00A173AD">
        <w:rPr>
          <w:sz w:val="26"/>
          <w:szCs w:val="26"/>
        </w:rPr>
        <w:t xml:space="preserve"> but th</w:t>
      </w:r>
      <w:r w:rsidR="0082790D">
        <w:rPr>
          <w:sz w:val="26"/>
          <w:szCs w:val="26"/>
        </w:rPr>
        <w:t>e claim</w:t>
      </w:r>
      <w:r w:rsidR="00A173AD">
        <w:rPr>
          <w:sz w:val="26"/>
          <w:szCs w:val="26"/>
        </w:rPr>
        <w:t xml:space="preserve"> was rejected </w:t>
      </w:r>
      <w:r w:rsidR="0082790D">
        <w:rPr>
          <w:sz w:val="26"/>
          <w:szCs w:val="26"/>
        </w:rPr>
        <w:t>because the damage was</w:t>
      </w:r>
      <w:r w:rsidR="00A173AD">
        <w:rPr>
          <w:sz w:val="26"/>
          <w:szCs w:val="26"/>
        </w:rPr>
        <w:t xml:space="preserve"> not covered under his policy.  Tr. at 24</w:t>
      </w:r>
      <w:r w:rsidR="0082790D">
        <w:rPr>
          <w:sz w:val="26"/>
          <w:szCs w:val="26"/>
        </w:rPr>
        <w:t>;</w:t>
      </w:r>
      <w:r w:rsidR="00A173AD">
        <w:rPr>
          <w:sz w:val="26"/>
          <w:szCs w:val="26"/>
        </w:rPr>
        <w:t xml:space="preserve"> FOF No. 20.  The Complainant then filed a claim with PECO for damages upon which PECO investigated the incident but could not determine why the primary wire had failed or fallen.  Tr. at 33</w:t>
      </w:r>
      <w:r w:rsidR="0082790D">
        <w:rPr>
          <w:sz w:val="26"/>
          <w:szCs w:val="26"/>
        </w:rPr>
        <w:t>;</w:t>
      </w:r>
      <w:r w:rsidR="00A173AD">
        <w:rPr>
          <w:sz w:val="26"/>
          <w:szCs w:val="26"/>
        </w:rPr>
        <w:t xml:space="preserve"> FOF Nos. 21-22.  According to PECO, this portion of its circuit was </w:t>
      </w:r>
      <w:r w:rsidR="00227FCA">
        <w:rPr>
          <w:sz w:val="26"/>
          <w:szCs w:val="26"/>
        </w:rPr>
        <w:t xml:space="preserve">inspected on May 28, 2015, but this </w:t>
      </w:r>
      <w:r w:rsidR="00227FCA">
        <w:rPr>
          <w:sz w:val="26"/>
          <w:szCs w:val="26"/>
        </w:rPr>
        <w:lastRenderedPageBreak/>
        <w:t>inspection did not reveal any defects or issues with the pole, the transformer or the wires.  Tr. at 52-53</w:t>
      </w:r>
      <w:r w:rsidR="0082790D">
        <w:rPr>
          <w:sz w:val="26"/>
          <w:szCs w:val="26"/>
        </w:rPr>
        <w:t>;</w:t>
      </w:r>
      <w:r w:rsidR="00227FCA">
        <w:rPr>
          <w:sz w:val="26"/>
          <w:szCs w:val="26"/>
        </w:rPr>
        <w:t xml:space="preserve"> FOF Nos. 11-12.</w:t>
      </w:r>
      <w:r w:rsidR="00F2326D">
        <w:rPr>
          <w:sz w:val="26"/>
          <w:szCs w:val="26"/>
        </w:rPr>
        <w:t xml:space="preserve">  However, PECO accepted liability for the incident at the Complainant’s residence, but its tariff in effect at the time provided a limitation of liability of $500.  Tr. at 9 and 36</w:t>
      </w:r>
      <w:r w:rsidR="0082790D">
        <w:rPr>
          <w:sz w:val="26"/>
          <w:szCs w:val="26"/>
        </w:rPr>
        <w:t>;</w:t>
      </w:r>
      <w:r w:rsidR="00F2326D">
        <w:rPr>
          <w:sz w:val="26"/>
          <w:szCs w:val="26"/>
        </w:rPr>
        <w:t xml:space="preserve"> FOF Nos. 24-26.</w:t>
      </w:r>
    </w:p>
    <w:p w14:paraId="4441383B" w14:textId="77777777" w:rsidR="00FA40FE" w:rsidRDefault="00FA40FE" w:rsidP="00D73310">
      <w:pPr>
        <w:widowControl/>
        <w:spacing w:line="360" w:lineRule="auto"/>
        <w:rPr>
          <w:sz w:val="26"/>
          <w:szCs w:val="26"/>
        </w:rPr>
      </w:pPr>
    </w:p>
    <w:p w14:paraId="15171B69" w14:textId="77777777" w:rsidR="00FA40FE" w:rsidRDefault="00FA40FE" w:rsidP="00D73310">
      <w:pPr>
        <w:keepNext/>
        <w:keepLines/>
        <w:widowControl/>
        <w:autoSpaceDE w:val="0"/>
        <w:autoSpaceDN w:val="0"/>
        <w:adjustRightInd w:val="0"/>
        <w:spacing w:line="360" w:lineRule="auto"/>
        <w:jc w:val="center"/>
        <w:rPr>
          <w:rFonts w:eastAsiaTheme="minorHAnsi"/>
          <w:b/>
          <w:color w:val="000000"/>
          <w:sz w:val="26"/>
          <w:szCs w:val="26"/>
        </w:rPr>
      </w:pPr>
      <w:r>
        <w:rPr>
          <w:rFonts w:eastAsiaTheme="minorHAnsi"/>
          <w:b/>
          <w:color w:val="000000"/>
          <w:sz w:val="26"/>
          <w:szCs w:val="26"/>
        </w:rPr>
        <w:t>Discussion</w:t>
      </w:r>
    </w:p>
    <w:p w14:paraId="328334CE" w14:textId="77777777" w:rsidR="00FA40FE" w:rsidRDefault="00FA40FE" w:rsidP="00D73310">
      <w:pPr>
        <w:keepNext/>
        <w:keepLines/>
        <w:widowControl/>
        <w:autoSpaceDE w:val="0"/>
        <w:autoSpaceDN w:val="0"/>
        <w:adjustRightInd w:val="0"/>
        <w:spacing w:line="360" w:lineRule="auto"/>
        <w:rPr>
          <w:rFonts w:eastAsiaTheme="minorHAnsi"/>
          <w:color w:val="000000"/>
          <w:sz w:val="26"/>
          <w:szCs w:val="26"/>
        </w:rPr>
      </w:pPr>
    </w:p>
    <w:p w14:paraId="6E8D9C5F" w14:textId="77777777" w:rsidR="00FA40FE" w:rsidRDefault="00FA40FE" w:rsidP="00D73310">
      <w:pPr>
        <w:keepNext/>
        <w:keepLines/>
        <w:widowControl/>
        <w:autoSpaceDE w:val="0"/>
        <w:autoSpaceDN w:val="0"/>
        <w:adjustRightInd w:val="0"/>
        <w:spacing w:line="360" w:lineRule="auto"/>
        <w:rPr>
          <w:rFonts w:eastAsiaTheme="minorHAnsi"/>
          <w:color w:val="000000"/>
          <w:sz w:val="26"/>
          <w:szCs w:val="26"/>
        </w:rPr>
      </w:pPr>
      <w:r>
        <w:rPr>
          <w:rFonts w:eastAsiaTheme="minorHAnsi"/>
          <w:b/>
          <w:color w:val="000000"/>
          <w:sz w:val="26"/>
          <w:szCs w:val="26"/>
        </w:rPr>
        <w:t>Legal Standards</w:t>
      </w:r>
    </w:p>
    <w:p w14:paraId="49B4EB09" w14:textId="77777777" w:rsidR="00FA40FE" w:rsidRDefault="00FA40FE" w:rsidP="00D73310">
      <w:pPr>
        <w:keepNext/>
        <w:keepLines/>
        <w:widowControl/>
        <w:autoSpaceDE w:val="0"/>
        <w:autoSpaceDN w:val="0"/>
        <w:adjustRightInd w:val="0"/>
        <w:spacing w:line="360" w:lineRule="auto"/>
        <w:rPr>
          <w:rFonts w:eastAsiaTheme="minorHAnsi"/>
          <w:color w:val="000000"/>
          <w:sz w:val="26"/>
          <w:szCs w:val="26"/>
        </w:rPr>
      </w:pPr>
    </w:p>
    <w:p w14:paraId="3CA9A24B" w14:textId="2832FB2F" w:rsidR="00FA40FE" w:rsidRPr="00D64605" w:rsidRDefault="00FA40FE" w:rsidP="00D73310">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Code, 66 Pa. C.S. § 332(a).  To establish a sufficient case and satisfy the burden of proof, the Complainant must show that the Respondent is responsible or accountable for the problem described in the Complaint.  </w:t>
      </w:r>
      <w:r w:rsidRPr="00D64605">
        <w:rPr>
          <w:i/>
          <w:sz w:val="26"/>
          <w:szCs w:val="26"/>
        </w:rPr>
        <w:t>Patterson v. The Bell Telephone Company of Pennsylvania</w:t>
      </w:r>
      <w:r w:rsidRPr="00D64605">
        <w:rPr>
          <w:sz w:val="26"/>
          <w:szCs w:val="26"/>
        </w:rPr>
        <w:t xml:space="preserve">, 72 Pa. P.U.C. 196 (1990).  Such a showing must be by a preponderance of the evidence.  </w:t>
      </w:r>
      <w:r w:rsidRPr="00D64605">
        <w:rPr>
          <w:i/>
          <w:iCs/>
          <w:sz w:val="26"/>
          <w:szCs w:val="26"/>
        </w:rPr>
        <w:t>Samuel J. Lansberry, Inc. v. Pa. PUC</w:t>
      </w:r>
      <w:r w:rsidRPr="00D64605">
        <w:rPr>
          <w:sz w:val="26"/>
          <w:szCs w:val="26"/>
        </w:rPr>
        <w:t xml:space="preserve">, 578 A.2d 600 (Pa. Cmwlth. 1990), </w:t>
      </w:r>
      <w:r w:rsidRPr="00D64605">
        <w:rPr>
          <w:i/>
          <w:sz w:val="26"/>
          <w:szCs w:val="26"/>
        </w:rPr>
        <w:t>alloc. denied,</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r w:rsidRPr="00D64605">
        <w:rPr>
          <w:i/>
          <w:sz w:val="26"/>
          <w:szCs w:val="26"/>
        </w:rPr>
        <w:t>Se-Ling Hosiery, Inc. v. Margulies</w:t>
      </w:r>
      <w:r w:rsidRPr="00D6460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64605">
        <w:rPr>
          <w:i/>
          <w:sz w:val="26"/>
          <w:szCs w:val="26"/>
        </w:rPr>
        <w:t xml:space="preserve">Norfolk &amp; Western Ry. Co. v. Pa. PUC, </w:t>
      </w:r>
      <w:r w:rsidRPr="00D64605">
        <w:rPr>
          <w:sz w:val="26"/>
          <w:szCs w:val="26"/>
        </w:rPr>
        <w:t>489 Pa. 109, 413 A.2d 1037 (1980).</w:t>
      </w:r>
    </w:p>
    <w:p w14:paraId="52C3F1E9" w14:textId="77777777" w:rsidR="00FA40FE" w:rsidRPr="00D64605" w:rsidRDefault="00FA40FE" w:rsidP="00D73310">
      <w:pPr>
        <w:widowControl/>
        <w:spacing w:line="360" w:lineRule="auto"/>
        <w:rPr>
          <w:sz w:val="26"/>
          <w:szCs w:val="26"/>
        </w:rPr>
      </w:pPr>
    </w:p>
    <w:p w14:paraId="4224493E" w14:textId="77777777" w:rsidR="00FA40FE" w:rsidRDefault="00FA40FE" w:rsidP="00D73310">
      <w:pPr>
        <w:widowControl/>
        <w:autoSpaceDE w:val="0"/>
        <w:autoSpaceDN w:val="0"/>
        <w:adjustRightInd w:val="0"/>
        <w:spacing w:line="360" w:lineRule="auto"/>
        <w:ind w:firstLine="1440"/>
        <w:rPr>
          <w:sz w:val="26"/>
        </w:rPr>
      </w:pPr>
      <w:r>
        <w:rPr>
          <w:sz w:val="26"/>
        </w:rPr>
        <w:t>Upon the presentation by a c</w:t>
      </w:r>
      <w:r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Pr="00D64605">
        <w:rPr>
          <w:sz w:val="26"/>
        </w:rPr>
        <w:t xml:space="preserve">omplainant </w:t>
      </w:r>
      <w:r>
        <w:rPr>
          <w:sz w:val="26"/>
        </w:rPr>
        <w:t>shifts to the r</w:t>
      </w:r>
      <w:r w:rsidRPr="00D64605">
        <w:rPr>
          <w:sz w:val="26"/>
        </w:rPr>
        <w:t>espondent.  If</w:t>
      </w:r>
      <w:r>
        <w:rPr>
          <w:sz w:val="26"/>
        </w:rPr>
        <w:t xml:space="preserve"> the evidence presented by the r</w:t>
      </w:r>
      <w:r w:rsidRPr="00D64605">
        <w:rPr>
          <w:sz w:val="26"/>
        </w:rPr>
        <w:t>espondent is of co-equal value or “weight,” the burden of proo</w:t>
      </w:r>
      <w:r>
        <w:rPr>
          <w:sz w:val="26"/>
        </w:rPr>
        <w:t>f has not been satisfied.  The c</w:t>
      </w:r>
      <w:r w:rsidRPr="00D64605">
        <w:rPr>
          <w:sz w:val="26"/>
        </w:rPr>
        <w:t xml:space="preserve">omplainant now has to provide some </w:t>
      </w:r>
      <w:r w:rsidRPr="00D64605">
        <w:rPr>
          <w:sz w:val="26"/>
        </w:rPr>
        <w:lastRenderedPageBreak/>
        <w:t>additional</w:t>
      </w:r>
      <w:r>
        <w:rPr>
          <w:sz w:val="26"/>
        </w:rPr>
        <w:t xml:space="preserve"> evidence to rebut that of the r</w:t>
      </w:r>
      <w:r w:rsidRPr="00D64605">
        <w:rPr>
          <w:sz w:val="26"/>
        </w:rPr>
        <w:t xml:space="preserve">espondent. </w:t>
      </w:r>
      <w:r w:rsidRPr="00D64605">
        <w:rPr>
          <w:iCs/>
          <w:sz w:val="26"/>
        </w:rPr>
        <w:t xml:space="preserve"> </w:t>
      </w:r>
      <w:hyperlink r:id="rId7" w:history="1">
        <w:r w:rsidRPr="007F1186">
          <w:rPr>
            <w:rStyle w:val="Hyperlink"/>
            <w:rFonts w:ascii="Times New (W1)" w:hAnsi="Times New (W1)"/>
            <w:i/>
            <w:iCs/>
            <w:color w:val="auto"/>
            <w:sz w:val="26"/>
            <w:u w:val="none"/>
          </w:rPr>
          <w:t>Burleson v. Pa. PUC,</w:t>
        </w:r>
        <w:r w:rsidRPr="007F1186">
          <w:rPr>
            <w:rStyle w:val="Hyperlink"/>
            <w:rFonts w:ascii="Times New (W1)" w:hAnsi="Times New (W1)"/>
            <w:iCs/>
            <w:color w:val="auto"/>
            <w:sz w:val="26"/>
            <w:u w:val="none"/>
          </w:rPr>
          <w:t xml:space="preserve"> 443 A.2d 1373 (Pa. Cmwlth. 1982), </w:t>
        </w:r>
        <w:r w:rsidRPr="007F1186">
          <w:rPr>
            <w:rStyle w:val="Hyperlink"/>
            <w:rFonts w:ascii="Times New (W1)" w:hAnsi="Times New (W1)"/>
            <w:i/>
            <w:iCs/>
            <w:color w:val="auto"/>
            <w:sz w:val="26"/>
            <w:u w:val="none"/>
          </w:rPr>
          <w:t>aff’d,</w:t>
        </w:r>
        <w:r w:rsidRPr="007F1186">
          <w:rPr>
            <w:rStyle w:val="Hyperlink"/>
            <w:rFonts w:ascii="Times New (W1)" w:hAnsi="Times New (W1)"/>
            <w:iCs/>
            <w:color w:val="auto"/>
            <w:sz w:val="26"/>
            <w:u w:val="none"/>
          </w:rPr>
          <w:t xml:space="preserve"> 501 Pa. 433, 461 A.2d 1234 (1983).</w:t>
        </w:r>
      </w:hyperlink>
      <w:r w:rsidRPr="007F1186">
        <w:rPr>
          <w:rStyle w:val="Hyperlink"/>
          <w:rFonts w:ascii="Times New (W1)" w:hAnsi="Times New (W1)"/>
          <w:iCs/>
          <w:color w:val="auto"/>
          <w:sz w:val="26"/>
          <w:u w:val="none"/>
        </w:rPr>
        <w:t xml:space="preserve">  </w:t>
      </w:r>
      <w:r w:rsidRPr="00D64605">
        <w:rPr>
          <w:sz w:val="26"/>
        </w:rPr>
        <w:t xml:space="preserve">While the burden of persuasion may </w:t>
      </w:r>
      <w:r w:rsidRPr="007F1186">
        <w:rPr>
          <w:rStyle w:val="term1"/>
          <w:b w:val="0"/>
          <w:sz w:val="26"/>
        </w:rPr>
        <w:t>shift</w:t>
      </w:r>
      <w:r w:rsidRPr="00D64605">
        <w:rPr>
          <w:sz w:val="26"/>
        </w:rPr>
        <w:t xml:space="preserve"> back and forth during a proceeding, the </w:t>
      </w:r>
      <w:r w:rsidRPr="007F1186">
        <w:rPr>
          <w:rStyle w:val="term1"/>
          <w:b w:val="0"/>
          <w:sz w:val="26"/>
        </w:rPr>
        <w:t>burden of proof</w:t>
      </w:r>
      <w:r w:rsidRPr="00D64605">
        <w:rPr>
          <w:sz w:val="26"/>
        </w:rPr>
        <w:t xml:space="preserve"> never </w:t>
      </w:r>
      <w:r w:rsidRPr="007F1186">
        <w:rPr>
          <w:rStyle w:val="term1"/>
          <w:b w:val="0"/>
          <w:sz w:val="26"/>
        </w:rPr>
        <w:t>shifts.  The burden of proof</w:t>
      </w:r>
      <w:r w:rsidRPr="00D64605">
        <w:rPr>
          <w:sz w:val="26"/>
        </w:rPr>
        <w:t xml:space="preserve"> always remains on the party seeking affirmative relief from the Commission.  </w:t>
      </w:r>
      <w:r w:rsidRPr="00D64605">
        <w:rPr>
          <w:i/>
          <w:sz w:val="26"/>
        </w:rPr>
        <w:t xml:space="preserve">Milkie v. Pa. PUC, </w:t>
      </w:r>
      <w:r w:rsidRPr="00D64605">
        <w:rPr>
          <w:sz w:val="26"/>
        </w:rPr>
        <w:t>768 A.2d 1217 (Pa. Cmwlth. 2001).</w:t>
      </w:r>
    </w:p>
    <w:p w14:paraId="051AA1F3" w14:textId="77777777" w:rsidR="00FA40FE" w:rsidRDefault="00FA40FE" w:rsidP="00D73310">
      <w:pPr>
        <w:widowControl/>
        <w:autoSpaceDE w:val="0"/>
        <w:autoSpaceDN w:val="0"/>
        <w:adjustRightInd w:val="0"/>
        <w:spacing w:line="360" w:lineRule="auto"/>
        <w:ind w:firstLine="1440"/>
        <w:rPr>
          <w:sz w:val="26"/>
        </w:rPr>
      </w:pPr>
    </w:p>
    <w:p w14:paraId="71272E57" w14:textId="3667D973" w:rsidR="00FE0225" w:rsidRDefault="00FA40FE" w:rsidP="00D73310">
      <w:pPr>
        <w:keepNext/>
        <w:keepLines/>
        <w:widowControl/>
        <w:autoSpaceDE w:val="0"/>
        <w:autoSpaceDN w:val="0"/>
        <w:adjustRightInd w:val="0"/>
        <w:spacing w:line="360" w:lineRule="auto"/>
        <w:rPr>
          <w:b/>
          <w:color w:val="000000"/>
          <w:sz w:val="26"/>
          <w:szCs w:val="26"/>
        </w:rPr>
      </w:pPr>
      <w:r>
        <w:rPr>
          <w:b/>
          <w:color w:val="000000"/>
          <w:sz w:val="26"/>
          <w:szCs w:val="26"/>
        </w:rPr>
        <w:t>ALJ</w:t>
      </w:r>
      <w:r w:rsidRPr="00D64605">
        <w:rPr>
          <w:b/>
          <w:color w:val="000000"/>
          <w:sz w:val="26"/>
          <w:szCs w:val="26"/>
        </w:rPr>
        <w:t>’s Initial Decision</w:t>
      </w:r>
    </w:p>
    <w:p w14:paraId="0729B519" w14:textId="77777777" w:rsidR="00FE0225" w:rsidRDefault="00FE0225" w:rsidP="00D73310">
      <w:pPr>
        <w:keepNext/>
        <w:keepLines/>
        <w:widowControl/>
        <w:autoSpaceDE w:val="0"/>
        <w:autoSpaceDN w:val="0"/>
        <w:adjustRightInd w:val="0"/>
        <w:spacing w:line="360" w:lineRule="auto"/>
        <w:ind w:firstLine="1440"/>
        <w:rPr>
          <w:b/>
          <w:color w:val="000000"/>
          <w:sz w:val="26"/>
          <w:szCs w:val="26"/>
        </w:rPr>
      </w:pPr>
    </w:p>
    <w:p w14:paraId="66152C5D" w14:textId="34E6CBDB" w:rsidR="00E30C7A" w:rsidRDefault="00FA2909" w:rsidP="00D73310">
      <w:pPr>
        <w:widowControl/>
        <w:autoSpaceDE w:val="0"/>
        <w:autoSpaceDN w:val="0"/>
        <w:adjustRightInd w:val="0"/>
        <w:spacing w:line="360" w:lineRule="auto"/>
        <w:ind w:firstLine="1440"/>
        <w:rPr>
          <w:color w:val="000000"/>
          <w:sz w:val="26"/>
          <w:szCs w:val="26"/>
        </w:rPr>
      </w:pPr>
      <w:r>
        <w:rPr>
          <w:color w:val="000000"/>
          <w:sz w:val="26"/>
          <w:szCs w:val="26"/>
        </w:rPr>
        <w:t>ALJ Myers made twenty-six Findings of Fact and reached ten Conclusions of Law.  I.D. at 3-5, 11-12.  The Findings of Fact and Conclusions of Law are incorporated herein by reference and are adopted without comment unless they are either expressly or by necessary implication rejected or modified by this Opinion and Order.</w:t>
      </w:r>
    </w:p>
    <w:p w14:paraId="5553D309" w14:textId="77777777" w:rsidR="00FA2909" w:rsidRDefault="00FA2909" w:rsidP="00D73310">
      <w:pPr>
        <w:widowControl/>
        <w:spacing w:line="360" w:lineRule="auto"/>
        <w:rPr>
          <w:color w:val="000000"/>
          <w:sz w:val="26"/>
          <w:szCs w:val="26"/>
        </w:rPr>
      </w:pPr>
    </w:p>
    <w:p w14:paraId="0BD3E5A7" w14:textId="5DA440B3" w:rsidR="00FA2909" w:rsidRDefault="00FA2909" w:rsidP="00D73310">
      <w:pPr>
        <w:widowControl/>
        <w:spacing w:line="360" w:lineRule="auto"/>
        <w:rPr>
          <w:color w:val="000000"/>
          <w:sz w:val="26"/>
          <w:szCs w:val="26"/>
        </w:rPr>
      </w:pPr>
      <w:r>
        <w:rPr>
          <w:color w:val="000000"/>
          <w:sz w:val="26"/>
          <w:szCs w:val="26"/>
        </w:rPr>
        <w:tab/>
      </w:r>
      <w:r>
        <w:rPr>
          <w:color w:val="000000"/>
          <w:sz w:val="26"/>
          <w:szCs w:val="26"/>
        </w:rPr>
        <w:tab/>
        <w:t>In his Initial Decision, the ALJ denied the Complaint</w:t>
      </w:r>
      <w:r w:rsidR="001170FE">
        <w:rPr>
          <w:color w:val="000000"/>
          <w:sz w:val="26"/>
          <w:szCs w:val="26"/>
        </w:rPr>
        <w:t>,</w:t>
      </w:r>
      <w:r>
        <w:rPr>
          <w:color w:val="000000"/>
          <w:sz w:val="26"/>
          <w:szCs w:val="26"/>
        </w:rPr>
        <w:t xml:space="preserve"> </w:t>
      </w:r>
      <w:r w:rsidR="001170FE">
        <w:rPr>
          <w:color w:val="000000"/>
          <w:sz w:val="26"/>
          <w:szCs w:val="26"/>
        </w:rPr>
        <w:t>find</w:t>
      </w:r>
      <w:r>
        <w:rPr>
          <w:color w:val="000000"/>
          <w:sz w:val="26"/>
          <w:szCs w:val="26"/>
        </w:rPr>
        <w:t>ing that the Commission has no authority to award damages and the utility’s tariff provisions provide for limitations of liability.  The ALJ stated that there was esse</w:t>
      </w:r>
      <w:r w:rsidR="001F78D5">
        <w:rPr>
          <w:color w:val="000000"/>
          <w:sz w:val="26"/>
          <w:szCs w:val="26"/>
        </w:rPr>
        <w:t>ntially no dispute between the P</w:t>
      </w:r>
      <w:r>
        <w:rPr>
          <w:color w:val="000000"/>
          <w:sz w:val="26"/>
          <w:szCs w:val="26"/>
        </w:rPr>
        <w:t>arties in this proceeding as to the relevant events which transpired</w:t>
      </w:r>
      <w:r w:rsidR="001F78D5">
        <w:rPr>
          <w:color w:val="000000"/>
          <w:sz w:val="26"/>
          <w:szCs w:val="26"/>
        </w:rPr>
        <w:t xml:space="preserve"> outside the Complainant’s home on August 27, 2015.  The ALJ noted that the Parties agreed that high voltage electricity from a primary wire was able to make its way into secondary wires</w:t>
      </w:r>
      <w:r w:rsidR="001170FE">
        <w:rPr>
          <w:color w:val="000000"/>
          <w:sz w:val="26"/>
          <w:szCs w:val="26"/>
        </w:rPr>
        <w:t>,</w:t>
      </w:r>
      <w:r w:rsidR="001F78D5">
        <w:rPr>
          <w:color w:val="000000"/>
          <w:sz w:val="26"/>
          <w:szCs w:val="26"/>
        </w:rPr>
        <w:t xml:space="preserve"> which it then passed through and destroyed a transformer</w:t>
      </w:r>
      <w:r w:rsidR="001170FE">
        <w:rPr>
          <w:color w:val="000000"/>
          <w:sz w:val="26"/>
          <w:szCs w:val="26"/>
        </w:rPr>
        <w:t>,</w:t>
      </w:r>
      <w:r w:rsidR="001F78D5">
        <w:rPr>
          <w:color w:val="000000"/>
          <w:sz w:val="26"/>
          <w:szCs w:val="26"/>
        </w:rPr>
        <w:t xml:space="preserve"> and then passed into the Complainant’s home causing damage to electronics.  As such, the ALJ found that the i</w:t>
      </w:r>
      <w:r w:rsidR="004A2469">
        <w:rPr>
          <w:color w:val="000000"/>
          <w:sz w:val="26"/>
          <w:szCs w:val="26"/>
        </w:rPr>
        <w:t xml:space="preserve">ssues to be answered were: </w:t>
      </w:r>
      <w:r w:rsidR="001170FE">
        <w:rPr>
          <w:color w:val="000000"/>
          <w:sz w:val="26"/>
          <w:szCs w:val="26"/>
        </w:rPr>
        <w:t xml:space="preserve"> </w:t>
      </w:r>
      <w:r w:rsidR="004A2469">
        <w:rPr>
          <w:color w:val="000000"/>
          <w:sz w:val="26"/>
          <w:szCs w:val="26"/>
        </w:rPr>
        <w:t>(1) D</w:t>
      </w:r>
      <w:r w:rsidR="001F78D5">
        <w:rPr>
          <w:color w:val="000000"/>
          <w:sz w:val="26"/>
          <w:szCs w:val="26"/>
        </w:rPr>
        <w:t>id the falling primary wire constitute unreasonable or inadequate</w:t>
      </w:r>
      <w:r w:rsidR="004A2469">
        <w:rPr>
          <w:color w:val="000000"/>
          <w:sz w:val="26"/>
          <w:szCs w:val="26"/>
        </w:rPr>
        <w:t xml:space="preserve"> service,</w:t>
      </w:r>
      <w:r w:rsidR="001F78D5">
        <w:rPr>
          <w:color w:val="000000"/>
          <w:sz w:val="26"/>
          <w:szCs w:val="26"/>
        </w:rPr>
        <w:t xml:space="preserve"> and (2) Can the Commission </w:t>
      </w:r>
      <w:r w:rsidR="00454FF7">
        <w:rPr>
          <w:color w:val="000000"/>
          <w:sz w:val="26"/>
          <w:szCs w:val="26"/>
        </w:rPr>
        <w:t>award the Complainan</w:t>
      </w:r>
      <w:r w:rsidR="004A2469">
        <w:rPr>
          <w:color w:val="000000"/>
          <w:sz w:val="26"/>
          <w:szCs w:val="26"/>
        </w:rPr>
        <w:t>t the monetary damages he seeks.</w:t>
      </w:r>
      <w:r w:rsidR="00454FF7">
        <w:rPr>
          <w:color w:val="000000"/>
          <w:sz w:val="26"/>
          <w:szCs w:val="26"/>
        </w:rPr>
        <w:t xml:space="preserve">  I.D. at 1, 6-7.</w:t>
      </w:r>
    </w:p>
    <w:p w14:paraId="5B1DE1ED" w14:textId="77777777" w:rsidR="004A2469" w:rsidRDefault="004A2469" w:rsidP="00D73310">
      <w:pPr>
        <w:widowControl/>
        <w:spacing w:line="360" w:lineRule="auto"/>
        <w:rPr>
          <w:color w:val="000000"/>
          <w:sz w:val="26"/>
          <w:szCs w:val="26"/>
        </w:rPr>
      </w:pPr>
    </w:p>
    <w:p w14:paraId="24712C06" w14:textId="17BB8E68" w:rsidR="004A2469" w:rsidRDefault="004A2469" w:rsidP="00D73310">
      <w:pPr>
        <w:widowControl/>
        <w:spacing w:line="360" w:lineRule="auto"/>
        <w:rPr>
          <w:color w:val="000000"/>
          <w:sz w:val="26"/>
          <w:szCs w:val="26"/>
        </w:rPr>
      </w:pPr>
      <w:r>
        <w:rPr>
          <w:color w:val="000000"/>
          <w:sz w:val="26"/>
          <w:szCs w:val="26"/>
        </w:rPr>
        <w:tab/>
      </w:r>
      <w:r>
        <w:rPr>
          <w:color w:val="000000"/>
          <w:sz w:val="26"/>
          <w:szCs w:val="26"/>
        </w:rPr>
        <w:tab/>
        <w:t>In consideration of the first issue of unreasonable or inadequate service, the ALJ stated that there was no evidence in the record that PECO had failed to undertake the proactive measures set forth in the Commission’s Regulations at 52 Pa. C</w:t>
      </w:r>
      <w:r w:rsidR="008B7358">
        <w:rPr>
          <w:color w:val="000000"/>
          <w:sz w:val="26"/>
          <w:szCs w:val="26"/>
        </w:rPr>
        <w:t>ode</w:t>
      </w:r>
      <w:r>
        <w:rPr>
          <w:color w:val="000000"/>
          <w:sz w:val="26"/>
          <w:szCs w:val="26"/>
        </w:rPr>
        <w:t xml:space="preserve"> § 57.198 involving inspection and maintenance standards for electric utilities operating in the </w:t>
      </w:r>
      <w:r>
        <w:rPr>
          <w:color w:val="000000"/>
          <w:sz w:val="26"/>
          <w:szCs w:val="26"/>
        </w:rPr>
        <w:lastRenderedPageBreak/>
        <w:t>Commonwealth.  I.D. at 8.</w:t>
      </w:r>
      <w:r w:rsidR="00D928EC">
        <w:rPr>
          <w:color w:val="000000"/>
          <w:sz w:val="26"/>
          <w:szCs w:val="26"/>
        </w:rPr>
        <w:t xml:space="preserve">  According to the ALJ, the August 27, 2015 outage and resulting electrical surge w</w:t>
      </w:r>
      <w:r w:rsidR="00983DD3">
        <w:rPr>
          <w:color w:val="000000"/>
          <w:sz w:val="26"/>
          <w:szCs w:val="26"/>
        </w:rPr>
        <w:t>ere</w:t>
      </w:r>
      <w:r w:rsidR="00D928EC">
        <w:rPr>
          <w:color w:val="000000"/>
          <w:sz w:val="26"/>
          <w:szCs w:val="26"/>
        </w:rPr>
        <w:t xml:space="preserve"> clearly the result</w:t>
      </w:r>
      <w:r w:rsidR="00983DD3">
        <w:rPr>
          <w:color w:val="000000"/>
          <w:sz w:val="26"/>
          <w:szCs w:val="26"/>
        </w:rPr>
        <w:t>s</w:t>
      </w:r>
      <w:r w:rsidR="00D928EC">
        <w:rPr>
          <w:color w:val="000000"/>
          <w:sz w:val="26"/>
          <w:szCs w:val="26"/>
        </w:rPr>
        <w:t xml:space="preserve"> of unforeseen circumstances</w:t>
      </w:r>
      <w:r w:rsidR="008B7358">
        <w:rPr>
          <w:color w:val="000000"/>
          <w:sz w:val="26"/>
          <w:szCs w:val="26"/>
        </w:rPr>
        <w:t>,</w:t>
      </w:r>
      <w:r w:rsidR="00D928EC">
        <w:rPr>
          <w:color w:val="000000"/>
          <w:sz w:val="26"/>
          <w:szCs w:val="26"/>
        </w:rPr>
        <w:t xml:space="preserve"> and PECO cannot be held to have provided inadequate or unreasonable service because it failed to anticipate such unforeseen or unusual circumstances or occurrences.  As such, the ALJ concluded that PECO did not violate 66 Pa. C.S. § 1501 or 52 Pa. C</w:t>
      </w:r>
      <w:r w:rsidR="008B7358">
        <w:rPr>
          <w:color w:val="000000"/>
          <w:sz w:val="26"/>
          <w:szCs w:val="26"/>
        </w:rPr>
        <w:t>ode</w:t>
      </w:r>
      <w:r w:rsidR="00D928EC">
        <w:rPr>
          <w:color w:val="000000"/>
          <w:sz w:val="26"/>
          <w:szCs w:val="26"/>
        </w:rPr>
        <w:t xml:space="preserve"> § 57.198.  I.D. at</w:t>
      </w:r>
      <w:r w:rsidR="00983DD3">
        <w:rPr>
          <w:color w:val="000000"/>
          <w:sz w:val="26"/>
          <w:szCs w:val="26"/>
        </w:rPr>
        <w:t> </w:t>
      </w:r>
      <w:r w:rsidR="00D928EC">
        <w:rPr>
          <w:color w:val="000000"/>
          <w:sz w:val="26"/>
          <w:szCs w:val="26"/>
        </w:rPr>
        <w:t>9.</w:t>
      </w:r>
    </w:p>
    <w:p w14:paraId="24B29D60" w14:textId="77777777" w:rsidR="00BA7185" w:rsidRDefault="00BA7185" w:rsidP="00D73310">
      <w:pPr>
        <w:widowControl/>
        <w:spacing w:line="360" w:lineRule="auto"/>
        <w:rPr>
          <w:color w:val="000000"/>
          <w:sz w:val="26"/>
          <w:szCs w:val="26"/>
        </w:rPr>
      </w:pPr>
    </w:p>
    <w:p w14:paraId="734C3261" w14:textId="4F389E15" w:rsidR="00E82831" w:rsidRDefault="004C56F2" w:rsidP="00D73310">
      <w:pPr>
        <w:widowControl/>
        <w:spacing w:line="360" w:lineRule="auto"/>
        <w:rPr>
          <w:color w:val="000000"/>
          <w:sz w:val="26"/>
          <w:szCs w:val="26"/>
        </w:rPr>
      </w:pPr>
      <w:r>
        <w:rPr>
          <w:color w:val="000000"/>
          <w:sz w:val="26"/>
          <w:szCs w:val="26"/>
        </w:rPr>
        <w:tab/>
      </w:r>
      <w:r>
        <w:rPr>
          <w:color w:val="000000"/>
          <w:sz w:val="26"/>
          <w:szCs w:val="26"/>
        </w:rPr>
        <w:tab/>
        <w:t xml:space="preserve">On consideration of the second issue concerning the award of monetary damages, the ALJ </w:t>
      </w:r>
      <w:r w:rsidR="008B7358">
        <w:rPr>
          <w:color w:val="000000"/>
          <w:sz w:val="26"/>
          <w:szCs w:val="26"/>
        </w:rPr>
        <w:t>found</w:t>
      </w:r>
      <w:r>
        <w:rPr>
          <w:color w:val="000000"/>
          <w:sz w:val="26"/>
          <w:szCs w:val="26"/>
        </w:rPr>
        <w:t xml:space="preserve"> that the Code simply does not grant the Commission the authority to award damages in this case.  The ALJ </w:t>
      </w:r>
      <w:r w:rsidR="008B7358">
        <w:rPr>
          <w:color w:val="000000"/>
          <w:sz w:val="26"/>
          <w:szCs w:val="26"/>
        </w:rPr>
        <w:t>reasoned</w:t>
      </w:r>
      <w:r>
        <w:rPr>
          <w:color w:val="000000"/>
          <w:sz w:val="26"/>
          <w:szCs w:val="26"/>
        </w:rPr>
        <w:t xml:space="preserve"> that there is no question that the Commission lacks authority to award monetary damages.  </w:t>
      </w:r>
      <w:r w:rsidR="008B7358">
        <w:rPr>
          <w:color w:val="000000"/>
          <w:sz w:val="26"/>
          <w:szCs w:val="26"/>
        </w:rPr>
        <w:t>I.D. at 9 (c</w:t>
      </w:r>
      <w:r>
        <w:rPr>
          <w:color w:val="000000"/>
          <w:sz w:val="26"/>
          <w:szCs w:val="26"/>
        </w:rPr>
        <w:t xml:space="preserve">iting </w:t>
      </w:r>
      <w:r>
        <w:rPr>
          <w:i/>
          <w:color w:val="000000"/>
          <w:sz w:val="26"/>
          <w:szCs w:val="26"/>
        </w:rPr>
        <w:t xml:space="preserve">Terminato v. Pa. National Insurance Company, </w:t>
      </w:r>
      <w:r>
        <w:rPr>
          <w:color w:val="000000"/>
          <w:sz w:val="26"/>
          <w:szCs w:val="26"/>
        </w:rPr>
        <w:t>645 A.2d 1287 (P</w:t>
      </w:r>
      <w:r w:rsidRPr="004C56F2">
        <w:rPr>
          <w:color w:val="000000"/>
          <w:sz w:val="26"/>
          <w:szCs w:val="26"/>
        </w:rPr>
        <w:t>a. 1994);</w:t>
      </w:r>
      <w:r>
        <w:rPr>
          <w:color w:val="000000"/>
          <w:sz w:val="26"/>
          <w:szCs w:val="26"/>
        </w:rPr>
        <w:t xml:space="preserve"> </w:t>
      </w:r>
      <w:r>
        <w:rPr>
          <w:i/>
          <w:color w:val="000000"/>
          <w:sz w:val="26"/>
          <w:szCs w:val="26"/>
        </w:rPr>
        <w:t>Feingold v. Bell Telephone Company of Pennsylvania</w:t>
      </w:r>
      <w:r>
        <w:rPr>
          <w:color w:val="000000"/>
          <w:sz w:val="26"/>
          <w:szCs w:val="26"/>
        </w:rPr>
        <w:t xml:space="preserve">, 383 A.2d 791 (Pa. 1977); </w:t>
      </w:r>
      <w:r>
        <w:rPr>
          <w:i/>
          <w:color w:val="000000"/>
          <w:sz w:val="26"/>
          <w:szCs w:val="26"/>
        </w:rPr>
        <w:t>Poorbaugh v. Pa. PUC</w:t>
      </w:r>
      <w:r>
        <w:rPr>
          <w:color w:val="000000"/>
          <w:sz w:val="26"/>
          <w:szCs w:val="26"/>
        </w:rPr>
        <w:t>, 666 A.2d 744 (</w:t>
      </w:r>
      <w:r w:rsidR="008B7358">
        <w:rPr>
          <w:color w:val="000000"/>
          <w:sz w:val="26"/>
          <w:szCs w:val="26"/>
        </w:rPr>
        <w:t xml:space="preserve">Pa. </w:t>
      </w:r>
      <w:r>
        <w:rPr>
          <w:color w:val="000000"/>
          <w:sz w:val="26"/>
          <w:szCs w:val="26"/>
        </w:rPr>
        <w:t>Cmwlth</w:t>
      </w:r>
      <w:r w:rsidR="008B7358">
        <w:rPr>
          <w:color w:val="000000"/>
          <w:sz w:val="26"/>
          <w:szCs w:val="26"/>
        </w:rPr>
        <w:t>.</w:t>
      </w:r>
      <w:r>
        <w:rPr>
          <w:color w:val="000000"/>
          <w:sz w:val="26"/>
          <w:szCs w:val="26"/>
        </w:rPr>
        <w:t xml:space="preserve"> 1995).</w:t>
      </w:r>
      <w:r w:rsidR="00BF188B">
        <w:rPr>
          <w:color w:val="000000"/>
          <w:sz w:val="26"/>
          <w:szCs w:val="26"/>
        </w:rPr>
        <w:t xml:space="preserve">  </w:t>
      </w:r>
      <w:r w:rsidR="00686918">
        <w:rPr>
          <w:color w:val="000000"/>
          <w:sz w:val="26"/>
          <w:szCs w:val="26"/>
        </w:rPr>
        <w:t>The ALJ explain</w:t>
      </w:r>
      <w:r w:rsidR="008B7358">
        <w:rPr>
          <w:color w:val="000000"/>
          <w:sz w:val="26"/>
          <w:szCs w:val="26"/>
        </w:rPr>
        <w:t>ed</w:t>
      </w:r>
      <w:r w:rsidR="00686918">
        <w:rPr>
          <w:color w:val="000000"/>
          <w:sz w:val="26"/>
          <w:szCs w:val="26"/>
        </w:rPr>
        <w:t xml:space="preserve"> that facts alleged in a complaint, if proven true, could constitute unreasonable service in violation of the Code or Commission Regulations, </w:t>
      </w:r>
      <w:r w:rsidR="008B7358">
        <w:rPr>
          <w:color w:val="000000"/>
          <w:sz w:val="26"/>
          <w:szCs w:val="26"/>
        </w:rPr>
        <w:t xml:space="preserve">and, </w:t>
      </w:r>
      <w:r w:rsidR="00686918">
        <w:rPr>
          <w:color w:val="000000"/>
          <w:sz w:val="26"/>
          <w:szCs w:val="26"/>
        </w:rPr>
        <w:t>in that event</w:t>
      </w:r>
      <w:r w:rsidR="00983DD3">
        <w:rPr>
          <w:color w:val="000000"/>
          <w:sz w:val="26"/>
          <w:szCs w:val="26"/>
        </w:rPr>
        <w:t>,</w:t>
      </w:r>
      <w:r w:rsidR="00686918">
        <w:rPr>
          <w:color w:val="000000"/>
          <w:sz w:val="26"/>
          <w:szCs w:val="26"/>
        </w:rPr>
        <w:t xml:space="preserve"> a civil penalty may be appropriate pursuant to 66 Pa. C.S. § 3301, but not an award of monetary damages to a complainant.  I.D. at 9.</w:t>
      </w:r>
    </w:p>
    <w:p w14:paraId="4D35B085" w14:textId="77777777" w:rsidR="00E82831" w:rsidRDefault="00E82831" w:rsidP="00D73310">
      <w:pPr>
        <w:widowControl/>
        <w:spacing w:line="360" w:lineRule="auto"/>
        <w:rPr>
          <w:color w:val="000000"/>
          <w:sz w:val="26"/>
          <w:szCs w:val="26"/>
        </w:rPr>
      </w:pPr>
    </w:p>
    <w:p w14:paraId="1FC1ACC5" w14:textId="47B10281" w:rsidR="004A2469" w:rsidRDefault="00E82831" w:rsidP="00D73310">
      <w:pPr>
        <w:widowControl/>
        <w:spacing w:line="360" w:lineRule="auto"/>
        <w:rPr>
          <w:color w:val="000000"/>
          <w:sz w:val="26"/>
          <w:szCs w:val="26"/>
        </w:rPr>
      </w:pPr>
      <w:r>
        <w:rPr>
          <w:color w:val="000000"/>
          <w:sz w:val="26"/>
          <w:szCs w:val="26"/>
        </w:rPr>
        <w:tab/>
      </w:r>
      <w:r>
        <w:rPr>
          <w:color w:val="000000"/>
          <w:sz w:val="26"/>
          <w:szCs w:val="26"/>
        </w:rPr>
        <w:tab/>
        <w:t>Next, the ALJ state</w:t>
      </w:r>
      <w:r w:rsidR="008B7358">
        <w:rPr>
          <w:color w:val="000000"/>
          <w:sz w:val="26"/>
          <w:szCs w:val="26"/>
        </w:rPr>
        <w:t>d</w:t>
      </w:r>
      <w:r>
        <w:rPr>
          <w:color w:val="000000"/>
          <w:sz w:val="26"/>
          <w:szCs w:val="26"/>
        </w:rPr>
        <w:t xml:space="preserve"> that PECO’s Tariff Rule 12.1 provides that there are limitations of liability for service interruptions and variations and provides for a limitation of $500.  The ALJ </w:t>
      </w:r>
      <w:r w:rsidR="00BE0CFF">
        <w:rPr>
          <w:color w:val="000000"/>
          <w:sz w:val="26"/>
          <w:szCs w:val="26"/>
        </w:rPr>
        <w:t>observed</w:t>
      </w:r>
      <w:r>
        <w:rPr>
          <w:color w:val="000000"/>
          <w:sz w:val="26"/>
          <w:szCs w:val="26"/>
        </w:rPr>
        <w:t xml:space="preserve"> that public utility tariffs have the force and effect of law and are binding on the public utility and its customers.  The ALJ note</w:t>
      </w:r>
      <w:r w:rsidR="00BE0CFF">
        <w:rPr>
          <w:color w:val="000000"/>
          <w:sz w:val="26"/>
          <w:szCs w:val="26"/>
        </w:rPr>
        <w:t>d</w:t>
      </w:r>
      <w:r>
        <w:rPr>
          <w:color w:val="000000"/>
          <w:sz w:val="26"/>
          <w:szCs w:val="26"/>
        </w:rPr>
        <w:t xml:space="preserve"> that the Commission has no authority to allow a public utility to deviate from its tariff even where the Commission concludes it is in the public interest.  According to the ALJ, because the Commission approved Tariff Rule 12.1, the tariff provision has the force and effect of law and is binding on PECO and the Complainant.  Based on the evidence of record, the ALJ concluded that PECO provided reasonable service to the Complainant by agreeing to comply with the applicable tariff provision to reimburse him up to the $500 </w:t>
      </w:r>
      <w:r w:rsidR="00BE0CFF">
        <w:rPr>
          <w:color w:val="000000"/>
          <w:sz w:val="26"/>
          <w:szCs w:val="26"/>
        </w:rPr>
        <w:t xml:space="preserve">liability </w:t>
      </w:r>
      <w:r>
        <w:rPr>
          <w:color w:val="000000"/>
          <w:sz w:val="26"/>
          <w:szCs w:val="26"/>
        </w:rPr>
        <w:t>limit.  I.D. at</w:t>
      </w:r>
      <w:r w:rsidR="00BA7185">
        <w:rPr>
          <w:color w:val="000000"/>
          <w:sz w:val="26"/>
          <w:szCs w:val="26"/>
        </w:rPr>
        <w:t xml:space="preserve"> </w:t>
      </w:r>
      <w:r>
        <w:rPr>
          <w:color w:val="000000"/>
          <w:sz w:val="26"/>
          <w:szCs w:val="26"/>
        </w:rPr>
        <w:t>10.</w:t>
      </w:r>
    </w:p>
    <w:p w14:paraId="6CB9FBF5" w14:textId="77777777" w:rsidR="00983DD3" w:rsidRPr="00E30C7A" w:rsidRDefault="00983DD3" w:rsidP="00D73310">
      <w:pPr>
        <w:widowControl/>
        <w:spacing w:line="360" w:lineRule="auto"/>
        <w:rPr>
          <w:color w:val="000000"/>
          <w:sz w:val="26"/>
          <w:szCs w:val="26"/>
        </w:rPr>
      </w:pPr>
    </w:p>
    <w:p w14:paraId="7DECCCE5" w14:textId="77777777" w:rsidR="00FA40FE" w:rsidRDefault="00FA40FE" w:rsidP="00D73310">
      <w:pPr>
        <w:keepNext/>
        <w:widowControl/>
        <w:spacing w:line="360" w:lineRule="auto"/>
        <w:rPr>
          <w:b/>
          <w:color w:val="000000"/>
          <w:sz w:val="26"/>
          <w:szCs w:val="26"/>
        </w:rPr>
      </w:pPr>
      <w:r>
        <w:rPr>
          <w:b/>
          <w:color w:val="000000"/>
          <w:sz w:val="26"/>
          <w:szCs w:val="26"/>
        </w:rPr>
        <w:t>Disposition</w:t>
      </w:r>
    </w:p>
    <w:p w14:paraId="007D7591" w14:textId="77777777" w:rsidR="00581E22" w:rsidRDefault="00581E22" w:rsidP="00D73310">
      <w:pPr>
        <w:keepNext/>
        <w:widowControl/>
        <w:spacing w:line="360" w:lineRule="auto"/>
        <w:rPr>
          <w:b/>
          <w:color w:val="000000"/>
          <w:sz w:val="26"/>
          <w:szCs w:val="26"/>
        </w:rPr>
      </w:pPr>
    </w:p>
    <w:p w14:paraId="6813DF44" w14:textId="555141C7" w:rsidR="007B275E" w:rsidRPr="007B275E" w:rsidRDefault="00581E22" w:rsidP="00D73310">
      <w:pPr>
        <w:widowControl/>
        <w:spacing w:line="360" w:lineRule="auto"/>
        <w:rPr>
          <w:color w:val="000000"/>
          <w:sz w:val="26"/>
          <w:szCs w:val="26"/>
        </w:rPr>
      </w:pPr>
      <w:r>
        <w:rPr>
          <w:b/>
          <w:color w:val="000000"/>
          <w:sz w:val="26"/>
          <w:szCs w:val="26"/>
        </w:rPr>
        <w:tab/>
      </w:r>
      <w:r>
        <w:rPr>
          <w:b/>
          <w:color w:val="000000"/>
          <w:sz w:val="26"/>
          <w:szCs w:val="26"/>
        </w:rPr>
        <w:tab/>
      </w:r>
      <w:r w:rsidR="007B275E" w:rsidRPr="007B275E">
        <w:rPr>
          <w:color w:val="000000"/>
          <w:sz w:val="26"/>
          <w:szCs w:val="26"/>
        </w:rPr>
        <w:t>Based upon the evidence of record</w:t>
      </w:r>
      <w:r w:rsidR="007B275E">
        <w:rPr>
          <w:color w:val="000000"/>
          <w:sz w:val="26"/>
          <w:szCs w:val="26"/>
        </w:rPr>
        <w:t xml:space="preserve">, we agree with the ALJ that the Complainant failed to carry the burden of proving that PECO had provided unreasonable or inadequate service.  As noted by the ALJ, PECO had complied with </w:t>
      </w:r>
      <w:r w:rsidR="006546E3">
        <w:rPr>
          <w:color w:val="000000"/>
          <w:sz w:val="26"/>
          <w:szCs w:val="26"/>
        </w:rPr>
        <w:t>all</w:t>
      </w:r>
      <w:r w:rsidR="007B275E">
        <w:rPr>
          <w:color w:val="000000"/>
          <w:sz w:val="26"/>
          <w:szCs w:val="26"/>
        </w:rPr>
        <w:t xml:space="preserve"> the applicable Commission Regulations </w:t>
      </w:r>
      <w:r w:rsidR="006546E3">
        <w:rPr>
          <w:color w:val="000000"/>
          <w:sz w:val="26"/>
          <w:szCs w:val="26"/>
        </w:rPr>
        <w:t>regarding</w:t>
      </w:r>
      <w:r w:rsidR="007B275E">
        <w:rPr>
          <w:color w:val="000000"/>
          <w:sz w:val="26"/>
          <w:szCs w:val="26"/>
        </w:rPr>
        <w:t xml:space="preserve"> the inspection and maintenance standards for electric utilities</w:t>
      </w:r>
      <w:r w:rsidR="00FC52F2">
        <w:rPr>
          <w:color w:val="000000"/>
          <w:sz w:val="26"/>
          <w:szCs w:val="26"/>
        </w:rPr>
        <w:t>,</w:t>
      </w:r>
      <w:r w:rsidR="007B275E">
        <w:rPr>
          <w:color w:val="000000"/>
          <w:sz w:val="26"/>
          <w:szCs w:val="26"/>
        </w:rPr>
        <w:t xml:space="preserve"> and there was nothing the Company could have done to prevent the events </w:t>
      </w:r>
      <w:r w:rsidR="00D72CDC">
        <w:rPr>
          <w:color w:val="000000"/>
          <w:sz w:val="26"/>
          <w:szCs w:val="26"/>
        </w:rPr>
        <w:t>that occurred on</w:t>
      </w:r>
      <w:r w:rsidR="007B275E">
        <w:rPr>
          <w:color w:val="000000"/>
          <w:sz w:val="26"/>
          <w:szCs w:val="26"/>
        </w:rPr>
        <w:t xml:space="preserve"> August 27, 2015, at the Complainant’s residence.  </w:t>
      </w:r>
      <w:r w:rsidR="00196F96">
        <w:rPr>
          <w:color w:val="000000"/>
          <w:sz w:val="26"/>
          <w:szCs w:val="26"/>
        </w:rPr>
        <w:t>W</w:t>
      </w:r>
      <w:r w:rsidR="007B275E">
        <w:rPr>
          <w:color w:val="000000"/>
          <w:sz w:val="26"/>
          <w:szCs w:val="26"/>
        </w:rPr>
        <w:t>hile the record developed in this proceeding does not support Mr. Peterson’s claims, falling electric lines pose a significant hazard to public safety</w:t>
      </w:r>
      <w:r w:rsidR="005619E0">
        <w:rPr>
          <w:color w:val="000000"/>
          <w:sz w:val="26"/>
          <w:szCs w:val="26"/>
        </w:rPr>
        <w:t>,</w:t>
      </w:r>
      <w:r w:rsidR="007B275E">
        <w:rPr>
          <w:color w:val="000000"/>
          <w:sz w:val="26"/>
          <w:szCs w:val="26"/>
        </w:rPr>
        <w:t xml:space="preserve"> and we are hesitant to conclude that an otherwise sound primary electric wire fell for no reason, without further investigation.  Therefore, w</w:t>
      </w:r>
      <w:r w:rsidR="006B7AAF">
        <w:rPr>
          <w:color w:val="000000"/>
          <w:sz w:val="26"/>
          <w:szCs w:val="26"/>
        </w:rPr>
        <w:t>e shall refer this matter to the Commission’s</w:t>
      </w:r>
      <w:r w:rsidR="007B275E">
        <w:rPr>
          <w:color w:val="000000"/>
          <w:sz w:val="26"/>
          <w:szCs w:val="26"/>
        </w:rPr>
        <w:t xml:space="preserve"> Bureau of Investigation and Enforcement for any further action it deems appropriate.</w:t>
      </w:r>
    </w:p>
    <w:p w14:paraId="5D691842" w14:textId="77777777" w:rsidR="007B275E" w:rsidRDefault="007B275E" w:rsidP="00D73310">
      <w:pPr>
        <w:widowControl/>
        <w:spacing w:line="360" w:lineRule="auto"/>
        <w:rPr>
          <w:b/>
          <w:color w:val="000000"/>
          <w:sz w:val="26"/>
          <w:szCs w:val="26"/>
        </w:rPr>
      </w:pPr>
    </w:p>
    <w:p w14:paraId="2911C097" w14:textId="670E988D" w:rsidR="002B7E75" w:rsidRDefault="00CD0303" w:rsidP="00D73310">
      <w:pPr>
        <w:widowControl/>
        <w:spacing w:line="360" w:lineRule="auto"/>
        <w:ind w:firstLine="1440"/>
        <w:rPr>
          <w:color w:val="000000"/>
          <w:sz w:val="26"/>
          <w:szCs w:val="26"/>
        </w:rPr>
      </w:pPr>
      <w:r>
        <w:rPr>
          <w:color w:val="000000"/>
          <w:sz w:val="26"/>
          <w:szCs w:val="26"/>
        </w:rPr>
        <w:t xml:space="preserve">Additionally, </w:t>
      </w:r>
      <w:r w:rsidR="00581E22">
        <w:rPr>
          <w:color w:val="000000"/>
          <w:sz w:val="26"/>
          <w:szCs w:val="26"/>
        </w:rPr>
        <w:t xml:space="preserve">we </w:t>
      </w:r>
      <w:r w:rsidR="006546E3">
        <w:rPr>
          <w:color w:val="000000"/>
          <w:sz w:val="26"/>
          <w:szCs w:val="26"/>
        </w:rPr>
        <w:t>agree</w:t>
      </w:r>
      <w:r w:rsidR="00581E22">
        <w:rPr>
          <w:color w:val="000000"/>
          <w:sz w:val="26"/>
          <w:szCs w:val="26"/>
        </w:rPr>
        <w:t xml:space="preserve"> with the ALJ that it is well established that the Commission lacks the authority to award monetary damages.  </w:t>
      </w:r>
      <w:r w:rsidR="00581E22">
        <w:rPr>
          <w:i/>
          <w:color w:val="000000"/>
          <w:sz w:val="26"/>
          <w:szCs w:val="26"/>
        </w:rPr>
        <w:t>See Elkin v. Bell Telephone Company of Pennsylvania</w:t>
      </w:r>
      <w:r w:rsidR="00581E22">
        <w:rPr>
          <w:color w:val="000000"/>
          <w:sz w:val="26"/>
          <w:szCs w:val="26"/>
        </w:rPr>
        <w:t xml:space="preserve">, 420 A.2d 371 (Pa. 1980). </w:t>
      </w:r>
      <w:r>
        <w:rPr>
          <w:color w:val="000000"/>
          <w:sz w:val="26"/>
          <w:szCs w:val="26"/>
        </w:rPr>
        <w:t xml:space="preserve"> Therefore, </w:t>
      </w:r>
      <w:r w:rsidR="005619E0">
        <w:rPr>
          <w:color w:val="000000"/>
          <w:sz w:val="26"/>
          <w:szCs w:val="26"/>
        </w:rPr>
        <w:t>we are unable to grant Mr. Peterson the resolution he is seeking.  A</w:t>
      </w:r>
      <w:r>
        <w:rPr>
          <w:color w:val="000000"/>
          <w:sz w:val="26"/>
          <w:szCs w:val="26"/>
        </w:rPr>
        <w:t>t th</w:t>
      </w:r>
      <w:r w:rsidR="005619E0">
        <w:rPr>
          <w:color w:val="000000"/>
          <w:sz w:val="26"/>
          <w:szCs w:val="26"/>
        </w:rPr>
        <w:t>e</w:t>
      </w:r>
      <w:r>
        <w:rPr>
          <w:color w:val="000000"/>
          <w:sz w:val="26"/>
          <w:szCs w:val="26"/>
        </w:rPr>
        <w:t xml:space="preserve"> point of the ALJ’s decision</w:t>
      </w:r>
      <w:r w:rsidR="005619E0">
        <w:rPr>
          <w:color w:val="000000"/>
          <w:sz w:val="26"/>
          <w:szCs w:val="26"/>
        </w:rPr>
        <w:t xml:space="preserve"> discussing monetary damages</w:t>
      </w:r>
      <w:r>
        <w:rPr>
          <w:color w:val="000000"/>
          <w:sz w:val="26"/>
          <w:szCs w:val="26"/>
        </w:rPr>
        <w:t xml:space="preserve">, the case was over, and his analysis should have </w:t>
      </w:r>
      <w:r w:rsidR="00B2279C">
        <w:rPr>
          <w:color w:val="000000"/>
          <w:sz w:val="26"/>
          <w:szCs w:val="26"/>
        </w:rPr>
        <w:t>concluded</w:t>
      </w:r>
      <w:r>
        <w:rPr>
          <w:color w:val="000000"/>
          <w:sz w:val="26"/>
          <w:szCs w:val="26"/>
        </w:rPr>
        <w:t xml:space="preserve">.  </w:t>
      </w:r>
      <w:r w:rsidR="00F235BD">
        <w:rPr>
          <w:color w:val="000000"/>
          <w:sz w:val="26"/>
          <w:szCs w:val="26"/>
        </w:rPr>
        <w:t>T</w:t>
      </w:r>
      <w:r>
        <w:rPr>
          <w:color w:val="000000"/>
          <w:sz w:val="26"/>
          <w:szCs w:val="26"/>
        </w:rPr>
        <w:t xml:space="preserve">he ALJ’s discussion that followed concerning the PECO Tariff </w:t>
      </w:r>
      <w:r w:rsidR="00F235BD">
        <w:rPr>
          <w:color w:val="000000"/>
          <w:sz w:val="26"/>
          <w:szCs w:val="26"/>
        </w:rPr>
        <w:t xml:space="preserve">provision </w:t>
      </w:r>
      <w:r>
        <w:rPr>
          <w:color w:val="000000"/>
          <w:sz w:val="26"/>
          <w:szCs w:val="26"/>
        </w:rPr>
        <w:t xml:space="preserve">regarding the limitation of its liability </w:t>
      </w:r>
      <w:r w:rsidR="00F235BD">
        <w:rPr>
          <w:color w:val="000000"/>
          <w:sz w:val="26"/>
          <w:szCs w:val="26"/>
        </w:rPr>
        <w:t>will</w:t>
      </w:r>
      <w:r>
        <w:rPr>
          <w:color w:val="000000"/>
          <w:sz w:val="26"/>
          <w:szCs w:val="26"/>
        </w:rPr>
        <w:t xml:space="preserve"> </w:t>
      </w:r>
      <w:r w:rsidR="00F235BD">
        <w:rPr>
          <w:color w:val="000000"/>
          <w:sz w:val="26"/>
          <w:szCs w:val="26"/>
        </w:rPr>
        <w:t xml:space="preserve">not be included herein, </w:t>
      </w:r>
      <w:r>
        <w:rPr>
          <w:color w:val="000000"/>
          <w:sz w:val="26"/>
          <w:szCs w:val="26"/>
        </w:rPr>
        <w:t>as it discusses an issue that need not be reached.</w:t>
      </w:r>
      <w:r w:rsidR="00B04BE1">
        <w:rPr>
          <w:color w:val="000000"/>
          <w:sz w:val="26"/>
          <w:szCs w:val="26"/>
        </w:rPr>
        <w:t xml:space="preserve">  Accordingly, we shall modify the Initial Decision </w:t>
      </w:r>
      <w:r w:rsidR="00D73310">
        <w:rPr>
          <w:color w:val="000000"/>
          <w:sz w:val="26"/>
          <w:szCs w:val="26"/>
        </w:rPr>
        <w:t xml:space="preserve">and </w:t>
      </w:r>
      <w:r w:rsidR="00B04BE1">
        <w:rPr>
          <w:color w:val="000000"/>
          <w:sz w:val="26"/>
          <w:szCs w:val="26"/>
        </w:rPr>
        <w:t>remove the discussion regarding the effectiveness of PECO’s Tariff Section 12.1 regarding limitation of liability for service interruptions and variations.</w:t>
      </w:r>
    </w:p>
    <w:p w14:paraId="35FF3FE0" w14:textId="77777777" w:rsidR="00D73310" w:rsidRDefault="00D73310" w:rsidP="00D73310">
      <w:pPr>
        <w:widowControl/>
        <w:spacing w:line="360" w:lineRule="auto"/>
        <w:ind w:firstLine="1440"/>
        <w:rPr>
          <w:color w:val="000000"/>
          <w:sz w:val="26"/>
          <w:szCs w:val="26"/>
        </w:rPr>
      </w:pPr>
    </w:p>
    <w:p w14:paraId="6449A9C4" w14:textId="7213FE5D" w:rsidR="00FA40FE" w:rsidRDefault="00FA40FE" w:rsidP="00D73310">
      <w:pPr>
        <w:keepNext/>
        <w:widowControl/>
        <w:spacing w:line="360" w:lineRule="auto"/>
        <w:jc w:val="center"/>
        <w:rPr>
          <w:b/>
          <w:color w:val="000000"/>
          <w:sz w:val="26"/>
          <w:szCs w:val="26"/>
        </w:rPr>
      </w:pPr>
      <w:r>
        <w:rPr>
          <w:b/>
          <w:color w:val="000000"/>
          <w:sz w:val="26"/>
          <w:szCs w:val="26"/>
        </w:rPr>
        <w:lastRenderedPageBreak/>
        <w:t>Conclusion</w:t>
      </w:r>
    </w:p>
    <w:p w14:paraId="79029D97" w14:textId="77777777" w:rsidR="00FA40FE" w:rsidRDefault="00FA40FE" w:rsidP="00D73310">
      <w:pPr>
        <w:keepNext/>
        <w:widowControl/>
        <w:spacing w:line="360" w:lineRule="auto"/>
        <w:jc w:val="center"/>
        <w:rPr>
          <w:b/>
          <w:color w:val="000000"/>
          <w:sz w:val="26"/>
          <w:szCs w:val="26"/>
        </w:rPr>
      </w:pPr>
    </w:p>
    <w:p w14:paraId="531F472A" w14:textId="07314FF1" w:rsidR="00506149" w:rsidRPr="00CC623C" w:rsidRDefault="00FA40FE" w:rsidP="00D73310">
      <w:pPr>
        <w:widowControl/>
        <w:spacing w:line="360" w:lineRule="auto"/>
        <w:ind w:firstLine="1440"/>
        <w:rPr>
          <w:b/>
          <w:sz w:val="26"/>
          <w:szCs w:val="26"/>
        </w:rPr>
      </w:pPr>
      <w:r>
        <w:rPr>
          <w:color w:val="000000"/>
          <w:sz w:val="26"/>
          <w:szCs w:val="26"/>
        </w:rPr>
        <w:t xml:space="preserve">Based upon the foregoing discussion, </w:t>
      </w:r>
      <w:r w:rsidR="00F235BD">
        <w:rPr>
          <w:color w:val="000000"/>
          <w:sz w:val="26"/>
          <w:szCs w:val="26"/>
        </w:rPr>
        <w:t xml:space="preserve">we shall adopt the ALJ’s Initial Decision insofar as it finds that Mr. Peterson failed to carry his burden of proving that PECO provided unreasonable and/or unsafe service and that this Commission does not have jurisdiction to award Mr. Peterson monetary damages.  We shall modify the Initial Decision to remove the discussion regarding the effectiveness of PECO’s Tariff Section 12.1 regarding limitation of liability for service interruptions and variations.  </w:t>
      </w:r>
      <w:r w:rsidR="00D73310">
        <w:rPr>
          <w:color w:val="000000"/>
          <w:sz w:val="26"/>
          <w:szCs w:val="26"/>
        </w:rPr>
        <w:t>Finally, w</w:t>
      </w:r>
      <w:r w:rsidR="00F235BD">
        <w:rPr>
          <w:color w:val="000000"/>
          <w:sz w:val="26"/>
          <w:szCs w:val="26"/>
        </w:rPr>
        <w:t>e shall refer this matter to the Commission’s Bureau of Investigation and Enforcement for any further action it deems appropriate</w:t>
      </w:r>
      <w:r w:rsidR="00B16BE2">
        <w:rPr>
          <w:color w:val="000000"/>
          <w:sz w:val="26"/>
          <w:szCs w:val="26"/>
        </w:rPr>
        <w:t>;</w:t>
      </w:r>
      <w:r w:rsidR="00F235BD">
        <w:rPr>
          <w:color w:val="000000"/>
          <w:sz w:val="26"/>
          <w:szCs w:val="26"/>
        </w:rPr>
        <w:t xml:space="preserve"> </w:t>
      </w:r>
      <w:r w:rsidR="00506149" w:rsidRPr="00CC623C">
        <w:rPr>
          <w:b/>
          <w:sz w:val="26"/>
          <w:szCs w:val="26"/>
        </w:rPr>
        <w:t>THEREFORE,</w:t>
      </w:r>
    </w:p>
    <w:p w14:paraId="71FA08AC" w14:textId="77777777" w:rsidR="00506149" w:rsidRPr="00CC623C" w:rsidRDefault="00506149" w:rsidP="00D73310">
      <w:pPr>
        <w:widowControl/>
        <w:spacing w:line="360" w:lineRule="auto"/>
        <w:rPr>
          <w:b/>
          <w:sz w:val="26"/>
          <w:szCs w:val="26"/>
        </w:rPr>
      </w:pPr>
    </w:p>
    <w:p w14:paraId="202B9656" w14:textId="77777777" w:rsidR="00506149" w:rsidRPr="00CC623C" w:rsidRDefault="00506149" w:rsidP="00D73310">
      <w:pPr>
        <w:widowControl/>
        <w:spacing w:line="360" w:lineRule="auto"/>
        <w:rPr>
          <w:b/>
          <w:sz w:val="26"/>
          <w:szCs w:val="26"/>
        </w:rPr>
      </w:pPr>
      <w:r w:rsidRPr="00CC623C">
        <w:rPr>
          <w:b/>
          <w:sz w:val="26"/>
          <w:szCs w:val="26"/>
        </w:rPr>
        <w:tab/>
      </w:r>
      <w:r w:rsidR="00FA40FE" w:rsidRPr="00CC623C">
        <w:rPr>
          <w:b/>
          <w:sz w:val="26"/>
          <w:szCs w:val="26"/>
        </w:rPr>
        <w:tab/>
      </w:r>
      <w:r w:rsidRPr="00CC623C">
        <w:rPr>
          <w:b/>
          <w:sz w:val="26"/>
          <w:szCs w:val="26"/>
        </w:rPr>
        <w:t>IT IS ORDERED:</w:t>
      </w:r>
    </w:p>
    <w:p w14:paraId="433331CA" w14:textId="77777777" w:rsidR="00FA40FE" w:rsidRPr="00CC623C" w:rsidRDefault="00FA40FE" w:rsidP="00D73310">
      <w:pPr>
        <w:widowControl/>
        <w:spacing w:line="360" w:lineRule="auto"/>
        <w:rPr>
          <w:b/>
          <w:sz w:val="26"/>
          <w:szCs w:val="26"/>
        </w:rPr>
      </w:pPr>
    </w:p>
    <w:p w14:paraId="1E09F657" w14:textId="79AB7100" w:rsidR="00FA40FE" w:rsidRPr="00CC623C" w:rsidRDefault="00FA40FE" w:rsidP="00D73310">
      <w:pPr>
        <w:widowControl/>
        <w:spacing w:line="360" w:lineRule="auto"/>
        <w:rPr>
          <w:sz w:val="26"/>
          <w:szCs w:val="26"/>
        </w:rPr>
      </w:pPr>
      <w:r w:rsidRPr="00CC623C">
        <w:rPr>
          <w:b/>
          <w:sz w:val="26"/>
          <w:szCs w:val="26"/>
        </w:rPr>
        <w:tab/>
      </w:r>
      <w:r w:rsidRPr="00CC623C">
        <w:rPr>
          <w:b/>
          <w:sz w:val="26"/>
          <w:szCs w:val="26"/>
        </w:rPr>
        <w:tab/>
      </w:r>
      <w:r w:rsidRPr="00CC623C">
        <w:rPr>
          <w:sz w:val="26"/>
          <w:szCs w:val="26"/>
        </w:rPr>
        <w:t>1.</w:t>
      </w:r>
      <w:r w:rsidRPr="00CC623C">
        <w:rPr>
          <w:sz w:val="26"/>
          <w:szCs w:val="26"/>
        </w:rPr>
        <w:tab/>
        <w:t>That the Initial Decision of Administrative Law Judge Benjamin J. Myers issued on May 17, 2017, is adopted, as m</w:t>
      </w:r>
      <w:r w:rsidR="006B7AAF" w:rsidRPr="00CC623C">
        <w:rPr>
          <w:sz w:val="26"/>
          <w:szCs w:val="26"/>
        </w:rPr>
        <w:t>odified, consistent with this Opinion and Order.</w:t>
      </w:r>
      <w:r w:rsidR="00251291" w:rsidRPr="00CC623C">
        <w:rPr>
          <w:sz w:val="26"/>
          <w:szCs w:val="26"/>
        </w:rPr>
        <w:t xml:space="preserve">  </w:t>
      </w:r>
    </w:p>
    <w:p w14:paraId="7F3C26EB" w14:textId="77777777" w:rsidR="00506149" w:rsidRPr="00CC623C" w:rsidRDefault="00506149" w:rsidP="00D73310">
      <w:pPr>
        <w:widowControl/>
        <w:tabs>
          <w:tab w:val="left" w:pos="-1440"/>
          <w:tab w:val="left" w:pos="-720"/>
        </w:tabs>
        <w:suppressAutoHyphens/>
        <w:spacing w:line="360" w:lineRule="auto"/>
        <w:ind w:firstLine="1440"/>
        <w:rPr>
          <w:sz w:val="26"/>
          <w:szCs w:val="26"/>
        </w:rPr>
      </w:pPr>
    </w:p>
    <w:p w14:paraId="41ADF1DE" w14:textId="49B97628" w:rsidR="00506149" w:rsidRDefault="00506149" w:rsidP="00D73310">
      <w:pPr>
        <w:widowControl/>
        <w:spacing w:line="360" w:lineRule="auto"/>
        <w:rPr>
          <w:spacing w:val="-3"/>
          <w:sz w:val="26"/>
          <w:szCs w:val="26"/>
        </w:rPr>
      </w:pPr>
      <w:r w:rsidRPr="00CC623C">
        <w:rPr>
          <w:spacing w:val="-3"/>
          <w:sz w:val="26"/>
          <w:szCs w:val="26"/>
        </w:rPr>
        <w:tab/>
      </w:r>
      <w:r w:rsidRPr="00CC623C">
        <w:rPr>
          <w:spacing w:val="-3"/>
          <w:sz w:val="26"/>
          <w:szCs w:val="26"/>
        </w:rPr>
        <w:tab/>
      </w:r>
      <w:r w:rsidR="00FA40FE" w:rsidRPr="00CC623C">
        <w:rPr>
          <w:spacing w:val="-3"/>
          <w:sz w:val="26"/>
          <w:szCs w:val="26"/>
        </w:rPr>
        <w:t>2</w:t>
      </w:r>
      <w:r w:rsidR="00251291" w:rsidRPr="00CC623C">
        <w:rPr>
          <w:spacing w:val="-3"/>
          <w:sz w:val="26"/>
          <w:szCs w:val="26"/>
        </w:rPr>
        <w:t>.</w:t>
      </w:r>
      <w:r w:rsidR="00251291" w:rsidRPr="00CC623C">
        <w:rPr>
          <w:spacing w:val="-3"/>
          <w:sz w:val="26"/>
          <w:szCs w:val="26"/>
        </w:rPr>
        <w:tab/>
        <w:t>That the C</w:t>
      </w:r>
      <w:r w:rsidRPr="00CC623C">
        <w:rPr>
          <w:spacing w:val="-3"/>
          <w:sz w:val="26"/>
          <w:szCs w:val="26"/>
        </w:rPr>
        <w:t>omplaint of Gary Peterson against PECO Energy Company at Docket No. C-2016-2572890 is hereby denied.</w:t>
      </w:r>
    </w:p>
    <w:p w14:paraId="6AF6B5FE" w14:textId="2F0057D6" w:rsidR="00543208" w:rsidRDefault="00543208" w:rsidP="00D73310">
      <w:pPr>
        <w:widowControl/>
        <w:spacing w:line="360" w:lineRule="auto"/>
        <w:rPr>
          <w:spacing w:val="-3"/>
          <w:sz w:val="26"/>
          <w:szCs w:val="26"/>
        </w:rPr>
      </w:pPr>
    </w:p>
    <w:p w14:paraId="3B367B58" w14:textId="2CC379E7" w:rsidR="00543208" w:rsidRPr="00CC623C" w:rsidRDefault="00543208" w:rsidP="00D73310">
      <w:pPr>
        <w:widowControl/>
        <w:spacing w:line="360" w:lineRule="auto"/>
        <w:rPr>
          <w:spacing w:val="-3"/>
          <w:sz w:val="26"/>
          <w:szCs w:val="26"/>
        </w:rPr>
      </w:pPr>
      <w:r>
        <w:rPr>
          <w:spacing w:val="-3"/>
          <w:sz w:val="26"/>
          <w:szCs w:val="26"/>
        </w:rPr>
        <w:tab/>
      </w:r>
      <w:r>
        <w:rPr>
          <w:spacing w:val="-3"/>
          <w:sz w:val="26"/>
          <w:szCs w:val="26"/>
        </w:rPr>
        <w:tab/>
        <w:t>3.</w:t>
      </w:r>
      <w:r>
        <w:rPr>
          <w:spacing w:val="-3"/>
          <w:sz w:val="26"/>
          <w:szCs w:val="26"/>
        </w:rPr>
        <w:tab/>
      </w:r>
      <w:r w:rsidR="00B60B85">
        <w:rPr>
          <w:spacing w:val="-3"/>
          <w:sz w:val="26"/>
          <w:szCs w:val="26"/>
        </w:rPr>
        <w:t xml:space="preserve">That the </w:t>
      </w:r>
      <w:r>
        <w:rPr>
          <w:color w:val="000000"/>
          <w:sz w:val="26"/>
          <w:szCs w:val="26"/>
        </w:rPr>
        <w:t>discussion regarding the effectiveness of PECO’s Tariff Section 12.1 regarding limitation of liability for service interruptions and variations</w:t>
      </w:r>
      <w:r w:rsidR="00B60B85">
        <w:rPr>
          <w:color w:val="000000"/>
          <w:sz w:val="26"/>
          <w:szCs w:val="26"/>
        </w:rPr>
        <w:t xml:space="preserve"> is stricken from the Initial Decision.</w:t>
      </w:r>
    </w:p>
    <w:p w14:paraId="4924AC16" w14:textId="77777777" w:rsidR="006B7AAF" w:rsidRPr="00CC623C" w:rsidRDefault="006B7AAF" w:rsidP="00D73310">
      <w:pPr>
        <w:widowControl/>
        <w:spacing w:line="360" w:lineRule="auto"/>
        <w:jc w:val="both"/>
        <w:rPr>
          <w:spacing w:val="-3"/>
          <w:sz w:val="26"/>
          <w:szCs w:val="26"/>
        </w:rPr>
      </w:pPr>
    </w:p>
    <w:p w14:paraId="1EEAAB0D" w14:textId="0A69DD39" w:rsidR="00BA7185" w:rsidRPr="00CC623C" w:rsidRDefault="006B7AAF" w:rsidP="00D73310">
      <w:pPr>
        <w:widowControl/>
        <w:spacing w:line="360" w:lineRule="auto"/>
        <w:rPr>
          <w:spacing w:val="-3"/>
          <w:sz w:val="26"/>
          <w:szCs w:val="26"/>
        </w:rPr>
      </w:pPr>
      <w:r w:rsidRPr="00CC623C">
        <w:rPr>
          <w:spacing w:val="-3"/>
          <w:sz w:val="26"/>
          <w:szCs w:val="26"/>
        </w:rPr>
        <w:tab/>
      </w:r>
      <w:r w:rsidRPr="00CC623C">
        <w:rPr>
          <w:spacing w:val="-3"/>
          <w:sz w:val="26"/>
          <w:szCs w:val="26"/>
        </w:rPr>
        <w:tab/>
      </w:r>
      <w:r w:rsidR="00543208">
        <w:rPr>
          <w:spacing w:val="-3"/>
          <w:sz w:val="26"/>
          <w:szCs w:val="26"/>
        </w:rPr>
        <w:t>4</w:t>
      </w:r>
      <w:r w:rsidRPr="00CC623C">
        <w:rPr>
          <w:spacing w:val="-3"/>
          <w:sz w:val="26"/>
          <w:szCs w:val="26"/>
        </w:rPr>
        <w:t>.</w:t>
      </w:r>
      <w:r w:rsidRPr="00CC623C">
        <w:rPr>
          <w:spacing w:val="-3"/>
          <w:sz w:val="26"/>
          <w:szCs w:val="26"/>
        </w:rPr>
        <w:tab/>
        <w:t xml:space="preserve">That the failure of the primary </w:t>
      </w:r>
      <w:r w:rsidR="00251291" w:rsidRPr="00CC623C">
        <w:rPr>
          <w:spacing w:val="-3"/>
          <w:sz w:val="26"/>
          <w:szCs w:val="26"/>
        </w:rPr>
        <w:t xml:space="preserve">electric </w:t>
      </w:r>
      <w:r w:rsidRPr="00CC623C">
        <w:rPr>
          <w:spacing w:val="-3"/>
          <w:sz w:val="26"/>
          <w:szCs w:val="26"/>
        </w:rPr>
        <w:t>line that resulted in the electrical surge at the residence of Gary Peterson is referred to the Commission’s Bureau of Investigation and Enforcement for any further action it deems appropriate</w:t>
      </w:r>
      <w:r w:rsidR="00241B02">
        <w:rPr>
          <w:spacing w:val="-3"/>
          <w:sz w:val="26"/>
          <w:szCs w:val="26"/>
        </w:rPr>
        <w:t>.</w:t>
      </w:r>
    </w:p>
    <w:p w14:paraId="2BB0CA25" w14:textId="77777777" w:rsidR="00BA7185" w:rsidRPr="00CC623C" w:rsidRDefault="00BA7185" w:rsidP="00D73310">
      <w:pPr>
        <w:widowControl/>
        <w:spacing w:after="200" w:line="276" w:lineRule="auto"/>
        <w:rPr>
          <w:spacing w:val="-3"/>
          <w:sz w:val="26"/>
          <w:szCs w:val="26"/>
        </w:rPr>
      </w:pPr>
      <w:r w:rsidRPr="00CC623C">
        <w:rPr>
          <w:spacing w:val="-3"/>
          <w:sz w:val="26"/>
          <w:szCs w:val="26"/>
        </w:rPr>
        <w:br w:type="page"/>
      </w:r>
    </w:p>
    <w:p w14:paraId="3847BEAA" w14:textId="53E9D523" w:rsidR="00506149" w:rsidRPr="00CC623C" w:rsidRDefault="00506149" w:rsidP="00D73310">
      <w:pPr>
        <w:keepNext/>
        <w:keepLines/>
        <w:widowControl/>
        <w:spacing w:line="360" w:lineRule="auto"/>
        <w:jc w:val="both"/>
        <w:rPr>
          <w:spacing w:val="-3"/>
          <w:sz w:val="26"/>
          <w:szCs w:val="24"/>
        </w:rPr>
      </w:pPr>
      <w:r w:rsidRPr="00657A53">
        <w:rPr>
          <w:spacing w:val="-3"/>
          <w:sz w:val="24"/>
          <w:szCs w:val="24"/>
        </w:rPr>
        <w:lastRenderedPageBreak/>
        <w:t xml:space="preserve"> </w:t>
      </w:r>
      <w:r w:rsidRPr="00657A53">
        <w:rPr>
          <w:spacing w:val="-3"/>
          <w:sz w:val="24"/>
          <w:szCs w:val="24"/>
        </w:rPr>
        <w:tab/>
      </w:r>
      <w:r w:rsidRPr="00657A53">
        <w:rPr>
          <w:spacing w:val="-3"/>
          <w:sz w:val="24"/>
          <w:szCs w:val="24"/>
        </w:rPr>
        <w:tab/>
      </w:r>
      <w:r w:rsidR="00543208">
        <w:rPr>
          <w:spacing w:val="-3"/>
          <w:sz w:val="26"/>
          <w:szCs w:val="24"/>
        </w:rPr>
        <w:t>5</w:t>
      </w:r>
      <w:r w:rsidRPr="00CC623C">
        <w:rPr>
          <w:spacing w:val="-3"/>
          <w:sz w:val="26"/>
          <w:szCs w:val="24"/>
        </w:rPr>
        <w:t>.</w:t>
      </w:r>
      <w:r w:rsidRPr="00CC623C">
        <w:rPr>
          <w:spacing w:val="-3"/>
          <w:sz w:val="26"/>
          <w:szCs w:val="24"/>
        </w:rPr>
        <w:tab/>
        <w:t xml:space="preserve">That </w:t>
      </w:r>
      <w:r w:rsidR="00FA40FE" w:rsidRPr="00CC623C">
        <w:rPr>
          <w:spacing w:val="-3"/>
          <w:sz w:val="26"/>
          <w:szCs w:val="24"/>
        </w:rPr>
        <w:t xml:space="preserve">this proceeding be marked closed. </w:t>
      </w:r>
    </w:p>
    <w:p w14:paraId="336A55B4" w14:textId="77777777" w:rsidR="00BA7185" w:rsidRPr="00CC623C" w:rsidRDefault="00BA7185" w:rsidP="00D73310">
      <w:pPr>
        <w:keepNext/>
        <w:keepLines/>
        <w:widowControl/>
        <w:spacing w:line="360" w:lineRule="auto"/>
        <w:jc w:val="both"/>
        <w:rPr>
          <w:spacing w:val="-3"/>
          <w:sz w:val="26"/>
          <w:szCs w:val="24"/>
        </w:rPr>
      </w:pPr>
    </w:p>
    <w:p w14:paraId="11669AFB" w14:textId="10C23F39" w:rsidR="00BA7185" w:rsidRPr="00CC623C" w:rsidRDefault="00BA7185" w:rsidP="00D73310">
      <w:pPr>
        <w:keepNext/>
        <w:keepLines/>
        <w:widowControl/>
        <w:spacing w:line="360" w:lineRule="auto"/>
        <w:jc w:val="both"/>
        <w:rPr>
          <w:spacing w:val="-3"/>
          <w:sz w:val="26"/>
          <w:szCs w:val="24"/>
        </w:rPr>
      </w:pPr>
      <w:bookmarkStart w:id="0" w:name="_GoBack"/>
      <w:bookmarkEnd w:id="0"/>
    </w:p>
    <w:p w14:paraId="285458B1" w14:textId="2C9BF03F" w:rsidR="00506149" w:rsidRPr="00CC623C" w:rsidRDefault="00CF6ABF" w:rsidP="00D73310">
      <w:pPr>
        <w:keepNext/>
        <w:keepLines/>
        <w:widowControl/>
        <w:spacing w:line="360" w:lineRule="auto"/>
        <w:jc w:val="both"/>
        <w:rPr>
          <w:sz w:val="26"/>
          <w:szCs w:val="24"/>
        </w:rPr>
      </w:pPr>
      <w:r>
        <w:rPr>
          <w:noProof/>
        </w:rPr>
        <w:drawing>
          <wp:anchor distT="0" distB="0" distL="114300" distR="114300" simplePos="0" relativeHeight="251659264" behindDoc="1" locked="0" layoutInCell="1" allowOverlap="1" wp14:anchorId="0378DB19" wp14:editId="1C4E48C4">
            <wp:simplePos x="0" y="0"/>
            <wp:positionH relativeFrom="column">
              <wp:posOffset>3179826</wp:posOffset>
            </wp:positionH>
            <wp:positionV relativeFrom="paragraph">
              <wp:posOffset>189357</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06149" w:rsidRPr="00CC623C">
        <w:rPr>
          <w:sz w:val="26"/>
          <w:szCs w:val="24"/>
        </w:rPr>
        <w:tab/>
      </w:r>
      <w:r w:rsidR="00506149" w:rsidRPr="00CC623C">
        <w:rPr>
          <w:sz w:val="26"/>
          <w:szCs w:val="24"/>
        </w:rPr>
        <w:tab/>
      </w:r>
      <w:r w:rsidR="00506149" w:rsidRPr="00CC623C">
        <w:rPr>
          <w:sz w:val="26"/>
          <w:szCs w:val="24"/>
        </w:rPr>
        <w:tab/>
      </w:r>
      <w:r w:rsidR="00506149" w:rsidRPr="00CC623C">
        <w:rPr>
          <w:sz w:val="26"/>
          <w:szCs w:val="24"/>
        </w:rPr>
        <w:tab/>
      </w:r>
      <w:r w:rsidR="00506149" w:rsidRPr="00CC623C">
        <w:rPr>
          <w:sz w:val="26"/>
          <w:szCs w:val="24"/>
        </w:rPr>
        <w:tab/>
      </w:r>
      <w:r w:rsidR="00506149" w:rsidRPr="00CC623C">
        <w:rPr>
          <w:sz w:val="26"/>
          <w:szCs w:val="24"/>
        </w:rPr>
        <w:tab/>
      </w:r>
      <w:r w:rsidR="00506149" w:rsidRPr="00CC623C">
        <w:rPr>
          <w:sz w:val="26"/>
          <w:szCs w:val="24"/>
        </w:rPr>
        <w:tab/>
        <w:t>BY THE COMMISSION</w:t>
      </w:r>
    </w:p>
    <w:p w14:paraId="46DB390B" w14:textId="7F72021D" w:rsidR="00506149" w:rsidRPr="00CC623C" w:rsidRDefault="00506149" w:rsidP="00D73310">
      <w:pPr>
        <w:keepNext/>
        <w:keepLines/>
        <w:widowControl/>
        <w:ind w:left="5040"/>
        <w:rPr>
          <w:sz w:val="26"/>
          <w:szCs w:val="24"/>
        </w:rPr>
      </w:pPr>
    </w:p>
    <w:p w14:paraId="6328446B" w14:textId="7B539AFB" w:rsidR="00506149" w:rsidRPr="00CC623C" w:rsidRDefault="00506149" w:rsidP="00D73310">
      <w:pPr>
        <w:keepNext/>
        <w:keepLines/>
        <w:widowControl/>
        <w:ind w:left="5040"/>
        <w:rPr>
          <w:sz w:val="26"/>
          <w:szCs w:val="24"/>
        </w:rPr>
      </w:pPr>
    </w:p>
    <w:p w14:paraId="65F502CA" w14:textId="78B75745" w:rsidR="00CF6ABF" w:rsidRDefault="00CF6ABF"/>
    <w:p w14:paraId="1AD5AC84" w14:textId="77777777" w:rsidR="00506149" w:rsidRPr="00CC623C" w:rsidRDefault="00506149" w:rsidP="00D73310">
      <w:pPr>
        <w:keepNext/>
        <w:keepLines/>
        <w:widowControl/>
        <w:ind w:left="5040"/>
        <w:rPr>
          <w:sz w:val="26"/>
          <w:szCs w:val="24"/>
        </w:rPr>
      </w:pPr>
    </w:p>
    <w:p w14:paraId="12481029" w14:textId="77777777" w:rsidR="00506149" w:rsidRPr="00CC623C" w:rsidRDefault="00506149" w:rsidP="00D73310">
      <w:pPr>
        <w:keepNext/>
        <w:keepLines/>
        <w:widowControl/>
        <w:ind w:left="5040"/>
        <w:rPr>
          <w:sz w:val="26"/>
          <w:szCs w:val="24"/>
        </w:rPr>
      </w:pPr>
      <w:r w:rsidRPr="00CC623C">
        <w:rPr>
          <w:sz w:val="26"/>
          <w:szCs w:val="24"/>
        </w:rPr>
        <w:t>Rosemary Chiavetta</w:t>
      </w:r>
    </w:p>
    <w:p w14:paraId="71A09DF4" w14:textId="77777777" w:rsidR="00506149" w:rsidRPr="00CC623C" w:rsidRDefault="00506149" w:rsidP="00D73310">
      <w:pPr>
        <w:keepNext/>
        <w:keepLines/>
        <w:widowControl/>
        <w:ind w:left="5040"/>
        <w:rPr>
          <w:sz w:val="26"/>
          <w:szCs w:val="24"/>
        </w:rPr>
      </w:pPr>
      <w:r w:rsidRPr="00CC623C">
        <w:rPr>
          <w:sz w:val="26"/>
          <w:szCs w:val="24"/>
        </w:rPr>
        <w:t>Secretary</w:t>
      </w:r>
    </w:p>
    <w:p w14:paraId="39D88829" w14:textId="77777777" w:rsidR="00506149" w:rsidRPr="00CC623C" w:rsidRDefault="00506149" w:rsidP="00D73310">
      <w:pPr>
        <w:keepNext/>
        <w:keepLines/>
        <w:widowControl/>
        <w:rPr>
          <w:sz w:val="26"/>
          <w:szCs w:val="24"/>
        </w:rPr>
      </w:pPr>
    </w:p>
    <w:p w14:paraId="42EC63BD" w14:textId="77777777" w:rsidR="00506149" w:rsidRPr="00CC623C" w:rsidRDefault="00506149" w:rsidP="00D73310">
      <w:pPr>
        <w:keepNext/>
        <w:keepLines/>
        <w:widowControl/>
        <w:rPr>
          <w:sz w:val="26"/>
          <w:szCs w:val="24"/>
        </w:rPr>
      </w:pPr>
    </w:p>
    <w:p w14:paraId="01BB1125" w14:textId="77777777" w:rsidR="00506149" w:rsidRPr="00CC623C" w:rsidRDefault="00506149" w:rsidP="00D73310">
      <w:pPr>
        <w:keepNext/>
        <w:keepLines/>
        <w:widowControl/>
        <w:rPr>
          <w:sz w:val="26"/>
          <w:szCs w:val="24"/>
        </w:rPr>
      </w:pPr>
    </w:p>
    <w:p w14:paraId="008D76DC" w14:textId="77777777" w:rsidR="00506149" w:rsidRPr="00CC623C" w:rsidRDefault="00506149" w:rsidP="00D73310">
      <w:pPr>
        <w:keepNext/>
        <w:keepLines/>
        <w:widowControl/>
        <w:rPr>
          <w:sz w:val="26"/>
          <w:szCs w:val="24"/>
        </w:rPr>
      </w:pPr>
      <w:r w:rsidRPr="00CC623C">
        <w:rPr>
          <w:sz w:val="26"/>
          <w:szCs w:val="24"/>
        </w:rPr>
        <w:t>(SEAL)</w:t>
      </w:r>
    </w:p>
    <w:p w14:paraId="4E15952A" w14:textId="77777777" w:rsidR="00506149" w:rsidRPr="00CC623C" w:rsidRDefault="00506149" w:rsidP="00D73310">
      <w:pPr>
        <w:keepNext/>
        <w:keepLines/>
        <w:widowControl/>
        <w:rPr>
          <w:sz w:val="26"/>
          <w:szCs w:val="24"/>
        </w:rPr>
      </w:pPr>
    </w:p>
    <w:p w14:paraId="2D08426C" w14:textId="77777777" w:rsidR="00506149" w:rsidRPr="00CC623C" w:rsidRDefault="00506149" w:rsidP="00D73310">
      <w:pPr>
        <w:keepNext/>
        <w:keepLines/>
        <w:widowControl/>
        <w:rPr>
          <w:sz w:val="26"/>
          <w:szCs w:val="24"/>
        </w:rPr>
      </w:pPr>
      <w:r w:rsidRPr="00CC623C">
        <w:rPr>
          <w:sz w:val="26"/>
          <w:szCs w:val="24"/>
        </w:rPr>
        <w:t>ORDER ADOPTED:</w:t>
      </w:r>
      <w:r w:rsidRPr="00CC623C">
        <w:rPr>
          <w:sz w:val="26"/>
          <w:szCs w:val="24"/>
        </w:rPr>
        <w:tab/>
        <w:t>July 12, 2017</w:t>
      </w:r>
    </w:p>
    <w:p w14:paraId="30E8EB9F" w14:textId="77777777" w:rsidR="00506149" w:rsidRPr="00CC623C" w:rsidRDefault="00506149" w:rsidP="00D73310">
      <w:pPr>
        <w:keepNext/>
        <w:keepLines/>
        <w:widowControl/>
        <w:rPr>
          <w:sz w:val="26"/>
          <w:szCs w:val="24"/>
        </w:rPr>
      </w:pPr>
    </w:p>
    <w:p w14:paraId="72A40A0D" w14:textId="40BD8F3F" w:rsidR="00506149" w:rsidRPr="00CC623C" w:rsidRDefault="00506149" w:rsidP="00D73310">
      <w:pPr>
        <w:keepNext/>
        <w:keepLines/>
        <w:widowControl/>
        <w:rPr>
          <w:sz w:val="26"/>
          <w:szCs w:val="24"/>
        </w:rPr>
      </w:pPr>
      <w:r w:rsidRPr="00CC623C">
        <w:rPr>
          <w:sz w:val="26"/>
          <w:szCs w:val="24"/>
        </w:rPr>
        <w:t>ORDER ENTERED:</w:t>
      </w:r>
      <w:r w:rsidRPr="00CC623C">
        <w:rPr>
          <w:sz w:val="26"/>
          <w:szCs w:val="24"/>
        </w:rPr>
        <w:tab/>
      </w:r>
      <w:r w:rsidR="00CF6ABF">
        <w:rPr>
          <w:sz w:val="26"/>
          <w:szCs w:val="24"/>
        </w:rPr>
        <w:t>August 16, 2017</w:t>
      </w:r>
    </w:p>
    <w:sectPr w:rsidR="00506149" w:rsidRPr="00CC623C" w:rsidSect="006546E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779C" w14:textId="77777777" w:rsidR="001E0442" w:rsidRDefault="001E0442" w:rsidP="003A3513">
      <w:r>
        <w:separator/>
      </w:r>
    </w:p>
  </w:endnote>
  <w:endnote w:type="continuationSeparator" w:id="0">
    <w:p w14:paraId="4BB9AFC0" w14:textId="77777777" w:rsidR="001E0442" w:rsidRDefault="001E0442" w:rsidP="003A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309197"/>
      <w:docPartObj>
        <w:docPartGallery w:val="Page Numbers (Bottom of Page)"/>
        <w:docPartUnique/>
      </w:docPartObj>
    </w:sdtPr>
    <w:sdtEndPr>
      <w:rPr>
        <w:noProof/>
      </w:rPr>
    </w:sdtEndPr>
    <w:sdtContent>
      <w:p w14:paraId="19060CA1" w14:textId="12C09BE2" w:rsidR="006546E3" w:rsidRDefault="006546E3">
        <w:pPr>
          <w:pStyle w:val="Footer"/>
          <w:jc w:val="center"/>
        </w:pPr>
        <w:r>
          <w:fldChar w:fldCharType="begin"/>
        </w:r>
        <w:r>
          <w:instrText xml:space="preserve"> PAGE   \* MERGEFORMAT </w:instrText>
        </w:r>
        <w:r>
          <w:fldChar w:fldCharType="separate"/>
        </w:r>
        <w:r w:rsidR="00CF6ABF">
          <w:rPr>
            <w:noProof/>
          </w:rPr>
          <w:t>7</w:t>
        </w:r>
        <w:r>
          <w:rPr>
            <w:noProof/>
          </w:rPr>
          <w:fldChar w:fldCharType="end"/>
        </w:r>
      </w:p>
    </w:sdtContent>
  </w:sdt>
  <w:p w14:paraId="181F4060" w14:textId="77777777" w:rsidR="006546E3" w:rsidRDefault="0065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E8210" w14:textId="77777777" w:rsidR="001E0442" w:rsidRDefault="001E0442" w:rsidP="003A3513">
      <w:r>
        <w:separator/>
      </w:r>
    </w:p>
  </w:footnote>
  <w:footnote w:type="continuationSeparator" w:id="0">
    <w:p w14:paraId="6BD249A9" w14:textId="77777777" w:rsidR="001E0442" w:rsidRDefault="001E0442" w:rsidP="003A3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513"/>
    <w:rsid w:val="0003092A"/>
    <w:rsid w:val="000373F1"/>
    <w:rsid w:val="00067E47"/>
    <w:rsid w:val="001170FE"/>
    <w:rsid w:val="001364A6"/>
    <w:rsid w:val="001578D5"/>
    <w:rsid w:val="0016033F"/>
    <w:rsid w:val="00163F79"/>
    <w:rsid w:val="00166633"/>
    <w:rsid w:val="00196F96"/>
    <w:rsid w:val="001E0442"/>
    <w:rsid w:val="001E20E6"/>
    <w:rsid w:val="001E545D"/>
    <w:rsid w:val="001F78D5"/>
    <w:rsid w:val="00201B18"/>
    <w:rsid w:val="00205A6E"/>
    <w:rsid w:val="00227FCA"/>
    <w:rsid w:val="00241B02"/>
    <w:rsid w:val="00251291"/>
    <w:rsid w:val="002B7E75"/>
    <w:rsid w:val="0030591A"/>
    <w:rsid w:val="003A3513"/>
    <w:rsid w:val="00423026"/>
    <w:rsid w:val="00454FF7"/>
    <w:rsid w:val="00457983"/>
    <w:rsid w:val="00476D68"/>
    <w:rsid w:val="0048062D"/>
    <w:rsid w:val="004A2469"/>
    <w:rsid w:val="004C56F2"/>
    <w:rsid w:val="004E3630"/>
    <w:rsid w:val="00506149"/>
    <w:rsid w:val="005331F5"/>
    <w:rsid w:val="00543208"/>
    <w:rsid w:val="005619E0"/>
    <w:rsid w:val="005656C2"/>
    <w:rsid w:val="00581E22"/>
    <w:rsid w:val="005B3629"/>
    <w:rsid w:val="005C029A"/>
    <w:rsid w:val="005E1B06"/>
    <w:rsid w:val="00631656"/>
    <w:rsid w:val="006546E3"/>
    <w:rsid w:val="00686918"/>
    <w:rsid w:val="006960AB"/>
    <w:rsid w:val="006B7AAF"/>
    <w:rsid w:val="00701D7F"/>
    <w:rsid w:val="00761BB0"/>
    <w:rsid w:val="007B275E"/>
    <w:rsid w:val="007F66A1"/>
    <w:rsid w:val="0082790D"/>
    <w:rsid w:val="00835094"/>
    <w:rsid w:val="00850E94"/>
    <w:rsid w:val="008602BF"/>
    <w:rsid w:val="00875A19"/>
    <w:rsid w:val="0089748D"/>
    <w:rsid w:val="008B7358"/>
    <w:rsid w:val="008D61AD"/>
    <w:rsid w:val="00954D21"/>
    <w:rsid w:val="00983DD3"/>
    <w:rsid w:val="00985004"/>
    <w:rsid w:val="009D24D5"/>
    <w:rsid w:val="009F7C7A"/>
    <w:rsid w:val="00A173AD"/>
    <w:rsid w:val="00A923DF"/>
    <w:rsid w:val="00AD26C8"/>
    <w:rsid w:val="00AD7EAD"/>
    <w:rsid w:val="00B04BE1"/>
    <w:rsid w:val="00B15DEF"/>
    <w:rsid w:val="00B16BE2"/>
    <w:rsid w:val="00B17A1A"/>
    <w:rsid w:val="00B2279C"/>
    <w:rsid w:val="00B442E5"/>
    <w:rsid w:val="00B60B85"/>
    <w:rsid w:val="00B94A59"/>
    <w:rsid w:val="00BA681C"/>
    <w:rsid w:val="00BA7185"/>
    <w:rsid w:val="00BD547D"/>
    <w:rsid w:val="00BE0CFF"/>
    <w:rsid w:val="00BF188B"/>
    <w:rsid w:val="00BF7321"/>
    <w:rsid w:val="00C110F6"/>
    <w:rsid w:val="00CC623C"/>
    <w:rsid w:val="00CD0303"/>
    <w:rsid w:val="00CF6ABF"/>
    <w:rsid w:val="00D34C2F"/>
    <w:rsid w:val="00D72CDC"/>
    <w:rsid w:val="00D73310"/>
    <w:rsid w:val="00D928EC"/>
    <w:rsid w:val="00DE2960"/>
    <w:rsid w:val="00E30C7A"/>
    <w:rsid w:val="00E350D5"/>
    <w:rsid w:val="00E475D5"/>
    <w:rsid w:val="00E732E8"/>
    <w:rsid w:val="00E82831"/>
    <w:rsid w:val="00E94F5E"/>
    <w:rsid w:val="00EA1772"/>
    <w:rsid w:val="00EC013C"/>
    <w:rsid w:val="00F2326D"/>
    <w:rsid w:val="00F235BD"/>
    <w:rsid w:val="00F5648E"/>
    <w:rsid w:val="00F665AC"/>
    <w:rsid w:val="00F76153"/>
    <w:rsid w:val="00F97EB9"/>
    <w:rsid w:val="00FA2909"/>
    <w:rsid w:val="00FA40FE"/>
    <w:rsid w:val="00FC52F2"/>
    <w:rsid w:val="00FE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0F2D2A"/>
  <w15:docId w15:val="{FDEC12C0-539F-400C-8EB4-09AA9C6D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351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5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3A3513"/>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3A3513"/>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3A3513"/>
    <w:rPr>
      <w:rFonts w:ascii="Times New Roman" w:eastAsia="Times New Roman" w:hAnsi="Times New Roman" w:cs="Times New Roman"/>
      <w:sz w:val="20"/>
      <w:szCs w:val="20"/>
    </w:rPr>
  </w:style>
  <w:style w:type="paragraph" w:customStyle="1" w:styleId="Default">
    <w:name w:val="Default"/>
    <w:rsid w:val="00B442E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A40FE"/>
    <w:rPr>
      <w:color w:val="0000FF"/>
      <w:u w:val="single"/>
    </w:rPr>
  </w:style>
  <w:style w:type="character" w:customStyle="1" w:styleId="term1">
    <w:name w:val="term1"/>
    <w:basedOn w:val="DefaultParagraphFont"/>
    <w:rsid w:val="00FA40FE"/>
    <w:rPr>
      <w:b/>
      <w:bCs/>
    </w:rPr>
  </w:style>
  <w:style w:type="character" w:styleId="Emphasis">
    <w:name w:val="Emphasis"/>
    <w:basedOn w:val="DefaultParagraphFont"/>
    <w:qFormat/>
    <w:rsid w:val="00FA40FE"/>
    <w:rPr>
      <w:i/>
      <w:iCs/>
    </w:rPr>
  </w:style>
  <w:style w:type="paragraph" w:styleId="BalloonText">
    <w:name w:val="Balloon Text"/>
    <w:basedOn w:val="Normal"/>
    <w:link w:val="BalloonTextChar"/>
    <w:uiPriority w:val="99"/>
    <w:semiHidden/>
    <w:unhideWhenUsed/>
    <w:rsid w:val="00E73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E8"/>
    <w:rPr>
      <w:rFonts w:ascii="Segoe UI" w:eastAsia="Times New Roman" w:hAnsi="Segoe UI" w:cs="Segoe UI"/>
      <w:sz w:val="18"/>
      <w:szCs w:val="18"/>
    </w:rPr>
  </w:style>
  <w:style w:type="paragraph" w:styleId="Header">
    <w:name w:val="header"/>
    <w:basedOn w:val="Normal"/>
    <w:link w:val="HeaderChar"/>
    <w:uiPriority w:val="99"/>
    <w:unhideWhenUsed/>
    <w:rsid w:val="006546E3"/>
    <w:pPr>
      <w:tabs>
        <w:tab w:val="center" w:pos="4680"/>
        <w:tab w:val="right" w:pos="9360"/>
      </w:tabs>
    </w:pPr>
  </w:style>
  <w:style w:type="character" w:customStyle="1" w:styleId="HeaderChar">
    <w:name w:val="Header Char"/>
    <w:basedOn w:val="DefaultParagraphFont"/>
    <w:link w:val="Header"/>
    <w:uiPriority w:val="99"/>
    <w:rsid w:val="006546E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546E3"/>
    <w:pPr>
      <w:tabs>
        <w:tab w:val="center" w:pos="4680"/>
        <w:tab w:val="right" w:pos="9360"/>
      </w:tabs>
    </w:pPr>
  </w:style>
  <w:style w:type="character" w:customStyle="1" w:styleId="FooterChar">
    <w:name w:val="Footer Char"/>
    <w:basedOn w:val="DefaultParagraphFont"/>
    <w:link w:val="Footer"/>
    <w:uiPriority w:val="99"/>
    <w:rsid w:val="006546E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2790D"/>
    <w:rPr>
      <w:sz w:val="16"/>
      <w:szCs w:val="16"/>
    </w:rPr>
  </w:style>
  <w:style w:type="paragraph" w:styleId="CommentText">
    <w:name w:val="annotation text"/>
    <w:basedOn w:val="Normal"/>
    <w:link w:val="CommentTextChar"/>
    <w:uiPriority w:val="99"/>
    <w:semiHidden/>
    <w:unhideWhenUsed/>
    <w:rsid w:val="0082790D"/>
  </w:style>
  <w:style w:type="character" w:customStyle="1" w:styleId="CommentTextChar">
    <w:name w:val="Comment Text Char"/>
    <w:basedOn w:val="DefaultParagraphFont"/>
    <w:link w:val="CommentText"/>
    <w:uiPriority w:val="99"/>
    <w:semiHidden/>
    <w:rsid w:val="008279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90D"/>
    <w:rPr>
      <w:b/>
      <w:bCs/>
    </w:rPr>
  </w:style>
  <w:style w:type="character" w:customStyle="1" w:styleId="CommentSubjectChar">
    <w:name w:val="Comment Subject Char"/>
    <w:basedOn w:val="CommentTextChar"/>
    <w:link w:val="CommentSubject"/>
    <w:uiPriority w:val="99"/>
    <w:semiHidden/>
    <w:rsid w:val="008279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D43-0EC8-49C5-920C-5F431500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Reynolds, Doris</cp:lastModifiedBy>
  <cp:revision>4</cp:revision>
  <cp:lastPrinted>2017-08-16T12:00:00Z</cp:lastPrinted>
  <dcterms:created xsi:type="dcterms:W3CDTF">2017-08-08T17:43:00Z</dcterms:created>
  <dcterms:modified xsi:type="dcterms:W3CDTF">2017-08-16T12:00:00Z</dcterms:modified>
</cp:coreProperties>
</file>