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827532" w:rsidRDefault="009A090F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P-2011-2277868</w:t>
            </w:r>
          </w:p>
          <w:p w:rsidR="009A090F" w:rsidRPr="0062751C" w:rsidRDefault="009A090F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I-2012-2320323</w:t>
            </w:r>
          </w:p>
          <w:p w:rsidR="00153FD8" w:rsidRPr="006266EC" w:rsidRDefault="00153FD8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E35F86"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3A072B" w:rsidRDefault="00EA4046" w:rsidP="007A7F49">
      <w:pPr>
        <w:jc w:val="center"/>
        <w:rPr>
          <w:sz w:val="26"/>
          <w:szCs w:val="26"/>
        </w:rPr>
      </w:pPr>
      <w:r>
        <w:rPr>
          <w:sz w:val="26"/>
          <w:szCs w:val="26"/>
        </w:rPr>
        <w:t>August 17, 2017</w:t>
      </w:r>
    </w:p>
    <w:p w:rsidR="00430047" w:rsidRPr="0008045A" w:rsidRDefault="00430047" w:rsidP="00E528E4">
      <w:pPr>
        <w:rPr>
          <w:sz w:val="26"/>
          <w:szCs w:val="26"/>
        </w:rPr>
      </w:pPr>
    </w:p>
    <w:p w:rsidR="007972BC" w:rsidRPr="0008045A" w:rsidRDefault="007972BC" w:rsidP="00FA7D17">
      <w:pPr>
        <w:spacing w:after="58"/>
        <w:ind w:left="720" w:hanging="720"/>
        <w:rPr>
          <w:sz w:val="26"/>
          <w:szCs w:val="26"/>
        </w:rPr>
      </w:pPr>
    </w:p>
    <w:p w:rsidR="00FA7D17" w:rsidRPr="00E35F86" w:rsidRDefault="00E528E4" w:rsidP="00FA7D17">
      <w:pPr>
        <w:spacing w:after="58"/>
        <w:ind w:left="720" w:hanging="720"/>
        <w:rPr>
          <w:b/>
          <w:sz w:val="26"/>
          <w:szCs w:val="26"/>
        </w:rPr>
      </w:pPr>
      <w:r w:rsidRPr="00E35F86">
        <w:rPr>
          <w:b/>
          <w:sz w:val="26"/>
          <w:szCs w:val="26"/>
        </w:rPr>
        <w:t>Re:</w:t>
      </w:r>
      <w:r w:rsidR="009A090F" w:rsidRPr="00E35F86">
        <w:rPr>
          <w:b/>
          <w:sz w:val="26"/>
          <w:szCs w:val="26"/>
        </w:rPr>
        <w:tab/>
        <w:t>Joint Petition for Gen</w:t>
      </w:r>
      <w:r w:rsidR="0039048B" w:rsidRPr="00E35F86">
        <w:rPr>
          <w:b/>
          <w:sz w:val="26"/>
          <w:szCs w:val="26"/>
        </w:rPr>
        <w:t>e</w:t>
      </w:r>
      <w:r w:rsidR="009A090F" w:rsidRPr="00E35F86">
        <w:rPr>
          <w:b/>
          <w:sz w:val="26"/>
          <w:szCs w:val="26"/>
        </w:rPr>
        <w:t>ric Investigation or Rulemaking Regarding “Gas-on Gas” Competition between Jurisdictional Natural Gas Distribution Companies;</w:t>
      </w:r>
    </w:p>
    <w:p w:rsidR="00827532" w:rsidRPr="00E35F86" w:rsidRDefault="00827532" w:rsidP="00FA7D17">
      <w:pPr>
        <w:spacing w:after="58"/>
        <w:ind w:left="720" w:hanging="720"/>
        <w:rPr>
          <w:b/>
          <w:sz w:val="26"/>
          <w:szCs w:val="26"/>
        </w:rPr>
      </w:pPr>
      <w:r w:rsidRPr="00E35F86">
        <w:rPr>
          <w:b/>
          <w:sz w:val="26"/>
          <w:szCs w:val="26"/>
        </w:rPr>
        <w:tab/>
        <w:t xml:space="preserve">Docket No. </w:t>
      </w:r>
      <w:r w:rsidR="009A090F" w:rsidRPr="00E35F86">
        <w:rPr>
          <w:b/>
          <w:sz w:val="26"/>
          <w:szCs w:val="26"/>
        </w:rPr>
        <w:t>P-2011-2277868</w:t>
      </w:r>
    </w:p>
    <w:p w:rsidR="009A090F" w:rsidRPr="00E35F86" w:rsidRDefault="009A090F" w:rsidP="00FA7D17">
      <w:pPr>
        <w:spacing w:after="58"/>
        <w:ind w:left="720" w:hanging="720"/>
        <w:rPr>
          <w:b/>
          <w:sz w:val="26"/>
          <w:szCs w:val="26"/>
        </w:rPr>
      </w:pPr>
    </w:p>
    <w:p w:rsidR="009A090F" w:rsidRPr="00E35F86" w:rsidRDefault="009A090F" w:rsidP="00FA7D17">
      <w:pPr>
        <w:spacing w:after="58"/>
        <w:ind w:left="720" w:hanging="720"/>
        <w:rPr>
          <w:b/>
          <w:bCs/>
          <w:sz w:val="26"/>
          <w:szCs w:val="26"/>
        </w:rPr>
      </w:pPr>
      <w:r w:rsidRPr="00E35F86">
        <w:rPr>
          <w:b/>
          <w:bCs/>
          <w:sz w:val="26"/>
          <w:szCs w:val="26"/>
        </w:rPr>
        <w:tab/>
        <w:t>Gen</w:t>
      </w:r>
      <w:r w:rsidR="0039048B" w:rsidRPr="00E35F86">
        <w:rPr>
          <w:b/>
          <w:bCs/>
          <w:sz w:val="26"/>
          <w:szCs w:val="26"/>
        </w:rPr>
        <w:t>e</w:t>
      </w:r>
      <w:r w:rsidRPr="00E35F86">
        <w:rPr>
          <w:b/>
          <w:bCs/>
          <w:sz w:val="26"/>
          <w:szCs w:val="26"/>
        </w:rPr>
        <w:t>ric Investigation Regarding Gas-On-Gas Competition Between Jurisdictional Natural Gas Distribution Companies;</w:t>
      </w:r>
    </w:p>
    <w:p w:rsidR="009A090F" w:rsidRPr="00E35F86" w:rsidRDefault="009A090F" w:rsidP="00FA7D17">
      <w:pPr>
        <w:spacing w:after="58"/>
        <w:ind w:left="720" w:hanging="720"/>
        <w:rPr>
          <w:b/>
          <w:bCs/>
          <w:sz w:val="26"/>
          <w:szCs w:val="26"/>
        </w:rPr>
      </w:pPr>
      <w:r w:rsidRPr="00E35F86">
        <w:rPr>
          <w:b/>
          <w:bCs/>
          <w:sz w:val="26"/>
          <w:szCs w:val="26"/>
        </w:rPr>
        <w:tab/>
        <w:t>Docket No. I-2012-2320323</w:t>
      </w:r>
    </w:p>
    <w:p w:rsidR="00E90D5D" w:rsidRPr="0008045A" w:rsidRDefault="00E90D5D" w:rsidP="00E90D5D">
      <w:pPr>
        <w:ind w:left="720" w:hanging="720"/>
        <w:rPr>
          <w:sz w:val="26"/>
          <w:szCs w:val="26"/>
        </w:rPr>
      </w:pPr>
    </w:p>
    <w:p w:rsidR="00E229FE" w:rsidRPr="0008045A" w:rsidRDefault="00E229FE" w:rsidP="00E528E4">
      <w:pPr>
        <w:rPr>
          <w:sz w:val="26"/>
          <w:szCs w:val="26"/>
        </w:rPr>
      </w:pPr>
    </w:p>
    <w:p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:rsidR="006B6701" w:rsidRPr="0008045A" w:rsidRDefault="006B6701" w:rsidP="006B6701">
      <w:pPr>
        <w:ind w:firstLine="1440"/>
        <w:rPr>
          <w:sz w:val="26"/>
          <w:szCs w:val="26"/>
        </w:rPr>
      </w:pPr>
    </w:p>
    <w:p w:rsidR="00D17649" w:rsidRPr="0008045A" w:rsidRDefault="00392F08" w:rsidP="006B6701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By </w:t>
      </w:r>
      <w:r w:rsidR="00127D9A" w:rsidRPr="0008045A">
        <w:rPr>
          <w:sz w:val="26"/>
          <w:szCs w:val="26"/>
        </w:rPr>
        <w:t>Opinion and Order enter</w:t>
      </w:r>
      <w:r w:rsidRPr="0008045A">
        <w:rPr>
          <w:sz w:val="26"/>
          <w:szCs w:val="26"/>
        </w:rPr>
        <w:t xml:space="preserve">ed </w:t>
      </w:r>
      <w:r w:rsidR="007972BC" w:rsidRPr="0008045A">
        <w:rPr>
          <w:sz w:val="26"/>
          <w:szCs w:val="26"/>
        </w:rPr>
        <w:t>May 4, 2017</w:t>
      </w:r>
      <w:r w:rsidR="00A4617F" w:rsidRPr="0008045A">
        <w:rPr>
          <w:sz w:val="26"/>
          <w:szCs w:val="26"/>
        </w:rPr>
        <w:t xml:space="preserve"> (</w:t>
      </w:r>
      <w:r w:rsidR="00A4617F" w:rsidRPr="0008045A">
        <w:rPr>
          <w:i/>
          <w:sz w:val="26"/>
          <w:szCs w:val="26"/>
        </w:rPr>
        <w:t>May 2017 Order</w:t>
      </w:r>
      <w:r w:rsidR="00A4617F" w:rsidRPr="0008045A">
        <w:rPr>
          <w:sz w:val="26"/>
          <w:szCs w:val="26"/>
        </w:rPr>
        <w:t>)</w:t>
      </w:r>
      <w:r w:rsidRPr="0008045A">
        <w:rPr>
          <w:sz w:val="26"/>
          <w:szCs w:val="26"/>
        </w:rPr>
        <w:t>, the Commission</w:t>
      </w:r>
      <w:r w:rsidR="00C23DA7" w:rsidRPr="0008045A">
        <w:rPr>
          <w:sz w:val="26"/>
          <w:szCs w:val="26"/>
        </w:rPr>
        <w:t xml:space="preserve">, </w:t>
      </w:r>
      <w:r w:rsidR="00C23DA7" w:rsidRPr="0008045A">
        <w:rPr>
          <w:i/>
          <w:sz w:val="26"/>
          <w:szCs w:val="26"/>
        </w:rPr>
        <w:t>inter alia,</w:t>
      </w:r>
      <w:r w:rsidRPr="0008045A">
        <w:rPr>
          <w:sz w:val="26"/>
          <w:szCs w:val="26"/>
        </w:rPr>
        <w:t xml:space="preserve"> </w:t>
      </w:r>
      <w:r w:rsidR="00390D01" w:rsidRPr="0008045A">
        <w:rPr>
          <w:sz w:val="26"/>
          <w:szCs w:val="26"/>
        </w:rPr>
        <w:t xml:space="preserve">permitted </w:t>
      </w:r>
      <w:r w:rsidR="00C23DA7" w:rsidRPr="0008045A">
        <w:rPr>
          <w:sz w:val="26"/>
          <w:szCs w:val="26"/>
        </w:rPr>
        <w:t xml:space="preserve">“gas-on-gas” competition between </w:t>
      </w:r>
      <w:r w:rsidR="00ED4C3B" w:rsidRPr="0008045A">
        <w:rPr>
          <w:sz w:val="26"/>
          <w:szCs w:val="26"/>
        </w:rPr>
        <w:t xml:space="preserve">jurisdictional </w:t>
      </w:r>
      <w:r w:rsidR="00390D01" w:rsidRPr="0008045A">
        <w:rPr>
          <w:sz w:val="26"/>
          <w:szCs w:val="26"/>
        </w:rPr>
        <w:t xml:space="preserve">natural gas distribution companies with overlapping service territories in </w:t>
      </w:r>
      <w:r w:rsidR="00A2061F" w:rsidRPr="0008045A">
        <w:rPr>
          <w:sz w:val="26"/>
          <w:szCs w:val="26"/>
        </w:rPr>
        <w:t>W</w:t>
      </w:r>
      <w:r w:rsidR="00390D01" w:rsidRPr="0008045A">
        <w:rPr>
          <w:sz w:val="26"/>
          <w:szCs w:val="26"/>
        </w:rPr>
        <w:t xml:space="preserve">estern Pennsylvania to continue </w:t>
      </w:r>
      <w:r w:rsidR="00C23DA7" w:rsidRPr="0008045A">
        <w:rPr>
          <w:sz w:val="26"/>
          <w:szCs w:val="26"/>
        </w:rPr>
        <w:t xml:space="preserve">in a limited fashion wherein the flex rate discounts provided to certain commercial and industrial customers would be subject to a price floor.  The </w:t>
      </w:r>
      <w:r w:rsidR="00C23DA7" w:rsidRPr="0008045A">
        <w:rPr>
          <w:i/>
          <w:sz w:val="26"/>
          <w:szCs w:val="26"/>
        </w:rPr>
        <w:t>May 2017 Order</w:t>
      </w:r>
      <w:r w:rsidR="00C23DA7" w:rsidRPr="0008045A">
        <w:rPr>
          <w:sz w:val="26"/>
          <w:szCs w:val="26"/>
        </w:rPr>
        <w:t xml:space="preserve"> sought </w:t>
      </w:r>
      <w:r w:rsidR="00785BF5" w:rsidRPr="0008045A">
        <w:rPr>
          <w:sz w:val="26"/>
          <w:szCs w:val="26"/>
        </w:rPr>
        <w:t>C</w:t>
      </w:r>
      <w:r w:rsidR="00C23DA7" w:rsidRPr="0008045A">
        <w:rPr>
          <w:sz w:val="26"/>
          <w:szCs w:val="26"/>
        </w:rPr>
        <w:t>omment</w:t>
      </w:r>
      <w:r w:rsidR="00785BF5" w:rsidRPr="0008045A">
        <w:rPr>
          <w:sz w:val="26"/>
          <w:szCs w:val="26"/>
        </w:rPr>
        <w:t>s</w:t>
      </w:r>
      <w:r w:rsidR="00C23DA7" w:rsidRPr="0008045A">
        <w:rPr>
          <w:sz w:val="26"/>
          <w:szCs w:val="26"/>
        </w:rPr>
        <w:t xml:space="preserve"> from </w:t>
      </w:r>
      <w:r w:rsidR="00A2061F" w:rsidRPr="0008045A">
        <w:rPr>
          <w:sz w:val="26"/>
          <w:szCs w:val="26"/>
        </w:rPr>
        <w:t xml:space="preserve">interested </w:t>
      </w:r>
      <w:r w:rsidR="00C23DA7" w:rsidRPr="0008045A">
        <w:rPr>
          <w:sz w:val="26"/>
          <w:szCs w:val="26"/>
        </w:rPr>
        <w:t xml:space="preserve">parties regarding the uniform tariff provisions that should be utilized to implement “gas-on-gas” flex rates on a going forward basis. </w:t>
      </w:r>
      <w:r w:rsidR="00390D01" w:rsidRPr="0008045A">
        <w:rPr>
          <w:sz w:val="26"/>
          <w:szCs w:val="26"/>
        </w:rPr>
        <w:t xml:space="preserve"> </w:t>
      </w:r>
      <w:r w:rsidR="00A4617F" w:rsidRPr="0008045A">
        <w:rPr>
          <w:sz w:val="26"/>
          <w:szCs w:val="26"/>
        </w:rPr>
        <w:t>Comments</w:t>
      </w:r>
      <w:r w:rsidRPr="0008045A">
        <w:rPr>
          <w:sz w:val="26"/>
          <w:szCs w:val="26"/>
        </w:rPr>
        <w:t xml:space="preserve"> were due within </w:t>
      </w:r>
      <w:r w:rsidR="00A4617F" w:rsidRPr="0008045A">
        <w:rPr>
          <w:sz w:val="26"/>
          <w:szCs w:val="26"/>
        </w:rPr>
        <w:t>nine</w:t>
      </w:r>
      <w:r w:rsidRPr="0008045A">
        <w:rPr>
          <w:sz w:val="26"/>
          <w:szCs w:val="26"/>
        </w:rPr>
        <w:t xml:space="preserve">ty days of </w:t>
      </w:r>
      <w:r w:rsidR="00A4617F" w:rsidRPr="0008045A">
        <w:rPr>
          <w:sz w:val="26"/>
          <w:szCs w:val="26"/>
        </w:rPr>
        <w:t xml:space="preserve">the </w:t>
      </w:r>
      <w:r w:rsidR="00A4617F" w:rsidRPr="0008045A">
        <w:rPr>
          <w:i/>
          <w:sz w:val="26"/>
          <w:szCs w:val="26"/>
        </w:rPr>
        <w:t>May 2017 Order</w:t>
      </w:r>
      <w:r w:rsidRPr="0008045A">
        <w:rPr>
          <w:sz w:val="26"/>
          <w:szCs w:val="26"/>
        </w:rPr>
        <w:t xml:space="preserve"> (</w:t>
      </w:r>
      <w:r w:rsidRPr="0008045A">
        <w:rPr>
          <w:i/>
          <w:sz w:val="26"/>
          <w:szCs w:val="26"/>
        </w:rPr>
        <w:t>i.</w:t>
      </w:r>
      <w:r w:rsidR="00E3265B" w:rsidRPr="0008045A">
        <w:rPr>
          <w:i/>
          <w:sz w:val="26"/>
          <w:szCs w:val="26"/>
        </w:rPr>
        <w:t>e</w:t>
      </w:r>
      <w:r w:rsidR="00E3265B" w:rsidRPr="0008045A">
        <w:rPr>
          <w:sz w:val="26"/>
          <w:szCs w:val="26"/>
        </w:rPr>
        <w:t>.,</w:t>
      </w:r>
      <w:r w:rsidR="006201F7">
        <w:rPr>
          <w:sz w:val="26"/>
          <w:szCs w:val="26"/>
        </w:rPr>
        <w:t> </w:t>
      </w:r>
      <w:r w:rsidR="00A4617F" w:rsidRPr="0008045A">
        <w:rPr>
          <w:sz w:val="26"/>
          <w:szCs w:val="26"/>
        </w:rPr>
        <w:t>August 2</w:t>
      </w:r>
      <w:r w:rsidR="00C452DE" w:rsidRPr="0008045A">
        <w:rPr>
          <w:sz w:val="26"/>
          <w:szCs w:val="26"/>
        </w:rPr>
        <w:t>, 201</w:t>
      </w:r>
      <w:r w:rsidR="007972BC" w:rsidRPr="0008045A">
        <w:rPr>
          <w:sz w:val="26"/>
          <w:szCs w:val="26"/>
        </w:rPr>
        <w:t>7</w:t>
      </w:r>
      <w:r w:rsidRPr="0008045A">
        <w:rPr>
          <w:sz w:val="26"/>
          <w:szCs w:val="26"/>
        </w:rPr>
        <w:t>).</w:t>
      </w:r>
      <w:r w:rsidR="005A11FD" w:rsidRPr="0008045A">
        <w:rPr>
          <w:sz w:val="26"/>
          <w:szCs w:val="26"/>
        </w:rPr>
        <w:t xml:space="preserve"> </w:t>
      </w:r>
      <w:r w:rsidR="007972BC" w:rsidRPr="0008045A">
        <w:rPr>
          <w:sz w:val="26"/>
          <w:szCs w:val="26"/>
        </w:rPr>
        <w:t xml:space="preserve"> </w:t>
      </w:r>
      <w:r w:rsidR="00A4617F" w:rsidRPr="0008045A">
        <w:rPr>
          <w:sz w:val="26"/>
          <w:szCs w:val="26"/>
        </w:rPr>
        <w:t>Reply Comments</w:t>
      </w:r>
      <w:r w:rsidR="005A11FD" w:rsidRPr="0008045A">
        <w:rPr>
          <w:sz w:val="26"/>
          <w:szCs w:val="26"/>
        </w:rPr>
        <w:t xml:space="preserve"> were due within t</w:t>
      </w:r>
      <w:r w:rsidR="00A4617F" w:rsidRPr="0008045A">
        <w:rPr>
          <w:sz w:val="26"/>
          <w:szCs w:val="26"/>
        </w:rPr>
        <w:t>wenty</w:t>
      </w:r>
      <w:r w:rsidR="005A11FD" w:rsidRPr="0008045A">
        <w:rPr>
          <w:sz w:val="26"/>
          <w:szCs w:val="26"/>
        </w:rPr>
        <w:t xml:space="preserve"> days after th</w:t>
      </w:r>
      <w:r w:rsidR="00A52C46" w:rsidRPr="0008045A">
        <w:rPr>
          <w:sz w:val="26"/>
          <w:szCs w:val="26"/>
        </w:rPr>
        <w:t>e</w:t>
      </w:r>
      <w:r w:rsidR="005A11FD" w:rsidRPr="0008045A">
        <w:rPr>
          <w:sz w:val="26"/>
          <w:szCs w:val="26"/>
        </w:rPr>
        <w:t xml:space="preserve"> date </w:t>
      </w:r>
      <w:r w:rsidR="00A52C46" w:rsidRPr="0008045A">
        <w:rPr>
          <w:sz w:val="26"/>
          <w:szCs w:val="26"/>
        </w:rPr>
        <w:t xml:space="preserve">that </w:t>
      </w:r>
      <w:r w:rsidR="00A4617F" w:rsidRPr="0008045A">
        <w:rPr>
          <w:sz w:val="26"/>
          <w:szCs w:val="26"/>
        </w:rPr>
        <w:t>Comments</w:t>
      </w:r>
      <w:r w:rsidR="00A52C46" w:rsidRPr="0008045A">
        <w:rPr>
          <w:sz w:val="26"/>
          <w:szCs w:val="26"/>
        </w:rPr>
        <w:t xml:space="preserve"> were due </w:t>
      </w:r>
      <w:r w:rsidR="00F62396" w:rsidRPr="0008045A">
        <w:rPr>
          <w:sz w:val="26"/>
          <w:szCs w:val="26"/>
        </w:rPr>
        <w:t>(</w:t>
      </w:r>
      <w:r w:rsidR="00F62396" w:rsidRPr="0008045A">
        <w:rPr>
          <w:i/>
          <w:sz w:val="26"/>
          <w:szCs w:val="26"/>
        </w:rPr>
        <w:t>i.e.</w:t>
      </w:r>
      <w:r w:rsidR="00F62396" w:rsidRPr="0008045A">
        <w:rPr>
          <w:sz w:val="26"/>
          <w:szCs w:val="26"/>
        </w:rPr>
        <w:t xml:space="preserve">, </w:t>
      </w:r>
      <w:r w:rsidR="008D13AA" w:rsidRPr="0008045A">
        <w:rPr>
          <w:sz w:val="26"/>
          <w:szCs w:val="26"/>
        </w:rPr>
        <w:t>August 22</w:t>
      </w:r>
      <w:r w:rsidR="007972BC" w:rsidRPr="0008045A">
        <w:rPr>
          <w:sz w:val="26"/>
          <w:szCs w:val="26"/>
        </w:rPr>
        <w:t>, 2017</w:t>
      </w:r>
      <w:r w:rsidR="005A11FD" w:rsidRPr="0008045A">
        <w:rPr>
          <w:sz w:val="26"/>
          <w:szCs w:val="26"/>
        </w:rPr>
        <w:t>).</w:t>
      </w:r>
      <w:r w:rsidR="008D13AA" w:rsidRPr="0008045A">
        <w:rPr>
          <w:sz w:val="26"/>
          <w:szCs w:val="26"/>
        </w:rPr>
        <w:t xml:space="preserve">  Various </w:t>
      </w:r>
      <w:r w:rsidR="00A2061F" w:rsidRPr="0008045A">
        <w:rPr>
          <w:sz w:val="26"/>
          <w:szCs w:val="26"/>
        </w:rPr>
        <w:t>P</w:t>
      </w:r>
      <w:r w:rsidR="008D13AA" w:rsidRPr="0008045A">
        <w:rPr>
          <w:sz w:val="26"/>
          <w:szCs w:val="26"/>
        </w:rPr>
        <w:t>arties filed Comments by the August 2, 2017 deadline.</w:t>
      </w:r>
    </w:p>
    <w:p w:rsidR="00B22E7C" w:rsidRPr="0008045A" w:rsidRDefault="00B22E7C" w:rsidP="006B6701">
      <w:pPr>
        <w:ind w:firstLine="1440"/>
        <w:rPr>
          <w:sz w:val="26"/>
          <w:szCs w:val="26"/>
        </w:rPr>
      </w:pPr>
    </w:p>
    <w:p w:rsidR="00775628" w:rsidRDefault="0008029B" w:rsidP="006B6701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On </w:t>
      </w:r>
      <w:r w:rsidR="008D13AA" w:rsidRPr="0008045A">
        <w:rPr>
          <w:sz w:val="26"/>
          <w:szCs w:val="26"/>
        </w:rPr>
        <w:t>August 15</w:t>
      </w:r>
      <w:r w:rsidR="00C452DE" w:rsidRPr="0008045A">
        <w:rPr>
          <w:sz w:val="26"/>
          <w:szCs w:val="26"/>
        </w:rPr>
        <w:t>, 201</w:t>
      </w:r>
      <w:r w:rsidR="00411822" w:rsidRPr="0008045A">
        <w:rPr>
          <w:sz w:val="26"/>
          <w:szCs w:val="26"/>
        </w:rPr>
        <w:t>7</w:t>
      </w:r>
      <w:r w:rsidRPr="0008045A">
        <w:rPr>
          <w:sz w:val="26"/>
          <w:szCs w:val="26"/>
        </w:rPr>
        <w:t xml:space="preserve">, </w:t>
      </w:r>
      <w:r w:rsidR="00A2061F" w:rsidRPr="0008045A">
        <w:rPr>
          <w:sz w:val="26"/>
          <w:szCs w:val="26"/>
        </w:rPr>
        <w:t>c</w:t>
      </w:r>
      <w:r w:rsidR="008D13AA" w:rsidRPr="0008045A">
        <w:rPr>
          <w:sz w:val="26"/>
          <w:szCs w:val="26"/>
        </w:rPr>
        <w:t xml:space="preserve">ounsel for Peoples Natural Gas Company LLC (including its Equitable Division) and Peoples Gas Company LLC </w:t>
      </w:r>
      <w:r w:rsidR="00885E81" w:rsidRPr="0008045A">
        <w:rPr>
          <w:sz w:val="26"/>
          <w:szCs w:val="26"/>
        </w:rPr>
        <w:t>(formerly Peoples TWP LLC)</w:t>
      </w:r>
      <w:r w:rsidR="008D13AA" w:rsidRPr="0008045A">
        <w:rPr>
          <w:sz w:val="26"/>
          <w:szCs w:val="26"/>
        </w:rPr>
        <w:t>(collectively, Peoples) contacted</w:t>
      </w:r>
      <w:r w:rsidRPr="0008045A">
        <w:rPr>
          <w:sz w:val="26"/>
          <w:szCs w:val="26"/>
        </w:rPr>
        <w:t xml:space="preserve"> Commission staf</w:t>
      </w:r>
      <w:r w:rsidR="00C452DE" w:rsidRPr="0008045A">
        <w:rPr>
          <w:sz w:val="26"/>
          <w:szCs w:val="26"/>
        </w:rPr>
        <w:t xml:space="preserve">f to request an extension of </w:t>
      </w:r>
      <w:r w:rsidR="008D13AA" w:rsidRPr="0008045A">
        <w:rPr>
          <w:sz w:val="26"/>
          <w:szCs w:val="26"/>
        </w:rPr>
        <w:t>thirty</w:t>
      </w:r>
      <w:r w:rsidRPr="0008045A">
        <w:rPr>
          <w:sz w:val="26"/>
          <w:szCs w:val="26"/>
        </w:rPr>
        <w:t xml:space="preserve"> days </w:t>
      </w:r>
      <w:r w:rsidR="008D13AA" w:rsidRPr="0008045A">
        <w:rPr>
          <w:sz w:val="26"/>
          <w:szCs w:val="26"/>
        </w:rPr>
        <w:t>(</w:t>
      </w:r>
      <w:r w:rsidR="008D13AA" w:rsidRPr="0008045A">
        <w:rPr>
          <w:i/>
          <w:sz w:val="26"/>
          <w:szCs w:val="26"/>
        </w:rPr>
        <w:t>i.e.</w:t>
      </w:r>
      <w:r w:rsidR="008D13AA" w:rsidRPr="0008045A">
        <w:rPr>
          <w:sz w:val="26"/>
          <w:szCs w:val="26"/>
        </w:rPr>
        <w:t xml:space="preserve"> until September 21, 2017) for all </w:t>
      </w:r>
      <w:r w:rsidR="00A2061F" w:rsidRPr="0008045A">
        <w:rPr>
          <w:sz w:val="26"/>
          <w:szCs w:val="26"/>
        </w:rPr>
        <w:t>P</w:t>
      </w:r>
      <w:r w:rsidR="008D13AA" w:rsidRPr="0008045A">
        <w:rPr>
          <w:sz w:val="26"/>
          <w:szCs w:val="26"/>
        </w:rPr>
        <w:t>arties to</w:t>
      </w:r>
      <w:r w:rsidR="00A2061F" w:rsidRPr="0008045A">
        <w:rPr>
          <w:sz w:val="26"/>
          <w:szCs w:val="26"/>
        </w:rPr>
        <w:t xml:space="preserve"> file</w:t>
      </w:r>
      <w:r w:rsidRPr="0008045A">
        <w:rPr>
          <w:sz w:val="26"/>
          <w:szCs w:val="26"/>
        </w:rPr>
        <w:t xml:space="preserve"> </w:t>
      </w:r>
      <w:r w:rsidR="008D13AA" w:rsidRPr="0008045A">
        <w:rPr>
          <w:sz w:val="26"/>
          <w:szCs w:val="26"/>
        </w:rPr>
        <w:t>Reply Comments</w:t>
      </w:r>
      <w:r w:rsidRPr="0008045A">
        <w:rPr>
          <w:sz w:val="26"/>
          <w:szCs w:val="26"/>
        </w:rPr>
        <w:t xml:space="preserve">.  </w:t>
      </w:r>
      <w:r w:rsidR="008D13AA" w:rsidRPr="0008045A">
        <w:rPr>
          <w:sz w:val="26"/>
          <w:szCs w:val="26"/>
        </w:rPr>
        <w:t xml:space="preserve">Peoples asserted that upon reviewing the Comments, Peoples and </w:t>
      </w:r>
      <w:r w:rsidR="00E16246" w:rsidRPr="0008045A">
        <w:rPr>
          <w:sz w:val="26"/>
          <w:szCs w:val="26"/>
        </w:rPr>
        <w:t xml:space="preserve">each of </w:t>
      </w:r>
      <w:r w:rsidR="008D13AA" w:rsidRPr="0008045A">
        <w:rPr>
          <w:sz w:val="26"/>
          <w:szCs w:val="26"/>
        </w:rPr>
        <w:t xml:space="preserve">the other </w:t>
      </w:r>
      <w:r w:rsidR="0064471D">
        <w:rPr>
          <w:sz w:val="26"/>
          <w:szCs w:val="26"/>
        </w:rPr>
        <w:t>c</w:t>
      </w:r>
      <w:r w:rsidR="00A2061F" w:rsidRPr="0008045A">
        <w:rPr>
          <w:sz w:val="26"/>
          <w:szCs w:val="26"/>
        </w:rPr>
        <w:t>o</w:t>
      </w:r>
      <w:r w:rsidR="008D13AA" w:rsidRPr="0008045A">
        <w:rPr>
          <w:sz w:val="26"/>
          <w:szCs w:val="26"/>
        </w:rPr>
        <w:t xml:space="preserve">mmenting </w:t>
      </w:r>
      <w:r w:rsidR="00A2061F" w:rsidRPr="0008045A">
        <w:rPr>
          <w:sz w:val="26"/>
          <w:szCs w:val="26"/>
        </w:rPr>
        <w:t>P</w:t>
      </w:r>
      <w:r w:rsidR="008D13AA" w:rsidRPr="0008045A">
        <w:rPr>
          <w:sz w:val="26"/>
          <w:szCs w:val="26"/>
        </w:rPr>
        <w:t xml:space="preserve">arties </w:t>
      </w:r>
      <w:r w:rsidR="00E16246" w:rsidRPr="0008045A">
        <w:rPr>
          <w:sz w:val="26"/>
          <w:szCs w:val="26"/>
        </w:rPr>
        <w:t>believed</w:t>
      </w:r>
      <w:r w:rsidR="008D13AA" w:rsidRPr="0008045A">
        <w:rPr>
          <w:sz w:val="26"/>
          <w:szCs w:val="26"/>
        </w:rPr>
        <w:t xml:space="preserve"> they can work together to resolve some or </w:t>
      </w:r>
      <w:proofErr w:type="gramStart"/>
      <w:r w:rsidR="008D13AA" w:rsidRPr="0008045A">
        <w:rPr>
          <w:sz w:val="26"/>
          <w:szCs w:val="26"/>
        </w:rPr>
        <w:t>all of</w:t>
      </w:r>
      <w:proofErr w:type="gramEnd"/>
      <w:r w:rsidR="008D13AA" w:rsidRPr="0008045A">
        <w:rPr>
          <w:sz w:val="26"/>
          <w:szCs w:val="26"/>
        </w:rPr>
        <w:t xml:space="preserve"> the issues in this proceeding.</w:t>
      </w:r>
      <w:r w:rsidR="00411822" w:rsidRPr="0008045A">
        <w:rPr>
          <w:sz w:val="26"/>
          <w:szCs w:val="26"/>
        </w:rPr>
        <w:t xml:space="preserve">  </w:t>
      </w:r>
      <w:r w:rsidRPr="0008045A">
        <w:rPr>
          <w:sz w:val="26"/>
          <w:szCs w:val="26"/>
        </w:rPr>
        <w:t xml:space="preserve">Commission </w:t>
      </w:r>
      <w:r w:rsidR="00A2061F" w:rsidRPr="0008045A">
        <w:rPr>
          <w:sz w:val="26"/>
          <w:szCs w:val="26"/>
        </w:rPr>
        <w:t>S</w:t>
      </w:r>
      <w:r w:rsidRPr="0008045A">
        <w:rPr>
          <w:sz w:val="26"/>
          <w:szCs w:val="26"/>
        </w:rPr>
        <w:t xml:space="preserve">taff </w:t>
      </w:r>
      <w:r w:rsidR="00411822" w:rsidRPr="0008045A">
        <w:rPr>
          <w:sz w:val="26"/>
          <w:szCs w:val="26"/>
        </w:rPr>
        <w:t xml:space="preserve">was advised that </w:t>
      </w:r>
      <w:r w:rsidR="00ED4C3B" w:rsidRPr="0008045A">
        <w:rPr>
          <w:sz w:val="26"/>
          <w:szCs w:val="26"/>
        </w:rPr>
        <w:t>c</w:t>
      </w:r>
      <w:r w:rsidR="008D13AA" w:rsidRPr="0008045A">
        <w:rPr>
          <w:sz w:val="26"/>
          <w:szCs w:val="26"/>
        </w:rPr>
        <w:t xml:space="preserve">ounsel for Peoples discussed its request for extension of time with counsel for each of the </w:t>
      </w:r>
      <w:r w:rsidR="00885E81" w:rsidRPr="0008045A">
        <w:rPr>
          <w:sz w:val="26"/>
          <w:szCs w:val="26"/>
        </w:rPr>
        <w:t xml:space="preserve">other commenting </w:t>
      </w:r>
      <w:r w:rsidR="00A2061F" w:rsidRPr="0008045A">
        <w:rPr>
          <w:sz w:val="26"/>
          <w:szCs w:val="26"/>
        </w:rPr>
        <w:t>P</w:t>
      </w:r>
      <w:r w:rsidR="00885E81" w:rsidRPr="0008045A">
        <w:rPr>
          <w:sz w:val="26"/>
          <w:szCs w:val="26"/>
        </w:rPr>
        <w:t>arties, who concurred in Peoples’ request.</w:t>
      </w:r>
    </w:p>
    <w:p w:rsidR="006201F7" w:rsidRPr="0008045A" w:rsidRDefault="006201F7" w:rsidP="006B6701">
      <w:pPr>
        <w:ind w:firstLine="1440"/>
        <w:rPr>
          <w:sz w:val="26"/>
          <w:szCs w:val="26"/>
        </w:rPr>
      </w:pPr>
    </w:p>
    <w:p w:rsidR="006201F7" w:rsidRDefault="006201F7" w:rsidP="006B6701">
      <w:pPr>
        <w:ind w:firstLine="1440"/>
        <w:rPr>
          <w:sz w:val="26"/>
          <w:szCs w:val="26"/>
        </w:rPr>
      </w:pPr>
    </w:p>
    <w:p w:rsidR="006201F7" w:rsidRDefault="006201F7" w:rsidP="006B6701">
      <w:pPr>
        <w:ind w:firstLine="1440"/>
        <w:rPr>
          <w:sz w:val="26"/>
          <w:szCs w:val="26"/>
        </w:rPr>
      </w:pPr>
    </w:p>
    <w:p w:rsidR="006201F7" w:rsidRDefault="006201F7" w:rsidP="006B6701">
      <w:pPr>
        <w:ind w:firstLine="1440"/>
        <w:rPr>
          <w:sz w:val="26"/>
          <w:szCs w:val="26"/>
        </w:rPr>
      </w:pPr>
    </w:p>
    <w:p w:rsidR="006201F7" w:rsidRDefault="006201F7" w:rsidP="006B6701">
      <w:pPr>
        <w:ind w:firstLine="1440"/>
        <w:rPr>
          <w:sz w:val="26"/>
          <w:szCs w:val="26"/>
        </w:rPr>
      </w:pPr>
    </w:p>
    <w:p w:rsidR="006201F7" w:rsidRDefault="006201F7" w:rsidP="006B6701">
      <w:pPr>
        <w:ind w:firstLine="1440"/>
        <w:rPr>
          <w:sz w:val="26"/>
          <w:szCs w:val="26"/>
        </w:rPr>
      </w:pPr>
    </w:p>
    <w:p w:rsidR="006201F7" w:rsidRDefault="006201F7" w:rsidP="006B6701">
      <w:pPr>
        <w:ind w:firstLine="1440"/>
        <w:rPr>
          <w:sz w:val="26"/>
          <w:szCs w:val="26"/>
        </w:rPr>
      </w:pPr>
    </w:p>
    <w:p w:rsidR="00C452DE" w:rsidRPr="0008045A" w:rsidRDefault="006201F7" w:rsidP="006B6701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Our </w:t>
      </w:r>
      <w:r w:rsidR="00775628" w:rsidRPr="0008045A">
        <w:rPr>
          <w:sz w:val="26"/>
          <w:szCs w:val="26"/>
        </w:rPr>
        <w:t xml:space="preserve">Regulation at 52 Pa. Code § 1.15 permits </w:t>
      </w:r>
      <w:r>
        <w:rPr>
          <w:sz w:val="26"/>
          <w:szCs w:val="26"/>
        </w:rPr>
        <w:t>us</w:t>
      </w:r>
      <w:r w:rsidR="00775628" w:rsidRPr="0008045A">
        <w:rPr>
          <w:sz w:val="26"/>
          <w:szCs w:val="26"/>
        </w:rPr>
        <w:t xml:space="preserve"> to grant an extension of time</w:t>
      </w:r>
      <w:r w:rsidR="000B3E1D" w:rsidRPr="0008045A">
        <w:rPr>
          <w:sz w:val="26"/>
          <w:szCs w:val="26"/>
        </w:rPr>
        <w:t xml:space="preserve"> for </w:t>
      </w:r>
      <w:r w:rsidR="00775628" w:rsidRPr="0008045A">
        <w:rPr>
          <w:sz w:val="26"/>
          <w:szCs w:val="26"/>
        </w:rPr>
        <w:t xml:space="preserve">good cause shown before the </w:t>
      </w:r>
      <w:r w:rsidR="000B3E1D" w:rsidRPr="0008045A">
        <w:rPr>
          <w:sz w:val="26"/>
          <w:szCs w:val="26"/>
        </w:rPr>
        <w:t xml:space="preserve">pertinent </w:t>
      </w:r>
      <w:r w:rsidR="00775628" w:rsidRPr="0008045A">
        <w:rPr>
          <w:sz w:val="26"/>
          <w:szCs w:val="26"/>
        </w:rPr>
        <w:t>time period has expired.</w:t>
      </w:r>
      <w:r w:rsidR="006C5F3C" w:rsidRPr="0008045A">
        <w:rPr>
          <w:sz w:val="26"/>
          <w:szCs w:val="26"/>
        </w:rPr>
        <w:t xml:space="preserve">  </w:t>
      </w:r>
      <w:r w:rsidR="0037318E">
        <w:rPr>
          <w:sz w:val="26"/>
          <w:szCs w:val="26"/>
        </w:rPr>
        <w:t xml:space="preserve">In this </w:t>
      </w:r>
      <w:r w:rsidR="007A7F49">
        <w:rPr>
          <w:sz w:val="26"/>
          <w:szCs w:val="26"/>
        </w:rPr>
        <w:t>instance,</w:t>
      </w:r>
      <w:r w:rsidR="0037318E">
        <w:rPr>
          <w:sz w:val="26"/>
          <w:szCs w:val="26"/>
        </w:rPr>
        <w:t xml:space="preserve"> we find that </w:t>
      </w:r>
      <w:r w:rsidR="00E16246" w:rsidRPr="0008045A">
        <w:rPr>
          <w:sz w:val="26"/>
          <w:szCs w:val="26"/>
        </w:rPr>
        <w:t>Peoples</w:t>
      </w:r>
      <w:r w:rsidR="006C5F3C" w:rsidRPr="0008045A">
        <w:rPr>
          <w:sz w:val="26"/>
          <w:szCs w:val="26"/>
        </w:rPr>
        <w:t xml:space="preserve"> </w:t>
      </w:r>
      <w:r w:rsidR="0037318E">
        <w:rPr>
          <w:sz w:val="26"/>
          <w:szCs w:val="26"/>
        </w:rPr>
        <w:t xml:space="preserve">and each of the concurring </w:t>
      </w:r>
      <w:r w:rsidR="0064471D">
        <w:rPr>
          <w:sz w:val="26"/>
          <w:szCs w:val="26"/>
        </w:rPr>
        <w:t xml:space="preserve">commenting </w:t>
      </w:r>
      <w:r w:rsidR="0037318E">
        <w:rPr>
          <w:sz w:val="26"/>
          <w:szCs w:val="26"/>
        </w:rPr>
        <w:t xml:space="preserve">Parties have </w:t>
      </w:r>
      <w:r w:rsidR="006C5F3C" w:rsidRPr="0008045A">
        <w:rPr>
          <w:sz w:val="26"/>
          <w:szCs w:val="26"/>
        </w:rPr>
        <w:t xml:space="preserve">established good cause for the requested extension of time.  </w:t>
      </w:r>
      <w:r w:rsidR="007A7F49">
        <w:rPr>
          <w:sz w:val="26"/>
          <w:szCs w:val="26"/>
        </w:rPr>
        <w:t xml:space="preserve">Thus, </w:t>
      </w:r>
      <w:r w:rsidR="0037318E">
        <w:rPr>
          <w:sz w:val="26"/>
          <w:szCs w:val="26"/>
        </w:rPr>
        <w:t xml:space="preserve">we </w:t>
      </w:r>
      <w:r w:rsidR="00105E0E" w:rsidRPr="0008045A">
        <w:rPr>
          <w:sz w:val="26"/>
          <w:szCs w:val="26"/>
        </w:rPr>
        <w:t xml:space="preserve">will extend the </w:t>
      </w:r>
      <w:r w:rsidR="007A7F49">
        <w:rPr>
          <w:sz w:val="26"/>
          <w:szCs w:val="26"/>
        </w:rPr>
        <w:t xml:space="preserve">deadline </w:t>
      </w:r>
      <w:r w:rsidR="00105E0E" w:rsidRPr="0008045A">
        <w:rPr>
          <w:sz w:val="26"/>
          <w:szCs w:val="26"/>
        </w:rPr>
        <w:t xml:space="preserve">for </w:t>
      </w:r>
      <w:r w:rsidR="0008029B" w:rsidRPr="0008045A">
        <w:rPr>
          <w:sz w:val="26"/>
          <w:szCs w:val="26"/>
        </w:rPr>
        <w:t xml:space="preserve">all Parties to </w:t>
      </w:r>
      <w:r w:rsidR="00105E0E" w:rsidRPr="0008045A">
        <w:rPr>
          <w:sz w:val="26"/>
          <w:szCs w:val="26"/>
        </w:rPr>
        <w:t>fil</w:t>
      </w:r>
      <w:r w:rsidR="0008029B" w:rsidRPr="0008045A">
        <w:rPr>
          <w:sz w:val="26"/>
          <w:szCs w:val="26"/>
        </w:rPr>
        <w:t xml:space="preserve">e </w:t>
      </w:r>
      <w:r w:rsidR="00E16246" w:rsidRPr="0008045A">
        <w:rPr>
          <w:sz w:val="26"/>
          <w:szCs w:val="26"/>
        </w:rPr>
        <w:t>Reply Comments</w:t>
      </w:r>
      <w:r w:rsidR="00105E0E" w:rsidRPr="0008045A">
        <w:rPr>
          <w:sz w:val="26"/>
          <w:szCs w:val="26"/>
        </w:rPr>
        <w:t xml:space="preserve"> </w:t>
      </w:r>
      <w:r w:rsidR="007A7F49">
        <w:rPr>
          <w:sz w:val="26"/>
          <w:szCs w:val="26"/>
        </w:rPr>
        <w:t xml:space="preserve">to </w:t>
      </w:r>
      <w:r w:rsidR="00E16246" w:rsidRPr="0008045A">
        <w:rPr>
          <w:sz w:val="26"/>
          <w:szCs w:val="26"/>
        </w:rPr>
        <w:t>September 21, 2017.</w:t>
      </w:r>
    </w:p>
    <w:p w:rsidR="00C452DE" w:rsidRPr="0008045A" w:rsidRDefault="00C452DE" w:rsidP="006B6701">
      <w:pPr>
        <w:ind w:firstLine="1440"/>
        <w:rPr>
          <w:sz w:val="26"/>
          <w:szCs w:val="26"/>
        </w:rPr>
      </w:pPr>
    </w:p>
    <w:p w:rsidR="00850F1D" w:rsidRPr="0008045A" w:rsidRDefault="00850F1D" w:rsidP="00850F1D">
      <w:pPr>
        <w:ind w:firstLine="1440"/>
        <w:rPr>
          <w:sz w:val="26"/>
          <w:szCs w:val="26"/>
        </w:rPr>
      </w:pPr>
      <w:r w:rsidRPr="0008045A"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E16246" w:rsidRPr="0008045A">
        <w:rPr>
          <w:sz w:val="26"/>
          <w:szCs w:val="26"/>
        </w:rPr>
        <w:t>Andrew Showers</w:t>
      </w:r>
      <w:r w:rsidRPr="0008045A">
        <w:rPr>
          <w:sz w:val="26"/>
          <w:szCs w:val="26"/>
        </w:rPr>
        <w:t xml:space="preserve">, </w:t>
      </w:r>
      <w:r w:rsidR="00E16246" w:rsidRPr="0008045A">
        <w:rPr>
          <w:sz w:val="26"/>
          <w:szCs w:val="26"/>
        </w:rPr>
        <w:t>Utility Analyst</w:t>
      </w:r>
      <w:r w:rsidRPr="0008045A">
        <w:rPr>
          <w:sz w:val="26"/>
          <w:szCs w:val="26"/>
        </w:rPr>
        <w:t xml:space="preserve">, at (717) </w:t>
      </w:r>
      <w:r w:rsidR="00E16246" w:rsidRPr="0008045A">
        <w:rPr>
          <w:sz w:val="26"/>
          <w:szCs w:val="26"/>
        </w:rPr>
        <w:t>214-2186</w:t>
      </w:r>
      <w:r w:rsidRPr="0008045A">
        <w:rPr>
          <w:sz w:val="26"/>
          <w:szCs w:val="26"/>
        </w:rPr>
        <w:t xml:space="preserve"> or </w:t>
      </w:r>
      <w:hyperlink r:id="rId10" w:history="1">
        <w:r w:rsidR="00E16246" w:rsidRPr="0008045A">
          <w:rPr>
            <w:rStyle w:val="Hyperlink"/>
            <w:color w:val="auto"/>
            <w:sz w:val="26"/>
            <w:szCs w:val="26"/>
          </w:rPr>
          <w:t>ashowers@pa.gov</w:t>
        </w:r>
      </w:hyperlink>
      <w:r w:rsidRPr="0008045A">
        <w:rPr>
          <w:sz w:val="26"/>
          <w:szCs w:val="26"/>
        </w:rPr>
        <w:t>.</w:t>
      </w:r>
    </w:p>
    <w:p w:rsidR="00D17649" w:rsidRPr="0008045A" w:rsidRDefault="00D17649" w:rsidP="006B6701">
      <w:pPr>
        <w:ind w:firstLine="1440"/>
        <w:rPr>
          <w:sz w:val="26"/>
          <w:szCs w:val="26"/>
        </w:rPr>
      </w:pPr>
    </w:p>
    <w:p w:rsidR="003A072B" w:rsidRPr="0008045A" w:rsidRDefault="00EA4046" w:rsidP="00EB6F1D">
      <w:pPr>
        <w:ind w:firstLine="432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2275A9A" wp14:editId="4ACBB104">
            <wp:simplePos x="0" y="0"/>
            <wp:positionH relativeFrom="column">
              <wp:posOffset>2602523</wp:posOffset>
            </wp:positionH>
            <wp:positionV relativeFrom="paragraph">
              <wp:posOffset>144633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072B" w:rsidRPr="0008045A">
        <w:rPr>
          <w:sz w:val="26"/>
          <w:szCs w:val="26"/>
        </w:rPr>
        <w:t>Very truly yours,</w:t>
      </w:r>
    </w:p>
    <w:p w:rsidR="003A072B" w:rsidRPr="0008045A" w:rsidRDefault="003A072B" w:rsidP="00E528E4">
      <w:pPr>
        <w:rPr>
          <w:sz w:val="26"/>
          <w:szCs w:val="26"/>
        </w:rPr>
      </w:pPr>
    </w:p>
    <w:p w:rsidR="00D12C93" w:rsidRPr="0008045A" w:rsidRDefault="00D12C93" w:rsidP="00E528E4">
      <w:pPr>
        <w:rPr>
          <w:sz w:val="26"/>
          <w:szCs w:val="26"/>
        </w:rPr>
      </w:pPr>
    </w:p>
    <w:p w:rsidR="003A072B" w:rsidRDefault="003A072B" w:rsidP="00E528E4">
      <w:pPr>
        <w:rPr>
          <w:sz w:val="26"/>
          <w:szCs w:val="26"/>
        </w:rPr>
      </w:pPr>
    </w:p>
    <w:p w:rsidR="007A7F49" w:rsidRPr="0008045A" w:rsidRDefault="007A7F49" w:rsidP="00E528E4">
      <w:pPr>
        <w:rPr>
          <w:sz w:val="26"/>
          <w:szCs w:val="26"/>
        </w:rPr>
      </w:pPr>
    </w:p>
    <w:p w:rsidR="003A072B" w:rsidRPr="0008045A" w:rsidRDefault="00EB6F1D" w:rsidP="00EB6F1D">
      <w:pPr>
        <w:ind w:firstLine="43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:rsidR="005B5AA7" w:rsidRPr="0008045A" w:rsidRDefault="003A072B" w:rsidP="00E830FB">
      <w:pPr>
        <w:ind w:firstLine="4320"/>
        <w:rPr>
          <w:sz w:val="26"/>
          <w:szCs w:val="26"/>
        </w:rPr>
      </w:pPr>
      <w:r w:rsidRPr="0008045A">
        <w:rPr>
          <w:sz w:val="26"/>
          <w:szCs w:val="26"/>
        </w:rPr>
        <w:t>Secretary</w:t>
      </w:r>
    </w:p>
    <w:sectPr w:rsidR="005B5AA7" w:rsidRPr="0008045A" w:rsidSect="00E35F86">
      <w:type w:val="continuous"/>
      <w:pgSz w:w="12240" w:h="15840"/>
      <w:pgMar w:top="504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EB9" w:rsidRDefault="00B21EB9">
      <w:r>
        <w:separator/>
      </w:r>
    </w:p>
  </w:endnote>
  <w:endnote w:type="continuationSeparator" w:id="0">
    <w:p w:rsidR="00B21EB9" w:rsidRDefault="00B2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2201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5F86" w:rsidRDefault="00E35F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0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5F86" w:rsidRDefault="00E35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EB9" w:rsidRDefault="00B21EB9">
      <w:r>
        <w:separator/>
      </w:r>
    </w:p>
  </w:footnote>
  <w:footnote w:type="continuationSeparator" w:id="0">
    <w:p w:rsidR="00B21EB9" w:rsidRDefault="00B2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04D77"/>
    <w:rsid w:val="00016185"/>
    <w:rsid w:val="00016793"/>
    <w:rsid w:val="00071153"/>
    <w:rsid w:val="0008029B"/>
    <w:rsid w:val="0008045A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27D9A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D695B"/>
    <w:rsid w:val="002E28AA"/>
    <w:rsid w:val="003267D4"/>
    <w:rsid w:val="0033738E"/>
    <w:rsid w:val="0034399B"/>
    <w:rsid w:val="003677ED"/>
    <w:rsid w:val="0037318E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B7871"/>
    <w:rsid w:val="003D2057"/>
    <w:rsid w:val="003E3BF1"/>
    <w:rsid w:val="00411822"/>
    <w:rsid w:val="004131E7"/>
    <w:rsid w:val="00430047"/>
    <w:rsid w:val="00430574"/>
    <w:rsid w:val="004446DC"/>
    <w:rsid w:val="00466663"/>
    <w:rsid w:val="004954D1"/>
    <w:rsid w:val="004D1180"/>
    <w:rsid w:val="004E1206"/>
    <w:rsid w:val="004E7F64"/>
    <w:rsid w:val="00501CC5"/>
    <w:rsid w:val="00507EE1"/>
    <w:rsid w:val="00514B10"/>
    <w:rsid w:val="00546357"/>
    <w:rsid w:val="00547B7C"/>
    <w:rsid w:val="005A11FD"/>
    <w:rsid w:val="005A37A2"/>
    <w:rsid w:val="005B5AA7"/>
    <w:rsid w:val="005B7F53"/>
    <w:rsid w:val="005E25C5"/>
    <w:rsid w:val="0060010C"/>
    <w:rsid w:val="00601B8D"/>
    <w:rsid w:val="006201F7"/>
    <w:rsid w:val="006266EC"/>
    <w:rsid w:val="0062751C"/>
    <w:rsid w:val="00636D03"/>
    <w:rsid w:val="006430DB"/>
    <w:rsid w:val="0064471D"/>
    <w:rsid w:val="006465FA"/>
    <w:rsid w:val="006755C0"/>
    <w:rsid w:val="00683D7A"/>
    <w:rsid w:val="006A1B5E"/>
    <w:rsid w:val="006B0DE7"/>
    <w:rsid w:val="006B6701"/>
    <w:rsid w:val="006C5F3C"/>
    <w:rsid w:val="006D0288"/>
    <w:rsid w:val="006D2C48"/>
    <w:rsid w:val="006D3665"/>
    <w:rsid w:val="006F6031"/>
    <w:rsid w:val="007049E8"/>
    <w:rsid w:val="00706FBE"/>
    <w:rsid w:val="0071398D"/>
    <w:rsid w:val="00726821"/>
    <w:rsid w:val="00762E1D"/>
    <w:rsid w:val="007726C0"/>
    <w:rsid w:val="00775628"/>
    <w:rsid w:val="00785BF5"/>
    <w:rsid w:val="00796D7F"/>
    <w:rsid w:val="007972BC"/>
    <w:rsid w:val="007A17BA"/>
    <w:rsid w:val="007A7F49"/>
    <w:rsid w:val="007D0B2A"/>
    <w:rsid w:val="007D1483"/>
    <w:rsid w:val="007D663A"/>
    <w:rsid w:val="007D79BB"/>
    <w:rsid w:val="00807300"/>
    <w:rsid w:val="00815441"/>
    <w:rsid w:val="0082172C"/>
    <w:rsid w:val="00827532"/>
    <w:rsid w:val="00850F1D"/>
    <w:rsid w:val="00885E81"/>
    <w:rsid w:val="00887C03"/>
    <w:rsid w:val="0089411B"/>
    <w:rsid w:val="00895AF3"/>
    <w:rsid w:val="008C645A"/>
    <w:rsid w:val="008D13AA"/>
    <w:rsid w:val="008D17D5"/>
    <w:rsid w:val="008E2BC0"/>
    <w:rsid w:val="00905B9F"/>
    <w:rsid w:val="00914D71"/>
    <w:rsid w:val="009520ED"/>
    <w:rsid w:val="00983A4D"/>
    <w:rsid w:val="009A090F"/>
    <w:rsid w:val="009F5F66"/>
    <w:rsid w:val="009F723A"/>
    <w:rsid w:val="00A16BD8"/>
    <w:rsid w:val="00A2061F"/>
    <w:rsid w:val="00A27815"/>
    <w:rsid w:val="00A4617F"/>
    <w:rsid w:val="00A52C46"/>
    <w:rsid w:val="00AA618A"/>
    <w:rsid w:val="00AD24C2"/>
    <w:rsid w:val="00B21EB9"/>
    <w:rsid w:val="00B22E7C"/>
    <w:rsid w:val="00B3131B"/>
    <w:rsid w:val="00B54C9E"/>
    <w:rsid w:val="00B739DA"/>
    <w:rsid w:val="00BC2FB9"/>
    <w:rsid w:val="00BC3334"/>
    <w:rsid w:val="00BD1065"/>
    <w:rsid w:val="00BE5119"/>
    <w:rsid w:val="00BF2F0E"/>
    <w:rsid w:val="00BF65F7"/>
    <w:rsid w:val="00C013A1"/>
    <w:rsid w:val="00C23DA7"/>
    <w:rsid w:val="00C402A0"/>
    <w:rsid w:val="00C452DE"/>
    <w:rsid w:val="00C74A51"/>
    <w:rsid w:val="00CA50D1"/>
    <w:rsid w:val="00CB5738"/>
    <w:rsid w:val="00CB640F"/>
    <w:rsid w:val="00CC503F"/>
    <w:rsid w:val="00CC5462"/>
    <w:rsid w:val="00CD4B72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62DCF"/>
    <w:rsid w:val="00DB2119"/>
    <w:rsid w:val="00DB6D5A"/>
    <w:rsid w:val="00DE4157"/>
    <w:rsid w:val="00E06CDF"/>
    <w:rsid w:val="00E16246"/>
    <w:rsid w:val="00E229FE"/>
    <w:rsid w:val="00E3265B"/>
    <w:rsid w:val="00E34698"/>
    <w:rsid w:val="00E35F86"/>
    <w:rsid w:val="00E528E4"/>
    <w:rsid w:val="00E57330"/>
    <w:rsid w:val="00E61A32"/>
    <w:rsid w:val="00E63F99"/>
    <w:rsid w:val="00E70913"/>
    <w:rsid w:val="00E830FB"/>
    <w:rsid w:val="00E87F23"/>
    <w:rsid w:val="00E90D5D"/>
    <w:rsid w:val="00E928F1"/>
    <w:rsid w:val="00E94D86"/>
    <w:rsid w:val="00EA4046"/>
    <w:rsid w:val="00EB13E4"/>
    <w:rsid w:val="00EB6F1D"/>
    <w:rsid w:val="00EC7F84"/>
    <w:rsid w:val="00ED4C3B"/>
    <w:rsid w:val="00EE7EB6"/>
    <w:rsid w:val="00EF3FBF"/>
    <w:rsid w:val="00EF7F10"/>
    <w:rsid w:val="00F04CF8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03CEF1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3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ashowers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B61D-8F1B-4B89-A7A2-0CC6DC33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2808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Farner, Joyce</cp:lastModifiedBy>
  <cp:revision>3</cp:revision>
  <cp:lastPrinted>2017-08-17T13:36:00Z</cp:lastPrinted>
  <dcterms:created xsi:type="dcterms:W3CDTF">2017-08-17T13:17:00Z</dcterms:created>
  <dcterms:modified xsi:type="dcterms:W3CDTF">2017-08-17T13:36:00Z</dcterms:modified>
</cp:coreProperties>
</file>