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5D7828" w:rsidP="004B443B">
      <w:pPr>
        <w:tabs>
          <w:tab w:val="left" w:pos="-720"/>
        </w:tabs>
        <w:suppressAutoHyphens/>
        <w:autoSpaceDE/>
        <w:autoSpaceDN/>
        <w:jc w:val="both"/>
        <w:rPr>
          <w:rFonts w:eastAsiaTheme="minorHAnsi"/>
          <w:spacing w:val="-3"/>
        </w:rPr>
      </w:pPr>
      <w:r>
        <w:rPr>
          <w:rFonts w:eastAsiaTheme="minorHAnsi"/>
          <w:spacing w:val="-3"/>
        </w:rPr>
        <w:t>Martin Wilson</w:t>
      </w:r>
      <w:r>
        <w:rPr>
          <w:rFonts w:eastAsiaTheme="minorHAnsi"/>
          <w:spacing w:val="-3"/>
        </w:rPr>
        <w:tab/>
      </w:r>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121FDA" w:rsidRPr="004A39AA">
        <w:rPr>
          <w:rFonts w:eastAsiaTheme="minorHAnsi"/>
          <w:spacing w:val="-3"/>
        </w:rPr>
        <w:t>F-2017-</w:t>
      </w:r>
      <w:r w:rsidR="005D7828">
        <w:rPr>
          <w:rFonts w:eastAsiaTheme="minorHAnsi"/>
          <w:spacing w:val="-3"/>
        </w:rPr>
        <w:t>2605047</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5D7828" w:rsidP="005D7828">
      <w:pPr>
        <w:tabs>
          <w:tab w:val="left" w:pos="-720"/>
        </w:tabs>
        <w:suppressAutoHyphens/>
        <w:autoSpaceDE/>
        <w:autoSpaceDN/>
        <w:jc w:val="both"/>
        <w:rPr>
          <w:rFonts w:eastAsiaTheme="minorHAnsi"/>
          <w:spacing w:val="-3"/>
        </w:rPr>
      </w:pPr>
      <w:r>
        <w:rPr>
          <w:rFonts w:eastAsiaTheme="minorHAnsi"/>
          <w:spacing w:val="-3"/>
        </w:rPr>
        <w:t>Duquesne Light Company</w:t>
      </w:r>
      <w:r>
        <w:rPr>
          <w:rFonts w:eastAsiaTheme="minorHAnsi"/>
          <w:spacing w:val="-3"/>
        </w:rPr>
        <w:tab/>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0051BF" w:rsidP="00121FDA">
      <w:pPr>
        <w:pStyle w:val="Style"/>
        <w:jc w:val="center"/>
        <w:rPr>
          <w:b/>
          <w:bCs/>
          <w:color w:val="000000"/>
          <w:u w:val="single"/>
        </w:rPr>
      </w:pPr>
      <w:r>
        <w:rPr>
          <w:b/>
          <w:bCs/>
          <w:spacing w:val="-3"/>
          <w:u w:val="single"/>
        </w:rPr>
        <w:t>GRANTING MOTION FOR CONTINUANCE</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5D7828" w:rsidRDefault="004B443B" w:rsidP="00CF45D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6F18FD">
        <w:rPr>
          <w:rFonts w:ascii="Times New Roman" w:hAnsi="Times New Roman" w:cs="Times New Roman"/>
        </w:rPr>
        <w:t xml:space="preserve">April 26, 2017, Martin Wilson filed a formal complaint with the Pennsylvania Public Utility Commission against Frontier Utilities NE Inc and Duquesne Light Company, Docket Number F-2017-2605047.  In his complaint, Mr. Wilson </w:t>
      </w:r>
      <w:r w:rsidR="00600CF1">
        <w:rPr>
          <w:rFonts w:ascii="Times New Roman" w:hAnsi="Times New Roman" w:cs="Times New Roman"/>
        </w:rPr>
        <w:t>indicated that there are incorrect charges on his bill.  Mr. Wilson also checked off on the Commission’s complaint form “other” and for requested relief indicated, among other things, that he would like “for the companies to use the rules, not make them up as the</w:t>
      </w:r>
      <w:r w:rsidR="00C46100">
        <w:rPr>
          <w:rFonts w:ascii="Times New Roman" w:hAnsi="Times New Roman" w:cs="Times New Roman"/>
        </w:rPr>
        <w:t>y</w:t>
      </w:r>
      <w:r w:rsidR="00600CF1">
        <w:rPr>
          <w:rFonts w:ascii="Times New Roman" w:hAnsi="Times New Roman" w:cs="Times New Roman"/>
        </w:rPr>
        <w:t xml:space="preserve"> go.”</w:t>
      </w:r>
    </w:p>
    <w:p w:rsidR="00600CF1" w:rsidRDefault="00600CF1" w:rsidP="00CF45DC">
      <w:pPr>
        <w:pStyle w:val="ParaTab1"/>
        <w:tabs>
          <w:tab w:val="left" w:pos="2070"/>
        </w:tabs>
        <w:spacing w:line="360" w:lineRule="auto"/>
        <w:rPr>
          <w:rFonts w:ascii="Times New Roman" w:hAnsi="Times New Roman" w:cs="Times New Roman"/>
        </w:rPr>
      </w:pPr>
    </w:p>
    <w:p w:rsidR="00600CF1" w:rsidRDefault="00600CF1"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On June 8, 2017, Duquesne filed a preliminary objection in response to Mr. Wilson’s complaint.  In its preliminary objection, which was accompanied by a notice to plead, Duquesne argued</w:t>
      </w:r>
      <w:r w:rsidR="004A3D01">
        <w:rPr>
          <w:rFonts w:ascii="Times New Roman" w:hAnsi="Times New Roman" w:cs="Times New Roman"/>
        </w:rPr>
        <w:t>, among other things,</w:t>
      </w:r>
      <w:r>
        <w:rPr>
          <w:rFonts w:ascii="Times New Roman" w:hAnsi="Times New Roman" w:cs="Times New Roman"/>
        </w:rPr>
        <w:t xml:space="preserve"> that the complaint lacks the required specificity for a pleading as it fails to allege any factual averments that would allow Duquesne to prepare a response or begin an investigation.  </w:t>
      </w:r>
      <w:r w:rsidR="003F1C8F">
        <w:rPr>
          <w:rFonts w:ascii="Times New Roman" w:hAnsi="Times New Roman" w:cs="Times New Roman"/>
        </w:rPr>
        <w:t>Duquesne requested that Mr. Wilson’s complaint be dismissed.</w:t>
      </w:r>
    </w:p>
    <w:p w:rsidR="003F1C8F" w:rsidRPr="003F1C8F" w:rsidRDefault="003F1C8F" w:rsidP="00CF45DC">
      <w:pPr>
        <w:pStyle w:val="ParaTab1"/>
        <w:tabs>
          <w:tab w:val="left" w:pos="2070"/>
        </w:tabs>
        <w:spacing w:line="360" w:lineRule="auto"/>
        <w:rPr>
          <w:rFonts w:ascii="Times New Roman" w:hAnsi="Times New Roman" w:cs="Times New Roman"/>
        </w:rPr>
      </w:pPr>
    </w:p>
    <w:p w:rsidR="006C3058" w:rsidRPr="003F1C8F" w:rsidRDefault="003F1C8F" w:rsidP="006C3058">
      <w:pPr>
        <w:pStyle w:val="ParaTab1"/>
        <w:tabs>
          <w:tab w:val="left" w:pos="2070"/>
        </w:tabs>
        <w:spacing w:line="360" w:lineRule="auto"/>
        <w:rPr>
          <w:rFonts w:ascii="Times New Roman" w:hAnsi="Times New Roman" w:cs="Times New Roman"/>
          <w:bCs/>
          <w:color w:val="000000"/>
        </w:rPr>
      </w:pPr>
      <w:r w:rsidRPr="003F1C8F">
        <w:rPr>
          <w:rFonts w:ascii="Times New Roman" w:hAnsi="Times New Roman" w:cs="Times New Roman"/>
          <w:bCs/>
          <w:color w:val="000000"/>
        </w:rPr>
        <w:t xml:space="preserve">Mr. Wilson </w:t>
      </w:r>
      <w:r w:rsidR="006C3058" w:rsidRPr="003F1C8F">
        <w:rPr>
          <w:rFonts w:ascii="Times New Roman" w:hAnsi="Times New Roman" w:cs="Times New Roman"/>
          <w:bCs/>
          <w:color w:val="000000"/>
        </w:rPr>
        <w:t xml:space="preserve">did not file an answer to </w:t>
      </w:r>
      <w:r w:rsidRPr="003F1C8F">
        <w:rPr>
          <w:rFonts w:ascii="Times New Roman" w:hAnsi="Times New Roman" w:cs="Times New Roman"/>
          <w:bCs/>
          <w:color w:val="000000"/>
        </w:rPr>
        <w:t>Duquesne’s preliminary objection</w:t>
      </w:r>
      <w:r w:rsidR="006C3058" w:rsidRPr="003F1C8F">
        <w:rPr>
          <w:rFonts w:ascii="Times New Roman" w:hAnsi="Times New Roman" w:cs="Times New Roman"/>
          <w:bCs/>
          <w:color w:val="000000"/>
        </w:rPr>
        <w:t>.</w:t>
      </w:r>
    </w:p>
    <w:p w:rsidR="00DD537D" w:rsidRPr="003F1C8F" w:rsidRDefault="00DD537D" w:rsidP="000B74D5">
      <w:pPr>
        <w:pStyle w:val="ParaTab1"/>
        <w:tabs>
          <w:tab w:val="left" w:pos="2070"/>
        </w:tabs>
        <w:spacing w:line="360" w:lineRule="auto"/>
        <w:rPr>
          <w:rFonts w:ascii="Times New Roman" w:hAnsi="Times New Roman" w:cs="Times New Roman"/>
        </w:rPr>
      </w:pPr>
    </w:p>
    <w:p w:rsidR="006238E3" w:rsidRDefault="004A3D01"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By order dated July 7, 2017, </w:t>
      </w:r>
      <w:r w:rsidR="003F1C8F">
        <w:rPr>
          <w:rFonts w:ascii="Times New Roman" w:hAnsi="Times New Roman" w:cs="Times New Roman"/>
          <w:bCs/>
          <w:color w:val="000000"/>
        </w:rPr>
        <w:t xml:space="preserve">Duquesne’s </w:t>
      </w:r>
      <w:r w:rsidR="006238E3" w:rsidRPr="003F1C8F">
        <w:rPr>
          <w:rFonts w:ascii="Times New Roman" w:hAnsi="Times New Roman" w:cs="Times New Roman"/>
          <w:bCs/>
          <w:color w:val="000000"/>
        </w:rPr>
        <w:t>preliminary objection</w:t>
      </w:r>
      <w:r w:rsidR="009C072F" w:rsidRPr="003F1C8F">
        <w:rPr>
          <w:rFonts w:ascii="Times New Roman" w:hAnsi="Times New Roman" w:cs="Times New Roman"/>
          <w:bCs/>
          <w:color w:val="000000"/>
        </w:rPr>
        <w:t xml:space="preserve"> </w:t>
      </w:r>
      <w:r>
        <w:rPr>
          <w:rFonts w:ascii="Times New Roman" w:hAnsi="Times New Roman" w:cs="Times New Roman"/>
          <w:bCs/>
          <w:color w:val="000000"/>
        </w:rPr>
        <w:t xml:space="preserve">was </w:t>
      </w:r>
      <w:r w:rsidR="007B79C3" w:rsidRPr="003F1C8F">
        <w:rPr>
          <w:rFonts w:ascii="Times New Roman" w:hAnsi="Times New Roman" w:cs="Times New Roman"/>
          <w:bCs/>
          <w:color w:val="000000"/>
        </w:rPr>
        <w:t>denied</w:t>
      </w:r>
      <w:r>
        <w:rPr>
          <w:rFonts w:ascii="Times New Roman" w:hAnsi="Times New Roman" w:cs="Times New Roman"/>
          <w:bCs/>
          <w:color w:val="000000"/>
        </w:rPr>
        <w:t xml:space="preserve">.  On July 11, 2017, an initial hearing was set for this case for Wednesday, September 6, 2017 and </w:t>
      </w:r>
      <w:r w:rsidR="00CE3DB2">
        <w:rPr>
          <w:rFonts w:ascii="Times New Roman" w:hAnsi="Times New Roman" w:cs="Times New Roman"/>
          <w:bCs/>
          <w:color w:val="000000"/>
        </w:rPr>
        <w:t xml:space="preserve">I was assigned </w:t>
      </w:r>
      <w:r>
        <w:rPr>
          <w:rFonts w:ascii="Times New Roman" w:hAnsi="Times New Roman" w:cs="Times New Roman"/>
          <w:bCs/>
          <w:color w:val="000000"/>
        </w:rPr>
        <w:t>as the presiding officer.  A prehearing order dated July 14, 2017 was issued setting forth various rules that would govern the hearing.</w:t>
      </w:r>
    </w:p>
    <w:p w:rsidR="004A3D01" w:rsidRDefault="004A3D01" w:rsidP="006238E3">
      <w:pPr>
        <w:pStyle w:val="ParaTab1"/>
        <w:tabs>
          <w:tab w:val="left" w:pos="2070"/>
        </w:tabs>
        <w:spacing w:line="360" w:lineRule="auto"/>
        <w:rPr>
          <w:rFonts w:ascii="Times New Roman" w:hAnsi="Times New Roman" w:cs="Times New Roman"/>
          <w:bCs/>
          <w:color w:val="000000"/>
        </w:rPr>
      </w:pPr>
    </w:p>
    <w:p w:rsidR="003873CD" w:rsidRDefault="004A3D01"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lastRenderedPageBreak/>
        <w:t xml:space="preserve">On August 18, 2017, Duquesne filed a motion for a continuance of the hearing.  In its motion, Duquesne averred that </w:t>
      </w:r>
      <w:r w:rsidR="007967F9">
        <w:rPr>
          <w:rFonts w:ascii="Times New Roman" w:hAnsi="Times New Roman" w:cs="Times New Roman"/>
          <w:bCs/>
          <w:color w:val="000000"/>
        </w:rPr>
        <w:t xml:space="preserve">it filed timely preliminary objections in response to Mr. Wilson’s complaint but that it never received a copy of the order denying the preliminary objections because the order had been entered at a different docket number by Commission personnel.  As a result, </w:t>
      </w:r>
      <w:r w:rsidR="003873CD">
        <w:rPr>
          <w:rFonts w:ascii="Times New Roman" w:hAnsi="Times New Roman" w:cs="Times New Roman"/>
          <w:bCs/>
          <w:color w:val="000000"/>
        </w:rPr>
        <w:t>Duquesne requested that the matter be continued for 30-60 days so that the company can file an answer and new matter to the complaint and to allow Mr. Wilson time to file a reply to the new matter.  Duquesne noted that Mr. Wilson opposes the requested continuance but nevertheless believes that a continuance is appropriate under the circumstances.</w:t>
      </w:r>
    </w:p>
    <w:p w:rsidR="004A3D01" w:rsidRDefault="004A3D01" w:rsidP="006238E3">
      <w:pPr>
        <w:pStyle w:val="ParaTab1"/>
        <w:tabs>
          <w:tab w:val="left" w:pos="2070"/>
        </w:tabs>
        <w:spacing w:line="360" w:lineRule="auto"/>
        <w:rPr>
          <w:rFonts w:ascii="Times New Roman" w:hAnsi="Times New Roman" w:cs="Times New Roman"/>
          <w:bCs/>
          <w:color w:val="000000"/>
        </w:rPr>
      </w:pPr>
    </w:p>
    <w:p w:rsidR="004A3D01" w:rsidRDefault="004A3D01" w:rsidP="004A3D01">
      <w:pPr>
        <w:tabs>
          <w:tab w:val="left" w:pos="-720"/>
          <w:tab w:val="left" w:pos="2070"/>
        </w:tabs>
        <w:suppressAutoHyphens/>
        <w:autoSpaceDE/>
        <w:autoSpaceDN/>
        <w:spacing w:line="360" w:lineRule="auto"/>
        <w:ind w:firstLine="1440"/>
        <w:rPr>
          <w:rFonts w:eastAsiaTheme="minorHAnsi"/>
        </w:rPr>
      </w:pPr>
      <w:r w:rsidRPr="00A349CC">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Pa.Code § 1.15(b).  This Section also provides that “only for good cause shown will requests for continuance be considered.”  </w:t>
      </w:r>
      <w:r w:rsidRPr="00A349CC">
        <w:rPr>
          <w:rFonts w:eastAsiaTheme="minorHAnsi"/>
          <w:u w:val="single"/>
        </w:rPr>
        <w:t>Id.</w:t>
      </w:r>
      <w:r w:rsidRPr="00A349CC">
        <w:rPr>
          <w:rFonts w:eastAsiaTheme="minorHAnsi"/>
        </w:rPr>
        <w:t xml:space="preserve">  Additionally, Section 5.483(a) provides Presiding Officers the authority to regulate the course of the proceeding.  52 Pa.Code § 5.483(a).  Furthermore, Section 1.2 provides that the Commission’s rules shall be “liberally construed to secure the just, speedy and inexpensive determination of every action or proceeding.”  52 Pa.Code § 1.2(a).</w:t>
      </w:r>
    </w:p>
    <w:p w:rsidR="003873CD" w:rsidRDefault="003873CD" w:rsidP="004A3D01">
      <w:pPr>
        <w:tabs>
          <w:tab w:val="left" w:pos="-720"/>
          <w:tab w:val="left" w:pos="2070"/>
        </w:tabs>
        <w:suppressAutoHyphens/>
        <w:autoSpaceDE/>
        <w:autoSpaceDN/>
        <w:spacing w:line="360" w:lineRule="auto"/>
        <w:ind w:firstLine="1440"/>
        <w:rPr>
          <w:rFonts w:eastAsiaTheme="minorHAnsi"/>
        </w:rPr>
      </w:pPr>
    </w:p>
    <w:p w:rsidR="00CE3DB2" w:rsidRDefault="00C46238" w:rsidP="00C46238">
      <w:pPr>
        <w:tabs>
          <w:tab w:val="left" w:pos="-720"/>
          <w:tab w:val="left" w:pos="2070"/>
        </w:tabs>
        <w:suppressAutoHyphens/>
        <w:autoSpaceDE/>
        <w:autoSpaceDN/>
        <w:spacing w:line="360" w:lineRule="auto"/>
        <w:ind w:firstLine="1440"/>
        <w:rPr>
          <w:rFonts w:eastAsiaTheme="minorHAnsi"/>
        </w:rPr>
      </w:pPr>
      <w:r>
        <w:rPr>
          <w:rFonts w:eastAsiaTheme="minorHAnsi"/>
        </w:rPr>
        <w:t xml:space="preserve">Duquesne’s request for a continuance will be granted.  The hearing in this matter will be continued for a period of no less than 60 days.  As noted in the motion, </w:t>
      </w:r>
      <w:r w:rsidR="00CE3DB2">
        <w:rPr>
          <w:rFonts w:eastAsiaTheme="minorHAnsi"/>
        </w:rPr>
        <w:t xml:space="preserve">Commission personnel inadvertently posted the order disposing of the preliminary objections to the wrong docket number.  This caused a delay in Duquesne receiving the order.  As a result, and as Duquesne noted in its motion, the company has not yet been able to file an answer and new matter in response to the complaint, and Mr. Wilson has not had an opportunity to file a reply to the new matter.  All of these reasons are good cause shown for a moderate </w:t>
      </w:r>
      <w:r w:rsidR="00384891">
        <w:rPr>
          <w:rFonts w:eastAsiaTheme="minorHAnsi"/>
        </w:rPr>
        <w:t>sixty</w:t>
      </w:r>
      <w:r w:rsidR="00CE3DB2">
        <w:rPr>
          <w:rFonts w:eastAsiaTheme="minorHAnsi"/>
        </w:rPr>
        <w:t xml:space="preserve"> day continuance of the hearing.  Continuing the hearing may help secure the just, speedy and inexpensive determination of this matter.  To the extent that the company can answer the complaint and file new matter, which Mr. Wilson may be able to answer, the issues in this proceeding may be reduced or eliminated.  This is true despite Mr. Wilson’s opposition to any continuance.</w:t>
      </w:r>
    </w:p>
    <w:p w:rsidR="00C46238" w:rsidRPr="003F1C8F" w:rsidRDefault="00C46238" w:rsidP="00C46238">
      <w:pPr>
        <w:tabs>
          <w:tab w:val="left" w:pos="-720"/>
          <w:tab w:val="left" w:pos="2070"/>
        </w:tabs>
        <w:suppressAutoHyphens/>
        <w:autoSpaceDE/>
        <w:autoSpaceDN/>
        <w:spacing w:line="360" w:lineRule="auto"/>
        <w:ind w:firstLine="1440"/>
        <w:rPr>
          <w:bCs/>
          <w:color w:val="000000"/>
        </w:rPr>
      </w:pPr>
    </w:p>
    <w:p w:rsidR="00C46238" w:rsidRDefault="00C46238" w:rsidP="00C46238">
      <w:pPr>
        <w:tabs>
          <w:tab w:val="left" w:pos="-720"/>
          <w:tab w:val="left" w:pos="2070"/>
        </w:tabs>
        <w:suppressAutoHyphens/>
        <w:autoSpaceDE/>
        <w:autoSpaceDN/>
        <w:spacing w:line="360" w:lineRule="auto"/>
        <w:ind w:firstLine="1440"/>
        <w:rPr>
          <w:rFonts w:eastAsiaTheme="minorHAnsi"/>
        </w:rPr>
      </w:pPr>
      <w:r>
        <w:lastRenderedPageBreak/>
        <w:t>F</w:t>
      </w:r>
      <w:r w:rsidRPr="00A349CC">
        <w:rPr>
          <w:rFonts w:eastAsiaTheme="minorHAnsi"/>
        </w:rPr>
        <w:t>urthermore,</w:t>
      </w:r>
      <w:r>
        <w:rPr>
          <w:rFonts w:eastAsiaTheme="minorHAnsi"/>
        </w:rPr>
        <w:t xml:space="preserve"> </w:t>
      </w:r>
      <w:r w:rsidRPr="00A349CC">
        <w:rPr>
          <w:rFonts w:eastAsiaTheme="minorHAnsi"/>
        </w:rPr>
        <w:t xml:space="preserve">Commission policy promotes settlement.  52 Pa. Code §5.231(a).  </w:t>
      </w:r>
      <w:r>
        <w:rPr>
          <w:rFonts w:eastAsiaTheme="minorHAnsi"/>
        </w:rPr>
        <w:t>A continuance of the hearing in this matter will also allow the parties additional opportunity to engage in settlement discussions</w:t>
      </w:r>
      <w:r w:rsidRPr="00A349CC">
        <w:rPr>
          <w:rFonts w:eastAsiaTheme="minorHAnsi"/>
        </w:rPr>
        <w:t xml:space="preserve">.  To the extent that such discussions may lead to a settlement, the parties should be afforded an opportunity to have further discussions.  </w:t>
      </w:r>
      <w:r>
        <w:rPr>
          <w:rFonts w:eastAsiaTheme="minorHAnsi"/>
        </w:rPr>
        <w:t>A</w:t>
      </w:r>
      <w:r w:rsidRPr="00A349CC">
        <w:rPr>
          <w:rFonts w:eastAsiaTheme="minorHAnsi"/>
        </w:rPr>
        <w:t>dditional time to explore settlement</w:t>
      </w:r>
      <w:r>
        <w:rPr>
          <w:rFonts w:eastAsiaTheme="minorHAnsi"/>
        </w:rPr>
        <w:t xml:space="preserve"> also constitutes</w:t>
      </w:r>
      <w:r w:rsidRPr="00A349CC">
        <w:rPr>
          <w:rFonts w:eastAsiaTheme="minorHAnsi"/>
        </w:rPr>
        <w:t xml:space="preserve"> good cause </w:t>
      </w:r>
      <w:r>
        <w:rPr>
          <w:rFonts w:eastAsiaTheme="minorHAnsi"/>
        </w:rPr>
        <w:t>to grant the continuance</w:t>
      </w:r>
      <w:r w:rsidRPr="00A349CC">
        <w:rPr>
          <w:rFonts w:eastAsiaTheme="minorHAnsi"/>
        </w:rPr>
        <w:t xml:space="preserve">.  Settlement discussions </w:t>
      </w:r>
      <w:r w:rsidR="00CE3DB2">
        <w:rPr>
          <w:rFonts w:eastAsiaTheme="minorHAnsi"/>
        </w:rPr>
        <w:t>may</w:t>
      </w:r>
      <w:r w:rsidRPr="00A349CC">
        <w:rPr>
          <w:rFonts w:eastAsiaTheme="minorHAnsi"/>
        </w:rPr>
        <w:t xml:space="preserve"> help secure the just, speedy and inexpensive det</w:t>
      </w:r>
      <w:r>
        <w:rPr>
          <w:rFonts w:eastAsiaTheme="minorHAnsi"/>
        </w:rPr>
        <w:t>ermination of this proceeding</w:t>
      </w:r>
      <w:r w:rsidRPr="00A349CC">
        <w:rPr>
          <w:rFonts w:eastAsiaTheme="minorHAnsi"/>
        </w:rPr>
        <w:t>.</w:t>
      </w:r>
      <w:r>
        <w:rPr>
          <w:rFonts w:eastAsiaTheme="minorHAnsi"/>
        </w:rPr>
        <w:t xml:space="preserve"> </w:t>
      </w:r>
      <w:r w:rsidRPr="00A349CC">
        <w:rPr>
          <w:rFonts w:eastAsiaTheme="minorHAnsi"/>
        </w:rPr>
        <w:t xml:space="preserve"> Even if the parties are unable to settle this case, they may still resolve some of the questions or issues during their discussions.</w:t>
      </w:r>
      <w:r w:rsidRPr="00A349CC">
        <w:rPr>
          <w:rFonts w:eastAsiaTheme="minorHAnsi"/>
          <w:color w:val="FF0000"/>
        </w:rPr>
        <w:t xml:space="preserve">  </w:t>
      </w:r>
      <w:r w:rsidRPr="00A349CC">
        <w:rPr>
          <w:rFonts w:eastAsiaTheme="minorHAnsi"/>
        </w:rPr>
        <w:t xml:space="preserve">The parties are also reminded that the presiding officer may participate in settlement discussions upon agreement of all parties.  52 Pa.Code § 5.223(c); </w:t>
      </w:r>
      <w:r w:rsidRPr="00A349CC">
        <w:rPr>
          <w:rFonts w:eastAsiaTheme="minorHAnsi"/>
          <w:i/>
        </w:rPr>
        <w:t>see also</w:t>
      </w:r>
      <w:r w:rsidRPr="00A349CC">
        <w:rPr>
          <w:rFonts w:eastAsiaTheme="minorHAnsi"/>
        </w:rPr>
        <w:t xml:space="preserve">, 52 Pa.Code § 5.231(c).  If the parties reach an agreement on all issues, a formal hearing will not be necessary.  </w:t>
      </w:r>
    </w:p>
    <w:p w:rsidR="00CE3DB2" w:rsidRDefault="00CE3DB2" w:rsidP="00C46238">
      <w:pPr>
        <w:tabs>
          <w:tab w:val="left" w:pos="-720"/>
          <w:tab w:val="left" w:pos="2070"/>
        </w:tabs>
        <w:suppressAutoHyphens/>
        <w:autoSpaceDE/>
        <w:autoSpaceDN/>
        <w:spacing w:line="360" w:lineRule="auto"/>
        <w:ind w:firstLine="1440"/>
        <w:rPr>
          <w:rFonts w:eastAsiaTheme="minorHAnsi"/>
        </w:rPr>
      </w:pPr>
    </w:p>
    <w:p w:rsidR="00CE3DB2" w:rsidRPr="00A349CC" w:rsidRDefault="00CE3DB2" w:rsidP="00C46238">
      <w:pPr>
        <w:tabs>
          <w:tab w:val="left" w:pos="-720"/>
          <w:tab w:val="left" w:pos="2070"/>
        </w:tabs>
        <w:suppressAutoHyphens/>
        <w:autoSpaceDE/>
        <w:autoSpaceDN/>
        <w:spacing w:line="360" w:lineRule="auto"/>
        <w:ind w:firstLine="1440"/>
        <w:rPr>
          <w:rFonts w:eastAsiaTheme="minorHAnsi"/>
        </w:rPr>
      </w:pPr>
      <w:r>
        <w:rPr>
          <w:rFonts w:eastAsiaTheme="minorHAnsi"/>
        </w:rPr>
        <w:t>As a result, Duquesne’s motion for a continuance will be granted.</w:t>
      </w:r>
    </w:p>
    <w:p w:rsidR="00C46238" w:rsidRPr="002921FC" w:rsidRDefault="00C46238" w:rsidP="00C46238">
      <w:pPr>
        <w:tabs>
          <w:tab w:val="left" w:pos="-720"/>
        </w:tabs>
        <w:suppressAutoHyphens/>
        <w:spacing w:line="360" w:lineRule="auto"/>
      </w:pPr>
    </w:p>
    <w:p w:rsidR="00AA5A3B" w:rsidRPr="00E47B68" w:rsidRDefault="00FA0DC0" w:rsidP="00FA0DC0">
      <w:pPr>
        <w:spacing w:line="360" w:lineRule="auto"/>
        <w:jc w:val="center"/>
      </w:pPr>
      <w:r w:rsidRPr="00E47B68">
        <w:rPr>
          <w:u w:val="single"/>
        </w:rPr>
        <w:t>ORDER</w:t>
      </w:r>
    </w:p>
    <w:p w:rsidR="002A5872" w:rsidRDefault="002A5872" w:rsidP="002A5872">
      <w:pPr>
        <w:spacing w:line="360" w:lineRule="auto"/>
      </w:pPr>
    </w:p>
    <w:p w:rsidR="00C6641B" w:rsidRPr="00E47B68" w:rsidRDefault="00C6641B" w:rsidP="002A5872">
      <w:pPr>
        <w:spacing w:line="360" w:lineRule="auto"/>
      </w:pPr>
    </w:p>
    <w:p w:rsidR="006D33B5" w:rsidRPr="00C46238" w:rsidRDefault="006D33B5" w:rsidP="002A5872">
      <w:pPr>
        <w:spacing w:line="360" w:lineRule="auto"/>
        <w:ind w:firstLine="1440"/>
        <w:rPr>
          <w:bCs/>
        </w:rPr>
      </w:pPr>
      <w:r w:rsidRPr="00C46238">
        <w:rPr>
          <w:bCs/>
        </w:rPr>
        <w:t>THEREFORE,</w:t>
      </w:r>
    </w:p>
    <w:p w:rsidR="006D33B5" w:rsidRPr="00C46238" w:rsidRDefault="006D33B5" w:rsidP="002A5872">
      <w:pPr>
        <w:spacing w:line="360" w:lineRule="auto"/>
        <w:ind w:firstLine="1440"/>
      </w:pPr>
    </w:p>
    <w:p w:rsidR="0013770C" w:rsidRPr="00C46238" w:rsidRDefault="006D33B5" w:rsidP="002A5872">
      <w:pPr>
        <w:spacing w:line="360" w:lineRule="auto"/>
        <w:ind w:firstLine="1440"/>
        <w:rPr>
          <w:bCs/>
        </w:rPr>
      </w:pPr>
      <w:r w:rsidRPr="00C46238">
        <w:rPr>
          <w:bCs/>
        </w:rPr>
        <w:t>IT IS ORDERED:</w:t>
      </w:r>
    </w:p>
    <w:p w:rsidR="0013770C" w:rsidRPr="00C46238" w:rsidRDefault="0013770C" w:rsidP="002A5872">
      <w:pPr>
        <w:spacing w:line="360" w:lineRule="auto"/>
        <w:ind w:firstLine="1440"/>
        <w:rPr>
          <w:bCs/>
        </w:rPr>
      </w:pPr>
    </w:p>
    <w:p w:rsidR="000E133E" w:rsidRPr="00C46238" w:rsidRDefault="009011DC" w:rsidP="002A5872">
      <w:pPr>
        <w:numPr>
          <w:ilvl w:val="0"/>
          <w:numId w:val="24"/>
        </w:numPr>
        <w:tabs>
          <w:tab w:val="left" w:pos="-720"/>
        </w:tabs>
        <w:suppressAutoHyphens/>
        <w:autoSpaceDE/>
        <w:autoSpaceDN/>
        <w:spacing w:line="360" w:lineRule="auto"/>
        <w:ind w:left="0" w:firstLine="1440"/>
        <w:rPr>
          <w:spacing w:val="-3"/>
        </w:rPr>
      </w:pPr>
      <w:r w:rsidRPr="00C46238">
        <w:rPr>
          <w:spacing w:val="-3"/>
        </w:rPr>
        <w:t>That the</w:t>
      </w:r>
      <w:r w:rsidR="00C46238" w:rsidRPr="00C46238">
        <w:rPr>
          <w:spacing w:val="-3"/>
        </w:rPr>
        <w:t xml:space="preserve"> request of Duquesne Light Company for a continuance of the initial hearing scheduled for September 6, 2017 </w:t>
      </w:r>
      <w:r w:rsidR="00E94801" w:rsidRPr="00C46238">
        <w:rPr>
          <w:spacing w:val="-3"/>
        </w:rPr>
        <w:t xml:space="preserve">at </w:t>
      </w:r>
      <w:r w:rsidRPr="00C46238">
        <w:rPr>
          <w:spacing w:val="-3"/>
        </w:rPr>
        <w:t xml:space="preserve">Docket Number </w:t>
      </w:r>
      <w:r w:rsidR="00BF11F9" w:rsidRPr="00C46238">
        <w:rPr>
          <w:spacing w:val="-3"/>
        </w:rPr>
        <w:t>F</w:t>
      </w:r>
      <w:r w:rsidR="00D079AD" w:rsidRPr="00C46238">
        <w:rPr>
          <w:bCs/>
          <w:color w:val="000000"/>
        </w:rPr>
        <w:t>-201</w:t>
      </w:r>
      <w:r w:rsidR="00E63C63" w:rsidRPr="00C46238">
        <w:rPr>
          <w:bCs/>
          <w:color w:val="000000"/>
        </w:rPr>
        <w:t>7-</w:t>
      </w:r>
      <w:r w:rsidR="006E3228" w:rsidRPr="00C46238">
        <w:rPr>
          <w:bCs/>
          <w:color w:val="000000"/>
        </w:rPr>
        <w:t xml:space="preserve">2605047 </w:t>
      </w:r>
      <w:r w:rsidR="00C46238" w:rsidRPr="00C46238">
        <w:rPr>
          <w:bCs/>
          <w:color w:val="000000"/>
        </w:rPr>
        <w:t>is hereby granted.</w:t>
      </w:r>
    </w:p>
    <w:p w:rsidR="00E96506" w:rsidRPr="00C46238" w:rsidRDefault="00E96506" w:rsidP="002A5872">
      <w:pPr>
        <w:tabs>
          <w:tab w:val="left" w:pos="-720"/>
        </w:tabs>
        <w:suppressAutoHyphens/>
        <w:autoSpaceDE/>
        <w:autoSpaceDN/>
        <w:spacing w:line="360" w:lineRule="auto"/>
        <w:rPr>
          <w:spacing w:val="-3"/>
        </w:rPr>
      </w:pPr>
    </w:p>
    <w:p w:rsidR="00C773A3" w:rsidRPr="00C46238" w:rsidRDefault="00885F34" w:rsidP="002A5872">
      <w:pPr>
        <w:numPr>
          <w:ilvl w:val="0"/>
          <w:numId w:val="24"/>
        </w:numPr>
        <w:tabs>
          <w:tab w:val="left" w:pos="-720"/>
        </w:tabs>
        <w:suppressAutoHyphens/>
        <w:autoSpaceDE/>
        <w:autoSpaceDN/>
        <w:spacing w:after="200" w:line="360" w:lineRule="auto"/>
        <w:ind w:left="0" w:firstLine="1440"/>
      </w:pPr>
      <w:r w:rsidRPr="00C46238">
        <w:rPr>
          <w:spacing w:val="-3"/>
        </w:rPr>
        <w:t xml:space="preserve">That </w:t>
      </w:r>
      <w:r w:rsidR="006E3228" w:rsidRPr="00C46238">
        <w:rPr>
          <w:spacing w:val="-3"/>
        </w:rPr>
        <w:t xml:space="preserve">the </w:t>
      </w:r>
      <w:r w:rsidR="00C46238">
        <w:rPr>
          <w:spacing w:val="-3"/>
        </w:rPr>
        <w:t xml:space="preserve">initial hearing in this case will </w:t>
      </w:r>
      <w:r w:rsidR="00CE3DB2">
        <w:rPr>
          <w:spacing w:val="-3"/>
        </w:rPr>
        <w:t xml:space="preserve">continued for a minimum of </w:t>
      </w:r>
      <w:r w:rsidR="00C46238">
        <w:rPr>
          <w:spacing w:val="-3"/>
        </w:rPr>
        <w:t>sixty days from the date of this order.</w:t>
      </w:r>
    </w:p>
    <w:p w:rsidR="00C46238" w:rsidRDefault="00C46238" w:rsidP="00C46238">
      <w:pPr>
        <w:pStyle w:val="ListParagraph"/>
      </w:pPr>
    </w:p>
    <w:p w:rsidR="00C46238" w:rsidRPr="00C46238" w:rsidRDefault="00C46238" w:rsidP="00C46238">
      <w:pPr>
        <w:numPr>
          <w:ilvl w:val="0"/>
          <w:numId w:val="24"/>
        </w:numPr>
        <w:tabs>
          <w:tab w:val="left" w:pos="-720"/>
        </w:tabs>
        <w:suppressAutoHyphens/>
        <w:autoSpaceDE/>
        <w:autoSpaceDN/>
        <w:spacing w:line="360" w:lineRule="auto"/>
        <w:ind w:left="0" w:firstLine="1440"/>
        <w:rPr>
          <w:spacing w:val="-3"/>
        </w:rPr>
      </w:pPr>
      <w:r>
        <w:rPr>
          <w:spacing w:val="-3"/>
        </w:rPr>
        <w:t>That the parties are encouraged to pursue settlement discussions.</w:t>
      </w:r>
    </w:p>
    <w:p w:rsidR="0010500D" w:rsidRPr="004A39AA" w:rsidRDefault="0010500D" w:rsidP="002A5872">
      <w:pPr>
        <w:spacing w:line="360" w:lineRule="auto"/>
      </w:pPr>
    </w:p>
    <w:p w:rsidR="00C46238" w:rsidRDefault="00C46238" w:rsidP="00897507"/>
    <w:p w:rsidR="00897507" w:rsidRPr="004A39AA" w:rsidRDefault="00444E27" w:rsidP="00897507">
      <w:pPr>
        <w:rPr>
          <w:u w:val="single"/>
        </w:rPr>
      </w:pPr>
      <w:r w:rsidRPr="004A39AA">
        <w:t xml:space="preserve">Date: </w:t>
      </w:r>
      <w:r w:rsidR="004A3D01">
        <w:rPr>
          <w:u w:val="single"/>
        </w:rPr>
        <w:t>August 30</w:t>
      </w:r>
      <w:r w:rsidR="00094399" w:rsidRPr="004A39AA">
        <w:rPr>
          <w:u w:val="single"/>
        </w:rPr>
        <w:t>,</w:t>
      </w:r>
      <w:r w:rsidR="002B2AE5" w:rsidRPr="004A39AA">
        <w:rPr>
          <w:u w:val="single"/>
        </w:rPr>
        <w:t xml:space="preserve"> 201</w:t>
      </w:r>
      <w:r w:rsidR="00D079AD" w:rsidRPr="004A39AA">
        <w:rPr>
          <w:u w:val="single"/>
        </w:rPr>
        <w:t>7</w:t>
      </w:r>
      <w:r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C6641B" w:rsidRDefault="00444E27" w:rsidP="00444E27">
      <w:pPr>
        <w:sectPr w:rsidR="00C6641B" w:rsidSect="00C6641B">
          <w:footerReference w:type="default" r:id="rId8"/>
          <w:pgSz w:w="12240" w:h="15840"/>
          <w:pgMar w:top="1296" w:right="1440" w:bottom="1296" w:left="1440" w:header="720" w:footer="720" w:gutter="0"/>
          <w:cols w:space="720"/>
          <w:titlePg/>
          <w:docGrid w:linePitch="360"/>
        </w:sectPr>
      </w:pPr>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r w:rsidR="00C6641B">
        <w:t xml:space="preserve">   </w:t>
      </w:r>
    </w:p>
    <w:p w:rsidR="00C6641B" w:rsidRDefault="00C6641B" w:rsidP="00C6641B">
      <w:pPr>
        <w:rPr>
          <w:rFonts w:ascii="Microsoft Sans Serif" w:hAnsi="Microsoft Sans Serif" w:cs="Microsoft Sans Serif"/>
        </w:rPr>
      </w:pPr>
    </w:p>
    <w:p w:rsidR="00C6641B" w:rsidRDefault="00C6641B" w:rsidP="00C6641B">
      <w:pPr>
        <w:tabs>
          <w:tab w:val="center" w:pos="4824"/>
        </w:tabs>
        <w:suppressAutoHyphens/>
        <w:rPr>
          <w:rFonts w:ascii="Microsoft Sans Serif" w:hAnsi="Microsoft Sans Serif" w:cs="Microsoft Sans Serif"/>
          <w:b/>
          <w:spacing w:val="-3"/>
          <w:u w:val="single"/>
        </w:rPr>
      </w:pPr>
    </w:p>
    <w:p w:rsidR="00C6641B" w:rsidRDefault="00C6641B" w:rsidP="00C6641B">
      <w:pPr>
        <w:tabs>
          <w:tab w:val="center" w:pos="4824"/>
        </w:tabs>
        <w:suppressAutoHyphens/>
        <w:rPr>
          <w:rFonts w:ascii="Microsoft Sans Serif" w:hAnsi="Microsoft Sans Serif" w:cs="Microsoft Sans Serif"/>
          <w:b/>
          <w:spacing w:val="-3"/>
          <w:u w:val="single"/>
        </w:rPr>
      </w:pPr>
    </w:p>
    <w:p w:rsidR="00C6641B" w:rsidRPr="00412E63" w:rsidRDefault="00C6641B" w:rsidP="00C6641B">
      <w:pPr>
        <w:tabs>
          <w:tab w:val="center" w:pos="4824"/>
        </w:tabs>
        <w:suppressAutoHyphens/>
        <w:rPr>
          <w:rFonts w:ascii="Microsoft Sans Serif" w:hAnsi="Microsoft Sans Serif" w:cs="Microsoft Sans Serif"/>
          <w:b/>
          <w:u w:val="single"/>
        </w:rPr>
      </w:pPr>
      <w:r w:rsidRPr="00412E63">
        <w:rPr>
          <w:rFonts w:ascii="Microsoft Sans Serif" w:hAnsi="Microsoft Sans Serif" w:cs="Microsoft Sans Serif"/>
          <w:b/>
          <w:spacing w:val="-3"/>
          <w:u w:val="single"/>
        </w:rPr>
        <w:t xml:space="preserve">F-2017-2605047 - </w:t>
      </w:r>
      <w:r w:rsidRPr="00412E63">
        <w:rPr>
          <w:rFonts w:ascii="Microsoft Sans Serif" w:hAnsi="Microsoft Sans Serif" w:cs="Microsoft Sans Serif"/>
          <w:b/>
          <w:u w:val="single"/>
        </w:rPr>
        <w:t>MARTIN WILSON v. DUQUESNE LIGHT COMPANY &amp; FRONTIER UTILITIES NORTHEAST LLC</w:t>
      </w:r>
    </w:p>
    <w:p w:rsidR="00C6641B" w:rsidRDefault="00C6641B" w:rsidP="00C6641B">
      <w:pPr>
        <w:tabs>
          <w:tab w:val="center" w:pos="4824"/>
        </w:tabs>
        <w:suppressAutoHyphens/>
        <w:rPr>
          <w:rFonts w:ascii="Microsoft Sans Serif" w:hAnsi="Microsoft Sans Serif" w:cs="Microsoft Sans Serif"/>
          <w:b/>
          <w:u w:val="single"/>
        </w:rPr>
      </w:pPr>
    </w:p>
    <w:p w:rsidR="00C6641B" w:rsidRDefault="00C6641B" w:rsidP="00C6641B">
      <w:pPr>
        <w:tabs>
          <w:tab w:val="center" w:pos="4824"/>
        </w:tabs>
        <w:suppressAutoHyphens/>
        <w:rPr>
          <w:rFonts w:ascii="Microsoft Sans Serif" w:hAnsi="Microsoft Sans Serif" w:cs="Microsoft Sans Serif"/>
          <w:b/>
          <w:u w:val="single"/>
        </w:rPr>
      </w:pPr>
    </w:p>
    <w:p w:rsidR="00C6641B" w:rsidRDefault="00C6641B" w:rsidP="00C6641B">
      <w:pPr>
        <w:rPr>
          <w:rFonts w:ascii="Microsoft Sans Serif" w:hAnsi="Microsoft Sans Serif" w:cs="Microsoft Sans Serif"/>
        </w:rPr>
      </w:pPr>
      <w:r>
        <w:rPr>
          <w:rFonts w:ascii="Microsoft Sans Serif" w:hAnsi="Microsoft Sans Serif" w:cs="Microsoft Sans Serif"/>
        </w:rPr>
        <w:t>MARTIN WILSON</w:t>
      </w:r>
    </w:p>
    <w:p w:rsidR="00C6641B" w:rsidRDefault="00C6641B" w:rsidP="00C6641B">
      <w:pPr>
        <w:rPr>
          <w:rFonts w:ascii="Microsoft Sans Serif" w:hAnsi="Microsoft Sans Serif" w:cs="Microsoft Sans Serif"/>
        </w:rPr>
      </w:pPr>
      <w:r>
        <w:rPr>
          <w:rFonts w:ascii="Microsoft Sans Serif" w:hAnsi="Microsoft Sans Serif" w:cs="Microsoft Sans Serif"/>
        </w:rPr>
        <w:t>998 JOHNSON AVENUE</w:t>
      </w:r>
    </w:p>
    <w:p w:rsidR="00C6641B" w:rsidRDefault="00C6641B" w:rsidP="00C6641B">
      <w:pPr>
        <w:rPr>
          <w:rFonts w:ascii="Microsoft Sans Serif" w:hAnsi="Microsoft Sans Serif" w:cs="Microsoft Sans Serif"/>
        </w:rPr>
      </w:pPr>
      <w:r>
        <w:rPr>
          <w:rFonts w:ascii="Microsoft Sans Serif" w:hAnsi="Microsoft Sans Serif" w:cs="Microsoft Sans Serif"/>
        </w:rPr>
        <w:t>MONACA PA  15061</w:t>
      </w:r>
    </w:p>
    <w:p w:rsidR="00C6641B" w:rsidRPr="008E570B" w:rsidRDefault="00C6641B" w:rsidP="00C6641B">
      <w:pPr>
        <w:rPr>
          <w:rFonts w:ascii="Microsoft Sans Serif" w:hAnsi="Microsoft Sans Serif" w:cs="Microsoft Sans Serif"/>
          <w:b/>
        </w:rPr>
      </w:pPr>
      <w:r>
        <w:rPr>
          <w:rFonts w:ascii="Microsoft Sans Serif" w:hAnsi="Microsoft Sans Serif" w:cs="Microsoft Sans Serif"/>
          <w:b/>
        </w:rPr>
        <w:t>724.302.5011</w:t>
      </w:r>
    </w:p>
    <w:p w:rsidR="00C6641B" w:rsidRDefault="00C6641B" w:rsidP="00C6641B">
      <w:pPr>
        <w:rPr>
          <w:rFonts w:ascii="Microsoft Sans Serif" w:hAnsi="Microsoft Sans Serif" w:cs="Microsoft Sans Serif"/>
        </w:rPr>
      </w:pPr>
    </w:p>
    <w:p w:rsidR="00C6641B" w:rsidRPr="005D6AEE" w:rsidRDefault="00C6641B" w:rsidP="00C6641B">
      <w:pPr>
        <w:rPr>
          <w:rFonts w:ascii="Microsoft Sans Serif" w:hAnsi="Microsoft Sans Serif" w:cs="Microsoft Sans Serif"/>
        </w:rPr>
      </w:pPr>
      <w:r>
        <w:rPr>
          <w:rFonts w:ascii="Microsoft Sans Serif" w:hAnsi="Microsoft Sans Serif" w:cs="Microsoft Sans Serif"/>
        </w:rPr>
        <w:t>LAUREN N RULLI ESQUIRE</w:t>
      </w:r>
    </w:p>
    <w:p w:rsidR="00C6641B" w:rsidRPr="005D6AEE" w:rsidRDefault="00C6641B" w:rsidP="00C6641B">
      <w:pPr>
        <w:rPr>
          <w:rFonts w:ascii="Microsoft Sans Serif" w:hAnsi="Microsoft Sans Serif" w:cs="Microsoft Sans Serif"/>
        </w:rPr>
      </w:pPr>
      <w:r>
        <w:rPr>
          <w:rFonts w:ascii="Microsoft Sans Serif" w:hAnsi="Microsoft Sans Serif" w:cs="Microsoft Sans Serif"/>
        </w:rPr>
        <w:t>TUCKER ARENSBERG PC</w:t>
      </w:r>
    </w:p>
    <w:p w:rsidR="00C6641B" w:rsidRDefault="00C6641B" w:rsidP="00C6641B">
      <w:pPr>
        <w:rPr>
          <w:rFonts w:ascii="Microsoft Sans Serif" w:hAnsi="Microsoft Sans Serif" w:cs="Microsoft Sans Serif"/>
        </w:rPr>
      </w:pPr>
      <w:r>
        <w:rPr>
          <w:rFonts w:ascii="Microsoft Sans Serif" w:hAnsi="Microsoft Sans Serif" w:cs="Microsoft Sans Serif"/>
        </w:rPr>
        <w:t>1500 ONE PPG PLACE</w:t>
      </w:r>
    </w:p>
    <w:p w:rsidR="00C6641B" w:rsidRDefault="00C6641B" w:rsidP="00C6641B">
      <w:pPr>
        <w:rPr>
          <w:rFonts w:ascii="Microsoft Sans Serif" w:hAnsi="Microsoft Sans Serif" w:cs="Microsoft Sans Serif"/>
        </w:rPr>
      </w:pPr>
      <w:r>
        <w:rPr>
          <w:rFonts w:ascii="Microsoft Sans Serif" w:hAnsi="Microsoft Sans Serif" w:cs="Microsoft Sans Serif"/>
        </w:rPr>
        <w:t>PITTSBURGH PA  15222</w:t>
      </w:r>
    </w:p>
    <w:p w:rsidR="00C6641B" w:rsidRDefault="00C6641B" w:rsidP="00C6641B">
      <w:pPr>
        <w:rPr>
          <w:rFonts w:ascii="Microsoft Sans Serif" w:hAnsi="Microsoft Sans Serif" w:cs="Microsoft Sans Serif"/>
          <w:b/>
        </w:rPr>
      </w:pPr>
      <w:r>
        <w:rPr>
          <w:rFonts w:ascii="Microsoft Sans Serif" w:hAnsi="Microsoft Sans Serif" w:cs="Microsoft Sans Serif"/>
          <w:b/>
        </w:rPr>
        <w:t>412.566.1212</w:t>
      </w:r>
    </w:p>
    <w:p w:rsidR="00C6641B" w:rsidRDefault="00C6641B" w:rsidP="00C6641B">
      <w:pPr>
        <w:rPr>
          <w:rFonts w:ascii="Microsoft Sans Serif" w:hAnsi="Microsoft Sans Serif" w:cs="Microsoft Sans Serif"/>
          <w:b/>
          <w:i/>
        </w:rPr>
      </w:pPr>
      <w:r w:rsidRPr="00412E63">
        <w:rPr>
          <w:rFonts w:ascii="Microsoft Sans Serif" w:hAnsi="Microsoft Sans Serif" w:cs="Microsoft Sans Serif"/>
          <w:b/>
          <w:i/>
        </w:rPr>
        <w:t>Accepts Eservice</w:t>
      </w:r>
    </w:p>
    <w:p w:rsidR="00C6641B" w:rsidRDefault="00C6641B" w:rsidP="00C6641B">
      <w:pPr>
        <w:rPr>
          <w:rFonts w:ascii="Microsoft Sans Serif" w:hAnsi="Microsoft Sans Serif" w:cs="Microsoft Sans Serif"/>
          <w:b/>
          <w:i/>
        </w:rPr>
      </w:pPr>
    </w:p>
    <w:p w:rsidR="00C6641B" w:rsidRDefault="00C6641B" w:rsidP="00C6641B">
      <w:pPr>
        <w:rPr>
          <w:rFonts w:ascii="Microsoft Sans Serif" w:hAnsi="Microsoft Sans Serif" w:cs="Microsoft Sans Serif"/>
        </w:rPr>
      </w:pPr>
      <w:r>
        <w:rPr>
          <w:rFonts w:ascii="Microsoft Sans Serif" w:hAnsi="Microsoft Sans Serif" w:cs="Microsoft Sans Serif"/>
        </w:rPr>
        <w:t>ROLAND GONZALEZ COMPLIANCE ANALYST</w:t>
      </w:r>
    </w:p>
    <w:p w:rsidR="00C6641B" w:rsidRDefault="00C6641B" w:rsidP="00C6641B">
      <w:pPr>
        <w:rPr>
          <w:rFonts w:ascii="Microsoft Sans Serif" w:hAnsi="Microsoft Sans Serif" w:cs="Microsoft Sans Serif"/>
        </w:rPr>
      </w:pPr>
      <w:r>
        <w:rPr>
          <w:rFonts w:ascii="Microsoft Sans Serif" w:hAnsi="Microsoft Sans Serif" w:cs="Microsoft Sans Serif"/>
        </w:rPr>
        <w:t>FRONTIER UTILITIES NORTHEAST LLC</w:t>
      </w:r>
    </w:p>
    <w:p w:rsidR="00C6641B" w:rsidRDefault="00C6641B" w:rsidP="00C6641B">
      <w:pPr>
        <w:rPr>
          <w:rFonts w:ascii="Microsoft Sans Serif" w:hAnsi="Microsoft Sans Serif" w:cs="Microsoft Sans Serif"/>
        </w:rPr>
      </w:pPr>
      <w:r>
        <w:rPr>
          <w:rFonts w:ascii="Microsoft Sans Serif" w:hAnsi="Microsoft Sans Serif" w:cs="Microsoft Sans Serif"/>
        </w:rPr>
        <w:t>4120 WOODWAY RIVE SUITE 10015</w:t>
      </w:r>
    </w:p>
    <w:p w:rsidR="00C6641B" w:rsidRDefault="00C6641B" w:rsidP="00C6641B">
      <w:pPr>
        <w:rPr>
          <w:rFonts w:ascii="Microsoft Sans Serif" w:hAnsi="Microsoft Sans Serif" w:cs="Microsoft Sans Serif"/>
        </w:rPr>
      </w:pPr>
      <w:r>
        <w:rPr>
          <w:rFonts w:ascii="Microsoft Sans Serif" w:hAnsi="Microsoft Sans Serif" w:cs="Microsoft Sans Serif"/>
        </w:rPr>
        <w:t>HOUSTON TX  77056</w:t>
      </w:r>
    </w:p>
    <w:p w:rsidR="00C6641B" w:rsidRDefault="00C6641B" w:rsidP="00C6641B">
      <w:pPr>
        <w:rPr>
          <w:rFonts w:ascii="Microsoft Sans Serif" w:hAnsi="Microsoft Sans Serif" w:cs="Microsoft Sans Serif"/>
          <w:b/>
        </w:rPr>
      </w:pPr>
      <w:r w:rsidRPr="00412E63">
        <w:rPr>
          <w:rFonts w:ascii="Microsoft Sans Serif" w:hAnsi="Microsoft Sans Serif" w:cs="Microsoft Sans Serif"/>
          <w:b/>
        </w:rPr>
        <w:t>832.271.6648</w:t>
      </w:r>
    </w:p>
    <w:p w:rsidR="00C6641B" w:rsidRPr="00412E63" w:rsidRDefault="00C6641B" w:rsidP="00C6641B">
      <w:pPr>
        <w:rPr>
          <w:rFonts w:ascii="Microsoft Sans Serif" w:hAnsi="Microsoft Sans Serif" w:cs="Microsoft Sans Serif"/>
          <w:b/>
          <w:i/>
        </w:rPr>
      </w:pPr>
      <w:r w:rsidRPr="00412E63">
        <w:rPr>
          <w:rFonts w:ascii="Microsoft Sans Serif" w:hAnsi="Microsoft Sans Serif" w:cs="Microsoft Sans Serif"/>
          <w:b/>
          <w:i/>
        </w:rPr>
        <w:t>Accepts Eservice</w:t>
      </w:r>
    </w:p>
    <w:p w:rsidR="00C6641B" w:rsidRDefault="00C6641B" w:rsidP="00C6641B"/>
    <w:p w:rsidR="00AD5D5B" w:rsidRPr="004A39AA" w:rsidRDefault="00AD5D5B" w:rsidP="00444E27">
      <w:bookmarkStart w:id="0" w:name="_GoBack"/>
      <w:bookmarkEnd w:id="0"/>
    </w:p>
    <w:sectPr w:rsidR="00AD5D5B" w:rsidRPr="004A39AA" w:rsidSect="002326ED">
      <w:footerReference w:type="default" r:id="rId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54" w:rsidRDefault="00713C54">
      <w:r>
        <w:separator/>
      </w:r>
    </w:p>
  </w:endnote>
  <w:endnote w:type="continuationSeparator" w:id="0">
    <w:p w:rsidR="00713C54" w:rsidRDefault="0071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rPr>
    </w:sdtEndPr>
    <w:sdtContent>
      <w:p w:rsidR="00F277CF" w:rsidRPr="00C6641B" w:rsidRDefault="00F277CF">
        <w:pPr>
          <w:pStyle w:val="Footer"/>
          <w:jc w:val="center"/>
          <w:rPr>
            <w:sz w:val="20"/>
          </w:rPr>
        </w:pPr>
        <w:r w:rsidRPr="00C6641B">
          <w:rPr>
            <w:sz w:val="20"/>
          </w:rPr>
          <w:fldChar w:fldCharType="begin"/>
        </w:r>
        <w:r w:rsidRPr="00C6641B">
          <w:rPr>
            <w:sz w:val="20"/>
          </w:rPr>
          <w:instrText xml:space="preserve"> PAGE   \* MERGEFORMAT </w:instrText>
        </w:r>
        <w:r w:rsidRPr="00C6641B">
          <w:rPr>
            <w:sz w:val="20"/>
          </w:rPr>
          <w:fldChar w:fldCharType="separate"/>
        </w:r>
        <w:r w:rsidR="00C6641B">
          <w:rPr>
            <w:noProof/>
            <w:sz w:val="20"/>
          </w:rPr>
          <w:t>3</w:t>
        </w:r>
        <w:r w:rsidRPr="00C6641B">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1B" w:rsidRPr="00C6641B" w:rsidRDefault="00C6641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54" w:rsidRDefault="00713C54">
      <w:r>
        <w:separator/>
      </w:r>
    </w:p>
  </w:footnote>
  <w:footnote w:type="continuationSeparator" w:id="0">
    <w:p w:rsidR="00713C54" w:rsidRDefault="0071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1BF"/>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4891"/>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2D2B"/>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C54"/>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2614"/>
    <w:rsid w:val="00755A22"/>
    <w:rsid w:val="0075751F"/>
    <w:rsid w:val="00757D11"/>
    <w:rsid w:val="00757E77"/>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967F9"/>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8A9"/>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238"/>
    <w:rsid w:val="00C463DD"/>
    <w:rsid w:val="00C5657B"/>
    <w:rsid w:val="00C56AEC"/>
    <w:rsid w:val="00C60A73"/>
    <w:rsid w:val="00C610DB"/>
    <w:rsid w:val="00C6203D"/>
    <w:rsid w:val="00C62E60"/>
    <w:rsid w:val="00C643D7"/>
    <w:rsid w:val="00C655EB"/>
    <w:rsid w:val="00C6641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22B0"/>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F3198"/>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4924-6F77-439A-951D-C4242FCD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2017-08-30T14:37:00Z</cp:lastPrinted>
  <dcterms:created xsi:type="dcterms:W3CDTF">2017-08-30T14:42:00Z</dcterms:created>
  <dcterms:modified xsi:type="dcterms:W3CDTF">2017-08-30T14:42:00Z</dcterms:modified>
</cp:coreProperties>
</file>