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D51E7" w14:textId="77777777" w:rsidR="00D91F34" w:rsidRPr="001303A1" w:rsidRDefault="00D91F34" w:rsidP="00773D87">
      <w:pPr>
        <w:pStyle w:val="c2"/>
        <w:widowControl/>
        <w:outlineLvl w:val="0"/>
        <w:rPr>
          <w:b/>
          <w:sz w:val="28"/>
          <w:szCs w:val="28"/>
        </w:rPr>
      </w:pPr>
      <w:r w:rsidRPr="001303A1">
        <w:rPr>
          <w:b/>
          <w:sz w:val="28"/>
          <w:szCs w:val="28"/>
        </w:rPr>
        <w:t>PENNSYLVANIA</w:t>
      </w:r>
    </w:p>
    <w:p w14:paraId="72DBCCC7" w14:textId="77777777" w:rsidR="00D91F34" w:rsidRPr="001303A1" w:rsidRDefault="00D91F34" w:rsidP="00773D87">
      <w:pPr>
        <w:pStyle w:val="c2"/>
        <w:widowControl/>
        <w:outlineLvl w:val="0"/>
        <w:rPr>
          <w:b/>
          <w:sz w:val="28"/>
          <w:szCs w:val="28"/>
        </w:rPr>
      </w:pPr>
      <w:r w:rsidRPr="001303A1">
        <w:rPr>
          <w:b/>
          <w:sz w:val="28"/>
          <w:szCs w:val="28"/>
        </w:rPr>
        <w:t>PUBLIC UTILITY COMMISSION</w:t>
      </w:r>
    </w:p>
    <w:p w14:paraId="754BE188" w14:textId="77777777" w:rsidR="00D91F34" w:rsidRPr="001303A1" w:rsidRDefault="00D91F34" w:rsidP="00773D87">
      <w:pPr>
        <w:pStyle w:val="c2"/>
        <w:widowControl/>
        <w:outlineLvl w:val="0"/>
        <w:rPr>
          <w:b/>
          <w:sz w:val="28"/>
          <w:szCs w:val="28"/>
        </w:rPr>
      </w:pPr>
      <w:r w:rsidRPr="001303A1">
        <w:rPr>
          <w:b/>
          <w:sz w:val="28"/>
          <w:szCs w:val="28"/>
        </w:rPr>
        <w:t>Harrisburg, PA 17105-3265</w:t>
      </w:r>
    </w:p>
    <w:p w14:paraId="7B180654" w14:textId="77777777" w:rsidR="00A666BE" w:rsidRDefault="00A666BE" w:rsidP="00773D87">
      <w:pPr>
        <w:pStyle w:val="p3"/>
        <w:widowControl/>
        <w:tabs>
          <w:tab w:val="clear" w:pos="4960"/>
          <w:tab w:val="left" w:pos="4320"/>
        </w:tabs>
        <w:rPr>
          <w:sz w:val="28"/>
          <w:szCs w:val="28"/>
        </w:rPr>
      </w:pPr>
    </w:p>
    <w:p w14:paraId="63B7C252" w14:textId="77777777" w:rsidR="006C560D" w:rsidRPr="00062E21" w:rsidRDefault="006C560D" w:rsidP="00773D87">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F54DF8">
        <w:rPr>
          <w:sz w:val="26"/>
          <w:szCs w:val="26"/>
        </w:rPr>
        <w:t>August 31, 2017</w:t>
      </w:r>
    </w:p>
    <w:p w14:paraId="1BA69CBB" w14:textId="77777777" w:rsidR="006C560D" w:rsidRPr="00062E21" w:rsidRDefault="006C560D" w:rsidP="00773D87">
      <w:pPr>
        <w:pStyle w:val="p4"/>
        <w:widowControl/>
        <w:spacing w:line="360" w:lineRule="auto"/>
        <w:rPr>
          <w:sz w:val="26"/>
          <w:szCs w:val="26"/>
        </w:rPr>
      </w:pPr>
    </w:p>
    <w:p w14:paraId="61D77CB6" w14:textId="77777777" w:rsidR="006C560D" w:rsidRPr="00F54DF8" w:rsidRDefault="006C560D" w:rsidP="00773D87">
      <w:pPr>
        <w:pStyle w:val="p4"/>
        <w:widowControl/>
        <w:rPr>
          <w:sz w:val="26"/>
          <w:szCs w:val="26"/>
        </w:rPr>
      </w:pPr>
      <w:r w:rsidRPr="00F54DF8">
        <w:rPr>
          <w:sz w:val="26"/>
          <w:szCs w:val="26"/>
        </w:rPr>
        <w:t>Commissioners Present:</w:t>
      </w:r>
    </w:p>
    <w:p w14:paraId="22D83699" w14:textId="77777777" w:rsidR="006C560D" w:rsidRPr="00F54DF8" w:rsidRDefault="006C560D" w:rsidP="00773D87">
      <w:pPr>
        <w:widowControl/>
        <w:tabs>
          <w:tab w:val="left" w:pos="204"/>
        </w:tabs>
        <w:rPr>
          <w:sz w:val="26"/>
          <w:szCs w:val="26"/>
        </w:rPr>
      </w:pPr>
    </w:p>
    <w:p w14:paraId="5BB3554F" w14:textId="77777777" w:rsidR="007F59C0" w:rsidRPr="00F54DF8" w:rsidRDefault="007F59C0" w:rsidP="007F59C0">
      <w:pPr>
        <w:pStyle w:val="p5"/>
        <w:widowControl/>
        <w:tabs>
          <w:tab w:val="clear" w:pos="391"/>
        </w:tabs>
        <w:ind w:left="720"/>
        <w:rPr>
          <w:sz w:val="26"/>
          <w:szCs w:val="26"/>
        </w:rPr>
      </w:pPr>
      <w:r w:rsidRPr="00F54DF8">
        <w:rPr>
          <w:sz w:val="26"/>
          <w:szCs w:val="26"/>
        </w:rPr>
        <w:t>Gladys M. Brown, Chairman</w:t>
      </w:r>
    </w:p>
    <w:p w14:paraId="09DCADB7" w14:textId="77777777" w:rsidR="007F59C0" w:rsidRPr="00F54DF8" w:rsidRDefault="007F59C0" w:rsidP="007F59C0">
      <w:pPr>
        <w:pStyle w:val="p5"/>
        <w:widowControl/>
        <w:tabs>
          <w:tab w:val="clear" w:pos="391"/>
        </w:tabs>
        <w:ind w:left="720"/>
        <w:rPr>
          <w:sz w:val="26"/>
          <w:szCs w:val="26"/>
        </w:rPr>
      </w:pPr>
      <w:r w:rsidRPr="00F54DF8">
        <w:rPr>
          <w:sz w:val="26"/>
          <w:szCs w:val="26"/>
        </w:rPr>
        <w:t>Andrew G. Place,</w:t>
      </w:r>
      <w:r w:rsidRPr="00F54DF8">
        <w:t xml:space="preserve"> </w:t>
      </w:r>
      <w:r w:rsidRPr="00F54DF8">
        <w:rPr>
          <w:sz w:val="26"/>
          <w:szCs w:val="26"/>
        </w:rPr>
        <w:t>Vice Chairman</w:t>
      </w:r>
    </w:p>
    <w:p w14:paraId="7200FC2D" w14:textId="77777777" w:rsidR="007F59C0" w:rsidRPr="00F54DF8" w:rsidRDefault="007F59C0" w:rsidP="007F59C0">
      <w:pPr>
        <w:pStyle w:val="p5"/>
        <w:widowControl/>
        <w:tabs>
          <w:tab w:val="clear" w:pos="391"/>
        </w:tabs>
        <w:ind w:left="720"/>
        <w:rPr>
          <w:sz w:val="26"/>
          <w:szCs w:val="26"/>
        </w:rPr>
      </w:pPr>
      <w:r w:rsidRPr="00F54DF8">
        <w:rPr>
          <w:sz w:val="26"/>
          <w:szCs w:val="26"/>
        </w:rPr>
        <w:t>John F. Coleman, Jr.</w:t>
      </w:r>
    </w:p>
    <w:p w14:paraId="2AD73B1E" w14:textId="77777777" w:rsidR="007F59C0" w:rsidRPr="00F54DF8" w:rsidRDefault="007F59C0" w:rsidP="007F59C0">
      <w:pPr>
        <w:pStyle w:val="p5"/>
        <w:widowControl/>
        <w:tabs>
          <w:tab w:val="clear" w:pos="391"/>
        </w:tabs>
        <w:ind w:left="720"/>
        <w:rPr>
          <w:sz w:val="26"/>
          <w:szCs w:val="26"/>
        </w:rPr>
      </w:pPr>
      <w:r w:rsidRPr="00F54DF8">
        <w:rPr>
          <w:sz w:val="26"/>
          <w:szCs w:val="26"/>
        </w:rPr>
        <w:t>David W. Sweet</w:t>
      </w:r>
    </w:p>
    <w:p w14:paraId="1E03AF9D" w14:textId="77777777" w:rsidR="006C560D" w:rsidRPr="00F54DF8" w:rsidRDefault="006C560D" w:rsidP="00773D87">
      <w:pPr>
        <w:pStyle w:val="p5"/>
        <w:widowControl/>
        <w:tabs>
          <w:tab w:val="clear" w:pos="391"/>
        </w:tabs>
        <w:ind w:left="720"/>
        <w:rPr>
          <w:sz w:val="26"/>
          <w:szCs w:val="26"/>
        </w:rPr>
      </w:pPr>
    </w:p>
    <w:p w14:paraId="0E74D8FA" w14:textId="77777777" w:rsidR="006C560D" w:rsidRPr="00F54DF8" w:rsidRDefault="006C560D" w:rsidP="00773D87">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6C560D" w:rsidRPr="00F54DF8" w14:paraId="42172095" w14:textId="77777777" w:rsidTr="00775DE5">
        <w:trPr>
          <w:trHeight w:val="1665"/>
        </w:trPr>
        <w:tc>
          <w:tcPr>
            <w:tcW w:w="6030" w:type="dxa"/>
          </w:tcPr>
          <w:p w14:paraId="33B4B87A" w14:textId="77777777" w:rsidR="006C560D" w:rsidRPr="00F54DF8" w:rsidRDefault="00E02B28" w:rsidP="00773D87">
            <w:pPr>
              <w:widowControl/>
              <w:autoSpaceDE/>
              <w:autoSpaceDN/>
              <w:adjustRightInd/>
              <w:rPr>
                <w:color w:val="0D0D0D" w:themeColor="text1" w:themeTint="F2"/>
                <w:sz w:val="26"/>
                <w:szCs w:val="26"/>
              </w:rPr>
            </w:pPr>
            <w:r w:rsidRPr="00F54DF8">
              <w:rPr>
                <w:color w:val="0D0D0D" w:themeColor="text1" w:themeTint="F2"/>
                <w:sz w:val="26"/>
                <w:szCs w:val="26"/>
              </w:rPr>
              <w:t>Petition of Philadelphia Gas Works</w:t>
            </w:r>
            <w:r w:rsidR="006C560D" w:rsidRPr="00F54DF8">
              <w:rPr>
                <w:color w:val="0D0D0D" w:themeColor="text1" w:themeTint="F2"/>
                <w:sz w:val="26"/>
                <w:szCs w:val="26"/>
              </w:rPr>
              <w:t xml:space="preserve"> for</w:t>
            </w:r>
            <w:r w:rsidRPr="00F54DF8">
              <w:rPr>
                <w:color w:val="0D0D0D" w:themeColor="text1" w:themeTint="F2"/>
                <w:sz w:val="26"/>
                <w:szCs w:val="26"/>
              </w:rPr>
              <w:t xml:space="preserve"> Approval</w:t>
            </w:r>
            <w:r w:rsidR="00086E71" w:rsidRPr="00F54DF8">
              <w:rPr>
                <w:color w:val="0D0D0D" w:themeColor="text1" w:themeTint="F2"/>
                <w:sz w:val="26"/>
                <w:szCs w:val="26"/>
              </w:rPr>
              <w:t xml:space="preserve"> </w:t>
            </w:r>
          </w:p>
          <w:p w14:paraId="3715E900" w14:textId="07E718BD" w:rsidR="006C560D" w:rsidRPr="00F54DF8" w:rsidRDefault="006C560D" w:rsidP="00773D87">
            <w:pPr>
              <w:pStyle w:val="p4"/>
              <w:widowControl/>
              <w:tabs>
                <w:tab w:val="clear" w:pos="204"/>
                <w:tab w:val="left" w:pos="0"/>
              </w:tabs>
              <w:outlineLvl w:val="0"/>
              <w:rPr>
                <w:color w:val="0D0D0D" w:themeColor="text1" w:themeTint="F2"/>
                <w:sz w:val="26"/>
                <w:szCs w:val="26"/>
              </w:rPr>
            </w:pPr>
            <w:r w:rsidRPr="00F54DF8">
              <w:rPr>
                <w:color w:val="0D0D0D" w:themeColor="text1" w:themeTint="F2"/>
                <w:sz w:val="26"/>
                <w:szCs w:val="26"/>
              </w:rPr>
              <w:t xml:space="preserve">of its </w:t>
            </w:r>
            <w:r w:rsidR="00775DE5" w:rsidRPr="00F54DF8">
              <w:rPr>
                <w:color w:val="0D0D0D" w:themeColor="text1" w:themeTint="F2"/>
                <w:sz w:val="26"/>
                <w:szCs w:val="26"/>
              </w:rPr>
              <w:t xml:space="preserve">Second </w:t>
            </w:r>
            <w:r w:rsidRPr="00F54DF8">
              <w:rPr>
                <w:color w:val="0D0D0D" w:themeColor="text1" w:themeTint="F2"/>
                <w:sz w:val="26"/>
                <w:szCs w:val="26"/>
              </w:rPr>
              <w:t xml:space="preserve">Long-Term Infrastructure Improvement Plan </w:t>
            </w:r>
            <w:r w:rsidR="00775DE5" w:rsidRPr="00F54DF8">
              <w:rPr>
                <w:color w:val="0D0D0D" w:themeColor="text1" w:themeTint="F2"/>
                <w:sz w:val="26"/>
                <w:szCs w:val="26"/>
              </w:rPr>
              <w:t>for the Period Beginning September 1, 2017</w:t>
            </w:r>
            <w:r w:rsidR="00A11039">
              <w:rPr>
                <w:color w:val="0D0D0D" w:themeColor="text1" w:themeTint="F2"/>
                <w:sz w:val="26"/>
                <w:szCs w:val="26"/>
              </w:rPr>
              <w:t>,</w:t>
            </w:r>
            <w:r w:rsidR="00775DE5" w:rsidRPr="00F54DF8">
              <w:rPr>
                <w:color w:val="0D0D0D" w:themeColor="text1" w:themeTint="F2"/>
                <w:sz w:val="26"/>
                <w:szCs w:val="26"/>
              </w:rPr>
              <w:t xml:space="preserve"> and Ending August 31, 2022</w:t>
            </w:r>
          </w:p>
        </w:tc>
        <w:tc>
          <w:tcPr>
            <w:tcW w:w="3897" w:type="dxa"/>
          </w:tcPr>
          <w:p w14:paraId="5E98862E" w14:textId="77777777" w:rsidR="006C560D" w:rsidRPr="00F54DF8" w:rsidRDefault="006C560D" w:rsidP="00773D87">
            <w:pPr>
              <w:widowControl/>
              <w:autoSpaceDE/>
              <w:autoSpaceDN/>
              <w:adjustRightInd/>
              <w:spacing w:line="360" w:lineRule="auto"/>
              <w:rPr>
                <w:color w:val="0D0D0D" w:themeColor="text1" w:themeTint="F2"/>
                <w:kern w:val="1"/>
                <w:sz w:val="26"/>
                <w:szCs w:val="26"/>
              </w:rPr>
            </w:pPr>
            <w:r w:rsidRPr="00F54DF8">
              <w:rPr>
                <w:color w:val="0D0D0D" w:themeColor="text1" w:themeTint="F2"/>
                <w:sz w:val="26"/>
                <w:szCs w:val="20"/>
              </w:rPr>
              <w:t xml:space="preserve">        Docket Number</w:t>
            </w:r>
            <w:r w:rsidR="00086E71" w:rsidRPr="00F54DF8">
              <w:rPr>
                <w:color w:val="0D0D0D" w:themeColor="text1" w:themeTint="F2"/>
                <w:sz w:val="26"/>
                <w:szCs w:val="20"/>
              </w:rPr>
              <w:t>s</w:t>
            </w:r>
            <w:r w:rsidRPr="00F54DF8">
              <w:rPr>
                <w:color w:val="0D0D0D" w:themeColor="text1" w:themeTint="F2"/>
                <w:sz w:val="26"/>
                <w:szCs w:val="20"/>
              </w:rPr>
              <w:t>:</w:t>
            </w:r>
          </w:p>
          <w:p w14:paraId="1C60831B" w14:textId="77777777" w:rsidR="006C560D" w:rsidRPr="00F54DF8" w:rsidRDefault="006C560D" w:rsidP="00773D87">
            <w:pPr>
              <w:widowControl/>
              <w:autoSpaceDE/>
              <w:autoSpaceDN/>
              <w:adjustRightInd/>
              <w:rPr>
                <w:color w:val="0D0D0D" w:themeColor="text1" w:themeTint="F2"/>
                <w:sz w:val="26"/>
                <w:szCs w:val="26"/>
              </w:rPr>
            </w:pPr>
            <w:r w:rsidRPr="00F54DF8">
              <w:rPr>
                <w:color w:val="0D0D0D" w:themeColor="text1" w:themeTint="F2"/>
                <w:kern w:val="1"/>
                <w:sz w:val="26"/>
                <w:szCs w:val="26"/>
              </w:rPr>
              <w:t xml:space="preserve">        </w:t>
            </w:r>
            <w:r w:rsidR="00E02B28" w:rsidRPr="00F54DF8">
              <w:rPr>
                <w:color w:val="0D0D0D" w:themeColor="text1" w:themeTint="F2"/>
                <w:sz w:val="26"/>
                <w:szCs w:val="26"/>
              </w:rPr>
              <w:t>P-</w:t>
            </w:r>
            <w:r w:rsidR="00775DE5" w:rsidRPr="00F54DF8">
              <w:rPr>
                <w:color w:val="0D0D0D" w:themeColor="text1" w:themeTint="F2"/>
                <w:sz w:val="26"/>
                <w:szCs w:val="26"/>
              </w:rPr>
              <w:t>2017-2602315</w:t>
            </w:r>
          </w:p>
          <w:p w14:paraId="3D9267F8" w14:textId="77777777" w:rsidR="006C560D" w:rsidRPr="00F54DF8" w:rsidRDefault="006C560D" w:rsidP="00773D87">
            <w:pPr>
              <w:widowControl/>
              <w:autoSpaceDE/>
              <w:autoSpaceDN/>
              <w:adjustRightInd/>
              <w:rPr>
                <w:color w:val="0D0D0D" w:themeColor="text1" w:themeTint="F2"/>
                <w:sz w:val="26"/>
                <w:szCs w:val="26"/>
              </w:rPr>
            </w:pPr>
          </w:p>
          <w:p w14:paraId="2DCECF63" w14:textId="122A2B0E" w:rsidR="00775DE5" w:rsidRPr="00F54DF8" w:rsidRDefault="00775DE5" w:rsidP="00775DE5">
            <w:pPr>
              <w:widowControl/>
              <w:autoSpaceDE/>
              <w:autoSpaceDN/>
              <w:adjustRightInd/>
              <w:rPr>
                <w:color w:val="0D0D0D" w:themeColor="text1" w:themeTint="F2"/>
                <w:sz w:val="26"/>
                <w:szCs w:val="26"/>
              </w:rPr>
            </w:pPr>
          </w:p>
          <w:p w14:paraId="71F6E2E0" w14:textId="77777777" w:rsidR="006C560D" w:rsidRPr="00F54DF8" w:rsidRDefault="006C560D" w:rsidP="00773D87">
            <w:pPr>
              <w:widowControl/>
              <w:autoSpaceDE/>
              <w:autoSpaceDN/>
              <w:adjustRightInd/>
              <w:rPr>
                <w:color w:val="0D0D0D" w:themeColor="text1" w:themeTint="F2"/>
                <w:sz w:val="26"/>
                <w:szCs w:val="26"/>
              </w:rPr>
            </w:pPr>
          </w:p>
          <w:p w14:paraId="276AAA61" w14:textId="77777777" w:rsidR="006C560D" w:rsidRPr="00F54DF8" w:rsidRDefault="006C560D" w:rsidP="00773D87">
            <w:pPr>
              <w:widowControl/>
              <w:autoSpaceDE/>
              <w:autoSpaceDN/>
              <w:adjustRightInd/>
              <w:rPr>
                <w:color w:val="0D0D0D" w:themeColor="text1" w:themeTint="F2"/>
                <w:kern w:val="1"/>
                <w:sz w:val="26"/>
                <w:szCs w:val="26"/>
              </w:rPr>
            </w:pPr>
          </w:p>
        </w:tc>
      </w:tr>
    </w:tbl>
    <w:p w14:paraId="0C49C9B3" w14:textId="77777777" w:rsidR="007F07C7" w:rsidRPr="00F54DF8" w:rsidRDefault="007F07C7" w:rsidP="00773D87">
      <w:pPr>
        <w:pStyle w:val="c2"/>
        <w:widowControl/>
        <w:tabs>
          <w:tab w:val="left" w:pos="204"/>
        </w:tabs>
        <w:spacing w:line="360" w:lineRule="auto"/>
        <w:jc w:val="left"/>
        <w:outlineLvl w:val="0"/>
        <w:rPr>
          <w:b/>
          <w:sz w:val="26"/>
          <w:szCs w:val="26"/>
        </w:rPr>
      </w:pPr>
    </w:p>
    <w:p w14:paraId="05CB9C24" w14:textId="77777777" w:rsidR="00D91F34" w:rsidRPr="00F54DF8" w:rsidRDefault="00F25BC8" w:rsidP="00773D87">
      <w:pPr>
        <w:pStyle w:val="c2"/>
        <w:widowControl/>
        <w:tabs>
          <w:tab w:val="left" w:pos="204"/>
        </w:tabs>
        <w:spacing w:line="360" w:lineRule="auto"/>
        <w:outlineLvl w:val="0"/>
        <w:rPr>
          <w:b/>
          <w:sz w:val="26"/>
          <w:szCs w:val="26"/>
        </w:rPr>
      </w:pPr>
      <w:r w:rsidRPr="00F54DF8">
        <w:rPr>
          <w:b/>
          <w:sz w:val="26"/>
          <w:szCs w:val="26"/>
        </w:rPr>
        <w:t xml:space="preserve">OPINION AND </w:t>
      </w:r>
      <w:r w:rsidR="00D91F34" w:rsidRPr="00F54DF8">
        <w:rPr>
          <w:b/>
          <w:sz w:val="26"/>
          <w:szCs w:val="26"/>
        </w:rPr>
        <w:t>ORDER</w:t>
      </w:r>
    </w:p>
    <w:p w14:paraId="6F31C8D2" w14:textId="77777777" w:rsidR="007F07C7" w:rsidRPr="00F54DF8" w:rsidRDefault="007F07C7" w:rsidP="00773D87">
      <w:pPr>
        <w:pStyle w:val="c2"/>
        <w:widowControl/>
        <w:tabs>
          <w:tab w:val="left" w:pos="204"/>
        </w:tabs>
        <w:spacing w:line="360" w:lineRule="auto"/>
        <w:outlineLvl w:val="0"/>
        <w:rPr>
          <w:b/>
          <w:sz w:val="26"/>
          <w:szCs w:val="26"/>
        </w:rPr>
      </w:pPr>
    </w:p>
    <w:p w14:paraId="63F225E2" w14:textId="77777777" w:rsidR="00D91F34" w:rsidRPr="00F54DF8" w:rsidRDefault="001303A1" w:rsidP="00773D87">
      <w:pPr>
        <w:pStyle w:val="p4"/>
        <w:widowControl/>
        <w:spacing w:line="360" w:lineRule="auto"/>
        <w:rPr>
          <w:b/>
          <w:sz w:val="26"/>
          <w:szCs w:val="26"/>
        </w:rPr>
      </w:pPr>
      <w:r w:rsidRPr="00F54DF8">
        <w:rPr>
          <w:b/>
          <w:sz w:val="26"/>
          <w:szCs w:val="26"/>
        </w:rPr>
        <w:t>BY THE COMMI</w:t>
      </w:r>
      <w:r w:rsidR="00D91F34" w:rsidRPr="00F54DF8">
        <w:rPr>
          <w:b/>
          <w:sz w:val="26"/>
          <w:szCs w:val="26"/>
        </w:rPr>
        <w:t>SSION:</w:t>
      </w:r>
    </w:p>
    <w:p w14:paraId="5BA44A35" w14:textId="77777777" w:rsidR="00D91F34" w:rsidRPr="00F54DF8" w:rsidRDefault="00D91F34" w:rsidP="00773D87">
      <w:pPr>
        <w:widowControl/>
        <w:tabs>
          <w:tab w:val="left" w:pos="204"/>
        </w:tabs>
        <w:spacing w:line="360" w:lineRule="auto"/>
        <w:rPr>
          <w:sz w:val="26"/>
          <w:szCs w:val="26"/>
        </w:rPr>
      </w:pPr>
    </w:p>
    <w:p w14:paraId="48BFBDCD" w14:textId="5AAF5946" w:rsidR="00A251DE" w:rsidRPr="00F54DF8" w:rsidRDefault="00A11039" w:rsidP="00A11039">
      <w:pPr>
        <w:pStyle w:val="p2"/>
        <w:widowControl/>
        <w:tabs>
          <w:tab w:val="clear" w:pos="1445"/>
          <w:tab w:val="left" w:pos="720"/>
        </w:tabs>
        <w:spacing w:line="360" w:lineRule="auto"/>
        <w:ind w:firstLine="0"/>
        <w:rPr>
          <w:sz w:val="26"/>
          <w:szCs w:val="26"/>
        </w:rPr>
      </w:pPr>
      <w:r>
        <w:rPr>
          <w:sz w:val="26"/>
          <w:szCs w:val="26"/>
        </w:rPr>
        <w:tab/>
      </w:r>
      <w:r w:rsidR="00A251DE" w:rsidRPr="00F54DF8">
        <w:rPr>
          <w:sz w:val="26"/>
          <w:szCs w:val="26"/>
        </w:rPr>
        <w:t xml:space="preserve">Before the Commission for consideration </w:t>
      </w:r>
      <w:r w:rsidR="007F59C0" w:rsidRPr="00F54DF8">
        <w:rPr>
          <w:sz w:val="26"/>
          <w:szCs w:val="26"/>
        </w:rPr>
        <w:t>is</w:t>
      </w:r>
      <w:r w:rsidR="00A251DE" w:rsidRPr="00F54DF8">
        <w:rPr>
          <w:sz w:val="26"/>
          <w:szCs w:val="26"/>
        </w:rPr>
        <w:t xml:space="preserve"> the Petition for approval of the </w:t>
      </w:r>
      <w:r w:rsidR="00775DE5" w:rsidRPr="00F54DF8">
        <w:rPr>
          <w:sz w:val="26"/>
          <w:szCs w:val="26"/>
        </w:rPr>
        <w:t xml:space="preserve">Second </w:t>
      </w:r>
      <w:r w:rsidR="00A251DE" w:rsidRPr="00F54DF8">
        <w:rPr>
          <w:sz w:val="26"/>
          <w:szCs w:val="26"/>
        </w:rPr>
        <w:t>Long-Term Infrastruc</w:t>
      </w:r>
      <w:r w:rsidR="00775DE5" w:rsidRPr="00F54DF8">
        <w:rPr>
          <w:sz w:val="26"/>
          <w:szCs w:val="26"/>
        </w:rPr>
        <w:t>ture Improvement Plan (</w:t>
      </w:r>
      <w:r w:rsidR="00497291">
        <w:rPr>
          <w:sz w:val="26"/>
          <w:szCs w:val="26"/>
        </w:rPr>
        <w:t xml:space="preserve">Second </w:t>
      </w:r>
      <w:r w:rsidR="00775DE5" w:rsidRPr="00F54DF8">
        <w:rPr>
          <w:sz w:val="26"/>
          <w:szCs w:val="26"/>
        </w:rPr>
        <w:t xml:space="preserve">LTIIP) </w:t>
      </w:r>
      <w:r w:rsidR="005A584D" w:rsidRPr="00F54DF8">
        <w:rPr>
          <w:sz w:val="26"/>
          <w:szCs w:val="26"/>
        </w:rPr>
        <w:t>of Philadelphia Gas Works (PGW).</w:t>
      </w:r>
      <w:r w:rsidR="00A251DE" w:rsidRPr="00F54DF8">
        <w:rPr>
          <w:sz w:val="26"/>
          <w:szCs w:val="26"/>
        </w:rPr>
        <w:t xml:space="preserve">  </w:t>
      </w:r>
      <w:r w:rsidR="00077D4E">
        <w:rPr>
          <w:sz w:val="26"/>
          <w:szCs w:val="26"/>
        </w:rPr>
        <w:t xml:space="preserve">PGW filed its </w:t>
      </w:r>
      <w:r w:rsidR="00497291">
        <w:rPr>
          <w:sz w:val="26"/>
          <w:szCs w:val="26"/>
        </w:rPr>
        <w:t xml:space="preserve">Second </w:t>
      </w:r>
      <w:r w:rsidR="00077D4E">
        <w:rPr>
          <w:sz w:val="26"/>
          <w:szCs w:val="26"/>
        </w:rPr>
        <w:t xml:space="preserve">LTIIP on May 3, 2017. </w:t>
      </w:r>
      <w:r w:rsidR="00077D4E" w:rsidRPr="00077D4E">
        <w:t xml:space="preserve"> </w:t>
      </w:r>
      <w:r w:rsidR="00077D4E" w:rsidRPr="00077D4E">
        <w:rPr>
          <w:sz w:val="26"/>
          <w:szCs w:val="26"/>
        </w:rPr>
        <w:t xml:space="preserve">Copies of the </w:t>
      </w:r>
      <w:r w:rsidR="00497291">
        <w:rPr>
          <w:sz w:val="26"/>
          <w:szCs w:val="26"/>
        </w:rPr>
        <w:t xml:space="preserve">Second </w:t>
      </w:r>
      <w:r w:rsidR="00077D4E" w:rsidRPr="00077D4E">
        <w:rPr>
          <w:sz w:val="26"/>
          <w:szCs w:val="26"/>
        </w:rPr>
        <w:t xml:space="preserve">LTIIP were served on the statutory advocates </w:t>
      </w:r>
      <w:r w:rsidR="00077D4E">
        <w:rPr>
          <w:sz w:val="26"/>
          <w:szCs w:val="26"/>
        </w:rPr>
        <w:t>and</w:t>
      </w:r>
      <w:r w:rsidR="00077D4E" w:rsidRPr="00077D4E">
        <w:rPr>
          <w:sz w:val="26"/>
          <w:szCs w:val="26"/>
        </w:rPr>
        <w:t xml:space="preserve"> the </w:t>
      </w:r>
      <w:r w:rsidR="00077D4E">
        <w:rPr>
          <w:sz w:val="26"/>
          <w:szCs w:val="26"/>
        </w:rPr>
        <w:t xml:space="preserve">parties of record from </w:t>
      </w:r>
      <w:r w:rsidR="00077D4E" w:rsidRPr="00077D4E">
        <w:rPr>
          <w:sz w:val="26"/>
          <w:szCs w:val="26"/>
        </w:rPr>
        <w:t>PGW’s most recent base rate case proceeding</w:t>
      </w:r>
      <w:r w:rsidR="00077D4E">
        <w:rPr>
          <w:sz w:val="26"/>
          <w:szCs w:val="26"/>
        </w:rPr>
        <w:t>.</w:t>
      </w:r>
      <w:r w:rsidR="003B7BFC">
        <w:rPr>
          <w:rStyle w:val="FootnoteReference"/>
          <w:sz w:val="26"/>
          <w:szCs w:val="26"/>
        </w:rPr>
        <w:footnoteReference w:id="1"/>
      </w:r>
      <w:r w:rsidR="00077D4E">
        <w:rPr>
          <w:sz w:val="26"/>
          <w:szCs w:val="26"/>
        </w:rPr>
        <w:t xml:space="preserve">  PGW also served a copy of the </w:t>
      </w:r>
      <w:r w:rsidR="00497291">
        <w:rPr>
          <w:sz w:val="26"/>
          <w:szCs w:val="26"/>
        </w:rPr>
        <w:t xml:space="preserve">Second </w:t>
      </w:r>
      <w:r w:rsidR="00077D4E">
        <w:rPr>
          <w:sz w:val="26"/>
          <w:szCs w:val="26"/>
        </w:rPr>
        <w:t>L</w:t>
      </w:r>
      <w:r w:rsidR="003B7BFC">
        <w:rPr>
          <w:sz w:val="26"/>
          <w:szCs w:val="26"/>
        </w:rPr>
        <w:t>TIIP on the parties of record for</w:t>
      </w:r>
      <w:r w:rsidR="00077D4E">
        <w:rPr>
          <w:sz w:val="26"/>
          <w:szCs w:val="26"/>
        </w:rPr>
        <w:t xml:space="preserve"> its </w:t>
      </w:r>
      <w:r w:rsidR="0058461D">
        <w:rPr>
          <w:sz w:val="26"/>
          <w:szCs w:val="26"/>
        </w:rPr>
        <w:t>p</w:t>
      </w:r>
      <w:r w:rsidR="00077D4E">
        <w:rPr>
          <w:sz w:val="26"/>
          <w:szCs w:val="26"/>
        </w:rPr>
        <w:t>etition</w:t>
      </w:r>
      <w:r w:rsidR="003B7BFC">
        <w:rPr>
          <w:sz w:val="26"/>
          <w:szCs w:val="26"/>
        </w:rPr>
        <w:t xml:space="preserve"> regarding its request to increase </w:t>
      </w:r>
      <w:r w:rsidR="005545D5">
        <w:rPr>
          <w:sz w:val="26"/>
          <w:szCs w:val="26"/>
        </w:rPr>
        <w:t>its</w:t>
      </w:r>
      <w:r w:rsidR="003B7BFC">
        <w:rPr>
          <w:sz w:val="26"/>
          <w:szCs w:val="26"/>
        </w:rPr>
        <w:t xml:space="preserve"> Distribution System Improvement Charge (DSIC) cap.</w:t>
      </w:r>
      <w:r w:rsidR="003B7BFC">
        <w:rPr>
          <w:rStyle w:val="FootnoteReference"/>
          <w:sz w:val="26"/>
          <w:szCs w:val="26"/>
        </w:rPr>
        <w:footnoteReference w:id="2"/>
      </w:r>
      <w:r w:rsidR="003B7BFC">
        <w:rPr>
          <w:sz w:val="26"/>
          <w:szCs w:val="26"/>
        </w:rPr>
        <w:t xml:space="preserve">  </w:t>
      </w:r>
    </w:p>
    <w:p w14:paraId="36E70D6F" w14:textId="6EA9D67B" w:rsidR="001F37FA" w:rsidRPr="00F54DF8" w:rsidRDefault="001F37FA" w:rsidP="00A11039">
      <w:pPr>
        <w:pStyle w:val="p2"/>
        <w:widowControl/>
        <w:spacing w:line="360" w:lineRule="auto"/>
        <w:ind w:firstLine="720"/>
        <w:rPr>
          <w:sz w:val="26"/>
          <w:szCs w:val="26"/>
        </w:rPr>
      </w:pPr>
      <w:r w:rsidRPr="00F54DF8">
        <w:rPr>
          <w:color w:val="0D0D0D" w:themeColor="text1" w:themeTint="F2"/>
          <w:sz w:val="26"/>
          <w:szCs w:val="26"/>
        </w:rPr>
        <w:lastRenderedPageBreak/>
        <w:t xml:space="preserve">The </w:t>
      </w:r>
      <w:r w:rsidR="00775DE5" w:rsidRPr="00F54DF8">
        <w:rPr>
          <w:color w:val="0D0D0D" w:themeColor="text1" w:themeTint="F2"/>
          <w:sz w:val="26"/>
          <w:szCs w:val="26"/>
        </w:rPr>
        <w:t>Commission’s Bureau of Investigation and Enforcement</w:t>
      </w:r>
      <w:r w:rsidRPr="00F54DF8">
        <w:rPr>
          <w:color w:val="0D0D0D" w:themeColor="text1" w:themeTint="F2"/>
          <w:sz w:val="26"/>
          <w:szCs w:val="26"/>
        </w:rPr>
        <w:t xml:space="preserve"> (</w:t>
      </w:r>
      <w:r w:rsidR="00775DE5" w:rsidRPr="00F54DF8">
        <w:rPr>
          <w:color w:val="0D0D0D" w:themeColor="text1" w:themeTint="F2"/>
          <w:sz w:val="26"/>
          <w:szCs w:val="26"/>
        </w:rPr>
        <w:t>BIE</w:t>
      </w:r>
      <w:r w:rsidRPr="00F54DF8">
        <w:rPr>
          <w:color w:val="0D0D0D" w:themeColor="text1" w:themeTint="F2"/>
          <w:sz w:val="26"/>
          <w:szCs w:val="26"/>
        </w:rPr>
        <w:t xml:space="preserve">) filed comments on </w:t>
      </w:r>
      <w:r w:rsidR="00775DE5" w:rsidRPr="00F54DF8">
        <w:rPr>
          <w:color w:val="0D0D0D" w:themeColor="text1" w:themeTint="F2"/>
          <w:sz w:val="26"/>
          <w:szCs w:val="26"/>
        </w:rPr>
        <w:t>June 2, 2017</w:t>
      </w:r>
      <w:r w:rsidR="003B7BFC">
        <w:rPr>
          <w:color w:val="0D0D0D" w:themeColor="text1" w:themeTint="F2"/>
          <w:sz w:val="26"/>
          <w:szCs w:val="26"/>
        </w:rPr>
        <w:t>.  BIE</w:t>
      </w:r>
      <w:r w:rsidRPr="00F54DF8">
        <w:rPr>
          <w:color w:val="0D0D0D" w:themeColor="text1" w:themeTint="F2"/>
          <w:sz w:val="26"/>
          <w:szCs w:val="26"/>
        </w:rPr>
        <w:t xml:space="preserve"> did not </w:t>
      </w:r>
      <w:r w:rsidR="003B7BFC">
        <w:rPr>
          <w:color w:val="0D0D0D" w:themeColor="text1" w:themeTint="F2"/>
          <w:sz w:val="26"/>
          <w:szCs w:val="26"/>
        </w:rPr>
        <w:t xml:space="preserve">oppose the </w:t>
      </w:r>
      <w:r w:rsidR="00497291">
        <w:rPr>
          <w:color w:val="0D0D0D" w:themeColor="text1" w:themeTint="F2"/>
          <w:sz w:val="26"/>
          <w:szCs w:val="26"/>
        </w:rPr>
        <w:t xml:space="preserve">Second </w:t>
      </w:r>
      <w:r w:rsidR="003B7BFC">
        <w:rPr>
          <w:color w:val="0D0D0D" w:themeColor="text1" w:themeTint="F2"/>
          <w:sz w:val="26"/>
          <w:szCs w:val="26"/>
        </w:rPr>
        <w:t xml:space="preserve">LTIIP, but </w:t>
      </w:r>
      <w:r w:rsidR="003B7BFC">
        <w:rPr>
          <w:sz w:val="26"/>
          <w:szCs w:val="26"/>
        </w:rPr>
        <w:t>stated</w:t>
      </w:r>
      <w:r w:rsidR="00F91F94" w:rsidRPr="00F54DF8">
        <w:rPr>
          <w:sz w:val="26"/>
          <w:szCs w:val="26"/>
        </w:rPr>
        <w:t xml:space="preserve"> that it w</w:t>
      </w:r>
      <w:r w:rsidR="003B7BFC">
        <w:rPr>
          <w:sz w:val="26"/>
          <w:szCs w:val="26"/>
        </w:rPr>
        <w:t>ould</w:t>
      </w:r>
      <w:r w:rsidR="00F91F94" w:rsidRPr="00F54DF8">
        <w:rPr>
          <w:sz w:val="26"/>
          <w:szCs w:val="26"/>
        </w:rPr>
        <w:t xml:space="preserve"> be conducting an audit</w:t>
      </w:r>
      <w:r w:rsidR="00775DE5" w:rsidRPr="00F54DF8">
        <w:rPr>
          <w:sz w:val="26"/>
          <w:szCs w:val="26"/>
        </w:rPr>
        <w:t xml:space="preserve"> </w:t>
      </w:r>
      <w:r w:rsidR="003B7BFC">
        <w:rPr>
          <w:sz w:val="26"/>
          <w:szCs w:val="26"/>
        </w:rPr>
        <w:t xml:space="preserve">of </w:t>
      </w:r>
      <w:r w:rsidR="00775DE5" w:rsidRPr="00F54DF8">
        <w:rPr>
          <w:sz w:val="26"/>
          <w:szCs w:val="26"/>
        </w:rPr>
        <w:t xml:space="preserve">PGW’s Distribution Integrity Management Plan (DIMP) </w:t>
      </w:r>
      <w:r w:rsidR="00F91F94" w:rsidRPr="00F54DF8">
        <w:rPr>
          <w:sz w:val="26"/>
          <w:szCs w:val="26"/>
        </w:rPr>
        <w:t xml:space="preserve">in the third quarter of 2017.  </w:t>
      </w:r>
      <w:r w:rsidR="003B7BFC">
        <w:rPr>
          <w:sz w:val="26"/>
          <w:szCs w:val="26"/>
        </w:rPr>
        <w:t>BIE stated that i</w:t>
      </w:r>
      <w:r w:rsidR="00F91F94" w:rsidRPr="00F54DF8">
        <w:rPr>
          <w:sz w:val="26"/>
          <w:szCs w:val="26"/>
        </w:rPr>
        <w:t xml:space="preserve">f </w:t>
      </w:r>
      <w:r w:rsidR="003B7BFC">
        <w:rPr>
          <w:sz w:val="26"/>
          <w:szCs w:val="26"/>
        </w:rPr>
        <w:t xml:space="preserve">it </w:t>
      </w:r>
      <w:r w:rsidR="00F91F94" w:rsidRPr="00F54DF8">
        <w:rPr>
          <w:sz w:val="26"/>
          <w:szCs w:val="26"/>
        </w:rPr>
        <w:t>w</w:t>
      </w:r>
      <w:r w:rsidR="003B7BFC">
        <w:rPr>
          <w:sz w:val="26"/>
          <w:szCs w:val="26"/>
        </w:rPr>
        <w:t>as</w:t>
      </w:r>
      <w:r w:rsidR="00F91F94" w:rsidRPr="00F54DF8">
        <w:rPr>
          <w:sz w:val="26"/>
          <w:szCs w:val="26"/>
        </w:rPr>
        <w:t xml:space="preserve"> to find issues within the company’s DIMP, a revised </w:t>
      </w:r>
      <w:r w:rsidR="00497291">
        <w:rPr>
          <w:sz w:val="26"/>
          <w:szCs w:val="26"/>
        </w:rPr>
        <w:t xml:space="preserve">Second </w:t>
      </w:r>
      <w:r w:rsidR="00F91F94" w:rsidRPr="00F54DF8">
        <w:rPr>
          <w:sz w:val="26"/>
          <w:szCs w:val="26"/>
        </w:rPr>
        <w:t>LTIIP may need</w:t>
      </w:r>
      <w:r w:rsidR="00BB6DC0">
        <w:rPr>
          <w:sz w:val="26"/>
          <w:szCs w:val="26"/>
        </w:rPr>
        <w:t xml:space="preserve"> to be filed</w:t>
      </w:r>
      <w:r w:rsidR="00F91F94" w:rsidRPr="00F54DF8">
        <w:rPr>
          <w:sz w:val="26"/>
          <w:szCs w:val="26"/>
        </w:rPr>
        <w:t xml:space="preserve"> </w:t>
      </w:r>
      <w:r w:rsidR="00137EE2">
        <w:rPr>
          <w:sz w:val="26"/>
          <w:szCs w:val="26"/>
        </w:rPr>
        <w:t>if those issues required a</w:t>
      </w:r>
      <w:r w:rsidR="00F91F94" w:rsidRPr="00F54DF8">
        <w:rPr>
          <w:sz w:val="26"/>
          <w:szCs w:val="26"/>
        </w:rPr>
        <w:t xml:space="preserve"> major modification</w:t>
      </w:r>
      <w:r w:rsidR="0058461D">
        <w:rPr>
          <w:rStyle w:val="FootnoteReference"/>
          <w:sz w:val="26"/>
          <w:szCs w:val="26"/>
        </w:rPr>
        <w:footnoteReference w:id="3"/>
      </w:r>
      <w:r w:rsidR="0058461D">
        <w:rPr>
          <w:sz w:val="26"/>
          <w:szCs w:val="26"/>
        </w:rPr>
        <w:t xml:space="preserve"> </w:t>
      </w:r>
      <w:r w:rsidR="00552081" w:rsidRPr="00F54DF8">
        <w:rPr>
          <w:sz w:val="26"/>
          <w:szCs w:val="26"/>
        </w:rPr>
        <w:t>(</w:t>
      </w:r>
      <w:r w:rsidR="00F91F94" w:rsidRPr="00F54DF8">
        <w:rPr>
          <w:sz w:val="26"/>
          <w:szCs w:val="26"/>
        </w:rPr>
        <w:t>BIE</w:t>
      </w:r>
      <w:r w:rsidR="00552081" w:rsidRPr="00F54DF8">
        <w:rPr>
          <w:sz w:val="26"/>
          <w:szCs w:val="26"/>
        </w:rPr>
        <w:t xml:space="preserve"> </w:t>
      </w:r>
      <w:r w:rsidR="00F91F94" w:rsidRPr="00F54DF8">
        <w:rPr>
          <w:sz w:val="26"/>
          <w:szCs w:val="26"/>
        </w:rPr>
        <w:t>Comments</w:t>
      </w:r>
      <w:r w:rsidR="00552081" w:rsidRPr="00F54DF8">
        <w:rPr>
          <w:sz w:val="26"/>
          <w:szCs w:val="26"/>
        </w:rPr>
        <w:t xml:space="preserve"> at</w:t>
      </w:r>
      <w:r w:rsidRPr="00F54DF8">
        <w:rPr>
          <w:sz w:val="26"/>
          <w:szCs w:val="26"/>
        </w:rPr>
        <w:t xml:space="preserve"> </w:t>
      </w:r>
      <w:r w:rsidR="00F91F94" w:rsidRPr="00F54DF8">
        <w:rPr>
          <w:sz w:val="26"/>
          <w:szCs w:val="26"/>
        </w:rPr>
        <w:t>4</w:t>
      </w:r>
      <w:r w:rsidR="00137EE2">
        <w:rPr>
          <w:sz w:val="26"/>
          <w:szCs w:val="26"/>
        </w:rPr>
        <w:t xml:space="preserve"> and 5</w:t>
      </w:r>
      <w:r w:rsidRPr="00F54DF8">
        <w:rPr>
          <w:sz w:val="26"/>
          <w:szCs w:val="26"/>
        </w:rPr>
        <w:t>).</w:t>
      </w:r>
      <w:r w:rsidR="00137EE2">
        <w:rPr>
          <w:sz w:val="26"/>
          <w:szCs w:val="26"/>
        </w:rPr>
        <w:t xml:space="preserve">  BIE noted that it was concerned with </w:t>
      </w:r>
      <w:r w:rsidR="0058461D">
        <w:rPr>
          <w:sz w:val="26"/>
          <w:szCs w:val="26"/>
        </w:rPr>
        <w:t>the manner in which PGW was</w:t>
      </w:r>
      <w:r w:rsidR="00137EE2">
        <w:rPr>
          <w:sz w:val="26"/>
          <w:szCs w:val="26"/>
        </w:rPr>
        <w:t xml:space="preserve"> prioritizing funds for riskier pipeline replacement (BIE Comments at 5).</w:t>
      </w:r>
    </w:p>
    <w:p w14:paraId="58FB3769" w14:textId="77777777" w:rsidR="00765982" w:rsidRPr="00F54DF8" w:rsidRDefault="00765982" w:rsidP="00F91F94">
      <w:pPr>
        <w:pStyle w:val="p2"/>
        <w:widowControl/>
        <w:spacing w:line="360" w:lineRule="auto"/>
        <w:ind w:firstLine="0"/>
        <w:rPr>
          <w:sz w:val="26"/>
          <w:szCs w:val="26"/>
        </w:rPr>
      </w:pPr>
    </w:p>
    <w:p w14:paraId="38899A0D" w14:textId="662F70E6" w:rsidR="00137EE2" w:rsidRPr="00F54DF8" w:rsidRDefault="00137EE2" w:rsidP="00A11039">
      <w:pPr>
        <w:pStyle w:val="p2"/>
        <w:widowControl/>
        <w:tabs>
          <w:tab w:val="left" w:pos="720"/>
        </w:tabs>
        <w:spacing w:line="360" w:lineRule="auto"/>
        <w:ind w:firstLine="720"/>
        <w:rPr>
          <w:sz w:val="26"/>
          <w:szCs w:val="26"/>
        </w:rPr>
      </w:pPr>
      <w:r w:rsidRPr="00F54DF8">
        <w:rPr>
          <w:sz w:val="26"/>
          <w:szCs w:val="26"/>
        </w:rPr>
        <w:t xml:space="preserve">On July 31, 2017, PGW filed a letter </w:t>
      </w:r>
      <w:r w:rsidR="00222C04">
        <w:rPr>
          <w:sz w:val="26"/>
          <w:szCs w:val="26"/>
        </w:rPr>
        <w:t xml:space="preserve">(July 31 Letter) </w:t>
      </w:r>
      <w:r w:rsidRPr="00F54DF8">
        <w:rPr>
          <w:sz w:val="26"/>
          <w:szCs w:val="26"/>
        </w:rPr>
        <w:t>in response to BIE’s Commen</w:t>
      </w:r>
      <w:r>
        <w:rPr>
          <w:sz w:val="26"/>
          <w:szCs w:val="26"/>
        </w:rPr>
        <w:t xml:space="preserve">ts.  In the </w:t>
      </w:r>
      <w:r w:rsidR="00222C04">
        <w:rPr>
          <w:sz w:val="26"/>
          <w:szCs w:val="26"/>
        </w:rPr>
        <w:t>July 31 Letter</w:t>
      </w:r>
      <w:r>
        <w:rPr>
          <w:sz w:val="26"/>
          <w:szCs w:val="26"/>
        </w:rPr>
        <w:t>, PGW explained</w:t>
      </w:r>
      <w:r w:rsidRPr="00F54DF8">
        <w:rPr>
          <w:sz w:val="26"/>
          <w:szCs w:val="26"/>
        </w:rPr>
        <w:t xml:space="preserve"> that BIE performed its audit of PGW’s DIMP on June 21, 2017.  PGW state</w:t>
      </w:r>
      <w:r>
        <w:rPr>
          <w:sz w:val="26"/>
          <w:szCs w:val="26"/>
        </w:rPr>
        <w:t>d</w:t>
      </w:r>
      <w:r w:rsidRPr="00F54DF8">
        <w:rPr>
          <w:sz w:val="26"/>
          <w:szCs w:val="26"/>
        </w:rPr>
        <w:t xml:space="preserve"> that </w:t>
      </w:r>
      <w:r w:rsidR="00B065E6">
        <w:rPr>
          <w:sz w:val="26"/>
          <w:szCs w:val="26"/>
        </w:rPr>
        <w:t>BIE’s audit</w:t>
      </w:r>
      <w:r w:rsidRPr="00F54DF8">
        <w:rPr>
          <w:sz w:val="26"/>
          <w:szCs w:val="26"/>
        </w:rPr>
        <w:t xml:space="preserve"> found that PGW’s DIMP and replacement expenditures allocation in its Second LTIIP were satisfactory, and that no revisions or major modifications to PGW’s </w:t>
      </w:r>
      <w:r w:rsidR="00497291">
        <w:rPr>
          <w:sz w:val="26"/>
          <w:szCs w:val="26"/>
        </w:rPr>
        <w:t xml:space="preserve">Second </w:t>
      </w:r>
      <w:r w:rsidRPr="00F54DF8">
        <w:rPr>
          <w:sz w:val="26"/>
          <w:szCs w:val="26"/>
        </w:rPr>
        <w:t>LTIIP are necessary at this time.</w:t>
      </w:r>
    </w:p>
    <w:p w14:paraId="11E7B593" w14:textId="77777777" w:rsidR="00137EE2" w:rsidRDefault="00137EE2" w:rsidP="00773D87">
      <w:pPr>
        <w:pStyle w:val="p2"/>
        <w:widowControl/>
        <w:spacing w:line="360" w:lineRule="auto"/>
        <w:ind w:firstLine="1440"/>
        <w:rPr>
          <w:sz w:val="26"/>
          <w:szCs w:val="26"/>
        </w:rPr>
      </w:pPr>
    </w:p>
    <w:p w14:paraId="012D7B82" w14:textId="3642E527" w:rsidR="00765982" w:rsidRPr="00F54DF8" w:rsidRDefault="00765982" w:rsidP="00A11039">
      <w:pPr>
        <w:pStyle w:val="p2"/>
        <w:widowControl/>
        <w:spacing w:line="360" w:lineRule="auto"/>
        <w:ind w:firstLine="720"/>
        <w:rPr>
          <w:sz w:val="26"/>
          <w:szCs w:val="26"/>
        </w:rPr>
      </w:pPr>
      <w:r w:rsidRPr="00F54DF8">
        <w:rPr>
          <w:sz w:val="26"/>
          <w:szCs w:val="26"/>
        </w:rPr>
        <w:t xml:space="preserve">No </w:t>
      </w:r>
      <w:r w:rsidR="00137EE2">
        <w:rPr>
          <w:sz w:val="26"/>
          <w:szCs w:val="26"/>
        </w:rPr>
        <w:t xml:space="preserve">other comments were received.  </w:t>
      </w:r>
    </w:p>
    <w:p w14:paraId="017EDC16" w14:textId="77777777" w:rsidR="00137EE2" w:rsidRPr="00F54DF8" w:rsidRDefault="00137EE2" w:rsidP="00773D87">
      <w:pPr>
        <w:pStyle w:val="p2"/>
        <w:widowControl/>
        <w:spacing w:line="360" w:lineRule="auto"/>
        <w:ind w:firstLine="0"/>
        <w:rPr>
          <w:sz w:val="26"/>
          <w:szCs w:val="26"/>
        </w:rPr>
      </w:pPr>
    </w:p>
    <w:p w14:paraId="7ACDE971" w14:textId="77777777" w:rsidR="00E040F0" w:rsidRPr="00F54DF8" w:rsidRDefault="00FB317A" w:rsidP="00F73DF5">
      <w:pPr>
        <w:pStyle w:val="p2"/>
        <w:keepNext/>
        <w:widowControl/>
        <w:spacing w:line="360" w:lineRule="auto"/>
        <w:ind w:firstLine="0"/>
        <w:jc w:val="center"/>
        <w:rPr>
          <w:b/>
          <w:sz w:val="26"/>
          <w:szCs w:val="26"/>
        </w:rPr>
      </w:pPr>
      <w:r w:rsidRPr="00F54DF8">
        <w:rPr>
          <w:b/>
          <w:sz w:val="26"/>
          <w:szCs w:val="26"/>
        </w:rPr>
        <w:t>BACKGROUND</w:t>
      </w:r>
    </w:p>
    <w:p w14:paraId="48818FC2" w14:textId="77777777" w:rsidR="00E040F0" w:rsidRPr="00F54DF8" w:rsidRDefault="00E040F0" w:rsidP="00F73DF5">
      <w:pPr>
        <w:pStyle w:val="p2"/>
        <w:keepNext/>
        <w:widowControl/>
        <w:ind w:firstLine="0"/>
        <w:jc w:val="center"/>
        <w:rPr>
          <w:b/>
          <w:sz w:val="26"/>
          <w:szCs w:val="26"/>
        </w:rPr>
      </w:pPr>
    </w:p>
    <w:p w14:paraId="2D74E6A9" w14:textId="35978501" w:rsidR="008A3493" w:rsidRPr="00F54DF8" w:rsidRDefault="00A11039" w:rsidP="00A11039">
      <w:pPr>
        <w:pStyle w:val="p2"/>
        <w:widowControl/>
        <w:tabs>
          <w:tab w:val="clear" w:pos="1445"/>
          <w:tab w:val="left" w:pos="720"/>
        </w:tabs>
        <w:spacing w:line="360" w:lineRule="auto"/>
        <w:ind w:firstLine="0"/>
        <w:rPr>
          <w:sz w:val="26"/>
          <w:szCs w:val="26"/>
        </w:rPr>
      </w:pPr>
      <w:r>
        <w:rPr>
          <w:sz w:val="26"/>
          <w:szCs w:val="26"/>
        </w:rPr>
        <w:tab/>
      </w:r>
      <w:r w:rsidR="008A3493" w:rsidRPr="00F54DF8">
        <w:rPr>
          <w:sz w:val="26"/>
          <w:szCs w:val="26"/>
        </w:rPr>
        <w:t>On February 14, 2012,</w:t>
      </w:r>
      <w:r w:rsidR="008A3493" w:rsidRPr="00F54DF8">
        <w:rPr>
          <w:b/>
          <w:sz w:val="26"/>
          <w:szCs w:val="26"/>
        </w:rPr>
        <w:t xml:space="preserve"> </w:t>
      </w:r>
      <w:r w:rsidR="008A3493" w:rsidRPr="00F54DF8">
        <w:rPr>
          <w:sz w:val="26"/>
          <w:szCs w:val="26"/>
        </w:rPr>
        <w:t>Governor Corbett signed into law</w:t>
      </w:r>
      <w:r w:rsidR="008A3493" w:rsidRPr="00F54DF8">
        <w:rPr>
          <w:b/>
          <w:sz w:val="26"/>
          <w:szCs w:val="26"/>
        </w:rPr>
        <w:t xml:space="preserve"> </w:t>
      </w:r>
      <w:r w:rsidR="008A3493" w:rsidRPr="00F54DF8">
        <w:rPr>
          <w:sz w:val="26"/>
          <w:szCs w:val="26"/>
        </w:rPr>
        <w:t>Act 11 of 2012, (Act 11),</w:t>
      </w:r>
      <w:r w:rsidR="008A3493" w:rsidRPr="00F54DF8">
        <w:rPr>
          <w:rStyle w:val="FootnoteReference"/>
          <w:sz w:val="26"/>
          <w:szCs w:val="26"/>
        </w:rPr>
        <w:footnoteReference w:id="4"/>
      </w:r>
      <w:r w:rsidR="008A3493" w:rsidRPr="00F54DF8">
        <w:rPr>
          <w:sz w:val="26"/>
          <w:szCs w:val="26"/>
        </w:rPr>
        <w:t xml:space="preserve"> which amends Chapters 3, 13 and 33 of Title 66.  Act 11, </w:t>
      </w:r>
      <w:r w:rsidR="008A3493" w:rsidRPr="00F54DF8">
        <w:rPr>
          <w:i/>
          <w:sz w:val="26"/>
          <w:szCs w:val="26"/>
        </w:rPr>
        <w:t>inter alia</w:t>
      </w:r>
      <w:r w:rsidR="008A3493" w:rsidRPr="00F54DF8">
        <w:rPr>
          <w:sz w:val="26"/>
          <w:szCs w:val="26"/>
        </w:rPr>
        <w:t xml:space="preserve">, provides jurisdictional water and wastewater utilities, electric distribution companies (EDCs), and natural gas distribution companies (NGDCs) or a city natural gas distribution operation with the ability to implement a DSIC to recover reasonable and prudent costs incurred to repair, improve or replace certain eligible distribution property that is part of the utility’s distribution system.  The eligible property for the utilities is defined in 66 Pa. C.S. </w:t>
      </w:r>
      <w:r w:rsidR="008A3493" w:rsidRPr="00F54DF8">
        <w:rPr>
          <w:iCs/>
          <w:sz w:val="26"/>
          <w:szCs w:val="26"/>
        </w:rPr>
        <w:t>§</w:t>
      </w:r>
      <w:r w:rsidR="008A3493" w:rsidRPr="00F54DF8">
        <w:rPr>
          <w:sz w:val="26"/>
          <w:szCs w:val="26"/>
        </w:rPr>
        <w:t xml:space="preserve">1351.  </w:t>
      </w:r>
      <w:r w:rsidR="008A3493" w:rsidRPr="00F54DF8">
        <w:rPr>
          <w:sz w:val="26"/>
          <w:szCs w:val="26"/>
        </w:rPr>
        <w:lastRenderedPageBreak/>
        <w:t xml:space="preserve">Act 11 states that as a precondition to the implementation of a DSIC, a utility must file a LTIIP with the Commission that is consistent with 66 Pa. C.S. </w:t>
      </w:r>
      <w:r w:rsidR="008A3493" w:rsidRPr="00F54DF8">
        <w:rPr>
          <w:iCs/>
          <w:sz w:val="26"/>
          <w:szCs w:val="26"/>
        </w:rPr>
        <w:t>§</w:t>
      </w:r>
      <w:r w:rsidR="008A3493" w:rsidRPr="00F54DF8">
        <w:rPr>
          <w:sz w:val="26"/>
          <w:szCs w:val="26"/>
        </w:rPr>
        <w:t xml:space="preserve">1352.  </w:t>
      </w:r>
    </w:p>
    <w:p w14:paraId="78C1AB6C" w14:textId="77777777" w:rsidR="008A3493" w:rsidRPr="00F54DF8" w:rsidRDefault="008A3493" w:rsidP="008A3493">
      <w:pPr>
        <w:pStyle w:val="p2"/>
        <w:widowControl/>
        <w:spacing w:line="360" w:lineRule="auto"/>
        <w:ind w:firstLine="0"/>
        <w:rPr>
          <w:sz w:val="26"/>
          <w:szCs w:val="26"/>
        </w:rPr>
      </w:pPr>
    </w:p>
    <w:p w14:paraId="44018692" w14:textId="00BD0974" w:rsidR="008A3493" w:rsidRPr="00F54DF8" w:rsidRDefault="003D5CA4" w:rsidP="003D5CA4">
      <w:pPr>
        <w:spacing w:line="360" w:lineRule="auto"/>
        <w:ind w:firstLine="720"/>
        <w:rPr>
          <w:sz w:val="26"/>
          <w:szCs w:val="26"/>
        </w:rPr>
      </w:pPr>
      <w:r>
        <w:rPr>
          <w:sz w:val="26"/>
          <w:szCs w:val="26"/>
        </w:rPr>
        <w:t>The Commission promulgated regulations relating to LTIIPs at 52 Pa. Code §§ 121.1 – 121.8 that became effective December 20, 2014.  In accordance with the regulations, an NGDC must include the following elements in its LTIIP</w:t>
      </w:r>
      <w:r w:rsidR="008A3493" w:rsidRPr="00F54DF8">
        <w:rPr>
          <w:sz w:val="26"/>
          <w:szCs w:val="26"/>
        </w:rPr>
        <w:t>:</w:t>
      </w:r>
      <w:r w:rsidR="00C01398">
        <w:rPr>
          <w:rStyle w:val="FootnoteReference"/>
          <w:sz w:val="26"/>
          <w:szCs w:val="26"/>
        </w:rPr>
        <w:footnoteReference w:id="5"/>
      </w:r>
      <w:r w:rsidR="008A3493" w:rsidRPr="00F54DF8">
        <w:rPr>
          <w:sz w:val="26"/>
          <w:szCs w:val="26"/>
        </w:rPr>
        <w:t xml:space="preserve">   </w:t>
      </w:r>
    </w:p>
    <w:p w14:paraId="099467C2" w14:textId="77777777" w:rsidR="008A3493" w:rsidRPr="00F54DF8" w:rsidRDefault="008A3493" w:rsidP="008A3493">
      <w:pPr>
        <w:pStyle w:val="p2"/>
        <w:spacing w:line="360" w:lineRule="auto"/>
        <w:ind w:firstLine="0"/>
        <w:rPr>
          <w:sz w:val="26"/>
          <w:szCs w:val="26"/>
        </w:rPr>
      </w:pPr>
    </w:p>
    <w:p w14:paraId="1D5D335A" w14:textId="77777777" w:rsidR="008A3493" w:rsidRPr="00F54DF8" w:rsidRDefault="008A3493" w:rsidP="008A3493">
      <w:pPr>
        <w:pStyle w:val="p7"/>
        <w:numPr>
          <w:ilvl w:val="0"/>
          <w:numId w:val="11"/>
        </w:numPr>
        <w:tabs>
          <w:tab w:val="clear" w:pos="1133"/>
          <w:tab w:val="left" w:pos="720"/>
          <w:tab w:val="left" w:pos="1440"/>
        </w:tabs>
        <w:spacing w:line="360" w:lineRule="auto"/>
        <w:ind w:left="810" w:firstLine="0"/>
        <w:jc w:val="both"/>
        <w:rPr>
          <w:sz w:val="26"/>
          <w:szCs w:val="26"/>
        </w:rPr>
      </w:pPr>
      <w:r w:rsidRPr="00F54DF8">
        <w:rPr>
          <w:sz w:val="26"/>
          <w:szCs w:val="26"/>
        </w:rPr>
        <w:t>Types and age of eligible property;</w:t>
      </w:r>
    </w:p>
    <w:p w14:paraId="1B87CE2D" w14:textId="77777777" w:rsidR="008A3493" w:rsidRPr="00F54DF8" w:rsidRDefault="008A3493" w:rsidP="008A3493">
      <w:pPr>
        <w:pStyle w:val="p7"/>
        <w:numPr>
          <w:ilvl w:val="0"/>
          <w:numId w:val="11"/>
        </w:numPr>
        <w:tabs>
          <w:tab w:val="clear" w:pos="1133"/>
          <w:tab w:val="left" w:pos="720"/>
          <w:tab w:val="left" w:pos="1350"/>
          <w:tab w:val="left" w:pos="1440"/>
        </w:tabs>
        <w:spacing w:line="360" w:lineRule="auto"/>
        <w:ind w:hanging="540"/>
        <w:jc w:val="both"/>
        <w:rPr>
          <w:sz w:val="26"/>
          <w:szCs w:val="26"/>
        </w:rPr>
      </w:pPr>
      <w:r w:rsidRPr="00F54DF8">
        <w:rPr>
          <w:sz w:val="26"/>
          <w:szCs w:val="26"/>
        </w:rPr>
        <w:t xml:space="preserve"> Schedule for its planned repair and replacement;</w:t>
      </w:r>
    </w:p>
    <w:p w14:paraId="43FD5CF4" w14:textId="77777777" w:rsidR="008A3493" w:rsidRPr="00F54DF8" w:rsidRDefault="008A3493" w:rsidP="008A3493">
      <w:pPr>
        <w:pStyle w:val="p7"/>
        <w:numPr>
          <w:ilvl w:val="0"/>
          <w:numId w:val="11"/>
        </w:numPr>
        <w:tabs>
          <w:tab w:val="clear" w:pos="1133"/>
          <w:tab w:val="left" w:pos="720"/>
          <w:tab w:val="left" w:pos="1350"/>
          <w:tab w:val="left" w:pos="1440"/>
          <w:tab w:val="left" w:pos="1530"/>
        </w:tabs>
        <w:spacing w:line="360" w:lineRule="auto"/>
        <w:ind w:hanging="540"/>
        <w:jc w:val="both"/>
        <w:rPr>
          <w:sz w:val="26"/>
          <w:szCs w:val="26"/>
        </w:rPr>
      </w:pPr>
      <w:r w:rsidRPr="00F54DF8">
        <w:rPr>
          <w:sz w:val="26"/>
          <w:szCs w:val="26"/>
        </w:rPr>
        <w:t xml:space="preserve"> </w:t>
      </w:r>
      <w:r w:rsidRPr="00F54DF8">
        <w:rPr>
          <w:sz w:val="26"/>
          <w:szCs w:val="26"/>
        </w:rPr>
        <w:tab/>
        <w:t>Location of the eligible property;</w:t>
      </w:r>
    </w:p>
    <w:p w14:paraId="69E3D6DA" w14:textId="77777777" w:rsidR="008A3493" w:rsidRPr="00F54DF8" w:rsidRDefault="008A3493" w:rsidP="008A3493">
      <w:pPr>
        <w:pStyle w:val="p7"/>
        <w:numPr>
          <w:ilvl w:val="0"/>
          <w:numId w:val="11"/>
        </w:numPr>
        <w:tabs>
          <w:tab w:val="clear" w:pos="1133"/>
          <w:tab w:val="left" w:pos="720"/>
          <w:tab w:val="left" w:pos="1350"/>
          <w:tab w:val="left" w:pos="1440"/>
          <w:tab w:val="left" w:pos="1530"/>
        </w:tabs>
        <w:spacing w:line="360" w:lineRule="auto"/>
        <w:ind w:left="1440" w:hanging="658"/>
        <w:jc w:val="both"/>
        <w:rPr>
          <w:sz w:val="26"/>
          <w:szCs w:val="26"/>
        </w:rPr>
      </w:pPr>
      <w:r w:rsidRPr="00F54DF8">
        <w:rPr>
          <w:sz w:val="26"/>
          <w:szCs w:val="26"/>
        </w:rPr>
        <w:t xml:space="preserve"> Reasonable estimates of the quantity of property to be improved;</w:t>
      </w:r>
    </w:p>
    <w:p w14:paraId="64B65DB5" w14:textId="77777777" w:rsidR="008A3493" w:rsidRPr="00F54DF8" w:rsidRDefault="008A3493" w:rsidP="008A3493">
      <w:pPr>
        <w:pStyle w:val="p7"/>
        <w:numPr>
          <w:ilvl w:val="0"/>
          <w:numId w:val="11"/>
        </w:numPr>
        <w:tabs>
          <w:tab w:val="clear" w:pos="1133"/>
          <w:tab w:val="left" w:pos="720"/>
          <w:tab w:val="left" w:pos="1440"/>
          <w:tab w:val="left" w:pos="1530"/>
        </w:tabs>
        <w:spacing w:line="360" w:lineRule="auto"/>
        <w:ind w:left="1440" w:hanging="630"/>
        <w:rPr>
          <w:sz w:val="26"/>
          <w:szCs w:val="26"/>
        </w:rPr>
      </w:pPr>
      <w:r w:rsidRPr="00F54DF8">
        <w:rPr>
          <w:sz w:val="26"/>
          <w:szCs w:val="26"/>
        </w:rPr>
        <w:t>Projected annual expenditures and measures to ensure that the plan is cost      effective;</w:t>
      </w:r>
    </w:p>
    <w:p w14:paraId="4335D3E7" w14:textId="77777777" w:rsidR="008A3493" w:rsidRPr="00F54DF8" w:rsidRDefault="008A3493" w:rsidP="008A3493">
      <w:pPr>
        <w:pStyle w:val="p7"/>
        <w:numPr>
          <w:ilvl w:val="0"/>
          <w:numId w:val="11"/>
        </w:numPr>
        <w:tabs>
          <w:tab w:val="clear" w:pos="782"/>
          <w:tab w:val="clear" w:pos="1133"/>
          <w:tab w:val="left" w:pos="720"/>
          <w:tab w:val="left" w:pos="1440"/>
          <w:tab w:val="left" w:pos="1530"/>
        </w:tabs>
        <w:spacing w:line="360" w:lineRule="auto"/>
        <w:ind w:left="1440" w:hanging="630"/>
        <w:rPr>
          <w:sz w:val="26"/>
          <w:szCs w:val="26"/>
        </w:rPr>
      </w:pPr>
      <w:r w:rsidRPr="00F54DF8">
        <w:rPr>
          <w:sz w:val="26"/>
          <w:szCs w:val="26"/>
        </w:rPr>
        <w:t xml:space="preserve">Manner in which replacement of aging infrastructure will be accelerated and how repair, improvement or replacement will maintain safe and reliable service; </w:t>
      </w:r>
    </w:p>
    <w:p w14:paraId="030F1505" w14:textId="77777777" w:rsidR="008A3493" w:rsidRPr="00F54DF8" w:rsidRDefault="008A3493" w:rsidP="008A3493">
      <w:pPr>
        <w:pStyle w:val="p7"/>
        <w:numPr>
          <w:ilvl w:val="0"/>
          <w:numId w:val="11"/>
        </w:numPr>
        <w:tabs>
          <w:tab w:val="clear" w:pos="782"/>
          <w:tab w:val="clear" w:pos="1133"/>
          <w:tab w:val="left" w:pos="720"/>
          <w:tab w:val="left" w:pos="1440"/>
          <w:tab w:val="left" w:pos="1530"/>
        </w:tabs>
        <w:spacing w:line="360" w:lineRule="auto"/>
        <w:ind w:hanging="568"/>
        <w:rPr>
          <w:sz w:val="26"/>
          <w:szCs w:val="26"/>
        </w:rPr>
      </w:pPr>
      <w:r w:rsidRPr="00F54DF8">
        <w:rPr>
          <w:sz w:val="26"/>
          <w:szCs w:val="26"/>
        </w:rPr>
        <w:t xml:space="preserve"> A workforce management and training program; and</w:t>
      </w:r>
    </w:p>
    <w:p w14:paraId="74A61AF5" w14:textId="77777777" w:rsidR="008A3493" w:rsidRPr="00F54DF8" w:rsidRDefault="008A3493" w:rsidP="008A3493">
      <w:pPr>
        <w:pStyle w:val="p7"/>
        <w:numPr>
          <w:ilvl w:val="0"/>
          <w:numId w:val="11"/>
        </w:numPr>
        <w:tabs>
          <w:tab w:val="clear" w:pos="782"/>
          <w:tab w:val="clear" w:pos="1133"/>
          <w:tab w:val="left" w:pos="720"/>
          <w:tab w:val="left" w:pos="1440"/>
          <w:tab w:val="left" w:pos="1530"/>
        </w:tabs>
        <w:spacing w:line="360" w:lineRule="auto"/>
        <w:ind w:left="0" w:firstLine="782"/>
        <w:rPr>
          <w:sz w:val="26"/>
          <w:szCs w:val="26"/>
        </w:rPr>
      </w:pPr>
      <w:r w:rsidRPr="00F54DF8">
        <w:rPr>
          <w:sz w:val="26"/>
          <w:szCs w:val="26"/>
        </w:rPr>
        <w:t xml:space="preserve">A description of a utility’s outreach and coordination activities with other </w:t>
      </w:r>
      <w:r w:rsidRPr="00F54DF8">
        <w:rPr>
          <w:sz w:val="26"/>
          <w:szCs w:val="26"/>
        </w:rPr>
        <w:tab/>
      </w:r>
      <w:r w:rsidRPr="00F54DF8">
        <w:rPr>
          <w:sz w:val="26"/>
          <w:szCs w:val="26"/>
        </w:rPr>
        <w:tab/>
      </w:r>
      <w:r w:rsidRPr="00F54DF8">
        <w:rPr>
          <w:sz w:val="26"/>
          <w:szCs w:val="26"/>
        </w:rPr>
        <w:tab/>
        <w:t xml:space="preserve">utilities, PennDOT and local governments on planned </w:t>
      </w:r>
      <w:r w:rsidRPr="00F54DF8">
        <w:rPr>
          <w:sz w:val="26"/>
          <w:szCs w:val="26"/>
        </w:rPr>
        <w:tab/>
      </w:r>
      <w:r w:rsidRPr="00F54DF8">
        <w:rPr>
          <w:sz w:val="26"/>
          <w:szCs w:val="26"/>
        </w:rPr>
        <w:tab/>
      </w:r>
      <w:r w:rsidRPr="00F54DF8">
        <w:rPr>
          <w:sz w:val="26"/>
          <w:szCs w:val="26"/>
        </w:rPr>
        <w:tab/>
      </w:r>
      <w:r w:rsidRPr="00F54DF8">
        <w:rPr>
          <w:sz w:val="26"/>
          <w:szCs w:val="26"/>
        </w:rPr>
        <w:tab/>
      </w:r>
      <w:r w:rsidRPr="00F54DF8">
        <w:rPr>
          <w:sz w:val="26"/>
          <w:szCs w:val="26"/>
        </w:rPr>
        <w:tab/>
      </w:r>
      <w:r w:rsidRPr="00F54DF8">
        <w:rPr>
          <w:sz w:val="26"/>
          <w:szCs w:val="26"/>
        </w:rPr>
        <w:tab/>
        <w:t>maintenance/construction projects.</w:t>
      </w:r>
    </w:p>
    <w:p w14:paraId="7AA5C207" w14:textId="77777777" w:rsidR="00137EE2" w:rsidRPr="00F54DF8" w:rsidRDefault="00137EE2" w:rsidP="00773D87">
      <w:pPr>
        <w:pStyle w:val="p7"/>
        <w:widowControl/>
        <w:tabs>
          <w:tab w:val="clear" w:pos="782"/>
          <w:tab w:val="clear" w:pos="1133"/>
          <w:tab w:val="left" w:pos="720"/>
          <w:tab w:val="left" w:pos="1440"/>
          <w:tab w:val="left" w:pos="1530"/>
        </w:tabs>
        <w:spacing w:line="360" w:lineRule="auto"/>
        <w:ind w:left="1350" w:firstLine="0"/>
        <w:rPr>
          <w:sz w:val="26"/>
          <w:szCs w:val="26"/>
        </w:rPr>
      </w:pPr>
    </w:p>
    <w:p w14:paraId="6F6E3794" w14:textId="5331F150" w:rsidR="003D5CA4" w:rsidRDefault="003D5CA4" w:rsidP="00773D87">
      <w:pPr>
        <w:pStyle w:val="p2"/>
        <w:widowControl/>
        <w:spacing w:line="360" w:lineRule="auto"/>
        <w:ind w:firstLine="0"/>
        <w:jc w:val="center"/>
        <w:rPr>
          <w:b/>
          <w:sz w:val="26"/>
          <w:szCs w:val="26"/>
        </w:rPr>
      </w:pPr>
      <w:r>
        <w:rPr>
          <w:b/>
          <w:sz w:val="26"/>
          <w:szCs w:val="26"/>
        </w:rPr>
        <w:t xml:space="preserve">PGW’S </w:t>
      </w:r>
      <w:r w:rsidR="00D96C62">
        <w:rPr>
          <w:b/>
          <w:sz w:val="26"/>
          <w:szCs w:val="26"/>
        </w:rPr>
        <w:t>FIRST AND MODIFIED</w:t>
      </w:r>
      <w:r>
        <w:rPr>
          <w:b/>
          <w:sz w:val="26"/>
          <w:szCs w:val="26"/>
        </w:rPr>
        <w:t xml:space="preserve"> LTIIP</w:t>
      </w:r>
    </w:p>
    <w:p w14:paraId="6A865344" w14:textId="40C5C6E2" w:rsidR="003D5CA4" w:rsidRDefault="00D96C62" w:rsidP="00D96C62">
      <w:pPr>
        <w:pStyle w:val="p2"/>
        <w:widowControl/>
        <w:tabs>
          <w:tab w:val="clear" w:pos="1445"/>
          <w:tab w:val="left" w:pos="720"/>
        </w:tabs>
        <w:spacing w:line="360" w:lineRule="auto"/>
        <w:ind w:firstLine="0"/>
        <w:rPr>
          <w:b/>
          <w:sz w:val="26"/>
          <w:szCs w:val="26"/>
        </w:rPr>
      </w:pPr>
      <w:r>
        <w:rPr>
          <w:b/>
          <w:sz w:val="26"/>
          <w:szCs w:val="26"/>
        </w:rPr>
        <w:tab/>
      </w:r>
    </w:p>
    <w:p w14:paraId="2BF7CE92" w14:textId="77777777" w:rsidR="00E377E0" w:rsidRDefault="00D96C62" w:rsidP="00D96C62">
      <w:pPr>
        <w:pStyle w:val="p2"/>
        <w:widowControl/>
        <w:tabs>
          <w:tab w:val="clear" w:pos="1445"/>
          <w:tab w:val="left" w:pos="720"/>
        </w:tabs>
        <w:spacing w:line="360" w:lineRule="auto"/>
        <w:ind w:firstLine="0"/>
        <w:rPr>
          <w:sz w:val="26"/>
          <w:szCs w:val="26"/>
        </w:rPr>
      </w:pPr>
      <w:r>
        <w:rPr>
          <w:b/>
          <w:sz w:val="26"/>
          <w:szCs w:val="26"/>
        </w:rPr>
        <w:tab/>
      </w:r>
      <w:r>
        <w:rPr>
          <w:sz w:val="26"/>
          <w:szCs w:val="26"/>
        </w:rPr>
        <w:t xml:space="preserve">PGW’s First LTIIP was approved on April </w:t>
      </w:r>
      <w:r w:rsidR="009B3022">
        <w:rPr>
          <w:sz w:val="26"/>
          <w:szCs w:val="26"/>
        </w:rPr>
        <w:t>4</w:t>
      </w:r>
      <w:r>
        <w:rPr>
          <w:sz w:val="26"/>
          <w:szCs w:val="26"/>
        </w:rPr>
        <w:t xml:space="preserve">, 2013, and </w:t>
      </w:r>
      <w:r w:rsidRPr="00D96C62">
        <w:rPr>
          <w:sz w:val="26"/>
          <w:szCs w:val="26"/>
        </w:rPr>
        <w:t xml:space="preserve">covered the fiscal years </w:t>
      </w:r>
      <w:r>
        <w:rPr>
          <w:sz w:val="26"/>
          <w:szCs w:val="26"/>
        </w:rPr>
        <w:t>2013 through 2017.</w:t>
      </w:r>
      <w:r w:rsidRPr="00D96C62">
        <w:rPr>
          <w:sz w:val="26"/>
          <w:szCs w:val="26"/>
          <w:vertAlign w:val="superscript"/>
        </w:rPr>
        <w:footnoteReference w:id="6"/>
      </w:r>
      <w:r w:rsidRPr="00D96C62">
        <w:rPr>
          <w:sz w:val="26"/>
          <w:szCs w:val="26"/>
        </w:rPr>
        <w:t xml:space="preserve"> </w:t>
      </w:r>
      <w:r>
        <w:rPr>
          <w:sz w:val="26"/>
          <w:szCs w:val="26"/>
        </w:rPr>
        <w:t xml:space="preserve"> PGW’s 2017 fiscal year ends on August 31, 2017.  </w:t>
      </w:r>
      <w:r w:rsidR="00BA0A10">
        <w:rPr>
          <w:sz w:val="26"/>
          <w:szCs w:val="26"/>
        </w:rPr>
        <w:t>PGW's DSIC was approved on May 9, 2013.</w:t>
      </w:r>
      <w:r w:rsidR="00BA0A10">
        <w:rPr>
          <w:rStyle w:val="FootnoteReference"/>
          <w:sz w:val="26"/>
          <w:szCs w:val="26"/>
        </w:rPr>
        <w:footnoteReference w:id="7"/>
      </w:r>
      <w:r w:rsidR="00BA0A10">
        <w:rPr>
          <w:sz w:val="26"/>
          <w:szCs w:val="26"/>
        </w:rPr>
        <w:t xml:space="preserve">  On September 1, 2015, PGW filed its Petition for </w:t>
      </w:r>
      <w:r w:rsidR="00BA0A10">
        <w:rPr>
          <w:sz w:val="26"/>
          <w:szCs w:val="26"/>
        </w:rPr>
        <w:lastRenderedPageBreak/>
        <w:t xml:space="preserve">Waiver of Provisions of Act 11 to Increase the Distribution System Improvement Charge Cap and Permit Levelization of DSIC Charges (DSIC Cap Increase Petition) at Docket No. P-2015-2501500.  </w:t>
      </w:r>
    </w:p>
    <w:p w14:paraId="33E57E11" w14:textId="77777777" w:rsidR="00E377E0" w:rsidRDefault="00E377E0" w:rsidP="00D96C62">
      <w:pPr>
        <w:pStyle w:val="p2"/>
        <w:widowControl/>
        <w:tabs>
          <w:tab w:val="clear" w:pos="1445"/>
          <w:tab w:val="left" w:pos="720"/>
        </w:tabs>
        <w:spacing w:line="360" w:lineRule="auto"/>
        <w:ind w:firstLine="0"/>
        <w:rPr>
          <w:sz w:val="26"/>
          <w:szCs w:val="26"/>
        </w:rPr>
      </w:pPr>
    </w:p>
    <w:p w14:paraId="273B8A35" w14:textId="5BEBB878" w:rsidR="00D96C62" w:rsidRPr="00D96C62" w:rsidRDefault="00E377E0" w:rsidP="00D96C62">
      <w:pPr>
        <w:pStyle w:val="p2"/>
        <w:widowControl/>
        <w:tabs>
          <w:tab w:val="clear" w:pos="1445"/>
          <w:tab w:val="left" w:pos="720"/>
        </w:tabs>
        <w:spacing w:line="360" w:lineRule="auto"/>
        <w:ind w:firstLine="0"/>
        <w:rPr>
          <w:sz w:val="26"/>
          <w:szCs w:val="26"/>
        </w:rPr>
      </w:pPr>
      <w:r>
        <w:rPr>
          <w:sz w:val="26"/>
          <w:szCs w:val="26"/>
        </w:rPr>
        <w:tab/>
      </w:r>
      <w:r w:rsidR="00BA0A10">
        <w:rPr>
          <w:sz w:val="26"/>
          <w:szCs w:val="26"/>
        </w:rPr>
        <w:t xml:space="preserve">The DSIC Cap Increase Petition sought, </w:t>
      </w:r>
      <w:r w:rsidR="00BA0A10" w:rsidRPr="00BA0A10">
        <w:rPr>
          <w:i/>
          <w:sz w:val="26"/>
          <w:szCs w:val="26"/>
        </w:rPr>
        <w:t>inter alia</w:t>
      </w:r>
      <w:r w:rsidR="00BA0A10">
        <w:rPr>
          <w:sz w:val="26"/>
          <w:szCs w:val="26"/>
        </w:rPr>
        <w:t xml:space="preserve">, approval to increase the DSIC cap and to permit PGW to use an annualized, levelized charge as the basis for establishing a DSIC.  </w:t>
      </w:r>
      <w:r>
        <w:rPr>
          <w:sz w:val="26"/>
          <w:szCs w:val="26"/>
        </w:rPr>
        <w:t xml:space="preserve">The Commission issued an Order on January 28, 2016, which, </w:t>
      </w:r>
      <w:r w:rsidRPr="00E377E0">
        <w:rPr>
          <w:i/>
          <w:sz w:val="26"/>
          <w:szCs w:val="26"/>
        </w:rPr>
        <w:t>inter alia</w:t>
      </w:r>
      <w:r>
        <w:rPr>
          <w:sz w:val="26"/>
          <w:szCs w:val="26"/>
        </w:rPr>
        <w:t>, authorized PGW to increase its DSIC cap to 7.5% of distribution revenues (including any reconciliation recovery); and directed PGW to file a petition to amend (referenced in the regulation as a petition to modify) its LTIIP detailing PGW’s proposed accelerated main replacement program and how it planned to expend the additional DSIC revenues.</w:t>
      </w:r>
      <w:r>
        <w:rPr>
          <w:rStyle w:val="FootnoteReference"/>
          <w:sz w:val="26"/>
          <w:szCs w:val="26"/>
        </w:rPr>
        <w:footnoteReference w:id="8"/>
      </w:r>
      <w:r>
        <w:rPr>
          <w:sz w:val="26"/>
          <w:szCs w:val="26"/>
        </w:rPr>
        <w:t xml:space="preserve">  PGW filed its petition for a Modified LTIIP on February 12, 2016.  The Modified LTIIP</w:t>
      </w:r>
      <w:r w:rsidR="00C01398">
        <w:rPr>
          <w:sz w:val="26"/>
          <w:szCs w:val="26"/>
        </w:rPr>
        <w:t xml:space="preserve"> was approved on June 9, 2016, and</w:t>
      </w:r>
      <w:r>
        <w:rPr>
          <w:sz w:val="26"/>
          <w:szCs w:val="26"/>
        </w:rPr>
        <w:t xml:space="preserve"> replaced </w:t>
      </w:r>
      <w:r w:rsidR="009B3022">
        <w:rPr>
          <w:sz w:val="26"/>
          <w:szCs w:val="26"/>
        </w:rPr>
        <w:t xml:space="preserve">PGW’s First LTIIP </w:t>
      </w:r>
      <w:r>
        <w:rPr>
          <w:sz w:val="26"/>
          <w:szCs w:val="26"/>
        </w:rPr>
        <w:t xml:space="preserve">and </w:t>
      </w:r>
      <w:r w:rsidR="009B3022">
        <w:rPr>
          <w:sz w:val="26"/>
          <w:szCs w:val="26"/>
        </w:rPr>
        <w:t>continued by its terms until August 31, 2017</w:t>
      </w:r>
      <w:r w:rsidR="00D96C62" w:rsidRPr="00D96C62">
        <w:rPr>
          <w:sz w:val="26"/>
          <w:szCs w:val="26"/>
        </w:rPr>
        <w:t>.</w:t>
      </w:r>
      <w:r w:rsidR="00D96C62" w:rsidRPr="00D96C62">
        <w:rPr>
          <w:sz w:val="26"/>
          <w:szCs w:val="26"/>
          <w:vertAlign w:val="superscript"/>
        </w:rPr>
        <w:footnoteReference w:id="9"/>
      </w:r>
      <w:r w:rsidR="00D96C62" w:rsidRPr="00D96C62">
        <w:rPr>
          <w:sz w:val="26"/>
          <w:szCs w:val="26"/>
        </w:rPr>
        <w:t xml:space="preserve">  </w:t>
      </w:r>
    </w:p>
    <w:p w14:paraId="375F57BA" w14:textId="77777777" w:rsidR="003D5CA4" w:rsidRDefault="003D5CA4" w:rsidP="00773D87">
      <w:pPr>
        <w:pStyle w:val="p2"/>
        <w:widowControl/>
        <w:spacing w:line="360" w:lineRule="auto"/>
        <w:ind w:firstLine="0"/>
        <w:jc w:val="center"/>
        <w:rPr>
          <w:b/>
          <w:sz w:val="26"/>
          <w:szCs w:val="26"/>
        </w:rPr>
      </w:pPr>
    </w:p>
    <w:p w14:paraId="44119369" w14:textId="1A9DEB7A" w:rsidR="00317589" w:rsidRPr="00F54DF8" w:rsidRDefault="0077455C" w:rsidP="00773D87">
      <w:pPr>
        <w:pStyle w:val="p2"/>
        <w:widowControl/>
        <w:spacing w:line="360" w:lineRule="auto"/>
        <w:ind w:firstLine="0"/>
        <w:jc w:val="center"/>
        <w:rPr>
          <w:b/>
          <w:sz w:val="26"/>
          <w:szCs w:val="26"/>
        </w:rPr>
      </w:pPr>
      <w:r w:rsidRPr="00F54DF8">
        <w:rPr>
          <w:b/>
          <w:sz w:val="26"/>
          <w:szCs w:val="26"/>
        </w:rPr>
        <w:t xml:space="preserve">PGW’S </w:t>
      </w:r>
      <w:r w:rsidR="00497291">
        <w:rPr>
          <w:b/>
          <w:sz w:val="26"/>
          <w:szCs w:val="26"/>
        </w:rPr>
        <w:t xml:space="preserve">SECOND </w:t>
      </w:r>
      <w:r w:rsidRPr="00F54DF8">
        <w:rPr>
          <w:b/>
          <w:sz w:val="26"/>
          <w:szCs w:val="26"/>
        </w:rPr>
        <w:t>LTIIP PETITION</w:t>
      </w:r>
    </w:p>
    <w:p w14:paraId="7150E933" w14:textId="77777777" w:rsidR="00317589" w:rsidRPr="00F54DF8" w:rsidRDefault="00317589" w:rsidP="00773D87">
      <w:pPr>
        <w:pStyle w:val="p2"/>
        <w:widowControl/>
        <w:spacing w:line="360" w:lineRule="auto"/>
        <w:ind w:firstLine="0"/>
        <w:rPr>
          <w:b/>
          <w:sz w:val="26"/>
          <w:szCs w:val="26"/>
        </w:rPr>
      </w:pPr>
    </w:p>
    <w:p w14:paraId="3F6E16BC" w14:textId="3EEE5EDE" w:rsidR="002E36EB" w:rsidRDefault="002E36EB" w:rsidP="00A11039">
      <w:pPr>
        <w:pStyle w:val="p2"/>
        <w:widowControl/>
        <w:tabs>
          <w:tab w:val="clear" w:pos="1445"/>
          <w:tab w:val="left" w:pos="720"/>
        </w:tabs>
        <w:spacing w:line="360" w:lineRule="auto"/>
        <w:ind w:firstLine="720"/>
        <w:rPr>
          <w:sz w:val="26"/>
          <w:szCs w:val="26"/>
        </w:rPr>
      </w:pPr>
      <w:r w:rsidRPr="00F54DF8">
        <w:rPr>
          <w:sz w:val="26"/>
          <w:szCs w:val="26"/>
        </w:rPr>
        <w:t xml:space="preserve">PGW is owned by the City of Philadelphia and is the largest municipally owned gas utility in the country.  PGW is in the business of selling and distributing natural gas to retail customers within the Commonwealth of Pennsylvania, and is therefore a “city natural gas distribution operation” within the meaning of Section 102 of the Public Utility </w:t>
      </w:r>
      <w:r w:rsidR="00A11039">
        <w:rPr>
          <w:sz w:val="26"/>
          <w:szCs w:val="26"/>
        </w:rPr>
        <w:t xml:space="preserve">Code, </w:t>
      </w:r>
      <w:r w:rsidRPr="00F54DF8">
        <w:rPr>
          <w:sz w:val="26"/>
          <w:szCs w:val="26"/>
        </w:rPr>
        <w:t xml:space="preserve">66 Pa. C.S. </w:t>
      </w:r>
      <w:r w:rsidRPr="00F54DF8">
        <w:rPr>
          <w:iCs/>
          <w:sz w:val="26"/>
          <w:szCs w:val="26"/>
        </w:rPr>
        <w:t>§§</w:t>
      </w:r>
      <w:r w:rsidRPr="00F54DF8">
        <w:rPr>
          <w:sz w:val="26"/>
          <w:szCs w:val="26"/>
        </w:rPr>
        <w:t xml:space="preserve"> 102, subject to the regulatory jurisdiction of the Commission.</w:t>
      </w:r>
      <w:r w:rsidR="00497291">
        <w:rPr>
          <w:rStyle w:val="FootnoteReference"/>
          <w:sz w:val="26"/>
          <w:szCs w:val="26"/>
        </w:rPr>
        <w:footnoteReference w:id="10"/>
      </w:r>
      <w:r w:rsidRPr="00F54DF8">
        <w:rPr>
          <w:sz w:val="26"/>
          <w:szCs w:val="26"/>
        </w:rPr>
        <w:t xml:space="preserve">  PGW manages a distribution system of approximately 6,000 miles of gas mains and service lines</w:t>
      </w:r>
      <w:r w:rsidR="00B065E6">
        <w:rPr>
          <w:sz w:val="26"/>
          <w:szCs w:val="26"/>
        </w:rPr>
        <w:t xml:space="preserve"> </w:t>
      </w:r>
      <w:r w:rsidRPr="00F54DF8">
        <w:rPr>
          <w:sz w:val="26"/>
          <w:szCs w:val="26"/>
        </w:rPr>
        <w:t>supplying approximately 500,000 customers.</w:t>
      </w:r>
      <w:r w:rsidR="00497291" w:rsidRPr="00F54DF8">
        <w:rPr>
          <w:rStyle w:val="FootnoteReference"/>
          <w:sz w:val="26"/>
          <w:szCs w:val="26"/>
        </w:rPr>
        <w:footnoteReference w:id="11"/>
      </w:r>
    </w:p>
    <w:p w14:paraId="59BA423D" w14:textId="77777777" w:rsidR="00D96C62" w:rsidRPr="00F54DF8" w:rsidRDefault="00D96C62" w:rsidP="00A11039">
      <w:pPr>
        <w:pStyle w:val="p2"/>
        <w:widowControl/>
        <w:tabs>
          <w:tab w:val="clear" w:pos="1445"/>
          <w:tab w:val="left" w:pos="720"/>
        </w:tabs>
        <w:spacing w:line="360" w:lineRule="auto"/>
        <w:ind w:firstLine="720"/>
        <w:rPr>
          <w:sz w:val="26"/>
          <w:szCs w:val="26"/>
        </w:rPr>
      </w:pPr>
    </w:p>
    <w:p w14:paraId="0B8ADB69" w14:textId="1ACCAE9B" w:rsidR="0077455C" w:rsidRPr="00F54DF8" w:rsidRDefault="002B1C70" w:rsidP="00A11039">
      <w:pPr>
        <w:pStyle w:val="p2"/>
        <w:widowControl/>
        <w:spacing w:line="360" w:lineRule="auto"/>
        <w:ind w:firstLine="720"/>
        <w:rPr>
          <w:sz w:val="26"/>
          <w:szCs w:val="26"/>
        </w:rPr>
      </w:pPr>
      <w:r w:rsidRPr="00F54DF8">
        <w:rPr>
          <w:sz w:val="26"/>
          <w:szCs w:val="26"/>
        </w:rPr>
        <w:t xml:space="preserve">PGW’s </w:t>
      </w:r>
      <w:r w:rsidR="00497291">
        <w:rPr>
          <w:sz w:val="26"/>
          <w:szCs w:val="26"/>
        </w:rPr>
        <w:t xml:space="preserve">Second </w:t>
      </w:r>
      <w:r w:rsidRPr="00F54DF8">
        <w:rPr>
          <w:sz w:val="26"/>
          <w:szCs w:val="26"/>
        </w:rPr>
        <w:t>LTIIP is a five</w:t>
      </w:r>
      <w:r w:rsidR="006F2A9B">
        <w:rPr>
          <w:sz w:val="26"/>
          <w:szCs w:val="26"/>
        </w:rPr>
        <w:t>-</w:t>
      </w:r>
      <w:r w:rsidRPr="00F54DF8">
        <w:rPr>
          <w:sz w:val="26"/>
          <w:szCs w:val="26"/>
        </w:rPr>
        <w:t>year plan</w:t>
      </w:r>
      <w:r w:rsidR="00497291">
        <w:rPr>
          <w:sz w:val="26"/>
          <w:szCs w:val="26"/>
        </w:rPr>
        <w:t xml:space="preserve"> covering the fiscal years 2018 through 2022</w:t>
      </w:r>
      <w:r w:rsidRPr="00F54DF8">
        <w:rPr>
          <w:sz w:val="26"/>
          <w:szCs w:val="26"/>
        </w:rPr>
        <w:t xml:space="preserve">.  </w:t>
      </w:r>
      <w:r w:rsidR="0077455C" w:rsidRPr="00F54DF8">
        <w:rPr>
          <w:sz w:val="26"/>
          <w:szCs w:val="26"/>
        </w:rPr>
        <w:t xml:space="preserve">PGW has removed or replaced </w:t>
      </w:r>
      <w:r w:rsidR="005545D5">
        <w:rPr>
          <w:sz w:val="26"/>
          <w:szCs w:val="26"/>
        </w:rPr>
        <w:t xml:space="preserve">approximately 111 miles of cast iron main </w:t>
      </w:r>
      <w:r w:rsidR="0077455C" w:rsidRPr="00F54DF8">
        <w:rPr>
          <w:sz w:val="26"/>
          <w:szCs w:val="26"/>
        </w:rPr>
        <w:t xml:space="preserve">with plastic and protected coated steel </w:t>
      </w:r>
      <w:r w:rsidR="005545D5">
        <w:rPr>
          <w:sz w:val="26"/>
          <w:szCs w:val="26"/>
        </w:rPr>
        <w:t>o</w:t>
      </w:r>
      <w:r w:rsidR="0077455C" w:rsidRPr="00F54DF8">
        <w:rPr>
          <w:sz w:val="26"/>
          <w:szCs w:val="26"/>
        </w:rPr>
        <w:t xml:space="preserve">ver the last </w:t>
      </w:r>
      <w:r w:rsidR="00C5294C" w:rsidRPr="00F54DF8">
        <w:rPr>
          <w:sz w:val="26"/>
          <w:szCs w:val="26"/>
        </w:rPr>
        <w:t>4</w:t>
      </w:r>
      <w:r w:rsidR="00541752" w:rsidRPr="00F54DF8">
        <w:rPr>
          <w:sz w:val="26"/>
          <w:szCs w:val="26"/>
        </w:rPr>
        <w:t> </w:t>
      </w:r>
      <w:r w:rsidR="00C5294C" w:rsidRPr="00F54DF8">
        <w:rPr>
          <w:sz w:val="26"/>
          <w:szCs w:val="26"/>
        </w:rPr>
        <w:t>years based on the company’s Annual Asset Optimization Plans</w:t>
      </w:r>
      <w:r w:rsidR="005545D5">
        <w:rPr>
          <w:sz w:val="26"/>
          <w:szCs w:val="26"/>
        </w:rPr>
        <w:t>.</w:t>
      </w:r>
      <w:r w:rsidR="00786003">
        <w:rPr>
          <w:rStyle w:val="FootnoteReference"/>
          <w:sz w:val="26"/>
          <w:szCs w:val="26"/>
        </w:rPr>
        <w:footnoteReference w:id="12"/>
      </w:r>
      <w:r w:rsidR="00786003">
        <w:rPr>
          <w:sz w:val="26"/>
          <w:szCs w:val="26"/>
        </w:rPr>
        <w:t xml:space="preserve">  This is </w:t>
      </w:r>
      <w:r w:rsidR="007D609D">
        <w:rPr>
          <w:sz w:val="26"/>
          <w:szCs w:val="26"/>
        </w:rPr>
        <w:t>an</w:t>
      </w:r>
      <w:r w:rsidR="00214DBA" w:rsidRPr="00F54DF8">
        <w:rPr>
          <w:sz w:val="26"/>
          <w:szCs w:val="26"/>
        </w:rPr>
        <w:t xml:space="preserve"> average of nearly 28 miles per year</w:t>
      </w:r>
      <w:r w:rsidR="0077455C" w:rsidRPr="00F54DF8">
        <w:rPr>
          <w:sz w:val="26"/>
          <w:szCs w:val="26"/>
        </w:rPr>
        <w:t>.  PGW ave</w:t>
      </w:r>
      <w:r w:rsidR="00786003">
        <w:rPr>
          <w:sz w:val="26"/>
          <w:szCs w:val="26"/>
        </w:rPr>
        <w:t>rred</w:t>
      </w:r>
      <w:r w:rsidR="0077455C" w:rsidRPr="00F54DF8">
        <w:rPr>
          <w:sz w:val="26"/>
          <w:szCs w:val="26"/>
        </w:rPr>
        <w:t xml:space="preserve"> </w:t>
      </w:r>
      <w:r w:rsidR="00214DBA" w:rsidRPr="00F54DF8">
        <w:rPr>
          <w:sz w:val="26"/>
          <w:szCs w:val="26"/>
        </w:rPr>
        <w:t xml:space="preserve">that </w:t>
      </w:r>
      <w:r w:rsidR="00C5294C" w:rsidRPr="00F54DF8">
        <w:rPr>
          <w:sz w:val="26"/>
          <w:szCs w:val="26"/>
        </w:rPr>
        <w:t xml:space="preserve">the accelerated main replacement set forth in the </w:t>
      </w:r>
      <w:r w:rsidR="00786003">
        <w:rPr>
          <w:sz w:val="26"/>
          <w:szCs w:val="26"/>
        </w:rPr>
        <w:t>Second LTIIP</w:t>
      </w:r>
      <w:r w:rsidR="00C5294C" w:rsidRPr="00F54DF8">
        <w:rPr>
          <w:sz w:val="26"/>
          <w:szCs w:val="26"/>
        </w:rPr>
        <w:t xml:space="preserve"> will, over time, reduce risk and costs compared to that which PGW would experience if it did not accelerate its pipeline replacement program</w:t>
      </w:r>
      <w:r w:rsidR="00786003">
        <w:rPr>
          <w:sz w:val="26"/>
          <w:szCs w:val="26"/>
        </w:rPr>
        <w:t>.  PGW noted that the Second LTIIP would also result</w:t>
      </w:r>
      <w:r w:rsidR="00C5294C" w:rsidRPr="00F54DF8">
        <w:rPr>
          <w:sz w:val="26"/>
          <w:szCs w:val="26"/>
        </w:rPr>
        <w:t xml:space="preserve"> in more adequate, efficient, safe, reliable, and reasonable natural gas distribution service</w:t>
      </w:r>
      <w:r w:rsidR="0077455C" w:rsidRPr="00F54DF8">
        <w:rPr>
          <w:sz w:val="26"/>
          <w:szCs w:val="26"/>
        </w:rPr>
        <w:t>.</w:t>
      </w:r>
    </w:p>
    <w:p w14:paraId="691002D0" w14:textId="77777777" w:rsidR="0077455C" w:rsidRPr="00F54DF8" w:rsidRDefault="0077455C" w:rsidP="00773D87">
      <w:pPr>
        <w:pStyle w:val="p2"/>
        <w:widowControl/>
        <w:spacing w:line="360" w:lineRule="auto"/>
        <w:ind w:firstLine="1440"/>
        <w:rPr>
          <w:sz w:val="26"/>
          <w:szCs w:val="26"/>
        </w:rPr>
      </w:pPr>
    </w:p>
    <w:p w14:paraId="2648E431" w14:textId="36D886FC" w:rsidR="0077455C" w:rsidRPr="00F54DF8" w:rsidRDefault="0077455C" w:rsidP="00A11039">
      <w:pPr>
        <w:pStyle w:val="p2"/>
        <w:widowControl/>
        <w:tabs>
          <w:tab w:val="clear" w:pos="1445"/>
          <w:tab w:val="left" w:pos="720"/>
        </w:tabs>
        <w:spacing w:line="360" w:lineRule="auto"/>
        <w:ind w:firstLine="720"/>
        <w:rPr>
          <w:sz w:val="26"/>
          <w:szCs w:val="26"/>
        </w:rPr>
      </w:pPr>
      <w:r w:rsidRPr="00F54DF8">
        <w:rPr>
          <w:sz w:val="26"/>
          <w:szCs w:val="26"/>
        </w:rPr>
        <w:t xml:space="preserve">PGW identified categories of cast iron main that would be most suitable for replacement based on </w:t>
      </w:r>
      <w:r w:rsidR="00786003">
        <w:rPr>
          <w:sz w:val="26"/>
          <w:szCs w:val="26"/>
        </w:rPr>
        <w:t>its</w:t>
      </w:r>
      <w:r w:rsidR="00786003" w:rsidRPr="00F54DF8">
        <w:rPr>
          <w:sz w:val="26"/>
          <w:szCs w:val="26"/>
        </w:rPr>
        <w:t xml:space="preserve"> </w:t>
      </w:r>
      <w:r w:rsidRPr="00F54DF8">
        <w:rPr>
          <w:sz w:val="26"/>
          <w:szCs w:val="26"/>
        </w:rPr>
        <w:t>risk management analysis programs</w:t>
      </w:r>
      <w:r w:rsidR="00214DBA" w:rsidRPr="00F54DF8">
        <w:rPr>
          <w:sz w:val="26"/>
          <w:szCs w:val="26"/>
        </w:rPr>
        <w:t>.  PGW state</w:t>
      </w:r>
      <w:r w:rsidR="00786003">
        <w:rPr>
          <w:sz w:val="26"/>
          <w:szCs w:val="26"/>
        </w:rPr>
        <w:t>d</w:t>
      </w:r>
      <w:r w:rsidR="00214DBA" w:rsidRPr="00F54DF8">
        <w:rPr>
          <w:sz w:val="26"/>
          <w:szCs w:val="26"/>
        </w:rPr>
        <w:t xml:space="preserve"> that the information used to formulate </w:t>
      </w:r>
      <w:r w:rsidR="00786003">
        <w:rPr>
          <w:sz w:val="26"/>
          <w:szCs w:val="26"/>
        </w:rPr>
        <w:t xml:space="preserve">its Second </w:t>
      </w:r>
      <w:r w:rsidR="00214DBA" w:rsidRPr="00F54DF8">
        <w:rPr>
          <w:sz w:val="26"/>
          <w:szCs w:val="26"/>
        </w:rPr>
        <w:t xml:space="preserve">LTIIP was primarily drawn from </w:t>
      </w:r>
      <w:r w:rsidR="006451C5">
        <w:rPr>
          <w:sz w:val="26"/>
          <w:szCs w:val="26"/>
        </w:rPr>
        <w:t>its</w:t>
      </w:r>
      <w:r w:rsidR="006451C5" w:rsidRPr="00F54DF8">
        <w:rPr>
          <w:sz w:val="26"/>
          <w:szCs w:val="26"/>
        </w:rPr>
        <w:t xml:space="preserve"> </w:t>
      </w:r>
      <w:r w:rsidR="00786003">
        <w:rPr>
          <w:sz w:val="26"/>
          <w:szCs w:val="26"/>
        </w:rPr>
        <w:t>DIMP</w:t>
      </w:r>
      <w:r w:rsidR="00214DBA" w:rsidRPr="00F54DF8">
        <w:rPr>
          <w:sz w:val="26"/>
          <w:szCs w:val="26"/>
        </w:rPr>
        <w:t>, and the Benchmarking Summary Final Report dated January 28, 2016.</w:t>
      </w:r>
      <w:r w:rsidR="00214DBA" w:rsidRPr="00F54DF8">
        <w:rPr>
          <w:rStyle w:val="FootnoteReference"/>
          <w:sz w:val="26"/>
          <w:szCs w:val="26"/>
        </w:rPr>
        <w:footnoteReference w:id="13"/>
      </w:r>
    </w:p>
    <w:p w14:paraId="55670497" w14:textId="77777777" w:rsidR="0077455C" w:rsidRPr="00F54DF8" w:rsidRDefault="0077455C" w:rsidP="00214DBA">
      <w:pPr>
        <w:pStyle w:val="p2"/>
        <w:widowControl/>
        <w:spacing w:line="360" w:lineRule="auto"/>
        <w:ind w:firstLine="0"/>
        <w:rPr>
          <w:sz w:val="26"/>
          <w:szCs w:val="26"/>
        </w:rPr>
      </w:pPr>
    </w:p>
    <w:p w14:paraId="6C27F80F" w14:textId="2637962B" w:rsidR="00541752" w:rsidRPr="00F54DF8" w:rsidRDefault="0077455C" w:rsidP="00A11039">
      <w:pPr>
        <w:pStyle w:val="p2"/>
        <w:widowControl/>
        <w:spacing w:line="360" w:lineRule="auto"/>
        <w:ind w:firstLine="720"/>
        <w:rPr>
          <w:sz w:val="26"/>
          <w:szCs w:val="26"/>
        </w:rPr>
      </w:pPr>
      <w:r w:rsidRPr="00F54DF8">
        <w:rPr>
          <w:sz w:val="26"/>
          <w:szCs w:val="26"/>
        </w:rPr>
        <w:t xml:space="preserve">Based on the DIMP and the </w:t>
      </w:r>
      <w:r w:rsidR="0058461D">
        <w:rPr>
          <w:sz w:val="26"/>
          <w:szCs w:val="26"/>
        </w:rPr>
        <w:t xml:space="preserve">gas </w:t>
      </w:r>
      <w:r w:rsidRPr="00F54DF8">
        <w:rPr>
          <w:sz w:val="26"/>
          <w:szCs w:val="26"/>
        </w:rPr>
        <w:t xml:space="preserve">main replacement prioritization model and benchmarking analyses/studies, PGW </w:t>
      </w:r>
      <w:r w:rsidR="006451C5">
        <w:rPr>
          <w:sz w:val="26"/>
          <w:szCs w:val="26"/>
        </w:rPr>
        <w:t>i</w:t>
      </w:r>
      <w:r w:rsidRPr="00F54DF8">
        <w:rPr>
          <w:sz w:val="26"/>
          <w:szCs w:val="26"/>
        </w:rPr>
        <w:t xml:space="preserve">dentified property </w:t>
      </w:r>
      <w:r w:rsidR="006451C5">
        <w:rPr>
          <w:sz w:val="26"/>
          <w:szCs w:val="26"/>
        </w:rPr>
        <w:t xml:space="preserve">for replacement </w:t>
      </w:r>
      <w:r w:rsidR="00331EA4" w:rsidRPr="00F54DF8">
        <w:rPr>
          <w:sz w:val="26"/>
          <w:szCs w:val="26"/>
        </w:rPr>
        <w:t xml:space="preserve">in its </w:t>
      </w:r>
      <w:r w:rsidR="006451C5">
        <w:rPr>
          <w:sz w:val="26"/>
          <w:szCs w:val="26"/>
        </w:rPr>
        <w:t xml:space="preserve">Second </w:t>
      </w:r>
      <w:r w:rsidR="00331EA4" w:rsidRPr="00F54DF8">
        <w:rPr>
          <w:sz w:val="26"/>
          <w:szCs w:val="26"/>
        </w:rPr>
        <w:t>LTIIP</w:t>
      </w:r>
      <w:r w:rsidR="006451C5">
        <w:rPr>
          <w:sz w:val="26"/>
          <w:szCs w:val="26"/>
        </w:rPr>
        <w:t xml:space="preserve"> as shown in Table 1, below.</w:t>
      </w:r>
    </w:p>
    <w:p w14:paraId="5464442B" w14:textId="77777777" w:rsidR="0077455C" w:rsidRDefault="0077455C" w:rsidP="00BA5940">
      <w:pPr>
        <w:pStyle w:val="p2"/>
        <w:widowControl/>
        <w:spacing w:line="360" w:lineRule="auto"/>
        <w:ind w:firstLine="0"/>
        <w:rPr>
          <w:sz w:val="26"/>
          <w:szCs w:val="26"/>
        </w:rPr>
      </w:pPr>
    </w:p>
    <w:p w14:paraId="2598150B" w14:textId="77777777" w:rsidR="00BA5940" w:rsidRPr="00BA5940" w:rsidRDefault="00BA5940" w:rsidP="00BA5940">
      <w:pPr>
        <w:pStyle w:val="p2"/>
        <w:widowControl/>
        <w:spacing w:line="360" w:lineRule="auto"/>
        <w:ind w:firstLine="0"/>
        <w:rPr>
          <w:b/>
          <w:sz w:val="26"/>
          <w:szCs w:val="26"/>
        </w:rPr>
      </w:pPr>
      <w:r w:rsidRPr="00BA5940">
        <w:rPr>
          <w:b/>
          <w:sz w:val="26"/>
          <w:szCs w:val="26"/>
        </w:rPr>
        <w:t>Table 1: Property Classes Targeted for Replacement</w:t>
      </w:r>
    </w:p>
    <w:tbl>
      <w:tblPr>
        <w:tblW w:w="6780" w:type="dxa"/>
        <w:tblInd w:w="113" w:type="dxa"/>
        <w:tblLook w:val="04A0" w:firstRow="1" w:lastRow="0" w:firstColumn="1" w:lastColumn="0" w:noHBand="0" w:noVBand="1"/>
      </w:tblPr>
      <w:tblGrid>
        <w:gridCol w:w="1660"/>
        <w:gridCol w:w="1320"/>
        <w:gridCol w:w="2440"/>
        <w:gridCol w:w="1360"/>
      </w:tblGrid>
      <w:tr w:rsidR="00E76D2D" w:rsidRPr="00F54DF8" w14:paraId="55ED624D" w14:textId="77777777" w:rsidTr="00E76D2D">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BFE4B" w14:textId="77777777" w:rsidR="00E76D2D" w:rsidRPr="00B1740C" w:rsidRDefault="00E76D2D" w:rsidP="00E76D2D">
            <w:pPr>
              <w:widowControl/>
              <w:autoSpaceDE/>
              <w:autoSpaceDN/>
              <w:adjustRightInd/>
              <w:jc w:val="center"/>
              <w:rPr>
                <w:b/>
                <w:bCs/>
                <w:color w:val="000000"/>
                <w:sz w:val="22"/>
                <w:szCs w:val="22"/>
              </w:rPr>
            </w:pPr>
            <w:r w:rsidRPr="00B1740C">
              <w:rPr>
                <w:b/>
                <w:bCs/>
                <w:color w:val="000000"/>
                <w:sz w:val="22"/>
                <w:szCs w:val="22"/>
              </w:rPr>
              <w:t>Asset Group</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08075F09" w14:textId="77777777" w:rsidR="00E76D2D" w:rsidRPr="00B1740C" w:rsidRDefault="00E76D2D" w:rsidP="00E76D2D">
            <w:pPr>
              <w:widowControl/>
              <w:autoSpaceDE/>
              <w:autoSpaceDN/>
              <w:adjustRightInd/>
              <w:jc w:val="center"/>
              <w:rPr>
                <w:b/>
                <w:bCs/>
                <w:color w:val="000000"/>
                <w:sz w:val="22"/>
                <w:szCs w:val="22"/>
              </w:rPr>
            </w:pPr>
            <w:r w:rsidRPr="00B1740C">
              <w:rPr>
                <w:b/>
                <w:bCs/>
                <w:color w:val="000000"/>
                <w:sz w:val="22"/>
                <w:szCs w:val="22"/>
              </w:rPr>
              <w:t>Material</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DD5A34E" w14:textId="77777777" w:rsidR="00E76D2D" w:rsidRPr="00B1740C" w:rsidRDefault="00E76D2D" w:rsidP="00E76D2D">
            <w:pPr>
              <w:widowControl/>
              <w:autoSpaceDE/>
              <w:autoSpaceDN/>
              <w:adjustRightInd/>
              <w:jc w:val="center"/>
              <w:rPr>
                <w:b/>
                <w:bCs/>
                <w:color w:val="000000"/>
                <w:sz w:val="22"/>
                <w:szCs w:val="22"/>
              </w:rPr>
            </w:pPr>
            <w:r w:rsidRPr="00B1740C">
              <w:rPr>
                <w:b/>
                <w:bCs/>
                <w:color w:val="000000"/>
                <w:sz w:val="22"/>
                <w:szCs w:val="22"/>
              </w:rPr>
              <w:t>Size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7E6A24E" w14:textId="77777777" w:rsidR="00E76D2D" w:rsidRPr="00B1740C" w:rsidRDefault="00E76D2D" w:rsidP="00E76D2D">
            <w:pPr>
              <w:widowControl/>
              <w:autoSpaceDE/>
              <w:autoSpaceDN/>
              <w:adjustRightInd/>
              <w:jc w:val="center"/>
              <w:rPr>
                <w:b/>
                <w:bCs/>
                <w:color w:val="000000"/>
                <w:sz w:val="22"/>
                <w:szCs w:val="22"/>
              </w:rPr>
            </w:pPr>
            <w:r w:rsidRPr="00B1740C">
              <w:rPr>
                <w:b/>
                <w:bCs/>
                <w:color w:val="000000"/>
                <w:sz w:val="22"/>
                <w:szCs w:val="22"/>
              </w:rPr>
              <w:t>Pressure</w:t>
            </w:r>
          </w:p>
        </w:tc>
      </w:tr>
      <w:tr w:rsidR="00E76D2D" w:rsidRPr="00F54DF8" w14:paraId="314C3601" w14:textId="77777777" w:rsidTr="00E76D2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EE10742"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Services</w:t>
            </w:r>
          </w:p>
        </w:tc>
        <w:tc>
          <w:tcPr>
            <w:tcW w:w="1320" w:type="dxa"/>
            <w:tcBorders>
              <w:top w:val="nil"/>
              <w:left w:val="nil"/>
              <w:bottom w:val="single" w:sz="4" w:space="0" w:color="auto"/>
              <w:right w:val="single" w:sz="4" w:space="0" w:color="auto"/>
            </w:tcBorders>
            <w:shd w:val="clear" w:color="auto" w:fill="auto"/>
            <w:noWrap/>
            <w:vAlign w:val="bottom"/>
            <w:hideMark/>
          </w:tcPr>
          <w:p w14:paraId="69E015F0"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Steel</w:t>
            </w:r>
          </w:p>
        </w:tc>
        <w:tc>
          <w:tcPr>
            <w:tcW w:w="2440" w:type="dxa"/>
            <w:tcBorders>
              <w:top w:val="nil"/>
              <w:left w:val="nil"/>
              <w:bottom w:val="single" w:sz="4" w:space="0" w:color="auto"/>
              <w:right w:val="single" w:sz="4" w:space="0" w:color="auto"/>
            </w:tcBorders>
            <w:shd w:val="clear" w:color="auto" w:fill="auto"/>
            <w:noWrap/>
            <w:vAlign w:val="bottom"/>
            <w:hideMark/>
          </w:tcPr>
          <w:p w14:paraId="54B68369"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1" - 1/4" and smaller</w:t>
            </w:r>
          </w:p>
        </w:tc>
        <w:tc>
          <w:tcPr>
            <w:tcW w:w="1360" w:type="dxa"/>
            <w:tcBorders>
              <w:top w:val="nil"/>
              <w:left w:val="nil"/>
              <w:bottom w:val="single" w:sz="4" w:space="0" w:color="auto"/>
              <w:right w:val="single" w:sz="4" w:space="0" w:color="auto"/>
            </w:tcBorders>
            <w:shd w:val="clear" w:color="auto" w:fill="auto"/>
            <w:noWrap/>
            <w:vAlign w:val="bottom"/>
            <w:hideMark/>
          </w:tcPr>
          <w:p w14:paraId="78DC2A35"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Low</w:t>
            </w:r>
          </w:p>
        </w:tc>
      </w:tr>
      <w:tr w:rsidR="00E76D2D" w:rsidRPr="00F54DF8" w14:paraId="496D3E82" w14:textId="77777777" w:rsidTr="00E76D2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3C09CDA"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Mains</w:t>
            </w:r>
          </w:p>
        </w:tc>
        <w:tc>
          <w:tcPr>
            <w:tcW w:w="1320" w:type="dxa"/>
            <w:tcBorders>
              <w:top w:val="nil"/>
              <w:left w:val="nil"/>
              <w:bottom w:val="single" w:sz="4" w:space="0" w:color="auto"/>
              <w:right w:val="single" w:sz="4" w:space="0" w:color="auto"/>
            </w:tcBorders>
            <w:shd w:val="clear" w:color="auto" w:fill="auto"/>
            <w:noWrap/>
            <w:vAlign w:val="bottom"/>
            <w:hideMark/>
          </w:tcPr>
          <w:p w14:paraId="1F4E44E5"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Cast Iron</w:t>
            </w:r>
          </w:p>
        </w:tc>
        <w:tc>
          <w:tcPr>
            <w:tcW w:w="2440" w:type="dxa"/>
            <w:tcBorders>
              <w:top w:val="nil"/>
              <w:left w:val="nil"/>
              <w:bottom w:val="single" w:sz="4" w:space="0" w:color="auto"/>
              <w:right w:val="single" w:sz="4" w:space="0" w:color="auto"/>
            </w:tcBorders>
            <w:shd w:val="clear" w:color="auto" w:fill="auto"/>
            <w:noWrap/>
            <w:vAlign w:val="bottom"/>
            <w:hideMark/>
          </w:tcPr>
          <w:p w14:paraId="18B5B5AC"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10" and smaller</w:t>
            </w:r>
          </w:p>
        </w:tc>
        <w:tc>
          <w:tcPr>
            <w:tcW w:w="1360" w:type="dxa"/>
            <w:tcBorders>
              <w:top w:val="nil"/>
              <w:left w:val="nil"/>
              <w:bottom w:val="single" w:sz="4" w:space="0" w:color="auto"/>
              <w:right w:val="single" w:sz="4" w:space="0" w:color="auto"/>
            </w:tcBorders>
            <w:shd w:val="clear" w:color="auto" w:fill="auto"/>
            <w:noWrap/>
            <w:vAlign w:val="bottom"/>
            <w:hideMark/>
          </w:tcPr>
          <w:p w14:paraId="0E074EF8"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Low</w:t>
            </w:r>
          </w:p>
        </w:tc>
      </w:tr>
      <w:tr w:rsidR="00E76D2D" w:rsidRPr="00F54DF8" w14:paraId="61287D66" w14:textId="77777777" w:rsidTr="00E76D2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F03E6D3"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Mains</w:t>
            </w:r>
          </w:p>
        </w:tc>
        <w:tc>
          <w:tcPr>
            <w:tcW w:w="1320" w:type="dxa"/>
            <w:tcBorders>
              <w:top w:val="nil"/>
              <w:left w:val="nil"/>
              <w:bottom w:val="single" w:sz="4" w:space="0" w:color="auto"/>
              <w:right w:val="single" w:sz="4" w:space="0" w:color="auto"/>
            </w:tcBorders>
            <w:shd w:val="clear" w:color="auto" w:fill="auto"/>
            <w:noWrap/>
            <w:vAlign w:val="bottom"/>
            <w:hideMark/>
          </w:tcPr>
          <w:p w14:paraId="53BB388B"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Cast Iron</w:t>
            </w:r>
          </w:p>
        </w:tc>
        <w:tc>
          <w:tcPr>
            <w:tcW w:w="2440" w:type="dxa"/>
            <w:tcBorders>
              <w:top w:val="nil"/>
              <w:left w:val="nil"/>
              <w:bottom w:val="single" w:sz="4" w:space="0" w:color="auto"/>
              <w:right w:val="single" w:sz="4" w:space="0" w:color="auto"/>
            </w:tcBorders>
            <w:shd w:val="clear" w:color="auto" w:fill="auto"/>
            <w:noWrap/>
            <w:vAlign w:val="bottom"/>
            <w:hideMark/>
          </w:tcPr>
          <w:p w14:paraId="50750B21"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12" and larger</w:t>
            </w:r>
          </w:p>
        </w:tc>
        <w:tc>
          <w:tcPr>
            <w:tcW w:w="1360" w:type="dxa"/>
            <w:tcBorders>
              <w:top w:val="nil"/>
              <w:left w:val="nil"/>
              <w:bottom w:val="single" w:sz="4" w:space="0" w:color="auto"/>
              <w:right w:val="single" w:sz="4" w:space="0" w:color="auto"/>
            </w:tcBorders>
            <w:shd w:val="clear" w:color="auto" w:fill="auto"/>
            <w:noWrap/>
            <w:vAlign w:val="bottom"/>
            <w:hideMark/>
          </w:tcPr>
          <w:p w14:paraId="3538DAA3"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High</w:t>
            </w:r>
          </w:p>
        </w:tc>
      </w:tr>
      <w:tr w:rsidR="00E76D2D" w:rsidRPr="00F54DF8" w14:paraId="4569778A" w14:textId="77777777" w:rsidTr="00E76D2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95F9841"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Mains</w:t>
            </w:r>
          </w:p>
        </w:tc>
        <w:tc>
          <w:tcPr>
            <w:tcW w:w="1320" w:type="dxa"/>
            <w:tcBorders>
              <w:top w:val="nil"/>
              <w:left w:val="nil"/>
              <w:bottom w:val="single" w:sz="4" w:space="0" w:color="auto"/>
              <w:right w:val="single" w:sz="4" w:space="0" w:color="auto"/>
            </w:tcBorders>
            <w:shd w:val="clear" w:color="auto" w:fill="auto"/>
            <w:noWrap/>
            <w:vAlign w:val="bottom"/>
            <w:hideMark/>
          </w:tcPr>
          <w:p w14:paraId="1360EC87"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Cast Iron</w:t>
            </w:r>
          </w:p>
        </w:tc>
        <w:tc>
          <w:tcPr>
            <w:tcW w:w="2440" w:type="dxa"/>
            <w:tcBorders>
              <w:top w:val="nil"/>
              <w:left w:val="nil"/>
              <w:bottom w:val="single" w:sz="4" w:space="0" w:color="auto"/>
              <w:right w:val="single" w:sz="4" w:space="0" w:color="auto"/>
            </w:tcBorders>
            <w:shd w:val="clear" w:color="auto" w:fill="auto"/>
            <w:noWrap/>
            <w:vAlign w:val="bottom"/>
            <w:hideMark/>
          </w:tcPr>
          <w:p w14:paraId="085EB4A3"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12" and larger</w:t>
            </w:r>
          </w:p>
        </w:tc>
        <w:tc>
          <w:tcPr>
            <w:tcW w:w="1360" w:type="dxa"/>
            <w:tcBorders>
              <w:top w:val="nil"/>
              <w:left w:val="nil"/>
              <w:bottom w:val="single" w:sz="4" w:space="0" w:color="auto"/>
              <w:right w:val="single" w:sz="4" w:space="0" w:color="auto"/>
            </w:tcBorders>
            <w:shd w:val="clear" w:color="auto" w:fill="auto"/>
            <w:noWrap/>
            <w:vAlign w:val="bottom"/>
            <w:hideMark/>
          </w:tcPr>
          <w:p w14:paraId="34449088" w14:textId="77777777" w:rsidR="00E76D2D" w:rsidRPr="00B1740C" w:rsidRDefault="00E76D2D" w:rsidP="00E76D2D">
            <w:pPr>
              <w:widowControl/>
              <w:autoSpaceDE/>
              <w:autoSpaceDN/>
              <w:adjustRightInd/>
              <w:rPr>
                <w:color w:val="000000"/>
                <w:sz w:val="22"/>
                <w:szCs w:val="22"/>
              </w:rPr>
            </w:pPr>
            <w:r w:rsidRPr="00B1740C">
              <w:rPr>
                <w:color w:val="000000"/>
                <w:sz w:val="22"/>
                <w:szCs w:val="22"/>
              </w:rPr>
              <w:t>Low</w:t>
            </w:r>
          </w:p>
        </w:tc>
      </w:tr>
    </w:tbl>
    <w:p w14:paraId="5E7DE234" w14:textId="77777777" w:rsidR="00C01398" w:rsidRDefault="00C01398" w:rsidP="00A11039">
      <w:pPr>
        <w:pStyle w:val="p2"/>
        <w:widowControl/>
        <w:spacing w:line="360" w:lineRule="auto"/>
        <w:ind w:firstLine="720"/>
        <w:rPr>
          <w:sz w:val="26"/>
          <w:szCs w:val="26"/>
        </w:rPr>
      </w:pPr>
    </w:p>
    <w:p w14:paraId="62ADD3D3" w14:textId="092B558E" w:rsidR="0077455C" w:rsidRPr="00F54DF8" w:rsidRDefault="0077455C" w:rsidP="00A11039">
      <w:pPr>
        <w:pStyle w:val="p2"/>
        <w:widowControl/>
        <w:spacing w:line="360" w:lineRule="auto"/>
        <w:ind w:firstLine="720"/>
        <w:rPr>
          <w:sz w:val="26"/>
          <w:szCs w:val="26"/>
        </w:rPr>
      </w:pPr>
      <w:r w:rsidRPr="00F54DF8">
        <w:rPr>
          <w:sz w:val="26"/>
          <w:szCs w:val="26"/>
        </w:rPr>
        <w:lastRenderedPageBreak/>
        <w:t xml:space="preserve">PGW </w:t>
      </w:r>
      <w:r w:rsidR="00920902" w:rsidRPr="00F54DF8">
        <w:rPr>
          <w:sz w:val="26"/>
          <w:szCs w:val="26"/>
        </w:rPr>
        <w:t xml:space="preserve">uses a Mains Replacement Prioritization (MRP) software package to determine </w:t>
      </w:r>
      <w:r w:rsidR="006451C5">
        <w:rPr>
          <w:sz w:val="26"/>
          <w:szCs w:val="26"/>
        </w:rPr>
        <w:t>the</w:t>
      </w:r>
      <w:r w:rsidR="006451C5" w:rsidRPr="00F54DF8">
        <w:rPr>
          <w:sz w:val="26"/>
          <w:szCs w:val="26"/>
        </w:rPr>
        <w:t xml:space="preserve"> </w:t>
      </w:r>
      <w:r w:rsidR="00920902" w:rsidRPr="00F54DF8">
        <w:rPr>
          <w:sz w:val="26"/>
          <w:szCs w:val="26"/>
        </w:rPr>
        <w:t xml:space="preserve">specific segments of the company’s system </w:t>
      </w:r>
      <w:r w:rsidR="006451C5">
        <w:rPr>
          <w:sz w:val="26"/>
          <w:szCs w:val="26"/>
        </w:rPr>
        <w:t xml:space="preserve">that </w:t>
      </w:r>
      <w:r w:rsidR="00920902" w:rsidRPr="00F54DF8">
        <w:rPr>
          <w:sz w:val="26"/>
          <w:szCs w:val="26"/>
        </w:rPr>
        <w:t xml:space="preserve">will be replaced </w:t>
      </w:r>
      <w:r w:rsidR="00B065E6" w:rsidRPr="00F54DF8">
        <w:rPr>
          <w:sz w:val="26"/>
          <w:szCs w:val="26"/>
        </w:rPr>
        <w:t>in each</w:t>
      </w:r>
      <w:r w:rsidR="00920902" w:rsidRPr="00F54DF8">
        <w:rPr>
          <w:sz w:val="26"/>
          <w:szCs w:val="26"/>
        </w:rPr>
        <w:t xml:space="preserve"> year.  The relative risk rankings from PGW’s DIMP are used to inform this software package and produce the appropriate mix of assets for replacement or removal from service.</w:t>
      </w:r>
      <w:r w:rsidRPr="00F54DF8">
        <w:rPr>
          <w:sz w:val="26"/>
          <w:szCs w:val="26"/>
        </w:rPr>
        <w:t xml:space="preserve"> </w:t>
      </w:r>
      <w:r w:rsidR="00331EA4" w:rsidRPr="00F54DF8">
        <w:rPr>
          <w:sz w:val="26"/>
          <w:szCs w:val="26"/>
        </w:rPr>
        <w:t xml:space="preserve"> </w:t>
      </w:r>
      <w:r w:rsidRPr="00F54DF8">
        <w:rPr>
          <w:sz w:val="26"/>
          <w:szCs w:val="26"/>
        </w:rPr>
        <w:t xml:space="preserve">If PGW’s </w:t>
      </w:r>
      <w:r w:rsidR="006451C5">
        <w:rPr>
          <w:sz w:val="26"/>
          <w:szCs w:val="26"/>
        </w:rPr>
        <w:t xml:space="preserve">Second </w:t>
      </w:r>
      <w:r w:rsidRPr="00F54DF8">
        <w:rPr>
          <w:sz w:val="26"/>
          <w:szCs w:val="26"/>
        </w:rPr>
        <w:t xml:space="preserve">LTIIP is approved, PGW </w:t>
      </w:r>
      <w:r w:rsidR="00AC08A1" w:rsidRPr="00F54DF8">
        <w:rPr>
          <w:sz w:val="26"/>
          <w:szCs w:val="26"/>
        </w:rPr>
        <w:t>estimate</w:t>
      </w:r>
      <w:r w:rsidR="0058461D">
        <w:rPr>
          <w:sz w:val="26"/>
          <w:szCs w:val="26"/>
        </w:rPr>
        <w:t>s</w:t>
      </w:r>
      <w:r w:rsidR="00AC08A1" w:rsidRPr="00F54DF8">
        <w:rPr>
          <w:sz w:val="26"/>
          <w:szCs w:val="26"/>
        </w:rPr>
        <w:t xml:space="preserve"> it </w:t>
      </w:r>
      <w:r w:rsidRPr="00F54DF8">
        <w:rPr>
          <w:sz w:val="26"/>
          <w:szCs w:val="26"/>
        </w:rPr>
        <w:t xml:space="preserve">will remove cast iron main from </w:t>
      </w:r>
      <w:r w:rsidR="00AC08A1" w:rsidRPr="00F54DF8">
        <w:rPr>
          <w:sz w:val="26"/>
          <w:szCs w:val="26"/>
        </w:rPr>
        <w:t xml:space="preserve">its </w:t>
      </w:r>
      <w:r w:rsidRPr="00F54DF8">
        <w:rPr>
          <w:sz w:val="26"/>
          <w:szCs w:val="26"/>
        </w:rPr>
        <w:t xml:space="preserve">inventory at a rate of approximately </w:t>
      </w:r>
      <w:r w:rsidR="00AC08A1" w:rsidRPr="00F54DF8">
        <w:rPr>
          <w:sz w:val="26"/>
          <w:szCs w:val="26"/>
        </w:rPr>
        <w:t>31.7</w:t>
      </w:r>
      <w:r w:rsidRPr="00F54DF8">
        <w:rPr>
          <w:sz w:val="26"/>
          <w:szCs w:val="26"/>
        </w:rPr>
        <w:t xml:space="preserve"> miles per year</w:t>
      </w:r>
      <w:r w:rsidR="00AC08A1" w:rsidRPr="00F54DF8">
        <w:rPr>
          <w:sz w:val="26"/>
          <w:szCs w:val="26"/>
        </w:rPr>
        <w:t xml:space="preserve">, for a total of just over 158 miles over the span of the entire </w:t>
      </w:r>
      <w:r w:rsidR="006451C5">
        <w:rPr>
          <w:sz w:val="26"/>
          <w:szCs w:val="26"/>
        </w:rPr>
        <w:t xml:space="preserve">Second </w:t>
      </w:r>
      <w:r w:rsidR="00AC08A1" w:rsidRPr="00F54DF8">
        <w:rPr>
          <w:sz w:val="26"/>
          <w:szCs w:val="26"/>
        </w:rPr>
        <w:t>LTIIP</w:t>
      </w:r>
      <w:r w:rsidRPr="00F54DF8">
        <w:rPr>
          <w:sz w:val="26"/>
          <w:szCs w:val="26"/>
        </w:rPr>
        <w:t>.</w:t>
      </w:r>
    </w:p>
    <w:p w14:paraId="41A439DE" w14:textId="77777777" w:rsidR="0077455C" w:rsidRPr="00F54DF8" w:rsidRDefault="0077455C" w:rsidP="00773D87">
      <w:pPr>
        <w:pStyle w:val="p2"/>
        <w:widowControl/>
        <w:spacing w:line="360" w:lineRule="auto"/>
        <w:rPr>
          <w:sz w:val="26"/>
          <w:szCs w:val="26"/>
        </w:rPr>
      </w:pPr>
    </w:p>
    <w:p w14:paraId="544CC8EC" w14:textId="0E4ED9EF" w:rsidR="00AC08A1" w:rsidRPr="00F54DF8" w:rsidRDefault="0077455C" w:rsidP="00A11039">
      <w:pPr>
        <w:pStyle w:val="p2"/>
        <w:widowControl/>
        <w:spacing w:line="360" w:lineRule="auto"/>
        <w:ind w:firstLine="720"/>
        <w:rPr>
          <w:sz w:val="26"/>
          <w:szCs w:val="26"/>
        </w:rPr>
      </w:pPr>
      <w:r w:rsidRPr="00F54DF8">
        <w:rPr>
          <w:sz w:val="26"/>
          <w:szCs w:val="26"/>
        </w:rPr>
        <w:t>PGW</w:t>
      </w:r>
      <w:r w:rsidR="006451C5">
        <w:rPr>
          <w:sz w:val="26"/>
          <w:szCs w:val="26"/>
        </w:rPr>
        <w:t>,</w:t>
      </w:r>
      <w:r w:rsidRPr="00F54DF8">
        <w:rPr>
          <w:sz w:val="26"/>
          <w:szCs w:val="26"/>
        </w:rPr>
        <w:t xml:space="preserve"> </w:t>
      </w:r>
      <w:r w:rsidR="006451C5" w:rsidRPr="006451C5">
        <w:rPr>
          <w:sz w:val="26"/>
          <w:szCs w:val="26"/>
        </w:rPr>
        <w:t xml:space="preserve">in their petition, addressed the eight LTIIP elements required </w:t>
      </w:r>
      <w:r w:rsidR="00C01398">
        <w:rPr>
          <w:sz w:val="26"/>
          <w:szCs w:val="26"/>
        </w:rPr>
        <w:t xml:space="preserve">by </w:t>
      </w:r>
      <w:r w:rsidR="00C01398" w:rsidRPr="00C01398">
        <w:rPr>
          <w:sz w:val="26"/>
          <w:szCs w:val="26"/>
        </w:rPr>
        <w:t>52 Pa. Code § 121.3</w:t>
      </w:r>
      <w:r w:rsidR="00C01398">
        <w:rPr>
          <w:sz w:val="26"/>
          <w:szCs w:val="26"/>
        </w:rPr>
        <w:t xml:space="preserve">, </w:t>
      </w:r>
      <w:r w:rsidR="006451C5" w:rsidRPr="006451C5">
        <w:rPr>
          <w:sz w:val="26"/>
          <w:szCs w:val="26"/>
        </w:rPr>
        <w:t>as discussed below</w:t>
      </w:r>
      <w:r w:rsidR="006451C5">
        <w:rPr>
          <w:sz w:val="26"/>
          <w:szCs w:val="26"/>
        </w:rPr>
        <w:t>:</w:t>
      </w:r>
    </w:p>
    <w:p w14:paraId="20C4E652" w14:textId="77777777" w:rsidR="00AC08A1" w:rsidRPr="00F54DF8" w:rsidRDefault="00AC08A1" w:rsidP="00AC08A1">
      <w:pPr>
        <w:pStyle w:val="p2"/>
        <w:widowControl/>
        <w:spacing w:line="360" w:lineRule="auto"/>
        <w:ind w:firstLine="0"/>
        <w:rPr>
          <w:sz w:val="26"/>
          <w:szCs w:val="26"/>
        </w:rPr>
      </w:pPr>
    </w:p>
    <w:p w14:paraId="5BE5D873" w14:textId="77777777" w:rsidR="0077455C" w:rsidRPr="00F54DF8" w:rsidRDefault="00135912" w:rsidP="00135912">
      <w:pPr>
        <w:pStyle w:val="p2"/>
        <w:widowControl/>
        <w:spacing w:line="360" w:lineRule="auto"/>
        <w:ind w:left="720" w:firstLine="0"/>
        <w:rPr>
          <w:b/>
          <w:sz w:val="26"/>
          <w:szCs w:val="26"/>
        </w:rPr>
      </w:pPr>
      <w:r w:rsidRPr="00F54DF8">
        <w:rPr>
          <w:b/>
          <w:sz w:val="26"/>
          <w:szCs w:val="26"/>
        </w:rPr>
        <w:t xml:space="preserve">(1) </w:t>
      </w:r>
      <w:r w:rsidR="0077455C" w:rsidRPr="00F54DF8">
        <w:rPr>
          <w:b/>
          <w:sz w:val="26"/>
          <w:szCs w:val="26"/>
        </w:rPr>
        <w:t>TYPES AND AGE OF ELIGIBLE PROPERTY</w:t>
      </w:r>
    </w:p>
    <w:p w14:paraId="1BADA3B9" w14:textId="77777777" w:rsidR="0077455C" w:rsidRPr="00F54DF8" w:rsidRDefault="0077455C" w:rsidP="00773D87">
      <w:pPr>
        <w:pStyle w:val="p2"/>
        <w:widowControl/>
        <w:tabs>
          <w:tab w:val="left" w:pos="720"/>
        </w:tabs>
        <w:spacing w:line="360" w:lineRule="auto"/>
        <w:ind w:firstLine="0"/>
        <w:rPr>
          <w:b/>
          <w:sz w:val="26"/>
          <w:szCs w:val="26"/>
        </w:rPr>
      </w:pPr>
    </w:p>
    <w:p w14:paraId="6F6EB1EB" w14:textId="77777777" w:rsidR="0077455C" w:rsidRPr="00F54DF8" w:rsidRDefault="0077455C" w:rsidP="00773D87">
      <w:pPr>
        <w:pStyle w:val="p2"/>
        <w:widowControl/>
        <w:tabs>
          <w:tab w:val="left" w:pos="720"/>
        </w:tabs>
        <w:spacing w:line="360" w:lineRule="auto"/>
        <w:ind w:firstLine="0"/>
        <w:rPr>
          <w:b/>
          <w:sz w:val="26"/>
          <w:szCs w:val="26"/>
        </w:rPr>
      </w:pPr>
      <w:r w:rsidRPr="00F54DF8">
        <w:rPr>
          <w:b/>
          <w:sz w:val="26"/>
          <w:szCs w:val="26"/>
        </w:rPr>
        <w:t>PGW</w:t>
      </w:r>
      <w:r w:rsidR="00B3173B" w:rsidRPr="00F54DF8">
        <w:rPr>
          <w:b/>
          <w:sz w:val="26"/>
          <w:szCs w:val="26"/>
        </w:rPr>
        <w:t>’s</w:t>
      </w:r>
      <w:r w:rsidRPr="00F54DF8">
        <w:rPr>
          <w:b/>
          <w:sz w:val="26"/>
          <w:szCs w:val="26"/>
        </w:rPr>
        <w:t xml:space="preserve"> </w:t>
      </w:r>
      <w:r w:rsidR="004D33F9" w:rsidRPr="00F54DF8">
        <w:rPr>
          <w:b/>
          <w:sz w:val="26"/>
          <w:szCs w:val="26"/>
        </w:rPr>
        <w:t>Position</w:t>
      </w:r>
    </w:p>
    <w:p w14:paraId="04AC69AE" w14:textId="77777777" w:rsidR="0077455C" w:rsidRPr="00F54DF8" w:rsidRDefault="0077455C" w:rsidP="00773D87">
      <w:pPr>
        <w:pStyle w:val="p2"/>
        <w:widowControl/>
        <w:spacing w:line="360" w:lineRule="auto"/>
        <w:ind w:firstLine="0"/>
        <w:rPr>
          <w:sz w:val="26"/>
          <w:szCs w:val="26"/>
        </w:rPr>
      </w:pPr>
    </w:p>
    <w:p w14:paraId="655EDB80" w14:textId="38391EFD" w:rsidR="0077455C" w:rsidRDefault="0077455C" w:rsidP="00A11039">
      <w:pPr>
        <w:pStyle w:val="p2"/>
        <w:widowControl/>
        <w:tabs>
          <w:tab w:val="clear" w:pos="1445"/>
          <w:tab w:val="left" w:pos="720"/>
        </w:tabs>
        <w:spacing w:line="360" w:lineRule="auto"/>
        <w:ind w:firstLine="720"/>
        <w:rPr>
          <w:sz w:val="26"/>
          <w:szCs w:val="26"/>
        </w:rPr>
      </w:pPr>
      <w:r w:rsidRPr="00F54DF8">
        <w:rPr>
          <w:sz w:val="26"/>
          <w:szCs w:val="26"/>
        </w:rPr>
        <w:t xml:space="preserve">PGW’s distribution system contains approximately 3,000 miles of </w:t>
      </w:r>
      <w:r w:rsidR="0058461D">
        <w:rPr>
          <w:sz w:val="26"/>
          <w:szCs w:val="26"/>
        </w:rPr>
        <w:t xml:space="preserve">gas </w:t>
      </w:r>
      <w:r w:rsidRPr="00F54DF8">
        <w:rPr>
          <w:sz w:val="26"/>
          <w:szCs w:val="26"/>
        </w:rPr>
        <w:t xml:space="preserve">mains </w:t>
      </w:r>
      <w:r w:rsidR="00B6215A" w:rsidRPr="00F54DF8">
        <w:rPr>
          <w:sz w:val="26"/>
          <w:szCs w:val="26"/>
        </w:rPr>
        <w:t xml:space="preserve">as well as </w:t>
      </w:r>
      <w:r w:rsidR="00C34D64" w:rsidRPr="00F54DF8">
        <w:rPr>
          <w:sz w:val="26"/>
          <w:szCs w:val="26"/>
        </w:rPr>
        <w:t>approximately</w:t>
      </w:r>
      <w:r w:rsidRPr="00F54DF8">
        <w:rPr>
          <w:sz w:val="26"/>
          <w:szCs w:val="26"/>
        </w:rPr>
        <w:t xml:space="preserve"> </w:t>
      </w:r>
      <w:r w:rsidR="00B87C4C" w:rsidRPr="00F54DF8">
        <w:rPr>
          <w:sz w:val="26"/>
          <w:szCs w:val="26"/>
        </w:rPr>
        <w:t>4</w:t>
      </w:r>
      <w:r w:rsidR="004D33F9" w:rsidRPr="00F54DF8">
        <w:rPr>
          <w:sz w:val="26"/>
          <w:szCs w:val="26"/>
        </w:rPr>
        <w:t>78</w:t>
      </w:r>
      <w:r w:rsidRPr="00F54DF8">
        <w:rPr>
          <w:sz w:val="26"/>
          <w:szCs w:val="26"/>
        </w:rPr>
        <w:t xml:space="preserve">,000 </w:t>
      </w:r>
      <w:r w:rsidR="00786E4A" w:rsidRPr="00F54DF8">
        <w:rPr>
          <w:sz w:val="26"/>
          <w:szCs w:val="26"/>
        </w:rPr>
        <w:t>service lines.</w:t>
      </w:r>
      <w:r w:rsidRPr="00F54DF8">
        <w:rPr>
          <w:sz w:val="26"/>
          <w:szCs w:val="26"/>
        </w:rPr>
        <w:t xml:space="preserve">  The total </w:t>
      </w:r>
      <w:r w:rsidR="00E41984" w:rsidRPr="00F54DF8">
        <w:rPr>
          <w:sz w:val="26"/>
          <w:szCs w:val="26"/>
        </w:rPr>
        <w:t xml:space="preserve">inventory </w:t>
      </w:r>
      <w:r w:rsidRPr="00F54DF8">
        <w:rPr>
          <w:sz w:val="26"/>
          <w:szCs w:val="26"/>
        </w:rPr>
        <w:t xml:space="preserve">mileage by age range for the cast iron main categories that PGW plans to </w:t>
      </w:r>
      <w:r w:rsidR="006451C5">
        <w:rPr>
          <w:sz w:val="26"/>
          <w:szCs w:val="26"/>
        </w:rPr>
        <w:t>target</w:t>
      </w:r>
      <w:r w:rsidRPr="00F54DF8">
        <w:rPr>
          <w:sz w:val="26"/>
          <w:szCs w:val="26"/>
        </w:rPr>
        <w:t xml:space="preserve"> durin</w:t>
      </w:r>
      <w:r w:rsidR="00E816C8" w:rsidRPr="00F54DF8">
        <w:rPr>
          <w:sz w:val="26"/>
          <w:szCs w:val="26"/>
        </w:rPr>
        <w:t xml:space="preserve">g the </w:t>
      </w:r>
      <w:r w:rsidR="006451C5">
        <w:rPr>
          <w:sz w:val="26"/>
          <w:szCs w:val="26"/>
        </w:rPr>
        <w:t xml:space="preserve">Second </w:t>
      </w:r>
      <w:r w:rsidR="00E816C8" w:rsidRPr="00F54DF8">
        <w:rPr>
          <w:sz w:val="26"/>
          <w:szCs w:val="26"/>
        </w:rPr>
        <w:t>LTIIP is summarized</w:t>
      </w:r>
      <w:r w:rsidR="00BA5940">
        <w:rPr>
          <w:sz w:val="26"/>
          <w:szCs w:val="26"/>
        </w:rPr>
        <w:t xml:space="preserve"> in Table 2</w:t>
      </w:r>
      <w:r w:rsidR="00E816C8" w:rsidRPr="00F54DF8">
        <w:rPr>
          <w:sz w:val="26"/>
          <w:szCs w:val="26"/>
        </w:rPr>
        <w:t xml:space="preserve">, below.  </w:t>
      </w:r>
      <w:r w:rsidR="006451C5">
        <w:rPr>
          <w:sz w:val="26"/>
          <w:szCs w:val="26"/>
        </w:rPr>
        <w:t>As seen in Table 2, PGW</w:t>
      </w:r>
      <w:r w:rsidR="00156FF6">
        <w:rPr>
          <w:sz w:val="26"/>
          <w:szCs w:val="26"/>
        </w:rPr>
        <w:t xml:space="preserve">’s targeted cast iron main inventory totals </w:t>
      </w:r>
      <w:r w:rsidR="00E816C8" w:rsidRPr="00F54DF8">
        <w:rPr>
          <w:sz w:val="26"/>
          <w:szCs w:val="26"/>
        </w:rPr>
        <w:t>approximately 1</w:t>
      </w:r>
      <w:r w:rsidR="007D609D">
        <w:rPr>
          <w:sz w:val="26"/>
          <w:szCs w:val="26"/>
        </w:rPr>
        <w:t>,</w:t>
      </w:r>
      <w:r w:rsidR="00E816C8" w:rsidRPr="00F54DF8">
        <w:rPr>
          <w:sz w:val="26"/>
          <w:szCs w:val="26"/>
        </w:rPr>
        <w:t>400 miles</w:t>
      </w:r>
      <w:r w:rsidR="00156FF6">
        <w:rPr>
          <w:sz w:val="26"/>
          <w:szCs w:val="26"/>
        </w:rPr>
        <w:t xml:space="preserve">.  PGW’s Second LTIIP is expected to replace over 158 miles of the target cast iron main.  </w:t>
      </w:r>
      <w:r w:rsidR="007D609D">
        <w:rPr>
          <w:sz w:val="26"/>
          <w:szCs w:val="26"/>
        </w:rPr>
        <w:t>PGW replaces bare steel service lines along with the coincident section of main as the main is being replaced.</w:t>
      </w:r>
    </w:p>
    <w:p w14:paraId="0266AD46" w14:textId="41B9ADB0" w:rsidR="005F44AF" w:rsidRDefault="005F44AF">
      <w:pPr>
        <w:widowControl/>
        <w:autoSpaceDE/>
        <w:autoSpaceDN/>
        <w:adjustRightInd/>
        <w:rPr>
          <w:sz w:val="26"/>
          <w:szCs w:val="26"/>
        </w:rPr>
      </w:pPr>
      <w:r>
        <w:rPr>
          <w:sz w:val="26"/>
          <w:szCs w:val="26"/>
        </w:rPr>
        <w:br w:type="page"/>
      </w:r>
    </w:p>
    <w:p w14:paraId="32D5AA3E" w14:textId="77777777" w:rsidR="0077455C" w:rsidRPr="00F54DF8" w:rsidRDefault="0077455C" w:rsidP="00E816C8">
      <w:pPr>
        <w:pStyle w:val="p2"/>
        <w:widowControl/>
        <w:spacing w:line="360" w:lineRule="auto"/>
        <w:ind w:firstLine="0"/>
        <w:rPr>
          <w:b/>
          <w:sz w:val="26"/>
          <w:szCs w:val="26"/>
        </w:rPr>
      </w:pPr>
      <w:r w:rsidRPr="00F54DF8">
        <w:rPr>
          <w:b/>
          <w:sz w:val="26"/>
          <w:szCs w:val="26"/>
        </w:rPr>
        <w:lastRenderedPageBreak/>
        <w:t xml:space="preserve">Table </w:t>
      </w:r>
      <w:r w:rsidR="00BA5940">
        <w:rPr>
          <w:b/>
          <w:sz w:val="26"/>
          <w:szCs w:val="26"/>
        </w:rPr>
        <w:t>2</w:t>
      </w:r>
      <w:r w:rsidRPr="00F54DF8">
        <w:rPr>
          <w:b/>
          <w:sz w:val="26"/>
          <w:szCs w:val="26"/>
        </w:rPr>
        <w:t xml:space="preserve"> – Mileage </w:t>
      </w:r>
      <w:r w:rsidR="00E816C8" w:rsidRPr="00F54DF8">
        <w:rPr>
          <w:b/>
          <w:sz w:val="26"/>
          <w:szCs w:val="26"/>
        </w:rPr>
        <w:t xml:space="preserve">of PGW’s Cast Iron Inventory </w:t>
      </w:r>
      <w:r w:rsidRPr="00F54DF8">
        <w:rPr>
          <w:b/>
          <w:sz w:val="26"/>
          <w:szCs w:val="26"/>
        </w:rPr>
        <w:t>by Age Range</w:t>
      </w:r>
    </w:p>
    <w:tbl>
      <w:tblPr>
        <w:tblW w:w="8720" w:type="dxa"/>
        <w:tblInd w:w="108" w:type="dxa"/>
        <w:tblLook w:val="04A0" w:firstRow="1" w:lastRow="0" w:firstColumn="1" w:lastColumn="0" w:noHBand="0" w:noVBand="1"/>
      </w:tblPr>
      <w:tblGrid>
        <w:gridCol w:w="2180"/>
        <w:gridCol w:w="2180"/>
        <w:gridCol w:w="2180"/>
        <w:gridCol w:w="2180"/>
      </w:tblGrid>
      <w:tr w:rsidR="00E41984" w:rsidRPr="00F54DF8" w14:paraId="6A49E00F" w14:textId="77777777" w:rsidTr="00E41984">
        <w:trPr>
          <w:trHeight w:val="1260"/>
        </w:trPr>
        <w:tc>
          <w:tcPr>
            <w:tcW w:w="2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F0E8AF" w14:textId="77777777" w:rsidR="00E41984" w:rsidRPr="00B1740C" w:rsidRDefault="00E41984" w:rsidP="00E41984">
            <w:pPr>
              <w:widowControl/>
              <w:autoSpaceDE/>
              <w:autoSpaceDN/>
              <w:adjustRightInd/>
              <w:rPr>
                <w:b/>
                <w:bCs/>
                <w:color w:val="000000"/>
                <w:sz w:val="20"/>
                <w:szCs w:val="20"/>
              </w:rPr>
            </w:pPr>
            <w:r w:rsidRPr="00B1740C">
              <w:rPr>
                <w:b/>
                <w:bCs/>
                <w:color w:val="000000"/>
                <w:sz w:val="20"/>
                <w:szCs w:val="20"/>
              </w:rPr>
              <w:t>Year Range</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3A1B6B73" w14:textId="0AEC549F" w:rsidR="00E41984" w:rsidRPr="00B1740C" w:rsidRDefault="00E41984" w:rsidP="00E41984">
            <w:pPr>
              <w:widowControl/>
              <w:autoSpaceDE/>
              <w:autoSpaceDN/>
              <w:adjustRightInd/>
              <w:rPr>
                <w:b/>
                <w:bCs/>
                <w:color w:val="000000"/>
                <w:sz w:val="20"/>
                <w:szCs w:val="20"/>
              </w:rPr>
            </w:pPr>
            <w:r w:rsidRPr="00B1740C">
              <w:rPr>
                <w:b/>
                <w:bCs/>
                <w:color w:val="000000"/>
                <w:sz w:val="20"/>
                <w:szCs w:val="20"/>
              </w:rPr>
              <w:t xml:space="preserve">12” and Larger Cast Iron </w:t>
            </w:r>
            <w:r w:rsidR="006451C5">
              <w:rPr>
                <w:b/>
                <w:bCs/>
                <w:color w:val="000000"/>
                <w:sz w:val="20"/>
                <w:szCs w:val="20"/>
              </w:rPr>
              <w:t>High Pressure</w:t>
            </w:r>
            <w:r w:rsidRPr="00B1740C">
              <w:rPr>
                <w:b/>
                <w:bCs/>
                <w:color w:val="000000"/>
                <w:sz w:val="20"/>
                <w:szCs w:val="20"/>
              </w:rPr>
              <w:t xml:space="preserve"> (10</w:t>
            </w:r>
            <w:r w:rsidRPr="00B1740C">
              <w:rPr>
                <w:b/>
                <w:bCs/>
                <w:color w:val="000000"/>
                <w:sz w:val="20"/>
                <w:szCs w:val="20"/>
              </w:rPr>
              <w:noBreakHyphen/>
              <w:t>35 psig)</w:t>
            </w:r>
            <w:r w:rsidR="00B1740C">
              <w:rPr>
                <w:rStyle w:val="FootnoteReference"/>
                <w:b/>
                <w:bCs/>
                <w:color w:val="000000"/>
                <w:sz w:val="20"/>
                <w:szCs w:val="20"/>
              </w:rPr>
              <w:footnoteReference w:id="14"/>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48F5E781" w14:textId="0BC00237" w:rsidR="00E41984" w:rsidRPr="00B1740C" w:rsidRDefault="00E41984" w:rsidP="00E41984">
            <w:pPr>
              <w:widowControl/>
              <w:autoSpaceDE/>
              <w:autoSpaceDN/>
              <w:adjustRightInd/>
              <w:rPr>
                <w:b/>
                <w:bCs/>
                <w:color w:val="000000"/>
                <w:sz w:val="20"/>
                <w:szCs w:val="20"/>
              </w:rPr>
            </w:pPr>
            <w:r w:rsidRPr="00B1740C">
              <w:rPr>
                <w:b/>
                <w:bCs/>
                <w:color w:val="000000"/>
                <w:sz w:val="20"/>
                <w:szCs w:val="20"/>
              </w:rPr>
              <w:t xml:space="preserve">12” and Larger Cast Iron </w:t>
            </w:r>
            <w:r w:rsidR="00222C04">
              <w:rPr>
                <w:b/>
                <w:bCs/>
                <w:color w:val="000000"/>
                <w:sz w:val="20"/>
                <w:szCs w:val="20"/>
              </w:rPr>
              <w:t>Low Pressure</w:t>
            </w:r>
            <w:r w:rsidRPr="00B1740C">
              <w:rPr>
                <w:b/>
                <w:bCs/>
                <w:color w:val="000000"/>
                <w:sz w:val="20"/>
                <w:szCs w:val="20"/>
              </w:rPr>
              <w:t xml:space="preserve"> (4.5" WC</w:t>
            </w:r>
            <w:r w:rsidR="00B1740C">
              <w:rPr>
                <w:rStyle w:val="FootnoteReference"/>
                <w:b/>
                <w:bCs/>
                <w:color w:val="000000"/>
                <w:sz w:val="20"/>
                <w:szCs w:val="20"/>
              </w:rPr>
              <w:footnoteReference w:id="15"/>
            </w:r>
            <w:r w:rsidRPr="00B1740C">
              <w:rPr>
                <w:b/>
                <w:bCs/>
                <w:color w:val="000000"/>
                <w:sz w:val="20"/>
                <w:szCs w:val="20"/>
              </w:rPr>
              <w:t xml:space="preserve"> - 14" WC)</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1CBF19B4" w14:textId="10B00DDE" w:rsidR="00E41984" w:rsidRPr="001E5C20" w:rsidRDefault="00E41984" w:rsidP="00E41984">
            <w:pPr>
              <w:widowControl/>
              <w:autoSpaceDE/>
              <w:autoSpaceDN/>
              <w:adjustRightInd/>
              <w:rPr>
                <w:b/>
                <w:bCs/>
                <w:color w:val="000000"/>
                <w:sz w:val="20"/>
                <w:szCs w:val="20"/>
              </w:rPr>
            </w:pPr>
            <w:r w:rsidRPr="00B1740C">
              <w:rPr>
                <w:b/>
                <w:bCs/>
                <w:color w:val="000000"/>
                <w:sz w:val="20"/>
                <w:szCs w:val="20"/>
              </w:rPr>
              <w:t>8” and Smaller Cast Iron (4.5</w:t>
            </w:r>
            <w:r w:rsidR="00222C04">
              <w:rPr>
                <w:b/>
                <w:bCs/>
                <w:color w:val="000000"/>
                <w:sz w:val="20"/>
                <w:szCs w:val="20"/>
              </w:rPr>
              <w:t>”</w:t>
            </w:r>
            <w:r w:rsidRPr="001E5C20">
              <w:rPr>
                <w:b/>
                <w:bCs/>
                <w:color w:val="000000"/>
                <w:sz w:val="20"/>
                <w:szCs w:val="20"/>
              </w:rPr>
              <w:t xml:space="preserve"> WC - 5 psig)</w:t>
            </w:r>
          </w:p>
        </w:tc>
      </w:tr>
      <w:tr w:rsidR="00E41984" w:rsidRPr="00F54DF8" w14:paraId="09E2CAFA"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2F259F34" w14:textId="77777777" w:rsidR="00E41984" w:rsidRPr="001E5C20" w:rsidRDefault="00E41984" w:rsidP="00E41984">
            <w:pPr>
              <w:widowControl/>
              <w:autoSpaceDE/>
              <w:autoSpaceDN/>
              <w:adjustRightInd/>
              <w:rPr>
                <w:color w:val="000000"/>
                <w:sz w:val="20"/>
                <w:szCs w:val="20"/>
              </w:rPr>
            </w:pPr>
            <w:r w:rsidRPr="001E5C20">
              <w:rPr>
                <w:color w:val="000000"/>
                <w:sz w:val="20"/>
                <w:szCs w:val="20"/>
              </w:rPr>
              <w:t>1971-2010</w:t>
            </w:r>
          </w:p>
        </w:tc>
        <w:tc>
          <w:tcPr>
            <w:tcW w:w="2180" w:type="dxa"/>
            <w:tcBorders>
              <w:top w:val="nil"/>
              <w:left w:val="nil"/>
              <w:bottom w:val="single" w:sz="4" w:space="0" w:color="auto"/>
              <w:right w:val="single" w:sz="4" w:space="0" w:color="auto"/>
            </w:tcBorders>
            <w:shd w:val="clear" w:color="auto" w:fill="auto"/>
            <w:vAlign w:val="center"/>
            <w:hideMark/>
          </w:tcPr>
          <w:p w14:paraId="51595C1D"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0</w:t>
            </w:r>
            <w:r w:rsidR="007D609D" w:rsidRPr="001E5C20">
              <w:rPr>
                <w:color w:val="000000"/>
                <w:sz w:val="20"/>
                <w:szCs w:val="20"/>
              </w:rPr>
              <w:t>.00</w:t>
            </w:r>
          </w:p>
        </w:tc>
        <w:tc>
          <w:tcPr>
            <w:tcW w:w="2180" w:type="dxa"/>
            <w:tcBorders>
              <w:top w:val="nil"/>
              <w:left w:val="nil"/>
              <w:bottom w:val="single" w:sz="4" w:space="0" w:color="auto"/>
              <w:right w:val="single" w:sz="4" w:space="0" w:color="auto"/>
            </w:tcBorders>
            <w:shd w:val="clear" w:color="auto" w:fill="auto"/>
            <w:vAlign w:val="center"/>
            <w:hideMark/>
          </w:tcPr>
          <w:p w14:paraId="6C2FB6A6"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0</w:t>
            </w:r>
            <w:r w:rsidR="007D609D" w:rsidRPr="001E5C20">
              <w:rPr>
                <w:color w:val="000000"/>
                <w:sz w:val="20"/>
                <w:szCs w:val="20"/>
              </w:rPr>
              <w:t>.00</w:t>
            </w:r>
          </w:p>
        </w:tc>
        <w:tc>
          <w:tcPr>
            <w:tcW w:w="2180" w:type="dxa"/>
            <w:tcBorders>
              <w:top w:val="nil"/>
              <w:left w:val="nil"/>
              <w:bottom w:val="single" w:sz="4" w:space="0" w:color="auto"/>
              <w:right w:val="single" w:sz="4" w:space="0" w:color="auto"/>
            </w:tcBorders>
            <w:shd w:val="clear" w:color="auto" w:fill="auto"/>
            <w:vAlign w:val="center"/>
            <w:hideMark/>
          </w:tcPr>
          <w:p w14:paraId="7D7EF0A4"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0</w:t>
            </w:r>
            <w:r w:rsidR="007D609D" w:rsidRPr="001E5C20">
              <w:rPr>
                <w:color w:val="000000"/>
                <w:sz w:val="20"/>
                <w:szCs w:val="20"/>
              </w:rPr>
              <w:t>.00</w:t>
            </w:r>
          </w:p>
        </w:tc>
      </w:tr>
      <w:tr w:rsidR="00E41984" w:rsidRPr="00F54DF8" w14:paraId="12FC038D"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C9194FC" w14:textId="77777777" w:rsidR="00E41984" w:rsidRPr="001E5C20" w:rsidRDefault="00E41984" w:rsidP="00E41984">
            <w:pPr>
              <w:widowControl/>
              <w:autoSpaceDE/>
              <w:autoSpaceDN/>
              <w:adjustRightInd/>
              <w:rPr>
                <w:color w:val="000000"/>
                <w:sz w:val="20"/>
                <w:szCs w:val="20"/>
              </w:rPr>
            </w:pPr>
            <w:r w:rsidRPr="001E5C20">
              <w:rPr>
                <w:color w:val="000000"/>
                <w:sz w:val="20"/>
                <w:szCs w:val="20"/>
              </w:rPr>
              <w:t>1961-1970</w:t>
            </w:r>
          </w:p>
        </w:tc>
        <w:tc>
          <w:tcPr>
            <w:tcW w:w="2180" w:type="dxa"/>
            <w:tcBorders>
              <w:top w:val="nil"/>
              <w:left w:val="nil"/>
              <w:bottom w:val="single" w:sz="4" w:space="0" w:color="auto"/>
              <w:right w:val="single" w:sz="4" w:space="0" w:color="auto"/>
            </w:tcBorders>
            <w:shd w:val="clear" w:color="auto" w:fill="auto"/>
            <w:vAlign w:val="center"/>
            <w:hideMark/>
          </w:tcPr>
          <w:p w14:paraId="580D8247"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0.5</w:t>
            </w:r>
            <w:r w:rsidR="007D609D" w:rsidRPr="001E5C20">
              <w:rPr>
                <w:color w:val="000000"/>
                <w:sz w:val="20"/>
                <w:szCs w:val="20"/>
              </w:rPr>
              <w:t>0</w:t>
            </w:r>
          </w:p>
        </w:tc>
        <w:tc>
          <w:tcPr>
            <w:tcW w:w="2180" w:type="dxa"/>
            <w:tcBorders>
              <w:top w:val="nil"/>
              <w:left w:val="nil"/>
              <w:bottom w:val="single" w:sz="4" w:space="0" w:color="auto"/>
              <w:right w:val="single" w:sz="4" w:space="0" w:color="auto"/>
            </w:tcBorders>
            <w:shd w:val="clear" w:color="auto" w:fill="auto"/>
            <w:vAlign w:val="center"/>
            <w:hideMark/>
          </w:tcPr>
          <w:p w14:paraId="194BCBDE"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w:t>
            </w:r>
            <w:r w:rsidR="007D609D" w:rsidRPr="001E5C20">
              <w:rPr>
                <w:color w:val="000000"/>
                <w:sz w:val="20"/>
                <w:szCs w:val="20"/>
              </w:rPr>
              <w:t>.00</w:t>
            </w:r>
          </w:p>
        </w:tc>
        <w:tc>
          <w:tcPr>
            <w:tcW w:w="2180" w:type="dxa"/>
            <w:tcBorders>
              <w:top w:val="nil"/>
              <w:left w:val="nil"/>
              <w:bottom w:val="single" w:sz="4" w:space="0" w:color="auto"/>
              <w:right w:val="single" w:sz="4" w:space="0" w:color="auto"/>
            </w:tcBorders>
            <w:shd w:val="clear" w:color="auto" w:fill="auto"/>
            <w:vAlign w:val="center"/>
            <w:hideMark/>
          </w:tcPr>
          <w:p w14:paraId="0BD8B09C"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10.68</w:t>
            </w:r>
          </w:p>
        </w:tc>
      </w:tr>
      <w:tr w:rsidR="00E41984" w:rsidRPr="00F54DF8" w14:paraId="38599CEF"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920F882" w14:textId="77777777" w:rsidR="00E41984" w:rsidRPr="001E5C20" w:rsidRDefault="00E41984" w:rsidP="00E41984">
            <w:pPr>
              <w:widowControl/>
              <w:autoSpaceDE/>
              <w:autoSpaceDN/>
              <w:adjustRightInd/>
              <w:rPr>
                <w:color w:val="000000"/>
                <w:sz w:val="20"/>
                <w:szCs w:val="20"/>
              </w:rPr>
            </w:pPr>
            <w:r w:rsidRPr="001E5C20">
              <w:rPr>
                <w:color w:val="000000"/>
                <w:sz w:val="20"/>
                <w:szCs w:val="20"/>
              </w:rPr>
              <w:t>1951-1960</w:t>
            </w:r>
          </w:p>
        </w:tc>
        <w:tc>
          <w:tcPr>
            <w:tcW w:w="2180" w:type="dxa"/>
            <w:tcBorders>
              <w:top w:val="nil"/>
              <w:left w:val="nil"/>
              <w:bottom w:val="single" w:sz="4" w:space="0" w:color="auto"/>
              <w:right w:val="single" w:sz="4" w:space="0" w:color="auto"/>
            </w:tcBorders>
            <w:shd w:val="clear" w:color="auto" w:fill="auto"/>
            <w:vAlign w:val="center"/>
            <w:hideMark/>
          </w:tcPr>
          <w:p w14:paraId="30EA8D96"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9.09</w:t>
            </w:r>
          </w:p>
        </w:tc>
        <w:tc>
          <w:tcPr>
            <w:tcW w:w="2180" w:type="dxa"/>
            <w:tcBorders>
              <w:top w:val="nil"/>
              <w:left w:val="nil"/>
              <w:bottom w:val="single" w:sz="4" w:space="0" w:color="auto"/>
              <w:right w:val="single" w:sz="4" w:space="0" w:color="auto"/>
            </w:tcBorders>
            <w:shd w:val="clear" w:color="auto" w:fill="auto"/>
            <w:vAlign w:val="center"/>
            <w:hideMark/>
          </w:tcPr>
          <w:p w14:paraId="31467EB9"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21.49</w:t>
            </w:r>
          </w:p>
        </w:tc>
        <w:tc>
          <w:tcPr>
            <w:tcW w:w="2180" w:type="dxa"/>
            <w:tcBorders>
              <w:top w:val="nil"/>
              <w:left w:val="nil"/>
              <w:bottom w:val="single" w:sz="4" w:space="0" w:color="auto"/>
              <w:right w:val="single" w:sz="4" w:space="0" w:color="auto"/>
            </w:tcBorders>
            <w:shd w:val="clear" w:color="auto" w:fill="auto"/>
            <w:vAlign w:val="center"/>
            <w:hideMark/>
          </w:tcPr>
          <w:p w14:paraId="787840C4"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133.93</w:t>
            </w:r>
          </w:p>
        </w:tc>
      </w:tr>
      <w:tr w:rsidR="00E41984" w:rsidRPr="00F54DF8" w14:paraId="522AD6FB"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0E64EDE" w14:textId="77777777" w:rsidR="00E41984" w:rsidRPr="001E5C20" w:rsidRDefault="00E41984" w:rsidP="00E41984">
            <w:pPr>
              <w:widowControl/>
              <w:autoSpaceDE/>
              <w:autoSpaceDN/>
              <w:adjustRightInd/>
              <w:rPr>
                <w:color w:val="000000"/>
                <w:sz w:val="20"/>
                <w:szCs w:val="20"/>
              </w:rPr>
            </w:pPr>
            <w:r w:rsidRPr="001E5C20">
              <w:rPr>
                <w:color w:val="000000"/>
                <w:sz w:val="20"/>
                <w:szCs w:val="20"/>
              </w:rPr>
              <w:t>1941-1950</w:t>
            </w:r>
          </w:p>
        </w:tc>
        <w:tc>
          <w:tcPr>
            <w:tcW w:w="2180" w:type="dxa"/>
            <w:tcBorders>
              <w:top w:val="nil"/>
              <w:left w:val="nil"/>
              <w:bottom w:val="single" w:sz="4" w:space="0" w:color="auto"/>
              <w:right w:val="single" w:sz="4" w:space="0" w:color="auto"/>
            </w:tcBorders>
            <w:shd w:val="clear" w:color="auto" w:fill="auto"/>
            <w:vAlign w:val="center"/>
            <w:hideMark/>
          </w:tcPr>
          <w:p w14:paraId="7E6C96E0"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14.65</w:t>
            </w:r>
          </w:p>
        </w:tc>
        <w:tc>
          <w:tcPr>
            <w:tcW w:w="2180" w:type="dxa"/>
            <w:tcBorders>
              <w:top w:val="nil"/>
              <w:left w:val="nil"/>
              <w:bottom w:val="single" w:sz="4" w:space="0" w:color="auto"/>
              <w:right w:val="single" w:sz="4" w:space="0" w:color="auto"/>
            </w:tcBorders>
            <w:shd w:val="clear" w:color="auto" w:fill="auto"/>
            <w:vAlign w:val="center"/>
            <w:hideMark/>
          </w:tcPr>
          <w:p w14:paraId="26E515B9"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29.95</w:t>
            </w:r>
          </w:p>
        </w:tc>
        <w:tc>
          <w:tcPr>
            <w:tcW w:w="2180" w:type="dxa"/>
            <w:tcBorders>
              <w:top w:val="nil"/>
              <w:left w:val="nil"/>
              <w:bottom w:val="single" w:sz="4" w:space="0" w:color="auto"/>
              <w:right w:val="single" w:sz="4" w:space="0" w:color="auto"/>
            </w:tcBorders>
            <w:shd w:val="clear" w:color="auto" w:fill="auto"/>
            <w:vAlign w:val="center"/>
            <w:hideMark/>
          </w:tcPr>
          <w:p w14:paraId="3D7F27E8"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148.47</w:t>
            </w:r>
          </w:p>
        </w:tc>
      </w:tr>
      <w:tr w:rsidR="00E41984" w:rsidRPr="00F54DF8" w14:paraId="3EA34465"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0864402" w14:textId="77777777" w:rsidR="00E41984" w:rsidRPr="001E5C20" w:rsidRDefault="00E41984" w:rsidP="00E41984">
            <w:pPr>
              <w:widowControl/>
              <w:autoSpaceDE/>
              <w:autoSpaceDN/>
              <w:adjustRightInd/>
              <w:rPr>
                <w:color w:val="000000"/>
                <w:sz w:val="20"/>
                <w:szCs w:val="20"/>
              </w:rPr>
            </w:pPr>
            <w:r w:rsidRPr="001E5C20">
              <w:rPr>
                <w:color w:val="000000"/>
                <w:sz w:val="20"/>
                <w:szCs w:val="20"/>
              </w:rPr>
              <w:t>1931-1940</w:t>
            </w:r>
          </w:p>
        </w:tc>
        <w:tc>
          <w:tcPr>
            <w:tcW w:w="2180" w:type="dxa"/>
            <w:tcBorders>
              <w:top w:val="nil"/>
              <w:left w:val="nil"/>
              <w:bottom w:val="single" w:sz="4" w:space="0" w:color="auto"/>
              <w:right w:val="single" w:sz="4" w:space="0" w:color="auto"/>
            </w:tcBorders>
            <w:shd w:val="clear" w:color="auto" w:fill="auto"/>
            <w:vAlign w:val="center"/>
            <w:hideMark/>
          </w:tcPr>
          <w:p w14:paraId="49EBDEFC"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7.03</w:t>
            </w:r>
          </w:p>
        </w:tc>
        <w:tc>
          <w:tcPr>
            <w:tcW w:w="2180" w:type="dxa"/>
            <w:tcBorders>
              <w:top w:val="nil"/>
              <w:left w:val="nil"/>
              <w:bottom w:val="single" w:sz="4" w:space="0" w:color="auto"/>
              <w:right w:val="single" w:sz="4" w:space="0" w:color="auto"/>
            </w:tcBorders>
            <w:shd w:val="clear" w:color="auto" w:fill="auto"/>
            <w:vAlign w:val="center"/>
            <w:hideMark/>
          </w:tcPr>
          <w:p w14:paraId="78D656B7"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8.03</w:t>
            </w:r>
          </w:p>
        </w:tc>
        <w:tc>
          <w:tcPr>
            <w:tcW w:w="2180" w:type="dxa"/>
            <w:tcBorders>
              <w:top w:val="nil"/>
              <w:left w:val="nil"/>
              <w:bottom w:val="single" w:sz="4" w:space="0" w:color="auto"/>
              <w:right w:val="single" w:sz="4" w:space="0" w:color="auto"/>
            </w:tcBorders>
            <w:shd w:val="clear" w:color="auto" w:fill="auto"/>
            <w:vAlign w:val="center"/>
            <w:hideMark/>
          </w:tcPr>
          <w:p w14:paraId="51C99D45"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74</w:t>
            </w:r>
            <w:r w:rsidR="007D609D" w:rsidRPr="001E5C20">
              <w:rPr>
                <w:color w:val="000000"/>
                <w:sz w:val="20"/>
                <w:szCs w:val="20"/>
              </w:rPr>
              <w:t>.00</w:t>
            </w:r>
          </w:p>
        </w:tc>
      </w:tr>
      <w:tr w:rsidR="00E41984" w:rsidRPr="00F54DF8" w14:paraId="149B87C4"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883B8DA" w14:textId="77777777" w:rsidR="00E41984" w:rsidRPr="001E5C20" w:rsidRDefault="00E41984" w:rsidP="00E41984">
            <w:pPr>
              <w:widowControl/>
              <w:autoSpaceDE/>
              <w:autoSpaceDN/>
              <w:adjustRightInd/>
              <w:rPr>
                <w:color w:val="000000"/>
                <w:sz w:val="20"/>
                <w:szCs w:val="20"/>
              </w:rPr>
            </w:pPr>
            <w:r w:rsidRPr="001E5C20">
              <w:rPr>
                <w:color w:val="000000"/>
                <w:sz w:val="20"/>
                <w:szCs w:val="20"/>
              </w:rPr>
              <w:t>1921-1930</w:t>
            </w:r>
          </w:p>
        </w:tc>
        <w:tc>
          <w:tcPr>
            <w:tcW w:w="2180" w:type="dxa"/>
            <w:tcBorders>
              <w:top w:val="nil"/>
              <w:left w:val="nil"/>
              <w:bottom w:val="single" w:sz="4" w:space="0" w:color="auto"/>
              <w:right w:val="single" w:sz="4" w:space="0" w:color="auto"/>
            </w:tcBorders>
            <w:shd w:val="clear" w:color="auto" w:fill="auto"/>
            <w:vAlign w:val="center"/>
            <w:hideMark/>
          </w:tcPr>
          <w:p w14:paraId="105734BA"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17.47</w:t>
            </w:r>
          </w:p>
        </w:tc>
        <w:tc>
          <w:tcPr>
            <w:tcW w:w="2180" w:type="dxa"/>
            <w:tcBorders>
              <w:top w:val="nil"/>
              <w:left w:val="nil"/>
              <w:bottom w:val="single" w:sz="4" w:space="0" w:color="auto"/>
              <w:right w:val="single" w:sz="4" w:space="0" w:color="auto"/>
            </w:tcBorders>
            <w:shd w:val="clear" w:color="auto" w:fill="auto"/>
            <w:vAlign w:val="center"/>
            <w:hideMark/>
          </w:tcPr>
          <w:p w14:paraId="7C8E7984"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24.57</w:t>
            </w:r>
          </w:p>
        </w:tc>
        <w:tc>
          <w:tcPr>
            <w:tcW w:w="2180" w:type="dxa"/>
            <w:tcBorders>
              <w:top w:val="nil"/>
              <w:left w:val="nil"/>
              <w:bottom w:val="single" w:sz="4" w:space="0" w:color="auto"/>
              <w:right w:val="single" w:sz="4" w:space="0" w:color="auto"/>
            </w:tcBorders>
            <w:shd w:val="clear" w:color="auto" w:fill="auto"/>
            <w:vAlign w:val="center"/>
            <w:hideMark/>
          </w:tcPr>
          <w:p w14:paraId="00D8B4C5"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220.72</w:t>
            </w:r>
          </w:p>
        </w:tc>
      </w:tr>
      <w:tr w:rsidR="00E41984" w:rsidRPr="00F54DF8" w14:paraId="2A0BB9D2"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2DB42566" w14:textId="77777777" w:rsidR="00E41984" w:rsidRPr="001E5C20" w:rsidRDefault="00E41984" w:rsidP="00E41984">
            <w:pPr>
              <w:widowControl/>
              <w:autoSpaceDE/>
              <w:autoSpaceDN/>
              <w:adjustRightInd/>
              <w:rPr>
                <w:color w:val="000000"/>
                <w:sz w:val="20"/>
                <w:szCs w:val="20"/>
              </w:rPr>
            </w:pPr>
            <w:r w:rsidRPr="001E5C20">
              <w:rPr>
                <w:color w:val="000000"/>
                <w:sz w:val="20"/>
                <w:szCs w:val="20"/>
              </w:rPr>
              <w:t>1911-1920</w:t>
            </w:r>
          </w:p>
        </w:tc>
        <w:tc>
          <w:tcPr>
            <w:tcW w:w="2180" w:type="dxa"/>
            <w:tcBorders>
              <w:top w:val="nil"/>
              <w:left w:val="nil"/>
              <w:bottom w:val="single" w:sz="4" w:space="0" w:color="auto"/>
              <w:right w:val="single" w:sz="4" w:space="0" w:color="auto"/>
            </w:tcBorders>
            <w:shd w:val="clear" w:color="auto" w:fill="auto"/>
            <w:vAlign w:val="center"/>
            <w:hideMark/>
          </w:tcPr>
          <w:p w14:paraId="730B8C10"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2.62</w:t>
            </w:r>
          </w:p>
        </w:tc>
        <w:tc>
          <w:tcPr>
            <w:tcW w:w="2180" w:type="dxa"/>
            <w:tcBorders>
              <w:top w:val="nil"/>
              <w:left w:val="nil"/>
              <w:bottom w:val="single" w:sz="4" w:space="0" w:color="auto"/>
              <w:right w:val="single" w:sz="4" w:space="0" w:color="auto"/>
            </w:tcBorders>
            <w:shd w:val="clear" w:color="auto" w:fill="auto"/>
            <w:vAlign w:val="center"/>
            <w:hideMark/>
          </w:tcPr>
          <w:p w14:paraId="1D092761"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11.72</w:t>
            </w:r>
          </w:p>
        </w:tc>
        <w:tc>
          <w:tcPr>
            <w:tcW w:w="2180" w:type="dxa"/>
            <w:tcBorders>
              <w:top w:val="nil"/>
              <w:left w:val="nil"/>
              <w:bottom w:val="single" w:sz="4" w:space="0" w:color="auto"/>
              <w:right w:val="single" w:sz="4" w:space="0" w:color="auto"/>
            </w:tcBorders>
            <w:shd w:val="clear" w:color="auto" w:fill="auto"/>
            <w:vAlign w:val="center"/>
            <w:hideMark/>
          </w:tcPr>
          <w:p w14:paraId="03388324"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130.12</w:t>
            </w:r>
          </w:p>
        </w:tc>
      </w:tr>
      <w:tr w:rsidR="00E41984" w:rsidRPr="00F54DF8" w14:paraId="72DBBFF8"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EE47A8B" w14:textId="77777777" w:rsidR="00E41984" w:rsidRPr="001E5C20" w:rsidRDefault="00E41984" w:rsidP="00E41984">
            <w:pPr>
              <w:widowControl/>
              <w:autoSpaceDE/>
              <w:autoSpaceDN/>
              <w:adjustRightInd/>
              <w:rPr>
                <w:color w:val="000000"/>
                <w:sz w:val="20"/>
                <w:szCs w:val="20"/>
              </w:rPr>
            </w:pPr>
            <w:r w:rsidRPr="001E5C20">
              <w:rPr>
                <w:color w:val="000000"/>
                <w:sz w:val="20"/>
                <w:szCs w:val="20"/>
              </w:rPr>
              <w:t>1900-1910</w:t>
            </w:r>
          </w:p>
        </w:tc>
        <w:tc>
          <w:tcPr>
            <w:tcW w:w="2180" w:type="dxa"/>
            <w:tcBorders>
              <w:top w:val="nil"/>
              <w:left w:val="nil"/>
              <w:bottom w:val="single" w:sz="4" w:space="0" w:color="auto"/>
              <w:right w:val="single" w:sz="4" w:space="0" w:color="auto"/>
            </w:tcBorders>
            <w:shd w:val="clear" w:color="auto" w:fill="auto"/>
            <w:vAlign w:val="center"/>
            <w:hideMark/>
          </w:tcPr>
          <w:p w14:paraId="3E3DFB64"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4.09</w:t>
            </w:r>
          </w:p>
        </w:tc>
        <w:tc>
          <w:tcPr>
            <w:tcW w:w="2180" w:type="dxa"/>
            <w:tcBorders>
              <w:top w:val="nil"/>
              <w:left w:val="nil"/>
              <w:bottom w:val="single" w:sz="4" w:space="0" w:color="auto"/>
              <w:right w:val="single" w:sz="4" w:space="0" w:color="auto"/>
            </w:tcBorders>
            <w:shd w:val="clear" w:color="auto" w:fill="auto"/>
            <w:vAlign w:val="center"/>
            <w:hideMark/>
          </w:tcPr>
          <w:p w14:paraId="6AE1FD72"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22.59</w:t>
            </w:r>
          </w:p>
        </w:tc>
        <w:tc>
          <w:tcPr>
            <w:tcW w:w="2180" w:type="dxa"/>
            <w:tcBorders>
              <w:top w:val="nil"/>
              <w:left w:val="nil"/>
              <w:bottom w:val="single" w:sz="4" w:space="0" w:color="auto"/>
              <w:right w:val="single" w:sz="4" w:space="0" w:color="auto"/>
            </w:tcBorders>
            <w:shd w:val="clear" w:color="auto" w:fill="auto"/>
            <w:vAlign w:val="center"/>
            <w:hideMark/>
          </w:tcPr>
          <w:p w14:paraId="7AC5019C"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201.55</w:t>
            </w:r>
          </w:p>
        </w:tc>
      </w:tr>
      <w:tr w:rsidR="00E41984" w:rsidRPr="00F54DF8" w14:paraId="63DE2038"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360887F" w14:textId="77777777" w:rsidR="00E41984" w:rsidRPr="001E5C20" w:rsidRDefault="00E41984" w:rsidP="00E41984">
            <w:pPr>
              <w:widowControl/>
              <w:autoSpaceDE/>
              <w:autoSpaceDN/>
              <w:adjustRightInd/>
              <w:rPr>
                <w:color w:val="000000"/>
                <w:sz w:val="20"/>
                <w:szCs w:val="20"/>
              </w:rPr>
            </w:pPr>
            <w:r w:rsidRPr="001E5C20">
              <w:rPr>
                <w:color w:val="000000"/>
                <w:sz w:val="20"/>
                <w:szCs w:val="20"/>
              </w:rPr>
              <w:t>Pre 1900</w:t>
            </w:r>
          </w:p>
        </w:tc>
        <w:tc>
          <w:tcPr>
            <w:tcW w:w="2180" w:type="dxa"/>
            <w:tcBorders>
              <w:top w:val="nil"/>
              <w:left w:val="nil"/>
              <w:bottom w:val="single" w:sz="4" w:space="0" w:color="auto"/>
              <w:right w:val="single" w:sz="4" w:space="0" w:color="auto"/>
            </w:tcBorders>
            <w:shd w:val="clear" w:color="auto" w:fill="auto"/>
            <w:vAlign w:val="center"/>
            <w:hideMark/>
          </w:tcPr>
          <w:p w14:paraId="596176A2"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15.62</w:t>
            </w:r>
          </w:p>
        </w:tc>
        <w:tc>
          <w:tcPr>
            <w:tcW w:w="2180" w:type="dxa"/>
            <w:tcBorders>
              <w:top w:val="nil"/>
              <w:left w:val="nil"/>
              <w:bottom w:val="single" w:sz="4" w:space="0" w:color="auto"/>
              <w:right w:val="single" w:sz="4" w:space="0" w:color="auto"/>
            </w:tcBorders>
            <w:shd w:val="clear" w:color="auto" w:fill="auto"/>
            <w:vAlign w:val="center"/>
            <w:hideMark/>
          </w:tcPr>
          <w:p w14:paraId="0B11007E"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70.62</w:t>
            </w:r>
          </w:p>
        </w:tc>
        <w:tc>
          <w:tcPr>
            <w:tcW w:w="2180" w:type="dxa"/>
            <w:tcBorders>
              <w:top w:val="nil"/>
              <w:left w:val="nil"/>
              <w:bottom w:val="single" w:sz="4" w:space="0" w:color="auto"/>
              <w:right w:val="single" w:sz="4" w:space="0" w:color="auto"/>
            </w:tcBorders>
            <w:shd w:val="clear" w:color="auto" w:fill="auto"/>
            <w:vAlign w:val="center"/>
            <w:hideMark/>
          </w:tcPr>
          <w:p w14:paraId="264C9ADF"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219.73</w:t>
            </w:r>
          </w:p>
        </w:tc>
      </w:tr>
      <w:tr w:rsidR="00E41984" w:rsidRPr="00F54DF8" w14:paraId="3BE5E728" w14:textId="77777777" w:rsidTr="00E41984">
        <w:trPr>
          <w:trHeight w:val="30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B8701EC" w14:textId="77777777" w:rsidR="00E41984" w:rsidRPr="001E5C20" w:rsidRDefault="00E41984" w:rsidP="00E41984">
            <w:pPr>
              <w:widowControl/>
              <w:autoSpaceDE/>
              <w:autoSpaceDN/>
              <w:adjustRightInd/>
              <w:rPr>
                <w:b/>
                <w:bCs/>
                <w:color w:val="000000"/>
                <w:sz w:val="20"/>
                <w:szCs w:val="20"/>
              </w:rPr>
            </w:pPr>
            <w:r w:rsidRPr="001E5C20">
              <w:rPr>
                <w:b/>
                <w:bCs/>
                <w:color w:val="000000"/>
                <w:sz w:val="20"/>
                <w:szCs w:val="20"/>
              </w:rPr>
              <w:t>Total</w:t>
            </w:r>
          </w:p>
        </w:tc>
        <w:tc>
          <w:tcPr>
            <w:tcW w:w="2180" w:type="dxa"/>
            <w:tcBorders>
              <w:top w:val="nil"/>
              <w:left w:val="nil"/>
              <w:bottom w:val="single" w:sz="4" w:space="0" w:color="auto"/>
              <w:right w:val="single" w:sz="4" w:space="0" w:color="auto"/>
            </w:tcBorders>
            <w:shd w:val="clear" w:color="auto" w:fill="auto"/>
            <w:vAlign w:val="center"/>
            <w:hideMark/>
          </w:tcPr>
          <w:p w14:paraId="6561A50E"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71.07</w:t>
            </w:r>
          </w:p>
        </w:tc>
        <w:tc>
          <w:tcPr>
            <w:tcW w:w="2180" w:type="dxa"/>
            <w:tcBorders>
              <w:top w:val="nil"/>
              <w:left w:val="nil"/>
              <w:bottom w:val="single" w:sz="4" w:space="0" w:color="auto"/>
              <w:right w:val="single" w:sz="4" w:space="0" w:color="auto"/>
            </w:tcBorders>
            <w:shd w:val="clear" w:color="auto" w:fill="auto"/>
            <w:vAlign w:val="center"/>
            <w:hideMark/>
          </w:tcPr>
          <w:p w14:paraId="6E06009F"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189.97</w:t>
            </w:r>
          </w:p>
        </w:tc>
        <w:tc>
          <w:tcPr>
            <w:tcW w:w="2180" w:type="dxa"/>
            <w:tcBorders>
              <w:top w:val="nil"/>
              <w:left w:val="nil"/>
              <w:bottom w:val="single" w:sz="4" w:space="0" w:color="auto"/>
              <w:right w:val="single" w:sz="4" w:space="0" w:color="auto"/>
            </w:tcBorders>
            <w:shd w:val="clear" w:color="auto" w:fill="auto"/>
            <w:vAlign w:val="center"/>
            <w:hideMark/>
          </w:tcPr>
          <w:p w14:paraId="7752BB3C" w14:textId="77777777" w:rsidR="00E41984" w:rsidRPr="001E5C20" w:rsidRDefault="00E41984" w:rsidP="00E41984">
            <w:pPr>
              <w:widowControl/>
              <w:autoSpaceDE/>
              <w:autoSpaceDN/>
              <w:adjustRightInd/>
              <w:jc w:val="center"/>
              <w:rPr>
                <w:color w:val="000000"/>
                <w:sz w:val="20"/>
                <w:szCs w:val="20"/>
              </w:rPr>
            </w:pPr>
            <w:r w:rsidRPr="001E5C20">
              <w:rPr>
                <w:color w:val="000000"/>
                <w:sz w:val="20"/>
                <w:szCs w:val="20"/>
              </w:rPr>
              <w:t>1</w:t>
            </w:r>
            <w:r w:rsidR="007D609D" w:rsidRPr="001E5C20">
              <w:rPr>
                <w:color w:val="000000"/>
                <w:sz w:val="20"/>
                <w:szCs w:val="20"/>
              </w:rPr>
              <w:t>,</w:t>
            </w:r>
            <w:r w:rsidRPr="001E5C20">
              <w:rPr>
                <w:color w:val="000000"/>
                <w:sz w:val="20"/>
                <w:szCs w:val="20"/>
              </w:rPr>
              <w:t>139.2</w:t>
            </w:r>
          </w:p>
        </w:tc>
      </w:tr>
    </w:tbl>
    <w:p w14:paraId="7DE1B4D5" w14:textId="77777777" w:rsidR="0077455C" w:rsidRPr="00F54DF8" w:rsidRDefault="0077455C" w:rsidP="00773D87">
      <w:pPr>
        <w:pStyle w:val="p2"/>
        <w:widowControl/>
        <w:spacing w:line="360" w:lineRule="auto"/>
        <w:ind w:firstLine="0"/>
      </w:pPr>
    </w:p>
    <w:p w14:paraId="27B07D1F" w14:textId="77777777" w:rsidR="0077455C" w:rsidRPr="00F54DF8" w:rsidRDefault="0077455C" w:rsidP="00F939FA">
      <w:pPr>
        <w:pStyle w:val="p2"/>
        <w:keepNext/>
        <w:widowControl/>
        <w:spacing w:line="360" w:lineRule="auto"/>
        <w:ind w:firstLine="0"/>
        <w:rPr>
          <w:b/>
          <w:sz w:val="26"/>
          <w:szCs w:val="26"/>
        </w:rPr>
      </w:pPr>
      <w:r w:rsidRPr="00F54DF8">
        <w:rPr>
          <w:b/>
          <w:sz w:val="26"/>
          <w:szCs w:val="26"/>
        </w:rPr>
        <w:t>Comments</w:t>
      </w:r>
    </w:p>
    <w:p w14:paraId="38BCD2AC" w14:textId="77777777" w:rsidR="0077455C" w:rsidRPr="00F54DF8" w:rsidRDefault="0077455C" w:rsidP="00F939FA">
      <w:pPr>
        <w:pStyle w:val="p2"/>
        <w:keepNext/>
        <w:widowControl/>
        <w:spacing w:line="360" w:lineRule="auto"/>
        <w:ind w:firstLine="720"/>
        <w:rPr>
          <w:b/>
          <w:sz w:val="26"/>
          <w:szCs w:val="26"/>
        </w:rPr>
      </w:pPr>
    </w:p>
    <w:p w14:paraId="3EEAE41B" w14:textId="2EAA253B" w:rsidR="0077455C" w:rsidRPr="00F54DF8" w:rsidRDefault="0077455C" w:rsidP="00A11039">
      <w:pPr>
        <w:pStyle w:val="p7"/>
        <w:widowControl/>
        <w:tabs>
          <w:tab w:val="clear" w:pos="782"/>
          <w:tab w:val="clear" w:pos="1133"/>
          <w:tab w:val="left" w:pos="720"/>
          <w:tab w:val="left" w:pos="1440"/>
        </w:tabs>
        <w:spacing w:line="360" w:lineRule="auto"/>
        <w:ind w:left="0" w:firstLine="720"/>
        <w:rPr>
          <w:sz w:val="26"/>
          <w:szCs w:val="26"/>
        </w:rPr>
      </w:pPr>
      <w:r w:rsidRPr="00F54DF8">
        <w:rPr>
          <w:sz w:val="26"/>
          <w:szCs w:val="26"/>
        </w:rPr>
        <w:t xml:space="preserve">In its </w:t>
      </w:r>
      <w:r w:rsidR="009450B4" w:rsidRPr="00F54DF8">
        <w:rPr>
          <w:sz w:val="26"/>
          <w:szCs w:val="26"/>
        </w:rPr>
        <w:t>C</w:t>
      </w:r>
      <w:r w:rsidRPr="00F54DF8">
        <w:rPr>
          <w:sz w:val="26"/>
          <w:szCs w:val="26"/>
        </w:rPr>
        <w:t xml:space="preserve">omments, </w:t>
      </w:r>
      <w:r w:rsidR="005F1325" w:rsidRPr="00F54DF8">
        <w:rPr>
          <w:sz w:val="26"/>
          <w:szCs w:val="26"/>
        </w:rPr>
        <w:t xml:space="preserve">BIE raised questions regarding PGW’s decision to include 12” and larger </w:t>
      </w:r>
      <w:r w:rsidR="00222C04">
        <w:rPr>
          <w:sz w:val="26"/>
          <w:szCs w:val="26"/>
        </w:rPr>
        <w:t>low pressure (</w:t>
      </w:r>
      <w:r w:rsidR="005F1325" w:rsidRPr="00F54DF8">
        <w:rPr>
          <w:sz w:val="26"/>
          <w:szCs w:val="26"/>
        </w:rPr>
        <w:t>LP</w:t>
      </w:r>
      <w:r w:rsidR="00222C04">
        <w:rPr>
          <w:sz w:val="26"/>
          <w:szCs w:val="26"/>
        </w:rPr>
        <w:t>)</w:t>
      </w:r>
      <w:r w:rsidR="005F1325" w:rsidRPr="00F54DF8">
        <w:rPr>
          <w:sz w:val="26"/>
          <w:szCs w:val="26"/>
        </w:rPr>
        <w:t xml:space="preserve"> </w:t>
      </w:r>
      <w:r w:rsidR="00222C04">
        <w:rPr>
          <w:sz w:val="26"/>
          <w:szCs w:val="26"/>
        </w:rPr>
        <w:t xml:space="preserve">cast iron </w:t>
      </w:r>
      <w:r w:rsidR="005F1325" w:rsidRPr="00F54DF8">
        <w:rPr>
          <w:sz w:val="26"/>
          <w:szCs w:val="26"/>
        </w:rPr>
        <w:t xml:space="preserve">mains in its </w:t>
      </w:r>
      <w:r w:rsidR="00222C04">
        <w:rPr>
          <w:sz w:val="26"/>
          <w:szCs w:val="26"/>
        </w:rPr>
        <w:t xml:space="preserve">Second </w:t>
      </w:r>
      <w:r w:rsidR="005F1325" w:rsidRPr="00F54DF8">
        <w:rPr>
          <w:sz w:val="26"/>
          <w:szCs w:val="26"/>
        </w:rPr>
        <w:t xml:space="preserve">LTIIP, and whether the resources being devoted to these mains would be better spent on smaller diameter cast iron mains.    </w:t>
      </w:r>
      <w:r w:rsidRPr="00F54DF8">
        <w:rPr>
          <w:sz w:val="26"/>
          <w:szCs w:val="26"/>
        </w:rPr>
        <w:t xml:space="preserve"> </w:t>
      </w:r>
    </w:p>
    <w:p w14:paraId="5D5E7A1E" w14:textId="77777777" w:rsidR="0077455C" w:rsidRPr="00F54DF8" w:rsidRDefault="0077455C" w:rsidP="00773D87">
      <w:pPr>
        <w:pStyle w:val="p7"/>
        <w:widowControl/>
        <w:tabs>
          <w:tab w:val="clear" w:pos="782"/>
          <w:tab w:val="clear" w:pos="1133"/>
          <w:tab w:val="left" w:pos="720"/>
          <w:tab w:val="left" w:pos="1440"/>
        </w:tabs>
        <w:spacing w:line="360" w:lineRule="auto"/>
        <w:ind w:left="0" w:firstLine="0"/>
        <w:jc w:val="both"/>
        <w:rPr>
          <w:sz w:val="26"/>
          <w:szCs w:val="26"/>
        </w:rPr>
      </w:pPr>
    </w:p>
    <w:p w14:paraId="0C7FA665" w14:textId="77777777" w:rsidR="0077455C" w:rsidRPr="00F54DF8" w:rsidRDefault="0077455C"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00F54DF8">
        <w:rPr>
          <w:b/>
          <w:sz w:val="26"/>
          <w:szCs w:val="26"/>
        </w:rPr>
        <w:t>Resolution</w:t>
      </w:r>
    </w:p>
    <w:p w14:paraId="181F2DD6" w14:textId="77777777" w:rsidR="0077455C" w:rsidRPr="00F54DF8" w:rsidRDefault="0077455C" w:rsidP="00773D87">
      <w:pPr>
        <w:pStyle w:val="p2"/>
        <w:keepNext/>
        <w:widowControl/>
        <w:tabs>
          <w:tab w:val="left" w:pos="720"/>
        </w:tabs>
        <w:spacing w:line="360" w:lineRule="auto"/>
        <w:ind w:firstLine="720"/>
        <w:rPr>
          <w:b/>
          <w:sz w:val="26"/>
          <w:szCs w:val="26"/>
        </w:rPr>
      </w:pPr>
    </w:p>
    <w:p w14:paraId="7F2E269B" w14:textId="4E62FBB3" w:rsidR="0077455C" w:rsidRPr="00F54DF8" w:rsidRDefault="00222C04" w:rsidP="00A11039">
      <w:pPr>
        <w:pStyle w:val="p2"/>
        <w:widowControl/>
        <w:tabs>
          <w:tab w:val="left" w:pos="720"/>
        </w:tabs>
        <w:spacing w:line="360" w:lineRule="auto"/>
        <w:ind w:firstLine="720"/>
        <w:rPr>
          <w:sz w:val="26"/>
          <w:szCs w:val="26"/>
        </w:rPr>
      </w:pPr>
      <w:r>
        <w:rPr>
          <w:sz w:val="26"/>
          <w:szCs w:val="26"/>
        </w:rPr>
        <w:t xml:space="preserve">As noted, above, </w:t>
      </w:r>
      <w:r w:rsidR="00147E73" w:rsidRPr="00F54DF8">
        <w:rPr>
          <w:sz w:val="26"/>
          <w:szCs w:val="26"/>
        </w:rPr>
        <w:t xml:space="preserve">PGW </w:t>
      </w:r>
      <w:r>
        <w:rPr>
          <w:sz w:val="26"/>
          <w:szCs w:val="26"/>
        </w:rPr>
        <w:t>stated in its July 31 Letter that BIE determined PGW’s</w:t>
      </w:r>
      <w:r w:rsidR="00147E73" w:rsidRPr="00F54DF8">
        <w:rPr>
          <w:sz w:val="26"/>
          <w:szCs w:val="26"/>
        </w:rPr>
        <w:t xml:space="preserve"> replacement expenditures allocation in its Second LTIIP were satisfactory, and that no revisions or major modifications to PGW’s </w:t>
      </w:r>
      <w:r>
        <w:rPr>
          <w:sz w:val="26"/>
          <w:szCs w:val="26"/>
        </w:rPr>
        <w:t xml:space="preserve">Second </w:t>
      </w:r>
      <w:r w:rsidR="00147E73" w:rsidRPr="00F54DF8">
        <w:rPr>
          <w:sz w:val="26"/>
          <w:szCs w:val="26"/>
        </w:rPr>
        <w:t xml:space="preserve">LTIIP </w:t>
      </w:r>
      <w:r>
        <w:rPr>
          <w:sz w:val="26"/>
          <w:szCs w:val="26"/>
        </w:rPr>
        <w:t>were</w:t>
      </w:r>
      <w:r w:rsidRPr="00F54DF8">
        <w:rPr>
          <w:sz w:val="26"/>
          <w:szCs w:val="26"/>
        </w:rPr>
        <w:t xml:space="preserve"> </w:t>
      </w:r>
      <w:r w:rsidR="00147E73" w:rsidRPr="00F54DF8">
        <w:rPr>
          <w:sz w:val="26"/>
          <w:szCs w:val="26"/>
        </w:rPr>
        <w:t>necessary</w:t>
      </w:r>
      <w:r>
        <w:rPr>
          <w:sz w:val="26"/>
          <w:szCs w:val="26"/>
        </w:rPr>
        <w:t>.</w:t>
      </w:r>
    </w:p>
    <w:p w14:paraId="288C0D88" w14:textId="77777777" w:rsidR="0077455C" w:rsidRPr="00F54DF8" w:rsidRDefault="0077455C" w:rsidP="00773D87">
      <w:pPr>
        <w:pStyle w:val="p2"/>
        <w:widowControl/>
        <w:tabs>
          <w:tab w:val="left" w:pos="720"/>
        </w:tabs>
        <w:spacing w:line="360" w:lineRule="auto"/>
        <w:ind w:firstLine="720"/>
        <w:rPr>
          <w:sz w:val="26"/>
          <w:szCs w:val="26"/>
        </w:rPr>
      </w:pPr>
    </w:p>
    <w:p w14:paraId="1FEFF2C0" w14:textId="33CD01E6" w:rsidR="009450B4" w:rsidRPr="00F54DF8" w:rsidRDefault="0077455C" w:rsidP="00A11039">
      <w:pPr>
        <w:pStyle w:val="p2"/>
        <w:widowControl/>
        <w:spacing w:line="360" w:lineRule="auto"/>
        <w:ind w:firstLine="720"/>
        <w:rPr>
          <w:sz w:val="26"/>
          <w:szCs w:val="26"/>
        </w:rPr>
      </w:pPr>
      <w:r w:rsidRPr="00F54DF8">
        <w:rPr>
          <w:sz w:val="26"/>
          <w:szCs w:val="26"/>
        </w:rPr>
        <w:lastRenderedPageBreak/>
        <w:t xml:space="preserve">Upon review of PGW’s </w:t>
      </w:r>
      <w:r w:rsidR="00156FF6">
        <w:rPr>
          <w:sz w:val="26"/>
          <w:szCs w:val="26"/>
        </w:rPr>
        <w:t xml:space="preserve">Second </w:t>
      </w:r>
      <w:r w:rsidR="00222C04">
        <w:rPr>
          <w:sz w:val="26"/>
          <w:szCs w:val="26"/>
        </w:rPr>
        <w:t>LTIIP</w:t>
      </w:r>
      <w:r w:rsidRPr="00F54DF8">
        <w:rPr>
          <w:sz w:val="26"/>
          <w:szCs w:val="26"/>
        </w:rPr>
        <w:t xml:space="preserve">, the Commission finds that </w:t>
      </w:r>
      <w:r w:rsidR="00AF2028">
        <w:rPr>
          <w:sz w:val="26"/>
          <w:szCs w:val="26"/>
        </w:rPr>
        <w:t xml:space="preserve">PGW’s Second LTIIP fulfills the </w:t>
      </w:r>
      <w:r w:rsidR="00AF2028" w:rsidRPr="00F54DF8">
        <w:rPr>
          <w:sz w:val="26"/>
          <w:szCs w:val="26"/>
        </w:rPr>
        <w:t xml:space="preserve">requirements of </w:t>
      </w:r>
      <w:r w:rsidR="00AF2028" w:rsidRPr="00C01398">
        <w:rPr>
          <w:sz w:val="26"/>
          <w:szCs w:val="26"/>
        </w:rPr>
        <w:t>52 Pa. Code § 121.3</w:t>
      </w:r>
      <w:r w:rsidR="00AF2028">
        <w:rPr>
          <w:sz w:val="26"/>
          <w:szCs w:val="26"/>
        </w:rPr>
        <w:t xml:space="preserve">(a)(1) </w:t>
      </w:r>
      <w:r w:rsidR="00B80699">
        <w:rPr>
          <w:sz w:val="26"/>
          <w:szCs w:val="26"/>
        </w:rPr>
        <w:t>by</w:t>
      </w:r>
      <w:r w:rsidR="00AF2028">
        <w:rPr>
          <w:sz w:val="26"/>
          <w:szCs w:val="26"/>
        </w:rPr>
        <w:t xml:space="preserve"> identify</w:t>
      </w:r>
      <w:r w:rsidR="00B80699">
        <w:rPr>
          <w:sz w:val="26"/>
          <w:szCs w:val="26"/>
        </w:rPr>
        <w:t>ing</w:t>
      </w:r>
      <w:r w:rsidR="00AF2028">
        <w:rPr>
          <w:sz w:val="26"/>
          <w:szCs w:val="26"/>
        </w:rPr>
        <w:t xml:space="preserve"> </w:t>
      </w:r>
      <w:r w:rsidRPr="00F54DF8">
        <w:rPr>
          <w:sz w:val="26"/>
          <w:szCs w:val="26"/>
        </w:rPr>
        <w:t xml:space="preserve">the types and ages of eligible property </w:t>
      </w:r>
      <w:r w:rsidR="00AF2028">
        <w:rPr>
          <w:sz w:val="26"/>
          <w:szCs w:val="26"/>
        </w:rPr>
        <w:t>for which it seeks DSIC recovery</w:t>
      </w:r>
      <w:r w:rsidRPr="00F54DF8">
        <w:rPr>
          <w:sz w:val="26"/>
          <w:szCs w:val="26"/>
        </w:rPr>
        <w:t>.</w:t>
      </w:r>
    </w:p>
    <w:p w14:paraId="690E8F86" w14:textId="77777777" w:rsidR="009450B4" w:rsidRPr="00F54DF8" w:rsidRDefault="009450B4" w:rsidP="005F1325">
      <w:pPr>
        <w:pStyle w:val="p2"/>
        <w:widowControl/>
        <w:spacing w:line="360" w:lineRule="auto"/>
        <w:ind w:firstLine="0"/>
        <w:rPr>
          <w:sz w:val="26"/>
          <w:szCs w:val="26"/>
        </w:rPr>
      </w:pPr>
    </w:p>
    <w:p w14:paraId="6EA4F4C6" w14:textId="77777777" w:rsidR="0077455C" w:rsidRPr="00F54DF8" w:rsidRDefault="00135912" w:rsidP="009450B4">
      <w:pPr>
        <w:pStyle w:val="p7"/>
        <w:keepNext/>
        <w:widowControl/>
        <w:tabs>
          <w:tab w:val="clear" w:pos="1133"/>
          <w:tab w:val="left" w:pos="720"/>
          <w:tab w:val="left" w:pos="1350"/>
          <w:tab w:val="left" w:pos="1440"/>
        </w:tabs>
        <w:spacing w:line="360" w:lineRule="auto"/>
        <w:ind w:left="720" w:firstLine="0"/>
        <w:rPr>
          <w:b/>
          <w:sz w:val="26"/>
          <w:szCs w:val="26"/>
        </w:rPr>
      </w:pPr>
      <w:r w:rsidRPr="00F54DF8">
        <w:rPr>
          <w:b/>
          <w:sz w:val="26"/>
          <w:szCs w:val="26"/>
        </w:rPr>
        <w:t xml:space="preserve">(2) </w:t>
      </w:r>
      <w:r w:rsidR="0077455C" w:rsidRPr="00F54DF8">
        <w:rPr>
          <w:b/>
          <w:sz w:val="26"/>
          <w:szCs w:val="26"/>
        </w:rPr>
        <w:t>SCHEDULE FOR PLANNED REPAIR AND REPLACEMENT OF ELIGIBLE PROPERTY</w:t>
      </w:r>
    </w:p>
    <w:p w14:paraId="494F3BC0" w14:textId="77777777" w:rsidR="0077455C" w:rsidRPr="00F54DF8" w:rsidRDefault="0077455C" w:rsidP="009450B4">
      <w:pPr>
        <w:pStyle w:val="p7"/>
        <w:keepNext/>
        <w:widowControl/>
        <w:tabs>
          <w:tab w:val="clear" w:pos="1133"/>
          <w:tab w:val="left" w:pos="720"/>
          <w:tab w:val="left" w:pos="1350"/>
          <w:tab w:val="left" w:pos="1440"/>
        </w:tabs>
        <w:spacing w:line="360" w:lineRule="auto"/>
        <w:jc w:val="both"/>
        <w:rPr>
          <w:sz w:val="26"/>
          <w:szCs w:val="26"/>
        </w:rPr>
      </w:pPr>
    </w:p>
    <w:p w14:paraId="7FB41D45" w14:textId="77777777" w:rsidR="0077455C" w:rsidRPr="00F54DF8" w:rsidRDefault="00B3173B" w:rsidP="009450B4">
      <w:pPr>
        <w:pStyle w:val="p7"/>
        <w:keepNext/>
        <w:widowControl/>
        <w:tabs>
          <w:tab w:val="clear" w:pos="1133"/>
          <w:tab w:val="left" w:pos="720"/>
          <w:tab w:val="left" w:pos="1350"/>
          <w:tab w:val="left" w:pos="1440"/>
        </w:tabs>
        <w:spacing w:line="360" w:lineRule="auto"/>
        <w:ind w:left="0" w:firstLine="0"/>
        <w:jc w:val="both"/>
        <w:rPr>
          <w:b/>
          <w:sz w:val="26"/>
          <w:szCs w:val="26"/>
        </w:rPr>
      </w:pPr>
      <w:r w:rsidRPr="00F54DF8">
        <w:rPr>
          <w:b/>
          <w:sz w:val="26"/>
          <w:szCs w:val="26"/>
        </w:rPr>
        <w:t xml:space="preserve">PGW’s </w:t>
      </w:r>
      <w:r w:rsidR="00F54DF8" w:rsidRPr="00F54DF8">
        <w:rPr>
          <w:b/>
          <w:sz w:val="26"/>
          <w:szCs w:val="26"/>
        </w:rPr>
        <w:t>Position</w:t>
      </w:r>
      <w:r w:rsidR="0077455C" w:rsidRPr="00F54DF8">
        <w:rPr>
          <w:b/>
          <w:sz w:val="26"/>
          <w:szCs w:val="26"/>
        </w:rPr>
        <w:t xml:space="preserve"> </w:t>
      </w:r>
    </w:p>
    <w:p w14:paraId="3BD3EF2E" w14:textId="77777777" w:rsidR="0077455C" w:rsidRPr="00F54DF8" w:rsidRDefault="0077455C" w:rsidP="009450B4">
      <w:pPr>
        <w:pStyle w:val="p7"/>
        <w:keepNext/>
        <w:widowControl/>
        <w:tabs>
          <w:tab w:val="clear" w:pos="1133"/>
          <w:tab w:val="left" w:pos="720"/>
          <w:tab w:val="left" w:pos="1350"/>
          <w:tab w:val="left" w:pos="1440"/>
        </w:tabs>
        <w:spacing w:line="360" w:lineRule="auto"/>
        <w:jc w:val="both"/>
        <w:rPr>
          <w:sz w:val="26"/>
          <w:szCs w:val="26"/>
        </w:rPr>
      </w:pPr>
    </w:p>
    <w:p w14:paraId="4C8B8F27" w14:textId="77777777" w:rsidR="0077455C" w:rsidRPr="00F54DF8" w:rsidRDefault="0077455C" w:rsidP="00A11039">
      <w:pPr>
        <w:pStyle w:val="p7"/>
        <w:widowControl/>
        <w:tabs>
          <w:tab w:val="clear" w:pos="782"/>
          <w:tab w:val="clear" w:pos="1133"/>
        </w:tabs>
        <w:spacing w:line="360" w:lineRule="auto"/>
        <w:ind w:left="0" w:firstLine="720"/>
        <w:rPr>
          <w:sz w:val="26"/>
          <w:szCs w:val="26"/>
        </w:rPr>
      </w:pPr>
      <w:r w:rsidRPr="00F54DF8">
        <w:rPr>
          <w:sz w:val="26"/>
          <w:szCs w:val="26"/>
        </w:rPr>
        <w:t>PGW’s replacement program</w:t>
      </w:r>
      <w:r w:rsidR="0081396F" w:rsidRPr="00F54DF8">
        <w:rPr>
          <w:sz w:val="26"/>
          <w:szCs w:val="26"/>
        </w:rPr>
        <w:t>,</w:t>
      </w:r>
      <w:r w:rsidRPr="00F54DF8">
        <w:rPr>
          <w:sz w:val="26"/>
          <w:szCs w:val="26"/>
        </w:rPr>
        <w:t xml:space="preserve"> beginning with PGW’s </w:t>
      </w:r>
      <w:r w:rsidR="00E816C8" w:rsidRPr="00F54DF8">
        <w:rPr>
          <w:sz w:val="26"/>
          <w:szCs w:val="26"/>
        </w:rPr>
        <w:t>2018</w:t>
      </w:r>
      <w:r w:rsidRPr="00F54DF8">
        <w:rPr>
          <w:sz w:val="26"/>
          <w:szCs w:val="26"/>
        </w:rPr>
        <w:t xml:space="preserve"> fiscal year,</w:t>
      </w:r>
      <w:r w:rsidR="00C009E0" w:rsidRPr="00F54DF8">
        <w:rPr>
          <w:sz w:val="26"/>
          <w:szCs w:val="26"/>
        </w:rPr>
        <w:t xml:space="preserve"> is detailed in Table </w:t>
      </w:r>
      <w:r w:rsidR="00BA5940">
        <w:rPr>
          <w:sz w:val="26"/>
          <w:szCs w:val="26"/>
        </w:rPr>
        <w:t>3,</w:t>
      </w:r>
      <w:r w:rsidR="00C009E0" w:rsidRPr="00F54DF8">
        <w:rPr>
          <w:sz w:val="26"/>
          <w:szCs w:val="26"/>
        </w:rPr>
        <w:t xml:space="preserve"> below.</w:t>
      </w:r>
    </w:p>
    <w:p w14:paraId="20FFA409" w14:textId="77777777" w:rsidR="00E816C8" w:rsidRPr="00F54DF8" w:rsidRDefault="00E816C8" w:rsidP="00E816C8">
      <w:pPr>
        <w:pStyle w:val="p7"/>
        <w:widowControl/>
        <w:tabs>
          <w:tab w:val="clear" w:pos="782"/>
          <w:tab w:val="clear" w:pos="1133"/>
        </w:tabs>
        <w:spacing w:line="360" w:lineRule="auto"/>
        <w:ind w:left="0" w:firstLine="0"/>
        <w:rPr>
          <w:sz w:val="26"/>
          <w:szCs w:val="26"/>
        </w:rPr>
      </w:pPr>
    </w:p>
    <w:p w14:paraId="084A34DF" w14:textId="094E6FAA" w:rsidR="00E816C8" w:rsidRPr="00F54DF8" w:rsidRDefault="00E816C8" w:rsidP="00E816C8">
      <w:pPr>
        <w:pStyle w:val="p7"/>
        <w:widowControl/>
        <w:tabs>
          <w:tab w:val="clear" w:pos="782"/>
          <w:tab w:val="clear" w:pos="1133"/>
        </w:tabs>
        <w:spacing w:line="360" w:lineRule="auto"/>
        <w:ind w:left="0" w:firstLine="0"/>
        <w:rPr>
          <w:b/>
          <w:sz w:val="26"/>
          <w:szCs w:val="26"/>
        </w:rPr>
      </w:pPr>
      <w:r w:rsidRPr="00F54DF8">
        <w:rPr>
          <w:b/>
          <w:sz w:val="26"/>
          <w:szCs w:val="26"/>
        </w:rPr>
        <w:t xml:space="preserve">Table </w:t>
      </w:r>
      <w:r w:rsidR="00BA5940">
        <w:rPr>
          <w:b/>
          <w:sz w:val="26"/>
          <w:szCs w:val="26"/>
        </w:rPr>
        <w:t>3</w:t>
      </w:r>
      <w:r w:rsidRPr="00F54DF8">
        <w:rPr>
          <w:b/>
          <w:sz w:val="26"/>
          <w:szCs w:val="26"/>
        </w:rPr>
        <w:t xml:space="preserve">: PGW’s Schedule for </w:t>
      </w:r>
      <w:r w:rsidR="00F42567">
        <w:rPr>
          <w:b/>
          <w:sz w:val="26"/>
          <w:szCs w:val="26"/>
        </w:rPr>
        <w:t xml:space="preserve">Miles of </w:t>
      </w:r>
      <w:r w:rsidRPr="00F54DF8">
        <w:rPr>
          <w:b/>
          <w:sz w:val="26"/>
          <w:szCs w:val="26"/>
        </w:rPr>
        <w:t>Main Replacement, FY 2018-2022</w:t>
      </w:r>
    </w:p>
    <w:tbl>
      <w:tblPr>
        <w:tblW w:w="8580" w:type="dxa"/>
        <w:tblLook w:val="04A0" w:firstRow="1" w:lastRow="0" w:firstColumn="1" w:lastColumn="0" w:noHBand="0" w:noVBand="1"/>
      </w:tblPr>
      <w:tblGrid>
        <w:gridCol w:w="2820"/>
        <w:gridCol w:w="960"/>
        <w:gridCol w:w="960"/>
        <w:gridCol w:w="960"/>
        <w:gridCol w:w="960"/>
        <w:gridCol w:w="960"/>
        <w:gridCol w:w="960"/>
      </w:tblGrid>
      <w:tr w:rsidR="00E816C8" w:rsidRPr="00C73AE3" w14:paraId="78B91951" w14:textId="77777777" w:rsidTr="00E816C8">
        <w:trPr>
          <w:trHeight w:val="300"/>
        </w:trPr>
        <w:tc>
          <w:tcPr>
            <w:tcW w:w="2820" w:type="dxa"/>
            <w:tcBorders>
              <w:top w:val="nil"/>
              <w:left w:val="nil"/>
              <w:bottom w:val="nil"/>
              <w:right w:val="nil"/>
            </w:tcBorders>
            <w:shd w:val="clear" w:color="auto" w:fill="auto"/>
            <w:noWrap/>
            <w:vAlign w:val="bottom"/>
            <w:hideMark/>
          </w:tcPr>
          <w:p w14:paraId="21DAF201" w14:textId="77777777" w:rsidR="00E816C8" w:rsidRPr="00C73AE3" w:rsidRDefault="00E816C8" w:rsidP="00E816C8">
            <w:pPr>
              <w:widowControl/>
              <w:autoSpaceDE/>
              <w:autoSpaceDN/>
              <w:adjustRightInd/>
              <w:rPr>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2E388" w14:textId="77777777" w:rsidR="00E816C8" w:rsidRPr="001E5C20" w:rsidRDefault="00E816C8" w:rsidP="00E816C8">
            <w:pPr>
              <w:widowControl/>
              <w:autoSpaceDE/>
              <w:autoSpaceDN/>
              <w:adjustRightInd/>
              <w:jc w:val="center"/>
              <w:rPr>
                <w:b/>
                <w:bCs/>
                <w:color w:val="000000"/>
                <w:sz w:val="22"/>
                <w:szCs w:val="22"/>
              </w:rPr>
            </w:pPr>
            <w:r w:rsidRPr="001E5C20">
              <w:rPr>
                <w:b/>
                <w:bCs/>
                <w:color w:val="000000"/>
                <w:sz w:val="22"/>
                <w:szCs w:val="22"/>
              </w:rPr>
              <w:t>FY 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35FCA13" w14:textId="77777777" w:rsidR="00E816C8" w:rsidRPr="001E5C20" w:rsidRDefault="00E816C8" w:rsidP="00E816C8">
            <w:pPr>
              <w:widowControl/>
              <w:autoSpaceDE/>
              <w:autoSpaceDN/>
              <w:adjustRightInd/>
              <w:jc w:val="center"/>
              <w:rPr>
                <w:b/>
                <w:bCs/>
                <w:color w:val="000000"/>
                <w:sz w:val="22"/>
                <w:szCs w:val="22"/>
              </w:rPr>
            </w:pPr>
            <w:r w:rsidRPr="001E5C20">
              <w:rPr>
                <w:b/>
                <w:bCs/>
                <w:color w:val="000000"/>
                <w:sz w:val="22"/>
                <w:szCs w:val="22"/>
              </w:rPr>
              <w:t>FY 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CD8036F" w14:textId="77777777" w:rsidR="00E816C8" w:rsidRPr="001E5C20" w:rsidRDefault="00E816C8" w:rsidP="00E816C8">
            <w:pPr>
              <w:widowControl/>
              <w:autoSpaceDE/>
              <w:autoSpaceDN/>
              <w:adjustRightInd/>
              <w:jc w:val="center"/>
              <w:rPr>
                <w:b/>
                <w:bCs/>
                <w:color w:val="000000"/>
                <w:sz w:val="22"/>
                <w:szCs w:val="22"/>
              </w:rPr>
            </w:pPr>
            <w:r w:rsidRPr="001E5C20">
              <w:rPr>
                <w:b/>
                <w:bCs/>
                <w:color w:val="000000"/>
                <w:sz w:val="22"/>
                <w:szCs w:val="22"/>
              </w:rPr>
              <w:t>FY 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088C91" w14:textId="77777777" w:rsidR="00E816C8" w:rsidRPr="001E5C20" w:rsidRDefault="00E816C8" w:rsidP="00E816C8">
            <w:pPr>
              <w:widowControl/>
              <w:autoSpaceDE/>
              <w:autoSpaceDN/>
              <w:adjustRightInd/>
              <w:jc w:val="center"/>
              <w:rPr>
                <w:b/>
                <w:bCs/>
                <w:color w:val="000000"/>
                <w:sz w:val="22"/>
                <w:szCs w:val="22"/>
              </w:rPr>
            </w:pPr>
            <w:r w:rsidRPr="001E5C20">
              <w:rPr>
                <w:b/>
                <w:bCs/>
                <w:color w:val="000000"/>
                <w:sz w:val="22"/>
                <w:szCs w:val="22"/>
              </w:rPr>
              <w:t>FY 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058F50" w14:textId="77777777" w:rsidR="00E816C8" w:rsidRPr="001E5C20" w:rsidRDefault="00E816C8" w:rsidP="00E816C8">
            <w:pPr>
              <w:widowControl/>
              <w:autoSpaceDE/>
              <w:autoSpaceDN/>
              <w:adjustRightInd/>
              <w:jc w:val="center"/>
              <w:rPr>
                <w:b/>
                <w:bCs/>
                <w:color w:val="000000"/>
                <w:sz w:val="22"/>
                <w:szCs w:val="22"/>
              </w:rPr>
            </w:pPr>
            <w:r w:rsidRPr="001E5C20">
              <w:rPr>
                <w:b/>
                <w:bCs/>
                <w:color w:val="000000"/>
                <w:sz w:val="22"/>
                <w:szCs w:val="22"/>
              </w:rPr>
              <w:t>FY 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57B4A0" w14:textId="77777777" w:rsidR="00E816C8" w:rsidRPr="001E5C20" w:rsidRDefault="00E816C8" w:rsidP="00E816C8">
            <w:pPr>
              <w:widowControl/>
              <w:autoSpaceDE/>
              <w:autoSpaceDN/>
              <w:adjustRightInd/>
              <w:jc w:val="center"/>
              <w:rPr>
                <w:b/>
                <w:bCs/>
                <w:color w:val="000000"/>
                <w:sz w:val="22"/>
                <w:szCs w:val="22"/>
              </w:rPr>
            </w:pPr>
            <w:r w:rsidRPr="001E5C20">
              <w:rPr>
                <w:b/>
                <w:bCs/>
                <w:color w:val="000000"/>
                <w:sz w:val="22"/>
                <w:szCs w:val="22"/>
              </w:rPr>
              <w:t>Total</w:t>
            </w:r>
          </w:p>
        </w:tc>
      </w:tr>
      <w:tr w:rsidR="00E816C8" w:rsidRPr="00C73AE3" w14:paraId="56AE3E83" w14:textId="77777777" w:rsidTr="00E816C8">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254B" w14:textId="63622B37" w:rsidR="00E816C8" w:rsidRPr="001E5C20" w:rsidRDefault="00E816C8" w:rsidP="00E816C8">
            <w:pPr>
              <w:widowControl/>
              <w:autoSpaceDE/>
              <w:autoSpaceDN/>
              <w:adjustRightInd/>
              <w:rPr>
                <w:b/>
                <w:bCs/>
                <w:color w:val="000000"/>
                <w:sz w:val="22"/>
                <w:szCs w:val="22"/>
              </w:rPr>
            </w:pPr>
            <w:r w:rsidRPr="001E5C20">
              <w:rPr>
                <w:b/>
                <w:bCs/>
                <w:color w:val="000000"/>
                <w:sz w:val="22"/>
                <w:szCs w:val="22"/>
              </w:rPr>
              <w:t xml:space="preserve">8" and Smaller </w:t>
            </w:r>
            <w:r w:rsidR="00156FF6">
              <w:rPr>
                <w:b/>
                <w:bCs/>
                <w:color w:val="000000"/>
                <w:sz w:val="22"/>
                <w:szCs w:val="22"/>
              </w:rPr>
              <w:t>Low Pressure / Intermediate Pressure</w:t>
            </w:r>
          </w:p>
        </w:tc>
        <w:tc>
          <w:tcPr>
            <w:tcW w:w="960" w:type="dxa"/>
            <w:tcBorders>
              <w:top w:val="nil"/>
              <w:left w:val="nil"/>
              <w:bottom w:val="single" w:sz="4" w:space="0" w:color="auto"/>
              <w:right w:val="single" w:sz="4" w:space="0" w:color="auto"/>
            </w:tcBorders>
            <w:shd w:val="clear" w:color="auto" w:fill="auto"/>
            <w:noWrap/>
            <w:vAlign w:val="bottom"/>
            <w:hideMark/>
          </w:tcPr>
          <w:p w14:paraId="435CAB9A"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25.00</w:t>
            </w:r>
          </w:p>
        </w:tc>
        <w:tc>
          <w:tcPr>
            <w:tcW w:w="960" w:type="dxa"/>
            <w:tcBorders>
              <w:top w:val="nil"/>
              <w:left w:val="nil"/>
              <w:bottom w:val="single" w:sz="4" w:space="0" w:color="auto"/>
              <w:right w:val="single" w:sz="4" w:space="0" w:color="auto"/>
            </w:tcBorders>
            <w:shd w:val="clear" w:color="auto" w:fill="auto"/>
            <w:noWrap/>
            <w:vAlign w:val="bottom"/>
            <w:hideMark/>
          </w:tcPr>
          <w:p w14:paraId="55300870"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25.00</w:t>
            </w:r>
          </w:p>
        </w:tc>
        <w:tc>
          <w:tcPr>
            <w:tcW w:w="960" w:type="dxa"/>
            <w:tcBorders>
              <w:top w:val="nil"/>
              <w:left w:val="nil"/>
              <w:bottom w:val="single" w:sz="4" w:space="0" w:color="auto"/>
              <w:right w:val="single" w:sz="4" w:space="0" w:color="auto"/>
            </w:tcBorders>
            <w:shd w:val="clear" w:color="auto" w:fill="auto"/>
            <w:noWrap/>
            <w:vAlign w:val="bottom"/>
            <w:hideMark/>
          </w:tcPr>
          <w:p w14:paraId="2EC09432"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25.00</w:t>
            </w:r>
          </w:p>
        </w:tc>
        <w:tc>
          <w:tcPr>
            <w:tcW w:w="960" w:type="dxa"/>
            <w:tcBorders>
              <w:top w:val="nil"/>
              <w:left w:val="nil"/>
              <w:bottom w:val="single" w:sz="4" w:space="0" w:color="auto"/>
              <w:right w:val="single" w:sz="4" w:space="0" w:color="auto"/>
            </w:tcBorders>
            <w:shd w:val="clear" w:color="auto" w:fill="auto"/>
            <w:noWrap/>
            <w:vAlign w:val="bottom"/>
            <w:hideMark/>
          </w:tcPr>
          <w:p w14:paraId="2D01FE09"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25.00</w:t>
            </w:r>
          </w:p>
        </w:tc>
        <w:tc>
          <w:tcPr>
            <w:tcW w:w="960" w:type="dxa"/>
            <w:tcBorders>
              <w:top w:val="nil"/>
              <w:left w:val="nil"/>
              <w:bottom w:val="single" w:sz="4" w:space="0" w:color="auto"/>
              <w:right w:val="single" w:sz="4" w:space="0" w:color="auto"/>
            </w:tcBorders>
            <w:shd w:val="clear" w:color="auto" w:fill="auto"/>
            <w:noWrap/>
            <w:vAlign w:val="bottom"/>
            <w:hideMark/>
          </w:tcPr>
          <w:p w14:paraId="407B57C4"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25.00</w:t>
            </w:r>
          </w:p>
        </w:tc>
        <w:tc>
          <w:tcPr>
            <w:tcW w:w="960" w:type="dxa"/>
            <w:tcBorders>
              <w:top w:val="nil"/>
              <w:left w:val="nil"/>
              <w:bottom w:val="single" w:sz="4" w:space="0" w:color="auto"/>
              <w:right w:val="single" w:sz="4" w:space="0" w:color="auto"/>
            </w:tcBorders>
            <w:shd w:val="clear" w:color="auto" w:fill="auto"/>
            <w:noWrap/>
            <w:vAlign w:val="bottom"/>
            <w:hideMark/>
          </w:tcPr>
          <w:p w14:paraId="56E2D265"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125.00</w:t>
            </w:r>
          </w:p>
        </w:tc>
      </w:tr>
      <w:tr w:rsidR="00E816C8" w:rsidRPr="00C73AE3" w14:paraId="5C685966" w14:textId="77777777" w:rsidTr="00E816C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75A10EEA" w14:textId="0DB70AE8" w:rsidR="00E816C8" w:rsidRPr="001E5C20" w:rsidRDefault="00E816C8" w:rsidP="00E816C8">
            <w:pPr>
              <w:widowControl/>
              <w:autoSpaceDE/>
              <w:autoSpaceDN/>
              <w:adjustRightInd/>
              <w:rPr>
                <w:b/>
                <w:bCs/>
                <w:color w:val="000000"/>
                <w:sz w:val="22"/>
                <w:szCs w:val="22"/>
              </w:rPr>
            </w:pPr>
            <w:r w:rsidRPr="001E5C20">
              <w:rPr>
                <w:b/>
                <w:bCs/>
                <w:color w:val="000000"/>
                <w:sz w:val="22"/>
                <w:szCs w:val="22"/>
              </w:rPr>
              <w:t xml:space="preserve">12" and Larger </w:t>
            </w:r>
            <w:r w:rsidR="00156FF6">
              <w:rPr>
                <w:b/>
                <w:bCs/>
                <w:color w:val="000000"/>
                <w:sz w:val="22"/>
                <w:szCs w:val="22"/>
              </w:rPr>
              <w:t>Low Pressure</w:t>
            </w:r>
          </w:p>
        </w:tc>
        <w:tc>
          <w:tcPr>
            <w:tcW w:w="960" w:type="dxa"/>
            <w:tcBorders>
              <w:top w:val="nil"/>
              <w:left w:val="nil"/>
              <w:bottom w:val="single" w:sz="4" w:space="0" w:color="auto"/>
              <w:right w:val="single" w:sz="4" w:space="0" w:color="auto"/>
            </w:tcBorders>
            <w:shd w:val="clear" w:color="auto" w:fill="auto"/>
            <w:noWrap/>
            <w:vAlign w:val="bottom"/>
            <w:hideMark/>
          </w:tcPr>
          <w:p w14:paraId="3EC6135B"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bottom"/>
            <w:hideMark/>
          </w:tcPr>
          <w:p w14:paraId="4FE156B6"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1.35</w:t>
            </w:r>
          </w:p>
        </w:tc>
        <w:tc>
          <w:tcPr>
            <w:tcW w:w="960" w:type="dxa"/>
            <w:tcBorders>
              <w:top w:val="nil"/>
              <w:left w:val="nil"/>
              <w:bottom w:val="single" w:sz="4" w:space="0" w:color="auto"/>
              <w:right w:val="single" w:sz="4" w:space="0" w:color="auto"/>
            </w:tcBorders>
            <w:shd w:val="clear" w:color="auto" w:fill="auto"/>
            <w:noWrap/>
            <w:vAlign w:val="bottom"/>
            <w:hideMark/>
          </w:tcPr>
          <w:p w14:paraId="12C856FE"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bottom"/>
            <w:hideMark/>
          </w:tcPr>
          <w:p w14:paraId="2ABDFDB4"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1.34</w:t>
            </w:r>
          </w:p>
        </w:tc>
        <w:tc>
          <w:tcPr>
            <w:tcW w:w="960" w:type="dxa"/>
            <w:tcBorders>
              <w:top w:val="nil"/>
              <w:left w:val="nil"/>
              <w:bottom w:val="single" w:sz="4" w:space="0" w:color="auto"/>
              <w:right w:val="single" w:sz="4" w:space="0" w:color="auto"/>
            </w:tcBorders>
            <w:shd w:val="clear" w:color="auto" w:fill="auto"/>
            <w:noWrap/>
            <w:vAlign w:val="bottom"/>
            <w:hideMark/>
          </w:tcPr>
          <w:p w14:paraId="55BABB68"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bottom"/>
            <w:hideMark/>
          </w:tcPr>
          <w:p w14:paraId="77B45686"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6.59</w:t>
            </w:r>
          </w:p>
        </w:tc>
      </w:tr>
      <w:tr w:rsidR="00E816C8" w:rsidRPr="00C73AE3" w14:paraId="1DD906D1" w14:textId="77777777" w:rsidTr="00E816C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2A3A8EAC" w14:textId="04D43856" w:rsidR="00E816C8" w:rsidRPr="001E5C20" w:rsidRDefault="00F60F6B" w:rsidP="00E816C8">
            <w:pPr>
              <w:widowControl/>
              <w:autoSpaceDE/>
              <w:autoSpaceDN/>
              <w:adjustRightInd/>
              <w:rPr>
                <w:b/>
                <w:bCs/>
                <w:color w:val="000000"/>
                <w:sz w:val="22"/>
                <w:szCs w:val="22"/>
              </w:rPr>
            </w:pPr>
            <w:r w:rsidRPr="001E5C20">
              <w:rPr>
                <w:b/>
                <w:bCs/>
                <w:color w:val="000000"/>
                <w:sz w:val="22"/>
                <w:szCs w:val="22"/>
              </w:rPr>
              <w:t xml:space="preserve">12" and </w:t>
            </w:r>
            <w:r w:rsidR="00E816C8" w:rsidRPr="001E5C20">
              <w:rPr>
                <w:b/>
                <w:bCs/>
                <w:color w:val="000000"/>
                <w:sz w:val="22"/>
                <w:szCs w:val="22"/>
              </w:rPr>
              <w:t xml:space="preserve">Larger </w:t>
            </w:r>
            <w:r w:rsidR="00156FF6">
              <w:rPr>
                <w:b/>
                <w:bCs/>
                <w:color w:val="000000"/>
                <w:sz w:val="22"/>
                <w:szCs w:val="22"/>
              </w:rPr>
              <w:t>High Pressure</w:t>
            </w:r>
          </w:p>
        </w:tc>
        <w:tc>
          <w:tcPr>
            <w:tcW w:w="960" w:type="dxa"/>
            <w:tcBorders>
              <w:top w:val="nil"/>
              <w:left w:val="nil"/>
              <w:bottom w:val="single" w:sz="4" w:space="0" w:color="auto"/>
              <w:right w:val="single" w:sz="4" w:space="0" w:color="auto"/>
            </w:tcBorders>
            <w:shd w:val="clear" w:color="auto" w:fill="auto"/>
            <w:noWrap/>
            <w:vAlign w:val="bottom"/>
            <w:hideMark/>
          </w:tcPr>
          <w:p w14:paraId="2380368D"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5.50</w:t>
            </w:r>
          </w:p>
        </w:tc>
        <w:tc>
          <w:tcPr>
            <w:tcW w:w="960" w:type="dxa"/>
            <w:tcBorders>
              <w:top w:val="nil"/>
              <w:left w:val="nil"/>
              <w:bottom w:val="single" w:sz="4" w:space="0" w:color="auto"/>
              <w:right w:val="single" w:sz="4" w:space="0" w:color="auto"/>
            </w:tcBorders>
            <w:shd w:val="clear" w:color="auto" w:fill="auto"/>
            <w:noWrap/>
            <w:vAlign w:val="bottom"/>
            <w:hideMark/>
          </w:tcPr>
          <w:p w14:paraId="08B97F71"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5.50</w:t>
            </w:r>
          </w:p>
        </w:tc>
        <w:tc>
          <w:tcPr>
            <w:tcW w:w="960" w:type="dxa"/>
            <w:tcBorders>
              <w:top w:val="nil"/>
              <w:left w:val="nil"/>
              <w:bottom w:val="single" w:sz="4" w:space="0" w:color="auto"/>
              <w:right w:val="single" w:sz="4" w:space="0" w:color="auto"/>
            </w:tcBorders>
            <w:shd w:val="clear" w:color="auto" w:fill="auto"/>
            <w:noWrap/>
            <w:vAlign w:val="bottom"/>
            <w:hideMark/>
          </w:tcPr>
          <w:p w14:paraId="4F5AB8B7"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5.30</w:t>
            </w:r>
          </w:p>
        </w:tc>
        <w:tc>
          <w:tcPr>
            <w:tcW w:w="960" w:type="dxa"/>
            <w:tcBorders>
              <w:top w:val="nil"/>
              <w:left w:val="nil"/>
              <w:bottom w:val="single" w:sz="4" w:space="0" w:color="auto"/>
              <w:right w:val="single" w:sz="4" w:space="0" w:color="auto"/>
            </w:tcBorders>
            <w:shd w:val="clear" w:color="auto" w:fill="auto"/>
            <w:noWrap/>
            <w:vAlign w:val="bottom"/>
            <w:hideMark/>
          </w:tcPr>
          <w:p w14:paraId="666D13D4"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5.25</w:t>
            </w:r>
          </w:p>
        </w:tc>
        <w:tc>
          <w:tcPr>
            <w:tcW w:w="960" w:type="dxa"/>
            <w:tcBorders>
              <w:top w:val="nil"/>
              <w:left w:val="nil"/>
              <w:bottom w:val="single" w:sz="4" w:space="0" w:color="auto"/>
              <w:right w:val="single" w:sz="4" w:space="0" w:color="auto"/>
            </w:tcBorders>
            <w:shd w:val="clear" w:color="auto" w:fill="auto"/>
            <w:noWrap/>
            <w:vAlign w:val="bottom"/>
            <w:hideMark/>
          </w:tcPr>
          <w:p w14:paraId="019E9392"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5.15</w:t>
            </w:r>
          </w:p>
        </w:tc>
        <w:tc>
          <w:tcPr>
            <w:tcW w:w="960" w:type="dxa"/>
            <w:tcBorders>
              <w:top w:val="nil"/>
              <w:left w:val="nil"/>
              <w:bottom w:val="single" w:sz="4" w:space="0" w:color="auto"/>
              <w:right w:val="single" w:sz="4" w:space="0" w:color="auto"/>
            </w:tcBorders>
            <w:shd w:val="clear" w:color="auto" w:fill="auto"/>
            <w:noWrap/>
            <w:vAlign w:val="bottom"/>
            <w:hideMark/>
          </w:tcPr>
          <w:p w14:paraId="3B8FFC90"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26.70</w:t>
            </w:r>
          </w:p>
        </w:tc>
      </w:tr>
      <w:tr w:rsidR="00E816C8" w:rsidRPr="00C73AE3" w14:paraId="68D20C2B" w14:textId="77777777" w:rsidTr="00E816C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29E75173" w14:textId="77777777" w:rsidR="00E816C8" w:rsidRPr="001E5C20" w:rsidRDefault="00E816C8" w:rsidP="00E816C8">
            <w:pPr>
              <w:widowControl/>
              <w:autoSpaceDE/>
              <w:autoSpaceDN/>
              <w:adjustRightInd/>
              <w:rPr>
                <w:b/>
                <w:bCs/>
                <w:color w:val="000000"/>
                <w:sz w:val="22"/>
                <w:szCs w:val="22"/>
              </w:rPr>
            </w:pPr>
            <w:r w:rsidRPr="001E5C20">
              <w:rPr>
                <w:b/>
                <w:bCs/>
                <w:color w:val="000000"/>
                <w:sz w:val="22"/>
                <w:szCs w:val="22"/>
              </w:rPr>
              <w:t>Abandonment for Non-Use</w:t>
            </w:r>
          </w:p>
        </w:tc>
        <w:tc>
          <w:tcPr>
            <w:tcW w:w="960" w:type="dxa"/>
            <w:tcBorders>
              <w:top w:val="nil"/>
              <w:left w:val="nil"/>
              <w:bottom w:val="single" w:sz="4" w:space="0" w:color="auto"/>
              <w:right w:val="single" w:sz="4" w:space="0" w:color="auto"/>
            </w:tcBorders>
            <w:shd w:val="clear" w:color="auto" w:fill="auto"/>
            <w:noWrap/>
            <w:vAlign w:val="bottom"/>
            <w:hideMark/>
          </w:tcPr>
          <w:p w14:paraId="2A2C743B"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bottom"/>
            <w:hideMark/>
          </w:tcPr>
          <w:p w14:paraId="0673D1E8"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bottom"/>
            <w:hideMark/>
          </w:tcPr>
          <w:p w14:paraId="244855EC"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bottom"/>
            <w:hideMark/>
          </w:tcPr>
          <w:p w14:paraId="061511C2"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bottom"/>
            <w:hideMark/>
          </w:tcPr>
          <w:p w14:paraId="7156FCD7"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bottom"/>
            <w:hideMark/>
          </w:tcPr>
          <w:p w14:paraId="312EBB3E" w14:textId="77777777" w:rsidR="00E816C8" w:rsidRPr="001E5C20" w:rsidRDefault="00E816C8" w:rsidP="00E816C8">
            <w:pPr>
              <w:widowControl/>
              <w:autoSpaceDE/>
              <w:autoSpaceDN/>
              <w:adjustRightInd/>
              <w:jc w:val="right"/>
              <w:rPr>
                <w:color w:val="000000"/>
                <w:sz w:val="22"/>
                <w:szCs w:val="22"/>
              </w:rPr>
            </w:pPr>
            <w:r w:rsidRPr="001E5C20">
              <w:rPr>
                <w:color w:val="000000"/>
                <w:sz w:val="22"/>
                <w:szCs w:val="22"/>
              </w:rPr>
              <w:t>0.00</w:t>
            </w:r>
          </w:p>
        </w:tc>
      </w:tr>
      <w:tr w:rsidR="00E816C8" w:rsidRPr="00C73AE3" w14:paraId="75FE3D51" w14:textId="77777777" w:rsidTr="00E816C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5D29B4DF" w14:textId="77777777" w:rsidR="00E816C8" w:rsidRPr="001E5C20" w:rsidRDefault="00E816C8" w:rsidP="00E816C8">
            <w:pPr>
              <w:widowControl/>
              <w:autoSpaceDE/>
              <w:autoSpaceDN/>
              <w:adjustRightInd/>
              <w:rPr>
                <w:b/>
                <w:bCs/>
                <w:color w:val="000000"/>
                <w:sz w:val="22"/>
                <w:szCs w:val="22"/>
              </w:rPr>
            </w:pPr>
            <w:r w:rsidRPr="001E5C20">
              <w:rPr>
                <w:b/>
                <w:bCs/>
                <w:color w:val="000000"/>
                <w:sz w:val="22"/>
                <w:szCs w:val="22"/>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240CB464" w14:textId="77777777" w:rsidR="00E816C8" w:rsidRPr="001E5C20" w:rsidRDefault="00E816C8" w:rsidP="00E816C8">
            <w:pPr>
              <w:widowControl/>
              <w:autoSpaceDE/>
              <w:autoSpaceDN/>
              <w:adjustRightInd/>
              <w:jc w:val="right"/>
              <w:rPr>
                <w:b/>
                <w:bCs/>
                <w:color w:val="000000"/>
                <w:sz w:val="22"/>
                <w:szCs w:val="22"/>
              </w:rPr>
            </w:pPr>
            <w:r w:rsidRPr="001E5C20">
              <w:rPr>
                <w:b/>
                <w:bCs/>
                <w:color w:val="000000"/>
                <w:sz w:val="22"/>
                <w:szCs w:val="22"/>
              </w:rPr>
              <w:t>31.80</w:t>
            </w:r>
          </w:p>
        </w:tc>
        <w:tc>
          <w:tcPr>
            <w:tcW w:w="960" w:type="dxa"/>
            <w:tcBorders>
              <w:top w:val="nil"/>
              <w:left w:val="nil"/>
              <w:bottom w:val="single" w:sz="4" w:space="0" w:color="auto"/>
              <w:right w:val="single" w:sz="4" w:space="0" w:color="auto"/>
            </w:tcBorders>
            <w:shd w:val="clear" w:color="auto" w:fill="auto"/>
            <w:noWrap/>
            <w:vAlign w:val="bottom"/>
            <w:hideMark/>
          </w:tcPr>
          <w:p w14:paraId="167130F4" w14:textId="77777777" w:rsidR="00E816C8" w:rsidRPr="001E5C20" w:rsidRDefault="00E816C8" w:rsidP="00E816C8">
            <w:pPr>
              <w:widowControl/>
              <w:autoSpaceDE/>
              <w:autoSpaceDN/>
              <w:adjustRightInd/>
              <w:jc w:val="right"/>
              <w:rPr>
                <w:b/>
                <w:bCs/>
                <w:color w:val="000000"/>
                <w:sz w:val="22"/>
                <w:szCs w:val="22"/>
              </w:rPr>
            </w:pPr>
            <w:r w:rsidRPr="001E5C20">
              <w:rPr>
                <w:b/>
                <w:bCs/>
                <w:color w:val="000000"/>
                <w:sz w:val="22"/>
                <w:szCs w:val="22"/>
              </w:rPr>
              <w:t>31.85</w:t>
            </w:r>
          </w:p>
        </w:tc>
        <w:tc>
          <w:tcPr>
            <w:tcW w:w="960" w:type="dxa"/>
            <w:tcBorders>
              <w:top w:val="nil"/>
              <w:left w:val="nil"/>
              <w:bottom w:val="single" w:sz="4" w:space="0" w:color="auto"/>
              <w:right w:val="single" w:sz="4" w:space="0" w:color="auto"/>
            </w:tcBorders>
            <w:shd w:val="clear" w:color="auto" w:fill="auto"/>
            <w:noWrap/>
            <w:vAlign w:val="bottom"/>
            <w:hideMark/>
          </w:tcPr>
          <w:p w14:paraId="0F6FC534" w14:textId="77777777" w:rsidR="00E816C8" w:rsidRPr="001E5C20" w:rsidRDefault="00E816C8" w:rsidP="00E816C8">
            <w:pPr>
              <w:widowControl/>
              <w:autoSpaceDE/>
              <w:autoSpaceDN/>
              <w:adjustRightInd/>
              <w:jc w:val="right"/>
              <w:rPr>
                <w:b/>
                <w:bCs/>
                <w:color w:val="000000"/>
                <w:sz w:val="22"/>
                <w:szCs w:val="22"/>
              </w:rPr>
            </w:pPr>
            <w:r w:rsidRPr="001E5C20">
              <w:rPr>
                <w:b/>
                <w:bCs/>
                <w:color w:val="000000"/>
                <w:sz w:val="22"/>
                <w:szCs w:val="22"/>
              </w:rPr>
              <w:t>31.70</w:t>
            </w:r>
          </w:p>
        </w:tc>
        <w:tc>
          <w:tcPr>
            <w:tcW w:w="960" w:type="dxa"/>
            <w:tcBorders>
              <w:top w:val="nil"/>
              <w:left w:val="nil"/>
              <w:bottom w:val="single" w:sz="4" w:space="0" w:color="auto"/>
              <w:right w:val="single" w:sz="4" w:space="0" w:color="auto"/>
            </w:tcBorders>
            <w:shd w:val="clear" w:color="auto" w:fill="auto"/>
            <w:noWrap/>
            <w:vAlign w:val="bottom"/>
            <w:hideMark/>
          </w:tcPr>
          <w:p w14:paraId="4DED1715" w14:textId="77777777" w:rsidR="00E816C8" w:rsidRPr="001E5C20" w:rsidRDefault="00E816C8" w:rsidP="00E816C8">
            <w:pPr>
              <w:widowControl/>
              <w:autoSpaceDE/>
              <w:autoSpaceDN/>
              <w:adjustRightInd/>
              <w:jc w:val="right"/>
              <w:rPr>
                <w:b/>
                <w:bCs/>
                <w:color w:val="000000"/>
                <w:sz w:val="22"/>
                <w:szCs w:val="22"/>
              </w:rPr>
            </w:pPr>
            <w:r w:rsidRPr="001E5C20">
              <w:rPr>
                <w:b/>
                <w:bCs/>
                <w:color w:val="000000"/>
                <w:sz w:val="22"/>
                <w:szCs w:val="22"/>
              </w:rPr>
              <w:t>31.59</w:t>
            </w:r>
          </w:p>
        </w:tc>
        <w:tc>
          <w:tcPr>
            <w:tcW w:w="960" w:type="dxa"/>
            <w:tcBorders>
              <w:top w:val="nil"/>
              <w:left w:val="nil"/>
              <w:bottom w:val="single" w:sz="4" w:space="0" w:color="auto"/>
              <w:right w:val="single" w:sz="4" w:space="0" w:color="auto"/>
            </w:tcBorders>
            <w:shd w:val="clear" w:color="auto" w:fill="auto"/>
            <w:noWrap/>
            <w:vAlign w:val="bottom"/>
            <w:hideMark/>
          </w:tcPr>
          <w:p w14:paraId="1B9B6D81" w14:textId="77777777" w:rsidR="00E816C8" w:rsidRPr="001E5C20" w:rsidRDefault="00E816C8" w:rsidP="00E816C8">
            <w:pPr>
              <w:widowControl/>
              <w:autoSpaceDE/>
              <w:autoSpaceDN/>
              <w:adjustRightInd/>
              <w:jc w:val="right"/>
              <w:rPr>
                <w:b/>
                <w:bCs/>
                <w:color w:val="000000"/>
                <w:sz w:val="22"/>
                <w:szCs w:val="22"/>
              </w:rPr>
            </w:pPr>
            <w:r w:rsidRPr="001E5C20">
              <w:rPr>
                <w:b/>
                <w:bCs/>
                <w:color w:val="000000"/>
                <w:sz w:val="22"/>
                <w:szCs w:val="22"/>
              </w:rPr>
              <w:t>31.35</w:t>
            </w:r>
          </w:p>
        </w:tc>
        <w:tc>
          <w:tcPr>
            <w:tcW w:w="960" w:type="dxa"/>
            <w:tcBorders>
              <w:top w:val="nil"/>
              <w:left w:val="nil"/>
              <w:bottom w:val="single" w:sz="4" w:space="0" w:color="auto"/>
              <w:right w:val="single" w:sz="4" w:space="0" w:color="auto"/>
            </w:tcBorders>
            <w:shd w:val="clear" w:color="auto" w:fill="auto"/>
            <w:noWrap/>
            <w:vAlign w:val="bottom"/>
            <w:hideMark/>
          </w:tcPr>
          <w:p w14:paraId="34C49E6B" w14:textId="77777777" w:rsidR="00E816C8" w:rsidRPr="001E5C20" w:rsidRDefault="00E816C8" w:rsidP="00E816C8">
            <w:pPr>
              <w:widowControl/>
              <w:autoSpaceDE/>
              <w:autoSpaceDN/>
              <w:adjustRightInd/>
              <w:jc w:val="right"/>
              <w:rPr>
                <w:b/>
                <w:bCs/>
                <w:color w:val="000000"/>
                <w:sz w:val="22"/>
                <w:szCs w:val="22"/>
              </w:rPr>
            </w:pPr>
            <w:r w:rsidRPr="001E5C20">
              <w:rPr>
                <w:b/>
                <w:bCs/>
                <w:color w:val="000000"/>
                <w:sz w:val="22"/>
                <w:szCs w:val="22"/>
              </w:rPr>
              <w:t>158.29</w:t>
            </w:r>
          </w:p>
        </w:tc>
      </w:tr>
    </w:tbl>
    <w:p w14:paraId="35835373" w14:textId="77777777" w:rsidR="00E816C8" w:rsidRPr="00C73AE3" w:rsidRDefault="00E816C8" w:rsidP="00E816C8">
      <w:pPr>
        <w:pStyle w:val="p7"/>
        <w:widowControl/>
        <w:tabs>
          <w:tab w:val="clear" w:pos="782"/>
          <w:tab w:val="clear" w:pos="1133"/>
        </w:tabs>
        <w:spacing w:line="360" w:lineRule="auto"/>
        <w:ind w:left="0" w:firstLine="0"/>
        <w:rPr>
          <w:sz w:val="26"/>
          <w:szCs w:val="26"/>
        </w:rPr>
      </w:pPr>
    </w:p>
    <w:p w14:paraId="4DAAF813" w14:textId="77777777" w:rsidR="0077455C" w:rsidRPr="00F54DF8" w:rsidRDefault="0077455C"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00F54DF8">
        <w:rPr>
          <w:b/>
          <w:sz w:val="26"/>
          <w:szCs w:val="26"/>
        </w:rPr>
        <w:t>Comments</w:t>
      </w:r>
    </w:p>
    <w:p w14:paraId="32FBD8FB" w14:textId="77777777" w:rsidR="0077455C" w:rsidRPr="00F54DF8" w:rsidRDefault="0077455C" w:rsidP="00773D87">
      <w:pPr>
        <w:pStyle w:val="p7"/>
        <w:keepNext/>
        <w:widowControl/>
        <w:tabs>
          <w:tab w:val="clear" w:pos="1133"/>
          <w:tab w:val="left" w:pos="720"/>
          <w:tab w:val="left" w:pos="1350"/>
          <w:tab w:val="left" w:pos="1440"/>
        </w:tabs>
        <w:spacing w:line="360" w:lineRule="auto"/>
        <w:jc w:val="both"/>
        <w:rPr>
          <w:sz w:val="26"/>
          <w:szCs w:val="26"/>
        </w:rPr>
      </w:pPr>
    </w:p>
    <w:p w14:paraId="02BFD421" w14:textId="77777777" w:rsidR="0077455C" w:rsidRPr="00F54DF8" w:rsidRDefault="0077455C" w:rsidP="00A11039">
      <w:pPr>
        <w:pStyle w:val="p7"/>
        <w:widowControl/>
        <w:tabs>
          <w:tab w:val="clear" w:pos="1133"/>
          <w:tab w:val="left" w:pos="720"/>
          <w:tab w:val="left" w:pos="1350"/>
          <w:tab w:val="left" w:pos="1440"/>
        </w:tabs>
        <w:spacing w:line="360" w:lineRule="auto"/>
        <w:ind w:left="0" w:firstLine="720"/>
        <w:rPr>
          <w:sz w:val="26"/>
          <w:szCs w:val="26"/>
        </w:rPr>
      </w:pPr>
      <w:r w:rsidRPr="00F54DF8">
        <w:rPr>
          <w:sz w:val="26"/>
          <w:szCs w:val="26"/>
        </w:rPr>
        <w:t>No comments were received regarding the schedule for planned repair and replacement of eligible property.</w:t>
      </w:r>
    </w:p>
    <w:p w14:paraId="2F13AB76" w14:textId="5DC27B23" w:rsidR="005F44AF" w:rsidRDefault="005F44AF">
      <w:pPr>
        <w:widowControl/>
        <w:autoSpaceDE/>
        <w:autoSpaceDN/>
        <w:adjustRightInd/>
        <w:rPr>
          <w:sz w:val="26"/>
          <w:szCs w:val="26"/>
        </w:rPr>
      </w:pPr>
      <w:r>
        <w:rPr>
          <w:sz w:val="26"/>
          <w:szCs w:val="26"/>
        </w:rPr>
        <w:br w:type="page"/>
      </w:r>
    </w:p>
    <w:p w14:paraId="00BA27D8" w14:textId="77777777" w:rsidR="0077455C" w:rsidRPr="00F54DF8" w:rsidRDefault="0077455C" w:rsidP="00773D87">
      <w:pPr>
        <w:pStyle w:val="p7"/>
        <w:widowControl/>
        <w:tabs>
          <w:tab w:val="clear" w:pos="1133"/>
          <w:tab w:val="left" w:pos="720"/>
          <w:tab w:val="left" w:pos="1350"/>
          <w:tab w:val="left" w:pos="1440"/>
        </w:tabs>
        <w:spacing w:line="360" w:lineRule="auto"/>
        <w:ind w:left="0" w:firstLine="0"/>
        <w:jc w:val="both"/>
        <w:rPr>
          <w:b/>
          <w:sz w:val="26"/>
          <w:szCs w:val="26"/>
        </w:rPr>
      </w:pPr>
      <w:r w:rsidRPr="00F54DF8">
        <w:rPr>
          <w:b/>
          <w:sz w:val="26"/>
          <w:szCs w:val="26"/>
        </w:rPr>
        <w:lastRenderedPageBreak/>
        <w:t>Resolution</w:t>
      </w:r>
    </w:p>
    <w:p w14:paraId="009734EE" w14:textId="77777777" w:rsidR="0077455C" w:rsidRPr="00F54DF8" w:rsidRDefault="0077455C" w:rsidP="00773D87">
      <w:pPr>
        <w:pStyle w:val="p7"/>
        <w:widowControl/>
        <w:tabs>
          <w:tab w:val="clear" w:pos="1133"/>
          <w:tab w:val="left" w:pos="720"/>
          <w:tab w:val="left" w:pos="1350"/>
          <w:tab w:val="left" w:pos="1440"/>
        </w:tabs>
        <w:spacing w:line="360" w:lineRule="auto"/>
        <w:jc w:val="both"/>
        <w:rPr>
          <w:b/>
          <w:sz w:val="26"/>
          <w:szCs w:val="26"/>
        </w:rPr>
      </w:pPr>
    </w:p>
    <w:p w14:paraId="43D64F6D" w14:textId="38EB1AC1" w:rsidR="0077455C" w:rsidRPr="00F54DF8" w:rsidRDefault="0077455C" w:rsidP="00A11039">
      <w:pPr>
        <w:pStyle w:val="p2"/>
        <w:widowControl/>
        <w:tabs>
          <w:tab w:val="clear" w:pos="1445"/>
          <w:tab w:val="left" w:pos="720"/>
        </w:tabs>
        <w:spacing w:line="360" w:lineRule="auto"/>
        <w:ind w:firstLine="720"/>
        <w:rPr>
          <w:sz w:val="26"/>
          <w:szCs w:val="26"/>
        </w:rPr>
      </w:pPr>
      <w:r w:rsidRPr="00F54DF8">
        <w:rPr>
          <w:sz w:val="26"/>
          <w:szCs w:val="26"/>
        </w:rPr>
        <w:t xml:space="preserve">Upon review of PGW’s </w:t>
      </w:r>
      <w:r w:rsidR="00156FF6">
        <w:rPr>
          <w:sz w:val="26"/>
          <w:szCs w:val="26"/>
        </w:rPr>
        <w:t>Second</w:t>
      </w:r>
      <w:r w:rsidR="00222C04">
        <w:rPr>
          <w:sz w:val="26"/>
          <w:szCs w:val="26"/>
        </w:rPr>
        <w:t xml:space="preserve"> LTIIP</w:t>
      </w:r>
      <w:r w:rsidRPr="00F54DF8">
        <w:rPr>
          <w:sz w:val="26"/>
          <w:szCs w:val="26"/>
        </w:rPr>
        <w:t xml:space="preserve">, </w:t>
      </w:r>
      <w:r w:rsidR="00AF2028" w:rsidRPr="00F54DF8">
        <w:rPr>
          <w:sz w:val="26"/>
          <w:szCs w:val="26"/>
        </w:rPr>
        <w:t xml:space="preserve">the Commission finds that </w:t>
      </w:r>
      <w:r w:rsidR="00AF2028">
        <w:rPr>
          <w:sz w:val="26"/>
          <w:szCs w:val="26"/>
        </w:rPr>
        <w:t xml:space="preserve">PGW’s Second LTIIP fulfills the </w:t>
      </w:r>
      <w:r w:rsidR="00AF2028" w:rsidRPr="00F54DF8">
        <w:rPr>
          <w:sz w:val="26"/>
          <w:szCs w:val="26"/>
        </w:rPr>
        <w:t xml:space="preserve">requirements of </w:t>
      </w:r>
      <w:r w:rsidR="00AF2028" w:rsidRPr="00C01398">
        <w:rPr>
          <w:sz w:val="26"/>
          <w:szCs w:val="26"/>
        </w:rPr>
        <w:t>52 Pa. Code § 121.3</w:t>
      </w:r>
      <w:r w:rsidR="00AF2028">
        <w:rPr>
          <w:sz w:val="26"/>
          <w:szCs w:val="26"/>
        </w:rPr>
        <w:t>(a)(2)</w:t>
      </w:r>
      <w:r w:rsidRPr="00F54DF8">
        <w:rPr>
          <w:sz w:val="26"/>
          <w:szCs w:val="26"/>
        </w:rPr>
        <w:t xml:space="preserve"> </w:t>
      </w:r>
      <w:r w:rsidR="00B80699">
        <w:rPr>
          <w:sz w:val="26"/>
          <w:szCs w:val="26"/>
        </w:rPr>
        <w:t>by providing a</w:t>
      </w:r>
      <w:r w:rsidRPr="00F54DF8">
        <w:rPr>
          <w:sz w:val="26"/>
          <w:szCs w:val="26"/>
        </w:rPr>
        <w:t xml:space="preserve"> schedule for planned repair and replacement of eligible property</w:t>
      </w:r>
      <w:r w:rsidR="00E816C8" w:rsidRPr="00F54DF8">
        <w:rPr>
          <w:sz w:val="26"/>
          <w:szCs w:val="26"/>
        </w:rPr>
        <w:t>.</w:t>
      </w:r>
      <w:r w:rsidRPr="00F54DF8">
        <w:rPr>
          <w:sz w:val="26"/>
          <w:szCs w:val="26"/>
        </w:rPr>
        <w:t xml:space="preserve">   </w:t>
      </w:r>
    </w:p>
    <w:p w14:paraId="0FB1DA15" w14:textId="77777777" w:rsidR="0077455C" w:rsidRPr="00F54DF8" w:rsidRDefault="0077455C" w:rsidP="00773D87">
      <w:pPr>
        <w:pStyle w:val="p7"/>
        <w:widowControl/>
        <w:tabs>
          <w:tab w:val="clear" w:pos="1133"/>
          <w:tab w:val="left" w:pos="720"/>
          <w:tab w:val="left" w:pos="1350"/>
          <w:tab w:val="left" w:pos="1440"/>
        </w:tabs>
        <w:spacing w:line="360" w:lineRule="auto"/>
        <w:ind w:left="0" w:firstLine="0"/>
        <w:jc w:val="both"/>
        <w:rPr>
          <w:sz w:val="26"/>
          <w:szCs w:val="26"/>
        </w:rPr>
      </w:pPr>
    </w:p>
    <w:p w14:paraId="35081BD1" w14:textId="77777777" w:rsidR="0077455C" w:rsidRPr="00F54DF8" w:rsidRDefault="00135912" w:rsidP="00F939FA">
      <w:pPr>
        <w:pStyle w:val="p7"/>
        <w:keepNext/>
        <w:widowControl/>
        <w:tabs>
          <w:tab w:val="clear" w:pos="1133"/>
          <w:tab w:val="left" w:pos="720"/>
          <w:tab w:val="left" w:pos="1350"/>
          <w:tab w:val="left" w:pos="1440"/>
          <w:tab w:val="left" w:pos="1530"/>
        </w:tabs>
        <w:spacing w:line="360" w:lineRule="auto"/>
        <w:ind w:left="720" w:firstLine="0"/>
        <w:rPr>
          <w:b/>
          <w:sz w:val="26"/>
          <w:szCs w:val="26"/>
        </w:rPr>
      </w:pPr>
      <w:r w:rsidRPr="00F54DF8">
        <w:rPr>
          <w:b/>
          <w:sz w:val="26"/>
          <w:szCs w:val="26"/>
        </w:rPr>
        <w:t xml:space="preserve">(3) </w:t>
      </w:r>
      <w:r w:rsidR="0077455C" w:rsidRPr="00F54DF8">
        <w:rPr>
          <w:b/>
          <w:sz w:val="26"/>
          <w:szCs w:val="26"/>
        </w:rPr>
        <w:t>LOCATION OF THE ELIGIBLE PROPERTY</w:t>
      </w:r>
    </w:p>
    <w:p w14:paraId="131FDFA5" w14:textId="77777777" w:rsidR="0077455C" w:rsidRPr="00F54DF8" w:rsidRDefault="0077455C" w:rsidP="00F939FA">
      <w:pPr>
        <w:pStyle w:val="p7"/>
        <w:keepNext/>
        <w:widowControl/>
        <w:tabs>
          <w:tab w:val="clear" w:pos="1133"/>
          <w:tab w:val="left" w:pos="720"/>
          <w:tab w:val="left" w:pos="1350"/>
          <w:tab w:val="left" w:pos="1440"/>
          <w:tab w:val="left" w:pos="1530"/>
        </w:tabs>
        <w:spacing w:line="360" w:lineRule="auto"/>
        <w:jc w:val="both"/>
        <w:rPr>
          <w:sz w:val="26"/>
          <w:szCs w:val="26"/>
        </w:rPr>
      </w:pPr>
    </w:p>
    <w:p w14:paraId="48D371B1" w14:textId="77777777" w:rsidR="0077455C" w:rsidRPr="00F54DF8" w:rsidRDefault="00B3173B" w:rsidP="00F939FA">
      <w:pPr>
        <w:pStyle w:val="p7"/>
        <w:keepNext/>
        <w:widowControl/>
        <w:tabs>
          <w:tab w:val="clear" w:pos="1133"/>
          <w:tab w:val="left" w:pos="720"/>
          <w:tab w:val="left" w:pos="1350"/>
          <w:tab w:val="left" w:pos="1440"/>
          <w:tab w:val="left" w:pos="1530"/>
        </w:tabs>
        <w:spacing w:line="360" w:lineRule="auto"/>
        <w:ind w:left="0" w:firstLine="0"/>
        <w:rPr>
          <w:b/>
          <w:sz w:val="26"/>
          <w:szCs w:val="26"/>
        </w:rPr>
      </w:pPr>
      <w:r w:rsidRPr="00F54DF8">
        <w:rPr>
          <w:b/>
          <w:sz w:val="26"/>
          <w:szCs w:val="26"/>
        </w:rPr>
        <w:t xml:space="preserve">PGW’s </w:t>
      </w:r>
      <w:r w:rsidR="00F54DF8" w:rsidRPr="00F54DF8">
        <w:rPr>
          <w:b/>
          <w:sz w:val="26"/>
          <w:szCs w:val="26"/>
        </w:rPr>
        <w:t>Position</w:t>
      </w:r>
    </w:p>
    <w:p w14:paraId="72BD6857" w14:textId="77777777" w:rsidR="0077455C" w:rsidRPr="00F54DF8" w:rsidRDefault="0077455C" w:rsidP="00F939FA">
      <w:pPr>
        <w:pStyle w:val="p7"/>
        <w:keepNext/>
        <w:widowControl/>
        <w:tabs>
          <w:tab w:val="clear" w:pos="1133"/>
          <w:tab w:val="left" w:pos="720"/>
          <w:tab w:val="left" w:pos="1350"/>
          <w:tab w:val="left" w:pos="1440"/>
          <w:tab w:val="left" w:pos="1530"/>
        </w:tabs>
        <w:spacing w:line="360" w:lineRule="auto"/>
        <w:ind w:left="0" w:firstLine="0"/>
        <w:rPr>
          <w:b/>
          <w:sz w:val="26"/>
          <w:szCs w:val="26"/>
        </w:rPr>
      </w:pPr>
    </w:p>
    <w:p w14:paraId="6758D806" w14:textId="288876C3" w:rsidR="0077455C" w:rsidRPr="00F54DF8" w:rsidRDefault="00A11039" w:rsidP="00A11039">
      <w:pPr>
        <w:pStyle w:val="p7"/>
        <w:widowControl/>
        <w:tabs>
          <w:tab w:val="clear" w:pos="1133"/>
          <w:tab w:val="left" w:pos="720"/>
          <w:tab w:val="left" w:pos="1350"/>
          <w:tab w:val="left" w:pos="1440"/>
          <w:tab w:val="left" w:pos="1530"/>
        </w:tabs>
        <w:spacing w:line="360" w:lineRule="auto"/>
        <w:ind w:left="0" w:firstLine="0"/>
        <w:rPr>
          <w:sz w:val="26"/>
          <w:szCs w:val="26"/>
        </w:rPr>
      </w:pPr>
      <w:r>
        <w:rPr>
          <w:sz w:val="26"/>
          <w:szCs w:val="26"/>
        </w:rPr>
        <w:tab/>
      </w:r>
      <w:r w:rsidR="0077455C" w:rsidRPr="00F54DF8">
        <w:rPr>
          <w:sz w:val="26"/>
          <w:szCs w:val="26"/>
        </w:rPr>
        <w:t>Eligible property is located throughout the City of Philadelphia as follows:</w:t>
      </w:r>
    </w:p>
    <w:p w14:paraId="56645949"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0"/>
        <w:rPr>
          <w:sz w:val="26"/>
          <w:szCs w:val="26"/>
        </w:rPr>
      </w:pPr>
    </w:p>
    <w:p w14:paraId="62C23011" w14:textId="32BA8D72" w:rsidR="0077455C" w:rsidRPr="00F54DF8" w:rsidRDefault="0077455C" w:rsidP="001E5C20">
      <w:pPr>
        <w:pStyle w:val="p2"/>
        <w:widowControl/>
        <w:numPr>
          <w:ilvl w:val="0"/>
          <w:numId w:val="34"/>
        </w:numPr>
        <w:spacing w:line="360" w:lineRule="auto"/>
        <w:rPr>
          <w:sz w:val="26"/>
          <w:szCs w:val="26"/>
        </w:rPr>
      </w:pPr>
      <w:r w:rsidRPr="00F54DF8">
        <w:rPr>
          <w:sz w:val="26"/>
          <w:szCs w:val="26"/>
        </w:rPr>
        <w:t xml:space="preserve">Approximately </w:t>
      </w:r>
      <w:r w:rsidR="00E816C8" w:rsidRPr="00F54DF8">
        <w:rPr>
          <w:sz w:val="26"/>
          <w:szCs w:val="26"/>
        </w:rPr>
        <w:t>190</w:t>
      </w:r>
      <w:r w:rsidR="0058461D">
        <w:rPr>
          <w:sz w:val="26"/>
          <w:szCs w:val="26"/>
        </w:rPr>
        <w:t xml:space="preserve"> miles of 12” </w:t>
      </w:r>
      <w:r w:rsidRPr="00F54DF8">
        <w:rPr>
          <w:sz w:val="26"/>
          <w:szCs w:val="26"/>
        </w:rPr>
        <w:t xml:space="preserve">and </w:t>
      </w:r>
      <w:r w:rsidR="00E816C8" w:rsidRPr="00F54DF8">
        <w:rPr>
          <w:sz w:val="26"/>
          <w:szCs w:val="26"/>
        </w:rPr>
        <w:t>larger</w:t>
      </w:r>
      <w:r w:rsidRPr="00F54DF8">
        <w:rPr>
          <w:sz w:val="26"/>
          <w:szCs w:val="26"/>
        </w:rPr>
        <w:t xml:space="preserve"> </w:t>
      </w:r>
      <w:r w:rsidR="00E816C8" w:rsidRPr="00F54DF8">
        <w:rPr>
          <w:sz w:val="26"/>
          <w:szCs w:val="26"/>
        </w:rPr>
        <w:t>LP</w:t>
      </w:r>
      <w:r w:rsidRPr="00F54DF8">
        <w:rPr>
          <w:sz w:val="26"/>
          <w:szCs w:val="26"/>
        </w:rPr>
        <w:t xml:space="preserve"> cast iron main (</w:t>
      </w:r>
      <w:r w:rsidR="00E816C8" w:rsidRPr="00F54DF8">
        <w:rPr>
          <w:sz w:val="26"/>
          <w:szCs w:val="26"/>
        </w:rPr>
        <w:t xml:space="preserve">4.5” </w:t>
      </w:r>
      <w:r w:rsidR="00C73AE3">
        <w:rPr>
          <w:sz w:val="26"/>
          <w:szCs w:val="26"/>
        </w:rPr>
        <w:t>WC</w:t>
      </w:r>
      <w:r w:rsidR="00E816C8" w:rsidRPr="00F54DF8">
        <w:rPr>
          <w:sz w:val="26"/>
          <w:szCs w:val="26"/>
        </w:rPr>
        <w:t xml:space="preserve"> to 14” </w:t>
      </w:r>
      <w:r w:rsidR="00C73AE3">
        <w:rPr>
          <w:sz w:val="26"/>
          <w:szCs w:val="26"/>
        </w:rPr>
        <w:t>WC</w:t>
      </w:r>
      <w:r w:rsidRPr="00F54DF8">
        <w:rPr>
          <w:sz w:val="26"/>
          <w:szCs w:val="26"/>
        </w:rPr>
        <w:t>)</w:t>
      </w:r>
      <w:r w:rsidR="00C73AE3">
        <w:rPr>
          <w:sz w:val="26"/>
          <w:szCs w:val="26"/>
        </w:rPr>
        <w:t xml:space="preserve">.  </w:t>
      </w:r>
      <w:r w:rsidR="00E816C8" w:rsidRPr="00F54DF8">
        <w:rPr>
          <w:sz w:val="26"/>
          <w:szCs w:val="26"/>
        </w:rPr>
        <w:t xml:space="preserve">PGW plans to remove 6.59 miles during the </w:t>
      </w:r>
      <w:r w:rsidR="00C73AE3">
        <w:rPr>
          <w:sz w:val="26"/>
          <w:szCs w:val="26"/>
        </w:rPr>
        <w:t>Second</w:t>
      </w:r>
      <w:r w:rsidR="00222C04">
        <w:rPr>
          <w:sz w:val="26"/>
          <w:szCs w:val="26"/>
        </w:rPr>
        <w:t xml:space="preserve"> LTIIP</w:t>
      </w:r>
      <w:r w:rsidR="00E816C8" w:rsidRPr="00F54DF8">
        <w:rPr>
          <w:sz w:val="26"/>
          <w:szCs w:val="26"/>
        </w:rPr>
        <w:t xml:space="preserve"> period</w:t>
      </w:r>
      <w:r w:rsidRPr="00F54DF8">
        <w:rPr>
          <w:sz w:val="26"/>
          <w:szCs w:val="26"/>
        </w:rPr>
        <w:t xml:space="preserve">. </w:t>
      </w:r>
    </w:p>
    <w:p w14:paraId="4EBAE141" w14:textId="12F61DE9" w:rsidR="0077455C" w:rsidRPr="00F54DF8" w:rsidRDefault="0077455C" w:rsidP="001E5C20">
      <w:pPr>
        <w:pStyle w:val="p2"/>
        <w:widowControl/>
        <w:numPr>
          <w:ilvl w:val="0"/>
          <w:numId w:val="34"/>
        </w:numPr>
        <w:spacing w:line="360" w:lineRule="auto"/>
        <w:rPr>
          <w:sz w:val="26"/>
          <w:szCs w:val="26"/>
        </w:rPr>
      </w:pPr>
      <w:r w:rsidRPr="00F54DF8">
        <w:rPr>
          <w:sz w:val="26"/>
          <w:szCs w:val="26"/>
        </w:rPr>
        <w:t xml:space="preserve">Approximately </w:t>
      </w:r>
      <w:r w:rsidR="00E816C8" w:rsidRPr="00F54DF8">
        <w:rPr>
          <w:sz w:val="26"/>
          <w:szCs w:val="26"/>
        </w:rPr>
        <w:t>71</w:t>
      </w:r>
      <w:r w:rsidRPr="00F54DF8">
        <w:rPr>
          <w:sz w:val="26"/>
          <w:szCs w:val="26"/>
        </w:rPr>
        <w:t xml:space="preserve"> miles of </w:t>
      </w:r>
      <w:r w:rsidR="00A25B2B" w:rsidRPr="00F54DF8">
        <w:rPr>
          <w:sz w:val="26"/>
          <w:szCs w:val="26"/>
        </w:rPr>
        <w:t>12” and larger</w:t>
      </w:r>
      <w:r w:rsidRPr="00F54DF8">
        <w:rPr>
          <w:sz w:val="26"/>
          <w:szCs w:val="26"/>
        </w:rPr>
        <w:t xml:space="preserve"> </w:t>
      </w:r>
      <w:r w:rsidR="00C73AE3">
        <w:rPr>
          <w:sz w:val="26"/>
          <w:szCs w:val="26"/>
        </w:rPr>
        <w:t>high pressure (</w:t>
      </w:r>
      <w:r w:rsidR="00A25B2B" w:rsidRPr="00F54DF8">
        <w:rPr>
          <w:sz w:val="26"/>
          <w:szCs w:val="26"/>
        </w:rPr>
        <w:t>HP</w:t>
      </w:r>
      <w:r w:rsidR="00C73AE3">
        <w:rPr>
          <w:sz w:val="26"/>
          <w:szCs w:val="26"/>
        </w:rPr>
        <w:t>)</w:t>
      </w:r>
      <w:r w:rsidR="00A25B2B" w:rsidRPr="00F54DF8">
        <w:rPr>
          <w:sz w:val="26"/>
          <w:szCs w:val="26"/>
        </w:rPr>
        <w:t xml:space="preserve"> </w:t>
      </w:r>
      <w:r w:rsidRPr="00F54DF8">
        <w:rPr>
          <w:sz w:val="26"/>
          <w:szCs w:val="26"/>
        </w:rPr>
        <w:t>cast iron main (10 to 35 psig)</w:t>
      </w:r>
      <w:r w:rsidR="00C73AE3">
        <w:rPr>
          <w:sz w:val="26"/>
          <w:szCs w:val="26"/>
        </w:rPr>
        <w:t xml:space="preserve">.  </w:t>
      </w:r>
      <w:r w:rsidR="00A25B2B" w:rsidRPr="00F54DF8">
        <w:rPr>
          <w:sz w:val="26"/>
          <w:szCs w:val="26"/>
        </w:rPr>
        <w:t xml:space="preserve">PGW plans to remove 26.7 miles during the </w:t>
      </w:r>
      <w:r w:rsidR="00C73AE3">
        <w:rPr>
          <w:sz w:val="26"/>
          <w:szCs w:val="26"/>
        </w:rPr>
        <w:t xml:space="preserve">Second </w:t>
      </w:r>
      <w:r w:rsidR="00222C04">
        <w:rPr>
          <w:sz w:val="26"/>
          <w:szCs w:val="26"/>
        </w:rPr>
        <w:t>LTIIP</w:t>
      </w:r>
      <w:r w:rsidR="00A25B2B" w:rsidRPr="00F54DF8">
        <w:rPr>
          <w:sz w:val="26"/>
          <w:szCs w:val="26"/>
        </w:rPr>
        <w:t xml:space="preserve"> period</w:t>
      </w:r>
      <w:r w:rsidRPr="00F54DF8">
        <w:rPr>
          <w:sz w:val="26"/>
          <w:szCs w:val="26"/>
        </w:rPr>
        <w:t>.</w:t>
      </w:r>
    </w:p>
    <w:p w14:paraId="726055B9" w14:textId="2475FF07" w:rsidR="0077455C" w:rsidRPr="00F54DF8" w:rsidRDefault="0077455C" w:rsidP="001E5C20">
      <w:pPr>
        <w:pStyle w:val="p2"/>
        <w:widowControl/>
        <w:numPr>
          <w:ilvl w:val="0"/>
          <w:numId w:val="34"/>
        </w:numPr>
        <w:spacing w:line="360" w:lineRule="auto"/>
        <w:rPr>
          <w:sz w:val="26"/>
          <w:szCs w:val="26"/>
        </w:rPr>
      </w:pPr>
      <w:r w:rsidRPr="00F54DF8">
        <w:rPr>
          <w:sz w:val="26"/>
          <w:szCs w:val="26"/>
        </w:rPr>
        <w:t>Approximately 1,</w:t>
      </w:r>
      <w:r w:rsidR="00E816C8" w:rsidRPr="00F54DF8">
        <w:rPr>
          <w:sz w:val="26"/>
          <w:szCs w:val="26"/>
        </w:rPr>
        <w:t>139</w:t>
      </w:r>
      <w:r w:rsidRPr="00F54DF8">
        <w:rPr>
          <w:sz w:val="26"/>
          <w:szCs w:val="26"/>
        </w:rPr>
        <w:t xml:space="preserve"> miles of </w:t>
      </w:r>
      <w:r w:rsidR="00E816C8" w:rsidRPr="00F54DF8">
        <w:rPr>
          <w:sz w:val="26"/>
          <w:szCs w:val="26"/>
        </w:rPr>
        <w:t>10”</w:t>
      </w:r>
      <w:r w:rsidRPr="00F54DF8">
        <w:rPr>
          <w:sz w:val="26"/>
          <w:szCs w:val="26"/>
        </w:rPr>
        <w:t xml:space="preserve"> and smaller LP/</w:t>
      </w:r>
      <w:r w:rsidR="00C73AE3">
        <w:rPr>
          <w:sz w:val="26"/>
          <w:szCs w:val="26"/>
        </w:rPr>
        <w:t>Intermediate Pressure (</w:t>
      </w:r>
      <w:r w:rsidRPr="00F54DF8">
        <w:rPr>
          <w:sz w:val="26"/>
          <w:szCs w:val="26"/>
        </w:rPr>
        <w:t>IP</w:t>
      </w:r>
      <w:r w:rsidR="00C73AE3">
        <w:rPr>
          <w:sz w:val="26"/>
          <w:szCs w:val="26"/>
        </w:rPr>
        <w:t>)</w:t>
      </w:r>
      <w:r w:rsidRPr="00F54DF8">
        <w:rPr>
          <w:sz w:val="26"/>
          <w:szCs w:val="26"/>
        </w:rPr>
        <w:t xml:space="preserve"> cast iron</w:t>
      </w:r>
      <w:r w:rsidR="00E816C8" w:rsidRPr="00F54DF8">
        <w:rPr>
          <w:sz w:val="26"/>
          <w:szCs w:val="26"/>
        </w:rPr>
        <w:t xml:space="preserve"> main (4.5</w:t>
      </w:r>
      <w:r w:rsidR="00C73AE3">
        <w:rPr>
          <w:sz w:val="26"/>
          <w:szCs w:val="26"/>
        </w:rPr>
        <w:t>”</w:t>
      </w:r>
      <w:r w:rsidR="00E816C8" w:rsidRPr="00F54DF8">
        <w:rPr>
          <w:sz w:val="26"/>
          <w:szCs w:val="26"/>
        </w:rPr>
        <w:t xml:space="preserve"> WC to 5 psig)</w:t>
      </w:r>
      <w:r w:rsidR="00C73AE3">
        <w:rPr>
          <w:sz w:val="26"/>
          <w:szCs w:val="26"/>
        </w:rPr>
        <w:t xml:space="preserve">.  </w:t>
      </w:r>
      <w:r w:rsidR="00E816C8" w:rsidRPr="00F54DF8">
        <w:rPr>
          <w:sz w:val="26"/>
          <w:szCs w:val="26"/>
        </w:rPr>
        <w:t xml:space="preserve">PGW plans to remove 125 miles during the </w:t>
      </w:r>
      <w:r w:rsidR="00C73AE3">
        <w:rPr>
          <w:sz w:val="26"/>
          <w:szCs w:val="26"/>
        </w:rPr>
        <w:t>Second</w:t>
      </w:r>
      <w:r w:rsidR="00222C04">
        <w:rPr>
          <w:sz w:val="26"/>
          <w:szCs w:val="26"/>
        </w:rPr>
        <w:t xml:space="preserve"> LTIIP</w:t>
      </w:r>
      <w:r w:rsidR="00E816C8" w:rsidRPr="00F54DF8">
        <w:rPr>
          <w:sz w:val="26"/>
          <w:szCs w:val="26"/>
        </w:rPr>
        <w:t xml:space="preserve"> period</w:t>
      </w:r>
      <w:r w:rsidR="00773D87" w:rsidRPr="00F54DF8">
        <w:rPr>
          <w:sz w:val="26"/>
          <w:szCs w:val="26"/>
        </w:rPr>
        <w:t>.</w:t>
      </w:r>
    </w:p>
    <w:p w14:paraId="74C5959C"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14:paraId="5B09882B"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Comments</w:t>
      </w:r>
    </w:p>
    <w:p w14:paraId="17B9B543"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346" w:hanging="346"/>
        <w:rPr>
          <w:sz w:val="26"/>
          <w:szCs w:val="26"/>
        </w:rPr>
      </w:pPr>
    </w:p>
    <w:p w14:paraId="4A6B846F" w14:textId="77777777" w:rsidR="0077455C" w:rsidRPr="00F54DF8" w:rsidRDefault="0077455C" w:rsidP="00A11039">
      <w:pPr>
        <w:pStyle w:val="p7"/>
        <w:widowControl/>
        <w:tabs>
          <w:tab w:val="clear" w:pos="1133"/>
          <w:tab w:val="left" w:pos="720"/>
          <w:tab w:val="left" w:pos="1350"/>
          <w:tab w:val="left" w:pos="1440"/>
          <w:tab w:val="left" w:pos="1530"/>
        </w:tabs>
        <w:spacing w:line="360" w:lineRule="auto"/>
        <w:ind w:left="0" w:firstLine="720"/>
        <w:rPr>
          <w:sz w:val="26"/>
          <w:szCs w:val="26"/>
        </w:rPr>
      </w:pPr>
      <w:r w:rsidRPr="00F54DF8">
        <w:rPr>
          <w:sz w:val="26"/>
          <w:szCs w:val="26"/>
        </w:rPr>
        <w:t>No comments were received regarding the location of eligible property.</w:t>
      </w:r>
    </w:p>
    <w:p w14:paraId="19C47FE7" w14:textId="5448104D" w:rsidR="0077455C" w:rsidRDefault="0077455C" w:rsidP="00773D87">
      <w:pPr>
        <w:pStyle w:val="p7"/>
        <w:widowControl/>
        <w:tabs>
          <w:tab w:val="clear" w:pos="1133"/>
          <w:tab w:val="left" w:pos="720"/>
          <w:tab w:val="left" w:pos="1350"/>
          <w:tab w:val="left" w:pos="1440"/>
          <w:tab w:val="left" w:pos="1530"/>
        </w:tabs>
        <w:spacing w:line="360" w:lineRule="auto"/>
        <w:ind w:left="0"/>
        <w:rPr>
          <w:sz w:val="26"/>
          <w:szCs w:val="26"/>
        </w:rPr>
      </w:pPr>
    </w:p>
    <w:p w14:paraId="6BA633F6" w14:textId="4CE3AF8E" w:rsidR="00A11039" w:rsidRDefault="00A11039" w:rsidP="00773D87">
      <w:pPr>
        <w:pStyle w:val="p7"/>
        <w:widowControl/>
        <w:tabs>
          <w:tab w:val="clear" w:pos="1133"/>
          <w:tab w:val="left" w:pos="720"/>
          <w:tab w:val="left" w:pos="1350"/>
          <w:tab w:val="left" w:pos="1440"/>
          <w:tab w:val="left" w:pos="1530"/>
        </w:tabs>
        <w:spacing w:line="360" w:lineRule="auto"/>
        <w:ind w:left="0"/>
        <w:rPr>
          <w:sz w:val="26"/>
          <w:szCs w:val="26"/>
        </w:rPr>
      </w:pPr>
    </w:p>
    <w:p w14:paraId="55D2A6F0" w14:textId="0804FAEF" w:rsidR="00A11039" w:rsidRDefault="00A11039" w:rsidP="00773D87">
      <w:pPr>
        <w:pStyle w:val="p7"/>
        <w:widowControl/>
        <w:tabs>
          <w:tab w:val="clear" w:pos="1133"/>
          <w:tab w:val="left" w:pos="720"/>
          <w:tab w:val="left" w:pos="1350"/>
          <w:tab w:val="left" w:pos="1440"/>
          <w:tab w:val="left" w:pos="1530"/>
        </w:tabs>
        <w:spacing w:line="360" w:lineRule="auto"/>
        <w:ind w:left="0"/>
        <w:rPr>
          <w:sz w:val="26"/>
          <w:szCs w:val="26"/>
        </w:rPr>
      </w:pPr>
    </w:p>
    <w:p w14:paraId="421B5913" w14:textId="77777777" w:rsidR="00A11039" w:rsidRPr="00F54DF8" w:rsidRDefault="00A11039" w:rsidP="00773D87">
      <w:pPr>
        <w:pStyle w:val="p7"/>
        <w:widowControl/>
        <w:tabs>
          <w:tab w:val="clear" w:pos="1133"/>
          <w:tab w:val="left" w:pos="720"/>
          <w:tab w:val="left" w:pos="1350"/>
          <w:tab w:val="left" w:pos="1440"/>
          <w:tab w:val="left" w:pos="1530"/>
        </w:tabs>
        <w:spacing w:line="360" w:lineRule="auto"/>
        <w:ind w:left="0"/>
        <w:rPr>
          <w:sz w:val="26"/>
          <w:szCs w:val="26"/>
        </w:rPr>
      </w:pPr>
    </w:p>
    <w:p w14:paraId="226B71C6"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lastRenderedPageBreak/>
        <w:t>Resolution</w:t>
      </w:r>
    </w:p>
    <w:p w14:paraId="0EF87CE5"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0"/>
        <w:rPr>
          <w:b/>
          <w:sz w:val="26"/>
          <w:szCs w:val="26"/>
        </w:rPr>
      </w:pPr>
    </w:p>
    <w:p w14:paraId="662F3C62" w14:textId="7D23BCAA" w:rsidR="00F42567" w:rsidRDefault="0077455C" w:rsidP="004344EC">
      <w:pPr>
        <w:pStyle w:val="p2"/>
        <w:widowControl/>
        <w:spacing w:line="360" w:lineRule="auto"/>
        <w:ind w:firstLine="720"/>
        <w:rPr>
          <w:sz w:val="26"/>
          <w:szCs w:val="26"/>
        </w:rPr>
      </w:pPr>
      <w:r w:rsidRPr="00F54DF8">
        <w:rPr>
          <w:sz w:val="26"/>
          <w:szCs w:val="26"/>
        </w:rPr>
        <w:t xml:space="preserve">Upon review of PGW’s </w:t>
      </w:r>
      <w:r w:rsidR="00222C04">
        <w:rPr>
          <w:sz w:val="26"/>
          <w:szCs w:val="26"/>
        </w:rPr>
        <w:t>S</w:t>
      </w:r>
      <w:r w:rsidR="00C73AE3">
        <w:rPr>
          <w:sz w:val="26"/>
          <w:szCs w:val="26"/>
        </w:rPr>
        <w:t>econd</w:t>
      </w:r>
      <w:r w:rsidR="00222C04">
        <w:rPr>
          <w:sz w:val="26"/>
          <w:szCs w:val="26"/>
        </w:rPr>
        <w:t xml:space="preserve"> LTIIP</w:t>
      </w:r>
      <w:r w:rsidRPr="00F54DF8">
        <w:rPr>
          <w:sz w:val="26"/>
          <w:szCs w:val="26"/>
        </w:rPr>
        <w:t xml:space="preserve">, </w:t>
      </w:r>
      <w:r w:rsidR="00B80699" w:rsidRPr="00F54DF8">
        <w:rPr>
          <w:sz w:val="26"/>
          <w:szCs w:val="26"/>
        </w:rPr>
        <w:t xml:space="preserve">the Commission finds that </w:t>
      </w:r>
      <w:r w:rsidR="00B80699">
        <w:rPr>
          <w:sz w:val="26"/>
          <w:szCs w:val="26"/>
        </w:rPr>
        <w:t xml:space="preserve">PGW’s Second LTIIP fulfills the </w:t>
      </w:r>
      <w:r w:rsidR="00B80699" w:rsidRPr="00F54DF8">
        <w:rPr>
          <w:sz w:val="26"/>
          <w:szCs w:val="26"/>
        </w:rPr>
        <w:t xml:space="preserve">requirements of </w:t>
      </w:r>
      <w:r w:rsidR="00B80699" w:rsidRPr="00C01398">
        <w:rPr>
          <w:sz w:val="26"/>
          <w:szCs w:val="26"/>
        </w:rPr>
        <w:t>52 Pa. Code § 121.3</w:t>
      </w:r>
      <w:r w:rsidR="00B80699">
        <w:rPr>
          <w:sz w:val="26"/>
          <w:szCs w:val="26"/>
        </w:rPr>
        <w:t>(a)(3)</w:t>
      </w:r>
      <w:r w:rsidRPr="00F54DF8">
        <w:rPr>
          <w:sz w:val="26"/>
          <w:szCs w:val="26"/>
        </w:rPr>
        <w:t xml:space="preserve"> </w:t>
      </w:r>
      <w:r w:rsidR="00B80699">
        <w:rPr>
          <w:sz w:val="26"/>
          <w:szCs w:val="26"/>
        </w:rPr>
        <w:t>by providing a general description of</w:t>
      </w:r>
      <w:r w:rsidR="00B80699" w:rsidRPr="00F54DF8">
        <w:rPr>
          <w:sz w:val="26"/>
          <w:szCs w:val="26"/>
        </w:rPr>
        <w:t xml:space="preserve"> </w:t>
      </w:r>
      <w:r w:rsidRPr="00F54DF8">
        <w:rPr>
          <w:sz w:val="26"/>
          <w:szCs w:val="26"/>
        </w:rPr>
        <w:t>the location of eligible property</w:t>
      </w:r>
      <w:r w:rsidR="00A25B2B" w:rsidRPr="00F54DF8">
        <w:rPr>
          <w:sz w:val="26"/>
          <w:szCs w:val="26"/>
        </w:rPr>
        <w:t>.</w:t>
      </w:r>
      <w:r w:rsidRPr="00F54DF8">
        <w:rPr>
          <w:sz w:val="26"/>
          <w:szCs w:val="26"/>
        </w:rPr>
        <w:t xml:space="preserve"> </w:t>
      </w:r>
    </w:p>
    <w:p w14:paraId="6DDC0700" w14:textId="05F369D1" w:rsidR="0077455C" w:rsidRPr="00F54DF8" w:rsidRDefault="0077455C" w:rsidP="004344EC">
      <w:pPr>
        <w:pStyle w:val="p2"/>
        <w:widowControl/>
        <w:spacing w:line="360" w:lineRule="auto"/>
        <w:ind w:firstLine="720"/>
        <w:rPr>
          <w:sz w:val="26"/>
          <w:szCs w:val="26"/>
        </w:rPr>
      </w:pPr>
      <w:r w:rsidRPr="00F54DF8">
        <w:rPr>
          <w:sz w:val="26"/>
          <w:szCs w:val="26"/>
        </w:rPr>
        <w:t xml:space="preserve">  </w:t>
      </w:r>
    </w:p>
    <w:p w14:paraId="7FFE9CA6" w14:textId="77777777" w:rsidR="0077455C" w:rsidRPr="00F54DF8" w:rsidRDefault="00135912" w:rsidP="00135912">
      <w:pPr>
        <w:pStyle w:val="p2"/>
        <w:widowControl/>
        <w:ind w:left="720" w:firstLine="0"/>
        <w:rPr>
          <w:b/>
          <w:sz w:val="26"/>
          <w:szCs w:val="26"/>
        </w:rPr>
      </w:pPr>
      <w:r w:rsidRPr="00F54DF8">
        <w:rPr>
          <w:b/>
          <w:sz w:val="26"/>
          <w:szCs w:val="26"/>
        </w:rPr>
        <w:t xml:space="preserve">(4) </w:t>
      </w:r>
      <w:r w:rsidR="0077455C" w:rsidRPr="00F54DF8">
        <w:rPr>
          <w:b/>
          <w:sz w:val="26"/>
          <w:szCs w:val="26"/>
        </w:rPr>
        <w:t xml:space="preserve">REASONABLE ESTIMATES OF THE QUANTITY OF PROPERTY TO BE IMPROVED </w:t>
      </w:r>
      <w:r w:rsidR="00773D87" w:rsidRPr="00F54DF8">
        <w:rPr>
          <w:b/>
          <w:sz w:val="26"/>
          <w:szCs w:val="26"/>
        </w:rPr>
        <w:t>and</w:t>
      </w:r>
    </w:p>
    <w:p w14:paraId="65CC9A97" w14:textId="77777777" w:rsidR="00914376" w:rsidRPr="00F54DF8" w:rsidRDefault="00914376" w:rsidP="00135912">
      <w:pPr>
        <w:pStyle w:val="p2"/>
        <w:widowControl/>
        <w:ind w:left="720" w:firstLine="0"/>
        <w:rPr>
          <w:b/>
          <w:sz w:val="26"/>
          <w:szCs w:val="26"/>
        </w:rPr>
      </w:pPr>
    </w:p>
    <w:p w14:paraId="755390A8" w14:textId="77777777" w:rsidR="0077455C" w:rsidRPr="00F54DF8" w:rsidRDefault="00135912" w:rsidP="00135912">
      <w:pPr>
        <w:pStyle w:val="p2"/>
        <w:widowControl/>
        <w:ind w:left="720" w:firstLine="0"/>
        <w:rPr>
          <w:b/>
          <w:sz w:val="26"/>
          <w:szCs w:val="26"/>
        </w:rPr>
      </w:pPr>
      <w:r w:rsidRPr="00F54DF8">
        <w:rPr>
          <w:b/>
          <w:sz w:val="26"/>
          <w:szCs w:val="26"/>
        </w:rPr>
        <w:t xml:space="preserve">(5) </w:t>
      </w:r>
      <w:r w:rsidR="0077455C" w:rsidRPr="00F54DF8">
        <w:rPr>
          <w:b/>
          <w:sz w:val="26"/>
          <w:szCs w:val="26"/>
        </w:rPr>
        <w:t>PROJECTED ANNUAL EXPENDITURES AND MEASURES TO ENSURE THAT THE PLAN IS COST EFFECTIVE</w:t>
      </w:r>
    </w:p>
    <w:p w14:paraId="21E17C43" w14:textId="77777777" w:rsidR="00F96482" w:rsidRPr="00F54DF8" w:rsidRDefault="00F96482" w:rsidP="00135912">
      <w:pPr>
        <w:pStyle w:val="p2"/>
        <w:widowControl/>
        <w:ind w:left="720" w:firstLine="0"/>
        <w:rPr>
          <w:b/>
          <w:sz w:val="26"/>
          <w:szCs w:val="26"/>
        </w:rPr>
      </w:pPr>
    </w:p>
    <w:p w14:paraId="6268DA4C" w14:textId="77777777" w:rsidR="00F96482" w:rsidRPr="00F54DF8" w:rsidRDefault="00F96482" w:rsidP="00F96482">
      <w:pPr>
        <w:pStyle w:val="p2"/>
        <w:widowControl/>
        <w:ind w:left="720" w:firstLine="0"/>
        <w:rPr>
          <w:b/>
          <w:sz w:val="26"/>
          <w:szCs w:val="26"/>
        </w:rPr>
      </w:pPr>
      <w:r w:rsidRPr="00F54DF8">
        <w:rPr>
          <w:b/>
          <w:sz w:val="26"/>
          <w:szCs w:val="26"/>
        </w:rPr>
        <w:t>(6) ACCELERATED REPLACEMENT AND MAINTAINING SAFE AND RELIABLE SERVICE</w:t>
      </w:r>
    </w:p>
    <w:p w14:paraId="6B8B8C25" w14:textId="77777777" w:rsidR="00F96482" w:rsidRPr="00F54DF8" w:rsidRDefault="00F96482" w:rsidP="00135912">
      <w:pPr>
        <w:pStyle w:val="p2"/>
        <w:widowControl/>
        <w:ind w:left="720" w:firstLine="0"/>
        <w:rPr>
          <w:b/>
          <w:sz w:val="26"/>
          <w:szCs w:val="26"/>
        </w:rPr>
      </w:pPr>
    </w:p>
    <w:p w14:paraId="18BC615E" w14:textId="77777777" w:rsidR="0077455C" w:rsidRPr="00F54DF8" w:rsidRDefault="00B3173B" w:rsidP="00773D87">
      <w:pPr>
        <w:pStyle w:val="p7"/>
        <w:widowControl/>
        <w:tabs>
          <w:tab w:val="clear" w:pos="1133"/>
          <w:tab w:val="left" w:pos="720"/>
          <w:tab w:val="left" w:pos="1350"/>
          <w:tab w:val="left" w:pos="1440"/>
          <w:tab w:val="left" w:pos="1530"/>
        </w:tabs>
        <w:spacing w:line="360" w:lineRule="auto"/>
        <w:ind w:left="0" w:firstLine="0"/>
        <w:rPr>
          <w:b/>
          <w:sz w:val="26"/>
          <w:szCs w:val="26"/>
        </w:rPr>
      </w:pPr>
      <w:r w:rsidRPr="00F54DF8">
        <w:rPr>
          <w:b/>
          <w:sz w:val="26"/>
          <w:szCs w:val="26"/>
        </w:rPr>
        <w:t xml:space="preserve">PGW’s </w:t>
      </w:r>
      <w:r w:rsidR="00F54DF8" w:rsidRPr="00F54DF8">
        <w:rPr>
          <w:b/>
          <w:sz w:val="26"/>
          <w:szCs w:val="26"/>
        </w:rPr>
        <w:t>Position</w:t>
      </w:r>
    </w:p>
    <w:p w14:paraId="0DF01E61"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14:paraId="4FCA30CD" w14:textId="4F387E15" w:rsidR="0077455C" w:rsidRDefault="0077455C" w:rsidP="00636271">
      <w:pPr>
        <w:pStyle w:val="p7"/>
        <w:widowControl/>
        <w:tabs>
          <w:tab w:val="clear" w:pos="1133"/>
          <w:tab w:val="left" w:pos="720"/>
          <w:tab w:val="left" w:pos="1350"/>
          <w:tab w:val="left" w:pos="1440"/>
          <w:tab w:val="left" w:pos="1530"/>
        </w:tabs>
        <w:spacing w:line="360" w:lineRule="auto"/>
        <w:ind w:left="0" w:firstLine="720"/>
        <w:rPr>
          <w:sz w:val="26"/>
          <w:szCs w:val="26"/>
        </w:rPr>
      </w:pPr>
      <w:r w:rsidRPr="00F54DF8">
        <w:rPr>
          <w:sz w:val="26"/>
          <w:szCs w:val="26"/>
        </w:rPr>
        <w:t xml:space="preserve">PGW’s baseline main replacement program removes 18 miles of </w:t>
      </w:r>
      <w:r w:rsidR="00DD14E5" w:rsidRPr="00F54DF8">
        <w:rPr>
          <w:sz w:val="26"/>
          <w:szCs w:val="26"/>
        </w:rPr>
        <w:t xml:space="preserve">8” or smaller </w:t>
      </w:r>
      <w:r w:rsidRPr="00F54DF8">
        <w:rPr>
          <w:sz w:val="26"/>
          <w:szCs w:val="26"/>
        </w:rPr>
        <w:t>cast iron main annually</w:t>
      </w:r>
      <w:r w:rsidR="00C73AE3">
        <w:rPr>
          <w:sz w:val="26"/>
          <w:szCs w:val="26"/>
        </w:rPr>
        <w:t>.  PGW</w:t>
      </w:r>
      <w:r w:rsidRPr="00F54DF8">
        <w:rPr>
          <w:sz w:val="26"/>
          <w:szCs w:val="26"/>
        </w:rPr>
        <w:t xml:space="preserve"> will seek recovery, via </w:t>
      </w:r>
      <w:r w:rsidR="00DD14E5" w:rsidRPr="00F54DF8">
        <w:rPr>
          <w:sz w:val="26"/>
          <w:szCs w:val="26"/>
        </w:rPr>
        <w:t>its</w:t>
      </w:r>
      <w:r w:rsidRPr="00F54DF8">
        <w:rPr>
          <w:sz w:val="26"/>
          <w:szCs w:val="26"/>
        </w:rPr>
        <w:t xml:space="preserve"> DSIC</w:t>
      </w:r>
      <w:r w:rsidR="00DD14E5" w:rsidRPr="00F54DF8">
        <w:rPr>
          <w:sz w:val="26"/>
          <w:szCs w:val="26"/>
        </w:rPr>
        <w:t xml:space="preserve"> mechanism</w:t>
      </w:r>
      <w:r w:rsidRPr="00F54DF8">
        <w:rPr>
          <w:sz w:val="26"/>
          <w:szCs w:val="26"/>
        </w:rPr>
        <w:t>, for expenditures abo</w:t>
      </w:r>
      <w:r w:rsidR="0042070C" w:rsidRPr="00F54DF8">
        <w:rPr>
          <w:sz w:val="26"/>
          <w:szCs w:val="26"/>
        </w:rPr>
        <w:t>ve</w:t>
      </w:r>
      <w:r w:rsidRPr="00F54DF8">
        <w:rPr>
          <w:sz w:val="26"/>
          <w:szCs w:val="26"/>
        </w:rPr>
        <w:t xml:space="preserve"> the cost of the baseline program on a pay</w:t>
      </w:r>
      <w:r w:rsidR="00C73AE3">
        <w:rPr>
          <w:sz w:val="26"/>
          <w:szCs w:val="26"/>
        </w:rPr>
        <w:t>-</w:t>
      </w:r>
      <w:r w:rsidRPr="00F54DF8">
        <w:rPr>
          <w:sz w:val="26"/>
          <w:szCs w:val="26"/>
        </w:rPr>
        <w:t>as</w:t>
      </w:r>
      <w:r w:rsidR="00C73AE3">
        <w:rPr>
          <w:sz w:val="26"/>
          <w:szCs w:val="26"/>
        </w:rPr>
        <w:t>-</w:t>
      </w:r>
      <w:r w:rsidRPr="00F54DF8">
        <w:rPr>
          <w:sz w:val="26"/>
          <w:szCs w:val="26"/>
        </w:rPr>
        <w:t>you</w:t>
      </w:r>
      <w:r w:rsidR="00C73AE3">
        <w:rPr>
          <w:sz w:val="26"/>
          <w:szCs w:val="26"/>
        </w:rPr>
        <w:t>-</w:t>
      </w:r>
      <w:r w:rsidRPr="00F54DF8">
        <w:rPr>
          <w:sz w:val="26"/>
          <w:szCs w:val="26"/>
        </w:rPr>
        <w:t>go basis.</w:t>
      </w:r>
      <w:r w:rsidR="000F7388">
        <w:rPr>
          <w:sz w:val="26"/>
          <w:szCs w:val="26"/>
        </w:rPr>
        <w:t xml:space="preserve"> </w:t>
      </w:r>
      <w:r w:rsidR="000F7388" w:rsidRPr="000F7388">
        <w:rPr>
          <w:sz w:val="26"/>
          <w:szCs w:val="26"/>
        </w:rPr>
        <w:t xml:space="preserve"> </w:t>
      </w:r>
      <w:r w:rsidR="000F7388">
        <w:rPr>
          <w:sz w:val="26"/>
          <w:szCs w:val="26"/>
        </w:rPr>
        <w:t>T</w:t>
      </w:r>
      <w:r w:rsidR="000F7388" w:rsidRPr="000F7388">
        <w:rPr>
          <w:sz w:val="26"/>
          <w:szCs w:val="26"/>
        </w:rPr>
        <w:t xml:space="preserve">he DSIC mechanism is </w:t>
      </w:r>
      <w:r w:rsidR="000F7388">
        <w:rPr>
          <w:sz w:val="26"/>
          <w:szCs w:val="26"/>
        </w:rPr>
        <w:t xml:space="preserve">normally </w:t>
      </w:r>
      <w:r w:rsidR="000F7388" w:rsidRPr="000F7388">
        <w:rPr>
          <w:sz w:val="26"/>
          <w:szCs w:val="26"/>
        </w:rPr>
        <w:t>used to recover the return on capital placed in service by a utility.  PGW does not operate under the normal rate of return regulatory framework and had been recovering actual one-for-one expenditures through its DSIC.  However, PGW found that the construction season, typically Spring and Summer, did not match the high gas usage times of late Fall and Winter.  This made it difficult for PGW to capture the required revenues as customer bills, for those not on budget billing, are much lower in Spring and Summer.  With its DSIC cap waiver, PGW was granted the ability to charge a levelized DSIC throughout the year.</w:t>
      </w:r>
      <w:r w:rsidR="00F06F66">
        <w:rPr>
          <w:rStyle w:val="FootnoteReference"/>
          <w:sz w:val="26"/>
          <w:szCs w:val="26"/>
        </w:rPr>
        <w:footnoteReference w:id="16"/>
      </w:r>
      <w:r w:rsidRPr="00F54DF8">
        <w:rPr>
          <w:sz w:val="26"/>
          <w:szCs w:val="26"/>
        </w:rPr>
        <w:t xml:space="preserve">  </w:t>
      </w:r>
      <w:r w:rsidR="00DD14E5" w:rsidRPr="00F54DF8">
        <w:rPr>
          <w:sz w:val="26"/>
          <w:szCs w:val="26"/>
        </w:rPr>
        <w:t xml:space="preserve">PGW states that it will utilize its approved 7.5% DSIC surcharge for the recovery of approximately $33 million per </w:t>
      </w:r>
      <w:r w:rsidR="00C73AE3">
        <w:rPr>
          <w:sz w:val="26"/>
          <w:szCs w:val="26"/>
        </w:rPr>
        <w:t>year</w:t>
      </w:r>
      <w:r w:rsidRPr="00F54DF8">
        <w:rPr>
          <w:sz w:val="26"/>
          <w:szCs w:val="26"/>
        </w:rPr>
        <w:t xml:space="preserve">.  </w:t>
      </w:r>
      <w:r w:rsidR="00C73AE3">
        <w:rPr>
          <w:sz w:val="26"/>
          <w:szCs w:val="26"/>
        </w:rPr>
        <w:t>PGW</w:t>
      </w:r>
      <w:r w:rsidR="00DD14E5" w:rsidRPr="00F54DF8">
        <w:rPr>
          <w:sz w:val="26"/>
          <w:szCs w:val="26"/>
        </w:rPr>
        <w:t xml:space="preserve"> does not plan to issue any long-term debt to fund its accelerated main replacement program at this time.</w:t>
      </w:r>
      <w:r w:rsidR="00BA5940">
        <w:rPr>
          <w:sz w:val="26"/>
          <w:szCs w:val="26"/>
        </w:rPr>
        <w:t xml:space="preserve">  </w:t>
      </w:r>
      <w:r w:rsidR="00BA5940">
        <w:rPr>
          <w:sz w:val="26"/>
          <w:szCs w:val="26"/>
        </w:rPr>
        <w:lastRenderedPageBreak/>
        <w:t xml:space="preserve">Tables 4 and 5, below, detail the quantities of property to be improved for each year of the </w:t>
      </w:r>
      <w:r w:rsidR="00222C04">
        <w:rPr>
          <w:sz w:val="26"/>
          <w:szCs w:val="26"/>
        </w:rPr>
        <w:t>S</w:t>
      </w:r>
      <w:r w:rsidR="00C73AE3">
        <w:rPr>
          <w:sz w:val="26"/>
          <w:szCs w:val="26"/>
        </w:rPr>
        <w:t>econd</w:t>
      </w:r>
      <w:r w:rsidR="00222C04">
        <w:rPr>
          <w:sz w:val="26"/>
          <w:szCs w:val="26"/>
        </w:rPr>
        <w:t xml:space="preserve"> LTIIP</w:t>
      </w:r>
      <w:r w:rsidR="00BA5940">
        <w:rPr>
          <w:sz w:val="26"/>
          <w:szCs w:val="26"/>
        </w:rPr>
        <w:t xml:space="preserve"> and the projected expenditures, respectively.</w:t>
      </w:r>
    </w:p>
    <w:p w14:paraId="4549CC10" w14:textId="77777777" w:rsidR="00F42567" w:rsidRPr="00F54DF8" w:rsidRDefault="00F42567" w:rsidP="00636271">
      <w:pPr>
        <w:pStyle w:val="p7"/>
        <w:widowControl/>
        <w:tabs>
          <w:tab w:val="clear" w:pos="1133"/>
          <w:tab w:val="left" w:pos="720"/>
          <w:tab w:val="left" w:pos="1350"/>
          <w:tab w:val="left" w:pos="1440"/>
          <w:tab w:val="left" w:pos="1530"/>
        </w:tabs>
        <w:spacing w:line="360" w:lineRule="auto"/>
        <w:ind w:left="0" w:firstLine="720"/>
        <w:rPr>
          <w:sz w:val="26"/>
          <w:szCs w:val="26"/>
        </w:rPr>
      </w:pPr>
    </w:p>
    <w:p w14:paraId="638C26B7" w14:textId="48F71D9C" w:rsidR="0077455C" w:rsidRPr="00F54DF8" w:rsidRDefault="0077455C" w:rsidP="00C05723">
      <w:pPr>
        <w:pStyle w:val="p7"/>
        <w:keepNext/>
        <w:widowControl/>
        <w:tabs>
          <w:tab w:val="clear" w:pos="1133"/>
          <w:tab w:val="left" w:pos="720"/>
          <w:tab w:val="left" w:pos="1350"/>
          <w:tab w:val="left" w:pos="1440"/>
          <w:tab w:val="left" w:pos="1530"/>
        </w:tabs>
        <w:spacing w:line="360" w:lineRule="auto"/>
        <w:ind w:left="0" w:firstLine="0"/>
        <w:rPr>
          <w:b/>
          <w:sz w:val="26"/>
          <w:szCs w:val="26"/>
        </w:rPr>
      </w:pPr>
      <w:r w:rsidRPr="00F54DF8">
        <w:rPr>
          <w:b/>
          <w:sz w:val="26"/>
          <w:szCs w:val="26"/>
        </w:rPr>
        <w:t xml:space="preserve">Table </w:t>
      </w:r>
      <w:r w:rsidR="00BA5940">
        <w:rPr>
          <w:b/>
          <w:sz w:val="26"/>
          <w:szCs w:val="26"/>
        </w:rPr>
        <w:t>4</w:t>
      </w:r>
      <w:r w:rsidRPr="00F54DF8">
        <w:rPr>
          <w:b/>
          <w:sz w:val="26"/>
          <w:szCs w:val="26"/>
        </w:rPr>
        <w:t xml:space="preserve"> – Quantity of Property to Be </w:t>
      </w:r>
      <w:r w:rsidR="00C05723" w:rsidRPr="00F54DF8">
        <w:rPr>
          <w:b/>
          <w:sz w:val="26"/>
          <w:szCs w:val="26"/>
        </w:rPr>
        <w:t>Improved</w:t>
      </w:r>
      <w:r w:rsidR="00F42567">
        <w:rPr>
          <w:b/>
          <w:sz w:val="26"/>
          <w:szCs w:val="26"/>
        </w:rPr>
        <w:t xml:space="preserve"> (Miles)</w:t>
      </w:r>
      <w:r w:rsidR="00C05723" w:rsidRPr="00F54DF8">
        <w:rPr>
          <w:b/>
          <w:sz w:val="26"/>
          <w:szCs w:val="26"/>
        </w:rPr>
        <w:t>, FY 2018-2022</w:t>
      </w:r>
    </w:p>
    <w:tbl>
      <w:tblPr>
        <w:tblW w:w="9280" w:type="dxa"/>
        <w:tblLook w:val="04A0" w:firstRow="1" w:lastRow="0" w:firstColumn="1" w:lastColumn="0" w:noHBand="0" w:noVBand="1"/>
      </w:tblPr>
      <w:tblGrid>
        <w:gridCol w:w="2560"/>
        <w:gridCol w:w="1120"/>
        <w:gridCol w:w="1120"/>
        <w:gridCol w:w="1120"/>
        <w:gridCol w:w="1120"/>
        <w:gridCol w:w="1120"/>
        <w:gridCol w:w="1120"/>
      </w:tblGrid>
      <w:tr w:rsidR="00C05723" w:rsidRPr="00C73AE3" w14:paraId="1A53C270" w14:textId="77777777" w:rsidTr="00C05723">
        <w:trPr>
          <w:trHeight w:val="300"/>
        </w:trPr>
        <w:tc>
          <w:tcPr>
            <w:tcW w:w="2560" w:type="dxa"/>
            <w:tcBorders>
              <w:top w:val="nil"/>
              <w:left w:val="nil"/>
              <w:bottom w:val="nil"/>
              <w:right w:val="nil"/>
            </w:tcBorders>
            <w:shd w:val="clear" w:color="auto" w:fill="auto"/>
            <w:noWrap/>
            <w:vAlign w:val="bottom"/>
            <w:hideMark/>
          </w:tcPr>
          <w:p w14:paraId="12B62EB3" w14:textId="77777777" w:rsidR="00C05723" w:rsidRPr="00C73AE3" w:rsidRDefault="00C05723" w:rsidP="00C05723">
            <w:pPr>
              <w:widowControl/>
              <w:autoSpaceDE/>
              <w:autoSpaceDN/>
              <w:adjustRightInd/>
              <w:rPr>
                <w:sz w:val="20"/>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A31EF"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FY 2018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7CAA4C5"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FY2019</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41FF8A7"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FY 2020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992E567"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FY 2021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37765E1"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FY 2022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68C2AD4"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Total</w:t>
            </w:r>
          </w:p>
        </w:tc>
      </w:tr>
      <w:tr w:rsidR="00C05723" w:rsidRPr="00C73AE3" w14:paraId="5055641B" w14:textId="77777777" w:rsidTr="00C0572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6F7BD" w14:textId="77777777" w:rsidR="00C05723" w:rsidRPr="001E5C20" w:rsidRDefault="00C05723" w:rsidP="00C05723">
            <w:pPr>
              <w:widowControl/>
              <w:autoSpaceDE/>
              <w:autoSpaceDN/>
              <w:adjustRightInd/>
              <w:rPr>
                <w:b/>
                <w:bCs/>
                <w:color w:val="000000"/>
                <w:sz w:val="18"/>
                <w:szCs w:val="18"/>
                <w:u w:val="single"/>
              </w:rPr>
            </w:pPr>
            <w:r w:rsidRPr="001E5C20">
              <w:rPr>
                <w:b/>
                <w:bCs/>
                <w:color w:val="000000"/>
                <w:sz w:val="18"/>
                <w:szCs w:val="18"/>
                <w:u w:val="single"/>
              </w:rPr>
              <w:t>CURRENT BASELINE PROGRAM</w:t>
            </w:r>
          </w:p>
        </w:tc>
        <w:tc>
          <w:tcPr>
            <w:tcW w:w="1120" w:type="dxa"/>
            <w:tcBorders>
              <w:top w:val="nil"/>
              <w:left w:val="nil"/>
              <w:bottom w:val="single" w:sz="4" w:space="0" w:color="auto"/>
              <w:right w:val="single" w:sz="4" w:space="0" w:color="auto"/>
            </w:tcBorders>
            <w:shd w:val="clear" w:color="auto" w:fill="auto"/>
            <w:noWrap/>
            <w:vAlign w:val="bottom"/>
            <w:hideMark/>
          </w:tcPr>
          <w:p w14:paraId="156AD837"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3EF5858E"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6C116EAD"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73CFD7BC"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07942EED"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5AD8F5AA"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r>
      <w:tr w:rsidR="00C05723" w:rsidRPr="00C73AE3" w14:paraId="1664E0CD"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6EE487B"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8" and Smaller LP/IP</w:t>
            </w:r>
          </w:p>
        </w:tc>
        <w:tc>
          <w:tcPr>
            <w:tcW w:w="1120" w:type="dxa"/>
            <w:tcBorders>
              <w:top w:val="nil"/>
              <w:left w:val="nil"/>
              <w:bottom w:val="single" w:sz="4" w:space="0" w:color="auto"/>
              <w:right w:val="single" w:sz="4" w:space="0" w:color="auto"/>
            </w:tcBorders>
            <w:shd w:val="clear" w:color="auto" w:fill="auto"/>
            <w:noWrap/>
            <w:vAlign w:val="bottom"/>
            <w:hideMark/>
          </w:tcPr>
          <w:p w14:paraId="2E5F8D5F"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18.00</w:t>
            </w:r>
          </w:p>
        </w:tc>
        <w:tc>
          <w:tcPr>
            <w:tcW w:w="1120" w:type="dxa"/>
            <w:tcBorders>
              <w:top w:val="nil"/>
              <w:left w:val="nil"/>
              <w:bottom w:val="single" w:sz="4" w:space="0" w:color="auto"/>
              <w:right w:val="single" w:sz="4" w:space="0" w:color="auto"/>
            </w:tcBorders>
            <w:shd w:val="clear" w:color="auto" w:fill="auto"/>
            <w:noWrap/>
            <w:vAlign w:val="bottom"/>
            <w:hideMark/>
          </w:tcPr>
          <w:p w14:paraId="22BF4490"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18.00</w:t>
            </w:r>
          </w:p>
        </w:tc>
        <w:tc>
          <w:tcPr>
            <w:tcW w:w="1120" w:type="dxa"/>
            <w:tcBorders>
              <w:top w:val="nil"/>
              <w:left w:val="nil"/>
              <w:bottom w:val="single" w:sz="4" w:space="0" w:color="auto"/>
              <w:right w:val="single" w:sz="4" w:space="0" w:color="auto"/>
            </w:tcBorders>
            <w:shd w:val="clear" w:color="auto" w:fill="auto"/>
            <w:noWrap/>
            <w:vAlign w:val="bottom"/>
            <w:hideMark/>
          </w:tcPr>
          <w:p w14:paraId="1EB613FE"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18.00</w:t>
            </w:r>
          </w:p>
        </w:tc>
        <w:tc>
          <w:tcPr>
            <w:tcW w:w="1120" w:type="dxa"/>
            <w:tcBorders>
              <w:top w:val="nil"/>
              <w:left w:val="nil"/>
              <w:bottom w:val="single" w:sz="4" w:space="0" w:color="auto"/>
              <w:right w:val="single" w:sz="4" w:space="0" w:color="auto"/>
            </w:tcBorders>
            <w:shd w:val="clear" w:color="auto" w:fill="auto"/>
            <w:noWrap/>
            <w:vAlign w:val="bottom"/>
            <w:hideMark/>
          </w:tcPr>
          <w:p w14:paraId="4A29BC48"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18.00</w:t>
            </w:r>
          </w:p>
        </w:tc>
        <w:tc>
          <w:tcPr>
            <w:tcW w:w="1120" w:type="dxa"/>
            <w:tcBorders>
              <w:top w:val="nil"/>
              <w:left w:val="nil"/>
              <w:bottom w:val="single" w:sz="4" w:space="0" w:color="auto"/>
              <w:right w:val="single" w:sz="4" w:space="0" w:color="auto"/>
            </w:tcBorders>
            <w:shd w:val="clear" w:color="auto" w:fill="auto"/>
            <w:noWrap/>
            <w:vAlign w:val="bottom"/>
            <w:hideMark/>
          </w:tcPr>
          <w:p w14:paraId="3E28FB29"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18.00</w:t>
            </w:r>
          </w:p>
        </w:tc>
        <w:tc>
          <w:tcPr>
            <w:tcW w:w="1120" w:type="dxa"/>
            <w:tcBorders>
              <w:top w:val="nil"/>
              <w:left w:val="nil"/>
              <w:bottom w:val="single" w:sz="4" w:space="0" w:color="auto"/>
              <w:right w:val="single" w:sz="4" w:space="0" w:color="auto"/>
            </w:tcBorders>
            <w:shd w:val="clear" w:color="auto" w:fill="auto"/>
            <w:noWrap/>
            <w:vAlign w:val="bottom"/>
            <w:hideMark/>
          </w:tcPr>
          <w:p w14:paraId="4538280A" w14:textId="77777777" w:rsidR="00C05723" w:rsidRPr="001E5C20" w:rsidRDefault="00C05723" w:rsidP="00C05723">
            <w:pPr>
              <w:widowControl/>
              <w:autoSpaceDE/>
              <w:autoSpaceDN/>
              <w:adjustRightInd/>
              <w:jc w:val="right"/>
              <w:rPr>
                <w:b/>
                <w:color w:val="000000"/>
                <w:sz w:val="18"/>
                <w:szCs w:val="18"/>
              </w:rPr>
            </w:pPr>
            <w:r w:rsidRPr="001E5C20">
              <w:rPr>
                <w:b/>
                <w:color w:val="000000"/>
                <w:sz w:val="18"/>
                <w:szCs w:val="18"/>
              </w:rPr>
              <w:t>90.00</w:t>
            </w:r>
          </w:p>
        </w:tc>
      </w:tr>
      <w:tr w:rsidR="00C05723" w:rsidRPr="00C73AE3" w14:paraId="572035BF"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710D1CB" w14:textId="77777777" w:rsidR="00C05723" w:rsidRPr="001E5C20" w:rsidRDefault="00C05723" w:rsidP="00C05723">
            <w:pPr>
              <w:widowControl/>
              <w:autoSpaceDE/>
              <w:autoSpaceDN/>
              <w:adjustRightInd/>
              <w:rPr>
                <w:b/>
                <w:bCs/>
                <w:color w:val="000000"/>
                <w:sz w:val="18"/>
                <w:szCs w:val="18"/>
              </w:rPr>
            </w:pPr>
            <w:r w:rsidRPr="001E5C20">
              <w:rPr>
                <w:b/>
                <w:bCs/>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4D30DD"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7B585923"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07607F2A"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FB3405"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0F075B6B"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284AC2CF" w14:textId="77777777" w:rsidR="00C05723" w:rsidRPr="001E5C20" w:rsidRDefault="00C05723" w:rsidP="00C05723">
            <w:pPr>
              <w:widowControl/>
              <w:autoSpaceDE/>
              <w:autoSpaceDN/>
              <w:adjustRightInd/>
              <w:rPr>
                <w:b/>
                <w:color w:val="000000"/>
                <w:sz w:val="18"/>
                <w:szCs w:val="18"/>
              </w:rPr>
            </w:pPr>
            <w:r w:rsidRPr="001E5C20">
              <w:rPr>
                <w:b/>
                <w:color w:val="000000"/>
                <w:sz w:val="18"/>
                <w:szCs w:val="18"/>
              </w:rPr>
              <w:t> </w:t>
            </w:r>
          </w:p>
        </w:tc>
      </w:tr>
      <w:tr w:rsidR="00C05723" w:rsidRPr="00C73AE3" w14:paraId="5C1268EF"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9BAC339" w14:textId="77777777" w:rsidR="00C05723" w:rsidRPr="001E5C20" w:rsidRDefault="00C05723" w:rsidP="00C05723">
            <w:pPr>
              <w:widowControl/>
              <w:autoSpaceDE/>
              <w:autoSpaceDN/>
              <w:adjustRightInd/>
              <w:rPr>
                <w:b/>
                <w:bCs/>
                <w:color w:val="000000"/>
                <w:sz w:val="18"/>
                <w:szCs w:val="18"/>
                <w:u w:val="single"/>
              </w:rPr>
            </w:pPr>
            <w:r w:rsidRPr="001E5C20">
              <w:rPr>
                <w:b/>
                <w:bCs/>
                <w:color w:val="000000"/>
                <w:sz w:val="18"/>
                <w:szCs w:val="18"/>
                <w:u w:val="single"/>
              </w:rPr>
              <w:t>ACCELERATED PROGRAM</w:t>
            </w:r>
          </w:p>
        </w:tc>
        <w:tc>
          <w:tcPr>
            <w:tcW w:w="1120" w:type="dxa"/>
            <w:tcBorders>
              <w:top w:val="nil"/>
              <w:left w:val="nil"/>
              <w:bottom w:val="single" w:sz="4" w:space="0" w:color="auto"/>
              <w:right w:val="single" w:sz="4" w:space="0" w:color="auto"/>
            </w:tcBorders>
            <w:shd w:val="clear" w:color="auto" w:fill="auto"/>
            <w:noWrap/>
            <w:vAlign w:val="bottom"/>
            <w:hideMark/>
          </w:tcPr>
          <w:p w14:paraId="5CE00539"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1935394C"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29E3C711"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2258A255"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3D585179"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003A6A73" w14:textId="77777777" w:rsidR="00C05723" w:rsidRPr="001E5C20" w:rsidRDefault="00C05723" w:rsidP="00C05723">
            <w:pPr>
              <w:widowControl/>
              <w:autoSpaceDE/>
              <w:autoSpaceDN/>
              <w:adjustRightInd/>
              <w:rPr>
                <w:b/>
                <w:color w:val="000000"/>
                <w:sz w:val="18"/>
                <w:szCs w:val="18"/>
              </w:rPr>
            </w:pPr>
            <w:r w:rsidRPr="001E5C20">
              <w:rPr>
                <w:b/>
                <w:color w:val="000000"/>
                <w:sz w:val="18"/>
                <w:szCs w:val="18"/>
              </w:rPr>
              <w:t> </w:t>
            </w:r>
          </w:p>
        </w:tc>
      </w:tr>
      <w:tr w:rsidR="00C05723" w:rsidRPr="00C73AE3" w14:paraId="515ABA4A"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9508AA4"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8" and Smaller LP/IP</w:t>
            </w:r>
          </w:p>
        </w:tc>
        <w:tc>
          <w:tcPr>
            <w:tcW w:w="1120" w:type="dxa"/>
            <w:tcBorders>
              <w:top w:val="nil"/>
              <w:left w:val="nil"/>
              <w:bottom w:val="single" w:sz="4" w:space="0" w:color="auto"/>
              <w:right w:val="single" w:sz="4" w:space="0" w:color="auto"/>
            </w:tcBorders>
            <w:shd w:val="clear" w:color="auto" w:fill="auto"/>
            <w:noWrap/>
            <w:vAlign w:val="bottom"/>
            <w:hideMark/>
          </w:tcPr>
          <w:p w14:paraId="31E39A6F"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7.00</w:t>
            </w:r>
          </w:p>
        </w:tc>
        <w:tc>
          <w:tcPr>
            <w:tcW w:w="1120" w:type="dxa"/>
            <w:tcBorders>
              <w:top w:val="nil"/>
              <w:left w:val="nil"/>
              <w:bottom w:val="single" w:sz="4" w:space="0" w:color="auto"/>
              <w:right w:val="single" w:sz="4" w:space="0" w:color="auto"/>
            </w:tcBorders>
            <w:shd w:val="clear" w:color="auto" w:fill="auto"/>
            <w:noWrap/>
            <w:vAlign w:val="bottom"/>
            <w:hideMark/>
          </w:tcPr>
          <w:p w14:paraId="03A85A89"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7.00</w:t>
            </w:r>
          </w:p>
        </w:tc>
        <w:tc>
          <w:tcPr>
            <w:tcW w:w="1120" w:type="dxa"/>
            <w:tcBorders>
              <w:top w:val="nil"/>
              <w:left w:val="nil"/>
              <w:bottom w:val="single" w:sz="4" w:space="0" w:color="auto"/>
              <w:right w:val="single" w:sz="4" w:space="0" w:color="auto"/>
            </w:tcBorders>
            <w:shd w:val="clear" w:color="auto" w:fill="auto"/>
            <w:noWrap/>
            <w:vAlign w:val="bottom"/>
            <w:hideMark/>
          </w:tcPr>
          <w:p w14:paraId="6CA5F4D0"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7.00</w:t>
            </w:r>
          </w:p>
        </w:tc>
        <w:tc>
          <w:tcPr>
            <w:tcW w:w="1120" w:type="dxa"/>
            <w:tcBorders>
              <w:top w:val="nil"/>
              <w:left w:val="nil"/>
              <w:bottom w:val="single" w:sz="4" w:space="0" w:color="auto"/>
              <w:right w:val="single" w:sz="4" w:space="0" w:color="auto"/>
            </w:tcBorders>
            <w:shd w:val="clear" w:color="auto" w:fill="auto"/>
            <w:noWrap/>
            <w:vAlign w:val="bottom"/>
            <w:hideMark/>
          </w:tcPr>
          <w:p w14:paraId="35ADAE7F"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7.00</w:t>
            </w:r>
          </w:p>
        </w:tc>
        <w:tc>
          <w:tcPr>
            <w:tcW w:w="1120" w:type="dxa"/>
            <w:tcBorders>
              <w:top w:val="nil"/>
              <w:left w:val="nil"/>
              <w:bottom w:val="single" w:sz="4" w:space="0" w:color="auto"/>
              <w:right w:val="single" w:sz="4" w:space="0" w:color="auto"/>
            </w:tcBorders>
            <w:shd w:val="clear" w:color="auto" w:fill="auto"/>
            <w:noWrap/>
            <w:vAlign w:val="bottom"/>
            <w:hideMark/>
          </w:tcPr>
          <w:p w14:paraId="630C1D5E"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7.00</w:t>
            </w:r>
          </w:p>
        </w:tc>
        <w:tc>
          <w:tcPr>
            <w:tcW w:w="1120" w:type="dxa"/>
            <w:tcBorders>
              <w:top w:val="nil"/>
              <w:left w:val="nil"/>
              <w:bottom w:val="single" w:sz="4" w:space="0" w:color="auto"/>
              <w:right w:val="single" w:sz="4" w:space="0" w:color="auto"/>
            </w:tcBorders>
            <w:shd w:val="clear" w:color="auto" w:fill="auto"/>
            <w:noWrap/>
            <w:vAlign w:val="bottom"/>
            <w:hideMark/>
          </w:tcPr>
          <w:p w14:paraId="62CF9A2E" w14:textId="77777777" w:rsidR="00C05723" w:rsidRPr="001E5C20" w:rsidRDefault="00C05723" w:rsidP="00C05723">
            <w:pPr>
              <w:widowControl/>
              <w:autoSpaceDE/>
              <w:autoSpaceDN/>
              <w:adjustRightInd/>
              <w:jc w:val="right"/>
              <w:rPr>
                <w:b/>
                <w:color w:val="000000"/>
                <w:sz w:val="18"/>
                <w:szCs w:val="18"/>
              </w:rPr>
            </w:pPr>
            <w:r w:rsidRPr="001E5C20">
              <w:rPr>
                <w:b/>
                <w:color w:val="000000"/>
                <w:sz w:val="18"/>
                <w:szCs w:val="18"/>
              </w:rPr>
              <w:t>35.00</w:t>
            </w:r>
          </w:p>
        </w:tc>
      </w:tr>
      <w:tr w:rsidR="00C05723" w:rsidRPr="00C73AE3" w14:paraId="703C76D1"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20A99216"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12" and Larger LP</w:t>
            </w:r>
          </w:p>
        </w:tc>
        <w:tc>
          <w:tcPr>
            <w:tcW w:w="1120" w:type="dxa"/>
            <w:tcBorders>
              <w:top w:val="nil"/>
              <w:left w:val="nil"/>
              <w:bottom w:val="single" w:sz="4" w:space="0" w:color="auto"/>
              <w:right w:val="single" w:sz="4" w:space="0" w:color="auto"/>
            </w:tcBorders>
            <w:shd w:val="clear" w:color="auto" w:fill="auto"/>
            <w:noWrap/>
            <w:vAlign w:val="bottom"/>
            <w:hideMark/>
          </w:tcPr>
          <w:p w14:paraId="24560A5E"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1.30</w:t>
            </w:r>
          </w:p>
        </w:tc>
        <w:tc>
          <w:tcPr>
            <w:tcW w:w="1120" w:type="dxa"/>
            <w:tcBorders>
              <w:top w:val="nil"/>
              <w:left w:val="nil"/>
              <w:bottom w:val="single" w:sz="4" w:space="0" w:color="auto"/>
              <w:right w:val="single" w:sz="4" w:space="0" w:color="auto"/>
            </w:tcBorders>
            <w:shd w:val="clear" w:color="auto" w:fill="auto"/>
            <w:noWrap/>
            <w:vAlign w:val="bottom"/>
            <w:hideMark/>
          </w:tcPr>
          <w:p w14:paraId="13D890B7"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1.35</w:t>
            </w:r>
          </w:p>
        </w:tc>
        <w:tc>
          <w:tcPr>
            <w:tcW w:w="1120" w:type="dxa"/>
            <w:tcBorders>
              <w:top w:val="nil"/>
              <w:left w:val="nil"/>
              <w:bottom w:val="single" w:sz="4" w:space="0" w:color="auto"/>
              <w:right w:val="single" w:sz="4" w:space="0" w:color="auto"/>
            </w:tcBorders>
            <w:shd w:val="clear" w:color="auto" w:fill="auto"/>
            <w:noWrap/>
            <w:vAlign w:val="bottom"/>
            <w:hideMark/>
          </w:tcPr>
          <w:p w14:paraId="76348AC7"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1.40</w:t>
            </w:r>
          </w:p>
        </w:tc>
        <w:tc>
          <w:tcPr>
            <w:tcW w:w="1120" w:type="dxa"/>
            <w:tcBorders>
              <w:top w:val="nil"/>
              <w:left w:val="nil"/>
              <w:bottom w:val="single" w:sz="4" w:space="0" w:color="auto"/>
              <w:right w:val="single" w:sz="4" w:space="0" w:color="auto"/>
            </w:tcBorders>
            <w:shd w:val="clear" w:color="auto" w:fill="auto"/>
            <w:noWrap/>
            <w:vAlign w:val="bottom"/>
            <w:hideMark/>
          </w:tcPr>
          <w:p w14:paraId="58BCED60"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1.34</w:t>
            </w:r>
          </w:p>
        </w:tc>
        <w:tc>
          <w:tcPr>
            <w:tcW w:w="1120" w:type="dxa"/>
            <w:tcBorders>
              <w:top w:val="nil"/>
              <w:left w:val="nil"/>
              <w:bottom w:val="single" w:sz="4" w:space="0" w:color="auto"/>
              <w:right w:val="single" w:sz="4" w:space="0" w:color="auto"/>
            </w:tcBorders>
            <w:shd w:val="clear" w:color="auto" w:fill="auto"/>
            <w:noWrap/>
            <w:vAlign w:val="bottom"/>
            <w:hideMark/>
          </w:tcPr>
          <w:p w14:paraId="62EB6A18"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1.20</w:t>
            </w:r>
          </w:p>
        </w:tc>
        <w:tc>
          <w:tcPr>
            <w:tcW w:w="1120" w:type="dxa"/>
            <w:tcBorders>
              <w:top w:val="nil"/>
              <w:left w:val="nil"/>
              <w:bottom w:val="single" w:sz="4" w:space="0" w:color="auto"/>
              <w:right w:val="single" w:sz="4" w:space="0" w:color="auto"/>
            </w:tcBorders>
            <w:shd w:val="clear" w:color="auto" w:fill="auto"/>
            <w:noWrap/>
            <w:vAlign w:val="bottom"/>
            <w:hideMark/>
          </w:tcPr>
          <w:p w14:paraId="7C51FBF9" w14:textId="77777777" w:rsidR="00C05723" w:rsidRPr="001E5C20" w:rsidRDefault="00C05723" w:rsidP="00C05723">
            <w:pPr>
              <w:widowControl/>
              <w:autoSpaceDE/>
              <w:autoSpaceDN/>
              <w:adjustRightInd/>
              <w:jc w:val="right"/>
              <w:rPr>
                <w:b/>
                <w:color w:val="000000"/>
                <w:sz w:val="18"/>
                <w:szCs w:val="18"/>
              </w:rPr>
            </w:pPr>
            <w:r w:rsidRPr="001E5C20">
              <w:rPr>
                <w:b/>
                <w:color w:val="000000"/>
                <w:sz w:val="18"/>
                <w:szCs w:val="18"/>
              </w:rPr>
              <w:t>6.59</w:t>
            </w:r>
          </w:p>
        </w:tc>
      </w:tr>
      <w:tr w:rsidR="00C05723" w:rsidRPr="00C73AE3" w14:paraId="73E126A4"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AA71767"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12" and Larger HP</w:t>
            </w:r>
          </w:p>
        </w:tc>
        <w:tc>
          <w:tcPr>
            <w:tcW w:w="1120" w:type="dxa"/>
            <w:tcBorders>
              <w:top w:val="nil"/>
              <w:left w:val="nil"/>
              <w:bottom w:val="single" w:sz="4" w:space="0" w:color="auto"/>
              <w:right w:val="single" w:sz="4" w:space="0" w:color="auto"/>
            </w:tcBorders>
            <w:shd w:val="clear" w:color="auto" w:fill="auto"/>
            <w:noWrap/>
            <w:vAlign w:val="bottom"/>
            <w:hideMark/>
          </w:tcPr>
          <w:p w14:paraId="57399E69"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5.50</w:t>
            </w:r>
          </w:p>
        </w:tc>
        <w:tc>
          <w:tcPr>
            <w:tcW w:w="1120" w:type="dxa"/>
            <w:tcBorders>
              <w:top w:val="nil"/>
              <w:left w:val="nil"/>
              <w:bottom w:val="single" w:sz="4" w:space="0" w:color="auto"/>
              <w:right w:val="single" w:sz="4" w:space="0" w:color="auto"/>
            </w:tcBorders>
            <w:shd w:val="clear" w:color="auto" w:fill="auto"/>
            <w:noWrap/>
            <w:vAlign w:val="bottom"/>
            <w:hideMark/>
          </w:tcPr>
          <w:p w14:paraId="587F13BC"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5.50</w:t>
            </w:r>
          </w:p>
        </w:tc>
        <w:tc>
          <w:tcPr>
            <w:tcW w:w="1120" w:type="dxa"/>
            <w:tcBorders>
              <w:top w:val="nil"/>
              <w:left w:val="nil"/>
              <w:bottom w:val="single" w:sz="4" w:space="0" w:color="auto"/>
              <w:right w:val="single" w:sz="4" w:space="0" w:color="auto"/>
            </w:tcBorders>
            <w:shd w:val="clear" w:color="auto" w:fill="auto"/>
            <w:noWrap/>
            <w:vAlign w:val="bottom"/>
            <w:hideMark/>
          </w:tcPr>
          <w:p w14:paraId="1E24FB3A"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5.30</w:t>
            </w:r>
          </w:p>
        </w:tc>
        <w:tc>
          <w:tcPr>
            <w:tcW w:w="1120" w:type="dxa"/>
            <w:tcBorders>
              <w:top w:val="nil"/>
              <w:left w:val="nil"/>
              <w:bottom w:val="single" w:sz="4" w:space="0" w:color="auto"/>
              <w:right w:val="single" w:sz="4" w:space="0" w:color="auto"/>
            </w:tcBorders>
            <w:shd w:val="clear" w:color="auto" w:fill="auto"/>
            <w:noWrap/>
            <w:vAlign w:val="bottom"/>
            <w:hideMark/>
          </w:tcPr>
          <w:p w14:paraId="0BC69114"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5.25</w:t>
            </w:r>
          </w:p>
        </w:tc>
        <w:tc>
          <w:tcPr>
            <w:tcW w:w="1120" w:type="dxa"/>
            <w:tcBorders>
              <w:top w:val="nil"/>
              <w:left w:val="nil"/>
              <w:bottom w:val="single" w:sz="4" w:space="0" w:color="auto"/>
              <w:right w:val="single" w:sz="4" w:space="0" w:color="auto"/>
            </w:tcBorders>
            <w:shd w:val="clear" w:color="auto" w:fill="auto"/>
            <w:noWrap/>
            <w:vAlign w:val="bottom"/>
            <w:hideMark/>
          </w:tcPr>
          <w:p w14:paraId="5BB857CC"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5.15</w:t>
            </w:r>
          </w:p>
        </w:tc>
        <w:tc>
          <w:tcPr>
            <w:tcW w:w="1120" w:type="dxa"/>
            <w:tcBorders>
              <w:top w:val="nil"/>
              <w:left w:val="nil"/>
              <w:bottom w:val="single" w:sz="4" w:space="0" w:color="auto"/>
              <w:right w:val="single" w:sz="4" w:space="0" w:color="auto"/>
            </w:tcBorders>
            <w:shd w:val="clear" w:color="auto" w:fill="auto"/>
            <w:noWrap/>
            <w:vAlign w:val="bottom"/>
            <w:hideMark/>
          </w:tcPr>
          <w:p w14:paraId="4A0D1B67" w14:textId="77777777" w:rsidR="00C05723" w:rsidRPr="001E5C20" w:rsidRDefault="00C05723" w:rsidP="00C05723">
            <w:pPr>
              <w:widowControl/>
              <w:autoSpaceDE/>
              <w:autoSpaceDN/>
              <w:adjustRightInd/>
              <w:jc w:val="right"/>
              <w:rPr>
                <w:b/>
                <w:color w:val="000000"/>
                <w:sz w:val="18"/>
                <w:szCs w:val="18"/>
              </w:rPr>
            </w:pPr>
            <w:r w:rsidRPr="001E5C20">
              <w:rPr>
                <w:b/>
                <w:color w:val="000000"/>
                <w:sz w:val="18"/>
                <w:szCs w:val="18"/>
              </w:rPr>
              <w:t>26.70</w:t>
            </w:r>
          </w:p>
        </w:tc>
      </w:tr>
      <w:tr w:rsidR="00C05723" w:rsidRPr="00C73AE3" w14:paraId="63DA8F92"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F9454D2"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Abandonment for Non-Use</w:t>
            </w:r>
          </w:p>
        </w:tc>
        <w:tc>
          <w:tcPr>
            <w:tcW w:w="1120" w:type="dxa"/>
            <w:tcBorders>
              <w:top w:val="nil"/>
              <w:left w:val="nil"/>
              <w:bottom w:val="single" w:sz="4" w:space="0" w:color="auto"/>
              <w:right w:val="single" w:sz="4" w:space="0" w:color="auto"/>
            </w:tcBorders>
            <w:shd w:val="clear" w:color="auto" w:fill="auto"/>
            <w:noWrap/>
            <w:vAlign w:val="bottom"/>
            <w:hideMark/>
          </w:tcPr>
          <w:p w14:paraId="1886BDDB"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042E2B91"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7A4A0535"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04B6B08D"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6F9FD315"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6171BFDE" w14:textId="77777777" w:rsidR="00C05723" w:rsidRPr="001E5C20" w:rsidRDefault="00C05723" w:rsidP="00C05723">
            <w:pPr>
              <w:widowControl/>
              <w:autoSpaceDE/>
              <w:autoSpaceDN/>
              <w:adjustRightInd/>
              <w:jc w:val="right"/>
              <w:rPr>
                <w:b/>
                <w:color w:val="000000"/>
                <w:sz w:val="18"/>
                <w:szCs w:val="18"/>
              </w:rPr>
            </w:pPr>
            <w:r w:rsidRPr="001E5C20">
              <w:rPr>
                <w:b/>
                <w:color w:val="000000"/>
                <w:sz w:val="18"/>
                <w:szCs w:val="18"/>
              </w:rPr>
              <w:t>0.00</w:t>
            </w:r>
          </w:p>
        </w:tc>
      </w:tr>
      <w:tr w:rsidR="00C05723" w:rsidRPr="00C73AE3" w14:paraId="429DEC35"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2C2D1C5" w14:textId="77777777" w:rsidR="00C05723" w:rsidRPr="001E5C20" w:rsidRDefault="00C05723" w:rsidP="00C05723">
            <w:pPr>
              <w:widowControl/>
              <w:autoSpaceDE/>
              <w:autoSpaceDN/>
              <w:adjustRightInd/>
              <w:rPr>
                <w:b/>
                <w:bCs/>
                <w:color w:val="000000"/>
                <w:sz w:val="18"/>
                <w:szCs w:val="18"/>
              </w:rPr>
            </w:pPr>
            <w:r w:rsidRPr="001E5C20">
              <w:rPr>
                <w:b/>
                <w:bCs/>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16F64477"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00AD512A"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140F7A1F"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30CCC424"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3A8D65FE"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5D8E995A" w14:textId="77777777" w:rsidR="00C05723" w:rsidRPr="001E5C20" w:rsidRDefault="00C05723" w:rsidP="00C05723">
            <w:pPr>
              <w:widowControl/>
              <w:autoSpaceDE/>
              <w:autoSpaceDN/>
              <w:adjustRightInd/>
              <w:rPr>
                <w:b/>
                <w:color w:val="000000"/>
                <w:sz w:val="18"/>
                <w:szCs w:val="18"/>
              </w:rPr>
            </w:pPr>
            <w:r w:rsidRPr="001E5C20">
              <w:rPr>
                <w:b/>
                <w:color w:val="000000"/>
                <w:sz w:val="18"/>
                <w:szCs w:val="18"/>
              </w:rPr>
              <w:t> </w:t>
            </w:r>
          </w:p>
        </w:tc>
      </w:tr>
      <w:tr w:rsidR="00C05723" w:rsidRPr="00C73AE3" w14:paraId="67025181"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F7B9747"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Accelerated Total</w:t>
            </w:r>
          </w:p>
        </w:tc>
        <w:tc>
          <w:tcPr>
            <w:tcW w:w="1120" w:type="dxa"/>
            <w:tcBorders>
              <w:top w:val="nil"/>
              <w:left w:val="nil"/>
              <w:bottom w:val="single" w:sz="4" w:space="0" w:color="auto"/>
              <w:right w:val="single" w:sz="4" w:space="0" w:color="auto"/>
            </w:tcBorders>
            <w:shd w:val="clear" w:color="auto" w:fill="auto"/>
            <w:noWrap/>
            <w:vAlign w:val="bottom"/>
            <w:hideMark/>
          </w:tcPr>
          <w:p w14:paraId="03675976"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13.80</w:t>
            </w:r>
          </w:p>
        </w:tc>
        <w:tc>
          <w:tcPr>
            <w:tcW w:w="1120" w:type="dxa"/>
            <w:tcBorders>
              <w:top w:val="nil"/>
              <w:left w:val="nil"/>
              <w:bottom w:val="single" w:sz="4" w:space="0" w:color="auto"/>
              <w:right w:val="single" w:sz="4" w:space="0" w:color="auto"/>
            </w:tcBorders>
            <w:shd w:val="clear" w:color="auto" w:fill="auto"/>
            <w:noWrap/>
            <w:vAlign w:val="bottom"/>
            <w:hideMark/>
          </w:tcPr>
          <w:p w14:paraId="2EDFAF1A"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13.85</w:t>
            </w:r>
          </w:p>
        </w:tc>
        <w:tc>
          <w:tcPr>
            <w:tcW w:w="1120" w:type="dxa"/>
            <w:tcBorders>
              <w:top w:val="nil"/>
              <w:left w:val="nil"/>
              <w:bottom w:val="single" w:sz="4" w:space="0" w:color="auto"/>
              <w:right w:val="single" w:sz="4" w:space="0" w:color="auto"/>
            </w:tcBorders>
            <w:shd w:val="clear" w:color="auto" w:fill="auto"/>
            <w:noWrap/>
            <w:vAlign w:val="bottom"/>
            <w:hideMark/>
          </w:tcPr>
          <w:p w14:paraId="564D4ADE"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13.70</w:t>
            </w:r>
          </w:p>
        </w:tc>
        <w:tc>
          <w:tcPr>
            <w:tcW w:w="1120" w:type="dxa"/>
            <w:tcBorders>
              <w:top w:val="nil"/>
              <w:left w:val="nil"/>
              <w:bottom w:val="single" w:sz="4" w:space="0" w:color="auto"/>
              <w:right w:val="single" w:sz="4" w:space="0" w:color="auto"/>
            </w:tcBorders>
            <w:shd w:val="clear" w:color="auto" w:fill="auto"/>
            <w:noWrap/>
            <w:vAlign w:val="bottom"/>
            <w:hideMark/>
          </w:tcPr>
          <w:p w14:paraId="6E3DF8FE"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13.59</w:t>
            </w:r>
          </w:p>
        </w:tc>
        <w:tc>
          <w:tcPr>
            <w:tcW w:w="1120" w:type="dxa"/>
            <w:tcBorders>
              <w:top w:val="nil"/>
              <w:left w:val="nil"/>
              <w:bottom w:val="single" w:sz="4" w:space="0" w:color="auto"/>
              <w:right w:val="single" w:sz="4" w:space="0" w:color="auto"/>
            </w:tcBorders>
            <w:shd w:val="clear" w:color="auto" w:fill="auto"/>
            <w:noWrap/>
            <w:vAlign w:val="bottom"/>
            <w:hideMark/>
          </w:tcPr>
          <w:p w14:paraId="5A861A03"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13.35</w:t>
            </w:r>
          </w:p>
        </w:tc>
        <w:tc>
          <w:tcPr>
            <w:tcW w:w="1120" w:type="dxa"/>
            <w:tcBorders>
              <w:top w:val="nil"/>
              <w:left w:val="nil"/>
              <w:bottom w:val="single" w:sz="4" w:space="0" w:color="auto"/>
              <w:right w:val="single" w:sz="4" w:space="0" w:color="auto"/>
            </w:tcBorders>
            <w:shd w:val="clear" w:color="auto" w:fill="auto"/>
            <w:noWrap/>
            <w:vAlign w:val="bottom"/>
            <w:hideMark/>
          </w:tcPr>
          <w:p w14:paraId="65A0DB1A" w14:textId="77777777" w:rsidR="00C05723" w:rsidRPr="001E5C20" w:rsidRDefault="00C05723" w:rsidP="00C05723">
            <w:pPr>
              <w:widowControl/>
              <w:autoSpaceDE/>
              <w:autoSpaceDN/>
              <w:adjustRightInd/>
              <w:jc w:val="right"/>
              <w:rPr>
                <w:b/>
                <w:color w:val="000000"/>
                <w:sz w:val="18"/>
                <w:szCs w:val="18"/>
              </w:rPr>
            </w:pPr>
            <w:r w:rsidRPr="001E5C20">
              <w:rPr>
                <w:b/>
                <w:color w:val="000000"/>
                <w:sz w:val="18"/>
                <w:szCs w:val="18"/>
              </w:rPr>
              <w:t>68.29</w:t>
            </w:r>
          </w:p>
        </w:tc>
      </w:tr>
      <w:tr w:rsidR="00C05723" w:rsidRPr="00C73AE3" w14:paraId="4E8731A4"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EFDB2A1"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45BAB27D"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265E43BF"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0959C42A"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53C74790"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1F114405" w14:textId="77777777" w:rsidR="00C05723" w:rsidRPr="001E5C20" w:rsidRDefault="00C05723" w:rsidP="00C05723">
            <w:pPr>
              <w:widowControl/>
              <w:autoSpaceDE/>
              <w:autoSpaceDN/>
              <w:adjustRightInd/>
              <w:rPr>
                <w:color w:val="000000"/>
                <w:sz w:val="18"/>
                <w:szCs w:val="18"/>
              </w:rPr>
            </w:pPr>
            <w:r w:rsidRPr="001E5C20">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bottom"/>
            <w:hideMark/>
          </w:tcPr>
          <w:p w14:paraId="746B2C16" w14:textId="77777777" w:rsidR="00C05723" w:rsidRPr="001E5C20" w:rsidRDefault="00C05723" w:rsidP="00C05723">
            <w:pPr>
              <w:widowControl/>
              <w:autoSpaceDE/>
              <w:autoSpaceDN/>
              <w:adjustRightInd/>
              <w:rPr>
                <w:b/>
                <w:color w:val="000000"/>
                <w:sz w:val="18"/>
                <w:szCs w:val="18"/>
              </w:rPr>
            </w:pPr>
            <w:r w:rsidRPr="001E5C20">
              <w:rPr>
                <w:b/>
                <w:color w:val="000000"/>
                <w:sz w:val="18"/>
                <w:szCs w:val="18"/>
              </w:rPr>
              <w:t> </w:t>
            </w:r>
          </w:p>
        </w:tc>
      </w:tr>
      <w:tr w:rsidR="00C05723" w:rsidRPr="00C73AE3" w14:paraId="0E5084A6" w14:textId="77777777" w:rsidTr="00C0572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3883EEA" w14:textId="77777777" w:rsidR="00C05723" w:rsidRPr="001E5C20" w:rsidRDefault="00C05723" w:rsidP="00C05723">
            <w:pPr>
              <w:widowControl/>
              <w:autoSpaceDE/>
              <w:autoSpaceDN/>
              <w:adjustRightInd/>
              <w:jc w:val="center"/>
              <w:rPr>
                <w:b/>
                <w:bCs/>
                <w:color w:val="000000"/>
                <w:sz w:val="18"/>
                <w:szCs w:val="18"/>
              </w:rPr>
            </w:pPr>
            <w:r w:rsidRPr="001E5C20">
              <w:rPr>
                <w:b/>
                <w:bCs/>
                <w:color w:val="000000"/>
                <w:sz w:val="18"/>
                <w:szCs w:val="18"/>
              </w:rPr>
              <w:t>Annual Total</w:t>
            </w:r>
          </w:p>
        </w:tc>
        <w:tc>
          <w:tcPr>
            <w:tcW w:w="1120" w:type="dxa"/>
            <w:tcBorders>
              <w:top w:val="nil"/>
              <w:left w:val="nil"/>
              <w:bottom w:val="single" w:sz="4" w:space="0" w:color="auto"/>
              <w:right w:val="single" w:sz="4" w:space="0" w:color="auto"/>
            </w:tcBorders>
            <w:shd w:val="clear" w:color="auto" w:fill="auto"/>
            <w:noWrap/>
            <w:vAlign w:val="bottom"/>
            <w:hideMark/>
          </w:tcPr>
          <w:p w14:paraId="0CE264C9"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31.80</w:t>
            </w:r>
          </w:p>
        </w:tc>
        <w:tc>
          <w:tcPr>
            <w:tcW w:w="1120" w:type="dxa"/>
            <w:tcBorders>
              <w:top w:val="nil"/>
              <w:left w:val="nil"/>
              <w:bottom w:val="single" w:sz="4" w:space="0" w:color="auto"/>
              <w:right w:val="single" w:sz="4" w:space="0" w:color="auto"/>
            </w:tcBorders>
            <w:shd w:val="clear" w:color="auto" w:fill="auto"/>
            <w:noWrap/>
            <w:vAlign w:val="bottom"/>
            <w:hideMark/>
          </w:tcPr>
          <w:p w14:paraId="64413B53"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31.85</w:t>
            </w:r>
          </w:p>
        </w:tc>
        <w:tc>
          <w:tcPr>
            <w:tcW w:w="1120" w:type="dxa"/>
            <w:tcBorders>
              <w:top w:val="nil"/>
              <w:left w:val="nil"/>
              <w:bottom w:val="single" w:sz="4" w:space="0" w:color="auto"/>
              <w:right w:val="single" w:sz="4" w:space="0" w:color="auto"/>
            </w:tcBorders>
            <w:shd w:val="clear" w:color="auto" w:fill="auto"/>
            <w:noWrap/>
            <w:vAlign w:val="bottom"/>
            <w:hideMark/>
          </w:tcPr>
          <w:p w14:paraId="358DC3DB"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31.70</w:t>
            </w:r>
          </w:p>
        </w:tc>
        <w:tc>
          <w:tcPr>
            <w:tcW w:w="1120" w:type="dxa"/>
            <w:tcBorders>
              <w:top w:val="nil"/>
              <w:left w:val="nil"/>
              <w:bottom w:val="single" w:sz="4" w:space="0" w:color="auto"/>
              <w:right w:val="single" w:sz="4" w:space="0" w:color="auto"/>
            </w:tcBorders>
            <w:shd w:val="clear" w:color="auto" w:fill="auto"/>
            <w:noWrap/>
            <w:vAlign w:val="bottom"/>
            <w:hideMark/>
          </w:tcPr>
          <w:p w14:paraId="1A9F8732"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31.59</w:t>
            </w:r>
          </w:p>
        </w:tc>
        <w:tc>
          <w:tcPr>
            <w:tcW w:w="1120" w:type="dxa"/>
            <w:tcBorders>
              <w:top w:val="nil"/>
              <w:left w:val="nil"/>
              <w:bottom w:val="single" w:sz="4" w:space="0" w:color="auto"/>
              <w:right w:val="single" w:sz="4" w:space="0" w:color="auto"/>
            </w:tcBorders>
            <w:shd w:val="clear" w:color="auto" w:fill="auto"/>
            <w:noWrap/>
            <w:vAlign w:val="bottom"/>
            <w:hideMark/>
          </w:tcPr>
          <w:p w14:paraId="75124C72" w14:textId="77777777" w:rsidR="00C05723" w:rsidRPr="001E5C20" w:rsidRDefault="00C05723" w:rsidP="00C05723">
            <w:pPr>
              <w:widowControl/>
              <w:autoSpaceDE/>
              <w:autoSpaceDN/>
              <w:adjustRightInd/>
              <w:jc w:val="right"/>
              <w:rPr>
                <w:color w:val="000000"/>
                <w:sz w:val="18"/>
                <w:szCs w:val="18"/>
              </w:rPr>
            </w:pPr>
            <w:r w:rsidRPr="001E5C20">
              <w:rPr>
                <w:color w:val="000000"/>
                <w:sz w:val="18"/>
                <w:szCs w:val="18"/>
              </w:rPr>
              <w:t>31.35</w:t>
            </w:r>
          </w:p>
        </w:tc>
        <w:tc>
          <w:tcPr>
            <w:tcW w:w="1120" w:type="dxa"/>
            <w:tcBorders>
              <w:top w:val="nil"/>
              <w:left w:val="nil"/>
              <w:bottom w:val="single" w:sz="4" w:space="0" w:color="auto"/>
              <w:right w:val="single" w:sz="4" w:space="0" w:color="auto"/>
            </w:tcBorders>
            <w:shd w:val="clear" w:color="auto" w:fill="auto"/>
            <w:noWrap/>
            <w:vAlign w:val="bottom"/>
            <w:hideMark/>
          </w:tcPr>
          <w:p w14:paraId="5A0BB5F6" w14:textId="77777777" w:rsidR="00C05723" w:rsidRPr="001E5C20" w:rsidRDefault="00C05723" w:rsidP="00C05723">
            <w:pPr>
              <w:widowControl/>
              <w:autoSpaceDE/>
              <w:autoSpaceDN/>
              <w:adjustRightInd/>
              <w:jc w:val="right"/>
              <w:rPr>
                <w:b/>
                <w:color w:val="000000"/>
                <w:sz w:val="18"/>
                <w:szCs w:val="18"/>
              </w:rPr>
            </w:pPr>
            <w:r w:rsidRPr="001E5C20">
              <w:rPr>
                <w:b/>
                <w:color w:val="000000"/>
                <w:sz w:val="18"/>
                <w:szCs w:val="18"/>
              </w:rPr>
              <w:t>158.29</w:t>
            </w:r>
          </w:p>
        </w:tc>
      </w:tr>
    </w:tbl>
    <w:p w14:paraId="35F5B957" w14:textId="77777777" w:rsidR="00C05723" w:rsidRPr="00F54DF8" w:rsidRDefault="00C05723" w:rsidP="00C05723">
      <w:pPr>
        <w:pStyle w:val="p7"/>
        <w:keepNext/>
        <w:widowControl/>
        <w:tabs>
          <w:tab w:val="clear" w:pos="1133"/>
          <w:tab w:val="left" w:pos="720"/>
          <w:tab w:val="left" w:pos="1350"/>
          <w:tab w:val="left" w:pos="1440"/>
          <w:tab w:val="left" w:pos="1530"/>
        </w:tabs>
        <w:spacing w:line="360" w:lineRule="auto"/>
        <w:ind w:left="0" w:firstLine="0"/>
        <w:jc w:val="both"/>
        <w:rPr>
          <w:b/>
          <w:sz w:val="26"/>
          <w:szCs w:val="26"/>
        </w:rPr>
      </w:pPr>
    </w:p>
    <w:p w14:paraId="2ED3FE4C" w14:textId="77777777" w:rsidR="00C05723" w:rsidRPr="00F54DF8" w:rsidRDefault="00C05723" w:rsidP="00C05723">
      <w:pPr>
        <w:pStyle w:val="p7"/>
        <w:keepNext/>
        <w:widowControl/>
        <w:tabs>
          <w:tab w:val="clear" w:pos="1133"/>
          <w:tab w:val="left" w:pos="720"/>
          <w:tab w:val="left" w:pos="1350"/>
          <w:tab w:val="left" w:pos="1440"/>
          <w:tab w:val="left" w:pos="1530"/>
        </w:tabs>
        <w:spacing w:line="360" w:lineRule="auto"/>
        <w:ind w:left="0" w:firstLine="0"/>
        <w:rPr>
          <w:b/>
          <w:sz w:val="26"/>
          <w:szCs w:val="26"/>
        </w:rPr>
      </w:pPr>
      <w:r w:rsidRPr="00F54DF8">
        <w:rPr>
          <w:b/>
          <w:sz w:val="26"/>
          <w:szCs w:val="26"/>
        </w:rPr>
        <w:t xml:space="preserve">Table </w:t>
      </w:r>
      <w:r w:rsidR="00BA5940">
        <w:rPr>
          <w:b/>
          <w:sz w:val="26"/>
          <w:szCs w:val="26"/>
        </w:rPr>
        <w:t>5</w:t>
      </w:r>
      <w:r w:rsidRPr="00F54DF8">
        <w:rPr>
          <w:b/>
          <w:sz w:val="26"/>
          <w:szCs w:val="26"/>
        </w:rPr>
        <w:t xml:space="preserve"> – Annual</w:t>
      </w:r>
      <w:r w:rsidR="00A44EB6" w:rsidRPr="00F54DF8">
        <w:rPr>
          <w:b/>
          <w:sz w:val="26"/>
          <w:szCs w:val="26"/>
        </w:rPr>
        <w:t xml:space="preserve"> Projected</w:t>
      </w:r>
      <w:r w:rsidRPr="00F54DF8">
        <w:rPr>
          <w:b/>
          <w:sz w:val="26"/>
          <w:szCs w:val="26"/>
        </w:rPr>
        <w:t xml:space="preserve"> Expenditures on Main Replacement, FY 2018-2022</w:t>
      </w:r>
    </w:p>
    <w:tbl>
      <w:tblPr>
        <w:tblW w:w="9300" w:type="dxa"/>
        <w:tblLook w:val="04A0" w:firstRow="1" w:lastRow="0" w:firstColumn="1" w:lastColumn="0" w:noHBand="0" w:noVBand="1"/>
      </w:tblPr>
      <w:tblGrid>
        <w:gridCol w:w="2220"/>
        <w:gridCol w:w="1180"/>
        <w:gridCol w:w="1180"/>
        <w:gridCol w:w="1180"/>
        <w:gridCol w:w="1180"/>
        <w:gridCol w:w="1180"/>
        <w:gridCol w:w="1180"/>
      </w:tblGrid>
      <w:tr w:rsidR="00C05723" w:rsidRPr="00C73AE3" w14:paraId="73A3AD15" w14:textId="77777777" w:rsidTr="00C05723">
        <w:trPr>
          <w:trHeight w:val="300"/>
        </w:trPr>
        <w:tc>
          <w:tcPr>
            <w:tcW w:w="2220" w:type="dxa"/>
            <w:tcBorders>
              <w:top w:val="nil"/>
              <w:left w:val="nil"/>
              <w:bottom w:val="nil"/>
              <w:right w:val="nil"/>
            </w:tcBorders>
            <w:shd w:val="clear" w:color="auto" w:fill="auto"/>
            <w:noWrap/>
            <w:vAlign w:val="bottom"/>
            <w:hideMark/>
          </w:tcPr>
          <w:p w14:paraId="15CF6C39" w14:textId="77777777" w:rsidR="00C05723" w:rsidRPr="00C73AE3" w:rsidRDefault="00C05723" w:rsidP="00C05723">
            <w:pPr>
              <w:widowControl/>
              <w:autoSpaceDE/>
              <w:autoSpaceDN/>
              <w:adjustRightInd/>
              <w:rPr>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78C8A"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FY 2018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2576F0F"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FY2019</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F4C85FE"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FY 2020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5BD1858"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FY 2021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25BD537"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FY 2022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80F7261"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Total</w:t>
            </w:r>
          </w:p>
        </w:tc>
      </w:tr>
      <w:tr w:rsidR="00C05723" w:rsidRPr="00C73AE3" w14:paraId="6D2FF25A" w14:textId="77777777" w:rsidTr="00C05723">
        <w:trPr>
          <w:trHeight w:val="300"/>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3E128" w14:textId="77777777" w:rsidR="00C05723" w:rsidRPr="001E5C20" w:rsidRDefault="00C05723" w:rsidP="00C05723">
            <w:pPr>
              <w:widowControl/>
              <w:autoSpaceDE/>
              <w:autoSpaceDN/>
              <w:adjustRightInd/>
              <w:rPr>
                <w:b/>
                <w:bCs/>
                <w:color w:val="000000"/>
                <w:sz w:val="16"/>
                <w:szCs w:val="16"/>
                <w:u w:val="single"/>
              </w:rPr>
            </w:pPr>
            <w:r w:rsidRPr="001E5C20">
              <w:rPr>
                <w:b/>
                <w:bCs/>
                <w:color w:val="000000"/>
                <w:sz w:val="16"/>
                <w:szCs w:val="16"/>
                <w:u w:val="single"/>
              </w:rPr>
              <w:t>CURRENT BASELINE PROGRAM</w:t>
            </w:r>
          </w:p>
        </w:tc>
        <w:tc>
          <w:tcPr>
            <w:tcW w:w="1180" w:type="dxa"/>
            <w:tcBorders>
              <w:top w:val="nil"/>
              <w:left w:val="nil"/>
              <w:bottom w:val="single" w:sz="4" w:space="0" w:color="auto"/>
              <w:right w:val="single" w:sz="4" w:space="0" w:color="auto"/>
            </w:tcBorders>
            <w:shd w:val="clear" w:color="auto" w:fill="auto"/>
            <w:noWrap/>
            <w:vAlign w:val="bottom"/>
            <w:hideMark/>
          </w:tcPr>
          <w:p w14:paraId="0651B658"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07CCF649"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D10F75B"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6EEE37AC"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3DAA49D"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EA00DD"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r>
      <w:tr w:rsidR="00C05723" w:rsidRPr="00C73AE3" w14:paraId="6020C279"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3715F41"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8" and Smaller LP/IP</w:t>
            </w:r>
          </w:p>
        </w:tc>
        <w:tc>
          <w:tcPr>
            <w:tcW w:w="1180" w:type="dxa"/>
            <w:tcBorders>
              <w:top w:val="nil"/>
              <w:left w:val="nil"/>
              <w:bottom w:val="single" w:sz="4" w:space="0" w:color="auto"/>
              <w:right w:val="single" w:sz="4" w:space="0" w:color="auto"/>
            </w:tcBorders>
            <w:shd w:val="clear" w:color="auto" w:fill="auto"/>
            <w:noWrap/>
            <w:vAlign w:val="bottom"/>
            <w:hideMark/>
          </w:tcPr>
          <w:p w14:paraId="0F60247F"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$21,003,840</w:t>
            </w:r>
          </w:p>
        </w:tc>
        <w:tc>
          <w:tcPr>
            <w:tcW w:w="1180" w:type="dxa"/>
            <w:tcBorders>
              <w:top w:val="nil"/>
              <w:left w:val="nil"/>
              <w:bottom w:val="single" w:sz="4" w:space="0" w:color="auto"/>
              <w:right w:val="single" w:sz="4" w:space="0" w:color="auto"/>
            </w:tcBorders>
            <w:shd w:val="clear" w:color="auto" w:fill="auto"/>
            <w:noWrap/>
            <w:vAlign w:val="bottom"/>
            <w:hideMark/>
          </w:tcPr>
          <w:p w14:paraId="7664D47B"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$21,384,000</w:t>
            </w:r>
          </w:p>
        </w:tc>
        <w:tc>
          <w:tcPr>
            <w:tcW w:w="1180" w:type="dxa"/>
            <w:tcBorders>
              <w:top w:val="nil"/>
              <w:left w:val="nil"/>
              <w:bottom w:val="single" w:sz="4" w:space="0" w:color="auto"/>
              <w:right w:val="single" w:sz="4" w:space="0" w:color="auto"/>
            </w:tcBorders>
            <w:shd w:val="clear" w:color="auto" w:fill="auto"/>
            <w:noWrap/>
            <w:vAlign w:val="bottom"/>
            <w:hideMark/>
          </w:tcPr>
          <w:p w14:paraId="1538634E"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$21,859,200</w:t>
            </w:r>
          </w:p>
        </w:tc>
        <w:tc>
          <w:tcPr>
            <w:tcW w:w="1180" w:type="dxa"/>
            <w:tcBorders>
              <w:top w:val="nil"/>
              <w:left w:val="nil"/>
              <w:bottom w:val="single" w:sz="4" w:space="0" w:color="auto"/>
              <w:right w:val="single" w:sz="4" w:space="0" w:color="auto"/>
            </w:tcBorders>
            <w:shd w:val="clear" w:color="auto" w:fill="auto"/>
            <w:noWrap/>
            <w:vAlign w:val="bottom"/>
            <w:hideMark/>
          </w:tcPr>
          <w:p w14:paraId="2F465B1D"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$22,239,360</w:t>
            </w:r>
          </w:p>
        </w:tc>
        <w:tc>
          <w:tcPr>
            <w:tcW w:w="1180" w:type="dxa"/>
            <w:tcBorders>
              <w:top w:val="nil"/>
              <w:left w:val="nil"/>
              <w:bottom w:val="single" w:sz="4" w:space="0" w:color="auto"/>
              <w:right w:val="single" w:sz="4" w:space="0" w:color="auto"/>
            </w:tcBorders>
            <w:shd w:val="clear" w:color="auto" w:fill="auto"/>
            <w:noWrap/>
            <w:vAlign w:val="bottom"/>
            <w:hideMark/>
          </w:tcPr>
          <w:p w14:paraId="39222EB8"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$22,714,560</w:t>
            </w:r>
          </w:p>
        </w:tc>
        <w:tc>
          <w:tcPr>
            <w:tcW w:w="1180" w:type="dxa"/>
            <w:tcBorders>
              <w:top w:val="nil"/>
              <w:left w:val="nil"/>
              <w:bottom w:val="single" w:sz="4" w:space="0" w:color="auto"/>
              <w:right w:val="single" w:sz="4" w:space="0" w:color="auto"/>
            </w:tcBorders>
            <w:shd w:val="clear" w:color="auto" w:fill="auto"/>
            <w:noWrap/>
            <w:vAlign w:val="bottom"/>
            <w:hideMark/>
          </w:tcPr>
          <w:p w14:paraId="6F6711BF" w14:textId="77777777" w:rsidR="00C05723" w:rsidRPr="001E5C20" w:rsidRDefault="00C05723" w:rsidP="00C05723">
            <w:pPr>
              <w:widowControl/>
              <w:autoSpaceDE/>
              <w:autoSpaceDN/>
              <w:adjustRightInd/>
              <w:jc w:val="right"/>
              <w:rPr>
                <w:b/>
                <w:color w:val="000000"/>
                <w:sz w:val="16"/>
                <w:szCs w:val="16"/>
              </w:rPr>
            </w:pPr>
            <w:r w:rsidRPr="001E5C20">
              <w:rPr>
                <w:b/>
                <w:color w:val="000000"/>
                <w:sz w:val="16"/>
                <w:szCs w:val="16"/>
              </w:rPr>
              <w:t>$109,200,960</w:t>
            </w:r>
          </w:p>
        </w:tc>
      </w:tr>
      <w:tr w:rsidR="00C05723" w:rsidRPr="00C73AE3" w14:paraId="266D800E"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3D17FFC" w14:textId="77777777" w:rsidR="00C05723" w:rsidRPr="001E5C20" w:rsidRDefault="00C05723" w:rsidP="00C05723">
            <w:pPr>
              <w:widowControl/>
              <w:autoSpaceDE/>
              <w:autoSpaceDN/>
              <w:adjustRightInd/>
              <w:rPr>
                <w:b/>
                <w:bCs/>
                <w:color w:val="000000"/>
                <w:sz w:val="16"/>
                <w:szCs w:val="16"/>
              </w:rPr>
            </w:pPr>
            <w:r w:rsidRPr="001E5C20">
              <w:rPr>
                <w:b/>
                <w:bCs/>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727D331"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DDDE72D"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4FA843C"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AFD84D"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A09C808"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44BAE60" w14:textId="77777777" w:rsidR="00C05723" w:rsidRPr="001E5C20" w:rsidRDefault="00C05723" w:rsidP="00C05723">
            <w:pPr>
              <w:widowControl/>
              <w:autoSpaceDE/>
              <w:autoSpaceDN/>
              <w:adjustRightInd/>
              <w:rPr>
                <w:b/>
                <w:color w:val="000000"/>
                <w:sz w:val="16"/>
                <w:szCs w:val="16"/>
              </w:rPr>
            </w:pPr>
            <w:r w:rsidRPr="001E5C20">
              <w:rPr>
                <w:b/>
                <w:color w:val="000000"/>
                <w:sz w:val="16"/>
                <w:szCs w:val="16"/>
              </w:rPr>
              <w:t> </w:t>
            </w:r>
          </w:p>
        </w:tc>
      </w:tr>
      <w:tr w:rsidR="00C05723" w:rsidRPr="00C73AE3" w14:paraId="6CE11986"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1D65122" w14:textId="77777777" w:rsidR="00C05723" w:rsidRPr="001E5C20" w:rsidRDefault="00C05723" w:rsidP="00C05723">
            <w:pPr>
              <w:widowControl/>
              <w:autoSpaceDE/>
              <w:autoSpaceDN/>
              <w:adjustRightInd/>
              <w:rPr>
                <w:b/>
                <w:bCs/>
                <w:color w:val="000000"/>
                <w:sz w:val="16"/>
                <w:szCs w:val="16"/>
                <w:u w:val="single"/>
              </w:rPr>
            </w:pPr>
            <w:r w:rsidRPr="001E5C20">
              <w:rPr>
                <w:b/>
                <w:bCs/>
                <w:color w:val="000000"/>
                <w:sz w:val="16"/>
                <w:szCs w:val="16"/>
                <w:u w:val="single"/>
              </w:rPr>
              <w:t>ACCELERATED PROGRAM</w:t>
            </w:r>
          </w:p>
        </w:tc>
        <w:tc>
          <w:tcPr>
            <w:tcW w:w="1180" w:type="dxa"/>
            <w:tcBorders>
              <w:top w:val="nil"/>
              <w:left w:val="nil"/>
              <w:bottom w:val="single" w:sz="4" w:space="0" w:color="auto"/>
              <w:right w:val="single" w:sz="4" w:space="0" w:color="auto"/>
            </w:tcBorders>
            <w:shd w:val="clear" w:color="auto" w:fill="auto"/>
            <w:noWrap/>
            <w:vAlign w:val="bottom"/>
            <w:hideMark/>
          </w:tcPr>
          <w:p w14:paraId="25F35A19"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03D43545"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F0C56C7"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176A11C6"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B38879C"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2B74BBB" w14:textId="77777777" w:rsidR="00C05723" w:rsidRPr="001E5C20" w:rsidRDefault="00C05723" w:rsidP="00C05723">
            <w:pPr>
              <w:widowControl/>
              <w:autoSpaceDE/>
              <w:autoSpaceDN/>
              <w:adjustRightInd/>
              <w:rPr>
                <w:b/>
                <w:color w:val="000000"/>
                <w:sz w:val="16"/>
                <w:szCs w:val="16"/>
              </w:rPr>
            </w:pPr>
            <w:r w:rsidRPr="001E5C20">
              <w:rPr>
                <w:b/>
                <w:color w:val="000000"/>
                <w:sz w:val="16"/>
                <w:szCs w:val="16"/>
              </w:rPr>
              <w:t> </w:t>
            </w:r>
          </w:p>
        </w:tc>
      </w:tr>
      <w:tr w:rsidR="00C05723" w:rsidRPr="00C73AE3" w14:paraId="5D055919"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129D2CA8"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8" and Smaller LP/IP</w:t>
            </w:r>
          </w:p>
        </w:tc>
        <w:tc>
          <w:tcPr>
            <w:tcW w:w="1180" w:type="dxa"/>
            <w:tcBorders>
              <w:top w:val="nil"/>
              <w:left w:val="nil"/>
              <w:bottom w:val="single" w:sz="4" w:space="0" w:color="auto"/>
              <w:right w:val="single" w:sz="4" w:space="0" w:color="auto"/>
            </w:tcBorders>
            <w:shd w:val="clear" w:color="auto" w:fill="auto"/>
            <w:noWrap/>
            <w:vAlign w:val="bottom"/>
            <w:hideMark/>
          </w:tcPr>
          <w:p w14:paraId="32C6EFFD"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$8,168,160</w:t>
            </w:r>
          </w:p>
        </w:tc>
        <w:tc>
          <w:tcPr>
            <w:tcW w:w="1180" w:type="dxa"/>
            <w:tcBorders>
              <w:top w:val="nil"/>
              <w:left w:val="nil"/>
              <w:bottom w:val="single" w:sz="4" w:space="0" w:color="auto"/>
              <w:right w:val="single" w:sz="4" w:space="0" w:color="auto"/>
            </w:tcBorders>
            <w:shd w:val="clear" w:color="auto" w:fill="auto"/>
            <w:noWrap/>
            <w:vAlign w:val="bottom"/>
            <w:hideMark/>
          </w:tcPr>
          <w:p w14:paraId="14F19747"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$8,316,000</w:t>
            </w:r>
          </w:p>
        </w:tc>
        <w:tc>
          <w:tcPr>
            <w:tcW w:w="1180" w:type="dxa"/>
            <w:tcBorders>
              <w:top w:val="nil"/>
              <w:left w:val="nil"/>
              <w:bottom w:val="single" w:sz="4" w:space="0" w:color="auto"/>
              <w:right w:val="single" w:sz="4" w:space="0" w:color="auto"/>
            </w:tcBorders>
            <w:shd w:val="clear" w:color="auto" w:fill="auto"/>
            <w:noWrap/>
            <w:vAlign w:val="bottom"/>
            <w:hideMark/>
          </w:tcPr>
          <w:p w14:paraId="13453485"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$8,500,800</w:t>
            </w:r>
          </w:p>
        </w:tc>
        <w:tc>
          <w:tcPr>
            <w:tcW w:w="1180" w:type="dxa"/>
            <w:tcBorders>
              <w:top w:val="nil"/>
              <w:left w:val="nil"/>
              <w:bottom w:val="single" w:sz="4" w:space="0" w:color="auto"/>
              <w:right w:val="single" w:sz="4" w:space="0" w:color="auto"/>
            </w:tcBorders>
            <w:shd w:val="clear" w:color="auto" w:fill="auto"/>
            <w:noWrap/>
            <w:vAlign w:val="bottom"/>
            <w:hideMark/>
          </w:tcPr>
          <w:p w14:paraId="60FC8EDB"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$8,648,640</w:t>
            </w:r>
          </w:p>
        </w:tc>
        <w:tc>
          <w:tcPr>
            <w:tcW w:w="1180" w:type="dxa"/>
            <w:tcBorders>
              <w:top w:val="nil"/>
              <w:left w:val="nil"/>
              <w:bottom w:val="single" w:sz="4" w:space="0" w:color="auto"/>
              <w:right w:val="single" w:sz="4" w:space="0" w:color="auto"/>
            </w:tcBorders>
            <w:shd w:val="clear" w:color="auto" w:fill="auto"/>
            <w:noWrap/>
            <w:vAlign w:val="bottom"/>
            <w:hideMark/>
          </w:tcPr>
          <w:p w14:paraId="54015EC5"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$8,833,440</w:t>
            </w:r>
          </w:p>
        </w:tc>
        <w:tc>
          <w:tcPr>
            <w:tcW w:w="1180" w:type="dxa"/>
            <w:tcBorders>
              <w:top w:val="nil"/>
              <w:left w:val="nil"/>
              <w:bottom w:val="single" w:sz="4" w:space="0" w:color="auto"/>
              <w:right w:val="single" w:sz="4" w:space="0" w:color="auto"/>
            </w:tcBorders>
            <w:shd w:val="clear" w:color="auto" w:fill="auto"/>
            <w:noWrap/>
            <w:vAlign w:val="bottom"/>
            <w:hideMark/>
          </w:tcPr>
          <w:p w14:paraId="539D8508" w14:textId="77777777" w:rsidR="00C05723" w:rsidRPr="001E5C20" w:rsidRDefault="00C05723" w:rsidP="00C05723">
            <w:pPr>
              <w:widowControl/>
              <w:autoSpaceDE/>
              <w:autoSpaceDN/>
              <w:adjustRightInd/>
              <w:jc w:val="right"/>
              <w:rPr>
                <w:b/>
                <w:color w:val="000000"/>
                <w:sz w:val="16"/>
                <w:szCs w:val="16"/>
              </w:rPr>
            </w:pPr>
            <w:r w:rsidRPr="001E5C20">
              <w:rPr>
                <w:b/>
                <w:color w:val="000000"/>
                <w:sz w:val="16"/>
                <w:szCs w:val="16"/>
              </w:rPr>
              <w:t>$42,467,040</w:t>
            </w:r>
          </w:p>
        </w:tc>
      </w:tr>
      <w:tr w:rsidR="00C05723" w:rsidRPr="00C73AE3" w14:paraId="476B3A14"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1380214"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12" and Larger LP</w:t>
            </w:r>
          </w:p>
        </w:tc>
        <w:tc>
          <w:tcPr>
            <w:tcW w:w="1180" w:type="dxa"/>
            <w:tcBorders>
              <w:top w:val="nil"/>
              <w:left w:val="nil"/>
              <w:bottom w:val="single" w:sz="4" w:space="0" w:color="auto"/>
              <w:right w:val="single" w:sz="4" w:space="0" w:color="auto"/>
            </w:tcBorders>
            <w:shd w:val="clear" w:color="auto" w:fill="auto"/>
            <w:noWrap/>
            <w:vAlign w:val="bottom"/>
            <w:hideMark/>
          </w:tcPr>
          <w:p w14:paraId="4CB4859E"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$4,456,320</w:t>
            </w:r>
          </w:p>
        </w:tc>
        <w:tc>
          <w:tcPr>
            <w:tcW w:w="1180" w:type="dxa"/>
            <w:tcBorders>
              <w:top w:val="nil"/>
              <w:left w:val="nil"/>
              <w:bottom w:val="single" w:sz="4" w:space="0" w:color="auto"/>
              <w:right w:val="single" w:sz="4" w:space="0" w:color="auto"/>
            </w:tcBorders>
            <w:shd w:val="clear" w:color="auto" w:fill="auto"/>
            <w:noWrap/>
            <w:vAlign w:val="bottom"/>
            <w:hideMark/>
          </w:tcPr>
          <w:p w14:paraId="4476DBC2"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$4,760,870</w:t>
            </w:r>
          </w:p>
        </w:tc>
        <w:tc>
          <w:tcPr>
            <w:tcW w:w="1180" w:type="dxa"/>
            <w:tcBorders>
              <w:top w:val="nil"/>
              <w:left w:val="nil"/>
              <w:bottom w:val="single" w:sz="4" w:space="0" w:color="auto"/>
              <w:right w:val="single" w:sz="4" w:space="0" w:color="auto"/>
            </w:tcBorders>
            <w:shd w:val="clear" w:color="auto" w:fill="auto"/>
            <w:noWrap/>
            <w:vAlign w:val="bottom"/>
            <w:hideMark/>
          </w:tcPr>
          <w:p w14:paraId="1ED987C2"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$5,188,681</w:t>
            </w:r>
          </w:p>
        </w:tc>
        <w:tc>
          <w:tcPr>
            <w:tcW w:w="1180" w:type="dxa"/>
            <w:tcBorders>
              <w:top w:val="nil"/>
              <w:left w:val="nil"/>
              <w:bottom w:val="single" w:sz="4" w:space="0" w:color="auto"/>
              <w:right w:val="single" w:sz="4" w:space="0" w:color="auto"/>
            </w:tcBorders>
            <w:shd w:val="clear" w:color="auto" w:fill="auto"/>
            <w:noWrap/>
            <w:vAlign w:val="bottom"/>
            <w:hideMark/>
          </w:tcPr>
          <w:p w14:paraId="1A39CEA2"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$5,026,051</w:t>
            </w:r>
          </w:p>
        </w:tc>
        <w:tc>
          <w:tcPr>
            <w:tcW w:w="1180" w:type="dxa"/>
            <w:tcBorders>
              <w:top w:val="nil"/>
              <w:left w:val="nil"/>
              <w:bottom w:val="single" w:sz="4" w:space="0" w:color="auto"/>
              <w:right w:val="single" w:sz="4" w:space="0" w:color="auto"/>
            </w:tcBorders>
            <w:shd w:val="clear" w:color="auto" w:fill="auto"/>
            <w:noWrap/>
            <w:vAlign w:val="bottom"/>
            <w:hideMark/>
          </w:tcPr>
          <w:p w14:paraId="36B8D653"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$4,657,922</w:t>
            </w:r>
          </w:p>
        </w:tc>
        <w:tc>
          <w:tcPr>
            <w:tcW w:w="1180" w:type="dxa"/>
            <w:tcBorders>
              <w:top w:val="nil"/>
              <w:left w:val="nil"/>
              <w:bottom w:val="single" w:sz="4" w:space="0" w:color="auto"/>
              <w:right w:val="single" w:sz="4" w:space="0" w:color="auto"/>
            </w:tcBorders>
            <w:shd w:val="clear" w:color="auto" w:fill="auto"/>
            <w:noWrap/>
            <w:vAlign w:val="bottom"/>
            <w:hideMark/>
          </w:tcPr>
          <w:p w14:paraId="6C02EDD7" w14:textId="77777777" w:rsidR="00C05723" w:rsidRPr="001E5C20" w:rsidRDefault="00C05723" w:rsidP="00C05723">
            <w:pPr>
              <w:widowControl/>
              <w:autoSpaceDE/>
              <w:autoSpaceDN/>
              <w:adjustRightInd/>
              <w:jc w:val="right"/>
              <w:rPr>
                <w:b/>
                <w:color w:val="000000"/>
                <w:sz w:val="16"/>
                <w:szCs w:val="16"/>
              </w:rPr>
            </w:pPr>
            <w:r w:rsidRPr="001E5C20">
              <w:rPr>
                <w:b/>
                <w:color w:val="000000"/>
                <w:sz w:val="16"/>
                <w:szCs w:val="16"/>
              </w:rPr>
              <w:t>$24,089,844</w:t>
            </w:r>
          </w:p>
        </w:tc>
      </w:tr>
      <w:tr w:rsidR="00C05723" w:rsidRPr="00C73AE3" w14:paraId="052BF6B5"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779FFD89"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12" and Larger HP</w:t>
            </w:r>
          </w:p>
        </w:tc>
        <w:tc>
          <w:tcPr>
            <w:tcW w:w="1180" w:type="dxa"/>
            <w:tcBorders>
              <w:top w:val="nil"/>
              <w:left w:val="nil"/>
              <w:bottom w:val="single" w:sz="4" w:space="0" w:color="auto"/>
              <w:right w:val="single" w:sz="4" w:space="0" w:color="auto"/>
            </w:tcBorders>
            <w:shd w:val="clear" w:color="auto" w:fill="auto"/>
            <w:noWrap/>
            <w:vAlign w:val="bottom"/>
            <w:hideMark/>
          </w:tcPr>
          <w:p w14:paraId="4FCE5CAA"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$20,446,800</w:t>
            </w:r>
          </w:p>
        </w:tc>
        <w:tc>
          <w:tcPr>
            <w:tcW w:w="1180" w:type="dxa"/>
            <w:tcBorders>
              <w:top w:val="nil"/>
              <w:left w:val="nil"/>
              <w:bottom w:val="single" w:sz="4" w:space="0" w:color="auto"/>
              <w:right w:val="single" w:sz="4" w:space="0" w:color="auto"/>
            </w:tcBorders>
            <w:shd w:val="clear" w:color="auto" w:fill="auto"/>
            <w:noWrap/>
            <w:vAlign w:val="bottom"/>
            <w:hideMark/>
          </w:tcPr>
          <w:p w14:paraId="3AC5D52D"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$20,249,856</w:t>
            </w:r>
          </w:p>
        </w:tc>
        <w:tc>
          <w:tcPr>
            <w:tcW w:w="1180" w:type="dxa"/>
            <w:tcBorders>
              <w:top w:val="nil"/>
              <w:left w:val="nil"/>
              <w:bottom w:val="single" w:sz="4" w:space="0" w:color="auto"/>
              <w:right w:val="single" w:sz="4" w:space="0" w:color="auto"/>
            </w:tcBorders>
            <w:shd w:val="clear" w:color="auto" w:fill="auto"/>
            <w:noWrap/>
            <w:vAlign w:val="bottom"/>
            <w:hideMark/>
          </w:tcPr>
          <w:p w14:paraId="528FFD02"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$19,575,227</w:t>
            </w:r>
          </w:p>
        </w:tc>
        <w:tc>
          <w:tcPr>
            <w:tcW w:w="1180" w:type="dxa"/>
            <w:tcBorders>
              <w:top w:val="nil"/>
              <w:left w:val="nil"/>
              <w:bottom w:val="single" w:sz="4" w:space="0" w:color="auto"/>
              <w:right w:val="single" w:sz="4" w:space="0" w:color="auto"/>
            </w:tcBorders>
            <w:shd w:val="clear" w:color="auto" w:fill="auto"/>
            <w:noWrap/>
            <w:vAlign w:val="bottom"/>
            <w:hideMark/>
          </w:tcPr>
          <w:p w14:paraId="78EA1183"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$19,653,148</w:t>
            </w:r>
          </w:p>
        </w:tc>
        <w:tc>
          <w:tcPr>
            <w:tcW w:w="1180" w:type="dxa"/>
            <w:tcBorders>
              <w:top w:val="nil"/>
              <w:left w:val="nil"/>
              <w:bottom w:val="single" w:sz="4" w:space="0" w:color="auto"/>
              <w:right w:val="single" w:sz="4" w:space="0" w:color="auto"/>
            </w:tcBorders>
            <w:shd w:val="clear" w:color="auto" w:fill="auto"/>
            <w:noWrap/>
            <w:vAlign w:val="bottom"/>
            <w:hideMark/>
          </w:tcPr>
          <w:p w14:paraId="46AEBBFC"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$20,289,108</w:t>
            </w:r>
          </w:p>
        </w:tc>
        <w:tc>
          <w:tcPr>
            <w:tcW w:w="1180" w:type="dxa"/>
            <w:tcBorders>
              <w:top w:val="nil"/>
              <w:left w:val="nil"/>
              <w:bottom w:val="single" w:sz="4" w:space="0" w:color="auto"/>
              <w:right w:val="single" w:sz="4" w:space="0" w:color="auto"/>
            </w:tcBorders>
            <w:shd w:val="clear" w:color="auto" w:fill="auto"/>
            <w:noWrap/>
            <w:vAlign w:val="bottom"/>
            <w:hideMark/>
          </w:tcPr>
          <w:p w14:paraId="386E93E1" w14:textId="77777777" w:rsidR="00C05723" w:rsidRPr="001E5C20" w:rsidRDefault="00C05723" w:rsidP="00C05723">
            <w:pPr>
              <w:widowControl/>
              <w:autoSpaceDE/>
              <w:autoSpaceDN/>
              <w:adjustRightInd/>
              <w:jc w:val="right"/>
              <w:rPr>
                <w:b/>
                <w:color w:val="000000"/>
                <w:sz w:val="16"/>
                <w:szCs w:val="16"/>
              </w:rPr>
            </w:pPr>
            <w:r w:rsidRPr="001E5C20">
              <w:rPr>
                <w:b/>
                <w:color w:val="000000"/>
                <w:sz w:val="16"/>
                <w:szCs w:val="16"/>
              </w:rPr>
              <w:t>$100,214,139</w:t>
            </w:r>
          </w:p>
        </w:tc>
      </w:tr>
      <w:tr w:rsidR="00C05723" w:rsidRPr="00C73AE3" w14:paraId="31B5AEB6"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02A43AAD"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Abandonment for Non-Use</w:t>
            </w:r>
          </w:p>
        </w:tc>
        <w:tc>
          <w:tcPr>
            <w:tcW w:w="1180" w:type="dxa"/>
            <w:tcBorders>
              <w:top w:val="nil"/>
              <w:left w:val="nil"/>
              <w:bottom w:val="single" w:sz="4" w:space="0" w:color="auto"/>
              <w:right w:val="single" w:sz="4" w:space="0" w:color="auto"/>
            </w:tcBorders>
            <w:shd w:val="clear" w:color="auto" w:fill="auto"/>
            <w:noWrap/>
            <w:vAlign w:val="bottom"/>
            <w:hideMark/>
          </w:tcPr>
          <w:p w14:paraId="716BA5CF"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$0</w:t>
            </w:r>
          </w:p>
        </w:tc>
        <w:tc>
          <w:tcPr>
            <w:tcW w:w="1180" w:type="dxa"/>
            <w:tcBorders>
              <w:top w:val="nil"/>
              <w:left w:val="nil"/>
              <w:bottom w:val="single" w:sz="4" w:space="0" w:color="auto"/>
              <w:right w:val="single" w:sz="4" w:space="0" w:color="auto"/>
            </w:tcBorders>
            <w:shd w:val="clear" w:color="auto" w:fill="auto"/>
            <w:noWrap/>
            <w:vAlign w:val="bottom"/>
            <w:hideMark/>
          </w:tcPr>
          <w:p w14:paraId="49C4E16C"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$0</w:t>
            </w:r>
          </w:p>
        </w:tc>
        <w:tc>
          <w:tcPr>
            <w:tcW w:w="1180" w:type="dxa"/>
            <w:tcBorders>
              <w:top w:val="nil"/>
              <w:left w:val="nil"/>
              <w:bottom w:val="single" w:sz="4" w:space="0" w:color="auto"/>
              <w:right w:val="single" w:sz="4" w:space="0" w:color="auto"/>
            </w:tcBorders>
            <w:shd w:val="clear" w:color="auto" w:fill="auto"/>
            <w:noWrap/>
            <w:vAlign w:val="bottom"/>
            <w:hideMark/>
          </w:tcPr>
          <w:p w14:paraId="2108DA4E"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$0</w:t>
            </w:r>
          </w:p>
        </w:tc>
        <w:tc>
          <w:tcPr>
            <w:tcW w:w="1180" w:type="dxa"/>
            <w:tcBorders>
              <w:top w:val="nil"/>
              <w:left w:val="nil"/>
              <w:bottom w:val="single" w:sz="4" w:space="0" w:color="auto"/>
              <w:right w:val="single" w:sz="4" w:space="0" w:color="auto"/>
            </w:tcBorders>
            <w:shd w:val="clear" w:color="auto" w:fill="auto"/>
            <w:noWrap/>
            <w:vAlign w:val="bottom"/>
            <w:hideMark/>
          </w:tcPr>
          <w:p w14:paraId="6BABB5A7"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$0</w:t>
            </w:r>
          </w:p>
        </w:tc>
        <w:tc>
          <w:tcPr>
            <w:tcW w:w="1180" w:type="dxa"/>
            <w:tcBorders>
              <w:top w:val="nil"/>
              <w:left w:val="nil"/>
              <w:bottom w:val="single" w:sz="4" w:space="0" w:color="auto"/>
              <w:right w:val="single" w:sz="4" w:space="0" w:color="auto"/>
            </w:tcBorders>
            <w:shd w:val="clear" w:color="auto" w:fill="auto"/>
            <w:noWrap/>
            <w:vAlign w:val="bottom"/>
            <w:hideMark/>
          </w:tcPr>
          <w:p w14:paraId="3564C746"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$0</w:t>
            </w:r>
          </w:p>
        </w:tc>
        <w:tc>
          <w:tcPr>
            <w:tcW w:w="1180" w:type="dxa"/>
            <w:tcBorders>
              <w:top w:val="nil"/>
              <w:left w:val="nil"/>
              <w:bottom w:val="single" w:sz="4" w:space="0" w:color="auto"/>
              <w:right w:val="single" w:sz="4" w:space="0" w:color="auto"/>
            </w:tcBorders>
            <w:shd w:val="clear" w:color="auto" w:fill="auto"/>
            <w:noWrap/>
            <w:vAlign w:val="bottom"/>
            <w:hideMark/>
          </w:tcPr>
          <w:p w14:paraId="763D88CA" w14:textId="77777777" w:rsidR="00C05723" w:rsidRPr="001E5C20" w:rsidRDefault="00C05723" w:rsidP="00C05723">
            <w:pPr>
              <w:widowControl/>
              <w:autoSpaceDE/>
              <w:autoSpaceDN/>
              <w:adjustRightInd/>
              <w:jc w:val="right"/>
              <w:rPr>
                <w:b/>
                <w:color w:val="000000"/>
                <w:sz w:val="16"/>
                <w:szCs w:val="16"/>
              </w:rPr>
            </w:pPr>
            <w:r w:rsidRPr="001E5C20">
              <w:rPr>
                <w:b/>
                <w:color w:val="000000"/>
                <w:sz w:val="16"/>
                <w:szCs w:val="16"/>
              </w:rPr>
              <w:t>$0</w:t>
            </w:r>
          </w:p>
        </w:tc>
      </w:tr>
      <w:tr w:rsidR="00C05723" w:rsidRPr="00C73AE3" w14:paraId="027A5094"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21FC4360" w14:textId="77777777" w:rsidR="00C05723" w:rsidRPr="001E5C20" w:rsidRDefault="00C05723" w:rsidP="00C05723">
            <w:pPr>
              <w:widowControl/>
              <w:autoSpaceDE/>
              <w:autoSpaceDN/>
              <w:adjustRightInd/>
              <w:rPr>
                <w:b/>
                <w:bCs/>
                <w:color w:val="000000"/>
                <w:sz w:val="16"/>
                <w:szCs w:val="16"/>
              </w:rPr>
            </w:pPr>
            <w:r w:rsidRPr="001E5C20">
              <w:rPr>
                <w:b/>
                <w:bCs/>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65B189BF"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66FE565A"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6439F19"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B3B6B35"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18CA407"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B7D56DE" w14:textId="77777777" w:rsidR="00C05723" w:rsidRPr="001E5C20" w:rsidRDefault="00C05723" w:rsidP="00C05723">
            <w:pPr>
              <w:widowControl/>
              <w:autoSpaceDE/>
              <w:autoSpaceDN/>
              <w:adjustRightInd/>
              <w:rPr>
                <w:b/>
                <w:color w:val="000000"/>
                <w:sz w:val="16"/>
                <w:szCs w:val="16"/>
              </w:rPr>
            </w:pPr>
            <w:r w:rsidRPr="001E5C20">
              <w:rPr>
                <w:b/>
                <w:color w:val="000000"/>
                <w:sz w:val="16"/>
                <w:szCs w:val="16"/>
              </w:rPr>
              <w:t> </w:t>
            </w:r>
          </w:p>
        </w:tc>
      </w:tr>
      <w:tr w:rsidR="00C05723" w:rsidRPr="00C73AE3" w14:paraId="366CE976"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2971EDA6"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Accelerated Total</w:t>
            </w:r>
          </w:p>
        </w:tc>
        <w:tc>
          <w:tcPr>
            <w:tcW w:w="1180" w:type="dxa"/>
            <w:tcBorders>
              <w:top w:val="nil"/>
              <w:left w:val="nil"/>
              <w:bottom w:val="single" w:sz="4" w:space="0" w:color="auto"/>
              <w:right w:val="single" w:sz="4" w:space="0" w:color="auto"/>
            </w:tcBorders>
            <w:shd w:val="clear" w:color="auto" w:fill="auto"/>
            <w:noWrap/>
            <w:vAlign w:val="bottom"/>
            <w:hideMark/>
          </w:tcPr>
          <w:p w14:paraId="12B6AF69"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$33,071,280</w:t>
            </w:r>
          </w:p>
        </w:tc>
        <w:tc>
          <w:tcPr>
            <w:tcW w:w="1180" w:type="dxa"/>
            <w:tcBorders>
              <w:top w:val="nil"/>
              <w:left w:val="nil"/>
              <w:bottom w:val="single" w:sz="4" w:space="0" w:color="auto"/>
              <w:right w:val="single" w:sz="4" w:space="0" w:color="auto"/>
            </w:tcBorders>
            <w:shd w:val="clear" w:color="auto" w:fill="auto"/>
            <w:noWrap/>
            <w:vAlign w:val="bottom"/>
            <w:hideMark/>
          </w:tcPr>
          <w:p w14:paraId="0573F8CF"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$33,326,726</w:t>
            </w:r>
          </w:p>
        </w:tc>
        <w:tc>
          <w:tcPr>
            <w:tcW w:w="1180" w:type="dxa"/>
            <w:tcBorders>
              <w:top w:val="nil"/>
              <w:left w:val="nil"/>
              <w:bottom w:val="single" w:sz="4" w:space="0" w:color="auto"/>
              <w:right w:val="single" w:sz="4" w:space="0" w:color="auto"/>
            </w:tcBorders>
            <w:shd w:val="clear" w:color="auto" w:fill="auto"/>
            <w:noWrap/>
            <w:vAlign w:val="bottom"/>
            <w:hideMark/>
          </w:tcPr>
          <w:p w14:paraId="4D1CD060"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$33,264,708</w:t>
            </w:r>
          </w:p>
        </w:tc>
        <w:tc>
          <w:tcPr>
            <w:tcW w:w="1180" w:type="dxa"/>
            <w:tcBorders>
              <w:top w:val="nil"/>
              <w:left w:val="nil"/>
              <w:bottom w:val="single" w:sz="4" w:space="0" w:color="auto"/>
              <w:right w:val="single" w:sz="4" w:space="0" w:color="auto"/>
            </w:tcBorders>
            <w:shd w:val="clear" w:color="auto" w:fill="auto"/>
            <w:noWrap/>
            <w:vAlign w:val="bottom"/>
            <w:hideMark/>
          </w:tcPr>
          <w:p w14:paraId="6572CF09"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$33,327,839</w:t>
            </w:r>
          </w:p>
        </w:tc>
        <w:tc>
          <w:tcPr>
            <w:tcW w:w="1180" w:type="dxa"/>
            <w:tcBorders>
              <w:top w:val="nil"/>
              <w:left w:val="nil"/>
              <w:bottom w:val="single" w:sz="4" w:space="0" w:color="auto"/>
              <w:right w:val="single" w:sz="4" w:space="0" w:color="auto"/>
            </w:tcBorders>
            <w:shd w:val="clear" w:color="auto" w:fill="auto"/>
            <w:noWrap/>
            <w:vAlign w:val="bottom"/>
            <w:hideMark/>
          </w:tcPr>
          <w:p w14:paraId="007D7626"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$33,780,470</w:t>
            </w:r>
          </w:p>
        </w:tc>
        <w:tc>
          <w:tcPr>
            <w:tcW w:w="1180" w:type="dxa"/>
            <w:tcBorders>
              <w:top w:val="nil"/>
              <w:left w:val="nil"/>
              <w:bottom w:val="single" w:sz="4" w:space="0" w:color="auto"/>
              <w:right w:val="single" w:sz="4" w:space="0" w:color="auto"/>
            </w:tcBorders>
            <w:shd w:val="clear" w:color="auto" w:fill="auto"/>
            <w:noWrap/>
            <w:vAlign w:val="bottom"/>
            <w:hideMark/>
          </w:tcPr>
          <w:p w14:paraId="682A362A" w14:textId="77777777" w:rsidR="00C05723" w:rsidRPr="001E5C20" w:rsidRDefault="00C05723" w:rsidP="00C05723">
            <w:pPr>
              <w:widowControl/>
              <w:autoSpaceDE/>
              <w:autoSpaceDN/>
              <w:adjustRightInd/>
              <w:jc w:val="right"/>
              <w:rPr>
                <w:b/>
                <w:color w:val="000000"/>
                <w:sz w:val="16"/>
                <w:szCs w:val="16"/>
              </w:rPr>
            </w:pPr>
            <w:r w:rsidRPr="001E5C20">
              <w:rPr>
                <w:b/>
                <w:color w:val="000000"/>
                <w:sz w:val="16"/>
                <w:szCs w:val="16"/>
              </w:rPr>
              <w:t>$166,771,023</w:t>
            </w:r>
          </w:p>
        </w:tc>
      </w:tr>
      <w:tr w:rsidR="00C05723" w:rsidRPr="00C73AE3" w14:paraId="648A5863"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0B453102"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875C4BB"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909442D"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3895122"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55FA5693"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7FD81B57" w14:textId="77777777" w:rsidR="00C05723" w:rsidRPr="001E5C20" w:rsidRDefault="00C05723" w:rsidP="00C05723">
            <w:pPr>
              <w:widowControl/>
              <w:autoSpaceDE/>
              <w:autoSpaceDN/>
              <w:adjustRightInd/>
              <w:rPr>
                <w:color w:val="000000"/>
                <w:sz w:val="16"/>
                <w:szCs w:val="16"/>
              </w:rPr>
            </w:pPr>
            <w:r w:rsidRPr="001E5C20">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209DE5EC" w14:textId="77777777" w:rsidR="00C05723" w:rsidRPr="001E5C20" w:rsidRDefault="00C05723" w:rsidP="00C05723">
            <w:pPr>
              <w:widowControl/>
              <w:autoSpaceDE/>
              <w:autoSpaceDN/>
              <w:adjustRightInd/>
              <w:rPr>
                <w:b/>
                <w:color w:val="000000"/>
                <w:sz w:val="16"/>
                <w:szCs w:val="16"/>
              </w:rPr>
            </w:pPr>
            <w:r w:rsidRPr="001E5C20">
              <w:rPr>
                <w:b/>
                <w:color w:val="000000"/>
                <w:sz w:val="16"/>
                <w:szCs w:val="16"/>
              </w:rPr>
              <w:t> </w:t>
            </w:r>
          </w:p>
        </w:tc>
      </w:tr>
      <w:tr w:rsidR="00C05723" w:rsidRPr="00C73AE3" w14:paraId="67988052" w14:textId="77777777" w:rsidTr="00C05723">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2A6DBD03" w14:textId="77777777" w:rsidR="00C05723" w:rsidRPr="001E5C20" w:rsidRDefault="00C05723" w:rsidP="00C05723">
            <w:pPr>
              <w:widowControl/>
              <w:autoSpaceDE/>
              <w:autoSpaceDN/>
              <w:adjustRightInd/>
              <w:jc w:val="center"/>
              <w:rPr>
                <w:b/>
                <w:bCs/>
                <w:color w:val="000000"/>
                <w:sz w:val="16"/>
                <w:szCs w:val="16"/>
              </w:rPr>
            </w:pPr>
            <w:r w:rsidRPr="001E5C20">
              <w:rPr>
                <w:b/>
                <w:bCs/>
                <w:color w:val="000000"/>
                <w:sz w:val="16"/>
                <w:szCs w:val="16"/>
              </w:rPr>
              <w:t>Annual Total</w:t>
            </w:r>
          </w:p>
        </w:tc>
        <w:tc>
          <w:tcPr>
            <w:tcW w:w="1180" w:type="dxa"/>
            <w:tcBorders>
              <w:top w:val="nil"/>
              <w:left w:val="nil"/>
              <w:bottom w:val="single" w:sz="4" w:space="0" w:color="auto"/>
              <w:right w:val="single" w:sz="4" w:space="0" w:color="auto"/>
            </w:tcBorders>
            <w:shd w:val="clear" w:color="auto" w:fill="auto"/>
            <w:noWrap/>
            <w:vAlign w:val="bottom"/>
            <w:hideMark/>
          </w:tcPr>
          <w:p w14:paraId="4EF8D6E8"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$54,075,120</w:t>
            </w:r>
          </w:p>
        </w:tc>
        <w:tc>
          <w:tcPr>
            <w:tcW w:w="1180" w:type="dxa"/>
            <w:tcBorders>
              <w:top w:val="nil"/>
              <w:left w:val="nil"/>
              <w:bottom w:val="single" w:sz="4" w:space="0" w:color="auto"/>
              <w:right w:val="single" w:sz="4" w:space="0" w:color="auto"/>
            </w:tcBorders>
            <w:shd w:val="clear" w:color="auto" w:fill="auto"/>
            <w:noWrap/>
            <w:vAlign w:val="bottom"/>
            <w:hideMark/>
          </w:tcPr>
          <w:p w14:paraId="3B5972AD"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$54,710,726</w:t>
            </w:r>
          </w:p>
        </w:tc>
        <w:tc>
          <w:tcPr>
            <w:tcW w:w="1180" w:type="dxa"/>
            <w:tcBorders>
              <w:top w:val="nil"/>
              <w:left w:val="nil"/>
              <w:bottom w:val="single" w:sz="4" w:space="0" w:color="auto"/>
              <w:right w:val="single" w:sz="4" w:space="0" w:color="auto"/>
            </w:tcBorders>
            <w:shd w:val="clear" w:color="auto" w:fill="auto"/>
            <w:noWrap/>
            <w:vAlign w:val="bottom"/>
            <w:hideMark/>
          </w:tcPr>
          <w:p w14:paraId="71911C01"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$55,123,908</w:t>
            </w:r>
          </w:p>
        </w:tc>
        <w:tc>
          <w:tcPr>
            <w:tcW w:w="1180" w:type="dxa"/>
            <w:tcBorders>
              <w:top w:val="nil"/>
              <w:left w:val="nil"/>
              <w:bottom w:val="single" w:sz="4" w:space="0" w:color="auto"/>
              <w:right w:val="single" w:sz="4" w:space="0" w:color="auto"/>
            </w:tcBorders>
            <w:shd w:val="clear" w:color="auto" w:fill="auto"/>
            <w:noWrap/>
            <w:vAlign w:val="bottom"/>
            <w:hideMark/>
          </w:tcPr>
          <w:p w14:paraId="66EC454D"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$55,567,199</w:t>
            </w:r>
          </w:p>
        </w:tc>
        <w:tc>
          <w:tcPr>
            <w:tcW w:w="1180" w:type="dxa"/>
            <w:tcBorders>
              <w:top w:val="nil"/>
              <w:left w:val="nil"/>
              <w:bottom w:val="single" w:sz="4" w:space="0" w:color="auto"/>
              <w:right w:val="single" w:sz="4" w:space="0" w:color="auto"/>
            </w:tcBorders>
            <w:shd w:val="clear" w:color="auto" w:fill="auto"/>
            <w:noWrap/>
            <w:vAlign w:val="bottom"/>
            <w:hideMark/>
          </w:tcPr>
          <w:p w14:paraId="112B8D64" w14:textId="77777777" w:rsidR="00C05723" w:rsidRPr="001E5C20" w:rsidRDefault="00C05723" w:rsidP="00C05723">
            <w:pPr>
              <w:widowControl/>
              <w:autoSpaceDE/>
              <w:autoSpaceDN/>
              <w:adjustRightInd/>
              <w:jc w:val="right"/>
              <w:rPr>
                <w:color w:val="000000"/>
                <w:sz w:val="16"/>
                <w:szCs w:val="16"/>
              </w:rPr>
            </w:pPr>
            <w:r w:rsidRPr="001E5C20">
              <w:rPr>
                <w:color w:val="000000"/>
                <w:sz w:val="16"/>
                <w:szCs w:val="16"/>
              </w:rPr>
              <w:t>$56,495,030</w:t>
            </w:r>
          </w:p>
        </w:tc>
        <w:tc>
          <w:tcPr>
            <w:tcW w:w="1180" w:type="dxa"/>
            <w:tcBorders>
              <w:top w:val="nil"/>
              <w:left w:val="nil"/>
              <w:bottom w:val="single" w:sz="4" w:space="0" w:color="auto"/>
              <w:right w:val="single" w:sz="4" w:space="0" w:color="auto"/>
            </w:tcBorders>
            <w:shd w:val="clear" w:color="auto" w:fill="auto"/>
            <w:noWrap/>
            <w:vAlign w:val="bottom"/>
            <w:hideMark/>
          </w:tcPr>
          <w:p w14:paraId="4EDBF6D1" w14:textId="77777777" w:rsidR="00C05723" w:rsidRPr="001E5C20" w:rsidRDefault="00C05723" w:rsidP="00C05723">
            <w:pPr>
              <w:widowControl/>
              <w:autoSpaceDE/>
              <w:autoSpaceDN/>
              <w:adjustRightInd/>
              <w:jc w:val="right"/>
              <w:rPr>
                <w:b/>
                <w:color w:val="000000"/>
                <w:sz w:val="16"/>
                <w:szCs w:val="16"/>
              </w:rPr>
            </w:pPr>
            <w:r w:rsidRPr="001E5C20">
              <w:rPr>
                <w:b/>
                <w:color w:val="000000"/>
                <w:sz w:val="16"/>
                <w:szCs w:val="16"/>
              </w:rPr>
              <w:t>$275,971,983</w:t>
            </w:r>
          </w:p>
        </w:tc>
      </w:tr>
    </w:tbl>
    <w:p w14:paraId="607FC62B" w14:textId="77777777" w:rsidR="00C05723" w:rsidRPr="00F54DF8" w:rsidRDefault="00C05723" w:rsidP="00C05723">
      <w:pPr>
        <w:pStyle w:val="p7"/>
        <w:keepNext/>
        <w:widowControl/>
        <w:tabs>
          <w:tab w:val="clear" w:pos="1133"/>
          <w:tab w:val="left" w:pos="720"/>
          <w:tab w:val="left" w:pos="1350"/>
          <w:tab w:val="left" w:pos="1440"/>
          <w:tab w:val="left" w:pos="1530"/>
        </w:tabs>
        <w:spacing w:line="360" w:lineRule="auto"/>
        <w:ind w:left="0" w:firstLine="0"/>
        <w:rPr>
          <w:b/>
          <w:sz w:val="26"/>
          <w:szCs w:val="26"/>
        </w:rPr>
      </w:pPr>
    </w:p>
    <w:p w14:paraId="0F2421EA" w14:textId="274540F7" w:rsidR="00CE648E" w:rsidRDefault="0077455C" w:rsidP="00636271">
      <w:pPr>
        <w:pStyle w:val="p7"/>
        <w:widowControl/>
        <w:tabs>
          <w:tab w:val="clear" w:pos="1133"/>
          <w:tab w:val="left" w:pos="720"/>
          <w:tab w:val="left" w:pos="1350"/>
          <w:tab w:val="left" w:pos="1440"/>
          <w:tab w:val="left" w:pos="1530"/>
        </w:tabs>
        <w:spacing w:line="360" w:lineRule="auto"/>
        <w:ind w:left="0" w:firstLine="720"/>
        <w:rPr>
          <w:sz w:val="26"/>
          <w:szCs w:val="26"/>
        </w:rPr>
      </w:pPr>
      <w:r w:rsidRPr="00F54DF8">
        <w:rPr>
          <w:sz w:val="26"/>
          <w:szCs w:val="26"/>
        </w:rPr>
        <w:t xml:space="preserve">PGW </w:t>
      </w:r>
      <w:r w:rsidR="00F96482" w:rsidRPr="00F54DF8">
        <w:rPr>
          <w:sz w:val="26"/>
          <w:szCs w:val="26"/>
        </w:rPr>
        <w:t>contends that its pay</w:t>
      </w:r>
      <w:r w:rsidR="00B1250D">
        <w:rPr>
          <w:sz w:val="26"/>
          <w:szCs w:val="26"/>
        </w:rPr>
        <w:t>-</w:t>
      </w:r>
      <w:r w:rsidR="00F96482" w:rsidRPr="00F54DF8">
        <w:rPr>
          <w:sz w:val="26"/>
          <w:szCs w:val="26"/>
        </w:rPr>
        <w:t>as</w:t>
      </w:r>
      <w:r w:rsidR="00B1250D">
        <w:rPr>
          <w:sz w:val="26"/>
          <w:szCs w:val="26"/>
        </w:rPr>
        <w:t>-</w:t>
      </w:r>
      <w:r w:rsidR="00F96482" w:rsidRPr="00F54DF8">
        <w:rPr>
          <w:sz w:val="26"/>
          <w:szCs w:val="26"/>
        </w:rPr>
        <w:t>you</w:t>
      </w:r>
      <w:r w:rsidR="00B1250D">
        <w:rPr>
          <w:sz w:val="26"/>
          <w:szCs w:val="26"/>
        </w:rPr>
        <w:t>-</w:t>
      </w:r>
      <w:r w:rsidR="00F96482" w:rsidRPr="00F54DF8">
        <w:rPr>
          <w:sz w:val="26"/>
          <w:szCs w:val="26"/>
        </w:rPr>
        <w:t xml:space="preserve">go method is the most cost effective way to fund its main replacement program, </w:t>
      </w:r>
      <w:r w:rsidR="002A46AD">
        <w:rPr>
          <w:sz w:val="26"/>
          <w:szCs w:val="26"/>
        </w:rPr>
        <w:t xml:space="preserve">as </w:t>
      </w:r>
      <w:r w:rsidR="00F96482" w:rsidRPr="00F54DF8">
        <w:rPr>
          <w:sz w:val="26"/>
          <w:szCs w:val="26"/>
        </w:rPr>
        <w:t>compared to the issuance of long</w:t>
      </w:r>
      <w:r w:rsidR="00B1250D">
        <w:rPr>
          <w:sz w:val="26"/>
          <w:szCs w:val="26"/>
        </w:rPr>
        <w:t>-</w:t>
      </w:r>
      <w:r w:rsidR="00F96482" w:rsidRPr="00F54DF8">
        <w:rPr>
          <w:sz w:val="26"/>
          <w:szCs w:val="26"/>
        </w:rPr>
        <w:t xml:space="preserve">term bonds.  PGW explains that it utilizes a competitive bidding process for all relevant aspects of its </w:t>
      </w:r>
      <w:r w:rsidR="00F96482" w:rsidRPr="00F54DF8">
        <w:rPr>
          <w:sz w:val="26"/>
          <w:szCs w:val="26"/>
        </w:rPr>
        <w:lastRenderedPageBreak/>
        <w:t xml:space="preserve">pipeline replacement program, and prioritizes work based on </w:t>
      </w:r>
      <w:r w:rsidR="002A46AD">
        <w:rPr>
          <w:sz w:val="26"/>
          <w:szCs w:val="26"/>
        </w:rPr>
        <w:t xml:space="preserve">those </w:t>
      </w:r>
      <w:r w:rsidR="00F96482" w:rsidRPr="00F54DF8">
        <w:rPr>
          <w:sz w:val="26"/>
          <w:szCs w:val="26"/>
        </w:rPr>
        <w:t>segments of main</w:t>
      </w:r>
      <w:r w:rsidR="002A46AD">
        <w:rPr>
          <w:sz w:val="26"/>
          <w:szCs w:val="26"/>
        </w:rPr>
        <w:t xml:space="preserve"> that</w:t>
      </w:r>
      <w:r w:rsidR="00F96482" w:rsidRPr="00F54DF8">
        <w:rPr>
          <w:sz w:val="26"/>
          <w:szCs w:val="26"/>
        </w:rPr>
        <w:t xml:space="preserve"> are most likely to leak and/or break while in service.  The company also avers that its program is cost effective by reducing PGW’s maintenance costs over time, as the number of leaks and breaks in mains is reduced by replacing the sections of main before they fail.</w:t>
      </w:r>
      <w:r w:rsidR="00CE648E">
        <w:rPr>
          <w:sz w:val="26"/>
          <w:szCs w:val="26"/>
        </w:rPr>
        <w:t xml:space="preserve">  </w:t>
      </w:r>
    </w:p>
    <w:p w14:paraId="79318EF8" w14:textId="77777777" w:rsidR="00BB6DC0" w:rsidRDefault="00BB6DC0" w:rsidP="00773D87">
      <w:pPr>
        <w:pStyle w:val="p7"/>
        <w:widowControl/>
        <w:tabs>
          <w:tab w:val="clear" w:pos="1133"/>
          <w:tab w:val="left" w:pos="720"/>
          <w:tab w:val="left" w:pos="1350"/>
          <w:tab w:val="left" w:pos="1440"/>
          <w:tab w:val="left" w:pos="1530"/>
        </w:tabs>
        <w:spacing w:line="360" w:lineRule="auto"/>
        <w:ind w:left="0" w:firstLine="1440"/>
        <w:rPr>
          <w:sz w:val="26"/>
          <w:szCs w:val="26"/>
        </w:rPr>
      </w:pPr>
    </w:p>
    <w:p w14:paraId="4AA0A338" w14:textId="6B2B0928" w:rsidR="0077455C" w:rsidRDefault="000F7388" w:rsidP="005115BD">
      <w:pPr>
        <w:pStyle w:val="p7"/>
        <w:widowControl/>
        <w:tabs>
          <w:tab w:val="clear" w:pos="1133"/>
          <w:tab w:val="left" w:pos="720"/>
          <w:tab w:val="left" w:pos="1350"/>
          <w:tab w:val="left" w:pos="1440"/>
          <w:tab w:val="left" w:pos="1530"/>
        </w:tabs>
        <w:spacing w:line="360" w:lineRule="auto"/>
        <w:ind w:left="0" w:firstLine="720"/>
        <w:rPr>
          <w:sz w:val="26"/>
          <w:szCs w:val="26"/>
        </w:rPr>
      </w:pPr>
      <w:r>
        <w:rPr>
          <w:sz w:val="26"/>
          <w:szCs w:val="26"/>
        </w:rPr>
        <w:t xml:space="preserve">The approval of PGW’s first LTIIP required PGW to </w:t>
      </w:r>
      <w:r w:rsidR="00CE648E">
        <w:rPr>
          <w:sz w:val="26"/>
          <w:szCs w:val="26"/>
        </w:rPr>
        <w:t xml:space="preserve">file </w:t>
      </w:r>
      <w:r w:rsidR="00BB6DC0">
        <w:rPr>
          <w:sz w:val="26"/>
          <w:szCs w:val="26"/>
        </w:rPr>
        <w:t>quarterly report</w:t>
      </w:r>
      <w:r>
        <w:rPr>
          <w:sz w:val="26"/>
          <w:szCs w:val="26"/>
        </w:rPr>
        <w:t>s</w:t>
      </w:r>
      <w:r w:rsidR="00BB6DC0">
        <w:rPr>
          <w:sz w:val="26"/>
          <w:szCs w:val="26"/>
        </w:rPr>
        <w:t xml:space="preserve"> </w:t>
      </w:r>
      <w:r w:rsidR="00322292">
        <w:rPr>
          <w:sz w:val="26"/>
          <w:szCs w:val="26"/>
        </w:rPr>
        <w:t>detailing certain reliability and safety metrics, including information on leaks and leak repairs</w:t>
      </w:r>
      <w:r w:rsidR="00BB6DC0">
        <w:rPr>
          <w:sz w:val="26"/>
          <w:szCs w:val="26"/>
        </w:rPr>
        <w:t>.</w:t>
      </w:r>
      <w:r w:rsidR="00322292">
        <w:rPr>
          <w:rStyle w:val="FootnoteReference"/>
          <w:sz w:val="26"/>
          <w:szCs w:val="26"/>
        </w:rPr>
        <w:footnoteReference w:id="17"/>
      </w:r>
      <w:r w:rsidR="00BB6DC0">
        <w:rPr>
          <w:sz w:val="26"/>
          <w:szCs w:val="26"/>
        </w:rPr>
        <w:t xml:space="preserve">  </w:t>
      </w:r>
      <w:r>
        <w:rPr>
          <w:sz w:val="26"/>
          <w:szCs w:val="26"/>
        </w:rPr>
        <w:t>Figures 1 and 2, below, are b</w:t>
      </w:r>
      <w:r w:rsidR="00BB6DC0">
        <w:rPr>
          <w:sz w:val="26"/>
          <w:szCs w:val="26"/>
        </w:rPr>
        <w:t>ased on the data in these reports</w:t>
      </w:r>
      <w:r w:rsidR="00322292">
        <w:rPr>
          <w:sz w:val="26"/>
          <w:szCs w:val="26"/>
        </w:rPr>
        <w:t xml:space="preserve"> and</w:t>
      </w:r>
      <w:r w:rsidR="00CE648E">
        <w:rPr>
          <w:sz w:val="26"/>
          <w:szCs w:val="26"/>
        </w:rPr>
        <w:t xml:space="preserve"> show a slight downward trend </w:t>
      </w:r>
      <w:r w:rsidR="00BB6DC0">
        <w:rPr>
          <w:sz w:val="26"/>
          <w:szCs w:val="26"/>
        </w:rPr>
        <w:t>in total leaks on PGW’s system, as well as the number of leaks repaired.</w:t>
      </w:r>
    </w:p>
    <w:p w14:paraId="1A94E689" w14:textId="2E29E3D0" w:rsidR="00BB6DC0" w:rsidRDefault="00BB6DC0" w:rsidP="00773D87">
      <w:pPr>
        <w:pStyle w:val="p7"/>
        <w:widowControl/>
        <w:tabs>
          <w:tab w:val="clear" w:pos="1133"/>
          <w:tab w:val="left" w:pos="720"/>
          <w:tab w:val="left" w:pos="1350"/>
          <w:tab w:val="left" w:pos="1440"/>
          <w:tab w:val="left" w:pos="1530"/>
        </w:tabs>
        <w:spacing w:line="360" w:lineRule="auto"/>
        <w:ind w:left="0" w:firstLine="1440"/>
        <w:rPr>
          <w:sz w:val="26"/>
          <w:szCs w:val="26"/>
        </w:rPr>
      </w:pPr>
    </w:p>
    <w:p w14:paraId="18155D29" w14:textId="1118B369" w:rsidR="00BB6DC0" w:rsidRPr="00F54DF8" w:rsidRDefault="00BB6DC0"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noProof/>
        </w:rPr>
        <w:drawing>
          <wp:inline distT="0" distB="0" distL="0" distR="0" wp14:anchorId="7BA7750B" wp14:editId="15D5CEF7">
            <wp:extent cx="4572000" cy="2743200"/>
            <wp:effectExtent l="0" t="0" r="0" b="0"/>
            <wp:docPr id="1" name="Chart 1">
              <a:extLst xmlns:a="http://schemas.openxmlformats.org/drawingml/2006/main">
                <a:ext uri="{FF2B5EF4-FFF2-40B4-BE49-F238E27FC236}">
                  <a16:creationId xmlns:a16="http://schemas.microsoft.com/office/drawing/2014/main" id="{86B5EA87-FEED-4857-8FA2-9B4E02BB31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A28140" w14:textId="01069B46" w:rsidR="00F96482" w:rsidRDefault="00F96482" w:rsidP="00773D87">
      <w:pPr>
        <w:pStyle w:val="p7"/>
        <w:widowControl/>
        <w:tabs>
          <w:tab w:val="clear" w:pos="1133"/>
          <w:tab w:val="left" w:pos="720"/>
          <w:tab w:val="left" w:pos="1350"/>
          <w:tab w:val="left" w:pos="1440"/>
          <w:tab w:val="left" w:pos="1530"/>
        </w:tabs>
        <w:spacing w:line="360" w:lineRule="auto"/>
        <w:ind w:left="0" w:firstLine="1440"/>
        <w:rPr>
          <w:sz w:val="26"/>
          <w:szCs w:val="26"/>
        </w:rPr>
      </w:pPr>
    </w:p>
    <w:p w14:paraId="757F7D0E" w14:textId="09C92511" w:rsidR="00BB6DC0" w:rsidRDefault="00BB6DC0"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noProof/>
        </w:rPr>
        <w:lastRenderedPageBreak/>
        <w:drawing>
          <wp:inline distT="0" distB="0" distL="0" distR="0" wp14:anchorId="049FA80A" wp14:editId="1B507C23">
            <wp:extent cx="4572000" cy="2743200"/>
            <wp:effectExtent l="0" t="0" r="0" b="0"/>
            <wp:docPr id="2" name="Chart 2">
              <a:extLst xmlns:a="http://schemas.openxmlformats.org/drawingml/2006/main">
                <a:ext uri="{FF2B5EF4-FFF2-40B4-BE49-F238E27FC236}">
                  <a16:creationId xmlns:a16="http://schemas.microsoft.com/office/drawing/2014/main" id="{4005CF88-138F-4509-929C-D2E248485B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928454" w14:textId="77777777" w:rsidR="00BB6DC0" w:rsidRPr="00F54DF8" w:rsidRDefault="00BB6DC0" w:rsidP="00773D87">
      <w:pPr>
        <w:pStyle w:val="p7"/>
        <w:widowControl/>
        <w:tabs>
          <w:tab w:val="clear" w:pos="1133"/>
          <w:tab w:val="left" w:pos="720"/>
          <w:tab w:val="left" w:pos="1350"/>
          <w:tab w:val="left" w:pos="1440"/>
          <w:tab w:val="left" w:pos="1530"/>
        </w:tabs>
        <w:spacing w:line="360" w:lineRule="auto"/>
        <w:ind w:left="0" w:firstLine="1440"/>
        <w:rPr>
          <w:sz w:val="26"/>
          <w:szCs w:val="26"/>
        </w:rPr>
      </w:pPr>
    </w:p>
    <w:p w14:paraId="684528EC" w14:textId="666C7AAE" w:rsidR="00F96482" w:rsidRPr="00F54DF8" w:rsidRDefault="00F96482" w:rsidP="005115BD">
      <w:pPr>
        <w:pStyle w:val="p7"/>
        <w:widowControl/>
        <w:tabs>
          <w:tab w:val="clear" w:pos="1133"/>
          <w:tab w:val="left" w:pos="720"/>
          <w:tab w:val="left" w:pos="1350"/>
          <w:tab w:val="left" w:pos="1440"/>
          <w:tab w:val="left" w:pos="1530"/>
        </w:tabs>
        <w:spacing w:line="360" w:lineRule="auto"/>
        <w:ind w:left="0" w:firstLine="720"/>
        <w:rPr>
          <w:sz w:val="26"/>
          <w:szCs w:val="26"/>
        </w:rPr>
      </w:pPr>
      <w:r w:rsidRPr="00F54DF8">
        <w:rPr>
          <w:sz w:val="26"/>
          <w:szCs w:val="26"/>
        </w:rPr>
        <w:t>PGW’s replacement program will noticeably reduce the company’s timeline to remove all cast iron mains from their system</w:t>
      </w:r>
      <w:r w:rsidR="00D71F77" w:rsidRPr="00F54DF8">
        <w:rPr>
          <w:sz w:val="26"/>
          <w:szCs w:val="26"/>
        </w:rPr>
        <w:t>, down</w:t>
      </w:r>
      <w:r w:rsidR="00AC4F1D">
        <w:rPr>
          <w:sz w:val="26"/>
          <w:szCs w:val="26"/>
        </w:rPr>
        <w:t xml:space="preserve"> from 136 years </w:t>
      </w:r>
      <w:r w:rsidR="00D71F77" w:rsidRPr="00F54DF8">
        <w:rPr>
          <w:sz w:val="26"/>
          <w:szCs w:val="26"/>
        </w:rPr>
        <w:t>to 45 years.</w:t>
      </w:r>
    </w:p>
    <w:p w14:paraId="403FDA2C" w14:textId="77777777" w:rsidR="0077455C" w:rsidRPr="00F54DF8" w:rsidRDefault="0077455C" w:rsidP="00236F9D">
      <w:pPr>
        <w:pStyle w:val="p7"/>
        <w:widowControl/>
        <w:tabs>
          <w:tab w:val="clear" w:pos="782"/>
          <w:tab w:val="clear" w:pos="1133"/>
        </w:tabs>
        <w:spacing w:line="360" w:lineRule="auto"/>
        <w:ind w:left="0"/>
        <w:rPr>
          <w:sz w:val="26"/>
          <w:szCs w:val="26"/>
        </w:rPr>
      </w:pPr>
    </w:p>
    <w:p w14:paraId="6CA1AE29" w14:textId="77777777" w:rsidR="0077455C" w:rsidRPr="00F54DF8" w:rsidRDefault="0077455C" w:rsidP="00773D87">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Comments</w:t>
      </w:r>
    </w:p>
    <w:p w14:paraId="11A3557B" w14:textId="77777777" w:rsidR="0077455C" w:rsidRPr="00F54DF8" w:rsidRDefault="0077455C" w:rsidP="00773D87">
      <w:pPr>
        <w:pStyle w:val="p7"/>
        <w:keepNext/>
        <w:widowControl/>
        <w:tabs>
          <w:tab w:val="clear" w:pos="1133"/>
          <w:tab w:val="left" w:pos="720"/>
          <w:tab w:val="left" w:pos="1350"/>
          <w:tab w:val="left" w:pos="1440"/>
          <w:tab w:val="left" w:pos="1530"/>
        </w:tabs>
        <w:spacing w:line="360" w:lineRule="auto"/>
        <w:ind w:left="0"/>
        <w:rPr>
          <w:sz w:val="26"/>
          <w:szCs w:val="26"/>
        </w:rPr>
      </w:pPr>
    </w:p>
    <w:p w14:paraId="42130974" w14:textId="21517970" w:rsidR="0077455C" w:rsidRPr="00F54DF8" w:rsidRDefault="00E9692C" w:rsidP="005115BD">
      <w:pPr>
        <w:pStyle w:val="p7"/>
        <w:widowControl/>
        <w:tabs>
          <w:tab w:val="clear" w:pos="782"/>
          <w:tab w:val="clear" w:pos="1133"/>
          <w:tab w:val="left" w:pos="0"/>
          <w:tab w:val="left" w:pos="720"/>
        </w:tabs>
        <w:spacing w:line="360" w:lineRule="auto"/>
        <w:ind w:left="0" w:firstLine="720"/>
        <w:rPr>
          <w:sz w:val="26"/>
          <w:szCs w:val="26"/>
        </w:rPr>
      </w:pPr>
      <w:r w:rsidRPr="00F54DF8">
        <w:rPr>
          <w:sz w:val="26"/>
          <w:szCs w:val="26"/>
        </w:rPr>
        <w:t xml:space="preserve">No comments were received regarding the </w:t>
      </w:r>
      <w:r w:rsidR="00725BE4" w:rsidRPr="00F54DF8">
        <w:rPr>
          <w:sz w:val="26"/>
          <w:szCs w:val="26"/>
        </w:rPr>
        <w:t>reasonable estimates of the quantity</w:t>
      </w:r>
      <w:r w:rsidR="002A46AD">
        <w:rPr>
          <w:sz w:val="26"/>
          <w:szCs w:val="26"/>
        </w:rPr>
        <w:t xml:space="preserve"> or expenditures</w:t>
      </w:r>
      <w:r w:rsidR="00725BE4" w:rsidRPr="00F54DF8">
        <w:rPr>
          <w:sz w:val="26"/>
          <w:szCs w:val="26"/>
        </w:rPr>
        <w:t xml:space="preserve"> of property</w:t>
      </w:r>
      <w:r w:rsidR="00F96482" w:rsidRPr="00F54DF8">
        <w:rPr>
          <w:sz w:val="26"/>
          <w:szCs w:val="26"/>
        </w:rPr>
        <w:t xml:space="preserve"> to be improved, </w:t>
      </w:r>
      <w:r w:rsidR="002A46AD">
        <w:rPr>
          <w:sz w:val="26"/>
          <w:szCs w:val="26"/>
        </w:rPr>
        <w:t xml:space="preserve">cost effectiveness, or </w:t>
      </w:r>
      <w:r w:rsidR="00F96482" w:rsidRPr="00F54DF8">
        <w:rPr>
          <w:sz w:val="26"/>
          <w:szCs w:val="26"/>
        </w:rPr>
        <w:t>the manner in which infrastructure replacement will be accelerated</w:t>
      </w:r>
      <w:r w:rsidR="00F23616" w:rsidRPr="00F54DF8">
        <w:rPr>
          <w:sz w:val="26"/>
          <w:szCs w:val="26"/>
        </w:rPr>
        <w:t>.</w:t>
      </w:r>
    </w:p>
    <w:p w14:paraId="6F5E82B3" w14:textId="77777777" w:rsidR="0077455C" w:rsidRPr="00F54DF8"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14:paraId="17C90BE2" w14:textId="77777777" w:rsidR="0077455C" w:rsidRPr="00F54DF8" w:rsidRDefault="0077455C" w:rsidP="006C3310">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F54DF8">
        <w:rPr>
          <w:b/>
          <w:sz w:val="26"/>
          <w:szCs w:val="26"/>
        </w:rPr>
        <w:t>Resolution</w:t>
      </w:r>
    </w:p>
    <w:p w14:paraId="16D9A483" w14:textId="77777777" w:rsidR="0077455C" w:rsidRPr="00F54DF8" w:rsidRDefault="0077455C" w:rsidP="006C3310">
      <w:pPr>
        <w:pStyle w:val="p7"/>
        <w:keepNext/>
        <w:widowControl/>
        <w:tabs>
          <w:tab w:val="clear" w:pos="1133"/>
          <w:tab w:val="left" w:pos="720"/>
          <w:tab w:val="left" w:pos="1350"/>
          <w:tab w:val="left" w:pos="1440"/>
          <w:tab w:val="left" w:pos="1530"/>
        </w:tabs>
        <w:spacing w:line="360" w:lineRule="auto"/>
        <w:ind w:left="0"/>
        <w:rPr>
          <w:b/>
          <w:sz w:val="26"/>
          <w:szCs w:val="26"/>
        </w:rPr>
      </w:pPr>
    </w:p>
    <w:p w14:paraId="3688ED0A" w14:textId="5098BBA1" w:rsidR="0077455C" w:rsidRDefault="00725BE4" w:rsidP="005115BD">
      <w:pPr>
        <w:pStyle w:val="p2"/>
        <w:widowControl/>
        <w:spacing w:line="360" w:lineRule="auto"/>
        <w:ind w:firstLine="720"/>
        <w:rPr>
          <w:sz w:val="26"/>
          <w:szCs w:val="26"/>
        </w:rPr>
      </w:pPr>
      <w:r w:rsidRPr="00F54DF8">
        <w:rPr>
          <w:sz w:val="26"/>
          <w:szCs w:val="26"/>
        </w:rPr>
        <w:t xml:space="preserve">Upon review of PGW’s </w:t>
      </w:r>
      <w:r w:rsidR="00222C04">
        <w:rPr>
          <w:sz w:val="26"/>
          <w:szCs w:val="26"/>
        </w:rPr>
        <w:t>S</w:t>
      </w:r>
      <w:r w:rsidR="002A46AD">
        <w:rPr>
          <w:sz w:val="26"/>
          <w:szCs w:val="26"/>
        </w:rPr>
        <w:t>econd</w:t>
      </w:r>
      <w:r w:rsidR="00222C04">
        <w:rPr>
          <w:sz w:val="26"/>
          <w:szCs w:val="26"/>
        </w:rPr>
        <w:t xml:space="preserve"> LTIIP</w:t>
      </w:r>
      <w:r w:rsidRPr="00F54DF8">
        <w:rPr>
          <w:sz w:val="26"/>
          <w:szCs w:val="26"/>
        </w:rPr>
        <w:t xml:space="preserve">, </w:t>
      </w:r>
      <w:r w:rsidR="00B80699" w:rsidRPr="00F54DF8">
        <w:rPr>
          <w:sz w:val="26"/>
          <w:szCs w:val="26"/>
        </w:rPr>
        <w:t xml:space="preserve">the Commission finds that </w:t>
      </w:r>
      <w:r w:rsidR="00B80699">
        <w:rPr>
          <w:sz w:val="26"/>
          <w:szCs w:val="26"/>
        </w:rPr>
        <w:t xml:space="preserve">PGW’s Second LTIIP fulfills the </w:t>
      </w:r>
      <w:r w:rsidR="00B80699" w:rsidRPr="00F54DF8">
        <w:rPr>
          <w:sz w:val="26"/>
          <w:szCs w:val="26"/>
        </w:rPr>
        <w:t xml:space="preserve">requirements of </w:t>
      </w:r>
      <w:r w:rsidR="00B80699" w:rsidRPr="00C01398">
        <w:rPr>
          <w:sz w:val="26"/>
          <w:szCs w:val="26"/>
        </w:rPr>
        <w:t>52 Pa. Code §</w:t>
      </w:r>
      <w:r w:rsidR="00B80699">
        <w:rPr>
          <w:sz w:val="26"/>
          <w:szCs w:val="26"/>
        </w:rPr>
        <w:t>§</w:t>
      </w:r>
      <w:r w:rsidR="00B80699" w:rsidRPr="00C01398">
        <w:rPr>
          <w:sz w:val="26"/>
          <w:szCs w:val="26"/>
        </w:rPr>
        <w:t xml:space="preserve"> 121.3</w:t>
      </w:r>
      <w:r w:rsidR="00B80699">
        <w:rPr>
          <w:sz w:val="26"/>
          <w:szCs w:val="26"/>
        </w:rPr>
        <w:t>(a)(</w:t>
      </w:r>
      <w:r w:rsidR="00472A8F">
        <w:rPr>
          <w:sz w:val="26"/>
          <w:szCs w:val="26"/>
        </w:rPr>
        <w:t>4</w:t>
      </w:r>
      <w:r w:rsidR="00B80699">
        <w:rPr>
          <w:sz w:val="26"/>
          <w:szCs w:val="26"/>
        </w:rPr>
        <w:t>)-(6)</w:t>
      </w:r>
      <w:r w:rsidRPr="00F54DF8">
        <w:rPr>
          <w:sz w:val="26"/>
          <w:szCs w:val="26"/>
        </w:rPr>
        <w:t xml:space="preserve"> </w:t>
      </w:r>
      <w:r w:rsidR="00B80699">
        <w:rPr>
          <w:sz w:val="26"/>
          <w:szCs w:val="26"/>
        </w:rPr>
        <w:t>by providing</w:t>
      </w:r>
      <w:r w:rsidRPr="00F54DF8">
        <w:rPr>
          <w:sz w:val="26"/>
          <w:szCs w:val="26"/>
        </w:rPr>
        <w:t xml:space="preserve"> reasonable estimates of the quantity of property</w:t>
      </w:r>
      <w:r w:rsidR="00F96482" w:rsidRPr="00F54DF8">
        <w:rPr>
          <w:sz w:val="26"/>
          <w:szCs w:val="26"/>
        </w:rPr>
        <w:t xml:space="preserve"> to be improved, </w:t>
      </w:r>
      <w:r w:rsidRPr="00F54DF8">
        <w:rPr>
          <w:sz w:val="26"/>
          <w:szCs w:val="26"/>
        </w:rPr>
        <w:t xml:space="preserve">the projected annual expenditures and </w:t>
      </w:r>
      <w:r w:rsidR="00B80699">
        <w:rPr>
          <w:sz w:val="26"/>
          <w:szCs w:val="26"/>
        </w:rPr>
        <w:t>means to finance the expenditures</w:t>
      </w:r>
      <w:r w:rsidR="00F96482" w:rsidRPr="00F54DF8">
        <w:rPr>
          <w:sz w:val="26"/>
          <w:szCs w:val="26"/>
        </w:rPr>
        <w:t xml:space="preserve">, and </w:t>
      </w:r>
      <w:r w:rsidR="00B80699">
        <w:rPr>
          <w:sz w:val="26"/>
          <w:szCs w:val="26"/>
        </w:rPr>
        <w:t>a</w:t>
      </w:r>
      <w:r w:rsidR="00B80699" w:rsidRPr="00F54DF8">
        <w:rPr>
          <w:sz w:val="26"/>
          <w:szCs w:val="26"/>
        </w:rPr>
        <w:t xml:space="preserve"> </w:t>
      </w:r>
      <w:r w:rsidR="00F96482" w:rsidRPr="00F54DF8">
        <w:rPr>
          <w:sz w:val="26"/>
          <w:szCs w:val="26"/>
        </w:rPr>
        <w:t>description of the manner in which infrastructure replacement will be accelerated and how repair, improvement, or replacement will ensure and maintain adequate, efficient, safe, reliable, and reasonable service to customers</w:t>
      </w:r>
      <w:r w:rsidR="0077455C" w:rsidRPr="00F54DF8">
        <w:rPr>
          <w:sz w:val="26"/>
          <w:szCs w:val="26"/>
        </w:rPr>
        <w:t xml:space="preserve">.   </w:t>
      </w:r>
    </w:p>
    <w:p w14:paraId="46D7B6DB" w14:textId="77777777" w:rsidR="00472A8F" w:rsidRPr="00F54DF8" w:rsidRDefault="00472A8F" w:rsidP="005115BD">
      <w:pPr>
        <w:pStyle w:val="p2"/>
        <w:widowControl/>
        <w:spacing w:line="360" w:lineRule="auto"/>
        <w:ind w:firstLine="720"/>
        <w:rPr>
          <w:sz w:val="26"/>
          <w:szCs w:val="26"/>
        </w:rPr>
      </w:pPr>
    </w:p>
    <w:p w14:paraId="70BEABAD" w14:textId="77777777" w:rsidR="0077455C" w:rsidRPr="00F54DF8" w:rsidRDefault="00135912" w:rsidP="00597F51">
      <w:pPr>
        <w:pStyle w:val="p2"/>
        <w:keepNext/>
        <w:widowControl/>
        <w:spacing w:line="360" w:lineRule="auto"/>
        <w:ind w:left="720" w:firstLine="0"/>
        <w:rPr>
          <w:b/>
          <w:sz w:val="26"/>
          <w:szCs w:val="26"/>
        </w:rPr>
      </w:pPr>
      <w:r w:rsidRPr="00F54DF8">
        <w:rPr>
          <w:b/>
          <w:sz w:val="26"/>
          <w:szCs w:val="26"/>
        </w:rPr>
        <w:t xml:space="preserve">(7) </w:t>
      </w:r>
      <w:r w:rsidR="0077455C" w:rsidRPr="00F54DF8">
        <w:rPr>
          <w:b/>
          <w:sz w:val="26"/>
          <w:szCs w:val="26"/>
        </w:rPr>
        <w:t>WORKFORCE MANAGEMENT AND TRAINING PROGRAM</w:t>
      </w:r>
    </w:p>
    <w:p w14:paraId="5DCD0322" w14:textId="77777777" w:rsidR="0077455C" w:rsidRPr="00F54DF8" w:rsidRDefault="0077455C" w:rsidP="00597F51">
      <w:pPr>
        <w:pStyle w:val="p2"/>
        <w:keepNext/>
        <w:widowControl/>
        <w:spacing w:line="360" w:lineRule="auto"/>
        <w:ind w:firstLine="0"/>
        <w:rPr>
          <w:sz w:val="26"/>
          <w:szCs w:val="26"/>
        </w:rPr>
      </w:pPr>
    </w:p>
    <w:p w14:paraId="1CFE0FC9" w14:textId="77777777" w:rsidR="0077455C" w:rsidRPr="00F54DF8" w:rsidRDefault="00B3173B" w:rsidP="00914376">
      <w:pPr>
        <w:pStyle w:val="p2"/>
        <w:keepNext/>
        <w:widowControl/>
        <w:tabs>
          <w:tab w:val="left" w:pos="720"/>
          <w:tab w:val="left" w:pos="810"/>
        </w:tabs>
        <w:spacing w:line="360" w:lineRule="auto"/>
        <w:ind w:firstLine="0"/>
        <w:rPr>
          <w:b/>
          <w:sz w:val="26"/>
          <w:szCs w:val="26"/>
        </w:rPr>
      </w:pPr>
      <w:r w:rsidRPr="00F54DF8">
        <w:rPr>
          <w:b/>
          <w:sz w:val="26"/>
          <w:szCs w:val="26"/>
        </w:rPr>
        <w:t xml:space="preserve">PGW’s </w:t>
      </w:r>
      <w:r w:rsidR="00F54DF8" w:rsidRPr="00F54DF8">
        <w:rPr>
          <w:b/>
          <w:sz w:val="26"/>
          <w:szCs w:val="26"/>
        </w:rPr>
        <w:t>Position</w:t>
      </w:r>
    </w:p>
    <w:p w14:paraId="59B06317" w14:textId="77777777" w:rsidR="0077455C" w:rsidRPr="00F54DF8" w:rsidRDefault="0077455C" w:rsidP="00597F51">
      <w:pPr>
        <w:pStyle w:val="p2"/>
        <w:keepNext/>
        <w:widowControl/>
        <w:tabs>
          <w:tab w:val="left" w:pos="720"/>
        </w:tabs>
        <w:spacing w:line="360" w:lineRule="auto"/>
        <w:ind w:firstLine="0"/>
        <w:rPr>
          <w:b/>
          <w:sz w:val="26"/>
          <w:szCs w:val="26"/>
        </w:rPr>
      </w:pPr>
    </w:p>
    <w:p w14:paraId="5ED657B9" w14:textId="3A5F20A5" w:rsidR="00B31101" w:rsidRPr="00F54DF8" w:rsidRDefault="00B31101" w:rsidP="005115BD">
      <w:pPr>
        <w:pStyle w:val="p2"/>
        <w:widowControl/>
        <w:spacing w:line="360" w:lineRule="auto"/>
        <w:ind w:firstLine="720"/>
        <w:rPr>
          <w:sz w:val="26"/>
          <w:szCs w:val="26"/>
        </w:rPr>
      </w:pPr>
      <w:r w:rsidRPr="00F54DF8">
        <w:rPr>
          <w:sz w:val="26"/>
          <w:szCs w:val="26"/>
        </w:rPr>
        <w:t>PGW</w:t>
      </w:r>
      <w:r w:rsidR="00D722E8">
        <w:rPr>
          <w:sz w:val="26"/>
          <w:szCs w:val="26"/>
        </w:rPr>
        <w:t>’s Second LTIIP</w:t>
      </w:r>
      <w:r w:rsidRPr="00F54DF8">
        <w:rPr>
          <w:sz w:val="26"/>
          <w:szCs w:val="26"/>
        </w:rPr>
        <w:t xml:space="preserve"> outlines the measures it </w:t>
      </w:r>
      <w:r w:rsidR="00D722E8">
        <w:rPr>
          <w:sz w:val="26"/>
          <w:szCs w:val="26"/>
        </w:rPr>
        <w:t>under</w:t>
      </w:r>
      <w:r w:rsidRPr="00F54DF8">
        <w:rPr>
          <w:sz w:val="26"/>
          <w:szCs w:val="26"/>
        </w:rPr>
        <w:t>takes to ensure a skilled work force to perform operations, maintenance, and construction activities on the company’s distribution system.</w:t>
      </w:r>
      <w:r w:rsidR="004F25E8" w:rsidRPr="00F54DF8">
        <w:rPr>
          <w:sz w:val="26"/>
          <w:szCs w:val="26"/>
        </w:rPr>
        <w:t xml:space="preserve">  PGW states that their employees are trained and qualified to the standards set forth </w:t>
      </w:r>
      <w:r w:rsidR="00935B3A">
        <w:rPr>
          <w:sz w:val="26"/>
          <w:szCs w:val="26"/>
        </w:rPr>
        <w:t xml:space="preserve">by the </w:t>
      </w:r>
      <w:r w:rsidR="004F25E8" w:rsidRPr="00F54DF8">
        <w:rPr>
          <w:sz w:val="26"/>
          <w:szCs w:val="26"/>
        </w:rPr>
        <w:t>US Department of Transportation</w:t>
      </w:r>
      <w:r w:rsidR="00935B3A">
        <w:rPr>
          <w:sz w:val="26"/>
          <w:szCs w:val="26"/>
        </w:rPr>
        <w:t>’s</w:t>
      </w:r>
      <w:r w:rsidR="004F25E8" w:rsidRPr="00F54DF8">
        <w:rPr>
          <w:sz w:val="26"/>
          <w:szCs w:val="26"/>
        </w:rPr>
        <w:t xml:space="preserve"> </w:t>
      </w:r>
      <w:r w:rsidR="00935B3A">
        <w:rPr>
          <w:sz w:val="26"/>
          <w:szCs w:val="26"/>
        </w:rPr>
        <w:t>Pipeline and Hazardous Materials Safety Administration.</w:t>
      </w:r>
      <w:r w:rsidR="00935B3A">
        <w:rPr>
          <w:rStyle w:val="FootnoteReference"/>
          <w:sz w:val="26"/>
          <w:szCs w:val="26"/>
        </w:rPr>
        <w:footnoteReference w:id="18"/>
      </w:r>
      <w:r w:rsidR="00935B3A">
        <w:rPr>
          <w:sz w:val="26"/>
          <w:szCs w:val="26"/>
        </w:rPr>
        <w:t xml:space="preserve">  PGW also utilizes the </w:t>
      </w:r>
      <w:r w:rsidR="004F25E8" w:rsidRPr="00F54DF8">
        <w:rPr>
          <w:sz w:val="26"/>
          <w:szCs w:val="26"/>
        </w:rPr>
        <w:t>Northeast Gas Association’s Gas System Operator Qualification Plan.</w:t>
      </w:r>
    </w:p>
    <w:p w14:paraId="5FF04366" w14:textId="77777777" w:rsidR="004F25E8" w:rsidRPr="00F54DF8" w:rsidRDefault="004F25E8" w:rsidP="00773D87">
      <w:pPr>
        <w:pStyle w:val="p2"/>
        <w:widowControl/>
        <w:spacing w:line="360" w:lineRule="auto"/>
        <w:ind w:firstLine="1440"/>
        <w:rPr>
          <w:sz w:val="26"/>
          <w:szCs w:val="26"/>
        </w:rPr>
      </w:pPr>
    </w:p>
    <w:p w14:paraId="1F568F2D" w14:textId="5C910AEB" w:rsidR="004F25E8" w:rsidRPr="00F54DF8" w:rsidRDefault="00154A19" w:rsidP="005115BD">
      <w:pPr>
        <w:pStyle w:val="p2"/>
        <w:widowControl/>
        <w:spacing w:line="360" w:lineRule="auto"/>
        <w:ind w:firstLine="720"/>
        <w:rPr>
          <w:sz w:val="26"/>
          <w:szCs w:val="26"/>
        </w:rPr>
      </w:pPr>
      <w:r w:rsidRPr="00F54DF8">
        <w:rPr>
          <w:sz w:val="26"/>
          <w:szCs w:val="26"/>
        </w:rPr>
        <w:t xml:space="preserve">PGW explains that they have a dedicated Training Section, with a program that ensures employee </w:t>
      </w:r>
      <w:r w:rsidR="00DA5EE9">
        <w:rPr>
          <w:sz w:val="26"/>
          <w:szCs w:val="26"/>
        </w:rPr>
        <w:t>competence through evaluations.  PGW notes its makes</w:t>
      </w:r>
      <w:r w:rsidRPr="00F54DF8">
        <w:rPr>
          <w:sz w:val="26"/>
          <w:szCs w:val="26"/>
        </w:rPr>
        <w:t xml:space="preserve"> sure that each employee </w:t>
      </w:r>
      <w:r w:rsidR="00B065E6" w:rsidRPr="00F54DF8">
        <w:rPr>
          <w:sz w:val="26"/>
          <w:szCs w:val="26"/>
        </w:rPr>
        <w:t>can</w:t>
      </w:r>
      <w:r w:rsidRPr="00F54DF8">
        <w:rPr>
          <w:sz w:val="26"/>
          <w:szCs w:val="26"/>
        </w:rPr>
        <w:t xml:space="preserve"> perform the necessary tasks, recognize and respond appropriately to abnormal operating conditions, and </w:t>
      </w:r>
      <w:r w:rsidR="00DA5EE9">
        <w:rPr>
          <w:sz w:val="26"/>
          <w:szCs w:val="26"/>
        </w:rPr>
        <w:t xml:space="preserve">that it </w:t>
      </w:r>
      <w:r w:rsidRPr="00F54DF8">
        <w:rPr>
          <w:sz w:val="26"/>
          <w:szCs w:val="26"/>
        </w:rPr>
        <w:t>maintain</w:t>
      </w:r>
      <w:r w:rsidR="00DA5EE9">
        <w:rPr>
          <w:sz w:val="26"/>
          <w:szCs w:val="26"/>
        </w:rPr>
        <w:t>s</w:t>
      </w:r>
      <w:r w:rsidRPr="00F54DF8">
        <w:rPr>
          <w:sz w:val="26"/>
          <w:szCs w:val="26"/>
        </w:rPr>
        <w:t xml:space="preserve"> necessary records of their work.</w:t>
      </w:r>
    </w:p>
    <w:p w14:paraId="56BF7322" w14:textId="77777777" w:rsidR="00154A19" w:rsidRPr="00F54DF8" w:rsidRDefault="00154A19" w:rsidP="00773D87">
      <w:pPr>
        <w:pStyle w:val="p2"/>
        <w:widowControl/>
        <w:spacing w:line="360" w:lineRule="auto"/>
        <w:ind w:firstLine="1440"/>
        <w:rPr>
          <w:sz w:val="26"/>
          <w:szCs w:val="26"/>
        </w:rPr>
      </w:pPr>
    </w:p>
    <w:p w14:paraId="09B0CBA0" w14:textId="760D212A" w:rsidR="00154A19" w:rsidRPr="00F54DF8" w:rsidRDefault="00935B3A" w:rsidP="005115BD">
      <w:pPr>
        <w:pStyle w:val="p2"/>
        <w:widowControl/>
        <w:spacing w:line="360" w:lineRule="auto"/>
        <w:ind w:firstLine="720"/>
        <w:rPr>
          <w:sz w:val="26"/>
          <w:szCs w:val="26"/>
        </w:rPr>
      </w:pPr>
      <w:r>
        <w:rPr>
          <w:sz w:val="26"/>
          <w:szCs w:val="26"/>
        </w:rPr>
        <w:t>PGW</w:t>
      </w:r>
      <w:r w:rsidR="00154A19" w:rsidRPr="00F54DF8">
        <w:rPr>
          <w:sz w:val="26"/>
          <w:szCs w:val="26"/>
        </w:rPr>
        <w:t xml:space="preserve"> describe</w:t>
      </w:r>
      <w:r w:rsidR="00DA5EE9">
        <w:rPr>
          <w:sz w:val="26"/>
          <w:szCs w:val="26"/>
        </w:rPr>
        <w:t>d</w:t>
      </w:r>
      <w:r w:rsidR="00154A19" w:rsidRPr="00F54DF8">
        <w:rPr>
          <w:sz w:val="26"/>
          <w:szCs w:val="26"/>
        </w:rPr>
        <w:t xml:space="preserve"> the range of training provided, including classroom training in addition to simulated and actual field training.  PGW also </w:t>
      </w:r>
      <w:r>
        <w:rPr>
          <w:sz w:val="26"/>
          <w:szCs w:val="26"/>
        </w:rPr>
        <w:t>notes</w:t>
      </w:r>
      <w:r w:rsidRPr="00F54DF8">
        <w:rPr>
          <w:sz w:val="26"/>
          <w:szCs w:val="26"/>
        </w:rPr>
        <w:t xml:space="preserve"> </w:t>
      </w:r>
      <w:r w:rsidR="00154A19" w:rsidRPr="00F54DF8">
        <w:rPr>
          <w:sz w:val="26"/>
          <w:szCs w:val="26"/>
        </w:rPr>
        <w:t>that they provide annual training for all field and management personnel, covering tasks such as:</w:t>
      </w:r>
    </w:p>
    <w:p w14:paraId="5E807EA8" w14:textId="77777777" w:rsidR="00154A19" w:rsidRPr="00F54DF8" w:rsidRDefault="00154A19" w:rsidP="00154A19">
      <w:pPr>
        <w:pStyle w:val="p2"/>
        <w:widowControl/>
        <w:spacing w:line="360" w:lineRule="auto"/>
        <w:ind w:firstLine="0"/>
        <w:rPr>
          <w:sz w:val="26"/>
          <w:szCs w:val="26"/>
        </w:rPr>
      </w:pPr>
    </w:p>
    <w:p w14:paraId="0287E274" w14:textId="77777777" w:rsidR="00154A19" w:rsidRPr="00F54DF8" w:rsidRDefault="00154A19" w:rsidP="00BA5940">
      <w:pPr>
        <w:pStyle w:val="p2"/>
        <w:widowControl/>
        <w:numPr>
          <w:ilvl w:val="0"/>
          <w:numId w:val="34"/>
        </w:numPr>
        <w:spacing w:line="360" w:lineRule="auto"/>
        <w:rPr>
          <w:sz w:val="26"/>
          <w:szCs w:val="26"/>
        </w:rPr>
      </w:pPr>
      <w:r w:rsidRPr="00F54DF8">
        <w:rPr>
          <w:sz w:val="26"/>
          <w:szCs w:val="26"/>
        </w:rPr>
        <w:t>Proper trench and shoring techniques</w:t>
      </w:r>
    </w:p>
    <w:p w14:paraId="32073370" w14:textId="77777777" w:rsidR="00154A19" w:rsidRPr="00F54DF8" w:rsidRDefault="00154A19" w:rsidP="00BA5940">
      <w:pPr>
        <w:pStyle w:val="p2"/>
        <w:widowControl/>
        <w:numPr>
          <w:ilvl w:val="0"/>
          <w:numId w:val="34"/>
        </w:numPr>
        <w:spacing w:line="360" w:lineRule="auto"/>
        <w:rPr>
          <w:sz w:val="26"/>
          <w:szCs w:val="26"/>
        </w:rPr>
      </w:pPr>
      <w:r w:rsidRPr="00F54DF8">
        <w:rPr>
          <w:sz w:val="26"/>
          <w:szCs w:val="26"/>
        </w:rPr>
        <w:t>Leak investigation and mitigation practices</w:t>
      </w:r>
    </w:p>
    <w:p w14:paraId="594D2B7A" w14:textId="77777777" w:rsidR="00154A19" w:rsidRPr="00F54DF8" w:rsidRDefault="00154A19" w:rsidP="00BA5940">
      <w:pPr>
        <w:pStyle w:val="p2"/>
        <w:widowControl/>
        <w:numPr>
          <w:ilvl w:val="0"/>
          <w:numId w:val="34"/>
        </w:numPr>
        <w:spacing w:line="360" w:lineRule="auto"/>
        <w:rPr>
          <w:sz w:val="26"/>
          <w:szCs w:val="26"/>
        </w:rPr>
      </w:pPr>
      <w:r w:rsidRPr="00F54DF8">
        <w:rPr>
          <w:sz w:val="26"/>
          <w:szCs w:val="26"/>
        </w:rPr>
        <w:t>Damage prevention methodologies</w:t>
      </w:r>
    </w:p>
    <w:p w14:paraId="0089C55C" w14:textId="77777777" w:rsidR="00154A19" w:rsidRPr="00F54DF8" w:rsidRDefault="00154A19" w:rsidP="00BA5940">
      <w:pPr>
        <w:pStyle w:val="p2"/>
        <w:widowControl/>
        <w:numPr>
          <w:ilvl w:val="0"/>
          <w:numId w:val="34"/>
        </w:numPr>
        <w:spacing w:line="360" w:lineRule="auto"/>
        <w:rPr>
          <w:sz w:val="26"/>
          <w:szCs w:val="26"/>
        </w:rPr>
      </w:pPr>
      <w:r w:rsidRPr="00F54DF8">
        <w:rPr>
          <w:sz w:val="26"/>
          <w:szCs w:val="26"/>
        </w:rPr>
        <w:t>Proper use of gas detection equipment</w:t>
      </w:r>
    </w:p>
    <w:p w14:paraId="40650C53" w14:textId="77777777" w:rsidR="00154A19" w:rsidRPr="00F54DF8" w:rsidRDefault="00154A19" w:rsidP="00BA5940">
      <w:pPr>
        <w:pStyle w:val="p2"/>
        <w:widowControl/>
        <w:numPr>
          <w:ilvl w:val="0"/>
          <w:numId w:val="34"/>
        </w:numPr>
        <w:spacing w:line="360" w:lineRule="auto"/>
        <w:rPr>
          <w:sz w:val="26"/>
          <w:szCs w:val="26"/>
        </w:rPr>
      </w:pPr>
      <w:r w:rsidRPr="00F54DF8">
        <w:rPr>
          <w:sz w:val="26"/>
          <w:szCs w:val="26"/>
        </w:rPr>
        <w:t>Plastic pipe fusion qualifications</w:t>
      </w:r>
    </w:p>
    <w:p w14:paraId="7F96A4F1" w14:textId="77777777" w:rsidR="00154A19" w:rsidRPr="00F54DF8" w:rsidRDefault="00154A19" w:rsidP="00BA5940">
      <w:pPr>
        <w:pStyle w:val="p2"/>
        <w:widowControl/>
        <w:numPr>
          <w:ilvl w:val="0"/>
          <w:numId w:val="34"/>
        </w:numPr>
        <w:spacing w:line="360" w:lineRule="auto"/>
        <w:rPr>
          <w:sz w:val="26"/>
          <w:szCs w:val="26"/>
        </w:rPr>
      </w:pPr>
      <w:r w:rsidRPr="00F54DF8">
        <w:rPr>
          <w:sz w:val="26"/>
          <w:szCs w:val="26"/>
        </w:rPr>
        <w:t>Steel pipe welding qualifications</w:t>
      </w:r>
    </w:p>
    <w:p w14:paraId="5142A038" w14:textId="46DCDDFC" w:rsidR="00154A19" w:rsidRDefault="00154A19" w:rsidP="00BA5940">
      <w:pPr>
        <w:pStyle w:val="p2"/>
        <w:widowControl/>
        <w:numPr>
          <w:ilvl w:val="0"/>
          <w:numId w:val="34"/>
        </w:numPr>
        <w:spacing w:line="360" w:lineRule="auto"/>
        <w:rPr>
          <w:sz w:val="26"/>
          <w:szCs w:val="26"/>
        </w:rPr>
      </w:pPr>
      <w:r w:rsidRPr="00F54DF8">
        <w:rPr>
          <w:sz w:val="26"/>
          <w:szCs w:val="26"/>
        </w:rPr>
        <w:lastRenderedPageBreak/>
        <w:t>Proper respirator use</w:t>
      </w:r>
    </w:p>
    <w:p w14:paraId="223CE0FE" w14:textId="77777777" w:rsidR="00472A8F" w:rsidRPr="00F54DF8" w:rsidRDefault="00472A8F" w:rsidP="00472A8F">
      <w:pPr>
        <w:pStyle w:val="p2"/>
        <w:widowControl/>
        <w:spacing w:line="360" w:lineRule="auto"/>
        <w:ind w:left="1440" w:firstLine="0"/>
        <w:rPr>
          <w:sz w:val="26"/>
          <w:szCs w:val="26"/>
        </w:rPr>
      </w:pPr>
    </w:p>
    <w:p w14:paraId="7812AFDD" w14:textId="04253A26" w:rsidR="00154A19" w:rsidRPr="00F54DF8" w:rsidRDefault="00154A19" w:rsidP="005115BD">
      <w:pPr>
        <w:pStyle w:val="p2"/>
        <w:widowControl/>
        <w:spacing w:line="360" w:lineRule="auto"/>
        <w:ind w:firstLine="720"/>
        <w:rPr>
          <w:sz w:val="26"/>
          <w:szCs w:val="26"/>
        </w:rPr>
      </w:pPr>
      <w:r w:rsidRPr="00F54DF8">
        <w:rPr>
          <w:sz w:val="26"/>
          <w:szCs w:val="26"/>
        </w:rPr>
        <w:t xml:space="preserve">PGW states that their most recent Collective Bargaining Agreement allows outside contractors to </w:t>
      </w:r>
      <w:r w:rsidR="00F42567">
        <w:rPr>
          <w:sz w:val="26"/>
          <w:szCs w:val="26"/>
        </w:rPr>
        <w:t xml:space="preserve">perform </w:t>
      </w:r>
      <w:r w:rsidRPr="00F54DF8">
        <w:rPr>
          <w:sz w:val="26"/>
          <w:szCs w:val="26"/>
        </w:rPr>
        <w:t xml:space="preserve">live gas </w:t>
      </w:r>
      <w:r w:rsidR="00AB54F0">
        <w:rPr>
          <w:sz w:val="26"/>
          <w:szCs w:val="26"/>
        </w:rPr>
        <w:t xml:space="preserve">work </w:t>
      </w:r>
      <w:r w:rsidRPr="00F54DF8">
        <w:rPr>
          <w:sz w:val="26"/>
          <w:szCs w:val="26"/>
        </w:rPr>
        <w:t xml:space="preserve">on </w:t>
      </w:r>
      <w:r w:rsidR="00935B3A">
        <w:rPr>
          <w:sz w:val="26"/>
          <w:szCs w:val="26"/>
        </w:rPr>
        <w:t xml:space="preserve">the </w:t>
      </w:r>
      <w:r w:rsidRPr="00F54DF8">
        <w:rPr>
          <w:sz w:val="26"/>
          <w:szCs w:val="26"/>
        </w:rPr>
        <w:t>PGW system</w:t>
      </w:r>
      <w:r w:rsidR="00935B3A">
        <w:rPr>
          <w:sz w:val="26"/>
          <w:szCs w:val="26"/>
        </w:rPr>
        <w:t xml:space="preserve">.  PGW avers </w:t>
      </w:r>
      <w:r w:rsidR="001810DE" w:rsidRPr="00F54DF8">
        <w:rPr>
          <w:sz w:val="26"/>
          <w:szCs w:val="26"/>
        </w:rPr>
        <w:t>the</w:t>
      </w:r>
      <w:r w:rsidRPr="00F54DF8">
        <w:rPr>
          <w:sz w:val="26"/>
          <w:szCs w:val="26"/>
        </w:rPr>
        <w:t xml:space="preserve"> </w:t>
      </w:r>
      <w:r w:rsidR="00DF5750">
        <w:rPr>
          <w:sz w:val="26"/>
          <w:szCs w:val="26"/>
        </w:rPr>
        <w:t xml:space="preserve">company’s </w:t>
      </w:r>
      <w:r w:rsidRPr="00F54DF8">
        <w:rPr>
          <w:sz w:val="26"/>
          <w:szCs w:val="26"/>
        </w:rPr>
        <w:t>Training Section ensures that contractors are properly qualified for live gas work.</w:t>
      </w:r>
    </w:p>
    <w:p w14:paraId="7FF196CF" w14:textId="77777777" w:rsidR="00154A19" w:rsidRPr="00F54DF8" w:rsidRDefault="00154A19" w:rsidP="00773D87">
      <w:pPr>
        <w:pStyle w:val="p2"/>
        <w:widowControl/>
        <w:spacing w:line="360" w:lineRule="auto"/>
        <w:ind w:firstLine="1440"/>
        <w:rPr>
          <w:sz w:val="26"/>
          <w:szCs w:val="26"/>
        </w:rPr>
      </w:pPr>
    </w:p>
    <w:p w14:paraId="3DFCCFE3" w14:textId="77777777" w:rsidR="0077455C" w:rsidRPr="00F54DF8" w:rsidRDefault="0077455C" w:rsidP="00597F51">
      <w:pPr>
        <w:pStyle w:val="p2"/>
        <w:keepNext/>
        <w:widowControl/>
        <w:tabs>
          <w:tab w:val="left" w:pos="720"/>
        </w:tabs>
        <w:spacing w:line="360" w:lineRule="auto"/>
        <w:ind w:firstLine="0"/>
        <w:rPr>
          <w:b/>
          <w:sz w:val="26"/>
          <w:szCs w:val="26"/>
        </w:rPr>
      </w:pPr>
      <w:r w:rsidRPr="00F54DF8">
        <w:rPr>
          <w:b/>
          <w:sz w:val="26"/>
          <w:szCs w:val="26"/>
        </w:rPr>
        <w:t>Comments</w:t>
      </w:r>
    </w:p>
    <w:p w14:paraId="26C01CB2" w14:textId="77777777" w:rsidR="0077455C" w:rsidRPr="00F54DF8" w:rsidRDefault="0077455C" w:rsidP="00597F51">
      <w:pPr>
        <w:pStyle w:val="p2"/>
        <w:keepNext/>
        <w:widowControl/>
        <w:spacing w:line="360" w:lineRule="auto"/>
        <w:ind w:firstLine="0"/>
        <w:rPr>
          <w:sz w:val="26"/>
          <w:szCs w:val="26"/>
        </w:rPr>
      </w:pPr>
    </w:p>
    <w:p w14:paraId="33199B5A" w14:textId="77777777" w:rsidR="0077455C" w:rsidRPr="00F54DF8" w:rsidRDefault="0077455C" w:rsidP="005115BD">
      <w:pPr>
        <w:pStyle w:val="p7"/>
        <w:widowControl/>
        <w:tabs>
          <w:tab w:val="clear" w:pos="782"/>
          <w:tab w:val="clear" w:pos="1133"/>
          <w:tab w:val="left" w:pos="0"/>
          <w:tab w:val="left" w:pos="720"/>
        </w:tabs>
        <w:spacing w:line="360" w:lineRule="auto"/>
        <w:ind w:left="0" w:firstLine="720"/>
        <w:rPr>
          <w:sz w:val="26"/>
          <w:szCs w:val="26"/>
        </w:rPr>
      </w:pPr>
      <w:r w:rsidRPr="00F54DF8">
        <w:rPr>
          <w:sz w:val="26"/>
          <w:szCs w:val="26"/>
        </w:rPr>
        <w:t>No comments were received regarding the workforce management and</w:t>
      </w:r>
      <w:r w:rsidR="00006A83" w:rsidRPr="00F54DF8">
        <w:rPr>
          <w:sz w:val="26"/>
          <w:szCs w:val="26"/>
        </w:rPr>
        <w:t xml:space="preserve"> </w:t>
      </w:r>
      <w:r w:rsidRPr="00F54DF8">
        <w:rPr>
          <w:sz w:val="26"/>
          <w:szCs w:val="26"/>
        </w:rPr>
        <w:t>training program.</w:t>
      </w:r>
    </w:p>
    <w:p w14:paraId="7869987E" w14:textId="77777777" w:rsidR="0077455C" w:rsidRPr="00F54DF8" w:rsidRDefault="0077455C" w:rsidP="00773D87">
      <w:pPr>
        <w:pStyle w:val="p2"/>
        <w:widowControl/>
        <w:spacing w:line="360" w:lineRule="auto"/>
        <w:ind w:firstLine="0"/>
        <w:rPr>
          <w:sz w:val="26"/>
          <w:szCs w:val="26"/>
        </w:rPr>
      </w:pPr>
    </w:p>
    <w:p w14:paraId="060C20F3" w14:textId="77777777" w:rsidR="0077455C" w:rsidRPr="00F54DF8" w:rsidRDefault="0077455C" w:rsidP="00F939FA">
      <w:pPr>
        <w:pStyle w:val="p2"/>
        <w:keepNext/>
        <w:widowControl/>
        <w:tabs>
          <w:tab w:val="left" w:pos="720"/>
        </w:tabs>
        <w:spacing w:line="360" w:lineRule="auto"/>
        <w:ind w:firstLine="0"/>
        <w:rPr>
          <w:b/>
          <w:sz w:val="26"/>
          <w:szCs w:val="26"/>
        </w:rPr>
      </w:pPr>
      <w:r w:rsidRPr="00F54DF8">
        <w:rPr>
          <w:b/>
          <w:sz w:val="26"/>
          <w:szCs w:val="26"/>
        </w:rPr>
        <w:t>Resolution</w:t>
      </w:r>
    </w:p>
    <w:p w14:paraId="1A58B178" w14:textId="77777777" w:rsidR="0077455C" w:rsidRPr="00F54DF8" w:rsidRDefault="0077455C" w:rsidP="00F939FA">
      <w:pPr>
        <w:pStyle w:val="p2"/>
        <w:keepNext/>
        <w:widowControl/>
        <w:spacing w:line="360" w:lineRule="auto"/>
        <w:ind w:firstLine="0"/>
        <w:rPr>
          <w:sz w:val="26"/>
          <w:szCs w:val="26"/>
        </w:rPr>
      </w:pPr>
    </w:p>
    <w:p w14:paraId="579CFBFE" w14:textId="2F12837E" w:rsidR="0077455C" w:rsidRPr="00F54DF8" w:rsidRDefault="0077455C" w:rsidP="005864D0">
      <w:pPr>
        <w:pStyle w:val="p7"/>
        <w:widowControl/>
        <w:tabs>
          <w:tab w:val="clear" w:pos="782"/>
          <w:tab w:val="clear" w:pos="1133"/>
          <w:tab w:val="left" w:pos="0"/>
          <w:tab w:val="left" w:pos="720"/>
        </w:tabs>
        <w:spacing w:line="360" w:lineRule="auto"/>
        <w:ind w:left="0" w:firstLine="720"/>
        <w:rPr>
          <w:sz w:val="26"/>
          <w:szCs w:val="26"/>
        </w:rPr>
      </w:pPr>
      <w:r w:rsidRPr="00F54DF8">
        <w:rPr>
          <w:sz w:val="26"/>
          <w:szCs w:val="26"/>
        </w:rPr>
        <w:t xml:space="preserve">Upon review of the </w:t>
      </w:r>
      <w:r w:rsidR="00222C04">
        <w:rPr>
          <w:sz w:val="26"/>
          <w:szCs w:val="26"/>
        </w:rPr>
        <w:t>S</w:t>
      </w:r>
      <w:r w:rsidR="00C73AE3">
        <w:rPr>
          <w:sz w:val="26"/>
          <w:szCs w:val="26"/>
        </w:rPr>
        <w:t>econd</w:t>
      </w:r>
      <w:r w:rsidR="00222C04">
        <w:rPr>
          <w:sz w:val="26"/>
          <w:szCs w:val="26"/>
        </w:rPr>
        <w:t xml:space="preserve"> LTIIP</w:t>
      </w:r>
      <w:r w:rsidRPr="00F54DF8">
        <w:rPr>
          <w:sz w:val="26"/>
          <w:szCs w:val="26"/>
        </w:rPr>
        <w:t xml:space="preserve">, </w:t>
      </w:r>
      <w:r w:rsidR="00B80699" w:rsidRPr="00F54DF8">
        <w:rPr>
          <w:sz w:val="26"/>
          <w:szCs w:val="26"/>
        </w:rPr>
        <w:t xml:space="preserve">the Commission finds that </w:t>
      </w:r>
      <w:r w:rsidR="00B80699">
        <w:rPr>
          <w:sz w:val="26"/>
          <w:szCs w:val="26"/>
        </w:rPr>
        <w:t xml:space="preserve">PGW’s Second LTIIP fulfills the </w:t>
      </w:r>
      <w:r w:rsidR="00B80699" w:rsidRPr="00F54DF8">
        <w:rPr>
          <w:sz w:val="26"/>
          <w:szCs w:val="26"/>
        </w:rPr>
        <w:t xml:space="preserve">requirements of </w:t>
      </w:r>
      <w:r w:rsidR="00B80699" w:rsidRPr="00C01398">
        <w:rPr>
          <w:sz w:val="26"/>
          <w:szCs w:val="26"/>
        </w:rPr>
        <w:t>52 Pa. Code § 121.3</w:t>
      </w:r>
      <w:r w:rsidR="00B80699">
        <w:rPr>
          <w:sz w:val="26"/>
          <w:szCs w:val="26"/>
        </w:rPr>
        <w:t>(a)(7) by providing a</w:t>
      </w:r>
      <w:r w:rsidRPr="00F54DF8">
        <w:rPr>
          <w:sz w:val="26"/>
          <w:szCs w:val="26"/>
        </w:rPr>
        <w:t xml:space="preserve"> workforce management and training program </w:t>
      </w:r>
      <w:r w:rsidR="00B80699">
        <w:rPr>
          <w:sz w:val="26"/>
          <w:szCs w:val="26"/>
        </w:rPr>
        <w:t>that is designed to ensure that PGW will have access to a qualified workforce to perform the work in a cost</w:t>
      </w:r>
      <w:r w:rsidR="00B80699">
        <w:rPr>
          <w:sz w:val="26"/>
          <w:szCs w:val="26"/>
        </w:rPr>
        <w:noBreakHyphen/>
        <w:t>effective, sage and reliable manner</w:t>
      </w:r>
      <w:r w:rsidRPr="00F54DF8">
        <w:rPr>
          <w:sz w:val="26"/>
          <w:szCs w:val="26"/>
        </w:rPr>
        <w:t xml:space="preserve">.  </w:t>
      </w:r>
    </w:p>
    <w:p w14:paraId="3C7C3057" w14:textId="77777777" w:rsidR="00E441C9" w:rsidRPr="00F54DF8" w:rsidRDefault="00E441C9" w:rsidP="001810DE">
      <w:pPr>
        <w:pStyle w:val="p7"/>
        <w:widowControl/>
        <w:tabs>
          <w:tab w:val="clear" w:pos="782"/>
          <w:tab w:val="clear" w:pos="1133"/>
          <w:tab w:val="left" w:pos="0"/>
          <w:tab w:val="left" w:pos="720"/>
        </w:tabs>
        <w:spacing w:line="360" w:lineRule="auto"/>
        <w:ind w:left="0" w:firstLine="0"/>
        <w:rPr>
          <w:sz w:val="26"/>
          <w:szCs w:val="26"/>
        </w:rPr>
      </w:pPr>
    </w:p>
    <w:p w14:paraId="0357571F" w14:textId="77777777" w:rsidR="001810DE" w:rsidRPr="00F54DF8" w:rsidRDefault="001810DE" w:rsidP="001810DE">
      <w:pPr>
        <w:pStyle w:val="p2"/>
        <w:tabs>
          <w:tab w:val="clear" w:pos="1445"/>
        </w:tabs>
        <w:spacing w:line="360" w:lineRule="auto"/>
        <w:ind w:left="720" w:firstLine="0"/>
        <w:rPr>
          <w:b/>
          <w:sz w:val="26"/>
          <w:szCs w:val="26"/>
        </w:rPr>
      </w:pPr>
      <w:r w:rsidRPr="00F54DF8">
        <w:rPr>
          <w:b/>
          <w:sz w:val="26"/>
          <w:szCs w:val="26"/>
        </w:rPr>
        <w:t>(8) DESCRIPTION OF OUTREACH AND COORDINATION ACTIVITIES WITH OTHER UTILITIES, PENNDOT AND LOCAL GOVERNMENTS ON PLANNED PROJECTS</w:t>
      </w:r>
    </w:p>
    <w:p w14:paraId="48B5E7C0" w14:textId="77777777" w:rsidR="001810DE" w:rsidRPr="00F54DF8" w:rsidRDefault="001810DE" w:rsidP="001810DE">
      <w:pPr>
        <w:pStyle w:val="p2"/>
        <w:keepNext/>
        <w:widowControl/>
        <w:spacing w:line="360" w:lineRule="auto"/>
        <w:ind w:firstLine="0"/>
        <w:rPr>
          <w:b/>
          <w:sz w:val="26"/>
          <w:szCs w:val="26"/>
        </w:rPr>
      </w:pPr>
    </w:p>
    <w:p w14:paraId="05888007" w14:textId="77777777" w:rsidR="001810DE" w:rsidRPr="00F54DF8" w:rsidRDefault="001810DE" w:rsidP="001810DE">
      <w:pPr>
        <w:pStyle w:val="p2"/>
        <w:keepNext/>
        <w:widowControl/>
        <w:tabs>
          <w:tab w:val="left" w:pos="720"/>
          <w:tab w:val="left" w:pos="810"/>
        </w:tabs>
        <w:spacing w:line="360" w:lineRule="auto"/>
        <w:ind w:firstLine="0"/>
        <w:rPr>
          <w:b/>
          <w:sz w:val="26"/>
          <w:szCs w:val="26"/>
        </w:rPr>
      </w:pPr>
      <w:r w:rsidRPr="00F54DF8">
        <w:rPr>
          <w:b/>
          <w:sz w:val="26"/>
          <w:szCs w:val="26"/>
        </w:rPr>
        <w:t xml:space="preserve">PGW’s </w:t>
      </w:r>
      <w:r w:rsidR="00F54DF8" w:rsidRPr="00F54DF8">
        <w:rPr>
          <w:b/>
          <w:sz w:val="26"/>
          <w:szCs w:val="26"/>
        </w:rPr>
        <w:t>Position</w:t>
      </w:r>
    </w:p>
    <w:p w14:paraId="60A446C3" w14:textId="77777777" w:rsidR="001810DE" w:rsidRPr="00F54DF8" w:rsidRDefault="001810DE" w:rsidP="001810DE">
      <w:pPr>
        <w:pStyle w:val="p2"/>
        <w:keepNext/>
        <w:widowControl/>
        <w:spacing w:line="360" w:lineRule="auto"/>
        <w:ind w:firstLine="0"/>
        <w:rPr>
          <w:b/>
          <w:sz w:val="26"/>
          <w:szCs w:val="26"/>
        </w:rPr>
      </w:pPr>
    </w:p>
    <w:p w14:paraId="193B85DA" w14:textId="6FEDB5B3" w:rsidR="001810DE" w:rsidRPr="00F54DF8" w:rsidRDefault="004F6291" w:rsidP="005864D0">
      <w:pPr>
        <w:pStyle w:val="p2"/>
        <w:keepNext/>
        <w:widowControl/>
        <w:tabs>
          <w:tab w:val="clear" w:pos="1445"/>
          <w:tab w:val="left" w:pos="720"/>
        </w:tabs>
        <w:spacing w:line="360" w:lineRule="auto"/>
        <w:ind w:firstLine="0"/>
        <w:rPr>
          <w:sz w:val="26"/>
          <w:szCs w:val="26"/>
        </w:rPr>
      </w:pPr>
      <w:r w:rsidRPr="00F54DF8">
        <w:rPr>
          <w:sz w:val="26"/>
          <w:szCs w:val="26"/>
        </w:rPr>
        <w:tab/>
        <w:t xml:space="preserve">PGW describes its coordination with outside agencies in conjunction with its replacement of mains and services affected by others.  </w:t>
      </w:r>
      <w:r w:rsidR="00C91609">
        <w:rPr>
          <w:sz w:val="26"/>
          <w:szCs w:val="26"/>
        </w:rPr>
        <w:t>PGW</w:t>
      </w:r>
      <w:r w:rsidRPr="00F54DF8">
        <w:rPr>
          <w:sz w:val="26"/>
          <w:szCs w:val="26"/>
        </w:rPr>
        <w:t xml:space="preserve"> specifically </w:t>
      </w:r>
      <w:r w:rsidR="00C91609">
        <w:rPr>
          <w:sz w:val="26"/>
          <w:szCs w:val="26"/>
        </w:rPr>
        <w:t>notes</w:t>
      </w:r>
      <w:r w:rsidRPr="00F54DF8">
        <w:rPr>
          <w:sz w:val="26"/>
          <w:szCs w:val="26"/>
        </w:rPr>
        <w:t xml:space="preserve"> that </w:t>
      </w:r>
      <w:r w:rsidR="00C91609">
        <w:rPr>
          <w:sz w:val="26"/>
          <w:szCs w:val="26"/>
        </w:rPr>
        <w:t>it</w:t>
      </w:r>
      <w:r w:rsidRPr="00F54DF8">
        <w:rPr>
          <w:sz w:val="26"/>
          <w:szCs w:val="26"/>
        </w:rPr>
        <w:t xml:space="preserve"> frequently coordinate</w:t>
      </w:r>
      <w:r w:rsidR="00C91609">
        <w:rPr>
          <w:sz w:val="26"/>
          <w:szCs w:val="26"/>
        </w:rPr>
        <w:t>s</w:t>
      </w:r>
      <w:r w:rsidRPr="00F54DF8">
        <w:rPr>
          <w:sz w:val="26"/>
          <w:szCs w:val="26"/>
        </w:rPr>
        <w:t xml:space="preserve"> work with the Philadelphia Water Department’s water and sewer main replacements, PennD</w:t>
      </w:r>
      <w:r w:rsidR="00C91609">
        <w:rPr>
          <w:sz w:val="26"/>
          <w:szCs w:val="26"/>
        </w:rPr>
        <w:t>O</w:t>
      </w:r>
      <w:r w:rsidRPr="00F54DF8">
        <w:rPr>
          <w:sz w:val="26"/>
          <w:szCs w:val="26"/>
        </w:rPr>
        <w:t xml:space="preserve">T’s highway construction projects, and the City of </w:t>
      </w:r>
      <w:r w:rsidRPr="00F54DF8">
        <w:rPr>
          <w:sz w:val="26"/>
          <w:szCs w:val="26"/>
        </w:rPr>
        <w:lastRenderedPageBreak/>
        <w:t>Philadelphia’s paving projects.  PGW explains that they have several checks and balances to help avoid potential conflicts</w:t>
      </w:r>
      <w:r w:rsidR="00C91609">
        <w:rPr>
          <w:sz w:val="26"/>
          <w:szCs w:val="26"/>
        </w:rPr>
        <w:t xml:space="preserve"> for each project.  PGW</w:t>
      </w:r>
      <w:r w:rsidRPr="00F54DF8">
        <w:rPr>
          <w:sz w:val="26"/>
          <w:szCs w:val="26"/>
        </w:rPr>
        <w:t xml:space="preserve"> </w:t>
      </w:r>
      <w:r w:rsidR="00DF5750">
        <w:rPr>
          <w:sz w:val="26"/>
          <w:szCs w:val="26"/>
        </w:rPr>
        <w:t>cit</w:t>
      </w:r>
      <w:r w:rsidR="00BB6DC0">
        <w:rPr>
          <w:sz w:val="26"/>
          <w:szCs w:val="26"/>
        </w:rPr>
        <w:t>e</w:t>
      </w:r>
      <w:r w:rsidR="002F6F58">
        <w:rPr>
          <w:sz w:val="26"/>
          <w:szCs w:val="26"/>
        </w:rPr>
        <w:t>s</w:t>
      </w:r>
      <w:r w:rsidRPr="00F54DF8">
        <w:rPr>
          <w:sz w:val="26"/>
          <w:szCs w:val="26"/>
        </w:rPr>
        <w:t xml:space="preserve"> examples including Design One Calls, the City of Philadelphia’s </w:t>
      </w:r>
      <w:r w:rsidR="00C91609" w:rsidRPr="00C91609">
        <w:rPr>
          <w:sz w:val="26"/>
          <w:szCs w:val="26"/>
        </w:rPr>
        <w:t xml:space="preserve">Gas Plant Information System </w:t>
      </w:r>
      <w:r w:rsidR="00C91609">
        <w:rPr>
          <w:sz w:val="26"/>
          <w:szCs w:val="26"/>
        </w:rPr>
        <w:t>(</w:t>
      </w:r>
      <w:r w:rsidRPr="00F54DF8">
        <w:rPr>
          <w:sz w:val="26"/>
          <w:szCs w:val="26"/>
        </w:rPr>
        <w:t>GPIS</w:t>
      </w:r>
      <w:r w:rsidR="00C91609">
        <w:rPr>
          <w:sz w:val="26"/>
          <w:szCs w:val="26"/>
        </w:rPr>
        <w:t>)</w:t>
      </w:r>
      <w:r w:rsidRPr="00F54DF8">
        <w:rPr>
          <w:sz w:val="26"/>
          <w:szCs w:val="26"/>
        </w:rPr>
        <w:t xml:space="preserve"> permitting system, and meetings with the Committee of Highway Supervisors.</w:t>
      </w:r>
    </w:p>
    <w:p w14:paraId="1B8ABBF6" w14:textId="77777777" w:rsidR="00CF0317" w:rsidRPr="00F54DF8" w:rsidRDefault="00CF0317" w:rsidP="001810DE">
      <w:pPr>
        <w:pStyle w:val="p2"/>
        <w:keepNext/>
        <w:widowControl/>
        <w:spacing w:line="360" w:lineRule="auto"/>
        <w:ind w:firstLine="0"/>
        <w:rPr>
          <w:sz w:val="26"/>
          <w:szCs w:val="26"/>
        </w:rPr>
      </w:pPr>
    </w:p>
    <w:p w14:paraId="345995F3" w14:textId="1B98EB6E" w:rsidR="00CF0317" w:rsidRPr="00F54DF8" w:rsidRDefault="00CF0317" w:rsidP="00D24EB4">
      <w:pPr>
        <w:pStyle w:val="p2"/>
        <w:keepNext/>
        <w:widowControl/>
        <w:tabs>
          <w:tab w:val="clear" w:pos="1445"/>
          <w:tab w:val="left" w:pos="720"/>
        </w:tabs>
        <w:spacing w:line="360" w:lineRule="auto"/>
        <w:ind w:firstLine="0"/>
        <w:rPr>
          <w:sz w:val="26"/>
          <w:szCs w:val="26"/>
        </w:rPr>
      </w:pPr>
      <w:r w:rsidRPr="00F54DF8">
        <w:rPr>
          <w:sz w:val="26"/>
          <w:szCs w:val="26"/>
        </w:rPr>
        <w:tab/>
        <w:t>PGW states that they utilize the City’s GPIS permitting system to identify conflicts with various paving programs.  PGW describes how it enters multiple years of proposed replacement projects at a very preliminary stage,</w:t>
      </w:r>
      <w:r w:rsidR="00C91609">
        <w:rPr>
          <w:sz w:val="26"/>
          <w:szCs w:val="26"/>
        </w:rPr>
        <w:t xml:space="preserve"> which </w:t>
      </w:r>
      <w:r w:rsidRPr="00F54DF8">
        <w:rPr>
          <w:sz w:val="26"/>
          <w:szCs w:val="26"/>
        </w:rPr>
        <w:t>allow</w:t>
      </w:r>
      <w:r w:rsidR="00C91609">
        <w:rPr>
          <w:sz w:val="26"/>
          <w:szCs w:val="26"/>
        </w:rPr>
        <w:t>s</w:t>
      </w:r>
      <w:r w:rsidRPr="00F54DF8">
        <w:rPr>
          <w:sz w:val="26"/>
          <w:szCs w:val="26"/>
        </w:rPr>
        <w:t xml:space="preserve"> the identification of conflicts far in advance.</w:t>
      </w:r>
    </w:p>
    <w:p w14:paraId="6BDA4CFD" w14:textId="77777777" w:rsidR="00CF0317" w:rsidRPr="00F54DF8" w:rsidRDefault="00CF0317" w:rsidP="001810DE">
      <w:pPr>
        <w:pStyle w:val="p2"/>
        <w:keepNext/>
        <w:widowControl/>
        <w:spacing w:line="360" w:lineRule="auto"/>
        <w:ind w:firstLine="0"/>
        <w:rPr>
          <w:sz w:val="26"/>
          <w:szCs w:val="26"/>
        </w:rPr>
      </w:pPr>
    </w:p>
    <w:p w14:paraId="30C86B37" w14:textId="41B9DB43" w:rsidR="00CF0317" w:rsidRPr="00F54DF8" w:rsidRDefault="00CF0317" w:rsidP="00D24EB4">
      <w:pPr>
        <w:pStyle w:val="p2"/>
        <w:keepNext/>
        <w:widowControl/>
        <w:tabs>
          <w:tab w:val="clear" w:pos="1445"/>
          <w:tab w:val="left" w:pos="720"/>
        </w:tabs>
        <w:spacing w:line="360" w:lineRule="auto"/>
        <w:ind w:firstLine="0"/>
        <w:rPr>
          <w:sz w:val="26"/>
          <w:szCs w:val="26"/>
        </w:rPr>
      </w:pPr>
      <w:r w:rsidRPr="00F54DF8">
        <w:rPr>
          <w:sz w:val="26"/>
          <w:szCs w:val="26"/>
        </w:rPr>
        <w:tab/>
        <w:t xml:space="preserve">When conflicts are identified with any outside agencies, PGW explains that coordination meetings are </w:t>
      </w:r>
      <w:r w:rsidR="00C91609">
        <w:rPr>
          <w:sz w:val="26"/>
          <w:szCs w:val="26"/>
        </w:rPr>
        <w:t>arranged</w:t>
      </w:r>
      <w:r w:rsidRPr="00F54DF8">
        <w:rPr>
          <w:sz w:val="26"/>
          <w:szCs w:val="26"/>
        </w:rPr>
        <w:t>.  The proposed infrastructure improvements are then overlaid onto PGW’s Detail Main Maps to determine the extent of the conflict.  Once this is done, PGW considers a number of factors to determine whether its facilities will be replaced.</w:t>
      </w:r>
    </w:p>
    <w:p w14:paraId="13C5E6A3" w14:textId="77777777" w:rsidR="001810DE" w:rsidRDefault="001810DE" w:rsidP="001810DE">
      <w:pPr>
        <w:pStyle w:val="p7"/>
        <w:widowControl/>
        <w:tabs>
          <w:tab w:val="clear" w:pos="782"/>
          <w:tab w:val="clear" w:pos="1133"/>
          <w:tab w:val="left" w:pos="0"/>
          <w:tab w:val="left" w:pos="720"/>
        </w:tabs>
        <w:spacing w:line="360" w:lineRule="auto"/>
        <w:ind w:left="0" w:firstLine="0"/>
        <w:rPr>
          <w:sz w:val="26"/>
          <w:szCs w:val="26"/>
        </w:rPr>
      </w:pPr>
    </w:p>
    <w:p w14:paraId="2A2DC3E6" w14:textId="77777777" w:rsidR="00DF5750" w:rsidRPr="00F54DF8" w:rsidRDefault="00DF5750" w:rsidP="00DF5750">
      <w:pPr>
        <w:pStyle w:val="p2"/>
        <w:keepNext/>
        <w:widowControl/>
        <w:tabs>
          <w:tab w:val="left" w:pos="720"/>
        </w:tabs>
        <w:spacing w:line="360" w:lineRule="auto"/>
        <w:ind w:firstLine="0"/>
        <w:rPr>
          <w:b/>
          <w:sz w:val="26"/>
          <w:szCs w:val="26"/>
        </w:rPr>
      </w:pPr>
      <w:r w:rsidRPr="00F54DF8">
        <w:rPr>
          <w:b/>
          <w:sz w:val="26"/>
          <w:szCs w:val="26"/>
        </w:rPr>
        <w:t>Comments</w:t>
      </w:r>
    </w:p>
    <w:p w14:paraId="38C10960" w14:textId="77777777" w:rsidR="00DF5750" w:rsidRPr="00F54DF8" w:rsidRDefault="00DF5750" w:rsidP="00DF5750">
      <w:pPr>
        <w:pStyle w:val="p2"/>
        <w:keepNext/>
        <w:widowControl/>
        <w:spacing w:line="360" w:lineRule="auto"/>
        <w:ind w:firstLine="0"/>
        <w:rPr>
          <w:sz w:val="26"/>
          <w:szCs w:val="26"/>
        </w:rPr>
      </w:pPr>
    </w:p>
    <w:p w14:paraId="6B59C15F" w14:textId="77777777" w:rsidR="00C91609" w:rsidRDefault="00DF5750" w:rsidP="00D24EB4">
      <w:pPr>
        <w:pStyle w:val="p2"/>
        <w:tabs>
          <w:tab w:val="clear" w:pos="1445"/>
        </w:tabs>
        <w:spacing w:line="360" w:lineRule="auto"/>
        <w:ind w:left="720" w:firstLine="0"/>
        <w:rPr>
          <w:sz w:val="26"/>
          <w:szCs w:val="26"/>
        </w:rPr>
      </w:pPr>
      <w:r w:rsidRPr="00F54DF8">
        <w:rPr>
          <w:sz w:val="26"/>
          <w:szCs w:val="26"/>
        </w:rPr>
        <w:t xml:space="preserve">No comments were received regarding the </w:t>
      </w:r>
      <w:r>
        <w:rPr>
          <w:sz w:val="26"/>
          <w:szCs w:val="26"/>
        </w:rPr>
        <w:t>description of outreach and</w:t>
      </w:r>
    </w:p>
    <w:p w14:paraId="609171E7" w14:textId="3EE32FE9" w:rsidR="00DF5750" w:rsidRDefault="00DF5750" w:rsidP="001E5C20">
      <w:pPr>
        <w:pStyle w:val="p2"/>
        <w:tabs>
          <w:tab w:val="clear" w:pos="1445"/>
        </w:tabs>
        <w:spacing w:line="360" w:lineRule="auto"/>
        <w:ind w:firstLine="0"/>
        <w:rPr>
          <w:sz w:val="26"/>
          <w:szCs w:val="26"/>
        </w:rPr>
      </w:pPr>
      <w:r>
        <w:rPr>
          <w:sz w:val="26"/>
          <w:szCs w:val="26"/>
        </w:rPr>
        <w:t>coordination activities with other utilities, PennD</w:t>
      </w:r>
      <w:r w:rsidR="00C91609">
        <w:rPr>
          <w:sz w:val="26"/>
          <w:szCs w:val="26"/>
        </w:rPr>
        <w:t>O</w:t>
      </w:r>
      <w:r>
        <w:rPr>
          <w:sz w:val="26"/>
          <w:szCs w:val="26"/>
        </w:rPr>
        <w:t>T and local governments on planned projects.</w:t>
      </w:r>
    </w:p>
    <w:p w14:paraId="0B5739A2" w14:textId="77777777" w:rsidR="00DF5750" w:rsidRPr="00F54DF8" w:rsidRDefault="00DF5750" w:rsidP="00DF5750">
      <w:pPr>
        <w:pStyle w:val="p2"/>
        <w:widowControl/>
        <w:spacing w:line="360" w:lineRule="auto"/>
        <w:ind w:firstLine="0"/>
        <w:rPr>
          <w:sz w:val="26"/>
          <w:szCs w:val="26"/>
        </w:rPr>
      </w:pPr>
    </w:p>
    <w:p w14:paraId="2C4AA164" w14:textId="77777777" w:rsidR="00DF5750" w:rsidRPr="00F54DF8" w:rsidRDefault="00DF5750" w:rsidP="00DF5750">
      <w:pPr>
        <w:pStyle w:val="p2"/>
        <w:keepNext/>
        <w:widowControl/>
        <w:tabs>
          <w:tab w:val="left" w:pos="720"/>
        </w:tabs>
        <w:spacing w:line="360" w:lineRule="auto"/>
        <w:ind w:firstLine="0"/>
        <w:rPr>
          <w:b/>
          <w:sz w:val="26"/>
          <w:szCs w:val="26"/>
        </w:rPr>
      </w:pPr>
      <w:r w:rsidRPr="00F54DF8">
        <w:rPr>
          <w:b/>
          <w:sz w:val="26"/>
          <w:szCs w:val="26"/>
        </w:rPr>
        <w:t>Resolution</w:t>
      </w:r>
    </w:p>
    <w:p w14:paraId="461E533E" w14:textId="77777777" w:rsidR="00DF5750" w:rsidRPr="00F54DF8" w:rsidRDefault="00DF5750" w:rsidP="00DF5750">
      <w:pPr>
        <w:pStyle w:val="p2"/>
        <w:keepNext/>
        <w:widowControl/>
        <w:spacing w:line="360" w:lineRule="auto"/>
        <w:ind w:firstLine="0"/>
        <w:rPr>
          <w:sz w:val="26"/>
          <w:szCs w:val="26"/>
        </w:rPr>
      </w:pPr>
    </w:p>
    <w:p w14:paraId="146C4A2B" w14:textId="557E5E0B" w:rsidR="00DF5750" w:rsidRPr="00F54DF8" w:rsidRDefault="00DF5750" w:rsidP="00D24EB4">
      <w:pPr>
        <w:pStyle w:val="p7"/>
        <w:widowControl/>
        <w:tabs>
          <w:tab w:val="clear" w:pos="782"/>
          <w:tab w:val="clear" w:pos="1133"/>
          <w:tab w:val="left" w:pos="0"/>
          <w:tab w:val="left" w:pos="720"/>
        </w:tabs>
        <w:spacing w:line="360" w:lineRule="auto"/>
        <w:ind w:left="0" w:firstLine="720"/>
        <w:rPr>
          <w:sz w:val="26"/>
          <w:szCs w:val="26"/>
        </w:rPr>
      </w:pPr>
      <w:r w:rsidRPr="00F54DF8">
        <w:rPr>
          <w:sz w:val="26"/>
          <w:szCs w:val="26"/>
        </w:rPr>
        <w:t xml:space="preserve">Upon review of the </w:t>
      </w:r>
      <w:r w:rsidR="00222C04">
        <w:rPr>
          <w:sz w:val="26"/>
          <w:szCs w:val="26"/>
        </w:rPr>
        <w:t>S</w:t>
      </w:r>
      <w:r w:rsidR="00C91609">
        <w:rPr>
          <w:sz w:val="26"/>
          <w:szCs w:val="26"/>
        </w:rPr>
        <w:t>econd</w:t>
      </w:r>
      <w:r w:rsidR="00222C04">
        <w:rPr>
          <w:sz w:val="26"/>
          <w:szCs w:val="26"/>
        </w:rPr>
        <w:t xml:space="preserve"> LTIIP</w:t>
      </w:r>
      <w:r w:rsidRPr="00F54DF8">
        <w:rPr>
          <w:sz w:val="26"/>
          <w:szCs w:val="26"/>
        </w:rPr>
        <w:t xml:space="preserve">, </w:t>
      </w:r>
      <w:r w:rsidR="001A7EAA" w:rsidRPr="00F54DF8">
        <w:rPr>
          <w:sz w:val="26"/>
          <w:szCs w:val="26"/>
        </w:rPr>
        <w:t xml:space="preserve">the Commission finds that </w:t>
      </w:r>
      <w:r w:rsidR="001A7EAA">
        <w:rPr>
          <w:sz w:val="26"/>
          <w:szCs w:val="26"/>
        </w:rPr>
        <w:t xml:space="preserve">PGW’s Second LTIIP fulfills the </w:t>
      </w:r>
      <w:r w:rsidR="001A7EAA" w:rsidRPr="00F54DF8">
        <w:rPr>
          <w:sz w:val="26"/>
          <w:szCs w:val="26"/>
        </w:rPr>
        <w:t xml:space="preserve">requirements of </w:t>
      </w:r>
      <w:r w:rsidR="001A7EAA" w:rsidRPr="00C01398">
        <w:rPr>
          <w:sz w:val="26"/>
          <w:szCs w:val="26"/>
        </w:rPr>
        <w:t>52 Pa. Code § 121.3</w:t>
      </w:r>
      <w:r w:rsidR="001A7EAA">
        <w:rPr>
          <w:sz w:val="26"/>
          <w:szCs w:val="26"/>
        </w:rPr>
        <w:t>(a)(8) by providing a</w:t>
      </w:r>
      <w:r w:rsidRPr="00F54DF8">
        <w:rPr>
          <w:sz w:val="26"/>
          <w:szCs w:val="26"/>
        </w:rPr>
        <w:t xml:space="preserve"> </w:t>
      </w:r>
      <w:r>
        <w:rPr>
          <w:sz w:val="26"/>
          <w:szCs w:val="26"/>
        </w:rPr>
        <w:t xml:space="preserve">description of </w:t>
      </w:r>
      <w:r w:rsidR="001A7EAA">
        <w:rPr>
          <w:sz w:val="26"/>
          <w:szCs w:val="26"/>
        </w:rPr>
        <w:t xml:space="preserve">PGW’s </w:t>
      </w:r>
      <w:r>
        <w:rPr>
          <w:sz w:val="26"/>
          <w:szCs w:val="26"/>
        </w:rPr>
        <w:t>outreach and coordination activities with other utilities, PennD</w:t>
      </w:r>
      <w:r w:rsidR="00C91609">
        <w:rPr>
          <w:sz w:val="26"/>
          <w:szCs w:val="26"/>
        </w:rPr>
        <w:t>O</w:t>
      </w:r>
      <w:r>
        <w:rPr>
          <w:sz w:val="26"/>
          <w:szCs w:val="26"/>
        </w:rPr>
        <w:t>T and local governments on planned projects</w:t>
      </w:r>
      <w:r w:rsidRPr="00F54DF8">
        <w:rPr>
          <w:sz w:val="26"/>
          <w:szCs w:val="26"/>
        </w:rPr>
        <w:t xml:space="preserve"> </w:t>
      </w:r>
      <w:r w:rsidR="001A7EAA">
        <w:rPr>
          <w:sz w:val="26"/>
          <w:szCs w:val="26"/>
        </w:rPr>
        <w:t xml:space="preserve">and roadways that may be impacted by the Second </w:t>
      </w:r>
      <w:r w:rsidR="00EA0D0D">
        <w:rPr>
          <w:sz w:val="26"/>
          <w:szCs w:val="26"/>
        </w:rPr>
        <w:t>LTIIP</w:t>
      </w:r>
      <w:r w:rsidRPr="00F54DF8">
        <w:rPr>
          <w:sz w:val="26"/>
          <w:szCs w:val="26"/>
        </w:rPr>
        <w:t xml:space="preserve">.  </w:t>
      </w:r>
    </w:p>
    <w:p w14:paraId="19660287" w14:textId="77777777" w:rsidR="00DF5750" w:rsidRPr="00F54DF8" w:rsidRDefault="00DF5750" w:rsidP="001810DE">
      <w:pPr>
        <w:pStyle w:val="p7"/>
        <w:widowControl/>
        <w:tabs>
          <w:tab w:val="clear" w:pos="782"/>
          <w:tab w:val="clear" w:pos="1133"/>
          <w:tab w:val="left" w:pos="0"/>
          <w:tab w:val="left" w:pos="720"/>
        </w:tabs>
        <w:spacing w:line="360" w:lineRule="auto"/>
        <w:ind w:left="0" w:firstLine="0"/>
        <w:rPr>
          <w:sz w:val="26"/>
          <w:szCs w:val="26"/>
        </w:rPr>
      </w:pPr>
    </w:p>
    <w:p w14:paraId="1C0D592D" w14:textId="0651333B" w:rsidR="0077455C" w:rsidRDefault="00222C04" w:rsidP="00F254AA">
      <w:pPr>
        <w:pStyle w:val="p2"/>
        <w:keepNext/>
        <w:widowControl/>
        <w:spacing w:line="360" w:lineRule="auto"/>
        <w:ind w:firstLine="0"/>
        <w:jc w:val="center"/>
        <w:rPr>
          <w:b/>
          <w:sz w:val="26"/>
          <w:szCs w:val="26"/>
        </w:rPr>
      </w:pPr>
      <w:r>
        <w:rPr>
          <w:b/>
          <w:sz w:val="26"/>
          <w:szCs w:val="26"/>
        </w:rPr>
        <w:t>SECOND LTIIP</w:t>
      </w:r>
      <w:r w:rsidR="00F37ED8" w:rsidRPr="00F54DF8">
        <w:rPr>
          <w:b/>
          <w:sz w:val="26"/>
          <w:szCs w:val="26"/>
        </w:rPr>
        <w:t xml:space="preserve"> SUMMARY</w:t>
      </w:r>
    </w:p>
    <w:p w14:paraId="7427126E" w14:textId="0C4E3C72" w:rsidR="00AB54F0" w:rsidRDefault="00AB54F0" w:rsidP="00F254AA">
      <w:pPr>
        <w:pStyle w:val="p2"/>
        <w:keepNext/>
        <w:widowControl/>
        <w:spacing w:line="360" w:lineRule="auto"/>
        <w:ind w:firstLine="0"/>
        <w:jc w:val="center"/>
        <w:rPr>
          <w:b/>
          <w:sz w:val="26"/>
          <w:szCs w:val="26"/>
        </w:rPr>
      </w:pPr>
    </w:p>
    <w:p w14:paraId="3071A11B" w14:textId="365B7F17" w:rsidR="00AB54F0" w:rsidRDefault="00AB54F0" w:rsidP="00AB54F0">
      <w:pPr>
        <w:pStyle w:val="p2"/>
        <w:keepNext/>
        <w:widowControl/>
        <w:tabs>
          <w:tab w:val="clear" w:pos="1445"/>
          <w:tab w:val="left" w:pos="720"/>
        </w:tabs>
        <w:spacing w:line="360" w:lineRule="auto"/>
        <w:ind w:firstLine="0"/>
        <w:rPr>
          <w:sz w:val="26"/>
          <w:szCs w:val="26"/>
        </w:rPr>
      </w:pPr>
      <w:r>
        <w:rPr>
          <w:sz w:val="26"/>
          <w:szCs w:val="26"/>
        </w:rPr>
        <w:tab/>
        <w:t>The Commission’s review of an LTIIP must determine if the LTIIP:</w:t>
      </w:r>
      <w:r>
        <w:rPr>
          <w:rStyle w:val="FootnoteReference"/>
          <w:sz w:val="26"/>
          <w:szCs w:val="26"/>
        </w:rPr>
        <w:footnoteReference w:id="19"/>
      </w:r>
    </w:p>
    <w:p w14:paraId="1A8E4AF3" w14:textId="6ECCB723" w:rsidR="00AB54F0" w:rsidRDefault="00AB54F0" w:rsidP="00AB54F0">
      <w:pPr>
        <w:pStyle w:val="p2"/>
        <w:keepNext/>
        <w:widowControl/>
        <w:numPr>
          <w:ilvl w:val="0"/>
          <w:numId w:val="37"/>
        </w:numPr>
        <w:spacing w:line="360" w:lineRule="auto"/>
        <w:rPr>
          <w:sz w:val="26"/>
          <w:szCs w:val="26"/>
        </w:rPr>
      </w:pPr>
      <w:r w:rsidRPr="00AB54F0">
        <w:rPr>
          <w:sz w:val="26"/>
          <w:szCs w:val="26"/>
        </w:rPr>
        <w:t>Contains measures to ensure that the projected annual expenditures are cost</w:t>
      </w:r>
      <w:r w:rsidR="001A7EAA">
        <w:rPr>
          <w:sz w:val="26"/>
          <w:szCs w:val="26"/>
        </w:rPr>
        <w:noBreakHyphen/>
      </w:r>
      <w:r w:rsidRPr="00AB54F0">
        <w:rPr>
          <w:sz w:val="26"/>
          <w:szCs w:val="26"/>
        </w:rPr>
        <w:t>effective</w:t>
      </w:r>
      <w:r w:rsidR="001A7EAA">
        <w:rPr>
          <w:sz w:val="26"/>
          <w:szCs w:val="26"/>
        </w:rPr>
        <w:t>.</w:t>
      </w:r>
    </w:p>
    <w:p w14:paraId="4722CAB8" w14:textId="36D20CD1" w:rsidR="0077455C" w:rsidRDefault="00AB54F0" w:rsidP="00AB54F0">
      <w:pPr>
        <w:pStyle w:val="p2"/>
        <w:keepNext/>
        <w:widowControl/>
        <w:numPr>
          <w:ilvl w:val="0"/>
          <w:numId w:val="37"/>
        </w:numPr>
        <w:spacing w:line="360" w:lineRule="auto"/>
        <w:rPr>
          <w:sz w:val="26"/>
          <w:szCs w:val="26"/>
        </w:rPr>
      </w:pPr>
      <w:r w:rsidRPr="00AB54F0">
        <w:rPr>
          <w:sz w:val="26"/>
          <w:szCs w:val="26"/>
        </w:rPr>
        <w:t>Specifies the manner in which it accelerates or maintains an accelerated rate of infrastructure repair, improvement or replacement</w:t>
      </w:r>
      <w:r w:rsidR="001A7EAA">
        <w:rPr>
          <w:sz w:val="26"/>
          <w:szCs w:val="26"/>
        </w:rPr>
        <w:t>.</w:t>
      </w:r>
    </w:p>
    <w:p w14:paraId="7C2A6CA2" w14:textId="6511C654" w:rsidR="00AB54F0" w:rsidRDefault="00AB54F0" w:rsidP="00AB54F0">
      <w:pPr>
        <w:pStyle w:val="p2"/>
        <w:keepNext/>
        <w:widowControl/>
        <w:numPr>
          <w:ilvl w:val="0"/>
          <w:numId w:val="37"/>
        </w:numPr>
        <w:spacing w:line="360" w:lineRule="auto"/>
        <w:rPr>
          <w:sz w:val="26"/>
          <w:szCs w:val="26"/>
        </w:rPr>
      </w:pPr>
      <w:r w:rsidRPr="00AB54F0">
        <w:rPr>
          <w:sz w:val="26"/>
          <w:szCs w:val="26"/>
        </w:rPr>
        <w:t xml:space="preserve">Is sufficient to ensure and maintain adequate, efficient, safe, </w:t>
      </w:r>
      <w:r>
        <w:rPr>
          <w:sz w:val="26"/>
          <w:szCs w:val="26"/>
        </w:rPr>
        <w:t>reliable and reasonable service</w:t>
      </w:r>
      <w:r w:rsidR="001A7EAA">
        <w:rPr>
          <w:sz w:val="26"/>
          <w:szCs w:val="26"/>
        </w:rPr>
        <w:t>.</w:t>
      </w:r>
    </w:p>
    <w:p w14:paraId="063633EE" w14:textId="4BC2D02C" w:rsidR="00AB54F0" w:rsidRDefault="00AB54F0" w:rsidP="00AB54F0">
      <w:pPr>
        <w:pStyle w:val="p2"/>
        <w:keepNext/>
        <w:widowControl/>
        <w:numPr>
          <w:ilvl w:val="0"/>
          <w:numId w:val="37"/>
        </w:numPr>
        <w:spacing w:line="360" w:lineRule="auto"/>
        <w:rPr>
          <w:sz w:val="26"/>
          <w:szCs w:val="26"/>
        </w:rPr>
      </w:pPr>
      <w:r w:rsidRPr="00AB54F0">
        <w:rPr>
          <w:sz w:val="26"/>
          <w:szCs w:val="26"/>
        </w:rPr>
        <w:t xml:space="preserve">Meets the requirements of </w:t>
      </w:r>
      <w:r>
        <w:rPr>
          <w:sz w:val="26"/>
          <w:szCs w:val="26"/>
        </w:rPr>
        <w:t xml:space="preserve">52 Pa. Code </w:t>
      </w:r>
      <w:r w:rsidRPr="00AB54F0">
        <w:rPr>
          <w:sz w:val="26"/>
          <w:szCs w:val="26"/>
        </w:rPr>
        <w:t xml:space="preserve">§ </w:t>
      </w:r>
      <w:r>
        <w:rPr>
          <w:sz w:val="26"/>
          <w:szCs w:val="26"/>
        </w:rPr>
        <w:t>1</w:t>
      </w:r>
      <w:r w:rsidRPr="00AB54F0">
        <w:rPr>
          <w:sz w:val="26"/>
          <w:szCs w:val="26"/>
        </w:rPr>
        <w:t>21.3(a)</w:t>
      </w:r>
      <w:r w:rsidR="001A7EAA">
        <w:rPr>
          <w:sz w:val="26"/>
          <w:szCs w:val="26"/>
        </w:rPr>
        <w:t>.</w:t>
      </w:r>
    </w:p>
    <w:p w14:paraId="0BB91648" w14:textId="77777777" w:rsidR="00472A8F" w:rsidRDefault="00472A8F" w:rsidP="00472A8F">
      <w:pPr>
        <w:pStyle w:val="p2"/>
        <w:keepNext/>
        <w:widowControl/>
        <w:spacing w:line="360" w:lineRule="auto"/>
        <w:ind w:left="720" w:firstLine="0"/>
        <w:rPr>
          <w:sz w:val="26"/>
          <w:szCs w:val="26"/>
        </w:rPr>
      </w:pPr>
    </w:p>
    <w:p w14:paraId="7367BEBD" w14:textId="4D87E8AE" w:rsidR="001A7EAA" w:rsidRDefault="00472A8F" w:rsidP="00472A8F">
      <w:pPr>
        <w:pStyle w:val="p2"/>
        <w:keepNext/>
        <w:widowControl/>
        <w:tabs>
          <w:tab w:val="clear" w:pos="1445"/>
          <w:tab w:val="left" w:pos="720"/>
        </w:tabs>
        <w:spacing w:line="360" w:lineRule="auto"/>
        <w:ind w:firstLine="0"/>
        <w:rPr>
          <w:sz w:val="26"/>
          <w:szCs w:val="26"/>
        </w:rPr>
      </w:pPr>
      <w:r>
        <w:rPr>
          <w:sz w:val="26"/>
          <w:szCs w:val="26"/>
        </w:rPr>
        <w:tab/>
      </w:r>
      <w:r w:rsidR="001A7EAA">
        <w:rPr>
          <w:sz w:val="26"/>
          <w:szCs w:val="26"/>
        </w:rPr>
        <w:t>The utility has the burden of proof to demonstrate that its proposed LTIIP and associated expenditures are reasonable, cost effective and designed to ensure and maintain sufficient, safe, adequate, reliable and reasonable service to consumers.</w:t>
      </w:r>
      <w:r w:rsidR="001A7EAA">
        <w:rPr>
          <w:rStyle w:val="FootnoteReference"/>
          <w:sz w:val="26"/>
          <w:szCs w:val="26"/>
        </w:rPr>
        <w:footnoteReference w:id="20"/>
      </w:r>
    </w:p>
    <w:p w14:paraId="56985388" w14:textId="77777777" w:rsidR="00AB54F0" w:rsidRPr="00F54DF8" w:rsidRDefault="00AB54F0" w:rsidP="00AB54F0">
      <w:pPr>
        <w:pStyle w:val="p2"/>
        <w:keepNext/>
        <w:widowControl/>
        <w:spacing w:line="360" w:lineRule="auto"/>
        <w:ind w:firstLine="0"/>
        <w:rPr>
          <w:sz w:val="26"/>
          <w:szCs w:val="26"/>
        </w:rPr>
      </w:pPr>
    </w:p>
    <w:p w14:paraId="1CC7D79A" w14:textId="5C62CE97" w:rsidR="00156FF6" w:rsidRPr="00156FF6" w:rsidRDefault="0077455C" w:rsidP="00D24EB4">
      <w:pPr>
        <w:widowControl/>
        <w:spacing w:line="360" w:lineRule="auto"/>
        <w:ind w:firstLine="720"/>
        <w:rPr>
          <w:b/>
          <w:sz w:val="26"/>
          <w:szCs w:val="26"/>
        </w:rPr>
      </w:pPr>
      <w:r w:rsidRPr="00F54DF8">
        <w:rPr>
          <w:sz w:val="26"/>
          <w:szCs w:val="26"/>
        </w:rPr>
        <w:t xml:space="preserve">The Commission has reviewed PGW’s </w:t>
      </w:r>
      <w:r w:rsidR="005C591E">
        <w:rPr>
          <w:sz w:val="26"/>
          <w:szCs w:val="26"/>
        </w:rPr>
        <w:t xml:space="preserve">Second </w:t>
      </w:r>
      <w:r w:rsidR="00222C04">
        <w:rPr>
          <w:sz w:val="26"/>
          <w:szCs w:val="26"/>
        </w:rPr>
        <w:t>LTIIP</w:t>
      </w:r>
      <w:r w:rsidRPr="00F54DF8">
        <w:rPr>
          <w:sz w:val="26"/>
          <w:szCs w:val="26"/>
        </w:rPr>
        <w:t xml:space="preserve"> </w:t>
      </w:r>
      <w:r w:rsidR="00222C04" w:rsidRPr="00222C04">
        <w:rPr>
          <w:sz w:val="26"/>
          <w:szCs w:val="26"/>
        </w:rPr>
        <w:t>and any resulting comments</w:t>
      </w:r>
      <w:r w:rsidRPr="00F54DF8">
        <w:rPr>
          <w:sz w:val="26"/>
          <w:szCs w:val="26"/>
        </w:rPr>
        <w:t xml:space="preserve">.  </w:t>
      </w:r>
      <w:r w:rsidR="001A7EAA">
        <w:rPr>
          <w:sz w:val="26"/>
          <w:szCs w:val="26"/>
        </w:rPr>
        <w:t xml:space="preserve">The Commission finds that </w:t>
      </w:r>
      <w:r w:rsidR="00AB54F0">
        <w:rPr>
          <w:sz w:val="26"/>
          <w:szCs w:val="26"/>
        </w:rPr>
        <w:t>PGW</w:t>
      </w:r>
      <w:r w:rsidR="00AB47B8">
        <w:rPr>
          <w:sz w:val="26"/>
          <w:szCs w:val="26"/>
        </w:rPr>
        <w:t xml:space="preserve"> has meet its burden of proof by demonstrating that its</w:t>
      </w:r>
      <w:r w:rsidR="00AB54F0">
        <w:rPr>
          <w:sz w:val="26"/>
          <w:szCs w:val="26"/>
        </w:rPr>
        <w:t xml:space="preserve"> Second LTIIP contain</w:t>
      </w:r>
      <w:r w:rsidR="001A7EAA">
        <w:rPr>
          <w:sz w:val="26"/>
          <w:szCs w:val="26"/>
        </w:rPr>
        <w:t>s</w:t>
      </w:r>
      <w:r w:rsidR="00AB54F0">
        <w:rPr>
          <w:sz w:val="26"/>
          <w:szCs w:val="26"/>
        </w:rPr>
        <w:t xml:space="preserve"> measures to ensure that the projected annual expenditures are cost-effective, specifie</w:t>
      </w:r>
      <w:r w:rsidR="00AB47B8">
        <w:rPr>
          <w:sz w:val="26"/>
          <w:szCs w:val="26"/>
        </w:rPr>
        <w:t>s</w:t>
      </w:r>
      <w:r w:rsidR="00AB54F0">
        <w:rPr>
          <w:sz w:val="26"/>
          <w:szCs w:val="26"/>
        </w:rPr>
        <w:t xml:space="preserve"> the manner in which it accelerates or maintains an accelerated rate of infrastructure repair, improvement, or replacement</w:t>
      </w:r>
      <w:r w:rsidR="00AB47B8">
        <w:rPr>
          <w:sz w:val="26"/>
          <w:szCs w:val="26"/>
        </w:rPr>
        <w:t>, is su</w:t>
      </w:r>
      <w:r w:rsidR="00AB54F0">
        <w:rPr>
          <w:sz w:val="26"/>
          <w:szCs w:val="26"/>
        </w:rPr>
        <w:t>fficient to ensure and maintain adequate, safe, reliable, and reasonable service, and meet</w:t>
      </w:r>
      <w:r w:rsidR="00AB47B8">
        <w:rPr>
          <w:sz w:val="26"/>
          <w:szCs w:val="26"/>
        </w:rPr>
        <w:t>s</w:t>
      </w:r>
      <w:r w:rsidR="00AB54F0">
        <w:rPr>
          <w:sz w:val="26"/>
          <w:szCs w:val="26"/>
        </w:rPr>
        <w:t xml:space="preserve"> </w:t>
      </w:r>
      <w:r w:rsidR="005A6844">
        <w:rPr>
          <w:sz w:val="26"/>
          <w:szCs w:val="26"/>
        </w:rPr>
        <w:t xml:space="preserve">the requirements of 52 Pa. Code </w:t>
      </w:r>
      <w:r w:rsidR="005A6844" w:rsidRPr="005A6844">
        <w:rPr>
          <w:sz w:val="26"/>
          <w:szCs w:val="26"/>
        </w:rPr>
        <w:t>§ 121.3(a)</w:t>
      </w:r>
      <w:r w:rsidR="005A6844">
        <w:rPr>
          <w:sz w:val="26"/>
          <w:szCs w:val="26"/>
        </w:rPr>
        <w:t xml:space="preserve">.  </w:t>
      </w:r>
      <w:r w:rsidR="00006A83" w:rsidRPr="00F54DF8">
        <w:rPr>
          <w:sz w:val="26"/>
          <w:szCs w:val="26"/>
        </w:rPr>
        <w:t xml:space="preserve">Accordingly, </w:t>
      </w:r>
      <w:r w:rsidR="008E37BC" w:rsidRPr="00F54DF8">
        <w:rPr>
          <w:sz w:val="26"/>
          <w:szCs w:val="26"/>
        </w:rPr>
        <w:t>PGW</w:t>
      </w:r>
      <w:r w:rsidR="00006A83" w:rsidRPr="00F54DF8">
        <w:rPr>
          <w:sz w:val="26"/>
          <w:szCs w:val="26"/>
        </w:rPr>
        <w:t xml:space="preserve">’s </w:t>
      </w:r>
      <w:r w:rsidR="00222C04">
        <w:rPr>
          <w:sz w:val="26"/>
          <w:szCs w:val="26"/>
        </w:rPr>
        <w:t>S</w:t>
      </w:r>
      <w:r w:rsidR="00C91609">
        <w:rPr>
          <w:sz w:val="26"/>
          <w:szCs w:val="26"/>
        </w:rPr>
        <w:t>econd</w:t>
      </w:r>
      <w:r w:rsidR="00222C04">
        <w:rPr>
          <w:sz w:val="26"/>
          <w:szCs w:val="26"/>
        </w:rPr>
        <w:t xml:space="preserve"> LTIIP</w:t>
      </w:r>
      <w:r w:rsidR="00006A83" w:rsidRPr="00F54DF8">
        <w:rPr>
          <w:sz w:val="26"/>
          <w:szCs w:val="26"/>
        </w:rPr>
        <w:t xml:space="preserve"> is approved.</w:t>
      </w:r>
      <w:r w:rsidR="00156FF6">
        <w:rPr>
          <w:sz w:val="26"/>
          <w:szCs w:val="26"/>
        </w:rPr>
        <w:t xml:space="preserve"> </w:t>
      </w:r>
      <w:r w:rsidR="00156FF6" w:rsidRPr="00156FF6">
        <w:rPr>
          <w:sz w:val="26"/>
          <w:szCs w:val="26"/>
        </w:rPr>
        <w:t xml:space="preserve"> </w:t>
      </w:r>
    </w:p>
    <w:p w14:paraId="39A6F1DB" w14:textId="77777777" w:rsidR="00156FF6" w:rsidRDefault="00156FF6" w:rsidP="00156FF6">
      <w:pPr>
        <w:widowControl/>
        <w:spacing w:line="360" w:lineRule="auto"/>
        <w:ind w:firstLine="1440"/>
        <w:rPr>
          <w:sz w:val="26"/>
          <w:szCs w:val="26"/>
        </w:rPr>
      </w:pPr>
    </w:p>
    <w:p w14:paraId="21E5849D" w14:textId="0198C313" w:rsidR="00CA053A" w:rsidRPr="00F54DF8" w:rsidRDefault="00156FF6" w:rsidP="00D24EB4">
      <w:pPr>
        <w:widowControl/>
        <w:spacing w:line="360" w:lineRule="auto"/>
        <w:ind w:firstLine="720"/>
        <w:rPr>
          <w:sz w:val="26"/>
          <w:szCs w:val="26"/>
        </w:rPr>
      </w:pPr>
      <w:r w:rsidRPr="00156FF6">
        <w:rPr>
          <w:sz w:val="26"/>
          <w:szCs w:val="26"/>
        </w:rPr>
        <w:t xml:space="preserve">The Commission finds </w:t>
      </w:r>
      <w:r>
        <w:rPr>
          <w:sz w:val="26"/>
          <w:szCs w:val="26"/>
        </w:rPr>
        <w:t>PGW’</w:t>
      </w:r>
      <w:r w:rsidRPr="00156FF6">
        <w:rPr>
          <w:sz w:val="26"/>
          <w:szCs w:val="26"/>
        </w:rPr>
        <w:t xml:space="preserve">s </w:t>
      </w:r>
      <w:r>
        <w:rPr>
          <w:sz w:val="26"/>
          <w:szCs w:val="26"/>
        </w:rPr>
        <w:t xml:space="preserve">Second </w:t>
      </w:r>
      <w:r w:rsidRPr="00156FF6">
        <w:rPr>
          <w:sz w:val="26"/>
          <w:szCs w:val="26"/>
        </w:rPr>
        <w:t xml:space="preserve">Long-Term Infrastructure Improvement Plan and manner in which it was filed conforms to the requirements of Act 11 and our </w:t>
      </w:r>
      <w:r w:rsidR="00AB54F0">
        <w:rPr>
          <w:sz w:val="26"/>
          <w:szCs w:val="26"/>
        </w:rPr>
        <w:t>Regulations</w:t>
      </w:r>
      <w:r w:rsidRPr="00156FF6">
        <w:rPr>
          <w:sz w:val="26"/>
          <w:szCs w:val="26"/>
        </w:rPr>
        <w:t xml:space="preserve">.  The plan, as approved herein, is designed to maintain safe, adequate and </w:t>
      </w:r>
      <w:r w:rsidRPr="00156FF6">
        <w:rPr>
          <w:sz w:val="26"/>
          <w:szCs w:val="26"/>
        </w:rPr>
        <w:lastRenderedPageBreak/>
        <w:t xml:space="preserve">reliable service and, as such, </w:t>
      </w:r>
      <w:r>
        <w:rPr>
          <w:sz w:val="26"/>
          <w:szCs w:val="26"/>
        </w:rPr>
        <w:t>PGW</w:t>
      </w:r>
      <w:r w:rsidRPr="00156FF6">
        <w:rPr>
          <w:sz w:val="26"/>
          <w:szCs w:val="26"/>
        </w:rPr>
        <w:t xml:space="preserve"> shall be required to comply with the infrastructure replacement schedule and elements of that plan; </w:t>
      </w:r>
      <w:r w:rsidRPr="00156FF6">
        <w:rPr>
          <w:b/>
          <w:sz w:val="26"/>
          <w:szCs w:val="26"/>
        </w:rPr>
        <w:t>THEREFORE</w:t>
      </w:r>
      <w:r w:rsidR="00BB6DC0">
        <w:rPr>
          <w:b/>
          <w:sz w:val="26"/>
          <w:szCs w:val="26"/>
        </w:rPr>
        <w:t>,</w:t>
      </w:r>
    </w:p>
    <w:p w14:paraId="7D1D3A6C" w14:textId="77777777" w:rsidR="00CA053A" w:rsidRPr="00F54DF8" w:rsidRDefault="00CA053A" w:rsidP="00773D87">
      <w:pPr>
        <w:pStyle w:val="p2"/>
        <w:widowControl/>
        <w:spacing w:line="360" w:lineRule="auto"/>
        <w:rPr>
          <w:b/>
          <w:sz w:val="26"/>
          <w:szCs w:val="26"/>
        </w:rPr>
      </w:pPr>
    </w:p>
    <w:p w14:paraId="655734B2" w14:textId="77777777" w:rsidR="00CA053A" w:rsidRPr="00F54DF8" w:rsidRDefault="00CA053A" w:rsidP="00D24EB4">
      <w:pPr>
        <w:pStyle w:val="p2"/>
        <w:keepNext/>
        <w:widowControl/>
        <w:spacing w:line="360" w:lineRule="auto"/>
        <w:ind w:firstLine="720"/>
        <w:rPr>
          <w:sz w:val="26"/>
          <w:szCs w:val="26"/>
        </w:rPr>
      </w:pPr>
      <w:r w:rsidRPr="00F54DF8">
        <w:rPr>
          <w:b/>
          <w:sz w:val="26"/>
          <w:szCs w:val="26"/>
        </w:rPr>
        <w:t>IT IS ORDERED:</w:t>
      </w:r>
    </w:p>
    <w:p w14:paraId="5D8D8D6B" w14:textId="77777777" w:rsidR="00CA053A" w:rsidRPr="00F54DF8" w:rsidRDefault="00CA053A" w:rsidP="00F939FA">
      <w:pPr>
        <w:pStyle w:val="p2"/>
        <w:keepNext/>
        <w:widowControl/>
        <w:spacing w:line="360" w:lineRule="auto"/>
        <w:ind w:firstLine="1440"/>
        <w:rPr>
          <w:sz w:val="26"/>
          <w:szCs w:val="26"/>
        </w:rPr>
      </w:pPr>
    </w:p>
    <w:p w14:paraId="1A772C46" w14:textId="60E97CDE" w:rsidR="00F54DF8" w:rsidRDefault="00CA053A" w:rsidP="00D24EB4">
      <w:pPr>
        <w:pStyle w:val="p2"/>
        <w:widowControl/>
        <w:spacing w:line="360" w:lineRule="auto"/>
        <w:ind w:firstLine="720"/>
        <w:rPr>
          <w:sz w:val="26"/>
          <w:szCs w:val="26"/>
        </w:rPr>
      </w:pPr>
      <w:r w:rsidRPr="00F54DF8">
        <w:rPr>
          <w:sz w:val="26"/>
          <w:szCs w:val="26"/>
        </w:rPr>
        <w:t>1.</w:t>
      </w:r>
      <w:r w:rsidRPr="00F54DF8">
        <w:rPr>
          <w:sz w:val="26"/>
          <w:szCs w:val="26"/>
        </w:rPr>
        <w:tab/>
        <w:t xml:space="preserve">That the Petition for </w:t>
      </w:r>
      <w:r w:rsidR="00D13E0F" w:rsidRPr="00F54DF8">
        <w:rPr>
          <w:sz w:val="26"/>
          <w:szCs w:val="26"/>
        </w:rPr>
        <w:t>A</w:t>
      </w:r>
      <w:r w:rsidRPr="00F54DF8">
        <w:rPr>
          <w:sz w:val="26"/>
          <w:szCs w:val="26"/>
        </w:rPr>
        <w:t xml:space="preserve">pproval of a </w:t>
      </w:r>
      <w:r w:rsidR="005C591E">
        <w:rPr>
          <w:sz w:val="26"/>
          <w:szCs w:val="26"/>
        </w:rPr>
        <w:t xml:space="preserve">Second </w:t>
      </w:r>
      <w:r w:rsidRPr="00F54DF8">
        <w:rPr>
          <w:sz w:val="26"/>
          <w:szCs w:val="26"/>
        </w:rPr>
        <w:t>Long-Term Infrastructure Improvement Plan filed</w:t>
      </w:r>
      <w:r w:rsidR="00906A22" w:rsidRPr="00F54DF8">
        <w:rPr>
          <w:sz w:val="26"/>
          <w:szCs w:val="26"/>
        </w:rPr>
        <w:t xml:space="preserve"> by Philadelphia Gas Works</w:t>
      </w:r>
      <w:r w:rsidRPr="00F54DF8">
        <w:rPr>
          <w:sz w:val="26"/>
          <w:szCs w:val="26"/>
        </w:rPr>
        <w:t xml:space="preserve"> is approved, consistent with this Order.</w:t>
      </w:r>
      <w:r w:rsidR="00B64D4C" w:rsidRPr="00F54DF8">
        <w:rPr>
          <w:sz w:val="26"/>
          <w:szCs w:val="26"/>
        </w:rPr>
        <w:t xml:space="preserve"> </w:t>
      </w:r>
    </w:p>
    <w:p w14:paraId="7A62169B" w14:textId="063F9A97" w:rsidR="00077D4E" w:rsidRPr="00F54DF8" w:rsidRDefault="00077D4E" w:rsidP="005A6844">
      <w:pPr>
        <w:widowControl/>
        <w:autoSpaceDE/>
        <w:autoSpaceDN/>
        <w:adjustRightInd/>
        <w:ind w:firstLine="720"/>
        <w:rPr>
          <w:sz w:val="26"/>
          <w:szCs w:val="26"/>
        </w:rPr>
      </w:pPr>
      <w:r w:rsidRPr="00077D4E">
        <w:rPr>
          <w:sz w:val="26"/>
          <w:szCs w:val="26"/>
        </w:rPr>
        <w:t>2.</w:t>
      </w:r>
      <w:r w:rsidRPr="00077D4E">
        <w:rPr>
          <w:sz w:val="26"/>
          <w:szCs w:val="26"/>
        </w:rPr>
        <w:tab/>
        <w:t>That the proceeding at Docket No. P-2017-2602315 be closed</w:t>
      </w:r>
      <w:r>
        <w:rPr>
          <w:sz w:val="26"/>
          <w:szCs w:val="26"/>
        </w:rPr>
        <w:t>.</w:t>
      </w:r>
    </w:p>
    <w:p w14:paraId="425214E8" w14:textId="6416F944" w:rsidR="0026228D" w:rsidRDefault="0026228D" w:rsidP="00B12DB4">
      <w:pPr>
        <w:pStyle w:val="p3"/>
        <w:keepLines/>
        <w:widowControl/>
        <w:spacing w:line="360" w:lineRule="auto"/>
        <w:ind w:left="5119"/>
        <w:rPr>
          <w:b/>
          <w:bCs/>
          <w:sz w:val="26"/>
          <w:szCs w:val="26"/>
        </w:rPr>
      </w:pPr>
    </w:p>
    <w:p w14:paraId="6065A05C" w14:textId="77777777" w:rsidR="005A6844" w:rsidRPr="00F54DF8" w:rsidRDefault="005A6844" w:rsidP="00B12DB4">
      <w:pPr>
        <w:pStyle w:val="p3"/>
        <w:keepLines/>
        <w:widowControl/>
        <w:spacing w:line="360" w:lineRule="auto"/>
        <w:ind w:left="5119"/>
        <w:rPr>
          <w:b/>
          <w:bCs/>
          <w:sz w:val="26"/>
          <w:szCs w:val="26"/>
        </w:rPr>
      </w:pPr>
    </w:p>
    <w:p w14:paraId="61F8E6B0" w14:textId="62C97E94" w:rsidR="00906A22" w:rsidRPr="00F54DF8" w:rsidRDefault="00C23585" w:rsidP="0026228D">
      <w:pPr>
        <w:pStyle w:val="p3"/>
        <w:keepLines/>
        <w:widowControl/>
        <w:spacing w:line="360" w:lineRule="auto"/>
        <w:ind w:left="5112"/>
        <w:rPr>
          <w:b/>
          <w:bCs/>
          <w:sz w:val="26"/>
          <w:szCs w:val="26"/>
        </w:rPr>
      </w:pPr>
      <w:r>
        <w:rPr>
          <w:noProof/>
        </w:rPr>
        <w:drawing>
          <wp:anchor distT="0" distB="0" distL="114300" distR="114300" simplePos="0" relativeHeight="251659264" behindDoc="1" locked="0" layoutInCell="1" allowOverlap="1" wp14:anchorId="00ED2B64" wp14:editId="506E453C">
            <wp:simplePos x="0" y="0"/>
            <wp:positionH relativeFrom="column">
              <wp:posOffset>3543300</wp:posOffset>
            </wp:positionH>
            <wp:positionV relativeFrom="paragraph">
              <wp:posOffset>170180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A22" w:rsidRPr="00F54DF8">
        <w:rPr>
          <w:b/>
          <w:bCs/>
          <w:sz w:val="26"/>
          <w:szCs w:val="26"/>
        </w:rPr>
        <w:t>BY THE COMMISSION,</w:t>
      </w:r>
    </w:p>
    <w:p w14:paraId="24B6E90C" w14:textId="1849D051" w:rsidR="00906A22" w:rsidRPr="00F54DF8" w:rsidRDefault="00906A22" w:rsidP="00B12DB4">
      <w:pPr>
        <w:keepLines/>
        <w:widowControl/>
        <w:tabs>
          <w:tab w:val="left" w:pos="5119"/>
        </w:tabs>
        <w:spacing w:line="360" w:lineRule="auto"/>
        <w:rPr>
          <w:bCs/>
          <w:sz w:val="26"/>
          <w:szCs w:val="26"/>
        </w:rPr>
      </w:pPr>
    </w:p>
    <w:p w14:paraId="1817358C" w14:textId="77777777" w:rsidR="00906A22" w:rsidRPr="00F54DF8" w:rsidRDefault="00906A22" w:rsidP="00B12DB4">
      <w:pPr>
        <w:keepLines/>
        <w:widowControl/>
        <w:tabs>
          <w:tab w:val="left" w:pos="5119"/>
        </w:tabs>
        <w:spacing w:line="360" w:lineRule="auto"/>
        <w:rPr>
          <w:bCs/>
          <w:sz w:val="26"/>
          <w:szCs w:val="26"/>
        </w:rPr>
      </w:pPr>
    </w:p>
    <w:p w14:paraId="4D6DFA93" w14:textId="77777777" w:rsidR="00906A22" w:rsidRPr="00F54DF8" w:rsidRDefault="00906A22" w:rsidP="00B12DB4">
      <w:pPr>
        <w:pStyle w:val="p4"/>
        <w:keepLines/>
        <w:widowControl/>
        <w:ind w:left="5130"/>
        <w:rPr>
          <w:sz w:val="26"/>
          <w:szCs w:val="26"/>
        </w:rPr>
      </w:pPr>
      <w:r w:rsidRPr="00F54DF8">
        <w:rPr>
          <w:sz w:val="26"/>
          <w:szCs w:val="26"/>
        </w:rPr>
        <w:tab/>
        <w:t>Rosemary Chiavetta</w:t>
      </w:r>
    </w:p>
    <w:p w14:paraId="0F32B485" w14:textId="77777777" w:rsidR="00906A22" w:rsidRPr="00F54DF8" w:rsidRDefault="00906A22" w:rsidP="00B12DB4">
      <w:pPr>
        <w:pStyle w:val="p4"/>
        <w:keepLines/>
        <w:widowControl/>
        <w:ind w:left="5130"/>
        <w:rPr>
          <w:sz w:val="26"/>
          <w:szCs w:val="26"/>
        </w:rPr>
      </w:pPr>
      <w:r w:rsidRPr="00F54DF8">
        <w:rPr>
          <w:sz w:val="26"/>
          <w:szCs w:val="26"/>
        </w:rPr>
        <w:tab/>
        <w:t>Secretary</w:t>
      </w:r>
    </w:p>
    <w:p w14:paraId="27440100" w14:textId="77777777" w:rsidR="00906A22" w:rsidRPr="00F54DF8" w:rsidRDefault="00906A22" w:rsidP="00B12DB4">
      <w:pPr>
        <w:pStyle w:val="p4"/>
        <w:keepLines/>
        <w:widowControl/>
        <w:ind w:left="5126"/>
        <w:outlineLvl w:val="0"/>
        <w:rPr>
          <w:sz w:val="26"/>
          <w:szCs w:val="26"/>
        </w:rPr>
      </w:pPr>
    </w:p>
    <w:p w14:paraId="76E716B1" w14:textId="77777777" w:rsidR="00906A22" w:rsidRPr="00F54DF8" w:rsidRDefault="00906A22" w:rsidP="00B12DB4">
      <w:pPr>
        <w:pStyle w:val="p1"/>
        <w:keepLines/>
        <w:widowControl/>
        <w:spacing w:line="360" w:lineRule="auto"/>
        <w:ind w:hanging="1054"/>
        <w:rPr>
          <w:sz w:val="26"/>
          <w:szCs w:val="26"/>
        </w:rPr>
      </w:pPr>
    </w:p>
    <w:p w14:paraId="1A5E7F43" w14:textId="77777777" w:rsidR="00906A22" w:rsidRPr="00F54DF8" w:rsidRDefault="00906A22" w:rsidP="00B12DB4">
      <w:pPr>
        <w:pStyle w:val="p1"/>
        <w:keepLines/>
        <w:widowControl/>
        <w:spacing w:line="360" w:lineRule="auto"/>
        <w:ind w:hanging="1054"/>
        <w:rPr>
          <w:sz w:val="26"/>
          <w:szCs w:val="26"/>
        </w:rPr>
      </w:pPr>
      <w:r w:rsidRPr="00F54DF8">
        <w:rPr>
          <w:sz w:val="26"/>
          <w:szCs w:val="26"/>
        </w:rPr>
        <w:t>(SEAL)</w:t>
      </w:r>
    </w:p>
    <w:p w14:paraId="3644E3AA" w14:textId="77777777" w:rsidR="00906A22" w:rsidRPr="00F54DF8" w:rsidRDefault="00906A22" w:rsidP="00B12DB4">
      <w:pPr>
        <w:pStyle w:val="p1"/>
        <w:keepLines/>
        <w:widowControl/>
        <w:spacing w:line="360" w:lineRule="auto"/>
        <w:ind w:hanging="1054"/>
        <w:outlineLvl w:val="0"/>
        <w:rPr>
          <w:sz w:val="26"/>
          <w:szCs w:val="26"/>
        </w:rPr>
      </w:pPr>
      <w:r w:rsidRPr="00F54DF8">
        <w:rPr>
          <w:sz w:val="26"/>
          <w:szCs w:val="26"/>
        </w:rPr>
        <w:t xml:space="preserve">ORDER ADOPTED: </w:t>
      </w:r>
      <w:r w:rsidR="00077D4E">
        <w:rPr>
          <w:sz w:val="26"/>
          <w:szCs w:val="26"/>
        </w:rPr>
        <w:t>August 31, 2017</w:t>
      </w:r>
    </w:p>
    <w:p w14:paraId="0BDEBEB0" w14:textId="0601F2FF" w:rsidR="005E766A" w:rsidRPr="005E766A" w:rsidRDefault="00906A22" w:rsidP="00B12DB4">
      <w:pPr>
        <w:pStyle w:val="p1"/>
        <w:keepLines/>
        <w:widowControl/>
        <w:tabs>
          <w:tab w:val="clear" w:pos="691"/>
          <w:tab w:val="clear" w:pos="1054"/>
          <w:tab w:val="left" w:pos="1440"/>
        </w:tabs>
        <w:spacing w:line="360" w:lineRule="auto"/>
        <w:ind w:hanging="1054"/>
        <w:outlineLvl w:val="0"/>
        <w:rPr>
          <w:sz w:val="26"/>
          <w:szCs w:val="26"/>
        </w:rPr>
      </w:pPr>
      <w:r w:rsidRPr="00F54DF8">
        <w:rPr>
          <w:sz w:val="26"/>
          <w:szCs w:val="26"/>
        </w:rPr>
        <w:t>ORDER ENTERED:</w:t>
      </w:r>
      <w:r>
        <w:rPr>
          <w:sz w:val="26"/>
          <w:szCs w:val="26"/>
        </w:rPr>
        <w:t xml:space="preserve">  </w:t>
      </w:r>
      <w:r w:rsidR="00C23585">
        <w:rPr>
          <w:sz w:val="26"/>
          <w:szCs w:val="26"/>
        </w:rPr>
        <w:t>August 31, 2017</w:t>
      </w:r>
      <w:bookmarkStart w:id="0" w:name="_GoBack"/>
      <w:bookmarkEnd w:id="0"/>
    </w:p>
    <w:sectPr w:rsidR="005E766A" w:rsidRPr="005E766A" w:rsidSect="00C3609D">
      <w:footerReference w:type="even" r:id="rId11"/>
      <w:footerReference w:type="default" r:id="rId12"/>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9EB3" w14:textId="77777777" w:rsidR="00787E44" w:rsidRDefault="00787E44">
      <w:r>
        <w:separator/>
      </w:r>
    </w:p>
  </w:endnote>
  <w:endnote w:type="continuationSeparator" w:id="0">
    <w:p w14:paraId="1A4AABB4" w14:textId="77777777" w:rsidR="00787E44" w:rsidRDefault="0078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3632" w14:textId="77777777" w:rsidR="00AF2028" w:rsidRDefault="00AF2028"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6F4BA" w14:textId="77777777" w:rsidR="00AF2028" w:rsidRDefault="00AF2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6885" w14:textId="479851E6" w:rsidR="00AF2028" w:rsidRDefault="00AF2028"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3585">
      <w:rPr>
        <w:rStyle w:val="PageNumber"/>
        <w:noProof/>
      </w:rPr>
      <w:t>18</w:t>
    </w:r>
    <w:r>
      <w:rPr>
        <w:rStyle w:val="PageNumber"/>
      </w:rPr>
      <w:fldChar w:fldCharType="end"/>
    </w:r>
  </w:p>
  <w:p w14:paraId="5BE27E2C" w14:textId="77777777" w:rsidR="00AF2028" w:rsidRDefault="00AF2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270E1" w14:textId="77777777" w:rsidR="00787E44" w:rsidRDefault="00787E44">
      <w:r>
        <w:separator/>
      </w:r>
    </w:p>
  </w:footnote>
  <w:footnote w:type="continuationSeparator" w:id="0">
    <w:p w14:paraId="14E4F6AD" w14:textId="77777777" w:rsidR="00787E44" w:rsidRDefault="00787E44">
      <w:r>
        <w:continuationSeparator/>
      </w:r>
    </w:p>
  </w:footnote>
  <w:footnote w:id="1">
    <w:p w14:paraId="3BA61BB8" w14:textId="77777777" w:rsidR="00AF2028" w:rsidRDefault="00AF2028">
      <w:pPr>
        <w:pStyle w:val="FootnoteText"/>
      </w:pPr>
      <w:r>
        <w:rPr>
          <w:rStyle w:val="FootnoteReference"/>
        </w:rPr>
        <w:footnoteRef/>
      </w:r>
      <w:r>
        <w:t xml:space="preserve"> Docket No. R-2017-2586783.</w:t>
      </w:r>
    </w:p>
  </w:footnote>
  <w:footnote w:id="2">
    <w:p w14:paraId="6E822ECB" w14:textId="5E970625" w:rsidR="00AF2028" w:rsidRDefault="00AF2028">
      <w:pPr>
        <w:pStyle w:val="FootnoteText"/>
      </w:pPr>
      <w:r>
        <w:rPr>
          <w:rStyle w:val="FootnoteReference"/>
        </w:rPr>
        <w:footnoteRef/>
      </w:r>
      <w:r>
        <w:t xml:space="preserve"> </w:t>
      </w:r>
      <w:r w:rsidRPr="0058461D">
        <w:rPr>
          <w:i/>
        </w:rPr>
        <w:t xml:space="preserve">See </w:t>
      </w:r>
      <w:r>
        <w:t>Docket No. P-2015-</w:t>
      </w:r>
      <w:r w:rsidRPr="003B7BFC">
        <w:t>2501500</w:t>
      </w:r>
      <w:r>
        <w:t>.</w:t>
      </w:r>
    </w:p>
  </w:footnote>
  <w:footnote w:id="3">
    <w:p w14:paraId="0ABADDC2" w14:textId="4CEA96A3" w:rsidR="00AF2028" w:rsidRDefault="00AF2028">
      <w:pPr>
        <w:pStyle w:val="FootnoteText"/>
      </w:pPr>
      <w:r>
        <w:rPr>
          <w:rStyle w:val="FootnoteReference"/>
        </w:rPr>
        <w:footnoteRef/>
      </w:r>
      <w:r>
        <w:t xml:space="preserve"> </w:t>
      </w:r>
      <w:r w:rsidRPr="0058461D">
        <w:rPr>
          <w:i/>
        </w:rPr>
        <w:t xml:space="preserve">See </w:t>
      </w:r>
      <w:r>
        <w:t>52 Pa. Code § 121.5(a).</w:t>
      </w:r>
    </w:p>
  </w:footnote>
  <w:footnote w:id="4">
    <w:p w14:paraId="1B67773C" w14:textId="77777777" w:rsidR="00AF2028" w:rsidRPr="00FF188F" w:rsidRDefault="00AF2028" w:rsidP="008A3493">
      <w:pPr>
        <w:pStyle w:val="FootnoteText"/>
        <w:spacing w:after="120"/>
        <w:rPr>
          <w:sz w:val="22"/>
          <w:szCs w:val="22"/>
        </w:rPr>
      </w:pPr>
      <w:r w:rsidRPr="00FF188F">
        <w:rPr>
          <w:rStyle w:val="FootnoteReference"/>
          <w:sz w:val="22"/>
          <w:szCs w:val="22"/>
        </w:rPr>
        <w:footnoteRef/>
      </w:r>
      <w:r w:rsidRPr="00FF188F">
        <w:rPr>
          <w:sz w:val="22"/>
          <w:szCs w:val="22"/>
        </w:rPr>
        <w:t xml:space="preserve">  </w:t>
      </w:r>
      <w:hyperlink r:id="rId1" w:history="1">
        <w:r w:rsidRPr="00FF188F">
          <w:rPr>
            <w:rStyle w:val="Hyperlink"/>
            <w:sz w:val="22"/>
            <w:szCs w:val="22"/>
          </w:rPr>
          <w:t>http://www.legis.state.pa.us/WU01/LI/LI/US/HTM/2012/0/0011..HTM</w:t>
        </w:r>
      </w:hyperlink>
      <w:r w:rsidRPr="00FF188F">
        <w:rPr>
          <w:sz w:val="22"/>
          <w:szCs w:val="22"/>
        </w:rPr>
        <w:t>.</w:t>
      </w:r>
    </w:p>
  </w:footnote>
  <w:footnote w:id="5">
    <w:p w14:paraId="6F205166" w14:textId="37EBD522" w:rsidR="00AF2028" w:rsidRDefault="00AF2028">
      <w:pPr>
        <w:pStyle w:val="FootnoteText"/>
      </w:pPr>
      <w:r>
        <w:rPr>
          <w:rStyle w:val="FootnoteReference"/>
        </w:rPr>
        <w:footnoteRef/>
      </w:r>
      <w:r>
        <w:t xml:space="preserve"> </w:t>
      </w:r>
      <w:r w:rsidRPr="00C01398">
        <w:rPr>
          <w:i/>
        </w:rPr>
        <w:t xml:space="preserve">See </w:t>
      </w:r>
      <w:r>
        <w:t>52 Pa. Code § 121.3.</w:t>
      </w:r>
    </w:p>
  </w:footnote>
  <w:footnote w:id="6">
    <w:p w14:paraId="19651453" w14:textId="244AD44E" w:rsidR="00AF2028" w:rsidRDefault="00AF2028" w:rsidP="00D96C62">
      <w:pPr>
        <w:pStyle w:val="FootnoteText"/>
      </w:pPr>
      <w:r>
        <w:rPr>
          <w:rStyle w:val="FootnoteReference"/>
        </w:rPr>
        <w:footnoteRef/>
      </w:r>
      <w:r>
        <w:t xml:space="preserve"> </w:t>
      </w:r>
      <w:r w:rsidRPr="0058461D">
        <w:rPr>
          <w:i/>
        </w:rPr>
        <w:t xml:space="preserve">See </w:t>
      </w:r>
      <w:r>
        <w:rPr>
          <w:i/>
        </w:rPr>
        <w:t xml:space="preserve">Petition of Philadelphia Gas Works for Approval of its Long-Term Infrastructure Plan, </w:t>
      </w:r>
      <w:r>
        <w:t xml:space="preserve">Order entered April 4, 2013, at Docket No. </w:t>
      </w:r>
      <w:r w:rsidRPr="00322292">
        <w:t>P-2012-2337737.</w:t>
      </w:r>
    </w:p>
  </w:footnote>
  <w:footnote w:id="7">
    <w:p w14:paraId="061A3D8D" w14:textId="56151A26" w:rsidR="00AF2028" w:rsidRDefault="00AF2028">
      <w:pPr>
        <w:pStyle w:val="FootnoteText"/>
      </w:pPr>
      <w:r>
        <w:rPr>
          <w:rStyle w:val="FootnoteReference"/>
        </w:rPr>
        <w:footnoteRef/>
      </w:r>
      <w:r>
        <w:t xml:space="preserve"> </w:t>
      </w:r>
      <w:r w:rsidRPr="00BA0A10">
        <w:rPr>
          <w:i/>
        </w:rPr>
        <w:t>See Petition of Philadelphia Gas Works for Approval of a Distribution System Improvement Charge</w:t>
      </w:r>
      <w:r>
        <w:t xml:space="preserve">, Order entered May 9, 2013 at Docket No. P-2012-2337737.  </w:t>
      </w:r>
    </w:p>
  </w:footnote>
  <w:footnote w:id="8">
    <w:p w14:paraId="5234C64C" w14:textId="6C576DAE" w:rsidR="00AF2028" w:rsidRDefault="00AF2028">
      <w:pPr>
        <w:pStyle w:val="FootnoteText"/>
      </w:pPr>
      <w:r>
        <w:rPr>
          <w:rStyle w:val="FootnoteReference"/>
        </w:rPr>
        <w:footnoteRef/>
      </w:r>
      <w:r>
        <w:t xml:space="preserve"> </w:t>
      </w:r>
      <w:r w:rsidRPr="00E377E0">
        <w:rPr>
          <w:i/>
        </w:rPr>
        <w:t>See</w:t>
      </w:r>
      <w:r>
        <w:t xml:space="preserve"> Docket No. P-2015-2501500.</w:t>
      </w:r>
    </w:p>
  </w:footnote>
  <w:footnote w:id="9">
    <w:p w14:paraId="33D12C84" w14:textId="50CE8451" w:rsidR="00AF2028" w:rsidRDefault="00AF2028" w:rsidP="00D96C62">
      <w:pPr>
        <w:pStyle w:val="FootnoteText"/>
      </w:pPr>
      <w:r>
        <w:rPr>
          <w:rStyle w:val="FootnoteReference"/>
        </w:rPr>
        <w:footnoteRef/>
      </w:r>
      <w:r>
        <w:t xml:space="preserve"> </w:t>
      </w:r>
      <w:r w:rsidRPr="0058461D">
        <w:rPr>
          <w:i/>
        </w:rPr>
        <w:t>See</w:t>
      </w:r>
      <w:r>
        <w:t xml:space="preserve"> </w:t>
      </w:r>
      <w:r w:rsidRPr="009B3022">
        <w:rPr>
          <w:i/>
        </w:rPr>
        <w:t xml:space="preserve">Petition of Philadelphia Gas Works </w:t>
      </w:r>
      <w:r>
        <w:rPr>
          <w:i/>
        </w:rPr>
        <w:t>for Approval of a Modified</w:t>
      </w:r>
      <w:r w:rsidRPr="009B3022">
        <w:rPr>
          <w:i/>
        </w:rPr>
        <w:t xml:space="preserve"> Long-Term Infrastructure Improvement Plan</w:t>
      </w:r>
      <w:r>
        <w:t>, Order entered June 9, 2016, at Docket No. P-2015-2501500.</w:t>
      </w:r>
    </w:p>
  </w:footnote>
  <w:footnote w:id="10">
    <w:p w14:paraId="6B55FAE2" w14:textId="77777777" w:rsidR="00AF2028" w:rsidRDefault="00AF2028">
      <w:pPr>
        <w:pStyle w:val="FootnoteText"/>
      </w:pPr>
      <w:r>
        <w:rPr>
          <w:rStyle w:val="FootnoteReference"/>
        </w:rPr>
        <w:footnoteRef/>
      </w:r>
      <w:r>
        <w:t xml:space="preserve"> </w:t>
      </w:r>
      <w:r w:rsidRPr="00497291">
        <w:rPr>
          <w:i/>
        </w:rPr>
        <w:t>See also</w:t>
      </w:r>
      <w:r w:rsidRPr="00497291">
        <w:t xml:space="preserve"> 66 Pa. C.S. </w:t>
      </w:r>
      <w:r w:rsidRPr="00497291">
        <w:rPr>
          <w:iCs/>
        </w:rPr>
        <w:t xml:space="preserve">§ 2212, relating to city natural gas distribution operations. </w:t>
      </w:r>
      <w:r w:rsidRPr="00497291">
        <w:t xml:space="preserve"> </w:t>
      </w:r>
    </w:p>
  </w:footnote>
  <w:footnote w:id="11">
    <w:p w14:paraId="31976697" w14:textId="5828306E" w:rsidR="00AF2028" w:rsidRPr="00C01398" w:rsidRDefault="00AF2028" w:rsidP="00497291">
      <w:pPr>
        <w:pStyle w:val="FootnoteText"/>
        <w:rPr>
          <w:szCs w:val="22"/>
        </w:rPr>
      </w:pPr>
      <w:r w:rsidRPr="00F73DF5">
        <w:rPr>
          <w:rStyle w:val="FootnoteReference"/>
          <w:sz w:val="22"/>
          <w:szCs w:val="22"/>
        </w:rPr>
        <w:footnoteRef/>
      </w:r>
      <w:r>
        <w:rPr>
          <w:sz w:val="22"/>
          <w:szCs w:val="22"/>
        </w:rPr>
        <w:t xml:space="preserve"> </w:t>
      </w:r>
      <w:r w:rsidRPr="00C01398">
        <w:rPr>
          <w:szCs w:val="22"/>
        </w:rPr>
        <w:t>PGW owns and operates all the service lines from the mains to the meters.  There are no customer-owned service lines in the PGW territory.  Service lines are also referred to as services.</w:t>
      </w:r>
    </w:p>
  </w:footnote>
  <w:footnote w:id="12">
    <w:p w14:paraId="0A14D4B2" w14:textId="77777777" w:rsidR="00AF2028" w:rsidRDefault="00AF2028">
      <w:pPr>
        <w:pStyle w:val="FootnoteText"/>
      </w:pPr>
      <w:r>
        <w:rPr>
          <w:rStyle w:val="FootnoteReference"/>
        </w:rPr>
        <w:footnoteRef/>
      </w:r>
      <w:r>
        <w:t xml:space="preserve"> </w:t>
      </w:r>
      <w:r w:rsidRPr="00BB6DC0">
        <w:rPr>
          <w:i/>
        </w:rPr>
        <w:t>See</w:t>
      </w:r>
      <w:r>
        <w:t xml:space="preserve"> Docket Nos. </w:t>
      </w:r>
      <w:r w:rsidRPr="00786003">
        <w:t>M-2014-2417231</w:t>
      </w:r>
      <w:r>
        <w:t xml:space="preserve">, </w:t>
      </w:r>
      <w:r w:rsidRPr="00786003">
        <w:t>M-2015-2484331</w:t>
      </w:r>
      <w:r>
        <w:t xml:space="preserve">, </w:t>
      </w:r>
      <w:r w:rsidRPr="00786003">
        <w:t>M-2015-2518294</w:t>
      </w:r>
      <w:r>
        <w:t xml:space="preserve">, and </w:t>
      </w:r>
      <w:r w:rsidRPr="00786003">
        <w:t>M-2016-2573637</w:t>
      </w:r>
      <w:r>
        <w:t>.</w:t>
      </w:r>
    </w:p>
  </w:footnote>
  <w:footnote w:id="13">
    <w:p w14:paraId="5C3060C4" w14:textId="050E35A9" w:rsidR="00AF2028" w:rsidRDefault="00AF2028">
      <w:pPr>
        <w:pStyle w:val="FootnoteText"/>
      </w:pPr>
      <w:r>
        <w:rPr>
          <w:rStyle w:val="FootnoteReference"/>
        </w:rPr>
        <w:footnoteRef/>
      </w:r>
      <w:r>
        <w:t xml:space="preserve"> </w:t>
      </w:r>
      <w:r w:rsidRPr="00BB6DC0">
        <w:rPr>
          <w:i/>
        </w:rPr>
        <w:t xml:space="preserve">See </w:t>
      </w:r>
      <w:r w:rsidRPr="00497291">
        <w:t xml:space="preserve">Appendix A of PGW’s </w:t>
      </w:r>
      <w:r w:rsidRPr="00BB6DC0">
        <w:rPr>
          <w:i/>
        </w:rPr>
        <w:t>Petition for Modification of Long-Term Infrastructure Improvement Plan</w:t>
      </w:r>
      <w:r>
        <w:t>, filed on February 12, 2016, at Docket No. P</w:t>
      </w:r>
      <w:r>
        <w:noBreakHyphen/>
        <w:t>2012</w:t>
      </w:r>
      <w:r>
        <w:noBreakHyphen/>
        <w:t>2337737.</w:t>
      </w:r>
    </w:p>
  </w:footnote>
  <w:footnote w:id="14">
    <w:p w14:paraId="2776FFED" w14:textId="23862DFC" w:rsidR="00AF2028" w:rsidRDefault="00AF2028">
      <w:pPr>
        <w:pStyle w:val="FootnoteText"/>
      </w:pPr>
      <w:r>
        <w:rPr>
          <w:rStyle w:val="FootnoteReference"/>
        </w:rPr>
        <w:footnoteRef/>
      </w:r>
      <w:r>
        <w:t xml:space="preserve"> psig – Pounds per square inch gauge.  This is a measure of pressure relative to atmospheric pressure.</w:t>
      </w:r>
    </w:p>
  </w:footnote>
  <w:footnote w:id="15">
    <w:p w14:paraId="6021B1E6" w14:textId="43E368B2" w:rsidR="00AF2028" w:rsidRDefault="00AF2028">
      <w:pPr>
        <w:pStyle w:val="FootnoteText"/>
      </w:pPr>
      <w:r>
        <w:rPr>
          <w:rStyle w:val="FootnoteReference"/>
        </w:rPr>
        <w:footnoteRef/>
      </w:r>
      <w:r>
        <w:t xml:space="preserve"> WC – Inches of Water Column.  This is a unit of pressure used to measure low pressures.  27.7 WC is approximately equal to 1 psi (pound per square inch).</w:t>
      </w:r>
    </w:p>
  </w:footnote>
  <w:footnote w:id="16">
    <w:p w14:paraId="049EBD80" w14:textId="235ABA03" w:rsidR="00AF2028" w:rsidRDefault="00AF2028">
      <w:pPr>
        <w:pStyle w:val="FootnoteText"/>
      </w:pPr>
      <w:r>
        <w:rPr>
          <w:rStyle w:val="FootnoteReference"/>
        </w:rPr>
        <w:footnoteRef/>
      </w:r>
      <w:r>
        <w:t xml:space="preserve"> </w:t>
      </w:r>
      <w:r w:rsidRPr="000F7388">
        <w:rPr>
          <w:i/>
        </w:rPr>
        <w:t>See</w:t>
      </w:r>
      <w:r>
        <w:t xml:space="preserve"> Docket No. P-2015-250150.</w:t>
      </w:r>
    </w:p>
  </w:footnote>
  <w:footnote w:id="17">
    <w:p w14:paraId="75B26AE3" w14:textId="2F2950AE" w:rsidR="00AF2028" w:rsidRDefault="00AF2028">
      <w:pPr>
        <w:pStyle w:val="FootnoteText"/>
      </w:pPr>
      <w:r>
        <w:rPr>
          <w:rStyle w:val="FootnoteReference"/>
        </w:rPr>
        <w:footnoteRef/>
      </w:r>
      <w:r>
        <w:t xml:space="preserve"> </w:t>
      </w:r>
      <w:r w:rsidRPr="00322292">
        <w:rPr>
          <w:i/>
        </w:rPr>
        <w:t>See</w:t>
      </w:r>
      <w:r w:rsidRPr="00322292">
        <w:t xml:space="preserve"> </w:t>
      </w:r>
      <w:r w:rsidRPr="00322292">
        <w:rPr>
          <w:i/>
        </w:rPr>
        <w:t>Petition of Philadelphia Gas Works for Approval of Its Long Term Infrastructure Improvement Plan</w:t>
      </w:r>
      <w:r w:rsidRPr="00322292">
        <w:t>, Order entered April 4, 2013, at Docket No. P-2012-2337737.</w:t>
      </w:r>
    </w:p>
  </w:footnote>
  <w:footnote w:id="18">
    <w:p w14:paraId="4D1D9D06" w14:textId="11209A55" w:rsidR="00AF2028" w:rsidRDefault="00AF2028">
      <w:pPr>
        <w:pStyle w:val="FootnoteText"/>
      </w:pPr>
      <w:r>
        <w:rPr>
          <w:rStyle w:val="FootnoteReference"/>
        </w:rPr>
        <w:footnoteRef/>
      </w:r>
      <w:r>
        <w:t xml:space="preserve"> </w:t>
      </w:r>
      <w:r w:rsidRPr="001E5C20">
        <w:rPr>
          <w:i/>
        </w:rPr>
        <w:t>See</w:t>
      </w:r>
      <w:r>
        <w:t xml:space="preserve"> </w:t>
      </w:r>
      <w:r w:rsidRPr="00935B3A">
        <w:t>49 CFR 192 Subpart N</w:t>
      </w:r>
      <w:r>
        <w:t xml:space="preserve">. </w:t>
      </w:r>
    </w:p>
  </w:footnote>
  <w:footnote w:id="19">
    <w:p w14:paraId="6F2778A2" w14:textId="06A78674" w:rsidR="00AF2028" w:rsidRDefault="00AF2028">
      <w:pPr>
        <w:pStyle w:val="FootnoteText"/>
      </w:pPr>
      <w:r>
        <w:rPr>
          <w:rStyle w:val="FootnoteReference"/>
        </w:rPr>
        <w:footnoteRef/>
      </w:r>
      <w:r>
        <w:t xml:space="preserve"> </w:t>
      </w:r>
      <w:r w:rsidRPr="00AB54F0">
        <w:rPr>
          <w:i/>
        </w:rPr>
        <w:t xml:space="preserve">See </w:t>
      </w:r>
      <w:r>
        <w:t>52 Pa. Code § 121.4(e).</w:t>
      </w:r>
    </w:p>
  </w:footnote>
  <w:footnote w:id="20">
    <w:p w14:paraId="37D3F46D" w14:textId="11B9BE24" w:rsidR="001A7EAA" w:rsidRDefault="001A7EAA">
      <w:pPr>
        <w:pStyle w:val="FootnoteText"/>
      </w:pPr>
      <w:r>
        <w:rPr>
          <w:rStyle w:val="FootnoteReference"/>
        </w:rPr>
        <w:footnoteRef/>
      </w:r>
      <w:r>
        <w:t xml:space="preserve"> </w:t>
      </w:r>
      <w:r w:rsidRPr="00AB54F0">
        <w:rPr>
          <w:i/>
        </w:rPr>
        <w:t xml:space="preserve">See </w:t>
      </w:r>
      <w:r>
        <w:t>52 Pa. Code § 121.4(d).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15:restartNumberingAfterBreak="0">
    <w:nsid w:val="0BD76825"/>
    <w:multiLevelType w:val="hybridMultilevel"/>
    <w:tmpl w:val="424A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3"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 w15:restartNumberingAfterBreak="0">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9A3A9D"/>
    <w:multiLevelType w:val="hybridMultilevel"/>
    <w:tmpl w:val="CBAAD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9" w15:restartNumberingAfterBreak="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0" w15:restartNumberingAfterBreak="0">
    <w:nsid w:val="2CE929DC"/>
    <w:multiLevelType w:val="hybridMultilevel"/>
    <w:tmpl w:val="50FAD966"/>
    <w:lvl w:ilvl="0" w:tplc="04090001">
      <w:start w:val="1"/>
      <w:numFmt w:val="bullet"/>
      <w:lvlText w:val=""/>
      <w:lvlJc w:val="left"/>
      <w:pPr>
        <w:ind w:left="2070" w:hanging="360"/>
      </w:pPr>
      <w:rPr>
        <w:rFonts w:ascii="Symbol" w:hAnsi="Symbol"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2" w15:restartNumberingAfterBreak="0">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4" w15:restartNumberingAfterBreak="0">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6" w15:restartNumberingAfterBreak="0">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BE59F5"/>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F508AB"/>
    <w:multiLevelType w:val="hybridMultilevel"/>
    <w:tmpl w:val="72EE8396"/>
    <w:lvl w:ilvl="0" w:tplc="04090015">
      <w:start w:val="1"/>
      <w:numFmt w:val="upp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2"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3" w15:restartNumberingAfterBreak="0">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5" w15:restartNumberingAfterBreak="0">
    <w:nsid w:val="54742002"/>
    <w:multiLevelType w:val="hybridMultilevel"/>
    <w:tmpl w:val="AC2CA838"/>
    <w:lvl w:ilvl="0" w:tplc="60D079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7" w15:restartNumberingAfterBreak="0">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9" w15:restartNumberingAfterBreak="0">
    <w:nsid w:val="61F5391E"/>
    <w:multiLevelType w:val="hybridMultilevel"/>
    <w:tmpl w:val="D808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4"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35" w15:restartNumberingAfterBreak="0">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34"/>
  </w:num>
  <w:num w:numId="3">
    <w:abstractNumId w:val="3"/>
  </w:num>
  <w:num w:numId="4">
    <w:abstractNumId w:val="12"/>
  </w:num>
  <w:num w:numId="5">
    <w:abstractNumId w:val="8"/>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0"/>
  </w:num>
  <w:num w:numId="10">
    <w:abstractNumId w:val="6"/>
  </w:num>
  <w:num w:numId="11">
    <w:abstractNumId w:val="28"/>
  </w:num>
  <w:num w:numId="12">
    <w:abstractNumId w:val="21"/>
  </w:num>
  <w:num w:numId="13">
    <w:abstractNumId w:val="11"/>
  </w:num>
  <w:num w:numId="14">
    <w:abstractNumId w:val="26"/>
  </w:num>
  <w:num w:numId="15">
    <w:abstractNumId w:val="24"/>
  </w:num>
  <w:num w:numId="16">
    <w:abstractNumId w:val="7"/>
  </w:num>
  <w:num w:numId="17">
    <w:abstractNumId w:val="14"/>
  </w:num>
  <w:num w:numId="18">
    <w:abstractNumId w:val="18"/>
  </w:num>
  <w:num w:numId="19">
    <w:abstractNumId w:val="33"/>
  </w:num>
  <w:num w:numId="20">
    <w:abstractNumId w:val="32"/>
  </w:num>
  <w:num w:numId="21">
    <w:abstractNumId w:val="31"/>
  </w:num>
  <w:num w:numId="22">
    <w:abstractNumId w:val="27"/>
  </w:num>
  <w:num w:numId="23">
    <w:abstractNumId w:val="13"/>
  </w:num>
  <w:num w:numId="24">
    <w:abstractNumId w:val="16"/>
  </w:num>
  <w:num w:numId="25">
    <w:abstractNumId w:val="4"/>
  </w:num>
  <w:num w:numId="26">
    <w:abstractNumId w:val="30"/>
  </w:num>
  <w:num w:numId="27">
    <w:abstractNumId w:val="20"/>
  </w:num>
  <w:num w:numId="28">
    <w:abstractNumId w:val="19"/>
  </w:num>
  <w:num w:numId="29">
    <w:abstractNumId w:val="23"/>
  </w:num>
  <w:num w:numId="30">
    <w:abstractNumId w:val="35"/>
  </w:num>
  <w:num w:numId="31">
    <w:abstractNumId w:val="15"/>
  </w:num>
  <w:num w:numId="32">
    <w:abstractNumId w:val="25"/>
  </w:num>
  <w:num w:numId="33">
    <w:abstractNumId w:val="17"/>
  </w:num>
  <w:num w:numId="34">
    <w:abstractNumId w:val="5"/>
  </w:num>
  <w:num w:numId="35">
    <w:abstractNumId w:val="10"/>
  </w:num>
  <w:num w:numId="36">
    <w:abstractNumId w:val="2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BE"/>
    <w:rsid w:val="00001E82"/>
    <w:rsid w:val="00002AFC"/>
    <w:rsid w:val="00003918"/>
    <w:rsid w:val="00006037"/>
    <w:rsid w:val="00006A83"/>
    <w:rsid w:val="00006C68"/>
    <w:rsid w:val="00007CE4"/>
    <w:rsid w:val="00007E6E"/>
    <w:rsid w:val="00010BA9"/>
    <w:rsid w:val="00011618"/>
    <w:rsid w:val="000126E6"/>
    <w:rsid w:val="000135A8"/>
    <w:rsid w:val="00013B7C"/>
    <w:rsid w:val="00014232"/>
    <w:rsid w:val="00014A54"/>
    <w:rsid w:val="00014BCA"/>
    <w:rsid w:val="00015C34"/>
    <w:rsid w:val="0001600A"/>
    <w:rsid w:val="000224A8"/>
    <w:rsid w:val="00022D58"/>
    <w:rsid w:val="00023786"/>
    <w:rsid w:val="0002577D"/>
    <w:rsid w:val="00025CE7"/>
    <w:rsid w:val="000300FC"/>
    <w:rsid w:val="000307F7"/>
    <w:rsid w:val="00030B5C"/>
    <w:rsid w:val="00031D59"/>
    <w:rsid w:val="0003286B"/>
    <w:rsid w:val="00034D98"/>
    <w:rsid w:val="000352F7"/>
    <w:rsid w:val="0003776F"/>
    <w:rsid w:val="00040238"/>
    <w:rsid w:val="00042915"/>
    <w:rsid w:val="00042B3E"/>
    <w:rsid w:val="000433F6"/>
    <w:rsid w:val="00043710"/>
    <w:rsid w:val="00044222"/>
    <w:rsid w:val="00045FA6"/>
    <w:rsid w:val="00047893"/>
    <w:rsid w:val="00047F44"/>
    <w:rsid w:val="0005014D"/>
    <w:rsid w:val="000506FF"/>
    <w:rsid w:val="000507D0"/>
    <w:rsid w:val="0005141B"/>
    <w:rsid w:val="00051D78"/>
    <w:rsid w:val="00051DC4"/>
    <w:rsid w:val="00051EF5"/>
    <w:rsid w:val="00052D94"/>
    <w:rsid w:val="000538E9"/>
    <w:rsid w:val="00056414"/>
    <w:rsid w:val="00056B84"/>
    <w:rsid w:val="00057656"/>
    <w:rsid w:val="00060580"/>
    <w:rsid w:val="000612D5"/>
    <w:rsid w:val="00061E14"/>
    <w:rsid w:val="0006307D"/>
    <w:rsid w:val="00063F64"/>
    <w:rsid w:val="00064B17"/>
    <w:rsid w:val="00064B8F"/>
    <w:rsid w:val="00064C8B"/>
    <w:rsid w:val="00064D01"/>
    <w:rsid w:val="00066B0C"/>
    <w:rsid w:val="00066CE3"/>
    <w:rsid w:val="000672F9"/>
    <w:rsid w:val="00067314"/>
    <w:rsid w:val="00067F30"/>
    <w:rsid w:val="000701DF"/>
    <w:rsid w:val="00071DD1"/>
    <w:rsid w:val="00074F36"/>
    <w:rsid w:val="000752AB"/>
    <w:rsid w:val="00077046"/>
    <w:rsid w:val="00077670"/>
    <w:rsid w:val="00077D4E"/>
    <w:rsid w:val="00081E5A"/>
    <w:rsid w:val="00083000"/>
    <w:rsid w:val="00084151"/>
    <w:rsid w:val="00085F29"/>
    <w:rsid w:val="000861C0"/>
    <w:rsid w:val="00086950"/>
    <w:rsid w:val="00086E71"/>
    <w:rsid w:val="00091C48"/>
    <w:rsid w:val="00092DCA"/>
    <w:rsid w:val="00094B8C"/>
    <w:rsid w:val="00096608"/>
    <w:rsid w:val="00096728"/>
    <w:rsid w:val="00096965"/>
    <w:rsid w:val="00096BE8"/>
    <w:rsid w:val="00096F52"/>
    <w:rsid w:val="000A0817"/>
    <w:rsid w:val="000A1A09"/>
    <w:rsid w:val="000A2D1E"/>
    <w:rsid w:val="000A443C"/>
    <w:rsid w:val="000A4AF8"/>
    <w:rsid w:val="000A4F8F"/>
    <w:rsid w:val="000A59E5"/>
    <w:rsid w:val="000A7E13"/>
    <w:rsid w:val="000B1589"/>
    <w:rsid w:val="000B2021"/>
    <w:rsid w:val="000B275D"/>
    <w:rsid w:val="000B2AAE"/>
    <w:rsid w:val="000B2E85"/>
    <w:rsid w:val="000B32B3"/>
    <w:rsid w:val="000B3797"/>
    <w:rsid w:val="000B3C32"/>
    <w:rsid w:val="000B455E"/>
    <w:rsid w:val="000B6632"/>
    <w:rsid w:val="000B6731"/>
    <w:rsid w:val="000C02DF"/>
    <w:rsid w:val="000C0E4B"/>
    <w:rsid w:val="000C3415"/>
    <w:rsid w:val="000C37B5"/>
    <w:rsid w:val="000C4495"/>
    <w:rsid w:val="000C6069"/>
    <w:rsid w:val="000C63F8"/>
    <w:rsid w:val="000C78D7"/>
    <w:rsid w:val="000D09A1"/>
    <w:rsid w:val="000D0D34"/>
    <w:rsid w:val="000D3D30"/>
    <w:rsid w:val="000D5267"/>
    <w:rsid w:val="000D65CE"/>
    <w:rsid w:val="000E0D52"/>
    <w:rsid w:val="000E1005"/>
    <w:rsid w:val="000E2808"/>
    <w:rsid w:val="000E3639"/>
    <w:rsid w:val="000E4460"/>
    <w:rsid w:val="000E4A80"/>
    <w:rsid w:val="000E4D1B"/>
    <w:rsid w:val="000E569C"/>
    <w:rsid w:val="000E73A5"/>
    <w:rsid w:val="000E7515"/>
    <w:rsid w:val="000F0E18"/>
    <w:rsid w:val="000F2AE1"/>
    <w:rsid w:val="000F3BEC"/>
    <w:rsid w:val="000F49C4"/>
    <w:rsid w:val="000F5E3D"/>
    <w:rsid w:val="000F6B05"/>
    <w:rsid w:val="000F7388"/>
    <w:rsid w:val="000F7A83"/>
    <w:rsid w:val="001013E1"/>
    <w:rsid w:val="00101493"/>
    <w:rsid w:val="001046E7"/>
    <w:rsid w:val="0010559E"/>
    <w:rsid w:val="00106645"/>
    <w:rsid w:val="0011066C"/>
    <w:rsid w:val="00110689"/>
    <w:rsid w:val="0011079C"/>
    <w:rsid w:val="0011159F"/>
    <w:rsid w:val="0011254C"/>
    <w:rsid w:val="00115A7D"/>
    <w:rsid w:val="00117195"/>
    <w:rsid w:val="001202B5"/>
    <w:rsid w:val="00121D63"/>
    <w:rsid w:val="00124317"/>
    <w:rsid w:val="0012516E"/>
    <w:rsid w:val="00125234"/>
    <w:rsid w:val="00126ABE"/>
    <w:rsid w:val="00126D2A"/>
    <w:rsid w:val="00127A27"/>
    <w:rsid w:val="001303A1"/>
    <w:rsid w:val="0013395B"/>
    <w:rsid w:val="00135912"/>
    <w:rsid w:val="001365B6"/>
    <w:rsid w:val="00137EE2"/>
    <w:rsid w:val="00140A11"/>
    <w:rsid w:val="001414CA"/>
    <w:rsid w:val="00143E69"/>
    <w:rsid w:val="00144489"/>
    <w:rsid w:val="00146BB7"/>
    <w:rsid w:val="00147BB9"/>
    <w:rsid w:val="00147E73"/>
    <w:rsid w:val="00152A7D"/>
    <w:rsid w:val="00153ADE"/>
    <w:rsid w:val="001541F1"/>
    <w:rsid w:val="00154A19"/>
    <w:rsid w:val="001552C3"/>
    <w:rsid w:val="00156F52"/>
    <w:rsid w:val="00156FF6"/>
    <w:rsid w:val="00163B04"/>
    <w:rsid w:val="00164352"/>
    <w:rsid w:val="00164BAB"/>
    <w:rsid w:val="00165F87"/>
    <w:rsid w:val="001669B4"/>
    <w:rsid w:val="00173542"/>
    <w:rsid w:val="00173637"/>
    <w:rsid w:val="001736D6"/>
    <w:rsid w:val="00173AA7"/>
    <w:rsid w:val="00174523"/>
    <w:rsid w:val="00174685"/>
    <w:rsid w:val="00174796"/>
    <w:rsid w:val="00174DC7"/>
    <w:rsid w:val="0017598B"/>
    <w:rsid w:val="00175B38"/>
    <w:rsid w:val="0017755B"/>
    <w:rsid w:val="00177F0F"/>
    <w:rsid w:val="001810DE"/>
    <w:rsid w:val="0018150D"/>
    <w:rsid w:val="0018179E"/>
    <w:rsid w:val="00184DDB"/>
    <w:rsid w:val="00186077"/>
    <w:rsid w:val="001871B6"/>
    <w:rsid w:val="0018726F"/>
    <w:rsid w:val="00187BEB"/>
    <w:rsid w:val="00191719"/>
    <w:rsid w:val="00191CBC"/>
    <w:rsid w:val="001921A8"/>
    <w:rsid w:val="00193B12"/>
    <w:rsid w:val="0019427D"/>
    <w:rsid w:val="001942AD"/>
    <w:rsid w:val="001946B8"/>
    <w:rsid w:val="00194B44"/>
    <w:rsid w:val="00194B7D"/>
    <w:rsid w:val="00195D7E"/>
    <w:rsid w:val="00196D7E"/>
    <w:rsid w:val="0019791C"/>
    <w:rsid w:val="001A0061"/>
    <w:rsid w:val="001A1123"/>
    <w:rsid w:val="001A1CA6"/>
    <w:rsid w:val="001A2D51"/>
    <w:rsid w:val="001A32DA"/>
    <w:rsid w:val="001A45BB"/>
    <w:rsid w:val="001A5C27"/>
    <w:rsid w:val="001A685D"/>
    <w:rsid w:val="001A72D1"/>
    <w:rsid w:val="001A7544"/>
    <w:rsid w:val="001A7EAA"/>
    <w:rsid w:val="001B09AA"/>
    <w:rsid w:val="001B0CBA"/>
    <w:rsid w:val="001B3FF8"/>
    <w:rsid w:val="001B4406"/>
    <w:rsid w:val="001B4F2B"/>
    <w:rsid w:val="001B507B"/>
    <w:rsid w:val="001B5220"/>
    <w:rsid w:val="001B62FD"/>
    <w:rsid w:val="001B6508"/>
    <w:rsid w:val="001B66E9"/>
    <w:rsid w:val="001B7A8D"/>
    <w:rsid w:val="001C0AE6"/>
    <w:rsid w:val="001C51F0"/>
    <w:rsid w:val="001C5794"/>
    <w:rsid w:val="001D1754"/>
    <w:rsid w:val="001D2604"/>
    <w:rsid w:val="001D3BA8"/>
    <w:rsid w:val="001D4686"/>
    <w:rsid w:val="001D7605"/>
    <w:rsid w:val="001D78AF"/>
    <w:rsid w:val="001E240F"/>
    <w:rsid w:val="001E2859"/>
    <w:rsid w:val="001E4732"/>
    <w:rsid w:val="001E4B2C"/>
    <w:rsid w:val="001E5010"/>
    <w:rsid w:val="001E5C20"/>
    <w:rsid w:val="001E631F"/>
    <w:rsid w:val="001E682A"/>
    <w:rsid w:val="001F2409"/>
    <w:rsid w:val="001F2D8B"/>
    <w:rsid w:val="001F3106"/>
    <w:rsid w:val="001F37FA"/>
    <w:rsid w:val="001F3C46"/>
    <w:rsid w:val="001F5D75"/>
    <w:rsid w:val="001F6097"/>
    <w:rsid w:val="00200B10"/>
    <w:rsid w:val="002030D4"/>
    <w:rsid w:val="00204EAE"/>
    <w:rsid w:val="00204EDA"/>
    <w:rsid w:val="00206C03"/>
    <w:rsid w:val="0021082B"/>
    <w:rsid w:val="00210BF3"/>
    <w:rsid w:val="00211397"/>
    <w:rsid w:val="00211560"/>
    <w:rsid w:val="00211FAC"/>
    <w:rsid w:val="00213925"/>
    <w:rsid w:val="00214184"/>
    <w:rsid w:val="002145E1"/>
    <w:rsid w:val="00214DBA"/>
    <w:rsid w:val="002151F5"/>
    <w:rsid w:val="0021537D"/>
    <w:rsid w:val="002156B6"/>
    <w:rsid w:val="00216D05"/>
    <w:rsid w:val="00217F3F"/>
    <w:rsid w:val="0022007A"/>
    <w:rsid w:val="002216DA"/>
    <w:rsid w:val="00221B8F"/>
    <w:rsid w:val="00222153"/>
    <w:rsid w:val="00222C04"/>
    <w:rsid w:val="002239A4"/>
    <w:rsid w:val="00224ADE"/>
    <w:rsid w:val="00224AF9"/>
    <w:rsid w:val="00225AD3"/>
    <w:rsid w:val="00225E55"/>
    <w:rsid w:val="0022633E"/>
    <w:rsid w:val="0022673D"/>
    <w:rsid w:val="002267E9"/>
    <w:rsid w:val="00233DC2"/>
    <w:rsid w:val="00234942"/>
    <w:rsid w:val="00234AA2"/>
    <w:rsid w:val="002352F0"/>
    <w:rsid w:val="00236F9D"/>
    <w:rsid w:val="00237164"/>
    <w:rsid w:val="002372D6"/>
    <w:rsid w:val="002374A2"/>
    <w:rsid w:val="00237FF1"/>
    <w:rsid w:val="002438FE"/>
    <w:rsid w:val="002442F2"/>
    <w:rsid w:val="00244F9D"/>
    <w:rsid w:val="00246583"/>
    <w:rsid w:val="00247361"/>
    <w:rsid w:val="0025022C"/>
    <w:rsid w:val="00251027"/>
    <w:rsid w:val="00251BA0"/>
    <w:rsid w:val="00251FC4"/>
    <w:rsid w:val="00253311"/>
    <w:rsid w:val="00260327"/>
    <w:rsid w:val="0026228D"/>
    <w:rsid w:val="002625D8"/>
    <w:rsid w:val="00262BA1"/>
    <w:rsid w:val="00262F96"/>
    <w:rsid w:val="0026388B"/>
    <w:rsid w:val="00265BD2"/>
    <w:rsid w:val="00266FD4"/>
    <w:rsid w:val="002672F8"/>
    <w:rsid w:val="0026742F"/>
    <w:rsid w:val="002678A1"/>
    <w:rsid w:val="002700F5"/>
    <w:rsid w:val="0027265B"/>
    <w:rsid w:val="00273A7F"/>
    <w:rsid w:val="00280E89"/>
    <w:rsid w:val="0028150B"/>
    <w:rsid w:val="0028332B"/>
    <w:rsid w:val="002837ED"/>
    <w:rsid w:val="002877BA"/>
    <w:rsid w:val="00287854"/>
    <w:rsid w:val="002912EF"/>
    <w:rsid w:val="002918DD"/>
    <w:rsid w:val="00291AC6"/>
    <w:rsid w:val="00292C43"/>
    <w:rsid w:val="00292DE0"/>
    <w:rsid w:val="00293009"/>
    <w:rsid w:val="00293EB9"/>
    <w:rsid w:val="00296196"/>
    <w:rsid w:val="002A0D0B"/>
    <w:rsid w:val="002A1280"/>
    <w:rsid w:val="002A1A2E"/>
    <w:rsid w:val="002A2AEC"/>
    <w:rsid w:val="002A3C76"/>
    <w:rsid w:val="002A46AD"/>
    <w:rsid w:val="002A48E0"/>
    <w:rsid w:val="002A498A"/>
    <w:rsid w:val="002A5630"/>
    <w:rsid w:val="002A60F1"/>
    <w:rsid w:val="002A666D"/>
    <w:rsid w:val="002B03C9"/>
    <w:rsid w:val="002B1C70"/>
    <w:rsid w:val="002B3E34"/>
    <w:rsid w:val="002B538A"/>
    <w:rsid w:val="002B5A55"/>
    <w:rsid w:val="002B5B37"/>
    <w:rsid w:val="002B6807"/>
    <w:rsid w:val="002B693D"/>
    <w:rsid w:val="002B73E6"/>
    <w:rsid w:val="002B7D95"/>
    <w:rsid w:val="002C1150"/>
    <w:rsid w:val="002C11CF"/>
    <w:rsid w:val="002C1586"/>
    <w:rsid w:val="002C15CE"/>
    <w:rsid w:val="002C21AB"/>
    <w:rsid w:val="002C2983"/>
    <w:rsid w:val="002C3DB1"/>
    <w:rsid w:val="002C49CF"/>
    <w:rsid w:val="002C6550"/>
    <w:rsid w:val="002C6643"/>
    <w:rsid w:val="002C6A97"/>
    <w:rsid w:val="002D0497"/>
    <w:rsid w:val="002D09FD"/>
    <w:rsid w:val="002D2ACB"/>
    <w:rsid w:val="002D58DD"/>
    <w:rsid w:val="002D6AEB"/>
    <w:rsid w:val="002D6E61"/>
    <w:rsid w:val="002D7169"/>
    <w:rsid w:val="002D79F5"/>
    <w:rsid w:val="002E1BD5"/>
    <w:rsid w:val="002E21EA"/>
    <w:rsid w:val="002E23D6"/>
    <w:rsid w:val="002E24F7"/>
    <w:rsid w:val="002E2683"/>
    <w:rsid w:val="002E27E2"/>
    <w:rsid w:val="002E2B8F"/>
    <w:rsid w:val="002E2DF0"/>
    <w:rsid w:val="002E33D2"/>
    <w:rsid w:val="002E36EB"/>
    <w:rsid w:val="002E7742"/>
    <w:rsid w:val="002F1815"/>
    <w:rsid w:val="002F26CE"/>
    <w:rsid w:val="002F2EA4"/>
    <w:rsid w:val="002F3B7D"/>
    <w:rsid w:val="002F405B"/>
    <w:rsid w:val="002F5108"/>
    <w:rsid w:val="002F53AA"/>
    <w:rsid w:val="002F6F58"/>
    <w:rsid w:val="002F7274"/>
    <w:rsid w:val="002F7854"/>
    <w:rsid w:val="0030031B"/>
    <w:rsid w:val="003013B0"/>
    <w:rsid w:val="0030248B"/>
    <w:rsid w:val="00304E68"/>
    <w:rsid w:val="003050F6"/>
    <w:rsid w:val="00307583"/>
    <w:rsid w:val="00307814"/>
    <w:rsid w:val="003101B8"/>
    <w:rsid w:val="0031025C"/>
    <w:rsid w:val="003127AC"/>
    <w:rsid w:val="0031360A"/>
    <w:rsid w:val="00316B31"/>
    <w:rsid w:val="00317589"/>
    <w:rsid w:val="00317BA3"/>
    <w:rsid w:val="00320CBF"/>
    <w:rsid w:val="00320FC7"/>
    <w:rsid w:val="00321363"/>
    <w:rsid w:val="00321937"/>
    <w:rsid w:val="00322292"/>
    <w:rsid w:val="0032489E"/>
    <w:rsid w:val="003258F6"/>
    <w:rsid w:val="003271AA"/>
    <w:rsid w:val="003272A6"/>
    <w:rsid w:val="00330D0E"/>
    <w:rsid w:val="00330D19"/>
    <w:rsid w:val="00330F60"/>
    <w:rsid w:val="00331EA4"/>
    <w:rsid w:val="00332177"/>
    <w:rsid w:val="00332470"/>
    <w:rsid w:val="00334CF9"/>
    <w:rsid w:val="003361F4"/>
    <w:rsid w:val="00337E47"/>
    <w:rsid w:val="00340845"/>
    <w:rsid w:val="00341BAF"/>
    <w:rsid w:val="0034366D"/>
    <w:rsid w:val="00343BDF"/>
    <w:rsid w:val="00345E4C"/>
    <w:rsid w:val="003505F8"/>
    <w:rsid w:val="00351902"/>
    <w:rsid w:val="003522D6"/>
    <w:rsid w:val="00353FFE"/>
    <w:rsid w:val="003546E3"/>
    <w:rsid w:val="00354CD1"/>
    <w:rsid w:val="00356DC3"/>
    <w:rsid w:val="00360408"/>
    <w:rsid w:val="003608C2"/>
    <w:rsid w:val="00361E1D"/>
    <w:rsid w:val="00361F9D"/>
    <w:rsid w:val="00363235"/>
    <w:rsid w:val="00363719"/>
    <w:rsid w:val="0036458B"/>
    <w:rsid w:val="00365781"/>
    <w:rsid w:val="00365FDB"/>
    <w:rsid w:val="003665BD"/>
    <w:rsid w:val="003674BD"/>
    <w:rsid w:val="00367B6A"/>
    <w:rsid w:val="003700DB"/>
    <w:rsid w:val="00370A9B"/>
    <w:rsid w:val="00372147"/>
    <w:rsid w:val="0037463F"/>
    <w:rsid w:val="00374721"/>
    <w:rsid w:val="0037679C"/>
    <w:rsid w:val="00376BDE"/>
    <w:rsid w:val="00376E72"/>
    <w:rsid w:val="00377BE8"/>
    <w:rsid w:val="003801CF"/>
    <w:rsid w:val="00380D26"/>
    <w:rsid w:val="00382045"/>
    <w:rsid w:val="003820B7"/>
    <w:rsid w:val="00382499"/>
    <w:rsid w:val="00382AB5"/>
    <w:rsid w:val="00383C22"/>
    <w:rsid w:val="00383E80"/>
    <w:rsid w:val="00383EFA"/>
    <w:rsid w:val="003846EB"/>
    <w:rsid w:val="00384E55"/>
    <w:rsid w:val="003875A3"/>
    <w:rsid w:val="00387894"/>
    <w:rsid w:val="00391502"/>
    <w:rsid w:val="0039178B"/>
    <w:rsid w:val="0039193D"/>
    <w:rsid w:val="00392664"/>
    <w:rsid w:val="003937B3"/>
    <w:rsid w:val="00393DA3"/>
    <w:rsid w:val="00395081"/>
    <w:rsid w:val="003960D4"/>
    <w:rsid w:val="0039749A"/>
    <w:rsid w:val="0039795F"/>
    <w:rsid w:val="00397D81"/>
    <w:rsid w:val="003A00B5"/>
    <w:rsid w:val="003A0129"/>
    <w:rsid w:val="003A16E1"/>
    <w:rsid w:val="003A2C8F"/>
    <w:rsid w:val="003A3745"/>
    <w:rsid w:val="003A4C3D"/>
    <w:rsid w:val="003A5521"/>
    <w:rsid w:val="003A5FA3"/>
    <w:rsid w:val="003A637C"/>
    <w:rsid w:val="003A685C"/>
    <w:rsid w:val="003A74B5"/>
    <w:rsid w:val="003A76D3"/>
    <w:rsid w:val="003B00C0"/>
    <w:rsid w:val="003B0A1F"/>
    <w:rsid w:val="003B0ED9"/>
    <w:rsid w:val="003B1773"/>
    <w:rsid w:val="003B1F02"/>
    <w:rsid w:val="003B304C"/>
    <w:rsid w:val="003B443C"/>
    <w:rsid w:val="003B6354"/>
    <w:rsid w:val="003B7BFC"/>
    <w:rsid w:val="003C290E"/>
    <w:rsid w:val="003C4521"/>
    <w:rsid w:val="003C4EA5"/>
    <w:rsid w:val="003C623E"/>
    <w:rsid w:val="003C628D"/>
    <w:rsid w:val="003C63A1"/>
    <w:rsid w:val="003C7B76"/>
    <w:rsid w:val="003D2E7E"/>
    <w:rsid w:val="003D3C6F"/>
    <w:rsid w:val="003D55F5"/>
    <w:rsid w:val="003D5CA4"/>
    <w:rsid w:val="003D613B"/>
    <w:rsid w:val="003D617C"/>
    <w:rsid w:val="003D666E"/>
    <w:rsid w:val="003D7C02"/>
    <w:rsid w:val="003E0579"/>
    <w:rsid w:val="003E2848"/>
    <w:rsid w:val="003E5244"/>
    <w:rsid w:val="003E65F7"/>
    <w:rsid w:val="003E6F5D"/>
    <w:rsid w:val="003F01C3"/>
    <w:rsid w:val="003F21E6"/>
    <w:rsid w:val="003F2E82"/>
    <w:rsid w:val="003F3AC3"/>
    <w:rsid w:val="003F49A9"/>
    <w:rsid w:val="003F4D49"/>
    <w:rsid w:val="003F4D69"/>
    <w:rsid w:val="003F5248"/>
    <w:rsid w:val="003F537B"/>
    <w:rsid w:val="003F5419"/>
    <w:rsid w:val="003F7184"/>
    <w:rsid w:val="003F76D1"/>
    <w:rsid w:val="003F7BAD"/>
    <w:rsid w:val="004002FC"/>
    <w:rsid w:val="00400AF3"/>
    <w:rsid w:val="00402939"/>
    <w:rsid w:val="00404E1F"/>
    <w:rsid w:val="0040690C"/>
    <w:rsid w:val="004070A4"/>
    <w:rsid w:val="004100B8"/>
    <w:rsid w:val="00410EA4"/>
    <w:rsid w:val="004116CA"/>
    <w:rsid w:val="00411BB8"/>
    <w:rsid w:val="004127E3"/>
    <w:rsid w:val="00413D73"/>
    <w:rsid w:val="00414248"/>
    <w:rsid w:val="00414881"/>
    <w:rsid w:val="004159CC"/>
    <w:rsid w:val="0041670B"/>
    <w:rsid w:val="0042070C"/>
    <w:rsid w:val="004224CC"/>
    <w:rsid w:val="00423EA7"/>
    <w:rsid w:val="00426798"/>
    <w:rsid w:val="00427329"/>
    <w:rsid w:val="00427530"/>
    <w:rsid w:val="00430166"/>
    <w:rsid w:val="00430386"/>
    <w:rsid w:val="00433B07"/>
    <w:rsid w:val="00433D4B"/>
    <w:rsid w:val="004344EC"/>
    <w:rsid w:val="00435210"/>
    <w:rsid w:val="00435218"/>
    <w:rsid w:val="00435A4E"/>
    <w:rsid w:val="00436358"/>
    <w:rsid w:val="0044050E"/>
    <w:rsid w:val="0044120F"/>
    <w:rsid w:val="0044214C"/>
    <w:rsid w:val="00444BFB"/>
    <w:rsid w:val="00445700"/>
    <w:rsid w:val="004467B4"/>
    <w:rsid w:val="00447CB7"/>
    <w:rsid w:val="0045001E"/>
    <w:rsid w:val="004507A8"/>
    <w:rsid w:val="00452221"/>
    <w:rsid w:val="00453ACC"/>
    <w:rsid w:val="0045504C"/>
    <w:rsid w:val="0045592E"/>
    <w:rsid w:val="00455F55"/>
    <w:rsid w:val="00456003"/>
    <w:rsid w:val="0045656E"/>
    <w:rsid w:val="0046057E"/>
    <w:rsid w:val="00460653"/>
    <w:rsid w:val="00460BEF"/>
    <w:rsid w:val="00461BAE"/>
    <w:rsid w:val="004621BD"/>
    <w:rsid w:val="00464CE0"/>
    <w:rsid w:val="00465017"/>
    <w:rsid w:val="004705D1"/>
    <w:rsid w:val="00470DA9"/>
    <w:rsid w:val="00471BA8"/>
    <w:rsid w:val="00471C45"/>
    <w:rsid w:val="00472A8F"/>
    <w:rsid w:val="00472B01"/>
    <w:rsid w:val="00473A6F"/>
    <w:rsid w:val="00473E75"/>
    <w:rsid w:val="00474D21"/>
    <w:rsid w:val="0047562D"/>
    <w:rsid w:val="00475C65"/>
    <w:rsid w:val="0047614D"/>
    <w:rsid w:val="0047680B"/>
    <w:rsid w:val="00476BC3"/>
    <w:rsid w:val="00476FEF"/>
    <w:rsid w:val="00477141"/>
    <w:rsid w:val="00477367"/>
    <w:rsid w:val="0047752E"/>
    <w:rsid w:val="00477F3E"/>
    <w:rsid w:val="0048104D"/>
    <w:rsid w:val="004812A3"/>
    <w:rsid w:val="00481D22"/>
    <w:rsid w:val="00481ED1"/>
    <w:rsid w:val="004828FC"/>
    <w:rsid w:val="0048332F"/>
    <w:rsid w:val="004855F0"/>
    <w:rsid w:val="0048659B"/>
    <w:rsid w:val="004900D8"/>
    <w:rsid w:val="00490C99"/>
    <w:rsid w:val="00492151"/>
    <w:rsid w:val="00497291"/>
    <w:rsid w:val="004A2455"/>
    <w:rsid w:val="004A3F09"/>
    <w:rsid w:val="004A443A"/>
    <w:rsid w:val="004A7E7F"/>
    <w:rsid w:val="004B09AB"/>
    <w:rsid w:val="004B2405"/>
    <w:rsid w:val="004B289D"/>
    <w:rsid w:val="004B2BAB"/>
    <w:rsid w:val="004B3073"/>
    <w:rsid w:val="004B313C"/>
    <w:rsid w:val="004B398D"/>
    <w:rsid w:val="004B49C3"/>
    <w:rsid w:val="004B5A16"/>
    <w:rsid w:val="004C054C"/>
    <w:rsid w:val="004C0C95"/>
    <w:rsid w:val="004C1209"/>
    <w:rsid w:val="004C13B6"/>
    <w:rsid w:val="004C18B7"/>
    <w:rsid w:val="004C2474"/>
    <w:rsid w:val="004C328D"/>
    <w:rsid w:val="004C5022"/>
    <w:rsid w:val="004C5A9A"/>
    <w:rsid w:val="004D0399"/>
    <w:rsid w:val="004D116A"/>
    <w:rsid w:val="004D2598"/>
    <w:rsid w:val="004D3379"/>
    <w:rsid w:val="004D33F9"/>
    <w:rsid w:val="004D63C6"/>
    <w:rsid w:val="004D6C11"/>
    <w:rsid w:val="004D6FA0"/>
    <w:rsid w:val="004D722F"/>
    <w:rsid w:val="004E4BD6"/>
    <w:rsid w:val="004E703A"/>
    <w:rsid w:val="004E7476"/>
    <w:rsid w:val="004E7C4F"/>
    <w:rsid w:val="004F25E8"/>
    <w:rsid w:val="004F31F2"/>
    <w:rsid w:val="004F3CE9"/>
    <w:rsid w:val="004F4AE2"/>
    <w:rsid w:val="004F5FAD"/>
    <w:rsid w:val="004F6291"/>
    <w:rsid w:val="004F682E"/>
    <w:rsid w:val="004F7EDD"/>
    <w:rsid w:val="005004FE"/>
    <w:rsid w:val="005007DF"/>
    <w:rsid w:val="00501334"/>
    <w:rsid w:val="00502A16"/>
    <w:rsid w:val="00502E0D"/>
    <w:rsid w:val="005030A8"/>
    <w:rsid w:val="00503113"/>
    <w:rsid w:val="00503AAA"/>
    <w:rsid w:val="005048C7"/>
    <w:rsid w:val="0051089E"/>
    <w:rsid w:val="00511449"/>
    <w:rsid w:val="005115BD"/>
    <w:rsid w:val="00514D6C"/>
    <w:rsid w:val="005152EF"/>
    <w:rsid w:val="00516390"/>
    <w:rsid w:val="00516709"/>
    <w:rsid w:val="00517304"/>
    <w:rsid w:val="00517518"/>
    <w:rsid w:val="00521309"/>
    <w:rsid w:val="005236E0"/>
    <w:rsid w:val="0052664E"/>
    <w:rsid w:val="00527F5A"/>
    <w:rsid w:val="00530279"/>
    <w:rsid w:val="0053130E"/>
    <w:rsid w:val="0053246E"/>
    <w:rsid w:val="00532515"/>
    <w:rsid w:val="00532EEF"/>
    <w:rsid w:val="005333A5"/>
    <w:rsid w:val="005334DD"/>
    <w:rsid w:val="005359CB"/>
    <w:rsid w:val="005366F5"/>
    <w:rsid w:val="00536ED0"/>
    <w:rsid w:val="0053778E"/>
    <w:rsid w:val="00537A25"/>
    <w:rsid w:val="00537D4B"/>
    <w:rsid w:val="0054035A"/>
    <w:rsid w:val="00540D81"/>
    <w:rsid w:val="00541752"/>
    <w:rsid w:val="005419E9"/>
    <w:rsid w:val="0054293C"/>
    <w:rsid w:val="00543830"/>
    <w:rsid w:val="0054435F"/>
    <w:rsid w:val="00545B82"/>
    <w:rsid w:val="00551169"/>
    <w:rsid w:val="00552081"/>
    <w:rsid w:val="00552283"/>
    <w:rsid w:val="00552B18"/>
    <w:rsid w:val="00552E5E"/>
    <w:rsid w:val="005545D5"/>
    <w:rsid w:val="0056082B"/>
    <w:rsid w:val="00561910"/>
    <w:rsid w:val="00561F59"/>
    <w:rsid w:val="00562D21"/>
    <w:rsid w:val="005630E7"/>
    <w:rsid w:val="00563924"/>
    <w:rsid w:val="00563FF8"/>
    <w:rsid w:val="00564010"/>
    <w:rsid w:val="0056562F"/>
    <w:rsid w:val="0056567F"/>
    <w:rsid w:val="0056589A"/>
    <w:rsid w:val="00565F56"/>
    <w:rsid w:val="005703BE"/>
    <w:rsid w:val="00570556"/>
    <w:rsid w:val="005710FB"/>
    <w:rsid w:val="005719FD"/>
    <w:rsid w:val="0057217A"/>
    <w:rsid w:val="00574BE1"/>
    <w:rsid w:val="00574DE8"/>
    <w:rsid w:val="0057542E"/>
    <w:rsid w:val="00576090"/>
    <w:rsid w:val="00583191"/>
    <w:rsid w:val="00584403"/>
    <w:rsid w:val="0058461D"/>
    <w:rsid w:val="00585E84"/>
    <w:rsid w:val="00585F8E"/>
    <w:rsid w:val="00586031"/>
    <w:rsid w:val="005864D0"/>
    <w:rsid w:val="0058730E"/>
    <w:rsid w:val="005878E1"/>
    <w:rsid w:val="00587A9C"/>
    <w:rsid w:val="00587ADC"/>
    <w:rsid w:val="00587C7D"/>
    <w:rsid w:val="00590013"/>
    <w:rsid w:val="005917FD"/>
    <w:rsid w:val="005921EE"/>
    <w:rsid w:val="00595415"/>
    <w:rsid w:val="00595D1C"/>
    <w:rsid w:val="00596F29"/>
    <w:rsid w:val="00597F51"/>
    <w:rsid w:val="005A11C7"/>
    <w:rsid w:val="005A2071"/>
    <w:rsid w:val="005A2A34"/>
    <w:rsid w:val="005A3559"/>
    <w:rsid w:val="005A412E"/>
    <w:rsid w:val="005A4886"/>
    <w:rsid w:val="005A4D78"/>
    <w:rsid w:val="005A584D"/>
    <w:rsid w:val="005A6844"/>
    <w:rsid w:val="005A6D02"/>
    <w:rsid w:val="005A6E44"/>
    <w:rsid w:val="005B185E"/>
    <w:rsid w:val="005B1B4F"/>
    <w:rsid w:val="005B3497"/>
    <w:rsid w:val="005B370D"/>
    <w:rsid w:val="005B4F12"/>
    <w:rsid w:val="005B572F"/>
    <w:rsid w:val="005B7FE0"/>
    <w:rsid w:val="005C0905"/>
    <w:rsid w:val="005C15A0"/>
    <w:rsid w:val="005C15E8"/>
    <w:rsid w:val="005C17C4"/>
    <w:rsid w:val="005C2845"/>
    <w:rsid w:val="005C2F50"/>
    <w:rsid w:val="005C38B1"/>
    <w:rsid w:val="005C39FD"/>
    <w:rsid w:val="005C4FE9"/>
    <w:rsid w:val="005C591E"/>
    <w:rsid w:val="005C64D9"/>
    <w:rsid w:val="005C70CD"/>
    <w:rsid w:val="005C7327"/>
    <w:rsid w:val="005D14BA"/>
    <w:rsid w:val="005D1A56"/>
    <w:rsid w:val="005D2312"/>
    <w:rsid w:val="005D2A9E"/>
    <w:rsid w:val="005D6542"/>
    <w:rsid w:val="005D6B3E"/>
    <w:rsid w:val="005D7CE6"/>
    <w:rsid w:val="005E1797"/>
    <w:rsid w:val="005E2411"/>
    <w:rsid w:val="005E38AD"/>
    <w:rsid w:val="005E48A1"/>
    <w:rsid w:val="005E4BDA"/>
    <w:rsid w:val="005E5BE8"/>
    <w:rsid w:val="005E5DBE"/>
    <w:rsid w:val="005E62F6"/>
    <w:rsid w:val="005E766A"/>
    <w:rsid w:val="005E7AB2"/>
    <w:rsid w:val="005E7B1F"/>
    <w:rsid w:val="005E7D37"/>
    <w:rsid w:val="005F09BD"/>
    <w:rsid w:val="005F1058"/>
    <w:rsid w:val="005F1325"/>
    <w:rsid w:val="005F153C"/>
    <w:rsid w:val="005F44AF"/>
    <w:rsid w:val="005F4962"/>
    <w:rsid w:val="005F57A3"/>
    <w:rsid w:val="005F5EB7"/>
    <w:rsid w:val="005F5F57"/>
    <w:rsid w:val="005F636E"/>
    <w:rsid w:val="005F77C2"/>
    <w:rsid w:val="006003F1"/>
    <w:rsid w:val="00601142"/>
    <w:rsid w:val="00601411"/>
    <w:rsid w:val="00602415"/>
    <w:rsid w:val="00602768"/>
    <w:rsid w:val="00603D7A"/>
    <w:rsid w:val="00604635"/>
    <w:rsid w:val="00604781"/>
    <w:rsid w:val="00605278"/>
    <w:rsid w:val="00605FE1"/>
    <w:rsid w:val="00606F24"/>
    <w:rsid w:val="006104DD"/>
    <w:rsid w:val="00612694"/>
    <w:rsid w:val="00613F51"/>
    <w:rsid w:val="006144CE"/>
    <w:rsid w:val="00615F79"/>
    <w:rsid w:val="0062040D"/>
    <w:rsid w:val="006212E1"/>
    <w:rsid w:val="006217C1"/>
    <w:rsid w:val="006220E7"/>
    <w:rsid w:val="0062392C"/>
    <w:rsid w:val="00623F50"/>
    <w:rsid w:val="00625951"/>
    <w:rsid w:val="006259A4"/>
    <w:rsid w:val="00627017"/>
    <w:rsid w:val="00632033"/>
    <w:rsid w:val="00632397"/>
    <w:rsid w:val="00633108"/>
    <w:rsid w:val="00634DC4"/>
    <w:rsid w:val="0063564C"/>
    <w:rsid w:val="00636271"/>
    <w:rsid w:val="00637635"/>
    <w:rsid w:val="00640EE8"/>
    <w:rsid w:val="006414EA"/>
    <w:rsid w:val="00644256"/>
    <w:rsid w:val="006451C5"/>
    <w:rsid w:val="00645FC2"/>
    <w:rsid w:val="006475E0"/>
    <w:rsid w:val="00652362"/>
    <w:rsid w:val="006535AD"/>
    <w:rsid w:val="006537BA"/>
    <w:rsid w:val="0065448C"/>
    <w:rsid w:val="006557FC"/>
    <w:rsid w:val="0065580E"/>
    <w:rsid w:val="0066120D"/>
    <w:rsid w:val="006615C5"/>
    <w:rsid w:val="00661EBC"/>
    <w:rsid w:val="00662B85"/>
    <w:rsid w:val="00663C7F"/>
    <w:rsid w:val="00664174"/>
    <w:rsid w:val="0066452E"/>
    <w:rsid w:val="006659BE"/>
    <w:rsid w:val="006664D3"/>
    <w:rsid w:val="006665A5"/>
    <w:rsid w:val="00666CFD"/>
    <w:rsid w:val="00667303"/>
    <w:rsid w:val="00670330"/>
    <w:rsid w:val="006705CA"/>
    <w:rsid w:val="006708C1"/>
    <w:rsid w:val="00672443"/>
    <w:rsid w:val="006730ED"/>
    <w:rsid w:val="00673764"/>
    <w:rsid w:val="0067420B"/>
    <w:rsid w:val="006744A4"/>
    <w:rsid w:val="006755CE"/>
    <w:rsid w:val="006768E1"/>
    <w:rsid w:val="0067771D"/>
    <w:rsid w:val="00681DE4"/>
    <w:rsid w:val="00682D90"/>
    <w:rsid w:val="00683CB2"/>
    <w:rsid w:val="0069151C"/>
    <w:rsid w:val="00691551"/>
    <w:rsid w:val="006920D5"/>
    <w:rsid w:val="006924B6"/>
    <w:rsid w:val="006936C1"/>
    <w:rsid w:val="00695715"/>
    <w:rsid w:val="00696520"/>
    <w:rsid w:val="0069668C"/>
    <w:rsid w:val="006A1BFF"/>
    <w:rsid w:val="006A1F53"/>
    <w:rsid w:val="006A1FB1"/>
    <w:rsid w:val="006A2064"/>
    <w:rsid w:val="006A2683"/>
    <w:rsid w:val="006A2C30"/>
    <w:rsid w:val="006A3DC2"/>
    <w:rsid w:val="006A5BD5"/>
    <w:rsid w:val="006A5F2A"/>
    <w:rsid w:val="006A64A9"/>
    <w:rsid w:val="006A72DE"/>
    <w:rsid w:val="006A7DC9"/>
    <w:rsid w:val="006B0185"/>
    <w:rsid w:val="006B04C2"/>
    <w:rsid w:val="006B31C5"/>
    <w:rsid w:val="006B3475"/>
    <w:rsid w:val="006B44A5"/>
    <w:rsid w:val="006B5B19"/>
    <w:rsid w:val="006B6152"/>
    <w:rsid w:val="006B7782"/>
    <w:rsid w:val="006C0CB3"/>
    <w:rsid w:val="006C1A6B"/>
    <w:rsid w:val="006C3310"/>
    <w:rsid w:val="006C5124"/>
    <w:rsid w:val="006C560D"/>
    <w:rsid w:val="006C5E5E"/>
    <w:rsid w:val="006C6391"/>
    <w:rsid w:val="006C7491"/>
    <w:rsid w:val="006D087C"/>
    <w:rsid w:val="006D2CE4"/>
    <w:rsid w:val="006D6D50"/>
    <w:rsid w:val="006D78BA"/>
    <w:rsid w:val="006E189A"/>
    <w:rsid w:val="006E1D49"/>
    <w:rsid w:val="006E1F38"/>
    <w:rsid w:val="006E2205"/>
    <w:rsid w:val="006E296A"/>
    <w:rsid w:val="006E29EE"/>
    <w:rsid w:val="006E2EBB"/>
    <w:rsid w:val="006E32A5"/>
    <w:rsid w:val="006E42C2"/>
    <w:rsid w:val="006E4BB3"/>
    <w:rsid w:val="006E4E1D"/>
    <w:rsid w:val="006E5201"/>
    <w:rsid w:val="006E5B2C"/>
    <w:rsid w:val="006E6B76"/>
    <w:rsid w:val="006E724F"/>
    <w:rsid w:val="006E7628"/>
    <w:rsid w:val="006F10B8"/>
    <w:rsid w:val="006F1399"/>
    <w:rsid w:val="006F2260"/>
    <w:rsid w:val="006F26F8"/>
    <w:rsid w:val="006F2A9B"/>
    <w:rsid w:val="006F3165"/>
    <w:rsid w:val="006F33A2"/>
    <w:rsid w:val="006F37E2"/>
    <w:rsid w:val="006F3C24"/>
    <w:rsid w:val="006F425A"/>
    <w:rsid w:val="006F566B"/>
    <w:rsid w:val="006F6158"/>
    <w:rsid w:val="006F6D53"/>
    <w:rsid w:val="006F72AA"/>
    <w:rsid w:val="006F7B75"/>
    <w:rsid w:val="00700882"/>
    <w:rsid w:val="00701071"/>
    <w:rsid w:val="0070169E"/>
    <w:rsid w:val="00703CA8"/>
    <w:rsid w:val="00704008"/>
    <w:rsid w:val="0070457E"/>
    <w:rsid w:val="00706B48"/>
    <w:rsid w:val="00711F4D"/>
    <w:rsid w:val="0071268F"/>
    <w:rsid w:val="00717301"/>
    <w:rsid w:val="00721179"/>
    <w:rsid w:val="007212A4"/>
    <w:rsid w:val="00721F53"/>
    <w:rsid w:val="00724CF9"/>
    <w:rsid w:val="00724D9A"/>
    <w:rsid w:val="0072592A"/>
    <w:rsid w:val="00725BE4"/>
    <w:rsid w:val="0073085C"/>
    <w:rsid w:val="00731021"/>
    <w:rsid w:val="0073134E"/>
    <w:rsid w:val="00731FD4"/>
    <w:rsid w:val="00732EBA"/>
    <w:rsid w:val="00733B4F"/>
    <w:rsid w:val="00734E56"/>
    <w:rsid w:val="00735F76"/>
    <w:rsid w:val="007360E1"/>
    <w:rsid w:val="007368A0"/>
    <w:rsid w:val="00736914"/>
    <w:rsid w:val="00736A3F"/>
    <w:rsid w:val="00737032"/>
    <w:rsid w:val="0073779A"/>
    <w:rsid w:val="00737FEF"/>
    <w:rsid w:val="0074197A"/>
    <w:rsid w:val="007428A4"/>
    <w:rsid w:val="00744D4E"/>
    <w:rsid w:val="00746374"/>
    <w:rsid w:val="0074659B"/>
    <w:rsid w:val="0075181C"/>
    <w:rsid w:val="0075185C"/>
    <w:rsid w:val="00751BC8"/>
    <w:rsid w:val="0075367A"/>
    <w:rsid w:val="00753821"/>
    <w:rsid w:val="007540C5"/>
    <w:rsid w:val="0075572C"/>
    <w:rsid w:val="007563ED"/>
    <w:rsid w:val="007569ED"/>
    <w:rsid w:val="00757034"/>
    <w:rsid w:val="007607D8"/>
    <w:rsid w:val="00760AA2"/>
    <w:rsid w:val="00760E0A"/>
    <w:rsid w:val="00761B8B"/>
    <w:rsid w:val="007633AE"/>
    <w:rsid w:val="007638D1"/>
    <w:rsid w:val="0076446F"/>
    <w:rsid w:val="0076554F"/>
    <w:rsid w:val="007657D2"/>
    <w:rsid w:val="007658FE"/>
    <w:rsid w:val="00765982"/>
    <w:rsid w:val="00765C0F"/>
    <w:rsid w:val="00766B68"/>
    <w:rsid w:val="0077022C"/>
    <w:rsid w:val="00772110"/>
    <w:rsid w:val="007722DB"/>
    <w:rsid w:val="0077243E"/>
    <w:rsid w:val="00773D87"/>
    <w:rsid w:val="007742B8"/>
    <w:rsid w:val="0077455C"/>
    <w:rsid w:val="007748ED"/>
    <w:rsid w:val="00775DD7"/>
    <w:rsid w:val="00775DE5"/>
    <w:rsid w:val="00781885"/>
    <w:rsid w:val="00782F51"/>
    <w:rsid w:val="00783537"/>
    <w:rsid w:val="007844D1"/>
    <w:rsid w:val="00784A79"/>
    <w:rsid w:val="00786003"/>
    <w:rsid w:val="00786256"/>
    <w:rsid w:val="00786E4A"/>
    <w:rsid w:val="00787E44"/>
    <w:rsid w:val="007912A0"/>
    <w:rsid w:val="00792C49"/>
    <w:rsid w:val="007935CE"/>
    <w:rsid w:val="00793BC5"/>
    <w:rsid w:val="00793DBC"/>
    <w:rsid w:val="007944FC"/>
    <w:rsid w:val="00794FB9"/>
    <w:rsid w:val="00795C62"/>
    <w:rsid w:val="0079689F"/>
    <w:rsid w:val="00796D9F"/>
    <w:rsid w:val="0079711E"/>
    <w:rsid w:val="007A0307"/>
    <w:rsid w:val="007A0551"/>
    <w:rsid w:val="007A0F05"/>
    <w:rsid w:val="007A106D"/>
    <w:rsid w:val="007A175F"/>
    <w:rsid w:val="007A1E73"/>
    <w:rsid w:val="007A261F"/>
    <w:rsid w:val="007A5D3E"/>
    <w:rsid w:val="007A6D59"/>
    <w:rsid w:val="007A76F5"/>
    <w:rsid w:val="007B173B"/>
    <w:rsid w:val="007B17D6"/>
    <w:rsid w:val="007B1A6C"/>
    <w:rsid w:val="007B2C7B"/>
    <w:rsid w:val="007B2EB7"/>
    <w:rsid w:val="007B39E4"/>
    <w:rsid w:val="007B3BB4"/>
    <w:rsid w:val="007B3F40"/>
    <w:rsid w:val="007B42CD"/>
    <w:rsid w:val="007B5B84"/>
    <w:rsid w:val="007B636A"/>
    <w:rsid w:val="007C0E8C"/>
    <w:rsid w:val="007C1223"/>
    <w:rsid w:val="007C20C7"/>
    <w:rsid w:val="007C2DE4"/>
    <w:rsid w:val="007C31A4"/>
    <w:rsid w:val="007C5993"/>
    <w:rsid w:val="007C65DF"/>
    <w:rsid w:val="007C6ECF"/>
    <w:rsid w:val="007C766F"/>
    <w:rsid w:val="007D0B6D"/>
    <w:rsid w:val="007D0D93"/>
    <w:rsid w:val="007D0F7F"/>
    <w:rsid w:val="007D1CF9"/>
    <w:rsid w:val="007D1E0D"/>
    <w:rsid w:val="007D25BF"/>
    <w:rsid w:val="007D3E6F"/>
    <w:rsid w:val="007D425E"/>
    <w:rsid w:val="007D609D"/>
    <w:rsid w:val="007D60D1"/>
    <w:rsid w:val="007D6D35"/>
    <w:rsid w:val="007D7368"/>
    <w:rsid w:val="007D7730"/>
    <w:rsid w:val="007E3017"/>
    <w:rsid w:val="007E3039"/>
    <w:rsid w:val="007E3AF2"/>
    <w:rsid w:val="007E46C5"/>
    <w:rsid w:val="007E4858"/>
    <w:rsid w:val="007E5FE2"/>
    <w:rsid w:val="007E685A"/>
    <w:rsid w:val="007E6A06"/>
    <w:rsid w:val="007F07C7"/>
    <w:rsid w:val="007F32FF"/>
    <w:rsid w:val="007F3A69"/>
    <w:rsid w:val="007F52A3"/>
    <w:rsid w:val="007F59C0"/>
    <w:rsid w:val="007F5A7B"/>
    <w:rsid w:val="007F7183"/>
    <w:rsid w:val="007F72BA"/>
    <w:rsid w:val="00803A5F"/>
    <w:rsid w:val="0080411B"/>
    <w:rsid w:val="00804F5F"/>
    <w:rsid w:val="008055CF"/>
    <w:rsid w:val="00807D82"/>
    <w:rsid w:val="00807F67"/>
    <w:rsid w:val="00810AE1"/>
    <w:rsid w:val="008119AA"/>
    <w:rsid w:val="00812B87"/>
    <w:rsid w:val="0081396F"/>
    <w:rsid w:val="008147F8"/>
    <w:rsid w:val="00814B6D"/>
    <w:rsid w:val="0081551A"/>
    <w:rsid w:val="008177BA"/>
    <w:rsid w:val="00817A38"/>
    <w:rsid w:val="0082122C"/>
    <w:rsid w:val="00821A34"/>
    <w:rsid w:val="008226AA"/>
    <w:rsid w:val="0082347C"/>
    <w:rsid w:val="00823774"/>
    <w:rsid w:val="0082455F"/>
    <w:rsid w:val="00824663"/>
    <w:rsid w:val="008251E7"/>
    <w:rsid w:val="0083095C"/>
    <w:rsid w:val="00830BCE"/>
    <w:rsid w:val="0083172C"/>
    <w:rsid w:val="00831D51"/>
    <w:rsid w:val="008324BE"/>
    <w:rsid w:val="008337EE"/>
    <w:rsid w:val="0083630E"/>
    <w:rsid w:val="008363A5"/>
    <w:rsid w:val="00837585"/>
    <w:rsid w:val="00837837"/>
    <w:rsid w:val="0084169A"/>
    <w:rsid w:val="00843DD1"/>
    <w:rsid w:val="00844640"/>
    <w:rsid w:val="00844793"/>
    <w:rsid w:val="00847B88"/>
    <w:rsid w:val="00847E62"/>
    <w:rsid w:val="00851091"/>
    <w:rsid w:val="008513D1"/>
    <w:rsid w:val="008519E4"/>
    <w:rsid w:val="00853A9D"/>
    <w:rsid w:val="00854B82"/>
    <w:rsid w:val="00854D56"/>
    <w:rsid w:val="00855D61"/>
    <w:rsid w:val="008612CD"/>
    <w:rsid w:val="00861974"/>
    <w:rsid w:val="008622FC"/>
    <w:rsid w:val="00862C74"/>
    <w:rsid w:val="00862ED7"/>
    <w:rsid w:val="008631E5"/>
    <w:rsid w:val="00864007"/>
    <w:rsid w:val="00865859"/>
    <w:rsid w:val="00866678"/>
    <w:rsid w:val="00867680"/>
    <w:rsid w:val="00867C67"/>
    <w:rsid w:val="00867D4E"/>
    <w:rsid w:val="008708DA"/>
    <w:rsid w:val="0087223F"/>
    <w:rsid w:val="00872B42"/>
    <w:rsid w:val="00873177"/>
    <w:rsid w:val="00873680"/>
    <w:rsid w:val="0087489F"/>
    <w:rsid w:val="00875505"/>
    <w:rsid w:val="00876263"/>
    <w:rsid w:val="0087763C"/>
    <w:rsid w:val="00877FAE"/>
    <w:rsid w:val="00880825"/>
    <w:rsid w:val="0088138A"/>
    <w:rsid w:val="00881438"/>
    <w:rsid w:val="00881AFA"/>
    <w:rsid w:val="00883D7C"/>
    <w:rsid w:val="00885167"/>
    <w:rsid w:val="008852EB"/>
    <w:rsid w:val="00885CF2"/>
    <w:rsid w:val="008869E0"/>
    <w:rsid w:val="00886BCC"/>
    <w:rsid w:val="00886FA8"/>
    <w:rsid w:val="008902F4"/>
    <w:rsid w:val="00892226"/>
    <w:rsid w:val="00892959"/>
    <w:rsid w:val="00893F41"/>
    <w:rsid w:val="008959A6"/>
    <w:rsid w:val="0089620D"/>
    <w:rsid w:val="008963C3"/>
    <w:rsid w:val="00897505"/>
    <w:rsid w:val="008A081B"/>
    <w:rsid w:val="008A100C"/>
    <w:rsid w:val="008A1742"/>
    <w:rsid w:val="008A320B"/>
    <w:rsid w:val="008A3493"/>
    <w:rsid w:val="008A3A96"/>
    <w:rsid w:val="008A5BF4"/>
    <w:rsid w:val="008A7843"/>
    <w:rsid w:val="008B0158"/>
    <w:rsid w:val="008B16C8"/>
    <w:rsid w:val="008B271E"/>
    <w:rsid w:val="008B2D49"/>
    <w:rsid w:val="008B6314"/>
    <w:rsid w:val="008B6B2F"/>
    <w:rsid w:val="008C0012"/>
    <w:rsid w:val="008C0CEE"/>
    <w:rsid w:val="008C1075"/>
    <w:rsid w:val="008C6863"/>
    <w:rsid w:val="008D0511"/>
    <w:rsid w:val="008D1F31"/>
    <w:rsid w:val="008D32DC"/>
    <w:rsid w:val="008D377E"/>
    <w:rsid w:val="008D3AB2"/>
    <w:rsid w:val="008D52A6"/>
    <w:rsid w:val="008D540B"/>
    <w:rsid w:val="008D599C"/>
    <w:rsid w:val="008D61F6"/>
    <w:rsid w:val="008D64B9"/>
    <w:rsid w:val="008D6FED"/>
    <w:rsid w:val="008E022C"/>
    <w:rsid w:val="008E2785"/>
    <w:rsid w:val="008E300D"/>
    <w:rsid w:val="008E37BC"/>
    <w:rsid w:val="008E3887"/>
    <w:rsid w:val="008E4247"/>
    <w:rsid w:val="008E61BE"/>
    <w:rsid w:val="008E64E4"/>
    <w:rsid w:val="008E6D55"/>
    <w:rsid w:val="008F0A1E"/>
    <w:rsid w:val="008F0C3B"/>
    <w:rsid w:val="008F1C57"/>
    <w:rsid w:val="008F21C9"/>
    <w:rsid w:val="008F28A6"/>
    <w:rsid w:val="008F50BF"/>
    <w:rsid w:val="008F5264"/>
    <w:rsid w:val="008F53A5"/>
    <w:rsid w:val="008F5CC3"/>
    <w:rsid w:val="008F6D56"/>
    <w:rsid w:val="0090017F"/>
    <w:rsid w:val="00906324"/>
    <w:rsid w:val="00906A22"/>
    <w:rsid w:val="009106F7"/>
    <w:rsid w:val="0091082E"/>
    <w:rsid w:val="00910E97"/>
    <w:rsid w:val="00911423"/>
    <w:rsid w:val="00911697"/>
    <w:rsid w:val="00911D85"/>
    <w:rsid w:val="00912B23"/>
    <w:rsid w:val="0091357E"/>
    <w:rsid w:val="00914376"/>
    <w:rsid w:val="0091444E"/>
    <w:rsid w:val="00914451"/>
    <w:rsid w:val="009159BB"/>
    <w:rsid w:val="00917679"/>
    <w:rsid w:val="00920902"/>
    <w:rsid w:val="00921303"/>
    <w:rsid w:val="009221AC"/>
    <w:rsid w:val="0092225D"/>
    <w:rsid w:val="00922F7F"/>
    <w:rsid w:val="00925773"/>
    <w:rsid w:val="00927109"/>
    <w:rsid w:val="00927554"/>
    <w:rsid w:val="009278BB"/>
    <w:rsid w:val="009279D7"/>
    <w:rsid w:val="00930B17"/>
    <w:rsid w:val="00931FFA"/>
    <w:rsid w:val="00932C1D"/>
    <w:rsid w:val="00932F45"/>
    <w:rsid w:val="00935B3A"/>
    <w:rsid w:val="009361AF"/>
    <w:rsid w:val="0093661C"/>
    <w:rsid w:val="00936C43"/>
    <w:rsid w:val="00941594"/>
    <w:rsid w:val="00941D93"/>
    <w:rsid w:val="00941EDA"/>
    <w:rsid w:val="00941FB9"/>
    <w:rsid w:val="00942ECA"/>
    <w:rsid w:val="0094395A"/>
    <w:rsid w:val="009450B4"/>
    <w:rsid w:val="009452B5"/>
    <w:rsid w:val="0094549B"/>
    <w:rsid w:val="009459C8"/>
    <w:rsid w:val="00947651"/>
    <w:rsid w:val="009503F5"/>
    <w:rsid w:val="00951C85"/>
    <w:rsid w:val="009527F7"/>
    <w:rsid w:val="00953DD9"/>
    <w:rsid w:val="00954862"/>
    <w:rsid w:val="009549C2"/>
    <w:rsid w:val="00954A3C"/>
    <w:rsid w:val="009607E6"/>
    <w:rsid w:val="00961484"/>
    <w:rsid w:val="009625EB"/>
    <w:rsid w:val="009647E3"/>
    <w:rsid w:val="009648A0"/>
    <w:rsid w:val="00965628"/>
    <w:rsid w:val="00965767"/>
    <w:rsid w:val="00971B4C"/>
    <w:rsid w:val="00972B4E"/>
    <w:rsid w:val="00973682"/>
    <w:rsid w:val="009744CE"/>
    <w:rsid w:val="009746C6"/>
    <w:rsid w:val="00974CE9"/>
    <w:rsid w:val="009752DF"/>
    <w:rsid w:val="00975F75"/>
    <w:rsid w:val="0097644B"/>
    <w:rsid w:val="00976B06"/>
    <w:rsid w:val="00980C10"/>
    <w:rsid w:val="0098149C"/>
    <w:rsid w:val="009815A5"/>
    <w:rsid w:val="00983D63"/>
    <w:rsid w:val="00984878"/>
    <w:rsid w:val="009852B6"/>
    <w:rsid w:val="009874B8"/>
    <w:rsid w:val="009874BB"/>
    <w:rsid w:val="0099049A"/>
    <w:rsid w:val="0099081A"/>
    <w:rsid w:val="00990CC3"/>
    <w:rsid w:val="00991B7E"/>
    <w:rsid w:val="00991D2F"/>
    <w:rsid w:val="00993BC4"/>
    <w:rsid w:val="0099487F"/>
    <w:rsid w:val="00994C8A"/>
    <w:rsid w:val="009957A4"/>
    <w:rsid w:val="00995C82"/>
    <w:rsid w:val="00996E95"/>
    <w:rsid w:val="0099744E"/>
    <w:rsid w:val="00997FDF"/>
    <w:rsid w:val="009A1354"/>
    <w:rsid w:val="009A349A"/>
    <w:rsid w:val="009A3E4F"/>
    <w:rsid w:val="009A4C9C"/>
    <w:rsid w:val="009A6A74"/>
    <w:rsid w:val="009B0379"/>
    <w:rsid w:val="009B0C73"/>
    <w:rsid w:val="009B1E94"/>
    <w:rsid w:val="009B3022"/>
    <w:rsid w:val="009B5672"/>
    <w:rsid w:val="009B746F"/>
    <w:rsid w:val="009C103D"/>
    <w:rsid w:val="009C14FF"/>
    <w:rsid w:val="009C1BA3"/>
    <w:rsid w:val="009C2537"/>
    <w:rsid w:val="009C3442"/>
    <w:rsid w:val="009C4DFB"/>
    <w:rsid w:val="009C562F"/>
    <w:rsid w:val="009C5F76"/>
    <w:rsid w:val="009C748B"/>
    <w:rsid w:val="009C7CBB"/>
    <w:rsid w:val="009D259C"/>
    <w:rsid w:val="009D2689"/>
    <w:rsid w:val="009D2F2D"/>
    <w:rsid w:val="009D3AF4"/>
    <w:rsid w:val="009D4179"/>
    <w:rsid w:val="009D5195"/>
    <w:rsid w:val="009D579D"/>
    <w:rsid w:val="009D6533"/>
    <w:rsid w:val="009E0125"/>
    <w:rsid w:val="009E0FEB"/>
    <w:rsid w:val="009E1470"/>
    <w:rsid w:val="009E3014"/>
    <w:rsid w:val="009E6781"/>
    <w:rsid w:val="009F0C7E"/>
    <w:rsid w:val="009F0F4B"/>
    <w:rsid w:val="009F2A3B"/>
    <w:rsid w:val="009F2B33"/>
    <w:rsid w:val="009F57C5"/>
    <w:rsid w:val="009F68DE"/>
    <w:rsid w:val="00A007FA"/>
    <w:rsid w:val="00A03346"/>
    <w:rsid w:val="00A038A1"/>
    <w:rsid w:val="00A041AA"/>
    <w:rsid w:val="00A047E5"/>
    <w:rsid w:val="00A0570C"/>
    <w:rsid w:val="00A059AE"/>
    <w:rsid w:val="00A06107"/>
    <w:rsid w:val="00A07276"/>
    <w:rsid w:val="00A102D9"/>
    <w:rsid w:val="00A107CC"/>
    <w:rsid w:val="00A11039"/>
    <w:rsid w:val="00A12EED"/>
    <w:rsid w:val="00A13B0F"/>
    <w:rsid w:val="00A14A9A"/>
    <w:rsid w:val="00A14E1D"/>
    <w:rsid w:val="00A15F27"/>
    <w:rsid w:val="00A1631B"/>
    <w:rsid w:val="00A165A3"/>
    <w:rsid w:val="00A174B5"/>
    <w:rsid w:val="00A20952"/>
    <w:rsid w:val="00A21617"/>
    <w:rsid w:val="00A22B8B"/>
    <w:rsid w:val="00A251B7"/>
    <w:rsid w:val="00A251DE"/>
    <w:rsid w:val="00A25484"/>
    <w:rsid w:val="00A25B2B"/>
    <w:rsid w:val="00A25E3C"/>
    <w:rsid w:val="00A271BD"/>
    <w:rsid w:val="00A27E9B"/>
    <w:rsid w:val="00A3131C"/>
    <w:rsid w:val="00A33495"/>
    <w:rsid w:val="00A345A0"/>
    <w:rsid w:val="00A36A7A"/>
    <w:rsid w:val="00A37C35"/>
    <w:rsid w:val="00A37E4D"/>
    <w:rsid w:val="00A41059"/>
    <w:rsid w:val="00A41275"/>
    <w:rsid w:val="00A41C60"/>
    <w:rsid w:val="00A43182"/>
    <w:rsid w:val="00A43298"/>
    <w:rsid w:val="00A44EB6"/>
    <w:rsid w:val="00A46F84"/>
    <w:rsid w:val="00A470DB"/>
    <w:rsid w:val="00A47B44"/>
    <w:rsid w:val="00A53C8D"/>
    <w:rsid w:val="00A54D42"/>
    <w:rsid w:val="00A5515A"/>
    <w:rsid w:val="00A5589D"/>
    <w:rsid w:val="00A55B34"/>
    <w:rsid w:val="00A57446"/>
    <w:rsid w:val="00A5746B"/>
    <w:rsid w:val="00A6173F"/>
    <w:rsid w:val="00A61C54"/>
    <w:rsid w:val="00A61D64"/>
    <w:rsid w:val="00A62F0C"/>
    <w:rsid w:val="00A632DB"/>
    <w:rsid w:val="00A64077"/>
    <w:rsid w:val="00A662B5"/>
    <w:rsid w:val="00A666BE"/>
    <w:rsid w:val="00A7105A"/>
    <w:rsid w:val="00A71230"/>
    <w:rsid w:val="00A71A0E"/>
    <w:rsid w:val="00A729A4"/>
    <w:rsid w:val="00A73C46"/>
    <w:rsid w:val="00A73E71"/>
    <w:rsid w:val="00A764E3"/>
    <w:rsid w:val="00A76E40"/>
    <w:rsid w:val="00A8070F"/>
    <w:rsid w:val="00A80953"/>
    <w:rsid w:val="00A811D4"/>
    <w:rsid w:val="00A8343F"/>
    <w:rsid w:val="00A8376F"/>
    <w:rsid w:val="00A845D3"/>
    <w:rsid w:val="00A86315"/>
    <w:rsid w:val="00A8756F"/>
    <w:rsid w:val="00A91ACF"/>
    <w:rsid w:val="00A92B01"/>
    <w:rsid w:val="00A9433C"/>
    <w:rsid w:val="00A958A4"/>
    <w:rsid w:val="00A96009"/>
    <w:rsid w:val="00A9606A"/>
    <w:rsid w:val="00A97911"/>
    <w:rsid w:val="00AA097A"/>
    <w:rsid w:val="00AA12AC"/>
    <w:rsid w:val="00AA15BC"/>
    <w:rsid w:val="00AA188C"/>
    <w:rsid w:val="00AA18BA"/>
    <w:rsid w:val="00AA3B28"/>
    <w:rsid w:val="00AA4660"/>
    <w:rsid w:val="00AA480B"/>
    <w:rsid w:val="00AA4D21"/>
    <w:rsid w:val="00AA4DEB"/>
    <w:rsid w:val="00AA69EA"/>
    <w:rsid w:val="00AA6E45"/>
    <w:rsid w:val="00AB0E0D"/>
    <w:rsid w:val="00AB198A"/>
    <w:rsid w:val="00AB46E4"/>
    <w:rsid w:val="00AB47B8"/>
    <w:rsid w:val="00AB54F0"/>
    <w:rsid w:val="00AB66B6"/>
    <w:rsid w:val="00AC04BE"/>
    <w:rsid w:val="00AC08A1"/>
    <w:rsid w:val="00AC1040"/>
    <w:rsid w:val="00AC2669"/>
    <w:rsid w:val="00AC2AC0"/>
    <w:rsid w:val="00AC2CD0"/>
    <w:rsid w:val="00AC3A9B"/>
    <w:rsid w:val="00AC4CFE"/>
    <w:rsid w:val="00AC4E06"/>
    <w:rsid w:val="00AC4F1D"/>
    <w:rsid w:val="00AC5228"/>
    <w:rsid w:val="00AC5439"/>
    <w:rsid w:val="00AC5997"/>
    <w:rsid w:val="00AC7CE6"/>
    <w:rsid w:val="00AD130C"/>
    <w:rsid w:val="00AD22E2"/>
    <w:rsid w:val="00AD2485"/>
    <w:rsid w:val="00AD34BA"/>
    <w:rsid w:val="00AD5027"/>
    <w:rsid w:val="00AD6E65"/>
    <w:rsid w:val="00AD713D"/>
    <w:rsid w:val="00AE0ECE"/>
    <w:rsid w:val="00AE1F68"/>
    <w:rsid w:val="00AE6090"/>
    <w:rsid w:val="00AE7375"/>
    <w:rsid w:val="00AF169F"/>
    <w:rsid w:val="00AF2028"/>
    <w:rsid w:val="00AF220A"/>
    <w:rsid w:val="00AF3990"/>
    <w:rsid w:val="00AF404B"/>
    <w:rsid w:val="00B0013A"/>
    <w:rsid w:val="00B0133D"/>
    <w:rsid w:val="00B01B3D"/>
    <w:rsid w:val="00B03746"/>
    <w:rsid w:val="00B04946"/>
    <w:rsid w:val="00B052F8"/>
    <w:rsid w:val="00B05D0F"/>
    <w:rsid w:val="00B0615C"/>
    <w:rsid w:val="00B065E6"/>
    <w:rsid w:val="00B070A5"/>
    <w:rsid w:val="00B1071D"/>
    <w:rsid w:val="00B10E6E"/>
    <w:rsid w:val="00B1250D"/>
    <w:rsid w:val="00B12897"/>
    <w:rsid w:val="00B12DB4"/>
    <w:rsid w:val="00B1469A"/>
    <w:rsid w:val="00B14EEE"/>
    <w:rsid w:val="00B166CD"/>
    <w:rsid w:val="00B1740C"/>
    <w:rsid w:val="00B20310"/>
    <w:rsid w:val="00B204F6"/>
    <w:rsid w:val="00B20E2D"/>
    <w:rsid w:val="00B20EB4"/>
    <w:rsid w:val="00B20FB5"/>
    <w:rsid w:val="00B23054"/>
    <w:rsid w:val="00B243BA"/>
    <w:rsid w:val="00B24911"/>
    <w:rsid w:val="00B25310"/>
    <w:rsid w:val="00B26994"/>
    <w:rsid w:val="00B31101"/>
    <w:rsid w:val="00B315F6"/>
    <w:rsid w:val="00B3173B"/>
    <w:rsid w:val="00B31E84"/>
    <w:rsid w:val="00B32C77"/>
    <w:rsid w:val="00B3360E"/>
    <w:rsid w:val="00B350FE"/>
    <w:rsid w:val="00B35BC5"/>
    <w:rsid w:val="00B401A9"/>
    <w:rsid w:val="00B4065E"/>
    <w:rsid w:val="00B41702"/>
    <w:rsid w:val="00B41DEA"/>
    <w:rsid w:val="00B42418"/>
    <w:rsid w:val="00B427C9"/>
    <w:rsid w:val="00B43978"/>
    <w:rsid w:val="00B43F10"/>
    <w:rsid w:val="00B46BD3"/>
    <w:rsid w:val="00B47710"/>
    <w:rsid w:val="00B479DE"/>
    <w:rsid w:val="00B52789"/>
    <w:rsid w:val="00B52B8B"/>
    <w:rsid w:val="00B52FDE"/>
    <w:rsid w:val="00B53543"/>
    <w:rsid w:val="00B548EA"/>
    <w:rsid w:val="00B55F3C"/>
    <w:rsid w:val="00B573FD"/>
    <w:rsid w:val="00B574CE"/>
    <w:rsid w:val="00B575D9"/>
    <w:rsid w:val="00B607A9"/>
    <w:rsid w:val="00B608BA"/>
    <w:rsid w:val="00B61C6B"/>
    <w:rsid w:val="00B6215A"/>
    <w:rsid w:val="00B64D4C"/>
    <w:rsid w:val="00B65C05"/>
    <w:rsid w:val="00B66655"/>
    <w:rsid w:val="00B70CB8"/>
    <w:rsid w:val="00B723E9"/>
    <w:rsid w:val="00B7267A"/>
    <w:rsid w:val="00B727A0"/>
    <w:rsid w:val="00B739FE"/>
    <w:rsid w:val="00B74936"/>
    <w:rsid w:val="00B75AE4"/>
    <w:rsid w:val="00B7721F"/>
    <w:rsid w:val="00B80699"/>
    <w:rsid w:val="00B80D9B"/>
    <w:rsid w:val="00B81381"/>
    <w:rsid w:val="00B81C77"/>
    <w:rsid w:val="00B826C1"/>
    <w:rsid w:val="00B82957"/>
    <w:rsid w:val="00B82F3E"/>
    <w:rsid w:val="00B835C9"/>
    <w:rsid w:val="00B84735"/>
    <w:rsid w:val="00B85336"/>
    <w:rsid w:val="00B85E25"/>
    <w:rsid w:val="00B8620E"/>
    <w:rsid w:val="00B8642E"/>
    <w:rsid w:val="00B864EC"/>
    <w:rsid w:val="00B869C9"/>
    <w:rsid w:val="00B87979"/>
    <w:rsid w:val="00B87C4C"/>
    <w:rsid w:val="00B90D45"/>
    <w:rsid w:val="00B90D59"/>
    <w:rsid w:val="00B9216A"/>
    <w:rsid w:val="00B93E90"/>
    <w:rsid w:val="00B94146"/>
    <w:rsid w:val="00B97068"/>
    <w:rsid w:val="00B971C5"/>
    <w:rsid w:val="00B97A0A"/>
    <w:rsid w:val="00BA02BB"/>
    <w:rsid w:val="00BA05EA"/>
    <w:rsid w:val="00BA0A10"/>
    <w:rsid w:val="00BA5940"/>
    <w:rsid w:val="00BA5FA6"/>
    <w:rsid w:val="00BA7716"/>
    <w:rsid w:val="00BA7D60"/>
    <w:rsid w:val="00BA7E3E"/>
    <w:rsid w:val="00BB062E"/>
    <w:rsid w:val="00BB2E5B"/>
    <w:rsid w:val="00BB322C"/>
    <w:rsid w:val="00BB3B12"/>
    <w:rsid w:val="00BB48F2"/>
    <w:rsid w:val="00BB4F5E"/>
    <w:rsid w:val="00BB533A"/>
    <w:rsid w:val="00BB562E"/>
    <w:rsid w:val="00BB6328"/>
    <w:rsid w:val="00BB64A0"/>
    <w:rsid w:val="00BB6728"/>
    <w:rsid w:val="00BB6DC0"/>
    <w:rsid w:val="00BC0213"/>
    <w:rsid w:val="00BC0283"/>
    <w:rsid w:val="00BC17F5"/>
    <w:rsid w:val="00BC1C9D"/>
    <w:rsid w:val="00BC36C6"/>
    <w:rsid w:val="00BC5590"/>
    <w:rsid w:val="00BC675C"/>
    <w:rsid w:val="00BC78C4"/>
    <w:rsid w:val="00BC7993"/>
    <w:rsid w:val="00BC7ABB"/>
    <w:rsid w:val="00BD0B7F"/>
    <w:rsid w:val="00BD1DB7"/>
    <w:rsid w:val="00BD1DD1"/>
    <w:rsid w:val="00BD307E"/>
    <w:rsid w:val="00BD3155"/>
    <w:rsid w:val="00BD3A66"/>
    <w:rsid w:val="00BD47FF"/>
    <w:rsid w:val="00BD592E"/>
    <w:rsid w:val="00BD6337"/>
    <w:rsid w:val="00BD68E2"/>
    <w:rsid w:val="00BE0B9D"/>
    <w:rsid w:val="00BE3D63"/>
    <w:rsid w:val="00BE44A9"/>
    <w:rsid w:val="00BE4AC3"/>
    <w:rsid w:val="00BE61F6"/>
    <w:rsid w:val="00BE7388"/>
    <w:rsid w:val="00BF0481"/>
    <w:rsid w:val="00BF0560"/>
    <w:rsid w:val="00BF1C88"/>
    <w:rsid w:val="00BF2677"/>
    <w:rsid w:val="00BF2B7B"/>
    <w:rsid w:val="00BF3ABC"/>
    <w:rsid w:val="00BF471B"/>
    <w:rsid w:val="00BF58A4"/>
    <w:rsid w:val="00BF5EC9"/>
    <w:rsid w:val="00BF60E5"/>
    <w:rsid w:val="00C00109"/>
    <w:rsid w:val="00C009E0"/>
    <w:rsid w:val="00C01115"/>
    <w:rsid w:val="00C01398"/>
    <w:rsid w:val="00C0180C"/>
    <w:rsid w:val="00C034AE"/>
    <w:rsid w:val="00C03966"/>
    <w:rsid w:val="00C04C57"/>
    <w:rsid w:val="00C05723"/>
    <w:rsid w:val="00C06088"/>
    <w:rsid w:val="00C062AD"/>
    <w:rsid w:val="00C102F8"/>
    <w:rsid w:val="00C13C08"/>
    <w:rsid w:val="00C13FA9"/>
    <w:rsid w:val="00C1522F"/>
    <w:rsid w:val="00C15BE6"/>
    <w:rsid w:val="00C15E44"/>
    <w:rsid w:val="00C1721F"/>
    <w:rsid w:val="00C17816"/>
    <w:rsid w:val="00C17EEC"/>
    <w:rsid w:val="00C20626"/>
    <w:rsid w:val="00C20C7A"/>
    <w:rsid w:val="00C23585"/>
    <w:rsid w:val="00C23ECE"/>
    <w:rsid w:val="00C266ED"/>
    <w:rsid w:val="00C26CF1"/>
    <w:rsid w:val="00C26D76"/>
    <w:rsid w:val="00C2761D"/>
    <w:rsid w:val="00C276B6"/>
    <w:rsid w:val="00C27B32"/>
    <w:rsid w:val="00C27CB3"/>
    <w:rsid w:val="00C32049"/>
    <w:rsid w:val="00C322B7"/>
    <w:rsid w:val="00C34D64"/>
    <w:rsid w:val="00C3609D"/>
    <w:rsid w:val="00C373F2"/>
    <w:rsid w:val="00C42E98"/>
    <w:rsid w:val="00C47109"/>
    <w:rsid w:val="00C473A7"/>
    <w:rsid w:val="00C5023E"/>
    <w:rsid w:val="00C5058D"/>
    <w:rsid w:val="00C50E0E"/>
    <w:rsid w:val="00C5294C"/>
    <w:rsid w:val="00C52A8C"/>
    <w:rsid w:val="00C52E3B"/>
    <w:rsid w:val="00C53D7E"/>
    <w:rsid w:val="00C54A05"/>
    <w:rsid w:val="00C607A6"/>
    <w:rsid w:val="00C6351F"/>
    <w:rsid w:val="00C67A40"/>
    <w:rsid w:val="00C700B4"/>
    <w:rsid w:val="00C728B1"/>
    <w:rsid w:val="00C73973"/>
    <w:rsid w:val="00C73AE3"/>
    <w:rsid w:val="00C73C9B"/>
    <w:rsid w:val="00C745DA"/>
    <w:rsid w:val="00C751F2"/>
    <w:rsid w:val="00C75552"/>
    <w:rsid w:val="00C775DE"/>
    <w:rsid w:val="00C81286"/>
    <w:rsid w:val="00C8512F"/>
    <w:rsid w:val="00C91609"/>
    <w:rsid w:val="00C929FF"/>
    <w:rsid w:val="00C92F55"/>
    <w:rsid w:val="00C97026"/>
    <w:rsid w:val="00C97FC7"/>
    <w:rsid w:val="00CA053A"/>
    <w:rsid w:val="00CA0616"/>
    <w:rsid w:val="00CA073D"/>
    <w:rsid w:val="00CA09B1"/>
    <w:rsid w:val="00CA1F2A"/>
    <w:rsid w:val="00CA2531"/>
    <w:rsid w:val="00CA2AA6"/>
    <w:rsid w:val="00CA2CF7"/>
    <w:rsid w:val="00CA391D"/>
    <w:rsid w:val="00CA4686"/>
    <w:rsid w:val="00CA4EAE"/>
    <w:rsid w:val="00CB010A"/>
    <w:rsid w:val="00CB125B"/>
    <w:rsid w:val="00CB2E60"/>
    <w:rsid w:val="00CB45C7"/>
    <w:rsid w:val="00CB56D8"/>
    <w:rsid w:val="00CB5DDD"/>
    <w:rsid w:val="00CB6A5F"/>
    <w:rsid w:val="00CB7923"/>
    <w:rsid w:val="00CC0239"/>
    <w:rsid w:val="00CC1632"/>
    <w:rsid w:val="00CC18F4"/>
    <w:rsid w:val="00CC192B"/>
    <w:rsid w:val="00CC392D"/>
    <w:rsid w:val="00CC3DFF"/>
    <w:rsid w:val="00CC45D7"/>
    <w:rsid w:val="00CC476D"/>
    <w:rsid w:val="00CC4BDE"/>
    <w:rsid w:val="00CC594F"/>
    <w:rsid w:val="00CC59DA"/>
    <w:rsid w:val="00CC654C"/>
    <w:rsid w:val="00CC68F5"/>
    <w:rsid w:val="00CC6B2F"/>
    <w:rsid w:val="00CD03AF"/>
    <w:rsid w:val="00CD0AE2"/>
    <w:rsid w:val="00CD180E"/>
    <w:rsid w:val="00CD2678"/>
    <w:rsid w:val="00CD2B8A"/>
    <w:rsid w:val="00CD3342"/>
    <w:rsid w:val="00CD7D26"/>
    <w:rsid w:val="00CE205D"/>
    <w:rsid w:val="00CE2793"/>
    <w:rsid w:val="00CE3553"/>
    <w:rsid w:val="00CE4330"/>
    <w:rsid w:val="00CE6362"/>
    <w:rsid w:val="00CE640E"/>
    <w:rsid w:val="00CE648E"/>
    <w:rsid w:val="00CE6523"/>
    <w:rsid w:val="00CE6EE3"/>
    <w:rsid w:val="00CE7836"/>
    <w:rsid w:val="00CF0317"/>
    <w:rsid w:val="00CF086F"/>
    <w:rsid w:val="00CF19AD"/>
    <w:rsid w:val="00CF24F1"/>
    <w:rsid w:val="00CF2517"/>
    <w:rsid w:val="00CF2F8F"/>
    <w:rsid w:val="00CF301E"/>
    <w:rsid w:val="00CF36E3"/>
    <w:rsid w:val="00CF5E7B"/>
    <w:rsid w:val="00CF6C55"/>
    <w:rsid w:val="00D0230B"/>
    <w:rsid w:val="00D027B2"/>
    <w:rsid w:val="00D03D65"/>
    <w:rsid w:val="00D03F08"/>
    <w:rsid w:val="00D05043"/>
    <w:rsid w:val="00D050C0"/>
    <w:rsid w:val="00D05274"/>
    <w:rsid w:val="00D05CEE"/>
    <w:rsid w:val="00D06C5E"/>
    <w:rsid w:val="00D06CBC"/>
    <w:rsid w:val="00D079CB"/>
    <w:rsid w:val="00D10772"/>
    <w:rsid w:val="00D108F2"/>
    <w:rsid w:val="00D110B2"/>
    <w:rsid w:val="00D1167B"/>
    <w:rsid w:val="00D126A3"/>
    <w:rsid w:val="00D1283B"/>
    <w:rsid w:val="00D12F62"/>
    <w:rsid w:val="00D13E0F"/>
    <w:rsid w:val="00D14101"/>
    <w:rsid w:val="00D1427B"/>
    <w:rsid w:val="00D172B7"/>
    <w:rsid w:val="00D17AFA"/>
    <w:rsid w:val="00D20270"/>
    <w:rsid w:val="00D2084F"/>
    <w:rsid w:val="00D22793"/>
    <w:rsid w:val="00D22B21"/>
    <w:rsid w:val="00D2331A"/>
    <w:rsid w:val="00D23933"/>
    <w:rsid w:val="00D24EB4"/>
    <w:rsid w:val="00D25050"/>
    <w:rsid w:val="00D2551B"/>
    <w:rsid w:val="00D25DE5"/>
    <w:rsid w:val="00D26D1C"/>
    <w:rsid w:val="00D3001C"/>
    <w:rsid w:val="00D310C9"/>
    <w:rsid w:val="00D328E2"/>
    <w:rsid w:val="00D33AF6"/>
    <w:rsid w:val="00D33BC7"/>
    <w:rsid w:val="00D33D6B"/>
    <w:rsid w:val="00D3618D"/>
    <w:rsid w:val="00D36671"/>
    <w:rsid w:val="00D36B4F"/>
    <w:rsid w:val="00D3788E"/>
    <w:rsid w:val="00D415AE"/>
    <w:rsid w:val="00D426C6"/>
    <w:rsid w:val="00D4326F"/>
    <w:rsid w:val="00D472A6"/>
    <w:rsid w:val="00D50BE0"/>
    <w:rsid w:val="00D50FC3"/>
    <w:rsid w:val="00D5236C"/>
    <w:rsid w:val="00D53937"/>
    <w:rsid w:val="00D53CEA"/>
    <w:rsid w:val="00D54D22"/>
    <w:rsid w:val="00D567F0"/>
    <w:rsid w:val="00D56844"/>
    <w:rsid w:val="00D56CF6"/>
    <w:rsid w:val="00D570FD"/>
    <w:rsid w:val="00D577D1"/>
    <w:rsid w:val="00D57F9B"/>
    <w:rsid w:val="00D6047F"/>
    <w:rsid w:val="00D612F2"/>
    <w:rsid w:val="00D63173"/>
    <w:rsid w:val="00D64608"/>
    <w:rsid w:val="00D64C12"/>
    <w:rsid w:val="00D67133"/>
    <w:rsid w:val="00D70103"/>
    <w:rsid w:val="00D704D0"/>
    <w:rsid w:val="00D71D7B"/>
    <w:rsid w:val="00D71F77"/>
    <w:rsid w:val="00D722E8"/>
    <w:rsid w:val="00D72888"/>
    <w:rsid w:val="00D72D38"/>
    <w:rsid w:val="00D739E2"/>
    <w:rsid w:val="00D73D61"/>
    <w:rsid w:val="00D7472A"/>
    <w:rsid w:val="00D75147"/>
    <w:rsid w:val="00D75FCA"/>
    <w:rsid w:val="00D77BBF"/>
    <w:rsid w:val="00D80D59"/>
    <w:rsid w:val="00D81055"/>
    <w:rsid w:val="00D81460"/>
    <w:rsid w:val="00D8343B"/>
    <w:rsid w:val="00D840DC"/>
    <w:rsid w:val="00D8539B"/>
    <w:rsid w:val="00D85941"/>
    <w:rsid w:val="00D85C2F"/>
    <w:rsid w:val="00D87D11"/>
    <w:rsid w:val="00D90121"/>
    <w:rsid w:val="00D91F34"/>
    <w:rsid w:val="00D9257C"/>
    <w:rsid w:val="00D9291B"/>
    <w:rsid w:val="00D93433"/>
    <w:rsid w:val="00D96A7F"/>
    <w:rsid w:val="00D96C62"/>
    <w:rsid w:val="00D96E47"/>
    <w:rsid w:val="00DA02FA"/>
    <w:rsid w:val="00DA089B"/>
    <w:rsid w:val="00DA0FE8"/>
    <w:rsid w:val="00DA1E44"/>
    <w:rsid w:val="00DA1FC0"/>
    <w:rsid w:val="00DA20C1"/>
    <w:rsid w:val="00DA21D0"/>
    <w:rsid w:val="00DA2B8B"/>
    <w:rsid w:val="00DA4F95"/>
    <w:rsid w:val="00DA5EE9"/>
    <w:rsid w:val="00DA7D92"/>
    <w:rsid w:val="00DB0160"/>
    <w:rsid w:val="00DB0519"/>
    <w:rsid w:val="00DB229B"/>
    <w:rsid w:val="00DB344E"/>
    <w:rsid w:val="00DB3495"/>
    <w:rsid w:val="00DB3B07"/>
    <w:rsid w:val="00DB3EFD"/>
    <w:rsid w:val="00DB4207"/>
    <w:rsid w:val="00DB6220"/>
    <w:rsid w:val="00DB76D2"/>
    <w:rsid w:val="00DB7916"/>
    <w:rsid w:val="00DC3EE4"/>
    <w:rsid w:val="00DC7CE8"/>
    <w:rsid w:val="00DC7CEE"/>
    <w:rsid w:val="00DD14E5"/>
    <w:rsid w:val="00DD1837"/>
    <w:rsid w:val="00DD3B9F"/>
    <w:rsid w:val="00DD477A"/>
    <w:rsid w:val="00DD51E3"/>
    <w:rsid w:val="00DD79B5"/>
    <w:rsid w:val="00DE4B48"/>
    <w:rsid w:val="00DE4C7C"/>
    <w:rsid w:val="00DE4DBE"/>
    <w:rsid w:val="00DE4E3B"/>
    <w:rsid w:val="00DE4F41"/>
    <w:rsid w:val="00DE51B1"/>
    <w:rsid w:val="00DE5BAB"/>
    <w:rsid w:val="00DE6954"/>
    <w:rsid w:val="00DE79D5"/>
    <w:rsid w:val="00DF2B90"/>
    <w:rsid w:val="00DF3677"/>
    <w:rsid w:val="00DF4201"/>
    <w:rsid w:val="00DF55C7"/>
    <w:rsid w:val="00DF5750"/>
    <w:rsid w:val="00DF66D3"/>
    <w:rsid w:val="00DF72C6"/>
    <w:rsid w:val="00E00294"/>
    <w:rsid w:val="00E00C08"/>
    <w:rsid w:val="00E02045"/>
    <w:rsid w:val="00E02B28"/>
    <w:rsid w:val="00E040F0"/>
    <w:rsid w:val="00E064E1"/>
    <w:rsid w:val="00E079F9"/>
    <w:rsid w:val="00E10685"/>
    <w:rsid w:val="00E11A27"/>
    <w:rsid w:val="00E12B1E"/>
    <w:rsid w:val="00E134A3"/>
    <w:rsid w:val="00E14090"/>
    <w:rsid w:val="00E15496"/>
    <w:rsid w:val="00E16E26"/>
    <w:rsid w:val="00E1794E"/>
    <w:rsid w:val="00E20802"/>
    <w:rsid w:val="00E224C0"/>
    <w:rsid w:val="00E22696"/>
    <w:rsid w:val="00E233B0"/>
    <w:rsid w:val="00E23C39"/>
    <w:rsid w:val="00E24746"/>
    <w:rsid w:val="00E26CA1"/>
    <w:rsid w:val="00E27536"/>
    <w:rsid w:val="00E32C25"/>
    <w:rsid w:val="00E34AD5"/>
    <w:rsid w:val="00E36007"/>
    <w:rsid w:val="00E3776C"/>
    <w:rsid w:val="00E377E0"/>
    <w:rsid w:val="00E401A7"/>
    <w:rsid w:val="00E41984"/>
    <w:rsid w:val="00E422C5"/>
    <w:rsid w:val="00E43365"/>
    <w:rsid w:val="00E4392B"/>
    <w:rsid w:val="00E43BBC"/>
    <w:rsid w:val="00E441C9"/>
    <w:rsid w:val="00E45462"/>
    <w:rsid w:val="00E45545"/>
    <w:rsid w:val="00E4784B"/>
    <w:rsid w:val="00E50316"/>
    <w:rsid w:val="00E51146"/>
    <w:rsid w:val="00E51ECC"/>
    <w:rsid w:val="00E52717"/>
    <w:rsid w:val="00E52872"/>
    <w:rsid w:val="00E5667E"/>
    <w:rsid w:val="00E56B59"/>
    <w:rsid w:val="00E578A0"/>
    <w:rsid w:val="00E6194F"/>
    <w:rsid w:val="00E65062"/>
    <w:rsid w:val="00E654E4"/>
    <w:rsid w:val="00E6632E"/>
    <w:rsid w:val="00E66EB5"/>
    <w:rsid w:val="00E67C8E"/>
    <w:rsid w:val="00E7241C"/>
    <w:rsid w:val="00E7276D"/>
    <w:rsid w:val="00E72A43"/>
    <w:rsid w:val="00E7365D"/>
    <w:rsid w:val="00E76D2D"/>
    <w:rsid w:val="00E76D45"/>
    <w:rsid w:val="00E8046A"/>
    <w:rsid w:val="00E806B6"/>
    <w:rsid w:val="00E80742"/>
    <w:rsid w:val="00E81214"/>
    <w:rsid w:val="00E816C8"/>
    <w:rsid w:val="00E82CBF"/>
    <w:rsid w:val="00E85623"/>
    <w:rsid w:val="00E86135"/>
    <w:rsid w:val="00E878E9"/>
    <w:rsid w:val="00E9051E"/>
    <w:rsid w:val="00E90DB3"/>
    <w:rsid w:val="00E92C5F"/>
    <w:rsid w:val="00E94337"/>
    <w:rsid w:val="00E946E9"/>
    <w:rsid w:val="00E9585B"/>
    <w:rsid w:val="00E9692C"/>
    <w:rsid w:val="00E971A0"/>
    <w:rsid w:val="00E9745C"/>
    <w:rsid w:val="00E97D23"/>
    <w:rsid w:val="00EA0D0D"/>
    <w:rsid w:val="00EA1719"/>
    <w:rsid w:val="00EA192D"/>
    <w:rsid w:val="00EA2E19"/>
    <w:rsid w:val="00EA345D"/>
    <w:rsid w:val="00EA44CC"/>
    <w:rsid w:val="00EA5421"/>
    <w:rsid w:val="00EA5CE8"/>
    <w:rsid w:val="00EA5D91"/>
    <w:rsid w:val="00EA772B"/>
    <w:rsid w:val="00EB2387"/>
    <w:rsid w:val="00EB37FE"/>
    <w:rsid w:val="00EB385D"/>
    <w:rsid w:val="00EB4539"/>
    <w:rsid w:val="00EB5100"/>
    <w:rsid w:val="00EB6513"/>
    <w:rsid w:val="00EB6DC7"/>
    <w:rsid w:val="00EB7112"/>
    <w:rsid w:val="00EB7D93"/>
    <w:rsid w:val="00EC01C4"/>
    <w:rsid w:val="00EC32E6"/>
    <w:rsid w:val="00EC3333"/>
    <w:rsid w:val="00EC500B"/>
    <w:rsid w:val="00ED3861"/>
    <w:rsid w:val="00ED4010"/>
    <w:rsid w:val="00ED54FE"/>
    <w:rsid w:val="00ED566C"/>
    <w:rsid w:val="00ED7054"/>
    <w:rsid w:val="00EE06F8"/>
    <w:rsid w:val="00EE3E8E"/>
    <w:rsid w:val="00EE48EE"/>
    <w:rsid w:val="00EE4BB8"/>
    <w:rsid w:val="00EE51C7"/>
    <w:rsid w:val="00EE576B"/>
    <w:rsid w:val="00EE7451"/>
    <w:rsid w:val="00EE7BD5"/>
    <w:rsid w:val="00EE7E5D"/>
    <w:rsid w:val="00EE7F86"/>
    <w:rsid w:val="00EF0760"/>
    <w:rsid w:val="00EF1415"/>
    <w:rsid w:val="00EF1775"/>
    <w:rsid w:val="00EF1B73"/>
    <w:rsid w:val="00EF5727"/>
    <w:rsid w:val="00EF5D2D"/>
    <w:rsid w:val="00EF60DF"/>
    <w:rsid w:val="00EF65DB"/>
    <w:rsid w:val="00EF6F88"/>
    <w:rsid w:val="00EF71CA"/>
    <w:rsid w:val="00EF75ED"/>
    <w:rsid w:val="00F007AA"/>
    <w:rsid w:val="00F0283C"/>
    <w:rsid w:val="00F0544A"/>
    <w:rsid w:val="00F05770"/>
    <w:rsid w:val="00F05B10"/>
    <w:rsid w:val="00F05F9A"/>
    <w:rsid w:val="00F06F66"/>
    <w:rsid w:val="00F07898"/>
    <w:rsid w:val="00F10315"/>
    <w:rsid w:val="00F1104F"/>
    <w:rsid w:val="00F12E73"/>
    <w:rsid w:val="00F152B6"/>
    <w:rsid w:val="00F1530C"/>
    <w:rsid w:val="00F15FD8"/>
    <w:rsid w:val="00F16A9C"/>
    <w:rsid w:val="00F177CD"/>
    <w:rsid w:val="00F2017B"/>
    <w:rsid w:val="00F202DE"/>
    <w:rsid w:val="00F207BE"/>
    <w:rsid w:val="00F22C91"/>
    <w:rsid w:val="00F23616"/>
    <w:rsid w:val="00F254AA"/>
    <w:rsid w:val="00F25BC8"/>
    <w:rsid w:val="00F25D8C"/>
    <w:rsid w:val="00F270E9"/>
    <w:rsid w:val="00F30D2A"/>
    <w:rsid w:val="00F30F8F"/>
    <w:rsid w:val="00F312DC"/>
    <w:rsid w:val="00F32B26"/>
    <w:rsid w:val="00F334C5"/>
    <w:rsid w:val="00F33EF7"/>
    <w:rsid w:val="00F34744"/>
    <w:rsid w:val="00F35535"/>
    <w:rsid w:val="00F3586B"/>
    <w:rsid w:val="00F368E1"/>
    <w:rsid w:val="00F379E7"/>
    <w:rsid w:val="00F37BA5"/>
    <w:rsid w:val="00F37ED8"/>
    <w:rsid w:val="00F4013D"/>
    <w:rsid w:val="00F40317"/>
    <w:rsid w:val="00F40F2C"/>
    <w:rsid w:val="00F41A3E"/>
    <w:rsid w:val="00F41D0C"/>
    <w:rsid w:val="00F41FF7"/>
    <w:rsid w:val="00F42567"/>
    <w:rsid w:val="00F42AE2"/>
    <w:rsid w:val="00F43B67"/>
    <w:rsid w:val="00F44353"/>
    <w:rsid w:val="00F47667"/>
    <w:rsid w:val="00F47E24"/>
    <w:rsid w:val="00F5052A"/>
    <w:rsid w:val="00F50B84"/>
    <w:rsid w:val="00F51807"/>
    <w:rsid w:val="00F5194F"/>
    <w:rsid w:val="00F520E8"/>
    <w:rsid w:val="00F53DCA"/>
    <w:rsid w:val="00F541F8"/>
    <w:rsid w:val="00F5448D"/>
    <w:rsid w:val="00F54DF8"/>
    <w:rsid w:val="00F5550B"/>
    <w:rsid w:val="00F55BDE"/>
    <w:rsid w:val="00F56CC9"/>
    <w:rsid w:val="00F5707A"/>
    <w:rsid w:val="00F60F6B"/>
    <w:rsid w:val="00F61F9B"/>
    <w:rsid w:val="00F65826"/>
    <w:rsid w:val="00F669E3"/>
    <w:rsid w:val="00F6708F"/>
    <w:rsid w:val="00F679D2"/>
    <w:rsid w:val="00F71FE1"/>
    <w:rsid w:val="00F73DF5"/>
    <w:rsid w:val="00F742E1"/>
    <w:rsid w:val="00F74BD2"/>
    <w:rsid w:val="00F74CC1"/>
    <w:rsid w:val="00F74E12"/>
    <w:rsid w:val="00F76080"/>
    <w:rsid w:val="00F80671"/>
    <w:rsid w:val="00F8092C"/>
    <w:rsid w:val="00F81211"/>
    <w:rsid w:val="00F8245F"/>
    <w:rsid w:val="00F8291D"/>
    <w:rsid w:val="00F839B8"/>
    <w:rsid w:val="00F84A9F"/>
    <w:rsid w:val="00F87EE2"/>
    <w:rsid w:val="00F9102E"/>
    <w:rsid w:val="00F9149E"/>
    <w:rsid w:val="00F915C9"/>
    <w:rsid w:val="00F919D7"/>
    <w:rsid w:val="00F91F94"/>
    <w:rsid w:val="00F92AC8"/>
    <w:rsid w:val="00F92D48"/>
    <w:rsid w:val="00F92E2A"/>
    <w:rsid w:val="00F93095"/>
    <w:rsid w:val="00F931ED"/>
    <w:rsid w:val="00F939FA"/>
    <w:rsid w:val="00F94228"/>
    <w:rsid w:val="00F9635B"/>
    <w:rsid w:val="00F96482"/>
    <w:rsid w:val="00F966CC"/>
    <w:rsid w:val="00F96E5E"/>
    <w:rsid w:val="00F97574"/>
    <w:rsid w:val="00F975FE"/>
    <w:rsid w:val="00FA02F8"/>
    <w:rsid w:val="00FA3471"/>
    <w:rsid w:val="00FA697D"/>
    <w:rsid w:val="00FA77F3"/>
    <w:rsid w:val="00FA79D8"/>
    <w:rsid w:val="00FB0E60"/>
    <w:rsid w:val="00FB22D0"/>
    <w:rsid w:val="00FB317A"/>
    <w:rsid w:val="00FB4266"/>
    <w:rsid w:val="00FB4282"/>
    <w:rsid w:val="00FB643B"/>
    <w:rsid w:val="00FB6731"/>
    <w:rsid w:val="00FB6D09"/>
    <w:rsid w:val="00FC1413"/>
    <w:rsid w:val="00FC192D"/>
    <w:rsid w:val="00FC4645"/>
    <w:rsid w:val="00FC57A8"/>
    <w:rsid w:val="00FC5ED9"/>
    <w:rsid w:val="00FC6765"/>
    <w:rsid w:val="00FC723A"/>
    <w:rsid w:val="00FD0204"/>
    <w:rsid w:val="00FD0840"/>
    <w:rsid w:val="00FD48B6"/>
    <w:rsid w:val="00FD4A49"/>
    <w:rsid w:val="00FD6384"/>
    <w:rsid w:val="00FD71CF"/>
    <w:rsid w:val="00FE09F2"/>
    <w:rsid w:val="00FE0B94"/>
    <w:rsid w:val="00FE0DFF"/>
    <w:rsid w:val="00FE13AD"/>
    <w:rsid w:val="00FE1FA6"/>
    <w:rsid w:val="00FE1FB9"/>
    <w:rsid w:val="00FE26F1"/>
    <w:rsid w:val="00FE2C3F"/>
    <w:rsid w:val="00FE4560"/>
    <w:rsid w:val="00FE5038"/>
    <w:rsid w:val="00FE77EB"/>
    <w:rsid w:val="00FE7FAB"/>
    <w:rsid w:val="00FF038E"/>
    <w:rsid w:val="00FF1A74"/>
    <w:rsid w:val="00FF2C26"/>
    <w:rsid w:val="00FF2EDD"/>
    <w:rsid w:val="00FF31F8"/>
    <w:rsid w:val="00FF3BE8"/>
    <w:rsid w:val="00FF5822"/>
    <w:rsid w:val="00FF5889"/>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E1DCB"/>
  <w15:docId w15:val="{DB25C1B3-D8B6-4B93-84A3-18E18241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EndnoteText">
    <w:name w:val="endnote text"/>
    <w:basedOn w:val="Normal"/>
    <w:link w:val="EndnoteTextChar"/>
    <w:rsid w:val="00794FB9"/>
    <w:rPr>
      <w:sz w:val="20"/>
      <w:szCs w:val="20"/>
    </w:rPr>
  </w:style>
  <w:style w:type="character" w:customStyle="1" w:styleId="EndnoteTextChar">
    <w:name w:val="Endnote Text Char"/>
    <w:basedOn w:val="DefaultParagraphFont"/>
    <w:link w:val="EndnoteText"/>
    <w:rsid w:val="00794FB9"/>
  </w:style>
  <w:style w:type="character" w:styleId="EndnoteReference">
    <w:name w:val="endnote reference"/>
    <w:basedOn w:val="DefaultParagraphFont"/>
    <w:rsid w:val="00794FB9"/>
    <w:rPr>
      <w:vertAlign w:val="superscript"/>
    </w:rPr>
  </w:style>
  <w:style w:type="paragraph" w:styleId="Revision">
    <w:name w:val="Revision"/>
    <w:hidden/>
    <w:uiPriority w:val="99"/>
    <w:semiHidden/>
    <w:rsid w:val="00C73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210967518">
      <w:bodyDiv w:val="1"/>
      <w:marLeft w:val="0"/>
      <w:marRight w:val="0"/>
      <w:marTop w:val="0"/>
      <w:marBottom w:val="0"/>
      <w:divBdr>
        <w:top w:val="none" w:sz="0" w:space="0" w:color="auto"/>
        <w:left w:val="none" w:sz="0" w:space="0" w:color="auto"/>
        <w:bottom w:val="none" w:sz="0" w:space="0" w:color="auto"/>
        <w:right w:val="none" w:sz="0" w:space="0" w:color="auto"/>
      </w:divBdr>
    </w:div>
    <w:div w:id="292836079">
      <w:bodyDiv w:val="1"/>
      <w:marLeft w:val="0"/>
      <w:marRight w:val="0"/>
      <w:marTop w:val="0"/>
      <w:marBottom w:val="0"/>
      <w:divBdr>
        <w:top w:val="none" w:sz="0" w:space="0" w:color="auto"/>
        <w:left w:val="none" w:sz="0" w:space="0" w:color="auto"/>
        <w:bottom w:val="none" w:sz="0" w:space="0" w:color="auto"/>
        <w:right w:val="none" w:sz="0" w:space="0" w:color="auto"/>
      </w:divBdr>
    </w:div>
    <w:div w:id="376248118">
      <w:bodyDiv w:val="1"/>
      <w:marLeft w:val="0"/>
      <w:marRight w:val="0"/>
      <w:marTop w:val="0"/>
      <w:marBottom w:val="0"/>
      <w:divBdr>
        <w:top w:val="none" w:sz="0" w:space="0" w:color="auto"/>
        <w:left w:val="none" w:sz="0" w:space="0" w:color="auto"/>
        <w:bottom w:val="none" w:sz="0" w:space="0" w:color="auto"/>
        <w:right w:val="none" w:sz="0" w:space="0" w:color="auto"/>
      </w:divBdr>
    </w:div>
    <w:div w:id="697395761">
      <w:bodyDiv w:val="1"/>
      <w:marLeft w:val="0"/>
      <w:marRight w:val="0"/>
      <w:marTop w:val="0"/>
      <w:marBottom w:val="0"/>
      <w:divBdr>
        <w:top w:val="none" w:sz="0" w:space="0" w:color="auto"/>
        <w:left w:val="none" w:sz="0" w:space="0" w:color="auto"/>
        <w:bottom w:val="none" w:sz="0" w:space="0" w:color="auto"/>
        <w:right w:val="none" w:sz="0" w:space="0" w:color="auto"/>
      </w:divBdr>
    </w:div>
    <w:div w:id="747076437">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53823548">
      <w:bodyDiv w:val="1"/>
      <w:marLeft w:val="0"/>
      <w:marRight w:val="0"/>
      <w:marTop w:val="0"/>
      <w:marBottom w:val="0"/>
      <w:divBdr>
        <w:top w:val="none" w:sz="0" w:space="0" w:color="auto"/>
        <w:left w:val="none" w:sz="0" w:space="0" w:color="auto"/>
        <w:bottom w:val="none" w:sz="0" w:space="0" w:color="auto"/>
        <w:right w:val="none" w:sz="0" w:space="0" w:color="auto"/>
      </w:divBdr>
    </w:div>
    <w:div w:id="1003625078">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883976195">
      <w:bodyDiv w:val="1"/>
      <w:marLeft w:val="0"/>
      <w:marRight w:val="0"/>
      <w:marTop w:val="0"/>
      <w:marBottom w:val="0"/>
      <w:divBdr>
        <w:top w:val="none" w:sz="0" w:space="0" w:color="auto"/>
        <w:left w:val="none" w:sz="0" w:space="0" w:color="auto"/>
        <w:bottom w:val="none" w:sz="0" w:space="0" w:color="auto"/>
        <w:right w:val="none" w:sz="0" w:space="0" w:color="auto"/>
      </w:divBdr>
    </w:div>
    <w:div w:id="20411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ttstewar\LTIIPs%20and%20AAOPs\LTIIP\PGW%20-%20P-2012-2337737\Quarterly%20Leak%20Reports\Compiled%20Leak%20Repor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ttstewar\LTIIPs%20and%20AAOPs\LTIIP\PGW%20-%20P-2012-2337737\Quarterly%20Leak%20Reports\Compiled%20Leak%20Report%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Figure 1: PGW's Total System Leaks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sysDot"/>
              </a:ln>
              <a:effectLst/>
            </c:spPr>
            <c:trendlineType val="linear"/>
            <c:dispRSqr val="0"/>
            <c:dispEq val="0"/>
          </c:trendline>
          <c:xVal>
            <c:numRef>
              <c:f>'Sheet1 (2)'!$V$7:$V$53</c:f>
              <c:numCache>
                <c:formatCode>mmm\-yy</c:formatCode>
                <c:ptCount val="47"/>
                <c:pt idx="0">
                  <c:v>41365</c:v>
                </c:pt>
                <c:pt idx="1">
                  <c:v>41395</c:v>
                </c:pt>
                <c:pt idx="2">
                  <c:v>41426</c:v>
                </c:pt>
                <c:pt idx="3">
                  <c:v>41456</c:v>
                </c:pt>
                <c:pt idx="4">
                  <c:v>41487</c:v>
                </c:pt>
                <c:pt idx="5">
                  <c:v>41518</c:v>
                </c:pt>
                <c:pt idx="6">
                  <c:v>41548</c:v>
                </c:pt>
                <c:pt idx="7">
                  <c:v>41579</c:v>
                </c:pt>
                <c:pt idx="8">
                  <c:v>41609</c:v>
                </c:pt>
                <c:pt idx="9">
                  <c:v>41640</c:v>
                </c:pt>
                <c:pt idx="10">
                  <c:v>41671</c:v>
                </c:pt>
                <c:pt idx="11">
                  <c:v>41699</c:v>
                </c:pt>
                <c:pt idx="12">
                  <c:v>41730</c:v>
                </c:pt>
                <c:pt idx="13">
                  <c:v>41760</c:v>
                </c:pt>
                <c:pt idx="14">
                  <c:v>41791</c:v>
                </c:pt>
                <c:pt idx="15">
                  <c:v>41821</c:v>
                </c:pt>
                <c:pt idx="16">
                  <c:v>41852</c:v>
                </c:pt>
                <c:pt idx="17">
                  <c:v>41883</c:v>
                </c:pt>
                <c:pt idx="18">
                  <c:v>41913</c:v>
                </c:pt>
                <c:pt idx="19">
                  <c:v>41944</c:v>
                </c:pt>
                <c:pt idx="20">
                  <c:v>41974</c:v>
                </c:pt>
                <c:pt idx="21">
                  <c:v>42005</c:v>
                </c:pt>
                <c:pt idx="22">
                  <c:v>42036</c:v>
                </c:pt>
                <c:pt idx="23">
                  <c:v>42064</c:v>
                </c:pt>
                <c:pt idx="24">
                  <c:v>42095</c:v>
                </c:pt>
                <c:pt idx="25">
                  <c:v>42125</c:v>
                </c:pt>
                <c:pt idx="26">
                  <c:v>42156</c:v>
                </c:pt>
                <c:pt idx="27">
                  <c:v>42186</c:v>
                </c:pt>
                <c:pt idx="28">
                  <c:v>42217</c:v>
                </c:pt>
                <c:pt idx="29">
                  <c:v>42248</c:v>
                </c:pt>
                <c:pt idx="30">
                  <c:v>42278</c:v>
                </c:pt>
                <c:pt idx="31">
                  <c:v>42309</c:v>
                </c:pt>
                <c:pt idx="32">
                  <c:v>42339</c:v>
                </c:pt>
                <c:pt idx="33">
                  <c:v>42401</c:v>
                </c:pt>
                <c:pt idx="34">
                  <c:v>42430</c:v>
                </c:pt>
                <c:pt idx="35">
                  <c:v>42461</c:v>
                </c:pt>
                <c:pt idx="36">
                  <c:v>42491</c:v>
                </c:pt>
                <c:pt idx="37">
                  <c:v>42522</c:v>
                </c:pt>
                <c:pt idx="38">
                  <c:v>42552</c:v>
                </c:pt>
                <c:pt idx="39">
                  <c:v>42583</c:v>
                </c:pt>
                <c:pt idx="40">
                  <c:v>42614</c:v>
                </c:pt>
                <c:pt idx="41">
                  <c:v>42644</c:v>
                </c:pt>
                <c:pt idx="42">
                  <c:v>42675</c:v>
                </c:pt>
                <c:pt idx="43">
                  <c:v>42705</c:v>
                </c:pt>
                <c:pt idx="44">
                  <c:v>42736</c:v>
                </c:pt>
                <c:pt idx="45">
                  <c:v>42767</c:v>
                </c:pt>
                <c:pt idx="46">
                  <c:v>42795</c:v>
                </c:pt>
              </c:numCache>
            </c:numRef>
          </c:xVal>
          <c:yVal>
            <c:numRef>
              <c:f>'Sheet1 (2)'!$W$7:$W$53</c:f>
              <c:numCache>
                <c:formatCode>General</c:formatCode>
                <c:ptCount val="47"/>
                <c:pt idx="0">
                  <c:v>3134</c:v>
                </c:pt>
                <c:pt idx="1">
                  <c:v>3186</c:v>
                </c:pt>
                <c:pt idx="2">
                  <c:v>3104</c:v>
                </c:pt>
                <c:pt idx="3">
                  <c:v>3081</c:v>
                </c:pt>
                <c:pt idx="4">
                  <c:v>3149</c:v>
                </c:pt>
                <c:pt idx="5">
                  <c:v>3073</c:v>
                </c:pt>
                <c:pt idx="6">
                  <c:v>3157</c:v>
                </c:pt>
                <c:pt idx="7">
                  <c:v>3212</c:v>
                </c:pt>
                <c:pt idx="8">
                  <c:v>3247</c:v>
                </c:pt>
                <c:pt idx="9">
                  <c:v>3421</c:v>
                </c:pt>
                <c:pt idx="10">
                  <c:v>4032</c:v>
                </c:pt>
                <c:pt idx="11">
                  <c:v>3815</c:v>
                </c:pt>
                <c:pt idx="12">
                  <c:v>3383</c:v>
                </c:pt>
                <c:pt idx="13">
                  <c:v>3501</c:v>
                </c:pt>
                <c:pt idx="14">
                  <c:v>3448</c:v>
                </c:pt>
                <c:pt idx="15">
                  <c:v>3661</c:v>
                </c:pt>
                <c:pt idx="16">
                  <c:v>3551</c:v>
                </c:pt>
                <c:pt idx="17">
                  <c:v>3378</c:v>
                </c:pt>
                <c:pt idx="18">
                  <c:v>3339</c:v>
                </c:pt>
                <c:pt idx="19">
                  <c:v>3346</c:v>
                </c:pt>
                <c:pt idx="20">
                  <c:v>3429</c:v>
                </c:pt>
                <c:pt idx="21">
                  <c:v>3577</c:v>
                </c:pt>
                <c:pt idx="22">
                  <c:v>3877</c:v>
                </c:pt>
                <c:pt idx="23">
                  <c:v>3968</c:v>
                </c:pt>
                <c:pt idx="24">
                  <c:v>3608</c:v>
                </c:pt>
                <c:pt idx="25">
                  <c:v>3545</c:v>
                </c:pt>
                <c:pt idx="26">
                  <c:v>3368</c:v>
                </c:pt>
                <c:pt idx="27">
                  <c:v>3409</c:v>
                </c:pt>
                <c:pt idx="28">
                  <c:v>3379</c:v>
                </c:pt>
                <c:pt idx="29">
                  <c:v>3318</c:v>
                </c:pt>
                <c:pt idx="30">
                  <c:v>3365</c:v>
                </c:pt>
                <c:pt idx="31">
                  <c:v>3416</c:v>
                </c:pt>
                <c:pt idx="32">
                  <c:v>3423</c:v>
                </c:pt>
                <c:pt idx="33">
                  <c:v>3433</c:v>
                </c:pt>
                <c:pt idx="34">
                  <c:v>3408</c:v>
                </c:pt>
                <c:pt idx="35">
                  <c:v>3304</c:v>
                </c:pt>
                <c:pt idx="36">
                  <c:v>3294</c:v>
                </c:pt>
                <c:pt idx="37">
                  <c:v>3275</c:v>
                </c:pt>
                <c:pt idx="38">
                  <c:v>3123</c:v>
                </c:pt>
                <c:pt idx="39">
                  <c:v>3079</c:v>
                </c:pt>
                <c:pt idx="40">
                  <c:v>3013</c:v>
                </c:pt>
                <c:pt idx="41">
                  <c:v>3049</c:v>
                </c:pt>
                <c:pt idx="42">
                  <c:v>3127</c:v>
                </c:pt>
                <c:pt idx="43">
                  <c:v>2942</c:v>
                </c:pt>
                <c:pt idx="44">
                  <c:v>3296</c:v>
                </c:pt>
                <c:pt idx="45">
                  <c:v>3294</c:v>
                </c:pt>
                <c:pt idx="46">
                  <c:v>3223</c:v>
                </c:pt>
              </c:numCache>
            </c:numRef>
          </c:yVal>
          <c:smooth val="0"/>
          <c:extLst>
            <c:ext xmlns:c16="http://schemas.microsoft.com/office/drawing/2014/chart" uri="{C3380CC4-5D6E-409C-BE32-E72D297353CC}">
              <c16:uniqueId val="{00000001-532B-4DCB-AF89-831FD6E9F87B}"/>
            </c:ext>
          </c:extLst>
        </c:ser>
        <c:dLbls>
          <c:showLegendKey val="0"/>
          <c:showVal val="0"/>
          <c:showCatName val="0"/>
          <c:showSerName val="0"/>
          <c:showPercent val="0"/>
          <c:showBubbleSize val="0"/>
        </c:dLbls>
        <c:axId val="521115368"/>
        <c:axId val="521110120"/>
      </c:scatterChart>
      <c:valAx>
        <c:axId val="521115368"/>
        <c:scaling>
          <c:orientation val="minMax"/>
        </c:scaling>
        <c:delete val="0"/>
        <c:axPos val="b"/>
        <c:majorGridlines>
          <c:spPr>
            <a:ln w="9525" cap="flat" cmpd="sng" algn="ctr">
              <a:solidFill>
                <a:schemeClr val="tx1">
                  <a:lumMod val="15000"/>
                  <a:lumOff val="85000"/>
                </a:schemeClr>
              </a:solidFill>
              <a:round/>
            </a:ln>
            <a:effectLst/>
          </c:spPr>
        </c:majorGridlines>
        <c:numFmt formatCode="mmm\-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1110120"/>
        <c:crosses val="autoZero"/>
        <c:crossBetween val="midCat"/>
      </c:valAx>
      <c:valAx>
        <c:axId val="521110120"/>
        <c:scaling>
          <c:orientation val="minMax"/>
          <c:min val="2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11153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Figure 2: PGW's Leaks Repaired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sysDot"/>
              </a:ln>
              <a:effectLst/>
            </c:spPr>
            <c:trendlineType val="linear"/>
            <c:dispRSqr val="0"/>
            <c:dispEq val="0"/>
          </c:trendline>
          <c:xVal>
            <c:numRef>
              <c:f>'Sheet1 (2)'!$V$7:$V$53</c:f>
              <c:numCache>
                <c:formatCode>mmm\-yy</c:formatCode>
                <c:ptCount val="47"/>
                <c:pt idx="0">
                  <c:v>41365</c:v>
                </c:pt>
                <c:pt idx="1">
                  <c:v>41395</c:v>
                </c:pt>
                <c:pt idx="2">
                  <c:v>41426</c:v>
                </c:pt>
                <c:pt idx="3">
                  <c:v>41456</c:v>
                </c:pt>
                <c:pt idx="4">
                  <c:v>41487</c:v>
                </c:pt>
                <c:pt idx="5">
                  <c:v>41518</c:v>
                </c:pt>
                <c:pt idx="6">
                  <c:v>41548</c:v>
                </c:pt>
                <c:pt idx="7">
                  <c:v>41579</c:v>
                </c:pt>
                <c:pt idx="8">
                  <c:v>41609</c:v>
                </c:pt>
                <c:pt idx="9">
                  <c:v>41640</c:v>
                </c:pt>
                <c:pt idx="10">
                  <c:v>41671</c:v>
                </c:pt>
                <c:pt idx="11">
                  <c:v>41699</c:v>
                </c:pt>
                <c:pt idx="12">
                  <c:v>41730</c:v>
                </c:pt>
                <c:pt idx="13">
                  <c:v>41760</c:v>
                </c:pt>
                <c:pt idx="14">
                  <c:v>41791</c:v>
                </c:pt>
                <c:pt idx="15">
                  <c:v>41821</c:v>
                </c:pt>
                <c:pt idx="16">
                  <c:v>41852</c:v>
                </c:pt>
                <c:pt idx="17">
                  <c:v>41883</c:v>
                </c:pt>
                <c:pt idx="18">
                  <c:v>41913</c:v>
                </c:pt>
                <c:pt idx="19">
                  <c:v>41944</c:v>
                </c:pt>
                <c:pt idx="20">
                  <c:v>41974</c:v>
                </c:pt>
                <c:pt idx="21">
                  <c:v>42005</c:v>
                </c:pt>
                <c:pt idx="22">
                  <c:v>42036</c:v>
                </c:pt>
                <c:pt idx="23">
                  <c:v>42064</c:v>
                </c:pt>
                <c:pt idx="24">
                  <c:v>42095</c:v>
                </c:pt>
                <c:pt idx="25">
                  <c:v>42125</c:v>
                </c:pt>
                <c:pt idx="26">
                  <c:v>42156</c:v>
                </c:pt>
                <c:pt idx="27">
                  <c:v>42186</c:v>
                </c:pt>
                <c:pt idx="28">
                  <c:v>42217</c:v>
                </c:pt>
                <c:pt idx="29">
                  <c:v>42248</c:v>
                </c:pt>
                <c:pt idx="30">
                  <c:v>42278</c:v>
                </c:pt>
                <c:pt idx="31">
                  <c:v>42309</c:v>
                </c:pt>
                <c:pt idx="32">
                  <c:v>42339</c:v>
                </c:pt>
                <c:pt idx="33">
                  <c:v>42401</c:v>
                </c:pt>
                <c:pt idx="34">
                  <c:v>42430</c:v>
                </c:pt>
                <c:pt idx="35">
                  <c:v>42461</c:v>
                </c:pt>
                <c:pt idx="36">
                  <c:v>42491</c:v>
                </c:pt>
                <c:pt idx="37">
                  <c:v>42522</c:v>
                </c:pt>
                <c:pt idx="38">
                  <c:v>42552</c:v>
                </c:pt>
                <c:pt idx="39">
                  <c:v>42583</c:v>
                </c:pt>
                <c:pt idx="40">
                  <c:v>42614</c:v>
                </c:pt>
                <c:pt idx="41">
                  <c:v>42644</c:v>
                </c:pt>
                <c:pt idx="42">
                  <c:v>42675</c:v>
                </c:pt>
                <c:pt idx="43">
                  <c:v>42705</c:v>
                </c:pt>
                <c:pt idx="44">
                  <c:v>42736</c:v>
                </c:pt>
                <c:pt idx="45">
                  <c:v>42767</c:v>
                </c:pt>
                <c:pt idx="46">
                  <c:v>42795</c:v>
                </c:pt>
              </c:numCache>
            </c:numRef>
          </c:xVal>
          <c:yVal>
            <c:numRef>
              <c:f>'Sheet1 (2)'!$Y$7:$Y$53</c:f>
              <c:numCache>
                <c:formatCode>General</c:formatCode>
                <c:ptCount val="47"/>
                <c:pt idx="0">
                  <c:v>327</c:v>
                </c:pt>
                <c:pt idx="1">
                  <c:v>358</c:v>
                </c:pt>
                <c:pt idx="2">
                  <c:v>292</c:v>
                </c:pt>
                <c:pt idx="3">
                  <c:v>299</c:v>
                </c:pt>
                <c:pt idx="4">
                  <c:v>327</c:v>
                </c:pt>
                <c:pt idx="5">
                  <c:v>267</c:v>
                </c:pt>
                <c:pt idx="6">
                  <c:v>371</c:v>
                </c:pt>
                <c:pt idx="7">
                  <c:v>447</c:v>
                </c:pt>
                <c:pt idx="8">
                  <c:v>473</c:v>
                </c:pt>
                <c:pt idx="9">
                  <c:v>566</c:v>
                </c:pt>
                <c:pt idx="10">
                  <c:v>1093</c:v>
                </c:pt>
                <c:pt idx="11">
                  <c:v>654</c:v>
                </c:pt>
                <c:pt idx="12">
                  <c:v>333</c:v>
                </c:pt>
                <c:pt idx="13">
                  <c:v>393</c:v>
                </c:pt>
                <c:pt idx="14">
                  <c:v>326</c:v>
                </c:pt>
                <c:pt idx="15">
                  <c:v>292</c:v>
                </c:pt>
                <c:pt idx="16">
                  <c:v>314</c:v>
                </c:pt>
                <c:pt idx="17">
                  <c:v>298</c:v>
                </c:pt>
                <c:pt idx="18">
                  <c:v>372</c:v>
                </c:pt>
                <c:pt idx="19">
                  <c:v>362</c:v>
                </c:pt>
                <c:pt idx="20">
                  <c:v>444</c:v>
                </c:pt>
                <c:pt idx="21">
                  <c:v>526</c:v>
                </c:pt>
                <c:pt idx="22">
                  <c:v>714</c:v>
                </c:pt>
                <c:pt idx="23">
                  <c:v>686</c:v>
                </c:pt>
                <c:pt idx="24">
                  <c:v>359</c:v>
                </c:pt>
                <c:pt idx="25">
                  <c:v>357</c:v>
                </c:pt>
                <c:pt idx="26">
                  <c:v>261</c:v>
                </c:pt>
                <c:pt idx="27">
                  <c:v>262</c:v>
                </c:pt>
                <c:pt idx="28">
                  <c:v>253</c:v>
                </c:pt>
                <c:pt idx="29">
                  <c:v>273</c:v>
                </c:pt>
                <c:pt idx="30">
                  <c:v>328</c:v>
                </c:pt>
                <c:pt idx="31">
                  <c:v>360</c:v>
                </c:pt>
                <c:pt idx="32">
                  <c:v>350</c:v>
                </c:pt>
                <c:pt idx="33">
                  <c:v>395</c:v>
                </c:pt>
                <c:pt idx="34">
                  <c:v>335</c:v>
                </c:pt>
                <c:pt idx="35">
                  <c:v>302</c:v>
                </c:pt>
                <c:pt idx="36">
                  <c:v>335</c:v>
                </c:pt>
                <c:pt idx="37">
                  <c:v>322</c:v>
                </c:pt>
                <c:pt idx="38">
                  <c:v>267</c:v>
                </c:pt>
                <c:pt idx="39">
                  <c:v>295</c:v>
                </c:pt>
                <c:pt idx="40">
                  <c:v>294</c:v>
                </c:pt>
                <c:pt idx="41">
                  <c:v>313</c:v>
                </c:pt>
                <c:pt idx="42">
                  <c:v>379</c:v>
                </c:pt>
                <c:pt idx="43">
                  <c:v>166</c:v>
                </c:pt>
                <c:pt idx="44">
                  <c:v>520</c:v>
                </c:pt>
                <c:pt idx="45">
                  <c:v>453</c:v>
                </c:pt>
                <c:pt idx="46">
                  <c:v>417</c:v>
                </c:pt>
              </c:numCache>
            </c:numRef>
          </c:yVal>
          <c:smooth val="0"/>
          <c:extLst>
            <c:ext xmlns:c16="http://schemas.microsoft.com/office/drawing/2014/chart" uri="{C3380CC4-5D6E-409C-BE32-E72D297353CC}">
              <c16:uniqueId val="{00000001-C2FF-415A-9C4B-8DC288596941}"/>
            </c:ext>
          </c:extLst>
        </c:ser>
        <c:dLbls>
          <c:showLegendKey val="0"/>
          <c:showVal val="0"/>
          <c:showCatName val="0"/>
          <c:showSerName val="0"/>
          <c:showPercent val="0"/>
          <c:showBubbleSize val="0"/>
        </c:dLbls>
        <c:axId val="729547216"/>
        <c:axId val="729543280"/>
      </c:scatterChart>
      <c:valAx>
        <c:axId val="729547216"/>
        <c:scaling>
          <c:orientation val="minMax"/>
        </c:scaling>
        <c:delete val="0"/>
        <c:axPos val="b"/>
        <c:majorGridlines>
          <c:spPr>
            <a:ln w="9525" cap="flat" cmpd="sng" algn="ctr">
              <a:solidFill>
                <a:schemeClr val="tx1">
                  <a:lumMod val="15000"/>
                  <a:lumOff val="85000"/>
                </a:schemeClr>
              </a:solidFill>
              <a:round/>
            </a:ln>
            <a:effectLst/>
          </c:spPr>
        </c:majorGridlines>
        <c:numFmt formatCode="mmm\-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9543280"/>
        <c:crosses val="autoZero"/>
        <c:crossBetween val="midCat"/>
      </c:valAx>
      <c:valAx>
        <c:axId val="72954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95472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973E-AF30-4E75-96FE-243B19BB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3336</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22308</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Wagner, Nathan R</cp:lastModifiedBy>
  <cp:revision>4</cp:revision>
  <cp:lastPrinted>2017-08-31T11:48:00Z</cp:lastPrinted>
  <dcterms:created xsi:type="dcterms:W3CDTF">2017-08-18T13:47:00Z</dcterms:created>
  <dcterms:modified xsi:type="dcterms:W3CDTF">2017-08-31T11:49:00Z</dcterms:modified>
</cp:coreProperties>
</file>