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Look w:val="0000" w:firstRow="0" w:lastRow="0" w:firstColumn="0" w:lastColumn="0" w:noHBand="0" w:noVBand="0"/>
      </w:tblPr>
      <w:tblGrid>
        <w:gridCol w:w="2448"/>
        <w:gridCol w:w="2700"/>
        <w:gridCol w:w="1530"/>
        <w:gridCol w:w="3600"/>
        <w:gridCol w:w="18"/>
      </w:tblGrid>
      <w:tr w:rsidR="0048436C">
        <w:trPr>
          <w:gridAfter w:val="1"/>
          <w:wAfter w:w="18" w:type="dxa"/>
        </w:trPr>
        <w:tc>
          <w:tcPr>
            <w:tcW w:w="2448" w:type="dxa"/>
          </w:tcPr>
          <w:p w:rsidR="0048436C" w:rsidRDefault="0048436C" w:rsidP="0078753D">
            <w:pPr>
              <w:ind w:left="-90"/>
              <w:rPr>
                <w:color w:val="auto"/>
                <w:sz w:val="26"/>
              </w:rPr>
            </w:pPr>
            <w:r>
              <w:rPr>
                <w:color w:val="auto"/>
                <w:sz w:val="26"/>
              </w:rPr>
              <w:t xml:space="preserve">  </w:t>
            </w:r>
          </w:p>
        </w:tc>
        <w:tc>
          <w:tcPr>
            <w:tcW w:w="4230" w:type="dxa"/>
            <w:gridSpan w:val="2"/>
          </w:tcPr>
          <w:p w:rsidR="0048436C" w:rsidRDefault="0048436C">
            <w:pPr>
              <w:jc w:val="center"/>
              <w:rPr>
                <w:b/>
                <w:color w:val="auto"/>
                <w:sz w:val="26"/>
              </w:rPr>
            </w:pPr>
            <w:r>
              <w:rPr>
                <w:b/>
                <w:color w:val="auto"/>
                <w:sz w:val="26"/>
              </w:rPr>
              <w:t>PENNSYLVANIA</w:t>
            </w:r>
          </w:p>
          <w:p w:rsidR="0048436C" w:rsidRDefault="0048436C">
            <w:pPr>
              <w:jc w:val="center"/>
              <w:rPr>
                <w:b/>
                <w:color w:val="auto"/>
                <w:sz w:val="26"/>
              </w:rPr>
            </w:pPr>
            <w:r>
              <w:rPr>
                <w:b/>
                <w:color w:val="auto"/>
                <w:sz w:val="26"/>
              </w:rPr>
              <w:t>PUBLIC UTILITY COMMISSION</w:t>
            </w:r>
          </w:p>
          <w:p w:rsidR="0048436C" w:rsidRDefault="0048436C">
            <w:pPr>
              <w:jc w:val="center"/>
              <w:rPr>
                <w:color w:val="auto"/>
                <w:sz w:val="26"/>
              </w:rPr>
            </w:pPr>
            <w:r>
              <w:rPr>
                <w:b/>
                <w:color w:val="auto"/>
                <w:sz w:val="26"/>
              </w:rPr>
              <w:t>Harrisburg, PA  17105-3265</w:t>
            </w:r>
          </w:p>
        </w:tc>
        <w:tc>
          <w:tcPr>
            <w:tcW w:w="3600" w:type="dxa"/>
          </w:tcPr>
          <w:p w:rsidR="0048436C" w:rsidRDefault="0048436C">
            <w:pPr>
              <w:rPr>
                <w:color w:val="auto"/>
                <w:sz w:val="26"/>
              </w:rPr>
            </w:pPr>
          </w:p>
        </w:tc>
      </w:tr>
      <w:tr w:rsidR="0048436C">
        <w:tc>
          <w:tcPr>
            <w:tcW w:w="5148" w:type="dxa"/>
            <w:gridSpan w:val="2"/>
          </w:tcPr>
          <w:p w:rsidR="0048436C" w:rsidRDefault="0048436C">
            <w:pPr>
              <w:rPr>
                <w:color w:val="auto"/>
                <w:sz w:val="26"/>
              </w:rPr>
            </w:pPr>
          </w:p>
        </w:tc>
        <w:tc>
          <w:tcPr>
            <w:tcW w:w="5148" w:type="dxa"/>
            <w:gridSpan w:val="3"/>
          </w:tcPr>
          <w:p w:rsidR="00B537DC" w:rsidRDefault="00B537DC" w:rsidP="00B537DC">
            <w:pPr>
              <w:rPr>
                <w:color w:val="auto"/>
                <w:sz w:val="26"/>
              </w:rPr>
            </w:pPr>
          </w:p>
          <w:p w:rsidR="0048436C" w:rsidRPr="00F9196A" w:rsidRDefault="0048436C" w:rsidP="00C32675">
            <w:pPr>
              <w:rPr>
                <w:color w:val="auto"/>
                <w:sz w:val="26"/>
              </w:rPr>
            </w:pPr>
            <w:r w:rsidRPr="00F9196A">
              <w:rPr>
                <w:color w:val="auto"/>
                <w:sz w:val="26"/>
              </w:rPr>
              <w:t>Public Meeting held</w:t>
            </w:r>
            <w:r w:rsidR="001143C3">
              <w:rPr>
                <w:color w:val="auto"/>
                <w:sz w:val="26"/>
              </w:rPr>
              <w:t xml:space="preserve"> </w:t>
            </w:r>
            <w:r w:rsidR="00C32675">
              <w:rPr>
                <w:color w:val="auto"/>
                <w:sz w:val="26"/>
              </w:rPr>
              <w:t>August 3</w:t>
            </w:r>
            <w:r w:rsidR="00E75FFA">
              <w:rPr>
                <w:color w:val="auto"/>
                <w:sz w:val="26"/>
              </w:rPr>
              <w:t>1</w:t>
            </w:r>
            <w:r w:rsidR="001322A1">
              <w:rPr>
                <w:color w:val="auto"/>
                <w:sz w:val="26"/>
              </w:rPr>
              <w:t>,</w:t>
            </w:r>
            <w:r w:rsidR="00F419FC">
              <w:rPr>
                <w:color w:val="auto"/>
                <w:sz w:val="26"/>
              </w:rPr>
              <w:t xml:space="preserve"> 2017</w:t>
            </w:r>
          </w:p>
        </w:tc>
      </w:tr>
      <w:tr w:rsidR="0048436C">
        <w:tc>
          <w:tcPr>
            <w:tcW w:w="5148" w:type="dxa"/>
            <w:gridSpan w:val="2"/>
          </w:tcPr>
          <w:p w:rsidR="0048436C" w:rsidRDefault="0048436C">
            <w:pPr>
              <w:rPr>
                <w:color w:val="auto"/>
                <w:sz w:val="26"/>
              </w:rPr>
            </w:pPr>
          </w:p>
          <w:p w:rsidR="0048436C" w:rsidRDefault="0048436C">
            <w:pPr>
              <w:rPr>
                <w:color w:val="auto"/>
                <w:sz w:val="26"/>
              </w:rPr>
            </w:pPr>
            <w:r>
              <w:rPr>
                <w:color w:val="auto"/>
                <w:sz w:val="26"/>
              </w:rPr>
              <w:t>Commissioners Present:</w:t>
            </w:r>
          </w:p>
        </w:tc>
        <w:tc>
          <w:tcPr>
            <w:tcW w:w="5148" w:type="dxa"/>
            <w:gridSpan w:val="3"/>
          </w:tcPr>
          <w:p w:rsidR="0048436C" w:rsidRDefault="0048436C">
            <w:pPr>
              <w:rPr>
                <w:color w:val="auto"/>
                <w:sz w:val="26"/>
              </w:rPr>
            </w:pPr>
          </w:p>
        </w:tc>
      </w:tr>
    </w:tbl>
    <w:p w:rsidR="0048436C" w:rsidRDefault="0048436C">
      <w:pPr>
        <w:rPr>
          <w:color w:val="auto"/>
          <w:sz w:val="26"/>
        </w:rPr>
      </w:pPr>
    </w:p>
    <w:tbl>
      <w:tblPr>
        <w:tblW w:w="10296" w:type="dxa"/>
        <w:tblLayout w:type="fixed"/>
        <w:tblLook w:val="0000" w:firstRow="0" w:lastRow="0" w:firstColumn="0" w:lastColumn="0" w:noHBand="0" w:noVBand="0"/>
      </w:tblPr>
      <w:tblGrid>
        <w:gridCol w:w="6588"/>
        <w:gridCol w:w="2970"/>
        <w:gridCol w:w="630"/>
        <w:gridCol w:w="108"/>
      </w:tblGrid>
      <w:tr w:rsidR="0048436C" w:rsidTr="00B537DC">
        <w:tc>
          <w:tcPr>
            <w:tcW w:w="9558" w:type="dxa"/>
            <w:gridSpan w:val="2"/>
          </w:tcPr>
          <w:p w:rsidR="0048436C" w:rsidRDefault="0048436C" w:rsidP="00F419FC">
            <w:pPr>
              <w:rPr>
                <w:color w:val="auto"/>
                <w:sz w:val="26"/>
              </w:rPr>
            </w:pPr>
            <w:r>
              <w:rPr>
                <w:color w:val="auto"/>
                <w:sz w:val="26"/>
              </w:rPr>
              <w:t xml:space="preserve">      </w:t>
            </w:r>
            <w:r w:rsidR="00F419FC">
              <w:rPr>
                <w:color w:val="auto"/>
                <w:sz w:val="26"/>
              </w:rPr>
              <w:t>Gladys M. Brown, C</w:t>
            </w:r>
            <w:r>
              <w:rPr>
                <w:color w:val="auto"/>
                <w:sz w:val="26"/>
              </w:rPr>
              <w:t>hairman</w:t>
            </w:r>
          </w:p>
        </w:tc>
        <w:tc>
          <w:tcPr>
            <w:tcW w:w="738" w:type="dxa"/>
            <w:gridSpan w:val="2"/>
          </w:tcPr>
          <w:p w:rsidR="0048436C" w:rsidRDefault="0048436C">
            <w:pPr>
              <w:rPr>
                <w:color w:val="auto"/>
                <w:sz w:val="26"/>
              </w:rPr>
            </w:pPr>
          </w:p>
        </w:tc>
      </w:tr>
      <w:tr w:rsidR="0048436C" w:rsidTr="00B537DC">
        <w:tc>
          <w:tcPr>
            <w:tcW w:w="9558" w:type="dxa"/>
            <w:gridSpan w:val="2"/>
          </w:tcPr>
          <w:p w:rsidR="0048436C" w:rsidRDefault="0048436C" w:rsidP="00F419FC">
            <w:pPr>
              <w:rPr>
                <w:color w:val="auto"/>
                <w:sz w:val="26"/>
              </w:rPr>
            </w:pPr>
            <w:r>
              <w:rPr>
                <w:color w:val="auto"/>
                <w:sz w:val="26"/>
              </w:rPr>
              <w:t xml:space="preserve">      </w:t>
            </w:r>
            <w:r w:rsidR="00F419FC">
              <w:rPr>
                <w:color w:val="auto"/>
                <w:sz w:val="26"/>
              </w:rPr>
              <w:t>Andrew G. Place, Vice Chairman</w:t>
            </w:r>
          </w:p>
        </w:tc>
        <w:tc>
          <w:tcPr>
            <w:tcW w:w="738" w:type="dxa"/>
            <w:gridSpan w:val="2"/>
          </w:tcPr>
          <w:p w:rsidR="0048436C" w:rsidRDefault="0048436C">
            <w:pPr>
              <w:rPr>
                <w:color w:val="auto"/>
                <w:sz w:val="26"/>
              </w:rPr>
            </w:pPr>
          </w:p>
        </w:tc>
      </w:tr>
      <w:tr w:rsidR="0048436C" w:rsidTr="00B537DC">
        <w:tc>
          <w:tcPr>
            <w:tcW w:w="9558" w:type="dxa"/>
            <w:gridSpan w:val="2"/>
          </w:tcPr>
          <w:p w:rsidR="00F419FC" w:rsidRDefault="0048436C">
            <w:pPr>
              <w:rPr>
                <w:color w:val="auto"/>
                <w:sz w:val="26"/>
              </w:rPr>
            </w:pPr>
            <w:r w:rsidRPr="00D65804">
              <w:rPr>
                <w:color w:val="auto"/>
                <w:sz w:val="26"/>
              </w:rPr>
              <w:t xml:space="preserve">      </w:t>
            </w:r>
            <w:r w:rsidR="00E75FFA">
              <w:rPr>
                <w:color w:val="auto"/>
                <w:sz w:val="26"/>
              </w:rPr>
              <w:t>David W. Sweet</w:t>
            </w:r>
          </w:p>
          <w:p w:rsidR="003E3257" w:rsidRDefault="00F419FC" w:rsidP="00602183">
            <w:pPr>
              <w:rPr>
                <w:color w:val="auto"/>
                <w:sz w:val="26"/>
              </w:rPr>
            </w:pPr>
            <w:r>
              <w:rPr>
                <w:color w:val="auto"/>
                <w:sz w:val="26"/>
                <w:szCs w:val="26"/>
              </w:rPr>
              <w:t xml:space="preserve"> </w:t>
            </w:r>
            <w:r w:rsidR="000969F1">
              <w:rPr>
                <w:color w:val="auto"/>
                <w:sz w:val="26"/>
                <w:szCs w:val="26"/>
              </w:rPr>
              <w:t xml:space="preserve">     </w:t>
            </w:r>
            <w:r w:rsidR="00E75FFA">
              <w:rPr>
                <w:color w:val="auto"/>
                <w:sz w:val="26"/>
              </w:rPr>
              <w:t>John F. Coleman, Jr.</w:t>
            </w:r>
          </w:p>
          <w:p w:rsidR="00B7328C" w:rsidRDefault="003E3257" w:rsidP="00602183">
            <w:pPr>
              <w:rPr>
                <w:color w:val="auto"/>
                <w:sz w:val="26"/>
              </w:rPr>
            </w:pPr>
            <w:r>
              <w:rPr>
                <w:color w:val="auto"/>
                <w:sz w:val="26"/>
              </w:rPr>
              <w:t xml:space="preserve">      </w:t>
            </w:r>
          </w:p>
          <w:p w:rsidR="00D61953" w:rsidRPr="003C7AD5" w:rsidRDefault="00B7328C" w:rsidP="00602183">
            <w:pPr>
              <w:rPr>
                <w:color w:val="auto"/>
                <w:sz w:val="26"/>
              </w:rPr>
            </w:pPr>
            <w:r>
              <w:rPr>
                <w:color w:val="auto"/>
                <w:sz w:val="26"/>
              </w:rPr>
              <w:t xml:space="preserve"> </w:t>
            </w:r>
          </w:p>
        </w:tc>
        <w:tc>
          <w:tcPr>
            <w:tcW w:w="738" w:type="dxa"/>
            <w:gridSpan w:val="2"/>
          </w:tcPr>
          <w:p w:rsidR="0048436C" w:rsidRDefault="0048436C">
            <w:pPr>
              <w:rPr>
                <w:color w:val="auto"/>
                <w:sz w:val="26"/>
              </w:rPr>
            </w:pPr>
          </w:p>
        </w:tc>
      </w:tr>
      <w:tr w:rsidR="0048436C" w:rsidTr="001143C3">
        <w:trPr>
          <w:gridAfter w:val="1"/>
          <w:wAfter w:w="108" w:type="dxa"/>
          <w:trHeight w:val="1305"/>
        </w:trPr>
        <w:tc>
          <w:tcPr>
            <w:tcW w:w="6588" w:type="dxa"/>
          </w:tcPr>
          <w:p w:rsidR="00602183" w:rsidRPr="00374F1A" w:rsidRDefault="00F419FC" w:rsidP="001143C3">
            <w:pPr>
              <w:rPr>
                <w:color w:val="auto"/>
                <w:sz w:val="26"/>
                <w:szCs w:val="26"/>
              </w:rPr>
            </w:pPr>
            <w:r>
              <w:rPr>
                <w:color w:val="auto"/>
                <w:sz w:val="26"/>
                <w:szCs w:val="26"/>
              </w:rPr>
              <w:t xml:space="preserve">Application </w:t>
            </w:r>
            <w:r w:rsidR="000662E2">
              <w:rPr>
                <w:color w:val="auto"/>
                <w:sz w:val="26"/>
                <w:szCs w:val="26"/>
              </w:rPr>
              <w:t xml:space="preserve">of </w:t>
            </w:r>
            <w:r w:rsidR="001143C3">
              <w:rPr>
                <w:color w:val="auto"/>
                <w:sz w:val="26"/>
                <w:szCs w:val="26"/>
              </w:rPr>
              <w:t>Duquesne Light Company to convert to a limited liability company</w:t>
            </w:r>
          </w:p>
        </w:tc>
        <w:tc>
          <w:tcPr>
            <w:tcW w:w="3600" w:type="dxa"/>
            <w:gridSpan w:val="2"/>
          </w:tcPr>
          <w:p w:rsidR="0083043B" w:rsidRDefault="00DE2A29">
            <w:pPr>
              <w:rPr>
                <w:color w:val="auto"/>
                <w:kern w:val="1"/>
                <w:sz w:val="26"/>
                <w:szCs w:val="26"/>
              </w:rPr>
            </w:pPr>
            <w:r>
              <w:rPr>
                <w:color w:val="auto"/>
                <w:kern w:val="1"/>
                <w:sz w:val="26"/>
                <w:szCs w:val="26"/>
              </w:rPr>
              <w:t xml:space="preserve">Docket No. </w:t>
            </w:r>
            <w:r w:rsidR="00C54CE6">
              <w:rPr>
                <w:color w:val="auto"/>
                <w:kern w:val="1"/>
                <w:sz w:val="26"/>
                <w:szCs w:val="26"/>
              </w:rPr>
              <w:t>A-201</w:t>
            </w:r>
            <w:r w:rsidR="000662E2">
              <w:rPr>
                <w:color w:val="auto"/>
                <w:kern w:val="1"/>
                <w:sz w:val="26"/>
                <w:szCs w:val="26"/>
              </w:rPr>
              <w:t>7-25</w:t>
            </w:r>
            <w:r w:rsidR="001143C3">
              <w:rPr>
                <w:color w:val="auto"/>
                <w:kern w:val="1"/>
                <w:sz w:val="26"/>
                <w:szCs w:val="26"/>
              </w:rPr>
              <w:t>99375</w:t>
            </w:r>
          </w:p>
          <w:p w:rsidR="00374F1A" w:rsidRPr="008A44F4" w:rsidRDefault="00374F1A" w:rsidP="008561C7">
            <w:pPr>
              <w:rPr>
                <w:sz w:val="26"/>
                <w:szCs w:val="26"/>
              </w:rPr>
            </w:pPr>
          </w:p>
        </w:tc>
      </w:tr>
    </w:tbl>
    <w:p w:rsidR="00221094" w:rsidRDefault="00221094" w:rsidP="001143C3">
      <w:pPr>
        <w:spacing w:line="360" w:lineRule="auto"/>
        <w:rPr>
          <w:b/>
          <w:color w:val="auto"/>
          <w:sz w:val="26"/>
        </w:rPr>
      </w:pPr>
    </w:p>
    <w:p w:rsidR="0048436C" w:rsidRDefault="0048436C" w:rsidP="004F5E89">
      <w:pPr>
        <w:spacing w:line="360" w:lineRule="auto"/>
        <w:jc w:val="center"/>
        <w:rPr>
          <w:color w:val="auto"/>
          <w:sz w:val="26"/>
        </w:rPr>
      </w:pPr>
      <w:r>
        <w:rPr>
          <w:b/>
          <w:color w:val="auto"/>
          <w:sz w:val="26"/>
        </w:rPr>
        <w:t>ORDER</w:t>
      </w:r>
    </w:p>
    <w:p w:rsidR="0048436C" w:rsidRDefault="0048436C" w:rsidP="004F5E89">
      <w:pPr>
        <w:spacing w:line="360" w:lineRule="auto"/>
        <w:rPr>
          <w:b/>
          <w:color w:val="auto"/>
          <w:sz w:val="26"/>
        </w:rPr>
      </w:pPr>
      <w:r>
        <w:rPr>
          <w:b/>
          <w:color w:val="auto"/>
          <w:sz w:val="26"/>
        </w:rPr>
        <w:t>BY THE COMMISSION:</w:t>
      </w:r>
    </w:p>
    <w:p w:rsidR="0048436C" w:rsidRDefault="0048436C" w:rsidP="004F5E89">
      <w:pPr>
        <w:spacing w:line="360" w:lineRule="auto"/>
        <w:rPr>
          <w:b/>
          <w:color w:val="auto"/>
          <w:sz w:val="26"/>
        </w:rPr>
      </w:pPr>
    </w:p>
    <w:p w:rsidR="001143C3" w:rsidRDefault="002C1B3C" w:rsidP="001143C3">
      <w:pPr>
        <w:pStyle w:val="BodyText"/>
        <w:spacing w:line="360" w:lineRule="auto"/>
        <w:ind w:firstLine="720"/>
        <w:rPr>
          <w:color w:val="auto"/>
        </w:rPr>
      </w:pPr>
      <w:r w:rsidRPr="00FD3E7F">
        <w:rPr>
          <w:color w:val="auto"/>
        </w:rPr>
        <w:t xml:space="preserve">On </w:t>
      </w:r>
      <w:r w:rsidR="001143C3">
        <w:rPr>
          <w:color w:val="auto"/>
        </w:rPr>
        <w:t>April 12</w:t>
      </w:r>
      <w:r w:rsidR="00FD3E7F" w:rsidRPr="00FD3E7F">
        <w:rPr>
          <w:color w:val="auto"/>
        </w:rPr>
        <w:t>, 2017</w:t>
      </w:r>
      <w:r w:rsidRPr="00FD3E7F">
        <w:rPr>
          <w:color w:val="auto"/>
        </w:rPr>
        <w:t xml:space="preserve">, </w:t>
      </w:r>
      <w:r w:rsidR="001143C3">
        <w:rPr>
          <w:color w:val="auto"/>
        </w:rPr>
        <w:t>Duquesne Light Company (Duquesne</w:t>
      </w:r>
      <w:r w:rsidR="0053314F">
        <w:rPr>
          <w:color w:val="auto"/>
        </w:rPr>
        <w:t xml:space="preserve"> or </w:t>
      </w:r>
      <w:r w:rsidR="00765E50">
        <w:rPr>
          <w:color w:val="auto"/>
        </w:rPr>
        <w:t>Applicant</w:t>
      </w:r>
      <w:r w:rsidR="001143C3">
        <w:rPr>
          <w:color w:val="auto"/>
        </w:rPr>
        <w:t xml:space="preserve">) filed an application </w:t>
      </w:r>
      <w:r w:rsidR="00C0405D">
        <w:rPr>
          <w:color w:val="auto"/>
        </w:rPr>
        <w:t xml:space="preserve">requesting all approvals necessary under the Pennsylvania Public Utility Code </w:t>
      </w:r>
      <w:r w:rsidR="001143C3">
        <w:rPr>
          <w:color w:val="auto"/>
        </w:rPr>
        <w:t>to co</w:t>
      </w:r>
      <w:r w:rsidR="00926E89">
        <w:rPr>
          <w:color w:val="auto"/>
        </w:rPr>
        <w:t>n</w:t>
      </w:r>
      <w:r w:rsidR="001143C3">
        <w:rPr>
          <w:color w:val="auto"/>
        </w:rPr>
        <w:t>vert from a business corporation to a limited liability company</w:t>
      </w:r>
      <w:r w:rsidR="00E812B4">
        <w:rPr>
          <w:color w:val="auto"/>
        </w:rPr>
        <w:t xml:space="preserve"> (LLC)</w:t>
      </w:r>
      <w:r w:rsidR="001143C3">
        <w:rPr>
          <w:color w:val="auto"/>
        </w:rPr>
        <w:t xml:space="preserve"> </w:t>
      </w:r>
      <w:r w:rsidR="00835C66">
        <w:rPr>
          <w:color w:val="auto"/>
        </w:rPr>
        <w:t>p</w:t>
      </w:r>
      <w:r w:rsidR="00C54CE6" w:rsidRPr="00FD3E7F">
        <w:rPr>
          <w:color w:val="auto"/>
        </w:rPr>
        <w:t xml:space="preserve">ursuant to </w:t>
      </w:r>
      <w:r w:rsidR="001143C3">
        <w:rPr>
          <w:color w:val="auto"/>
        </w:rPr>
        <w:t xml:space="preserve">the Pennsylvania Entity Transactions </w:t>
      </w:r>
      <w:r w:rsidR="00474826">
        <w:rPr>
          <w:color w:val="auto"/>
        </w:rPr>
        <w:t>Law (ETL), 15 Pa</w:t>
      </w:r>
      <w:r w:rsidR="001143C3">
        <w:rPr>
          <w:color w:val="auto"/>
        </w:rPr>
        <w:t>.</w:t>
      </w:r>
      <w:r w:rsidR="00474826">
        <w:rPr>
          <w:color w:val="auto"/>
        </w:rPr>
        <w:t xml:space="preserve"> </w:t>
      </w:r>
      <w:r w:rsidR="001143C3">
        <w:rPr>
          <w:color w:val="auto"/>
        </w:rPr>
        <w:t xml:space="preserve">C.S. §§ 311, </w:t>
      </w:r>
      <w:r w:rsidR="001143C3" w:rsidRPr="001143C3">
        <w:rPr>
          <w:i/>
          <w:color w:val="auto"/>
        </w:rPr>
        <w:t>et seq</w:t>
      </w:r>
      <w:r w:rsidR="001143C3">
        <w:rPr>
          <w:color w:val="auto"/>
        </w:rPr>
        <w:t xml:space="preserve">.  </w:t>
      </w:r>
      <w:r w:rsidR="001143C3" w:rsidRPr="00AA5328">
        <w:rPr>
          <w:color w:val="auto"/>
        </w:rPr>
        <w:t>Additionally, copies of the application were served upon the Office of Small Business Advocate, the Office of Consumer Advocate</w:t>
      </w:r>
      <w:r w:rsidR="001143C3" w:rsidRPr="00B5357A">
        <w:rPr>
          <w:color w:val="auto"/>
        </w:rPr>
        <w:t xml:space="preserve">, and the Bureau of Investigation and Enforcement.  </w:t>
      </w:r>
      <w:r w:rsidR="008B6BAE">
        <w:rPr>
          <w:color w:val="auto"/>
        </w:rPr>
        <w:t xml:space="preserve">On May 30, 2017, the Commission issued a secretarial letter establishing a sixty-day protest period ending on June 12, 2017.  </w:t>
      </w:r>
      <w:r w:rsidR="001143C3" w:rsidRPr="00B5357A">
        <w:rPr>
          <w:color w:val="auto"/>
        </w:rPr>
        <w:t xml:space="preserve">Further notice was not required and no protests or comments have been received.  </w:t>
      </w:r>
    </w:p>
    <w:p w:rsidR="001143C3" w:rsidRDefault="001143C3" w:rsidP="002C1B3C">
      <w:pPr>
        <w:pStyle w:val="BodyText"/>
        <w:spacing w:line="360" w:lineRule="auto"/>
        <w:rPr>
          <w:color w:val="auto"/>
        </w:rPr>
      </w:pPr>
    </w:p>
    <w:p w:rsidR="00A07CD4" w:rsidRDefault="00A07CD4" w:rsidP="002C1B3C">
      <w:pPr>
        <w:pStyle w:val="BodyText"/>
        <w:spacing w:line="360" w:lineRule="auto"/>
        <w:rPr>
          <w:b/>
          <w:color w:val="auto"/>
          <w:u w:val="single"/>
        </w:rPr>
      </w:pPr>
    </w:p>
    <w:p w:rsidR="00A07CD4" w:rsidRDefault="00A07CD4" w:rsidP="002C1B3C">
      <w:pPr>
        <w:pStyle w:val="BodyText"/>
        <w:spacing w:line="360" w:lineRule="auto"/>
        <w:rPr>
          <w:b/>
          <w:color w:val="auto"/>
          <w:u w:val="single"/>
        </w:rPr>
      </w:pPr>
    </w:p>
    <w:p w:rsidR="002C1B3C" w:rsidRPr="00F715BD" w:rsidRDefault="002C1B3C" w:rsidP="002C1B3C">
      <w:pPr>
        <w:pStyle w:val="BodyText"/>
        <w:spacing w:line="360" w:lineRule="auto"/>
        <w:rPr>
          <w:b/>
          <w:color w:val="auto"/>
          <w:u w:val="single"/>
        </w:rPr>
      </w:pPr>
      <w:r w:rsidRPr="00F715BD">
        <w:rPr>
          <w:b/>
          <w:color w:val="auto"/>
          <w:u w:val="single"/>
        </w:rPr>
        <w:lastRenderedPageBreak/>
        <w:t>B</w:t>
      </w:r>
      <w:r w:rsidR="00F715BD" w:rsidRPr="00F715BD">
        <w:rPr>
          <w:b/>
          <w:color w:val="auto"/>
          <w:u w:val="single"/>
        </w:rPr>
        <w:t>ackground</w:t>
      </w:r>
    </w:p>
    <w:p w:rsidR="00A07CD4" w:rsidRDefault="00A07CD4" w:rsidP="00A07CD4">
      <w:pPr>
        <w:pStyle w:val="BodyText"/>
        <w:spacing w:line="360" w:lineRule="auto"/>
        <w:ind w:firstLine="720"/>
        <w:rPr>
          <w:color w:val="auto"/>
        </w:rPr>
      </w:pPr>
    </w:p>
    <w:p w:rsidR="00E812B4" w:rsidRDefault="00E812B4" w:rsidP="00A07CD4">
      <w:pPr>
        <w:pStyle w:val="BodyText"/>
        <w:spacing w:line="360" w:lineRule="auto"/>
        <w:ind w:firstLine="720"/>
        <w:rPr>
          <w:color w:val="auto"/>
        </w:rPr>
      </w:pPr>
      <w:r>
        <w:rPr>
          <w:color w:val="auto"/>
        </w:rPr>
        <w:t>Duquesne is</w:t>
      </w:r>
      <w:r w:rsidR="0053314F">
        <w:rPr>
          <w:color w:val="auto"/>
        </w:rPr>
        <w:t xml:space="preserve"> a public utility as defined in Section 102 of the Public Utility Code, 66 Pa.</w:t>
      </w:r>
      <w:r w:rsidR="00474826">
        <w:rPr>
          <w:color w:val="auto"/>
        </w:rPr>
        <w:t xml:space="preserve"> </w:t>
      </w:r>
      <w:r w:rsidR="0053314F">
        <w:rPr>
          <w:color w:val="auto"/>
        </w:rPr>
        <w:t xml:space="preserve">C.S. § 102.  The </w:t>
      </w:r>
      <w:r w:rsidR="00765E50">
        <w:rPr>
          <w:color w:val="auto"/>
        </w:rPr>
        <w:t xml:space="preserve">Applicant </w:t>
      </w:r>
      <w:r w:rsidR="0053314F">
        <w:rPr>
          <w:color w:val="auto"/>
        </w:rPr>
        <w:t xml:space="preserve">is a Pennsylvania business corporation formed on November 25, </w:t>
      </w:r>
      <w:r w:rsidR="00A07CD4">
        <w:rPr>
          <w:color w:val="auto"/>
        </w:rPr>
        <w:t>19</w:t>
      </w:r>
      <w:r w:rsidR="0053314F">
        <w:rPr>
          <w:color w:val="auto"/>
        </w:rPr>
        <w:t>12</w:t>
      </w:r>
      <w:r w:rsidR="00536682">
        <w:rPr>
          <w:color w:val="auto"/>
        </w:rPr>
        <w:t>, and a wholly-owned subsidiary</w:t>
      </w:r>
      <w:r w:rsidR="00765E50">
        <w:rPr>
          <w:color w:val="auto"/>
        </w:rPr>
        <w:t xml:space="preserve"> of</w:t>
      </w:r>
      <w:r w:rsidR="00536682" w:rsidRPr="00536682">
        <w:rPr>
          <w:color w:val="auto"/>
        </w:rPr>
        <w:t xml:space="preserve"> </w:t>
      </w:r>
      <w:r w:rsidR="00536682">
        <w:rPr>
          <w:color w:val="auto"/>
        </w:rPr>
        <w:t>Duquesne Light Holdings, Inc. (DLH)</w:t>
      </w:r>
      <w:r w:rsidR="0053314F">
        <w:rPr>
          <w:color w:val="auto"/>
        </w:rPr>
        <w:t xml:space="preserve">.  Duquesne provides electric service to approximately 590,000 customers in the City of Pittsburgh and Allegheny and </w:t>
      </w:r>
      <w:r w:rsidR="00A07CD4">
        <w:rPr>
          <w:color w:val="auto"/>
        </w:rPr>
        <w:t>Beaver</w:t>
      </w:r>
      <w:r w:rsidR="0053314F">
        <w:rPr>
          <w:color w:val="auto"/>
        </w:rPr>
        <w:t xml:space="preserve"> Counties of Pennsylvania.  </w:t>
      </w:r>
    </w:p>
    <w:p w:rsidR="004B1C31" w:rsidRDefault="004B1C31" w:rsidP="002C1B3C">
      <w:pPr>
        <w:pStyle w:val="BodyText"/>
        <w:spacing w:line="360" w:lineRule="auto"/>
        <w:ind w:firstLine="720"/>
        <w:rPr>
          <w:color w:val="auto"/>
        </w:rPr>
      </w:pPr>
    </w:p>
    <w:p w:rsidR="00E812B4" w:rsidRDefault="00536682" w:rsidP="002C1B3C">
      <w:pPr>
        <w:pStyle w:val="BodyText"/>
        <w:spacing w:line="360" w:lineRule="auto"/>
        <w:ind w:firstLine="720"/>
        <w:rPr>
          <w:color w:val="auto"/>
        </w:rPr>
      </w:pPr>
      <w:r>
        <w:rPr>
          <w:color w:val="auto"/>
        </w:rPr>
        <w:t>The Commission approved a proposed reorganization</w:t>
      </w:r>
      <w:r w:rsidR="00CB7619">
        <w:rPr>
          <w:color w:val="auto"/>
        </w:rPr>
        <w:t xml:space="preserve"> (Restructuring)</w:t>
      </w:r>
      <w:r>
        <w:rPr>
          <w:color w:val="auto"/>
        </w:rPr>
        <w:t xml:space="preserve"> of DLH’s communication subsidiaries at Docket No. A</w:t>
      </w:r>
      <w:r>
        <w:rPr>
          <w:color w:val="auto"/>
        </w:rPr>
        <w:noBreakHyphen/>
        <w:t>2014</w:t>
      </w:r>
      <w:r>
        <w:rPr>
          <w:color w:val="auto"/>
        </w:rPr>
        <w:noBreakHyphen/>
        <w:t>2440466 via a Secretarial Letter dated December 18, 2014.</w:t>
      </w:r>
      <w:r w:rsidR="0074308E">
        <w:rPr>
          <w:color w:val="auto"/>
        </w:rPr>
        <w:t xml:space="preserve">  Per the</w:t>
      </w:r>
      <w:r w:rsidR="004B1C31">
        <w:rPr>
          <w:color w:val="auto"/>
        </w:rPr>
        <w:t xml:space="preserve"> reorganization, DQE Communications Network Services, LLC (Network) merged into its parent DQE Communications, LLC (Communications).  It was then intended that Communications’ direct parent, DQE Systems, Inc. (Systems)</w:t>
      </w:r>
      <w:r w:rsidR="00765E50">
        <w:rPr>
          <w:color w:val="auto"/>
        </w:rPr>
        <w:t>,</w:t>
      </w:r>
      <w:r w:rsidR="004B1C31">
        <w:rPr>
          <w:color w:val="auto"/>
        </w:rPr>
        <w:t xml:space="preserve"> would be merged with its parent DLH, resulting in Communications becoming a direct subsidiary of DLH.  This final merger was not completed, however, as the planned merger could result in unintended tax consequences to the communications business and result in reduced funds available to expand the business</w:t>
      </w:r>
    </w:p>
    <w:p w:rsidR="00A07CD4" w:rsidRDefault="00A07CD4" w:rsidP="002C1B3C">
      <w:pPr>
        <w:pStyle w:val="BodyText"/>
        <w:spacing w:line="360" w:lineRule="auto"/>
        <w:ind w:firstLine="720"/>
        <w:rPr>
          <w:color w:val="auto"/>
        </w:rPr>
      </w:pPr>
    </w:p>
    <w:p w:rsidR="00A07CD4" w:rsidRDefault="00A07CD4" w:rsidP="00A07CD4">
      <w:pPr>
        <w:pStyle w:val="BodyText"/>
        <w:spacing w:line="360" w:lineRule="auto"/>
        <w:ind w:firstLine="720"/>
        <w:rPr>
          <w:color w:val="auto"/>
        </w:rPr>
      </w:pPr>
      <w:r w:rsidRPr="003C79A1">
        <w:rPr>
          <w:color w:val="auto"/>
        </w:rPr>
        <w:t>The ETL presented an alternative to the Res</w:t>
      </w:r>
      <w:r w:rsidR="00EF64BC">
        <w:rPr>
          <w:color w:val="auto"/>
        </w:rPr>
        <w:t>tructuring approved in December </w:t>
      </w:r>
      <w:r w:rsidRPr="003C79A1">
        <w:rPr>
          <w:color w:val="auto"/>
        </w:rPr>
        <w:t xml:space="preserve">2014.  </w:t>
      </w:r>
      <w:r w:rsidRPr="00A07CD4">
        <w:rPr>
          <w:color w:val="auto"/>
        </w:rPr>
        <w:t>The ETL is the result of Act 172 of 2014</w:t>
      </w:r>
      <w:r w:rsidR="00765E50">
        <w:rPr>
          <w:color w:val="auto"/>
        </w:rPr>
        <w:t>,</w:t>
      </w:r>
      <w:r w:rsidRPr="00A07CD4">
        <w:rPr>
          <w:color w:val="auto"/>
        </w:rPr>
        <w:t xml:space="preserve"> which makes significant changes to the Associations Code (Title 15 of the Pennsylvania Consolidated Statutes) and many of the filings made with the Department of State’s Bureau of Corporations and Charitable Organizations.  Act 172 became effective on July 1, 2015.  Act 172 modernizes the law on corporations and unincorporated associations by creating a comprehensive statutory framework for a business entity to use when engaging in a transaction with another form of entity.</w:t>
      </w:r>
    </w:p>
    <w:p w:rsidR="00A07CD4" w:rsidRDefault="00A07CD4" w:rsidP="00A07CD4">
      <w:pPr>
        <w:pStyle w:val="BodyText"/>
        <w:spacing w:line="360" w:lineRule="auto"/>
        <w:ind w:firstLine="720"/>
        <w:rPr>
          <w:color w:val="auto"/>
        </w:rPr>
      </w:pPr>
    </w:p>
    <w:p w:rsidR="00D3635E" w:rsidRDefault="00A07CD4" w:rsidP="00773CB9">
      <w:pPr>
        <w:pStyle w:val="BodyText"/>
        <w:spacing w:line="360" w:lineRule="auto"/>
        <w:ind w:firstLine="720"/>
        <w:rPr>
          <w:color w:val="auto"/>
        </w:rPr>
      </w:pPr>
      <w:r>
        <w:rPr>
          <w:color w:val="auto"/>
        </w:rPr>
        <w:t>Prior to t</w:t>
      </w:r>
      <w:r w:rsidR="0054246E">
        <w:rPr>
          <w:color w:val="auto"/>
        </w:rPr>
        <w:t xml:space="preserve">he existence of the ETL, a corporate conversion from a corporation </w:t>
      </w:r>
      <w:r w:rsidR="00765E50">
        <w:rPr>
          <w:color w:val="auto"/>
        </w:rPr>
        <w:t>to a LLC</w:t>
      </w:r>
      <w:r w:rsidR="0054246E">
        <w:rPr>
          <w:color w:val="auto"/>
        </w:rPr>
        <w:t xml:space="preserve"> would have required</w:t>
      </w:r>
      <w:r w:rsidR="00B54B71">
        <w:rPr>
          <w:color w:val="auto"/>
        </w:rPr>
        <w:t xml:space="preserve"> the creation of a new LLC and the dissolution of the old </w:t>
      </w:r>
      <w:r w:rsidR="00B54B71">
        <w:rPr>
          <w:color w:val="auto"/>
        </w:rPr>
        <w:lastRenderedPageBreak/>
        <w:t xml:space="preserve">corporation in some manner.  The ETL allows the corporation to simply “convert” to a LLC.  Section 356(a)(2) of the ETL provides as follows </w:t>
      </w:r>
      <w:r w:rsidR="00A7526C">
        <w:rPr>
          <w:color w:val="auto"/>
        </w:rPr>
        <w:t>concerning</w:t>
      </w:r>
      <w:r w:rsidR="00B54B71">
        <w:rPr>
          <w:color w:val="auto"/>
        </w:rPr>
        <w:t xml:space="preserve"> the effect of the conversion:</w:t>
      </w:r>
    </w:p>
    <w:p w:rsidR="00474826" w:rsidRDefault="00B54B71" w:rsidP="00A7526C">
      <w:pPr>
        <w:pStyle w:val="BodyText"/>
        <w:spacing w:line="240" w:lineRule="auto"/>
        <w:ind w:left="1440" w:right="1440"/>
        <w:rPr>
          <w:color w:val="auto"/>
        </w:rPr>
      </w:pPr>
      <w:r>
        <w:rPr>
          <w:color w:val="auto"/>
        </w:rPr>
        <w:t>All property of the converting association continues to be vested in the convert</w:t>
      </w:r>
      <w:r w:rsidR="00474826">
        <w:rPr>
          <w:color w:val="auto"/>
        </w:rPr>
        <w:t>ed</w:t>
      </w:r>
      <w:r>
        <w:rPr>
          <w:color w:val="auto"/>
        </w:rPr>
        <w:t xml:space="preserve"> association without rev</w:t>
      </w:r>
      <w:r w:rsidR="00474826">
        <w:rPr>
          <w:color w:val="auto"/>
        </w:rPr>
        <w:t>er</w:t>
      </w:r>
      <w:r>
        <w:rPr>
          <w:color w:val="auto"/>
        </w:rPr>
        <w:t>sion or impairment, and the conversion shall not constitute a tr</w:t>
      </w:r>
      <w:r w:rsidR="00474826">
        <w:rPr>
          <w:color w:val="auto"/>
        </w:rPr>
        <w:t>ansfer of any of that property.</w:t>
      </w:r>
      <w:r>
        <w:rPr>
          <w:color w:val="auto"/>
        </w:rPr>
        <w:t xml:space="preserve"> </w:t>
      </w:r>
    </w:p>
    <w:p w:rsidR="00474826" w:rsidRDefault="00474826" w:rsidP="00A7526C">
      <w:pPr>
        <w:pStyle w:val="BodyText"/>
        <w:spacing w:line="240" w:lineRule="auto"/>
        <w:ind w:left="1440" w:right="1440"/>
        <w:rPr>
          <w:color w:val="auto"/>
        </w:rPr>
      </w:pPr>
    </w:p>
    <w:p w:rsidR="00B54B71" w:rsidRDefault="00474826" w:rsidP="00474826">
      <w:pPr>
        <w:pStyle w:val="BodyText"/>
        <w:spacing w:line="240" w:lineRule="auto"/>
        <w:ind w:right="1440"/>
        <w:rPr>
          <w:color w:val="auto"/>
        </w:rPr>
      </w:pPr>
      <w:r>
        <w:rPr>
          <w:color w:val="auto"/>
        </w:rPr>
        <w:t>15</w:t>
      </w:r>
      <w:r w:rsidR="00B54B71">
        <w:rPr>
          <w:color w:val="auto"/>
        </w:rPr>
        <w:t xml:space="preserve"> Pa.</w:t>
      </w:r>
      <w:r>
        <w:rPr>
          <w:color w:val="auto"/>
        </w:rPr>
        <w:t xml:space="preserve"> </w:t>
      </w:r>
      <w:r w:rsidR="00B54B71">
        <w:rPr>
          <w:color w:val="auto"/>
        </w:rPr>
        <w:t>C.S. § 356(a)(2)</w:t>
      </w:r>
    </w:p>
    <w:p w:rsidR="003C79A1" w:rsidRDefault="003C79A1" w:rsidP="002C1B3C">
      <w:pPr>
        <w:pStyle w:val="BodyText"/>
        <w:spacing w:line="360" w:lineRule="auto"/>
        <w:ind w:firstLine="720"/>
        <w:rPr>
          <w:color w:val="auto"/>
        </w:rPr>
      </w:pPr>
    </w:p>
    <w:p w:rsidR="003C79A1" w:rsidRPr="00F715BD" w:rsidRDefault="003C79A1" w:rsidP="003C79A1">
      <w:pPr>
        <w:pStyle w:val="BodyText"/>
        <w:spacing w:line="360" w:lineRule="auto"/>
        <w:rPr>
          <w:b/>
          <w:color w:val="auto"/>
          <w:u w:val="single"/>
        </w:rPr>
      </w:pPr>
      <w:r w:rsidRPr="00F715BD">
        <w:rPr>
          <w:b/>
          <w:color w:val="auto"/>
          <w:u w:val="single"/>
        </w:rPr>
        <w:t>Description of Transfer of Control</w:t>
      </w:r>
    </w:p>
    <w:p w:rsidR="00A07CD4" w:rsidRDefault="00A07CD4" w:rsidP="00A07CD4">
      <w:pPr>
        <w:pStyle w:val="BodyText"/>
        <w:spacing w:line="360" w:lineRule="auto"/>
        <w:rPr>
          <w:color w:val="auto"/>
        </w:rPr>
      </w:pPr>
    </w:p>
    <w:p w:rsidR="00192761" w:rsidRDefault="003C79A1" w:rsidP="003C79A1">
      <w:pPr>
        <w:pStyle w:val="BodyText"/>
        <w:spacing w:line="360" w:lineRule="auto"/>
        <w:ind w:firstLine="720"/>
        <w:rPr>
          <w:color w:val="auto"/>
        </w:rPr>
      </w:pPr>
      <w:r w:rsidRPr="003C79A1">
        <w:rPr>
          <w:color w:val="auto"/>
        </w:rPr>
        <w:t xml:space="preserve">Duquesne, along with all </w:t>
      </w:r>
      <w:r w:rsidR="00765E50">
        <w:rPr>
          <w:color w:val="auto"/>
        </w:rPr>
        <w:t xml:space="preserve">of </w:t>
      </w:r>
      <w:r w:rsidRPr="003C79A1">
        <w:rPr>
          <w:color w:val="auto"/>
        </w:rPr>
        <w:t>DLH’s subsidiaries, proposes to convert from a Pennsylvania Business Corporation to a Pennsylvania LLC.  Subchapter E of the ETL authorizes such a conversion by adopting a Plan of Conversion and filing a Statement of Conversion</w:t>
      </w:r>
      <w:r w:rsidRPr="003C79A1">
        <w:rPr>
          <w:color w:val="auto"/>
          <w:vertAlign w:val="superscript"/>
        </w:rPr>
        <w:footnoteReference w:id="2"/>
      </w:r>
      <w:r w:rsidRPr="003C79A1">
        <w:rPr>
          <w:color w:val="auto"/>
        </w:rPr>
        <w:t xml:space="preserve"> with the Department of State.  The conversion will not result in a change to the name of the </w:t>
      </w:r>
      <w:r w:rsidR="00765E50">
        <w:rPr>
          <w:color w:val="auto"/>
        </w:rPr>
        <w:t>Applicant</w:t>
      </w:r>
      <w:r w:rsidRPr="003C79A1">
        <w:rPr>
          <w:color w:val="auto"/>
        </w:rPr>
        <w:t xml:space="preserve"> nor its management finances or ownership.  Duquesne will continue to be a wholly-owned subsidiary of DLH, issue debt directly to the public, and contin</w:t>
      </w:r>
      <w:r w:rsidR="00765E50">
        <w:rPr>
          <w:color w:val="auto"/>
        </w:rPr>
        <w:t>ue to obtain standalone ratings.</w:t>
      </w:r>
    </w:p>
    <w:p w:rsidR="006A0DB8" w:rsidRDefault="006A0DB8" w:rsidP="003C79A1">
      <w:pPr>
        <w:pStyle w:val="BodyText"/>
        <w:spacing w:line="360" w:lineRule="auto"/>
        <w:rPr>
          <w:color w:val="auto"/>
        </w:rPr>
      </w:pPr>
    </w:p>
    <w:p w:rsidR="001E6361" w:rsidRDefault="003C79A1" w:rsidP="002C1B3C">
      <w:pPr>
        <w:pStyle w:val="BodyText"/>
        <w:spacing w:line="360" w:lineRule="auto"/>
        <w:ind w:firstLine="720"/>
        <w:rPr>
          <w:color w:val="auto"/>
        </w:rPr>
      </w:pPr>
      <w:r>
        <w:rPr>
          <w:color w:val="auto"/>
        </w:rPr>
        <w:t>Following Duquesne’s conversion to a LLC</w:t>
      </w:r>
      <w:r w:rsidR="001E6361">
        <w:rPr>
          <w:color w:val="auto"/>
        </w:rPr>
        <w:t xml:space="preserve">, the ownership interests in Communications held by Systems will be distributed </w:t>
      </w:r>
      <w:r w:rsidR="00626595">
        <w:rPr>
          <w:color w:val="auto"/>
        </w:rPr>
        <w:t>up</w:t>
      </w:r>
      <w:r w:rsidR="00765E50">
        <w:rPr>
          <w:color w:val="auto"/>
        </w:rPr>
        <w:t xml:space="preserve"> to DLH, </w:t>
      </w:r>
      <w:r w:rsidR="001E6361">
        <w:rPr>
          <w:color w:val="auto"/>
        </w:rPr>
        <w:t xml:space="preserve">making Communications </w:t>
      </w:r>
      <w:r w:rsidR="00626595">
        <w:rPr>
          <w:color w:val="auto"/>
        </w:rPr>
        <w:t>a direct subsidiary of DLH.  This</w:t>
      </w:r>
      <w:r w:rsidR="001E6361">
        <w:rPr>
          <w:color w:val="auto"/>
        </w:rPr>
        <w:t xml:space="preserve"> </w:t>
      </w:r>
      <w:r w:rsidR="00626595">
        <w:rPr>
          <w:color w:val="auto"/>
        </w:rPr>
        <w:t>accomplished</w:t>
      </w:r>
      <w:r w:rsidR="001E6361">
        <w:rPr>
          <w:color w:val="auto"/>
        </w:rPr>
        <w:t xml:space="preserve"> the intent of the previously approved restructuring without</w:t>
      </w:r>
      <w:r w:rsidR="00465B54">
        <w:rPr>
          <w:color w:val="auto"/>
        </w:rPr>
        <w:t xml:space="preserve"> a</w:t>
      </w:r>
      <w:r w:rsidR="00A7526C">
        <w:rPr>
          <w:color w:val="auto"/>
        </w:rPr>
        <w:t xml:space="preserve"> merger.  </w:t>
      </w:r>
      <w:r w:rsidR="00465B54">
        <w:rPr>
          <w:color w:val="auto"/>
        </w:rPr>
        <w:t xml:space="preserve">Duquesne avers that this will simplify the previously approved Restructuring while mitigating a </w:t>
      </w:r>
      <w:r w:rsidR="00626595">
        <w:rPr>
          <w:color w:val="auto"/>
        </w:rPr>
        <w:t>substantial</w:t>
      </w:r>
      <w:r w:rsidR="00465B54">
        <w:rPr>
          <w:color w:val="auto"/>
        </w:rPr>
        <w:t xml:space="preserve"> income tax cost.</w:t>
      </w:r>
    </w:p>
    <w:p w:rsidR="003C79A1" w:rsidRDefault="003C79A1" w:rsidP="002C1B3C">
      <w:pPr>
        <w:pStyle w:val="BodyText"/>
        <w:spacing w:line="360" w:lineRule="auto"/>
        <w:ind w:firstLine="720"/>
        <w:rPr>
          <w:color w:val="auto"/>
        </w:rPr>
      </w:pPr>
    </w:p>
    <w:p w:rsidR="003C79A1" w:rsidRDefault="003C79A1" w:rsidP="003C79A1">
      <w:pPr>
        <w:pStyle w:val="BodyText"/>
        <w:spacing w:line="360" w:lineRule="auto"/>
        <w:ind w:firstLine="720"/>
        <w:rPr>
          <w:color w:val="auto"/>
        </w:rPr>
      </w:pPr>
      <w:r>
        <w:rPr>
          <w:color w:val="auto"/>
        </w:rPr>
        <w:lastRenderedPageBreak/>
        <w:t xml:space="preserve">The conversion of Duquesne to an LLC will not only facilitate the previously approved restructuring but will avoid future potential federal income tax liability associated with Duquesne’s ownership of </w:t>
      </w:r>
      <w:r w:rsidR="00765E50">
        <w:rPr>
          <w:color w:val="auto"/>
        </w:rPr>
        <w:t xml:space="preserve">a </w:t>
      </w:r>
      <w:r>
        <w:rPr>
          <w:color w:val="auto"/>
        </w:rPr>
        <w:t>non-regulated subsidiary, Monongahela Light &amp; Power Company (Monongahela) and its subsidiary, Datacom Information Systems, LLC (DataCom).  As an LLC, Duquesne will transfer these subsidiaries to DLH, avoiding any current or future federal income tax liabilities associated with their operations.  Following the transfer of Monongahela and DataCom to DLH, Duquesne will remain an LLC but will make an election with the Internal Revenue Service</w:t>
      </w:r>
      <w:r w:rsidR="00624691">
        <w:rPr>
          <w:color w:val="auto"/>
        </w:rPr>
        <w:t xml:space="preserve"> (IRS)</w:t>
      </w:r>
      <w:r>
        <w:rPr>
          <w:color w:val="auto"/>
        </w:rPr>
        <w:t xml:space="preserve"> to continue as a taxable entity included as a company in the consolidated federal income tax return filed by DLH’s parent, DQE Holdings, LLC.  Duquesne will continue to file separate returns with the Pennsylvania Department of Revenue</w:t>
      </w:r>
      <w:r w:rsidR="00624691">
        <w:rPr>
          <w:color w:val="auto"/>
        </w:rPr>
        <w:t xml:space="preserve"> (Revenue)</w:t>
      </w:r>
      <w:r>
        <w:rPr>
          <w:color w:val="auto"/>
        </w:rPr>
        <w:t xml:space="preserve"> under the Pennsylvania Corporate Net Income Tax regulations.</w:t>
      </w:r>
    </w:p>
    <w:p w:rsidR="00465B54" w:rsidRDefault="00465B54" w:rsidP="002C1B3C">
      <w:pPr>
        <w:pStyle w:val="BodyText"/>
        <w:spacing w:line="360" w:lineRule="auto"/>
        <w:ind w:firstLine="720"/>
        <w:rPr>
          <w:color w:val="auto"/>
        </w:rPr>
      </w:pPr>
    </w:p>
    <w:p w:rsidR="00192761" w:rsidRPr="00F715BD" w:rsidRDefault="00192761" w:rsidP="00192761">
      <w:pPr>
        <w:pStyle w:val="BodyText"/>
        <w:spacing w:line="360" w:lineRule="auto"/>
        <w:rPr>
          <w:b/>
          <w:color w:val="auto"/>
          <w:u w:val="single"/>
        </w:rPr>
      </w:pPr>
      <w:r w:rsidRPr="00F715BD">
        <w:rPr>
          <w:b/>
          <w:color w:val="auto"/>
          <w:u w:val="single"/>
        </w:rPr>
        <w:t>Discussion</w:t>
      </w:r>
    </w:p>
    <w:p w:rsidR="004A6A6D" w:rsidRDefault="004A6A6D" w:rsidP="002C1B3C">
      <w:pPr>
        <w:pStyle w:val="BodyText"/>
        <w:spacing w:line="360" w:lineRule="auto"/>
        <w:ind w:firstLine="720"/>
        <w:rPr>
          <w:color w:val="auto"/>
        </w:rPr>
      </w:pPr>
    </w:p>
    <w:p w:rsidR="00D570E7" w:rsidRDefault="00340187" w:rsidP="00773CB9">
      <w:pPr>
        <w:pStyle w:val="BodyText"/>
        <w:spacing w:line="360" w:lineRule="auto"/>
        <w:ind w:firstLine="720"/>
        <w:rPr>
          <w:color w:val="auto"/>
        </w:rPr>
      </w:pPr>
      <w:r>
        <w:rPr>
          <w:color w:val="auto"/>
        </w:rPr>
        <w:t>Duquesne notes that the Commission has previously ruled on the approval requirements</w:t>
      </w:r>
      <w:r w:rsidR="00D570E7">
        <w:rPr>
          <w:color w:val="auto"/>
        </w:rPr>
        <w:t xml:space="preserve"> associated with a corporate conversion.  In Joint Application of Frontier Communications</w:t>
      </w:r>
      <w:r w:rsidR="00474826">
        <w:rPr>
          <w:color w:val="auto"/>
        </w:rPr>
        <w:t>,</w:t>
      </w:r>
      <w:r w:rsidR="00D570E7">
        <w:rPr>
          <w:color w:val="auto"/>
        </w:rPr>
        <w:t xml:space="preserve"> </w:t>
      </w:r>
      <w:r w:rsidR="00D570E7" w:rsidRPr="00474826">
        <w:rPr>
          <w:i/>
          <w:color w:val="auto"/>
        </w:rPr>
        <w:t>et al</w:t>
      </w:r>
      <w:r w:rsidR="00D570E7">
        <w:rPr>
          <w:color w:val="auto"/>
        </w:rPr>
        <w:t xml:space="preserve">, Order </w:t>
      </w:r>
      <w:r w:rsidR="00474826">
        <w:rPr>
          <w:color w:val="auto"/>
        </w:rPr>
        <w:t>at 3, entered</w:t>
      </w:r>
      <w:r w:rsidR="00D570E7">
        <w:rPr>
          <w:color w:val="auto"/>
        </w:rPr>
        <w:t xml:space="preserve"> </w:t>
      </w:r>
      <w:r w:rsidR="00A2055A">
        <w:rPr>
          <w:color w:val="auto"/>
        </w:rPr>
        <w:t>October 16, 2003, at Docket                    No. </w:t>
      </w:r>
      <w:r w:rsidR="00D570E7">
        <w:rPr>
          <w:color w:val="auto"/>
        </w:rPr>
        <w:t>A-310400F004, the Commission approved the conversion of the Frontier Utilities from Pennsylvania business corporations to Pennsylvania LLCs.</w:t>
      </w:r>
      <w:r w:rsidR="00D570E7">
        <w:rPr>
          <w:rStyle w:val="FootnoteReference"/>
          <w:color w:val="auto"/>
        </w:rPr>
        <w:footnoteReference w:id="3"/>
      </w:r>
      <w:r w:rsidR="00D570E7">
        <w:rPr>
          <w:color w:val="auto"/>
        </w:rPr>
        <w:t xml:space="preserve">  The Commission concluded as follows:</w:t>
      </w:r>
    </w:p>
    <w:p w:rsidR="00D570E7" w:rsidRPr="00D570E7" w:rsidRDefault="00D570E7" w:rsidP="00D570E7">
      <w:pPr>
        <w:pStyle w:val="BodyText"/>
        <w:spacing w:line="240" w:lineRule="auto"/>
        <w:ind w:left="1440" w:right="1440" w:firstLine="720"/>
        <w:rPr>
          <w:color w:val="auto"/>
        </w:rPr>
      </w:pPr>
      <w:r w:rsidRPr="00D570E7">
        <w:rPr>
          <w:color w:val="auto"/>
        </w:rPr>
        <w:t xml:space="preserve">In the past we have interpreted a utility’s change in its type of business entity to constitute the entry into public service by the new entity and the abandonment of service by the former entity, and we have assigned a new utility code to the successor utility.  With the instant changes by the Frontier Utilities, we find that a more streamlined approach to granting the authority necessary pursuant to Chapter 11 of the Code is in order.  If a new business entity will indeed be the </w:t>
      </w:r>
      <w:r w:rsidRPr="00D570E7">
        <w:rPr>
          <w:color w:val="auto"/>
        </w:rPr>
        <w:lastRenderedPageBreak/>
        <w:t xml:space="preserve">successor to a utility in good standing, succeeding to all rights and responsibilities of the incumbent utility, and if all the resources—technical, managerial and financial—of the incumbent utility will be at the disposal of the new business entity, then we can grant the appropriate authority forthwith, and the existing utility code will apply to the successor utility.  It will not be necessary for the successor utility to demonstrate fitness to provide service, as for all practical purposes the entities are one and the same.  Moreover, since there will be no change in control of the utility services nor any change in the resources available to the incumbent and successor utilities, it will not be necessary to demonstrate an affirmative public benefit or the promise thereof pursuant to </w:t>
      </w:r>
      <w:r w:rsidRPr="00D570E7">
        <w:rPr>
          <w:i/>
          <w:color w:val="auto"/>
        </w:rPr>
        <w:t xml:space="preserve">City of York </w:t>
      </w:r>
      <w:r w:rsidRPr="00D570E7">
        <w:rPr>
          <w:color w:val="auto"/>
        </w:rPr>
        <w:t>as is normally required for acquisitions and changes in control of a utility.</w:t>
      </w:r>
    </w:p>
    <w:p w:rsidR="00E812B4" w:rsidRDefault="00E812B4" w:rsidP="00626595">
      <w:pPr>
        <w:pStyle w:val="BodyText"/>
        <w:spacing w:line="360" w:lineRule="auto"/>
        <w:rPr>
          <w:color w:val="auto"/>
        </w:rPr>
      </w:pPr>
    </w:p>
    <w:p w:rsidR="00510D5E" w:rsidRDefault="006C2109" w:rsidP="002C1B3C">
      <w:pPr>
        <w:pStyle w:val="BodyText"/>
        <w:spacing w:line="360" w:lineRule="auto"/>
        <w:ind w:firstLine="720"/>
        <w:rPr>
          <w:color w:val="auto"/>
        </w:rPr>
      </w:pPr>
      <w:r>
        <w:rPr>
          <w:color w:val="auto"/>
        </w:rPr>
        <w:t xml:space="preserve">Duquesne also cites the Application of Qwest Communications Corporation for approval of a conversion to a LLC.  In this instance, a Delaware corporation was converted to a Delaware LLC in a similar manner to what is now permitted in Pennsylvania under the ETL.  </w:t>
      </w:r>
      <w:r w:rsidR="00101DA8">
        <w:rPr>
          <w:color w:val="auto"/>
        </w:rPr>
        <w:t>Again,</w:t>
      </w:r>
      <w:r>
        <w:rPr>
          <w:color w:val="auto"/>
        </w:rPr>
        <w:t xml:space="preserve"> the Commission took a streaml</w:t>
      </w:r>
      <w:r w:rsidR="00997D3D">
        <w:rPr>
          <w:color w:val="auto"/>
        </w:rPr>
        <w:t>ined approach and allowed the converted business entity to retain the utility code.</w:t>
      </w:r>
    </w:p>
    <w:p w:rsidR="0061016F" w:rsidRDefault="0061016F" w:rsidP="00773CB9">
      <w:pPr>
        <w:pStyle w:val="BodyText"/>
        <w:spacing w:line="240" w:lineRule="auto"/>
        <w:ind w:firstLine="720"/>
        <w:rPr>
          <w:color w:val="auto"/>
        </w:rPr>
      </w:pPr>
    </w:p>
    <w:p w:rsidR="002F1214" w:rsidRDefault="0061016F" w:rsidP="00773CB9">
      <w:pPr>
        <w:pStyle w:val="BodyText"/>
        <w:spacing w:line="240" w:lineRule="auto"/>
        <w:ind w:left="1440" w:right="1440"/>
        <w:rPr>
          <w:color w:val="auto"/>
        </w:rPr>
      </w:pPr>
      <w:r>
        <w:rPr>
          <w:color w:val="auto"/>
        </w:rPr>
        <w:t xml:space="preserve">As was the case when the five Frontier Communication ILECs changed from business corporations to limited liability companies, the Commission will take a streamlined approach and not require formal entry into public service by the current business corporation to a limited liability company.  Since management control of the Applicant will not be changing, </w:t>
      </w:r>
    </w:p>
    <w:p w:rsidR="002F1214" w:rsidRDefault="0061016F" w:rsidP="002F1214">
      <w:pPr>
        <w:pStyle w:val="BodyText"/>
        <w:spacing w:line="240" w:lineRule="auto"/>
        <w:ind w:left="1440" w:right="1440"/>
        <w:rPr>
          <w:color w:val="auto"/>
        </w:rPr>
      </w:pPr>
      <w:r>
        <w:rPr>
          <w:color w:val="auto"/>
        </w:rPr>
        <w:t xml:space="preserve">and the newly created entity will continue to provide the same services pursuant to the same tariffs, the Commission will not </w:t>
      </w:r>
    </w:p>
    <w:p w:rsidR="0061016F" w:rsidRDefault="0061016F" w:rsidP="002F1214">
      <w:pPr>
        <w:pStyle w:val="BodyText"/>
        <w:spacing w:line="240" w:lineRule="auto"/>
        <w:ind w:left="1440" w:right="1440"/>
        <w:rPr>
          <w:color w:val="auto"/>
        </w:rPr>
      </w:pPr>
      <w:r>
        <w:rPr>
          <w:color w:val="auto"/>
        </w:rPr>
        <w:t>require the existing utility code to change, but will continue its use by the successor utility.</w:t>
      </w:r>
    </w:p>
    <w:p w:rsidR="00101DA8" w:rsidRDefault="00101DA8" w:rsidP="00773CB9">
      <w:pPr>
        <w:pStyle w:val="BodyText"/>
        <w:spacing w:line="240" w:lineRule="auto"/>
        <w:rPr>
          <w:color w:val="auto"/>
        </w:rPr>
      </w:pPr>
    </w:p>
    <w:p w:rsidR="00474826" w:rsidRDefault="00474826" w:rsidP="002F1214">
      <w:pPr>
        <w:pStyle w:val="BodyText"/>
        <w:spacing w:line="360" w:lineRule="auto"/>
        <w:rPr>
          <w:color w:val="auto"/>
        </w:rPr>
      </w:pPr>
      <w:r w:rsidRPr="00773CB9">
        <w:rPr>
          <w:i/>
          <w:color w:val="auto"/>
        </w:rPr>
        <w:t>Application of Q</w:t>
      </w:r>
      <w:r w:rsidR="002F1214" w:rsidRPr="00773CB9">
        <w:rPr>
          <w:i/>
          <w:color w:val="auto"/>
        </w:rPr>
        <w:t>west Communications Corporation</w:t>
      </w:r>
      <w:r w:rsidR="00304C14" w:rsidRPr="00773CB9">
        <w:rPr>
          <w:i/>
          <w:color w:val="auto"/>
        </w:rPr>
        <w:t xml:space="preserve"> for Approval of the Conversion to an LLC,</w:t>
      </w:r>
      <w:r w:rsidR="00304C14">
        <w:rPr>
          <w:color w:val="auto"/>
        </w:rPr>
        <w:t xml:space="preserve"> Order, Docket No. A-2008-2072842 (entered De</w:t>
      </w:r>
      <w:r w:rsidR="00441173">
        <w:rPr>
          <w:color w:val="auto"/>
        </w:rPr>
        <w:t>c. 9, 2008), 2008 Pa. PUC LEXIS </w:t>
      </w:r>
      <w:r w:rsidR="00304C14">
        <w:rPr>
          <w:color w:val="auto"/>
        </w:rPr>
        <w:t>998, 3-4.</w:t>
      </w:r>
    </w:p>
    <w:p w:rsidR="00101DA8" w:rsidRDefault="00101DA8" w:rsidP="00474826">
      <w:pPr>
        <w:pStyle w:val="BodyText"/>
        <w:spacing w:line="360" w:lineRule="auto"/>
        <w:rPr>
          <w:color w:val="auto"/>
        </w:rPr>
      </w:pPr>
    </w:p>
    <w:p w:rsidR="00926E89" w:rsidRDefault="00C0405D" w:rsidP="002C1B3C">
      <w:pPr>
        <w:pStyle w:val="BodyText"/>
        <w:spacing w:line="360" w:lineRule="auto"/>
        <w:ind w:firstLine="720"/>
        <w:rPr>
          <w:color w:val="auto"/>
        </w:rPr>
      </w:pPr>
      <w:r>
        <w:rPr>
          <w:color w:val="auto"/>
        </w:rPr>
        <w:lastRenderedPageBreak/>
        <w:t>Duquesne notes that while the Commission approved both the Frontier and Quest applications as “necessary or proper for the service, accommodation and convenience of the public</w:t>
      </w:r>
      <w:r w:rsidR="00765E50">
        <w:rPr>
          <w:color w:val="auto"/>
        </w:rPr>
        <w:t>,</w:t>
      </w:r>
      <w:r>
        <w:rPr>
          <w:color w:val="auto"/>
        </w:rPr>
        <w:t>” the Commission did not require the applicants to meet either the standards for approval of a transfer of property under section 1102(a)(3) of the Public Utility Code</w:t>
      </w:r>
      <w:r w:rsidR="00304C14">
        <w:rPr>
          <w:color w:val="auto"/>
        </w:rPr>
        <w:t>, 66 Pa. C.S. § 1102 (a)(3),</w:t>
      </w:r>
      <w:r>
        <w:rPr>
          <w:color w:val="auto"/>
        </w:rPr>
        <w:t xml:space="preserve"> or issue a certificate of public convenience</w:t>
      </w:r>
      <w:r w:rsidR="00926E89">
        <w:rPr>
          <w:color w:val="auto"/>
        </w:rPr>
        <w:t>.</w:t>
      </w:r>
    </w:p>
    <w:p w:rsidR="002A5DB1" w:rsidRDefault="00C0405D" w:rsidP="002C1B3C">
      <w:pPr>
        <w:pStyle w:val="BodyText"/>
        <w:spacing w:line="360" w:lineRule="auto"/>
        <w:ind w:firstLine="720"/>
        <w:rPr>
          <w:color w:val="auto"/>
        </w:rPr>
      </w:pPr>
      <w:r>
        <w:rPr>
          <w:color w:val="auto"/>
        </w:rPr>
        <w:t xml:space="preserve"> </w:t>
      </w:r>
    </w:p>
    <w:p w:rsidR="006E4298" w:rsidRDefault="002147D1" w:rsidP="004D23FC">
      <w:pPr>
        <w:pStyle w:val="BodyText"/>
        <w:spacing w:line="360" w:lineRule="auto"/>
        <w:ind w:firstLine="720"/>
        <w:rPr>
          <w:color w:val="auto"/>
        </w:rPr>
      </w:pPr>
      <w:r>
        <w:rPr>
          <w:color w:val="auto"/>
        </w:rPr>
        <w:t>Section 1102 of the Public Utility Code, inter alia, requires</w:t>
      </w:r>
      <w:r w:rsidR="00604F79">
        <w:rPr>
          <w:color w:val="auto"/>
        </w:rPr>
        <w:t xml:space="preserve"> Commission approval for</w:t>
      </w:r>
      <w:r>
        <w:rPr>
          <w:color w:val="auto"/>
        </w:rPr>
        <w:t xml:space="preserve"> a public utility to transfer any tangible or intangible property used or useful in the public service.  </w:t>
      </w:r>
      <w:r w:rsidR="00CC3857">
        <w:rPr>
          <w:color w:val="auto"/>
        </w:rPr>
        <w:t xml:space="preserve">As the ETL provides that a conversion does not constitute a transfer of </w:t>
      </w:r>
      <w:r w:rsidR="006E4298">
        <w:rPr>
          <w:color w:val="auto"/>
        </w:rPr>
        <w:t>property</w:t>
      </w:r>
      <w:r w:rsidR="00CC3857">
        <w:rPr>
          <w:color w:val="auto"/>
        </w:rPr>
        <w:t xml:space="preserve">, there is no requirement to meet the standards under Chapter 11 of the Public Utility Code.  </w:t>
      </w:r>
      <w:r w:rsidR="00281AA0">
        <w:rPr>
          <w:color w:val="auto"/>
        </w:rPr>
        <w:t>Since</w:t>
      </w:r>
      <w:r w:rsidR="00604F79">
        <w:rPr>
          <w:color w:val="auto"/>
        </w:rPr>
        <w:t xml:space="preserve"> Chapter 11 considerations </w:t>
      </w:r>
      <w:r w:rsidR="00281AA0">
        <w:rPr>
          <w:color w:val="auto"/>
        </w:rPr>
        <w:t xml:space="preserve">do not exist, </w:t>
      </w:r>
      <w:r w:rsidR="006E4298">
        <w:rPr>
          <w:color w:val="auto"/>
        </w:rPr>
        <w:t xml:space="preserve">it will be </w:t>
      </w:r>
      <w:r w:rsidR="00604F79">
        <w:rPr>
          <w:color w:val="auto"/>
        </w:rPr>
        <w:t>un</w:t>
      </w:r>
      <w:r w:rsidR="006E4298">
        <w:rPr>
          <w:color w:val="auto"/>
        </w:rPr>
        <w:t xml:space="preserve">necessary to demonstrate an affirmative public benefit or promise </w:t>
      </w:r>
      <w:r w:rsidR="00604F79">
        <w:rPr>
          <w:color w:val="auto"/>
        </w:rPr>
        <w:t>thereof</w:t>
      </w:r>
      <w:r w:rsidR="006E4298">
        <w:rPr>
          <w:color w:val="auto"/>
        </w:rPr>
        <w:t xml:space="preserve"> pursuant to </w:t>
      </w:r>
      <w:r w:rsidR="006E4298" w:rsidRPr="006E4298">
        <w:rPr>
          <w:i/>
          <w:color w:val="auto"/>
        </w:rPr>
        <w:t>City of York</w:t>
      </w:r>
      <w:r w:rsidR="006E4298">
        <w:rPr>
          <w:color w:val="auto"/>
        </w:rPr>
        <w:t>.</w:t>
      </w:r>
    </w:p>
    <w:p w:rsidR="006E4298" w:rsidRDefault="006E4298" w:rsidP="004D23FC">
      <w:pPr>
        <w:pStyle w:val="BodyText"/>
        <w:spacing w:line="360" w:lineRule="auto"/>
        <w:ind w:firstLine="720"/>
        <w:rPr>
          <w:color w:val="auto"/>
        </w:rPr>
      </w:pPr>
    </w:p>
    <w:p w:rsidR="004D23FC" w:rsidRPr="004D23FC" w:rsidRDefault="00CC3857" w:rsidP="00773CB9">
      <w:pPr>
        <w:pStyle w:val="BodyText"/>
        <w:spacing w:line="360" w:lineRule="auto"/>
        <w:ind w:firstLine="720"/>
        <w:rPr>
          <w:color w:val="auto"/>
        </w:rPr>
      </w:pPr>
      <w:r>
        <w:rPr>
          <w:color w:val="auto"/>
        </w:rPr>
        <w:t>However, transactions under the ETL may still require Commission</w:t>
      </w:r>
      <w:r w:rsidR="006B7536">
        <w:rPr>
          <w:color w:val="auto"/>
        </w:rPr>
        <w:t xml:space="preserve"> approval. </w:t>
      </w:r>
      <w:r>
        <w:rPr>
          <w:color w:val="auto"/>
        </w:rPr>
        <w:t xml:space="preserve"> </w:t>
      </w:r>
      <w:r w:rsidR="00304C14">
        <w:rPr>
          <w:color w:val="auto"/>
        </w:rPr>
        <w:t>The ETL</w:t>
      </w:r>
      <w:r w:rsidR="002147D1">
        <w:rPr>
          <w:color w:val="auto"/>
        </w:rPr>
        <w:t xml:space="preserve"> </w:t>
      </w:r>
      <w:r w:rsidR="004D23FC" w:rsidRPr="004D23FC">
        <w:rPr>
          <w:color w:val="auto"/>
        </w:rPr>
        <w:t xml:space="preserve">provides </w:t>
      </w:r>
      <w:r w:rsidR="004D23FC">
        <w:rPr>
          <w:color w:val="auto"/>
        </w:rPr>
        <w:t>information regarding r</w:t>
      </w:r>
      <w:r w:rsidR="004D23FC" w:rsidRPr="004D23FC">
        <w:rPr>
          <w:color w:val="auto"/>
        </w:rPr>
        <w:t>egulatory conditions and</w:t>
      </w:r>
      <w:r w:rsidR="004D23FC">
        <w:rPr>
          <w:color w:val="auto"/>
        </w:rPr>
        <w:t xml:space="preserve"> required notices and approvals:</w:t>
      </w:r>
    </w:p>
    <w:p w:rsidR="004D23FC" w:rsidRDefault="004D23FC" w:rsidP="004D23FC">
      <w:pPr>
        <w:pStyle w:val="BodyText"/>
        <w:spacing w:line="240" w:lineRule="auto"/>
        <w:ind w:left="1440" w:right="1440"/>
        <w:rPr>
          <w:color w:val="auto"/>
        </w:rPr>
      </w:pPr>
      <w:r w:rsidRPr="004D23FC">
        <w:rPr>
          <w:color w:val="auto"/>
        </w:rPr>
        <w:t>If the law of this Commonwealth other than this chapter requires notice to or the approval of a governmental agency or officer of the Commonwealth in connection with the participation under an organic law that is not part of this title by a domestic or foreign association in a transaction which is a form of transaction authorized by this chapter, the notice must be given or the approval obtained by the association before it may participate in any form of transaction under this chapter.</w:t>
      </w:r>
    </w:p>
    <w:p w:rsidR="00101DA8" w:rsidRPr="004D23FC" w:rsidRDefault="00101DA8" w:rsidP="004D23FC">
      <w:pPr>
        <w:pStyle w:val="BodyText"/>
        <w:spacing w:line="240" w:lineRule="auto"/>
        <w:ind w:left="1440" w:right="1440"/>
        <w:rPr>
          <w:color w:val="auto"/>
        </w:rPr>
      </w:pPr>
    </w:p>
    <w:p w:rsidR="002B0D02" w:rsidRDefault="00304C14" w:rsidP="00215127">
      <w:pPr>
        <w:pStyle w:val="BodyText"/>
        <w:spacing w:line="360" w:lineRule="auto"/>
        <w:rPr>
          <w:color w:val="auto"/>
        </w:rPr>
      </w:pPr>
      <w:r>
        <w:rPr>
          <w:color w:val="auto"/>
        </w:rPr>
        <w:t>15 Pa. C.S. § 314 (a)</w:t>
      </w:r>
    </w:p>
    <w:p w:rsidR="00304C14" w:rsidRDefault="00304C14" w:rsidP="00215127">
      <w:pPr>
        <w:pStyle w:val="BodyText"/>
        <w:spacing w:line="360" w:lineRule="auto"/>
        <w:rPr>
          <w:color w:val="auto"/>
        </w:rPr>
      </w:pPr>
    </w:p>
    <w:p w:rsidR="00624691" w:rsidRDefault="00604F79" w:rsidP="00215127">
      <w:pPr>
        <w:pStyle w:val="BodyText"/>
        <w:spacing w:line="360" w:lineRule="auto"/>
        <w:rPr>
          <w:color w:val="auto"/>
        </w:rPr>
      </w:pPr>
      <w:r>
        <w:rPr>
          <w:color w:val="auto"/>
        </w:rPr>
        <w:tab/>
      </w:r>
      <w:r w:rsidR="00B30886">
        <w:rPr>
          <w:color w:val="auto"/>
        </w:rPr>
        <w:t>As the ETL simply allows an association to perform a conversion with no transfer of property</w:t>
      </w:r>
      <w:r w:rsidR="00F77622">
        <w:rPr>
          <w:color w:val="auto"/>
        </w:rPr>
        <w:t xml:space="preserve">, it does not </w:t>
      </w:r>
      <w:r w:rsidR="00765E50">
        <w:rPr>
          <w:color w:val="auto"/>
        </w:rPr>
        <w:t xml:space="preserve">appear </w:t>
      </w:r>
      <w:r w:rsidR="00624691">
        <w:rPr>
          <w:color w:val="auto"/>
        </w:rPr>
        <w:t>that any approval for this application would be required under the Pa. Code or Public Utility Code.  Only under Section 314 of the ETL is approval required.  Thus</w:t>
      </w:r>
      <w:r w:rsidR="00304C14">
        <w:rPr>
          <w:color w:val="auto"/>
        </w:rPr>
        <w:t>,</w:t>
      </w:r>
      <w:r w:rsidR="00624691">
        <w:rPr>
          <w:color w:val="auto"/>
        </w:rPr>
        <w:t xml:space="preserve"> the Commission must determine that approval of the </w:t>
      </w:r>
      <w:r w:rsidR="00624691">
        <w:rPr>
          <w:color w:val="auto"/>
        </w:rPr>
        <w:lastRenderedPageBreak/>
        <w:t xml:space="preserve">application </w:t>
      </w:r>
      <w:r w:rsidR="00624691" w:rsidRPr="00624691">
        <w:rPr>
          <w:color w:val="auto"/>
        </w:rPr>
        <w:t>is necessary or proper for the service, accommodation, convenience, or safety of the public</w:t>
      </w:r>
      <w:r w:rsidR="00624691">
        <w:rPr>
          <w:color w:val="auto"/>
        </w:rPr>
        <w:t>.</w:t>
      </w:r>
    </w:p>
    <w:p w:rsidR="00624691" w:rsidRDefault="00624691" w:rsidP="00215127">
      <w:pPr>
        <w:pStyle w:val="BodyText"/>
        <w:spacing w:line="360" w:lineRule="auto"/>
        <w:rPr>
          <w:color w:val="auto"/>
        </w:rPr>
      </w:pPr>
    </w:p>
    <w:p w:rsidR="00460B00" w:rsidRDefault="00624691" w:rsidP="00215127">
      <w:pPr>
        <w:pStyle w:val="BodyText"/>
        <w:spacing w:line="360" w:lineRule="auto"/>
        <w:rPr>
          <w:color w:val="auto"/>
        </w:rPr>
      </w:pPr>
      <w:r>
        <w:rPr>
          <w:color w:val="auto"/>
        </w:rPr>
        <w:tab/>
      </w:r>
      <w:r w:rsidR="00460B00">
        <w:rPr>
          <w:color w:val="auto"/>
        </w:rPr>
        <w:t xml:space="preserve">Duquesne has provided two primary benefits </w:t>
      </w:r>
      <w:r w:rsidR="00866551">
        <w:rPr>
          <w:color w:val="auto"/>
        </w:rPr>
        <w:t xml:space="preserve">of the </w:t>
      </w:r>
      <w:r w:rsidR="00460B00">
        <w:rPr>
          <w:color w:val="auto"/>
        </w:rPr>
        <w:t xml:space="preserve">transaction.  </w:t>
      </w:r>
      <w:r w:rsidR="00304C14">
        <w:rPr>
          <w:color w:val="auto"/>
        </w:rPr>
        <w:t>Duq</w:t>
      </w:r>
      <w:r w:rsidR="00101DA8">
        <w:rPr>
          <w:color w:val="auto"/>
        </w:rPr>
        <w:t>u</w:t>
      </w:r>
      <w:r w:rsidR="00304C14">
        <w:rPr>
          <w:color w:val="auto"/>
        </w:rPr>
        <w:t>esne</w:t>
      </w:r>
      <w:r w:rsidR="00215127">
        <w:rPr>
          <w:color w:val="auto"/>
        </w:rPr>
        <w:t xml:space="preserve"> has stated that converting all of DLH’s subsidiaries to LLCs will allow DLH to complete the Restructuring without triggering a potential tax liability.  Additionally, the</w:t>
      </w:r>
      <w:r w:rsidR="00866551">
        <w:rPr>
          <w:color w:val="auto"/>
        </w:rPr>
        <w:t xml:space="preserve"> non-regulated</w:t>
      </w:r>
      <w:r w:rsidR="00215127">
        <w:rPr>
          <w:color w:val="auto"/>
        </w:rPr>
        <w:t xml:space="preserve"> subsidiaries of Duquesne will be distributed to DLH</w:t>
      </w:r>
      <w:r w:rsidR="00765E50">
        <w:rPr>
          <w:color w:val="auto"/>
        </w:rPr>
        <w:t>, thereby</w:t>
      </w:r>
      <w:r w:rsidR="00215127">
        <w:rPr>
          <w:color w:val="auto"/>
        </w:rPr>
        <w:t xml:space="preserve"> avoiding any current or future tax liability.  </w:t>
      </w:r>
    </w:p>
    <w:p w:rsidR="00460B00" w:rsidRDefault="00460B00" w:rsidP="00215127">
      <w:pPr>
        <w:pStyle w:val="BodyText"/>
        <w:spacing w:line="360" w:lineRule="auto"/>
        <w:rPr>
          <w:color w:val="auto"/>
        </w:rPr>
      </w:pPr>
    </w:p>
    <w:p w:rsidR="00460B00" w:rsidRDefault="00121762" w:rsidP="00866551">
      <w:pPr>
        <w:pStyle w:val="BodyText"/>
        <w:spacing w:line="360" w:lineRule="auto"/>
        <w:ind w:firstLine="720"/>
        <w:rPr>
          <w:color w:val="auto"/>
        </w:rPr>
      </w:pPr>
      <w:r>
        <w:rPr>
          <w:color w:val="auto"/>
        </w:rPr>
        <w:t>Duquesne has further stated that there will be no change to management or ownership.  Duquesne will also continue to issue debt directly to the public and obtain a standalone rating at the utility.  Additionally, s</w:t>
      </w:r>
      <w:r w:rsidR="00624691">
        <w:rPr>
          <w:color w:val="auto"/>
        </w:rPr>
        <w:t xml:space="preserve">ince Duquesne will be making an election with the IRS to continue as a taxable entity and continue to file a separate return with Revenue, </w:t>
      </w:r>
      <w:r w:rsidR="00215127">
        <w:rPr>
          <w:color w:val="auto"/>
        </w:rPr>
        <w:t>Duquesne will not act as a pass-through taxable entity</w:t>
      </w:r>
      <w:r w:rsidR="00866551">
        <w:rPr>
          <w:color w:val="auto"/>
        </w:rPr>
        <w:t xml:space="preserve"> and will retain a tax structure</w:t>
      </w:r>
      <w:r>
        <w:rPr>
          <w:color w:val="auto"/>
        </w:rPr>
        <w:t xml:space="preserve"> more similar to a corporation.</w:t>
      </w:r>
    </w:p>
    <w:p w:rsidR="00604F79" w:rsidRDefault="00604F79" w:rsidP="00215127">
      <w:pPr>
        <w:pStyle w:val="BodyText"/>
        <w:spacing w:line="360" w:lineRule="auto"/>
        <w:rPr>
          <w:color w:val="auto"/>
        </w:rPr>
      </w:pPr>
      <w:r>
        <w:rPr>
          <w:color w:val="auto"/>
        </w:rPr>
        <w:tab/>
      </w:r>
    </w:p>
    <w:p w:rsidR="00121762" w:rsidRDefault="00121762" w:rsidP="00215127">
      <w:pPr>
        <w:pStyle w:val="BodyText"/>
        <w:spacing w:line="360" w:lineRule="auto"/>
        <w:rPr>
          <w:color w:val="auto"/>
        </w:rPr>
      </w:pPr>
      <w:r>
        <w:rPr>
          <w:color w:val="auto"/>
        </w:rPr>
        <w:tab/>
        <w:t>The ETL has provided a simplified structure for converting associations in Pennsylvania.  Although there a</w:t>
      </w:r>
      <w:r w:rsidR="00765E50">
        <w:rPr>
          <w:color w:val="auto"/>
        </w:rPr>
        <w:t>re</w:t>
      </w:r>
      <w:r>
        <w:rPr>
          <w:color w:val="auto"/>
        </w:rPr>
        <w:t xml:space="preserve"> differences between a corporation and a LLC, it does not appear </w:t>
      </w:r>
      <w:r w:rsidR="00765E50">
        <w:rPr>
          <w:color w:val="auto"/>
        </w:rPr>
        <w:t xml:space="preserve">that </w:t>
      </w:r>
      <w:r>
        <w:rPr>
          <w:color w:val="auto"/>
        </w:rPr>
        <w:t>the operation of Duquesne as a regul</w:t>
      </w:r>
      <w:r w:rsidR="00262EFC">
        <w:rPr>
          <w:color w:val="auto"/>
        </w:rPr>
        <w:t>ated utility will be affected.  The mitigation of tax liability related to the completion of the Restructuring provides a compelling reason to approve the conversion.</w:t>
      </w:r>
    </w:p>
    <w:p w:rsidR="00262EFC" w:rsidRPr="002B0D02" w:rsidRDefault="00262EFC" w:rsidP="00215127">
      <w:pPr>
        <w:pStyle w:val="BodyText"/>
        <w:spacing w:line="360" w:lineRule="auto"/>
        <w:rPr>
          <w:color w:val="auto"/>
        </w:rPr>
      </w:pPr>
    </w:p>
    <w:p w:rsidR="002B0D02" w:rsidRPr="002B0D02" w:rsidRDefault="002B0D02" w:rsidP="002147D1">
      <w:pPr>
        <w:pStyle w:val="BodyText"/>
        <w:spacing w:line="360" w:lineRule="auto"/>
        <w:ind w:firstLine="720"/>
        <w:rPr>
          <w:color w:val="auto"/>
        </w:rPr>
      </w:pPr>
      <w:r w:rsidRPr="002B0D02">
        <w:rPr>
          <w:color w:val="auto"/>
        </w:rPr>
        <w:t xml:space="preserve">The Commission has determined that </w:t>
      </w:r>
      <w:r w:rsidR="00765E50">
        <w:rPr>
          <w:color w:val="auto"/>
        </w:rPr>
        <w:t>Duquesne</w:t>
      </w:r>
      <w:r w:rsidRPr="002B0D02">
        <w:rPr>
          <w:color w:val="auto"/>
        </w:rPr>
        <w:t xml:space="preserve"> is current with their annual financial and Security Planning and Readiness Self Certification Form report filing requirements, and there are no outstanding Commission fines or assessments against the Applicant.</w:t>
      </w:r>
    </w:p>
    <w:p w:rsidR="002B0D02" w:rsidRPr="002B0D02" w:rsidRDefault="002B0D02" w:rsidP="00A07CD4">
      <w:pPr>
        <w:pStyle w:val="BodyText"/>
        <w:spacing w:line="360" w:lineRule="auto"/>
        <w:ind w:firstLine="720"/>
        <w:rPr>
          <w:color w:val="auto"/>
        </w:rPr>
      </w:pPr>
    </w:p>
    <w:p w:rsidR="002B0D02" w:rsidRPr="002B0D02" w:rsidRDefault="002B0D02" w:rsidP="00A07CD4">
      <w:pPr>
        <w:pStyle w:val="BodyText"/>
        <w:spacing w:line="360" w:lineRule="auto"/>
        <w:ind w:firstLine="720"/>
        <w:rPr>
          <w:color w:val="auto"/>
        </w:rPr>
      </w:pPr>
      <w:r w:rsidRPr="002B0D02">
        <w:rPr>
          <w:color w:val="auto"/>
        </w:rPr>
        <w:t xml:space="preserve">Having reviewed the instant application, we conclude that the proposed </w:t>
      </w:r>
      <w:r w:rsidR="002147D1">
        <w:rPr>
          <w:color w:val="auto"/>
        </w:rPr>
        <w:t>conversion of Duquesne Light Company to a limited liability company</w:t>
      </w:r>
      <w:r w:rsidRPr="002B0D02">
        <w:rPr>
          <w:color w:val="auto"/>
        </w:rPr>
        <w:t xml:space="preserve"> is necessary or </w:t>
      </w:r>
      <w:r w:rsidRPr="002B0D02">
        <w:rPr>
          <w:color w:val="auto"/>
        </w:rPr>
        <w:lastRenderedPageBreak/>
        <w:t xml:space="preserve">proper for the service, accommodation, convenience, or safety of the public, and that the application should be approved; </w:t>
      </w:r>
      <w:r w:rsidRPr="002B0D02">
        <w:rPr>
          <w:b/>
          <w:color w:val="auto"/>
        </w:rPr>
        <w:t>THEREFORE,</w:t>
      </w:r>
    </w:p>
    <w:p w:rsidR="002014B6" w:rsidRPr="002014B6" w:rsidRDefault="002014B6" w:rsidP="00A07CD4">
      <w:pPr>
        <w:pStyle w:val="BodyText"/>
        <w:spacing w:line="360" w:lineRule="auto"/>
        <w:rPr>
          <w:color w:val="auto"/>
        </w:rPr>
      </w:pPr>
    </w:p>
    <w:p w:rsidR="002014B6" w:rsidRPr="00497F6B" w:rsidRDefault="002014B6" w:rsidP="00A07CD4">
      <w:pPr>
        <w:pStyle w:val="BodyText"/>
        <w:spacing w:line="360" w:lineRule="auto"/>
        <w:ind w:firstLine="720"/>
        <w:rPr>
          <w:b/>
          <w:color w:val="auto"/>
        </w:rPr>
      </w:pPr>
      <w:r w:rsidRPr="00497F6B">
        <w:rPr>
          <w:b/>
          <w:color w:val="auto"/>
        </w:rPr>
        <w:t>IT IS ORDERED:</w:t>
      </w:r>
    </w:p>
    <w:p w:rsidR="002014B6" w:rsidRDefault="002014B6" w:rsidP="00A07CD4">
      <w:pPr>
        <w:pStyle w:val="BodyText"/>
        <w:spacing w:line="360" w:lineRule="auto"/>
        <w:rPr>
          <w:color w:val="auto"/>
        </w:rPr>
      </w:pPr>
    </w:p>
    <w:p w:rsidR="002014B6" w:rsidRDefault="001C0A28" w:rsidP="00A07CD4">
      <w:pPr>
        <w:pStyle w:val="BodyText"/>
        <w:numPr>
          <w:ilvl w:val="0"/>
          <w:numId w:val="18"/>
        </w:numPr>
        <w:spacing w:line="360" w:lineRule="auto"/>
        <w:ind w:left="0" w:firstLine="720"/>
        <w:rPr>
          <w:color w:val="auto"/>
        </w:rPr>
      </w:pPr>
      <w:r w:rsidRPr="00F764B9">
        <w:rPr>
          <w:color w:val="auto"/>
        </w:rPr>
        <w:t xml:space="preserve">That the </w:t>
      </w:r>
      <w:r w:rsidR="001B2DD7" w:rsidRPr="00F764B9">
        <w:rPr>
          <w:color w:val="auto"/>
        </w:rPr>
        <w:t>Commission</w:t>
      </w:r>
      <w:r w:rsidR="001B2DD7">
        <w:rPr>
          <w:color w:val="auto"/>
        </w:rPr>
        <w:t xml:space="preserve"> shall </w:t>
      </w:r>
      <w:r w:rsidR="002147D1">
        <w:rPr>
          <w:color w:val="auto"/>
        </w:rPr>
        <w:t xml:space="preserve">approve the application </w:t>
      </w:r>
      <w:r w:rsidR="00304C14">
        <w:rPr>
          <w:color w:val="auto"/>
        </w:rPr>
        <w:t>of Duquesne Light Company.</w:t>
      </w:r>
      <w:r w:rsidR="002014B6" w:rsidRPr="002014B6">
        <w:rPr>
          <w:color w:val="auto"/>
        </w:rPr>
        <w:t xml:space="preserve">  </w:t>
      </w:r>
    </w:p>
    <w:p w:rsidR="001C0A28" w:rsidRDefault="001C0A28" w:rsidP="00A07CD4">
      <w:pPr>
        <w:pStyle w:val="BodyText"/>
        <w:spacing w:line="360" w:lineRule="auto"/>
        <w:ind w:left="720"/>
        <w:rPr>
          <w:color w:val="auto"/>
        </w:rPr>
      </w:pPr>
    </w:p>
    <w:p w:rsidR="005762E1" w:rsidRPr="00C32675" w:rsidRDefault="00C32675" w:rsidP="00C32675">
      <w:pPr>
        <w:pStyle w:val="BodyText"/>
        <w:numPr>
          <w:ilvl w:val="0"/>
          <w:numId w:val="18"/>
        </w:numPr>
        <w:spacing w:line="360" w:lineRule="auto"/>
        <w:ind w:left="0" w:firstLine="720"/>
        <w:rPr>
          <w:color w:val="auto"/>
        </w:rPr>
      </w:pPr>
      <w:r>
        <w:rPr>
          <w:color w:val="auto"/>
        </w:rPr>
        <w:t xml:space="preserve">That the </w:t>
      </w:r>
      <w:r w:rsidR="00765E50">
        <w:rPr>
          <w:color w:val="auto"/>
        </w:rPr>
        <w:t>Applicant</w:t>
      </w:r>
      <w:r w:rsidR="004A563E" w:rsidRPr="00C32675">
        <w:rPr>
          <w:color w:val="auto"/>
        </w:rPr>
        <w:t xml:space="preserve"> will file </w:t>
      </w:r>
      <w:r>
        <w:rPr>
          <w:color w:val="auto"/>
        </w:rPr>
        <w:t xml:space="preserve">a </w:t>
      </w:r>
      <w:r w:rsidR="004A563E" w:rsidRPr="00C32675">
        <w:rPr>
          <w:color w:val="auto"/>
        </w:rPr>
        <w:t xml:space="preserve">notice </w:t>
      </w:r>
      <w:r>
        <w:rPr>
          <w:color w:val="auto"/>
        </w:rPr>
        <w:t>upon completion of the conversion to a limited liability company.</w:t>
      </w:r>
      <w:r w:rsidR="004A563E" w:rsidRPr="00C32675">
        <w:rPr>
          <w:color w:val="auto"/>
        </w:rPr>
        <w:t xml:space="preserve">  If </w:t>
      </w:r>
      <w:r w:rsidR="001C0A28" w:rsidRPr="00C32675">
        <w:rPr>
          <w:color w:val="auto"/>
        </w:rPr>
        <w:t>the Applicant determine</w:t>
      </w:r>
      <w:r>
        <w:rPr>
          <w:color w:val="auto"/>
        </w:rPr>
        <w:t>s</w:t>
      </w:r>
      <w:r w:rsidR="001C0A28" w:rsidRPr="00C32675">
        <w:rPr>
          <w:color w:val="auto"/>
        </w:rPr>
        <w:t xml:space="preserve"> that the </w:t>
      </w:r>
      <w:r>
        <w:rPr>
          <w:color w:val="auto"/>
        </w:rPr>
        <w:t>conversion</w:t>
      </w:r>
      <w:r w:rsidR="001C0A28" w:rsidRPr="00C32675">
        <w:rPr>
          <w:color w:val="auto"/>
        </w:rPr>
        <w:t xml:space="preserve"> will not take place, then they shall promp</w:t>
      </w:r>
      <w:r w:rsidR="00872D5D" w:rsidRPr="00C32675">
        <w:rPr>
          <w:color w:val="auto"/>
        </w:rPr>
        <w:t xml:space="preserve">tly so notify this Commission. </w:t>
      </w:r>
    </w:p>
    <w:p w:rsidR="005762E1" w:rsidRPr="00872D5D" w:rsidRDefault="005762E1" w:rsidP="00A07CD4">
      <w:pPr>
        <w:spacing w:line="360" w:lineRule="auto"/>
        <w:rPr>
          <w:color w:val="auto"/>
        </w:rPr>
      </w:pPr>
    </w:p>
    <w:p w:rsidR="003D5D3C" w:rsidRPr="005762E1" w:rsidRDefault="003D5D3C" w:rsidP="00101DA8">
      <w:pPr>
        <w:pStyle w:val="BodyText"/>
        <w:keepNext/>
        <w:numPr>
          <w:ilvl w:val="0"/>
          <w:numId w:val="18"/>
        </w:numPr>
        <w:spacing w:line="360" w:lineRule="auto"/>
        <w:ind w:left="0" w:firstLine="720"/>
        <w:rPr>
          <w:color w:val="auto"/>
        </w:rPr>
      </w:pPr>
      <w:r w:rsidRPr="005762E1">
        <w:rPr>
          <w:color w:val="auto"/>
        </w:rPr>
        <w:t>That upon submission of the notices require</w:t>
      </w:r>
      <w:r w:rsidR="00C32675">
        <w:rPr>
          <w:color w:val="auto"/>
        </w:rPr>
        <w:t xml:space="preserve">d under Ordering Paragraph No. 2 </w:t>
      </w:r>
      <w:r w:rsidRPr="005762E1">
        <w:rPr>
          <w:color w:val="auto"/>
        </w:rPr>
        <w:t xml:space="preserve">above, the case be marked closed.  </w:t>
      </w:r>
    </w:p>
    <w:p w:rsidR="001C0A28" w:rsidRDefault="00895FE7" w:rsidP="00101DA8">
      <w:pPr>
        <w:pStyle w:val="BodyText"/>
        <w:keepNext/>
        <w:spacing w:line="360" w:lineRule="auto"/>
        <w:rPr>
          <w:color w:val="auto"/>
        </w:rPr>
      </w:pPr>
      <w:bookmarkStart w:id="0" w:name="_GoBack"/>
      <w:r w:rsidRPr="009F01BA">
        <w:rPr>
          <w:b/>
          <w:noProof/>
          <w:sz w:val="20"/>
        </w:rPr>
        <w:drawing>
          <wp:anchor distT="0" distB="0" distL="114300" distR="114300" simplePos="0" relativeHeight="251658240" behindDoc="1" locked="0" layoutInCell="1" allowOverlap="1" wp14:anchorId="612E59FD" wp14:editId="4A3F3991">
            <wp:simplePos x="0" y="0"/>
            <wp:positionH relativeFrom="column">
              <wp:posOffset>2846717</wp:posOffset>
            </wp:positionH>
            <wp:positionV relativeFrom="paragraph">
              <wp:posOffset>137639</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2014B6" w:rsidRPr="00EF64BC" w:rsidRDefault="002E3D15" w:rsidP="00101DA8">
      <w:pPr>
        <w:pStyle w:val="BodyText"/>
        <w:keepNext/>
        <w:spacing w:line="360" w:lineRule="auto"/>
        <w:rPr>
          <w:b/>
          <w:color w:val="auto"/>
        </w:rPr>
      </w:pPr>
      <w:r>
        <w:rPr>
          <w:color w:val="auto"/>
        </w:rPr>
        <w:tab/>
      </w:r>
      <w:r>
        <w:rPr>
          <w:color w:val="auto"/>
        </w:rPr>
        <w:tab/>
      </w:r>
      <w:r>
        <w:rPr>
          <w:color w:val="auto"/>
        </w:rPr>
        <w:tab/>
      </w:r>
      <w:r>
        <w:rPr>
          <w:color w:val="auto"/>
        </w:rPr>
        <w:tab/>
      </w:r>
      <w:r>
        <w:rPr>
          <w:color w:val="auto"/>
        </w:rPr>
        <w:tab/>
      </w:r>
      <w:r>
        <w:rPr>
          <w:color w:val="auto"/>
        </w:rPr>
        <w:tab/>
      </w:r>
      <w:r>
        <w:rPr>
          <w:color w:val="auto"/>
        </w:rPr>
        <w:tab/>
      </w:r>
      <w:r w:rsidR="002014B6" w:rsidRPr="00EF64BC">
        <w:rPr>
          <w:b/>
          <w:color w:val="auto"/>
        </w:rPr>
        <w:t>BY THE COMMISSION,</w:t>
      </w:r>
    </w:p>
    <w:p w:rsidR="002014B6" w:rsidRPr="002014B6" w:rsidRDefault="002014B6" w:rsidP="00101DA8">
      <w:pPr>
        <w:pStyle w:val="BodyText"/>
        <w:keepNext/>
        <w:spacing w:line="360" w:lineRule="auto"/>
        <w:rPr>
          <w:color w:val="auto"/>
        </w:rPr>
      </w:pPr>
    </w:p>
    <w:p w:rsidR="002014B6" w:rsidRPr="002014B6" w:rsidRDefault="002014B6" w:rsidP="00101DA8">
      <w:pPr>
        <w:pStyle w:val="BodyText"/>
        <w:keepNext/>
        <w:spacing w:line="360" w:lineRule="auto"/>
        <w:rPr>
          <w:color w:val="auto"/>
        </w:rPr>
      </w:pPr>
      <w:r w:rsidRPr="002014B6">
        <w:rPr>
          <w:color w:val="auto"/>
        </w:rPr>
        <w:tab/>
      </w:r>
    </w:p>
    <w:p w:rsidR="002014B6" w:rsidRPr="002014B6" w:rsidRDefault="002014B6" w:rsidP="00101DA8">
      <w:pPr>
        <w:pStyle w:val="BodyText"/>
        <w:keepNext/>
        <w:spacing w:line="240" w:lineRule="auto"/>
        <w:rPr>
          <w:color w:val="auto"/>
        </w:rPr>
      </w:pPr>
      <w:r w:rsidRPr="002014B6">
        <w:rPr>
          <w:color w:val="auto"/>
        </w:rPr>
        <w:tab/>
      </w:r>
      <w:r w:rsidR="002E3D15">
        <w:rPr>
          <w:color w:val="auto"/>
        </w:rPr>
        <w:tab/>
      </w:r>
      <w:r w:rsidR="002E3D15">
        <w:rPr>
          <w:color w:val="auto"/>
        </w:rPr>
        <w:tab/>
      </w:r>
      <w:r w:rsidR="002E3D15">
        <w:rPr>
          <w:color w:val="auto"/>
        </w:rPr>
        <w:tab/>
      </w:r>
      <w:r w:rsidR="002E3D15">
        <w:rPr>
          <w:color w:val="auto"/>
        </w:rPr>
        <w:tab/>
      </w:r>
      <w:r w:rsidR="002E3D15">
        <w:rPr>
          <w:color w:val="auto"/>
        </w:rPr>
        <w:tab/>
      </w:r>
      <w:r w:rsidR="002E3D15">
        <w:rPr>
          <w:color w:val="auto"/>
        </w:rPr>
        <w:tab/>
      </w:r>
      <w:r w:rsidRPr="002014B6">
        <w:rPr>
          <w:color w:val="auto"/>
        </w:rPr>
        <w:t>Rosemary Chiavetta</w:t>
      </w:r>
    </w:p>
    <w:p w:rsidR="002014B6" w:rsidRPr="002014B6" w:rsidRDefault="002014B6" w:rsidP="00101DA8">
      <w:pPr>
        <w:pStyle w:val="BodyText"/>
        <w:keepNext/>
        <w:spacing w:line="360" w:lineRule="auto"/>
        <w:rPr>
          <w:color w:val="auto"/>
        </w:rPr>
      </w:pPr>
      <w:r w:rsidRPr="002014B6">
        <w:rPr>
          <w:color w:val="auto"/>
        </w:rPr>
        <w:tab/>
      </w:r>
      <w:r w:rsidR="002E3D15">
        <w:rPr>
          <w:color w:val="auto"/>
        </w:rPr>
        <w:tab/>
      </w:r>
      <w:r w:rsidR="002E3D15">
        <w:rPr>
          <w:color w:val="auto"/>
        </w:rPr>
        <w:tab/>
      </w:r>
      <w:r w:rsidR="002E3D15">
        <w:rPr>
          <w:color w:val="auto"/>
        </w:rPr>
        <w:tab/>
      </w:r>
      <w:r w:rsidR="002E3D15">
        <w:rPr>
          <w:color w:val="auto"/>
        </w:rPr>
        <w:tab/>
      </w:r>
      <w:r w:rsidR="002E3D15">
        <w:rPr>
          <w:color w:val="auto"/>
        </w:rPr>
        <w:tab/>
      </w:r>
      <w:r w:rsidR="002E3D15">
        <w:rPr>
          <w:color w:val="auto"/>
        </w:rPr>
        <w:tab/>
        <w:t>Secretary</w:t>
      </w:r>
    </w:p>
    <w:p w:rsidR="002014B6" w:rsidRPr="002014B6" w:rsidRDefault="002014B6" w:rsidP="00101DA8">
      <w:pPr>
        <w:pStyle w:val="BodyText"/>
        <w:keepNext/>
        <w:spacing w:line="360" w:lineRule="auto"/>
        <w:rPr>
          <w:color w:val="auto"/>
        </w:rPr>
      </w:pPr>
      <w:r w:rsidRPr="002014B6">
        <w:rPr>
          <w:color w:val="auto"/>
        </w:rPr>
        <w:t>(SEAL)</w:t>
      </w:r>
    </w:p>
    <w:p w:rsidR="002F4A84" w:rsidRDefault="002F4A84" w:rsidP="00101DA8">
      <w:pPr>
        <w:pStyle w:val="BodyText"/>
        <w:keepNext/>
        <w:spacing w:line="360" w:lineRule="auto"/>
        <w:rPr>
          <w:color w:val="auto"/>
        </w:rPr>
      </w:pPr>
    </w:p>
    <w:p w:rsidR="002014B6" w:rsidRPr="002014B6" w:rsidRDefault="002014B6" w:rsidP="00101DA8">
      <w:pPr>
        <w:pStyle w:val="BodyText"/>
        <w:keepNext/>
        <w:spacing w:line="360" w:lineRule="auto"/>
        <w:rPr>
          <w:color w:val="auto"/>
        </w:rPr>
      </w:pPr>
      <w:r w:rsidRPr="002014B6">
        <w:rPr>
          <w:color w:val="auto"/>
        </w:rPr>
        <w:t xml:space="preserve">ORDER ADOPTED:  </w:t>
      </w:r>
      <w:r w:rsidR="00C32675">
        <w:rPr>
          <w:color w:val="auto"/>
        </w:rPr>
        <w:t>August 3</w:t>
      </w:r>
      <w:r w:rsidR="00E75FFA">
        <w:rPr>
          <w:color w:val="auto"/>
        </w:rPr>
        <w:t>1</w:t>
      </w:r>
      <w:r w:rsidR="005762E1">
        <w:rPr>
          <w:color w:val="auto"/>
        </w:rPr>
        <w:t>, 2017</w:t>
      </w:r>
    </w:p>
    <w:p w:rsidR="00041892" w:rsidRPr="003D664B" w:rsidRDefault="002014B6" w:rsidP="00101DA8">
      <w:pPr>
        <w:pStyle w:val="BodyText"/>
        <w:keepNext/>
        <w:spacing w:line="360" w:lineRule="auto"/>
        <w:rPr>
          <w:color w:val="auto"/>
        </w:rPr>
      </w:pPr>
      <w:r w:rsidRPr="002014B6">
        <w:rPr>
          <w:color w:val="auto"/>
        </w:rPr>
        <w:t xml:space="preserve">ORDER ENTERED:  </w:t>
      </w:r>
      <w:r w:rsidR="00895FE7">
        <w:rPr>
          <w:color w:val="auto"/>
        </w:rPr>
        <w:t>August 31, 2017</w:t>
      </w:r>
    </w:p>
    <w:sectPr w:rsidR="00041892" w:rsidRPr="003D664B" w:rsidSect="00E9733C">
      <w:headerReference w:type="default" r:id="rId9"/>
      <w:footerReference w:type="default" r:id="rId10"/>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150C" w:rsidRDefault="0004150C">
      <w:r>
        <w:separator/>
      </w:r>
    </w:p>
  </w:endnote>
  <w:endnote w:type="continuationSeparator" w:id="0">
    <w:p w:rsidR="0004150C" w:rsidRDefault="00041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36A5" w:rsidRPr="004028BA" w:rsidRDefault="00B436A5" w:rsidP="005E0153">
    <w:pPr>
      <w:pStyle w:val="Footer"/>
      <w:framePr w:wrap="around" w:vAnchor="text" w:hAnchor="margin" w:xAlign="center" w:y="1"/>
      <w:rPr>
        <w:rStyle w:val="PageNumber"/>
        <w:color w:val="auto"/>
      </w:rPr>
    </w:pPr>
    <w:r w:rsidRPr="004028BA">
      <w:rPr>
        <w:rStyle w:val="PageNumber"/>
        <w:color w:val="auto"/>
      </w:rPr>
      <w:fldChar w:fldCharType="begin"/>
    </w:r>
    <w:r w:rsidRPr="004028BA">
      <w:rPr>
        <w:rStyle w:val="PageNumber"/>
        <w:color w:val="auto"/>
      </w:rPr>
      <w:instrText xml:space="preserve"> PAGE </w:instrText>
    </w:r>
    <w:r w:rsidRPr="004028BA">
      <w:rPr>
        <w:rStyle w:val="PageNumber"/>
        <w:color w:val="auto"/>
      </w:rPr>
      <w:fldChar w:fldCharType="separate"/>
    </w:r>
    <w:r w:rsidR="00895FE7">
      <w:rPr>
        <w:rStyle w:val="PageNumber"/>
        <w:noProof/>
        <w:color w:val="auto"/>
      </w:rPr>
      <w:t>5</w:t>
    </w:r>
    <w:r w:rsidRPr="004028BA">
      <w:rPr>
        <w:rStyle w:val="PageNumber"/>
        <w:color w:val="auto"/>
      </w:rPr>
      <w:fldChar w:fldCharType="end"/>
    </w:r>
  </w:p>
  <w:p w:rsidR="00B436A5" w:rsidRPr="004028BA" w:rsidRDefault="00B436A5" w:rsidP="009E2448">
    <w:pPr>
      <w:pStyle w:val="Footer"/>
      <w:jc w:val="center"/>
      <w:rPr>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150C" w:rsidRPr="00267750" w:rsidRDefault="0004150C">
      <w:pPr>
        <w:rPr>
          <w:color w:val="auto"/>
        </w:rPr>
      </w:pPr>
      <w:r w:rsidRPr="00267750">
        <w:rPr>
          <w:color w:val="auto"/>
        </w:rPr>
        <w:separator/>
      </w:r>
    </w:p>
  </w:footnote>
  <w:footnote w:type="continuationSeparator" w:id="0">
    <w:p w:rsidR="0004150C" w:rsidRPr="00267750" w:rsidRDefault="0004150C">
      <w:pPr>
        <w:rPr>
          <w:color w:val="auto"/>
        </w:rPr>
      </w:pPr>
      <w:r w:rsidRPr="00267750">
        <w:rPr>
          <w:color w:val="auto"/>
        </w:rPr>
        <w:continuationSeparator/>
      </w:r>
    </w:p>
  </w:footnote>
  <w:footnote w:type="continuationNotice" w:id="1">
    <w:p w:rsidR="0004150C" w:rsidRDefault="0004150C"/>
  </w:footnote>
  <w:footnote w:id="2">
    <w:p w:rsidR="003C79A1" w:rsidRPr="00C32675" w:rsidRDefault="003C79A1" w:rsidP="003C79A1">
      <w:pPr>
        <w:pStyle w:val="FootnoteText"/>
        <w:rPr>
          <w:color w:val="auto"/>
        </w:rPr>
      </w:pPr>
      <w:r w:rsidRPr="00C32675">
        <w:rPr>
          <w:rStyle w:val="FootnoteReference"/>
          <w:color w:val="auto"/>
        </w:rPr>
        <w:footnoteRef/>
      </w:r>
      <w:r w:rsidRPr="00C32675">
        <w:rPr>
          <w:color w:val="auto"/>
        </w:rPr>
        <w:t xml:space="preserve"> </w:t>
      </w:r>
      <w:r w:rsidR="00474826">
        <w:rPr>
          <w:color w:val="auto"/>
        </w:rPr>
        <w:t xml:space="preserve">15 Pa. C.S.  § 532.  See also,  </w:t>
      </w:r>
      <w:hyperlink r:id="rId1" w:history="1">
        <w:r w:rsidRPr="00C32675">
          <w:rPr>
            <w:rStyle w:val="Hyperlink"/>
            <w:color w:val="auto"/>
          </w:rPr>
          <w:t>http://www.dos.pa.gov/BusinessCharities/Business/RegistrationForms/Documents/Updated%202017%20Registration%20Forms/Domestic%20Business%20Corporation/15-355%20Statement%20of%20Conversion.pdf</w:t>
        </w:r>
      </w:hyperlink>
    </w:p>
    <w:p w:rsidR="003C79A1" w:rsidRDefault="003C79A1" w:rsidP="003C79A1">
      <w:pPr>
        <w:pStyle w:val="FootnoteText"/>
      </w:pPr>
    </w:p>
  </w:footnote>
  <w:footnote w:id="3">
    <w:p w:rsidR="00D570E7" w:rsidRDefault="00D570E7">
      <w:pPr>
        <w:pStyle w:val="FootnoteText"/>
      </w:pPr>
      <w:r w:rsidRPr="00C32675">
        <w:rPr>
          <w:rStyle w:val="FootnoteReference"/>
          <w:color w:val="auto"/>
        </w:rPr>
        <w:footnoteRef/>
      </w:r>
      <w:r w:rsidR="00604F79">
        <w:rPr>
          <w:color w:val="auto"/>
        </w:rPr>
        <w:t xml:space="preserve"> The Applicant states that p</w:t>
      </w:r>
      <w:r w:rsidRPr="00C32675">
        <w:rPr>
          <w:color w:val="auto"/>
        </w:rPr>
        <w:t xml:space="preserve">rior to the adoption of the </w:t>
      </w:r>
      <w:r w:rsidR="00474826">
        <w:rPr>
          <w:color w:val="auto"/>
        </w:rPr>
        <w:t>ETL, it was necessary to merge a</w:t>
      </w:r>
      <w:r w:rsidRPr="00C32675">
        <w:rPr>
          <w:color w:val="auto"/>
        </w:rPr>
        <w:t xml:space="preserve"> Pennsylvania business corporation into a Pennsylvania LLC to accomplish the conversion.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2761" w:rsidRDefault="00192761">
    <w:pPr>
      <w:pStyle w:val="Header"/>
    </w:pPr>
  </w:p>
  <w:p w:rsidR="00192761" w:rsidRDefault="001927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4BE7"/>
    <w:multiLevelType w:val="singleLevel"/>
    <w:tmpl w:val="504CCA32"/>
    <w:lvl w:ilvl="0">
      <w:start w:val="4"/>
      <w:numFmt w:val="decimal"/>
      <w:lvlText w:val="%1."/>
      <w:lvlJc w:val="left"/>
      <w:pPr>
        <w:tabs>
          <w:tab w:val="num" w:pos="1080"/>
        </w:tabs>
        <w:ind w:left="1080" w:hanging="360"/>
      </w:pPr>
      <w:rPr>
        <w:rFonts w:hint="default"/>
      </w:rPr>
    </w:lvl>
  </w:abstractNum>
  <w:abstractNum w:abstractNumId="1" w15:restartNumberingAfterBreak="0">
    <w:nsid w:val="00E73978"/>
    <w:multiLevelType w:val="singleLevel"/>
    <w:tmpl w:val="E4AACC56"/>
    <w:lvl w:ilvl="0">
      <w:start w:val="3"/>
      <w:numFmt w:val="upperRoman"/>
      <w:lvlText w:val="%1."/>
      <w:lvlJc w:val="left"/>
      <w:pPr>
        <w:tabs>
          <w:tab w:val="num" w:pos="720"/>
        </w:tabs>
        <w:ind w:left="720" w:hanging="720"/>
      </w:pPr>
      <w:rPr>
        <w:rFonts w:hint="default"/>
        <w:b/>
      </w:rPr>
    </w:lvl>
  </w:abstractNum>
  <w:abstractNum w:abstractNumId="2" w15:restartNumberingAfterBreak="0">
    <w:nsid w:val="08D514DE"/>
    <w:multiLevelType w:val="hybridMultilevel"/>
    <w:tmpl w:val="1200F678"/>
    <w:lvl w:ilvl="0" w:tplc="E0CA4D4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960521D"/>
    <w:multiLevelType w:val="hybridMultilevel"/>
    <w:tmpl w:val="086EA5EC"/>
    <w:lvl w:ilvl="0" w:tplc="E6922C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31828C5"/>
    <w:multiLevelType w:val="hybridMultilevel"/>
    <w:tmpl w:val="E1BEC978"/>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3D12D5"/>
    <w:multiLevelType w:val="hybridMultilevel"/>
    <w:tmpl w:val="2E224158"/>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1C4B21EF"/>
    <w:multiLevelType w:val="hybridMultilevel"/>
    <w:tmpl w:val="1C404AB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22456E27"/>
    <w:multiLevelType w:val="hybridMultilevel"/>
    <w:tmpl w:val="FE56E21C"/>
    <w:lvl w:ilvl="0" w:tplc="0C243F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7360F87"/>
    <w:multiLevelType w:val="singleLevel"/>
    <w:tmpl w:val="AC281452"/>
    <w:lvl w:ilvl="0">
      <w:start w:val="4"/>
      <w:numFmt w:val="decimal"/>
      <w:lvlText w:val="%1."/>
      <w:lvlJc w:val="left"/>
      <w:pPr>
        <w:tabs>
          <w:tab w:val="num" w:pos="1080"/>
        </w:tabs>
        <w:ind w:left="1080" w:hanging="360"/>
      </w:pPr>
      <w:rPr>
        <w:rFonts w:hint="default"/>
      </w:rPr>
    </w:lvl>
  </w:abstractNum>
  <w:abstractNum w:abstractNumId="9" w15:restartNumberingAfterBreak="0">
    <w:nsid w:val="2DF67DD8"/>
    <w:multiLevelType w:val="hybridMultilevel"/>
    <w:tmpl w:val="704EF8D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7C6909"/>
    <w:multiLevelType w:val="hybridMultilevel"/>
    <w:tmpl w:val="955A3588"/>
    <w:lvl w:ilvl="0" w:tplc="5B565918">
      <w:start w:val="1"/>
      <w:numFmt w:val="decimal"/>
      <w:lvlText w:val="%1."/>
      <w:lvlJc w:val="left"/>
      <w:pPr>
        <w:tabs>
          <w:tab w:val="num" w:pos="720"/>
        </w:tabs>
        <w:ind w:left="0" w:firstLine="72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5633689"/>
    <w:multiLevelType w:val="singleLevel"/>
    <w:tmpl w:val="A6267BAE"/>
    <w:lvl w:ilvl="0">
      <w:start w:val="1"/>
      <w:numFmt w:val="decimal"/>
      <w:lvlText w:val="%1."/>
      <w:lvlJc w:val="left"/>
      <w:pPr>
        <w:tabs>
          <w:tab w:val="num" w:pos="1080"/>
        </w:tabs>
        <w:ind w:left="1080" w:hanging="360"/>
      </w:pPr>
      <w:rPr>
        <w:rFonts w:hint="default"/>
      </w:rPr>
    </w:lvl>
  </w:abstractNum>
  <w:abstractNum w:abstractNumId="12" w15:restartNumberingAfterBreak="0">
    <w:nsid w:val="462B1E21"/>
    <w:multiLevelType w:val="hybridMultilevel"/>
    <w:tmpl w:val="78CEEA2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2A13F7"/>
    <w:multiLevelType w:val="singleLevel"/>
    <w:tmpl w:val="582C2698"/>
    <w:lvl w:ilvl="0">
      <w:start w:val="3"/>
      <w:numFmt w:val="upperRoman"/>
      <w:lvlText w:val="%1."/>
      <w:lvlJc w:val="left"/>
      <w:pPr>
        <w:tabs>
          <w:tab w:val="num" w:pos="720"/>
        </w:tabs>
        <w:ind w:left="720" w:hanging="720"/>
      </w:pPr>
      <w:rPr>
        <w:rFonts w:hint="default"/>
        <w:b/>
      </w:rPr>
    </w:lvl>
  </w:abstractNum>
  <w:abstractNum w:abstractNumId="14" w15:restartNumberingAfterBreak="0">
    <w:nsid w:val="5B8D0AE6"/>
    <w:multiLevelType w:val="hybridMultilevel"/>
    <w:tmpl w:val="C820E92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5496D51"/>
    <w:multiLevelType w:val="hybridMultilevel"/>
    <w:tmpl w:val="1DA4604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6" w15:restartNumberingAfterBreak="0">
    <w:nsid w:val="715C3110"/>
    <w:multiLevelType w:val="singleLevel"/>
    <w:tmpl w:val="04090013"/>
    <w:lvl w:ilvl="0">
      <w:start w:val="3"/>
      <w:numFmt w:val="upperRoman"/>
      <w:lvlText w:val="%1."/>
      <w:lvlJc w:val="left"/>
      <w:pPr>
        <w:tabs>
          <w:tab w:val="num" w:pos="720"/>
        </w:tabs>
        <w:ind w:left="720" w:hanging="720"/>
      </w:pPr>
      <w:rPr>
        <w:rFonts w:hint="default"/>
      </w:rPr>
    </w:lvl>
  </w:abstractNum>
  <w:abstractNum w:abstractNumId="17" w15:restartNumberingAfterBreak="0">
    <w:nsid w:val="7BF94AFB"/>
    <w:multiLevelType w:val="singleLevel"/>
    <w:tmpl w:val="AB2055EA"/>
    <w:lvl w:ilvl="0">
      <w:start w:val="1"/>
      <w:numFmt w:val="decimal"/>
      <w:lvlText w:val="%1."/>
      <w:lvlJc w:val="left"/>
      <w:pPr>
        <w:tabs>
          <w:tab w:val="num" w:pos="1080"/>
        </w:tabs>
        <w:ind w:left="1080" w:hanging="360"/>
      </w:pPr>
      <w:rPr>
        <w:rFonts w:hint="default"/>
      </w:rPr>
    </w:lvl>
  </w:abstractNum>
  <w:num w:numId="1">
    <w:abstractNumId w:val="16"/>
  </w:num>
  <w:num w:numId="2">
    <w:abstractNumId w:val="1"/>
  </w:num>
  <w:num w:numId="3">
    <w:abstractNumId w:val="13"/>
  </w:num>
  <w:num w:numId="4">
    <w:abstractNumId w:val="17"/>
  </w:num>
  <w:num w:numId="5">
    <w:abstractNumId w:val="8"/>
  </w:num>
  <w:num w:numId="6">
    <w:abstractNumId w:val="0"/>
  </w:num>
  <w:num w:numId="7">
    <w:abstractNumId w:val="11"/>
  </w:num>
  <w:num w:numId="8">
    <w:abstractNumId w:val="10"/>
  </w:num>
  <w:num w:numId="9">
    <w:abstractNumId w:val="9"/>
  </w:num>
  <w:num w:numId="10">
    <w:abstractNumId w:val="4"/>
  </w:num>
  <w:num w:numId="11">
    <w:abstractNumId w:val="14"/>
  </w:num>
  <w:num w:numId="12">
    <w:abstractNumId w:val="2"/>
  </w:num>
  <w:num w:numId="13">
    <w:abstractNumId w:val="15"/>
  </w:num>
  <w:num w:numId="14">
    <w:abstractNumId w:val="5"/>
  </w:num>
  <w:num w:numId="15">
    <w:abstractNumId w:val="6"/>
  </w:num>
  <w:num w:numId="16">
    <w:abstractNumId w:val="7"/>
  </w:num>
  <w:num w:numId="17">
    <w:abstractNumId w:val="3"/>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36C"/>
    <w:rsid w:val="00000818"/>
    <w:rsid w:val="000008CA"/>
    <w:rsid w:val="00002646"/>
    <w:rsid w:val="000028C6"/>
    <w:rsid w:val="00004C32"/>
    <w:rsid w:val="00005400"/>
    <w:rsid w:val="00005CA0"/>
    <w:rsid w:val="00011C0A"/>
    <w:rsid w:val="0001630F"/>
    <w:rsid w:val="000175DD"/>
    <w:rsid w:val="00017690"/>
    <w:rsid w:val="0001799C"/>
    <w:rsid w:val="000204BC"/>
    <w:rsid w:val="00020C18"/>
    <w:rsid w:val="0002198E"/>
    <w:rsid w:val="00023B78"/>
    <w:rsid w:val="00024304"/>
    <w:rsid w:val="00024E96"/>
    <w:rsid w:val="00025E70"/>
    <w:rsid w:val="00031064"/>
    <w:rsid w:val="000314F8"/>
    <w:rsid w:val="0003463E"/>
    <w:rsid w:val="00034A94"/>
    <w:rsid w:val="00035D4F"/>
    <w:rsid w:val="00040CE4"/>
    <w:rsid w:val="0004150C"/>
    <w:rsid w:val="00041892"/>
    <w:rsid w:val="000456E2"/>
    <w:rsid w:val="00045E20"/>
    <w:rsid w:val="000465E0"/>
    <w:rsid w:val="00047209"/>
    <w:rsid w:val="0005399C"/>
    <w:rsid w:val="00055529"/>
    <w:rsid w:val="00060C7D"/>
    <w:rsid w:val="00062047"/>
    <w:rsid w:val="00062420"/>
    <w:rsid w:val="0006476A"/>
    <w:rsid w:val="000662E2"/>
    <w:rsid w:val="00067FC4"/>
    <w:rsid w:val="0007028B"/>
    <w:rsid w:val="00070990"/>
    <w:rsid w:val="000735AD"/>
    <w:rsid w:val="00073D1B"/>
    <w:rsid w:val="0007432A"/>
    <w:rsid w:val="000753F4"/>
    <w:rsid w:val="00076442"/>
    <w:rsid w:val="000778D7"/>
    <w:rsid w:val="00081127"/>
    <w:rsid w:val="00084F09"/>
    <w:rsid w:val="000858EA"/>
    <w:rsid w:val="00086762"/>
    <w:rsid w:val="0008686E"/>
    <w:rsid w:val="000873F5"/>
    <w:rsid w:val="000969F1"/>
    <w:rsid w:val="000A0383"/>
    <w:rsid w:val="000A146A"/>
    <w:rsid w:val="000A2928"/>
    <w:rsid w:val="000A2E71"/>
    <w:rsid w:val="000A324E"/>
    <w:rsid w:val="000A68A1"/>
    <w:rsid w:val="000B04F1"/>
    <w:rsid w:val="000B2214"/>
    <w:rsid w:val="000B2258"/>
    <w:rsid w:val="000B2C13"/>
    <w:rsid w:val="000B58A8"/>
    <w:rsid w:val="000B643C"/>
    <w:rsid w:val="000B798A"/>
    <w:rsid w:val="000C0663"/>
    <w:rsid w:val="000C1CAE"/>
    <w:rsid w:val="000C1CD7"/>
    <w:rsid w:val="000C2BF9"/>
    <w:rsid w:val="000C4E91"/>
    <w:rsid w:val="000C7D90"/>
    <w:rsid w:val="000D0088"/>
    <w:rsid w:val="000D095E"/>
    <w:rsid w:val="000D13CC"/>
    <w:rsid w:val="000D3B77"/>
    <w:rsid w:val="000D3EC9"/>
    <w:rsid w:val="000D3FD6"/>
    <w:rsid w:val="000D5937"/>
    <w:rsid w:val="000D68D4"/>
    <w:rsid w:val="000E0C63"/>
    <w:rsid w:val="000E112B"/>
    <w:rsid w:val="000E297F"/>
    <w:rsid w:val="000E3A22"/>
    <w:rsid w:val="000E4947"/>
    <w:rsid w:val="000E4C8D"/>
    <w:rsid w:val="000E533E"/>
    <w:rsid w:val="000E705E"/>
    <w:rsid w:val="000F07EC"/>
    <w:rsid w:val="000F2D57"/>
    <w:rsid w:val="000F3B71"/>
    <w:rsid w:val="000F3EFC"/>
    <w:rsid w:val="000F46A5"/>
    <w:rsid w:val="000F4A9B"/>
    <w:rsid w:val="000F4D40"/>
    <w:rsid w:val="000F5BD1"/>
    <w:rsid w:val="000F6F34"/>
    <w:rsid w:val="001002D0"/>
    <w:rsid w:val="00100940"/>
    <w:rsid w:val="001013DD"/>
    <w:rsid w:val="00101DA8"/>
    <w:rsid w:val="00102E86"/>
    <w:rsid w:val="00107A73"/>
    <w:rsid w:val="00110291"/>
    <w:rsid w:val="00110CCF"/>
    <w:rsid w:val="001141C1"/>
    <w:rsid w:val="001143C3"/>
    <w:rsid w:val="00114DC1"/>
    <w:rsid w:val="00115CA1"/>
    <w:rsid w:val="0011739E"/>
    <w:rsid w:val="00117943"/>
    <w:rsid w:val="00117D64"/>
    <w:rsid w:val="00121762"/>
    <w:rsid w:val="001222B9"/>
    <w:rsid w:val="0012361F"/>
    <w:rsid w:val="00123D19"/>
    <w:rsid w:val="00124985"/>
    <w:rsid w:val="00125D99"/>
    <w:rsid w:val="00126383"/>
    <w:rsid w:val="001270C2"/>
    <w:rsid w:val="00131147"/>
    <w:rsid w:val="00131A0C"/>
    <w:rsid w:val="001322A1"/>
    <w:rsid w:val="001322ED"/>
    <w:rsid w:val="001323CE"/>
    <w:rsid w:val="00132C57"/>
    <w:rsid w:val="00135E95"/>
    <w:rsid w:val="00136B4D"/>
    <w:rsid w:val="001372D0"/>
    <w:rsid w:val="0013769A"/>
    <w:rsid w:val="00137867"/>
    <w:rsid w:val="001415E4"/>
    <w:rsid w:val="0014387B"/>
    <w:rsid w:val="00143B41"/>
    <w:rsid w:val="00144922"/>
    <w:rsid w:val="00147100"/>
    <w:rsid w:val="00150CD9"/>
    <w:rsid w:val="0015452C"/>
    <w:rsid w:val="00156EE4"/>
    <w:rsid w:val="0016430B"/>
    <w:rsid w:val="001670E0"/>
    <w:rsid w:val="00167C54"/>
    <w:rsid w:val="00173494"/>
    <w:rsid w:val="00173D5E"/>
    <w:rsid w:val="001754D6"/>
    <w:rsid w:val="00176B90"/>
    <w:rsid w:val="00177C84"/>
    <w:rsid w:val="00180856"/>
    <w:rsid w:val="00180C79"/>
    <w:rsid w:val="001863EB"/>
    <w:rsid w:val="00190BDA"/>
    <w:rsid w:val="00191FFD"/>
    <w:rsid w:val="00192761"/>
    <w:rsid w:val="00194833"/>
    <w:rsid w:val="00194B01"/>
    <w:rsid w:val="00195A6F"/>
    <w:rsid w:val="00195D20"/>
    <w:rsid w:val="001A08EF"/>
    <w:rsid w:val="001A22F4"/>
    <w:rsid w:val="001A79EB"/>
    <w:rsid w:val="001B2AE1"/>
    <w:rsid w:val="001B2DD7"/>
    <w:rsid w:val="001B3ECF"/>
    <w:rsid w:val="001B4709"/>
    <w:rsid w:val="001B6750"/>
    <w:rsid w:val="001B6B3A"/>
    <w:rsid w:val="001B7C65"/>
    <w:rsid w:val="001C01AF"/>
    <w:rsid w:val="001C0A28"/>
    <w:rsid w:val="001C10A9"/>
    <w:rsid w:val="001C1B4A"/>
    <w:rsid w:val="001C5F0D"/>
    <w:rsid w:val="001D02AF"/>
    <w:rsid w:val="001D068B"/>
    <w:rsid w:val="001D1A44"/>
    <w:rsid w:val="001D1B4A"/>
    <w:rsid w:val="001D2DC4"/>
    <w:rsid w:val="001D4C24"/>
    <w:rsid w:val="001D564F"/>
    <w:rsid w:val="001D7574"/>
    <w:rsid w:val="001E29B4"/>
    <w:rsid w:val="001E4B4A"/>
    <w:rsid w:val="001E4D9B"/>
    <w:rsid w:val="001E6361"/>
    <w:rsid w:val="001E6778"/>
    <w:rsid w:val="001E721D"/>
    <w:rsid w:val="001E7981"/>
    <w:rsid w:val="001F09EC"/>
    <w:rsid w:val="001F3CC8"/>
    <w:rsid w:val="001F462B"/>
    <w:rsid w:val="001F6352"/>
    <w:rsid w:val="001F7285"/>
    <w:rsid w:val="001F72AC"/>
    <w:rsid w:val="002014B6"/>
    <w:rsid w:val="0020336A"/>
    <w:rsid w:val="002040F6"/>
    <w:rsid w:val="002044FB"/>
    <w:rsid w:val="00205C3E"/>
    <w:rsid w:val="00206C37"/>
    <w:rsid w:val="002070CE"/>
    <w:rsid w:val="00207428"/>
    <w:rsid w:val="00207640"/>
    <w:rsid w:val="00213080"/>
    <w:rsid w:val="00213C45"/>
    <w:rsid w:val="002147D1"/>
    <w:rsid w:val="00215127"/>
    <w:rsid w:val="00216800"/>
    <w:rsid w:val="00216B9A"/>
    <w:rsid w:val="00217E7C"/>
    <w:rsid w:val="00221094"/>
    <w:rsid w:val="0022222C"/>
    <w:rsid w:val="002235EF"/>
    <w:rsid w:val="00223EE3"/>
    <w:rsid w:val="00224860"/>
    <w:rsid w:val="00224CDA"/>
    <w:rsid w:val="0022639A"/>
    <w:rsid w:val="0022735C"/>
    <w:rsid w:val="00231639"/>
    <w:rsid w:val="00232125"/>
    <w:rsid w:val="00232F90"/>
    <w:rsid w:val="002338D2"/>
    <w:rsid w:val="002355E6"/>
    <w:rsid w:val="00235939"/>
    <w:rsid w:val="0024297A"/>
    <w:rsid w:val="002450FB"/>
    <w:rsid w:val="00252370"/>
    <w:rsid w:val="00252E1E"/>
    <w:rsid w:val="00253BA3"/>
    <w:rsid w:val="00254898"/>
    <w:rsid w:val="00254D1A"/>
    <w:rsid w:val="002556DE"/>
    <w:rsid w:val="00255757"/>
    <w:rsid w:val="00260E76"/>
    <w:rsid w:val="00261D9B"/>
    <w:rsid w:val="0026270B"/>
    <w:rsid w:val="00262EFC"/>
    <w:rsid w:val="00263A41"/>
    <w:rsid w:val="0026526C"/>
    <w:rsid w:val="00265C6A"/>
    <w:rsid w:val="002663F0"/>
    <w:rsid w:val="00267750"/>
    <w:rsid w:val="00274525"/>
    <w:rsid w:val="00275107"/>
    <w:rsid w:val="00280D88"/>
    <w:rsid w:val="00281AA0"/>
    <w:rsid w:val="0028329D"/>
    <w:rsid w:val="002840D7"/>
    <w:rsid w:val="002852B7"/>
    <w:rsid w:val="00286858"/>
    <w:rsid w:val="00286D25"/>
    <w:rsid w:val="00286D83"/>
    <w:rsid w:val="00293C02"/>
    <w:rsid w:val="00295583"/>
    <w:rsid w:val="00295B96"/>
    <w:rsid w:val="00296BF2"/>
    <w:rsid w:val="002A0FFB"/>
    <w:rsid w:val="002A1837"/>
    <w:rsid w:val="002A24A4"/>
    <w:rsid w:val="002A2E6C"/>
    <w:rsid w:val="002A4BEC"/>
    <w:rsid w:val="002A55D2"/>
    <w:rsid w:val="002A5DB1"/>
    <w:rsid w:val="002A6C24"/>
    <w:rsid w:val="002A75E5"/>
    <w:rsid w:val="002B09C7"/>
    <w:rsid w:val="002B0D02"/>
    <w:rsid w:val="002B4694"/>
    <w:rsid w:val="002B6736"/>
    <w:rsid w:val="002C1B3C"/>
    <w:rsid w:val="002C1F85"/>
    <w:rsid w:val="002C23B9"/>
    <w:rsid w:val="002C40F9"/>
    <w:rsid w:val="002C48ED"/>
    <w:rsid w:val="002C7E18"/>
    <w:rsid w:val="002D565E"/>
    <w:rsid w:val="002D6652"/>
    <w:rsid w:val="002D72DC"/>
    <w:rsid w:val="002E0D65"/>
    <w:rsid w:val="002E1139"/>
    <w:rsid w:val="002E2112"/>
    <w:rsid w:val="002E218F"/>
    <w:rsid w:val="002E39EA"/>
    <w:rsid w:val="002E3D15"/>
    <w:rsid w:val="002E42EF"/>
    <w:rsid w:val="002E492D"/>
    <w:rsid w:val="002E5B15"/>
    <w:rsid w:val="002E64A8"/>
    <w:rsid w:val="002E72C5"/>
    <w:rsid w:val="002E7BB9"/>
    <w:rsid w:val="002F0E5F"/>
    <w:rsid w:val="002F1214"/>
    <w:rsid w:val="002F1EAD"/>
    <w:rsid w:val="002F2E7B"/>
    <w:rsid w:val="002F30A8"/>
    <w:rsid w:val="002F3F4F"/>
    <w:rsid w:val="002F4A84"/>
    <w:rsid w:val="002F526F"/>
    <w:rsid w:val="00300ECA"/>
    <w:rsid w:val="003015C7"/>
    <w:rsid w:val="00301895"/>
    <w:rsid w:val="0030239D"/>
    <w:rsid w:val="003044FE"/>
    <w:rsid w:val="00304C14"/>
    <w:rsid w:val="00306061"/>
    <w:rsid w:val="00306E89"/>
    <w:rsid w:val="00311932"/>
    <w:rsid w:val="00313152"/>
    <w:rsid w:val="00317109"/>
    <w:rsid w:val="0031757A"/>
    <w:rsid w:val="003234D0"/>
    <w:rsid w:val="00323F9A"/>
    <w:rsid w:val="00324276"/>
    <w:rsid w:val="00325DF5"/>
    <w:rsid w:val="00327464"/>
    <w:rsid w:val="0032749C"/>
    <w:rsid w:val="00333FDE"/>
    <w:rsid w:val="00340187"/>
    <w:rsid w:val="00344283"/>
    <w:rsid w:val="00344F57"/>
    <w:rsid w:val="0034647A"/>
    <w:rsid w:val="0035108F"/>
    <w:rsid w:val="003556D4"/>
    <w:rsid w:val="00355C71"/>
    <w:rsid w:val="00357ED0"/>
    <w:rsid w:val="003612A8"/>
    <w:rsid w:val="003628B5"/>
    <w:rsid w:val="003644B1"/>
    <w:rsid w:val="00365D17"/>
    <w:rsid w:val="0037420A"/>
    <w:rsid w:val="00374F1A"/>
    <w:rsid w:val="00375833"/>
    <w:rsid w:val="0037622B"/>
    <w:rsid w:val="00380214"/>
    <w:rsid w:val="003819DA"/>
    <w:rsid w:val="00382237"/>
    <w:rsid w:val="00382545"/>
    <w:rsid w:val="003828B6"/>
    <w:rsid w:val="00385610"/>
    <w:rsid w:val="00385829"/>
    <w:rsid w:val="00385ACE"/>
    <w:rsid w:val="00386A6B"/>
    <w:rsid w:val="0038737F"/>
    <w:rsid w:val="003876C1"/>
    <w:rsid w:val="00387F4E"/>
    <w:rsid w:val="0039253F"/>
    <w:rsid w:val="00392728"/>
    <w:rsid w:val="00394236"/>
    <w:rsid w:val="003949D8"/>
    <w:rsid w:val="00394DFE"/>
    <w:rsid w:val="00396882"/>
    <w:rsid w:val="003A1D33"/>
    <w:rsid w:val="003A2C47"/>
    <w:rsid w:val="003A2C9F"/>
    <w:rsid w:val="003A4AB1"/>
    <w:rsid w:val="003A53AD"/>
    <w:rsid w:val="003B5228"/>
    <w:rsid w:val="003B5925"/>
    <w:rsid w:val="003B5983"/>
    <w:rsid w:val="003B71A4"/>
    <w:rsid w:val="003C5327"/>
    <w:rsid w:val="003C702E"/>
    <w:rsid w:val="003C749D"/>
    <w:rsid w:val="003C79A1"/>
    <w:rsid w:val="003C7AD5"/>
    <w:rsid w:val="003D1882"/>
    <w:rsid w:val="003D29A0"/>
    <w:rsid w:val="003D29AC"/>
    <w:rsid w:val="003D49F3"/>
    <w:rsid w:val="003D4CBC"/>
    <w:rsid w:val="003D541B"/>
    <w:rsid w:val="003D5D3C"/>
    <w:rsid w:val="003D664B"/>
    <w:rsid w:val="003D7D00"/>
    <w:rsid w:val="003E1B05"/>
    <w:rsid w:val="003E1FD5"/>
    <w:rsid w:val="003E3257"/>
    <w:rsid w:val="003E3B06"/>
    <w:rsid w:val="003E53AA"/>
    <w:rsid w:val="003E5C5C"/>
    <w:rsid w:val="003E685F"/>
    <w:rsid w:val="003E7720"/>
    <w:rsid w:val="003F06F1"/>
    <w:rsid w:val="003F107C"/>
    <w:rsid w:val="003F2005"/>
    <w:rsid w:val="003F291B"/>
    <w:rsid w:val="003F2F26"/>
    <w:rsid w:val="003F359F"/>
    <w:rsid w:val="003F4CEC"/>
    <w:rsid w:val="003F4E49"/>
    <w:rsid w:val="0040031A"/>
    <w:rsid w:val="00400CA7"/>
    <w:rsid w:val="004026E0"/>
    <w:rsid w:val="004028BA"/>
    <w:rsid w:val="004038F4"/>
    <w:rsid w:val="0040670D"/>
    <w:rsid w:val="00406F8C"/>
    <w:rsid w:val="004074E4"/>
    <w:rsid w:val="00410908"/>
    <w:rsid w:val="004115DB"/>
    <w:rsid w:val="00411FB6"/>
    <w:rsid w:val="00412DC1"/>
    <w:rsid w:val="00416994"/>
    <w:rsid w:val="0041722B"/>
    <w:rsid w:val="00421AE4"/>
    <w:rsid w:val="00422C6F"/>
    <w:rsid w:val="0042393B"/>
    <w:rsid w:val="004269E2"/>
    <w:rsid w:val="00426D44"/>
    <w:rsid w:val="00430529"/>
    <w:rsid w:val="00432C83"/>
    <w:rsid w:val="0043502B"/>
    <w:rsid w:val="00436B44"/>
    <w:rsid w:val="004377D4"/>
    <w:rsid w:val="00441173"/>
    <w:rsid w:val="004476C7"/>
    <w:rsid w:val="0045147C"/>
    <w:rsid w:val="00454689"/>
    <w:rsid w:val="00457B70"/>
    <w:rsid w:val="004604A6"/>
    <w:rsid w:val="00460638"/>
    <w:rsid w:val="00460B00"/>
    <w:rsid w:val="00460D02"/>
    <w:rsid w:val="0046272C"/>
    <w:rsid w:val="00462EA1"/>
    <w:rsid w:val="0046318A"/>
    <w:rsid w:val="00464A6D"/>
    <w:rsid w:val="004651E1"/>
    <w:rsid w:val="00465B54"/>
    <w:rsid w:val="00466890"/>
    <w:rsid w:val="004674ED"/>
    <w:rsid w:val="00470B8A"/>
    <w:rsid w:val="0047171F"/>
    <w:rsid w:val="00471E5F"/>
    <w:rsid w:val="00472E04"/>
    <w:rsid w:val="004740F8"/>
    <w:rsid w:val="00474826"/>
    <w:rsid w:val="004748E6"/>
    <w:rsid w:val="00475F86"/>
    <w:rsid w:val="00480558"/>
    <w:rsid w:val="00480761"/>
    <w:rsid w:val="00481DEB"/>
    <w:rsid w:val="0048436C"/>
    <w:rsid w:val="00485D9D"/>
    <w:rsid w:val="00486977"/>
    <w:rsid w:val="0048758E"/>
    <w:rsid w:val="00487979"/>
    <w:rsid w:val="00491D9A"/>
    <w:rsid w:val="004932F6"/>
    <w:rsid w:val="00493D18"/>
    <w:rsid w:val="00496E35"/>
    <w:rsid w:val="00496E4F"/>
    <w:rsid w:val="00497F6B"/>
    <w:rsid w:val="004A043A"/>
    <w:rsid w:val="004A0796"/>
    <w:rsid w:val="004A5436"/>
    <w:rsid w:val="004A563E"/>
    <w:rsid w:val="004A6A6D"/>
    <w:rsid w:val="004A77DC"/>
    <w:rsid w:val="004B01DD"/>
    <w:rsid w:val="004B1C31"/>
    <w:rsid w:val="004B37C8"/>
    <w:rsid w:val="004B608E"/>
    <w:rsid w:val="004B68CC"/>
    <w:rsid w:val="004B7076"/>
    <w:rsid w:val="004B79F1"/>
    <w:rsid w:val="004C2C74"/>
    <w:rsid w:val="004C7744"/>
    <w:rsid w:val="004C7942"/>
    <w:rsid w:val="004D09FC"/>
    <w:rsid w:val="004D0A1A"/>
    <w:rsid w:val="004D23FC"/>
    <w:rsid w:val="004D361C"/>
    <w:rsid w:val="004D4B92"/>
    <w:rsid w:val="004D594B"/>
    <w:rsid w:val="004D65DD"/>
    <w:rsid w:val="004D6D95"/>
    <w:rsid w:val="004E0ABD"/>
    <w:rsid w:val="004E0F52"/>
    <w:rsid w:val="004E2CAC"/>
    <w:rsid w:val="004E3135"/>
    <w:rsid w:val="004E6CF5"/>
    <w:rsid w:val="004F013C"/>
    <w:rsid w:val="004F12E7"/>
    <w:rsid w:val="004F271D"/>
    <w:rsid w:val="004F30B5"/>
    <w:rsid w:val="004F387C"/>
    <w:rsid w:val="004F44EE"/>
    <w:rsid w:val="004F59E3"/>
    <w:rsid w:val="004F5E89"/>
    <w:rsid w:val="004F7723"/>
    <w:rsid w:val="005004D8"/>
    <w:rsid w:val="00503C1C"/>
    <w:rsid w:val="00504A09"/>
    <w:rsid w:val="00505108"/>
    <w:rsid w:val="00505328"/>
    <w:rsid w:val="005066F5"/>
    <w:rsid w:val="00507BD6"/>
    <w:rsid w:val="00507FC6"/>
    <w:rsid w:val="00510954"/>
    <w:rsid w:val="00510D5E"/>
    <w:rsid w:val="005133D4"/>
    <w:rsid w:val="00515DDC"/>
    <w:rsid w:val="005177FA"/>
    <w:rsid w:val="005200C8"/>
    <w:rsid w:val="00520268"/>
    <w:rsid w:val="00520B5F"/>
    <w:rsid w:val="005230DE"/>
    <w:rsid w:val="005246B3"/>
    <w:rsid w:val="00524C82"/>
    <w:rsid w:val="00525525"/>
    <w:rsid w:val="0052589D"/>
    <w:rsid w:val="00527A14"/>
    <w:rsid w:val="005321E5"/>
    <w:rsid w:val="0053314F"/>
    <w:rsid w:val="0053360D"/>
    <w:rsid w:val="0053479C"/>
    <w:rsid w:val="00536682"/>
    <w:rsid w:val="00537800"/>
    <w:rsid w:val="00541582"/>
    <w:rsid w:val="0054246E"/>
    <w:rsid w:val="00544DD8"/>
    <w:rsid w:val="00546710"/>
    <w:rsid w:val="005468BA"/>
    <w:rsid w:val="00546D43"/>
    <w:rsid w:val="00552EEC"/>
    <w:rsid w:val="00556D3B"/>
    <w:rsid w:val="00556DBB"/>
    <w:rsid w:val="00556ED3"/>
    <w:rsid w:val="00557635"/>
    <w:rsid w:val="00560DF5"/>
    <w:rsid w:val="00561358"/>
    <w:rsid w:val="00562F8B"/>
    <w:rsid w:val="00565059"/>
    <w:rsid w:val="005665F7"/>
    <w:rsid w:val="00570E8B"/>
    <w:rsid w:val="00572F0C"/>
    <w:rsid w:val="00574259"/>
    <w:rsid w:val="0057540F"/>
    <w:rsid w:val="00575BD4"/>
    <w:rsid w:val="005762E1"/>
    <w:rsid w:val="0058000A"/>
    <w:rsid w:val="005811A8"/>
    <w:rsid w:val="005814AD"/>
    <w:rsid w:val="005822C4"/>
    <w:rsid w:val="00586593"/>
    <w:rsid w:val="00587604"/>
    <w:rsid w:val="005959E1"/>
    <w:rsid w:val="005959E5"/>
    <w:rsid w:val="0059757C"/>
    <w:rsid w:val="00597959"/>
    <w:rsid w:val="005A025F"/>
    <w:rsid w:val="005A0C58"/>
    <w:rsid w:val="005A2C8D"/>
    <w:rsid w:val="005A55B8"/>
    <w:rsid w:val="005A55D5"/>
    <w:rsid w:val="005A6840"/>
    <w:rsid w:val="005A6B11"/>
    <w:rsid w:val="005A74E3"/>
    <w:rsid w:val="005B2C34"/>
    <w:rsid w:val="005B4778"/>
    <w:rsid w:val="005B6594"/>
    <w:rsid w:val="005B74ED"/>
    <w:rsid w:val="005C168F"/>
    <w:rsid w:val="005C2D8C"/>
    <w:rsid w:val="005C33B7"/>
    <w:rsid w:val="005C5B21"/>
    <w:rsid w:val="005C6766"/>
    <w:rsid w:val="005D0B4F"/>
    <w:rsid w:val="005D1D3E"/>
    <w:rsid w:val="005D1D59"/>
    <w:rsid w:val="005D5570"/>
    <w:rsid w:val="005D6342"/>
    <w:rsid w:val="005E0033"/>
    <w:rsid w:val="005E0153"/>
    <w:rsid w:val="005E0CFE"/>
    <w:rsid w:val="005E2B35"/>
    <w:rsid w:val="005F034C"/>
    <w:rsid w:val="005F735E"/>
    <w:rsid w:val="00600FED"/>
    <w:rsid w:val="006012C3"/>
    <w:rsid w:val="00602183"/>
    <w:rsid w:val="00602A4B"/>
    <w:rsid w:val="0060319E"/>
    <w:rsid w:val="00604039"/>
    <w:rsid w:val="006043A1"/>
    <w:rsid w:val="006045C5"/>
    <w:rsid w:val="00604F79"/>
    <w:rsid w:val="0060662A"/>
    <w:rsid w:val="00607846"/>
    <w:rsid w:val="0061016F"/>
    <w:rsid w:val="00611842"/>
    <w:rsid w:val="006155F7"/>
    <w:rsid w:val="006217C0"/>
    <w:rsid w:val="00621EC2"/>
    <w:rsid w:val="00623ACD"/>
    <w:rsid w:val="006241CA"/>
    <w:rsid w:val="00624691"/>
    <w:rsid w:val="00624FAE"/>
    <w:rsid w:val="0062552F"/>
    <w:rsid w:val="00626595"/>
    <w:rsid w:val="006304E7"/>
    <w:rsid w:val="006315F8"/>
    <w:rsid w:val="00635FEB"/>
    <w:rsid w:val="00636D67"/>
    <w:rsid w:val="00642111"/>
    <w:rsid w:val="0064213A"/>
    <w:rsid w:val="006421EE"/>
    <w:rsid w:val="00642E9A"/>
    <w:rsid w:val="00646244"/>
    <w:rsid w:val="00647853"/>
    <w:rsid w:val="00647C87"/>
    <w:rsid w:val="00652029"/>
    <w:rsid w:val="006520E0"/>
    <w:rsid w:val="00652749"/>
    <w:rsid w:val="006572E6"/>
    <w:rsid w:val="0066090E"/>
    <w:rsid w:val="006626E0"/>
    <w:rsid w:val="00666899"/>
    <w:rsid w:val="0067223D"/>
    <w:rsid w:val="006728D9"/>
    <w:rsid w:val="006744A8"/>
    <w:rsid w:val="006746DF"/>
    <w:rsid w:val="0067490D"/>
    <w:rsid w:val="00674914"/>
    <w:rsid w:val="0067574F"/>
    <w:rsid w:val="00682E46"/>
    <w:rsid w:val="0068348E"/>
    <w:rsid w:val="006852BD"/>
    <w:rsid w:val="006859EA"/>
    <w:rsid w:val="00686579"/>
    <w:rsid w:val="00690DAF"/>
    <w:rsid w:val="006915A5"/>
    <w:rsid w:val="00693619"/>
    <w:rsid w:val="006936E2"/>
    <w:rsid w:val="00693A7B"/>
    <w:rsid w:val="006940C7"/>
    <w:rsid w:val="0069654C"/>
    <w:rsid w:val="006969D6"/>
    <w:rsid w:val="006A0DB8"/>
    <w:rsid w:val="006A354B"/>
    <w:rsid w:val="006A3B9D"/>
    <w:rsid w:val="006A3E3A"/>
    <w:rsid w:val="006A6064"/>
    <w:rsid w:val="006A6E19"/>
    <w:rsid w:val="006B1294"/>
    <w:rsid w:val="006B2D68"/>
    <w:rsid w:val="006B4EA0"/>
    <w:rsid w:val="006B6125"/>
    <w:rsid w:val="006B6694"/>
    <w:rsid w:val="006B7536"/>
    <w:rsid w:val="006C1030"/>
    <w:rsid w:val="006C15FA"/>
    <w:rsid w:val="006C1EC6"/>
    <w:rsid w:val="006C2109"/>
    <w:rsid w:val="006C51B3"/>
    <w:rsid w:val="006D3034"/>
    <w:rsid w:val="006D5CF7"/>
    <w:rsid w:val="006D6464"/>
    <w:rsid w:val="006E24F7"/>
    <w:rsid w:val="006E4298"/>
    <w:rsid w:val="006E5054"/>
    <w:rsid w:val="006E50E5"/>
    <w:rsid w:val="006E67C2"/>
    <w:rsid w:val="006E782D"/>
    <w:rsid w:val="006F0297"/>
    <w:rsid w:val="006F211A"/>
    <w:rsid w:val="006F322E"/>
    <w:rsid w:val="006F3433"/>
    <w:rsid w:val="006F4F1F"/>
    <w:rsid w:val="006F52AD"/>
    <w:rsid w:val="006F5D8A"/>
    <w:rsid w:val="006F7A37"/>
    <w:rsid w:val="006F7A45"/>
    <w:rsid w:val="006F7DC6"/>
    <w:rsid w:val="0070251E"/>
    <w:rsid w:val="00702C54"/>
    <w:rsid w:val="00705FCD"/>
    <w:rsid w:val="007068FF"/>
    <w:rsid w:val="0071064E"/>
    <w:rsid w:val="007121E9"/>
    <w:rsid w:val="00712B32"/>
    <w:rsid w:val="007131B4"/>
    <w:rsid w:val="0071559C"/>
    <w:rsid w:val="00716944"/>
    <w:rsid w:val="00720115"/>
    <w:rsid w:val="0072023F"/>
    <w:rsid w:val="0072283E"/>
    <w:rsid w:val="00723B7F"/>
    <w:rsid w:val="00724445"/>
    <w:rsid w:val="0072626A"/>
    <w:rsid w:val="00726D1C"/>
    <w:rsid w:val="00730876"/>
    <w:rsid w:val="00731FB7"/>
    <w:rsid w:val="00732FCB"/>
    <w:rsid w:val="0073399F"/>
    <w:rsid w:val="00735D70"/>
    <w:rsid w:val="007364DB"/>
    <w:rsid w:val="0073688F"/>
    <w:rsid w:val="00742B9C"/>
    <w:rsid w:val="00742FD9"/>
    <w:rsid w:val="0074308E"/>
    <w:rsid w:val="00743E58"/>
    <w:rsid w:val="0074467F"/>
    <w:rsid w:val="007459A0"/>
    <w:rsid w:val="00745ABF"/>
    <w:rsid w:val="0074709B"/>
    <w:rsid w:val="007475E5"/>
    <w:rsid w:val="007515CC"/>
    <w:rsid w:val="00755A88"/>
    <w:rsid w:val="00755CEE"/>
    <w:rsid w:val="0076087C"/>
    <w:rsid w:val="00762CEF"/>
    <w:rsid w:val="00762E3E"/>
    <w:rsid w:val="0076340D"/>
    <w:rsid w:val="0076595A"/>
    <w:rsid w:val="00765E50"/>
    <w:rsid w:val="00766338"/>
    <w:rsid w:val="0076670B"/>
    <w:rsid w:val="00770DAD"/>
    <w:rsid w:val="00771E08"/>
    <w:rsid w:val="00772610"/>
    <w:rsid w:val="00772FBB"/>
    <w:rsid w:val="00773C41"/>
    <w:rsid w:val="00773CB9"/>
    <w:rsid w:val="00775190"/>
    <w:rsid w:val="00776760"/>
    <w:rsid w:val="00776E52"/>
    <w:rsid w:val="00777263"/>
    <w:rsid w:val="007775F8"/>
    <w:rsid w:val="00780978"/>
    <w:rsid w:val="007815F2"/>
    <w:rsid w:val="00783D22"/>
    <w:rsid w:val="00784742"/>
    <w:rsid w:val="0078753D"/>
    <w:rsid w:val="00790CD8"/>
    <w:rsid w:val="00791488"/>
    <w:rsid w:val="00792B7D"/>
    <w:rsid w:val="00792FA7"/>
    <w:rsid w:val="007931B1"/>
    <w:rsid w:val="007936B7"/>
    <w:rsid w:val="00794D80"/>
    <w:rsid w:val="0079633F"/>
    <w:rsid w:val="00797EA4"/>
    <w:rsid w:val="007A049D"/>
    <w:rsid w:val="007A1B0A"/>
    <w:rsid w:val="007A3C0F"/>
    <w:rsid w:val="007A4E23"/>
    <w:rsid w:val="007A4F18"/>
    <w:rsid w:val="007A502E"/>
    <w:rsid w:val="007A64CD"/>
    <w:rsid w:val="007A7A75"/>
    <w:rsid w:val="007B0028"/>
    <w:rsid w:val="007B0CEC"/>
    <w:rsid w:val="007B359E"/>
    <w:rsid w:val="007B5331"/>
    <w:rsid w:val="007B56A3"/>
    <w:rsid w:val="007B6296"/>
    <w:rsid w:val="007B77EC"/>
    <w:rsid w:val="007B780A"/>
    <w:rsid w:val="007C29CE"/>
    <w:rsid w:val="007C3A09"/>
    <w:rsid w:val="007C587C"/>
    <w:rsid w:val="007C627A"/>
    <w:rsid w:val="007C64D8"/>
    <w:rsid w:val="007C695C"/>
    <w:rsid w:val="007D0B9A"/>
    <w:rsid w:val="007D4E3A"/>
    <w:rsid w:val="007D7406"/>
    <w:rsid w:val="007E04E7"/>
    <w:rsid w:val="007E29C5"/>
    <w:rsid w:val="007E4090"/>
    <w:rsid w:val="007E7A9C"/>
    <w:rsid w:val="007E7D2D"/>
    <w:rsid w:val="007F1E29"/>
    <w:rsid w:val="007F4CF7"/>
    <w:rsid w:val="00801D47"/>
    <w:rsid w:val="00802BF0"/>
    <w:rsid w:val="00807AE3"/>
    <w:rsid w:val="00814911"/>
    <w:rsid w:val="00815031"/>
    <w:rsid w:val="008154D9"/>
    <w:rsid w:val="00820ADE"/>
    <w:rsid w:val="00825016"/>
    <w:rsid w:val="00826667"/>
    <w:rsid w:val="00826BC4"/>
    <w:rsid w:val="008270BE"/>
    <w:rsid w:val="0083043B"/>
    <w:rsid w:val="00831382"/>
    <w:rsid w:val="00831FD2"/>
    <w:rsid w:val="0083224E"/>
    <w:rsid w:val="00832273"/>
    <w:rsid w:val="00832D1D"/>
    <w:rsid w:val="008349D8"/>
    <w:rsid w:val="0083563B"/>
    <w:rsid w:val="00835C66"/>
    <w:rsid w:val="00836FA7"/>
    <w:rsid w:val="00840843"/>
    <w:rsid w:val="00844382"/>
    <w:rsid w:val="00845B7C"/>
    <w:rsid w:val="00847490"/>
    <w:rsid w:val="0084773E"/>
    <w:rsid w:val="00855F40"/>
    <w:rsid w:val="008561C7"/>
    <w:rsid w:val="00856853"/>
    <w:rsid w:val="00860B46"/>
    <w:rsid w:val="00863AAE"/>
    <w:rsid w:val="00866551"/>
    <w:rsid w:val="008668CE"/>
    <w:rsid w:val="00866D6F"/>
    <w:rsid w:val="008702F2"/>
    <w:rsid w:val="00872D5D"/>
    <w:rsid w:val="00873F59"/>
    <w:rsid w:val="008745A0"/>
    <w:rsid w:val="00874F5C"/>
    <w:rsid w:val="0088062A"/>
    <w:rsid w:val="00883B31"/>
    <w:rsid w:val="0088440A"/>
    <w:rsid w:val="008860F3"/>
    <w:rsid w:val="008867D0"/>
    <w:rsid w:val="00890051"/>
    <w:rsid w:val="0089088B"/>
    <w:rsid w:val="00892832"/>
    <w:rsid w:val="008936FC"/>
    <w:rsid w:val="008938BB"/>
    <w:rsid w:val="00893BA9"/>
    <w:rsid w:val="008940CB"/>
    <w:rsid w:val="00894E65"/>
    <w:rsid w:val="00895FE7"/>
    <w:rsid w:val="00897A19"/>
    <w:rsid w:val="00897CD9"/>
    <w:rsid w:val="008A0753"/>
    <w:rsid w:val="008A1ACB"/>
    <w:rsid w:val="008A34FA"/>
    <w:rsid w:val="008A3A5A"/>
    <w:rsid w:val="008A406B"/>
    <w:rsid w:val="008A422F"/>
    <w:rsid w:val="008A44F4"/>
    <w:rsid w:val="008A4551"/>
    <w:rsid w:val="008A667F"/>
    <w:rsid w:val="008A7A26"/>
    <w:rsid w:val="008B42A8"/>
    <w:rsid w:val="008B48D4"/>
    <w:rsid w:val="008B5D42"/>
    <w:rsid w:val="008B6409"/>
    <w:rsid w:val="008B6BAE"/>
    <w:rsid w:val="008C007E"/>
    <w:rsid w:val="008C263C"/>
    <w:rsid w:val="008C36C6"/>
    <w:rsid w:val="008D07EA"/>
    <w:rsid w:val="008D0B99"/>
    <w:rsid w:val="008D0D64"/>
    <w:rsid w:val="008D4080"/>
    <w:rsid w:val="008D5736"/>
    <w:rsid w:val="008D5DEC"/>
    <w:rsid w:val="008D66A4"/>
    <w:rsid w:val="008D689F"/>
    <w:rsid w:val="008D6B0C"/>
    <w:rsid w:val="008D7038"/>
    <w:rsid w:val="008E0104"/>
    <w:rsid w:val="008E2546"/>
    <w:rsid w:val="008E2B03"/>
    <w:rsid w:val="008E37A0"/>
    <w:rsid w:val="008E4A0D"/>
    <w:rsid w:val="008E568C"/>
    <w:rsid w:val="008E745C"/>
    <w:rsid w:val="008E74AF"/>
    <w:rsid w:val="008F19A4"/>
    <w:rsid w:val="008F3E70"/>
    <w:rsid w:val="008F4582"/>
    <w:rsid w:val="008F65BF"/>
    <w:rsid w:val="008F6828"/>
    <w:rsid w:val="00902C0B"/>
    <w:rsid w:val="00902C14"/>
    <w:rsid w:val="00903239"/>
    <w:rsid w:val="0090462D"/>
    <w:rsid w:val="009065D3"/>
    <w:rsid w:val="00906FBE"/>
    <w:rsid w:val="009116C8"/>
    <w:rsid w:val="00911A01"/>
    <w:rsid w:val="009124B6"/>
    <w:rsid w:val="00913AEB"/>
    <w:rsid w:val="00913AFA"/>
    <w:rsid w:val="0091400D"/>
    <w:rsid w:val="00915392"/>
    <w:rsid w:val="00915527"/>
    <w:rsid w:val="00917328"/>
    <w:rsid w:val="0091799B"/>
    <w:rsid w:val="00920FA7"/>
    <w:rsid w:val="009228DC"/>
    <w:rsid w:val="00922A4E"/>
    <w:rsid w:val="00924E2A"/>
    <w:rsid w:val="00924E5D"/>
    <w:rsid w:val="00925596"/>
    <w:rsid w:val="0092619D"/>
    <w:rsid w:val="00926E89"/>
    <w:rsid w:val="00930BD5"/>
    <w:rsid w:val="00933DD6"/>
    <w:rsid w:val="00934ADE"/>
    <w:rsid w:val="00936028"/>
    <w:rsid w:val="00936E23"/>
    <w:rsid w:val="00937285"/>
    <w:rsid w:val="00940C77"/>
    <w:rsid w:val="0094233A"/>
    <w:rsid w:val="0094487A"/>
    <w:rsid w:val="009462D7"/>
    <w:rsid w:val="0094742C"/>
    <w:rsid w:val="0095035C"/>
    <w:rsid w:val="00950F76"/>
    <w:rsid w:val="00951909"/>
    <w:rsid w:val="00952B91"/>
    <w:rsid w:val="009533AB"/>
    <w:rsid w:val="00953876"/>
    <w:rsid w:val="00956174"/>
    <w:rsid w:val="00957C53"/>
    <w:rsid w:val="009617E1"/>
    <w:rsid w:val="0096425A"/>
    <w:rsid w:val="009665A6"/>
    <w:rsid w:val="0097018A"/>
    <w:rsid w:val="009708F7"/>
    <w:rsid w:val="00971CCB"/>
    <w:rsid w:val="009729A2"/>
    <w:rsid w:val="009746CC"/>
    <w:rsid w:val="0097695E"/>
    <w:rsid w:val="009807C4"/>
    <w:rsid w:val="00981E79"/>
    <w:rsid w:val="00981EED"/>
    <w:rsid w:val="0098413A"/>
    <w:rsid w:val="009842D3"/>
    <w:rsid w:val="00984ECC"/>
    <w:rsid w:val="00986A97"/>
    <w:rsid w:val="00991AEB"/>
    <w:rsid w:val="00992125"/>
    <w:rsid w:val="00993F74"/>
    <w:rsid w:val="00995528"/>
    <w:rsid w:val="0099799A"/>
    <w:rsid w:val="00997D3D"/>
    <w:rsid w:val="00997EFF"/>
    <w:rsid w:val="009A2162"/>
    <w:rsid w:val="009A3EBA"/>
    <w:rsid w:val="009A47FA"/>
    <w:rsid w:val="009A7F35"/>
    <w:rsid w:val="009B000F"/>
    <w:rsid w:val="009B1DFA"/>
    <w:rsid w:val="009B3A3F"/>
    <w:rsid w:val="009B3CD9"/>
    <w:rsid w:val="009B59FA"/>
    <w:rsid w:val="009B7168"/>
    <w:rsid w:val="009B7DD0"/>
    <w:rsid w:val="009C08E4"/>
    <w:rsid w:val="009C2190"/>
    <w:rsid w:val="009C4BA8"/>
    <w:rsid w:val="009C6AD3"/>
    <w:rsid w:val="009C797A"/>
    <w:rsid w:val="009C7AA2"/>
    <w:rsid w:val="009C7E93"/>
    <w:rsid w:val="009D329B"/>
    <w:rsid w:val="009D4783"/>
    <w:rsid w:val="009D4CA6"/>
    <w:rsid w:val="009D57C1"/>
    <w:rsid w:val="009E06F7"/>
    <w:rsid w:val="009E2448"/>
    <w:rsid w:val="009E29F7"/>
    <w:rsid w:val="009E2FE0"/>
    <w:rsid w:val="009E364B"/>
    <w:rsid w:val="009E67D4"/>
    <w:rsid w:val="009E6C2A"/>
    <w:rsid w:val="009F1850"/>
    <w:rsid w:val="009F1954"/>
    <w:rsid w:val="009F3C9F"/>
    <w:rsid w:val="009F4308"/>
    <w:rsid w:val="009F467D"/>
    <w:rsid w:val="009F4CC0"/>
    <w:rsid w:val="009F7CDA"/>
    <w:rsid w:val="00A02D2E"/>
    <w:rsid w:val="00A03477"/>
    <w:rsid w:val="00A044A1"/>
    <w:rsid w:val="00A07CD4"/>
    <w:rsid w:val="00A1158A"/>
    <w:rsid w:val="00A11B33"/>
    <w:rsid w:val="00A11E82"/>
    <w:rsid w:val="00A1224E"/>
    <w:rsid w:val="00A12260"/>
    <w:rsid w:val="00A12583"/>
    <w:rsid w:val="00A1462A"/>
    <w:rsid w:val="00A2055A"/>
    <w:rsid w:val="00A20902"/>
    <w:rsid w:val="00A21324"/>
    <w:rsid w:val="00A22FCF"/>
    <w:rsid w:val="00A2347F"/>
    <w:rsid w:val="00A235BC"/>
    <w:rsid w:val="00A242E2"/>
    <w:rsid w:val="00A25D42"/>
    <w:rsid w:val="00A25EB0"/>
    <w:rsid w:val="00A26373"/>
    <w:rsid w:val="00A27C66"/>
    <w:rsid w:val="00A31A2E"/>
    <w:rsid w:val="00A340EE"/>
    <w:rsid w:val="00A360D1"/>
    <w:rsid w:val="00A4009B"/>
    <w:rsid w:val="00A44FF4"/>
    <w:rsid w:val="00A471B5"/>
    <w:rsid w:val="00A472AF"/>
    <w:rsid w:val="00A5048E"/>
    <w:rsid w:val="00A50964"/>
    <w:rsid w:val="00A51C46"/>
    <w:rsid w:val="00A5222C"/>
    <w:rsid w:val="00A52FCE"/>
    <w:rsid w:val="00A56B06"/>
    <w:rsid w:val="00A578FF"/>
    <w:rsid w:val="00A60067"/>
    <w:rsid w:val="00A607D1"/>
    <w:rsid w:val="00A6649D"/>
    <w:rsid w:val="00A70D56"/>
    <w:rsid w:val="00A71AB0"/>
    <w:rsid w:val="00A71CDF"/>
    <w:rsid w:val="00A746F6"/>
    <w:rsid w:val="00A74C72"/>
    <w:rsid w:val="00A7526C"/>
    <w:rsid w:val="00A761E2"/>
    <w:rsid w:val="00A769C0"/>
    <w:rsid w:val="00A81ACE"/>
    <w:rsid w:val="00A8416E"/>
    <w:rsid w:val="00A84701"/>
    <w:rsid w:val="00A85526"/>
    <w:rsid w:val="00A85997"/>
    <w:rsid w:val="00A85CA8"/>
    <w:rsid w:val="00A9101B"/>
    <w:rsid w:val="00A92361"/>
    <w:rsid w:val="00A92B50"/>
    <w:rsid w:val="00A932D8"/>
    <w:rsid w:val="00A97312"/>
    <w:rsid w:val="00AA1E5A"/>
    <w:rsid w:val="00AA227D"/>
    <w:rsid w:val="00AA509E"/>
    <w:rsid w:val="00AA512B"/>
    <w:rsid w:val="00AA5328"/>
    <w:rsid w:val="00AA7B08"/>
    <w:rsid w:val="00AB09CA"/>
    <w:rsid w:val="00AB3381"/>
    <w:rsid w:val="00AB5001"/>
    <w:rsid w:val="00AB6219"/>
    <w:rsid w:val="00AB78CB"/>
    <w:rsid w:val="00AB7A73"/>
    <w:rsid w:val="00AB7BCE"/>
    <w:rsid w:val="00AC3185"/>
    <w:rsid w:val="00AC3A5D"/>
    <w:rsid w:val="00AC3ABA"/>
    <w:rsid w:val="00AC46A1"/>
    <w:rsid w:val="00AC4713"/>
    <w:rsid w:val="00AC4971"/>
    <w:rsid w:val="00AC4DBB"/>
    <w:rsid w:val="00AD05C6"/>
    <w:rsid w:val="00AD1911"/>
    <w:rsid w:val="00AD2254"/>
    <w:rsid w:val="00AD29A7"/>
    <w:rsid w:val="00AD5E61"/>
    <w:rsid w:val="00AD61FA"/>
    <w:rsid w:val="00AD6AE7"/>
    <w:rsid w:val="00AD7A95"/>
    <w:rsid w:val="00AE77A2"/>
    <w:rsid w:val="00AF1309"/>
    <w:rsid w:val="00AF3B28"/>
    <w:rsid w:val="00AF45B1"/>
    <w:rsid w:val="00AF5325"/>
    <w:rsid w:val="00AF5979"/>
    <w:rsid w:val="00B008E8"/>
    <w:rsid w:val="00B00933"/>
    <w:rsid w:val="00B0207F"/>
    <w:rsid w:val="00B02BAD"/>
    <w:rsid w:val="00B02FF5"/>
    <w:rsid w:val="00B03B48"/>
    <w:rsid w:val="00B048FA"/>
    <w:rsid w:val="00B064C2"/>
    <w:rsid w:val="00B06F47"/>
    <w:rsid w:val="00B14678"/>
    <w:rsid w:val="00B15905"/>
    <w:rsid w:val="00B15FB3"/>
    <w:rsid w:val="00B16C97"/>
    <w:rsid w:val="00B2090B"/>
    <w:rsid w:val="00B22DD9"/>
    <w:rsid w:val="00B23682"/>
    <w:rsid w:val="00B2390A"/>
    <w:rsid w:val="00B24654"/>
    <w:rsid w:val="00B24DA1"/>
    <w:rsid w:val="00B25727"/>
    <w:rsid w:val="00B27D91"/>
    <w:rsid w:val="00B30886"/>
    <w:rsid w:val="00B30C60"/>
    <w:rsid w:val="00B33B99"/>
    <w:rsid w:val="00B34C82"/>
    <w:rsid w:val="00B35AA5"/>
    <w:rsid w:val="00B36161"/>
    <w:rsid w:val="00B40C50"/>
    <w:rsid w:val="00B412CD"/>
    <w:rsid w:val="00B41601"/>
    <w:rsid w:val="00B4222D"/>
    <w:rsid w:val="00B42349"/>
    <w:rsid w:val="00B4243B"/>
    <w:rsid w:val="00B425C8"/>
    <w:rsid w:val="00B432D0"/>
    <w:rsid w:val="00B436A5"/>
    <w:rsid w:val="00B43E67"/>
    <w:rsid w:val="00B44183"/>
    <w:rsid w:val="00B4429F"/>
    <w:rsid w:val="00B45AAA"/>
    <w:rsid w:val="00B509A5"/>
    <w:rsid w:val="00B5235E"/>
    <w:rsid w:val="00B526ED"/>
    <w:rsid w:val="00B5357A"/>
    <w:rsid w:val="00B537DC"/>
    <w:rsid w:val="00B54B71"/>
    <w:rsid w:val="00B56348"/>
    <w:rsid w:val="00B56B5A"/>
    <w:rsid w:val="00B57ADF"/>
    <w:rsid w:val="00B602FC"/>
    <w:rsid w:val="00B65CFD"/>
    <w:rsid w:val="00B67A7D"/>
    <w:rsid w:val="00B7193E"/>
    <w:rsid w:val="00B71A97"/>
    <w:rsid w:val="00B7328C"/>
    <w:rsid w:val="00B737EF"/>
    <w:rsid w:val="00B738E9"/>
    <w:rsid w:val="00B7412C"/>
    <w:rsid w:val="00B77684"/>
    <w:rsid w:val="00B77E25"/>
    <w:rsid w:val="00B8488E"/>
    <w:rsid w:val="00B85450"/>
    <w:rsid w:val="00B906E9"/>
    <w:rsid w:val="00B923B4"/>
    <w:rsid w:val="00B9294E"/>
    <w:rsid w:val="00B93F37"/>
    <w:rsid w:val="00BA105F"/>
    <w:rsid w:val="00BA2C65"/>
    <w:rsid w:val="00BA546D"/>
    <w:rsid w:val="00BA724E"/>
    <w:rsid w:val="00BB0EE1"/>
    <w:rsid w:val="00BB164F"/>
    <w:rsid w:val="00BB2F2E"/>
    <w:rsid w:val="00BB3B59"/>
    <w:rsid w:val="00BB4193"/>
    <w:rsid w:val="00BB45A0"/>
    <w:rsid w:val="00BB7A85"/>
    <w:rsid w:val="00BC193A"/>
    <w:rsid w:val="00BC2000"/>
    <w:rsid w:val="00BC29B2"/>
    <w:rsid w:val="00BC2F69"/>
    <w:rsid w:val="00BC366C"/>
    <w:rsid w:val="00BC4962"/>
    <w:rsid w:val="00BC6C39"/>
    <w:rsid w:val="00BC6FE5"/>
    <w:rsid w:val="00BC78A3"/>
    <w:rsid w:val="00BD3DDF"/>
    <w:rsid w:val="00BD4198"/>
    <w:rsid w:val="00BD46E4"/>
    <w:rsid w:val="00BD6A7E"/>
    <w:rsid w:val="00BE32CD"/>
    <w:rsid w:val="00BE6911"/>
    <w:rsid w:val="00BF0910"/>
    <w:rsid w:val="00BF53F9"/>
    <w:rsid w:val="00BF57E3"/>
    <w:rsid w:val="00C03366"/>
    <w:rsid w:val="00C03792"/>
    <w:rsid w:val="00C0405D"/>
    <w:rsid w:val="00C066C9"/>
    <w:rsid w:val="00C068B5"/>
    <w:rsid w:val="00C07238"/>
    <w:rsid w:val="00C10677"/>
    <w:rsid w:val="00C1254D"/>
    <w:rsid w:val="00C17811"/>
    <w:rsid w:val="00C178CA"/>
    <w:rsid w:val="00C21CBD"/>
    <w:rsid w:val="00C21E60"/>
    <w:rsid w:val="00C3147F"/>
    <w:rsid w:val="00C32675"/>
    <w:rsid w:val="00C34E00"/>
    <w:rsid w:val="00C36A53"/>
    <w:rsid w:val="00C36BCF"/>
    <w:rsid w:val="00C407F1"/>
    <w:rsid w:val="00C413A5"/>
    <w:rsid w:val="00C42E6B"/>
    <w:rsid w:val="00C43DA4"/>
    <w:rsid w:val="00C44A6B"/>
    <w:rsid w:val="00C456BC"/>
    <w:rsid w:val="00C459F9"/>
    <w:rsid w:val="00C5054A"/>
    <w:rsid w:val="00C51E13"/>
    <w:rsid w:val="00C51E37"/>
    <w:rsid w:val="00C524CB"/>
    <w:rsid w:val="00C52703"/>
    <w:rsid w:val="00C53249"/>
    <w:rsid w:val="00C5444F"/>
    <w:rsid w:val="00C54CE6"/>
    <w:rsid w:val="00C569F7"/>
    <w:rsid w:val="00C56E28"/>
    <w:rsid w:val="00C57029"/>
    <w:rsid w:val="00C57357"/>
    <w:rsid w:val="00C61436"/>
    <w:rsid w:val="00C614B0"/>
    <w:rsid w:val="00C66987"/>
    <w:rsid w:val="00C67A21"/>
    <w:rsid w:val="00C72ED9"/>
    <w:rsid w:val="00C74379"/>
    <w:rsid w:val="00C81816"/>
    <w:rsid w:val="00C83830"/>
    <w:rsid w:val="00C83A3F"/>
    <w:rsid w:val="00C84C60"/>
    <w:rsid w:val="00C86623"/>
    <w:rsid w:val="00C87253"/>
    <w:rsid w:val="00C94743"/>
    <w:rsid w:val="00C949F2"/>
    <w:rsid w:val="00C9776B"/>
    <w:rsid w:val="00C97A05"/>
    <w:rsid w:val="00CA3AC7"/>
    <w:rsid w:val="00CA3F3C"/>
    <w:rsid w:val="00CA425A"/>
    <w:rsid w:val="00CA45F7"/>
    <w:rsid w:val="00CA49AA"/>
    <w:rsid w:val="00CA4C4D"/>
    <w:rsid w:val="00CA5695"/>
    <w:rsid w:val="00CA5DC3"/>
    <w:rsid w:val="00CA6DEF"/>
    <w:rsid w:val="00CA71E1"/>
    <w:rsid w:val="00CA7A46"/>
    <w:rsid w:val="00CB17CB"/>
    <w:rsid w:val="00CB3CD7"/>
    <w:rsid w:val="00CB4882"/>
    <w:rsid w:val="00CB4E9F"/>
    <w:rsid w:val="00CB7619"/>
    <w:rsid w:val="00CB7E65"/>
    <w:rsid w:val="00CC21CA"/>
    <w:rsid w:val="00CC26BA"/>
    <w:rsid w:val="00CC3857"/>
    <w:rsid w:val="00CC4BDB"/>
    <w:rsid w:val="00CC62E0"/>
    <w:rsid w:val="00CC7C06"/>
    <w:rsid w:val="00CC7CC1"/>
    <w:rsid w:val="00CD2151"/>
    <w:rsid w:val="00CD394C"/>
    <w:rsid w:val="00CD6A5A"/>
    <w:rsid w:val="00CE1495"/>
    <w:rsid w:val="00CE3B3E"/>
    <w:rsid w:val="00CE3B88"/>
    <w:rsid w:val="00CE76EE"/>
    <w:rsid w:val="00CF187B"/>
    <w:rsid w:val="00CF1B41"/>
    <w:rsid w:val="00CF2EC4"/>
    <w:rsid w:val="00CF3389"/>
    <w:rsid w:val="00CF3F9A"/>
    <w:rsid w:val="00CF676D"/>
    <w:rsid w:val="00CF6AAA"/>
    <w:rsid w:val="00D00760"/>
    <w:rsid w:val="00D010A6"/>
    <w:rsid w:val="00D010C7"/>
    <w:rsid w:val="00D022C7"/>
    <w:rsid w:val="00D02BF2"/>
    <w:rsid w:val="00D03C48"/>
    <w:rsid w:val="00D0404F"/>
    <w:rsid w:val="00D0602C"/>
    <w:rsid w:val="00D07105"/>
    <w:rsid w:val="00D14258"/>
    <w:rsid w:val="00D16437"/>
    <w:rsid w:val="00D1683E"/>
    <w:rsid w:val="00D20B51"/>
    <w:rsid w:val="00D20CF2"/>
    <w:rsid w:val="00D2186B"/>
    <w:rsid w:val="00D239CD"/>
    <w:rsid w:val="00D23EE5"/>
    <w:rsid w:val="00D27CAF"/>
    <w:rsid w:val="00D3191D"/>
    <w:rsid w:val="00D339E8"/>
    <w:rsid w:val="00D3533B"/>
    <w:rsid w:val="00D3635E"/>
    <w:rsid w:val="00D36E0E"/>
    <w:rsid w:val="00D36FD8"/>
    <w:rsid w:val="00D41B57"/>
    <w:rsid w:val="00D442ED"/>
    <w:rsid w:val="00D44A49"/>
    <w:rsid w:val="00D44C27"/>
    <w:rsid w:val="00D44D08"/>
    <w:rsid w:val="00D458AE"/>
    <w:rsid w:val="00D45A37"/>
    <w:rsid w:val="00D5172E"/>
    <w:rsid w:val="00D528ED"/>
    <w:rsid w:val="00D52E56"/>
    <w:rsid w:val="00D5499E"/>
    <w:rsid w:val="00D54AAB"/>
    <w:rsid w:val="00D552A7"/>
    <w:rsid w:val="00D55474"/>
    <w:rsid w:val="00D55F70"/>
    <w:rsid w:val="00D570E7"/>
    <w:rsid w:val="00D579B2"/>
    <w:rsid w:val="00D61953"/>
    <w:rsid w:val="00D61D22"/>
    <w:rsid w:val="00D6355D"/>
    <w:rsid w:val="00D637ED"/>
    <w:rsid w:val="00D65804"/>
    <w:rsid w:val="00D668E2"/>
    <w:rsid w:val="00D66FBA"/>
    <w:rsid w:val="00D6716C"/>
    <w:rsid w:val="00D700EE"/>
    <w:rsid w:val="00D705BB"/>
    <w:rsid w:val="00D70A83"/>
    <w:rsid w:val="00D728D6"/>
    <w:rsid w:val="00D75B6D"/>
    <w:rsid w:val="00D76C2C"/>
    <w:rsid w:val="00D8091E"/>
    <w:rsid w:val="00D828EF"/>
    <w:rsid w:val="00D82B95"/>
    <w:rsid w:val="00D85735"/>
    <w:rsid w:val="00D868E7"/>
    <w:rsid w:val="00D86A30"/>
    <w:rsid w:val="00D90C43"/>
    <w:rsid w:val="00D90E86"/>
    <w:rsid w:val="00D912E1"/>
    <w:rsid w:val="00D916D4"/>
    <w:rsid w:val="00D92705"/>
    <w:rsid w:val="00D94DAB"/>
    <w:rsid w:val="00D95FD8"/>
    <w:rsid w:val="00D961F1"/>
    <w:rsid w:val="00DA3B18"/>
    <w:rsid w:val="00DA49CC"/>
    <w:rsid w:val="00DA6F26"/>
    <w:rsid w:val="00DA76FB"/>
    <w:rsid w:val="00DB5B0C"/>
    <w:rsid w:val="00DB7A92"/>
    <w:rsid w:val="00DC062B"/>
    <w:rsid w:val="00DC0E36"/>
    <w:rsid w:val="00DC12B3"/>
    <w:rsid w:val="00DC1A59"/>
    <w:rsid w:val="00DC6A50"/>
    <w:rsid w:val="00DD0427"/>
    <w:rsid w:val="00DD0EDD"/>
    <w:rsid w:val="00DD13D5"/>
    <w:rsid w:val="00DD154C"/>
    <w:rsid w:val="00DD171F"/>
    <w:rsid w:val="00DD23F5"/>
    <w:rsid w:val="00DD62D3"/>
    <w:rsid w:val="00DD71EB"/>
    <w:rsid w:val="00DE1430"/>
    <w:rsid w:val="00DE2A29"/>
    <w:rsid w:val="00DE2CC8"/>
    <w:rsid w:val="00DE4886"/>
    <w:rsid w:val="00DE7275"/>
    <w:rsid w:val="00DF038F"/>
    <w:rsid w:val="00DF0C3E"/>
    <w:rsid w:val="00DF0CF0"/>
    <w:rsid w:val="00DF0FAD"/>
    <w:rsid w:val="00DF2630"/>
    <w:rsid w:val="00DF51D0"/>
    <w:rsid w:val="00DF5C9D"/>
    <w:rsid w:val="00E008DA"/>
    <w:rsid w:val="00E04C90"/>
    <w:rsid w:val="00E062FD"/>
    <w:rsid w:val="00E06EA7"/>
    <w:rsid w:val="00E07496"/>
    <w:rsid w:val="00E07BC8"/>
    <w:rsid w:val="00E105F1"/>
    <w:rsid w:val="00E12554"/>
    <w:rsid w:val="00E1328F"/>
    <w:rsid w:val="00E15F39"/>
    <w:rsid w:val="00E1629A"/>
    <w:rsid w:val="00E17154"/>
    <w:rsid w:val="00E20972"/>
    <w:rsid w:val="00E21D64"/>
    <w:rsid w:val="00E23A68"/>
    <w:rsid w:val="00E24513"/>
    <w:rsid w:val="00E27D86"/>
    <w:rsid w:val="00E31E08"/>
    <w:rsid w:val="00E333A6"/>
    <w:rsid w:val="00E352D0"/>
    <w:rsid w:val="00E37B74"/>
    <w:rsid w:val="00E4112F"/>
    <w:rsid w:val="00E41167"/>
    <w:rsid w:val="00E41F5C"/>
    <w:rsid w:val="00E52454"/>
    <w:rsid w:val="00E5352E"/>
    <w:rsid w:val="00E574E1"/>
    <w:rsid w:val="00E628E9"/>
    <w:rsid w:val="00E64A69"/>
    <w:rsid w:val="00E667B7"/>
    <w:rsid w:val="00E673A0"/>
    <w:rsid w:val="00E67926"/>
    <w:rsid w:val="00E71B97"/>
    <w:rsid w:val="00E72D77"/>
    <w:rsid w:val="00E7372C"/>
    <w:rsid w:val="00E747C2"/>
    <w:rsid w:val="00E75FFA"/>
    <w:rsid w:val="00E76AB4"/>
    <w:rsid w:val="00E7708A"/>
    <w:rsid w:val="00E812B4"/>
    <w:rsid w:val="00E81B84"/>
    <w:rsid w:val="00E836A6"/>
    <w:rsid w:val="00E846A2"/>
    <w:rsid w:val="00E8698C"/>
    <w:rsid w:val="00E86EB3"/>
    <w:rsid w:val="00E90BF9"/>
    <w:rsid w:val="00E91980"/>
    <w:rsid w:val="00E92497"/>
    <w:rsid w:val="00E93256"/>
    <w:rsid w:val="00E93E5E"/>
    <w:rsid w:val="00E9439C"/>
    <w:rsid w:val="00E9733C"/>
    <w:rsid w:val="00EA21B8"/>
    <w:rsid w:val="00EA24D8"/>
    <w:rsid w:val="00EA2E24"/>
    <w:rsid w:val="00EA4A35"/>
    <w:rsid w:val="00EA5B6E"/>
    <w:rsid w:val="00EA773A"/>
    <w:rsid w:val="00EB0056"/>
    <w:rsid w:val="00EB33CC"/>
    <w:rsid w:val="00EB4CDE"/>
    <w:rsid w:val="00EC0651"/>
    <w:rsid w:val="00EC08F3"/>
    <w:rsid w:val="00EC0925"/>
    <w:rsid w:val="00EC1D02"/>
    <w:rsid w:val="00EC1EF1"/>
    <w:rsid w:val="00EC50BE"/>
    <w:rsid w:val="00EC5818"/>
    <w:rsid w:val="00EC6A84"/>
    <w:rsid w:val="00EC745C"/>
    <w:rsid w:val="00ED296C"/>
    <w:rsid w:val="00ED38E9"/>
    <w:rsid w:val="00ED4630"/>
    <w:rsid w:val="00ED5807"/>
    <w:rsid w:val="00ED5890"/>
    <w:rsid w:val="00ED5F4C"/>
    <w:rsid w:val="00EE2133"/>
    <w:rsid w:val="00EE2A3E"/>
    <w:rsid w:val="00EE485E"/>
    <w:rsid w:val="00EE4DBA"/>
    <w:rsid w:val="00EE6C32"/>
    <w:rsid w:val="00EE70B7"/>
    <w:rsid w:val="00EF085B"/>
    <w:rsid w:val="00EF101F"/>
    <w:rsid w:val="00EF1138"/>
    <w:rsid w:val="00EF18C7"/>
    <w:rsid w:val="00EF2D00"/>
    <w:rsid w:val="00EF32C1"/>
    <w:rsid w:val="00EF4067"/>
    <w:rsid w:val="00EF4818"/>
    <w:rsid w:val="00EF64BC"/>
    <w:rsid w:val="00F01E48"/>
    <w:rsid w:val="00F027BD"/>
    <w:rsid w:val="00F02AB4"/>
    <w:rsid w:val="00F02D44"/>
    <w:rsid w:val="00F0379D"/>
    <w:rsid w:val="00F04256"/>
    <w:rsid w:val="00F04465"/>
    <w:rsid w:val="00F04473"/>
    <w:rsid w:val="00F05B15"/>
    <w:rsid w:val="00F05CA1"/>
    <w:rsid w:val="00F11F14"/>
    <w:rsid w:val="00F12A06"/>
    <w:rsid w:val="00F1328B"/>
    <w:rsid w:val="00F13BFB"/>
    <w:rsid w:val="00F13CAE"/>
    <w:rsid w:val="00F13F59"/>
    <w:rsid w:val="00F17D4D"/>
    <w:rsid w:val="00F21A44"/>
    <w:rsid w:val="00F21BA0"/>
    <w:rsid w:val="00F25091"/>
    <w:rsid w:val="00F26027"/>
    <w:rsid w:val="00F26999"/>
    <w:rsid w:val="00F26F73"/>
    <w:rsid w:val="00F30157"/>
    <w:rsid w:val="00F311CD"/>
    <w:rsid w:val="00F35111"/>
    <w:rsid w:val="00F35B78"/>
    <w:rsid w:val="00F419FC"/>
    <w:rsid w:val="00F41B9C"/>
    <w:rsid w:val="00F42C36"/>
    <w:rsid w:val="00F42E8F"/>
    <w:rsid w:val="00F43321"/>
    <w:rsid w:val="00F43835"/>
    <w:rsid w:val="00F451B0"/>
    <w:rsid w:val="00F454FB"/>
    <w:rsid w:val="00F45CEA"/>
    <w:rsid w:val="00F46493"/>
    <w:rsid w:val="00F51BF7"/>
    <w:rsid w:val="00F5293F"/>
    <w:rsid w:val="00F52A4A"/>
    <w:rsid w:val="00F548A5"/>
    <w:rsid w:val="00F57ADD"/>
    <w:rsid w:val="00F6064F"/>
    <w:rsid w:val="00F60D73"/>
    <w:rsid w:val="00F61542"/>
    <w:rsid w:val="00F6318A"/>
    <w:rsid w:val="00F640E6"/>
    <w:rsid w:val="00F65B96"/>
    <w:rsid w:val="00F65D31"/>
    <w:rsid w:val="00F715BD"/>
    <w:rsid w:val="00F72D71"/>
    <w:rsid w:val="00F744C9"/>
    <w:rsid w:val="00F74F95"/>
    <w:rsid w:val="00F764B9"/>
    <w:rsid w:val="00F77622"/>
    <w:rsid w:val="00F82E4E"/>
    <w:rsid w:val="00F83F19"/>
    <w:rsid w:val="00F85FC5"/>
    <w:rsid w:val="00F90C4C"/>
    <w:rsid w:val="00F9196A"/>
    <w:rsid w:val="00F96BDA"/>
    <w:rsid w:val="00FA1E2E"/>
    <w:rsid w:val="00FA2893"/>
    <w:rsid w:val="00FA5523"/>
    <w:rsid w:val="00FA5AED"/>
    <w:rsid w:val="00FA759F"/>
    <w:rsid w:val="00FB1DBE"/>
    <w:rsid w:val="00FB231B"/>
    <w:rsid w:val="00FB3170"/>
    <w:rsid w:val="00FB4723"/>
    <w:rsid w:val="00FB4A99"/>
    <w:rsid w:val="00FB671C"/>
    <w:rsid w:val="00FC0093"/>
    <w:rsid w:val="00FC22A3"/>
    <w:rsid w:val="00FC2445"/>
    <w:rsid w:val="00FC3E88"/>
    <w:rsid w:val="00FC52DC"/>
    <w:rsid w:val="00FC54EC"/>
    <w:rsid w:val="00FC5D49"/>
    <w:rsid w:val="00FC7A66"/>
    <w:rsid w:val="00FD01AA"/>
    <w:rsid w:val="00FD08D0"/>
    <w:rsid w:val="00FD0BF6"/>
    <w:rsid w:val="00FD2DE1"/>
    <w:rsid w:val="00FD3E7F"/>
    <w:rsid w:val="00FD6487"/>
    <w:rsid w:val="00FD6DCA"/>
    <w:rsid w:val="00FE1572"/>
    <w:rsid w:val="00FE26E6"/>
    <w:rsid w:val="00FE3736"/>
    <w:rsid w:val="00FE37E4"/>
    <w:rsid w:val="00FE4CEC"/>
    <w:rsid w:val="00FE719F"/>
    <w:rsid w:val="00FE7F06"/>
    <w:rsid w:val="00FF3575"/>
    <w:rsid w:val="00FF35C1"/>
    <w:rsid w:val="00FF3AE9"/>
    <w:rsid w:val="00FF457E"/>
    <w:rsid w:val="00FF5281"/>
    <w:rsid w:val="00FF638C"/>
    <w:rsid w:val="00FF7E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988AE5"/>
  <w15:docId w15:val="{0B60DBB5-CD13-48B7-935B-F897806D1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D90E86"/>
    <w:rPr>
      <w:color w:val="0000FF"/>
      <w:sz w:val="24"/>
    </w:rPr>
  </w:style>
  <w:style w:type="paragraph" w:styleId="Heading1">
    <w:name w:val="heading 1"/>
    <w:basedOn w:val="Normal"/>
    <w:next w:val="Normal"/>
    <w:qFormat/>
    <w:rsid w:val="00D90E86"/>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tLeast"/>
      <w:outlineLvl w:val="0"/>
    </w:pPr>
    <w:rPr>
      <w:b/>
    </w:rPr>
  </w:style>
  <w:style w:type="paragraph" w:styleId="Heading2">
    <w:name w:val="heading 2"/>
    <w:basedOn w:val="Normal"/>
    <w:next w:val="Normal"/>
    <w:qFormat/>
    <w:rsid w:val="00D90E86"/>
    <w:pPr>
      <w:keepNext/>
      <w:spacing w:line="360" w:lineRule="auto"/>
      <w:outlineLvl w:val="1"/>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90E86"/>
    <w:pPr>
      <w:tabs>
        <w:tab w:val="center" w:pos="4320"/>
        <w:tab w:val="right" w:pos="8640"/>
      </w:tabs>
    </w:pPr>
  </w:style>
  <w:style w:type="paragraph" w:styleId="Footer">
    <w:name w:val="footer"/>
    <w:basedOn w:val="Normal"/>
    <w:rsid w:val="00D90E86"/>
    <w:pPr>
      <w:tabs>
        <w:tab w:val="center" w:pos="4320"/>
        <w:tab w:val="right" w:pos="8640"/>
      </w:tabs>
    </w:pPr>
  </w:style>
  <w:style w:type="character" w:styleId="PageNumber">
    <w:name w:val="page number"/>
    <w:basedOn w:val="DefaultParagraphFont"/>
    <w:rsid w:val="00D90E86"/>
  </w:style>
  <w:style w:type="paragraph" w:styleId="FootnoteText">
    <w:name w:val="footnote text"/>
    <w:aliases w:val="ft"/>
    <w:basedOn w:val="Normal"/>
    <w:semiHidden/>
    <w:rsid w:val="00D90E86"/>
    <w:rPr>
      <w:sz w:val="20"/>
    </w:rPr>
  </w:style>
  <w:style w:type="character" w:styleId="FootnoteReference">
    <w:name w:val="footnote reference"/>
    <w:basedOn w:val="DefaultParagraphFont"/>
    <w:semiHidden/>
    <w:rsid w:val="00D90E86"/>
    <w:rPr>
      <w:vertAlign w:val="superscript"/>
    </w:rPr>
  </w:style>
  <w:style w:type="paragraph" w:styleId="BodyTextIndent">
    <w:name w:val="Body Text Indent"/>
    <w:basedOn w:val="Normal"/>
    <w:rsid w:val="00D90E86"/>
    <w:pPr>
      <w:spacing w:line="360" w:lineRule="auto"/>
      <w:ind w:left="720"/>
      <w:jc w:val="both"/>
    </w:pPr>
  </w:style>
  <w:style w:type="paragraph" w:styleId="BodyText">
    <w:name w:val="Body Text"/>
    <w:basedOn w:val="Normal"/>
    <w:uiPriority w:val="99"/>
    <w:rsid w:val="00D90E86"/>
    <w:pPr>
      <w:spacing w:line="480" w:lineRule="auto"/>
    </w:pPr>
    <w:rPr>
      <w:sz w:val="26"/>
    </w:rPr>
  </w:style>
  <w:style w:type="paragraph" w:styleId="BodyTextIndent2">
    <w:name w:val="Body Text Indent 2"/>
    <w:basedOn w:val="Normal"/>
    <w:rsid w:val="00D90E86"/>
    <w:pPr>
      <w:spacing w:line="360" w:lineRule="auto"/>
      <w:ind w:firstLine="720"/>
    </w:pPr>
    <w:rPr>
      <w:sz w:val="26"/>
    </w:rPr>
  </w:style>
  <w:style w:type="character" w:styleId="Hyperlink">
    <w:name w:val="Hyperlink"/>
    <w:basedOn w:val="DefaultParagraphFont"/>
    <w:rsid w:val="00D90E86"/>
    <w:rPr>
      <w:color w:val="0000FF"/>
      <w:u w:val="single"/>
    </w:rPr>
  </w:style>
  <w:style w:type="character" w:styleId="FollowedHyperlink">
    <w:name w:val="FollowedHyperlink"/>
    <w:basedOn w:val="DefaultParagraphFont"/>
    <w:rsid w:val="00D90E86"/>
    <w:rPr>
      <w:color w:val="800080"/>
      <w:u w:val="single"/>
    </w:rPr>
  </w:style>
  <w:style w:type="paragraph" w:styleId="BalloonText">
    <w:name w:val="Balloon Text"/>
    <w:basedOn w:val="Normal"/>
    <w:semiHidden/>
    <w:rsid w:val="002F30A8"/>
    <w:rPr>
      <w:rFonts w:ascii="Tahoma" w:hAnsi="Tahoma" w:cs="Tahoma"/>
      <w:sz w:val="16"/>
      <w:szCs w:val="16"/>
    </w:rPr>
  </w:style>
  <w:style w:type="character" w:customStyle="1" w:styleId="DeltaViewInsertion">
    <w:name w:val="DeltaView Insertion"/>
    <w:rsid w:val="009E2448"/>
    <w:rPr>
      <w:b/>
      <w:bCs/>
      <w:spacing w:val="0"/>
      <w:u w:val="double"/>
    </w:rPr>
  </w:style>
  <w:style w:type="paragraph" w:customStyle="1" w:styleId="t1">
    <w:name w:val="t1"/>
    <w:basedOn w:val="Normal"/>
    <w:rsid w:val="00C178CA"/>
    <w:pPr>
      <w:widowControl w:val="0"/>
      <w:autoSpaceDE w:val="0"/>
      <w:autoSpaceDN w:val="0"/>
      <w:adjustRightInd w:val="0"/>
    </w:pPr>
    <w:rPr>
      <w:color w:val="auto"/>
      <w:szCs w:val="24"/>
    </w:rPr>
  </w:style>
  <w:style w:type="paragraph" w:customStyle="1" w:styleId="t2">
    <w:name w:val="t2"/>
    <w:basedOn w:val="Normal"/>
    <w:rsid w:val="00C178CA"/>
    <w:pPr>
      <w:widowControl w:val="0"/>
      <w:autoSpaceDE w:val="0"/>
      <w:autoSpaceDN w:val="0"/>
      <w:adjustRightInd w:val="0"/>
    </w:pPr>
    <w:rPr>
      <w:color w:val="auto"/>
      <w:szCs w:val="24"/>
    </w:rPr>
  </w:style>
  <w:style w:type="paragraph" w:customStyle="1" w:styleId="c3">
    <w:name w:val="c3"/>
    <w:basedOn w:val="Normal"/>
    <w:rsid w:val="00C178CA"/>
    <w:pPr>
      <w:widowControl w:val="0"/>
      <w:autoSpaceDE w:val="0"/>
      <w:autoSpaceDN w:val="0"/>
      <w:adjustRightInd w:val="0"/>
      <w:jc w:val="center"/>
    </w:pPr>
    <w:rPr>
      <w:color w:val="auto"/>
      <w:szCs w:val="24"/>
    </w:rPr>
  </w:style>
  <w:style w:type="paragraph" w:customStyle="1" w:styleId="p4">
    <w:name w:val="p4"/>
    <w:basedOn w:val="Normal"/>
    <w:rsid w:val="00C178CA"/>
    <w:pPr>
      <w:widowControl w:val="0"/>
      <w:tabs>
        <w:tab w:val="left" w:pos="204"/>
      </w:tabs>
      <w:autoSpaceDE w:val="0"/>
      <w:autoSpaceDN w:val="0"/>
      <w:adjustRightInd w:val="0"/>
    </w:pPr>
    <w:rPr>
      <w:color w:val="auto"/>
      <w:szCs w:val="24"/>
    </w:rPr>
  </w:style>
  <w:style w:type="paragraph" w:customStyle="1" w:styleId="p5">
    <w:name w:val="p5"/>
    <w:basedOn w:val="Normal"/>
    <w:rsid w:val="00C178CA"/>
    <w:pPr>
      <w:widowControl w:val="0"/>
      <w:tabs>
        <w:tab w:val="left" w:pos="742"/>
      </w:tabs>
      <w:autoSpaceDE w:val="0"/>
      <w:autoSpaceDN w:val="0"/>
      <w:adjustRightInd w:val="0"/>
      <w:ind w:left="698"/>
    </w:pPr>
    <w:rPr>
      <w:color w:val="auto"/>
      <w:szCs w:val="24"/>
    </w:rPr>
  </w:style>
  <w:style w:type="paragraph" w:customStyle="1" w:styleId="p7">
    <w:name w:val="p7"/>
    <w:basedOn w:val="Normal"/>
    <w:rsid w:val="00C178CA"/>
    <w:pPr>
      <w:widowControl w:val="0"/>
      <w:tabs>
        <w:tab w:val="left" w:pos="1485"/>
        <w:tab w:val="left" w:pos="1797"/>
      </w:tabs>
      <w:autoSpaceDE w:val="0"/>
      <w:autoSpaceDN w:val="0"/>
      <w:adjustRightInd w:val="0"/>
      <w:ind w:left="1797" w:hanging="312"/>
    </w:pPr>
    <w:rPr>
      <w:color w:val="auto"/>
      <w:szCs w:val="24"/>
    </w:rPr>
  </w:style>
  <w:style w:type="paragraph" w:customStyle="1" w:styleId="p8">
    <w:name w:val="p8"/>
    <w:basedOn w:val="Normal"/>
    <w:rsid w:val="00C178CA"/>
    <w:pPr>
      <w:widowControl w:val="0"/>
      <w:tabs>
        <w:tab w:val="left" w:pos="1491"/>
        <w:tab w:val="left" w:pos="1802"/>
      </w:tabs>
      <w:autoSpaceDE w:val="0"/>
      <w:autoSpaceDN w:val="0"/>
      <w:adjustRightInd w:val="0"/>
      <w:ind w:left="1802" w:hanging="311"/>
    </w:pPr>
    <w:rPr>
      <w:color w:val="auto"/>
      <w:szCs w:val="24"/>
    </w:rPr>
  </w:style>
  <w:style w:type="paragraph" w:customStyle="1" w:styleId="p9">
    <w:name w:val="p9"/>
    <w:basedOn w:val="Normal"/>
    <w:rsid w:val="00C178CA"/>
    <w:pPr>
      <w:widowControl w:val="0"/>
      <w:tabs>
        <w:tab w:val="left" w:pos="742"/>
      </w:tabs>
      <w:autoSpaceDE w:val="0"/>
      <w:autoSpaceDN w:val="0"/>
      <w:adjustRightInd w:val="0"/>
      <w:ind w:left="698" w:hanging="742"/>
    </w:pPr>
    <w:rPr>
      <w:color w:val="auto"/>
      <w:szCs w:val="24"/>
    </w:rPr>
  </w:style>
  <w:style w:type="paragraph" w:customStyle="1" w:styleId="p10">
    <w:name w:val="p10"/>
    <w:basedOn w:val="Normal"/>
    <w:rsid w:val="00C178CA"/>
    <w:pPr>
      <w:widowControl w:val="0"/>
      <w:tabs>
        <w:tab w:val="left" w:pos="1485"/>
      </w:tabs>
      <w:autoSpaceDE w:val="0"/>
      <w:autoSpaceDN w:val="0"/>
      <w:adjustRightInd w:val="0"/>
      <w:ind w:left="45"/>
    </w:pPr>
    <w:rPr>
      <w:color w:val="auto"/>
      <w:szCs w:val="24"/>
    </w:rPr>
  </w:style>
  <w:style w:type="paragraph" w:customStyle="1" w:styleId="p11">
    <w:name w:val="p11"/>
    <w:basedOn w:val="Normal"/>
    <w:rsid w:val="00C178CA"/>
    <w:pPr>
      <w:widowControl w:val="0"/>
      <w:tabs>
        <w:tab w:val="left" w:pos="742"/>
      </w:tabs>
      <w:autoSpaceDE w:val="0"/>
      <w:autoSpaceDN w:val="0"/>
      <w:adjustRightInd w:val="0"/>
      <w:ind w:left="1485" w:hanging="743"/>
    </w:pPr>
    <w:rPr>
      <w:color w:val="auto"/>
      <w:szCs w:val="24"/>
    </w:rPr>
  </w:style>
  <w:style w:type="paragraph" w:customStyle="1" w:styleId="t12">
    <w:name w:val="t12"/>
    <w:basedOn w:val="Normal"/>
    <w:rsid w:val="00C178CA"/>
    <w:pPr>
      <w:widowControl w:val="0"/>
      <w:autoSpaceDE w:val="0"/>
      <w:autoSpaceDN w:val="0"/>
      <w:adjustRightInd w:val="0"/>
    </w:pPr>
    <w:rPr>
      <w:color w:val="auto"/>
      <w:szCs w:val="24"/>
    </w:rPr>
  </w:style>
  <w:style w:type="paragraph" w:customStyle="1" w:styleId="t13">
    <w:name w:val="t13"/>
    <w:basedOn w:val="Normal"/>
    <w:rsid w:val="00C178CA"/>
    <w:pPr>
      <w:widowControl w:val="0"/>
      <w:autoSpaceDE w:val="0"/>
      <w:autoSpaceDN w:val="0"/>
      <w:adjustRightInd w:val="0"/>
    </w:pPr>
    <w:rPr>
      <w:color w:val="auto"/>
      <w:szCs w:val="24"/>
    </w:rPr>
  </w:style>
  <w:style w:type="paragraph" w:customStyle="1" w:styleId="c14">
    <w:name w:val="c14"/>
    <w:basedOn w:val="Normal"/>
    <w:rsid w:val="00C178CA"/>
    <w:pPr>
      <w:widowControl w:val="0"/>
      <w:autoSpaceDE w:val="0"/>
      <w:autoSpaceDN w:val="0"/>
      <w:adjustRightInd w:val="0"/>
      <w:jc w:val="center"/>
    </w:pPr>
    <w:rPr>
      <w:color w:val="auto"/>
      <w:szCs w:val="24"/>
    </w:rPr>
  </w:style>
  <w:style w:type="paragraph" w:customStyle="1" w:styleId="p15">
    <w:name w:val="p15"/>
    <w:basedOn w:val="Normal"/>
    <w:rsid w:val="00C178CA"/>
    <w:pPr>
      <w:widowControl w:val="0"/>
      <w:tabs>
        <w:tab w:val="left" w:pos="742"/>
      </w:tabs>
      <w:autoSpaceDE w:val="0"/>
      <w:autoSpaceDN w:val="0"/>
      <w:adjustRightInd w:val="0"/>
      <w:ind w:left="698" w:hanging="742"/>
    </w:pPr>
    <w:rPr>
      <w:color w:val="auto"/>
      <w:szCs w:val="24"/>
    </w:rPr>
  </w:style>
  <w:style w:type="paragraph" w:customStyle="1" w:styleId="p16">
    <w:name w:val="p16"/>
    <w:basedOn w:val="Normal"/>
    <w:rsid w:val="00C178CA"/>
    <w:pPr>
      <w:widowControl w:val="0"/>
      <w:tabs>
        <w:tab w:val="left" w:pos="1491"/>
      </w:tabs>
      <w:autoSpaceDE w:val="0"/>
      <w:autoSpaceDN w:val="0"/>
      <w:adjustRightInd w:val="0"/>
      <w:ind w:left="1491" w:hanging="749"/>
    </w:pPr>
    <w:rPr>
      <w:color w:val="auto"/>
      <w:szCs w:val="24"/>
    </w:rPr>
  </w:style>
  <w:style w:type="paragraph" w:customStyle="1" w:styleId="p17">
    <w:name w:val="p17"/>
    <w:basedOn w:val="Normal"/>
    <w:rsid w:val="00C178CA"/>
    <w:pPr>
      <w:widowControl w:val="0"/>
      <w:tabs>
        <w:tab w:val="left" w:pos="742"/>
        <w:tab w:val="left" w:pos="1491"/>
      </w:tabs>
      <w:autoSpaceDE w:val="0"/>
      <w:autoSpaceDN w:val="0"/>
      <w:adjustRightInd w:val="0"/>
      <w:ind w:left="1491" w:hanging="749"/>
    </w:pPr>
    <w:rPr>
      <w:color w:val="auto"/>
      <w:szCs w:val="24"/>
    </w:rPr>
  </w:style>
  <w:style w:type="paragraph" w:styleId="List2">
    <w:name w:val="List 2"/>
    <w:basedOn w:val="Normal"/>
    <w:rsid w:val="00C178CA"/>
    <w:pPr>
      <w:ind w:left="720" w:hanging="360"/>
    </w:pPr>
  </w:style>
  <w:style w:type="paragraph" w:styleId="NormalIndent">
    <w:name w:val="Normal Indent"/>
    <w:basedOn w:val="Normal"/>
    <w:rsid w:val="00C178CA"/>
    <w:pPr>
      <w:ind w:left="720"/>
    </w:pPr>
  </w:style>
  <w:style w:type="paragraph" w:styleId="List3">
    <w:name w:val="List 3"/>
    <w:basedOn w:val="Normal"/>
    <w:rsid w:val="00C178CA"/>
    <w:pPr>
      <w:ind w:left="1080" w:hanging="360"/>
    </w:pPr>
  </w:style>
  <w:style w:type="paragraph" w:styleId="ListParagraph">
    <w:name w:val="List Paragraph"/>
    <w:basedOn w:val="Normal"/>
    <w:uiPriority w:val="34"/>
    <w:qFormat/>
    <w:rsid w:val="00794D80"/>
    <w:pPr>
      <w:ind w:left="720"/>
      <w:contextualSpacing/>
    </w:pPr>
  </w:style>
  <w:style w:type="character" w:styleId="CommentReference">
    <w:name w:val="annotation reference"/>
    <w:basedOn w:val="DefaultParagraphFont"/>
    <w:rsid w:val="0094233A"/>
    <w:rPr>
      <w:sz w:val="16"/>
      <w:szCs w:val="16"/>
    </w:rPr>
  </w:style>
  <w:style w:type="paragraph" w:styleId="CommentText">
    <w:name w:val="annotation text"/>
    <w:basedOn w:val="Normal"/>
    <w:link w:val="CommentTextChar"/>
    <w:rsid w:val="0094233A"/>
    <w:rPr>
      <w:sz w:val="20"/>
    </w:rPr>
  </w:style>
  <w:style w:type="character" w:customStyle="1" w:styleId="CommentTextChar">
    <w:name w:val="Comment Text Char"/>
    <w:basedOn w:val="DefaultParagraphFont"/>
    <w:link w:val="CommentText"/>
    <w:rsid w:val="0094233A"/>
    <w:rPr>
      <w:color w:val="0000FF"/>
    </w:rPr>
  </w:style>
  <w:style w:type="paragraph" w:styleId="CommentSubject">
    <w:name w:val="annotation subject"/>
    <w:basedOn w:val="CommentText"/>
    <w:next w:val="CommentText"/>
    <w:link w:val="CommentSubjectChar"/>
    <w:rsid w:val="0094233A"/>
    <w:rPr>
      <w:b/>
      <w:bCs/>
    </w:rPr>
  </w:style>
  <w:style w:type="character" w:customStyle="1" w:styleId="CommentSubjectChar">
    <w:name w:val="Comment Subject Char"/>
    <w:basedOn w:val="CommentTextChar"/>
    <w:link w:val="CommentSubject"/>
    <w:rsid w:val="0094233A"/>
    <w:rPr>
      <w:b/>
      <w:bCs/>
      <w:color w:val="0000FF"/>
    </w:rPr>
  </w:style>
  <w:style w:type="paragraph" w:styleId="NormalWeb">
    <w:name w:val="Normal (Web)"/>
    <w:basedOn w:val="Normal"/>
    <w:uiPriority w:val="99"/>
    <w:unhideWhenUsed/>
    <w:rsid w:val="0060662A"/>
    <w:rPr>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2083341">
      <w:bodyDiv w:val="1"/>
      <w:marLeft w:val="0"/>
      <w:marRight w:val="0"/>
      <w:marTop w:val="0"/>
      <w:marBottom w:val="0"/>
      <w:divBdr>
        <w:top w:val="none" w:sz="0" w:space="0" w:color="auto"/>
        <w:left w:val="none" w:sz="0" w:space="0" w:color="auto"/>
        <w:bottom w:val="none" w:sz="0" w:space="0" w:color="auto"/>
        <w:right w:val="none" w:sz="0" w:space="0" w:color="auto"/>
      </w:divBdr>
    </w:div>
    <w:div w:id="1334185252">
      <w:bodyDiv w:val="1"/>
      <w:marLeft w:val="0"/>
      <w:marRight w:val="0"/>
      <w:marTop w:val="0"/>
      <w:marBottom w:val="0"/>
      <w:divBdr>
        <w:top w:val="none" w:sz="0" w:space="0" w:color="auto"/>
        <w:left w:val="none" w:sz="0" w:space="0" w:color="auto"/>
        <w:bottom w:val="none" w:sz="0" w:space="0" w:color="auto"/>
        <w:right w:val="none" w:sz="0" w:space="0" w:color="auto"/>
      </w:divBdr>
      <w:divsChild>
        <w:div w:id="1225338955">
          <w:marLeft w:val="0"/>
          <w:marRight w:val="0"/>
          <w:marTop w:val="0"/>
          <w:marBottom w:val="0"/>
          <w:divBdr>
            <w:top w:val="none" w:sz="0" w:space="0" w:color="auto"/>
            <w:left w:val="none" w:sz="0" w:space="0" w:color="auto"/>
            <w:bottom w:val="none" w:sz="0" w:space="0" w:color="auto"/>
            <w:right w:val="none" w:sz="0" w:space="0" w:color="auto"/>
          </w:divBdr>
        </w:div>
      </w:divsChild>
    </w:div>
    <w:div w:id="1701394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dos.pa.gov/BusinessCharities/Business/RegistrationForms/Documents/Updated%202017%20Registration%20Forms/Domestic%20Business%20Corporation/15-355%20Statement%20of%20Conversion.pdf"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9BD97C-C491-4771-A772-FCC71494D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2902</TotalTime>
  <Pages>8</Pages>
  <Words>1904</Words>
  <Characters>10853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FUS-1302*; A-310461F0002; Qwest/USWest</vt:lpstr>
    </vt:vector>
  </TitlesOfParts>
  <Company>PA PUC</Company>
  <LinksUpToDate>false</LinksUpToDate>
  <CharactersWithSpaces>12732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FUS-1302*; A-310461F0002; Qwest/USWest</dc:title>
  <dc:subject>Removes ordering language re chart for combined entity.</dc:subject>
  <dc:creator>HUFF</dc:creator>
  <cp:lastModifiedBy>Farner, Joyce</cp:lastModifiedBy>
  <cp:revision>20</cp:revision>
  <cp:lastPrinted>2017-08-30T19:31:00Z</cp:lastPrinted>
  <dcterms:created xsi:type="dcterms:W3CDTF">2017-05-23T12:37:00Z</dcterms:created>
  <dcterms:modified xsi:type="dcterms:W3CDTF">2017-08-30T19:32:00Z</dcterms:modified>
</cp:coreProperties>
</file>