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A45" w:rsidRPr="00F41449" w:rsidRDefault="00FF7A45" w:rsidP="00FF7A45">
      <w:pPr>
        <w:jc w:val="center"/>
        <w:rPr>
          <w:b/>
          <w:sz w:val="24"/>
          <w:szCs w:val="24"/>
        </w:rPr>
      </w:pPr>
      <w:r w:rsidRPr="00F41449">
        <w:rPr>
          <w:b/>
          <w:sz w:val="24"/>
          <w:szCs w:val="24"/>
        </w:rPr>
        <w:t>BEFORE THE</w:t>
      </w:r>
    </w:p>
    <w:p w:rsidR="00FF7A45" w:rsidRPr="00F41449" w:rsidRDefault="00FF7A45" w:rsidP="00FF7A45">
      <w:pPr>
        <w:jc w:val="center"/>
        <w:rPr>
          <w:sz w:val="24"/>
          <w:szCs w:val="24"/>
        </w:rPr>
      </w:pPr>
      <w:r w:rsidRPr="00F41449">
        <w:rPr>
          <w:b/>
          <w:sz w:val="24"/>
          <w:szCs w:val="24"/>
        </w:rPr>
        <w:t>PENNSYLVANIA PUBLIC UTILITY COMMISSION</w:t>
      </w:r>
    </w:p>
    <w:p w:rsidR="00FF7A45" w:rsidRPr="00F41449" w:rsidRDefault="00FF7A45" w:rsidP="00FF7A45">
      <w:pPr>
        <w:jc w:val="center"/>
        <w:rPr>
          <w:sz w:val="24"/>
          <w:szCs w:val="24"/>
        </w:rPr>
      </w:pPr>
    </w:p>
    <w:p w:rsidR="00FF7A45" w:rsidRDefault="00FF7A45" w:rsidP="00FF7A45">
      <w:pPr>
        <w:jc w:val="center"/>
        <w:rPr>
          <w:sz w:val="24"/>
          <w:szCs w:val="24"/>
        </w:rPr>
      </w:pPr>
    </w:p>
    <w:p w:rsidR="005B60C5" w:rsidRPr="00F41449" w:rsidRDefault="005B60C5" w:rsidP="00FF7A45">
      <w:pPr>
        <w:jc w:val="center"/>
        <w:rPr>
          <w:sz w:val="24"/>
          <w:szCs w:val="24"/>
        </w:rPr>
      </w:pPr>
    </w:p>
    <w:p w:rsidR="00126C5B" w:rsidRPr="00F41449" w:rsidRDefault="00126C5B" w:rsidP="00126C5B">
      <w:pPr>
        <w:rPr>
          <w:sz w:val="24"/>
        </w:rPr>
      </w:pPr>
      <w:r w:rsidRPr="00F41449">
        <w:rPr>
          <w:sz w:val="24"/>
        </w:rPr>
        <w:t>Application of the York Railway Company</w:t>
      </w:r>
      <w:r w:rsidRPr="00F41449">
        <w:rPr>
          <w:sz w:val="24"/>
        </w:rPr>
        <w:tab/>
      </w:r>
      <w:r w:rsidR="0024673F" w:rsidRPr="00F41449">
        <w:rPr>
          <w:sz w:val="24"/>
        </w:rPr>
        <w:tab/>
      </w:r>
      <w:r w:rsidRPr="00F41449">
        <w:rPr>
          <w:sz w:val="24"/>
        </w:rPr>
        <w:t>:</w:t>
      </w:r>
    </w:p>
    <w:p w:rsidR="00126C5B" w:rsidRPr="00F41449" w:rsidRDefault="00126C5B" w:rsidP="00126C5B">
      <w:pPr>
        <w:rPr>
          <w:sz w:val="24"/>
        </w:rPr>
      </w:pPr>
      <w:r w:rsidRPr="00F41449">
        <w:rPr>
          <w:sz w:val="24"/>
        </w:rPr>
        <w:t xml:space="preserve">to </w:t>
      </w:r>
      <w:r w:rsidR="00DF3E37" w:rsidRPr="00F41449">
        <w:rPr>
          <w:sz w:val="24"/>
        </w:rPr>
        <w:t>determine fair and reasonable maintenance</w:t>
      </w:r>
      <w:r w:rsidRPr="00F41449">
        <w:rPr>
          <w:sz w:val="24"/>
        </w:rPr>
        <w:tab/>
        <w:t>:</w:t>
      </w:r>
    </w:p>
    <w:p w:rsidR="00126C5B" w:rsidRPr="00F41449" w:rsidRDefault="00DF3E37" w:rsidP="00126C5B">
      <w:pPr>
        <w:rPr>
          <w:sz w:val="24"/>
        </w:rPr>
      </w:pPr>
      <w:r w:rsidRPr="00F41449">
        <w:rPr>
          <w:sz w:val="24"/>
        </w:rPr>
        <w:t>responsibilities for the warning devices at the</w:t>
      </w:r>
      <w:r w:rsidR="00126C5B" w:rsidRPr="00F41449">
        <w:rPr>
          <w:sz w:val="24"/>
        </w:rPr>
        <w:tab/>
        <w:t>:</w:t>
      </w:r>
      <w:r w:rsidR="00126C5B" w:rsidRPr="00F41449">
        <w:rPr>
          <w:sz w:val="24"/>
        </w:rPr>
        <w:tab/>
      </w:r>
    </w:p>
    <w:p w:rsidR="00126C5B" w:rsidRPr="00F41449" w:rsidRDefault="00DF3E37" w:rsidP="00126C5B">
      <w:pPr>
        <w:rPr>
          <w:sz w:val="24"/>
        </w:rPr>
      </w:pPr>
      <w:r w:rsidRPr="00F41449">
        <w:rPr>
          <w:sz w:val="24"/>
        </w:rPr>
        <w:t>Broadway Street crossings (DOT 540 847 W</w:t>
      </w:r>
      <w:r w:rsidR="00126C5B" w:rsidRPr="00F41449">
        <w:rPr>
          <w:sz w:val="24"/>
        </w:rPr>
        <w:t xml:space="preserve"> </w:t>
      </w:r>
      <w:r w:rsidR="00126C5B" w:rsidRPr="00F41449">
        <w:rPr>
          <w:sz w:val="24"/>
        </w:rPr>
        <w:tab/>
        <w:t>:</w:t>
      </w:r>
      <w:r w:rsidRPr="00F41449">
        <w:rPr>
          <w:sz w:val="24"/>
        </w:rPr>
        <w:tab/>
      </w:r>
      <w:r w:rsidRPr="00F41449">
        <w:rPr>
          <w:sz w:val="24"/>
        </w:rPr>
        <w:tab/>
        <w:t>A-00123148</w:t>
      </w:r>
    </w:p>
    <w:p w:rsidR="00DF3E37" w:rsidRPr="00F41449" w:rsidRDefault="00DF3E37" w:rsidP="00126C5B">
      <w:pPr>
        <w:rPr>
          <w:sz w:val="24"/>
        </w:rPr>
      </w:pPr>
      <w:r w:rsidRPr="00F41449">
        <w:rPr>
          <w:sz w:val="24"/>
        </w:rPr>
        <w:t>and DOT 832 109 N) where York Railway</w:t>
      </w:r>
      <w:r w:rsidRPr="00F41449">
        <w:rPr>
          <w:sz w:val="24"/>
        </w:rPr>
        <w:tab/>
      </w:r>
      <w:r w:rsidR="0024673F" w:rsidRPr="00F41449">
        <w:rPr>
          <w:sz w:val="24"/>
        </w:rPr>
        <w:tab/>
      </w:r>
      <w:r w:rsidRPr="00F41449">
        <w:rPr>
          <w:sz w:val="24"/>
        </w:rPr>
        <w:t>:</w:t>
      </w:r>
    </w:p>
    <w:p w:rsidR="00DF3E37" w:rsidRPr="00F41449" w:rsidRDefault="00DF3E37" w:rsidP="00126C5B">
      <w:pPr>
        <w:rPr>
          <w:sz w:val="24"/>
        </w:rPr>
      </w:pPr>
      <w:r w:rsidRPr="00F41449">
        <w:rPr>
          <w:sz w:val="24"/>
        </w:rPr>
        <w:t xml:space="preserve">Company and CSX Transportation cross said </w:t>
      </w:r>
      <w:r w:rsidRPr="00F41449">
        <w:rPr>
          <w:sz w:val="24"/>
        </w:rPr>
        <w:tab/>
        <w:t>:</w:t>
      </w:r>
    </w:p>
    <w:p w:rsidR="00DF3E37" w:rsidRPr="00F41449" w:rsidRDefault="00DF3E37" w:rsidP="00126C5B">
      <w:pPr>
        <w:rPr>
          <w:sz w:val="24"/>
        </w:rPr>
      </w:pPr>
      <w:r w:rsidRPr="00F41449">
        <w:rPr>
          <w:sz w:val="24"/>
        </w:rPr>
        <w:t xml:space="preserve">roadway in the Borough of Hanover, York </w:t>
      </w:r>
      <w:r w:rsidRPr="00F41449">
        <w:rPr>
          <w:sz w:val="24"/>
        </w:rPr>
        <w:tab/>
      </w:r>
      <w:r w:rsidR="0024673F" w:rsidRPr="00F41449">
        <w:rPr>
          <w:sz w:val="24"/>
        </w:rPr>
        <w:tab/>
      </w:r>
      <w:r w:rsidRPr="00F41449">
        <w:rPr>
          <w:sz w:val="24"/>
        </w:rPr>
        <w:t>:</w:t>
      </w:r>
    </w:p>
    <w:p w:rsidR="00126C5B" w:rsidRPr="00F41449" w:rsidRDefault="00DF3E37" w:rsidP="00126C5B">
      <w:pPr>
        <w:rPr>
          <w:sz w:val="24"/>
        </w:rPr>
      </w:pPr>
      <w:r w:rsidRPr="00F41449">
        <w:rPr>
          <w:sz w:val="24"/>
        </w:rPr>
        <w:t>County, Pa.</w:t>
      </w:r>
      <w:r w:rsidRPr="00F41449">
        <w:rPr>
          <w:sz w:val="24"/>
        </w:rPr>
        <w:tab/>
      </w:r>
      <w:r w:rsidRPr="00F41449">
        <w:rPr>
          <w:sz w:val="24"/>
        </w:rPr>
        <w:tab/>
      </w:r>
      <w:r w:rsidRPr="00F41449">
        <w:rPr>
          <w:sz w:val="24"/>
        </w:rPr>
        <w:tab/>
      </w:r>
      <w:r w:rsidRPr="00F41449">
        <w:rPr>
          <w:sz w:val="24"/>
        </w:rPr>
        <w:tab/>
      </w:r>
      <w:r w:rsidRPr="00F41449">
        <w:rPr>
          <w:sz w:val="24"/>
        </w:rPr>
        <w:tab/>
      </w:r>
      <w:r w:rsidR="00126C5B" w:rsidRPr="00F41449">
        <w:rPr>
          <w:sz w:val="24"/>
        </w:rPr>
        <w:tab/>
        <w:t>:</w:t>
      </w:r>
    </w:p>
    <w:p w:rsidR="00126C5B" w:rsidRPr="00F41449" w:rsidRDefault="00126C5B" w:rsidP="00126C5B">
      <w:pPr>
        <w:rPr>
          <w:sz w:val="24"/>
        </w:rPr>
      </w:pPr>
      <w:r w:rsidRPr="00F41449">
        <w:rPr>
          <w:sz w:val="24"/>
        </w:rPr>
        <w:t xml:space="preserve"> </w:t>
      </w:r>
      <w:r w:rsidRPr="00F41449">
        <w:rPr>
          <w:sz w:val="24"/>
        </w:rPr>
        <w:tab/>
      </w:r>
      <w:r w:rsidRPr="00F41449">
        <w:rPr>
          <w:sz w:val="24"/>
        </w:rPr>
        <w:tab/>
      </w:r>
      <w:r w:rsidRPr="00F41449">
        <w:rPr>
          <w:sz w:val="24"/>
        </w:rPr>
        <w:tab/>
      </w:r>
      <w:r w:rsidRPr="00F41449">
        <w:rPr>
          <w:sz w:val="24"/>
        </w:rPr>
        <w:tab/>
      </w:r>
      <w:r w:rsidRPr="00F41449">
        <w:rPr>
          <w:sz w:val="24"/>
        </w:rPr>
        <w:tab/>
      </w:r>
      <w:r w:rsidRPr="00F41449">
        <w:rPr>
          <w:sz w:val="24"/>
        </w:rPr>
        <w:tab/>
      </w:r>
      <w:r w:rsidR="00DF3E37" w:rsidRPr="00F41449">
        <w:rPr>
          <w:sz w:val="24"/>
        </w:rPr>
        <w:tab/>
      </w:r>
      <w:r w:rsidRPr="00F41449">
        <w:rPr>
          <w:sz w:val="24"/>
        </w:rPr>
        <w:t>:</w:t>
      </w:r>
    </w:p>
    <w:p w:rsidR="00DF3E37" w:rsidRPr="00F41449" w:rsidRDefault="00DF3E37" w:rsidP="00DF3E37">
      <w:pPr>
        <w:rPr>
          <w:sz w:val="24"/>
        </w:rPr>
      </w:pPr>
      <w:r w:rsidRPr="00F41449">
        <w:rPr>
          <w:sz w:val="24"/>
        </w:rPr>
        <w:t>Application of CSX Transportation, Inc</w:t>
      </w:r>
      <w:r w:rsidR="007D296E" w:rsidRPr="00F41449">
        <w:rPr>
          <w:sz w:val="24"/>
        </w:rPr>
        <w:t>.</w:t>
      </w:r>
      <w:r w:rsidR="007D296E" w:rsidRPr="00F41449">
        <w:rPr>
          <w:sz w:val="24"/>
        </w:rPr>
        <w:tab/>
      </w:r>
      <w:r w:rsidRPr="00F41449">
        <w:rPr>
          <w:sz w:val="24"/>
        </w:rPr>
        <w:tab/>
        <w:t>:</w:t>
      </w:r>
    </w:p>
    <w:p w:rsidR="00DF3E37" w:rsidRPr="00F41449" w:rsidRDefault="007D296E" w:rsidP="00DF3E37">
      <w:pPr>
        <w:rPr>
          <w:sz w:val="24"/>
        </w:rPr>
      </w:pPr>
      <w:r w:rsidRPr="00F41449">
        <w:rPr>
          <w:sz w:val="24"/>
        </w:rPr>
        <w:t>for approval to abolish the public crossing</w:t>
      </w:r>
      <w:r w:rsidR="00DF3E37" w:rsidRPr="00F41449">
        <w:rPr>
          <w:sz w:val="24"/>
        </w:rPr>
        <w:tab/>
      </w:r>
      <w:r w:rsidR="0024673F" w:rsidRPr="00F41449">
        <w:rPr>
          <w:sz w:val="24"/>
        </w:rPr>
        <w:tab/>
      </w:r>
      <w:r w:rsidR="00DF3E37" w:rsidRPr="00F41449">
        <w:rPr>
          <w:sz w:val="24"/>
        </w:rPr>
        <w:t>:</w:t>
      </w:r>
    </w:p>
    <w:p w:rsidR="00DF3E37" w:rsidRPr="00F41449" w:rsidRDefault="007D296E" w:rsidP="00DF3E37">
      <w:pPr>
        <w:rPr>
          <w:sz w:val="24"/>
        </w:rPr>
      </w:pPr>
      <w:r w:rsidRPr="00F41449">
        <w:rPr>
          <w:sz w:val="24"/>
        </w:rPr>
        <w:t>(DOT #540847W) where Broadway Street</w:t>
      </w:r>
      <w:r w:rsidR="00DF3E37" w:rsidRPr="00F41449">
        <w:rPr>
          <w:sz w:val="24"/>
        </w:rPr>
        <w:tab/>
      </w:r>
      <w:r w:rsidR="0024673F" w:rsidRPr="00F41449">
        <w:rPr>
          <w:sz w:val="24"/>
        </w:rPr>
        <w:tab/>
      </w:r>
      <w:r w:rsidR="00DF3E37" w:rsidRPr="00F41449">
        <w:rPr>
          <w:sz w:val="24"/>
        </w:rPr>
        <w:t>:</w:t>
      </w:r>
      <w:r w:rsidR="00DF3E37" w:rsidRPr="00F41449">
        <w:rPr>
          <w:sz w:val="24"/>
        </w:rPr>
        <w:tab/>
      </w:r>
    </w:p>
    <w:p w:rsidR="00DF3E37" w:rsidRPr="00F41449" w:rsidRDefault="007D296E" w:rsidP="00DF3E37">
      <w:pPr>
        <w:rPr>
          <w:sz w:val="24"/>
        </w:rPr>
      </w:pPr>
      <w:r w:rsidRPr="00F41449">
        <w:rPr>
          <w:sz w:val="24"/>
        </w:rPr>
        <w:t xml:space="preserve">crosses, at grade, a single track of York </w:t>
      </w:r>
      <w:r w:rsidRPr="00F41449">
        <w:rPr>
          <w:sz w:val="24"/>
        </w:rPr>
        <w:tab/>
      </w:r>
      <w:r w:rsidR="00DF3E37" w:rsidRPr="00F41449">
        <w:rPr>
          <w:sz w:val="24"/>
        </w:rPr>
        <w:tab/>
        <w:t>:</w:t>
      </w:r>
      <w:r w:rsidR="00DF3E37" w:rsidRPr="00F41449">
        <w:rPr>
          <w:sz w:val="24"/>
        </w:rPr>
        <w:tab/>
      </w:r>
      <w:r w:rsidR="00DF3E37" w:rsidRPr="00F41449">
        <w:rPr>
          <w:sz w:val="24"/>
        </w:rPr>
        <w:tab/>
        <w:t>A-</w:t>
      </w:r>
      <w:r w:rsidRPr="00F41449">
        <w:rPr>
          <w:sz w:val="24"/>
        </w:rPr>
        <w:t>2016-2581908</w:t>
      </w:r>
    </w:p>
    <w:p w:rsidR="007D296E" w:rsidRPr="00F41449" w:rsidRDefault="007D296E" w:rsidP="00DF3E37">
      <w:pPr>
        <w:rPr>
          <w:sz w:val="24"/>
        </w:rPr>
      </w:pPr>
      <w:r w:rsidRPr="00F41449">
        <w:rPr>
          <w:sz w:val="24"/>
        </w:rPr>
        <w:t xml:space="preserve">Railway Company </w:t>
      </w:r>
      <w:r w:rsidR="00DF3E37" w:rsidRPr="00F41449">
        <w:rPr>
          <w:sz w:val="24"/>
        </w:rPr>
        <w:t xml:space="preserve">in the Borough of Hanover, </w:t>
      </w:r>
      <w:r w:rsidRPr="00F41449">
        <w:rPr>
          <w:sz w:val="24"/>
        </w:rPr>
        <w:tab/>
        <w:t>:</w:t>
      </w:r>
    </w:p>
    <w:p w:rsidR="00DF3E37" w:rsidRPr="00F41449" w:rsidRDefault="00DF3E37" w:rsidP="00DF3E37">
      <w:pPr>
        <w:rPr>
          <w:sz w:val="24"/>
        </w:rPr>
      </w:pPr>
      <w:r w:rsidRPr="00F41449">
        <w:rPr>
          <w:sz w:val="24"/>
        </w:rPr>
        <w:t>York</w:t>
      </w:r>
      <w:r w:rsidR="007D296E" w:rsidRPr="00F41449">
        <w:rPr>
          <w:sz w:val="24"/>
        </w:rPr>
        <w:t xml:space="preserve"> </w:t>
      </w:r>
      <w:r w:rsidRPr="00F41449">
        <w:rPr>
          <w:sz w:val="24"/>
        </w:rPr>
        <w:t>County</w:t>
      </w:r>
      <w:r w:rsidRPr="00F41449">
        <w:rPr>
          <w:sz w:val="24"/>
        </w:rPr>
        <w:tab/>
      </w:r>
      <w:r w:rsidRPr="00F41449">
        <w:rPr>
          <w:sz w:val="24"/>
        </w:rPr>
        <w:tab/>
      </w:r>
      <w:r w:rsidRPr="00F41449">
        <w:rPr>
          <w:sz w:val="24"/>
        </w:rPr>
        <w:tab/>
      </w:r>
      <w:r w:rsidRPr="00F41449">
        <w:rPr>
          <w:sz w:val="24"/>
        </w:rPr>
        <w:tab/>
      </w:r>
      <w:r w:rsidRPr="00F41449">
        <w:rPr>
          <w:sz w:val="24"/>
        </w:rPr>
        <w:tab/>
      </w:r>
      <w:r w:rsidRPr="00F41449">
        <w:rPr>
          <w:sz w:val="24"/>
        </w:rPr>
        <w:tab/>
        <w:t>:</w:t>
      </w:r>
    </w:p>
    <w:p w:rsidR="00FF7A45" w:rsidRPr="00F41449" w:rsidRDefault="00FF7A45" w:rsidP="00FF7A45">
      <w:pPr>
        <w:jc w:val="both"/>
        <w:rPr>
          <w:sz w:val="24"/>
          <w:szCs w:val="24"/>
        </w:rPr>
      </w:pPr>
    </w:p>
    <w:p w:rsidR="0003534D" w:rsidRPr="00F41449" w:rsidRDefault="0003534D" w:rsidP="005B60C5">
      <w:pPr>
        <w:jc w:val="both"/>
        <w:rPr>
          <w:sz w:val="24"/>
          <w:szCs w:val="24"/>
        </w:rPr>
      </w:pPr>
    </w:p>
    <w:p w:rsidR="00FF7A45" w:rsidRPr="00F41449" w:rsidRDefault="00FF7A45" w:rsidP="00533710">
      <w:pPr>
        <w:spacing w:line="360" w:lineRule="auto"/>
        <w:jc w:val="both"/>
        <w:rPr>
          <w:sz w:val="24"/>
          <w:szCs w:val="24"/>
        </w:rPr>
      </w:pPr>
    </w:p>
    <w:p w:rsidR="00FF7A45" w:rsidRPr="00F41449" w:rsidRDefault="00A6070B" w:rsidP="00533710">
      <w:pPr>
        <w:spacing w:line="360" w:lineRule="auto"/>
        <w:jc w:val="center"/>
        <w:rPr>
          <w:b/>
          <w:sz w:val="24"/>
          <w:szCs w:val="24"/>
          <w:u w:val="single"/>
        </w:rPr>
      </w:pPr>
      <w:r w:rsidRPr="00F41449">
        <w:rPr>
          <w:b/>
          <w:sz w:val="24"/>
          <w:szCs w:val="24"/>
          <w:u w:val="single"/>
        </w:rPr>
        <w:t>ORDER CONSOLIDATING PROCEEDINGS</w:t>
      </w:r>
    </w:p>
    <w:p w:rsidR="00533710" w:rsidRDefault="00533710" w:rsidP="005B60C5">
      <w:pPr>
        <w:ind w:firstLine="1440"/>
        <w:rPr>
          <w:sz w:val="24"/>
          <w:szCs w:val="24"/>
        </w:rPr>
      </w:pPr>
    </w:p>
    <w:p w:rsidR="005B60C5" w:rsidRPr="00F41449" w:rsidRDefault="005B60C5" w:rsidP="005B60C5">
      <w:pPr>
        <w:ind w:firstLine="1440"/>
        <w:rPr>
          <w:sz w:val="24"/>
          <w:szCs w:val="24"/>
        </w:rPr>
      </w:pPr>
    </w:p>
    <w:p w:rsidR="001E1D96" w:rsidRPr="00F41449" w:rsidRDefault="007D296E" w:rsidP="00533710">
      <w:pPr>
        <w:spacing w:line="360" w:lineRule="auto"/>
        <w:ind w:firstLine="1440"/>
        <w:rPr>
          <w:color w:val="000000"/>
          <w:sz w:val="24"/>
          <w:szCs w:val="22"/>
        </w:rPr>
      </w:pPr>
      <w:r w:rsidRPr="00F41449">
        <w:rPr>
          <w:color w:val="000000"/>
          <w:sz w:val="24"/>
          <w:szCs w:val="22"/>
        </w:rPr>
        <w:t xml:space="preserve">On September 27, 2006, York Railway Company (York) filed an application with the Pennsylvania Public Utility Commission (Commission).  </w:t>
      </w:r>
      <w:r w:rsidR="00C957BB" w:rsidRPr="00F41449">
        <w:rPr>
          <w:color w:val="000000"/>
          <w:sz w:val="24"/>
          <w:szCs w:val="22"/>
        </w:rPr>
        <w:t>York’s</w:t>
      </w:r>
      <w:r w:rsidRPr="00F41449">
        <w:rPr>
          <w:color w:val="000000"/>
          <w:sz w:val="24"/>
          <w:szCs w:val="22"/>
        </w:rPr>
        <w:t xml:space="preserve"> application requested that the Commission evaluate and make a fair determination concerning railroad signal maintenance at the at-grade crossings where the facilities of York and CSX Transportation, Inc. (CSX) cross Broadway Street in the Borough of Hanover, York County.</w:t>
      </w:r>
    </w:p>
    <w:p w:rsidR="001E1D96" w:rsidRPr="00F41449" w:rsidRDefault="001E1D96" w:rsidP="00533710">
      <w:pPr>
        <w:spacing w:line="360" w:lineRule="auto"/>
        <w:ind w:firstLine="1440"/>
        <w:rPr>
          <w:color w:val="000000"/>
          <w:sz w:val="24"/>
          <w:szCs w:val="22"/>
        </w:rPr>
      </w:pPr>
    </w:p>
    <w:p w:rsidR="00C957BB" w:rsidRPr="00F41449" w:rsidRDefault="00C957BB" w:rsidP="00533710">
      <w:pPr>
        <w:spacing w:line="360" w:lineRule="auto"/>
        <w:ind w:firstLine="1440"/>
        <w:rPr>
          <w:color w:val="000000"/>
          <w:sz w:val="24"/>
          <w:szCs w:val="22"/>
        </w:rPr>
      </w:pPr>
      <w:r w:rsidRPr="00F41449">
        <w:rPr>
          <w:color w:val="000000"/>
          <w:sz w:val="24"/>
          <w:szCs w:val="22"/>
        </w:rPr>
        <w:t xml:space="preserve">York’s </w:t>
      </w:r>
      <w:r w:rsidR="001E1D96" w:rsidRPr="00F41449">
        <w:rPr>
          <w:color w:val="000000"/>
          <w:sz w:val="24"/>
          <w:szCs w:val="22"/>
        </w:rPr>
        <w:t xml:space="preserve">application asserts that York is responsible for 100% of the grade crossing signal maintenance for CSX’s facilities.  </w:t>
      </w:r>
      <w:proofErr w:type="gramStart"/>
      <w:r w:rsidR="001E1D96" w:rsidRPr="00F41449">
        <w:rPr>
          <w:color w:val="000000"/>
          <w:sz w:val="24"/>
          <w:szCs w:val="22"/>
        </w:rPr>
        <w:t>According to</w:t>
      </w:r>
      <w:proofErr w:type="gramEnd"/>
      <w:r w:rsidR="001E1D96" w:rsidRPr="00F41449">
        <w:rPr>
          <w:color w:val="000000"/>
          <w:sz w:val="24"/>
          <w:szCs w:val="22"/>
        </w:rPr>
        <w:t xml:space="preserve"> </w:t>
      </w:r>
      <w:r w:rsidRPr="00F41449">
        <w:rPr>
          <w:color w:val="000000"/>
          <w:sz w:val="24"/>
          <w:szCs w:val="22"/>
        </w:rPr>
        <w:t>York’s</w:t>
      </w:r>
      <w:r w:rsidR="001E1D96" w:rsidRPr="00F41449">
        <w:rPr>
          <w:color w:val="000000"/>
          <w:sz w:val="24"/>
          <w:szCs w:val="22"/>
        </w:rPr>
        <w:t xml:space="preserve"> application, CSX</w:t>
      </w:r>
      <w:r w:rsidR="0024673F" w:rsidRPr="00F41449">
        <w:rPr>
          <w:color w:val="000000"/>
          <w:sz w:val="24"/>
          <w:szCs w:val="22"/>
        </w:rPr>
        <w:t>’s trains</w:t>
      </w:r>
      <w:r w:rsidR="001E1D96" w:rsidRPr="00F41449">
        <w:rPr>
          <w:color w:val="000000"/>
          <w:sz w:val="24"/>
          <w:szCs w:val="22"/>
        </w:rPr>
        <w:t xml:space="preserve"> use the crossing more frequently than York</w:t>
      </w:r>
      <w:r w:rsidR="0024673F" w:rsidRPr="00F41449">
        <w:rPr>
          <w:color w:val="000000"/>
          <w:sz w:val="24"/>
          <w:szCs w:val="22"/>
        </w:rPr>
        <w:t>’s</w:t>
      </w:r>
      <w:r w:rsidR="001E1D96" w:rsidRPr="00F41449">
        <w:rPr>
          <w:color w:val="000000"/>
          <w:sz w:val="24"/>
          <w:szCs w:val="22"/>
        </w:rPr>
        <w:t xml:space="preserve">.  </w:t>
      </w:r>
      <w:r w:rsidRPr="00F41449">
        <w:rPr>
          <w:color w:val="000000"/>
          <w:sz w:val="24"/>
          <w:szCs w:val="22"/>
        </w:rPr>
        <w:t>York’s</w:t>
      </w:r>
      <w:r w:rsidR="001E1D96" w:rsidRPr="00F41449">
        <w:rPr>
          <w:color w:val="000000"/>
          <w:sz w:val="24"/>
          <w:szCs w:val="22"/>
        </w:rPr>
        <w:t xml:space="preserve"> application requests that the Commission</w:t>
      </w:r>
      <w:r w:rsidRPr="00F41449">
        <w:rPr>
          <w:color w:val="000000"/>
          <w:sz w:val="24"/>
          <w:szCs w:val="22"/>
        </w:rPr>
        <w:t xml:space="preserve"> order a more equitable allocation of maintenance responsibilities. </w:t>
      </w:r>
    </w:p>
    <w:p w:rsidR="00C957BB" w:rsidRPr="00F41449" w:rsidRDefault="00C957BB" w:rsidP="00533710">
      <w:pPr>
        <w:spacing w:line="360" w:lineRule="auto"/>
        <w:ind w:firstLine="1440"/>
        <w:rPr>
          <w:color w:val="000000"/>
          <w:sz w:val="24"/>
          <w:szCs w:val="22"/>
        </w:rPr>
      </w:pPr>
    </w:p>
    <w:p w:rsidR="005B60C5" w:rsidRDefault="00C957BB" w:rsidP="00FF7A45">
      <w:pPr>
        <w:spacing w:line="360" w:lineRule="auto"/>
        <w:ind w:firstLine="1440"/>
        <w:rPr>
          <w:sz w:val="24"/>
          <w:szCs w:val="24"/>
        </w:rPr>
        <w:sectPr w:rsidR="005B60C5">
          <w:footerReference w:type="default" r:id="rId8"/>
          <w:pgSz w:w="12240" w:h="15840"/>
          <w:pgMar w:top="1440" w:right="1440" w:bottom="1440" w:left="1440" w:header="720" w:footer="720" w:gutter="0"/>
          <w:cols w:space="720"/>
          <w:docGrid w:linePitch="360"/>
        </w:sectPr>
      </w:pPr>
      <w:r w:rsidRPr="00F41449">
        <w:rPr>
          <w:sz w:val="24"/>
          <w:szCs w:val="24"/>
        </w:rPr>
        <w:t>On December 29, 2016, CSX filed an application with the Commission.  CSX’s application request</w:t>
      </w:r>
      <w:r w:rsidR="00F41449" w:rsidRPr="00F41449">
        <w:rPr>
          <w:sz w:val="24"/>
          <w:szCs w:val="24"/>
        </w:rPr>
        <w:t>s</w:t>
      </w:r>
      <w:r w:rsidRPr="00F41449">
        <w:rPr>
          <w:sz w:val="24"/>
          <w:szCs w:val="24"/>
        </w:rPr>
        <w:t xml:space="preserve"> that the Commission abolish York’s crossing.</w:t>
      </w:r>
      <w:r w:rsidR="005B60C5">
        <w:rPr>
          <w:sz w:val="24"/>
          <w:szCs w:val="24"/>
        </w:rPr>
        <w:t xml:space="preserve"> </w:t>
      </w:r>
    </w:p>
    <w:p w:rsidR="008574FF" w:rsidRPr="00F41449" w:rsidRDefault="00DD1A00" w:rsidP="00FF7A45">
      <w:pPr>
        <w:spacing w:line="360" w:lineRule="auto"/>
        <w:ind w:firstLine="1440"/>
        <w:rPr>
          <w:sz w:val="24"/>
          <w:szCs w:val="24"/>
        </w:rPr>
      </w:pPr>
      <w:r w:rsidRPr="00F41449">
        <w:rPr>
          <w:sz w:val="24"/>
          <w:szCs w:val="24"/>
        </w:rPr>
        <w:lastRenderedPageBreak/>
        <w:t xml:space="preserve">CSX’s application asserts that York has taken its crossing out of service by removing a rail and disabling its signals.  Since York disabled its signals, CSX has instituted stop and flag procedures for trains using its crossing.  </w:t>
      </w:r>
      <w:proofErr w:type="gramStart"/>
      <w:r w:rsidRPr="00F41449">
        <w:rPr>
          <w:sz w:val="24"/>
          <w:szCs w:val="24"/>
        </w:rPr>
        <w:t>According to</w:t>
      </w:r>
      <w:proofErr w:type="gramEnd"/>
      <w:r w:rsidRPr="00F41449">
        <w:rPr>
          <w:sz w:val="24"/>
          <w:szCs w:val="24"/>
        </w:rPr>
        <w:t xml:space="preserve"> CSX’s application, it has received numerous complaints concerning children handling the </w:t>
      </w:r>
      <w:proofErr w:type="spellStart"/>
      <w:r w:rsidRPr="00F41449">
        <w:rPr>
          <w:sz w:val="24"/>
          <w:szCs w:val="24"/>
        </w:rPr>
        <w:t>fusees</w:t>
      </w:r>
      <w:proofErr w:type="spellEnd"/>
      <w:r w:rsidRPr="00F41449">
        <w:rPr>
          <w:sz w:val="24"/>
          <w:szCs w:val="24"/>
        </w:rPr>
        <w:t xml:space="preserve"> after the stop and flag procedure is completed.</w:t>
      </w:r>
    </w:p>
    <w:p w:rsidR="008574FF" w:rsidRPr="00F41449" w:rsidRDefault="008574FF" w:rsidP="00FF7A45">
      <w:pPr>
        <w:spacing w:line="360" w:lineRule="auto"/>
        <w:ind w:firstLine="1440"/>
        <w:rPr>
          <w:sz w:val="24"/>
          <w:szCs w:val="24"/>
        </w:rPr>
      </w:pPr>
    </w:p>
    <w:p w:rsidR="00DF4A1A" w:rsidRPr="00F41449" w:rsidRDefault="008574FF" w:rsidP="00FF7A45">
      <w:pPr>
        <w:spacing w:line="360" w:lineRule="auto"/>
        <w:ind w:firstLine="1440"/>
        <w:rPr>
          <w:sz w:val="24"/>
          <w:szCs w:val="24"/>
        </w:rPr>
      </w:pPr>
      <w:proofErr w:type="gramStart"/>
      <w:r w:rsidRPr="00F41449">
        <w:rPr>
          <w:sz w:val="24"/>
          <w:szCs w:val="24"/>
        </w:rPr>
        <w:t>In order to</w:t>
      </w:r>
      <w:proofErr w:type="gramEnd"/>
      <w:r w:rsidRPr="00F41449">
        <w:rPr>
          <w:sz w:val="24"/>
          <w:szCs w:val="24"/>
        </w:rPr>
        <w:t xml:space="preserve"> resolve the issues at these crossings, CSX’s </w:t>
      </w:r>
      <w:r w:rsidR="00DD1A00" w:rsidRPr="00F41449">
        <w:rPr>
          <w:sz w:val="24"/>
          <w:szCs w:val="24"/>
        </w:rPr>
        <w:t>application</w:t>
      </w:r>
      <w:r w:rsidRPr="00F41449">
        <w:rPr>
          <w:sz w:val="24"/>
          <w:szCs w:val="24"/>
        </w:rPr>
        <w:t xml:space="preserve"> requests that the Commission order York to abolish its crossing by removing its rails.  CSX’s application states that after York removes its rails, CSX will reposition its signal mast and assume maintenance responsibilities for the signals.</w:t>
      </w:r>
    </w:p>
    <w:p w:rsidR="00FB7939" w:rsidRPr="00F41449" w:rsidRDefault="00FB7939" w:rsidP="00FF7A45">
      <w:pPr>
        <w:spacing w:line="360" w:lineRule="auto"/>
        <w:ind w:firstLine="1440"/>
        <w:rPr>
          <w:sz w:val="24"/>
          <w:szCs w:val="24"/>
        </w:rPr>
      </w:pPr>
    </w:p>
    <w:p w:rsidR="00FB7939" w:rsidRPr="00F41449" w:rsidRDefault="00FB7939" w:rsidP="00FB7939">
      <w:pPr>
        <w:pStyle w:val="Style"/>
        <w:spacing w:line="360" w:lineRule="auto"/>
        <w:ind w:left="101" w:right="-29" w:firstLine="1353"/>
        <w:rPr>
          <w:color w:val="000000"/>
          <w:szCs w:val="23"/>
        </w:rPr>
      </w:pPr>
      <w:r w:rsidRPr="00F41449">
        <w:rPr>
          <w:color w:val="000000"/>
          <w:szCs w:val="23"/>
        </w:rPr>
        <w:t xml:space="preserve">By notice dated June 14, 2017, the Commission scheduled a telephonic prehearing conference for York’s application on September 7, 2017 and assigned the case to me.  </w:t>
      </w:r>
    </w:p>
    <w:p w:rsidR="00FB7939" w:rsidRPr="00F41449" w:rsidRDefault="00FB7939" w:rsidP="00FB7939">
      <w:pPr>
        <w:pStyle w:val="Style"/>
        <w:spacing w:line="360" w:lineRule="auto"/>
        <w:ind w:left="101" w:right="-29" w:firstLine="1353"/>
        <w:rPr>
          <w:color w:val="000000"/>
          <w:szCs w:val="23"/>
        </w:rPr>
      </w:pPr>
    </w:p>
    <w:p w:rsidR="00FB7939" w:rsidRPr="00F41449" w:rsidRDefault="00FB7939" w:rsidP="00FB7939">
      <w:pPr>
        <w:pStyle w:val="Style"/>
        <w:spacing w:line="360" w:lineRule="auto"/>
        <w:ind w:left="101" w:right="-29" w:firstLine="1353"/>
        <w:rPr>
          <w:color w:val="000000"/>
          <w:szCs w:val="23"/>
        </w:rPr>
      </w:pPr>
      <w:r w:rsidRPr="00F41449">
        <w:rPr>
          <w:color w:val="000000"/>
          <w:szCs w:val="23"/>
        </w:rPr>
        <w:t xml:space="preserve">By notice dated June 29, 2017, the Commission rescheduled the telephonic prehearing conference for York’s application </w:t>
      </w:r>
      <w:r w:rsidR="0024673F" w:rsidRPr="00F41449">
        <w:rPr>
          <w:color w:val="000000"/>
          <w:szCs w:val="23"/>
        </w:rPr>
        <w:t>to</w:t>
      </w:r>
      <w:r w:rsidRPr="00F41449">
        <w:rPr>
          <w:color w:val="000000"/>
          <w:szCs w:val="23"/>
        </w:rPr>
        <w:t xml:space="preserve"> September 12, 2017.  I issued a prehearing conference order dated July 5, 2017</w:t>
      </w:r>
      <w:r w:rsidR="0024673F" w:rsidRPr="00F41449">
        <w:rPr>
          <w:color w:val="000000"/>
          <w:szCs w:val="23"/>
        </w:rPr>
        <w:t>,</w:t>
      </w:r>
      <w:r w:rsidR="004C30B0" w:rsidRPr="00F41449">
        <w:t xml:space="preserve"> setting forth the procedural matters to be addressed at the telephonic prehearing conference.</w:t>
      </w:r>
    </w:p>
    <w:p w:rsidR="008574FF" w:rsidRPr="00F41449" w:rsidRDefault="008574FF" w:rsidP="00FF7A45">
      <w:pPr>
        <w:spacing w:line="360" w:lineRule="auto"/>
        <w:ind w:firstLine="1440"/>
        <w:rPr>
          <w:sz w:val="24"/>
          <w:szCs w:val="24"/>
        </w:rPr>
      </w:pPr>
    </w:p>
    <w:p w:rsidR="005573E7" w:rsidRPr="00F41449" w:rsidRDefault="00B822D8" w:rsidP="008574FF">
      <w:pPr>
        <w:pStyle w:val="ParaTab1"/>
        <w:tabs>
          <w:tab w:val="left" w:pos="2070"/>
        </w:tabs>
        <w:spacing w:line="360" w:lineRule="auto"/>
        <w:rPr>
          <w:rFonts w:ascii="Times New Roman" w:hAnsi="Times New Roman"/>
        </w:rPr>
      </w:pPr>
      <w:r w:rsidRPr="00F41449">
        <w:rPr>
          <w:rFonts w:ascii="Times New Roman" w:hAnsi="Times New Roman"/>
        </w:rPr>
        <w:t xml:space="preserve">On </w:t>
      </w:r>
      <w:r w:rsidR="008574FF" w:rsidRPr="00F41449">
        <w:rPr>
          <w:rFonts w:ascii="Times New Roman" w:hAnsi="Times New Roman"/>
        </w:rPr>
        <w:t xml:space="preserve">July 24, 2017 CSX </w:t>
      </w:r>
      <w:r w:rsidR="00B32C73" w:rsidRPr="00F41449">
        <w:rPr>
          <w:rFonts w:ascii="Times New Roman" w:hAnsi="Times New Roman"/>
        </w:rPr>
        <w:t xml:space="preserve">filed a motion to consolidate the two </w:t>
      </w:r>
      <w:r w:rsidR="001A09E1" w:rsidRPr="00F41449">
        <w:rPr>
          <w:rFonts w:ascii="Times New Roman" w:hAnsi="Times New Roman"/>
        </w:rPr>
        <w:t>applications</w:t>
      </w:r>
      <w:r w:rsidR="00E149DB" w:rsidRPr="00F41449">
        <w:rPr>
          <w:rFonts w:ascii="Times New Roman" w:hAnsi="Times New Roman"/>
        </w:rPr>
        <w:t xml:space="preserve">, pursuant to 52 </w:t>
      </w:r>
      <w:proofErr w:type="spellStart"/>
      <w:proofErr w:type="gramStart"/>
      <w:r w:rsidR="00E149DB" w:rsidRPr="00F41449">
        <w:rPr>
          <w:rFonts w:ascii="Times New Roman" w:hAnsi="Times New Roman"/>
        </w:rPr>
        <w:t>Pa.Code</w:t>
      </w:r>
      <w:proofErr w:type="spellEnd"/>
      <w:proofErr w:type="gramEnd"/>
      <w:r w:rsidR="00E149DB" w:rsidRPr="00F41449">
        <w:rPr>
          <w:rFonts w:ascii="Times New Roman" w:hAnsi="Times New Roman"/>
        </w:rPr>
        <w:t xml:space="preserve"> § 5.81(a)</w:t>
      </w:r>
      <w:r w:rsidR="00B32C73" w:rsidRPr="00F41449">
        <w:rPr>
          <w:rFonts w:ascii="Times New Roman" w:hAnsi="Times New Roman"/>
        </w:rPr>
        <w:t xml:space="preserve">.  The motion alleges that the two </w:t>
      </w:r>
      <w:r w:rsidR="008574FF" w:rsidRPr="00F41449">
        <w:rPr>
          <w:rFonts w:ascii="Times New Roman" w:hAnsi="Times New Roman"/>
        </w:rPr>
        <w:t xml:space="preserve">applications </w:t>
      </w:r>
      <w:r w:rsidR="00B32C73" w:rsidRPr="00F41449">
        <w:rPr>
          <w:rFonts w:ascii="Times New Roman" w:hAnsi="Times New Roman"/>
        </w:rPr>
        <w:t xml:space="preserve">involve </w:t>
      </w:r>
      <w:r w:rsidR="008574FF" w:rsidRPr="00F41449">
        <w:rPr>
          <w:rFonts w:ascii="Times New Roman" w:hAnsi="Times New Roman"/>
        </w:rPr>
        <w:t>common issues of law and fact.</w:t>
      </w:r>
      <w:r w:rsidR="008854A4" w:rsidRPr="00F41449">
        <w:rPr>
          <w:rFonts w:ascii="Times New Roman" w:hAnsi="Times New Roman"/>
        </w:rPr>
        <w:t xml:space="preserve">  The motion requests that the Commission enter an order consolidating the </w:t>
      </w:r>
      <w:r w:rsidR="00883EBB" w:rsidRPr="00F41449">
        <w:rPr>
          <w:rFonts w:ascii="Times New Roman" w:hAnsi="Times New Roman"/>
        </w:rPr>
        <w:t xml:space="preserve">two </w:t>
      </w:r>
      <w:r w:rsidR="008574FF" w:rsidRPr="00F41449">
        <w:rPr>
          <w:rFonts w:ascii="Times New Roman" w:hAnsi="Times New Roman"/>
        </w:rPr>
        <w:t>application</w:t>
      </w:r>
      <w:r w:rsidR="00883EBB" w:rsidRPr="00F41449">
        <w:rPr>
          <w:rFonts w:ascii="Times New Roman" w:hAnsi="Times New Roman"/>
        </w:rPr>
        <w:t>s.</w:t>
      </w:r>
    </w:p>
    <w:p w:rsidR="00883EBB" w:rsidRPr="00F41449" w:rsidRDefault="00883EBB" w:rsidP="00883EBB">
      <w:pPr>
        <w:spacing w:line="360" w:lineRule="auto"/>
        <w:ind w:firstLine="1440"/>
        <w:rPr>
          <w:sz w:val="24"/>
          <w:szCs w:val="24"/>
        </w:rPr>
      </w:pPr>
    </w:p>
    <w:p w:rsidR="00883EBB" w:rsidRPr="00F41449" w:rsidRDefault="000C5DE3" w:rsidP="00883EBB">
      <w:pPr>
        <w:spacing w:line="360" w:lineRule="auto"/>
        <w:ind w:firstLine="1440"/>
        <w:rPr>
          <w:sz w:val="24"/>
          <w:szCs w:val="24"/>
        </w:rPr>
      </w:pPr>
      <w:r w:rsidRPr="00F41449">
        <w:rPr>
          <w:sz w:val="24"/>
          <w:szCs w:val="24"/>
        </w:rPr>
        <w:t xml:space="preserve">As of the date of this order, </w:t>
      </w:r>
      <w:r w:rsidR="004C30B0" w:rsidRPr="00F41449">
        <w:rPr>
          <w:sz w:val="24"/>
          <w:szCs w:val="24"/>
        </w:rPr>
        <w:t xml:space="preserve">none of the parties to either proceeding </w:t>
      </w:r>
      <w:r w:rsidRPr="00F41449">
        <w:rPr>
          <w:sz w:val="24"/>
          <w:szCs w:val="24"/>
        </w:rPr>
        <w:t xml:space="preserve">has filed an answer to </w:t>
      </w:r>
      <w:r w:rsidR="004C30B0" w:rsidRPr="00F41449">
        <w:rPr>
          <w:sz w:val="24"/>
          <w:szCs w:val="24"/>
        </w:rPr>
        <w:t>CSX’s</w:t>
      </w:r>
      <w:r w:rsidRPr="00F41449">
        <w:rPr>
          <w:sz w:val="24"/>
          <w:szCs w:val="24"/>
        </w:rPr>
        <w:t xml:space="preserve"> motion to consolidate.  </w:t>
      </w:r>
      <w:r w:rsidR="00F41449" w:rsidRPr="00F41449">
        <w:rPr>
          <w:sz w:val="24"/>
          <w:szCs w:val="24"/>
        </w:rPr>
        <w:t xml:space="preserve">At the September 12, 2017 prehearing conference, none of the parties present objected to CSX’s motion.  </w:t>
      </w:r>
      <w:r w:rsidR="00C90EF5" w:rsidRPr="00F41449">
        <w:rPr>
          <w:sz w:val="24"/>
          <w:szCs w:val="24"/>
        </w:rPr>
        <w:t>The motion to consolidate is ready for decision.</w:t>
      </w:r>
      <w:r w:rsidR="00883EBB" w:rsidRPr="00F41449">
        <w:rPr>
          <w:sz w:val="24"/>
          <w:szCs w:val="24"/>
        </w:rPr>
        <w:t xml:space="preserve">  For the reasons set forth below, I will grant the motion.</w:t>
      </w:r>
    </w:p>
    <w:p w:rsidR="005573E7" w:rsidRPr="00F41449" w:rsidRDefault="005573E7" w:rsidP="00FF7A45">
      <w:pPr>
        <w:spacing w:line="360" w:lineRule="auto"/>
        <w:ind w:firstLine="1440"/>
        <w:rPr>
          <w:sz w:val="24"/>
          <w:szCs w:val="24"/>
        </w:rPr>
      </w:pPr>
    </w:p>
    <w:p w:rsidR="005573E7" w:rsidRPr="00F41449" w:rsidRDefault="005573E7" w:rsidP="00FF7A45">
      <w:pPr>
        <w:spacing w:line="360" w:lineRule="auto"/>
        <w:ind w:firstLine="1440"/>
        <w:rPr>
          <w:sz w:val="24"/>
          <w:szCs w:val="24"/>
        </w:rPr>
      </w:pPr>
      <w:r w:rsidRPr="00F41449">
        <w:rPr>
          <w:sz w:val="24"/>
          <w:szCs w:val="24"/>
        </w:rPr>
        <w:t xml:space="preserve">The Commission’s regulations pertaining to </w:t>
      </w:r>
      <w:r w:rsidR="00883EBB" w:rsidRPr="00F41449">
        <w:rPr>
          <w:sz w:val="24"/>
          <w:szCs w:val="24"/>
        </w:rPr>
        <w:t>c</w:t>
      </w:r>
      <w:r w:rsidRPr="00F41449">
        <w:rPr>
          <w:sz w:val="24"/>
          <w:szCs w:val="24"/>
        </w:rPr>
        <w:t>onsolidation appear at 52 Pa. Code § 5.81, and state in relevant part:</w:t>
      </w:r>
    </w:p>
    <w:p w:rsidR="00116B43" w:rsidRPr="00F41449" w:rsidRDefault="00116B43" w:rsidP="00B20E68">
      <w:pPr>
        <w:ind w:left="720" w:firstLine="720"/>
        <w:rPr>
          <w:color w:val="000000"/>
          <w:sz w:val="24"/>
          <w:szCs w:val="24"/>
        </w:rPr>
      </w:pPr>
      <w:r w:rsidRPr="00F41449">
        <w:rPr>
          <w:b/>
          <w:color w:val="000000"/>
          <w:sz w:val="24"/>
          <w:szCs w:val="24"/>
        </w:rPr>
        <w:t>§ 5.81. Consolidation</w:t>
      </w:r>
      <w:r w:rsidRPr="00F41449">
        <w:rPr>
          <w:color w:val="000000"/>
          <w:sz w:val="24"/>
          <w:szCs w:val="24"/>
        </w:rPr>
        <w:t>.</w:t>
      </w:r>
    </w:p>
    <w:p w:rsidR="00116B43" w:rsidRPr="00F41449" w:rsidRDefault="00116B43" w:rsidP="00B20E68">
      <w:pPr>
        <w:ind w:left="1440"/>
        <w:rPr>
          <w:color w:val="000000"/>
          <w:sz w:val="24"/>
          <w:szCs w:val="24"/>
        </w:rPr>
      </w:pPr>
      <w:r w:rsidRPr="00F41449">
        <w:rPr>
          <w:color w:val="000000"/>
          <w:sz w:val="24"/>
          <w:szCs w:val="24"/>
        </w:rPr>
        <w:lastRenderedPageBreak/>
        <w:br/>
      </w:r>
      <w:bookmarkStart w:id="0" w:name="IN;1"/>
      <w:bookmarkStart w:id="1" w:name="IN;2"/>
      <w:bookmarkEnd w:id="0"/>
      <w:bookmarkEnd w:id="1"/>
      <w:r w:rsidRPr="00F41449">
        <w:rPr>
          <w:color w:val="000000"/>
          <w:sz w:val="24"/>
          <w:szCs w:val="24"/>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FB10E3" w:rsidRPr="00F41449" w:rsidRDefault="00FB10E3" w:rsidP="00FB10E3">
      <w:pPr>
        <w:spacing w:line="360" w:lineRule="auto"/>
        <w:ind w:left="1440"/>
        <w:rPr>
          <w:color w:val="000000"/>
          <w:sz w:val="24"/>
          <w:szCs w:val="24"/>
        </w:rPr>
      </w:pPr>
    </w:p>
    <w:p w:rsidR="00173C54" w:rsidRPr="00F41449" w:rsidRDefault="005F6906" w:rsidP="00FB10E3">
      <w:pPr>
        <w:spacing w:line="360" w:lineRule="auto"/>
        <w:ind w:firstLine="1440"/>
        <w:rPr>
          <w:color w:val="000000"/>
          <w:sz w:val="24"/>
          <w:szCs w:val="24"/>
        </w:rPr>
      </w:pPr>
      <w:r w:rsidRPr="00F41449">
        <w:rPr>
          <w:color w:val="000000"/>
          <w:sz w:val="24"/>
          <w:szCs w:val="24"/>
        </w:rPr>
        <w:t>Whether to consolidate cases</w:t>
      </w:r>
      <w:r w:rsidR="00173C54" w:rsidRPr="00F41449">
        <w:rPr>
          <w:color w:val="000000"/>
          <w:sz w:val="24"/>
          <w:szCs w:val="24"/>
        </w:rPr>
        <w:t xml:space="preserve"> is left to the sound discretion of the Commission or the presiding officer.</w:t>
      </w:r>
    </w:p>
    <w:p w:rsidR="00173C54" w:rsidRPr="00F41449" w:rsidRDefault="00173C54" w:rsidP="00116B43">
      <w:pPr>
        <w:spacing w:line="360" w:lineRule="auto"/>
        <w:ind w:firstLine="1440"/>
        <w:rPr>
          <w:color w:val="000000"/>
          <w:sz w:val="24"/>
          <w:szCs w:val="24"/>
        </w:rPr>
      </w:pPr>
    </w:p>
    <w:p w:rsidR="00EE3455" w:rsidRPr="00F41449" w:rsidRDefault="005F6906" w:rsidP="00116B43">
      <w:pPr>
        <w:spacing w:line="360" w:lineRule="auto"/>
        <w:ind w:firstLine="1440"/>
        <w:rPr>
          <w:color w:val="000000"/>
          <w:sz w:val="24"/>
          <w:szCs w:val="24"/>
        </w:rPr>
      </w:pPr>
      <w:r w:rsidRPr="00F41449">
        <w:rPr>
          <w:color w:val="000000"/>
          <w:sz w:val="24"/>
          <w:szCs w:val="24"/>
        </w:rPr>
        <w:t xml:space="preserve">The Commission or presiding officer </w:t>
      </w:r>
      <w:r w:rsidR="00173C54" w:rsidRPr="00F41449">
        <w:rPr>
          <w:color w:val="000000"/>
          <w:sz w:val="24"/>
          <w:szCs w:val="24"/>
        </w:rPr>
        <w:t xml:space="preserve">have </w:t>
      </w:r>
      <w:r w:rsidR="00EE3455" w:rsidRPr="00F41449">
        <w:rPr>
          <w:color w:val="000000"/>
          <w:sz w:val="24"/>
          <w:szCs w:val="24"/>
        </w:rPr>
        <w:t xml:space="preserve">consolidated </w:t>
      </w:r>
      <w:r w:rsidRPr="00F41449">
        <w:rPr>
          <w:color w:val="000000"/>
          <w:sz w:val="24"/>
          <w:szCs w:val="24"/>
        </w:rPr>
        <w:t xml:space="preserve">cases </w:t>
      </w:r>
      <w:r w:rsidR="00EE3455" w:rsidRPr="00F41449">
        <w:rPr>
          <w:color w:val="000000"/>
          <w:sz w:val="24"/>
          <w:szCs w:val="24"/>
        </w:rPr>
        <w:t xml:space="preserve">for adjudication; </w:t>
      </w:r>
      <w:r w:rsidR="00EE3455" w:rsidRPr="00F41449">
        <w:rPr>
          <w:color w:val="000000"/>
          <w:sz w:val="24"/>
          <w:szCs w:val="24"/>
          <w:u w:val="single"/>
        </w:rPr>
        <w:t>Re</w:t>
      </w:r>
      <w:r w:rsidR="005109EC" w:rsidRPr="00F41449">
        <w:rPr>
          <w:color w:val="000000"/>
          <w:sz w:val="24"/>
          <w:szCs w:val="24"/>
          <w:u w:val="single"/>
        </w:rPr>
        <w:t>:</w:t>
      </w:r>
      <w:r w:rsidR="00EE3455" w:rsidRPr="00F41449">
        <w:rPr>
          <w:color w:val="000000"/>
          <w:sz w:val="24"/>
          <w:szCs w:val="24"/>
          <w:u w:val="single"/>
        </w:rPr>
        <w:t xml:space="preserve"> Middletown </w:t>
      </w:r>
      <w:r w:rsidR="00855529" w:rsidRPr="00F41449">
        <w:rPr>
          <w:color w:val="000000"/>
          <w:sz w:val="24"/>
          <w:szCs w:val="24"/>
          <w:u w:val="single"/>
        </w:rPr>
        <w:t>T</w:t>
      </w:r>
      <w:r w:rsidR="00EE3455" w:rsidRPr="00F41449">
        <w:rPr>
          <w:color w:val="000000"/>
          <w:sz w:val="24"/>
          <w:szCs w:val="24"/>
          <w:u w:val="single"/>
        </w:rPr>
        <w:t>axi Company</w:t>
      </w:r>
      <w:r w:rsidR="00EE3455" w:rsidRPr="00F41449">
        <w:rPr>
          <w:color w:val="000000"/>
          <w:sz w:val="24"/>
          <w:szCs w:val="24"/>
        </w:rPr>
        <w:t>, 50 P</w:t>
      </w:r>
      <w:r w:rsidR="00925C70" w:rsidRPr="00F41449">
        <w:rPr>
          <w:color w:val="000000"/>
          <w:sz w:val="24"/>
          <w:szCs w:val="24"/>
        </w:rPr>
        <w:t>a.</w:t>
      </w:r>
      <w:r w:rsidR="00EE3455" w:rsidRPr="00F41449">
        <w:rPr>
          <w:color w:val="000000"/>
          <w:sz w:val="24"/>
          <w:szCs w:val="24"/>
        </w:rPr>
        <w:t xml:space="preserve"> PUC 263 (1976), for hearing; </w:t>
      </w:r>
      <w:r w:rsidR="00EE3455" w:rsidRPr="00F41449">
        <w:rPr>
          <w:color w:val="000000"/>
          <w:sz w:val="24"/>
          <w:szCs w:val="24"/>
          <w:u w:val="single"/>
        </w:rPr>
        <w:t xml:space="preserve">City of York v. York </w:t>
      </w:r>
      <w:r w:rsidR="00855529" w:rsidRPr="00F41449">
        <w:rPr>
          <w:color w:val="000000"/>
          <w:sz w:val="24"/>
          <w:szCs w:val="24"/>
          <w:u w:val="single"/>
        </w:rPr>
        <w:t>T</w:t>
      </w:r>
      <w:r w:rsidR="00EE3455" w:rsidRPr="00F41449">
        <w:rPr>
          <w:color w:val="000000"/>
          <w:sz w:val="24"/>
          <w:szCs w:val="24"/>
          <w:u w:val="single"/>
        </w:rPr>
        <w:t>elephone and Telegraph Co</w:t>
      </w:r>
      <w:r w:rsidR="00EE3455" w:rsidRPr="00F41449">
        <w:rPr>
          <w:color w:val="000000"/>
          <w:sz w:val="24"/>
          <w:szCs w:val="24"/>
        </w:rPr>
        <w:t>., 43 Pa</w:t>
      </w:r>
      <w:r w:rsidR="00925C70" w:rsidRPr="00F41449">
        <w:rPr>
          <w:color w:val="000000"/>
          <w:sz w:val="24"/>
          <w:szCs w:val="24"/>
        </w:rPr>
        <w:t>.</w:t>
      </w:r>
      <w:r w:rsidR="00EE3455" w:rsidRPr="00F41449">
        <w:rPr>
          <w:color w:val="000000"/>
          <w:sz w:val="24"/>
          <w:szCs w:val="24"/>
        </w:rPr>
        <w:t xml:space="preserve"> PUC 240 (1967), </w:t>
      </w:r>
      <w:r w:rsidR="005109EC" w:rsidRPr="00F41449">
        <w:rPr>
          <w:color w:val="000000"/>
          <w:sz w:val="24"/>
          <w:szCs w:val="24"/>
        </w:rPr>
        <w:t xml:space="preserve">and </w:t>
      </w:r>
      <w:r w:rsidR="00EE3455" w:rsidRPr="00F41449">
        <w:rPr>
          <w:color w:val="000000"/>
          <w:sz w:val="24"/>
          <w:szCs w:val="24"/>
        </w:rPr>
        <w:t xml:space="preserve">for briefing; </w:t>
      </w:r>
      <w:proofErr w:type="spellStart"/>
      <w:r w:rsidR="00EE3455" w:rsidRPr="00F41449">
        <w:rPr>
          <w:color w:val="000000"/>
          <w:sz w:val="24"/>
          <w:szCs w:val="24"/>
          <w:u w:val="single"/>
        </w:rPr>
        <w:t>Clepper</w:t>
      </w:r>
      <w:proofErr w:type="spellEnd"/>
      <w:r w:rsidR="00EE3455" w:rsidRPr="00F41449">
        <w:rPr>
          <w:color w:val="000000"/>
          <w:sz w:val="24"/>
          <w:szCs w:val="24"/>
          <w:u w:val="single"/>
        </w:rPr>
        <w:t xml:space="preserve"> </w:t>
      </w:r>
      <w:r w:rsidR="00855529" w:rsidRPr="00F41449">
        <w:rPr>
          <w:color w:val="000000"/>
          <w:sz w:val="24"/>
          <w:szCs w:val="24"/>
          <w:u w:val="single"/>
        </w:rPr>
        <w:t>F</w:t>
      </w:r>
      <w:r w:rsidR="00EE3455" w:rsidRPr="00F41449">
        <w:rPr>
          <w:color w:val="000000"/>
          <w:sz w:val="24"/>
          <w:szCs w:val="24"/>
          <w:u w:val="single"/>
        </w:rPr>
        <w:t>arms, Inc. v. Grantham Water Co</w:t>
      </w:r>
      <w:r w:rsidR="00EE3455" w:rsidRPr="00F41449">
        <w:rPr>
          <w:color w:val="000000"/>
          <w:sz w:val="24"/>
          <w:szCs w:val="24"/>
        </w:rPr>
        <w:t>., 41 Pa</w:t>
      </w:r>
      <w:r w:rsidR="00925C70" w:rsidRPr="00F41449">
        <w:rPr>
          <w:color w:val="000000"/>
          <w:sz w:val="24"/>
          <w:szCs w:val="24"/>
        </w:rPr>
        <w:t>.</w:t>
      </w:r>
      <w:r w:rsidR="00EE3455" w:rsidRPr="00F41449">
        <w:rPr>
          <w:color w:val="000000"/>
          <w:sz w:val="24"/>
          <w:szCs w:val="24"/>
        </w:rPr>
        <w:t xml:space="preserve"> PUC 749 (1965)</w:t>
      </w:r>
      <w:r w:rsidR="00925C70" w:rsidRPr="00F41449">
        <w:rPr>
          <w:color w:val="000000"/>
          <w:sz w:val="24"/>
          <w:szCs w:val="24"/>
        </w:rPr>
        <w:t>.</w:t>
      </w:r>
      <w:r w:rsidR="00EE3455" w:rsidRPr="00F41449">
        <w:rPr>
          <w:color w:val="000000"/>
          <w:sz w:val="24"/>
          <w:szCs w:val="24"/>
        </w:rPr>
        <w:t xml:space="preserve"> </w:t>
      </w:r>
      <w:r w:rsidR="00925C70" w:rsidRPr="00F41449">
        <w:rPr>
          <w:color w:val="000000"/>
          <w:sz w:val="24"/>
          <w:szCs w:val="24"/>
        </w:rPr>
        <w:t xml:space="preserve"> </w:t>
      </w:r>
      <w:r w:rsidR="005109EC" w:rsidRPr="00F41449">
        <w:rPr>
          <w:color w:val="000000"/>
          <w:sz w:val="24"/>
          <w:szCs w:val="24"/>
        </w:rPr>
        <w:t xml:space="preserve">The Commission or presiding officer </w:t>
      </w:r>
      <w:r w:rsidR="00EE3455" w:rsidRPr="00F41449">
        <w:rPr>
          <w:color w:val="000000"/>
          <w:sz w:val="24"/>
          <w:szCs w:val="24"/>
        </w:rPr>
        <w:t>have</w:t>
      </w:r>
      <w:r w:rsidR="00F41449" w:rsidRPr="00F41449">
        <w:rPr>
          <w:color w:val="000000"/>
          <w:sz w:val="24"/>
          <w:szCs w:val="24"/>
        </w:rPr>
        <w:t xml:space="preserve"> also</w:t>
      </w:r>
      <w:r w:rsidR="00EE3455" w:rsidRPr="00F41449">
        <w:rPr>
          <w:color w:val="000000"/>
          <w:sz w:val="24"/>
          <w:szCs w:val="24"/>
        </w:rPr>
        <w:t xml:space="preserve"> </w:t>
      </w:r>
      <w:r w:rsidR="005109EC" w:rsidRPr="00F41449">
        <w:rPr>
          <w:color w:val="000000"/>
          <w:sz w:val="24"/>
          <w:szCs w:val="24"/>
        </w:rPr>
        <w:t>refused to consolidate cases for any purpose.</w:t>
      </w:r>
      <w:r w:rsidR="00EE3455" w:rsidRPr="00F41449">
        <w:rPr>
          <w:color w:val="000000"/>
          <w:sz w:val="24"/>
          <w:szCs w:val="24"/>
        </w:rPr>
        <w:t xml:space="preserve"> </w:t>
      </w:r>
      <w:r w:rsidR="005109EC" w:rsidRPr="00F41449">
        <w:rPr>
          <w:color w:val="000000"/>
          <w:sz w:val="24"/>
          <w:szCs w:val="24"/>
        </w:rPr>
        <w:t xml:space="preserve"> </w:t>
      </w:r>
      <w:proofErr w:type="spellStart"/>
      <w:r w:rsidR="00EE3455" w:rsidRPr="00F41449">
        <w:rPr>
          <w:color w:val="000000"/>
          <w:sz w:val="24"/>
          <w:szCs w:val="24"/>
          <w:u w:val="single"/>
        </w:rPr>
        <w:t>Dopp</w:t>
      </w:r>
      <w:proofErr w:type="spellEnd"/>
      <w:r w:rsidR="00EE3455" w:rsidRPr="00F41449">
        <w:rPr>
          <w:color w:val="000000"/>
          <w:sz w:val="24"/>
          <w:szCs w:val="24"/>
          <w:u w:val="single"/>
        </w:rPr>
        <w:t xml:space="preserve"> v. Williamsburg Borough Dept. of Water and Sewer</w:t>
      </w:r>
      <w:r w:rsidR="00EE3455" w:rsidRPr="00F41449">
        <w:rPr>
          <w:color w:val="000000"/>
          <w:sz w:val="24"/>
          <w:szCs w:val="24"/>
        </w:rPr>
        <w:t>, 59 Pa</w:t>
      </w:r>
      <w:r w:rsidR="00925C70" w:rsidRPr="00F41449">
        <w:rPr>
          <w:color w:val="000000"/>
          <w:sz w:val="24"/>
          <w:szCs w:val="24"/>
        </w:rPr>
        <w:t>.</w:t>
      </w:r>
      <w:r w:rsidR="00EE3455" w:rsidRPr="00F41449">
        <w:rPr>
          <w:color w:val="000000"/>
          <w:sz w:val="24"/>
          <w:szCs w:val="24"/>
        </w:rPr>
        <w:t xml:space="preserve"> PUC 25 (1984).</w:t>
      </w:r>
    </w:p>
    <w:p w:rsidR="00EE3455" w:rsidRPr="00F41449" w:rsidRDefault="00EE3455" w:rsidP="00116B43">
      <w:pPr>
        <w:spacing w:line="360" w:lineRule="auto"/>
        <w:ind w:firstLine="1440"/>
        <w:rPr>
          <w:color w:val="000000"/>
          <w:sz w:val="24"/>
          <w:szCs w:val="24"/>
        </w:rPr>
      </w:pPr>
    </w:p>
    <w:p w:rsidR="00EE3455" w:rsidRPr="00F41449" w:rsidRDefault="00EE3455" w:rsidP="00116B43">
      <w:pPr>
        <w:spacing w:line="360" w:lineRule="auto"/>
        <w:ind w:firstLine="1440"/>
        <w:rPr>
          <w:color w:val="000000"/>
          <w:sz w:val="24"/>
          <w:szCs w:val="24"/>
        </w:rPr>
      </w:pPr>
      <w:r w:rsidRPr="00F41449">
        <w:rPr>
          <w:color w:val="000000"/>
          <w:sz w:val="24"/>
          <w:szCs w:val="24"/>
        </w:rPr>
        <w:t xml:space="preserve">In </w:t>
      </w:r>
      <w:r w:rsidR="005109EC" w:rsidRPr="00F41449">
        <w:rPr>
          <w:color w:val="000000"/>
          <w:sz w:val="24"/>
          <w:szCs w:val="24"/>
        </w:rPr>
        <w:t>deciding whether to consolidate certain cases, the Commission or presiding officer</w:t>
      </w:r>
      <w:r w:rsidR="00D7185A" w:rsidRPr="00F41449">
        <w:rPr>
          <w:color w:val="000000"/>
          <w:sz w:val="24"/>
          <w:szCs w:val="24"/>
        </w:rPr>
        <w:t xml:space="preserve"> must first determine</w:t>
      </w:r>
      <w:r w:rsidRPr="00F41449">
        <w:rPr>
          <w:color w:val="000000"/>
          <w:sz w:val="24"/>
          <w:szCs w:val="24"/>
        </w:rPr>
        <w:t xml:space="preserve"> that </w:t>
      </w:r>
      <w:r w:rsidR="00797810" w:rsidRPr="00F41449">
        <w:rPr>
          <w:color w:val="000000"/>
          <w:sz w:val="24"/>
          <w:szCs w:val="24"/>
        </w:rPr>
        <w:t>the</w:t>
      </w:r>
      <w:r w:rsidRPr="00F41449">
        <w:rPr>
          <w:color w:val="000000"/>
          <w:sz w:val="24"/>
          <w:szCs w:val="24"/>
        </w:rPr>
        <w:t xml:space="preserve"> proceedings involve a common question of law or fact. </w:t>
      </w:r>
      <w:r w:rsidR="002F2F6A" w:rsidRPr="00F41449">
        <w:rPr>
          <w:color w:val="000000"/>
          <w:sz w:val="24"/>
          <w:szCs w:val="24"/>
        </w:rPr>
        <w:t xml:space="preserve"> </w:t>
      </w:r>
      <w:r w:rsidR="00D7185A" w:rsidRPr="00F41449">
        <w:rPr>
          <w:color w:val="000000"/>
          <w:sz w:val="24"/>
          <w:szCs w:val="24"/>
        </w:rPr>
        <w:t>I</w:t>
      </w:r>
      <w:r w:rsidRPr="00F41449">
        <w:rPr>
          <w:color w:val="000000"/>
          <w:sz w:val="24"/>
          <w:szCs w:val="24"/>
        </w:rPr>
        <w:t xml:space="preserve">n such cases as </w:t>
      </w:r>
      <w:r w:rsidRPr="00F41449">
        <w:rPr>
          <w:color w:val="000000"/>
          <w:sz w:val="24"/>
          <w:szCs w:val="24"/>
          <w:u w:val="single"/>
        </w:rPr>
        <w:t>Application of Philadelphia Electric Co.</w:t>
      </w:r>
      <w:r w:rsidRPr="00F41449">
        <w:rPr>
          <w:color w:val="000000"/>
          <w:sz w:val="24"/>
          <w:szCs w:val="24"/>
        </w:rPr>
        <w:t>, 43 P</w:t>
      </w:r>
      <w:r w:rsidR="00925C70" w:rsidRPr="00F41449">
        <w:rPr>
          <w:color w:val="000000"/>
          <w:sz w:val="24"/>
          <w:szCs w:val="24"/>
        </w:rPr>
        <w:t>a.</w:t>
      </w:r>
      <w:r w:rsidRPr="00F41449">
        <w:rPr>
          <w:color w:val="000000"/>
          <w:sz w:val="24"/>
          <w:szCs w:val="24"/>
        </w:rPr>
        <w:t xml:space="preserve"> PUC 781 (1968), </w:t>
      </w:r>
      <w:r w:rsidRPr="00F41449">
        <w:rPr>
          <w:color w:val="000000"/>
          <w:sz w:val="24"/>
          <w:szCs w:val="24"/>
          <w:u w:val="single"/>
        </w:rPr>
        <w:t>Pa</w:t>
      </w:r>
      <w:r w:rsidR="00AF7578" w:rsidRPr="00F41449">
        <w:rPr>
          <w:color w:val="000000"/>
          <w:sz w:val="24"/>
          <w:szCs w:val="24"/>
          <w:u w:val="single"/>
        </w:rPr>
        <w:t>.</w:t>
      </w:r>
      <w:r w:rsidRPr="00F41449">
        <w:rPr>
          <w:color w:val="000000"/>
          <w:sz w:val="24"/>
          <w:szCs w:val="24"/>
          <w:u w:val="single"/>
        </w:rPr>
        <w:t xml:space="preserve"> Pub</w:t>
      </w:r>
      <w:r w:rsidR="002D01D6" w:rsidRPr="00F41449">
        <w:rPr>
          <w:color w:val="000000"/>
          <w:sz w:val="24"/>
          <w:szCs w:val="24"/>
          <w:u w:val="single"/>
        </w:rPr>
        <w:t xml:space="preserve">. </w:t>
      </w:r>
      <w:r w:rsidRPr="00F41449">
        <w:rPr>
          <w:color w:val="000000"/>
          <w:sz w:val="24"/>
          <w:szCs w:val="24"/>
          <w:u w:val="single"/>
        </w:rPr>
        <w:t>Util</w:t>
      </w:r>
      <w:r w:rsidR="002D01D6" w:rsidRPr="00F41449">
        <w:rPr>
          <w:color w:val="000000"/>
          <w:sz w:val="24"/>
          <w:szCs w:val="24"/>
          <w:u w:val="single"/>
        </w:rPr>
        <w:t>.</w:t>
      </w:r>
      <w:r w:rsidRPr="00F41449">
        <w:rPr>
          <w:color w:val="000000"/>
          <w:sz w:val="24"/>
          <w:szCs w:val="24"/>
          <w:u w:val="single"/>
        </w:rPr>
        <w:t xml:space="preserve"> Comm’n v. </w:t>
      </w:r>
      <w:r w:rsidR="00855529" w:rsidRPr="00F41449">
        <w:rPr>
          <w:color w:val="000000"/>
          <w:sz w:val="24"/>
          <w:szCs w:val="24"/>
          <w:u w:val="single"/>
        </w:rPr>
        <w:t>B</w:t>
      </w:r>
      <w:r w:rsidRPr="00F41449">
        <w:rPr>
          <w:color w:val="000000"/>
          <w:sz w:val="24"/>
          <w:szCs w:val="24"/>
          <w:u w:val="single"/>
        </w:rPr>
        <w:t xml:space="preserve">ell </w:t>
      </w:r>
      <w:r w:rsidR="00855529" w:rsidRPr="00F41449">
        <w:rPr>
          <w:color w:val="000000"/>
          <w:sz w:val="24"/>
          <w:szCs w:val="24"/>
          <w:u w:val="single"/>
        </w:rPr>
        <w:t>T</w:t>
      </w:r>
      <w:r w:rsidRPr="00F41449">
        <w:rPr>
          <w:color w:val="000000"/>
          <w:sz w:val="24"/>
          <w:szCs w:val="24"/>
          <w:u w:val="single"/>
        </w:rPr>
        <w:t>elephone Co. of Pennsylvania</w:t>
      </w:r>
      <w:r w:rsidRPr="00F41449">
        <w:rPr>
          <w:color w:val="000000"/>
          <w:sz w:val="24"/>
          <w:szCs w:val="24"/>
        </w:rPr>
        <w:t>, 46 P</w:t>
      </w:r>
      <w:r w:rsidR="00925C70" w:rsidRPr="00F41449">
        <w:rPr>
          <w:color w:val="000000"/>
          <w:sz w:val="24"/>
          <w:szCs w:val="24"/>
        </w:rPr>
        <w:t>a.</w:t>
      </w:r>
      <w:r w:rsidRPr="00F41449">
        <w:rPr>
          <w:color w:val="000000"/>
          <w:sz w:val="24"/>
          <w:szCs w:val="24"/>
        </w:rPr>
        <w:t xml:space="preserve"> PUC 568 (1973) and </w:t>
      </w:r>
      <w:r w:rsidRPr="00F41449">
        <w:rPr>
          <w:color w:val="000000"/>
          <w:sz w:val="24"/>
          <w:szCs w:val="24"/>
          <w:u w:val="single"/>
        </w:rPr>
        <w:t>Pa. Pub</w:t>
      </w:r>
      <w:r w:rsidR="002D01D6" w:rsidRPr="00F41449">
        <w:rPr>
          <w:color w:val="000000"/>
          <w:sz w:val="24"/>
          <w:szCs w:val="24"/>
          <w:u w:val="single"/>
        </w:rPr>
        <w:t>.</w:t>
      </w:r>
      <w:r w:rsidRPr="00F41449">
        <w:rPr>
          <w:color w:val="000000"/>
          <w:sz w:val="24"/>
          <w:szCs w:val="24"/>
          <w:u w:val="single"/>
        </w:rPr>
        <w:t xml:space="preserve"> Util</w:t>
      </w:r>
      <w:r w:rsidR="002D01D6" w:rsidRPr="00F41449">
        <w:rPr>
          <w:color w:val="000000"/>
          <w:sz w:val="24"/>
          <w:szCs w:val="24"/>
          <w:u w:val="single"/>
        </w:rPr>
        <w:t xml:space="preserve">. </w:t>
      </w:r>
      <w:r w:rsidRPr="00F41449">
        <w:rPr>
          <w:color w:val="000000"/>
          <w:sz w:val="24"/>
          <w:szCs w:val="24"/>
          <w:u w:val="single"/>
        </w:rPr>
        <w:t xml:space="preserve">Comm’n v. </w:t>
      </w:r>
      <w:r w:rsidR="00855529" w:rsidRPr="00F41449">
        <w:rPr>
          <w:color w:val="000000"/>
          <w:sz w:val="24"/>
          <w:szCs w:val="24"/>
          <w:u w:val="single"/>
        </w:rPr>
        <w:t>B</w:t>
      </w:r>
      <w:r w:rsidRPr="00F41449">
        <w:rPr>
          <w:color w:val="000000"/>
          <w:sz w:val="24"/>
          <w:szCs w:val="24"/>
          <w:u w:val="single"/>
        </w:rPr>
        <w:t>utler Twp. Water Co.</w:t>
      </w:r>
      <w:r w:rsidRPr="00F41449">
        <w:rPr>
          <w:color w:val="000000"/>
          <w:sz w:val="24"/>
          <w:szCs w:val="24"/>
        </w:rPr>
        <w:t>, 52 P</w:t>
      </w:r>
      <w:r w:rsidR="00925C70" w:rsidRPr="00F41449">
        <w:rPr>
          <w:color w:val="000000"/>
          <w:sz w:val="24"/>
          <w:szCs w:val="24"/>
        </w:rPr>
        <w:t>a.</w:t>
      </w:r>
      <w:r w:rsidRPr="00F41449">
        <w:rPr>
          <w:color w:val="000000"/>
          <w:sz w:val="24"/>
          <w:szCs w:val="24"/>
        </w:rPr>
        <w:t xml:space="preserve"> PUC 4</w:t>
      </w:r>
      <w:r w:rsidR="00D7185A" w:rsidRPr="00F41449">
        <w:rPr>
          <w:color w:val="000000"/>
          <w:sz w:val="24"/>
          <w:szCs w:val="24"/>
        </w:rPr>
        <w:t>4</w:t>
      </w:r>
      <w:r w:rsidRPr="00F41449">
        <w:rPr>
          <w:color w:val="000000"/>
          <w:sz w:val="24"/>
          <w:szCs w:val="24"/>
        </w:rPr>
        <w:t>2 (1978), as well as those cited above,</w:t>
      </w:r>
      <w:r w:rsidR="00D7185A" w:rsidRPr="00F41449">
        <w:rPr>
          <w:color w:val="000000"/>
          <w:sz w:val="24"/>
          <w:szCs w:val="24"/>
        </w:rPr>
        <w:t xml:space="preserve"> the Commission has established </w:t>
      </w:r>
      <w:r w:rsidRPr="00F41449">
        <w:rPr>
          <w:color w:val="000000"/>
          <w:sz w:val="24"/>
          <w:szCs w:val="24"/>
        </w:rPr>
        <w:t xml:space="preserve">that </w:t>
      </w:r>
      <w:r w:rsidR="004427BC" w:rsidRPr="00F41449">
        <w:rPr>
          <w:color w:val="000000"/>
          <w:sz w:val="24"/>
          <w:szCs w:val="24"/>
        </w:rPr>
        <w:t xml:space="preserve">the Commission or presiding officer should evaluate </w:t>
      </w:r>
      <w:r w:rsidRPr="00F41449">
        <w:rPr>
          <w:color w:val="000000"/>
          <w:sz w:val="24"/>
          <w:szCs w:val="24"/>
        </w:rPr>
        <w:t>considerations in addition to the presence of common questions of law or fact</w:t>
      </w:r>
      <w:r w:rsidR="00D7185A" w:rsidRPr="00F41449">
        <w:rPr>
          <w:color w:val="000000"/>
          <w:sz w:val="24"/>
          <w:szCs w:val="24"/>
        </w:rPr>
        <w:t xml:space="preserve"> </w:t>
      </w:r>
      <w:r w:rsidRPr="00F41449">
        <w:rPr>
          <w:color w:val="000000"/>
          <w:sz w:val="24"/>
          <w:szCs w:val="24"/>
        </w:rPr>
        <w:t xml:space="preserve">in ruling on a </w:t>
      </w:r>
      <w:r w:rsidR="00D7185A" w:rsidRPr="00F41449">
        <w:rPr>
          <w:color w:val="000000"/>
          <w:sz w:val="24"/>
          <w:szCs w:val="24"/>
        </w:rPr>
        <w:t>motion to consolidate</w:t>
      </w:r>
      <w:r w:rsidRPr="00F41449">
        <w:rPr>
          <w:color w:val="000000"/>
          <w:sz w:val="24"/>
          <w:szCs w:val="24"/>
        </w:rPr>
        <w:t xml:space="preserve">.  These other considerations </w:t>
      </w:r>
      <w:r w:rsidR="00D7185A" w:rsidRPr="00F41449">
        <w:rPr>
          <w:color w:val="000000"/>
          <w:sz w:val="24"/>
          <w:szCs w:val="24"/>
        </w:rPr>
        <w:t>include</w:t>
      </w:r>
      <w:r w:rsidRPr="00F41449">
        <w:rPr>
          <w:color w:val="000000"/>
          <w:sz w:val="24"/>
          <w:szCs w:val="24"/>
        </w:rPr>
        <w:t>:</w:t>
      </w:r>
    </w:p>
    <w:p w:rsidR="00266D96" w:rsidRPr="00F41449" w:rsidRDefault="00266D96" w:rsidP="00266D96">
      <w:pPr>
        <w:spacing w:line="360" w:lineRule="auto"/>
        <w:ind w:firstLine="1440"/>
        <w:rPr>
          <w:color w:val="000000"/>
          <w:sz w:val="24"/>
        </w:rPr>
      </w:pPr>
    </w:p>
    <w:p w:rsidR="00266D96" w:rsidRPr="00F41449" w:rsidRDefault="00266D96" w:rsidP="00266D96">
      <w:pPr>
        <w:ind w:left="1440"/>
        <w:rPr>
          <w:color w:val="000000"/>
          <w:sz w:val="24"/>
        </w:rPr>
      </w:pPr>
      <w:r w:rsidRPr="00F41449">
        <w:rPr>
          <w:color w:val="000000"/>
          <w:sz w:val="24"/>
        </w:rPr>
        <w:t>1.</w:t>
      </w:r>
      <w:r w:rsidRPr="00F41449">
        <w:rPr>
          <w:color w:val="000000"/>
          <w:sz w:val="24"/>
        </w:rPr>
        <w:tab/>
        <w:t>Will the presence of additional issues cloud a determination of the common issues?</w:t>
      </w:r>
    </w:p>
    <w:p w:rsidR="00266D96" w:rsidRPr="00F41449" w:rsidRDefault="00266D96" w:rsidP="00266D96">
      <w:pPr>
        <w:ind w:left="1440"/>
        <w:rPr>
          <w:color w:val="000000"/>
          <w:sz w:val="24"/>
        </w:rPr>
      </w:pPr>
    </w:p>
    <w:p w:rsidR="00266D96" w:rsidRPr="00F41449" w:rsidRDefault="00266D96" w:rsidP="00266D96">
      <w:pPr>
        <w:ind w:left="1440"/>
        <w:rPr>
          <w:color w:val="000000"/>
          <w:sz w:val="24"/>
        </w:rPr>
      </w:pPr>
      <w:r w:rsidRPr="00F41449">
        <w:rPr>
          <w:color w:val="000000"/>
          <w:sz w:val="24"/>
        </w:rPr>
        <w:t>2.</w:t>
      </w:r>
      <w:r w:rsidRPr="00F41449">
        <w:rPr>
          <w:color w:val="000000"/>
          <w:sz w:val="24"/>
        </w:rPr>
        <w:tab/>
        <w:t>Will consolidation result in reduced costs of litigation and decision-making for the parties and the Commission?</w:t>
      </w:r>
    </w:p>
    <w:p w:rsidR="00266D96" w:rsidRPr="00F41449" w:rsidRDefault="00266D96" w:rsidP="00266D96">
      <w:pPr>
        <w:ind w:left="1440"/>
        <w:rPr>
          <w:color w:val="000000"/>
          <w:sz w:val="24"/>
        </w:rPr>
      </w:pPr>
    </w:p>
    <w:p w:rsidR="00266D96" w:rsidRPr="00F41449" w:rsidRDefault="00266D96" w:rsidP="00266D96">
      <w:pPr>
        <w:ind w:left="1440"/>
        <w:rPr>
          <w:color w:val="000000"/>
          <w:sz w:val="24"/>
        </w:rPr>
      </w:pPr>
      <w:r w:rsidRPr="00F41449">
        <w:rPr>
          <w:color w:val="000000"/>
          <w:sz w:val="24"/>
        </w:rPr>
        <w:t>3.</w:t>
      </w:r>
      <w:r w:rsidRPr="00F41449">
        <w:rPr>
          <w:color w:val="000000"/>
          <w:sz w:val="24"/>
        </w:rPr>
        <w:tab/>
        <w:t>Do issues in one proceeding go to the heart of an issue in the other proceeding?</w:t>
      </w:r>
    </w:p>
    <w:p w:rsidR="00266D96" w:rsidRPr="00F41449" w:rsidRDefault="00266D96" w:rsidP="00266D96">
      <w:pPr>
        <w:ind w:left="1080"/>
        <w:rPr>
          <w:color w:val="000000"/>
          <w:sz w:val="24"/>
        </w:rPr>
      </w:pPr>
    </w:p>
    <w:p w:rsidR="00266D96" w:rsidRPr="00F41449" w:rsidRDefault="00266D96" w:rsidP="00266D96">
      <w:pPr>
        <w:ind w:left="1440"/>
        <w:rPr>
          <w:color w:val="000000"/>
          <w:sz w:val="24"/>
        </w:rPr>
      </w:pPr>
      <w:r w:rsidRPr="00F41449">
        <w:rPr>
          <w:color w:val="000000"/>
          <w:sz w:val="24"/>
        </w:rPr>
        <w:t>4.</w:t>
      </w:r>
      <w:r w:rsidRPr="00F41449">
        <w:rPr>
          <w:color w:val="000000"/>
          <w:sz w:val="24"/>
        </w:rPr>
        <w:tab/>
        <w:t>Will consolidation unduly protract the hearing, or produce a disorderly and unwieldy record?</w:t>
      </w:r>
    </w:p>
    <w:p w:rsidR="00266D96" w:rsidRPr="00F41449" w:rsidRDefault="00266D96" w:rsidP="00266D96">
      <w:pPr>
        <w:ind w:left="1440"/>
        <w:rPr>
          <w:color w:val="000000"/>
          <w:sz w:val="24"/>
        </w:rPr>
      </w:pPr>
    </w:p>
    <w:p w:rsidR="00266D96" w:rsidRPr="00F41449" w:rsidRDefault="00266D96" w:rsidP="00266D96">
      <w:pPr>
        <w:ind w:left="1080" w:firstLine="360"/>
        <w:rPr>
          <w:color w:val="000000"/>
          <w:sz w:val="24"/>
        </w:rPr>
      </w:pPr>
      <w:r w:rsidRPr="00F41449">
        <w:rPr>
          <w:color w:val="000000"/>
          <w:sz w:val="24"/>
        </w:rPr>
        <w:t>5.</w:t>
      </w:r>
      <w:r w:rsidRPr="00F41449">
        <w:rPr>
          <w:color w:val="000000"/>
          <w:sz w:val="24"/>
        </w:rPr>
        <w:tab/>
        <w:t>Will different statutory and legal issues be involved?</w:t>
      </w:r>
    </w:p>
    <w:p w:rsidR="00266D96" w:rsidRPr="00F41449" w:rsidRDefault="00266D96" w:rsidP="00266D96">
      <w:pPr>
        <w:ind w:left="1080"/>
        <w:rPr>
          <w:color w:val="000000"/>
          <w:sz w:val="24"/>
        </w:rPr>
      </w:pPr>
    </w:p>
    <w:p w:rsidR="00266D96" w:rsidRPr="00F41449" w:rsidRDefault="00266D96" w:rsidP="00266D96">
      <w:pPr>
        <w:ind w:left="1080" w:firstLine="360"/>
        <w:rPr>
          <w:color w:val="000000"/>
          <w:sz w:val="24"/>
        </w:rPr>
      </w:pPr>
      <w:r w:rsidRPr="00F41449">
        <w:rPr>
          <w:color w:val="000000"/>
          <w:sz w:val="24"/>
        </w:rPr>
        <w:t>6.</w:t>
      </w:r>
      <w:r w:rsidRPr="00F41449">
        <w:rPr>
          <w:color w:val="000000"/>
          <w:sz w:val="24"/>
        </w:rPr>
        <w:tab/>
        <w:t>Does the party with the burden of proof differ in the proceedings?</w:t>
      </w:r>
    </w:p>
    <w:p w:rsidR="00266D96" w:rsidRPr="00F41449" w:rsidRDefault="00266D96" w:rsidP="00266D96">
      <w:pPr>
        <w:ind w:left="1080" w:firstLine="360"/>
        <w:rPr>
          <w:color w:val="000000"/>
          <w:sz w:val="24"/>
        </w:rPr>
      </w:pPr>
    </w:p>
    <w:p w:rsidR="00266D96" w:rsidRPr="00F41449" w:rsidRDefault="00266D96" w:rsidP="00266D96">
      <w:pPr>
        <w:ind w:left="1080" w:firstLine="360"/>
        <w:rPr>
          <w:color w:val="000000"/>
          <w:sz w:val="24"/>
        </w:rPr>
      </w:pPr>
      <w:r w:rsidRPr="00F41449">
        <w:rPr>
          <w:color w:val="000000"/>
          <w:sz w:val="24"/>
        </w:rPr>
        <w:t>7.</w:t>
      </w:r>
      <w:r w:rsidRPr="00F41449">
        <w:rPr>
          <w:color w:val="000000"/>
          <w:sz w:val="24"/>
        </w:rPr>
        <w:tab/>
        <w:t>Will consolidation unduly delay the resolution of one the proceedings?</w:t>
      </w:r>
    </w:p>
    <w:p w:rsidR="00266D96" w:rsidRPr="00F41449" w:rsidRDefault="00266D96" w:rsidP="00266D96">
      <w:pPr>
        <w:ind w:left="1080"/>
        <w:rPr>
          <w:color w:val="000000"/>
          <w:sz w:val="24"/>
        </w:rPr>
      </w:pPr>
    </w:p>
    <w:p w:rsidR="00266D96" w:rsidRPr="00F41449" w:rsidRDefault="00266D96" w:rsidP="00266D96">
      <w:pPr>
        <w:ind w:left="1080" w:firstLine="360"/>
        <w:rPr>
          <w:color w:val="000000"/>
          <w:sz w:val="24"/>
        </w:rPr>
      </w:pPr>
      <w:r w:rsidRPr="00F41449">
        <w:rPr>
          <w:color w:val="000000"/>
          <w:sz w:val="24"/>
        </w:rPr>
        <w:t>8.</w:t>
      </w:r>
      <w:r w:rsidRPr="00F41449">
        <w:rPr>
          <w:color w:val="000000"/>
          <w:sz w:val="24"/>
        </w:rPr>
        <w:tab/>
        <w:t>Will supporting data in both proceedings be repetitive?</w:t>
      </w:r>
    </w:p>
    <w:p w:rsidR="003D471A" w:rsidRPr="00F41449" w:rsidRDefault="003D471A" w:rsidP="00116B43">
      <w:pPr>
        <w:spacing w:line="360" w:lineRule="auto"/>
        <w:ind w:firstLine="1440"/>
        <w:rPr>
          <w:color w:val="000000"/>
          <w:sz w:val="24"/>
          <w:szCs w:val="24"/>
        </w:rPr>
      </w:pPr>
    </w:p>
    <w:p w:rsidR="003D471A" w:rsidRPr="00F41449" w:rsidRDefault="003D471A" w:rsidP="00116B43">
      <w:pPr>
        <w:spacing w:line="360" w:lineRule="auto"/>
        <w:ind w:firstLine="1440"/>
        <w:rPr>
          <w:color w:val="000000"/>
          <w:sz w:val="24"/>
          <w:szCs w:val="24"/>
        </w:rPr>
      </w:pPr>
      <w:r w:rsidRPr="00F41449">
        <w:rPr>
          <w:color w:val="000000"/>
          <w:sz w:val="24"/>
          <w:szCs w:val="24"/>
        </w:rPr>
        <w:t>No single consideration</w:t>
      </w:r>
      <w:r w:rsidR="0055768F" w:rsidRPr="00F41449">
        <w:rPr>
          <w:color w:val="000000"/>
          <w:sz w:val="24"/>
          <w:szCs w:val="24"/>
        </w:rPr>
        <w:t xml:space="preserve"> </w:t>
      </w:r>
      <w:r w:rsidRPr="00F41449">
        <w:rPr>
          <w:color w:val="000000"/>
          <w:sz w:val="24"/>
          <w:szCs w:val="24"/>
        </w:rPr>
        <w:t>or group of considerations</w:t>
      </w:r>
      <w:r w:rsidR="0055768F" w:rsidRPr="00F41449">
        <w:rPr>
          <w:color w:val="000000"/>
          <w:sz w:val="24"/>
          <w:szCs w:val="24"/>
        </w:rPr>
        <w:t xml:space="preserve"> or the presence of a common question of law or fact </w:t>
      </w:r>
      <w:r w:rsidRPr="00F41449">
        <w:rPr>
          <w:color w:val="000000"/>
          <w:sz w:val="24"/>
          <w:szCs w:val="24"/>
        </w:rPr>
        <w:t xml:space="preserve">is dispositive </w:t>
      </w:r>
      <w:r w:rsidR="00D7185A" w:rsidRPr="00F41449">
        <w:rPr>
          <w:color w:val="000000"/>
          <w:sz w:val="24"/>
          <w:szCs w:val="24"/>
        </w:rPr>
        <w:t>in determining</w:t>
      </w:r>
      <w:r w:rsidR="00660F71" w:rsidRPr="00F41449">
        <w:rPr>
          <w:color w:val="000000"/>
          <w:sz w:val="24"/>
          <w:szCs w:val="24"/>
        </w:rPr>
        <w:t xml:space="preserve"> whether</w:t>
      </w:r>
      <w:r w:rsidR="00241663" w:rsidRPr="00F41449">
        <w:rPr>
          <w:color w:val="000000"/>
          <w:sz w:val="24"/>
          <w:szCs w:val="24"/>
        </w:rPr>
        <w:t xml:space="preserve"> to </w:t>
      </w:r>
      <w:r w:rsidRPr="00F41449">
        <w:rPr>
          <w:color w:val="000000"/>
          <w:sz w:val="24"/>
          <w:szCs w:val="24"/>
        </w:rPr>
        <w:t>consolidat</w:t>
      </w:r>
      <w:r w:rsidR="00241663" w:rsidRPr="00F41449">
        <w:rPr>
          <w:color w:val="000000"/>
          <w:sz w:val="24"/>
          <w:szCs w:val="24"/>
        </w:rPr>
        <w:t>e proceedings</w:t>
      </w:r>
      <w:r w:rsidR="0055768F" w:rsidRPr="00F41449">
        <w:rPr>
          <w:color w:val="000000"/>
          <w:sz w:val="24"/>
          <w:szCs w:val="24"/>
        </w:rPr>
        <w:t>.</w:t>
      </w:r>
      <w:r w:rsidRPr="00F41449">
        <w:rPr>
          <w:color w:val="000000"/>
          <w:sz w:val="24"/>
          <w:szCs w:val="24"/>
        </w:rPr>
        <w:t xml:space="preserve"> </w:t>
      </w:r>
      <w:r w:rsidR="002F2F6A" w:rsidRPr="00F41449">
        <w:rPr>
          <w:color w:val="000000"/>
          <w:sz w:val="24"/>
          <w:szCs w:val="24"/>
        </w:rPr>
        <w:t xml:space="preserve"> </w:t>
      </w:r>
      <w:r w:rsidRPr="00F41449">
        <w:rPr>
          <w:color w:val="000000"/>
          <w:sz w:val="24"/>
          <w:szCs w:val="24"/>
        </w:rPr>
        <w:t xml:space="preserve">Rather, the </w:t>
      </w:r>
      <w:r w:rsidR="0055768F" w:rsidRPr="00F41449">
        <w:rPr>
          <w:color w:val="000000"/>
          <w:sz w:val="24"/>
          <w:szCs w:val="24"/>
        </w:rPr>
        <w:t xml:space="preserve">Commission or presiding officer must </w:t>
      </w:r>
      <w:r w:rsidRPr="00F41449">
        <w:rPr>
          <w:color w:val="000000"/>
          <w:sz w:val="24"/>
          <w:szCs w:val="24"/>
        </w:rPr>
        <w:t>evaluat</w:t>
      </w:r>
      <w:r w:rsidR="0055768F" w:rsidRPr="00F41449">
        <w:rPr>
          <w:color w:val="000000"/>
          <w:sz w:val="24"/>
          <w:szCs w:val="24"/>
        </w:rPr>
        <w:t>e</w:t>
      </w:r>
      <w:r w:rsidRPr="00F41449">
        <w:rPr>
          <w:color w:val="000000"/>
          <w:sz w:val="24"/>
          <w:szCs w:val="24"/>
        </w:rPr>
        <w:t xml:space="preserve"> the</w:t>
      </w:r>
      <w:r w:rsidR="00660F71" w:rsidRPr="00F41449">
        <w:rPr>
          <w:color w:val="000000"/>
          <w:sz w:val="24"/>
          <w:szCs w:val="24"/>
        </w:rPr>
        <w:t xml:space="preserve">se considerations </w:t>
      </w:r>
      <w:r w:rsidRPr="00F41449">
        <w:rPr>
          <w:color w:val="000000"/>
          <w:sz w:val="24"/>
          <w:szCs w:val="24"/>
        </w:rPr>
        <w:t>and balanc</w:t>
      </w:r>
      <w:r w:rsidR="0055768F" w:rsidRPr="00F41449">
        <w:rPr>
          <w:color w:val="000000"/>
          <w:sz w:val="24"/>
          <w:szCs w:val="24"/>
        </w:rPr>
        <w:t>e</w:t>
      </w:r>
      <w:r w:rsidRPr="00F41449">
        <w:rPr>
          <w:color w:val="000000"/>
          <w:sz w:val="24"/>
          <w:szCs w:val="24"/>
        </w:rPr>
        <w:t xml:space="preserve"> those favoring </w:t>
      </w:r>
      <w:r w:rsidR="0055768F" w:rsidRPr="00F41449">
        <w:rPr>
          <w:color w:val="000000"/>
          <w:sz w:val="24"/>
          <w:szCs w:val="24"/>
        </w:rPr>
        <w:t xml:space="preserve">versus those </w:t>
      </w:r>
      <w:r w:rsidRPr="00F41449">
        <w:rPr>
          <w:color w:val="000000"/>
          <w:sz w:val="24"/>
          <w:szCs w:val="24"/>
        </w:rPr>
        <w:t>disfavoring consolidat</w:t>
      </w:r>
      <w:r w:rsidR="00B326D4" w:rsidRPr="00F41449">
        <w:rPr>
          <w:color w:val="000000"/>
          <w:sz w:val="24"/>
          <w:szCs w:val="24"/>
        </w:rPr>
        <w:t>ing the proceedings</w:t>
      </w:r>
      <w:r w:rsidRPr="00F41449">
        <w:rPr>
          <w:color w:val="000000"/>
          <w:sz w:val="24"/>
          <w:szCs w:val="24"/>
        </w:rPr>
        <w:t>.</w:t>
      </w:r>
    </w:p>
    <w:p w:rsidR="003D471A" w:rsidRPr="00F41449" w:rsidRDefault="003D471A" w:rsidP="00116B43">
      <w:pPr>
        <w:spacing w:line="360" w:lineRule="auto"/>
        <w:ind w:firstLine="1440"/>
        <w:rPr>
          <w:color w:val="000000"/>
          <w:sz w:val="24"/>
          <w:szCs w:val="24"/>
        </w:rPr>
      </w:pPr>
    </w:p>
    <w:p w:rsidR="00AD1035" w:rsidRPr="00F41449" w:rsidRDefault="00241663" w:rsidP="00AF7578">
      <w:pPr>
        <w:spacing w:line="360" w:lineRule="auto"/>
        <w:ind w:firstLine="1440"/>
        <w:rPr>
          <w:sz w:val="24"/>
          <w:szCs w:val="24"/>
          <w:u w:val="single"/>
        </w:rPr>
      </w:pPr>
      <w:r w:rsidRPr="00F41449">
        <w:rPr>
          <w:color w:val="000000"/>
          <w:sz w:val="24"/>
          <w:szCs w:val="24"/>
        </w:rPr>
        <w:t xml:space="preserve">After reviewing these considerations, </w:t>
      </w:r>
      <w:r w:rsidR="001D4B6E" w:rsidRPr="00F41449">
        <w:rPr>
          <w:color w:val="000000"/>
          <w:sz w:val="24"/>
          <w:szCs w:val="24"/>
        </w:rPr>
        <w:t xml:space="preserve">I conclude that </w:t>
      </w:r>
      <w:r w:rsidRPr="00F41449">
        <w:rPr>
          <w:color w:val="000000"/>
          <w:sz w:val="24"/>
          <w:szCs w:val="24"/>
        </w:rPr>
        <w:t xml:space="preserve">consolidating the two </w:t>
      </w:r>
      <w:r w:rsidR="004C30B0" w:rsidRPr="00F41449">
        <w:rPr>
          <w:color w:val="000000"/>
          <w:sz w:val="24"/>
          <w:szCs w:val="24"/>
        </w:rPr>
        <w:t xml:space="preserve">applications </w:t>
      </w:r>
      <w:r w:rsidRPr="00F41449">
        <w:rPr>
          <w:color w:val="000000"/>
          <w:sz w:val="24"/>
          <w:szCs w:val="24"/>
        </w:rPr>
        <w:t>here is appropriate</w:t>
      </w:r>
      <w:r w:rsidR="00B326D4" w:rsidRPr="00F41449">
        <w:rPr>
          <w:color w:val="000000"/>
          <w:sz w:val="24"/>
          <w:szCs w:val="24"/>
        </w:rPr>
        <w:t xml:space="preserve">.  Consolidating these two </w:t>
      </w:r>
      <w:r w:rsidR="004C30B0" w:rsidRPr="00F41449">
        <w:rPr>
          <w:color w:val="000000"/>
          <w:sz w:val="24"/>
          <w:szCs w:val="24"/>
        </w:rPr>
        <w:t xml:space="preserve">applications </w:t>
      </w:r>
      <w:r w:rsidR="00B326D4" w:rsidRPr="00F41449">
        <w:rPr>
          <w:color w:val="000000"/>
          <w:sz w:val="24"/>
          <w:szCs w:val="24"/>
        </w:rPr>
        <w:t>will reduce the costs of litigating the proceedings for the parties and the Commission.</w:t>
      </w:r>
      <w:r w:rsidR="00BD1BC8" w:rsidRPr="00F41449">
        <w:rPr>
          <w:color w:val="000000"/>
          <w:sz w:val="24"/>
          <w:szCs w:val="24"/>
        </w:rPr>
        <w:t xml:space="preserve">  Consolidating these </w:t>
      </w:r>
      <w:r w:rsidR="004C30B0" w:rsidRPr="00F41449">
        <w:rPr>
          <w:color w:val="000000"/>
          <w:sz w:val="24"/>
          <w:szCs w:val="24"/>
        </w:rPr>
        <w:t>applications</w:t>
      </w:r>
      <w:r w:rsidR="00BD1BC8" w:rsidRPr="00F41449">
        <w:rPr>
          <w:color w:val="000000"/>
          <w:sz w:val="24"/>
          <w:szCs w:val="24"/>
        </w:rPr>
        <w:t xml:space="preserve"> will eliminate </w:t>
      </w:r>
      <w:r w:rsidR="00A931CC" w:rsidRPr="00F41449">
        <w:rPr>
          <w:color w:val="000000"/>
          <w:sz w:val="24"/>
          <w:szCs w:val="24"/>
        </w:rPr>
        <w:t xml:space="preserve">the need to present the same facts and legal arguments in two separate proceedings.  </w:t>
      </w:r>
      <w:r w:rsidR="00DB0D16" w:rsidRPr="00F41449">
        <w:rPr>
          <w:color w:val="000000"/>
          <w:sz w:val="24"/>
          <w:szCs w:val="24"/>
        </w:rPr>
        <w:t>The common fact</w:t>
      </w:r>
      <w:r w:rsidR="005C275D" w:rsidRPr="00F41449">
        <w:rPr>
          <w:color w:val="000000"/>
          <w:sz w:val="24"/>
          <w:szCs w:val="24"/>
        </w:rPr>
        <w:t>s</w:t>
      </w:r>
      <w:r w:rsidR="00DB0D16" w:rsidRPr="00F41449">
        <w:rPr>
          <w:color w:val="000000"/>
          <w:sz w:val="24"/>
          <w:szCs w:val="24"/>
        </w:rPr>
        <w:t xml:space="preserve"> between the two </w:t>
      </w:r>
      <w:r w:rsidR="004C30B0" w:rsidRPr="00F41449">
        <w:rPr>
          <w:color w:val="000000"/>
          <w:sz w:val="24"/>
          <w:szCs w:val="24"/>
        </w:rPr>
        <w:t xml:space="preserve">applications </w:t>
      </w:r>
      <w:r w:rsidR="005C275D" w:rsidRPr="00F41449">
        <w:rPr>
          <w:color w:val="000000"/>
          <w:sz w:val="24"/>
          <w:szCs w:val="24"/>
        </w:rPr>
        <w:t xml:space="preserve">involve </w:t>
      </w:r>
      <w:r w:rsidR="004C30B0" w:rsidRPr="00F41449">
        <w:rPr>
          <w:color w:val="000000"/>
          <w:sz w:val="24"/>
          <w:szCs w:val="24"/>
        </w:rPr>
        <w:t xml:space="preserve">maintenance responsibilities for </w:t>
      </w:r>
      <w:r w:rsidR="0024673F" w:rsidRPr="00F41449">
        <w:rPr>
          <w:color w:val="000000"/>
          <w:sz w:val="24"/>
          <w:szCs w:val="24"/>
        </w:rPr>
        <w:t xml:space="preserve">the </w:t>
      </w:r>
      <w:r w:rsidR="005C275D" w:rsidRPr="00F41449">
        <w:rPr>
          <w:color w:val="000000"/>
          <w:sz w:val="24"/>
          <w:szCs w:val="24"/>
        </w:rPr>
        <w:t>same</w:t>
      </w:r>
      <w:r w:rsidR="00665B05" w:rsidRPr="00F41449">
        <w:rPr>
          <w:color w:val="000000"/>
          <w:sz w:val="24"/>
          <w:szCs w:val="24"/>
        </w:rPr>
        <w:t xml:space="preserve"> </w:t>
      </w:r>
      <w:r w:rsidR="004C30B0" w:rsidRPr="00F41449">
        <w:rPr>
          <w:color w:val="000000"/>
          <w:sz w:val="24"/>
          <w:szCs w:val="24"/>
        </w:rPr>
        <w:t>crossings.</w:t>
      </w:r>
      <w:r w:rsidR="005C275D" w:rsidRPr="00F41449">
        <w:rPr>
          <w:color w:val="000000"/>
          <w:sz w:val="24"/>
          <w:szCs w:val="24"/>
        </w:rPr>
        <w:t xml:space="preserve">  The common question of law </w:t>
      </w:r>
      <w:r w:rsidR="00266D96" w:rsidRPr="00F41449">
        <w:rPr>
          <w:color w:val="000000"/>
          <w:sz w:val="24"/>
          <w:szCs w:val="24"/>
        </w:rPr>
        <w:t xml:space="preserve">is </w:t>
      </w:r>
      <w:r w:rsidR="004C30B0" w:rsidRPr="00F41449">
        <w:rPr>
          <w:color w:val="000000"/>
          <w:sz w:val="24"/>
          <w:szCs w:val="24"/>
        </w:rPr>
        <w:t>how the Commission should allocate maintenance responsibilities for the crossings.</w:t>
      </w:r>
      <w:r w:rsidR="004427BC" w:rsidRPr="00F41449">
        <w:rPr>
          <w:sz w:val="24"/>
          <w:szCs w:val="24"/>
        </w:rPr>
        <w:t xml:space="preserve"> </w:t>
      </w:r>
      <w:r w:rsidR="0081483F" w:rsidRPr="00F41449">
        <w:rPr>
          <w:color w:val="000000"/>
          <w:sz w:val="24"/>
          <w:szCs w:val="24"/>
        </w:rPr>
        <w:t xml:space="preserve"> </w:t>
      </w:r>
      <w:r w:rsidR="00A75FBE" w:rsidRPr="00F41449">
        <w:rPr>
          <w:color w:val="000000"/>
          <w:sz w:val="24"/>
          <w:szCs w:val="24"/>
        </w:rPr>
        <w:t xml:space="preserve">Consolidation of the two </w:t>
      </w:r>
      <w:r w:rsidR="004C30B0" w:rsidRPr="00F41449">
        <w:rPr>
          <w:color w:val="000000"/>
          <w:sz w:val="24"/>
          <w:szCs w:val="24"/>
        </w:rPr>
        <w:t>applications</w:t>
      </w:r>
      <w:r w:rsidR="00A75FBE" w:rsidRPr="00F41449">
        <w:rPr>
          <w:color w:val="000000"/>
          <w:sz w:val="24"/>
          <w:szCs w:val="24"/>
        </w:rPr>
        <w:t xml:space="preserve"> will not delay the resolution of either </w:t>
      </w:r>
      <w:r w:rsidR="004C30B0" w:rsidRPr="00F41449">
        <w:rPr>
          <w:color w:val="000000"/>
          <w:sz w:val="24"/>
          <w:szCs w:val="24"/>
        </w:rPr>
        <w:t>application</w:t>
      </w:r>
      <w:r w:rsidR="00A75FBE" w:rsidRPr="00F41449">
        <w:rPr>
          <w:color w:val="000000"/>
          <w:sz w:val="24"/>
          <w:szCs w:val="24"/>
        </w:rPr>
        <w:t xml:space="preserve">.  </w:t>
      </w:r>
      <w:r w:rsidR="00DB0D16" w:rsidRPr="00F41449">
        <w:rPr>
          <w:color w:val="000000"/>
          <w:sz w:val="24"/>
          <w:szCs w:val="24"/>
        </w:rPr>
        <w:t xml:space="preserve">For </w:t>
      </w:r>
      <w:proofErr w:type="gramStart"/>
      <w:r w:rsidR="00DB0D16" w:rsidRPr="00F41449">
        <w:rPr>
          <w:color w:val="000000"/>
          <w:sz w:val="24"/>
          <w:szCs w:val="24"/>
        </w:rPr>
        <w:t>all of the</w:t>
      </w:r>
      <w:r w:rsidR="0081483F" w:rsidRPr="00F41449">
        <w:rPr>
          <w:color w:val="000000"/>
          <w:sz w:val="24"/>
          <w:szCs w:val="24"/>
        </w:rPr>
        <w:t>se</w:t>
      </w:r>
      <w:proofErr w:type="gramEnd"/>
      <w:r w:rsidR="00DB0D16" w:rsidRPr="00F41449">
        <w:rPr>
          <w:color w:val="000000"/>
          <w:sz w:val="24"/>
          <w:szCs w:val="24"/>
        </w:rPr>
        <w:t xml:space="preserve"> reasons, consolidati</w:t>
      </w:r>
      <w:r w:rsidR="0081483F" w:rsidRPr="00F41449">
        <w:rPr>
          <w:color w:val="000000"/>
          <w:sz w:val="24"/>
          <w:szCs w:val="24"/>
        </w:rPr>
        <w:t>ng</w:t>
      </w:r>
      <w:r w:rsidR="00DB0D16" w:rsidRPr="00F41449">
        <w:rPr>
          <w:color w:val="000000"/>
          <w:sz w:val="24"/>
          <w:szCs w:val="24"/>
        </w:rPr>
        <w:t xml:space="preserve"> these </w:t>
      </w:r>
      <w:r w:rsidR="004C30B0" w:rsidRPr="00F41449">
        <w:rPr>
          <w:color w:val="000000"/>
          <w:sz w:val="24"/>
          <w:szCs w:val="24"/>
        </w:rPr>
        <w:t>applications</w:t>
      </w:r>
      <w:r w:rsidR="0081483F" w:rsidRPr="00F41449">
        <w:rPr>
          <w:color w:val="000000"/>
          <w:sz w:val="24"/>
          <w:szCs w:val="24"/>
        </w:rPr>
        <w:t xml:space="preserve"> </w:t>
      </w:r>
      <w:r w:rsidR="00DB0D16" w:rsidRPr="00F41449">
        <w:rPr>
          <w:color w:val="000000"/>
          <w:sz w:val="24"/>
          <w:szCs w:val="24"/>
        </w:rPr>
        <w:t>for hearing and decision is warranted.</w:t>
      </w:r>
      <w:r w:rsidR="00796E78" w:rsidRPr="00F41449">
        <w:rPr>
          <w:color w:val="000000"/>
          <w:sz w:val="24"/>
          <w:szCs w:val="24"/>
        </w:rPr>
        <w:t xml:space="preserve">  I will issue the following order.</w:t>
      </w:r>
    </w:p>
    <w:p w:rsidR="00AD1035" w:rsidRPr="00F41449" w:rsidRDefault="00AD1035" w:rsidP="00FF7A45">
      <w:pPr>
        <w:spacing w:line="360" w:lineRule="auto"/>
        <w:jc w:val="center"/>
        <w:rPr>
          <w:sz w:val="24"/>
          <w:szCs w:val="24"/>
          <w:u w:val="single"/>
        </w:rPr>
      </w:pPr>
    </w:p>
    <w:p w:rsidR="00FF7A45" w:rsidRPr="00F41449" w:rsidRDefault="00FF7A45" w:rsidP="00FF7A45">
      <w:pPr>
        <w:spacing w:line="360" w:lineRule="auto"/>
        <w:jc w:val="center"/>
        <w:rPr>
          <w:sz w:val="24"/>
          <w:szCs w:val="24"/>
        </w:rPr>
      </w:pPr>
      <w:r w:rsidRPr="00F41449">
        <w:rPr>
          <w:sz w:val="24"/>
          <w:szCs w:val="24"/>
          <w:u w:val="single"/>
        </w:rPr>
        <w:t>ORDER</w:t>
      </w:r>
    </w:p>
    <w:p w:rsidR="002F2F6A" w:rsidRDefault="002F2F6A" w:rsidP="00FF7A45">
      <w:pPr>
        <w:spacing w:line="360" w:lineRule="auto"/>
        <w:ind w:firstLine="1440"/>
        <w:rPr>
          <w:sz w:val="24"/>
          <w:szCs w:val="24"/>
        </w:rPr>
      </w:pPr>
    </w:p>
    <w:p w:rsidR="005B60C5" w:rsidRPr="00F41449" w:rsidRDefault="005B60C5" w:rsidP="00FF7A45">
      <w:pPr>
        <w:spacing w:line="360" w:lineRule="auto"/>
        <w:ind w:firstLine="1440"/>
        <w:rPr>
          <w:sz w:val="24"/>
          <w:szCs w:val="24"/>
        </w:rPr>
      </w:pPr>
    </w:p>
    <w:p w:rsidR="00FF7A45" w:rsidRPr="00F41449" w:rsidRDefault="00FF7A45" w:rsidP="00FF7A45">
      <w:pPr>
        <w:spacing w:line="360" w:lineRule="auto"/>
        <w:ind w:firstLine="1440"/>
        <w:rPr>
          <w:sz w:val="24"/>
          <w:szCs w:val="24"/>
        </w:rPr>
      </w:pPr>
      <w:r w:rsidRPr="00F41449">
        <w:rPr>
          <w:sz w:val="24"/>
          <w:szCs w:val="24"/>
        </w:rPr>
        <w:t>THEREFORE,</w:t>
      </w:r>
    </w:p>
    <w:p w:rsidR="00FF7A45" w:rsidRPr="00F41449" w:rsidRDefault="00FF7A45" w:rsidP="00FF7A45">
      <w:pPr>
        <w:tabs>
          <w:tab w:val="left" w:pos="2205"/>
        </w:tabs>
        <w:spacing w:line="360" w:lineRule="auto"/>
        <w:ind w:firstLine="1440"/>
        <w:rPr>
          <w:sz w:val="24"/>
          <w:szCs w:val="24"/>
        </w:rPr>
      </w:pPr>
      <w:r w:rsidRPr="00F41449">
        <w:rPr>
          <w:sz w:val="24"/>
          <w:szCs w:val="24"/>
        </w:rPr>
        <w:tab/>
      </w:r>
    </w:p>
    <w:p w:rsidR="00FF7A45" w:rsidRPr="00F41449" w:rsidRDefault="00FF7A45" w:rsidP="00FF7A45">
      <w:pPr>
        <w:spacing w:line="360" w:lineRule="auto"/>
        <w:ind w:firstLine="1440"/>
        <w:rPr>
          <w:sz w:val="24"/>
          <w:szCs w:val="24"/>
        </w:rPr>
      </w:pPr>
      <w:r w:rsidRPr="00F41449">
        <w:rPr>
          <w:sz w:val="24"/>
          <w:szCs w:val="24"/>
        </w:rPr>
        <w:t>IT IS ORDERED:</w:t>
      </w:r>
    </w:p>
    <w:p w:rsidR="00FF7A45" w:rsidRPr="00F41449" w:rsidRDefault="00FF7A45" w:rsidP="00FF7A45">
      <w:pPr>
        <w:spacing w:line="360" w:lineRule="auto"/>
        <w:ind w:firstLine="1440"/>
        <w:rPr>
          <w:sz w:val="24"/>
          <w:szCs w:val="24"/>
        </w:rPr>
      </w:pPr>
    </w:p>
    <w:p w:rsidR="004C30B0" w:rsidRPr="00F41449" w:rsidRDefault="004C30B0" w:rsidP="00FF7A45">
      <w:pPr>
        <w:spacing w:line="360" w:lineRule="auto"/>
        <w:ind w:firstLine="1440"/>
        <w:rPr>
          <w:sz w:val="24"/>
          <w:szCs w:val="24"/>
        </w:rPr>
      </w:pPr>
    </w:p>
    <w:p w:rsidR="004C30B0" w:rsidRPr="00F41449" w:rsidRDefault="00D5128B" w:rsidP="00FF7A45">
      <w:pPr>
        <w:spacing w:line="360" w:lineRule="auto"/>
        <w:ind w:firstLine="1440"/>
        <w:rPr>
          <w:sz w:val="24"/>
          <w:szCs w:val="24"/>
        </w:rPr>
      </w:pPr>
      <w:r w:rsidRPr="00F41449">
        <w:rPr>
          <w:sz w:val="24"/>
          <w:szCs w:val="24"/>
        </w:rPr>
        <w:t>1.</w:t>
      </w:r>
      <w:r w:rsidR="004C30B0" w:rsidRPr="00F41449">
        <w:rPr>
          <w:sz w:val="24"/>
          <w:szCs w:val="24"/>
        </w:rPr>
        <w:tab/>
      </w:r>
      <w:r w:rsidRPr="00F41449">
        <w:rPr>
          <w:sz w:val="24"/>
          <w:szCs w:val="24"/>
        </w:rPr>
        <w:t xml:space="preserve">That the motion of CSX Transportation, Inc. to consolidate its application at A-2016-2581908 with the application of York Railway Company at A-00123148, </w:t>
      </w:r>
      <w:r w:rsidR="004C30B0" w:rsidRPr="00F41449">
        <w:rPr>
          <w:sz w:val="24"/>
        </w:rPr>
        <w:t xml:space="preserve">pursuant to 52 </w:t>
      </w:r>
      <w:proofErr w:type="spellStart"/>
      <w:proofErr w:type="gramStart"/>
      <w:r w:rsidR="004C30B0" w:rsidRPr="00F41449">
        <w:rPr>
          <w:sz w:val="24"/>
        </w:rPr>
        <w:t>Pa.Code</w:t>
      </w:r>
      <w:proofErr w:type="spellEnd"/>
      <w:proofErr w:type="gramEnd"/>
      <w:r w:rsidR="004C30B0" w:rsidRPr="00F41449">
        <w:rPr>
          <w:sz w:val="24"/>
        </w:rPr>
        <w:t xml:space="preserve"> § 5.81(a)</w:t>
      </w:r>
      <w:r w:rsidRPr="00F41449">
        <w:rPr>
          <w:sz w:val="24"/>
        </w:rPr>
        <w:t>, is granted</w:t>
      </w:r>
      <w:r w:rsidR="004C30B0" w:rsidRPr="00F41449">
        <w:rPr>
          <w:sz w:val="24"/>
        </w:rPr>
        <w:t>.</w:t>
      </w:r>
    </w:p>
    <w:p w:rsidR="00FF7A45" w:rsidRPr="00F41449" w:rsidRDefault="00D5128B" w:rsidP="00FF7A45">
      <w:pPr>
        <w:spacing w:line="360" w:lineRule="auto"/>
        <w:ind w:firstLine="1440"/>
        <w:rPr>
          <w:sz w:val="24"/>
          <w:szCs w:val="24"/>
        </w:rPr>
      </w:pPr>
      <w:r w:rsidRPr="00F41449">
        <w:rPr>
          <w:sz w:val="24"/>
          <w:szCs w:val="24"/>
        </w:rPr>
        <w:lastRenderedPageBreak/>
        <w:t>2</w:t>
      </w:r>
      <w:r w:rsidR="00FF7A45" w:rsidRPr="00F41449">
        <w:rPr>
          <w:sz w:val="24"/>
          <w:szCs w:val="24"/>
        </w:rPr>
        <w:t>.</w:t>
      </w:r>
      <w:r w:rsidR="00FF7A45" w:rsidRPr="00F41449">
        <w:rPr>
          <w:sz w:val="24"/>
          <w:szCs w:val="24"/>
        </w:rPr>
        <w:tab/>
        <w:t xml:space="preserve"> </w:t>
      </w:r>
      <w:r w:rsidR="0003534D" w:rsidRPr="00F41449">
        <w:rPr>
          <w:sz w:val="24"/>
          <w:szCs w:val="24"/>
        </w:rPr>
        <w:t>That t</w:t>
      </w:r>
      <w:r w:rsidR="00FF7A45" w:rsidRPr="00F41449">
        <w:rPr>
          <w:sz w:val="24"/>
          <w:szCs w:val="24"/>
        </w:rPr>
        <w:t xml:space="preserve">he </w:t>
      </w:r>
      <w:r w:rsidRPr="00F41449">
        <w:rPr>
          <w:sz w:val="24"/>
          <w:szCs w:val="24"/>
        </w:rPr>
        <w:t>application of CSX Transportation, Inc. at A-2016-</w:t>
      </w:r>
      <w:proofErr w:type="gramStart"/>
      <w:r w:rsidRPr="00F41449">
        <w:rPr>
          <w:sz w:val="24"/>
          <w:szCs w:val="24"/>
        </w:rPr>
        <w:t>2581908  and</w:t>
      </w:r>
      <w:proofErr w:type="gramEnd"/>
      <w:r w:rsidRPr="00F41449">
        <w:rPr>
          <w:sz w:val="24"/>
          <w:szCs w:val="24"/>
        </w:rPr>
        <w:t xml:space="preserve"> the application of York Railway Company at A-00123148</w:t>
      </w:r>
      <w:r w:rsidR="008B558C" w:rsidRPr="00F41449">
        <w:rPr>
          <w:sz w:val="24"/>
          <w:szCs w:val="24"/>
        </w:rPr>
        <w:t xml:space="preserve"> </w:t>
      </w:r>
      <w:r w:rsidR="0003534D" w:rsidRPr="00F41449">
        <w:rPr>
          <w:sz w:val="24"/>
          <w:szCs w:val="24"/>
        </w:rPr>
        <w:t xml:space="preserve">are consolidated for purposes </w:t>
      </w:r>
      <w:r w:rsidR="00797810" w:rsidRPr="00F41449">
        <w:rPr>
          <w:sz w:val="24"/>
          <w:szCs w:val="24"/>
        </w:rPr>
        <w:t>of</w:t>
      </w:r>
      <w:r w:rsidR="0003534D" w:rsidRPr="00F41449">
        <w:rPr>
          <w:sz w:val="24"/>
          <w:szCs w:val="24"/>
        </w:rPr>
        <w:t xml:space="preserve"> hearing and decision</w:t>
      </w:r>
      <w:r w:rsidR="00AF7578" w:rsidRPr="00F41449">
        <w:rPr>
          <w:sz w:val="24"/>
          <w:szCs w:val="24"/>
        </w:rPr>
        <w:t>,</w:t>
      </w:r>
      <w:r w:rsidR="008B558C" w:rsidRPr="00F41449">
        <w:rPr>
          <w:sz w:val="24"/>
          <w:szCs w:val="24"/>
        </w:rPr>
        <w:t xml:space="preserve"> pursuant to 52 Pa. Code §5.81</w:t>
      </w:r>
      <w:r w:rsidR="00FF7A45" w:rsidRPr="00F41449">
        <w:rPr>
          <w:sz w:val="24"/>
          <w:szCs w:val="24"/>
        </w:rPr>
        <w:t>.</w:t>
      </w:r>
    </w:p>
    <w:p w:rsidR="00FF7A45" w:rsidRPr="00F41449" w:rsidRDefault="00FF7A45" w:rsidP="00FF7A45">
      <w:pPr>
        <w:spacing w:line="360" w:lineRule="auto"/>
        <w:rPr>
          <w:sz w:val="24"/>
          <w:szCs w:val="24"/>
        </w:rPr>
      </w:pPr>
    </w:p>
    <w:p w:rsidR="00925C70" w:rsidRPr="00F41449" w:rsidRDefault="00925C70" w:rsidP="00FF7A45">
      <w:pPr>
        <w:spacing w:line="360" w:lineRule="auto"/>
        <w:rPr>
          <w:sz w:val="24"/>
          <w:szCs w:val="24"/>
        </w:rPr>
      </w:pPr>
    </w:p>
    <w:p w:rsidR="00B20E68" w:rsidRPr="00F41449" w:rsidRDefault="00B20E68" w:rsidP="00B20E68">
      <w:pPr>
        <w:pStyle w:val="ParaTab1"/>
        <w:tabs>
          <w:tab w:val="clear" w:pos="-720"/>
          <w:tab w:val="left" w:pos="720"/>
          <w:tab w:val="left" w:pos="5040"/>
        </w:tabs>
        <w:ind w:firstLine="0"/>
        <w:rPr>
          <w:rFonts w:ascii="Times New Roman" w:hAnsi="Times New Roman" w:cs="Times New Roman"/>
          <w:spacing w:val="-3"/>
        </w:rPr>
      </w:pPr>
      <w:r w:rsidRPr="00F41449">
        <w:rPr>
          <w:rFonts w:ascii="Times New Roman" w:hAnsi="Times New Roman" w:cs="Times New Roman"/>
          <w:spacing w:val="-3"/>
        </w:rPr>
        <w:t>Date:</w:t>
      </w:r>
      <w:r w:rsidRPr="00F41449">
        <w:rPr>
          <w:rFonts w:ascii="Times New Roman" w:hAnsi="Times New Roman" w:cs="Times New Roman"/>
          <w:spacing w:val="-3"/>
        </w:rPr>
        <w:tab/>
      </w:r>
      <w:r w:rsidR="00D5128B" w:rsidRPr="00F41449">
        <w:rPr>
          <w:rFonts w:ascii="Times New Roman" w:hAnsi="Times New Roman" w:cs="Times New Roman"/>
          <w:spacing w:val="-3"/>
          <w:u w:val="single"/>
        </w:rPr>
        <w:t>September 1</w:t>
      </w:r>
      <w:r w:rsidR="005B60C5">
        <w:rPr>
          <w:rFonts w:ascii="Times New Roman" w:hAnsi="Times New Roman" w:cs="Times New Roman"/>
          <w:spacing w:val="-3"/>
          <w:u w:val="single"/>
        </w:rPr>
        <w:t>3</w:t>
      </w:r>
      <w:r w:rsidR="00D5128B" w:rsidRPr="00F41449">
        <w:rPr>
          <w:rFonts w:ascii="Times New Roman" w:hAnsi="Times New Roman" w:cs="Times New Roman"/>
          <w:spacing w:val="-3"/>
          <w:u w:val="single"/>
        </w:rPr>
        <w:t>, 2017</w:t>
      </w:r>
      <w:r w:rsidRPr="00F41449">
        <w:rPr>
          <w:rFonts w:ascii="Times New Roman" w:hAnsi="Times New Roman" w:cs="Times New Roman"/>
          <w:spacing w:val="-3"/>
        </w:rPr>
        <w:tab/>
        <w:t>_______________________</w:t>
      </w:r>
    </w:p>
    <w:p w:rsidR="00B20E68" w:rsidRPr="00F41449" w:rsidRDefault="00B20E68" w:rsidP="00B20E68">
      <w:pPr>
        <w:pStyle w:val="ParaTab1"/>
        <w:tabs>
          <w:tab w:val="clear" w:pos="-720"/>
          <w:tab w:val="left" w:pos="720"/>
          <w:tab w:val="left" w:pos="5040"/>
        </w:tabs>
        <w:ind w:firstLine="0"/>
        <w:rPr>
          <w:rFonts w:ascii="Times New Roman" w:hAnsi="Times New Roman" w:cs="Times New Roman"/>
          <w:spacing w:val="-3"/>
        </w:rPr>
      </w:pPr>
      <w:r w:rsidRPr="00F41449">
        <w:rPr>
          <w:rFonts w:ascii="Times New Roman" w:hAnsi="Times New Roman" w:cs="Times New Roman"/>
          <w:spacing w:val="-3"/>
        </w:rPr>
        <w:tab/>
      </w:r>
      <w:r w:rsidRPr="00F41449">
        <w:rPr>
          <w:rFonts w:ascii="Times New Roman" w:hAnsi="Times New Roman" w:cs="Times New Roman"/>
          <w:spacing w:val="-3"/>
        </w:rPr>
        <w:tab/>
        <w:t>David A. Salapa</w:t>
      </w:r>
    </w:p>
    <w:p w:rsidR="00B20E68" w:rsidRDefault="00B20E68" w:rsidP="001A09E1">
      <w:pPr>
        <w:pStyle w:val="ParaTab1"/>
        <w:tabs>
          <w:tab w:val="clear" w:pos="-720"/>
          <w:tab w:val="left" w:pos="720"/>
          <w:tab w:val="left" w:pos="5040"/>
        </w:tabs>
        <w:ind w:firstLine="0"/>
        <w:rPr>
          <w:rFonts w:ascii="Times New Roman" w:hAnsi="Times New Roman"/>
        </w:rPr>
      </w:pPr>
      <w:r w:rsidRPr="00F41449">
        <w:rPr>
          <w:rFonts w:ascii="Times New Roman" w:hAnsi="Times New Roman"/>
        </w:rPr>
        <w:tab/>
      </w:r>
      <w:r w:rsidRPr="00F41449">
        <w:rPr>
          <w:rFonts w:ascii="Times New Roman" w:hAnsi="Times New Roman"/>
        </w:rPr>
        <w:tab/>
        <w:t>Administrative Law Judge</w:t>
      </w:r>
    </w:p>
    <w:p w:rsidR="005B60C5" w:rsidRDefault="005B60C5" w:rsidP="001A09E1">
      <w:pPr>
        <w:pStyle w:val="ParaTab1"/>
        <w:tabs>
          <w:tab w:val="clear" w:pos="-720"/>
          <w:tab w:val="left" w:pos="720"/>
          <w:tab w:val="left" w:pos="5040"/>
        </w:tabs>
        <w:ind w:firstLine="0"/>
        <w:rPr>
          <w:rFonts w:ascii="Times New Roman" w:hAnsi="Times New Roman"/>
        </w:rPr>
      </w:pPr>
    </w:p>
    <w:p w:rsidR="005B60C5" w:rsidRDefault="005B60C5" w:rsidP="001A09E1">
      <w:pPr>
        <w:pStyle w:val="ParaTab1"/>
        <w:tabs>
          <w:tab w:val="clear" w:pos="-720"/>
          <w:tab w:val="left" w:pos="720"/>
          <w:tab w:val="left" w:pos="5040"/>
        </w:tabs>
        <w:ind w:firstLine="0"/>
        <w:rPr>
          <w:rFonts w:ascii="Times New Roman" w:hAnsi="Times New Roman"/>
        </w:rPr>
        <w:sectPr w:rsidR="005B60C5" w:rsidSect="005B60C5">
          <w:footerReference w:type="default" r:id="rId9"/>
          <w:pgSz w:w="12240" w:h="15840"/>
          <w:pgMar w:top="1296" w:right="1440" w:bottom="1296" w:left="1440" w:header="720" w:footer="720" w:gutter="0"/>
          <w:cols w:space="720"/>
          <w:docGrid w:linePitch="360"/>
        </w:sectPr>
      </w:pP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b/>
          <w:sz w:val="24"/>
          <w:szCs w:val="20"/>
          <w:u w:val="single"/>
        </w:rPr>
        <w:lastRenderedPageBreak/>
        <w:t>A-00123148 - APPLICATION OF THE YORK RAILWAY COMPANY TO DETERMINE FAIR AND REASONABLE MAINTENANCE RESPONSIBILITIES FOR THE WARNING DEVICES AT THE BROADWAY STREET CROSSINGS (DOT 540 847 W AND DOT 832 109 N) WHERE YORK RAILWAY COMPANY AND CSX TRANSPORTATION CROSS SAID ROADWAY IN THE BOROUGH OF HANOVER, YORK COUNTY, PA.</w:t>
      </w: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ADAM FRANKEL ESQUIRE</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GENESEE &amp; WYOMING INC</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66 FIELD POINT ROAD</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GREENWICH CT  06830</w:t>
      </w: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DAVID W BORDEN</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YORK RAILWAY COMPANY</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2790 W MARKET STREET</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YORK PA  17404</w:t>
      </w: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DAN ZINK</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CSX TRANSPORTATION INC</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300 S BURHARDS BLVD</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HAGERSTOWN MD  21740</w:t>
      </w: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BRADLEY R GORTER ESQUIRE</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PA PUBLIC UTILITY COMMISSION</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BUREAU OF INVESTIGATION &amp; ENFORCEMENT</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PO BOX 3265</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HARRISBURG PA  17105-3265</w:t>
      </w:r>
    </w:p>
    <w:p w:rsidR="005B60C5" w:rsidRPr="005B60C5" w:rsidRDefault="005B60C5" w:rsidP="005B60C5">
      <w:pPr>
        <w:rPr>
          <w:rFonts w:ascii="Microsoft Sans Serif" w:eastAsia="Calibri" w:hAnsi="Microsoft Sans Serif" w:cs="Microsoft Sans Serif"/>
          <w:b/>
          <w:i/>
          <w:sz w:val="24"/>
          <w:szCs w:val="20"/>
          <w:u w:val="single"/>
        </w:rPr>
      </w:pPr>
      <w:r w:rsidRPr="005B60C5">
        <w:rPr>
          <w:rFonts w:ascii="Microsoft Sans Serif" w:eastAsia="Calibri" w:hAnsi="Microsoft Sans Serif" w:cs="Microsoft Sans Serif"/>
          <w:b/>
          <w:i/>
          <w:sz w:val="24"/>
          <w:szCs w:val="20"/>
          <w:u w:val="single"/>
        </w:rPr>
        <w:t>Accepts e-Service</w:t>
      </w: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GINA M D’ALFONSO ESQUIRE</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PA DEPT OF TRANSPORTATION</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PO BOX 8212</w:t>
      </w:r>
      <w:bookmarkStart w:id="2" w:name="_GoBack"/>
      <w:bookmarkEnd w:id="2"/>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HARRISBURG PA  17105-8212</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b/>
          <w:i/>
          <w:sz w:val="24"/>
          <w:szCs w:val="20"/>
          <w:u w:val="single"/>
        </w:rPr>
        <w:t>Accepts e-Service</w:t>
      </w: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GREGORY J VAUGHN</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PA DEPT OF TRANSPORTATION</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2140 HERR STREET</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HARRISBURG PA  17103</w:t>
      </w:r>
    </w:p>
    <w:p w:rsidR="005B60C5" w:rsidRPr="005B60C5" w:rsidRDefault="005B60C5" w:rsidP="005B60C5">
      <w:pPr>
        <w:rPr>
          <w:rFonts w:ascii="Microsoft Sans Serif" w:eastAsia="Calibri" w:hAnsi="Microsoft Sans Serif" w:cs="Microsoft Sans Serif"/>
          <w:b/>
          <w:i/>
          <w:sz w:val="24"/>
          <w:szCs w:val="20"/>
          <w:u w:val="single"/>
        </w:rPr>
      </w:pPr>
      <w:r w:rsidRPr="005B60C5">
        <w:rPr>
          <w:rFonts w:ascii="Microsoft Sans Serif" w:eastAsia="Calibri" w:hAnsi="Microsoft Sans Serif" w:cs="Microsoft Sans Serif"/>
          <w:b/>
          <w:i/>
          <w:sz w:val="24"/>
          <w:szCs w:val="20"/>
          <w:u w:val="single"/>
        </w:rPr>
        <w:t>Accepts e-Service</w:t>
      </w: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YORK COUNTY COMMISSIONERS</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28 EAST MARKET STREET</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YORK PA  17401</w:t>
      </w: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BOROUGH OF HANOVER</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44 FREDERICK STREET</w:t>
      </w:r>
    </w:p>
    <w:p w:rsidR="005B60C5" w:rsidRPr="005B60C5" w:rsidRDefault="005B60C5" w:rsidP="005B60C5">
      <w:pPr>
        <w:rPr>
          <w:rFonts w:ascii="Microsoft Sans Serif" w:eastAsia="Calibri" w:hAnsi="Microsoft Sans Serif" w:cs="Microsoft Sans Serif"/>
          <w:sz w:val="24"/>
          <w:szCs w:val="20"/>
        </w:rPr>
      </w:pPr>
      <w:r w:rsidRPr="005B60C5">
        <w:rPr>
          <w:rFonts w:ascii="Microsoft Sans Serif" w:eastAsia="Calibri" w:hAnsi="Microsoft Sans Serif" w:cs="Microsoft Sans Serif"/>
          <w:sz w:val="24"/>
          <w:szCs w:val="20"/>
        </w:rPr>
        <w:t>HANOVER PA  17331</w:t>
      </w:r>
    </w:p>
    <w:p w:rsidR="005B60C5" w:rsidRPr="005B60C5" w:rsidRDefault="005B60C5" w:rsidP="005B60C5">
      <w:pPr>
        <w:rPr>
          <w:rFonts w:ascii="Microsoft Sans Serif" w:eastAsia="Calibri" w:hAnsi="Microsoft Sans Serif" w:cs="Microsoft Sans Serif"/>
          <w:sz w:val="24"/>
          <w:szCs w:val="20"/>
        </w:rPr>
      </w:pPr>
    </w:p>
    <w:p w:rsidR="005B60C5" w:rsidRPr="005B60C5" w:rsidRDefault="005B60C5" w:rsidP="005B60C5">
      <w:pPr>
        <w:jc w:val="both"/>
        <w:rPr>
          <w:rFonts w:ascii="Microsoft Sans Serif" w:hAnsi="Microsoft Sans Serif" w:cs="Microsoft Sans Serif"/>
          <w:sz w:val="24"/>
          <w:szCs w:val="24"/>
        </w:rPr>
      </w:pPr>
    </w:p>
    <w:p w:rsidR="005B60C5" w:rsidRPr="00F41449" w:rsidRDefault="005B60C5" w:rsidP="001A09E1">
      <w:pPr>
        <w:pStyle w:val="ParaTab1"/>
        <w:tabs>
          <w:tab w:val="clear" w:pos="-720"/>
          <w:tab w:val="left" w:pos="720"/>
          <w:tab w:val="left" w:pos="5040"/>
        </w:tabs>
        <w:ind w:firstLine="0"/>
        <w:rPr>
          <w:rFonts w:ascii="Times New Roman" w:hAnsi="Times New Roman"/>
        </w:rPr>
      </w:pPr>
    </w:p>
    <w:sectPr w:rsidR="005B60C5" w:rsidRPr="00F41449" w:rsidSect="008164AE">
      <w:footerReference w:type="default" r:id="rId10"/>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DFD" w:rsidRDefault="00DA3DFD">
      <w:r>
        <w:separator/>
      </w:r>
    </w:p>
  </w:endnote>
  <w:endnote w:type="continuationSeparator" w:id="0">
    <w:p w:rsidR="00DA3DFD" w:rsidRDefault="00DA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E1" w:rsidRPr="005B60C5" w:rsidRDefault="001A09E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962677"/>
      <w:docPartObj>
        <w:docPartGallery w:val="Page Numbers (Bottom of Page)"/>
        <w:docPartUnique/>
      </w:docPartObj>
    </w:sdtPr>
    <w:sdtEndPr>
      <w:rPr>
        <w:noProof/>
        <w:sz w:val="20"/>
        <w:szCs w:val="20"/>
      </w:rPr>
    </w:sdtEndPr>
    <w:sdtContent>
      <w:p w:rsidR="005B60C5" w:rsidRPr="005B60C5" w:rsidRDefault="005B60C5">
        <w:pPr>
          <w:pStyle w:val="Footer"/>
          <w:jc w:val="center"/>
          <w:rPr>
            <w:sz w:val="20"/>
            <w:szCs w:val="20"/>
          </w:rPr>
        </w:pPr>
        <w:r w:rsidRPr="005B60C5">
          <w:rPr>
            <w:sz w:val="20"/>
            <w:szCs w:val="20"/>
          </w:rPr>
          <w:fldChar w:fldCharType="begin"/>
        </w:r>
        <w:r w:rsidRPr="005B60C5">
          <w:rPr>
            <w:sz w:val="20"/>
            <w:szCs w:val="20"/>
          </w:rPr>
          <w:instrText xml:space="preserve"> PAGE   \* MERGEFORMAT </w:instrText>
        </w:r>
        <w:r w:rsidRPr="005B60C5">
          <w:rPr>
            <w:sz w:val="20"/>
            <w:szCs w:val="20"/>
          </w:rPr>
          <w:fldChar w:fldCharType="separate"/>
        </w:r>
        <w:r w:rsidR="000705A0">
          <w:rPr>
            <w:noProof/>
            <w:sz w:val="20"/>
            <w:szCs w:val="20"/>
          </w:rPr>
          <w:t>5</w:t>
        </w:r>
        <w:r w:rsidRPr="005B60C5">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0C5" w:rsidRPr="005B60C5" w:rsidRDefault="005B60C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DFD" w:rsidRDefault="00DA3DFD">
      <w:r>
        <w:separator/>
      </w:r>
    </w:p>
  </w:footnote>
  <w:footnote w:type="continuationSeparator" w:id="0">
    <w:p w:rsidR="00DA3DFD" w:rsidRDefault="00DA3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707404E"/>
    <w:multiLevelType w:val="hybridMultilevel"/>
    <w:tmpl w:val="09BA6614"/>
    <w:lvl w:ilvl="0" w:tplc="25B034AC">
      <w:start w:val="5"/>
      <w:numFmt w:val="lowerRoman"/>
      <w:lvlText w:val="%1."/>
      <w:lvlJc w:val="left"/>
      <w:pPr>
        <w:tabs>
          <w:tab w:val="num" w:pos="5100"/>
        </w:tabs>
        <w:ind w:left="5100" w:hanging="474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62023F60"/>
    <w:multiLevelType w:val="hybridMultilevel"/>
    <w:tmpl w:val="EADED0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45"/>
    <w:rsid w:val="000232EA"/>
    <w:rsid w:val="00030CC7"/>
    <w:rsid w:val="000347E5"/>
    <w:rsid w:val="0003534D"/>
    <w:rsid w:val="000370A7"/>
    <w:rsid w:val="00042FCD"/>
    <w:rsid w:val="00061197"/>
    <w:rsid w:val="00063A51"/>
    <w:rsid w:val="000705A0"/>
    <w:rsid w:val="000723C9"/>
    <w:rsid w:val="00075FA0"/>
    <w:rsid w:val="000B1DD9"/>
    <w:rsid w:val="000B5B35"/>
    <w:rsid w:val="000C0F84"/>
    <w:rsid w:val="000C5DE3"/>
    <w:rsid w:val="000D0343"/>
    <w:rsid w:val="000D6258"/>
    <w:rsid w:val="00107D02"/>
    <w:rsid w:val="00116B43"/>
    <w:rsid w:val="00126C5B"/>
    <w:rsid w:val="001341C0"/>
    <w:rsid w:val="001374E4"/>
    <w:rsid w:val="0015596A"/>
    <w:rsid w:val="0016007B"/>
    <w:rsid w:val="00170FF7"/>
    <w:rsid w:val="00172746"/>
    <w:rsid w:val="00173C54"/>
    <w:rsid w:val="00194095"/>
    <w:rsid w:val="001A09E1"/>
    <w:rsid w:val="001A63DC"/>
    <w:rsid w:val="001A7579"/>
    <w:rsid w:val="001C11FC"/>
    <w:rsid w:val="001D08F2"/>
    <w:rsid w:val="001D4B6E"/>
    <w:rsid w:val="001E0BD2"/>
    <w:rsid w:val="001E1D96"/>
    <w:rsid w:val="001E1E25"/>
    <w:rsid w:val="001E4376"/>
    <w:rsid w:val="001E4797"/>
    <w:rsid w:val="002004EA"/>
    <w:rsid w:val="00214908"/>
    <w:rsid w:val="00215B25"/>
    <w:rsid w:val="002326E9"/>
    <w:rsid w:val="00237D06"/>
    <w:rsid w:val="00241663"/>
    <w:rsid w:val="0024673F"/>
    <w:rsid w:val="00266D96"/>
    <w:rsid w:val="002823FB"/>
    <w:rsid w:val="002C152A"/>
    <w:rsid w:val="002C3865"/>
    <w:rsid w:val="002D01D6"/>
    <w:rsid w:val="002D3FFE"/>
    <w:rsid w:val="002D468C"/>
    <w:rsid w:val="002E1AF1"/>
    <w:rsid w:val="002F1AF9"/>
    <w:rsid w:val="002F2F6A"/>
    <w:rsid w:val="00303009"/>
    <w:rsid w:val="00322911"/>
    <w:rsid w:val="00326FD8"/>
    <w:rsid w:val="003441A3"/>
    <w:rsid w:val="00350D22"/>
    <w:rsid w:val="00364908"/>
    <w:rsid w:val="003715EE"/>
    <w:rsid w:val="00371EE8"/>
    <w:rsid w:val="00382FF9"/>
    <w:rsid w:val="003835D8"/>
    <w:rsid w:val="00386419"/>
    <w:rsid w:val="00391221"/>
    <w:rsid w:val="00392659"/>
    <w:rsid w:val="003962FB"/>
    <w:rsid w:val="003A4B31"/>
    <w:rsid w:val="003A7CA6"/>
    <w:rsid w:val="003B3798"/>
    <w:rsid w:val="003C25C2"/>
    <w:rsid w:val="003D32D6"/>
    <w:rsid w:val="003D471A"/>
    <w:rsid w:val="003E1A5A"/>
    <w:rsid w:val="003E6353"/>
    <w:rsid w:val="003F6BFE"/>
    <w:rsid w:val="00400548"/>
    <w:rsid w:val="004039D4"/>
    <w:rsid w:val="004254F9"/>
    <w:rsid w:val="004427BC"/>
    <w:rsid w:val="00443D82"/>
    <w:rsid w:val="00447BE1"/>
    <w:rsid w:val="004570BF"/>
    <w:rsid w:val="00466E1C"/>
    <w:rsid w:val="004708B5"/>
    <w:rsid w:val="004938B3"/>
    <w:rsid w:val="00496CE5"/>
    <w:rsid w:val="004B0C14"/>
    <w:rsid w:val="004B26FA"/>
    <w:rsid w:val="004B44D7"/>
    <w:rsid w:val="004C30B0"/>
    <w:rsid w:val="004C79A2"/>
    <w:rsid w:val="004C7F6B"/>
    <w:rsid w:val="004D72DF"/>
    <w:rsid w:val="004F623D"/>
    <w:rsid w:val="0050713F"/>
    <w:rsid w:val="005109EC"/>
    <w:rsid w:val="00511E45"/>
    <w:rsid w:val="00520E3A"/>
    <w:rsid w:val="00533710"/>
    <w:rsid w:val="00534FC5"/>
    <w:rsid w:val="0054396D"/>
    <w:rsid w:val="00545E1A"/>
    <w:rsid w:val="00555291"/>
    <w:rsid w:val="005573E7"/>
    <w:rsid w:val="0055768F"/>
    <w:rsid w:val="00560419"/>
    <w:rsid w:val="00560B89"/>
    <w:rsid w:val="0059106D"/>
    <w:rsid w:val="00591F63"/>
    <w:rsid w:val="005B3E4A"/>
    <w:rsid w:val="005B60C5"/>
    <w:rsid w:val="005C275D"/>
    <w:rsid w:val="005C2CE1"/>
    <w:rsid w:val="005C63D1"/>
    <w:rsid w:val="005D5A1B"/>
    <w:rsid w:val="005E0488"/>
    <w:rsid w:val="005F052C"/>
    <w:rsid w:val="005F370B"/>
    <w:rsid w:val="005F6906"/>
    <w:rsid w:val="0061161F"/>
    <w:rsid w:val="006262F9"/>
    <w:rsid w:val="00657BF6"/>
    <w:rsid w:val="00660F71"/>
    <w:rsid w:val="00665B05"/>
    <w:rsid w:val="00674D65"/>
    <w:rsid w:val="00677A4F"/>
    <w:rsid w:val="006811A9"/>
    <w:rsid w:val="006813F3"/>
    <w:rsid w:val="00685D7C"/>
    <w:rsid w:val="006B24F0"/>
    <w:rsid w:val="006F0AB5"/>
    <w:rsid w:val="006F4706"/>
    <w:rsid w:val="006F4FE7"/>
    <w:rsid w:val="00701F7F"/>
    <w:rsid w:val="007061AB"/>
    <w:rsid w:val="00712062"/>
    <w:rsid w:val="00714BAC"/>
    <w:rsid w:val="00716E98"/>
    <w:rsid w:val="00717033"/>
    <w:rsid w:val="0076323A"/>
    <w:rsid w:val="00770385"/>
    <w:rsid w:val="007739F5"/>
    <w:rsid w:val="00777723"/>
    <w:rsid w:val="00796E78"/>
    <w:rsid w:val="00797810"/>
    <w:rsid w:val="007A13D8"/>
    <w:rsid w:val="007C0768"/>
    <w:rsid w:val="007C1B6F"/>
    <w:rsid w:val="007C7579"/>
    <w:rsid w:val="007D2940"/>
    <w:rsid w:val="007D296E"/>
    <w:rsid w:val="008135B6"/>
    <w:rsid w:val="0081483F"/>
    <w:rsid w:val="00820C42"/>
    <w:rsid w:val="0082128C"/>
    <w:rsid w:val="00821B9B"/>
    <w:rsid w:val="00833B0D"/>
    <w:rsid w:val="00855529"/>
    <w:rsid w:val="008574FF"/>
    <w:rsid w:val="0087554D"/>
    <w:rsid w:val="008755B1"/>
    <w:rsid w:val="00876F95"/>
    <w:rsid w:val="00883EBB"/>
    <w:rsid w:val="008854A4"/>
    <w:rsid w:val="00885F05"/>
    <w:rsid w:val="008A1C63"/>
    <w:rsid w:val="008A2D47"/>
    <w:rsid w:val="008A6557"/>
    <w:rsid w:val="008B558C"/>
    <w:rsid w:val="008C0C3F"/>
    <w:rsid w:val="008F1571"/>
    <w:rsid w:val="008F5FB5"/>
    <w:rsid w:val="00904E9E"/>
    <w:rsid w:val="009110F9"/>
    <w:rsid w:val="0091754D"/>
    <w:rsid w:val="00920E35"/>
    <w:rsid w:val="00925C70"/>
    <w:rsid w:val="00926D2B"/>
    <w:rsid w:val="0093520F"/>
    <w:rsid w:val="00950576"/>
    <w:rsid w:val="0095288F"/>
    <w:rsid w:val="0097160D"/>
    <w:rsid w:val="0097278D"/>
    <w:rsid w:val="00972D20"/>
    <w:rsid w:val="009752CC"/>
    <w:rsid w:val="009909B2"/>
    <w:rsid w:val="00990F35"/>
    <w:rsid w:val="009A613E"/>
    <w:rsid w:val="009B0B93"/>
    <w:rsid w:val="009B3D82"/>
    <w:rsid w:val="009D32FC"/>
    <w:rsid w:val="009F3ED2"/>
    <w:rsid w:val="00A03AA8"/>
    <w:rsid w:val="00A049D7"/>
    <w:rsid w:val="00A07938"/>
    <w:rsid w:val="00A14529"/>
    <w:rsid w:val="00A15153"/>
    <w:rsid w:val="00A2387E"/>
    <w:rsid w:val="00A339CA"/>
    <w:rsid w:val="00A5334F"/>
    <w:rsid w:val="00A6070B"/>
    <w:rsid w:val="00A75FBE"/>
    <w:rsid w:val="00A80210"/>
    <w:rsid w:val="00A808E0"/>
    <w:rsid w:val="00A931CC"/>
    <w:rsid w:val="00A9483D"/>
    <w:rsid w:val="00A94CCE"/>
    <w:rsid w:val="00AA1C7F"/>
    <w:rsid w:val="00AB5561"/>
    <w:rsid w:val="00AC2F9C"/>
    <w:rsid w:val="00AD1035"/>
    <w:rsid w:val="00AE4FE5"/>
    <w:rsid w:val="00AF5A52"/>
    <w:rsid w:val="00AF7578"/>
    <w:rsid w:val="00B00182"/>
    <w:rsid w:val="00B10672"/>
    <w:rsid w:val="00B108D0"/>
    <w:rsid w:val="00B20E68"/>
    <w:rsid w:val="00B326D4"/>
    <w:rsid w:val="00B32C73"/>
    <w:rsid w:val="00B36E83"/>
    <w:rsid w:val="00B425A3"/>
    <w:rsid w:val="00B5026A"/>
    <w:rsid w:val="00B50CC1"/>
    <w:rsid w:val="00B80EF9"/>
    <w:rsid w:val="00B822D8"/>
    <w:rsid w:val="00B95BA5"/>
    <w:rsid w:val="00BA394D"/>
    <w:rsid w:val="00BD0CEC"/>
    <w:rsid w:val="00BD1BC8"/>
    <w:rsid w:val="00BD6CAA"/>
    <w:rsid w:val="00BD7384"/>
    <w:rsid w:val="00BF1ED7"/>
    <w:rsid w:val="00C14406"/>
    <w:rsid w:val="00C17F72"/>
    <w:rsid w:val="00C239BE"/>
    <w:rsid w:val="00C2605C"/>
    <w:rsid w:val="00C43AD7"/>
    <w:rsid w:val="00C474E6"/>
    <w:rsid w:val="00C52564"/>
    <w:rsid w:val="00C7369F"/>
    <w:rsid w:val="00C8100C"/>
    <w:rsid w:val="00C82987"/>
    <w:rsid w:val="00C90EF5"/>
    <w:rsid w:val="00C9158F"/>
    <w:rsid w:val="00C957BB"/>
    <w:rsid w:val="00CA47C7"/>
    <w:rsid w:val="00CB2242"/>
    <w:rsid w:val="00CB6822"/>
    <w:rsid w:val="00CC4A93"/>
    <w:rsid w:val="00CD4FB8"/>
    <w:rsid w:val="00CE5DCA"/>
    <w:rsid w:val="00CF5D64"/>
    <w:rsid w:val="00D02E7B"/>
    <w:rsid w:val="00D06915"/>
    <w:rsid w:val="00D10697"/>
    <w:rsid w:val="00D30638"/>
    <w:rsid w:val="00D40AD1"/>
    <w:rsid w:val="00D5128B"/>
    <w:rsid w:val="00D7185A"/>
    <w:rsid w:val="00D82B0E"/>
    <w:rsid w:val="00D83201"/>
    <w:rsid w:val="00D8360A"/>
    <w:rsid w:val="00D93BEE"/>
    <w:rsid w:val="00D95B8E"/>
    <w:rsid w:val="00DA06F3"/>
    <w:rsid w:val="00DA07AE"/>
    <w:rsid w:val="00DA3DFD"/>
    <w:rsid w:val="00DB0D16"/>
    <w:rsid w:val="00DC0857"/>
    <w:rsid w:val="00DC572F"/>
    <w:rsid w:val="00DD1A00"/>
    <w:rsid w:val="00DE3152"/>
    <w:rsid w:val="00DE48F2"/>
    <w:rsid w:val="00DF05EF"/>
    <w:rsid w:val="00DF2D25"/>
    <w:rsid w:val="00DF3E37"/>
    <w:rsid w:val="00DF4A1A"/>
    <w:rsid w:val="00E149DB"/>
    <w:rsid w:val="00E247EF"/>
    <w:rsid w:val="00E37352"/>
    <w:rsid w:val="00E61B97"/>
    <w:rsid w:val="00E6418D"/>
    <w:rsid w:val="00E76E50"/>
    <w:rsid w:val="00E7711D"/>
    <w:rsid w:val="00E82BCE"/>
    <w:rsid w:val="00E90E75"/>
    <w:rsid w:val="00EC0638"/>
    <w:rsid w:val="00EC73FD"/>
    <w:rsid w:val="00ED1577"/>
    <w:rsid w:val="00ED3FFB"/>
    <w:rsid w:val="00ED40A2"/>
    <w:rsid w:val="00EE3455"/>
    <w:rsid w:val="00EE6268"/>
    <w:rsid w:val="00EF62DA"/>
    <w:rsid w:val="00F10E35"/>
    <w:rsid w:val="00F1149D"/>
    <w:rsid w:val="00F11D5C"/>
    <w:rsid w:val="00F1317A"/>
    <w:rsid w:val="00F154DF"/>
    <w:rsid w:val="00F21E92"/>
    <w:rsid w:val="00F41449"/>
    <w:rsid w:val="00F821E7"/>
    <w:rsid w:val="00FA4384"/>
    <w:rsid w:val="00FB10E3"/>
    <w:rsid w:val="00FB3CCF"/>
    <w:rsid w:val="00FB7939"/>
    <w:rsid w:val="00FC793C"/>
    <w:rsid w:val="00FD31B2"/>
    <w:rsid w:val="00FE13C2"/>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81B70"/>
  <w15:docId w15:val="{98E4181F-EBBF-42F9-8D5E-524342E4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F7A45"/>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F7A45"/>
    <w:rPr>
      <w:sz w:val="20"/>
      <w:szCs w:val="20"/>
    </w:rPr>
  </w:style>
  <w:style w:type="character" w:styleId="FootnoteReference">
    <w:name w:val="footnote reference"/>
    <w:semiHidden/>
    <w:rsid w:val="00FF7A45"/>
    <w:rPr>
      <w:vertAlign w:val="superscript"/>
    </w:rPr>
  </w:style>
  <w:style w:type="paragraph" w:styleId="CommentText">
    <w:name w:val="annotation text"/>
    <w:basedOn w:val="Normal"/>
    <w:semiHidden/>
    <w:rsid w:val="00FF7A45"/>
    <w:rPr>
      <w:sz w:val="20"/>
      <w:szCs w:val="20"/>
    </w:rPr>
  </w:style>
  <w:style w:type="paragraph" w:styleId="Footer">
    <w:name w:val="footer"/>
    <w:basedOn w:val="Normal"/>
    <w:link w:val="FooterChar"/>
    <w:uiPriority w:val="99"/>
    <w:rsid w:val="00FF7A45"/>
    <w:pPr>
      <w:tabs>
        <w:tab w:val="center" w:pos="4320"/>
        <w:tab w:val="right" w:pos="8640"/>
      </w:tabs>
    </w:pPr>
  </w:style>
  <w:style w:type="character" w:styleId="PageNumber">
    <w:name w:val="page number"/>
    <w:basedOn w:val="DefaultParagraphFont"/>
    <w:rsid w:val="00FF7A45"/>
  </w:style>
  <w:style w:type="character" w:customStyle="1" w:styleId="documentbody1">
    <w:name w:val="documentbody1"/>
    <w:rsid w:val="00116B43"/>
    <w:rPr>
      <w:rFonts w:ascii="Verdana" w:hAnsi="Verdana" w:hint="default"/>
      <w:sz w:val="19"/>
      <w:szCs w:val="19"/>
    </w:rPr>
  </w:style>
  <w:style w:type="paragraph" w:customStyle="1" w:styleId="ParaTab1">
    <w:name w:val="ParaTab 1"/>
    <w:rsid w:val="00B20E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4D72DF"/>
    <w:rPr>
      <w:rFonts w:ascii="Tahoma" w:hAnsi="Tahoma" w:cs="Tahoma"/>
      <w:sz w:val="16"/>
      <w:szCs w:val="16"/>
    </w:rPr>
  </w:style>
  <w:style w:type="character" w:customStyle="1" w:styleId="BalloonTextChar">
    <w:name w:val="Balloon Text Char"/>
    <w:basedOn w:val="DefaultParagraphFont"/>
    <w:link w:val="BalloonText"/>
    <w:rsid w:val="004D72DF"/>
    <w:rPr>
      <w:rFonts w:ascii="Tahoma" w:hAnsi="Tahoma" w:cs="Tahoma"/>
      <w:sz w:val="16"/>
      <w:szCs w:val="16"/>
    </w:rPr>
  </w:style>
  <w:style w:type="paragraph" w:styleId="Header">
    <w:name w:val="header"/>
    <w:basedOn w:val="Normal"/>
    <w:link w:val="HeaderChar"/>
    <w:rsid w:val="00DF2D25"/>
    <w:pPr>
      <w:tabs>
        <w:tab w:val="center" w:pos="4680"/>
        <w:tab w:val="right" w:pos="9360"/>
      </w:tabs>
    </w:pPr>
  </w:style>
  <w:style w:type="character" w:customStyle="1" w:styleId="HeaderChar">
    <w:name w:val="Header Char"/>
    <w:basedOn w:val="DefaultParagraphFont"/>
    <w:link w:val="Header"/>
    <w:rsid w:val="00DF2D25"/>
    <w:rPr>
      <w:sz w:val="26"/>
      <w:szCs w:val="26"/>
    </w:rPr>
  </w:style>
  <w:style w:type="paragraph" w:customStyle="1" w:styleId="Style">
    <w:name w:val="Style"/>
    <w:rsid w:val="00FB7939"/>
    <w:pPr>
      <w:widowControl w:val="0"/>
      <w:autoSpaceDE w:val="0"/>
      <w:autoSpaceDN w:val="0"/>
      <w:adjustRightInd w:val="0"/>
    </w:pPr>
    <w:rPr>
      <w:sz w:val="24"/>
      <w:szCs w:val="24"/>
    </w:rPr>
  </w:style>
  <w:style w:type="character" w:customStyle="1" w:styleId="FooterChar">
    <w:name w:val="Footer Char"/>
    <w:basedOn w:val="DefaultParagraphFont"/>
    <w:link w:val="Footer"/>
    <w:uiPriority w:val="99"/>
    <w:rsid w:val="001A09E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605779">
      <w:bodyDiv w:val="1"/>
      <w:marLeft w:val="32"/>
      <w:marRight w:val="32"/>
      <w:marTop w:val="32"/>
      <w:marBottom w:val="32"/>
      <w:divBdr>
        <w:top w:val="none" w:sz="0" w:space="0" w:color="auto"/>
        <w:left w:val="none" w:sz="0" w:space="0" w:color="auto"/>
        <w:bottom w:val="none" w:sz="0" w:space="0" w:color="auto"/>
        <w:right w:val="none" w:sz="0" w:space="0" w:color="auto"/>
      </w:divBdr>
      <w:divsChild>
        <w:div w:id="202445818">
          <w:marLeft w:val="0"/>
          <w:marRight w:val="0"/>
          <w:marTop w:val="0"/>
          <w:marBottom w:val="0"/>
          <w:divBdr>
            <w:top w:val="none" w:sz="0" w:space="0" w:color="auto"/>
            <w:left w:val="none" w:sz="0" w:space="0" w:color="auto"/>
            <w:bottom w:val="none" w:sz="0" w:space="0" w:color="auto"/>
            <w:right w:val="none" w:sz="0" w:space="0" w:color="auto"/>
          </w:divBdr>
          <w:divsChild>
            <w:div w:id="929123844">
              <w:marLeft w:val="47"/>
              <w:marRight w:val="47"/>
              <w:marTop w:val="47"/>
              <w:marBottom w:val="47"/>
              <w:divBdr>
                <w:top w:val="none" w:sz="0" w:space="0" w:color="auto"/>
                <w:left w:val="none" w:sz="0" w:space="0" w:color="auto"/>
                <w:bottom w:val="none" w:sz="0" w:space="0" w:color="auto"/>
                <w:right w:val="none" w:sz="0" w:space="0" w:color="auto"/>
              </w:divBdr>
              <w:divsChild>
                <w:div w:id="709690236">
                  <w:marLeft w:val="0"/>
                  <w:marRight w:val="0"/>
                  <w:marTop w:val="0"/>
                  <w:marBottom w:val="0"/>
                  <w:divBdr>
                    <w:top w:val="none" w:sz="0" w:space="0" w:color="auto"/>
                    <w:left w:val="none" w:sz="0" w:space="0" w:color="auto"/>
                    <w:bottom w:val="none" w:sz="0" w:space="0" w:color="auto"/>
                    <w:right w:val="none" w:sz="0" w:space="0" w:color="auto"/>
                  </w:divBdr>
                  <w:divsChild>
                    <w:div w:id="7400635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97BC5-7ED5-416E-93EB-87E95111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davalexand</dc:creator>
  <cp:lastModifiedBy>Williams, Bobbie Jo</cp:lastModifiedBy>
  <cp:revision>2</cp:revision>
  <cp:lastPrinted>2017-09-13T15:07:00Z</cp:lastPrinted>
  <dcterms:created xsi:type="dcterms:W3CDTF">2017-09-13T15:14:00Z</dcterms:created>
  <dcterms:modified xsi:type="dcterms:W3CDTF">2017-09-13T15:14:00Z</dcterms:modified>
</cp:coreProperties>
</file>