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7442DE" w:rsidP="008038A1">
      <w:r>
        <w:t>Friedman Wagner-Dobler</w:t>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7442DE">
        <w:t>2017-2593690</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7442DE" w:rsidP="008038A1">
      <w:r>
        <w:t>Rasier-PA</w:t>
      </w:r>
      <w:r w:rsidR="00F725B5">
        <w:t>,</w:t>
      </w:r>
      <w:r>
        <w:t xml:space="preserve"> LLC</w:t>
      </w:r>
      <w:r>
        <w:tab/>
      </w:r>
      <w:r w:rsidR="008038A1" w:rsidRPr="008038A1">
        <w:tab/>
      </w:r>
      <w:r w:rsidR="008038A1" w:rsidRPr="008038A1">
        <w:tab/>
      </w:r>
      <w:r w:rsidR="008038A1" w:rsidRPr="008038A1">
        <w:tab/>
      </w:r>
      <w:r w:rsidR="008038A1" w:rsidRPr="008038A1">
        <w:tab/>
        <w:t>:</w:t>
      </w:r>
    </w:p>
    <w:p w:rsidR="008038A1" w:rsidRDefault="007442DE" w:rsidP="008038A1">
      <w:r>
        <w:t>d/b/a Uber</w:t>
      </w:r>
      <w:r>
        <w:tab/>
      </w:r>
      <w:r>
        <w:tab/>
      </w:r>
      <w:r>
        <w:tab/>
      </w:r>
      <w:r>
        <w:tab/>
      </w:r>
      <w:r>
        <w:tab/>
      </w:r>
      <w:r>
        <w:tab/>
        <w:t>:</w:t>
      </w:r>
    </w:p>
    <w:p w:rsidR="00CD309F" w:rsidRPr="008038A1" w:rsidRDefault="00CD309F" w:rsidP="008038A1"/>
    <w:p w:rsidR="008038A1" w:rsidRDefault="008038A1" w:rsidP="008038A1"/>
    <w:p w:rsidR="00A6630D" w:rsidRPr="008038A1" w:rsidRDefault="00A6630D" w:rsidP="008038A1"/>
    <w:p w:rsidR="008038A1" w:rsidRPr="007B25E2" w:rsidRDefault="00F40E75" w:rsidP="008038A1">
      <w:pPr>
        <w:jc w:val="center"/>
        <w:rPr>
          <w:b/>
          <w:u w:val="single"/>
        </w:rPr>
      </w:pPr>
      <w:r>
        <w:rPr>
          <w:b/>
          <w:u w:val="single"/>
        </w:rPr>
        <w:t>SECOND</w:t>
      </w:r>
      <w:r w:rsidR="008038A1" w:rsidRPr="007B25E2">
        <w:rPr>
          <w:b/>
          <w:u w:val="single"/>
        </w:rPr>
        <w:t xml:space="preserve"> INTERIM ORDER</w:t>
      </w:r>
    </w:p>
    <w:p w:rsidR="001A517C" w:rsidRDefault="00F40E75" w:rsidP="008038A1">
      <w:pPr>
        <w:jc w:val="center"/>
      </w:pPr>
      <w:r>
        <w:t>Denying Respondent’s Motion for</w:t>
      </w:r>
    </w:p>
    <w:p w:rsidR="00F40E75" w:rsidRDefault="00F40E75" w:rsidP="008038A1">
      <w:pPr>
        <w:jc w:val="center"/>
      </w:pPr>
      <w:r>
        <w:t xml:space="preserve">Entry of a Procedural Order </w:t>
      </w:r>
    </w:p>
    <w:p w:rsidR="00F40E75" w:rsidRPr="007B25E2" w:rsidRDefault="00F40E75" w:rsidP="008038A1">
      <w:pPr>
        <w:jc w:val="center"/>
      </w:pPr>
      <w:r>
        <w:t>Setting a Case Management Schedule</w:t>
      </w:r>
    </w:p>
    <w:p w:rsidR="00CD309F" w:rsidRDefault="00CD309F" w:rsidP="00280D5C">
      <w:pPr>
        <w:spacing w:line="360" w:lineRule="auto"/>
      </w:pPr>
    </w:p>
    <w:p w:rsidR="007442DE" w:rsidRDefault="00280D5C" w:rsidP="00280D5C">
      <w:pPr>
        <w:spacing w:line="360" w:lineRule="auto"/>
      </w:pPr>
      <w:r>
        <w:tab/>
      </w:r>
      <w:r>
        <w:tab/>
        <w:t xml:space="preserve">On </w:t>
      </w:r>
      <w:r w:rsidR="007442DE">
        <w:t>March 14, 2017</w:t>
      </w:r>
      <w:r>
        <w:t xml:space="preserve">, </w:t>
      </w:r>
      <w:r w:rsidR="007442DE">
        <w:t>Friedman Wagner-Dobler</w:t>
      </w:r>
      <w:r>
        <w:t xml:space="preserve"> (Complainant or Mr. </w:t>
      </w:r>
      <w:r w:rsidR="007442DE">
        <w:t>Wagner-Dobler</w:t>
      </w:r>
      <w:r>
        <w:t xml:space="preserve">) filed a formal complaint with the Pennsylvania Public Utility Commission (Commission) against </w:t>
      </w:r>
      <w:r w:rsidR="007442DE">
        <w:t>Rasier-PA</w:t>
      </w:r>
      <w:r w:rsidR="00F725B5">
        <w:t>,</w:t>
      </w:r>
      <w:r w:rsidR="007442DE">
        <w:t xml:space="preserve"> LLC, d/b/a Uber</w:t>
      </w:r>
      <w:r>
        <w:t xml:space="preserve"> (</w:t>
      </w:r>
      <w:r w:rsidR="007442DE">
        <w:t>Rasier or Uber</w:t>
      </w:r>
      <w:r>
        <w:t xml:space="preserve">) alleging </w:t>
      </w:r>
      <w:r w:rsidR="007442DE">
        <w:t xml:space="preserve">Uber overcharged him for two identical rides on March 10, 2017 and March 13, 2017, and </w:t>
      </w:r>
      <w:r w:rsidR="00E2411E">
        <w:t xml:space="preserve">also </w:t>
      </w:r>
      <w:r w:rsidR="007442DE">
        <w:t>on subsequent rides.  Mr. Wagner-Dobler requested a refund, in addition to an audit of his past trips, an audit of all Uber trips to all consumers in Pennsylvania, and that the Commission order Uber to correct its algorithms used to calculate the fares it charges</w:t>
      </w:r>
      <w:r>
        <w:t xml:space="preserve">.  </w:t>
      </w:r>
    </w:p>
    <w:p w:rsidR="007442DE" w:rsidRDefault="007442DE" w:rsidP="00280D5C">
      <w:pPr>
        <w:spacing w:line="360" w:lineRule="auto"/>
      </w:pPr>
    </w:p>
    <w:p w:rsidR="00280D5C" w:rsidRDefault="007442DE" w:rsidP="00280D5C">
      <w:pPr>
        <w:spacing w:line="360" w:lineRule="auto"/>
      </w:pPr>
      <w:r>
        <w:tab/>
      </w:r>
      <w:r>
        <w:tab/>
        <w:t xml:space="preserve">On March 16, 2017, the Commission issued a Secretarial Letter to Rasier which notified Respondent that a formal complaint had been filed against it.  The Secretarial Letter was sent </w:t>
      </w:r>
      <w:r w:rsidR="00342C83">
        <w:t xml:space="preserve">to Rasier </w:t>
      </w:r>
      <w:r>
        <w:t>by certified mail, return receipt requested, to 114 South 13</w:t>
      </w:r>
      <w:r w:rsidRPr="007442DE">
        <w:rPr>
          <w:vertAlign w:val="superscript"/>
        </w:rPr>
        <w:t>th</w:t>
      </w:r>
      <w:r>
        <w:t xml:space="preserve"> Street, Third Floor, Philadelphia, Pennsylvania 19107.</w:t>
      </w:r>
      <w:r w:rsidR="00342C83">
        <w:t xml:space="preserve">  Service of the Secretarial Letter upon Rasier was certified by the United States Postal Service on March 20, 2017 at 1:48 p.m.</w:t>
      </w:r>
    </w:p>
    <w:p w:rsidR="00280D5C" w:rsidRDefault="00280D5C" w:rsidP="00280D5C">
      <w:pPr>
        <w:spacing w:line="360" w:lineRule="auto"/>
      </w:pPr>
    </w:p>
    <w:p w:rsidR="00280D5C" w:rsidRDefault="00280D5C" w:rsidP="00280D5C">
      <w:pPr>
        <w:spacing w:line="360" w:lineRule="auto"/>
      </w:pPr>
      <w:r>
        <w:tab/>
      </w:r>
      <w:r>
        <w:tab/>
        <w:t xml:space="preserve">On </w:t>
      </w:r>
      <w:r w:rsidR="00342C83">
        <w:t>July 17, 2017</w:t>
      </w:r>
      <w:r>
        <w:t>, the Office of Administrative</w:t>
      </w:r>
      <w:r w:rsidR="005E7F6B">
        <w:t xml:space="preserve"> Law Judge (OALJ) issued a Call</w:t>
      </w:r>
      <w:r w:rsidR="005E7F6B">
        <w:noBreakHyphen/>
      </w:r>
      <w:r>
        <w:t xml:space="preserve">In Telephone Hearing Notice scheduling an initial telephonic hearing to be conducted on </w:t>
      </w:r>
      <w:r w:rsidR="00342C83">
        <w:t>Monday, August 28, 2017</w:t>
      </w:r>
      <w:r>
        <w:t xml:space="preserve"> at 10:00 a.m.  On </w:t>
      </w:r>
      <w:r w:rsidR="00342C83">
        <w:t>July 18, 2017</w:t>
      </w:r>
      <w:r w:rsidR="007B29AB">
        <w:t xml:space="preserve">, the presiding officer issued the </w:t>
      </w:r>
      <w:r w:rsidR="007B29AB">
        <w:lastRenderedPageBreak/>
        <w:t xml:space="preserve">Prehearing Order which, </w:t>
      </w:r>
      <w:r w:rsidR="007B29AB" w:rsidRPr="007B29AB">
        <w:rPr>
          <w:i/>
        </w:rPr>
        <w:t>inter alia</w:t>
      </w:r>
      <w:r w:rsidR="007B29AB">
        <w:t xml:space="preserve">, informed the parties how to request a continuance in the proceedings.  </w:t>
      </w:r>
    </w:p>
    <w:p w:rsidR="00F40E75" w:rsidRDefault="00F40E75" w:rsidP="00280D5C">
      <w:pPr>
        <w:spacing w:line="360" w:lineRule="auto"/>
      </w:pPr>
    </w:p>
    <w:p w:rsidR="00342C83" w:rsidRDefault="007B29AB" w:rsidP="00280D5C">
      <w:pPr>
        <w:spacing w:line="360" w:lineRule="auto"/>
      </w:pPr>
      <w:r>
        <w:tab/>
      </w:r>
      <w:r>
        <w:tab/>
        <w:t xml:space="preserve">On </w:t>
      </w:r>
      <w:r w:rsidR="00342C83">
        <w:t xml:space="preserve">August 7, 2017, a Notice of Appearance was filed with the Secretary’s Bureau by </w:t>
      </w:r>
      <w:r w:rsidR="00E2411E">
        <w:t xml:space="preserve">Alan M. Seltzer, Esq., </w:t>
      </w:r>
      <w:r w:rsidR="00342C83">
        <w:t xml:space="preserve">John F. Povilaitis, Esq., and </w:t>
      </w:r>
      <w:r w:rsidR="00E2411E">
        <w:t xml:space="preserve">Brian C. Wauhop, Esq. of </w:t>
      </w:r>
      <w:r w:rsidR="00342C83">
        <w:t>Buchanon Ingersoll &amp; Rooney, PC, on behalf of Respondent, Rasier.</w:t>
      </w:r>
    </w:p>
    <w:p w:rsidR="00342C83" w:rsidRDefault="00342C83" w:rsidP="00280D5C">
      <w:pPr>
        <w:spacing w:line="360" w:lineRule="auto"/>
      </w:pPr>
    </w:p>
    <w:p w:rsidR="00342C83" w:rsidRDefault="00342C83" w:rsidP="00F40E75">
      <w:pPr>
        <w:spacing w:line="360" w:lineRule="auto"/>
        <w:ind w:firstLine="1440"/>
      </w:pPr>
      <w:r>
        <w:t xml:space="preserve">On August </w:t>
      </w:r>
      <w:r w:rsidR="00E2411E">
        <w:t>9</w:t>
      </w:r>
      <w:r>
        <w:t>, 2017</w:t>
      </w:r>
      <w:r w:rsidR="007B29AB">
        <w:t xml:space="preserve">, </w:t>
      </w:r>
      <w:r>
        <w:t>Rasier</w:t>
      </w:r>
      <w:r w:rsidR="007B29AB">
        <w:t xml:space="preserve"> filed a </w:t>
      </w:r>
      <w:r>
        <w:t xml:space="preserve">letter </w:t>
      </w:r>
      <w:r w:rsidR="00E2411E">
        <w:t>asking for</w:t>
      </w:r>
      <w:r>
        <w:t xml:space="preserve"> a c</w:t>
      </w:r>
      <w:r w:rsidR="007B29AB">
        <w:t>ontinuance</w:t>
      </w:r>
      <w:r w:rsidR="00E2411E">
        <w:t xml:space="preserve"> because Uber recently had engaged the law firm to represent it</w:t>
      </w:r>
      <w:r w:rsidR="007B29AB">
        <w:t xml:space="preserve">.  </w:t>
      </w:r>
      <w:r w:rsidR="00E2411E">
        <w:t>Counsel</w:t>
      </w:r>
      <w:r w:rsidR="007B29AB">
        <w:t xml:space="preserve"> alleged </w:t>
      </w:r>
      <w:r>
        <w:t xml:space="preserve">more time </w:t>
      </w:r>
      <w:r w:rsidR="00E2411E">
        <w:t xml:space="preserve">was needed </w:t>
      </w:r>
      <w:r>
        <w:t xml:space="preserve">to investigate the complaint, engage in settlement negotiations with Complainant, and prepare for the hearing.  </w:t>
      </w:r>
      <w:r w:rsidR="00BC5F72">
        <w:t xml:space="preserve">Rasier indicated </w:t>
      </w:r>
      <w:r w:rsidR="00E2411E">
        <w:t>Co</w:t>
      </w:r>
      <w:r w:rsidR="00BC5F72">
        <w:t>mplainant ag</w:t>
      </w:r>
      <w:r w:rsidR="00F40E75">
        <w:t>reed to continu</w:t>
      </w:r>
      <w:r w:rsidR="00E2411E">
        <w:t>e the hearing.  Uber</w:t>
      </w:r>
      <w:r>
        <w:t xml:space="preserve"> </w:t>
      </w:r>
      <w:r w:rsidR="00F40E75">
        <w:t>did not explain</w:t>
      </w:r>
      <w:r>
        <w:t xml:space="preserve"> why </w:t>
      </w:r>
      <w:r w:rsidR="00BC5F72">
        <w:t xml:space="preserve">it needed </w:t>
      </w:r>
      <w:r w:rsidR="00E2411E">
        <w:t xml:space="preserve">two more months in </w:t>
      </w:r>
      <w:r>
        <w:t>additional time</w:t>
      </w:r>
      <w:r w:rsidR="00E2411E">
        <w:t xml:space="preserve"> when it had been over </w:t>
      </w:r>
      <w:r w:rsidR="00BC5F72">
        <w:t xml:space="preserve">four months </w:t>
      </w:r>
      <w:r w:rsidR="00E2411E">
        <w:t>since Uber</w:t>
      </w:r>
      <w:r>
        <w:t xml:space="preserve"> </w:t>
      </w:r>
      <w:r w:rsidR="00F40E75">
        <w:t xml:space="preserve">first </w:t>
      </w:r>
      <w:r>
        <w:t xml:space="preserve">learned of </w:t>
      </w:r>
      <w:r w:rsidR="00BC5F72">
        <w:t>Complainant’s</w:t>
      </w:r>
      <w:r>
        <w:t xml:space="preserve"> formal complaint </w:t>
      </w:r>
      <w:r w:rsidR="00BC5F72">
        <w:t>filing</w:t>
      </w:r>
      <w:r>
        <w:t>.</w:t>
      </w:r>
      <w:r w:rsidR="00E2411E">
        <w:t xml:space="preserve">  Counsel indicated in its letter that granting a continuance was in the best interest of both parties because it would allow for the most efficient possible resolution.</w:t>
      </w:r>
    </w:p>
    <w:p w:rsidR="00F40E75" w:rsidRDefault="00F40E75" w:rsidP="00F40E75">
      <w:pPr>
        <w:spacing w:line="360" w:lineRule="auto"/>
        <w:ind w:firstLine="1440"/>
      </w:pPr>
    </w:p>
    <w:p w:rsidR="00E2411E" w:rsidRDefault="00F40E75" w:rsidP="00E2411E">
      <w:pPr>
        <w:spacing w:line="360" w:lineRule="auto"/>
        <w:ind w:firstLine="1440"/>
      </w:pPr>
      <w:r>
        <w:t xml:space="preserve">On August 10, 2017, the presiding officer issued the First Interim Order which granted the </w:t>
      </w:r>
      <w:r w:rsidR="00E2411E">
        <w:t xml:space="preserve">request to </w:t>
      </w:r>
      <w:r>
        <w:t>continu</w:t>
      </w:r>
      <w:r w:rsidR="00E2411E">
        <w:t>e the initial telephonic hearing</w:t>
      </w:r>
      <w:r>
        <w:t>,</w:t>
      </w:r>
      <w:r w:rsidR="00E2411E">
        <w:t xml:space="preserve"> denied the request for two additional months,</w:t>
      </w:r>
      <w:r>
        <w:t xml:space="preserve"> a</w:t>
      </w:r>
      <w:r w:rsidR="00E2411E">
        <w:t>nd ordered the initial telephonic hearing sh</w:t>
      </w:r>
      <w:r>
        <w:t>ould be conducted during the week of September 24, 2017.</w:t>
      </w:r>
      <w:r w:rsidR="00E2411E">
        <w:t xml:space="preserve">  </w:t>
      </w:r>
      <w:r>
        <w:t>On August 11, 2017, the Office of Administrative Law Judge (OALJ) issued a Call-In Telephone Hearing Notice scheduling an initial telephonic hearing to be conducted on Thursday, September 28, 2017 at 10:00 a.m.</w:t>
      </w:r>
      <w:r w:rsidR="00E2411E">
        <w:t xml:space="preserve">  </w:t>
      </w:r>
    </w:p>
    <w:p w:rsidR="00E2411E" w:rsidRDefault="00E2411E" w:rsidP="00F40E75">
      <w:pPr>
        <w:spacing w:line="360" w:lineRule="auto"/>
        <w:ind w:firstLine="1440"/>
      </w:pPr>
    </w:p>
    <w:p w:rsidR="007D25E2" w:rsidRDefault="00F40E75" w:rsidP="00F40E75">
      <w:pPr>
        <w:spacing w:line="360" w:lineRule="auto"/>
        <w:ind w:firstLine="1440"/>
      </w:pPr>
      <w:r>
        <w:t>On September 22, 2017, Respondent filed a Motion for Entry of a</w:t>
      </w:r>
      <w:r w:rsidR="007D25E2">
        <w:t xml:space="preserve"> </w:t>
      </w:r>
      <w:r>
        <w:t>Procedural Order Setting a Case Management</w:t>
      </w:r>
      <w:r w:rsidR="007D25E2">
        <w:t xml:space="preserve"> Schedule.  In its Motion, Respondent averred </w:t>
      </w:r>
      <w:r w:rsidR="00810ECB">
        <w:t>that as part of its</w:t>
      </w:r>
      <w:r w:rsidR="007D25E2">
        <w:t xml:space="preserve"> attempt to resolve the dispute with Complainant</w:t>
      </w:r>
      <w:r w:rsidR="00810ECB">
        <w:t xml:space="preserve">, </w:t>
      </w:r>
      <w:r w:rsidR="007D25E2">
        <w:t>Rasier paid refunds to Complainant for his claim</w:t>
      </w:r>
      <w:r w:rsidR="00E2411E">
        <w:t>s</w:t>
      </w:r>
      <w:r w:rsidR="007D25E2">
        <w:t xml:space="preserve"> that </w:t>
      </w:r>
      <w:r w:rsidR="00E2411E">
        <w:t xml:space="preserve">Uber </w:t>
      </w:r>
      <w:r w:rsidR="007D25E2">
        <w:t xml:space="preserve">charged </w:t>
      </w:r>
      <w:r w:rsidR="00E2411E">
        <w:t xml:space="preserve">him </w:t>
      </w:r>
      <w:r w:rsidR="007D25E2">
        <w:t xml:space="preserve">excessive amounts for rides </w:t>
      </w:r>
      <w:r w:rsidR="00E2411E">
        <w:t>Uber</w:t>
      </w:r>
      <w:r w:rsidR="007D25E2">
        <w:t xml:space="preserve"> provided on March 10, 2017 and March 13, 2017</w:t>
      </w:r>
      <w:r>
        <w:t xml:space="preserve">.  </w:t>
      </w:r>
      <w:r w:rsidR="007D25E2">
        <w:t xml:space="preserve">The Motion contends Complainant did not object to a </w:t>
      </w:r>
      <w:r w:rsidR="00810ECB">
        <w:t xml:space="preserve">previous </w:t>
      </w:r>
      <w:r w:rsidR="007D25E2">
        <w:t>request for a continuance but the Motion fails to indicate if Complainant specifically concurred with the request here</w:t>
      </w:r>
      <w:r>
        <w:t>.</w:t>
      </w:r>
      <w:r w:rsidR="007D25E2">
        <w:t xml:space="preserve">  </w:t>
      </w:r>
    </w:p>
    <w:p w:rsidR="00810ECB" w:rsidRDefault="007D25E2" w:rsidP="0068284F">
      <w:pPr>
        <w:spacing w:line="360" w:lineRule="auto"/>
        <w:ind w:firstLine="1440"/>
      </w:pPr>
      <w:r>
        <w:lastRenderedPageBreak/>
        <w:t xml:space="preserve">Rasier argues </w:t>
      </w:r>
      <w:r w:rsidR="00E2411E">
        <w:t xml:space="preserve">in its Motion that </w:t>
      </w:r>
      <w:r>
        <w:t>the remaining issue</w:t>
      </w:r>
      <w:r w:rsidR="00810ECB">
        <w:t>s</w:t>
      </w:r>
      <w:r>
        <w:t xml:space="preserve"> in the formal complaint may be resolved by preliminary motion on the grounds the Commission lacks jurisdiction over transportation network </w:t>
      </w:r>
      <w:r w:rsidR="00810ECB">
        <w:t>company charges under Act 164.  Rasier requests that the initial telephonic hearing scheduled for September 28, 2017 be converted into an initial prehearing conference.  As an alternative, Rasier asks that the initial telephonic hearing be cancelled and instead the presiding officer institute a procedural schedule.  Rasier, in its Motion, proposes the following procedural schedule:</w:t>
      </w:r>
    </w:p>
    <w:p w:rsidR="00A6630D" w:rsidRDefault="00A6630D" w:rsidP="0068284F">
      <w:pPr>
        <w:spacing w:line="360" w:lineRule="auto"/>
        <w:ind w:firstLine="1440"/>
      </w:pPr>
    </w:p>
    <w:p w:rsidR="00810ECB" w:rsidRDefault="00810ECB" w:rsidP="00F40E75">
      <w:pPr>
        <w:spacing w:line="360" w:lineRule="auto"/>
        <w:ind w:firstLine="1440"/>
      </w:pPr>
      <w:r>
        <w:t>October 6, 2017</w:t>
      </w:r>
      <w:r>
        <w:tab/>
      </w:r>
      <w:r w:rsidR="0068284F">
        <w:t>Answer/</w:t>
      </w:r>
      <w:r>
        <w:t>Preliminary Motions of Raiser</w:t>
      </w:r>
    </w:p>
    <w:p w:rsidR="00810ECB" w:rsidRDefault="00810ECB" w:rsidP="00F40E75">
      <w:pPr>
        <w:spacing w:line="360" w:lineRule="auto"/>
        <w:ind w:firstLine="1440"/>
      </w:pPr>
      <w:r>
        <w:t>October 26, 2017</w:t>
      </w:r>
      <w:r>
        <w:tab/>
        <w:t>Responses to Preliminary Motions</w:t>
      </w:r>
    </w:p>
    <w:p w:rsidR="00810ECB" w:rsidRDefault="00810ECB" w:rsidP="00F40E75">
      <w:pPr>
        <w:spacing w:line="360" w:lineRule="auto"/>
        <w:ind w:firstLine="1440"/>
      </w:pPr>
      <w:r>
        <w:t>November 6, 2017</w:t>
      </w:r>
      <w:r>
        <w:tab/>
        <w:t>Discovery complete</w:t>
      </w:r>
    </w:p>
    <w:p w:rsidR="00810ECB" w:rsidRDefault="00810ECB" w:rsidP="00F40E75">
      <w:pPr>
        <w:spacing w:line="360" w:lineRule="auto"/>
        <w:ind w:firstLine="1440"/>
      </w:pPr>
      <w:r>
        <w:t>November 22, 2017</w:t>
      </w:r>
      <w:r>
        <w:tab/>
        <w:t>Ruling on Preliminary Motions</w:t>
      </w:r>
    </w:p>
    <w:p w:rsidR="00810ECB" w:rsidRDefault="00810ECB" w:rsidP="00F40E75">
      <w:pPr>
        <w:spacing w:line="360" w:lineRule="auto"/>
        <w:ind w:firstLine="1440"/>
      </w:pPr>
      <w:r>
        <w:t>December 8, 2017</w:t>
      </w:r>
      <w:r>
        <w:tab/>
        <w:t>Hearing Exhibits due</w:t>
      </w:r>
    </w:p>
    <w:p w:rsidR="00810ECB" w:rsidRDefault="00810ECB" w:rsidP="00F40E75">
      <w:pPr>
        <w:spacing w:line="360" w:lineRule="auto"/>
        <w:ind w:firstLine="1440"/>
      </w:pPr>
      <w:r>
        <w:t xml:space="preserve">December 16, 2017 </w:t>
      </w:r>
      <w:r>
        <w:tab/>
        <w:t>Initial Hearing</w:t>
      </w:r>
    </w:p>
    <w:p w:rsidR="0068284F" w:rsidRDefault="0068284F" w:rsidP="0068284F">
      <w:pPr>
        <w:spacing w:line="360" w:lineRule="auto"/>
      </w:pPr>
    </w:p>
    <w:p w:rsidR="00F94397" w:rsidRDefault="00F94397" w:rsidP="0068284F">
      <w:pPr>
        <w:spacing w:line="360" w:lineRule="auto"/>
      </w:pPr>
      <w:r>
        <w:tab/>
      </w:r>
      <w:r>
        <w:tab/>
        <w:t>On the morning of September 25, 2017, the presiding officer received a response from Complainant via electronic mail.  Complainant’s response, entitled “Response to Respondent’s Motion of 22 September,” contends Act 164 of Chapter 57A17(a) requires a transportation network company to “disclose the fare or fare calculation method prior to a prearranged ride and shall provide an estimate for the cost of a trip upon request.”  Complainant contends Rasier has violated this requirement and that the Commission has jurisdiction over whether a transportation network company complies with the provisions of Act 164.</w:t>
      </w:r>
    </w:p>
    <w:p w:rsidR="00F94397" w:rsidRDefault="00F94397" w:rsidP="0068284F">
      <w:pPr>
        <w:spacing w:line="360" w:lineRule="auto"/>
      </w:pPr>
    </w:p>
    <w:p w:rsidR="002649A1" w:rsidRPr="006B1D48" w:rsidRDefault="002649A1" w:rsidP="002649A1">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2649A1" w:rsidRDefault="002649A1" w:rsidP="002649A1">
      <w:pPr>
        <w:pStyle w:val="FootnoteText"/>
        <w:spacing w:line="360" w:lineRule="auto"/>
        <w:rPr>
          <w:rFonts w:ascii="Times New Roman" w:hAnsi="Times New Roman" w:cs="Times New Roman"/>
          <w:spacing w:val="-3"/>
        </w:rPr>
      </w:pPr>
    </w:p>
    <w:p w:rsidR="00E2411E" w:rsidRDefault="00E2411E" w:rsidP="00E2411E">
      <w:pPr>
        <w:pStyle w:val="FootnoteText"/>
        <w:spacing w:line="360" w:lineRule="auto"/>
      </w:pPr>
      <w:r>
        <w:rPr>
          <w:rFonts w:ascii="Times New Roman" w:hAnsi="Times New Roman" w:cs="Times New Roman"/>
          <w:spacing w:val="-3"/>
        </w:rPr>
        <w:tab/>
      </w:r>
      <w:r>
        <w:rPr>
          <w:rFonts w:ascii="Times New Roman" w:hAnsi="Times New Roman" w:cs="Times New Roman"/>
          <w:spacing w:val="-3"/>
        </w:rPr>
        <w:tab/>
        <w:t>When a formal complaint has been filed, due process requires that parties be afforded the opportunity to be heard, to present testimony and evidence and to conduct cross examination of witnesses.</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Presiding officers are to liberally construe the regulations in order to </w:t>
      </w:r>
      <w:r>
        <w:rPr>
          <w:rFonts w:ascii="Times New Roman" w:hAnsi="Times New Roman" w:cs="Times New Roman"/>
          <w:spacing w:val="-3"/>
        </w:rPr>
        <w:lastRenderedPageBreak/>
        <w:t>secure the just, speedy and inexpensive determination of every action or proceeding before the Commission.</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Accordingly, at any state of an action or proceeding the presiding officer may disregard an error or defect of procedure which does not affect the substantive rights of the parties.  A</w:t>
      </w:r>
      <w:r w:rsidR="0068284F" w:rsidRPr="00381802">
        <w:t xml:space="preserve"> presiding officer may conduct a prehearing conference and order the parties to appear if a prehearing conference would expedite the orderly conduct and disposition of the proceeding and serve the ends of ju</w:t>
      </w:r>
      <w:r w:rsidR="00F36C8E">
        <w:t>stice and the public interest.</w:t>
      </w:r>
      <w:r>
        <w:rPr>
          <w:rStyle w:val="FootnoteReference"/>
        </w:rPr>
        <w:footnoteReference w:id="3"/>
      </w:r>
      <w:r w:rsidR="00F36C8E">
        <w:t xml:space="preserve">  </w:t>
      </w:r>
    </w:p>
    <w:p w:rsidR="00E2411E" w:rsidRDefault="00E2411E" w:rsidP="00E2411E">
      <w:pPr>
        <w:pStyle w:val="FootnoteText"/>
        <w:spacing w:line="360" w:lineRule="auto"/>
      </w:pPr>
    </w:p>
    <w:p w:rsidR="0068284F" w:rsidRDefault="0068284F" w:rsidP="00E2411E">
      <w:pPr>
        <w:pStyle w:val="FootnoteText"/>
        <w:spacing w:line="360" w:lineRule="auto"/>
        <w:ind w:firstLine="1440"/>
      </w:pPr>
      <w:r>
        <w:t>Respondent alleges</w:t>
      </w:r>
      <w:r w:rsidRPr="00381802">
        <w:t xml:space="preserve"> </w:t>
      </w:r>
      <w:r>
        <w:t>a procedural</w:t>
      </w:r>
      <w:r w:rsidRPr="00381802">
        <w:t xml:space="preserve"> issue </w:t>
      </w:r>
      <w:r>
        <w:t>exists which can be resolved by preliminary motion.  Respondent contends the Commission lacks jurisdiction over transportation network company charges under Act 164.</w:t>
      </w:r>
      <w:r w:rsidR="00F36C8E">
        <w:rPr>
          <w:rStyle w:val="FootnoteReference"/>
        </w:rPr>
        <w:footnoteReference w:id="4"/>
      </w:r>
      <w:r>
        <w:t xml:space="preserve">  </w:t>
      </w:r>
      <w:r w:rsidR="00F94397">
        <w:t>Respondent contends</w:t>
      </w:r>
      <w:r>
        <w:t xml:space="preserve"> that in order to ensure an orderly conduct and disposition of this proceeding, the presiding officer must either convert the initial telephonic hearing into a prehearing conference, or establish a procedural litigation schedule that pushes the date of the hearing from Thursday, September 28, 2017 to Saturday, December 16, 2017.  </w:t>
      </w:r>
    </w:p>
    <w:p w:rsidR="0025521B" w:rsidRDefault="0025521B" w:rsidP="00E2411E">
      <w:pPr>
        <w:pStyle w:val="FootnoteText"/>
        <w:spacing w:line="360" w:lineRule="auto"/>
        <w:ind w:firstLine="1440"/>
      </w:pPr>
    </w:p>
    <w:p w:rsidR="0025521B" w:rsidRPr="00381802" w:rsidRDefault="0025521B" w:rsidP="00E2411E">
      <w:pPr>
        <w:pStyle w:val="FootnoteText"/>
        <w:spacing w:line="360" w:lineRule="auto"/>
        <w:ind w:firstLine="1440"/>
      </w:pPr>
      <w:r>
        <w:t>Complainant’s response, sent via electronic mail on the morning of September 25, 2017, appears to indicate Complainant has an ongoing customer service dispute with Rasier arising from how he was charged by Uber.  The response does not indicate if Complainant agreed or objects to Rasier’s request to convert the initial telephonic hearing into a prehearing conference, or to schedule the initial hearing for approximately three months later.</w:t>
      </w:r>
    </w:p>
    <w:p w:rsidR="0068284F" w:rsidRDefault="0068284F" w:rsidP="002649A1">
      <w:pPr>
        <w:pStyle w:val="FootnoteText"/>
        <w:spacing w:line="360" w:lineRule="auto"/>
        <w:rPr>
          <w:rFonts w:ascii="Times New Roman" w:hAnsi="Times New Roman" w:cs="Times New Roman"/>
          <w:spacing w:val="-3"/>
        </w:rPr>
      </w:pPr>
    </w:p>
    <w:p w:rsidR="00F94397" w:rsidRDefault="002649A1" w:rsidP="00F36C8E">
      <w:pPr>
        <w:spacing w:line="360" w:lineRule="auto"/>
      </w:pPr>
      <w:r>
        <w:tab/>
      </w:r>
      <w:r>
        <w:tab/>
        <w:t xml:space="preserve">Rasier </w:t>
      </w:r>
      <w:r w:rsidR="0025521B">
        <w:t>did</w:t>
      </w:r>
      <w:r>
        <w:t xml:space="preserve"> not indicate why it needs </w:t>
      </w:r>
      <w:r w:rsidR="00F36C8E">
        <w:t>three</w:t>
      </w:r>
      <w:r>
        <w:t xml:space="preserve"> </w:t>
      </w:r>
      <w:r w:rsidRPr="00F94397">
        <w:rPr>
          <w:u w:val="single"/>
        </w:rPr>
        <w:t>more</w:t>
      </w:r>
      <w:r>
        <w:t xml:space="preserve"> months in which to prepare for a hearing</w:t>
      </w:r>
      <w:r w:rsidR="00F94397">
        <w:t xml:space="preserve">.  </w:t>
      </w:r>
      <w:r>
        <w:t xml:space="preserve">Rasier has known about this formal complaint since </w:t>
      </w:r>
      <w:r w:rsidR="00F94397">
        <w:t xml:space="preserve">it accepted service of the formal complaint on </w:t>
      </w:r>
      <w:r>
        <w:t>March 20, 2017.  Respondent</w:t>
      </w:r>
      <w:r w:rsidR="00F36C8E">
        <w:t xml:space="preserve"> originally</w:t>
      </w:r>
      <w:r>
        <w:t xml:space="preserve"> request</w:t>
      </w:r>
      <w:r w:rsidR="00F36C8E">
        <w:t>ed</w:t>
      </w:r>
      <w:r>
        <w:t xml:space="preserve"> a two-month continuance</w:t>
      </w:r>
      <w:r w:rsidR="00F36C8E">
        <w:t xml:space="preserve"> on August </w:t>
      </w:r>
      <w:r w:rsidR="00F94397">
        <w:t>9</w:t>
      </w:r>
      <w:r w:rsidR="00F36C8E">
        <w:t>, 2017</w:t>
      </w:r>
      <w:r w:rsidR="00F94397">
        <w:t>.  The presiding officer denied th</w:t>
      </w:r>
      <w:r w:rsidR="0025521B">
        <w:t>at</w:t>
      </w:r>
      <w:r w:rsidR="00F94397">
        <w:t xml:space="preserve"> request for </w:t>
      </w:r>
      <w:r w:rsidR="0025521B">
        <w:t>two more months in</w:t>
      </w:r>
      <w:r w:rsidR="00F94397">
        <w:t xml:space="preserve"> additional </w:t>
      </w:r>
      <w:r w:rsidR="00F94397">
        <w:lastRenderedPageBreak/>
        <w:t xml:space="preserve">time because Rasier did not justify the need for two months.  </w:t>
      </w:r>
      <w:r w:rsidR="00F36C8E">
        <w:t>This request here is another attempt to secure a longer continuance period which Rasier did not justify in August 2017</w:t>
      </w:r>
      <w:r w:rsidR="00F94397">
        <w:t>,</w:t>
      </w:r>
      <w:r w:rsidR="00F36C8E">
        <w:t xml:space="preserve"> and which </w:t>
      </w:r>
      <w:r w:rsidR="00F94397">
        <w:t>Rasier</w:t>
      </w:r>
      <w:r w:rsidR="00F36C8E">
        <w:t xml:space="preserve"> has not justified in September 2017.  </w:t>
      </w:r>
    </w:p>
    <w:p w:rsidR="0025521B" w:rsidRDefault="0025521B" w:rsidP="00F36C8E">
      <w:pPr>
        <w:spacing w:line="360" w:lineRule="auto"/>
      </w:pPr>
    </w:p>
    <w:p w:rsidR="0025521B" w:rsidRDefault="0025521B" w:rsidP="00F36C8E">
      <w:pPr>
        <w:spacing w:line="360" w:lineRule="auto"/>
      </w:pPr>
      <w:r>
        <w:tab/>
      </w:r>
      <w:r>
        <w:tab/>
        <w:t>In addition, paying Complainant a refund for two disputed trips does not obviate the need for a hearing because Complainant alleges Uber overcharged him for transportation services prior to March 2017.  Furthermore, Complainant has not indicated that Respondent satisfied his complaint, so the customer service violations alleged and outlined in the formal complaint remain viable and justiciable.  Complainant retains the right to have his complaint addressed.</w:t>
      </w:r>
    </w:p>
    <w:p w:rsidR="00F94397" w:rsidRDefault="00F94397" w:rsidP="00F36C8E">
      <w:pPr>
        <w:spacing w:line="360" w:lineRule="auto"/>
      </w:pPr>
    </w:p>
    <w:p w:rsidR="00F36C8E" w:rsidRDefault="00F36C8E" w:rsidP="00F94397">
      <w:pPr>
        <w:spacing w:line="360" w:lineRule="auto"/>
        <w:ind w:firstLine="1440"/>
      </w:pPr>
      <w:r>
        <w:t xml:space="preserve">Respondent’s request here </w:t>
      </w:r>
      <w:r w:rsidR="002649A1">
        <w:t xml:space="preserve">is unreasonable and unnecessary under the circumstances.  </w:t>
      </w:r>
      <w:r w:rsidR="00F40E75" w:rsidRPr="00381802">
        <w:t xml:space="preserve">Therefore, the </w:t>
      </w:r>
      <w:r>
        <w:t>initial telephonic hearing</w:t>
      </w:r>
      <w:r w:rsidR="00F40E75" w:rsidRPr="00381802">
        <w:t xml:space="preserve"> scheduled to begin at 1</w:t>
      </w:r>
      <w:r w:rsidR="00F40E75">
        <w:t>0</w:t>
      </w:r>
      <w:r w:rsidR="00F40E75" w:rsidRPr="00381802">
        <w:t>:</w:t>
      </w:r>
      <w:r w:rsidR="00F40E75">
        <w:t>0</w:t>
      </w:r>
      <w:r w:rsidR="00F40E75" w:rsidRPr="00381802">
        <w:t xml:space="preserve">0 </w:t>
      </w:r>
      <w:r w:rsidR="00F40E75">
        <w:t>a</w:t>
      </w:r>
      <w:r w:rsidR="00F40E75" w:rsidRPr="00381802">
        <w:t xml:space="preserve">.m. on </w:t>
      </w:r>
      <w:r w:rsidR="00F40E75">
        <w:t>Thursday</w:t>
      </w:r>
      <w:r w:rsidR="00F40E75" w:rsidRPr="00381802">
        <w:t xml:space="preserve">, </w:t>
      </w:r>
      <w:r>
        <w:t>September 28, 2017</w:t>
      </w:r>
      <w:r w:rsidR="00F40E75" w:rsidRPr="00381802">
        <w:t xml:space="preserve"> will </w:t>
      </w:r>
      <w:r>
        <w:t>proceed as scheduled.</w:t>
      </w:r>
      <w:r w:rsidR="00F40E75" w:rsidRPr="00381802">
        <w:t xml:space="preserve">  </w:t>
      </w:r>
    </w:p>
    <w:p w:rsidR="00F40E75" w:rsidRPr="00C848B5" w:rsidRDefault="00F40E75" w:rsidP="00F40E75">
      <w:pPr>
        <w:spacing w:line="360" w:lineRule="auto"/>
        <w:ind w:firstLine="1440"/>
      </w:pPr>
      <w:r w:rsidRPr="00C848B5">
        <w:t xml:space="preserve">   </w:t>
      </w:r>
    </w:p>
    <w:p w:rsidR="00F40E75" w:rsidRPr="00C848B5" w:rsidRDefault="00F40E75" w:rsidP="00F40E75">
      <w:pPr>
        <w:spacing w:line="360" w:lineRule="auto"/>
      </w:pPr>
      <w:r w:rsidRPr="00C848B5">
        <w:tab/>
      </w:r>
      <w:r w:rsidRPr="00C848B5">
        <w:tab/>
        <w:t>THEREFORE,</w:t>
      </w:r>
    </w:p>
    <w:p w:rsidR="00F40E75" w:rsidRPr="00C848B5" w:rsidRDefault="00F40E75" w:rsidP="00F40E75">
      <w:pPr>
        <w:spacing w:line="360" w:lineRule="auto"/>
      </w:pPr>
    </w:p>
    <w:p w:rsidR="00F40E75" w:rsidRPr="00C848B5" w:rsidRDefault="00F40E75" w:rsidP="00F40E75">
      <w:pPr>
        <w:spacing w:line="360" w:lineRule="auto"/>
      </w:pPr>
      <w:r w:rsidRPr="00C848B5">
        <w:tab/>
      </w:r>
      <w:r w:rsidRPr="00C848B5">
        <w:tab/>
        <w:t>IT IS ORDERED:</w:t>
      </w:r>
    </w:p>
    <w:p w:rsidR="00F40E75" w:rsidRPr="00C848B5" w:rsidRDefault="00F40E75" w:rsidP="00F40E75">
      <w:pPr>
        <w:spacing w:line="360" w:lineRule="auto"/>
      </w:pPr>
    </w:p>
    <w:p w:rsidR="00F40E75" w:rsidRPr="00C848B5" w:rsidRDefault="00F40E75" w:rsidP="00F40E75">
      <w:pPr>
        <w:spacing w:line="360" w:lineRule="auto"/>
        <w:ind w:firstLine="1440"/>
      </w:pPr>
      <w:r w:rsidRPr="00C848B5">
        <w:t xml:space="preserve">The request of </w:t>
      </w:r>
      <w:r w:rsidR="002C6503">
        <w:t>Respondent</w:t>
      </w:r>
      <w:r w:rsidR="00F36C8E">
        <w:t xml:space="preserve"> to change the </w:t>
      </w:r>
      <w:r w:rsidRPr="00C848B5">
        <w:t xml:space="preserve">Initial </w:t>
      </w:r>
      <w:r w:rsidR="00F36C8E">
        <w:t xml:space="preserve">Call-In Telephonic </w:t>
      </w:r>
      <w:r w:rsidRPr="00C848B5">
        <w:t xml:space="preserve">Hearing into a prehearing conference in the proceeding </w:t>
      </w:r>
      <w:r>
        <w:t>concerning</w:t>
      </w:r>
      <w:r w:rsidRPr="00A817E6">
        <w:t xml:space="preserve"> </w:t>
      </w:r>
      <w:r w:rsidR="00F36C8E">
        <w:t>Friedman Wagner-Dobler v. Rasier-PA, LLC, d/b/a Uber</w:t>
      </w:r>
      <w:r w:rsidRPr="00C848B5">
        <w:rPr>
          <w:i/>
        </w:rPr>
        <w:t xml:space="preserve"> </w:t>
      </w:r>
      <w:r w:rsidRPr="00C848B5">
        <w:t xml:space="preserve">at Docket No. </w:t>
      </w:r>
      <w:r w:rsidR="00F36C8E">
        <w:t>C-2017-2593690</w:t>
      </w:r>
      <w:r w:rsidRPr="00C848B5">
        <w:t xml:space="preserve"> is </w:t>
      </w:r>
      <w:r w:rsidR="00F36C8E">
        <w:t>denied</w:t>
      </w:r>
      <w:r w:rsidRPr="00C848B5">
        <w:t>.</w:t>
      </w:r>
    </w:p>
    <w:p w:rsidR="00F40E75" w:rsidRDefault="00F40E75" w:rsidP="00F40E75"/>
    <w:p w:rsidR="0025521B" w:rsidRDefault="0025521B" w:rsidP="00F40E75"/>
    <w:p w:rsidR="0025521B" w:rsidRDefault="0025521B" w:rsidP="00F40E75"/>
    <w:p w:rsidR="0025521B" w:rsidRDefault="0025521B" w:rsidP="00F40E75"/>
    <w:p w:rsidR="0025521B" w:rsidRPr="00381802" w:rsidRDefault="0025521B" w:rsidP="00F40E75"/>
    <w:p w:rsidR="00687BAF" w:rsidRDefault="00F36C8E" w:rsidP="00687BAF">
      <w:r>
        <w:rPr>
          <w:u w:val="single"/>
        </w:rPr>
        <w:t>September 25, 2017</w:t>
      </w:r>
      <w:r w:rsidR="00687BAF">
        <w:tab/>
      </w:r>
      <w:r w:rsidR="00687BAF">
        <w:tab/>
      </w:r>
      <w:r w:rsidR="00687BAF">
        <w:tab/>
      </w:r>
      <w:r w:rsidR="00687BAF">
        <w:tab/>
      </w:r>
      <w:r w:rsidR="00687BAF">
        <w:tab/>
      </w:r>
      <w:r w:rsidR="00687BAF">
        <w:rPr>
          <w:u w:val="single"/>
        </w:rPr>
        <w:tab/>
      </w:r>
      <w:r w:rsidR="00687BAF">
        <w:rPr>
          <w:u w:val="single"/>
        </w:rPr>
        <w:tab/>
      </w:r>
      <w:r w:rsidR="00687BAF">
        <w:rPr>
          <w:u w:val="single"/>
        </w:rPr>
        <w:tab/>
      </w:r>
      <w:r w:rsidR="00687BAF">
        <w:rPr>
          <w:u w:val="single"/>
        </w:rPr>
        <w:tab/>
      </w:r>
      <w:r w:rsidR="00687BAF">
        <w:rPr>
          <w:u w:val="single"/>
        </w:rPr>
        <w:tab/>
      </w:r>
      <w:r w:rsidR="00687BAF">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5F5DFD" w:rsidRDefault="005F5DFD">
      <w:r>
        <w:br w:type="page"/>
      </w:r>
    </w:p>
    <w:p w:rsidR="005F5DFD" w:rsidRDefault="005F5DFD" w:rsidP="005F5DFD">
      <w:pPr>
        <w:contextualSpacing/>
        <w:rPr>
          <w:rFonts w:ascii="Microsoft Sans Serif"/>
          <w:b/>
          <w:u w:val="single"/>
        </w:rPr>
        <w:sectPr w:rsidR="005F5DFD" w:rsidSect="00BD6EBA">
          <w:footerReference w:type="default" r:id="rId7"/>
          <w:footerReference w:type="first" r:id="rId8"/>
          <w:pgSz w:w="12240" w:h="15840" w:code="1"/>
          <w:pgMar w:top="1440" w:right="1440" w:bottom="1440" w:left="1440" w:header="1440" w:footer="1440" w:gutter="0"/>
          <w:cols w:space="720"/>
          <w:titlePg/>
          <w:docGrid w:linePitch="360"/>
        </w:sectPr>
      </w:pPr>
    </w:p>
    <w:p w:rsidR="005F5DFD" w:rsidRPr="009C65E3" w:rsidRDefault="005F5DFD" w:rsidP="005F5DFD">
      <w:pPr>
        <w:contextualSpacing/>
        <w:rPr>
          <w:rFonts w:ascii="Microsoft Sans Serif"/>
          <w:i/>
        </w:rPr>
      </w:pPr>
      <w:r>
        <w:rPr>
          <w:rFonts w:ascii="Microsoft Sans Serif"/>
          <w:b/>
          <w:u w:val="single"/>
        </w:rPr>
        <w:lastRenderedPageBreak/>
        <w:t>C-2017-2593690 - FRIEDMAN WAGNER-DOBLER v. RASIER-PA LLC DBA UBER</w:t>
      </w:r>
      <w:r>
        <w:rPr>
          <w:rFonts w:ascii="Microsoft Sans Serif"/>
          <w:b/>
          <w:u w:val="single"/>
        </w:rPr>
        <w:cr/>
      </w:r>
      <w:r>
        <w:rPr>
          <w:rFonts w:ascii="Microsoft Sans Serif"/>
        </w:rPr>
        <w:cr/>
      </w:r>
      <w:r>
        <w:rPr>
          <w:rFonts w:ascii="Microsoft Sans Serif"/>
          <w:i/>
        </w:rPr>
        <w:t>(Revised 8/10/17)</w:t>
      </w:r>
    </w:p>
    <w:p w:rsidR="005F5DFD" w:rsidRDefault="005F5DFD" w:rsidP="005F5DFD">
      <w:pPr>
        <w:contextualSpacing/>
        <w:rPr>
          <w:rFonts w:ascii="Microsoft Sans Serif"/>
        </w:rPr>
      </w:pPr>
    </w:p>
    <w:p w:rsidR="005F5DFD" w:rsidRPr="00A57EFE" w:rsidRDefault="005F5DFD" w:rsidP="005F5DFD">
      <w:pPr>
        <w:contextualSpacing/>
        <w:rPr>
          <w:rFonts w:ascii="Microsoft Sans Serif"/>
        </w:rPr>
      </w:pPr>
      <w:r w:rsidRPr="00A57EFE">
        <w:rPr>
          <w:rFonts w:ascii="Microsoft Sans Serif"/>
        </w:rPr>
        <w:t>FRIEDMAN WAGNER</w:t>
      </w:r>
      <w:r>
        <w:rPr>
          <w:rFonts w:ascii="Microsoft Sans Serif"/>
        </w:rPr>
        <w:t>-</w:t>
      </w:r>
      <w:r w:rsidRPr="00A57EFE">
        <w:rPr>
          <w:rFonts w:ascii="Microsoft Sans Serif"/>
        </w:rPr>
        <w:t xml:space="preserve">DOBLER </w:t>
      </w:r>
    </w:p>
    <w:p w:rsidR="005F5DFD" w:rsidRPr="00A57EFE" w:rsidRDefault="005F5DFD" w:rsidP="005F5DFD">
      <w:pPr>
        <w:contextualSpacing/>
        <w:rPr>
          <w:rFonts w:ascii="Microsoft Sans Serif"/>
        </w:rPr>
      </w:pPr>
      <w:r w:rsidRPr="00A57EFE">
        <w:rPr>
          <w:rFonts w:ascii="Microsoft Sans Serif"/>
        </w:rPr>
        <w:t xml:space="preserve">5729 WALNUT ST </w:t>
      </w:r>
    </w:p>
    <w:p w:rsidR="005F5DFD" w:rsidRDefault="005F5DFD" w:rsidP="005F5DFD">
      <w:pPr>
        <w:contextualSpacing/>
        <w:rPr>
          <w:rFonts w:ascii="Microsoft Sans Serif"/>
        </w:rPr>
      </w:pPr>
      <w:r w:rsidRPr="00A57EFE">
        <w:rPr>
          <w:rFonts w:ascii="Microsoft Sans Serif"/>
        </w:rPr>
        <w:t>PITTSBURGH PA  15232</w:t>
      </w:r>
      <w:r>
        <w:rPr>
          <w:rFonts w:ascii="Microsoft Sans Serif"/>
        </w:rPr>
        <w:cr/>
      </w:r>
      <w:bookmarkStart w:id="0" w:name="_GoBack"/>
      <w:bookmarkEnd w:id="0"/>
      <w:r>
        <w:rPr>
          <w:rFonts w:ascii="Microsoft Sans Serif"/>
          <w:b/>
        </w:rPr>
        <w:t>412.441.</w:t>
      </w:r>
      <w:r w:rsidRPr="00A57EFE">
        <w:rPr>
          <w:rFonts w:ascii="Microsoft Sans Serif"/>
          <w:b/>
        </w:rPr>
        <w:t>1901</w:t>
      </w:r>
      <w:r w:rsidRPr="00A57EFE">
        <w:rPr>
          <w:rFonts w:ascii="Microsoft Sans Serif"/>
          <w:b/>
        </w:rPr>
        <w:cr/>
      </w:r>
      <w:r w:rsidR="00A63074" w:rsidRPr="00A63074">
        <w:rPr>
          <w:rFonts w:ascii="Microsoft Sans Serif" w:hAnsi="Calibri"/>
          <w:b/>
          <w:i/>
          <w:szCs w:val="22"/>
        </w:rPr>
        <w:t>Accepts E-service</w:t>
      </w:r>
      <w:r w:rsidR="00A63074">
        <w:rPr>
          <w:rFonts w:ascii="Microsoft Sans Serif"/>
        </w:rPr>
        <w:t xml:space="preserve"> </w:t>
      </w:r>
      <w:r>
        <w:rPr>
          <w:rFonts w:ascii="Microsoft Sans Serif"/>
        </w:rPr>
        <w:cr/>
      </w:r>
    </w:p>
    <w:p w:rsidR="005F5DFD" w:rsidRDefault="005F5DFD" w:rsidP="005F5DFD">
      <w:pPr>
        <w:contextualSpacing/>
        <w:rPr>
          <w:rFonts w:ascii="Microsoft Sans Serif"/>
        </w:rPr>
      </w:pPr>
      <w:r>
        <w:rPr>
          <w:rFonts w:ascii="Microsoft Sans Serif"/>
        </w:rPr>
        <w:t>BRIAN C WAUHOP ESQUIRE</w:t>
      </w:r>
    </w:p>
    <w:p w:rsidR="005F5DFD" w:rsidRDefault="005F5DFD" w:rsidP="005F5DFD">
      <w:pPr>
        <w:contextualSpacing/>
        <w:rPr>
          <w:rFonts w:ascii="Microsoft Sans Serif"/>
        </w:rPr>
      </w:pPr>
      <w:r>
        <w:rPr>
          <w:rFonts w:ascii="Microsoft Sans Serif"/>
        </w:rPr>
        <w:t>JOHN F POVILAITIS ESQUIRE</w:t>
      </w:r>
    </w:p>
    <w:p w:rsidR="005F5DFD" w:rsidRDefault="005F5DFD" w:rsidP="005F5DFD">
      <w:pPr>
        <w:contextualSpacing/>
        <w:rPr>
          <w:rFonts w:ascii="Microsoft Sans Serif"/>
        </w:rPr>
      </w:pPr>
      <w:r>
        <w:rPr>
          <w:rFonts w:ascii="Microsoft Sans Serif"/>
        </w:rPr>
        <w:t>BUCHANAN INGERSOLL &amp; ROONEY</w:t>
      </w:r>
    </w:p>
    <w:p w:rsidR="005F5DFD" w:rsidRDefault="005F5DFD" w:rsidP="005F5DFD">
      <w:pPr>
        <w:contextualSpacing/>
        <w:rPr>
          <w:rFonts w:ascii="Microsoft Sans Serif"/>
        </w:rPr>
      </w:pPr>
      <w:r>
        <w:rPr>
          <w:rFonts w:ascii="Microsoft Sans Serif"/>
        </w:rPr>
        <w:t>SUITE 500</w:t>
      </w:r>
    </w:p>
    <w:p w:rsidR="005F5DFD" w:rsidRDefault="005F5DFD" w:rsidP="005F5DFD">
      <w:pPr>
        <w:contextualSpacing/>
        <w:rPr>
          <w:rFonts w:ascii="Microsoft Sans Serif"/>
        </w:rPr>
      </w:pPr>
      <w:r>
        <w:rPr>
          <w:rFonts w:ascii="Microsoft Sans Serif"/>
        </w:rPr>
        <w:t>409 NORTH SECOND STREET</w:t>
      </w:r>
    </w:p>
    <w:p w:rsidR="005F5DFD" w:rsidRDefault="005F5DFD" w:rsidP="005F5DFD">
      <w:pPr>
        <w:contextualSpacing/>
        <w:rPr>
          <w:rFonts w:ascii="Microsoft Sans Serif"/>
        </w:rPr>
      </w:pPr>
      <w:r>
        <w:rPr>
          <w:rFonts w:ascii="Microsoft Sans Serif"/>
        </w:rPr>
        <w:t>HARRISBURG PA  17101-1357</w:t>
      </w:r>
    </w:p>
    <w:p w:rsidR="005F5DFD" w:rsidRPr="009C65E3" w:rsidRDefault="005F5DFD" w:rsidP="005F5DFD">
      <w:pPr>
        <w:contextualSpacing/>
        <w:rPr>
          <w:b/>
          <w:i/>
        </w:rPr>
      </w:pPr>
      <w:r>
        <w:rPr>
          <w:rFonts w:ascii="Microsoft Sans Serif"/>
          <w:b/>
          <w:i/>
        </w:rPr>
        <w:t xml:space="preserve">Representing </w:t>
      </w:r>
      <w:r w:rsidRPr="009C65E3">
        <w:rPr>
          <w:rFonts w:ascii="Microsoft Sans Serif"/>
          <w:b/>
          <w:i/>
        </w:rPr>
        <w:t>RASIER - PA LLC</w:t>
      </w:r>
      <w:r w:rsidRPr="009C65E3">
        <w:rPr>
          <w:rFonts w:ascii="Microsoft Sans Serif"/>
          <w:b/>
          <w:i/>
        </w:rPr>
        <w:cr/>
      </w:r>
      <w:r>
        <w:rPr>
          <w:rFonts w:ascii="Microsoft Sans Serif"/>
          <w:b/>
          <w:i/>
        </w:rPr>
        <w:t>Accepts E-service</w:t>
      </w:r>
      <w:r w:rsidRPr="009C65E3">
        <w:rPr>
          <w:rFonts w:ascii="Microsoft Sans Serif"/>
          <w:b/>
          <w:i/>
        </w:rPr>
        <w:cr/>
      </w:r>
    </w:p>
    <w:p w:rsidR="005F5DFD" w:rsidRDefault="005F5DFD" w:rsidP="005F5DFD">
      <w:pPr>
        <w:contextualSpacing/>
      </w:pPr>
    </w:p>
    <w:p w:rsidR="00687BAF" w:rsidRPr="00687BAF" w:rsidRDefault="00687BAF" w:rsidP="00687BAF"/>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4D" w:rsidRDefault="0065464D" w:rsidP="003F47EA">
      <w:r>
        <w:separator/>
      </w:r>
    </w:p>
  </w:endnote>
  <w:endnote w:type="continuationSeparator" w:id="0">
    <w:p w:rsidR="0065464D" w:rsidRDefault="0065464D"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05721"/>
      <w:docPartObj>
        <w:docPartGallery w:val="Page Numbers (Bottom of Page)"/>
        <w:docPartUnique/>
      </w:docPartObj>
    </w:sdtPr>
    <w:sdtEndPr>
      <w:rPr>
        <w:noProof/>
      </w:rPr>
    </w:sdtEndPr>
    <w:sdtContent>
      <w:p w:rsidR="00964697" w:rsidRDefault="00964697">
        <w:pPr>
          <w:pStyle w:val="Footer"/>
          <w:jc w:val="center"/>
        </w:pPr>
        <w:r w:rsidRPr="00A6630D">
          <w:rPr>
            <w:sz w:val="20"/>
            <w:szCs w:val="20"/>
          </w:rPr>
          <w:fldChar w:fldCharType="begin"/>
        </w:r>
        <w:r w:rsidRPr="00A6630D">
          <w:rPr>
            <w:sz w:val="20"/>
            <w:szCs w:val="20"/>
          </w:rPr>
          <w:instrText xml:space="preserve"> PAGE   \* MERGEFORMAT </w:instrText>
        </w:r>
        <w:r w:rsidRPr="00A6630D">
          <w:rPr>
            <w:sz w:val="20"/>
            <w:szCs w:val="20"/>
          </w:rPr>
          <w:fldChar w:fldCharType="separate"/>
        </w:r>
        <w:r w:rsidR="00A63074">
          <w:rPr>
            <w:noProof/>
            <w:sz w:val="20"/>
            <w:szCs w:val="20"/>
          </w:rPr>
          <w:t>5</w:t>
        </w:r>
        <w:r w:rsidRPr="00A6630D">
          <w:rPr>
            <w:noProof/>
            <w:sz w:val="20"/>
            <w:szCs w:val="20"/>
          </w:rPr>
          <w:fldChar w:fldCharType="end"/>
        </w:r>
      </w:p>
    </w:sdtContent>
  </w:sdt>
  <w:p w:rsidR="00964697" w:rsidRDefault="0096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4D" w:rsidRDefault="0065464D" w:rsidP="003F47EA">
      <w:r>
        <w:separator/>
      </w:r>
    </w:p>
  </w:footnote>
  <w:footnote w:type="continuationSeparator" w:id="0">
    <w:p w:rsidR="0065464D" w:rsidRDefault="0065464D" w:rsidP="003F47EA">
      <w:r>
        <w:continuationSeparator/>
      </w:r>
    </w:p>
  </w:footnote>
  <w:footnote w:id="1">
    <w:p w:rsidR="00E2411E" w:rsidRPr="00E2411E" w:rsidRDefault="00E2411E">
      <w:pPr>
        <w:pStyle w:val="FootnoteText"/>
        <w:rPr>
          <w:rFonts w:ascii="Times New Roman" w:hAnsi="Times New Roman" w:cs="Times New Roman"/>
          <w:spacing w:val="-3"/>
          <w:sz w:val="20"/>
          <w:szCs w:val="20"/>
        </w:rPr>
      </w:pPr>
      <w:r w:rsidRPr="00E2411E">
        <w:rPr>
          <w:rStyle w:val="FootnoteReference"/>
          <w:rFonts w:ascii="Times New Roman" w:hAnsi="Times New Roman" w:cs="Times New Roman"/>
          <w:sz w:val="20"/>
          <w:szCs w:val="20"/>
        </w:rPr>
        <w:footnoteRef/>
      </w:r>
      <w:r w:rsidRPr="00E2411E">
        <w:rPr>
          <w:rFonts w:ascii="Times New Roman" w:hAnsi="Times New Roman" w:cs="Times New Roman"/>
          <w:sz w:val="20"/>
          <w:szCs w:val="20"/>
        </w:rPr>
        <w:t xml:space="preserve"> </w:t>
      </w:r>
      <w:r w:rsidRPr="00E2411E">
        <w:rPr>
          <w:rFonts w:ascii="Times New Roman" w:hAnsi="Times New Roman" w:cs="Times New Roman"/>
          <w:sz w:val="20"/>
          <w:szCs w:val="20"/>
        </w:rPr>
        <w:tab/>
      </w:r>
      <w:r w:rsidRPr="00E2411E">
        <w:rPr>
          <w:rFonts w:ascii="Times New Roman" w:hAnsi="Times New Roman" w:cs="Times New Roman"/>
          <w:spacing w:val="-3"/>
          <w:sz w:val="20"/>
          <w:szCs w:val="20"/>
        </w:rPr>
        <w:t xml:space="preserve">See 66 Pa.C.S.A. § 332(c) and 52 Pa.Code § 5.432(a).  </w:t>
      </w:r>
    </w:p>
    <w:p w:rsidR="00E2411E" w:rsidRPr="00E2411E" w:rsidRDefault="00E2411E">
      <w:pPr>
        <w:pStyle w:val="FootnoteText"/>
        <w:rPr>
          <w:rFonts w:ascii="Times New Roman" w:hAnsi="Times New Roman" w:cs="Times New Roman"/>
          <w:sz w:val="20"/>
          <w:szCs w:val="20"/>
        </w:rPr>
      </w:pPr>
    </w:p>
  </w:footnote>
  <w:footnote w:id="2">
    <w:p w:rsidR="00E2411E" w:rsidRPr="00E2411E" w:rsidRDefault="00E2411E">
      <w:pPr>
        <w:pStyle w:val="FootnoteText"/>
        <w:rPr>
          <w:rFonts w:ascii="Times New Roman" w:hAnsi="Times New Roman" w:cs="Times New Roman"/>
          <w:spacing w:val="-3"/>
          <w:sz w:val="20"/>
          <w:szCs w:val="20"/>
        </w:rPr>
      </w:pPr>
      <w:r w:rsidRPr="00E2411E">
        <w:rPr>
          <w:rStyle w:val="FootnoteReference"/>
          <w:rFonts w:ascii="Times New Roman" w:hAnsi="Times New Roman" w:cs="Times New Roman"/>
          <w:sz w:val="20"/>
          <w:szCs w:val="20"/>
        </w:rPr>
        <w:footnoteRef/>
      </w:r>
      <w:r w:rsidRPr="00E2411E">
        <w:rPr>
          <w:rFonts w:ascii="Times New Roman" w:hAnsi="Times New Roman" w:cs="Times New Roman"/>
          <w:sz w:val="20"/>
          <w:szCs w:val="20"/>
        </w:rPr>
        <w:t xml:space="preserve"> </w:t>
      </w:r>
      <w:r w:rsidRPr="00E2411E">
        <w:rPr>
          <w:rFonts w:ascii="Times New Roman" w:hAnsi="Times New Roman" w:cs="Times New Roman"/>
          <w:sz w:val="20"/>
          <w:szCs w:val="20"/>
        </w:rPr>
        <w:tab/>
        <w:t xml:space="preserve">See </w:t>
      </w:r>
      <w:r w:rsidRPr="00E2411E">
        <w:rPr>
          <w:rFonts w:ascii="Times New Roman" w:hAnsi="Times New Roman" w:cs="Times New Roman"/>
          <w:spacing w:val="-3"/>
          <w:sz w:val="20"/>
          <w:szCs w:val="20"/>
        </w:rPr>
        <w:t>52 Pa.Code § 1.2(a).</w:t>
      </w:r>
    </w:p>
    <w:p w:rsidR="00E2411E" w:rsidRPr="00E2411E" w:rsidRDefault="00E2411E">
      <w:pPr>
        <w:pStyle w:val="FootnoteText"/>
        <w:rPr>
          <w:rFonts w:ascii="Times New Roman" w:hAnsi="Times New Roman" w:cs="Times New Roman"/>
          <w:sz w:val="20"/>
          <w:szCs w:val="20"/>
        </w:rPr>
      </w:pPr>
    </w:p>
  </w:footnote>
  <w:footnote w:id="3">
    <w:p w:rsidR="00E2411E" w:rsidRDefault="00E2411E">
      <w:pPr>
        <w:pStyle w:val="FootnoteText"/>
        <w:rPr>
          <w:rFonts w:ascii="Times New Roman" w:hAnsi="Times New Roman" w:cs="Times New Roman"/>
          <w:sz w:val="20"/>
          <w:szCs w:val="20"/>
        </w:rPr>
      </w:pPr>
      <w:r w:rsidRPr="00E2411E">
        <w:rPr>
          <w:rStyle w:val="FootnoteReference"/>
          <w:rFonts w:ascii="Times New Roman" w:hAnsi="Times New Roman" w:cs="Times New Roman"/>
          <w:sz w:val="20"/>
          <w:szCs w:val="20"/>
        </w:rPr>
        <w:footnoteRef/>
      </w:r>
      <w:r w:rsidRPr="00E2411E">
        <w:rPr>
          <w:rFonts w:ascii="Times New Roman" w:hAnsi="Times New Roman" w:cs="Times New Roman"/>
          <w:sz w:val="20"/>
          <w:szCs w:val="20"/>
        </w:rPr>
        <w:t xml:space="preserve"> </w:t>
      </w:r>
      <w:r w:rsidRPr="00E2411E">
        <w:rPr>
          <w:rFonts w:ascii="Times New Roman" w:hAnsi="Times New Roman" w:cs="Times New Roman"/>
          <w:sz w:val="20"/>
          <w:szCs w:val="20"/>
        </w:rPr>
        <w:tab/>
        <w:t>See 52 Pa. Code §5.222.</w:t>
      </w:r>
    </w:p>
    <w:p w:rsidR="00A6630D" w:rsidRDefault="00A6630D">
      <w:pPr>
        <w:pStyle w:val="FootnoteText"/>
      </w:pPr>
    </w:p>
  </w:footnote>
  <w:footnote w:id="4">
    <w:p w:rsidR="00F36C8E" w:rsidRPr="00F36C8E" w:rsidRDefault="00F36C8E">
      <w:pPr>
        <w:pStyle w:val="FootnoteText"/>
        <w:rPr>
          <w:rFonts w:ascii="Times New Roman" w:hAnsi="Times New Roman" w:cs="Times New Roman"/>
          <w:sz w:val="20"/>
          <w:szCs w:val="20"/>
        </w:rPr>
      </w:pPr>
      <w:r w:rsidRPr="00F36C8E">
        <w:rPr>
          <w:rStyle w:val="FootnoteReference"/>
          <w:rFonts w:ascii="Times New Roman" w:hAnsi="Times New Roman" w:cs="Times New Roman"/>
          <w:sz w:val="20"/>
          <w:szCs w:val="20"/>
        </w:rPr>
        <w:footnoteRef/>
      </w:r>
      <w:r w:rsidRPr="00F36C8E">
        <w:rPr>
          <w:rFonts w:ascii="Times New Roman" w:hAnsi="Times New Roman" w:cs="Times New Roman"/>
          <w:sz w:val="20"/>
          <w:szCs w:val="20"/>
        </w:rPr>
        <w:t xml:space="preserve"> </w:t>
      </w:r>
      <w:r w:rsidRPr="00F36C8E">
        <w:rPr>
          <w:rFonts w:ascii="Times New Roman" w:hAnsi="Times New Roman" w:cs="Times New Roman"/>
          <w:sz w:val="20"/>
          <w:szCs w:val="20"/>
        </w:rPr>
        <w:tab/>
        <w:t xml:space="preserve">It should be noted </w:t>
      </w:r>
      <w:r w:rsidR="00F94397">
        <w:rPr>
          <w:rFonts w:ascii="Times New Roman" w:hAnsi="Times New Roman" w:cs="Times New Roman"/>
          <w:sz w:val="20"/>
          <w:szCs w:val="20"/>
        </w:rPr>
        <w:t>Respondent does</w:t>
      </w:r>
      <w:r w:rsidRPr="00F36C8E">
        <w:rPr>
          <w:rFonts w:ascii="Times New Roman" w:hAnsi="Times New Roman" w:cs="Times New Roman"/>
          <w:sz w:val="20"/>
          <w:szCs w:val="20"/>
        </w:rPr>
        <w:t xml:space="preserve"> not provide a citation </w:t>
      </w:r>
      <w:r w:rsidR="00F94397">
        <w:rPr>
          <w:rFonts w:ascii="Times New Roman" w:hAnsi="Times New Roman" w:cs="Times New Roman"/>
          <w:sz w:val="20"/>
          <w:szCs w:val="20"/>
        </w:rPr>
        <w:t xml:space="preserve">or the proper name </w:t>
      </w:r>
      <w:r w:rsidRPr="00F36C8E">
        <w:rPr>
          <w:rFonts w:ascii="Times New Roman" w:hAnsi="Times New Roman" w:cs="Times New Roman"/>
          <w:sz w:val="20"/>
          <w:szCs w:val="20"/>
        </w:rPr>
        <w:t>for Act 164</w:t>
      </w:r>
      <w:r w:rsidR="00F94397">
        <w:rPr>
          <w:rFonts w:ascii="Times New Roman" w:hAnsi="Times New Roman" w:cs="Times New Roman"/>
          <w:sz w:val="20"/>
          <w:szCs w:val="20"/>
        </w:rPr>
        <w:t>.  The Motion also does not</w:t>
      </w:r>
      <w:r w:rsidRPr="00F36C8E">
        <w:rPr>
          <w:rFonts w:ascii="Times New Roman" w:hAnsi="Times New Roman" w:cs="Times New Roman"/>
          <w:sz w:val="20"/>
          <w:szCs w:val="20"/>
        </w:rPr>
        <w:t xml:space="preserve"> provide the applicable language from Act 164 which, in Respondent’s contention, clearly shows that the Commission lacks jurisdiction over transportation network company charges.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404B5"/>
    <w:rsid w:val="00042860"/>
    <w:rsid w:val="0005471E"/>
    <w:rsid w:val="00071F87"/>
    <w:rsid w:val="00087CC5"/>
    <w:rsid w:val="000947DC"/>
    <w:rsid w:val="000C1A6B"/>
    <w:rsid w:val="000C269C"/>
    <w:rsid w:val="000C71B2"/>
    <w:rsid w:val="000E6C36"/>
    <w:rsid w:val="000F3C6B"/>
    <w:rsid w:val="00100530"/>
    <w:rsid w:val="001163B8"/>
    <w:rsid w:val="001336B2"/>
    <w:rsid w:val="001534FA"/>
    <w:rsid w:val="00161151"/>
    <w:rsid w:val="00192F81"/>
    <w:rsid w:val="00197FE7"/>
    <w:rsid w:val="001A327B"/>
    <w:rsid w:val="001A517C"/>
    <w:rsid w:val="001B37F9"/>
    <w:rsid w:val="001B389A"/>
    <w:rsid w:val="001E6948"/>
    <w:rsid w:val="001F5E84"/>
    <w:rsid w:val="00202271"/>
    <w:rsid w:val="002107F3"/>
    <w:rsid w:val="00212F85"/>
    <w:rsid w:val="0021472B"/>
    <w:rsid w:val="00216054"/>
    <w:rsid w:val="0022623F"/>
    <w:rsid w:val="002270C7"/>
    <w:rsid w:val="00234986"/>
    <w:rsid w:val="0024528E"/>
    <w:rsid w:val="00247E77"/>
    <w:rsid w:val="00254AC4"/>
    <w:rsid w:val="0025521B"/>
    <w:rsid w:val="002569D2"/>
    <w:rsid w:val="002649A1"/>
    <w:rsid w:val="00280D5C"/>
    <w:rsid w:val="00286E18"/>
    <w:rsid w:val="002A08AE"/>
    <w:rsid w:val="002A3713"/>
    <w:rsid w:val="002A3915"/>
    <w:rsid w:val="002B080D"/>
    <w:rsid w:val="002B43C8"/>
    <w:rsid w:val="002C0A83"/>
    <w:rsid w:val="002C5195"/>
    <w:rsid w:val="002C6503"/>
    <w:rsid w:val="002C6736"/>
    <w:rsid w:val="003105EB"/>
    <w:rsid w:val="0031093F"/>
    <w:rsid w:val="0032184B"/>
    <w:rsid w:val="00322525"/>
    <w:rsid w:val="00323CE9"/>
    <w:rsid w:val="00342C83"/>
    <w:rsid w:val="0036055F"/>
    <w:rsid w:val="00374D14"/>
    <w:rsid w:val="00375FC7"/>
    <w:rsid w:val="00386EC2"/>
    <w:rsid w:val="003914A1"/>
    <w:rsid w:val="003A51FD"/>
    <w:rsid w:val="003A7731"/>
    <w:rsid w:val="003B5554"/>
    <w:rsid w:val="003B684C"/>
    <w:rsid w:val="003C49C9"/>
    <w:rsid w:val="003D2D9F"/>
    <w:rsid w:val="003D38F7"/>
    <w:rsid w:val="003F347A"/>
    <w:rsid w:val="003F47EA"/>
    <w:rsid w:val="003F69C5"/>
    <w:rsid w:val="00403EF2"/>
    <w:rsid w:val="00416D00"/>
    <w:rsid w:val="00417A48"/>
    <w:rsid w:val="00427446"/>
    <w:rsid w:val="00435A1B"/>
    <w:rsid w:val="00441E8C"/>
    <w:rsid w:val="00444E97"/>
    <w:rsid w:val="00460155"/>
    <w:rsid w:val="00462D34"/>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2B1"/>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C5138"/>
    <w:rsid w:val="005D141F"/>
    <w:rsid w:val="005E058C"/>
    <w:rsid w:val="005E6C7E"/>
    <w:rsid w:val="005E7F6B"/>
    <w:rsid w:val="005F5DFD"/>
    <w:rsid w:val="0060255E"/>
    <w:rsid w:val="00622936"/>
    <w:rsid w:val="006252C4"/>
    <w:rsid w:val="00636172"/>
    <w:rsid w:val="0065464D"/>
    <w:rsid w:val="0065509C"/>
    <w:rsid w:val="00661B4E"/>
    <w:rsid w:val="0067080A"/>
    <w:rsid w:val="00670B1B"/>
    <w:rsid w:val="006734EC"/>
    <w:rsid w:val="00676400"/>
    <w:rsid w:val="0068098C"/>
    <w:rsid w:val="0068284F"/>
    <w:rsid w:val="00687BAF"/>
    <w:rsid w:val="006A4914"/>
    <w:rsid w:val="006B690F"/>
    <w:rsid w:val="006C245B"/>
    <w:rsid w:val="006C7836"/>
    <w:rsid w:val="006D2E3F"/>
    <w:rsid w:val="006F08AE"/>
    <w:rsid w:val="007000FB"/>
    <w:rsid w:val="00704B6B"/>
    <w:rsid w:val="00735001"/>
    <w:rsid w:val="007442DE"/>
    <w:rsid w:val="00747A6F"/>
    <w:rsid w:val="00752308"/>
    <w:rsid w:val="00781BAD"/>
    <w:rsid w:val="00796F08"/>
    <w:rsid w:val="007A4181"/>
    <w:rsid w:val="007B25E2"/>
    <w:rsid w:val="007B29AB"/>
    <w:rsid w:val="007B430A"/>
    <w:rsid w:val="007D2137"/>
    <w:rsid w:val="007D25E2"/>
    <w:rsid w:val="007D67D1"/>
    <w:rsid w:val="007E2A88"/>
    <w:rsid w:val="008038A1"/>
    <w:rsid w:val="008046A7"/>
    <w:rsid w:val="00810ECB"/>
    <w:rsid w:val="008169F1"/>
    <w:rsid w:val="0082072C"/>
    <w:rsid w:val="008211B6"/>
    <w:rsid w:val="008215F2"/>
    <w:rsid w:val="008363BD"/>
    <w:rsid w:val="008433EA"/>
    <w:rsid w:val="00853982"/>
    <w:rsid w:val="00875888"/>
    <w:rsid w:val="00877335"/>
    <w:rsid w:val="00881A7C"/>
    <w:rsid w:val="0088214E"/>
    <w:rsid w:val="00885489"/>
    <w:rsid w:val="00890747"/>
    <w:rsid w:val="0089104A"/>
    <w:rsid w:val="00895B38"/>
    <w:rsid w:val="008A53F1"/>
    <w:rsid w:val="008C6CD3"/>
    <w:rsid w:val="008D25CC"/>
    <w:rsid w:val="008F5472"/>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9C6"/>
    <w:rsid w:val="00A24C4F"/>
    <w:rsid w:val="00A312B8"/>
    <w:rsid w:val="00A32C82"/>
    <w:rsid w:val="00A442C3"/>
    <w:rsid w:val="00A63074"/>
    <w:rsid w:val="00A6630D"/>
    <w:rsid w:val="00AA1CCA"/>
    <w:rsid w:val="00AC5DB3"/>
    <w:rsid w:val="00AE3450"/>
    <w:rsid w:val="00B150FA"/>
    <w:rsid w:val="00B21B7C"/>
    <w:rsid w:val="00B50794"/>
    <w:rsid w:val="00B66819"/>
    <w:rsid w:val="00B72806"/>
    <w:rsid w:val="00B81D8F"/>
    <w:rsid w:val="00B83C4A"/>
    <w:rsid w:val="00BA3333"/>
    <w:rsid w:val="00BA36B3"/>
    <w:rsid w:val="00BC346D"/>
    <w:rsid w:val="00BC3D16"/>
    <w:rsid w:val="00BC5F72"/>
    <w:rsid w:val="00BD6EBA"/>
    <w:rsid w:val="00BF0827"/>
    <w:rsid w:val="00BF3093"/>
    <w:rsid w:val="00C11AAF"/>
    <w:rsid w:val="00C124E6"/>
    <w:rsid w:val="00C13F83"/>
    <w:rsid w:val="00C33C26"/>
    <w:rsid w:val="00C43BC6"/>
    <w:rsid w:val="00C4789A"/>
    <w:rsid w:val="00C50BC8"/>
    <w:rsid w:val="00C93740"/>
    <w:rsid w:val="00CB7B6B"/>
    <w:rsid w:val="00CD309F"/>
    <w:rsid w:val="00CE116F"/>
    <w:rsid w:val="00CE2FD5"/>
    <w:rsid w:val="00CF35E9"/>
    <w:rsid w:val="00D1088E"/>
    <w:rsid w:val="00D167BB"/>
    <w:rsid w:val="00D3255C"/>
    <w:rsid w:val="00D356CF"/>
    <w:rsid w:val="00D4206A"/>
    <w:rsid w:val="00D54671"/>
    <w:rsid w:val="00D628C0"/>
    <w:rsid w:val="00D6711C"/>
    <w:rsid w:val="00D807D1"/>
    <w:rsid w:val="00D970C4"/>
    <w:rsid w:val="00DA06FC"/>
    <w:rsid w:val="00DE5630"/>
    <w:rsid w:val="00DF0EC6"/>
    <w:rsid w:val="00DF6DBF"/>
    <w:rsid w:val="00E125AF"/>
    <w:rsid w:val="00E1342A"/>
    <w:rsid w:val="00E2411E"/>
    <w:rsid w:val="00E36C6E"/>
    <w:rsid w:val="00E43A15"/>
    <w:rsid w:val="00E52101"/>
    <w:rsid w:val="00E53C53"/>
    <w:rsid w:val="00E56ADF"/>
    <w:rsid w:val="00E6714F"/>
    <w:rsid w:val="00E73276"/>
    <w:rsid w:val="00E76ACE"/>
    <w:rsid w:val="00E861DA"/>
    <w:rsid w:val="00E904E5"/>
    <w:rsid w:val="00EB2FB3"/>
    <w:rsid w:val="00EB4B99"/>
    <w:rsid w:val="00EC10E2"/>
    <w:rsid w:val="00EC4D4E"/>
    <w:rsid w:val="00ED55A2"/>
    <w:rsid w:val="00EF240B"/>
    <w:rsid w:val="00EF4F0C"/>
    <w:rsid w:val="00F0033E"/>
    <w:rsid w:val="00F02A7A"/>
    <w:rsid w:val="00F35C78"/>
    <w:rsid w:val="00F36C8E"/>
    <w:rsid w:val="00F37163"/>
    <w:rsid w:val="00F40E75"/>
    <w:rsid w:val="00F725B5"/>
    <w:rsid w:val="00F73E58"/>
    <w:rsid w:val="00F75473"/>
    <w:rsid w:val="00F94397"/>
    <w:rsid w:val="00FA536B"/>
    <w:rsid w:val="00FB1797"/>
    <w:rsid w:val="00FB30AF"/>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D249C"/>
  <w15:docId w15:val="{6B2250EA-7EAE-4FD4-8281-8F1A8D72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 w:type="character" w:styleId="FootnoteReference">
    <w:name w:val="footnote reference"/>
    <w:basedOn w:val="DefaultParagraphFont"/>
    <w:semiHidden/>
    <w:unhideWhenUsed/>
    <w:rsid w:val="00F36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1A16-2EAC-4DC9-88DE-EE3EB5DE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Pallas, Dan</cp:lastModifiedBy>
  <cp:revision>4</cp:revision>
  <cp:lastPrinted>2017-09-25T18:54:00Z</cp:lastPrinted>
  <dcterms:created xsi:type="dcterms:W3CDTF">2017-09-25T17:59:00Z</dcterms:created>
  <dcterms:modified xsi:type="dcterms:W3CDTF">2017-09-25T18:58:00Z</dcterms:modified>
</cp:coreProperties>
</file>