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FB19C6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8, 2017</w:t>
      </w:r>
    </w:p>
    <w:p w:rsidR="007504F3" w:rsidRDefault="007504F3" w:rsidP="005A5864">
      <w:pPr>
        <w:jc w:val="both"/>
        <w:rPr>
          <w:sz w:val="22"/>
          <w:szCs w:val="22"/>
        </w:rPr>
      </w:pPr>
    </w:p>
    <w:p w:rsidR="005A5864" w:rsidRDefault="00FB19C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MICHAEL A. GRUIN, ESQUIRE</w:t>
      </w:r>
    </w:p>
    <w:p w:rsidR="00713ACE" w:rsidRDefault="00FB19C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STEVENS &amp; LEE</w:t>
      </w:r>
    </w:p>
    <w:p w:rsidR="00713ACE" w:rsidRDefault="00FB19C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17 NORTH 2</w:t>
      </w:r>
      <w:r w:rsidRPr="00FB19C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STREET</w:t>
      </w:r>
    </w:p>
    <w:p w:rsidR="00713ACE" w:rsidRDefault="00FB19C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HARRISBURG, PA  17101</w:t>
      </w:r>
    </w:p>
    <w:p w:rsidR="00FB19C6" w:rsidRDefault="00FB19C6" w:rsidP="005A5864">
      <w:pPr>
        <w:jc w:val="both"/>
        <w:rPr>
          <w:sz w:val="22"/>
          <w:szCs w:val="22"/>
        </w:rPr>
      </w:pPr>
    </w:p>
    <w:p w:rsidR="00FB19C6" w:rsidRDefault="00FB19C6" w:rsidP="005A5864">
      <w:pPr>
        <w:jc w:val="both"/>
        <w:rPr>
          <w:sz w:val="22"/>
          <w:szCs w:val="22"/>
        </w:rPr>
      </w:pPr>
    </w:p>
    <w:p w:rsidR="00FB19C6" w:rsidRPr="00D20EFD" w:rsidRDefault="00FB19C6" w:rsidP="005A5864">
      <w:pPr>
        <w:jc w:val="both"/>
        <w:rPr>
          <w:sz w:val="22"/>
          <w:szCs w:val="22"/>
        </w:rPr>
      </w:pP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0C7E2F">
        <w:rPr>
          <w:rFonts w:cs="Arial"/>
          <w:sz w:val="22"/>
          <w:szCs w:val="22"/>
        </w:rPr>
        <w:t>Incomplete Letter of Credit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0C7E2F">
        <w:rPr>
          <w:sz w:val="22"/>
          <w:szCs w:val="22"/>
        </w:rPr>
        <w:t>New Wave Energy Corp.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0C7E2F">
        <w:rPr>
          <w:sz w:val="22"/>
          <w:szCs w:val="22"/>
        </w:rPr>
        <w:t>New Wave Energy Corp.,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0C7E2F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The Bank Location must be included beneath the section labeled as “Drawn On”.</w:t>
      </w:r>
      <w:bookmarkStart w:id="0" w:name="_GoBack"/>
      <w:bookmarkEnd w:id="0"/>
      <w:r w:rsidR="007504F3">
        <w:rPr>
          <w:sz w:val="22"/>
          <w:szCs w:val="22"/>
        </w:rPr>
        <w:t xml:space="preserve">  Please refer to the enclosed copy of the bond template for the complete language.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RC:</w:t>
      </w:r>
      <w:r w:rsidR="0097516F">
        <w:rPr>
          <w:rStyle w:val="Emphasis"/>
          <w:i w:val="0"/>
          <w:sz w:val="22"/>
          <w:szCs w:val="22"/>
        </w:rPr>
        <w:t>ael</w:t>
      </w:r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C7E2F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13ACE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138E8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  <w:rsid w:val="00F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012C49"/>
  <w15:docId w15:val="{91C9728B-E7EB-4581-AA23-A57D0B0D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3</cp:revision>
  <cp:lastPrinted>2016-06-06T22:09:00Z</cp:lastPrinted>
  <dcterms:created xsi:type="dcterms:W3CDTF">2017-09-08T13:02:00Z</dcterms:created>
  <dcterms:modified xsi:type="dcterms:W3CDTF">2017-09-08T13:21:00Z</dcterms:modified>
</cp:coreProperties>
</file>