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5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962B93" w:rsidRPr="00962B93" w:rsidTr="00212D61">
        <w:trPr>
          <w:trHeight w:val="990"/>
        </w:trPr>
        <w:tc>
          <w:tcPr>
            <w:tcW w:w="1363" w:type="dxa"/>
          </w:tcPr>
          <w:p w:rsidR="005C66E8" w:rsidRPr="00962B93" w:rsidRDefault="005C66E8" w:rsidP="0021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0"/>
              </w:rPr>
            </w:pPr>
            <w:r w:rsidRPr="00962B93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pacing w:val="-2"/>
                <w:sz w:val="20"/>
                <w:szCs w:val="20"/>
              </w:rPr>
              <w:drawing>
                <wp:inline distT="0" distB="0" distL="0" distR="0" wp14:anchorId="694250F8" wp14:editId="30292099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  <w:vAlign w:val="center"/>
          </w:tcPr>
          <w:p w:rsidR="005C66E8" w:rsidRPr="00962B93" w:rsidRDefault="005C66E8" w:rsidP="00212D61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spacing w:val="-3"/>
                <w:sz w:val="26"/>
                <w:szCs w:val="20"/>
              </w:rPr>
            </w:pPr>
            <w:r w:rsidRPr="00962B93">
              <w:rPr>
                <w:rFonts w:ascii="Arial" w:eastAsia="Times New Roman" w:hAnsi="Arial" w:cs="Arial"/>
                <w:color w:val="0D0D0D" w:themeColor="text1" w:themeTint="F2"/>
                <w:spacing w:val="-3"/>
                <w:sz w:val="26"/>
                <w:szCs w:val="20"/>
              </w:rPr>
              <w:t>COMMONWEALTH OF PENNSYLVANIA</w:t>
            </w:r>
          </w:p>
          <w:p w:rsidR="005C66E8" w:rsidRPr="00962B93" w:rsidRDefault="005C66E8" w:rsidP="00212D61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spacing w:val="-3"/>
                <w:sz w:val="26"/>
                <w:szCs w:val="20"/>
              </w:rPr>
            </w:pPr>
            <w:r w:rsidRPr="00962B93">
              <w:rPr>
                <w:rFonts w:ascii="Arial" w:eastAsia="Times New Roman" w:hAnsi="Arial" w:cs="Arial"/>
                <w:color w:val="0D0D0D" w:themeColor="text1" w:themeTint="F2"/>
                <w:spacing w:val="-3"/>
                <w:sz w:val="26"/>
                <w:szCs w:val="20"/>
              </w:rPr>
              <w:t>PENNSYLVANIA PUBLIC UTILITY COMMISSION</w:t>
            </w:r>
          </w:p>
          <w:p w:rsidR="005C66E8" w:rsidRPr="00962B93" w:rsidRDefault="005C66E8" w:rsidP="0021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2"/>
                <w:szCs w:val="20"/>
              </w:rPr>
            </w:pPr>
            <w:r w:rsidRPr="00962B93">
              <w:rPr>
                <w:rFonts w:ascii="Arial" w:eastAsia="Times New Roman" w:hAnsi="Arial" w:cs="Arial"/>
                <w:color w:val="0D0D0D" w:themeColor="text1" w:themeTint="F2"/>
                <w:spacing w:val="-3"/>
                <w:sz w:val="26"/>
                <w:szCs w:val="20"/>
              </w:rPr>
              <w:t>P.O. BOX 3265, HARRISBURG, PA 17105-3265</w:t>
            </w:r>
          </w:p>
        </w:tc>
        <w:tc>
          <w:tcPr>
            <w:tcW w:w="1440" w:type="dxa"/>
          </w:tcPr>
          <w:p w:rsidR="005C66E8" w:rsidRPr="00962B93" w:rsidRDefault="005C66E8" w:rsidP="0021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2"/>
                <w:szCs w:val="20"/>
              </w:rPr>
            </w:pPr>
          </w:p>
          <w:p w:rsidR="005C66E8" w:rsidRPr="00962B93" w:rsidRDefault="005C66E8" w:rsidP="00212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2"/>
                <w:szCs w:val="20"/>
              </w:rPr>
            </w:pPr>
          </w:p>
          <w:p w:rsidR="00212D61" w:rsidRDefault="00212D61" w:rsidP="00212D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-1"/>
                <w:sz w:val="12"/>
                <w:szCs w:val="20"/>
              </w:rPr>
            </w:pPr>
          </w:p>
          <w:p w:rsidR="00212D61" w:rsidRDefault="00212D61" w:rsidP="00212D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-1"/>
                <w:sz w:val="12"/>
                <w:szCs w:val="20"/>
              </w:rPr>
            </w:pPr>
          </w:p>
          <w:p w:rsidR="005C66E8" w:rsidRPr="00962B93" w:rsidRDefault="005C66E8" w:rsidP="00212D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-1"/>
                <w:sz w:val="12"/>
                <w:szCs w:val="20"/>
              </w:rPr>
            </w:pPr>
            <w:r w:rsidRPr="00962B93">
              <w:rPr>
                <w:rFonts w:ascii="Arial" w:eastAsia="Times New Roman" w:hAnsi="Arial" w:cs="Arial"/>
                <w:b/>
                <w:color w:val="0D0D0D" w:themeColor="text1" w:themeTint="F2"/>
                <w:spacing w:val="-1"/>
                <w:sz w:val="12"/>
                <w:szCs w:val="20"/>
              </w:rPr>
              <w:t>IN REPLY PLEASE REFER TO OUR FILE</w:t>
            </w:r>
          </w:p>
          <w:p w:rsidR="005C66E8" w:rsidRPr="00962B93" w:rsidRDefault="005C66E8" w:rsidP="00212D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-1"/>
                <w:sz w:val="12"/>
                <w:szCs w:val="20"/>
              </w:rPr>
            </w:pPr>
          </w:p>
          <w:p w:rsidR="005C66E8" w:rsidRPr="00962B93" w:rsidRDefault="005C66E8" w:rsidP="00212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62B93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  <w:t>M-2017-2595</w:t>
            </w:r>
            <w:r w:rsidR="00E72DE2" w:rsidRPr="00962B93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  <w:t>0</w:t>
            </w:r>
            <w:r w:rsidRPr="00962B93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  <w:t>36</w:t>
            </w:r>
          </w:p>
        </w:tc>
      </w:tr>
    </w:tbl>
    <w:p w:rsidR="00505A25" w:rsidRDefault="00505A25" w:rsidP="005C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B75DE0" w:rsidRPr="00212D61" w:rsidRDefault="00B75DE0" w:rsidP="005C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5C66E8" w:rsidRPr="00212D61" w:rsidRDefault="00B70198" w:rsidP="005C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September 28, 2017</w:t>
      </w:r>
    </w:p>
    <w:p w:rsidR="005C66E8" w:rsidRPr="00212D61" w:rsidRDefault="005C66E8" w:rsidP="005C66E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B75DE0" w:rsidRPr="00212D61" w:rsidRDefault="00B75DE0" w:rsidP="005C66E8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5C66E8" w:rsidRPr="00212D61" w:rsidRDefault="005C66E8" w:rsidP="00D51BC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TO ALL INTERESTED PARTIES:</w:t>
      </w:r>
    </w:p>
    <w:p w:rsidR="00505A25" w:rsidRPr="00212D61" w:rsidRDefault="00505A25" w:rsidP="00D51BC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B75DE0" w:rsidRPr="00212D61" w:rsidRDefault="00B75DE0" w:rsidP="00D51BC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212D61" w:rsidRDefault="005C66E8" w:rsidP="00212D61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Re: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 xml:space="preserve">Inquiry into the Use of Social Security Numbers by Energy Utilities and Contractors in Conjunction with Universal Service </w:t>
      </w:r>
      <w:r w:rsidR="00CB760D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Programs</w:t>
      </w:r>
      <w:r w:rsidR="005024A9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</w:p>
    <w:p w:rsidR="005C66E8" w:rsidRPr="00212D61" w:rsidRDefault="005C66E8" w:rsidP="00212D6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Docket No. M-2017-2595036</w:t>
      </w:r>
    </w:p>
    <w:p w:rsidR="005C66E8" w:rsidRPr="00212D61" w:rsidRDefault="005C66E8" w:rsidP="00D51BC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EB5406" w:rsidRPr="00212D61" w:rsidRDefault="00EB5406" w:rsidP="00D51BC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For reasons outlined below, the Commission 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shall not proceed further with the generic Social Security Number (SSN) inquiry at Docket No. M-2017-2595036.  If persons wish to comment regarding the use of SSNs in conjunction with universal service matters, they may do so in </w:t>
      </w:r>
      <w:r w:rsidRPr="00212D61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</w:rPr>
        <w:t>Review of Universal Service Programs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at Docket No. M</w:t>
      </w:r>
      <w:r w:rsid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noBreakHyphen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2017</w:t>
      </w:r>
      <w:r w:rsid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noBreakHyphen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2596907.  </w:t>
      </w:r>
    </w:p>
    <w:p w:rsidR="00EB5406" w:rsidRPr="00212D61" w:rsidRDefault="00EB5406" w:rsidP="00D51BC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B75DE0" w:rsidRPr="00212D61" w:rsidRDefault="00B75DE0" w:rsidP="00D51BC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sectPr w:rsidR="00B75DE0" w:rsidRPr="00212D61" w:rsidSect="00B75DE0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B5406" w:rsidRPr="00212D61" w:rsidRDefault="00EB7599" w:rsidP="00D51BC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Docket No. M-2017-2596907</w:t>
      </w:r>
      <w:r w:rsidR="00EB5406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was opened because an energy utility </w:t>
      </w:r>
      <w:r w:rsidR="0089094D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had </w:t>
      </w:r>
      <w:r w:rsidR="00EB5406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asserted 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that SSNs were required from persons seeking hardship funds.</w:t>
      </w:r>
      <w:r w:rsidRPr="00212D61">
        <w:rPr>
          <w:rStyle w:val="FootnoteReference"/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footnoteReference w:id="1"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According to the utility, </w:t>
      </w:r>
      <w:r w:rsidR="006F7C68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its </w:t>
      </w:r>
      <w:r w:rsidR="00EB5406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hardship fund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6F7C68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administrator 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established the requirement</w:t>
      </w:r>
      <w:r w:rsidR="00EB5406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  <w:r w:rsidR="00EB5406" w:rsidRPr="00212D61">
        <w:rPr>
          <w:rStyle w:val="FootnoteReference"/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footnoteReference w:id="2"/>
      </w:r>
      <w:r w:rsidR="00EB5406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="00A20D18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Staff has </w:t>
      </w:r>
      <w:r w:rsidR="00765CED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now </w:t>
      </w:r>
      <w:r w:rsidR="00A20D18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confirmed that the </w:t>
      </w:r>
      <w:r w:rsidR="006F7C68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administrator </w:t>
      </w:r>
      <w:r w:rsidR="00A20D18" w:rsidRPr="00212D61">
        <w:rPr>
          <w:rFonts w:ascii="Times New Roman" w:hAnsi="Times New Roman" w:cs="Times New Roman"/>
          <w:sz w:val="26"/>
          <w:szCs w:val="26"/>
        </w:rPr>
        <w:t xml:space="preserve">requests, but does not require, SSNs from customers seeking hardship funds.  </w:t>
      </w:r>
      <w:r w:rsidR="00A20D18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W</w:t>
      </w:r>
      <w:r w:rsidR="00A20D18"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e are unaware of any energy utilities or their contractors/agents that currently require customers to disclose their SSNs, as well as the SSNs of other persons within their households, as a condition for receiving universal service benefits.  Accordingly, the inquiry at </w:t>
      </w:r>
      <w:r w:rsidR="00612DD0"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</w:t>
      </w:r>
      <w:r w:rsidR="00A20D18"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ocket </w:t>
      </w:r>
      <w:r w:rsidR="00612DD0"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No. M-2017-2595036 </w:t>
      </w:r>
      <w:r w:rsidR="00A20D18"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is moot, and the docket shall be closed. </w:t>
      </w:r>
    </w:p>
    <w:p w:rsidR="001B1465" w:rsidRPr="00212D61" w:rsidRDefault="001B1465" w:rsidP="001B146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312D2" w:rsidRPr="00212D61" w:rsidRDefault="006312D2" w:rsidP="00D51BC2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If you have any questions reg</w:t>
      </w:r>
      <w:r w:rsidR="007A6F7A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arding this Secretarial Letter, please contact Joseph</w:t>
      </w:r>
      <w:r w:rsidR="00B2085C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 </w:t>
      </w:r>
      <w:r w:rsidR="007A6F7A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Magee, Bureau of Consumer Services, </w:t>
      </w:r>
      <w:hyperlink r:id="rId10" w:history="1">
        <w:r w:rsidR="007A6F7A" w:rsidRPr="00212D61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</w:rPr>
          <w:t>jmagee@pa.gov</w:t>
        </w:r>
      </w:hyperlink>
      <w:r w:rsidR="007A6F7A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regarding technical or operational issues or Louise Fink Smith, Law Bureau, at </w:t>
      </w:r>
      <w:hyperlink r:id="rId11" w:history="1">
        <w:r w:rsidR="007A6F7A" w:rsidRPr="00212D61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</w:rPr>
          <w:t>finksmith@pa.gov</w:t>
        </w:r>
      </w:hyperlink>
      <w:r w:rsidR="005024A9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7A6F7A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regarding legal or procedural issues.</w:t>
      </w:r>
    </w:p>
    <w:p w:rsidR="006312D2" w:rsidRPr="00212D61" w:rsidRDefault="006312D2" w:rsidP="00D51BC2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B75DE0" w:rsidRPr="00212D61" w:rsidRDefault="00B75DE0" w:rsidP="00D51BC2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6312D2" w:rsidRPr="00212D61" w:rsidRDefault="00B70198" w:rsidP="00D51BC2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990E93" wp14:editId="45D110DE">
            <wp:simplePos x="0" y="0"/>
            <wp:positionH relativeFrom="column">
              <wp:posOffset>3190875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6312D2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Sincerely,</w:t>
      </w:r>
    </w:p>
    <w:p w:rsidR="006312D2" w:rsidRPr="00212D61" w:rsidRDefault="00B70198" w:rsidP="00B70198">
      <w:pPr>
        <w:keepNext/>
        <w:tabs>
          <w:tab w:val="left" w:pos="5190"/>
        </w:tabs>
        <w:spacing w:after="0" w:line="240" w:lineRule="auto"/>
        <w:ind w:left="360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</w:p>
    <w:p w:rsidR="006312D2" w:rsidRPr="00212D61" w:rsidRDefault="006312D2" w:rsidP="00505A25">
      <w:pPr>
        <w:keepNext/>
        <w:spacing w:after="0" w:line="240" w:lineRule="auto"/>
        <w:ind w:left="360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bookmarkStart w:id="0" w:name="_GoBack"/>
      <w:bookmarkEnd w:id="0"/>
    </w:p>
    <w:p w:rsidR="006312D2" w:rsidRPr="00212D61" w:rsidRDefault="006312D2" w:rsidP="00505A25">
      <w:pPr>
        <w:keepNext/>
        <w:spacing w:after="0" w:line="240" w:lineRule="auto"/>
        <w:ind w:left="360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6312D2" w:rsidRPr="00212D61" w:rsidRDefault="006312D2" w:rsidP="00505A2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Rosemary Chiavetta</w:t>
      </w:r>
    </w:p>
    <w:p w:rsidR="006312D2" w:rsidRPr="00212D61" w:rsidRDefault="006312D2" w:rsidP="00505A2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Secretary</w:t>
      </w:r>
    </w:p>
    <w:p w:rsidR="006312D2" w:rsidRDefault="006312D2" w:rsidP="00505A2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212D61" w:rsidRPr="00212D61" w:rsidRDefault="00212D61" w:rsidP="00505A2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:rsidR="006312D2" w:rsidRPr="00212D61" w:rsidRDefault="006312D2" w:rsidP="00505A25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cc: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Louise Fink Smith, Assistant Counsel, Law Bureau</w:t>
      </w:r>
    </w:p>
    <w:p w:rsidR="00DD7765" w:rsidRPr="00212D61" w:rsidRDefault="00DD7765" w:rsidP="00505A25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James Farley, BCS</w:t>
      </w:r>
    </w:p>
    <w:p w:rsidR="006312D2" w:rsidRPr="00212D61" w:rsidRDefault="006312D2" w:rsidP="00505A25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Sarah Dewey, BCS</w:t>
      </w:r>
    </w:p>
    <w:p w:rsidR="006312D2" w:rsidRPr="00212D61" w:rsidRDefault="006312D2" w:rsidP="00505A25">
      <w:pPr>
        <w:keepNext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  <w:t>Joseph Magee, BCS</w:t>
      </w:r>
    </w:p>
    <w:p w:rsidR="00B2085C" w:rsidRPr="00212D61" w:rsidRDefault="00B2085C" w:rsidP="00B2085C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Duquesne Light Company</w:t>
      </w:r>
    </w:p>
    <w:p w:rsidR="00B2085C" w:rsidRPr="00212D61" w:rsidRDefault="00B2085C" w:rsidP="00B2085C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Dollar Energy Fund</w:t>
      </w:r>
    </w:p>
    <w:p w:rsidR="000A229F" w:rsidRPr="00212D61" w:rsidRDefault="000A229F" w:rsidP="00B2085C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Parties of Record</w:t>
      </w:r>
      <w:r w:rsidR="00BF15BA"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Docket No. M-2016-</w:t>
      </w:r>
      <w:r w:rsidRPr="00212D6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2534323</w:t>
      </w:r>
    </w:p>
    <w:p w:rsidR="005024A9" w:rsidRPr="00212D61" w:rsidRDefault="005024A9" w:rsidP="00B2085C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Public Utility Law Project</w:t>
      </w:r>
    </w:p>
    <w:p w:rsidR="00B2085C" w:rsidRPr="00212D61" w:rsidRDefault="00B2085C" w:rsidP="00B2085C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Energy Association of Pennsylvania</w:t>
      </w:r>
    </w:p>
    <w:p w:rsidR="004A2D43" w:rsidRPr="00212D61" w:rsidRDefault="004A2D43" w:rsidP="00505A25">
      <w:pPr>
        <w:keepNext/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</w:pPr>
      <w:r w:rsidRPr="00212D6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ab/>
      </w:r>
      <w:r w:rsidRPr="00212D61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</w:rPr>
        <w:t>Pennsylvania Bulletin</w:t>
      </w:r>
    </w:p>
    <w:sectPr w:rsidR="004A2D43" w:rsidRPr="00212D61" w:rsidSect="00B75DE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62" w:rsidRDefault="00791262" w:rsidP="005C66E8">
      <w:pPr>
        <w:spacing w:after="0" w:line="240" w:lineRule="auto"/>
      </w:pPr>
      <w:r>
        <w:separator/>
      </w:r>
    </w:p>
  </w:endnote>
  <w:endnote w:type="continuationSeparator" w:id="0">
    <w:p w:rsidR="00791262" w:rsidRDefault="00791262" w:rsidP="005C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62" w:rsidRDefault="00791262" w:rsidP="005C66E8">
      <w:pPr>
        <w:spacing w:after="0" w:line="240" w:lineRule="auto"/>
      </w:pPr>
      <w:r>
        <w:separator/>
      </w:r>
    </w:p>
  </w:footnote>
  <w:footnote w:type="continuationSeparator" w:id="0">
    <w:p w:rsidR="00791262" w:rsidRDefault="00791262" w:rsidP="005C66E8">
      <w:pPr>
        <w:spacing w:after="0" w:line="240" w:lineRule="auto"/>
      </w:pPr>
      <w:r>
        <w:continuationSeparator/>
      </w:r>
    </w:p>
  </w:footnote>
  <w:footnote w:id="1">
    <w:p w:rsidR="00EB7599" w:rsidRPr="00212D61" w:rsidRDefault="00EB7599" w:rsidP="00EB7599">
      <w:pPr>
        <w:pStyle w:val="FootnoteText"/>
        <w:rPr>
          <w:sz w:val="22"/>
          <w:szCs w:val="22"/>
        </w:rPr>
      </w:pPr>
      <w:r w:rsidRPr="00212D61">
        <w:rPr>
          <w:rStyle w:val="FootnoteReference"/>
          <w:sz w:val="22"/>
          <w:szCs w:val="22"/>
        </w:rPr>
        <w:footnoteRef/>
      </w:r>
      <w:r w:rsidRPr="00212D61">
        <w:rPr>
          <w:sz w:val="22"/>
          <w:szCs w:val="22"/>
        </w:rPr>
        <w:t xml:space="preserve">  </w:t>
      </w:r>
      <w:r w:rsidR="006F7C68" w:rsidRPr="00212D61">
        <w:rPr>
          <w:rStyle w:val="Strong"/>
          <w:b w:val="0"/>
          <w:color w:val="333333"/>
          <w:sz w:val="22"/>
          <w:szCs w:val="22"/>
        </w:rPr>
        <w:t>H</w:t>
      </w:r>
      <w:r w:rsidRPr="00212D61">
        <w:rPr>
          <w:rStyle w:val="Strong"/>
          <w:b w:val="0"/>
          <w:color w:val="333333"/>
          <w:sz w:val="22"/>
          <w:szCs w:val="22"/>
        </w:rPr>
        <w:t>ardship funds</w:t>
      </w:r>
      <w:r w:rsidRPr="00212D61">
        <w:rPr>
          <w:color w:val="333333"/>
          <w:sz w:val="22"/>
          <w:szCs w:val="22"/>
        </w:rPr>
        <w:t xml:space="preserve"> are </w:t>
      </w:r>
      <w:r w:rsidR="006F7C68" w:rsidRPr="00212D61">
        <w:rPr>
          <w:color w:val="333333"/>
          <w:sz w:val="22"/>
          <w:szCs w:val="22"/>
        </w:rPr>
        <w:t xml:space="preserve">a mandatory </w:t>
      </w:r>
      <w:r w:rsidRPr="00212D61">
        <w:rPr>
          <w:color w:val="333333"/>
          <w:sz w:val="22"/>
          <w:szCs w:val="22"/>
        </w:rPr>
        <w:t>part of a</w:t>
      </w:r>
      <w:r w:rsidR="006F7C68" w:rsidRPr="00212D61">
        <w:rPr>
          <w:color w:val="333333"/>
          <w:sz w:val="22"/>
          <w:szCs w:val="22"/>
        </w:rPr>
        <w:t>n energy</w:t>
      </w:r>
      <w:r w:rsidRPr="00212D61">
        <w:rPr>
          <w:color w:val="333333"/>
          <w:sz w:val="22"/>
          <w:szCs w:val="22"/>
        </w:rPr>
        <w:t xml:space="preserve"> utility’s universal service and energy conservation program (USECP) and can provide cash assistance to the utility’s customers to help pay utility bills.  </w:t>
      </w:r>
      <w:r w:rsidR="006F7C68" w:rsidRPr="00212D61">
        <w:rPr>
          <w:color w:val="333333"/>
          <w:sz w:val="22"/>
          <w:szCs w:val="22"/>
        </w:rPr>
        <w:t>H</w:t>
      </w:r>
      <w:r w:rsidRPr="00212D61">
        <w:rPr>
          <w:color w:val="333333"/>
          <w:sz w:val="22"/>
          <w:szCs w:val="22"/>
        </w:rPr>
        <w:t xml:space="preserve">ardship funds payments </w:t>
      </w:r>
      <w:r w:rsidR="006F7C68" w:rsidRPr="00212D61">
        <w:rPr>
          <w:color w:val="333333"/>
          <w:sz w:val="22"/>
          <w:szCs w:val="22"/>
        </w:rPr>
        <w:t xml:space="preserve">go </w:t>
      </w:r>
      <w:r w:rsidRPr="00212D61">
        <w:rPr>
          <w:color w:val="333333"/>
          <w:sz w:val="22"/>
          <w:szCs w:val="22"/>
        </w:rPr>
        <w:t xml:space="preserve">directly to energy companies on behalf of eligible customers.  </w:t>
      </w:r>
      <w:r w:rsidRPr="00212D61">
        <w:rPr>
          <w:i/>
          <w:color w:val="333333"/>
          <w:sz w:val="22"/>
          <w:szCs w:val="22"/>
        </w:rPr>
        <w:t>See</w:t>
      </w:r>
      <w:r w:rsidRPr="00212D61">
        <w:rPr>
          <w:color w:val="333333"/>
          <w:sz w:val="22"/>
          <w:szCs w:val="22"/>
        </w:rPr>
        <w:t xml:space="preserve"> </w:t>
      </w:r>
      <w:hyperlink r:id="rId1" w:history="1">
        <w:r w:rsidRPr="00212D61">
          <w:rPr>
            <w:rStyle w:val="Hyperlink"/>
            <w:sz w:val="22"/>
            <w:szCs w:val="22"/>
          </w:rPr>
          <w:t>http://www.puc.pa.gov/consumer_info/electricity/energy_assistance_programs.aspx</w:t>
        </w:r>
      </w:hyperlink>
      <w:r w:rsidRPr="00212D61">
        <w:rPr>
          <w:color w:val="333333"/>
          <w:sz w:val="22"/>
          <w:szCs w:val="22"/>
        </w:rPr>
        <w:t xml:space="preserve">.  Hardship funds are often administered by </w:t>
      </w:r>
      <w:r w:rsidR="00F754D6" w:rsidRPr="00212D61">
        <w:rPr>
          <w:color w:val="0D0D0D" w:themeColor="text1" w:themeTint="F2"/>
          <w:sz w:val="22"/>
          <w:szCs w:val="22"/>
        </w:rPr>
        <w:t xml:space="preserve">community based organizations (CBOs) </w:t>
      </w:r>
      <w:r w:rsidRPr="00212D61">
        <w:rPr>
          <w:color w:val="333333"/>
          <w:sz w:val="22"/>
          <w:szCs w:val="22"/>
        </w:rPr>
        <w:t xml:space="preserve">on behalf of </w:t>
      </w:r>
      <w:r w:rsidR="003049EE" w:rsidRPr="00212D61">
        <w:rPr>
          <w:color w:val="333333"/>
          <w:sz w:val="22"/>
          <w:szCs w:val="22"/>
        </w:rPr>
        <w:t xml:space="preserve">the </w:t>
      </w:r>
      <w:r w:rsidRPr="00212D61">
        <w:rPr>
          <w:color w:val="333333"/>
          <w:sz w:val="22"/>
          <w:szCs w:val="22"/>
        </w:rPr>
        <w:t>energy utilit</w:t>
      </w:r>
      <w:r w:rsidR="003049EE" w:rsidRPr="00212D61">
        <w:rPr>
          <w:color w:val="333333"/>
          <w:sz w:val="22"/>
          <w:szCs w:val="22"/>
        </w:rPr>
        <w:t>ies</w:t>
      </w:r>
      <w:r w:rsidRPr="00212D61">
        <w:rPr>
          <w:color w:val="333333"/>
          <w:sz w:val="22"/>
          <w:szCs w:val="22"/>
        </w:rPr>
        <w:t xml:space="preserve">.  </w:t>
      </w:r>
    </w:p>
  </w:footnote>
  <w:footnote w:id="2">
    <w:p w:rsidR="00EB5406" w:rsidRPr="00A20D18" w:rsidRDefault="00EB5406" w:rsidP="00EB5406">
      <w:pPr>
        <w:pStyle w:val="FootnoteText"/>
        <w:rPr>
          <w:sz w:val="22"/>
          <w:szCs w:val="22"/>
        </w:rPr>
      </w:pPr>
      <w:r w:rsidRPr="00212D61">
        <w:rPr>
          <w:rStyle w:val="FootnoteReference"/>
          <w:sz w:val="22"/>
          <w:szCs w:val="22"/>
        </w:rPr>
        <w:footnoteRef/>
      </w:r>
      <w:r w:rsidRPr="00212D61">
        <w:rPr>
          <w:sz w:val="22"/>
          <w:szCs w:val="22"/>
        </w:rPr>
        <w:t xml:space="preserve">  </w:t>
      </w:r>
      <w:r w:rsidRPr="00212D61">
        <w:rPr>
          <w:color w:val="0D0D0D" w:themeColor="text1" w:themeTint="F2"/>
          <w:sz w:val="22"/>
          <w:szCs w:val="22"/>
        </w:rPr>
        <w:t xml:space="preserve">See </w:t>
      </w:r>
      <w:r w:rsidRPr="00212D61">
        <w:rPr>
          <w:i/>
          <w:color w:val="0D0D0D" w:themeColor="text1" w:themeTint="F2"/>
          <w:sz w:val="22"/>
          <w:szCs w:val="22"/>
        </w:rPr>
        <w:t>Duquesne</w:t>
      </w:r>
      <w:r w:rsidR="00A20D18" w:rsidRPr="00212D61">
        <w:rPr>
          <w:i/>
          <w:color w:val="0D0D0D" w:themeColor="text1" w:themeTint="F2"/>
          <w:sz w:val="22"/>
          <w:szCs w:val="22"/>
        </w:rPr>
        <w:t xml:space="preserve"> Light Co.</w:t>
      </w:r>
      <w:r w:rsidRPr="00212D61">
        <w:rPr>
          <w:i/>
          <w:color w:val="0D0D0D" w:themeColor="text1" w:themeTint="F2"/>
          <w:sz w:val="22"/>
          <w:szCs w:val="22"/>
        </w:rPr>
        <w:t xml:space="preserve"> 2017-2019 USECP</w:t>
      </w:r>
      <w:r w:rsidRPr="00212D61">
        <w:rPr>
          <w:color w:val="0D0D0D" w:themeColor="text1" w:themeTint="F2"/>
          <w:sz w:val="22"/>
          <w:szCs w:val="22"/>
        </w:rPr>
        <w:t xml:space="preserve">, Docket No. M-2016-2534323 (order entered March 23, 2017), at 43-47.  </w:t>
      </w:r>
      <w:r w:rsidR="00612DD0" w:rsidRPr="00212D61">
        <w:rPr>
          <w:color w:val="0D0D0D" w:themeColor="text1" w:themeTint="F2"/>
          <w:sz w:val="22"/>
          <w:szCs w:val="22"/>
        </w:rPr>
        <w:t xml:space="preserve">Duquesne had asserted that its </w:t>
      </w:r>
      <w:r w:rsidR="006F7C68" w:rsidRPr="00212D61">
        <w:rPr>
          <w:color w:val="0D0D0D" w:themeColor="text1" w:themeTint="F2"/>
          <w:sz w:val="22"/>
          <w:szCs w:val="22"/>
        </w:rPr>
        <w:t xml:space="preserve">hardship fund administrator, </w:t>
      </w:r>
      <w:r w:rsidR="00F754D6" w:rsidRPr="00212D61">
        <w:rPr>
          <w:color w:val="0D0D0D" w:themeColor="text1" w:themeTint="F2"/>
          <w:sz w:val="22"/>
          <w:szCs w:val="22"/>
        </w:rPr>
        <w:t>the</w:t>
      </w:r>
      <w:r w:rsidR="006F7C68" w:rsidRPr="00212D61">
        <w:rPr>
          <w:color w:val="0D0D0D" w:themeColor="text1" w:themeTint="F2"/>
          <w:sz w:val="22"/>
          <w:szCs w:val="22"/>
        </w:rPr>
        <w:t xml:space="preserve"> CBO</w:t>
      </w:r>
      <w:r w:rsidR="00612DD0" w:rsidRPr="00212D61">
        <w:rPr>
          <w:color w:val="0D0D0D" w:themeColor="text1" w:themeTint="F2"/>
          <w:sz w:val="22"/>
          <w:szCs w:val="22"/>
        </w:rPr>
        <w:t xml:space="preserve"> Dollar Energy Fund (DEF), required applicants for hardship funds to provide SSNs for identification.  </w:t>
      </w:r>
      <w:r w:rsidR="006F7C68" w:rsidRPr="00212D61">
        <w:rPr>
          <w:color w:val="0D0D0D" w:themeColor="text1" w:themeTint="F2"/>
          <w:sz w:val="22"/>
          <w:szCs w:val="22"/>
        </w:rPr>
        <w:t xml:space="preserve">DEF </w:t>
      </w:r>
      <w:r w:rsidR="00F754D6" w:rsidRPr="00212D61">
        <w:rPr>
          <w:color w:val="0D0D0D" w:themeColor="text1" w:themeTint="F2"/>
          <w:sz w:val="22"/>
          <w:szCs w:val="22"/>
        </w:rPr>
        <w:t xml:space="preserve">also </w:t>
      </w:r>
      <w:r w:rsidR="006F7C68" w:rsidRPr="00212D61">
        <w:rPr>
          <w:color w:val="0D0D0D" w:themeColor="text1" w:themeTint="F2"/>
          <w:sz w:val="22"/>
          <w:szCs w:val="22"/>
        </w:rPr>
        <w:t xml:space="preserve">administers hardship funds for several </w:t>
      </w:r>
      <w:r w:rsidR="00F754D6" w:rsidRPr="00212D61">
        <w:rPr>
          <w:color w:val="0D0D0D" w:themeColor="text1" w:themeTint="F2"/>
          <w:sz w:val="22"/>
          <w:szCs w:val="22"/>
        </w:rPr>
        <w:t xml:space="preserve">other </w:t>
      </w:r>
      <w:r w:rsidR="006F7C68" w:rsidRPr="00212D61">
        <w:rPr>
          <w:color w:val="0D0D0D" w:themeColor="text1" w:themeTint="F2"/>
          <w:sz w:val="22"/>
          <w:szCs w:val="22"/>
        </w:rPr>
        <w:t xml:space="preserve">energy utilities.  </w:t>
      </w:r>
      <w:r w:rsidR="00612DD0" w:rsidRPr="00212D61">
        <w:rPr>
          <w:color w:val="0D0D0D" w:themeColor="text1" w:themeTint="F2"/>
          <w:sz w:val="22"/>
          <w:szCs w:val="22"/>
        </w:rPr>
        <w:t xml:space="preserve">This prompted initiation of </w:t>
      </w:r>
      <w:r w:rsidR="005024A9" w:rsidRPr="00212D61">
        <w:rPr>
          <w:color w:val="0D0D0D" w:themeColor="text1" w:themeTint="F2"/>
          <w:sz w:val="22"/>
          <w:szCs w:val="22"/>
        </w:rPr>
        <w:t>Docket No. M</w:t>
      </w:r>
      <w:r w:rsidR="00F754D6" w:rsidRPr="00212D61">
        <w:rPr>
          <w:color w:val="0D0D0D" w:themeColor="text1" w:themeTint="F2"/>
          <w:sz w:val="22"/>
          <w:szCs w:val="22"/>
        </w:rPr>
        <w:noBreakHyphen/>
      </w:r>
      <w:r w:rsidR="005024A9" w:rsidRPr="00212D61">
        <w:rPr>
          <w:color w:val="0D0D0D" w:themeColor="text1" w:themeTint="F2"/>
          <w:sz w:val="22"/>
          <w:szCs w:val="22"/>
        </w:rPr>
        <w:t>2017-2595036</w:t>
      </w:r>
      <w:r w:rsidR="00612DD0" w:rsidRPr="00212D61">
        <w:rPr>
          <w:color w:val="0D0D0D" w:themeColor="text1" w:themeTint="F2"/>
          <w:sz w:val="22"/>
          <w:szCs w:val="22"/>
        </w:rPr>
        <w:t xml:space="preserve">.  In the interim, </w:t>
      </w:r>
      <w:r w:rsidR="00612DD0" w:rsidRPr="00212D61">
        <w:rPr>
          <w:sz w:val="22"/>
          <w:szCs w:val="22"/>
        </w:rPr>
        <w:t>DEF has clarified that a customer is not denied a hardship fund grant merely because the customer does not provide SSN</w:t>
      </w:r>
      <w:r w:rsidR="00F754D6" w:rsidRPr="00212D61">
        <w:rPr>
          <w:sz w:val="22"/>
          <w:szCs w:val="22"/>
        </w:rPr>
        <w:t>s</w:t>
      </w:r>
      <w:r w:rsidR="00612DD0" w:rsidRPr="00212D61">
        <w:rPr>
          <w:sz w:val="22"/>
          <w:szCs w:val="22"/>
        </w:rPr>
        <w:t xml:space="preserve"> for all members of the household</w:t>
      </w:r>
      <w:r w:rsidR="00765CED" w:rsidRPr="00212D61">
        <w:rPr>
          <w:sz w:val="22"/>
          <w:szCs w:val="22"/>
        </w:rPr>
        <w:t xml:space="preserve"> and</w:t>
      </w:r>
      <w:r w:rsidR="006F7C68" w:rsidRPr="00212D61">
        <w:rPr>
          <w:sz w:val="22"/>
          <w:szCs w:val="22"/>
        </w:rPr>
        <w:t xml:space="preserve"> confirmed</w:t>
      </w:r>
      <w:r w:rsidR="00765CED" w:rsidRPr="00212D61">
        <w:rPr>
          <w:sz w:val="22"/>
          <w:szCs w:val="22"/>
        </w:rPr>
        <w:t xml:space="preserve"> that</w:t>
      </w:r>
      <w:r w:rsidR="00612DD0" w:rsidRPr="00212D61">
        <w:rPr>
          <w:sz w:val="22"/>
          <w:szCs w:val="22"/>
        </w:rPr>
        <w:t xml:space="preserve"> </w:t>
      </w:r>
      <w:r w:rsidR="00F754D6" w:rsidRPr="00212D61">
        <w:rPr>
          <w:sz w:val="22"/>
          <w:szCs w:val="22"/>
        </w:rPr>
        <w:t xml:space="preserve">it </w:t>
      </w:r>
      <w:r w:rsidR="00612DD0" w:rsidRPr="00212D61">
        <w:rPr>
          <w:sz w:val="22"/>
          <w:szCs w:val="22"/>
        </w:rPr>
        <w:t xml:space="preserve">accepts alternative forms of identification.  DEF has provided documentation regarding its policies and has committed to reviewing its requirements with its employees and agents and with </w:t>
      </w:r>
      <w:r w:rsidR="005024A9" w:rsidRPr="00212D61">
        <w:rPr>
          <w:sz w:val="22"/>
          <w:szCs w:val="22"/>
        </w:rPr>
        <w:t xml:space="preserve">all </w:t>
      </w:r>
      <w:r w:rsidR="00612DD0" w:rsidRPr="00212D61">
        <w:rPr>
          <w:sz w:val="22"/>
          <w:szCs w:val="22"/>
        </w:rPr>
        <w:t xml:space="preserve">the utilities for which it serves as a CBO.  Thus, </w:t>
      </w:r>
      <w:r w:rsidR="00A20D18" w:rsidRPr="00212D61">
        <w:rPr>
          <w:color w:val="0D0D0D" w:themeColor="text1" w:themeTint="F2"/>
          <w:sz w:val="22"/>
          <w:szCs w:val="22"/>
        </w:rPr>
        <w:t xml:space="preserve">Commission concerns relative to the use of SSNs by Duquesne </w:t>
      </w:r>
      <w:proofErr w:type="gramStart"/>
      <w:r w:rsidR="005024A9" w:rsidRPr="00212D61">
        <w:rPr>
          <w:color w:val="0D0D0D" w:themeColor="text1" w:themeTint="F2"/>
          <w:sz w:val="22"/>
          <w:szCs w:val="22"/>
        </w:rPr>
        <w:t xml:space="preserve">in particular </w:t>
      </w:r>
      <w:r w:rsidR="00A20D18" w:rsidRPr="00212D61">
        <w:rPr>
          <w:color w:val="0D0D0D" w:themeColor="text1" w:themeTint="F2"/>
          <w:sz w:val="22"/>
          <w:szCs w:val="22"/>
        </w:rPr>
        <w:t>or</w:t>
      </w:r>
      <w:proofErr w:type="gramEnd"/>
      <w:r w:rsidR="00A20D18" w:rsidRPr="00212D61">
        <w:rPr>
          <w:color w:val="0D0D0D" w:themeColor="text1" w:themeTint="F2"/>
          <w:sz w:val="22"/>
          <w:szCs w:val="22"/>
        </w:rPr>
        <w:t xml:space="preserve"> </w:t>
      </w:r>
      <w:r w:rsidR="00612DD0" w:rsidRPr="00212D61">
        <w:rPr>
          <w:color w:val="0D0D0D" w:themeColor="text1" w:themeTint="F2"/>
          <w:sz w:val="22"/>
          <w:szCs w:val="22"/>
        </w:rPr>
        <w:t>DEF</w:t>
      </w:r>
      <w:r w:rsidR="00A20D18" w:rsidRPr="00212D61">
        <w:rPr>
          <w:color w:val="0D0D0D" w:themeColor="text1" w:themeTint="F2"/>
          <w:sz w:val="22"/>
          <w:szCs w:val="22"/>
        </w:rPr>
        <w:t xml:space="preserve"> </w:t>
      </w:r>
      <w:r w:rsidR="005024A9" w:rsidRPr="00212D61">
        <w:rPr>
          <w:color w:val="0D0D0D" w:themeColor="text1" w:themeTint="F2"/>
          <w:sz w:val="22"/>
          <w:szCs w:val="22"/>
        </w:rPr>
        <w:t xml:space="preserve">in general </w:t>
      </w:r>
      <w:r w:rsidR="00A20D18" w:rsidRPr="00212D61">
        <w:rPr>
          <w:color w:val="0D0D0D" w:themeColor="text1" w:themeTint="F2"/>
          <w:sz w:val="22"/>
          <w:szCs w:val="22"/>
        </w:rPr>
        <w:t xml:space="preserve">in conjunction with </w:t>
      </w:r>
      <w:r w:rsidR="00612DD0" w:rsidRPr="00212D61">
        <w:rPr>
          <w:color w:val="0D0D0D" w:themeColor="text1" w:themeTint="F2"/>
          <w:sz w:val="22"/>
          <w:szCs w:val="22"/>
        </w:rPr>
        <w:t xml:space="preserve">universal service programs </w:t>
      </w:r>
      <w:r w:rsidR="00A20D18" w:rsidRPr="00212D61">
        <w:rPr>
          <w:color w:val="0D0D0D" w:themeColor="text1" w:themeTint="F2"/>
          <w:sz w:val="22"/>
          <w:szCs w:val="22"/>
        </w:rPr>
        <w:t>have been resolved.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E0" w:rsidRPr="00B75DE0" w:rsidRDefault="00B75DE0" w:rsidP="00B75DE0">
    <w:pPr>
      <w:spacing w:after="0" w:line="240" w:lineRule="auto"/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</w:pPr>
    <w:r w:rsidRPr="00B75DE0"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t xml:space="preserve">Inquiry into the Use of SSNs by Energy Utilities and Contractors in Conjunction with Universal Service Programs </w:t>
    </w:r>
  </w:p>
  <w:p w:rsidR="00B75DE0" w:rsidRPr="00B75DE0" w:rsidRDefault="00B75DE0" w:rsidP="00B75DE0">
    <w:pPr>
      <w:spacing w:after="0" w:line="240" w:lineRule="auto"/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</w:pPr>
    <w:r w:rsidRPr="00B75DE0"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t>Docket No. M-2017-2595036</w:t>
    </w:r>
  </w:p>
  <w:p w:rsidR="00B75DE0" w:rsidRDefault="00212D61" w:rsidP="00B75DE0">
    <w:pPr>
      <w:spacing w:after="0" w:line="240" w:lineRule="auto"/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</w:pPr>
    <w:r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t>September 28, 2017</w:t>
    </w:r>
  </w:p>
  <w:p w:rsidR="00B75DE0" w:rsidRPr="00B75DE0" w:rsidRDefault="00B75DE0" w:rsidP="00B75DE0">
    <w:pPr>
      <w:spacing w:after="0" w:line="240" w:lineRule="auto"/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</w:pPr>
    <w:r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t xml:space="preserve">Page </w:t>
    </w:r>
    <w:r w:rsidRPr="00B75DE0"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fldChar w:fldCharType="begin"/>
    </w:r>
    <w:r w:rsidRPr="00B75DE0"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instrText xml:space="preserve"> PAGE   \* MERGEFORMAT </w:instrText>
    </w:r>
    <w:r w:rsidRPr="00B75DE0">
      <w:rPr>
        <w:rFonts w:ascii="Times New Roman" w:eastAsia="Times New Roman" w:hAnsi="Times New Roman" w:cs="Times New Roman"/>
        <w:color w:val="0D0D0D" w:themeColor="text1" w:themeTint="F2"/>
        <w:sz w:val="20"/>
        <w:szCs w:val="20"/>
      </w:rPr>
      <w:fldChar w:fldCharType="separate"/>
    </w:r>
    <w:r w:rsidR="00B70198">
      <w:rPr>
        <w:rFonts w:ascii="Times New Roman" w:eastAsia="Times New Roman" w:hAnsi="Times New Roman" w:cs="Times New Roman"/>
        <w:noProof/>
        <w:color w:val="0D0D0D" w:themeColor="text1" w:themeTint="F2"/>
        <w:sz w:val="20"/>
        <w:szCs w:val="20"/>
      </w:rPr>
      <w:t>2</w:t>
    </w:r>
    <w:r w:rsidRPr="00B75DE0">
      <w:rPr>
        <w:rFonts w:ascii="Times New Roman" w:eastAsia="Times New Roman" w:hAnsi="Times New Roman" w:cs="Times New Roman"/>
        <w:noProof/>
        <w:color w:val="0D0D0D" w:themeColor="text1" w:themeTint="F2"/>
        <w:sz w:val="20"/>
        <w:szCs w:val="20"/>
      </w:rPr>
      <w:fldChar w:fldCharType="end"/>
    </w:r>
  </w:p>
  <w:p w:rsidR="00B75DE0" w:rsidRPr="00B75DE0" w:rsidRDefault="00B75DE0" w:rsidP="00B75DE0">
    <w:pPr>
      <w:pStyle w:val="Header"/>
      <w:jc w:val="both"/>
      <w:rPr>
        <w:sz w:val="20"/>
        <w:szCs w:val="20"/>
      </w:rPr>
    </w:pPr>
  </w:p>
  <w:p w:rsidR="00B75DE0" w:rsidRPr="00B75DE0" w:rsidRDefault="00B75DE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7D5F"/>
    <w:multiLevelType w:val="hybridMultilevel"/>
    <w:tmpl w:val="15F6FBA0"/>
    <w:lvl w:ilvl="0" w:tplc="FAE60B7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5B0A"/>
    <w:multiLevelType w:val="hybridMultilevel"/>
    <w:tmpl w:val="BEAC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6394D"/>
    <w:multiLevelType w:val="hybridMultilevel"/>
    <w:tmpl w:val="162A8F0A"/>
    <w:lvl w:ilvl="0" w:tplc="14FEA05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E8"/>
    <w:rsid w:val="00001838"/>
    <w:rsid w:val="00015A1C"/>
    <w:rsid w:val="00044310"/>
    <w:rsid w:val="000624E2"/>
    <w:rsid w:val="000A0881"/>
    <w:rsid w:val="000A229F"/>
    <w:rsid w:val="000B4686"/>
    <w:rsid w:val="000D7E23"/>
    <w:rsid w:val="000E07C6"/>
    <w:rsid w:val="00110412"/>
    <w:rsid w:val="00130D52"/>
    <w:rsid w:val="00143428"/>
    <w:rsid w:val="0016579B"/>
    <w:rsid w:val="001B1465"/>
    <w:rsid w:val="001C5B5C"/>
    <w:rsid w:val="001E7347"/>
    <w:rsid w:val="00212D61"/>
    <w:rsid w:val="0021512B"/>
    <w:rsid w:val="00222CA0"/>
    <w:rsid w:val="00223C27"/>
    <w:rsid w:val="00234934"/>
    <w:rsid w:val="00275579"/>
    <w:rsid w:val="002756F1"/>
    <w:rsid w:val="00292D50"/>
    <w:rsid w:val="002A27BC"/>
    <w:rsid w:val="002C14B1"/>
    <w:rsid w:val="002F7615"/>
    <w:rsid w:val="003048EA"/>
    <w:rsid w:val="003049EE"/>
    <w:rsid w:val="00312EFB"/>
    <w:rsid w:val="00331FFD"/>
    <w:rsid w:val="00354A20"/>
    <w:rsid w:val="0035672D"/>
    <w:rsid w:val="003709A1"/>
    <w:rsid w:val="003777CA"/>
    <w:rsid w:val="00392821"/>
    <w:rsid w:val="003B0B64"/>
    <w:rsid w:val="003D31D5"/>
    <w:rsid w:val="00423AB2"/>
    <w:rsid w:val="00434C6B"/>
    <w:rsid w:val="0048387E"/>
    <w:rsid w:val="0049086E"/>
    <w:rsid w:val="004A0C9E"/>
    <w:rsid w:val="004A2D43"/>
    <w:rsid w:val="004D7A8B"/>
    <w:rsid w:val="004E1F0E"/>
    <w:rsid w:val="004F4FCD"/>
    <w:rsid w:val="005024A9"/>
    <w:rsid w:val="00505A25"/>
    <w:rsid w:val="0052705E"/>
    <w:rsid w:val="00534089"/>
    <w:rsid w:val="0053755C"/>
    <w:rsid w:val="0054423C"/>
    <w:rsid w:val="00551F12"/>
    <w:rsid w:val="005541D0"/>
    <w:rsid w:val="0056580B"/>
    <w:rsid w:val="00572BE9"/>
    <w:rsid w:val="00574F45"/>
    <w:rsid w:val="005A3488"/>
    <w:rsid w:val="005C6410"/>
    <w:rsid w:val="005C66E8"/>
    <w:rsid w:val="00602956"/>
    <w:rsid w:val="00612DD0"/>
    <w:rsid w:val="006312D2"/>
    <w:rsid w:val="00652270"/>
    <w:rsid w:val="006575DC"/>
    <w:rsid w:val="00666ACF"/>
    <w:rsid w:val="00680ACE"/>
    <w:rsid w:val="006B0958"/>
    <w:rsid w:val="006C13E1"/>
    <w:rsid w:val="006C1BBB"/>
    <w:rsid w:val="006E0C47"/>
    <w:rsid w:val="006F1404"/>
    <w:rsid w:val="006F7C68"/>
    <w:rsid w:val="00710799"/>
    <w:rsid w:val="00711027"/>
    <w:rsid w:val="00731328"/>
    <w:rsid w:val="007629AC"/>
    <w:rsid w:val="00765B2B"/>
    <w:rsid w:val="00765CED"/>
    <w:rsid w:val="00791262"/>
    <w:rsid w:val="007A6F7A"/>
    <w:rsid w:val="007B6453"/>
    <w:rsid w:val="007E1E4F"/>
    <w:rsid w:val="007E4AB8"/>
    <w:rsid w:val="007F7AF5"/>
    <w:rsid w:val="00813388"/>
    <w:rsid w:val="00813E98"/>
    <w:rsid w:val="0082146C"/>
    <w:rsid w:val="00860EF6"/>
    <w:rsid w:val="00884938"/>
    <w:rsid w:val="0089094D"/>
    <w:rsid w:val="008935FA"/>
    <w:rsid w:val="008A0136"/>
    <w:rsid w:val="008B5B55"/>
    <w:rsid w:val="008C0908"/>
    <w:rsid w:val="008C5801"/>
    <w:rsid w:val="00910309"/>
    <w:rsid w:val="009261FB"/>
    <w:rsid w:val="0093284F"/>
    <w:rsid w:val="00951FBE"/>
    <w:rsid w:val="00953418"/>
    <w:rsid w:val="00962B93"/>
    <w:rsid w:val="009A035A"/>
    <w:rsid w:val="009A3766"/>
    <w:rsid w:val="009B174F"/>
    <w:rsid w:val="009D10CD"/>
    <w:rsid w:val="009D5E73"/>
    <w:rsid w:val="009F011A"/>
    <w:rsid w:val="00A1121C"/>
    <w:rsid w:val="00A20D18"/>
    <w:rsid w:val="00A30BFF"/>
    <w:rsid w:val="00A41F17"/>
    <w:rsid w:val="00A77A16"/>
    <w:rsid w:val="00AA0986"/>
    <w:rsid w:val="00AA4A4E"/>
    <w:rsid w:val="00AC48EF"/>
    <w:rsid w:val="00AF71B2"/>
    <w:rsid w:val="00B2085C"/>
    <w:rsid w:val="00B26378"/>
    <w:rsid w:val="00B34A98"/>
    <w:rsid w:val="00B70198"/>
    <w:rsid w:val="00B75DE0"/>
    <w:rsid w:val="00B81A2A"/>
    <w:rsid w:val="00B86D24"/>
    <w:rsid w:val="00B9266B"/>
    <w:rsid w:val="00B93020"/>
    <w:rsid w:val="00BB0480"/>
    <w:rsid w:val="00BB4FB5"/>
    <w:rsid w:val="00BD7089"/>
    <w:rsid w:val="00BF15BA"/>
    <w:rsid w:val="00C06910"/>
    <w:rsid w:val="00C4059D"/>
    <w:rsid w:val="00C55DD0"/>
    <w:rsid w:val="00C72CD2"/>
    <w:rsid w:val="00CB760D"/>
    <w:rsid w:val="00CF7676"/>
    <w:rsid w:val="00D05EC7"/>
    <w:rsid w:val="00D245F3"/>
    <w:rsid w:val="00D42651"/>
    <w:rsid w:val="00D51BC2"/>
    <w:rsid w:val="00DA6A55"/>
    <w:rsid w:val="00DD7765"/>
    <w:rsid w:val="00E03680"/>
    <w:rsid w:val="00E4190F"/>
    <w:rsid w:val="00E72DE2"/>
    <w:rsid w:val="00E96E57"/>
    <w:rsid w:val="00EA473C"/>
    <w:rsid w:val="00EB5406"/>
    <w:rsid w:val="00EB7599"/>
    <w:rsid w:val="00EC4243"/>
    <w:rsid w:val="00EF5802"/>
    <w:rsid w:val="00F05109"/>
    <w:rsid w:val="00F26E00"/>
    <w:rsid w:val="00F33031"/>
    <w:rsid w:val="00F54437"/>
    <w:rsid w:val="00F754D6"/>
    <w:rsid w:val="00FC245B"/>
    <w:rsid w:val="00FC377C"/>
    <w:rsid w:val="00FC6585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4F553"/>
  <w15:docId w15:val="{1A617452-B95E-421E-BE34-E5CDF826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6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C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66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C66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6E8"/>
    <w:pPr>
      <w:ind w:left="720"/>
      <w:contextualSpacing/>
    </w:pPr>
  </w:style>
  <w:style w:type="character" w:styleId="Hyperlink">
    <w:name w:val="Hyperlink"/>
    <w:basedOn w:val="DefaultParagraphFont"/>
    <w:rsid w:val="006312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F7A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088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0881"/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FC377C"/>
    <w:rPr>
      <w:i/>
      <w:iCs/>
    </w:rPr>
  </w:style>
  <w:style w:type="character" w:styleId="Strong">
    <w:name w:val="Strong"/>
    <w:basedOn w:val="DefaultParagraphFont"/>
    <w:uiPriority w:val="22"/>
    <w:qFormat/>
    <w:rsid w:val="008909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5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E0"/>
  </w:style>
  <w:style w:type="paragraph" w:styleId="Footer">
    <w:name w:val="footer"/>
    <w:basedOn w:val="Normal"/>
    <w:link w:val="FooterChar"/>
    <w:uiPriority w:val="99"/>
    <w:unhideWhenUsed/>
    <w:rsid w:val="00B75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ksmith@p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agee@p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pa.gov/consumer_info/electricity/energy_assistance_progra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F69E-43CF-44F0-B546-BCE63280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McGuire, Kristen</dc:creator>
  <cp:lastModifiedBy>Wagner, Nathan R</cp:lastModifiedBy>
  <cp:revision>5</cp:revision>
  <dcterms:created xsi:type="dcterms:W3CDTF">2017-09-28T17:19:00Z</dcterms:created>
  <dcterms:modified xsi:type="dcterms:W3CDTF">2017-09-28T17:26:00Z</dcterms:modified>
</cp:coreProperties>
</file>