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0C6" w:rsidRDefault="00F220C6" w:rsidP="00F220C6">
      <w:pPr>
        <w:jc w:val="center"/>
        <w:rPr>
          <w:rFonts w:ascii="Times New Roman" w:hAnsi="Times New Roman" w:cs="Times New Roman"/>
          <w:b/>
          <w:sz w:val="24"/>
          <w:szCs w:val="24"/>
        </w:rPr>
      </w:pPr>
      <w:r>
        <w:rPr>
          <w:rFonts w:ascii="Times New Roman" w:hAnsi="Times New Roman" w:cs="Times New Roman"/>
          <w:b/>
          <w:sz w:val="24"/>
          <w:szCs w:val="24"/>
        </w:rPr>
        <w:t>BEFORE THE</w:t>
      </w:r>
    </w:p>
    <w:p w:rsidR="00F220C6" w:rsidRDefault="00F220C6" w:rsidP="00F220C6">
      <w:pPr>
        <w:jc w:val="center"/>
        <w:rPr>
          <w:rFonts w:ascii="Times New Roman" w:hAnsi="Times New Roman" w:cs="Times New Roman"/>
          <w:b/>
          <w:sz w:val="24"/>
          <w:szCs w:val="24"/>
        </w:rPr>
      </w:pPr>
      <w:r>
        <w:rPr>
          <w:rFonts w:ascii="Times New Roman" w:hAnsi="Times New Roman" w:cs="Times New Roman"/>
          <w:b/>
          <w:sz w:val="24"/>
          <w:szCs w:val="24"/>
        </w:rPr>
        <w:t>PENNSYLVANIA PUBLIC UTILITY COMMISSION</w:t>
      </w:r>
    </w:p>
    <w:p w:rsidR="00615DCE" w:rsidRDefault="00615DCE" w:rsidP="00615DCE">
      <w:pPr>
        <w:rPr>
          <w:rFonts w:ascii="Times New Roman" w:hAnsi="Times New Roman" w:cs="Times New Roman"/>
          <w:b/>
          <w:sz w:val="24"/>
          <w:szCs w:val="24"/>
        </w:rPr>
      </w:pPr>
    </w:p>
    <w:p w:rsidR="00615DCE" w:rsidRDefault="00615DCE" w:rsidP="00615DCE">
      <w:pPr>
        <w:rPr>
          <w:rFonts w:ascii="Times New Roman" w:hAnsi="Times New Roman" w:cs="Times New Roman"/>
          <w:b/>
          <w:sz w:val="24"/>
          <w:szCs w:val="24"/>
        </w:rPr>
      </w:pPr>
    </w:p>
    <w:p w:rsidR="00F220C6" w:rsidRDefault="00F220C6" w:rsidP="00F220C6">
      <w:pPr>
        <w:rPr>
          <w:rFonts w:ascii="Times New Roman" w:hAnsi="Times New Roman" w:cs="Times New Roman"/>
          <w:b/>
          <w:sz w:val="24"/>
          <w:szCs w:val="24"/>
        </w:rPr>
      </w:pPr>
    </w:p>
    <w:p w:rsidR="00F220C6" w:rsidRDefault="00F220C6" w:rsidP="00F220C6">
      <w:pPr>
        <w:rPr>
          <w:rFonts w:ascii="Times New Roman" w:hAnsi="Times New Roman" w:cs="Times New Roman"/>
          <w:sz w:val="24"/>
          <w:szCs w:val="24"/>
        </w:rPr>
      </w:pPr>
      <w:r>
        <w:rPr>
          <w:rFonts w:ascii="Times New Roman" w:hAnsi="Times New Roman" w:cs="Times New Roman"/>
          <w:sz w:val="24"/>
          <w:szCs w:val="24"/>
        </w:rPr>
        <w:t>Rama Construction, Inc. 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5DCE">
        <w:rPr>
          <w:rFonts w:ascii="Times New Roman" w:hAnsi="Times New Roman" w:cs="Times New Roman"/>
          <w:sz w:val="24"/>
          <w:szCs w:val="24"/>
        </w:rPr>
        <w:tab/>
      </w:r>
      <w:r>
        <w:rPr>
          <w:rFonts w:ascii="Times New Roman" w:hAnsi="Times New Roman" w:cs="Times New Roman"/>
          <w:sz w:val="24"/>
          <w:szCs w:val="24"/>
        </w:rPr>
        <w:t>:</w:t>
      </w:r>
    </w:p>
    <w:p w:rsidR="00F220C6" w:rsidRDefault="00F220C6" w:rsidP="00F220C6">
      <w:pPr>
        <w:rPr>
          <w:rFonts w:ascii="Times New Roman" w:hAnsi="Times New Roman" w:cs="Times New Roman"/>
          <w:sz w:val="24"/>
          <w:szCs w:val="24"/>
        </w:rPr>
      </w:pPr>
      <w:r>
        <w:rPr>
          <w:rFonts w:ascii="Times New Roman" w:hAnsi="Times New Roman" w:cs="Times New Roman"/>
          <w:sz w:val="24"/>
          <w:szCs w:val="24"/>
        </w:rPr>
        <w:t>Ramada Inn International Airport</w:t>
      </w:r>
      <w:r>
        <w:rPr>
          <w:rFonts w:ascii="Times New Roman" w:hAnsi="Times New Roman" w:cs="Times New Roman"/>
          <w:sz w:val="24"/>
          <w:szCs w:val="24"/>
        </w:rPr>
        <w:tab/>
      </w:r>
      <w:r>
        <w:rPr>
          <w:rFonts w:ascii="Times New Roman" w:hAnsi="Times New Roman" w:cs="Times New Roman"/>
          <w:sz w:val="24"/>
          <w:szCs w:val="24"/>
        </w:rPr>
        <w:tab/>
      </w:r>
      <w:r w:rsidR="00615DCE">
        <w:rPr>
          <w:rFonts w:ascii="Times New Roman" w:hAnsi="Times New Roman" w:cs="Times New Roman"/>
          <w:sz w:val="24"/>
          <w:szCs w:val="24"/>
        </w:rPr>
        <w:tab/>
      </w:r>
      <w:r>
        <w:rPr>
          <w:rFonts w:ascii="Times New Roman" w:hAnsi="Times New Roman" w:cs="Times New Roman"/>
          <w:sz w:val="24"/>
          <w:szCs w:val="24"/>
        </w:rPr>
        <w:t>:</w:t>
      </w:r>
    </w:p>
    <w:p w:rsidR="00F220C6" w:rsidRDefault="00F220C6" w:rsidP="00F220C6">
      <w:pPr>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sidR="00615DCE">
        <w:rPr>
          <w:rFonts w:ascii="Times New Roman" w:hAnsi="Times New Roman" w:cs="Times New Roman"/>
          <w:sz w:val="24"/>
          <w:szCs w:val="24"/>
        </w:rPr>
        <w:tab/>
      </w:r>
      <w:r>
        <w:rPr>
          <w:rFonts w:ascii="Times New Roman" w:hAnsi="Times New Roman" w:cs="Times New Roman"/>
          <w:sz w:val="24"/>
          <w:szCs w:val="24"/>
        </w:rPr>
        <w:t>C-2008-</w:t>
      </w:r>
      <w:bookmarkStart w:id="0" w:name="_GoBack"/>
      <w:r>
        <w:rPr>
          <w:rFonts w:ascii="Times New Roman" w:hAnsi="Times New Roman" w:cs="Times New Roman"/>
          <w:sz w:val="24"/>
          <w:szCs w:val="24"/>
        </w:rPr>
        <w:t>2058320</w:t>
      </w:r>
      <w:bookmarkEnd w:id="0"/>
    </w:p>
    <w:p w:rsidR="00F220C6" w:rsidRDefault="00F220C6" w:rsidP="00F220C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sidR="00615DCE">
        <w:rPr>
          <w:rFonts w:ascii="Times New Roman" w:hAnsi="Times New Roman" w:cs="Times New Roman"/>
          <w:sz w:val="24"/>
          <w:szCs w:val="24"/>
        </w:rPr>
        <w:tab/>
      </w:r>
    </w:p>
    <w:p w:rsidR="00F220C6" w:rsidRDefault="00F220C6" w:rsidP="00F220C6">
      <w:pPr>
        <w:rPr>
          <w:rFonts w:ascii="Times New Roman" w:hAnsi="Times New Roman" w:cs="Times New Roman"/>
          <w:sz w:val="24"/>
          <w:szCs w:val="24"/>
        </w:rPr>
      </w:pPr>
      <w:r>
        <w:rPr>
          <w:rFonts w:ascii="Times New Roman" w:hAnsi="Times New Roman" w:cs="Times New Roman"/>
          <w:sz w:val="24"/>
          <w:szCs w:val="24"/>
        </w:rPr>
        <w:t>PECO Energy Company 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5DCE">
        <w:rPr>
          <w:rFonts w:ascii="Times New Roman" w:hAnsi="Times New Roman" w:cs="Times New Roman"/>
          <w:sz w:val="24"/>
          <w:szCs w:val="24"/>
        </w:rPr>
        <w:tab/>
      </w:r>
      <w:r>
        <w:rPr>
          <w:rFonts w:ascii="Times New Roman" w:hAnsi="Times New Roman" w:cs="Times New Roman"/>
          <w:sz w:val="24"/>
          <w:szCs w:val="24"/>
        </w:rPr>
        <w:t>:</w:t>
      </w:r>
    </w:p>
    <w:p w:rsidR="00F220C6" w:rsidRDefault="00F220C6" w:rsidP="00F220C6">
      <w:pPr>
        <w:rPr>
          <w:rFonts w:ascii="Times New Roman" w:hAnsi="Times New Roman" w:cs="Times New Roman"/>
          <w:sz w:val="24"/>
          <w:szCs w:val="24"/>
        </w:rPr>
      </w:pPr>
      <w:r>
        <w:rPr>
          <w:rFonts w:ascii="Times New Roman" w:hAnsi="Times New Roman" w:cs="Times New Roman"/>
          <w:sz w:val="24"/>
          <w:szCs w:val="24"/>
        </w:rPr>
        <w:t>Exelon Corporation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15DCE">
        <w:rPr>
          <w:rFonts w:ascii="Times New Roman" w:hAnsi="Times New Roman" w:cs="Times New Roman"/>
          <w:sz w:val="24"/>
          <w:szCs w:val="24"/>
        </w:rPr>
        <w:tab/>
      </w:r>
      <w:r>
        <w:rPr>
          <w:rFonts w:ascii="Times New Roman" w:hAnsi="Times New Roman" w:cs="Times New Roman"/>
          <w:sz w:val="24"/>
          <w:szCs w:val="24"/>
        </w:rPr>
        <w:t>:</w:t>
      </w:r>
    </w:p>
    <w:p w:rsidR="00F220C6" w:rsidRPr="00615DCE" w:rsidRDefault="00F220C6" w:rsidP="00F220C6">
      <w:pPr>
        <w:rPr>
          <w:rFonts w:ascii="Times New Roman" w:hAnsi="Times New Roman" w:cs="Times New Roman"/>
          <w:sz w:val="24"/>
          <w:szCs w:val="24"/>
        </w:rPr>
      </w:pPr>
    </w:p>
    <w:p w:rsidR="00F220C6" w:rsidRPr="00615DCE" w:rsidRDefault="00F220C6" w:rsidP="00F220C6">
      <w:pPr>
        <w:rPr>
          <w:rFonts w:ascii="Times New Roman" w:hAnsi="Times New Roman" w:cs="Times New Roman"/>
          <w:sz w:val="24"/>
          <w:szCs w:val="24"/>
        </w:rPr>
      </w:pPr>
    </w:p>
    <w:p w:rsidR="00F220C6" w:rsidRPr="00615DCE" w:rsidRDefault="00F220C6" w:rsidP="00F220C6">
      <w:pPr>
        <w:rPr>
          <w:rFonts w:ascii="Times New Roman" w:hAnsi="Times New Roman" w:cs="Times New Roman"/>
          <w:sz w:val="24"/>
          <w:szCs w:val="24"/>
        </w:rPr>
      </w:pPr>
    </w:p>
    <w:p w:rsidR="00F220C6" w:rsidRDefault="00F220C6" w:rsidP="00F220C6">
      <w:pPr>
        <w:jc w:val="center"/>
        <w:rPr>
          <w:rFonts w:ascii="Times New Roman Bold" w:hAnsi="Times New Roman Bold" w:cs="Times New Roman"/>
          <w:b/>
          <w:caps/>
          <w:sz w:val="24"/>
          <w:szCs w:val="24"/>
          <w:u w:val="single"/>
        </w:rPr>
      </w:pPr>
      <w:r>
        <w:rPr>
          <w:rFonts w:ascii="Times New Roman Bold" w:hAnsi="Times New Roman Bold" w:cs="Times New Roman"/>
          <w:b/>
          <w:bCs/>
          <w:caps/>
          <w:spacing w:val="-3"/>
          <w:sz w:val="24"/>
          <w:szCs w:val="24"/>
          <w:u w:val="single"/>
        </w:rPr>
        <w:t xml:space="preserve">Interim Order on </w:t>
      </w:r>
      <w:r w:rsidR="00A92356">
        <w:rPr>
          <w:rFonts w:ascii="Times New Roman Bold" w:hAnsi="Times New Roman Bold" w:cs="Times New Roman"/>
          <w:b/>
          <w:bCs/>
          <w:caps/>
          <w:spacing w:val="-3"/>
          <w:sz w:val="24"/>
          <w:szCs w:val="24"/>
          <w:u w:val="single"/>
        </w:rPr>
        <w:t>RAMA CONSTRUCTION, INC.’s</w:t>
      </w:r>
      <w:r>
        <w:rPr>
          <w:rFonts w:ascii="Times New Roman Bold" w:hAnsi="Times New Roman Bold" w:cs="Times New Roman"/>
          <w:b/>
          <w:bCs/>
          <w:caps/>
          <w:spacing w:val="-3"/>
          <w:sz w:val="24"/>
          <w:szCs w:val="24"/>
          <w:u w:val="single"/>
        </w:rPr>
        <w:t xml:space="preserve"> Motion to Compel </w:t>
      </w:r>
      <w:r>
        <w:rPr>
          <w:rFonts w:ascii="Times New Roman Bold" w:hAnsi="Times New Roman Bold" w:cs="Times New Roman"/>
          <w:b/>
          <w:caps/>
          <w:sz w:val="24"/>
          <w:szCs w:val="24"/>
          <w:u w:val="single"/>
        </w:rPr>
        <w:t xml:space="preserve">Responses to Interrogatories Directed to </w:t>
      </w:r>
      <w:r w:rsidR="00A92356">
        <w:rPr>
          <w:rFonts w:ascii="Times New Roman Bold" w:hAnsi="Times New Roman Bold" w:cs="Times New Roman"/>
          <w:b/>
          <w:caps/>
          <w:sz w:val="24"/>
          <w:szCs w:val="24"/>
          <w:u w:val="single"/>
        </w:rPr>
        <w:t>RESPONDENT</w:t>
      </w:r>
      <w:r>
        <w:rPr>
          <w:rFonts w:ascii="Times New Roman Bold" w:hAnsi="Times New Roman Bold" w:cs="Times New Roman"/>
          <w:b/>
          <w:caps/>
          <w:sz w:val="24"/>
          <w:szCs w:val="24"/>
          <w:u w:val="single"/>
        </w:rPr>
        <w:t>, Set I</w:t>
      </w:r>
    </w:p>
    <w:p w:rsidR="00F220C6" w:rsidRDefault="00F220C6" w:rsidP="00615DCE">
      <w:pPr>
        <w:spacing w:line="360" w:lineRule="auto"/>
        <w:jc w:val="center"/>
        <w:rPr>
          <w:rFonts w:ascii="Times New Roman" w:hAnsi="Times New Roman" w:cs="Times New Roman"/>
          <w:b/>
          <w:sz w:val="24"/>
          <w:szCs w:val="24"/>
          <w:u w:val="single"/>
        </w:rPr>
      </w:pPr>
    </w:p>
    <w:p w:rsidR="00F220C6" w:rsidRDefault="00F220C6" w:rsidP="00F220C6">
      <w:pPr>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BACKGROUND</w:t>
      </w:r>
    </w:p>
    <w:p w:rsidR="00F220C6" w:rsidRDefault="00F220C6" w:rsidP="00F220C6">
      <w:pPr>
        <w:spacing w:line="360" w:lineRule="auto"/>
        <w:ind w:firstLine="1440"/>
        <w:rPr>
          <w:rFonts w:ascii="Times New Roman" w:hAnsi="Times New Roman" w:cs="Times New Roman"/>
          <w:sz w:val="24"/>
          <w:szCs w:val="24"/>
        </w:rPr>
      </w:pPr>
    </w:p>
    <w:p w:rsidR="00A92356" w:rsidRDefault="00A92356" w:rsidP="00A92356">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August 30, 2017, </w:t>
      </w:r>
      <w:r w:rsidR="002A46AD">
        <w:rPr>
          <w:rFonts w:ascii="Times New Roman" w:hAnsi="Times New Roman" w:cs="Times New Roman"/>
          <w:sz w:val="24"/>
          <w:szCs w:val="24"/>
        </w:rPr>
        <w:t xml:space="preserve">Rama Construction, Inc. t/a Ramada Inn International Airport </w:t>
      </w:r>
      <w:r>
        <w:rPr>
          <w:rFonts w:ascii="Times New Roman" w:hAnsi="Times New Roman" w:cs="Times New Roman"/>
          <w:sz w:val="24"/>
          <w:szCs w:val="24"/>
        </w:rPr>
        <w:t>(“Rama”) served PECO Energy Company (“PECO”) with Written Interrogatories and Request for Production of Documents, Set I, comprised of 50 numbered questions.  On September 11, 2017, PECO objected to Interrogatory Nos. 29-48.</w:t>
      </w:r>
    </w:p>
    <w:p w:rsidR="00F220C6" w:rsidRDefault="00F220C6" w:rsidP="00F220C6">
      <w:pPr>
        <w:spacing w:line="360" w:lineRule="auto"/>
        <w:rPr>
          <w:rFonts w:ascii="Times New Roman" w:hAnsi="Times New Roman" w:cs="Times New Roman"/>
          <w:sz w:val="24"/>
          <w:szCs w:val="24"/>
        </w:rPr>
      </w:pPr>
    </w:p>
    <w:p w:rsidR="00F220C6" w:rsidRDefault="00F220C6" w:rsidP="00F220C6">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September </w:t>
      </w:r>
      <w:r w:rsidR="00EF38E0">
        <w:rPr>
          <w:rFonts w:ascii="Times New Roman" w:hAnsi="Times New Roman" w:cs="Times New Roman"/>
          <w:sz w:val="24"/>
          <w:szCs w:val="24"/>
        </w:rPr>
        <w:t>18</w:t>
      </w:r>
      <w:r>
        <w:rPr>
          <w:rFonts w:ascii="Times New Roman" w:hAnsi="Times New Roman" w:cs="Times New Roman"/>
          <w:sz w:val="24"/>
          <w:szCs w:val="24"/>
        </w:rPr>
        <w:t xml:space="preserve">, 2017, </w:t>
      </w:r>
      <w:r w:rsidR="00A92356">
        <w:rPr>
          <w:rFonts w:ascii="Times New Roman" w:hAnsi="Times New Roman" w:cs="Times New Roman"/>
          <w:sz w:val="24"/>
          <w:szCs w:val="24"/>
        </w:rPr>
        <w:t>Rama</w:t>
      </w:r>
      <w:r>
        <w:rPr>
          <w:rFonts w:ascii="Times New Roman" w:hAnsi="Times New Roman" w:cs="Times New Roman"/>
          <w:sz w:val="24"/>
          <w:szCs w:val="24"/>
        </w:rPr>
        <w:t xml:space="preserve"> filed a Motion to Compel Answers to Discovery.  On September </w:t>
      </w:r>
      <w:r w:rsidR="00EF38E0">
        <w:rPr>
          <w:rFonts w:ascii="Times New Roman" w:hAnsi="Times New Roman" w:cs="Times New Roman"/>
          <w:sz w:val="24"/>
          <w:szCs w:val="24"/>
        </w:rPr>
        <w:t>22</w:t>
      </w:r>
      <w:r>
        <w:rPr>
          <w:rFonts w:ascii="Times New Roman" w:hAnsi="Times New Roman" w:cs="Times New Roman"/>
          <w:sz w:val="24"/>
          <w:szCs w:val="24"/>
        </w:rPr>
        <w:t xml:space="preserve">, 2017, </w:t>
      </w:r>
      <w:r w:rsidR="00EF38E0">
        <w:rPr>
          <w:rFonts w:ascii="Times New Roman" w:hAnsi="Times New Roman" w:cs="Times New Roman"/>
          <w:sz w:val="24"/>
          <w:szCs w:val="24"/>
        </w:rPr>
        <w:t>PECO</w:t>
      </w:r>
      <w:r>
        <w:rPr>
          <w:rFonts w:ascii="Times New Roman" w:hAnsi="Times New Roman" w:cs="Times New Roman"/>
          <w:sz w:val="24"/>
          <w:szCs w:val="24"/>
        </w:rPr>
        <w:t xml:space="preserve"> filed its Answer to the Motion to Compel.    </w:t>
      </w:r>
    </w:p>
    <w:p w:rsidR="00F220C6" w:rsidRDefault="00F220C6" w:rsidP="00F220C6">
      <w:pPr>
        <w:spacing w:line="360" w:lineRule="auto"/>
        <w:ind w:firstLine="1440"/>
        <w:rPr>
          <w:rFonts w:ascii="Times New Roman" w:hAnsi="Times New Roman" w:cs="Times New Roman"/>
          <w:sz w:val="24"/>
          <w:szCs w:val="24"/>
        </w:rPr>
      </w:pPr>
    </w:p>
    <w:p w:rsidR="00F220C6" w:rsidRDefault="00F220C6" w:rsidP="00F220C6">
      <w:pPr>
        <w:spacing w:line="360" w:lineRule="auto"/>
        <w:ind w:firstLine="1440"/>
        <w:rPr>
          <w:rFonts w:ascii="Times New Roman" w:hAnsi="Times New Roman" w:cs="Times New Roman"/>
          <w:sz w:val="24"/>
          <w:szCs w:val="24"/>
        </w:rPr>
      </w:pPr>
      <w:r>
        <w:rPr>
          <w:rFonts w:ascii="Times New Roman" w:hAnsi="Times New Roman" w:cs="Times New Roman"/>
          <w:sz w:val="24"/>
          <w:szCs w:val="24"/>
        </w:rPr>
        <w:t>As e</w:t>
      </w:r>
      <w:r w:rsidR="00A92356">
        <w:rPr>
          <w:rFonts w:ascii="Times New Roman" w:hAnsi="Times New Roman" w:cs="Times New Roman"/>
          <w:sz w:val="24"/>
          <w:szCs w:val="24"/>
        </w:rPr>
        <w:t>xplained in more detail below, Rama’s</w:t>
      </w:r>
      <w:r>
        <w:rPr>
          <w:rFonts w:ascii="Times New Roman" w:hAnsi="Times New Roman" w:cs="Times New Roman"/>
          <w:sz w:val="24"/>
          <w:szCs w:val="24"/>
        </w:rPr>
        <w:t xml:space="preserve"> Motion to Compel Responses </w:t>
      </w:r>
      <w:r w:rsidR="00A92356">
        <w:rPr>
          <w:rFonts w:ascii="Times New Roman" w:hAnsi="Times New Roman" w:cs="Times New Roman"/>
          <w:sz w:val="24"/>
          <w:szCs w:val="24"/>
        </w:rPr>
        <w:t>to Interrogatories Directed to Respondent</w:t>
      </w:r>
      <w:r>
        <w:rPr>
          <w:rFonts w:ascii="Times New Roman" w:hAnsi="Times New Roman" w:cs="Times New Roman"/>
          <w:sz w:val="24"/>
          <w:szCs w:val="24"/>
        </w:rPr>
        <w:t>, Set I, is denied.</w:t>
      </w:r>
    </w:p>
    <w:p w:rsidR="00F220C6" w:rsidRDefault="00F220C6" w:rsidP="00F220C6">
      <w:pPr>
        <w:spacing w:line="360" w:lineRule="auto"/>
        <w:ind w:firstLine="1440"/>
        <w:rPr>
          <w:rFonts w:ascii="Times New Roman" w:hAnsi="Times New Roman" w:cs="Times New Roman"/>
        </w:rPr>
      </w:pPr>
    </w:p>
    <w:p w:rsidR="00F220C6" w:rsidRDefault="00F220C6" w:rsidP="00F220C6">
      <w:pPr>
        <w:spacing w:line="360" w:lineRule="auto"/>
        <w:jc w:val="center"/>
        <w:rPr>
          <w:rFonts w:ascii="Times New Roman" w:hAnsi="Times New Roman" w:cs="Times New Roman"/>
          <w:sz w:val="24"/>
          <w:szCs w:val="24"/>
        </w:rPr>
      </w:pPr>
      <w:r>
        <w:rPr>
          <w:rFonts w:ascii="Times New Roman" w:hAnsi="Times New Roman" w:cs="Times New Roman"/>
          <w:sz w:val="24"/>
          <w:szCs w:val="24"/>
          <w:u w:val="single"/>
        </w:rPr>
        <w:t>DISCUSSION</w:t>
      </w:r>
    </w:p>
    <w:p w:rsidR="00F220C6" w:rsidRDefault="00F220C6" w:rsidP="00F220C6">
      <w:pPr>
        <w:spacing w:line="360" w:lineRule="auto"/>
        <w:rPr>
          <w:rFonts w:ascii="Times New Roman" w:hAnsi="Times New Roman" w:cs="Times New Roman"/>
          <w:sz w:val="24"/>
          <w:szCs w:val="24"/>
        </w:rPr>
      </w:pPr>
    </w:p>
    <w:p w:rsidR="00F220C6" w:rsidRDefault="00F220C6" w:rsidP="00F220C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Section 5.321(c) of the Commission’s Rules of Administrative Practice and Procedure,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w:t>
      </w:r>
      <w:r>
        <w:rPr>
          <w:rFonts w:ascii="Times New Roman" w:hAnsi="Times New Roman" w:cs="Times New Roman"/>
          <w:sz w:val="24"/>
          <w:szCs w:val="24"/>
        </w:rPr>
        <w:lastRenderedPageBreak/>
        <w:t xml:space="preserve">participant.”  </w:t>
      </w:r>
      <w:r>
        <w:rPr>
          <w:rFonts w:ascii="Times New Roman" w:hAnsi="Times New Roman" w:cs="Times New Roman"/>
          <w:i/>
          <w:sz w:val="24"/>
          <w:szCs w:val="24"/>
        </w:rPr>
        <w:t>Id</w:t>
      </w:r>
      <w:r>
        <w:rPr>
          <w:rFonts w:ascii="Times New Roman" w:hAnsi="Times New Roman" w:cs="Times New Roman"/>
          <w:sz w:val="24"/>
          <w:szCs w:val="24"/>
        </w:rPr>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Pr>
          <w:rFonts w:ascii="Times New Roman" w:hAnsi="Times New Roman" w:cs="Times New Roman"/>
          <w:i/>
          <w:sz w:val="24"/>
          <w:szCs w:val="24"/>
        </w:rPr>
        <w:t>Id</w:t>
      </w:r>
      <w:r>
        <w:rPr>
          <w:rFonts w:ascii="Times New Roman" w:hAnsi="Times New Roman" w:cs="Times New Roman"/>
          <w:sz w:val="24"/>
          <w:szCs w:val="24"/>
        </w:rPr>
        <w:t xml:space="preserve">.  Consistently, the Commission has allowed participants wide latitude in discovery matters.  </w:t>
      </w:r>
      <w:r>
        <w:rPr>
          <w:rFonts w:ascii="Times New Roman" w:hAnsi="Times New Roman" w:cs="Times New Roman"/>
          <w:i/>
          <w:sz w:val="24"/>
          <w:szCs w:val="24"/>
        </w:rPr>
        <w:t>Pa. Pub. Util. Comm’n. v. The Peoples Natural Gas Company</w:t>
      </w:r>
      <w:r>
        <w:rPr>
          <w:rFonts w:ascii="Times New Roman" w:hAnsi="Times New Roman" w:cs="Times New Roman"/>
          <w:sz w:val="24"/>
          <w:szCs w:val="24"/>
        </w:rPr>
        <w:t xml:space="preserve">, 62 Pa. P.U.C. 56 (August 26, 1986); and </w:t>
      </w:r>
      <w:r>
        <w:rPr>
          <w:rFonts w:ascii="Times New Roman" w:hAnsi="Times New Roman" w:cs="Times New Roman"/>
          <w:i/>
          <w:sz w:val="24"/>
          <w:szCs w:val="24"/>
        </w:rPr>
        <w:t>Pa. Pub. Util. Comm’n. v. Equitable Gas Company</w:t>
      </w:r>
      <w:r>
        <w:rPr>
          <w:rFonts w:ascii="Times New Roman" w:hAnsi="Times New Roman" w:cs="Times New Roman"/>
          <w:sz w:val="24"/>
          <w:szCs w:val="24"/>
        </w:rPr>
        <w:t>, 61 Pa. P.U.C. 468 (May 16, 1986).</w:t>
      </w:r>
    </w:p>
    <w:p w:rsidR="00F220C6" w:rsidRDefault="00F220C6" w:rsidP="00F220C6">
      <w:pPr>
        <w:spacing w:line="360" w:lineRule="auto"/>
        <w:rPr>
          <w:rFonts w:ascii="Times New Roman" w:hAnsi="Times New Roman" w:cs="Times New Roman"/>
          <w:sz w:val="24"/>
          <w:szCs w:val="24"/>
        </w:rPr>
      </w:pPr>
    </w:p>
    <w:p w:rsidR="00F220C6" w:rsidRDefault="00F220C6" w:rsidP="00F220C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Regarding the limitation of scope of discovery and deposition, the Commission’s regulations provide:</w:t>
      </w:r>
    </w:p>
    <w:p w:rsidR="00B85AA7" w:rsidRPr="00B85AA7" w:rsidRDefault="00B85AA7" w:rsidP="00B85AA7">
      <w:pPr>
        <w:pStyle w:val="NoSpacing"/>
        <w:spacing w:line="360" w:lineRule="auto"/>
        <w:rPr>
          <w:rFonts w:ascii="Times New Roman" w:hAnsi="Times New Roman" w:cs="Times New Roman"/>
          <w:sz w:val="24"/>
          <w:szCs w:val="24"/>
        </w:rPr>
      </w:pPr>
    </w:p>
    <w:p w:rsidR="00F220C6" w:rsidRDefault="00F220C6" w:rsidP="00F220C6">
      <w:pPr>
        <w:pStyle w:val="NormalWeb"/>
        <w:spacing w:beforeAutospacing="0" w:afterAutospacing="0"/>
        <w:ind w:left="1440" w:right="1440"/>
      </w:pPr>
      <w:r>
        <w:t xml:space="preserve">Discovery or deposition is not permitted which: </w:t>
      </w:r>
    </w:p>
    <w:p w:rsidR="00F220C6" w:rsidRDefault="00F220C6" w:rsidP="00F220C6">
      <w:pPr>
        <w:pStyle w:val="NormalWeb"/>
        <w:spacing w:beforeAutospacing="0" w:afterAutospacing="0"/>
        <w:ind w:left="1440" w:right="1440"/>
      </w:pPr>
      <w:r>
        <w:t xml:space="preserve">   (1)  Is sought in bad faith. </w:t>
      </w:r>
    </w:p>
    <w:p w:rsidR="00F220C6" w:rsidRDefault="00F220C6" w:rsidP="00F220C6">
      <w:pPr>
        <w:pStyle w:val="NormalWeb"/>
        <w:spacing w:beforeAutospacing="0" w:afterAutospacing="0"/>
        <w:ind w:left="1440" w:right="1440"/>
      </w:pPr>
      <w:r>
        <w:t xml:space="preserve">   (2)  Would cause unreasonable annoyance, embarrassment, oppression, burden or expense to the deponent, a person or party. </w:t>
      </w:r>
    </w:p>
    <w:p w:rsidR="00F220C6" w:rsidRDefault="00F220C6" w:rsidP="00F220C6">
      <w:pPr>
        <w:pStyle w:val="NormalWeb"/>
        <w:spacing w:beforeAutospacing="0" w:afterAutospacing="0"/>
        <w:ind w:left="1440" w:right="1440"/>
      </w:pPr>
      <w:r>
        <w:t xml:space="preserve">   (3)  Relates to matter which is privileged. </w:t>
      </w:r>
    </w:p>
    <w:p w:rsidR="00F220C6" w:rsidRDefault="00F220C6" w:rsidP="00F220C6">
      <w:pPr>
        <w:pStyle w:val="NormalWeb"/>
        <w:spacing w:beforeAutospacing="0" w:afterAutospacing="0"/>
        <w:ind w:left="1440" w:right="1440"/>
      </w:pPr>
      <w:r>
        <w:t>   (4)  Would require the making of an unreasonable investigation by the deponent, a party or witness.</w:t>
      </w:r>
    </w:p>
    <w:p w:rsidR="00F220C6" w:rsidRDefault="00F220C6" w:rsidP="00B85AA7">
      <w:pPr>
        <w:pStyle w:val="NormalWeb"/>
        <w:spacing w:beforeAutospacing="0" w:afterAutospacing="0" w:line="360" w:lineRule="auto"/>
        <w:ind w:left="1440" w:right="1440"/>
      </w:pPr>
    </w:p>
    <w:p w:rsidR="00F220C6" w:rsidRDefault="00F220C6" w:rsidP="00F220C6">
      <w:pPr>
        <w:spacing w:line="360" w:lineRule="auto"/>
        <w:rPr>
          <w:rFonts w:ascii="Times New Roman" w:hAnsi="Times New Roman" w:cs="Times New Roman"/>
          <w:sz w:val="24"/>
          <w:szCs w:val="24"/>
        </w:rPr>
      </w:pPr>
      <w:bookmarkStart w:id="1" w:name="5.361."/>
      <w:bookmarkEnd w:id="1"/>
      <w:r>
        <w:rPr>
          <w:rFonts w:ascii="Times New Roman" w:hAnsi="Times New Roman" w:cs="Times New Roman"/>
          <w:sz w:val="24"/>
          <w:szCs w:val="24"/>
        </w:rPr>
        <w:t xml:space="preserve">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5.361.</w:t>
      </w:r>
    </w:p>
    <w:p w:rsidR="00F220C6" w:rsidRDefault="00F220C6" w:rsidP="00F220C6">
      <w:pPr>
        <w:spacing w:line="360" w:lineRule="auto"/>
        <w:rPr>
          <w:rFonts w:ascii="Times New Roman" w:hAnsi="Times New Roman" w:cs="Times New Roman"/>
          <w:sz w:val="24"/>
          <w:szCs w:val="24"/>
        </w:rPr>
      </w:pPr>
    </w:p>
    <w:p w:rsidR="00F220C6" w:rsidRDefault="00B335EB" w:rsidP="00F220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Rama’s Discovery Re</w:t>
      </w:r>
      <w:r w:rsidR="00967C5E">
        <w:rPr>
          <w:rFonts w:ascii="Times New Roman" w:hAnsi="Times New Roman" w:cs="Times New Roman"/>
          <w:b/>
          <w:sz w:val="24"/>
          <w:szCs w:val="24"/>
        </w:rPr>
        <w:t>quest</w:t>
      </w:r>
      <w:r>
        <w:rPr>
          <w:rFonts w:ascii="Times New Roman" w:hAnsi="Times New Roman" w:cs="Times New Roman"/>
          <w:b/>
          <w:sz w:val="24"/>
          <w:szCs w:val="24"/>
        </w:rPr>
        <w:t>, Set I</w:t>
      </w:r>
    </w:p>
    <w:p w:rsidR="00B85AA7" w:rsidRPr="00B85AA7" w:rsidRDefault="00B85AA7" w:rsidP="00B85AA7">
      <w:pPr>
        <w:pStyle w:val="NoSpacing"/>
        <w:spacing w:line="360" w:lineRule="auto"/>
        <w:rPr>
          <w:rFonts w:ascii="Times New Roman" w:hAnsi="Times New Roman" w:cs="Times New Roman"/>
          <w:sz w:val="24"/>
          <w:szCs w:val="24"/>
        </w:rPr>
      </w:pPr>
    </w:p>
    <w:p w:rsidR="00B335EB" w:rsidRDefault="00B335EB" w:rsidP="00B335EB">
      <w:pPr>
        <w:pStyle w:val="Title"/>
        <w:numPr>
          <w:ilvl w:val="0"/>
          <w:numId w:val="2"/>
        </w:numPr>
        <w:ind w:left="1440" w:firstLine="0"/>
        <w:jc w:val="both"/>
        <w:rPr>
          <w:b w:val="0"/>
        </w:rPr>
      </w:pPr>
      <w:r>
        <w:rPr>
          <w:b w:val="0"/>
        </w:rPr>
        <w:t xml:space="preserve">Identify from the list of Creditors of </w:t>
      </w:r>
      <w:proofErr w:type="spellStart"/>
      <w:r>
        <w:rPr>
          <w:b w:val="0"/>
        </w:rPr>
        <w:t>Celeren</w:t>
      </w:r>
      <w:proofErr w:type="spellEnd"/>
      <w:r>
        <w:rPr>
          <w:b w:val="0"/>
        </w:rPr>
        <w:t xml:space="preserve"> Corporation, which is attached hereto, who were customers of PECO from 2007 to 2009.</w:t>
      </w:r>
    </w:p>
    <w:p w:rsidR="00B335EB" w:rsidRDefault="00B335EB" w:rsidP="00B335EB">
      <w:pPr>
        <w:pStyle w:val="Title"/>
        <w:numPr>
          <w:ilvl w:val="0"/>
          <w:numId w:val="2"/>
        </w:numPr>
        <w:ind w:left="1440" w:firstLine="0"/>
        <w:jc w:val="both"/>
        <w:rPr>
          <w:b w:val="0"/>
        </w:rPr>
      </w:pPr>
      <w:r>
        <w:rPr>
          <w:b w:val="0"/>
        </w:rPr>
        <w:t xml:space="preserve">Identify and produce documents in your possession, from 2007 to 2009, that refer or relate to PECO’s supply of electrical utility services to the creditors (hereinafter the “Creditors”) who filed a Proof of Claim during the </w:t>
      </w:r>
      <w:proofErr w:type="spellStart"/>
      <w:r>
        <w:rPr>
          <w:b w:val="0"/>
        </w:rPr>
        <w:t>Celeren</w:t>
      </w:r>
      <w:proofErr w:type="spellEnd"/>
      <w:r>
        <w:rPr>
          <w:b w:val="0"/>
        </w:rPr>
        <w:t xml:space="preserve"> Corporation’s bankruptcy.</w:t>
      </w:r>
    </w:p>
    <w:p w:rsidR="00B335EB" w:rsidRDefault="00B335EB" w:rsidP="00B335EB">
      <w:pPr>
        <w:pStyle w:val="Title"/>
        <w:numPr>
          <w:ilvl w:val="0"/>
          <w:numId w:val="2"/>
        </w:numPr>
        <w:ind w:left="1440" w:firstLine="0"/>
        <w:jc w:val="both"/>
        <w:rPr>
          <w:b w:val="0"/>
        </w:rPr>
      </w:pPr>
      <w:r>
        <w:rPr>
          <w:b w:val="0"/>
        </w:rPr>
        <w:t>Identify and produce any communications by or to PECO from 2007 to 2014 that refer or relate to the creditors identified in Exhibit “A” who PECO supplied electricity to from 2007 to 2009.</w:t>
      </w:r>
    </w:p>
    <w:p w:rsidR="00B335EB" w:rsidRDefault="00B335EB" w:rsidP="00B335EB">
      <w:pPr>
        <w:pStyle w:val="Title"/>
        <w:numPr>
          <w:ilvl w:val="0"/>
          <w:numId w:val="2"/>
        </w:numPr>
        <w:ind w:left="1440" w:firstLine="0"/>
        <w:jc w:val="both"/>
        <w:rPr>
          <w:b w:val="0"/>
        </w:rPr>
      </w:pPr>
      <w:r>
        <w:rPr>
          <w:b w:val="0"/>
        </w:rPr>
        <w:t>Identify and produce all Shut Off Notices and/or Termination Notices that PECO sent to the Creditors.</w:t>
      </w:r>
    </w:p>
    <w:p w:rsidR="00B335EB" w:rsidRDefault="00B335EB" w:rsidP="00B335EB">
      <w:pPr>
        <w:pStyle w:val="Title"/>
        <w:numPr>
          <w:ilvl w:val="0"/>
          <w:numId w:val="2"/>
        </w:numPr>
        <w:ind w:left="1440" w:firstLine="0"/>
        <w:jc w:val="both"/>
        <w:rPr>
          <w:b w:val="0"/>
        </w:rPr>
      </w:pPr>
      <w:r>
        <w:rPr>
          <w:b w:val="0"/>
        </w:rPr>
        <w:lastRenderedPageBreak/>
        <w:t>Identify all times that one of the Creditors made a late payment to PECO on behalf from 2007 to 2009.</w:t>
      </w:r>
    </w:p>
    <w:p w:rsidR="00B335EB" w:rsidRDefault="00B335EB" w:rsidP="00B335EB">
      <w:pPr>
        <w:pStyle w:val="Title"/>
        <w:numPr>
          <w:ilvl w:val="0"/>
          <w:numId w:val="2"/>
        </w:numPr>
        <w:ind w:left="1440" w:firstLine="0"/>
        <w:jc w:val="both"/>
        <w:rPr>
          <w:b w:val="0"/>
        </w:rPr>
      </w:pPr>
      <w:r>
        <w:rPr>
          <w:b w:val="0"/>
        </w:rPr>
        <w:t>Identify and produce all communications wherein PECO notified a Creditors that payments on were past due or received late from 2007 to 2009.</w:t>
      </w:r>
    </w:p>
    <w:p w:rsidR="00B335EB" w:rsidRDefault="00B335EB" w:rsidP="00B335EB">
      <w:pPr>
        <w:pStyle w:val="Title"/>
        <w:numPr>
          <w:ilvl w:val="0"/>
          <w:numId w:val="2"/>
        </w:numPr>
        <w:ind w:left="1440" w:firstLine="0"/>
        <w:jc w:val="both"/>
        <w:rPr>
          <w:b w:val="0"/>
        </w:rPr>
      </w:pPr>
      <w:r>
        <w:rPr>
          <w:b w:val="0"/>
        </w:rPr>
        <w:t xml:space="preserve">Identify and produce all documents that refer or relate Shut Off or Termination Notices sent by PECO to Creditors. </w:t>
      </w:r>
    </w:p>
    <w:p w:rsidR="00B335EB" w:rsidRDefault="00B335EB" w:rsidP="00B335EB">
      <w:pPr>
        <w:pStyle w:val="Title"/>
        <w:numPr>
          <w:ilvl w:val="0"/>
          <w:numId w:val="2"/>
        </w:numPr>
        <w:ind w:left="1440" w:firstLine="0"/>
        <w:jc w:val="both"/>
        <w:rPr>
          <w:b w:val="0"/>
        </w:rPr>
      </w:pPr>
      <w:r>
        <w:rPr>
          <w:b w:val="0"/>
        </w:rPr>
        <w:t>Identify and produce all emails, letters, communications, and/or documents exchanged between PECO and the Creditors that refer or relate to non-payment from 2007 to 2009.</w:t>
      </w:r>
    </w:p>
    <w:p w:rsidR="00B335EB" w:rsidRDefault="00B335EB" w:rsidP="00B335EB">
      <w:pPr>
        <w:pStyle w:val="Title"/>
        <w:numPr>
          <w:ilvl w:val="0"/>
          <w:numId w:val="2"/>
        </w:numPr>
        <w:ind w:left="1440" w:firstLine="0"/>
        <w:jc w:val="both"/>
        <w:rPr>
          <w:b w:val="0"/>
        </w:rPr>
      </w:pPr>
      <w:r>
        <w:rPr>
          <w:b w:val="0"/>
        </w:rPr>
        <w:t>Identify and produce all communications of PECO and/or its employees and agents with respect to the Creditors’ delinquent or non-paying accounts from 2007 to 2009.</w:t>
      </w:r>
    </w:p>
    <w:p w:rsidR="00B335EB" w:rsidRDefault="00B335EB" w:rsidP="00B335EB">
      <w:pPr>
        <w:pStyle w:val="Title"/>
        <w:numPr>
          <w:ilvl w:val="0"/>
          <w:numId w:val="2"/>
        </w:numPr>
        <w:ind w:left="1440" w:firstLine="0"/>
        <w:jc w:val="both"/>
        <w:rPr>
          <w:b w:val="0"/>
        </w:rPr>
      </w:pPr>
      <w:r>
        <w:rPr>
          <w:b w:val="0"/>
        </w:rPr>
        <w:t>Identify and produce all internal documents, communications, e-mails, and letters of PECO or from PECO employees or agents that refer or relate to the Creditors’ missed payments for electrical services between 2007 and 2009.</w:t>
      </w:r>
    </w:p>
    <w:p w:rsidR="00B335EB" w:rsidRDefault="00B335EB" w:rsidP="00B335EB">
      <w:pPr>
        <w:pStyle w:val="Title"/>
        <w:numPr>
          <w:ilvl w:val="0"/>
          <w:numId w:val="2"/>
        </w:numPr>
        <w:ind w:left="1440" w:firstLine="0"/>
        <w:jc w:val="both"/>
        <w:rPr>
          <w:b w:val="0"/>
        </w:rPr>
      </w:pPr>
      <w:r>
        <w:rPr>
          <w:b w:val="0"/>
        </w:rPr>
        <w:t>Identify and produce all communications wherein PECO notified any Creditor who was a customer that its payments were past due or received late.</w:t>
      </w:r>
    </w:p>
    <w:p w:rsidR="00B335EB" w:rsidRDefault="00B335EB" w:rsidP="00B335EB">
      <w:pPr>
        <w:pStyle w:val="Title"/>
        <w:numPr>
          <w:ilvl w:val="0"/>
          <w:numId w:val="2"/>
        </w:numPr>
        <w:ind w:left="1440" w:firstLine="0"/>
        <w:jc w:val="both"/>
        <w:rPr>
          <w:b w:val="0"/>
        </w:rPr>
      </w:pPr>
      <w:r>
        <w:rPr>
          <w:b w:val="0"/>
        </w:rPr>
        <w:t>Identify all times that PECO notified Creditors that its payments for electrical services were not timely received.</w:t>
      </w:r>
    </w:p>
    <w:p w:rsidR="00B335EB" w:rsidRDefault="00B335EB" w:rsidP="00B335EB">
      <w:pPr>
        <w:pStyle w:val="Title"/>
        <w:numPr>
          <w:ilvl w:val="0"/>
          <w:numId w:val="2"/>
        </w:numPr>
        <w:ind w:left="1440" w:firstLine="0"/>
        <w:jc w:val="both"/>
        <w:rPr>
          <w:b w:val="0"/>
        </w:rPr>
      </w:pPr>
      <w:r>
        <w:rPr>
          <w:b w:val="0"/>
        </w:rPr>
        <w:t xml:space="preserve">Identify all extensions of time provided by PECO to </w:t>
      </w:r>
      <w:proofErr w:type="spellStart"/>
      <w:r>
        <w:rPr>
          <w:b w:val="0"/>
        </w:rPr>
        <w:t>Celeren</w:t>
      </w:r>
      <w:proofErr w:type="spellEnd"/>
      <w:r>
        <w:rPr>
          <w:b w:val="0"/>
        </w:rPr>
        <w:t xml:space="preserve"> on behalf of Ramada and/or Ramada for payments for electrical services owed by Ramada.</w:t>
      </w:r>
    </w:p>
    <w:p w:rsidR="00B335EB" w:rsidRDefault="00B335EB" w:rsidP="00B335EB">
      <w:pPr>
        <w:pStyle w:val="Title"/>
        <w:numPr>
          <w:ilvl w:val="0"/>
          <w:numId w:val="2"/>
        </w:numPr>
        <w:ind w:left="1440" w:firstLine="0"/>
        <w:jc w:val="both"/>
        <w:rPr>
          <w:b w:val="0"/>
        </w:rPr>
      </w:pPr>
      <w:r>
        <w:rPr>
          <w:b w:val="0"/>
        </w:rPr>
        <w:t xml:space="preserve">State the full name and last known address (business and residential), giving the street, street number, city and state, of every person known to you or to your attorneys who has any relevant knowledge regarding the facts and/or circumstances of the </w:t>
      </w:r>
      <w:proofErr w:type="spellStart"/>
      <w:r>
        <w:rPr>
          <w:b w:val="0"/>
        </w:rPr>
        <w:t>Creditors</w:t>
      </w:r>
      <w:proofErr w:type="spellEnd"/>
      <w:r>
        <w:rPr>
          <w:b w:val="0"/>
        </w:rPr>
        <w:t xml:space="preserve"> claims against PECO in this case, and for each identify the nature and source of such knowledge.  </w:t>
      </w:r>
    </w:p>
    <w:p w:rsidR="00B335EB" w:rsidRDefault="00B335EB" w:rsidP="00B335EB">
      <w:pPr>
        <w:pStyle w:val="Title"/>
        <w:numPr>
          <w:ilvl w:val="0"/>
          <w:numId w:val="2"/>
        </w:numPr>
        <w:ind w:left="1440" w:firstLine="0"/>
        <w:jc w:val="both"/>
        <w:rPr>
          <w:b w:val="0"/>
        </w:rPr>
      </w:pPr>
      <w:r>
        <w:rPr>
          <w:b w:val="0"/>
        </w:rPr>
        <w:t>State the full name and last known address (business and residential), giving the street, street number, city and state, of every person known to you or to your attorneys who was a Creditor’s account executive, manager, and/or similar position.</w:t>
      </w:r>
    </w:p>
    <w:p w:rsidR="00B335EB" w:rsidRDefault="00B335EB" w:rsidP="00B335EB">
      <w:pPr>
        <w:pStyle w:val="Title"/>
        <w:numPr>
          <w:ilvl w:val="0"/>
          <w:numId w:val="2"/>
        </w:numPr>
        <w:ind w:left="1440" w:firstLine="0"/>
        <w:jc w:val="both"/>
        <w:rPr>
          <w:b w:val="0"/>
        </w:rPr>
      </w:pPr>
      <w:r>
        <w:rPr>
          <w:b w:val="0"/>
        </w:rPr>
        <w:t>Describe by title, category, contents and size or quantity the files and/or records you have which refer or relate to this matter and produce them.</w:t>
      </w:r>
    </w:p>
    <w:p w:rsidR="00B335EB" w:rsidRDefault="00B335EB" w:rsidP="00B335EB">
      <w:pPr>
        <w:pStyle w:val="Title"/>
        <w:numPr>
          <w:ilvl w:val="0"/>
          <w:numId w:val="2"/>
        </w:numPr>
        <w:ind w:left="1440" w:firstLine="0"/>
        <w:jc w:val="both"/>
        <w:rPr>
          <w:b w:val="0"/>
        </w:rPr>
      </w:pPr>
      <w:r>
        <w:rPr>
          <w:b w:val="0"/>
        </w:rPr>
        <w:t>Produce copies of PECO’s file regarding the Creditors’ accounts from 2007 to 2009.</w:t>
      </w:r>
    </w:p>
    <w:p w:rsidR="00B335EB" w:rsidRDefault="00B335EB" w:rsidP="00B335EB">
      <w:pPr>
        <w:pStyle w:val="Title"/>
        <w:numPr>
          <w:ilvl w:val="0"/>
          <w:numId w:val="2"/>
        </w:numPr>
        <w:ind w:left="1440" w:firstLine="0"/>
        <w:jc w:val="both"/>
        <w:rPr>
          <w:b w:val="0"/>
        </w:rPr>
      </w:pPr>
      <w:r>
        <w:rPr>
          <w:b w:val="0"/>
        </w:rPr>
        <w:t xml:space="preserve">Set forth whether you have made or given any statements or admissions to anyone regarding the delinquent accounts, non-payment, and/or Shut Off or Termination Notices issued by PECO to the Creditors between 2007 and 2009.  </w:t>
      </w:r>
    </w:p>
    <w:p w:rsidR="00B335EB" w:rsidRDefault="00B335EB" w:rsidP="00B335EB">
      <w:pPr>
        <w:pStyle w:val="Title"/>
        <w:numPr>
          <w:ilvl w:val="0"/>
          <w:numId w:val="2"/>
        </w:numPr>
        <w:ind w:left="1440" w:firstLine="0"/>
        <w:jc w:val="both"/>
        <w:rPr>
          <w:b w:val="0"/>
        </w:rPr>
      </w:pPr>
      <w:r>
        <w:rPr>
          <w:b w:val="0"/>
        </w:rPr>
        <w:t xml:space="preserve">Produce a </w:t>
      </w:r>
      <w:proofErr w:type="spellStart"/>
      <w:r>
        <w:rPr>
          <w:b w:val="0"/>
        </w:rPr>
        <w:t>photostatic</w:t>
      </w:r>
      <w:proofErr w:type="spellEnd"/>
      <w:r>
        <w:rPr>
          <w:b w:val="0"/>
        </w:rPr>
        <w:t xml:space="preserve"> copy or like production of any statements previously made by PECO, another party, or witness involving the Creditors’ accounts who were customers of PECO between 2007 and 2009 and missed at least one payment.</w:t>
      </w:r>
    </w:p>
    <w:p w:rsidR="00B335EB" w:rsidRDefault="00B335EB" w:rsidP="00B335EB">
      <w:pPr>
        <w:pStyle w:val="ListParagraph"/>
        <w:numPr>
          <w:ilvl w:val="0"/>
          <w:numId w:val="2"/>
        </w:numPr>
        <w:ind w:left="1440" w:firstLine="0"/>
        <w:rPr>
          <w:rFonts w:eastAsiaTheme="minorHAnsi"/>
        </w:rPr>
      </w:pPr>
      <w:r>
        <w:t>For each Proof of Claim identified in the attached Exhibit A, describe PECO’s interaction and/or role with respect to same.</w:t>
      </w:r>
      <w:r>
        <w:rPr>
          <w:rFonts w:eastAsiaTheme="minorHAnsi"/>
        </w:rPr>
        <w:t xml:space="preserve"> </w:t>
      </w:r>
    </w:p>
    <w:p w:rsidR="00F220C6" w:rsidRDefault="00F220C6" w:rsidP="00F220C6">
      <w:pPr>
        <w:autoSpaceDE w:val="0"/>
        <w:autoSpaceDN w:val="0"/>
        <w:adjustRightInd w:val="0"/>
        <w:ind w:left="1440"/>
        <w:rPr>
          <w:rFonts w:ascii="Times New Roman" w:hAnsi="Times New Roman" w:cs="Times New Roman"/>
          <w:sz w:val="24"/>
          <w:szCs w:val="24"/>
        </w:rPr>
      </w:pPr>
    </w:p>
    <w:p w:rsidR="00B85AA7" w:rsidRDefault="00B85AA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967C5E" w:rsidRPr="00967C5E" w:rsidRDefault="00967C5E" w:rsidP="00967C5E">
      <w:pPr>
        <w:autoSpaceDE w:val="0"/>
        <w:autoSpaceDN w:val="0"/>
        <w:adjustRightInd w:val="0"/>
        <w:spacing w:line="360" w:lineRule="auto"/>
        <w:jc w:val="center"/>
        <w:rPr>
          <w:rFonts w:ascii="Times New Roman" w:hAnsi="Times New Roman" w:cs="Times New Roman"/>
          <w:b/>
          <w:sz w:val="24"/>
          <w:szCs w:val="24"/>
        </w:rPr>
      </w:pPr>
      <w:r w:rsidRPr="00967C5E">
        <w:rPr>
          <w:rFonts w:ascii="Times New Roman" w:hAnsi="Times New Roman" w:cs="Times New Roman"/>
          <w:b/>
          <w:sz w:val="24"/>
          <w:szCs w:val="24"/>
        </w:rPr>
        <w:lastRenderedPageBreak/>
        <w:t>PECO’s Objections to Interrogatory Nos. 29-48</w:t>
      </w:r>
    </w:p>
    <w:p w:rsidR="00967C5E" w:rsidRDefault="00967C5E" w:rsidP="00F220C6">
      <w:pPr>
        <w:autoSpaceDE w:val="0"/>
        <w:autoSpaceDN w:val="0"/>
        <w:adjustRightInd w:val="0"/>
        <w:spacing w:line="360" w:lineRule="auto"/>
        <w:ind w:firstLine="1440"/>
        <w:rPr>
          <w:rFonts w:ascii="Times New Roman" w:hAnsi="Times New Roman" w:cs="Times New Roman"/>
          <w:sz w:val="24"/>
          <w:szCs w:val="24"/>
        </w:rPr>
      </w:pPr>
    </w:p>
    <w:p w:rsidR="00967C5E" w:rsidRDefault="00967C5E" w:rsidP="00967C5E">
      <w:pPr>
        <w:ind w:left="1440"/>
        <w:rPr>
          <w:rFonts w:ascii="Times New Roman" w:hAnsi="Times New Roman" w:cs="Times New Roman"/>
          <w:b/>
          <w:sz w:val="24"/>
          <w:szCs w:val="24"/>
        </w:rPr>
      </w:pPr>
      <w:r>
        <w:rPr>
          <w:rFonts w:ascii="Times New Roman" w:hAnsi="Times New Roman" w:cs="Times New Roman"/>
          <w:b/>
          <w:sz w:val="24"/>
          <w:szCs w:val="24"/>
        </w:rPr>
        <w:t>Objection 1:  The questions relate to Rama’s dismissed fraud claim</w:t>
      </w:r>
    </w:p>
    <w:p w:rsidR="00967C5E" w:rsidRDefault="00967C5E" w:rsidP="00B85AA7">
      <w:pPr>
        <w:spacing w:line="360" w:lineRule="auto"/>
        <w:ind w:left="1440"/>
        <w:rPr>
          <w:rFonts w:ascii="Times New Roman" w:hAnsi="Times New Roman" w:cs="Times New Roman"/>
          <w:b/>
          <w:sz w:val="24"/>
          <w:szCs w:val="24"/>
        </w:rPr>
      </w:pP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Rama’s Set I Discovery, questions 29-48, each and all relate to 210 entities that filed respective Proofs of Claim during </w:t>
      </w:r>
      <w:proofErr w:type="spellStart"/>
      <w:r>
        <w:rPr>
          <w:rFonts w:ascii="Times New Roman" w:hAnsi="Times New Roman" w:cs="Times New Roman"/>
          <w:sz w:val="24"/>
          <w:szCs w:val="24"/>
        </w:rPr>
        <w:t>Celeren’s</w:t>
      </w:r>
      <w:proofErr w:type="spellEnd"/>
      <w:r>
        <w:rPr>
          <w:rFonts w:ascii="Times New Roman" w:hAnsi="Times New Roman" w:cs="Times New Roman"/>
          <w:sz w:val="24"/>
          <w:szCs w:val="24"/>
        </w:rPr>
        <w:t xml:space="preserve"> bankruptcy proceeding.</w:t>
      </w: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 the Second Amended Complaint, the 210 Proofs of Claim are discussed only as part of Rama’s Fraud claim.</w:t>
      </w: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In Order #4, Rama’s fraud claim was dismissed from because it (a) is based upon a legal theory that has been rejected by the Commission; (b) incorrectly assumes that that PECO and Exelon are natural gas suppliers; and (c) is time-barred.  See Order #4.</w:t>
      </w: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 the Third Amended Complaint, Rama left in the fraud claim and the 210 Proofs of Claim are discussed only as part of Rama’s fraud claim.</w:t>
      </w: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In the Fourth Amended Complaint, Rama left in the fraud claim and the 210 Proofs of Claim are discussed only as part of Rama’s fraud claim.</w:t>
      </w: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In the Fifth Amended Complaint, Rama removed the fraud claim and moved the discussion of the 210 Proofs of Claim to a portion of the Complaint that is not entitled “fraud.”  However, the factual allegations made regarding the 210 Proofs of Claim remained the same as they had throughout the various iterations of the dismissed fraud claim.  The factual allegations made in the Fifth Amended Complaint are thus still a part of the factual investigation of the dismissed fraud claim.</w:t>
      </w: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Rama cannot seek and should not be allowed to seek discovery on a claim that has been stricken.  </w:t>
      </w:r>
    </w:p>
    <w:p w:rsidR="00967C5E" w:rsidRDefault="00967C5E" w:rsidP="00B85AA7">
      <w:pPr>
        <w:spacing w:line="360" w:lineRule="auto"/>
        <w:ind w:left="1440"/>
        <w:rPr>
          <w:rFonts w:ascii="Times New Roman" w:hAnsi="Times New Roman" w:cs="Times New Roman"/>
          <w:sz w:val="24"/>
          <w:szCs w:val="24"/>
        </w:rPr>
      </w:pPr>
    </w:p>
    <w:p w:rsidR="00967C5E" w:rsidRDefault="00967C5E" w:rsidP="00967C5E">
      <w:pPr>
        <w:ind w:left="1440"/>
        <w:rPr>
          <w:rFonts w:ascii="Times New Roman" w:hAnsi="Times New Roman" w:cs="Times New Roman"/>
          <w:b/>
          <w:sz w:val="24"/>
          <w:szCs w:val="24"/>
        </w:rPr>
      </w:pPr>
      <w:r>
        <w:rPr>
          <w:rFonts w:ascii="Times New Roman" w:hAnsi="Times New Roman" w:cs="Times New Roman"/>
          <w:b/>
          <w:sz w:val="24"/>
          <w:szCs w:val="24"/>
        </w:rPr>
        <w:t>Objection 2:  Unduly burdensome</w:t>
      </w:r>
    </w:p>
    <w:p w:rsidR="00967C5E" w:rsidRDefault="00967C5E" w:rsidP="00B85AA7">
      <w:pPr>
        <w:spacing w:line="360" w:lineRule="auto"/>
        <w:ind w:left="1440"/>
        <w:rPr>
          <w:rFonts w:ascii="Times New Roman" w:hAnsi="Times New Roman" w:cs="Times New Roman"/>
          <w:b/>
          <w:sz w:val="24"/>
          <w:szCs w:val="24"/>
        </w:rPr>
      </w:pP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PECO objects to 19 questions.  Each of those questions applies to 210 corporate entities.  PECO is thus being asked the equivalent of 3,990 (19 x 210) discovery questions.</w:t>
      </w: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On its face, it is patently burdensome to send the functional equivalent of 3,990 discovery questions for a PUC complaint proceeding involving a claimed dispute of approximately $125,000.</w:t>
      </w:r>
    </w:p>
    <w:p w:rsidR="00967C5E" w:rsidRDefault="00967C5E" w:rsidP="00967C5E">
      <w:pPr>
        <w:ind w:left="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roofErr w:type="gramStart"/>
      <w:r>
        <w:rPr>
          <w:rFonts w:ascii="Times New Roman" w:hAnsi="Times New Roman" w:cs="Times New Roman"/>
          <w:sz w:val="24"/>
          <w:szCs w:val="24"/>
        </w:rPr>
        <w:t>Assuming that</w:t>
      </w:r>
      <w:proofErr w:type="gramEnd"/>
      <w:r>
        <w:rPr>
          <w:rFonts w:ascii="Times New Roman" w:hAnsi="Times New Roman" w:cs="Times New Roman"/>
          <w:sz w:val="24"/>
          <w:szCs w:val="24"/>
        </w:rPr>
        <w:t xml:space="preserve"> PECO took a very short average time of 10 minutes per question to research, review, and answer the 3,990 posed questions, it would take PECO 665 hours to respond to this discovery.  (3990 x 10 / 60).  It is unduly burdensome to request PECO to spend 665 hours or more answering discovery associated with such a claim.</w:t>
      </w:r>
    </w:p>
    <w:p w:rsidR="00B85AA7" w:rsidRDefault="00B85AA7">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621523" w:rsidRDefault="00621523" w:rsidP="00B85AA7">
      <w:pPr>
        <w:spacing w:line="360" w:lineRule="auto"/>
        <w:ind w:firstLine="1440"/>
        <w:jc w:val="both"/>
        <w:rPr>
          <w:rFonts w:ascii="Times New Roman" w:hAnsi="Times New Roman" w:cs="Times New Roman"/>
          <w:sz w:val="24"/>
          <w:szCs w:val="24"/>
        </w:rPr>
      </w:pPr>
      <w:r w:rsidRPr="00621523">
        <w:rPr>
          <w:rFonts w:ascii="Times New Roman" w:hAnsi="Times New Roman" w:cs="Times New Roman"/>
          <w:sz w:val="24"/>
          <w:szCs w:val="24"/>
        </w:rPr>
        <w:lastRenderedPageBreak/>
        <w:t>With respect to Interrogatory Nos. 29-48</w:t>
      </w:r>
      <w:r w:rsidR="00F220C6" w:rsidRPr="00621523">
        <w:rPr>
          <w:rFonts w:ascii="Times New Roman" w:hAnsi="Times New Roman" w:cs="Times New Roman"/>
          <w:sz w:val="24"/>
          <w:szCs w:val="24"/>
        </w:rPr>
        <w:t xml:space="preserve">, the parties make similar arguments for and against the Motion to Compel filed by </w:t>
      </w:r>
      <w:r w:rsidRPr="00621523">
        <w:rPr>
          <w:rFonts w:ascii="Times New Roman" w:hAnsi="Times New Roman" w:cs="Times New Roman"/>
          <w:sz w:val="24"/>
          <w:szCs w:val="24"/>
        </w:rPr>
        <w:t>Rama</w:t>
      </w:r>
      <w:r w:rsidR="00F220C6" w:rsidRPr="00621523">
        <w:rPr>
          <w:rFonts w:ascii="Times New Roman" w:hAnsi="Times New Roman" w:cs="Times New Roman"/>
          <w:sz w:val="24"/>
          <w:szCs w:val="24"/>
        </w:rPr>
        <w:t xml:space="preserve">.  </w:t>
      </w:r>
      <w:r w:rsidRPr="00621523">
        <w:rPr>
          <w:rFonts w:ascii="Times New Roman" w:hAnsi="Times New Roman" w:cs="Times New Roman"/>
          <w:sz w:val="24"/>
          <w:szCs w:val="24"/>
        </w:rPr>
        <w:t xml:space="preserve">Rama indicates that the answers to these interrogatory questions are necessary to establish PECO’s “knowledge, relationship, and notice” in this matter.  Further, Rama indicates that the discovery requested of PECO and Exelon seeks information that is reasonably calculated to lead to the discovery of admissible evidence.  Rama indicates that PECO’s calculation of the time needed to fulfill its request is exaggerated.  Again, Rama notes that it is seeking to obtain for discovery PECO’s knowledge, notice, and relationship to the referenced creditors of </w:t>
      </w:r>
      <w:proofErr w:type="spellStart"/>
      <w:r w:rsidRPr="00621523">
        <w:rPr>
          <w:rFonts w:ascii="Times New Roman" w:hAnsi="Times New Roman" w:cs="Times New Roman"/>
          <w:sz w:val="24"/>
          <w:szCs w:val="24"/>
        </w:rPr>
        <w:t>Celeren</w:t>
      </w:r>
      <w:proofErr w:type="spellEnd"/>
      <w:r w:rsidRPr="00621523">
        <w:rPr>
          <w:rFonts w:ascii="Times New Roman" w:hAnsi="Times New Roman" w:cs="Times New Roman"/>
          <w:sz w:val="24"/>
          <w:szCs w:val="24"/>
        </w:rPr>
        <w:t xml:space="preserve"> who were in similar situation as Rama in support of its remaining claims.  Rama argues that what PECO knew and when as well as their relationship to other creditors is relevant and reasonably calculated to lead to the discovery of admissible evidence.</w:t>
      </w:r>
    </w:p>
    <w:p w:rsidR="00621523" w:rsidRDefault="00621523" w:rsidP="00621523">
      <w:pPr>
        <w:spacing w:line="360" w:lineRule="auto"/>
        <w:ind w:firstLine="720"/>
        <w:jc w:val="both"/>
        <w:rPr>
          <w:rFonts w:ascii="Times New Roman" w:hAnsi="Times New Roman" w:cs="Times New Roman"/>
          <w:sz w:val="24"/>
          <w:szCs w:val="24"/>
        </w:rPr>
      </w:pPr>
    </w:p>
    <w:p w:rsidR="00FB10A7" w:rsidRDefault="00FB10A7" w:rsidP="00FB10A7">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PECO argues the only time that Rama ever attempted to relate these Proofs of Claim to PECO was in the fraud claim that it added to this case in 2014, and which Administrative Law Judge Cynthia Fordham (Judge Fordham) ruled, in Order #4, is time-barred.  Further, PECO maintains that in Order #4, Judge Fordham also ordered Rama to file a more specific complaint that sets forth the legal theory under which it claims that PECO owes it the “duties” claimed in the Complaint and Rama has still not made an amendment to its Complaint that meets </w:t>
      </w:r>
      <w:r w:rsidR="001E327D">
        <w:rPr>
          <w:rFonts w:ascii="Times New Roman" w:hAnsi="Times New Roman" w:cs="Times New Roman"/>
          <w:sz w:val="24"/>
          <w:szCs w:val="24"/>
        </w:rPr>
        <w:t xml:space="preserve">the </w:t>
      </w:r>
      <w:r>
        <w:rPr>
          <w:rFonts w:ascii="Times New Roman" w:hAnsi="Times New Roman" w:cs="Times New Roman"/>
          <w:sz w:val="24"/>
          <w:szCs w:val="24"/>
        </w:rPr>
        <w:t xml:space="preserve">obligation.  </w:t>
      </w:r>
      <w:r w:rsidR="001E327D">
        <w:rPr>
          <w:rFonts w:ascii="Times New Roman" w:hAnsi="Times New Roman" w:cs="Times New Roman"/>
          <w:sz w:val="24"/>
          <w:szCs w:val="24"/>
        </w:rPr>
        <w:t>PECO also indicated that</w:t>
      </w:r>
      <w:r>
        <w:rPr>
          <w:rFonts w:ascii="Times New Roman" w:hAnsi="Times New Roman" w:cs="Times New Roman"/>
          <w:sz w:val="24"/>
          <w:szCs w:val="24"/>
        </w:rPr>
        <w:t xml:space="preserve"> to the extent that Rama needs to know about PECO’s “knowledge, relationship, and notice,” </w:t>
      </w:r>
      <w:r w:rsidRPr="001E327D">
        <w:rPr>
          <w:rFonts w:ascii="Times New Roman" w:hAnsi="Times New Roman" w:cs="Times New Roman"/>
          <w:sz w:val="24"/>
          <w:szCs w:val="24"/>
        </w:rPr>
        <w:t>as to Rama</w:t>
      </w:r>
      <w:r>
        <w:rPr>
          <w:rFonts w:ascii="Times New Roman" w:hAnsi="Times New Roman" w:cs="Times New Roman"/>
          <w:sz w:val="24"/>
          <w:szCs w:val="24"/>
        </w:rPr>
        <w:t xml:space="preserve">, it has already provided answers to discovery that fully develops its state of knowledge, relationship and notice </w:t>
      </w:r>
      <w:r w:rsidRPr="001E327D">
        <w:rPr>
          <w:rFonts w:ascii="Times New Roman" w:hAnsi="Times New Roman" w:cs="Times New Roman"/>
          <w:sz w:val="24"/>
          <w:szCs w:val="24"/>
        </w:rPr>
        <w:t>as to Rama</w:t>
      </w:r>
      <w:r>
        <w:rPr>
          <w:rFonts w:ascii="Times New Roman" w:hAnsi="Times New Roman" w:cs="Times New Roman"/>
          <w:sz w:val="24"/>
          <w:szCs w:val="24"/>
        </w:rPr>
        <w:t xml:space="preserve"> in the relevant time</w:t>
      </w:r>
      <w:r w:rsidR="001E327D">
        <w:rPr>
          <w:rFonts w:ascii="Times New Roman" w:hAnsi="Times New Roman" w:cs="Times New Roman"/>
          <w:sz w:val="24"/>
          <w:szCs w:val="24"/>
        </w:rPr>
        <w:t>frame</w:t>
      </w:r>
      <w:r>
        <w:rPr>
          <w:rFonts w:ascii="Times New Roman" w:hAnsi="Times New Roman" w:cs="Times New Roman"/>
          <w:sz w:val="24"/>
          <w:szCs w:val="24"/>
        </w:rPr>
        <w:t>.</w:t>
      </w:r>
      <w:r w:rsidRPr="00FB10A7">
        <w:rPr>
          <w:rFonts w:ascii="Times New Roman" w:hAnsi="Times New Roman" w:cs="Times New Roman"/>
          <w:sz w:val="24"/>
          <w:szCs w:val="24"/>
        </w:rPr>
        <w:t xml:space="preserve"> </w:t>
      </w:r>
    </w:p>
    <w:p w:rsidR="00FB10A7" w:rsidRDefault="00FB10A7" w:rsidP="00FB10A7">
      <w:pPr>
        <w:spacing w:line="360" w:lineRule="auto"/>
        <w:ind w:firstLine="1440"/>
        <w:rPr>
          <w:rFonts w:ascii="Times New Roman" w:hAnsi="Times New Roman" w:cs="Times New Roman"/>
          <w:sz w:val="24"/>
          <w:szCs w:val="24"/>
        </w:rPr>
      </w:pPr>
    </w:p>
    <w:p w:rsidR="00FB10A7" w:rsidRDefault="001E327D" w:rsidP="001E327D">
      <w:pPr>
        <w:spacing w:line="360" w:lineRule="auto"/>
        <w:ind w:firstLine="1440"/>
        <w:rPr>
          <w:rFonts w:ascii="Times New Roman" w:hAnsi="Times New Roman" w:cs="Times New Roman"/>
          <w:sz w:val="24"/>
          <w:szCs w:val="24"/>
        </w:rPr>
      </w:pPr>
      <w:r>
        <w:rPr>
          <w:rFonts w:ascii="Times New Roman" w:hAnsi="Times New Roman" w:cs="Times New Roman"/>
          <w:sz w:val="24"/>
          <w:szCs w:val="24"/>
        </w:rPr>
        <w:t>PECO</w:t>
      </w:r>
      <w:r w:rsidR="00701326">
        <w:rPr>
          <w:rFonts w:ascii="Times New Roman" w:hAnsi="Times New Roman" w:cs="Times New Roman"/>
          <w:sz w:val="24"/>
          <w:szCs w:val="24"/>
        </w:rPr>
        <w:t>’s</w:t>
      </w:r>
      <w:r>
        <w:rPr>
          <w:rFonts w:ascii="Times New Roman" w:hAnsi="Times New Roman" w:cs="Times New Roman"/>
          <w:sz w:val="24"/>
          <w:szCs w:val="24"/>
        </w:rPr>
        <w:t xml:space="preserve"> second objection is that the request is unduly burdensome.  </w:t>
      </w:r>
      <w:r w:rsidR="00FB10A7">
        <w:rPr>
          <w:rFonts w:ascii="Times New Roman" w:hAnsi="Times New Roman" w:cs="Times New Roman"/>
          <w:sz w:val="24"/>
          <w:szCs w:val="24"/>
        </w:rPr>
        <w:t xml:space="preserve">PECO notes that it calculated that it could take hundreds of hours to provide this information.  </w:t>
      </w:r>
      <w:r>
        <w:rPr>
          <w:rFonts w:ascii="Times New Roman" w:hAnsi="Times New Roman" w:cs="Times New Roman"/>
          <w:sz w:val="24"/>
          <w:szCs w:val="24"/>
        </w:rPr>
        <w:t>PECO calculated that</w:t>
      </w:r>
      <w:r w:rsidR="00FB10A7">
        <w:rPr>
          <w:rFonts w:ascii="Times New Roman" w:hAnsi="Times New Roman" w:cs="Times New Roman"/>
          <w:sz w:val="24"/>
          <w:szCs w:val="24"/>
        </w:rPr>
        <w:t xml:space="preserve"> it would take over 600 hours to answer 19 interrogatories for each of 210</w:t>
      </w:r>
      <w:r>
        <w:rPr>
          <w:rFonts w:ascii="Times New Roman" w:hAnsi="Times New Roman" w:cs="Times New Roman"/>
          <w:sz w:val="24"/>
          <w:szCs w:val="24"/>
        </w:rPr>
        <w:t xml:space="preserve"> entities that filed </w:t>
      </w:r>
      <w:r w:rsidR="00701326">
        <w:rPr>
          <w:rFonts w:ascii="Times New Roman" w:hAnsi="Times New Roman" w:cs="Times New Roman"/>
          <w:sz w:val="24"/>
          <w:szCs w:val="24"/>
        </w:rPr>
        <w:t xml:space="preserve">Proof of Claims against </w:t>
      </w:r>
      <w:proofErr w:type="spellStart"/>
      <w:r w:rsidR="00701326">
        <w:rPr>
          <w:rFonts w:ascii="Times New Roman" w:hAnsi="Times New Roman" w:cs="Times New Roman"/>
          <w:sz w:val="24"/>
          <w:szCs w:val="24"/>
        </w:rPr>
        <w:t>Celeren</w:t>
      </w:r>
      <w:proofErr w:type="spellEnd"/>
      <w:r w:rsidR="00701326">
        <w:rPr>
          <w:rFonts w:ascii="Times New Roman" w:hAnsi="Times New Roman" w:cs="Times New Roman"/>
          <w:sz w:val="24"/>
          <w:szCs w:val="24"/>
        </w:rPr>
        <w:t xml:space="preserve"> in its bankruptcy proceeding</w:t>
      </w:r>
      <w:r w:rsidR="00FB10A7">
        <w:rPr>
          <w:rFonts w:ascii="Times New Roman" w:hAnsi="Times New Roman" w:cs="Times New Roman"/>
          <w:sz w:val="24"/>
          <w:szCs w:val="24"/>
        </w:rPr>
        <w:t>.  PECO asserts that if even one-tenth of the corporate entities were PECO customers in that time frame, that would still take over 60 hours to answer the 19 question</w:t>
      </w:r>
      <w:r w:rsidR="00701326">
        <w:rPr>
          <w:rFonts w:ascii="Times New Roman" w:hAnsi="Times New Roman" w:cs="Times New Roman"/>
          <w:sz w:val="24"/>
          <w:szCs w:val="24"/>
        </w:rPr>
        <w:t xml:space="preserve">s for that subset of customers.  PECO argues that </w:t>
      </w:r>
      <w:r w:rsidR="00FB10A7">
        <w:rPr>
          <w:rFonts w:ascii="Times New Roman" w:hAnsi="Times New Roman" w:cs="Times New Roman"/>
          <w:sz w:val="24"/>
          <w:szCs w:val="24"/>
        </w:rPr>
        <w:t xml:space="preserve">given the amount at issue in this case and potential relevance of PECO’s relationship with customers other than Rama, the task would be unduly burdensome. </w:t>
      </w:r>
    </w:p>
    <w:p w:rsidR="00F220C6" w:rsidRDefault="00F220C6" w:rsidP="00F220C6">
      <w:pPr>
        <w:autoSpaceDE w:val="0"/>
        <w:autoSpaceDN w:val="0"/>
        <w:adjustRightInd w:val="0"/>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In this matter, I agree with PECO.  </w:t>
      </w:r>
      <w:r w:rsidR="00701326">
        <w:rPr>
          <w:rFonts w:ascii="Times New Roman" w:hAnsi="Times New Roman" w:cs="Times New Roman"/>
          <w:sz w:val="24"/>
          <w:szCs w:val="24"/>
        </w:rPr>
        <w:t xml:space="preserve">Rama has not provided sufficient information for the presiding officer to </w:t>
      </w:r>
      <w:proofErr w:type="gramStart"/>
      <w:r w:rsidR="00701326">
        <w:rPr>
          <w:rFonts w:ascii="Times New Roman" w:hAnsi="Times New Roman" w:cs="Times New Roman"/>
          <w:sz w:val="24"/>
          <w:szCs w:val="24"/>
        </w:rPr>
        <w:t>make a determination</w:t>
      </w:r>
      <w:proofErr w:type="gramEnd"/>
      <w:r w:rsidR="00701326">
        <w:rPr>
          <w:rFonts w:ascii="Times New Roman" w:hAnsi="Times New Roman" w:cs="Times New Roman"/>
          <w:sz w:val="24"/>
          <w:szCs w:val="24"/>
        </w:rPr>
        <w:t xml:space="preserve"> that these discovery requests would produce admissible evidence in this case.  PECO indicated that it provided information related to its knowledge and notice of the relationship between </w:t>
      </w:r>
      <w:proofErr w:type="spellStart"/>
      <w:r w:rsidR="00701326">
        <w:rPr>
          <w:rFonts w:ascii="Times New Roman" w:hAnsi="Times New Roman" w:cs="Times New Roman"/>
          <w:sz w:val="24"/>
          <w:szCs w:val="24"/>
        </w:rPr>
        <w:t>Celeren</w:t>
      </w:r>
      <w:proofErr w:type="spellEnd"/>
      <w:r w:rsidR="00701326">
        <w:rPr>
          <w:rFonts w:ascii="Times New Roman" w:hAnsi="Times New Roman" w:cs="Times New Roman"/>
          <w:sz w:val="24"/>
          <w:szCs w:val="24"/>
        </w:rPr>
        <w:t xml:space="preserve"> and Rama.  Further, Rama has not provided any adequate basis to establish that PECO’s knowledge and notice to other PECO customers who were also creditors of </w:t>
      </w:r>
      <w:proofErr w:type="spellStart"/>
      <w:r w:rsidR="00701326">
        <w:rPr>
          <w:rFonts w:ascii="Times New Roman" w:hAnsi="Times New Roman" w:cs="Times New Roman"/>
          <w:sz w:val="24"/>
          <w:szCs w:val="24"/>
        </w:rPr>
        <w:t>Celeren</w:t>
      </w:r>
      <w:proofErr w:type="spellEnd"/>
      <w:r w:rsidR="00701326">
        <w:rPr>
          <w:rFonts w:ascii="Times New Roman" w:hAnsi="Times New Roman" w:cs="Times New Roman"/>
          <w:sz w:val="24"/>
          <w:szCs w:val="24"/>
        </w:rPr>
        <w:t xml:space="preserve"> would be admissible in this proceeding.  I agree with PECO that this request is unduly burdensome.  There is no way to tell from</w:t>
      </w:r>
      <w:r w:rsidR="00C92B84">
        <w:rPr>
          <w:rFonts w:ascii="Times New Roman" w:hAnsi="Times New Roman" w:cs="Times New Roman"/>
          <w:sz w:val="24"/>
          <w:szCs w:val="24"/>
        </w:rPr>
        <w:t xml:space="preserve"> the</w:t>
      </w:r>
      <w:r w:rsidR="00701326">
        <w:rPr>
          <w:rFonts w:ascii="Times New Roman" w:hAnsi="Times New Roman" w:cs="Times New Roman"/>
          <w:sz w:val="24"/>
          <w:szCs w:val="24"/>
        </w:rPr>
        <w:t xml:space="preserve"> addresses </w:t>
      </w:r>
      <w:r w:rsidR="00C92B84">
        <w:rPr>
          <w:rFonts w:ascii="Times New Roman" w:hAnsi="Times New Roman" w:cs="Times New Roman"/>
          <w:sz w:val="24"/>
          <w:szCs w:val="24"/>
        </w:rPr>
        <w:t xml:space="preserve">alone </w:t>
      </w:r>
      <w:r w:rsidR="00701326">
        <w:rPr>
          <w:rFonts w:ascii="Times New Roman" w:hAnsi="Times New Roman" w:cs="Times New Roman"/>
          <w:sz w:val="24"/>
          <w:szCs w:val="24"/>
        </w:rPr>
        <w:t xml:space="preserve">listed in the </w:t>
      </w:r>
      <w:r w:rsidR="00C92B84">
        <w:rPr>
          <w:rFonts w:ascii="Times New Roman" w:hAnsi="Times New Roman" w:cs="Times New Roman"/>
          <w:sz w:val="24"/>
          <w:szCs w:val="24"/>
        </w:rPr>
        <w:t xml:space="preserve">Proof of Claims whether the creditor is a PECO customer as well.  The amount of time required to narrow this information down and then provide answers to the remaining interrogatories, </w:t>
      </w:r>
      <w:r w:rsidR="00B22BA8">
        <w:rPr>
          <w:rFonts w:ascii="Times New Roman" w:hAnsi="Times New Roman" w:cs="Times New Roman"/>
          <w:sz w:val="24"/>
          <w:szCs w:val="24"/>
        </w:rPr>
        <w:t xml:space="preserve">related </w:t>
      </w:r>
      <w:r w:rsidR="00C92B84">
        <w:rPr>
          <w:rFonts w:ascii="Times New Roman" w:hAnsi="Times New Roman" w:cs="Times New Roman"/>
          <w:sz w:val="24"/>
          <w:szCs w:val="24"/>
        </w:rPr>
        <w:t xml:space="preserve">to the subset of PECO customers is </w:t>
      </w:r>
      <w:r w:rsidR="00B22BA8">
        <w:rPr>
          <w:rFonts w:ascii="Times New Roman" w:hAnsi="Times New Roman" w:cs="Times New Roman"/>
          <w:sz w:val="24"/>
          <w:szCs w:val="24"/>
        </w:rPr>
        <w:t xml:space="preserve">unreasonable considering the potential for the request producing admissible evidence in this matter.  It is unclear from Rama’s Complaints and its Motion to Compel the reasons why it is requesting this information related to other PECO customers, when its claims in the Complaints are specifically related to Rama.  As such, PECO’s </w:t>
      </w:r>
      <w:r>
        <w:rPr>
          <w:rFonts w:ascii="Times New Roman" w:hAnsi="Times New Roman" w:cs="Times New Roman"/>
          <w:sz w:val="24"/>
          <w:szCs w:val="24"/>
        </w:rPr>
        <w:t xml:space="preserve">objections to Interrogatory Nos. </w:t>
      </w:r>
      <w:r w:rsidR="00B22BA8">
        <w:rPr>
          <w:rFonts w:ascii="Times New Roman" w:hAnsi="Times New Roman" w:cs="Times New Roman"/>
          <w:sz w:val="24"/>
          <w:szCs w:val="24"/>
        </w:rPr>
        <w:t>29-48</w:t>
      </w:r>
      <w:r>
        <w:rPr>
          <w:rFonts w:ascii="Times New Roman" w:hAnsi="Times New Roman" w:cs="Times New Roman"/>
          <w:sz w:val="24"/>
          <w:szCs w:val="24"/>
        </w:rPr>
        <w:t xml:space="preserve"> are </w:t>
      </w:r>
      <w:r w:rsidR="00B22BA8">
        <w:rPr>
          <w:rFonts w:ascii="Times New Roman" w:hAnsi="Times New Roman" w:cs="Times New Roman"/>
          <w:sz w:val="24"/>
          <w:szCs w:val="24"/>
        </w:rPr>
        <w:t>sustained</w:t>
      </w:r>
      <w:r>
        <w:rPr>
          <w:rFonts w:ascii="Times New Roman" w:hAnsi="Times New Roman" w:cs="Times New Roman"/>
          <w:sz w:val="24"/>
          <w:szCs w:val="24"/>
        </w:rPr>
        <w:t xml:space="preserve"> and PECO’s Motion to Compel is </w:t>
      </w:r>
      <w:r w:rsidR="00B22BA8">
        <w:rPr>
          <w:rFonts w:ascii="Times New Roman" w:hAnsi="Times New Roman" w:cs="Times New Roman"/>
          <w:sz w:val="24"/>
          <w:szCs w:val="24"/>
        </w:rPr>
        <w:t>denied</w:t>
      </w:r>
      <w:r>
        <w:rPr>
          <w:rFonts w:ascii="Times New Roman" w:hAnsi="Times New Roman" w:cs="Times New Roman"/>
          <w:sz w:val="24"/>
          <w:szCs w:val="24"/>
        </w:rPr>
        <w:t xml:space="preserve">.  </w:t>
      </w:r>
    </w:p>
    <w:p w:rsidR="00F220C6" w:rsidRDefault="00F220C6" w:rsidP="00F220C6">
      <w:pPr>
        <w:autoSpaceDE w:val="0"/>
        <w:autoSpaceDN w:val="0"/>
        <w:adjustRightInd w:val="0"/>
        <w:spacing w:line="360" w:lineRule="auto"/>
        <w:rPr>
          <w:rFonts w:ascii="Times New Roman" w:hAnsi="Times New Roman" w:cs="Times New Roman"/>
          <w:sz w:val="24"/>
          <w:szCs w:val="24"/>
        </w:rPr>
      </w:pPr>
    </w:p>
    <w:p w:rsidR="00F220C6" w:rsidRDefault="00F220C6" w:rsidP="00F220C6">
      <w:pPr>
        <w:spacing w:before="100" w:beforeAutospacing="1" w:line="360" w:lineRule="auto"/>
        <w:ind w:left="720" w:firstLine="720"/>
        <w:rPr>
          <w:rFonts w:ascii="Times New Roman" w:hAnsi="Times New Roman" w:cs="Times New Roman"/>
          <w:spacing w:val="-3"/>
          <w:sz w:val="24"/>
          <w:szCs w:val="24"/>
        </w:rPr>
      </w:pPr>
      <w:r>
        <w:rPr>
          <w:rFonts w:ascii="Times New Roman" w:hAnsi="Times New Roman" w:cs="Times New Roman"/>
          <w:spacing w:val="-3"/>
          <w:sz w:val="24"/>
          <w:szCs w:val="24"/>
        </w:rPr>
        <w:t>THEREFORE,</w:t>
      </w:r>
    </w:p>
    <w:p w:rsidR="00F220C6" w:rsidRDefault="00F220C6" w:rsidP="00F220C6">
      <w:pPr>
        <w:pStyle w:val="ParaTab1"/>
        <w:spacing w:line="360" w:lineRule="auto"/>
        <w:rPr>
          <w:rFonts w:ascii="Times New Roman" w:hAnsi="Times New Roman" w:cs="Times New Roman"/>
          <w:spacing w:val="-3"/>
        </w:rPr>
      </w:pPr>
    </w:p>
    <w:p w:rsidR="00F220C6" w:rsidRDefault="00F220C6" w:rsidP="00F220C6">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F220C6" w:rsidRDefault="00F220C6" w:rsidP="00F220C6">
      <w:pPr>
        <w:pStyle w:val="ParaTab1"/>
        <w:tabs>
          <w:tab w:val="num" w:pos="0"/>
          <w:tab w:val="left" w:pos="2070"/>
        </w:tabs>
        <w:spacing w:line="360" w:lineRule="auto"/>
        <w:rPr>
          <w:rFonts w:ascii="Times New Roman" w:hAnsi="Times New Roman" w:cs="Times New Roman"/>
          <w:spacing w:val="-3"/>
        </w:rPr>
      </w:pPr>
    </w:p>
    <w:p w:rsidR="00F220C6" w:rsidRDefault="00F220C6" w:rsidP="00F220C6">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Motion to Compel of </w:t>
      </w:r>
      <w:r w:rsidR="003B535E">
        <w:rPr>
          <w:rFonts w:ascii="Times New Roman" w:hAnsi="Times New Roman" w:cs="Times New Roman"/>
        </w:rPr>
        <w:t>Rama Construction, Inc. t/a</w:t>
      </w:r>
      <w:r w:rsidR="003B535E">
        <w:rPr>
          <w:rFonts w:ascii="Times New Roman" w:hAnsi="Times New Roman" w:cs="Times New Roman"/>
          <w:spacing w:val="-3"/>
        </w:rPr>
        <w:t xml:space="preserve"> </w:t>
      </w:r>
      <w:r w:rsidR="003B535E">
        <w:rPr>
          <w:rFonts w:ascii="Times New Roman" w:hAnsi="Times New Roman" w:cs="Times New Roman"/>
        </w:rPr>
        <w:t>Ramada Inn International Airport</w:t>
      </w:r>
      <w:r w:rsidR="003B535E">
        <w:rPr>
          <w:rFonts w:ascii="Times New Roman" w:hAnsi="Times New Roman" w:cs="Times New Roman"/>
          <w:spacing w:val="-3"/>
        </w:rPr>
        <w:t xml:space="preserve"> </w:t>
      </w:r>
      <w:r>
        <w:rPr>
          <w:rFonts w:ascii="Times New Roman" w:hAnsi="Times New Roman" w:cs="Times New Roman"/>
          <w:spacing w:val="-3"/>
        </w:rPr>
        <w:t xml:space="preserve">is </w:t>
      </w:r>
      <w:r w:rsidR="003B535E">
        <w:rPr>
          <w:rFonts w:ascii="Times New Roman" w:hAnsi="Times New Roman" w:cs="Times New Roman"/>
          <w:spacing w:val="-3"/>
        </w:rPr>
        <w:t>denied</w:t>
      </w:r>
      <w:r>
        <w:rPr>
          <w:rFonts w:ascii="Times New Roman" w:hAnsi="Times New Roman" w:cs="Times New Roman"/>
          <w:spacing w:val="-3"/>
        </w:rPr>
        <w:t>;</w:t>
      </w:r>
      <w:r w:rsidR="00B22BA8">
        <w:rPr>
          <w:rFonts w:ascii="Times New Roman" w:hAnsi="Times New Roman" w:cs="Times New Roman"/>
          <w:spacing w:val="-3"/>
        </w:rPr>
        <w:t xml:space="preserve"> and</w:t>
      </w:r>
    </w:p>
    <w:p w:rsidR="00B22BA8" w:rsidRDefault="00B22BA8" w:rsidP="00B22BA8">
      <w:pPr>
        <w:pStyle w:val="ParaTab1"/>
        <w:spacing w:line="360" w:lineRule="auto"/>
        <w:ind w:left="1440" w:firstLine="0"/>
        <w:rPr>
          <w:rFonts w:ascii="Times New Roman" w:hAnsi="Times New Roman" w:cs="Times New Roman"/>
          <w:spacing w:val="-3"/>
        </w:rPr>
      </w:pPr>
    </w:p>
    <w:p w:rsidR="00B22BA8" w:rsidRDefault="00B22BA8" w:rsidP="00F220C6">
      <w:pPr>
        <w:pStyle w:val="ParaTab1"/>
        <w:numPr>
          <w:ilvl w:val="0"/>
          <w:numId w:val="1"/>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objections of PECO Energy Company and Exelon Corporation to </w:t>
      </w:r>
      <w:r>
        <w:rPr>
          <w:rFonts w:ascii="Times New Roman" w:hAnsi="Times New Roman" w:cs="Times New Roman"/>
        </w:rPr>
        <w:t xml:space="preserve">Written Interrogatories and Request for Production of Documents, Set I, Nos. 29-48 are sustained. </w:t>
      </w:r>
    </w:p>
    <w:p w:rsidR="00F220C6" w:rsidRDefault="00F220C6" w:rsidP="00F220C6">
      <w:pPr>
        <w:pStyle w:val="ParaTab1"/>
        <w:spacing w:line="360" w:lineRule="auto"/>
        <w:rPr>
          <w:rFonts w:ascii="Times New Roman" w:hAnsi="Times New Roman" w:cs="Times New Roman"/>
          <w:spacing w:val="-3"/>
        </w:rPr>
      </w:pPr>
    </w:p>
    <w:p w:rsidR="00F220C6" w:rsidRDefault="00F220C6" w:rsidP="00F220C6">
      <w:pPr>
        <w:pStyle w:val="ParaTab1"/>
        <w:spacing w:line="360" w:lineRule="auto"/>
        <w:rPr>
          <w:rFonts w:ascii="Times New Roman" w:hAnsi="Times New Roman" w:cs="Times New Roman"/>
          <w:spacing w:val="-3"/>
        </w:rPr>
      </w:pPr>
    </w:p>
    <w:p w:rsidR="00F220C6" w:rsidRDefault="003B535E" w:rsidP="00F220C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000D39B5" w:rsidRPr="000D39B5">
        <w:rPr>
          <w:rFonts w:ascii="Times New Roman" w:hAnsi="Times New Roman" w:cs="Times New Roman"/>
          <w:spacing w:val="-3"/>
          <w:u w:val="single"/>
        </w:rPr>
        <w:t>October 3</w:t>
      </w:r>
      <w:r w:rsidR="00F220C6" w:rsidRPr="000D39B5">
        <w:rPr>
          <w:rFonts w:ascii="Times New Roman" w:hAnsi="Times New Roman" w:cs="Times New Roman"/>
          <w:spacing w:val="-3"/>
          <w:u w:val="single"/>
        </w:rPr>
        <w:t>, 2017</w:t>
      </w:r>
      <w:r w:rsidR="00F220C6">
        <w:rPr>
          <w:rFonts w:ascii="Times New Roman" w:hAnsi="Times New Roman" w:cs="Times New Roman"/>
          <w:spacing w:val="-3"/>
        </w:rPr>
        <w:t xml:space="preserve">    </w:t>
      </w:r>
      <w:r w:rsidR="00F220C6">
        <w:rPr>
          <w:rFonts w:ascii="Times New Roman" w:hAnsi="Times New Roman" w:cs="Times New Roman"/>
          <w:spacing w:val="-3"/>
        </w:rPr>
        <w:tab/>
        <w:t>___________________________________</w:t>
      </w:r>
    </w:p>
    <w:p w:rsidR="00F220C6" w:rsidRDefault="00F220C6" w:rsidP="00F220C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Marta </w:t>
      </w:r>
      <w:proofErr w:type="spellStart"/>
      <w:r>
        <w:rPr>
          <w:rFonts w:ascii="Times New Roman" w:hAnsi="Times New Roman" w:cs="Times New Roman"/>
          <w:spacing w:val="-3"/>
        </w:rPr>
        <w:t>Guhl</w:t>
      </w:r>
      <w:proofErr w:type="spellEnd"/>
    </w:p>
    <w:p w:rsidR="00F220C6" w:rsidRDefault="00F220C6" w:rsidP="00F220C6">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Administrative Law Judge</w:t>
      </w:r>
    </w:p>
    <w:p w:rsidR="00AE2436" w:rsidRPr="00AE2436" w:rsidRDefault="00AE2436" w:rsidP="00AE2436">
      <w:pPr>
        <w:tabs>
          <w:tab w:val="left" w:pos="720"/>
          <w:tab w:val="center" w:pos="4320"/>
          <w:tab w:val="right" w:pos="8640"/>
        </w:tabs>
        <w:autoSpaceDE w:val="0"/>
        <w:autoSpaceDN w:val="0"/>
        <w:rPr>
          <w:rFonts w:ascii="Times New Roman Bold" w:eastAsia="Times New Roman" w:hAnsi="Times New Roman Bold" w:cs="CG Times"/>
          <w:b/>
          <w:caps/>
          <w:sz w:val="24"/>
          <w:szCs w:val="24"/>
          <w:u w:val="single"/>
        </w:rPr>
      </w:pPr>
      <w:r w:rsidRPr="00AE2436">
        <w:rPr>
          <w:rFonts w:ascii="Times New Roman Bold" w:eastAsia="Times New Roman" w:hAnsi="Times New Roman Bold" w:cs="Times New Roman"/>
          <w:b/>
          <w:caps/>
          <w:sz w:val="24"/>
          <w:szCs w:val="24"/>
          <w:u w:val="single"/>
        </w:rPr>
        <w:lastRenderedPageBreak/>
        <w:t xml:space="preserve">C-2008-2058320 Rama Construction, Inc. t/a Ramada Inn International Airport v. PECO Energy Company and Exelon Corporation </w:t>
      </w:r>
    </w:p>
    <w:p w:rsidR="00AE2436" w:rsidRPr="00AE2436" w:rsidRDefault="00AE2436" w:rsidP="00AE2436">
      <w:pPr>
        <w:tabs>
          <w:tab w:val="left" w:pos="720"/>
          <w:tab w:val="center" w:pos="4320"/>
          <w:tab w:val="right" w:pos="8640"/>
        </w:tabs>
        <w:autoSpaceDE w:val="0"/>
        <w:autoSpaceDN w:val="0"/>
        <w:spacing w:line="360" w:lineRule="auto"/>
        <w:jc w:val="center"/>
        <w:rPr>
          <w:rFonts w:ascii="CG Times" w:eastAsia="Times New Roman" w:hAnsi="CG Times" w:cs="CG Times"/>
          <w:b/>
          <w:sz w:val="24"/>
          <w:szCs w:val="24"/>
          <w:u w:val="single"/>
        </w:rPr>
      </w:pPr>
    </w:p>
    <w:p w:rsidR="00AE2436" w:rsidRPr="00AE2436" w:rsidRDefault="00AE2436" w:rsidP="00AE2436">
      <w:pPr>
        <w:tabs>
          <w:tab w:val="left" w:pos="720"/>
          <w:tab w:val="center" w:pos="4320"/>
          <w:tab w:val="right" w:pos="8640"/>
        </w:tabs>
        <w:autoSpaceDE w:val="0"/>
        <w:autoSpaceDN w:val="0"/>
        <w:jc w:val="center"/>
        <w:rPr>
          <w:rFonts w:ascii="CG Times" w:eastAsia="Times New Roman" w:hAnsi="CG Times" w:cs="CG Times"/>
          <w:b/>
          <w:sz w:val="24"/>
          <w:szCs w:val="24"/>
          <w:u w:val="single"/>
        </w:rPr>
      </w:pPr>
      <w:r w:rsidRPr="00AE2436">
        <w:rPr>
          <w:rFonts w:ascii="CG Times" w:eastAsia="Times New Roman" w:hAnsi="CG Times" w:cs="CG Times"/>
          <w:b/>
          <w:sz w:val="24"/>
          <w:szCs w:val="24"/>
          <w:u w:val="single"/>
        </w:rPr>
        <w:t>SERVICE LIST</w:t>
      </w:r>
    </w:p>
    <w:p w:rsidR="00AE2436" w:rsidRPr="00AE2436" w:rsidRDefault="00AE2436" w:rsidP="00AE2436">
      <w:pPr>
        <w:tabs>
          <w:tab w:val="left" w:pos="720"/>
          <w:tab w:val="center" w:pos="4320"/>
          <w:tab w:val="right" w:pos="8640"/>
        </w:tabs>
        <w:autoSpaceDE w:val="0"/>
        <w:autoSpaceDN w:val="0"/>
        <w:spacing w:line="360" w:lineRule="auto"/>
        <w:jc w:val="center"/>
        <w:rPr>
          <w:rFonts w:ascii="CG Times" w:eastAsia="Times New Roman" w:hAnsi="CG Times" w:cs="CG Times"/>
          <w:b/>
          <w:sz w:val="24"/>
          <w:szCs w:val="24"/>
          <w:u w:val="single"/>
        </w:rPr>
      </w:pPr>
    </w:p>
    <w:p w:rsidR="00AE2436" w:rsidRPr="00AE2436" w:rsidRDefault="00AE2436" w:rsidP="00AE2436">
      <w:pPr>
        <w:tabs>
          <w:tab w:val="left" w:pos="720"/>
          <w:tab w:val="center" w:pos="4320"/>
          <w:tab w:val="right" w:pos="8640"/>
        </w:tabs>
        <w:autoSpaceDE w:val="0"/>
        <w:autoSpaceDN w:val="0"/>
        <w:spacing w:line="360" w:lineRule="auto"/>
        <w:jc w:val="center"/>
        <w:rPr>
          <w:rFonts w:ascii="CG Times" w:eastAsia="Times New Roman" w:hAnsi="CG Times" w:cs="CG Times"/>
          <w:b/>
          <w:sz w:val="24"/>
          <w:szCs w:val="24"/>
          <w:u w:val="single"/>
        </w:rPr>
      </w:pPr>
    </w:p>
    <w:p w:rsidR="00AE2436" w:rsidRPr="00AE2436" w:rsidRDefault="00AE2436" w:rsidP="00AE2436">
      <w:pPr>
        <w:autoSpaceDE w:val="0"/>
        <w:autoSpaceDN w:val="0"/>
        <w:rPr>
          <w:rFonts w:ascii="CG Times" w:eastAsia="Times New Roman" w:hAnsi="CG Times" w:cs="CG Times"/>
          <w:caps/>
          <w:noProof/>
          <w:sz w:val="24"/>
          <w:szCs w:val="24"/>
        </w:rPr>
      </w:pPr>
      <w:r w:rsidRPr="00AE2436">
        <w:rPr>
          <w:rFonts w:ascii="CG Times" w:eastAsia="Times New Roman" w:hAnsi="CG Times" w:cs="CG Times"/>
          <w:caps/>
          <w:noProof/>
          <w:sz w:val="24"/>
          <w:szCs w:val="24"/>
        </w:rPr>
        <w:t>Paul A</w:t>
      </w:r>
      <w:r w:rsidRPr="00AE2436">
        <w:rPr>
          <w:rFonts w:ascii="CG Times" w:eastAsia="Times New Roman" w:hAnsi="CG Times" w:cs="CG Times"/>
          <w:caps/>
          <w:sz w:val="24"/>
          <w:szCs w:val="24"/>
        </w:rPr>
        <w:t xml:space="preserve"> </w:t>
      </w:r>
      <w:r w:rsidRPr="00AE2436">
        <w:rPr>
          <w:rFonts w:ascii="CG Times" w:eastAsia="Times New Roman" w:hAnsi="CG Times" w:cs="CG Times"/>
          <w:caps/>
          <w:noProof/>
          <w:sz w:val="24"/>
          <w:szCs w:val="24"/>
        </w:rPr>
        <w:t>Bucco</w:t>
      </w:r>
      <w:r w:rsidRPr="00AE2436">
        <w:rPr>
          <w:rFonts w:ascii="CG Times" w:eastAsia="Times New Roman" w:hAnsi="CG Times" w:cs="CG Times"/>
          <w:caps/>
          <w:sz w:val="24"/>
          <w:szCs w:val="24"/>
        </w:rPr>
        <w:t xml:space="preserve"> </w:t>
      </w:r>
      <w:r w:rsidRPr="00AE2436">
        <w:rPr>
          <w:rFonts w:ascii="CG Times" w:eastAsia="Times New Roman" w:hAnsi="CG Times" w:cs="CG Times"/>
          <w:caps/>
          <w:noProof/>
          <w:sz w:val="24"/>
          <w:szCs w:val="24"/>
        </w:rPr>
        <w:t>Esquire</w:t>
      </w:r>
    </w:p>
    <w:p w:rsidR="00AE2436" w:rsidRPr="00AE2436" w:rsidRDefault="00AE2436" w:rsidP="00AE2436">
      <w:pPr>
        <w:autoSpaceDE w:val="0"/>
        <w:autoSpaceDN w:val="0"/>
        <w:rPr>
          <w:rFonts w:ascii="CG Times" w:eastAsia="Times New Roman" w:hAnsi="CG Times" w:cs="CG Times"/>
          <w:caps/>
          <w:noProof/>
          <w:sz w:val="24"/>
          <w:szCs w:val="24"/>
        </w:rPr>
      </w:pPr>
      <w:r w:rsidRPr="00AE2436">
        <w:rPr>
          <w:rFonts w:ascii="CG Times" w:eastAsia="Times New Roman" w:hAnsi="CG Times" w:cs="CG Times"/>
          <w:caps/>
          <w:noProof/>
          <w:sz w:val="24"/>
          <w:szCs w:val="24"/>
        </w:rPr>
        <w:t>William D. oleckna esquire</w:t>
      </w:r>
    </w:p>
    <w:p w:rsidR="00AE2436" w:rsidRPr="00AE2436" w:rsidRDefault="00AE2436" w:rsidP="00AE2436">
      <w:pPr>
        <w:autoSpaceDE w:val="0"/>
        <w:autoSpaceDN w:val="0"/>
        <w:rPr>
          <w:rFonts w:ascii="CG Times" w:eastAsia="Times New Roman" w:hAnsi="CG Times" w:cs="CG Times"/>
          <w:caps/>
          <w:sz w:val="24"/>
          <w:szCs w:val="24"/>
        </w:rPr>
      </w:pPr>
      <w:r w:rsidRPr="00AE2436">
        <w:rPr>
          <w:rFonts w:ascii="CG Times" w:eastAsia="Times New Roman" w:hAnsi="CG Times" w:cs="CG Times"/>
          <w:caps/>
          <w:noProof/>
          <w:sz w:val="24"/>
          <w:szCs w:val="24"/>
        </w:rPr>
        <w:t>DAVIS BUCCO</w:t>
      </w:r>
    </w:p>
    <w:p w:rsidR="00AE2436" w:rsidRPr="00AE2436" w:rsidRDefault="00AE2436" w:rsidP="00AE2436">
      <w:pPr>
        <w:autoSpaceDE w:val="0"/>
        <w:autoSpaceDN w:val="0"/>
        <w:rPr>
          <w:rFonts w:ascii="CG Times" w:eastAsia="Times New Roman" w:hAnsi="CG Times" w:cs="CG Times"/>
          <w:caps/>
          <w:sz w:val="24"/>
          <w:szCs w:val="24"/>
        </w:rPr>
      </w:pPr>
      <w:r w:rsidRPr="00AE2436">
        <w:rPr>
          <w:rFonts w:ascii="CG Times" w:eastAsia="Times New Roman" w:hAnsi="CG Times" w:cs="CG Times"/>
          <w:caps/>
          <w:noProof/>
          <w:sz w:val="24"/>
          <w:szCs w:val="24"/>
        </w:rPr>
        <w:t>10 East 6th Avenue</w:t>
      </w:r>
    </w:p>
    <w:p w:rsidR="00AE2436" w:rsidRPr="00AE2436" w:rsidRDefault="00AE2436" w:rsidP="00AE2436">
      <w:pPr>
        <w:autoSpaceDE w:val="0"/>
        <w:autoSpaceDN w:val="0"/>
        <w:rPr>
          <w:rFonts w:ascii="CG Times" w:eastAsia="Times New Roman" w:hAnsi="CG Times" w:cs="CG Times"/>
          <w:caps/>
          <w:sz w:val="24"/>
          <w:szCs w:val="24"/>
        </w:rPr>
      </w:pPr>
      <w:smartTag w:uri="urn:schemas-microsoft-com:office:smarttags" w:element="address">
        <w:smartTag w:uri="urn:schemas-microsoft-com:office:smarttags" w:element="Street">
          <w:r w:rsidRPr="00AE2436">
            <w:rPr>
              <w:rFonts w:ascii="CG Times" w:eastAsia="Times New Roman" w:hAnsi="CG Times" w:cs="CG Times"/>
              <w:caps/>
              <w:noProof/>
              <w:sz w:val="24"/>
              <w:szCs w:val="24"/>
            </w:rPr>
            <w:t>Suite</w:t>
          </w:r>
        </w:smartTag>
        <w:r w:rsidRPr="00AE2436">
          <w:rPr>
            <w:rFonts w:ascii="CG Times" w:eastAsia="Times New Roman" w:hAnsi="CG Times" w:cs="CG Times"/>
            <w:caps/>
            <w:noProof/>
            <w:sz w:val="24"/>
            <w:szCs w:val="24"/>
          </w:rPr>
          <w:t xml:space="preserve"> 100</w:t>
        </w:r>
      </w:smartTag>
    </w:p>
    <w:p w:rsidR="00AE2436" w:rsidRPr="00AE2436" w:rsidRDefault="00AE2436" w:rsidP="00AE2436">
      <w:pPr>
        <w:autoSpaceDE w:val="0"/>
        <w:autoSpaceDN w:val="0"/>
        <w:rPr>
          <w:rFonts w:ascii="CG Times" w:eastAsia="Times New Roman" w:hAnsi="CG Times" w:cs="CG Times"/>
          <w:caps/>
          <w:sz w:val="24"/>
          <w:szCs w:val="24"/>
        </w:rPr>
      </w:pPr>
      <w:r w:rsidRPr="00AE2436">
        <w:rPr>
          <w:rFonts w:ascii="CG Times" w:eastAsia="Times New Roman" w:hAnsi="CG Times" w:cs="CG Times"/>
          <w:caps/>
          <w:noProof/>
          <w:sz w:val="24"/>
          <w:szCs w:val="24"/>
        </w:rPr>
        <w:t>Conshohocken</w:t>
      </w:r>
      <w:r w:rsidRPr="00AE2436">
        <w:rPr>
          <w:rFonts w:ascii="CG Times" w:eastAsia="Times New Roman" w:hAnsi="CG Times" w:cs="CG Times"/>
          <w:caps/>
          <w:sz w:val="24"/>
          <w:szCs w:val="24"/>
        </w:rPr>
        <w:t xml:space="preserve"> </w:t>
      </w:r>
      <w:r w:rsidRPr="00AE2436">
        <w:rPr>
          <w:rFonts w:ascii="CG Times" w:eastAsia="Times New Roman" w:hAnsi="CG Times" w:cs="CG Times"/>
          <w:caps/>
          <w:noProof/>
          <w:sz w:val="24"/>
          <w:szCs w:val="24"/>
        </w:rPr>
        <w:t>PA</w:t>
      </w:r>
      <w:r w:rsidRPr="00AE2436">
        <w:rPr>
          <w:rFonts w:ascii="CG Times" w:eastAsia="Times New Roman" w:hAnsi="CG Times" w:cs="CG Times"/>
          <w:caps/>
          <w:sz w:val="24"/>
          <w:szCs w:val="24"/>
        </w:rPr>
        <w:t xml:space="preserve"> </w:t>
      </w:r>
      <w:r w:rsidRPr="00AE2436">
        <w:rPr>
          <w:rFonts w:ascii="CG Times" w:eastAsia="Times New Roman" w:hAnsi="CG Times" w:cs="CG Times"/>
          <w:caps/>
          <w:noProof/>
          <w:sz w:val="24"/>
          <w:szCs w:val="24"/>
        </w:rPr>
        <w:t>19428</w:t>
      </w:r>
    </w:p>
    <w:p w:rsidR="00AE2436" w:rsidRPr="00AE2436" w:rsidRDefault="00AE2436" w:rsidP="00AE2436">
      <w:pPr>
        <w:autoSpaceDE w:val="0"/>
        <w:autoSpaceDN w:val="0"/>
        <w:rPr>
          <w:rFonts w:ascii="CG Times" w:eastAsia="Times New Roman" w:hAnsi="CG Times" w:cs="CG Times"/>
          <w:b/>
          <w:caps/>
          <w:sz w:val="24"/>
          <w:szCs w:val="24"/>
          <w:u w:val="single"/>
        </w:rPr>
      </w:pPr>
      <w:r w:rsidRPr="00AE2436">
        <w:rPr>
          <w:rFonts w:ascii="CG Times" w:eastAsia="Times New Roman" w:hAnsi="CG Times" w:cs="CG Times"/>
          <w:b/>
          <w:caps/>
          <w:noProof/>
          <w:sz w:val="24"/>
          <w:szCs w:val="24"/>
        </w:rPr>
        <w:t>610.238.0880</w:t>
      </w:r>
    </w:p>
    <w:p w:rsidR="00AE2436" w:rsidRPr="00AE2436" w:rsidRDefault="00AE2436" w:rsidP="00AE2436">
      <w:pPr>
        <w:autoSpaceDE w:val="0"/>
        <w:autoSpaceDN w:val="0"/>
        <w:rPr>
          <w:rFonts w:ascii="CG Times" w:eastAsia="Times New Roman" w:hAnsi="CG Times" w:cs="CG Times"/>
          <w:i/>
          <w:sz w:val="24"/>
          <w:szCs w:val="24"/>
        </w:rPr>
      </w:pPr>
      <w:r w:rsidRPr="00AE2436">
        <w:rPr>
          <w:rFonts w:ascii="CG Times" w:eastAsia="Times New Roman" w:hAnsi="CG Times" w:cs="CG Times"/>
          <w:i/>
          <w:noProof/>
          <w:sz w:val="24"/>
          <w:szCs w:val="24"/>
        </w:rPr>
        <w:t xml:space="preserve">Representing </w:t>
      </w:r>
      <w:r w:rsidRPr="00AE2436">
        <w:rPr>
          <w:rFonts w:ascii="Times New Roman" w:eastAsia="Times New Roman" w:hAnsi="Times New Roman" w:cs="Times New Roman"/>
          <w:i/>
          <w:sz w:val="24"/>
          <w:szCs w:val="24"/>
        </w:rPr>
        <w:t>Rama Construction, Inc. t/a Ramada Inn International Airport</w:t>
      </w:r>
    </w:p>
    <w:p w:rsidR="00AE2436" w:rsidRPr="00AE2436" w:rsidRDefault="00AE2436" w:rsidP="00AE2436">
      <w:pPr>
        <w:autoSpaceDE w:val="0"/>
        <w:autoSpaceDN w:val="0"/>
        <w:spacing w:line="360" w:lineRule="auto"/>
        <w:rPr>
          <w:rFonts w:ascii="CG Times" w:eastAsia="Times New Roman" w:hAnsi="CG Times" w:cs="CG Times"/>
          <w:caps/>
          <w:noProof/>
          <w:sz w:val="24"/>
          <w:szCs w:val="24"/>
        </w:rPr>
      </w:pPr>
    </w:p>
    <w:p w:rsidR="00AE2436" w:rsidRPr="00AE2436" w:rsidRDefault="00AE2436" w:rsidP="00AE2436">
      <w:pPr>
        <w:autoSpaceDE w:val="0"/>
        <w:autoSpaceDN w:val="0"/>
        <w:rPr>
          <w:rFonts w:ascii="CG Times" w:eastAsia="Times New Roman" w:hAnsi="CG Times" w:cs="CG Times"/>
          <w:caps/>
          <w:sz w:val="24"/>
          <w:szCs w:val="24"/>
        </w:rPr>
      </w:pPr>
      <w:r w:rsidRPr="00AE2436">
        <w:rPr>
          <w:rFonts w:ascii="CG Times" w:eastAsia="Times New Roman" w:hAnsi="CG Times" w:cs="CG Times"/>
          <w:caps/>
          <w:noProof/>
          <w:sz w:val="24"/>
          <w:szCs w:val="24"/>
        </w:rPr>
        <w:t>Ward L.</w:t>
      </w:r>
      <w:r w:rsidRPr="00AE2436">
        <w:rPr>
          <w:rFonts w:ascii="CG Times" w:eastAsia="Times New Roman" w:hAnsi="CG Times" w:cs="CG Times"/>
          <w:caps/>
          <w:sz w:val="24"/>
          <w:szCs w:val="24"/>
        </w:rPr>
        <w:t xml:space="preserve"> </w:t>
      </w:r>
      <w:r w:rsidRPr="00AE2436">
        <w:rPr>
          <w:rFonts w:ascii="CG Times" w:eastAsia="Times New Roman" w:hAnsi="CG Times" w:cs="CG Times"/>
          <w:caps/>
          <w:noProof/>
          <w:sz w:val="24"/>
          <w:szCs w:val="24"/>
        </w:rPr>
        <w:t>Smith</w:t>
      </w:r>
      <w:r w:rsidRPr="00AE2436">
        <w:rPr>
          <w:rFonts w:ascii="CG Times" w:eastAsia="Times New Roman" w:hAnsi="CG Times" w:cs="CG Times"/>
          <w:caps/>
          <w:sz w:val="24"/>
          <w:szCs w:val="24"/>
        </w:rPr>
        <w:t xml:space="preserve"> </w:t>
      </w:r>
      <w:r w:rsidRPr="00AE2436">
        <w:rPr>
          <w:rFonts w:ascii="CG Times" w:eastAsia="Times New Roman" w:hAnsi="CG Times" w:cs="CG Times"/>
          <w:caps/>
          <w:noProof/>
          <w:sz w:val="24"/>
          <w:szCs w:val="24"/>
        </w:rPr>
        <w:t>Esquire</w:t>
      </w:r>
    </w:p>
    <w:p w:rsidR="00AE2436" w:rsidRPr="00AE2436" w:rsidRDefault="00AE2436" w:rsidP="00AE2436">
      <w:pPr>
        <w:autoSpaceDE w:val="0"/>
        <w:autoSpaceDN w:val="0"/>
        <w:rPr>
          <w:rFonts w:ascii="CG Times" w:eastAsia="Times New Roman" w:hAnsi="CG Times" w:cs="CG Times"/>
          <w:caps/>
          <w:noProof/>
          <w:sz w:val="24"/>
          <w:szCs w:val="24"/>
        </w:rPr>
      </w:pPr>
      <w:r w:rsidRPr="00AE2436">
        <w:rPr>
          <w:rFonts w:ascii="CG Times" w:eastAsia="Times New Roman" w:hAnsi="CG Times" w:cs="CG Times"/>
          <w:caps/>
          <w:noProof/>
          <w:sz w:val="24"/>
          <w:szCs w:val="24"/>
        </w:rPr>
        <w:t>EXELON BUSINESS SERVICES COMPANY</w:t>
      </w:r>
    </w:p>
    <w:p w:rsidR="00AE2436" w:rsidRPr="00AE2436" w:rsidRDefault="00AE2436" w:rsidP="00AE2436">
      <w:pPr>
        <w:autoSpaceDE w:val="0"/>
        <w:autoSpaceDN w:val="0"/>
        <w:rPr>
          <w:rFonts w:ascii="CG Times" w:eastAsia="Times New Roman" w:hAnsi="CG Times" w:cs="CG Times"/>
          <w:caps/>
          <w:sz w:val="24"/>
          <w:szCs w:val="24"/>
        </w:rPr>
      </w:pPr>
      <w:r w:rsidRPr="00AE2436">
        <w:rPr>
          <w:rFonts w:ascii="CG Times" w:eastAsia="Times New Roman" w:hAnsi="CG Times" w:cs="CG Times"/>
          <w:caps/>
          <w:noProof/>
          <w:sz w:val="24"/>
          <w:szCs w:val="24"/>
        </w:rPr>
        <w:t>2301 Market Street / S23-1</w:t>
      </w:r>
    </w:p>
    <w:p w:rsidR="00AE2436" w:rsidRPr="00AE2436" w:rsidRDefault="00AE2436" w:rsidP="00AE2436">
      <w:pPr>
        <w:autoSpaceDE w:val="0"/>
        <w:autoSpaceDN w:val="0"/>
        <w:rPr>
          <w:rFonts w:ascii="CG Times" w:eastAsia="Times New Roman" w:hAnsi="CG Times" w:cs="CG Times"/>
          <w:caps/>
          <w:sz w:val="24"/>
          <w:szCs w:val="24"/>
        </w:rPr>
      </w:pPr>
      <w:smartTag w:uri="urn:schemas-microsoft-com:office:smarttags" w:element="place">
        <w:r w:rsidRPr="00AE2436">
          <w:rPr>
            <w:rFonts w:ascii="CG Times" w:eastAsia="Times New Roman" w:hAnsi="CG Times" w:cs="CG Times"/>
            <w:caps/>
            <w:noProof/>
            <w:sz w:val="24"/>
            <w:szCs w:val="24"/>
          </w:rPr>
          <w:t>PO</w:t>
        </w:r>
      </w:smartTag>
      <w:r w:rsidRPr="00AE2436">
        <w:rPr>
          <w:rFonts w:ascii="CG Times" w:eastAsia="Times New Roman" w:hAnsi="CG Times" w:cs="CG Times"/>
          <w:caps/>
          <w:noProof/>
          <w:sz w:val="24"/>
          <w:szCs w:val="24"/>
        </w:rPr>
        <w:t xml:space="preserve"> </w:t>
      </w:r>
      <w:smartTag w:uri="urn:schemas-microsoft-com:office:smarttags" w:element="address">
        <w:smartTag w:uri="urn:schemas-microsoft-com:office:smarttags" w:element="Street">
          <w:r w:rsidRPr="00AE2436">
            <w:rPr>
              <w:rFonts w:ascii="CG Times" w:eastAsia="Times New Roman" w:hAnsi="CG Times" w:cs="CG Times"/>
              <w:caps/>
              <w:noProof/>
              <w:sz w:val="24"/>
              <w:szCs w:val="24"/>
            </w:rPr>
            <w:t>Box</w:t>
          </w:r>
        </w:smartTag>
        <w:r w:rsidRPr="00AE2436">
          <w:rPr>
            <w:rFonts w:ascii="CG Times" w:eastAsia="Times New Roman" w:hAnsi="CG Times" w:cs="CG Times"/>
            <w:caps/>
            <w:noProof/>
            <w:sz w:val="24"/>
            <w:szCs w:val="24"/>
          </w:rPr>
          <w:t xml:space="preserve"> 8699</w:t>
        </w:r>
      </w:smartTag>
    </w:p>
    <w:p w:rsidR="00AE2436" w:rsidRPr="00AE2436" w:rsidRDefault="00AE2436" w:rsidP="00AE2436">
      <w:pPr>
        <w:autoSpaceDE w:val="0"/>
        <w:autoSpaceDN w:val="0"/>
        <w:rPr>
          <w:rFonts w:ascii="CG Times" w:eastAsia="Times New Roman" w:hAnsi="CG Times" w:cs="CG Times"/>
          <w:caps/>
          <w:sz w:val="24"/>
          <w:szCs w:val="24"/>
        </w:rPr>
      </w:pPr>
      <w:r w:rsidRPr="00AE2436">
        <w:rPr>
          <w:rFonts w:ascii="CG Times" w:eastAsia="Times New Roman" w:hAnsi="CG Times" w:cs="CG Times"/>
          <w:caps/>
          <w:noProof/>
          <w:sz w:val="24"/>
          <w:szCs w:val="24"/>
        </w:rPr>
        <w:t>Philadelphia</w:t>
      </w:r>
      <w:r w:rsidRPr="00AE2436">
        <w:rPr>
          <w:rFonts w:ascii="CG Times" w:eastAsia="Times New Roman" w:hAnsi="CG Times" w:cs="CG Times"/>
          <w:caps/>
          <w:sz w:val="24"/>
          <w:szCs w:val="24"/>
        </w:rPr>
        <w:t xml:space="preserve"> </w:t>
      </w:r>
      <w:r w:rsidRPr="00AE2436">
        <w:rPr>
          <w:rFonts w:ascii="CG Times" w:eastAsia="Times New Roman" w:hAnsi="CG Times" w:cs="CG Times"/>
          <w:caps/>
          <w:noProof/>
          <w:sz w:val="24"/>
          <w:szCs w:val="24"/>
        </w:rPr>
        <w:t>PA</w:t>
      </w:r>
      <w:r w:rsidRPr="00AE2436">
        <w:rPr>
          <w:rFonts w:ascii="CG Times" w:eastAsia="Times New Roman" w:hAnsi="CG Times" w:cs="CG Times"/>
          <w:caps/>
          <w:sz w:val="24"/>
          <w:szCs w:val="24"/>
        </w:rPr>
        <w:t xml:space="preserve"> </w:t>
      </w:r>
      <w:r w:rsidRPr="00AE2436">
        <w:rPr>
          <w:rFonts w:ascii="CG Times" w:eastAsia="Times New Roman" w:hAnsi="CG Times" w:cs="CG Times"/>
          <w:caps/>
          <w:noProof/>
          <w:sz w:val="24"/>
          <w:szCs w:val="24"/>
        </w:rPr>
        <w:t>19101-8699</w:t>
      </w:r>
    </w:p>
    <w:p w:rsidR="00AE2436" w:rsidRPr="00AE2436" w:rsidRDefault="00AE2436" w:rsidP="00AE2436">
      <w:pPr>
        <w:autoSpaceDE w:val="0"/>
        <w:autoSpaceDN w:val="0"/>
        <w:rPr>
          <w:rFonts w:ascii="CG Times" w:eastAsia="Times New Roman" w:hAnsi="CG Times" w:cs="CG Times"/>
          <w:b/>
          <w:caps/>
          <w:noProof/>
          <w:sz w:val="24"/>
          <w:szCs w:val="24"/>
        </w:rPr>
      </w:pPr>
      <w:r w:rsidRPr="00AE2436">
        <w:rPr>
          <w:rFonts w:ascii="CG Times" w:eastAsia="Times New Roman" w:hAnsi="CG Times" w:cs="CG Times"/>
          <w:b/>
          <w:caps/>
          <w:noProof/>
          <w:sz w:val="24"/>
          <w:szCs w:val="24"/>
        </w:rPr>
        <w:t>215.841.6863</w:t>
      </w:r>
    </w:p>
    <w:p w:rsidR="00AE2436" w:rsidRPr="00AE2436" w:rsidRDefault="00AE2436" w:rsidP="00AE2436">
      <w:pPr>
        <w:autoSpaceDE w:val="0"/>
        <w:autoSpaceDN w:val="0"/>
        <w:rPr>
          <w:rFonts w:ascii="CG Times" w:eastAsia="Times New Roman" w:hAnsi="CG Times" w:cs="CG Times"/>
          <w:i/>
          <w:noProof/>
          <w:sz w:val="24"/>
          <w:szCs w:val="24"/>
        </w:rPr>
      </w:pPr>
      <w:r w:rsidRPr="00AE2436">
        <w:rPr>
          <w:rFonts w:ascii="CG Times" w:eastAsia="Times New Roman" w:hAnsi="CG Times" w:cs="CG Times"/>
          <w:i/>
          <w:noProof/>
          <w:sz w:val="24"/>
          <w:szCs w:val="24"/>
        </w:rPr>
        <w:t>E-served</w:t>
      </w:r>
    </w:p>
    <w:p w:rsidR="00AE2436" w:rsidRPr="00AE2436" w:rsidRDefault="00AE2436" w:rsidP="00AE2436">
      <w:pPr>
        <w:autoSpaceDE w:val="0"/>
        <w:autoSpaceDN w:val="0"/>
        <w:rPr>
          <w:rFonts w:ascii="CG Times" w:eastAsia="Times New Roman" w:hAnsi="CG Times" w:cs="CG Times"/>
          <w:i/>
          <w:sz w:val="24"/>
          <w:szCs w:val="24"/>
        </w:rPr>
      </w:pPr>
      <w:r w:rsidRPr="00AE2436">
        <w:rPr>
          <w:rFonts w:ascii="CG Times" w:eastAsia="Times New Roman" w:hAnsi="CG Times" w:cs="CG Times"/>
          <w:i/>
          <w:noProof/>
          <w:sz w:val="24"/>
          <w:szCs w:val="24"/>
        </w:rPr>
        <w:t>Representing PECO Energy Company</w:t>
      </w:r>
    </w:p>
    <w:p w:rsidR="00AE2436" w:rsidRDefault="00AE2436" w:rsidP="00F220C6">
      <w:pPr>
        <w:pStyle w:val="ParaTab1"/>
        <w:tabs>
          <w:tab w:val="clear" w:pos="-720"/>
          <w:tab w:val="left" w:pos="720"/>
          <w:tab w:val="left" w:pos="5040"/>
        </w:tabs>
        <w:ind w:firstLine="0"/>
        <w:rPr>
          <w:rFonts w:ascii="Times New Roman" w:hAnsi="Times New Roman" w:cs="Times New Roman"/>
        </w:rPr>
      </w:pPr>
    </w:p>
    <w:sectPr w:rsidR="00AE2436" w:rsidSect="000D39B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DD" w:rsidRDefault="002A16DD" w:rsidP="00A92356">
      <w:r>
        <w:separator/>
      </w:r>
    </w:p>
  </w:endnote>
  <w:endnote w:type="continuationSeparator" w:id="0">
    <w:p w:rsidR="002A16DD" w:rsidRDefault="002A16DD" w:rsidP="00A9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102161"/>
      <w:docPartObj>
        <w:docPartGallery w:val="Page Numbers (Bottom of Page)"/>
        <w:docPartUnique/>
      </w:docPartObj>
    </w:sdtPr>
    <w:sdtEndPr>
      <w:rPr>
        <w:rFonts w:ascii="Times New Roman" w:hAnsi="Times New Roman" w:cs="Times New Roman"/>
        <w:noProof/>
        <w:sz w:val="20"/>
        <w:szCs w:val="20"/>
      </w:rPr>
    </w:sdtEndPr>
    <w:sdtContent>
      <w:p w:rsidR="000D39B5" w:rsidRPr="000D39B5" w:rsidRDefault="000D39B5">
        <w:pPr>
          <w:pStyle w:val="Footer"/>
          <w:jc w:val="center"/>
          <w:rPr>
            <w:rFonts w:ascii="Times New Roman" w:hAnsi="Times New Roman" w:cs="Times New Roman"/>
            <w:sz w:val="20"/>
            <w:szCs w:val="20"/>
          </w:rPr>
        </w:pPr>
        <w:r w:rsidRPr="000D39B5">
          <w:rPr>
            <w:rFonts w:ascii="Times New Roman" w:hAnsi="Times New Roman" w:cs="Times New Roman"/>
            <w:sz w:val="20"/>
            <w:szCs w:val="20"/>
          </w:rPr>
          <w:fldChar w:fldCharType="begin"/>
        </w:r>
        <w:r w:rsidRPr="000D39B5">
          <w:rPr>
            <w:rFonts w:ascii="Times New Roman" w:hAnsi="Times New Roman" w:cs="Times New Roman"/>
            <w:sz w:val="20"/>
            <w:szCs w:val="20"/>
          </w:rPr>
          <w:instrText xml:space="preserve"> PAGE   \* MERGEFORMAT </w:instrText>
        </w:r>
        <w:r w:rsidRPr="000D39B5">
          <w:rPr>
            <w:rFonts w:ascii="Times New Roman" w:hAnsi="Times New Roman" w:cs="Times New Roman"/>
            <w:sz w:val="20"/>
            <w:szCs w:val="20"/>
          </w:rPr>
          <w:fldChar w:fldCharType="separate"/>
        </w:r>
        <w:r w:rsidR="00B9527A">
          <w:rPr>
            <w:rFonts w:ascii="Times New Roman" w:hAnsi="Times New Roman" w:cs="Times New Roman"/>
            <w:noProof/>
            <w:sz w:val="20"/>
            <w:szCs w:val="20"/>
          </w:rPr>
          <w:t>7</w:t>
        </w:r>
        <w:r w:rsidRPr="000D39B5">
          <w:rPr>
            <w:rFonts w:ascii="Times New Roman" w:hAnsi="Times New Roman" w:cs="Times New Roman"/>
            <w:noProof/>
            <w:sz w:val="20"/>
            <w:szCs w:val="20"/>
          </w:rPr>
          <w:fldChar w:fldCharType="end"/>
        </w:r>
      </w:p>
    </w:sdtContent>
  </w:sdt>
  <w:p w:rsidR="000D39B5" w:rsidRDefault="000D3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DD" w:rsidRDefault="002A16DD" w:rsidP="00A92356">
      <w:r>
        <w:separator/>
      </w:r>
    </w:p>
  </w:footnote>
  <w:footnote w:type="continuationSeparator" w:id="0">
    <w:p w:rsidR="002A16DD" w:rsidRDefault="002A16DD" w:rsidP="00A92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757C6"/>
    <w:multiLevelType w:val="hybridMultilevel"/>
    <w:tmpl w:val="03EA7C3E"/>
    <w:lvl w:ilvl="0" w:tplc="35347F68">
      <w:start w:val="2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B67C74"/>
    <w:multiLevelType w:val="hybridMultilevel"/>
    <w:tmpl w:val="8080114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C6"/>
    <w:rsid w:val="000D39B5"/>
    <w:rsid w:val="001031AB"/>
    <w:rsid w:val="001E327D"/>
    <w:rsid w:val="002A16DD"/>
    <w:rsid w:val="002A46AD"/>
    <w:rsid w:val="002F2AB3"/>
    <w:rsid w:val="003B535E"/>
    <w:rsid w:val="00615DCE"/>
    <w:rsid w:val="00621523"/>
    <w:rsid w:val="006A2878"/>
    <w:rsid w:val="00701326"/>
    <w:rsid w:val="00744216"/>
    <w:rsid w:val="00795884"/>
    <w:rsid w:val="00854814"/>
    <w:rsid w:val="00967C5E"/>
    <w:rsid w:val="00A92356"/>
    <w:rsid w:val="00AB08D6"/>
    <w:rsid w:val="00AE2436"/>
    <w:rsid w:val="00B22BA8"/>
    <w:rsid w:val="00B335EB"/>
    <w:rsid w:val="00B76399"/>
    <w:rsid w:val="00B85AA7"/>
    <w:rsid w:val="00B9527A"/>
    <w:rsid w:val="00C92B84"/>
    <w:rsid w:val="00EF38E0"/>
    <w:rsid w:val="00F220C6"/>
    <w:rsid w:val="00F7064B"/>
    <w:rsid w:val="00FB1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F4B7400"/>
  <w15:chartTrackingRefBased/>
  <w15:docId w15:val="{B9221B18-065D-4D35-A8EA-C1CD51C1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220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20C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220C6"/>
    <w:pPr>
      <w:ind w:left="720"/>
      <w:contextualSpacing/>
    </w:pPr>
    <w:rPr>
      <w:rFonts w:ascii="Times New Roman" w:eastAsia="Times New Roman" w:hAnsi="Times New Roman" w:cs="Times New Roman"/>
      <w:sz w:val="24"/>
      <w:szCs w:val="24"/>
    </w:rPr>
  </w:style>
  <w:style w:type="paragraph" w:customStyle="1" w:styleId="ParaTab1">
    <w:name w:val="ParaTab 1"/>
    <w:uiPriority w:val="99"/>
    <w:semiHidden/>
    <w:rsid w:val="00F220C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A92356"/>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92356"/>
    <w:rPr>
      <w:sz w:val="20"/>
      <w:szCs w:val="20"/>
    </w:rPr>
  </w:style>
  <w:style w:type="character" w:styleId="FootnoteReference">
    <w:name w:val="footnote reference"/>
    <w:basedOn w:val="DefaultParagraphFont"/>
    <w:uiPriority w:val="99"/>
    <w:semiHidden/>
    <w:unhideWhenUsed/>
    <w:rsid w:val="00A92356"/>
    <w:rPr>
      <w:vertAlign w:val="superscript"/>
    </w:rPr>
  </w:style>
  <w:style w:type="paragraph" w:styleId="Title">
    <w:name w:val="Title"/>
    <w:basedOn w:val="Normal"/>
    <w:link w:val="TitleChar"/>
    <w:qFormat/>
    <w:rsid w:val="00B335EB"/>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335EB"/>
    <w:rPr>
      <w:rFonts w:ascii="Times New Roman" w:eastAsia="Times New Roman" w:hAnsi="Times New Roman" w:cs="Times New Roman"/>
      <w:b/>
      <w:bCs/>
      <w:sz w:val="24"/>
      <w:szCs w:val="24"/>
    </w:rPr>
  </w:style>
  <w:style w:type="paragraph" w:styleId="NoSpacing">
    <w:name w:val="No Spacing"/>
    <w:uiPriority w:val="1"/>
    <w:qFormat/>
    <w:rsid w:val="00B85AA7"/>
    <w:pPr>
      <w:spacing w:after="0" w:line="240" w:lineRule="auto"/>
    </w:pPr>
    <w:rPr>
      <w:rFonts w:ascii="Calibri" w:hAnsi="Calibri" w:cs="Calibri"/>
    </w:rPr>
  </w:style>
  <w:style w:type="paragraph" w:styleId="Header">
    <w:name w:val="header"/>
    <w:basedOn w:val="Normal"/>
    <w:link w:val="HeaderChar"/>
    <w:uiPriority w:val="99"/>
    <w:unhideWhenUsed/>
    <w:rsid w:val="000D39B5"/>
    <w:pPr>
      <w:tabs>
        <w:tab w:val="center" w:pos="4680"/>
        <w:tab w:val="right" w:pos="9360"/>
      </w:tabs>
    </w:pPr>
  </w:style>
  <w:style w:type="character" w:customStyle="1" w:styleId="HeaderChar">
    <w:name w:val="Header Char"/>
    <w:basedOn w:val="DefaultParagraphFont"/>
    <w:link w:val="Header"/>
    <w:uiPriority w:val="99"/>
    <w:rsid w:val="000D39B5"/>
    <w:rPr>
      <w:rFonts w:ascii="Calibri" w:hAnsi="Calibri" w:cs="Calibri"/>
    </w:rPr>
  </w:style>
  <w:style w:type="paragraph" w:styleId="Footer">
    <w:name w:val="footer"/>
    <w:basedOn w:val="Normal"/>
    <w:link w:val="FooterChar"/>
    <w:uiPriority w:val="99"/>
    <w:unhideWhenUsed/>
    <w:rsid w:val="000D39B5"/>
    <w:pPr>
      <w:tabs>
        <w:tab w:val="center" w:pos="4680"/>
        <w:tab w:val="right" w:pos="9360"/>
      </w:tabs>
    </w:pPr>
  </w:style>
  <w:style w:type="character" w:customStyle="1" w:styleId="FooterChar">
    <w:name w:val="Footer Char"/>
    <w:basedOn w:val="DefaultParagraphFont"/>
    <w:link w:val="Footer"/>
    <w:uiPriority w:val="99"/>
    <w:rsid w:val="000D39B5"/>
    <w:rPr>
      <w:rFonts w:ascii="Calibri" w:hAnsi="Calibri" w:cs="Calibri"/>
    </w:rPr>
  </w:style>
  <w:style w:type="paragraph" w:styleId="BalloonText">
    <w:name w:val="Balloon Text"/>
    <w:basedOn w:val="Normal"/>
    <w:link w:val="BalloonTextChar"/>
    <w:uiPriority w:val="99"/>
    <w:semiHidden/>
    <w:unhideWhenUsed/>
    <w:rsid w:val="00AE2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8593">
      <w:bodyDiv w:val="1"/>
      <w:marLeft w:val="0"/>
      <w:marRight w:val="0"/>
      <w:marTop w:val="0"/>
      <w:marBottom w:val="0"/>
      <w:divBdr>
        <w:top w:val="none" w:sz="0" w:space="0" w:color="auto"/>
        <w:left w:val="none" w:sz="0" w:space="0" w:color="auto"/>
        <w:bottom w:val="none" w:sz="0" w:space="0" w:color="auto"/>
        <w:right w:val="none" w:sz="0" w:space="0" w:color="auto"/>
      </w:divBdr>
    </w:div>
    <w:div w:id="482280423">
      <w:bodyDiv w:val="1"/>
      <w:marLeft w:val="0"/>
      <w:marRight w:val="0"/>
      <w:marTop w:val="0"/>
      <w:marBottom w:val="0"/>
      <w:divBdr>
        <w:top w:val="none" w:sz="0" w:space="0" w:color="auto"/>
        <w:left w:val="none" w:sz="0" w:space="0" w:color="auto"/>
        <w:bottom w:val="none" w:sz="0" w:space="0" w:color="auto"/>
        <w:right w:val="none" w:sz="0" w:space="0" w:color="auto"/>
      </w:divBdr>
    </w:div>
    <w:div w:id="789936014">
      <w:bodyDiv w:val="1"/>
      <w:marLeft w:val="0"/>
      <w:marRight w:val="0"/>
      <w:marTop w:val="0"/>
      <w:marBottom w:val="0"/>
      <w:divBdr>
        <w:top w:val="none" w:sz="0" w:space="0" w:color="auto"/>
        <w:left w:val="none" w:sz="0" w:space="0" w:color="auto"/>
        <w:bottom w:val="none" w:sz="0" w:space="0" w:color="auto"/>
        <w:right w:val="none" w:sz="0" w:space="0" w:color="auto"/>
      </w:divBdr>
    </w:div>
    <w:div w:id="806358131">
      <w:bodyDiv w:val="1"/>
      <w:marLeft w:val="0"/>
      <w:marRight w:val="0"/>
      <w:marTop w:val="0"/>
      <w:marBottom w:val="0"/>
      <w:divBdr>
        <w:top w:val="none" w:sz="0" w:space="0" w:color="auto"/>
        <w:left w:val="none" w:sz="0" w:space="0" w:color="auto"/>
        <w:bottom w:val="none" w:sz="0" w:space="0" w:color="auto"/>
        <w:right w:val="none" w:sz="0" w:space="0" w:color="auto"/>
      </w:divBdr>
    </w:div>
    <w:div w:id="1030761289">
      <w:bodyDiv w:val="1"/>
      <w:marLeft w:val="0"/>
      <w:marRight w:val="0"/>
      <w:marTop w:val="0"/>
      <w:marBottom w:val="0"/>
      <w:divBdr>
        <w:top w:val="none" w:sz="0" w:space="0" w:color="auto"/>
        <w:left w:val="none" w:sz="0" w:space="0" w:color="auto"/>
        <w:bottom w:val="none" w:sz="0" w:space="0" w:color="auto"/>
        <w:right w:val="none" w:sz="0" w:space="0" w:color="auto"/>
      </w:divBdr>
    </w:div>
    <w:div w:id="1134327049">
      <w:bodyDiv w:val="1"/>
      <w:marLeft w:val="0"/>
      <w:marRight w:val="0"/>
      <w:marTop w:val="0"/>
      <w:marBottom w:val="0"/>
      <w:divBdr>
        <w:top w:val="none" w:sz="0" w:space="0" w:color="auto"/>
        <w:left w:val="none" w:sz="0" w:space="0" w:color="auto"/>
        <w:bottom w:val="none" w:sz="0" w:space="0" w:color="auto"/>
        <w:right w:val="none" w:sz="0" w:space="0" w:color="auto"/>
      </w:divBdr>
    </w:div>
    <w:div w:id="1416394210">
      <w:bodyDiv w:val="1"/>
      <w:marLeft w:val="0"/>
      <w:marRight w:val="0"/>
      <w:marTop w:val="0"/>
      <w:marBottom w:val="0"/>
      <w:divBdr>
        <w:top w:val="none" w:sz="0" w:space="0" w:color="auto"/>
        <w:left w:val="none" w:sz="0" w:space="0" w:color="auto"/>
        <w:bottom w:val="none" w:sz="0" w:space="0" w:color="auto"/>
        <w:right w:val="none" w:sz="0" w:space="0" w:color="auto"/>
      </w:divBdr>
    </w:div>
    <w:div w:id="16896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D414E-F3EF-4CFC-A090-BCE3B04F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2</cp:revision>
  <cp:lastPrinted>2017-10-03T19:57:00Z</cp:lastPrinted>
  <dcterms:created xsi:type="dcterms:W3CDTF">2017-10-03T19:59:00Z</dcterms:created>
  <dcterms:modified xsi:type="dcterms:W3CDTF">2017-10-03T19:59:00Z</dcterms:modified>
</cp:coreProperties>
</file>