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A0A" w:rsidRDefault="00222A0A" w:rsidP="00295CBB">
      <w:pPr>
        <w:widowControl/>
        <w:tabs>
          <w:tab w:val="center" w:pos="4680"/>
        </w:tabs>
        <w:jc w:val="center"/>
        <w:rPr>
          <w:b/>
          <w:sz w:val="26"/>
          <w:szCs w:val="26"/>
        </w:rPr>
      </w:pPr>
      <w:r>
        <w:rPr>
          <w:b/>
          <w:sz w:val="26"/>
          <w:szCs w:val="26"/>
        </w:rPr>
        <w:t>PENNSYLVANIA</w:t>
      </w:r>
    </w:p>
    <w:p w:rsidR="00222A0A" w:rsidRDefault="00222A0A" w:rsidP="00295CBB">
      <w:pPr>
        <w:widowControl/>
        <w:tabs>
          <w:tab w:val="center" w:pos="4680"/>
        </w:tabs>
        <w:jc w:val="center"/>
        <w:rPr>
          <w:sz w:val="26"/>
          <w:szCs w:val="26"/>
        </w:rPr>
      </w:pPr>
      <w:r>
        <w:rPr>
          <w:b/>
          <w:sz w:val="26"/>
          <w:szCs w:val="26"/>
        </w:rPr>
        <w:t>PUBLIC UTILITY COMMISSION</w:t>
      </w:r>
    </w:p>
    <w:p w:rsidR="00222A0A" w:rsidRDefault="00222A0A" w:rsidP="00295CBB">
      <w:pPr>
        <w:widowControl/>
        <w:tabs>
          <w:tab w:val="center" w:pos="4680"/>
        </w:tabs>
        <w:jc w:val="center"/>
        <w:rPr>
          <w:sz w:val="26"/>
          <w:szCs w:val="26"/>
        </w:rPr>
      </w:pPr>
      <w:r>
        <w:rPr>
          <w:b/>
          <w:sz w:val="26"/>
          <w:szCs w:val="26"/>
        </w:rPr>
        <w:t>Harrisburg, PA 17105-3265</w:t>
      </w:r>
    </w:p>
    <w:p w:rsidR="00222A0A" w:rsidRDefault="00222A0A" w:rsidP="00295CBB">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9"/>
      </w:tblGrid>
      <w:tr w:rsidR="00222A0A" w:rsidTr="00222A0A">
        <w:tc>
          <w:tcPr>
            <w:tcW w:w="4878" w:type="dxa"/>
          </w:tcPr>
          <w:p w:rsidR="00222A0A" w:rsidRDefault="00222A0A" w:rsidP="00295CBB">
            <w:pPr>
              <w:widowControl/>
              <w:rPr>
                <w:sz w:val="26"/>
                <w:szCs w:val="26"/>
              </w:rPr>
            </w:pPr>
          </w:p>
        </w:tc>
        <w:tc>
          <w:tcPr>
            <w:tcW w:w="4608" w:type="dxa"/>
            <w:hideMark/>
          </w:tcPr>
          <w:p w:rsidR="00222A0A" w:rsidRDefault="009A35B4" w:rsidP="00295CBB">
            <w:pPr>
              <w:widowControl/>
              <w:jc w:val="right"/>
              <w:rPr>
                <w:sz w:val="26"/>
                <w:szCs w:val="26"/>
              </w:rPr>
            </w:pPr>
            <w:r>
              <w:rPr>
                <w:sz w:val="26"/>
                <w:szCs w:val="26"/>
              </w:rPr>
              <w:t>Public Meeting held October 26</w:t>
            </w:r>
            <w:r w:rsidR="00222A0A">
              <w:rPr>
                <w:sz w:val="26"/>
                <w:szCs w:val="26"/>
              </w:rPr>
              <w:t>, 2017</w:t>
            </w:r>
          </w:p>
        </w:tc>
      </w:tr>
      <w:tr w:rsidR="00222A0A" w:rsidTr="00222A0A">
        <w:tc>
          <w:tcPr>
            <w:tcW w:w="4878" w:type="dxa"/>
          </w:tcPr>
          <w:p w:rsidR="00222A0A" w:rsidRDefault="00222A0A" w:rsidP="00295CBB">
            <w:pPr>
              <w:widowControl/>
              <w:rPr>
                <w:sz w:val="26"/>
                <w:szCs w:val="26"/>
              </w:rPr>
            </w:pPr>
          </w:p>
          <w:p w:rsidR="00222A0A" w:rsidRDefault="00222A0A" w:rsidP="00295CBB">
            <w:pPr>
              <w:widowControl/>
              <w:rPr>
                <w:sz w:val="26"/>
                <w:szCs w:val="26"/>
              </w:rPr>
            </w:pPr>
            <w:r>
              <w:rPr>
                <w:sz w:val="26"/>
                <w:szCs w:val="26"/>
              </w:rPr>
              <w:t>Commissioners Present:</w:t>
            </w:r>
          </w:p>
          <w:p w:rsidR="00222A0A" w:rsidRDefault="00222A0A" w:rsidP="00295CBB">
            <w:pPr>
              <w:widowControl/>
              <w:rPr>
                <w:sz w:val="26"/>
                <w:szCs w:val="26"/>
              </w:rPr>
            </w:pPr>
          </w:p>
          <w:p w:rsidR="00222A0A" w:rsidRDefault="00222A0A" w:rsidP="00295CBB">
            <w:pPr>
              <w:widowControl/>
              <w:tabs>
                <w:tab w:val="left" w:pos="-720"/>
              </w:tabs>
              <w:ind w:left="720"/>
              <w:rPr>
                <w:sz w:val="26"/>
                <w:szCs w:val="26"/>
              </w:rPr>
            </w:pPr>
            <w:r>
              <w:rPr>
                <w:sz w:val="26"/>
                <w:szCs w:val="26"/>
              </w:rPr>
              <w:t>Gladys M. Brown, Chairman</w:t>
            </w:r>
          </w:p>
          <w:p w:rsidR="00222A0A" w:rsidRDefault="00222A0A" w:rsidP="00295CBB">
            <w:pPr>
              <w:widowControl/>
              <w:tabs>
                <w:tab w:val="left" w:pos="-720"/>
              </w:tabs>
              <w:ind w:left="720"/>
              <w:rPr>
                <w:sz w:val="26"/>
                <w:szCs w:val="26"/>
              </w:rPr>
            </w:pPr>
            <w:r>
              <w:rPr>
                <w:sz w:val="26"/>
                <w:szCs w:val="26"/>
              </w:rPr>
              <w:t>Andrew G. Place, Vice Chairman</w:t>
            </w:r>
          </w:p>
          <w:p w:rsidR="00222A0A" w:rsidRDefault="00222A0A" w:rsidP="00295CBB">
            <w:pPr>
              <w:widowControl/>
              <w:tabs>
                <w:tab w:val="left" w:pos="-720"/>
              </w:tabs>
              <w:ind w:left="720"/>
              <w:rPr>
                <w:sz w:val="26"/>
                <w:szCs w:val="26"/>
              </w:rPr>
            </w:pPr>
            <w:r>
              <w:rPr>
                <w:sz w:val="26"/>
                <w:szCs w:val="26"/>
              </w:rPr>
              <w:t>David W. Sweet</w:t>
            </w:r>
          </w:p>
          <w:p w:rsidR="00222A0A" w:rsidRDefault="00222A0A" w:rsidP="00295CBB">
            <w:pPr>
              <w:widowControl/>
              <w:tabs>
                <w:tab w:val="left" w:pos="-720"/>
              </w:tabs>
              <w:ind w:left="720"/>
              <w:rPr>
                <w:sz w:val="26"/>
                <w:szCs w:val="26"/>
              </w:rPr>
            </w:pPr>
            <w:r>
              <w:rPr>
                <w:sz w:val="26"/>
                <w:szCs w:val="26"/>
              </w:rPr>
              <w:t xml:space="preserve">John F. Coleman, Jr. </w:t>
            </w:r>
          </w:p>
          <w:p w:rsidR="00222A0A" w:rsidRDefault="00222A0A" w:rsidP="00295CBB">
            <w:pPr>
              <w:widowControl/>
              <w:rPr>
                <w:sz w:val="26"/>
                <w:szCs w:val="26"/>
              </w:rPr>
            </w:pPr>
          </w:p>
        </w:tc>
        <w:tc>
          <w:tcPr>
            <w:tcW w:w="4608" w:type="dxa"/>
          </w:tcPr>
          <w:p w:rsidR="00222A0A" w:rsidRDefault="00222A0A" w:rsidP="00295CBB">
            <w:pPr>
              <w:widowControl/>
              <w:jc w:val="right"/>
              <w:rPr>
                <w:sz w:val="26"/>
                <w:szCs w:val="26"/>
              </w:rPr>
            </w:pPr>
          </w:p>
          <w:p w:rsidR="00222A0A" w:rsidRDefault="00222A0A" w:rsidP="00295CBB">
            <w:pPr>
              <w:widowControl/>
              <w:jc w:val="right"/>
              <w:rPr>
                <w:sz w:val="26"/>
                <w:szCs w:val="26"/>
              </w:rPr>
            </w:pPr>
          </w:p>
        </w:tc>
      </w:tr>
      <w:tr w:rsidR="00222A0A" w:rsidTr="00222A0A">
        <w:tc>
          <w:tcPr>
            <w:tcW w:w="4878" w:type="dxa"/>
          </w:tcPr>
          <w:p w:rsidR="00506EF3" w:rsidRDefault="00506EF3" w:rsidP="00295CBB">
            <w:pPr>
              <w:widowControl/>
              <w:rPr>
                <w:sz w:val="26"/>
                <w:szCs w:val="26"/>
              </w:rPr>
            </w:pPr>
          </w:p>
          <w:p w:rsidR="00222A0A" w:rsidRDefault="00C374D9" w:rsidP="00295CBB">
            <w:pPr>
              <w:widowControl/>
              <w:rPr>
                <w:sz w:val="26"/>
                <w:szCs w:val="26"/>
              </w:rPr>
            </w:pPr>
            <w:r>
              <w:rPr>
                <w:sz w:val="26"/>
                <w:szCs w:val="26"/>
              </w:rPr>
              <w:t>John F. Carmody</w:t>
            </w:r>
          </w:p>
          <w:p w:rsidR="00222A0A" w:rsidRDefault="00222A0A" w:rsidP="00295CBB">
            <w:pPr>
              <w:widowControl/>
              <w:rPr>
                <w:sz w:val="26"/>
                <w:szCs w:val="26"/>
              </w:rPr>
            </w:pPr>
          </w:p>
        </w:tc>
        <w:tc>
          <w:tcPr>
            <w:tcW w:w="4608" w:type="dxa"/>
            <w:hideMark/>
          </w:tcPr>
          <w:p w:rsidR="00506EF3" w:rsidRDefault="00506EF3" w:rsidP="00295CBB">
            <w:pPr>
              <w:widowControl/>
              <w:jc w:val="right"/>
              <w:rPr>
                <w:sz w:val="26"/>
                <w:szCs w:val="26"/>
              </w:rPr>
            </w:pPr>
          </w:p>
          <w:p w:rsidR="00222A0A" w:rsidRDefault="009A35B4" w:rsidP="00295CBB">
            <w:pPr>
              <w:widowControl/>
              <w:jc w:val="right"/>
              <w:rPr>
                <w:sz w:val="26"/>
                <w:szCs w:val="26"/>
              </w:rPr>
            </w:pPr>
            <w:r>
              <w:rPr>
                <w:sz w:val="26"/>
                <w:szCs w:val="26"/>
              </w:rPr>
              <w:t>C-2016-2559799</w:t>
            </w:r>
          </w:p>
        </w:tc>
      </w:tr>
      <w:tr w:rsidR="00222A0A" w:rsidTr="00222A0A">
        <w:tc>
          <w:tcPr>
            <w:tcW w:w="4878" w:type="dxa"/>
          </w:tcPr>
          <w:p w:rsidR="00222A0A" w:rsidRDefault="00222A0A" w:rsidP="00295CBB">
            <w:pPr>
              <w:widowControl/>
              <w:ind w:firstLine="720"/>
              <w:rPr>
                <w:sz w:val="26"/>
                <w:szCs w:val="26"/>
              </w:rPr>
            </w:pPr>
            <w:r>
              <w:rPr>
                <w:sz w:val="26"/>
                <w:szCs w:val="26"/>
              </w:rPr>
              <w:t>v.</w:t>
            </w:r>
          </w:p>
          <w:p w:rsidR="00222A0A" w:rsidRDefault="00222A0A" w:rsidP="00295CBB">
            <w:pPr>
              <w:widowControl/>
              <w:ind w:firstLine="1440"/>
              <w:rPr>
                <w:sz w:val="26"/>
                <w:szCs w:val="26"/>
              </w:rPr>
            </w:pPr>
          </w:p>
        </w:tc>
        <w:tc>
          <w:tcPr>
            <w:tcW w:w="4608" w:type="dxa"/>
          </w:tcPr>
          <w:p w:rsidR="00222A0A" w:rsidRDefault="00222A0A" w:rsidP="00295CBB">
            <w:pPr>
              <w:widowControl/>
              <w:rPr>
                <w:sz w:val="26"/>
                <w:szCs w:val="26"/>
              </w:rPr>
            </w:pPr>
          </w:p>
        </w:tc>
      </w:tr>
      <w:tr w:rsidR="00222A0A" w:rsidTr="00222A0A">
        <w:tc>
          <w:tcPr>
            <w:tcW w:w="4878" w:type="dxa"/>
          </w:tcPr>
          <w:p w:rsidR="00222A0A" w:rsidRDefault="00C374D9" w:rsidP="00295CBB">
            <w:pPr>
              <w:widowControl/>
              <w:rPr>
                <w:sz w:val="26"/>
                <w:szCs w:val="26"/>
              </w:rPr>
            </w:pPr>
            <w:r>
              <w:rPr>
                <w:sz w:val="26"/>
                <w:szCs w:val="26"/>
              </w:rPr>
              <w:t>PPL Electric Utilities Corporation</w:t>
            </w:r>
          </w:p>
          <w:p w:rsidR="00222A0A" w:rsidRDefault="00222A0A" w:rsidP="00295CBB">
            <w:pPr>
              <w:widowControl/>
              <w:rPr>
                <w:sz w:val="26"/>
                <w:szCs w:val="26"/>
              </w:rPr>
            </w:pPr>
          </w:p>
        </w:tc>
        <w:tc>
          <w:tcPr>
            <w:tcW w:w="4608" w:type="dxa"/>
          </w:tcPr>
          <w:p w:rsidR="00222A0A" w:rsidRDefault="00222A0A" w:rsidP="00295CBB">
            <w:pPr>
              <w:widowControl/>
              <w:rPr>
                <w:sz w:val="26"/>
                <w:szCs w:val="26"/>
              </w:rPr>
            </w:pPr>
          </w:p>
        </w:tc>
      </w:tr>
    </w:tbl>
    <w:p w:rsidR="00222A0A" w:rsidRDefault="00222A0A" w:rsidP="00295CBB">
      <w:pPr>
        <w:widowControl/>
        <w:rPr>
          <w:sz w:val="26"/>
          <w:szCs w:val="26"/>
        </w:rPr>
      </w:pPr>
    </w:p>
    <w:p w:rsidR="00222A0A" w:rsidRDefault="00222A0A" w:rsidP="00295CBB">
      <w:pPr>
        <w:widowControl/>
        <w:jc w:val="center"/>
        <w:rPr>
          <w:b/>
          <w:sz w:val="26"/>
          <w:szCs w:val="26"/>
        </w:rPr>
      </w:pPr>
      <w:r>
        <w:rPr>
          <w:b/>
          <w:sz w:val="26"/>
          <w:szCs w:val="26"/>
        </w:rPr>
        <w:t>OPINION AND ORDER</w:t>
      </w:r>
    </w:p>
    <w:p w:rsidR="00222A0A" w:rsidRDefault="00222A0A" w:rsidP="00295CBB">
      <w:pPr>
        <w:widowControl/>
        <w:rPr>
          <w:sz w:val="26"/>
          <w:szCs w:val="26"/>
        </w:rPr>
      </w:pPr>
    </w:p>
    <w:p w:rsidR="00222A0A" w:rsidRDefault="00222A0A" w:rsidP="00295CBB">
      <w:pPr>
        <w:keepNext/>
        <w:widowControl/>
        <w:rPr>
          <w:b/>
          <w:sz w:val="26"/>
          <w:szCs w:val="26"/>
        </w:rPr>
      </w:pPr>
      <w:r>
        <w:rPr>
          <w:b/>
          <w:sz w:val="26"/>
          <w:szCs w:val="26"/>
        </w:rPr>
        <w:t>BY THE COMMISSION:</w:t>
      </w:r>
    </w:p>
    <w:p w:rsidR="00222A0A" w:rsidRDefault="00222A0A" w:rsidP="00295CBB">
      <w:pPr>
        <w:widowControl/>
        <w:rPr>
          <w:b/>
          <w:sz w:val="26"/>
          <w:szCs w:val="26"/>
        </w:rPr>
      </w:pPr>
    </w:p>
    <w:p w:rsidR="00CA43A5" w:rsidRDefault="00CA43A5" w:rsidP="00295CBB">
      <w:pPr>
        <w:widowControl/>
        <w:spacing w:line="360" w:lineRule="auto"/>
        <w:ind w:firstLine="1440"/>
        <w:rPr>
          <w:sz w:val="26"/>
          <w:szCs w:val="26"/>
        </w:rPr>
      </w:pPr>
      <w:r w:rsidRPr="00CA43A5">
        <w:rPr>
          <w:sz w:val="26"/>
          <w:szCs w:val="26"/>
        </w:rPr>
        <w:t xml:space="preserve">Before the Pennsylvania Public Utility Commission (Commission) for consideration and disposition </w:t>
      </w:r>
      <w:r w:rsidR="00671E4C">
        <w:rPr>
          <w:color w:val="000000"/>
          <w:sz w:val="26"/>
        </w:rPr>
        <w:t>are the Exceptions (Exceptions) of</w:t>
      </w:r>
      <w:r w:rsidR="00222A0A">
        <w:rPr>
          <w:color w:val="000000"/>
          <w:sz w:val="26"/>
        </w:rPr>
        <w:t xml:space="preserve"> J</w:t>
      </w:r>
      <w:r w:rsidR="00C374D9">
        <w:rPr>
          <w:color w:val="000000"/>
          <w:sz w:val="26"/>
        </w:rPr>
        <w:t>ohn F. Carmody (</w:t>
      </w:r>
      <w:r w:rsidR="00786E6C">
        <w:rPr>
          <w:color w:val="000000"/>
          <w:sz w:val="26"/>
        </w:rPr>
        <w:t xml:space="preserve">the </w:t>
      </w:r>
      <w:r w:rsidR="00222A0A">
        <w:rPr>
          <w:color w:val="000000"/>
          <w:sz w:val="26"/>
        </w:rPr>
        <w:t xml:space="preserve">Complainant) </w:t>
      </w:r>
      <w:r w:rsidR="00671E4C">
        <w:rPr>
          <w:color w:val="000000"/>
          <w:sz w:val="26"/>
        </w:rPr>
        <w:t xml:space="preserve">filed on </w:t>
      </w:r>
      <w:r w:rsidR="00C374D9">
        <w:rPr>
          <w:color w:val="000000"/>
          <w:sz w:val="26"/>
        </w:rPr>
        <w:t>March 13</w:t>
      </w:r>
      <w:r w:rsidR="00222A0A">
        <w:rPr>
          <w:color w:val="000000"/>
          <w:sz w:val="26"/>
        </w:rPr>
        <w:t>, 2017</w:t>
      </w:r>
      <w:r w:rsidR="00671E4C">
        <w:rPr>
          <w:color w:val="000000"/>
          <w:sz w:val="26"/>
        </w:rPr>
        <w:t xml:space="preserve">, to the Initial Decision (I.D.) of </w:t>
      </w:r>
      <w:r w:rsidR="00C374D9">
        <w:rPr>
          <w:color w:val="000000"/>
          <w:sz w:val="26"/>
        </w:rPr>
        <w:t>Administrative Law Judge (ALJ) Joel</w:t>
      </w:r>
      <w:r w:rsidR="002A076D">
        <w:rPr>
          <w:color w:val="000000"/>
          <w:sz w:val="26"/>
        </w:rPr>
        <w:t xml:space="preserve"> </w:t>
      </w:r>
      <w:r w:rsidR="00C374D9">
        <w:rPr>
          <w:color w:val="000000"/>
          <w:sz w:val="26"/>
        </w:rPr>
        <w:t>H. Cheskis</w:t>
      </w:r>
      <w:r w:rsidR="00222A0A">
        <w:rPr>
          <w:color w:val="000000"/>
          <w:sz w:val="26"/>
        </w:rPr>
        <w:t>,</w:t>
      </w:r>
      <w:r w:rsidR="00671E4C">
        <w:rPr>
          <w:color w:val="000000"/>
          <w:sz w:val="26"/>
        </w:rPr>
        <w:t xml:space="preserve"> which was issued on </w:t>
      </w:r>
      <w:r w:rsidR="00C374D9">
        <w:rPr>
          <w:color w:val="000000"/>
          <w:sz w:val="26"/>
        </w:rPr>
        <w:t xml:space="preserve">January </w:t>
      </w:r>
      <w:r w:rsidR="00B1068B">
        <w:rPr>
          <w:color w:val="000000"/>
          <w:sz w:val="26"/>
        </w:rPr>
        <w:t>31</w:t>
      </w:r>
      <w:r w:rsidR="00222A0A">
        <w:rPr>
          <w:color w:val="000000"/>
          <w:sz w:val="26"/>
        </w:rPr>
        <w:t xml:space="preserve">, 2017, </w:t>
      </w:r>
      <w:r w:rsidR="00671E4C">
        <w:rPr>
          <w:color w:val="000000"/>
          <w:sz w:val="26"/>
        </w:rPr>
        <w:t>in</w:t>
      </w:r>
      <w:r w:rsidR="00222A0A">
        <w:rPr>
          <w:color w:val="000000"/>
          <w:sz w:val="26"/>
        </w:rPr>
        <w:t xml:space="preserve"> the above-captioned proceeding</w:t>
      </w:r>
      <w:r w:rsidR="007B531E">
        <w:rPr>
          <w:color w:val="000000"/>
          <w:sz w:val="26"/>
        </w:rPr>
        <w:t>.  Replies</w:t>
      </w:r>
      <w:r w:rsidR="00671E4C">
        <w:rPr>
          <w:color w:val="000000"/>
          <w:sz w:val="26"/>
        </w:rPr>
        <w:t xml:space="preserve"> to Exceptions </w:t>
      </w:r>
      <w:r w:rsidR="007C5A2F">
        <w:rPr>
          <w:color w:val="000000"/>
          <w:sz w:val="26"/>
        </w:rPr>
        <w:t>have been</w:t>
      </w:r>
      <w:r w:rsidR="00671E4C">
        <w:rPr>
          <w:color w:val="000000"/>
          <w:sz w:val="26"/>
        </w:rPr>
        <w:t xml:space="preserve"> </w:t>
      </w:r>
      <w:r w:rsidR="004E0A65">
        <w:rPr>
          <w:color w:val="000000"/>
          <w:sz w:val="26"/>
        </w:rPr>
        <w:t xml:space="preserve">timely </w:t>
      </w:r>
      <w:r w:rsidR="00671E4C">
        <w:rPr>
          <w:color w:val="000000"/>
          <w:sz w:val="26"/>
        </w:rPr>
        <w:t>filed by</w:t>
      </w:r>
      <w:r w:rsidR="003E0FD0">
        <w:rPr>
          <w:color w:val="000000"/>
          <w:sz w:val="26"/>
        </w:rPr>
        <w:t xml:space="preserve"> </w:t>
      </w:r>
      <w:r w:rsidR="00C374D9">
        <w:rPr>
          <w:color w:val="000000"/>
          <w:sz w:val="26"/>
        </w:rPr>
        <w:t xml:space="preserve">PPL Electric Utilities Corporation </w:t>
      </w:r>
      <w:r w:rsidR="003E0FD0">
        <w:rPr>
          <w:color w:val="000000"/>
          <w:sz w:val="26"/>
        </w:rPr>
        <w:t>(P</w:t>
      </w:r>
      <w:r w:rsidR="00C374D9">
        <w:rPr>
          <w:color w:val="000000"/>
          <w:sz w:val="26"/>
        </w:rPr>
        <w:t>PL</w:t>
      </w:r>
      <w:r w:rsidR="003E0FD0">
        <w:rPr>
          <w:color w:val="000000"/>
          <w:sz w:val="26"/>
        </w:rPr>
        <w:t xml:space="preserve"> or</w:t>
      </w:r>
      <w:r w:rsidR="00E94CF8">
        <w:rPr>
          <w:color w:val="000000"/>
          <w:sz w:val="26"/>
        </w:rPr>
        <w:t xml:space="preserve"> the</w:t>
      </w:r>
      <w:r w:rsidR="003E0FD0">
        <w:rPr>
          <w:color w:val="000000"/>
          <w:sz w:val="26"/>
        </w:rPr>
        <w:t xml:space="preserve"> Respondent)</w:t>
      </w:r>
      <w:r w:rsidR="00671E4C">
        <w:rPr>
          <w:color w:val="000000"/>
          <w:sz w:val="26"/>
        </w:rPr>
        <w:t xml:space="preserve">.  </w:t>
      </w:r>
      <w:r w:rsidR="00470E18">
        <w:rPr>
          <w:color w:val="000000"/>
          <w:sz w:val="26"/>
        </w:rPr>
        <w:t>As will be discussed</w:t>
      </w:r>
      <w:r w:rsidR="00427151">
        <w:rPr>
          <w:color w:val="000000"/>
          <w:sz w:val="26"/>
        </w:rPr>
        <w:t xml:space="preserve"> later in this Opinion and Order, </w:t>
      </w:r>
      <w:r w:rsidR="00C80CD2">
        <w:rPr>
          <w:sz w:val="26"/>
          <w:szCs w:val="26"/>
        </w:rPr>
        <w:t xml:space="preserve">while the Complainant’s filing was labeled </w:t>
      </w:r>
      <w:r w:rsidR="00C80CD2" w:rsidRPr="00C557F8">
        <w:rPr>
          <w:sz w:val="26"/>
          <w:szCs w:val="26"/>
        </w:rPr>
        <w:t>“Exceptions</w:t>
      </w:r>
      <w:r w:rsidR="00C80CD2">
        <w:rPr>
          <w:sz w:val="26"/>
          <w:szCs w:val="26"/>
        </w:rPr>
        <w:t>,</w:t>
      </w:r>
      <w:r w:rsidR="00C80CD2" w:rsidRPr="00C557F8">
        <w:rPr>
          <w:sz w:val="26"/>
          <w:szCs w:val="26"/>
        </w:rPr>
        <w:t xml:space="preserve">” </w:t>
      </w:r>
      <w:r w:rsidR="00C80CD2">
        <w:rPr>
          <w:sz w:val="26"/>
          <w:szCs w:val="26"/>
        </w:rPr>
        <w:t xml:space="preserve">we will treat the filing as a Petition for Reconsideration (Petition) and the Respondent’s “Replies to Exceptions” </w:t>
      </w:r>
      <w:r w:rsidR="00C80CD2" w:rsidRPr="00786E6C">
        <w:rPr>
          <w:sz w:val="26"/>
          <w:szCs w:val="26"/>
        </w:rPr>
        <w:t>as an Answer to the Complainant’s</w:t>
      </w:r>
      <w:r w:rsidR="00C80CD2">
        <w:rPr>
          <w:sz w:val="26"/>
          <w:szCs w:val="26"/>
        </w:rPr>
        <w:t xml:space="preserve"> Petition.  F</w:t>
      </w:r>
      <w:r w:rsidRPr="00CA43A5">
        <w:rPr>
          <w:sz w:val="26"/>
          <w:szCs w:val="26"/>
        </w:rPr>
        <w:t xml:space="preserve">or the reasons stated below, we </w:t>
      </w:r>
      <w:r w:rsidR="003E0FD0">
        <w:rPr>
          <w:sz w:val="26"/>
          <w:szCs w:val="26"/>
        </w:rPr>
        <w:t xml:space="preserve">shall deny the </w:t>
      </w:r>
      <w:r w:rsidR="00C80CD2">
        <w:rPr>
          <w:sz w:val="26"/>
          <w:szCs w:val="26"/>
        </w:rPr>
        <w:t xml:space="preserve">Complainant’s Petition </w:t>
      </w:r>
      <w:r w:rsidR="00786E6C">
        <w:rPr>
          <w:sz w:val="26"/>
          <w:szCs w:val="26"/>
        </w:rPr>
        <w:t>and mark this proceeding closed.</w:t>
      </w:r>
    </w:p>
    <w:p w:rsidR="00C80CD2" w:rsidRDefault="00C80CD2" w:rsidP="00295CBB">
      <w:pPr>
        <w:widowControl/>
        <w:spacing w:line="360" w:lineRule="auto"/>
        <w:ind w:firstLine="1440"/>
        <w:rPr>
          <w:sz w:val="26"/>
          <w:szCs w:val="26"/>
        </w:rPr>
      </w:pPr>
    </w:p>
    <w:p w:rsidR="00CA43A5" w:rsidRPr="00CA43A5" w:rsidRDefault="00CA43A5" w:rsidP="00295CBB">
      <w:pPr>
        <w:keepNext/>
        <w:widowControl/>
        <w:spacing w:line="360" w:lineRule="auto"/>
        <w:jc w:val="center"/>
        <w:rPr>
          <w:b/>
          <w:sz w:val="26"/>
          <w:szCs w:val="26"/>
        </w:rPr>
      </w:pPr>
      <w:bookmarkStart w:id="0" w:name="OLE_LINK1"/>
      <w:bookmarkStart w:id="1" w:name="OLE_LINK2"/>
      <w:r w:rsidRPr="00CA43A5">
        <w:rPr>
          <w:b/>
          <w:sz w:val="26"/>
          <w:szCs w:val="26"/>
        </w:rPr>
        <w:lastRenderedPageBreak/>
        <w:t>History of the Proceeding</w:t>
      </w:r>
    </w:p>
    <w:bookmarkEnd w:id="0"/>
    <w:bookmarkEnd w:id="1"/>
    <w:p w:rsidR="007B531E" w:rsidRDefault="007B531E" w:rsidP="00295CBB">
      <w:pPr>
        <w:widowControl/>
        <w:spacing w:line="360" w:lineRule="auto"/>
        <w:ind w:firstLine="1440"/>
        <w:rPr>
          <w:color w:val="212121"/>
          <w:sz w:val="26"/>
          <w:szCs w:val="26"/>
        </w:rPr>
      </w:pPr>
    </w:p>
    <w:p w:rsidR="003E0FD0" w:rsidRDefault="00692C4F" w:rsidP="00295CBB">
      <w:pPr>
        <w:widowControl/>
        <w:spacing w:line="360" w:lineRule="auto"/>
        <w:ind w:firstLine="1440"/>
        <w:rPr>
          <w:color w:val="212121"/>
          <w:sz w:val="26"/>
          <w:szCs w:val="26"/>
        </w:rPr>
      </w:pPr>
      <w:r>
        <w:rPr>
          <w:color w:val="212121"/>
          <w:sz w:val="26"/>
          <w:szCs w:val="26"/>
        </w:rPr>
        <w:t>On July 5</w:t>
      </w:r>
      <w:r w:rsidR="003E0FD0">
        <w:rPr>
          <w:color w:val="212121"/>
          <w:sz w:val="26"/>
          <w:szCs w:val="26"/>
        </w:rPr>
        <w:t xml:space="preserve">, 2016, </w:t>
      </w:r>
      <w:r w:rsidR="00E94CF8">
        <w:rPr>
          <w:color w:val="212121"/>
          <w:sz w:val="26"/>
          <w:szCs w:val="26"/>
        </w:rPr>
        <w:t xml:space="preserve">the </w:t>
      </w:r>
      <w:r w:rsidR="003E0FD0">
        <w:rPr>
          <w:color w:val="212121"/>
          <w:sz w:val="26"/>
          <w:szCs w:val="26"/>
        </w:rPr>
        <w:t>Complainant filed a Formal Complaint (Complaint) against P</w:t>
      </w:r>
      <w:r>
        <w:rPr>
          <w:color w:val="212121"/>
          <w:sz w:val="26"/>
          <w:szCs w:val="26"/>
        </w:rPr>
        <w:t>PL</w:t>
      </w:r>
      <w:r w:rsidR="003E0FD0">
        <w:rPr>
          <w:color w:val="212121"/>
          <w:sz w:val="26"/>
          <w:szCs w:val="26"/>
        </w:rPr>
        <w:t xml:space="preserve">.  </w:t>
      </w:r>
      <w:r>
        <w:rPr>
          <w:color w:val="212121"/>
          <w:sz w:val="26"/>
          <w:szCs w:val="26"/>
        </w:rPr>
        <w:t xml:space="preserve">I.D. at 1. </w:t>
      </w:r>
      <w:r w:rsidR="00D8205B">
        <w:rPr>
          <w:color w:val="212121"/>
          <w:sz w:val="26"/>
          <w:szCs w:val="26"/>
        </w:rPr>
        <w:t xml:space="preserve"> </w:t>
      </w:r>
      <w:r w:rsidR="003E0FD0">
        <w:rPr>
          <w:color w:val="212121"/>
          <w:sz w:val="26"/>
          <w:szCs w:val="26"/>
        </w:rPr>
        <w:t xml:space="preserve">In </w:t>
      </w:r>
      <w:r>
        <w:rPr>
          <w:color w:val="212121"/>
          <w:sz w:val="26"/>
          <w:szCs w:val="26"/>
        </w:rPr>
        <w:t>his</w:t>
      </w:r>
      <w:r w:rsidR="003E0FD0">
        <w:rPr>
          <w:color w:val="212121"/>
          <w:sz w:val="26"/>
          <w:szCs w:val="26"/>
        </w:rPr>
        <w:t xml:space="preserve"> Complaint, </w:t>
      </w:r>
      <w:r w:rsidR="00E94CF8">
        <w:rPr>
          <w:color w:val="212121"/>
          <w:sz w:val="26"/>
          <w:szCs w:val="26"/>
        </w:rPr>
        <w:t xml:space="preserve">the </w:t>
      </w:r>
      <w:r w:rsidR="003E0FD0">
        <w:rPr>
          <w:color w:val="212121"/>
          <w:sz w:val="26"/>
          <w:szCs w:val="26"/>
        </w:rPr>
        <w:t xml:space="preserve">Complainant </w:t>
      </w:r>
      <w:r>
        <w:rPr>
          <w:color w:val="212121"/>
          <w:sz w:val="26"/>
          <w:szCs w:val="26"/>
        </w:rPr>
        <w:t xml:space="preserve">averred that there are incorrect charges </w:t>
      </w:r>
      <w:r w:rsidR="008F3E76">
        <w:rPr>
          <w:color w:val="212121"/>
          <w:sz w:val="26"/>
          <w:szCs w:val="26"/>
        </w:rPr>
        <w:t xml:space="preserve">in the amount of $944.75 </w:t>
      </w:r>
      <w:r>
        <w:rPr>
          <w:color w:val="212121"/>
          <w:sz w:val="26"/>
          <w:szCs w:val="26"/>
        </w:rPr>
        <w:t>on his bill</w:t>
      </w:r>
      <w:r w:rsidR="008F3E76">
        <w:rPr>
          <w:color w:val="212121"/>
          <w:sz w:val="26"/>
          <w:szCs w:val="26"/>
        </w:rPr>
        <w:t xml:space="preserve"> that are </w:t>
      </w:r>
      <w:r>
        <w:rPr>
          <w:color w:val="212121"/>
          <w:sz w:val="26"/>
          <w:szCs w:val="26"/>
        </w:rPr>
        <w:t>relat</w:t>
      </w:r>
      <w:r w:rsidR="008F3E76">
        <w:rPr>
          <w:color w:val="212121"/>
          <w:sz w:val="26"/>
          <w:szCs w:val="26"/>
        </w:rPr>
        <w:t>ed</w:t>
      </w:r>
      <w:r w:rsidR="00F50D24">
        <w:rPr>
          <w:color w:val="212121"/>
          <w:sz w:val="26"/>
          <w:szCs w:val="26"/>
        </w:rPr>
        <w:t xml:space="preserve"> to foreign load.  </w:t>
      </w:r>
      <w:r w:rsidR="00F50D24" w:rsidRPr="00F50D24">
        <w:rPr>
          <w:i/>
          <w:color w:val="212121"/>
          <w:sz w:val="26"/>
          <w:szCs w:val="26"/>
        </w:rPr>
        <w:t xml:space="preserve">See </w:t>
      </w:r>
      <w:r>
        <w:rPr>
          <w:color w:val="212121"/>
          <w:sz w:val="26"/>
          <w:szCs w:val="26"/>
        </w:rPr>
        <w:t>I.D. at</w:t>
      </w:r>
      <w:r w:rsidR="00352E7B">
        <w:rPr>
          <w:color w:val="212121"/>
          <w:sz w:val="26"/>
          <w:szCs w:val="26"/>
        </w:rPr>
        <w:t> </w:t>
      </w:r>
      <w:r>
        <w:rPr>
          <w:color w:val="212121"/>
          <w:sz w:val="26"/>
          <w:szCs w:val="26"/>
        </w:rPr>
        <w:t>1</w:t>
      </w:r>
      <w:r w:rsidR="008F3E76">
        <w:rPr>
          <w:color w:val="212121"/>
          <w:sz w:val="26"/>
          <w:szCs w:val="26"/>
        </w:rPr>
        <w:noBreakHyphen/>
      </w:r>
      <w:r>
        <w:rPr>
          <w:color w:val="212121"/>
          <w:sz w:val="26"/>
          <w:szCs w:val="26"/>
        </w:rPr>
        <w:t>2.</w:t>
      </w:r>
      <w:r w:rsidR="00F50D24">
        <w:rPr>
          <w:color w:val="212121"/>
          <w:sz w:val="26"/>
          <w:szCs w:val="26"/>
        </w:rPr>
        <w:t xml:space="preserve">  More specifically, </w:t>
      </w:r>
      <w:r w:rsidR="00E94CF8">
        <w:rPr>
          <w:color w:val="212121"/>
          <w:sz w:val="26"/>
          <w:szCs w:val="26"/>
        </w:rPr>
        <w:t xml:space="preserve">the </w:t>
      </w:r>
      <w:r w:rsidR="00F50D24">
        <w:rPr>
          <w:color w:val="212121"/>
          <w:sz w:val="26"/>
          <w:szCs w:val="26"/>
        </w:rPr>
        <w:t xml:space="preserve">Complainant explained that </w:t>
      </w:r>
      <w:r w:rsidR="00E94CF8">
        <w:rPr>
          <w:color w:val="212121"/>
          <w:sz w:val="26"/>
          <w:szCs w:val="26"/>
        </w:rPr>
        <w:t>after h</w:t>
      </w:r>
      <w:r w:rsidR="00F50D24">
        <w:rPr>
          <w:color w:val="212121"/>
          <w:sz w:val="26"/>
          <w:szCs w:val="26"/>
        </w:rPr>
        <w:t>is tenants contact</w:t>
      </w:r>
      <w:r w:rsidR="00E94CF8">
        <w:rPr>
          <w:color w:val="212121"/>
          <w:sz w:val="26"/>
          <w:szCs w:val="26"/>
        </w:rPr>
        <w:t>ed PPL about a</w:t>
      </w:r>
      <w:r w:rsidR="00F50D24">
        <w:rPr>
          <w:color w:val="212121"/>
          <w:sz w:val="26"/>
          <w:szCs w:val="26"/>
        </w:rPr>
        <w:t xml:space="preserve"> high bill inquiry</w:t>
      </w:r>
      <w:r w:rsidR="00E94CF8">
        <w:rPr>
          <w:color w:val="212121"/>
          <w:sz w:val="26"/>
          <w:szCs w:val="26"/>
        </w:rPr>
        <w:t xml:space="preserve">, </w:t>
      </w:r>
      <w:r w:rsidR="00F50D24">
        <w:rPr>
          <w:color w:val="212121"/>
          <w:sz w:val="26"/>
          <w:szCs w:val="26"/>
        </w:rPr>
        <w:t>PPL</w:t>
      </w:r>
      <w:r w:rsidR="004924F1">
        <w:rPr>
          <w:color w:val="212121"/>
          <w:sz w:val="26"/>
          <w:szCs w:val="26"/>
        </w:rPr>
        <w:t xml:space="preserve"> </w:t>
      </w:r>
      <w:r w:rsidR="00E94CF8">
        <w:rPr>
          <w:color w:val="212121"/>
          <w:sz w:val="26"/>
          <w:szCs w:val="26"/>
        </w:rPr>
        <w:t xml:space="preserve">investigated </w:t>
      </w:r>
      <w:r w:rsidR="004924F1">
        <w:rPr>
          <w:color w:val="212121"/>
          <w:sz w:val="26"/>
          <w:szCs w:val="26"/>
        </w:rPr>
        <w:t>his</w:t>
      </w:r>
      <w:r w:rsidR="00F50D24">
        <w:rPr>
          <w:color w:val="212121"/>
          <w:sz w:val="26"/>
          <w:szCs w:val="26"/>
        </w:rPr>
        <w:t xml:space="preserve"> property and determined that there was </w:t>
      </w:r>
      <w:r w:rsidR="00F058BC">
        <w:rPr>
          <w:color w:val="212121"/>
          <w:sz w:val="26"/>
          <w:szCs w:val="26"/>
        </w:rPr>
        <w:t xml:space="preserve">a </w:t>
      </w:r>
      <w:r w:rsidR="00F50D24">
        <w:rPr>
          <w:color w:val="212121"/>
          <w:sz w:val="26"/>
          <w:szCs w:val="26"/>
        </w:rPr>
        <w:t xml:space="preserve">foreign load present </w:t>
      </w:r>
      <w:r w:rsidR="00E4734A">
        <w:rPr>
          <w:color w:val="212121"/>
          <w:sz w:val="26"/>
          <w:szCs w:val="26"/>
        </w:rPr>
        <w:t xml:space="preserve">from </w:t>
      </w:r>
      <w:r w:rsidR="00F50D24">
        <w:rPr>
          <w:color w:val="212121"/>
          <w:sz w:val="26"/>
          <w:szCs w:val="26"/>
        </w:rPr>
        <w:t>wires running to a detached shed</w:t>
      </w:r>
      <w:r w:rsidR="004924F1">
        <w:rPr>
          <w:color w:val="212121"/>
          <w:sz w:val="26"/>
          <w:szCs w:val="26"/>
        </w:rPr>
        <w:t xml:space="preserve">.  </w:t>
      </w:r>
      <w:r w:rsidR="00E94CF8">
        <w:rPr>
          <w:color w:val="212121"/>
          <w:sz w:val="26"/>
          <w:szCs w:val="26"/>
        </w:rPr>
        <w:t xml:space="preserve">The </w:t>
      </w:r>
      <w:r w:rsidR="00E4734A">
        <w:rPr>
          <w:color w:val="212121"/>
          <w:sz w:val="26"/>
          <w:szCs w:val="26"/>
        </w:rPr>
        <w:t>Complainant</w:t>
      </w:r>
      <w:r w:rsidR="004924F1">
        <w:rPr>
          <w:color w:val="212121"/>
          <w:sz w:val="26"/>
          <w:szCs w:val="26"/>
        </w:rPr>
        <w:t xml:space="preserve"> explained that PPL </w:t>
      </w:r>
      <w:r w:rsidR="00F50D24">
        <w:rPr>
          <w:color w:val="212121"/>
          <w:sz w:val="26"/>
          <w:szCs w:val="26"/>
        </w:rPr>
        <w:t>subsequently charged $944.75</w:t>
      </w:r>
      <w:r w:rsidR="00E4734A">
        <w:rPr>
          <w:color w:val="212121"/>
          <w:sz w:val="26"/>
          <w:szCs w:val="26"/>
        </w:rPr>
        <w:t xml:space="preserve"> to his bill</w:t>
      </w:r>
      <w:r w:rsidR="00F50D24">
        <w:rPr>
          <w:color w:val="212121"/>
          <w:sz w:val="26"/>
          <w:szCs w:val="26"/>
        </w:rPr>
        <w:t xml:space="preserve"> for the load.</w:t>
      </w:r>
      <w:r>
        <w:rPr>
          <w:color w:val="212121"/>
          <w:sz w:val="26"/>
          <w:szCs w:val="26"/>
        </w:rPr>
        <w:t xml:space="preserve">  </w:t>
      </w:r>
      <w:r w:rsidR="008F3E76">
        <w:rPr>
          <w:color w:val="212121"/>
          <w:sz w:val="26"/>
          <w:szCs w:val="26"/>
        </w:rPr>
        <w:t>T</w:t>
      </w:r>
      <w:r w:rsidR="00E94CF8">
        <w:rPr>
          <w:color w:val="212121"/>
          <w:sz w:val="26"/>
          <w:szCs w:val="26"/>
        </w:rPr>
        <w:t xml:space="preserve">he </w:t>
      </w:r>
      <w:r w:rsidR="00F50D24">
        <w:rPr>
          <w:color w:val="212121"/>
          <w:sz w:val="26"/>
          <w:szCs w:val="26"/>
        </w:rPr>
        <w:t>Complainant argued</w:t>
      </w:r>
      <w:r w:rsidR="004924F1">
        <w:rPr>
          <w:color w:val="212121"/>
          <w:sz w:val="26"/>
          <w:szCs w:val="26"/>
        </w:rPr>
        <w:t xml:space="preserve"> extensively, with </w:t>
      </w:r>
      <w:r w:rsidR="00E4734A">
        <w:rPr>
          <w:color w:val="212121"/>
          <w:sz w:val="26"/>
          <w:szCs w:val="26"/>
        </w:rPr>
        <w:t xml:space="preserve">the </w:t>
      </w:r>
      <w:r w:rsidR="004924F1">
        <w:rPr>
          <w:color w:val="212121"/>
          <w:sz w:val="26"/>
          <w:szCs w:val="26"/>
        </w:rPr>
        <w:t xml:space="preserve">support of various documents attached to his Complaint, </w:t>
      </w:r>
      <w:r w:rsidR="00F50D24">
        <w:rPr>
          <w:color w:val="212121"/>
          <w:sz w:val="26"/>
          <w:szCs w:val="26"/>
        </w:rPr>
        <w:t>that the load PPL identified on his property</w:t>
      </w:r>
      <w:r w:rsidR="00E4734A">
        <w:rPr>
          <w:color w:val="212121"/>
          <w:sz w:val="26"/>
          <w:szCs w:val="26"/>
        </w:rPr>
        <w:t>,</w:t>
      </w:r>
      <w:r w:rsidR="00F50D24">
        <w:rPr>
          <w:color w:val="212121"/>
          <w:sz w:val="26"/>
          <w:szCs w:val="26"/>
        </w:rPr>
        <w:t xml:space="preserve"> and charged to his electric bill</w:t>
      </w:r>
      <w:r w:rsidR="00E4734A">
        <w:rPr>
          <w:color w:val="212121"/>
          <w:sz w:val="26"/>
          <w:szCs w:val="26"/>
        </w:rPr>
        <w:t>,</w:t>
      </w:r>
      <w:r w:rsidR="00F50D24">
        <w:rPr>
          <w:color w:val="212121"/>
          <w:sz w:val="26"/>
          <w:szCs w:val="26"/>
        </w:rPr>
        <w:t xml:space="preserve"> is not foreign load.  </w:t>
      </w:r>
      <w:r w:rsidR="00F50D24" w:rsidRPr="00F50D24">
        <w:rPr>
          <w:i/>
          <w:color w:val="212121"/>
          <w:sz w:val="26"/>
          <w:szCs w:val="26"/>
        </w:rPr>
        <w:t>See</w:t>
      </w:r>
      <w:r w:rsidR="00F50D24">
        <w:rPr>
          <w:color w:val="212121"/>
          <w:sz w:val="26"/>
          <w:szCs w:val="26"/>
        </w:rPr>
        <w:t xml:space="preserve"> </w:t>
      </w:r>
      <w:r w:rsidR="004924F1">
        <w:rPr>
          <w:color w:val="212121"/>
          <w:sz w:val="26"/>
          <w:szCs w:val="26"/>
        </w:rPr>
        <w:t>I.D. at 2.</w:t>
      </w:r>
    </w:p>
    <w:p w:rsidR="003E0FD0" w:rsidRDefault="003E0FD0" w:rsidP="00295CBB">
      <w:pPr>
        <w:widowControl/>
        <w:spacing w:line="360" w:lineRule="auto"/>
        <w:ind w:firstLine="1440"/>
        <w:rPr>
          <w:color w:val="212121"/>
          <w:sz w:val="26"/>
          <w:szCs w:val="26"/>
        </w:rPr>
      </w:pPr>
    </w:p>
    <w:p w:rsidR="00DA4F9E" w:rsidRDefault="00C0632B" w:rsidP="00295CBB">
      <w:pPr>
        <w:widowControl/>
        <w:spacing w:line="360" w:lineRule="auto"/>
        <w:ind w:firstLine="1440"/>
        <w:rPr>
          <w:color w:val="212121"/>
          <w:sz w:val="26"/>
          <w:szCs w:val="26"/>
        </w:rPr>
      </w:pPr>
      <w:r>
        <w:rPr>
          <w:color w:val="212121"/>
          <w:sz w:val="26"/>
          <w:szCs w:val="26"/>
        </w:rPr>
        <w:t xml:space="preserve">On </w:t>
      </w:r>
      <w:r w:rsidR="00E4734A">
        <w:rPr>
          <w:color w:val="212121"/>
          <w:sz w:val="26"/>
          <w:szCs w:val="26"/>
        </w:rPr>
        <w:t>August 23</w:t>
      </w:r>
      <w:r>
        <w:rPr>
          <w:color w:val="212121"/>
          <w:sz w:val="26"/>
          <w:szCs w:val="26"/>
        </w:rPr>
        <w:t xml:space="preserve"> 2016, PPL</w:t>
      </w:r>
      <w:r w:rsidR="003E0FD0">
        <w:rPr>
          <w:color w:val="212121"/>
          <w:sz w:val="26"/>
          <w:szCs w:val="26"/>
        </w:rPr>
        <w:t xml:space="preserve"> filed an Answer to the Complaint.  I.D. at 2.  In its Answer, P</w:t>
      </w:r>
      <w:r w:rsidR="00AA6734">
        <w:rPr>
          <w:color w:val="212121"/>
          <w:sz w:val="26"/>
          <w:szCs w:val="26"/>
        </w:rPr>
        <w:t>PL</w:t>
      </w:r>
      <w:r w:rsidR="00E4734A">
        <w:rPr>
          <w:color w:val="212121"/>
          <w:sz w:val="26"/>
          <w:szCs w:val="26"/>
        </w:rPr>
        <w:t xml:space="preserve"> generally admitted and denied the various averments made in the Complaint</w:t>
      </w:r>
      <w:r w:rsidR="002E565C">
        <w:rPr>
          <w:color w:val="212121"/>
          <w:sz w:val="26"/>
          <w:szCs w:val="26"/>
        </w:rPr>
        <w:t xml:space="preserve">.  PPL </w:t>
      </w:r>
      <w:r w:rsidR="00E4734A">
        <w:rPr>
          <w:color w:val="212121"/>
          <w:sz w:val="26"/>
          <w:szCs w:val="26"/>
        </w:rPr>
        <w:t xml:space="preserve">specifically denied that there </w:t>
      </w:r>
      <w:r w:rsidR="002E565C">
        <w:rPr>
          <w:color w:val="212121"/>
          <w:sz w:val="26"/>
          <w:szCs w:val="26"/>
        </w:rPr>
        <w:t>were</w:t>
      </w:r>
      <w:r w:rsidR="00E4734A">
        <w:rPr>
          <w:color w:val="212121"/>
          <w:sz w:val="26"/>
          <w:szCs w:val="26"/>
        </w:rPr>
        <w:t xml:space="preserve"> incorrect charges on his account and that it had properly transferred </w:t>
      </w:r>
      <w:r w:rsidR="00E94CF8">
        <w:rPr>
          <w:color w:val="212121"/>
          <w:sz w:val="26"/>
          <w:szCs w:val="26"/>
        </w:rPr>
        <w:t xml:space="preserve">the </w:t>
      </w:r>
      <w:r w:rsidR="00E4734A">
        <w:rPr>
          <w:color w:val="212121"/>
          <w:sz w:val="26"/>
          <w:szCs w:val="26"/>
        </w:rPr>
        <w:t xml:space="preserve">Complainant’s tenants’ balance to </w:t>
      </w:r>
      <w:r w:rsidR="00E94CF8">
        <w:rPr>
          <w:color w:val="212121"/>
          <w:sz w:val="26"/>
          <w:szCs w:val="26"/>
        </w:rPr>
        <w:t xml:space="preserve">the </w:t>
      </w:r>
      <w:r w:rsidR="00E4734A">
        <w:rPr>
          <w:color w:val="212121"/>
          <w:sz w:val="26"/>
          <w:szCs w:val="26"/>
        </w:rPr>
        <w:t xml:space="preserve">Complainant’s account after the foreign load was discovered.  </w:t>
      </w:r>
      <w:r w:rsidR="00E4734A" w:rsidRPr="00425D4B">
        <w:rPr>
          <w:i/>
          <w:color w:val="212121"/>
          <w:sz w:val="26"/>
          <w:szCs w:val="26"/>
        </w:rPr>
        <w:t>See</w:t>
      </w:r>
      <w:r w:rsidR="00E4734A">
        <w:rPr>
          <w:color w:val="212121"/>
          <w:sz w:val="26"/>
          <w:szCs w:val="26"/>
        </w:rPr>
        <w:t xml:space="preserve"> I.D. at 2; see Answer ¶</w:t>
      </w:r>
      <w:r w:rsidR="00E94CF8">
        <w:rPr>
          <w:color w:val="212121"/>
          <w:sz w:val="26"/>
          <w:szCs w:val="26"/>
        </w:rPr>
        <w:t xml:space="preserve"> 4.  </w:t>
      </w:r>
      <w:r w:rsidR="00E4734A">
        <w:rPr>
          <w:color w:val="212121"/>
          <w:sz w:val="26"/>
          <w:szCs w:val="26"/>
        </w:rPr>
        <w:t xml:space="preserve">PPL </w:t>
      </w:r>
      <w:r w:rsidR="002E565C">
        <w:rPr>
          <w:color w:val="212121"/>
          <w:sz w:val="26"/>
          <w:szCs w:val="26"/>
        </w:rPr>
        <w:t xml:space="preserve">requested </w:t>
      </w:r>
      <w:r w:rsidR="00E4734A">
        <w:rPr>
          <w:color w:val="212121"/>
          <w:sz w:val="26"/>
          <w:szCs w:val="26"/>
        </w:rPr>
        <w:t xml:space="preserve">that </w:t>
      </w:r>
      <w:r w:rsidR="00C80CD2">
        <w:rPr>
          <w:color w:val="212121"/>
          <w:sz w:val="26"/>
          <w:szCs w:val="26"/>
        </w:rPr>
        <w:t>the Commission deny the C</w:t>
      </w:r>
      <w:r w:rsidR="00E4734A">
        <w:rPr>
          <w:color w:val="212121"/>
          <w:sz w:val="26"/>
          <w:szCs w:val="26"/>
        </w:rPr>
        <w:t>omplaint</w:t>
      </w:r>
      <w:r w:rsidR="003E0FD0">
        <w:rPr>
          <w:color w:val="212121"/>
          <w:sz w:val="26"/>
          <w:szCs w:val="26"/>
        </w:rPr>
        <w:t xml:space="preserve">.  </w:t>
      </w:r>
      <w:r w:rsidR="00425D4B" w:rsidRPr="00425D4B">
        <w:rPr>
          <w:i/>
          <w:color w:val="212121"/>
          <w:sz w:val="26"/>
          <w:szCs w:val="26"/>
        </w:rPr>
        <w:t>See</w:t>
      </w:r>
      <w:r w:rsidR="00425D4B">
        <w:rPr>
          <w:color w:val="212121"/>
          <w:sz w:val="26"/>
          <w:szCs w:val="26"/>
        </w:rPr>
        <w:t xml:space="preserve"> </w:t>
      </w:r>
      <w:r w:rsidR="00E94CF8">
        <w:rPr>
          <w:color w:val="212121"/>
          <w:sz w:val="26"/>
          <w:szCs w:val="26"/>
        </w:rPr>
        <w:t>I.D. at 2; Answer at 2.</w:t>
      </w:r>
    </w:p>
    <w:p w:rsidR="00E94CF8" w:rsidRDefault="00E94CF8" w:rsidP="00295CBB">
      <w:pPr>
        <w:widowControl/>
        <w:spacing w:line="360" w:lineRule="auto"/>
        <w:ind w:firstLine="1440"/>
        <w:rPr>
          <w:color w:val="212121"/>
          <w:sz w:val="26"/>
          <w:szCs w:val="26"/>
        </w:rPr>
      </w:pPr>
    </w:p>
    <w:p w:rsidR="00DA4F9E" w:rsidRDefault="00E4734A" w:rsidP="00295CBB">
      <w:pPr>
        <w:widowControl/>
        <w:spacing w:line="360" w:lineRule="auto"/>
        <w:ind w:firstLine="1440"/>
        <w:rPr>
          <w:color w:val="212121"/>
          <w:sz w:val="26"/>
          <w:szCs w:val="26"/>
        </w:rPr>
      </w:pPr>
      <w:r>
        <w:rPr>
          <w:color w:val="212121"/>
          <w:sz w:val="26"/>
          <w:szCs w:val="26"/>
        </w:rPr>
        <w:t xml:space="preserve">On September 7, </w:t>
      </w:r>
      <w:r w:rsidR="00DA4F9E">
        <w:rPr>
          <w:color w:val="212121"/>
          <w:sz w:val="26"/>
          <w:szCs w:val="26"/>
        </w:rPr>
        <w:t>2016, a Telephonic Hearing Notice was issued</w:t>
      </w:r>
      <w:r w:rsidR="00635E6A">
        <w:rPr>
          <w:color w:val="212121"/>
          <w:sz w:val="26"/>
          <w:szCs w:val="26"/>
        </w:rPr>
        <w:t xml:space="preserve"> that </w:t>
      </w:r>
      <w:r w:rsidR="00DA4F9E">
        <w:rPr>
          <w:color w:val="212121"/>
          <w:sz w:val="26"/>
          <w:szCs w:val="26"/>
        </w:rPr>
        <w:t xml:space="preserve">scheduled a telephonic evidentiary hearing in this case for </w:t>
      </w:r>
      <w:r>
        <w:rPr>
          <w:color w:val="212121"/>
          <w:sz w:val="26"/>
          <w:szCs w:val="26"/>
        </w:rPr>
        <w:t>November 1, 2016.</w:t>
      </w:r>
      <w:r w:rsidR="00DF2B78">
        <w:rPr>
          <w:color w:val="212121"/>
          <w:sz w:val="26"/>
          <w:szCs w:val="26"/>
        </w:rPr>
        <w:t xml:space="preserve">  </w:t>
      </w:r>
      <w:r w:rsidR="00425D4B" w:rsidRPr="00425D4B">
        <w:rPr>
          <w:i/>
          <w:color w:val="212121"/>
          <w:sz w:val="26"/>
          <w:szCs w:val="26"/>
        </w:rPr>
        <w:t>See</w:t>
      </w:r>
      <w:r w:rsidR="00425D4B">
        <w:rPr>
          <w:color w:val="212121"/>
          <w:sz w:val="26"/>
          <w:szCs w:val="26"/>
        </w:rPr>
        <w:t xml:space="preserve"> </w:t>
      </w:r>
      <w:r w:rsidRPr="00E4734A">
        <w:rPr>
          <w:color w:val="212121"/>
          <w:sz w:val="26"/>
          <w:szCs w:val="26"/>
        </w:rPr>
        <w:t>I.D. at</w:t>
      </w:r>
      <w:r w:rsidR="006970C7">
        <w:rPr>
          <w:color w:val="212121"/>
          <w:sz w:val="26"/>
          <w:szCs w:val="26"/>
        </w:rPr>
        <w:t> </w:t>
      </w:r>
      <w:r w:rsidRPr="00E4734A">
        <w:rPr>
          <w:color w:val="212121"/>
          <w:sz w:val="26"/>
          <w:szCs w:val="26"/>
        </w:rPr>
        <w:t>2.</w:t>
      </w:r>
      <w:r w:rsidR="00364304">
        <w:rPr>
          <w:color w:val="212121"/>
          <w:sz w:val="26"/>
          <w:szCs w:val="26"/>
        </w:rPr>
        <w:t xml:space="preserve">  </w:t>
      </w:r>
      <w:r w:rsidR="00DF2B78">
        <w:rPr>
          <w:color w:val="212121"/>
          <w:sz w:val="26"/>
          <w:szCs w:val="26"/>
        </w:rPr>
        <w:t xml:space="preserve">On September </w:t>
      </w:r>
      <w:r w:rsidR="00B33DF8">
        <w:rPr>
          <w:color w:val="212121"/>
          <w:sz w:val="26"/>
          <w:szCs w:val="26"/>
        </w:rPr>
        <w:t>1</w:t>
      </w:r>
      <w:r w:rsidR="00DF2B78">
        <w:rPr>
          <w:color w:val="212121"/>
          <w:sz w:val="26"/>
          <w:szCs w:val="26"/>
        </w:rPr>
        <w:t xml:space="preserve">2, 2016, the </w:t>
      </w:r>
      <w:r w:rsidR="00B33DF8">
        <w:rPr>
          <w:color w:val="212121"/>
          <w:sz w:val="26"/>
          <w:szCs w:val="26"/>
        </w:rPr>
        <w:t xml:space="preserve">ALJ </w:t>
      </w:r>
      <w:r w:rsidR="00DF2B78">
        <w:rPr>
          <w:color w:val="212121"/>
          <w:sz w:val="26"/>
          <w:szCs w:val="26"/>
        </w:rPr>
        <w:t>issued a Prehearing Order informing the</w:t>
      </w:r>
      <w:r w:rsidR="00B33DF8">
        <w:rPr>
          <w:color w:val="212121"/>
          <w:sz w:val="26"/>
          <w:szCs w:val="26"/>
        </w:rPr>
        <w:t xml:space="preserve"> parties</w:t>
      </w:r>
      <w:r w:rsidR="00DF2B78">
        <w:rPr>
          <w:color w:val="212121"/>
          <w:sz w:val="26"/>
          <w:szCs w:val="26"/>
        </w:rPr>
        <w:t xml:space="preserve"> of the</w:t>
      </w:r>
      <w:r w:rsidR="00B33DF8">
        <w:rPr>
          <w:color w:val="212121"/>
          <w:sz w:val="26"/>
          <w:szCs w:val="26"/>
        </w:rPr>
        <w:t xml:space="preserve"> various procedural rules that would govern </w:t>
      </w:r>
      <w:r w:rsidR="00DF2B78">
        <w:rPr>
          <w:color w:val="212121"/>
          <w:sz w:val="26"/>
          <w:szCs w:val="26"/>
        </w:rPr>
        <w:t>the hearing.</w:t>
      </w:r>
      <w:r w:rsidR="00B33DF8">
        <w:rPr>
          <w:color w:val="212121"/>
          <w:sz w:val="26"/>
          <w:szCs w:val="26"/>
        </w:rPr>
        <w:t xml:space="preserve">  </w:t>
      </w:r>
      <w:r w:rsidR="00425D4B" w:rsidRPr="00425D4B">
        <w:rPr>
          <w:i/>
          <w:color w:val="212121"/>
          <w:sz w:val="26"/>
          <w:szCs w:val="26"/>
        </w:rPr>
        <w:t>Id</w:t>
      </w:r>
      <w:r w:rsidR="00425D4B">
        <w:rPr>
          <w:color w:val="212121"/>
          <w:sz w:val="26"/>
          <w:szCs w:val="26"/>
        </w:rPr>
        <w:t>.</w:t>
      </w:r>
    </w:p>
    <w:p w:rsidR="00DF2B78" w:rsidRDefault="00DF2B78" w:rsidP="00295CBB">
      <w:pPr>
        <w:widowControl/>
        <w:spacing w:line="360" w:lineRule="auto"/>
        <w:ind w:firstLine="1440"/>
        <w:rPr>
          <w:color w:val="212121"/>
          <w:sz w:val="26"/>
          <w:szCs w:val="26"/>
        </w:rPr>
      </w:pPr>
    </w:p>
    <w:p w:rsidR="00DF2B78" w:rsidRDefault="00DF2B78" w:rsidP="00295CBB">
      <w:pPr>
        <w:widowControl/>
        <w:spacing w:line="360" w:lineRule="auto"/>
        <w:ind w:firstLine="1440"/>
        <w:rPr>
          <w:color w:val="212121"/>
          <w:sz w:val="26"/>
          <w:szCs w:val="26"/>
        </w:rPr>
      </w:pPr>
      <w:r>
        <w:rPr>
          <w:color w:val="212121"/>
          <w:sz w:val="26"/>
          <w:szCs w:val="26"/>
        </w:rPr>
        <w:t xml:space="preserve">On </w:t>
      </w:r>
      <w:r w:rsidR="00564237">
        <w:rPr>
          <w:color w:val="212121"/>
          <w:sz w:val="26"/>
          <w:szCs w:val="26"/>
        </w:rPr>
        <w:t>November 1,</w:t>
      </w:r>
      <w:r>
        <w:rPr>
          <w:color w:val="212121"/>
          <w:sz w:val="26"/>
          <w:szCs w:val="26"/>
        </w:rPr>
        <w:t xml:space="preserve"> 2016, the</w:t>
      </w:r>
      <w:r w:rsidR="00564237">
        <w:rPr>
          <w:color w:val="212121"/>
          <w:sz w:val="26"/>
          <w:szCs w:val="26"/>
        </w:rPr>
        <w:t xml:space="preserve"> </w:t>
      </w:r>
      <w:r w:rsidR="00425D4B">
        <w:rPr>
          <w:color w:val="212121"/>
          <w:sz w:val="26"/>
          <w:szCs w:val="26"/>
        </w:rPr>
        <w:t xml:space="preserve">telephonic </w:t>
      </w:r>
      <w:r w:rsidR="00564237">
        <w:rPr>
          <w:color w:val="212121"/>
          <w:sz w:val="26"/>
          <w:szCs w:val="26"/>
        </w:rPr>
        <w:t xml:space="preserve">evidentiary hearing was held.  </w:t>
      </w:r>
      <w:r w:rsidR="00425D4B" w:rsidRPr="00425D4B">
        <w:rPr>
          <w:i/>
          <w:color w:val="212121"/>
          <w:sz w:val="26"/>
          <w:szCs w:val="26"/>
        </w:rPr>
        <w:t>See</w:t>
      </w:r>
      <w:r w:rsidR="00425D4B">
        <w:rPr>
          <w:color w:val="212121"/>
          <w:sz w:val="26"/>
          <w:szCs w:val="26"/>
        </w:rPr>
        <w:t xml:space="preserve"> </w:t>
      </w:r>
      <w:r w:rsidR="00564237">
        <w:rPr>
          <w:color w:val="212121"/>
          <w:sz w:val="26"/>
          <w:szCs w:val="26"/>
        </w:rPr>
        <w:t xml:space="preserve">I.D. at 2. </w:t>
      </w:r>
      <w:r w:rsidR="00364304">
        <w:rPr>
          <w:color w:val="212121"/>
          <w:sz w:val="26"/>
          <w:szCs w:val="26"/>
        </w:rPr>
        <w:t xml:space="preserve"> </w:t>
      </w:r>
      <w:r>
        <w:rPr>
          <w:color w:val="212121"/>
          <w:sz w:val="26"/>
          <w:szCs w:val="26"/>
        </w:rPr>
        <w:t xml:space="preserve">The Complainant appeared </w:t>
      </w:r>
      <w:r w:rsidRPr="00E028FD">
        <w:rPr>
          <w:i/>
          <w:color w:val="212121"/>
          <w:sz w:val="26"/>
          <w:szCs w:val="26"/>
        </w:rPr>
        <w:t>pro se</w:t>
      </w:r>
      <w:r w:rsidR="00564237">
        <w:rPr>
          <w:color w:val="212121"/>
          <w:sz w:val="26"/>
          <w:szCs w:val="26"/>
        </w:rPr>
        <w:t xml:space="preserve">, and </w:t>
      </w:r>
      <w:r>
        <w:rPr>
          <w:color w:val="212121"/>
          <w:sz w:val="26"/>
          <w:szCs w:val="26"/>
        </w:rPr>
        <w:t xml:space="preserve">he </w:t>
      </w:r>
      <w:r w:rsidR="00564237">
        <w:rPr>
          <w:color w:val="212121"/>
          <w:sz w:val="26"/>
          <w:szCs w:val="26"/>
        </w:rPr>
        <w:t xml:space="preserve">presented oral testimony and one exhibit, which was admitted into the record. </w:t>
      </w:r>
      <w:r w:rsidR="00425D4B">
        <w:rPr>
          <w:color w:val="212121"/>
          <w:sz w:val="26"/>
          <w:szCs w:val="26"/>
        </w:rPr>
        <w:t xml:space="preserve"> </w:t>
      </w:r>
      <w:r w:rsidR="00425D4B" w:rsidRPr="00425D4B">
        <w:rPr>
          <w:i/>
          <w:color w:val="212121"/>
          <w:sz w:val="26"/>
          <w:szCs w:val="26"/>
        </w:rPr>
        <w:t>Id</w:t>
      </w:r>
      <w:r w:rsidR="00564237">
        <w:rPr>
          <w:color w:val="212121"/>
          <w:sz w:val="26"/>
          <w:szCs w:val="26"/>
        </w:rPr>
        <w:t xml:space="preserve">.  </w:t>
      </w:r>
      <w:r>
        <w:rPr>
          <w:color w:val="212121"/>
          <w:sz w:val="26"/>
          <w:szCs w:val="26"/>
        </w:rPr>
        <w:t>Counsel for</w:t>
      </w:r>
      <w:r w:rsidR="00E94CF8">
        <w:rPr>
          <w:color w:val="212121"/>
          <w:sz w:val="26"/>
          <w:szCs w:val="26"/>
        </w:rPr>
        <w:t xml:space="preserve"> the</w:t>
      </w:r>
      <w:r>
        <w:rPr>
          <w:color w:val="212121"/>
          <w:sz w:val="26"/>
          <w:szCs w:val="26"/>
        </w:rPr>
        <w:t xml:space="preserve"> Respondent presented the testimony of one witness, </w:t>
      </w:r>
      <w:r w:rsidR="00A11BB5">
        <w:rPr>
          <w:sz w:val="26"/>
          <w:szCs w:val="26"/>
        </w:rPr>
        <w:t xml:space="preserve">Joyce Clement, a field investigator, </w:t>
      </w:r>
      <w:r w:rsidR="00564237">
        <w:rPr>
          <w:color w:val="212121"/>
          <w:sz w:val="26"/>
          <w:szCs w:val="26"/>
        </w:rPr>
        <w:t>who sponsored six</w:t>
      </w:r>
      <w:r>
        <w:rPr>
          <w:color w:val="212121"/>
          <w:sz w:val="26"/>
          <w:szCs w:val="26"/>
        </w:rPr>
        <w:t xml:space="preserve"> </w:t>
      </w:r>
      <w:r>
        <w:rPr>
          <w:color w:val="212121"/>
          <w:sz w:val="26"/>
          <w:szCs w:val="26"/>
        </w:rPr>
        <w:lastRenderedPageBreak/>
        <w:t>exhibits</w:t>
      </w:r>
      <w:r w:rsidR="005C339A">
        <w:rPr>
          <w:color w:val="212121"/>
          <w:sz w:val="26"/>
          <w:szCs w:val="26"/>
        </w:rPr>
        <w:t xml:space="preserve"> that </w:t>
      </w:r>
      <w:r>
        <w:rPr>
          <w:color w:val="212121"/>
          <w:sz w:val="26"/>
          <w:szCs w:val="26"/>
        </w:rPr>
        <w:t>were admitted into the record</w:t>
      </w:r>
      <w:r w:rsidR="00564237">
        <w:rPr>
          <w:color w:val="212121"/>
          <w:sz w:val="26"/>
          <w:szCs w:val="26"/>
        </w:rPr>
        <w:t xml:space="preserve">. </w:t>
      </w:r>
      <w:r w:rsidR="00425D4B">
        <w:rPr>
          <w:color w:val="212121"/>
          <w:sz w:val="26"/>
          <w:szCs w:val="26"/>
        </w:rPr>
        <w:t xml:space="preserve"> </w:t>
      </w:r>
      <w:r w:rsidR="00425D4B" w:rsidRPr="00425D4B">
        <w:rPr>
          <w:i/>
          <w:color w:val="212121"/>
          <w:sz w:val="26"/>
          <w:szCs w:val="26"/>
        </w:rPr>
        <w:t>Id</w:t>
      </w:r>
      <w:r w:rsidR="00425D4B">
        <w:rPr>
          <w:color w:val="212121"/>
          <w:sz w:val="26"/>
          <w:szCs w:val="26"/>
        </w:rPr>
        <w:t xml:space="preserve">.  A transcript of the hearing, consisting of </w:t>
      </w:r>
      <w:r w:rsidR="00726B3B">
        <w:rPr>
          <w:color w:val="212121"/>
          <w:sz w:val="26"/>
          <w:szCs w:val="26"/>
        </w:rPr>
        <w:t xml:space="preserve">thirty-two </w:t>
      </w:r>
      <w:r w:rsidR="00564237">
        <w:rPr>
          <w:color w:val="212121"/>
          <w:sz w:val="26"/>
          <w:szCs w:val="26"/>
        </w:rPr>
        <w:t>pages</w:t>
      </w:r>
      <w:r w:rsidR="00425D4B">
        <w:rPr>
          <w:color w:val="212121"/>
          <w:sz w:val="26"/>
          <w:szCs w:val="26"/>
        </w:rPr>
        <w:t>,</w:t>
      </w:r>
      <w:r w:rsidR="00564237">
        <w:rPr>
          <w:color w:val="212121"/>
          <w:sz w:val="26"/>
          <w:szCs w:val="26"/>
        </w:rPr>
        <w:t xml:space="preserve"> was created.  </w:t>
      </w:r>
      <w:r w:rsidR="00425D4B" w:rsidRPr="00425D4B">
        <w:rPr>
          <w:i/>
          <w:color w:val="212121"/>
          <w:sz w:val="26"/>
          <w:szCs w:val="26"/>
        </w:rPr>
        <w:t>Id</w:t>
      </w:r>
      <w:r w:rsidR="00425D4B">
        <w:rPr>
          <w:color w:val="212121"/>
          <w:sz w:val="26"/>
          <w:szCs w:val="26"/>
        </w:rPr>
        <w:t xml:space="preserve">.  </w:t>
      </w:r>
      <w:r>
        <w:rPr>
          <w:color w:val="212121"/>
          <w:sz w:val="26"/>
          <w:szCs w:val="26"/>
        </w:rPr>
        <w:t xml:space="preserve">The record </w:t>
      </w:r>
      <w:r w:rsidR="00461287">
        <w:rPr>
          <w:color w:val="212121"/>
          <w:sz w:val="26"/>
          <w:szCs w:val="26"/>
        </w:rPr>
        <w:t xml:space="preserve">in this docket </w:t>
      </w:r>
      <w:r>
        <w:rPr>
          <w:color w:val="212121"/>
          <w:sz w:val="26"/>
          <w:szCs w:val="26"/>
        </w:rPr>
        <w:t xml:space="preserve">closed on </w:t>
      </w:r>
      <w:r w:rsidR="00461287">
        <w:rPr>
          <w:color w:val="212121"/>
          <w:sz w:val="26"/>
          <w:szCs w:val="26"/>
        </w:rPr>
        <w:t xml:space="preserve">November 30, 2016, when the transcript was submitted to the Commission.  </w:t>
      </w:r>
      <w:r w:rsidR="00425D4B" w:rsidRPr="00425D4B">
        <w:rPr>
          <w:i/>
          <w:color w:val="212121"/>
          <w:sz w:val="26"/>
          <w:szCs w:val="26"/>
        </w:rPr>
        <w:t>See</w:t>
      </w:r>
      <w:r w:rsidR="00425D4B">
        <w:rPr>
          <w:color w:val="212121"/>
          <w:sz w:val="26"/>
          <w:szCs w:val="26"/>
        </w:rPr>
        <w:t xml:space="preserve"> </w:t>
      </w:r>
      <w:r w:rsidR="00461287">
        <w:rPr>
          <w:color w:val="212121"/>
          <w:sz w:val="26"/>
          <w:szCs w:val="26"/>
        </w:rPr>
        <w:t>I.D. at 3.</w:t>
      </w:r>
    </w:p>
    <w:p w:rsidR="00DF2B78" w:rsidRDefault="00DF2B78" w:rsidP="00295CBB">
      <w:pPr>
        <w:widowControl/>
        <w:spacing w:line="360" w:lineRule="auto"/>
        <w:ind w:firstLine="1440"/>
        <w:rPr>
          <w:color w:val="212121"/>
          <w:sz w:val="26"/>
          <w:szCs w:val="26"/>
        </w:rPr>
      </w:pPr>
    </w:p>
    <w:p w:rsidR="00DF2B78" w:rsidRDefault="00726B3B" w:rsidP="00295CBB">
      <w:pPr>
        <w:widowControl/>
        <w:spacing w:line="360" w:lineRule="auto"/>
        <w:ind w:firstLine="1440"/>
        <w:rPr>
          <w:color w:val="212121"/>
          <w:sz w:val="26"/>
          <w:szCs w:val="26"/>
        </w:rPr>
      </w:pPr>
      <w:r>
        <w:rPr>
          <w:color w:val="212121"/>
          <w:sz w:val="26"/>
          <w:szCs w:val="26"/>
        </w:rPr>
        <w:t>The Commission issued t</w:t>
      </w:r>
      <w:r w:rsidR="008156B4">
        <w:rPr>
          <w:color w:val="212121"/>
          <w:sz w:val="26"/>
          <w:szCs w:val="26"/>
        </w:rPr>
        <w:t>he Initial Decision of ALJ Cheskis</w:t>
      </w:r>
      <w:r>
        <w:rPr>
          <w:color w:val="212121"/>
          <w:sz w:val="26"/>
          <w:szCs w:val="26"/>
        </w:rPr>
        <w:t xml:space="preserve"> on</w:t>
      </w:r>
      <w:r w:rsidR="004F5D96">
        <w:rPr>
          <w:color w:val="212121"/>
          <w:sz w:val="26"/>
          <w:szCs w:val="26"/>
        </w:rPr>
        <w:t xml:space="preserve"> January 31, 2017</w:t>
      </w:r>
      <w:r>
        <w:rPr>
          <w:color w:val="212121"/>
          <w:sz w:val="26"/>
          <w:szCs w:val="26"/>
        </w:rPr>
        <w:t>.</w:t>
      </w:r>
      <w:r w:rsidR="00D65853">
        <w:rPr>
          <w:color w:val="212121"/>
          <w:sz w:val="26"/>
          <w:szCs w:val="26"/>
        </w:rPr>
        <w:t xml:space="preserve">  </w:t>
      </w:r>
      <w:r w:rsidR="004F5D96">
        <w:rPr>
          <w:color w:val="212121"/>
          <w:sz w:val="26"/>
          <w:szCs w:val="26"/>
        </w:rPr>
        <w:t>In the Initial Decision</w:t>
      </w:r>
      <w:r w:rsidR="00482174">
        <w:rPr>
          <w:color w:val="212121"/>
          <w:sz w:val="26"/>
          <w:szCs w:val="26"/>
        </w:rPr>
        <w:t xml:space="preserve">, </w:t>
      </w:r>
      <w:r w:rsidR="008156B4">
        <w:rPr>
          <w:color w:val="212121"/>
          <w:sz w:val="26"/>
          <w:szCs w:val="26"/>
        </w:rPr>
        <w:t xml:space="preserve">the ALJ </w:t>
      </w:r>
      <w:r w:rsidR="00482174">
        <w:rPr>
          <w:color w:val="212121"/>
          <w:sz w:val="26"/>
          <w:szCs w:val="26"/>
        </w:rPr>
        <w:t>d</w:t>
      </w:r>
      <w:r w:rsidR="00DF2B78">
        <w:rPr>
          <w:color w:val="212121"/>
          <w:sz w:val="26"/>
          <w:szCs w:val="26"/>
        </w:rPr>
        <w:t xml:space="preserve">ismissed the Complaint for </w:t>
      </w:r>
      <w:r w:rsidR="00482174">
        <w:rPr>
          <w:color w:val="212121"/>
          <w:sz w:val="26"/>
          <w:szCs w:val="26"/>
        </w:rPr>
        <w:t xml:space="preserve">the </w:t>
      </w:r>
      <w:r w:rsidR="00A3588B">
        <w:rPr>
          <w:color w:val="212121"/>
          <w:sz w:val="26"/>
          <w:szCs w:val="26"/>
        </w:rPr>
        <w:t xml:space="preserve">Complainant’s </w:t>
      </w:r>
      <w:r w:rsidR="008156B4">
        <w:rPr>
          <w:color w:val="212121"/>
          <w:sz w:val="26"/>
          <w:szCs w:val="26"/>
        </w:rPr>
        <w:t>failure to satisfy his</w:t>
      </w:r>
      <w:r w:rsidR="00DF2B78">
        <w:rPr>
          <w:color w:val="212121"/>
          <w:sz w:val="26"/>
          <w:szCs w:val="26"/>
        </w:rPr>
        <w:t xml:space="preserve"> burden</w:t>
      </w:r>
      <w:r w:rsidR="00771561">
        <w:rPr>
          <w:color w:val="212121"/>
          <w:sz w:val="26"/>
          <w:szCs w:val="26"/>
        </w:rPr>
        <w:t xml:space="preserve"> of showing that</w:t>
      </w:r>
      <w:r w:rsidR="008156B4">
        <w:rPr>
          <w:color w:val="212121"/>
          <w:sz w:val="26"/>
          <w:szCs w:val="26"/>
        </w:rPr>
        <w:t xml:space="preserve"> PPL in any way violated the Public Utili</w:t>
      </w:r>
      <w:r w:rsidR="00C80CD2">
        <w:rPr>
          <w:color w:val="212121"/>
          <w:sz w:val="26"/>
          <w:szCs w:val="26"/>
        </w:rPr>
        <w:t>ty Code, a Commission Order or R</w:t>
      </w:r>
      <w:r w:rsidR="008156B4">
        <w:rPr>
          <w:color w:val="212121"/>
          <w:sz w:val="26"/>
          <w:szCs w:val="26"/>
        </w:rPr>
        <w:t xml:space="preserve">egulation or </w:t>
      </w:r>
      <w:r w:rsidR="00D65853">
        <w:rPr>
          <w:color w:val="212121"/>
          <w:sz w:val="26"/>
          <w:szCs w:val="26"/>
        </w:rPr>
        <w:t xml:space="preserve">a Commission-approved tariff.  </w:t>
      </w:r>
      <w:r w:rsidR="00DF2B78" w:rsidRPr="00DF2B78">
        <w:rPr>
          <w:i/>
          <w:color w:val="212121"/>
          <w:sz w:val="26"/>
          <w:szCs w:val="26"/>
        </w:rPr>
        <w:t>See</w:t>
      </w:r>
      <w:r w:rsidR="00DF2B78">
        <w:rPr>
          <w:color w:val="212121"/>
          <w:sz w:val="26"/>
          <w:szCs w:val="26"/>
        </w:rPr>
        <w:t xml:space="preserve"> I.D. at</w:t>
      </w:r>
      <w:r w:rsidR="00D83E5E">
        <w:rPr>
          <w:color w:val="212121"/>
          <w:sz w:val="26"/>
          <w:szCs w:val="26"/>
        </w:rPr>
        <w:t> </w:t>
      </w:r>
      <w:r w:rsidR="008156B4">
        <w:rPr>
          <w:color w:val="212121"/>
          <w:sz w:val="26"/>
          <w:szCs w:val="26"/>
        </w:rPr>
        <w:t>13</w:t>
      </w:r>
      <w:r w:rsidR="00DF2B78">
        <w:rPr>
          <w:color w:val="212121"/>
          <w:sz w:val="26"/>
          <w:szCs w:val="26"/>
        </w:rPr>
        <w:t>.</w:t>
      </w:r>
    </w:p>
    <w:p w:rsidR="007B531E" w:rsidRDefault="007B531E" w:rsidP="00295CBB">
      <w:pPr>
        <w:widowControl/>
        <w:spacing w:line="360" w:lineRule="auto"/>
        <w:ind w:firstLine="1440"/>
        <w:rPr>
          <w:color w:val="212121"/>
          <w:sz w:val="26"/>
          <w:szCs w:val="26"/>
        </w:rPr>
      </w:pPr>
    </w:p>
    <w:p w:rsidR="008156B4" w:rsidRDefault="008156B4" w:rsidP="00295CBB">
      <w:pPr>
        <w:widowControl/>
        <w:spacing w:line="360" w:lineRule="auto"/>
        <w:ind w:firstLine="1440"/>
        <w:rPr>
          <w:color w:val="212121"/>
          <w:sz w:val="26"/>
          <w:szCs w:val="26"/>
        </w:rPr>
      </w:pPr>
      <w:r>
        <w:rPr>
          <w:color w:val="212121"/>
          <w:sz w:val="26"/>
          <w:szCs w:val="26"/>
        </w:rPr>
        <w:t xml:space="preserve">On </w:t>
      </w:r>
      <w:r w:rsidR="00B87649">
        <w:rPr>
          <w:color w:val="212121"/>
          <w:sz w:val="26"/>
          <w:szCs w:val="26"/>
        </w:rPr>
        <w:t xml:space="preserve">March 7, 2017, </w:t>
      </w:r>
      <w:r w:rsidR="005B3392">
        <w:rPr>
          <w:color w:val="212121"/>
          <w:sz w:val="26"/>
          <w:szCs w:val="26"/>
        </w:rPr>
        <w:t xml:space="preserve">in accordance with the provision of Section 332(h) of the Public Utility Code (Code), 66 Pa. C.S. § 332(h), </w:t>
      </w:r>
      <w:r w:rsidR="00B87649">
        <w:rPr>
          <w:color w:val="212121"/>
          <w:sz w:val="26"/>
          <w:szCs w:val="26"/>
        </w:rPr>
        <w:t>the C</w:t>
      </w:r>
      <w:r w:rsidR="00482174">
        <w:rPr>
          <w:color w:val="212121"/>
          <w:sz w:val="26"/>
          <w:szCs w:val="26"/>
        </w:rPr>
        <w:t>ommission enter</w:t>
      </w:r>
      <w:r w:rsidR="00D83E5E">
        <w:rPr>
          <w:color w:val="212121"/>
          <w:sz w:val="26"/>
          <w:szCs w:val="26"/>
        </w:rPr>
        <w:t>ed a Final Order at this docket</w:t>
      </w:r>
      <w:r w:rsidR="005B3392">
        <w:rPr>
          <w:color w:val="212121"/>
          <w:sz w:val="26"/>
          <w:szCs w:val="26"/>
        </w:rPr>
        <w:t xml:space="preserve"> in which it permitted the ALJ’s </w:t>
      </w:r>
      <w:r w:rsidR="00B87649">
        <w:rPr>
          <w:color w:val="212121"/>
          <w:sz w:val="26"/>
          <w:szCs w:val="26"/>
        </w:rPr>
        <w:t>Initial Decision</w:t>
      </w:r>
      <w:r w:rsidR="0078199D">
        <w:rPr>
          <w:color w:val="212121"/>
          <w:sz w:val="26"/>
          <w:szCs w:val="26"/>
        </w:rPr>
        <w:t xml:space="preserve"> that </w:t>
      </w:r>
      <w:r w:rsidR="00695292">
        <w:rPr>
          <w:color w:val="212121"/>
          <w:sz w:val="26"/>
          <w:szCs w:val="26"/>
        </w:rPr>
        <w:t>dismissed the Complaint and marked the docket closed,</w:t>
      </w:r>
      <w:r w:rsidR="00B87649">
        <w:rPr>
          <w:color w:val="212121"/>
          <w:sz w:val="26"/>
          <w:szCs w:val="26"/>
        </w:rPr>
        <w:t xml:space="preserve"> </w:t>
      </w:r>
      <w:r w:rsidR="005B3392">
        <w:rPr>
          <w:color w:val="212121"/>
          <w:sz w:val="26"/>
          <w:szCs w:val="26"/>
        </w:rPr>
        <w:t xml:space="preserve">to </w:t>
      </w:r>
      <w:r w:rsidR="00482174">
        <w:rPr>
          <w:color w:val="212121"/>
          <w:sz w:val="26"/>
          <w:szCs w:val="26"/>
        </w:rPr>
        <w:t>become final without further Commission action</w:t>
      </w:r>
      <w:r w:rsidR="0078199D">
        <w:rPr>
          <w:color w:val="212121"/>
          <w:sz w:val="26"/>
          <w:szCs w:val="26"/>
        </w:rPr>
        <w:t>.</w:t>
      </w:r>
    </w:p>
    <w:p w:rsidR="00482174" w:rsidRDefault="00482174" w:rsidP="00295CBB">
      <w:pPr>
        <w:widowControl/>
        <w:spacing w:line="360" w:lineRule="auto"/>
        <w:ind w:firstLine="1440"/>
        <w:rPr>
          <w:color w:val="212121"/>
          <w:sz w:val="26"/>
          <w:szCs w:val="26"/>
        </w:rPr>
      </w:pPr>
    </w:p>
    <w:p w:rsidR="00482174" w:rsidRDefault="007B531E" w:rsidP="00295CBB">
      <w:pPr>
        <w:widowControl/>
        <w:spacing w:line="360" w:lineRule="auto"/>
        <w:ind w:firstLine="1440"/>
        <w:rPr>
          <w:color w:val="212121"/>
          <w:sz w:val="26"/>
          <w:szCs w:val="26"/>
        </w:rPr>
      </w:pPr>
      <w:r>
        <w:rPr>
          <w:color w:val="212121"/>
          <w:sz w:val="26"/>
          <w:szCs w:val="26"/>
        </w:rPr>
        <w:t xml:space="preserve">As noted, </w:t>
      </w:r>
      <w:r w:rsidRPr="007B531E">
        <w:rPr>
          <w:i/>
          <w:color w:val="212121"/>
          <w:sz w:val="26"/>
          <w:szCs w:val="26"/>
        </w:rPr>
        <w:t>supra</w:t>
      </w:r>
      <w:r>
        <w:rPr>
          <w:color w:val="212121"/>
          <w:sz w:val="26"/>
          <w:szCs w:val="26"/>
        </w:rPr>
        <w:t>, o</w:t>
      </w:r>
      <w:r w:rsidR="00DF2B78">
        <w:rPr>
          <w:color w:val="212121"/>
          <w:sz w:val="26"/>
          <w:szCs w:val="26"/>
        </w:rPr>
        <w:t xml:space="preserve">n </w:t>
      </w:r>
      <w:r w:rsidR="00482174">
        <w:rPr>
          <w:color w:val="212121"/>
          <w:sz w:val="26"/>
          <w:szCs w:val="26"/>
        </w:rPr>
        <w:t>March 13</w:t>
      </w:r>
      <w:r w:rsidR="00DF2B78">
        <w:rPr>
          <w:color w:val="212121"/>
          <w:sz w:val="26"/>
          <w:szCs w:val="26"/>
        </w:rPr>
        <w:t xml:space="preserve">, 2017, </w:t>
      </w:r>
      <w:r w:rsidR="00482174">
        <w:rPr>
          <w:color w:val="212121"/>
          <w:sz w:val="26"/>
          <w:szCs w:val="26"/>
        </w:rPr>
        <w:t xml:space="preserve">the </w:t>
      </w:r>
      <w:r w:rsidR="00DF2B78">
        <w:rPr>
          <w:color w:val="212121"/>
          <w:sz w:val="26"/>
          <w:szCs w:val="26"/>
        </w:rPr>
        <w:t xml:space="preserve">Complainant filed Exceptions to the </w:t>
      </w:r>
      <w:r w:rsidR="00482174">
        <w:rPr>
          <w:color w:val="212121"/>
          <w:sz w:val="26"/>
          <w:szCs w:val="26"/>
        </w:rPr>
        <w:t>ALJ’s</w:t>
      </w:r>
      <w:r w:rsidR="00DF2B78">
        <w:rPr>
          <w:color w:val="212121"/>
          <w:sz w:val="26"/>
          <w:szCs w:val="26"/>
        </w:rPr>
        <w:t xml:space="preserve"> Initial Decision.</w:t>
      </w:r>
      <w:r w:rsidR="00A3588B">
        <w:rPr>
          <w:rStyle w:val="FootnoteReference"/>
          <w:color w:val="212121"/>
          <w:sz w:val="26"/>
          <w:szCs w:val="26"/>
        </w:rPr>
        <w:footnoteReference w:id="1"/>
      </w:r>
      <w:r w:rsidR="00EA0680">
        <w:rPr>
          <w:color w:val="212121"/>
          <w:sz w:val="26"/>
          <w:szCs w:val="26"/>
        </w:rPr>
        <w:t xml:space="preserve">  </w:t>
      </w:r>
      <w:r w:rsidR="00482174">
        <w:rPr>
          <w:color w:val="212121"/>
          <w:sz w:val="26"/>
          <w:szCs w:val="26"/>
        </w:rPr>
        <w:t>On March 24, 2017, the Respondent filed Replies to Exceptions</w:t>
      </w:r>
      <w:r w:rsidR="00E94CF8">
        <w:rPr>
          <w:color w:val="212121"/>
          <w:sz w:val="26"/>
          <w:szCs w:val="26"/>
        </w:rPr>
        <w:t>.</w:t>
      </w:r>
      <w:r w:rsidR="00EA0680">
        <w:rPr>
          <w:color w:val="212121"/>
          <w:sz w:val="26"/>
          <w:szCs w:val="26"/>
        </w:rPr>
        <w:t xml:space="preserve">  </w:t>
      </w:r>
      <w:r w:rsidR="00482174">
        <w:rPr>
          <w:color w:val="212121"/>
          <w:sz w:val="26"/>
          <w:szCs w:val="26"/>
        </w:rPr>
        <w:t>On April 11, 2017, the Complainant filed a letter with the Commission responding to PPL’s Replies to Exceptions.</w:t>
      </w:r>
    </w:p>
    <w:p w:rsidR="00EA0680" w:rsidRDefault="00EA0680" w:rsidP="00295CBB">
      <w:pPr>
        <w:widowControl/>
        <w:spacing w:line="360" w:lineRule="auto"/>
        <w:ind w:firstLine="1440"/>
        <w:rPr>
          <w:color w:val="212121"/>
          <w:sz w:val="26"/>
          <w:szCs w:val="26"/>
        </w:rPr>
      </w:pPr>
    </w:p>
    <w:p w:rsidR="00CD27A2" w:rsidRDefault="00CD27A2" w:rsidP="00295CBB">
      <w:pPr>
        <w:keepNext/>
        <w:widowControl/>
        <w:spacing w:line="360" w:lineRule="auto"/>
        <w:jc w:val="center"/>
        <w:rPr>
          <w:b/>
          <w:sz w:val="26"/>
          <w:szCs w:val="26"/>
        </w:rPr>
      </w:pPr>
      <w:r w:rsidRPr="00CD27A2">
        <w:rPr>
          <w:b/>
          <w:sz w:val="26"/>
          <w:szCs w:val="26"/>
        </w:rPr>
        <w:t>Background</w:t>
      </w:r>
    </w:p>
    <w:p w:rsidR="00651167" w:rsidRDefault="00651167" w:rsidP="00295CBB">
      <w:pPr>
        <w:keepNext/>
        <w:widowControl/>
        <w:spacing w:line="360" w:lineRule="auto"/>
        <w:ind w:firstLine="1440"/>
        <w:rPr>
          <w:sz w:val="26"/>
          <w:szCs w:val="26"/>
        </w:rPr>
      </w:pPr>
    </w:p>
    <w:p w:rsidR="00EB2CFF" w:rsidRDefault="00651167" w:rsidP="00295CBB">
      <w:pPr>
        <w:widowControl/>
        <w:spacing w:line="360" w:lineRule="auto"/>
        <w:ind w:firstLine="1440"/>
        <w:rPr>
          <w:sz w:val="26"/>
          <w:szCs w:val="26"/>
        </w:rPr>
      </w:pPr>
      <w:r>
        <w:rPr>
          <w:sz w:val="26"/>
          <w:szCs w:val="26"/>
        </w:rPr>
        <w:t xml:space="preserve">The issue in this case </w:t>
      </w:r>
      <w:r w:rsidR="00333FCF">
        <w:rPr>
          <w:sz w:val="26"/>
          <w:szCs w:val="26"/>
        </w:rPr>
        <w:t xml:space="preserve">involves </w:t>
      </w:r>
      <w:r>
        <w:rPr>
          <w:sz w:val="26"/>
          <w:szCs w:val="26"/>
        </w:rPr>
        <w:t xml:space="preserve">whether </w:t>
      </w:r>
      <w:r w:rsidR="00333FCF">
        <w:rPr>
          <w:sz w:val="26"/>
          <w:szCs w:val="26"/>
        </w:rPr>
        <w:t xml:space="preserve">a </w:t>
      </w:r>
      <w:r>
        <w:rPr>
          <w:sz w:val="26"/>
          <w:szCs w:val="26"/>
        </w:rPr>
        <w:t xml:space="preserve">foreign load existed at </w:t>
      </w:r>
      <w:r w:rsidR="00E94CF8">
        <w:rPr>
          <w:sz w:val="26"/>
          <w:szCs w:val="26"/>
        </w:rPr>
        <w:t xml:space="preserve">the </w:t>
      </w:r>
      <w:r>
        <w:rPr>
          <w:sz w:val="26"/>
          <w:szCs w:val="26"/>
        </w:rPr>
        <w:t>Complainant’s property</w:t>
      </w:r>
      <w:r w:rsidR="00550530">
        <w:rPr>
          <w:sz w:val="26"/>
          <w:szCs w:val="26"/>
        </w:rPr>
        <w:t xml:space="preserve"> and whether </w:t>
      </w:r>
      <w:r w:rsidR="0070425D">
        <w:rPr>
          <w:sz w:val="26"/>
          <w:szCs w:val="26"/>
        </w:rPr>
        <w:t>PPL</w:t>
      </w:r>
      <w:r w:rsidR="00550530">
        <w:rPr>
          <w:sz w:val="26"/>
          <w:szCs w:val="26"/>
        </w:rPr>
        <w:t xml:space="preserve"> properly </w:t>
      </w:r>
      <w:r w:rsidR="00EE370B">
        <w:rPr>
          <w:sz w:val="26"/>
          <w:szCs w:val="26"/>
        </w:rPr>
        <w:t xml:space="preserve">transferred </w:t>
      </w:r>
      <w:r w:rsidR="00550530">
        <w:rPr>
          <w:sz w:val="26"/>
          <w:szCs w:val="26"/>
        </w:rPr>
        <w:t xml:space="preserve">the account associated </w:t>
      </w:r>
      <w:r w:rsidR="00550530">
        <w:rPr>
          <w:sz w:val="26"/>
          <w:szCs w:val="26"/>
        </w:rPr>
        <w:lastRenderedPageBreak/>
        <w:t xml:space="preserve">with the foreign load in the name of the </w:t>
      </w:r>
      <w:r w:rsidR="00C41A86">
        <w:rPr>
          <w:sz w:val="26"/>
          <w:szCs w:val="26"/>
        </w:rPr>
        <w:t xml:space="preserve">Complainant, who is the </w:t>
      </w:r>
      <w:r w:rsidR="00550530">
        <w:rPr>
          <w:sz w:val="26"/>
          <w:szCs w:val="26"/>
        </w:rPr>
        <w:t xml:space="preserve">landlord </w:t>
      </w:r>
      <w:r w:rsidR="00C41A86">
        <w:rPr>
          <w:sz w:val="26"/>
          <w:szCs w:val="26"/>
        </w:rPr>
        <w:t xml:space="preserve">of the property, </w:t>
      </w:r>
      <w:r w:rsidR="00550530">
        <w:rPr>
          <w:sz w:val="26"/>
          <w:szCs w:val="26"/>
        </w:rPr>
        <w:t xml:space="preserve">and collected any arrearages on the account from the landlord, </w:t>
      </w:r>
      <w:r w:rsidR="00B93821">
        <w:rPr>
          <w:sz w:val="26"/>
          <w:szCs w:val="26"/>
        </w:rPr>
        <w:t>pursuant to</w:t>
      </w:r>
      <w:r>
        <w:rPr>
          <w:sz w:val="26"/>
          <w:szCs w:val="26"/>
        </w:rPr>
        <w:t xml:space="preserve"> Section 1529.1 of the Code, 66 Pa. C.S. § 1529.1</w:t>
      </w:r>
      <w:r w:rsidR="00EE370B">
        <w:rPr>
          <w:sz w:val="26"/>
          <w:szCs w:val="26"/>
        </w:rPr>
        <w:t xml:space="preserve">. </w:t>
      </w:r>
      <w:r w:rsidR="0040173E">
        <w:rPr>
          <w:sz w:val="26"/>
          <w:szCs w:val="26"/>
        </w:rPr>
        <w:t xml:space="preserve"> </w:t>
      </w:r>
      <w:r w:rsidR="00D65853" w:rsidRPr="00EE370B">
        <w:rPr>
          <w:i/>
          <w:sz w:val="26"/>
          <w:szCs w:val="26"/>
        </w:rPr>
        <w:t>See</w:t>
      </w:r>
      <w:r w:rsidR="00D65853">
        <w:rPr>
          <w:sz w:val="26"/>
          <w:szCs w:val="26"/>
        </w:rPr>
        <w:t xml:space="preserve"> </w:t>
      </w:r>
      <w:r w:rsidR="00D65853" w:rsidRPr="005637B7">
        <w:rPr>
          <w:i/>
          <w:sz w:val="26"/>
          <w:szCs w:val="26"/>
        </w:rPr>
        <w:t>Ace Check Cashing, Inc. v. Philadelphia Gas Works</w:t>
      </w:r>
      <w:r w:rsidR="00D65853">
        <w:rPr>
          <w:sz w:val="26"/>
          <w:szCs w:val="26"/>
        </w:rPr>
        <w:t>, Docket No. C-2008-2056428 (Order entered May 21, 2010) (</w:t>
      </w:r>
      <w:r w:rsidR="00D65853" w:rsidRPr="00D65853">
        <w:rPr>
          <w:i/>
          <w:sz w:val="26"/>
          <w:szCs w:val="26"/>
        </w:rPr>
        <w:t>Ace Check Cashing</w:t>
      </w:r>
      <w:r w:rsidR="00EE370B">
        <w:rPr>
          <w:sz w:val="26"/>
          <w:szCs w:val="26"/>
        </w:rPr>
        <w:t>) at</w:t>
      </w:r>
      <w:r w:rsidR="000736BA">
        <w:rPr>
          <w:sz w:val="26"/>
          <w:szCs w:val="26"/>
        </w:rPr>
        <w:t> </w:t>
      </w:r>
      <w:r w:rsidR="00EE370B">
        <w:rPr>
          <w:sz w:val="26"/>
          <w:szCs w:val="26"/>
        </w:rPr>
        <w:t>6.</w:t>
      </w:r>
    </w:p>
    <w:p w:rsidR="00EB2CFF" w:rsidRDefault="00EB2CFF" w:rsidP="00295CBB">
      <w:pPr>
        <w:widowControl/>
        <w:spacing w:line="360" w:lineRule="auto"/>
        <w:ind w:firstLine="1440"/>
        <w:rPr>
          <w:sz w:val="26"/>
          <w:szCs w:val="26"/>
        </w:rPr>
      </w:pPr>
    </w:p>
    <w:p w:rsidR="00391E8D" w:rsidRDefault="00D65853" w:rsidP="00295CBB">
      <w:pPr>
        <w:widowControl/>
        <w:spacing w:line="360" w:lineRule="auto"/>
        <w:ind w:firstLine="1440"/>
        <w:rPr>
          <w:sz w:val="26"/>
          <w:szCs w:val="26"/>
        </w:rPr>
      </w:pPr>
      <w:r>
        <w:rPr>
          <w:sz w:val="26"/>
          <w:szCs w:val="26"/>
        </w:rPr>
        <w:t xml:space="preserve">As a simple overview, </w:t>
      </w:r>
      <w:r w:rsidR="00391E8D">
        <w:rPr>
          <w:sz w:val="26"/>
          <w:szCs w:val="26"/>
        </w:rPr>
        <w:t xml:space="preserve">PPL determined that </w:t>
      </w:r>
      <w:r w:rsidR="00F058BC">
        <w:rPr>
          <w:sz w:val="26"/>
          <w:szCs w:val="26"/>
        </w:rPr>
        <w:t xml:space="preserve">a </w:t>
      </w:r>
      <w:r w:rsidR="00780803">
        <w:rPr>
          <w:sz w:val="26"/>
          <w:szCs w:val="26"/>
        </w:rPr>
        <w:t>foreign load existed</w:t>
      </w:r>
      <w:r w:rsidR="00391E8D">
        <w:rPr>
          <w:sz w:val="26"/>
          <w:szCs w:val="26"/>
        </w:rPr>
        <w:t xml:space="preserve"> at </w:t>
      </w:r>
      <w:r w:rsidR="00E94CF8">
        <w:rPr>
          <w:sz w:val="26"/>
          <w:szCs w:val="26"/>
        </w:rPr>
        <w:t xml:space="preserve">the </w:t>
      </w:r>
      <w:r w:rsidR="00391E8D">
        <w:rPr>
          <w:sz w:val="26"/>
          <w:szCs w:val="26"/>
        </w:rPr>
        <w:t>Complainant’s property</w:t>
      </w:r>
      <w:r w:rsidR="00780803">
        <w:rPr>
          <w:sz w:val="26"/>
          <w:szCs w:val="26"/>
        </w:rPr>
        <w:t xml:space="preserve"> and</w:t>
      </w:r>
      <w:r w:rsidR="00511A26">
        <w:rPr>
          <w:sz w:val="26"/>
          <w:szCs w:val="26"/>
        </w:rPr>
        <w:t>,</w:t>
      </w:r>
      <w:r w:rsidR="00EB2CFF">
        <w:rPr>
          <w:sz w:val="26"/>
          <w:szCs w:val="26"/>
        </w:rPr>
        <w:t xml:space="preserve"> accordingly</w:t>
      </w:r>
      <w:r w:rsidR="00511A26">
        <w:rPr>
          <w:sz w:val="26"/>
          <w:szCs w:val="26"/>
        </w:rPr>
        <w:t>,</w:t>
      </w:r>
      <w:r w:rsidR="00EB2CFF">
        <w:rPr>
          <w:sz w:val="26"/>
          <w:szCs w:val="26"/>
        </w:rPr>
        <w:t xml:space="preserve"> </w:t>
      </w:r>
      <w:r w:rsidR="00391E8D">
        <w:rPr>
          <w:sz w:val="26"/>
          <w:szCs w:val="26"/>
        </w:rPr>
        <w:t xml:space="preserve">listed the account associated with the foreign load in the </w:t>
      </w:r>
      <w:r w:rsidR="00780803">
        <w:rPr>
          <w:sz w:val="26"/>
          <w:szCs w:val="26"/>
        </w:rPr>
        <w:t>Complainant</w:t>
      </w:r>
      <w:r w:rsidR="00391E8D">
        <w:rPr>
          <w:sz w:val="26"/>
          <w:szCs w:val="26"/>
        </w:rPr>
        <w:t>’s name, which included an outstanding balance of $944.75.  The Complainant disputes PPL’s determination that foreign load existed at his property and disputes the account being listed in his name and his responsibility for the outstanding balance of $944.75.</w:t>
      </w:r>
    </w:p>
    <w:p w:rsidR="00391E8D" w:rsidRDefault="00391E8D" w:rsidP="00295CBB">
      <w:pPr>
        <w:widowControl/>
        <w:spacing w:line="360" w:lineRule="auto"/>
        <w:ind w:firstLine="1440"/>
        <w:rPr>
          <w:sz w:val="26"/>
          <w:szCs w:val="26"/>
        </w:rPr>
      </w:pPr>
    </w:p>
    <w:p w:rsidR="00CD27A2" w:rsidRDefault="00EA0680" w:rsidP="00295CBB">
      <w:pPr>
        <w:widowControl/>
        <w:spacing w:line="360" w:lineRule="auto"/>
        <w:ind w:firstLine="1440"/>
        <w:rPr>
          <w:sz w:val="26"/>
          <w:szCs w:val="26"/>
        </w:rPr>
      </w:pPr>
      <w:r>
        <w:rPr>
          <w:sz w:val="26"/>
          <w:szCs w:val="26"/>
        </w:rPr>
        <w:t>The pertinent facts of this case are summarized here.</w:t>
      </w:r>
      <w:r w:rsidR="00391E8D">
        <w:rPr>
          <w:sz w:val="26"/>
          <w:szCs w:val="26"/>
        </w:rPr>
        <w:t xml:space="preserve"> </w:t>
      </w:r>
      <w:r>
        <w:rPr>
          <w:sz w:val="26"/>
          <w:szCs w:val="26"/>
        </w:rPr>
        <w:t xml:space="preserve"> T</w:t>
      </w:r>
      <w:r w:rsidR="00651167">
        <w:rPr>
          <w:sz w:val="26"/>
          <w:szCs w:val="26"/>
        </w:rPr>
        <w:t>he Compl</w:t>
      </w:r>
      <w:r w:rsidR="00391E8D">
        <w:rPr>
          <w:sz w:val="26"/>
          <w:szCs w:val="26"/>
        </w:rPr>
        <w:t xml:space="preserve">ainant is the </w:t>
      </w:r>
      <w:r w:rsidR="008F2F19">
        <w:rPr>
          <w:sz w:val="26"/>
          <w:szCs w:val="26"/>
        </w:rPr>
        <w:t xml:space="preserve">landlord and </w:t>
      </w:r>
      <w:r w:rsidR="00391E8D">
        <w:rPr>
          <w:sz w:val="26"/>
          <w:szCs w:val="26"/>
        </w:rPr>
        <w:t xml:space="preserve">owner of </w:t>
      </w:r>
      <w:r w:rsidR="001E1FFD">
        <w:rPr>
          <w:sz w:val="26"/>
          <w:szCs w:val="26"/>
        </w:rPr>
        <w:t xml:space="preserve">a </w:t>
      </w:r>
      <w:r w:rsidR="00391E8D">
        <w:rPr>
          <w:sz w:val="26"/>
          <w:szCs w:val="26"/>
        </w:rPr>
        <w:t>property</w:t>
      </w:r>
      <w:r>
        <w:rPr>
          <w:sz w:val="26"/>
          <w:szCs w:val="26"/>
        </w:rPr>
        <w:t xml:space="preserve"> served by PPL</w:t>
      </w:r>
      <w:r w:rsidR="00651167">
        <w:rPr>
          <w:sz w:val="26"/>
          <w:szCs w:val="26"/>
        </w:rPr>
        <w:t xml:space="preserve">, which </w:t>
      </w:r>
      <w:r>
        <w:rPr>
          <w:sz w:val="26"/>
          <w:szCs w:val="26"/>
        </w:rPr>
        <w:t>is leased</w:t>
      </w:r>
      <w:r w:rsidR="00651167">
        <w:rPr>
          <w:sz w:val="26"/>
          <w:szCs w:val="26"/>
        </w:rPr>
        <w:t xml:space="preserve"> to </w:t>
      </w:r>
      <w:r w:rsidR="005A790F">
        <w:rPr>
          <w:sz w:val="26"/>
          <w:szCs w:val="26"/>
        </w:rPr>
        <w:t xml:space="preserve">the </w:t>
      </w:r>
      <w:r w:rsidR="00F058BC">
        <w:rPr>
          <w:sz w:val="26"/>
          <w:szCs w:val="26"/>
        </w:rPr>
        <w:t xml:space="preserve">Complainant’s </w:t>
      </w:r>
      <w:r w:rsidR="00651167">
        <w:rPr>
          <w:sz w:val="26"/>
          <w:szCs w:val="26"/>
        </w:rPr>
        <w:t xml:space="preserve">tenants.  </w:t>
      </w:r>
      <w:r w:rsidR="00651167" w:rsidRPr="0070425D">
        <w:rPr>
          <w:i/>
          <w:sz w:val="26"/>
          <w:szCs w:val="26"/>
        </w:rPr>
        <w:t>See</w:t>
      </w:r>
      <w:r w:rsidR="00651167">
        <w:rPr>
          <w:sz w:val="26"/>
          <w:szCs w:val="26"/>
        </w:rPr>
        <w:t xml:space="preserve"> Findings of Fact Nos. 3-4.  In response to a high bill complaint </w:t>
      </w:r>
      <w:r w:rsidR="00391E8D">
        <w:rPr>
          <w:sz w:val="26"/>
          <w:szCs w:val="26"/>
        </w:rPr>
        <w:t xml:space="preserve">that PPL received </w:t>
      </w:r>
      <w:r w:rsidR="00651167">
        <w:rPr>
          <w:sz w:val="26"/>
          <w:szCs w:val="26"/>
        </w:rPr>
        <w:t xml:space="preserve">from </w:t>
      </w:r>
      <w:r w:rsidR="001E1FFD">
        <w:rPr>
          <w:sz w:val="26"/>
          <w:szCs w:val="26"/>
        </w:rPr>
        <w:t xml:space="preserve">the </w:t>
      </w:r>
      <w:r w:rsidR="006875C8">
        <w:rPr>
          <w:sz w:val="26"/>
          <w:szCs w:val="26"/>
        </w:rPr>
        <w:t>Complainant’s</w:t>
      </w:r>
      <w:r w:rsidR="00651167">
        <w:rPr>
          <w:sz w:val="26"/>
          <w:szCs w:val="26"/>
        </w:rPr>
        <w:t xml:space="preserve"> tenants, PPL investigated the Complainant’s property and determined the presence of </w:t>
      </w:r>
      <w:r w:rsidR="00F058BC">
        <w:rPr>
          <w:sz w:val="26"/>
          <w:szCs w:val="26"/>
        </w:rPr>
        <w:t xml:space="preserve">a </w:t>
      </w:r>
      <w:r w:rsidR="00651167">
        <w:rPr>
          <w:sz w:val="26"/>
          <w:szCs w:val="26"/>
        </w:rPr>
        <w:t xml:space="preserve">foreign load on the tenants’ meter in the form of a 110 kilovolt (kv) motion light and a 220 kv outside light </w:t>
      </w:r>
      <w:r>
        <w:rPr>
          <w:sz w:val="26"/>
          <w:szCs w:val="26"/>
        </w:rPr>
        <w:t xml:space="preserve">located </w:t>
      </w:r>
      <w:r w:rsidR="00651167">
        <w:rPr>
          <w:sz w:val="26"/>
          <w:szCs w:val="26"/>
        </w:rPr>
        <w:t>at a detached shed</w:t>
      </w:r>
      <w:r w:rsidR="006875C8">
        <w:rPr>
          <w:sz w:val="26"/>
          <w:szCs w:val="26"/>
        </w:rPr>
        <w:t xml:space="preserve"> on the property</w:t>
      </w:r>
      <w:r w:rsidR="00651167">
        <w:rPr>
          <w:sz w:val="26"/>
          <w:szCs w:val="26"/>
        </w:rPr>
        <w:t xml:space="preserve">.  </w:t>
      </w:r>
      <w:r w:rsidR="0070425D" w:rsidRPr="0070425D">
        <w:rPr>
          <w:i/>
          <w:sz w:val="26"/>
          <w:szCs w:val="26"/>
        </w:rPr>
        <w:t>See</w:t>
      </w:r>
      <w:r w:rsidR="0070425D">
        <w:rPr>
          <w:sz w:val="26"/>
          <w:szCs w:val="26"/>
        </w:rPr>
        <w:t xml:space="preserve"> </w:t>
      </w:r>
      <w:r w:rsidR="00651167">
        <w:rPr>
          <w:sz w:val="26"/>
          <w:szCs w:val="26"/>
        </w:rPr>
        <w:t xml:space="preserve">Findings of Fact No. 4-5.  </w:t>
      </w:r>
      <w:r w:rsidR="005A790F">
        <w:rPr>
          <w:sz w:val="26"/>
          <w:szCs w:val="26"/>
        </w:rPr>
        <w:t>Specifically</w:t>
      </w:r>
      <w:r w:rsidR="00651167">
        <w:rPr>
          <w:sz w:val="26"/>
          <w:szCs w:val="26"/>
        </w:rPr>
        <w:t xml:space="preserve">, </w:t>
      </w:r>
      <w:r w:rsidR="0070425D">
        <w:rPr>
          <w:sz w:val="26"/>
          <w:szCs w:val="26"/>
        </w:rPr>
        <w:t xml:space="preserve">PPL </w:t>
      </w:r>
      <w:r w:rsidR="00651167">
        <w:rPr>
          <w:sz w:val="26"/>
          <w:szCs w:val="26"/>
        </w:rPr>
        <w:t>identified a 110 kv line and 220 kv line running from</w:t>
      </w:r>
      <w:r w:rsidR="00C36D97">
        <w:rPr>
          <w:sz w:val="26"/>
          <w:szCs w:val="26"/>
        </w:rPr>
        <w:t xml:space="preserve"> the</w:t>
      </w:r>
      <w:r w:rsidR="006875C8">
        <w:rPr>
          <w:sz w:val="26"/>
          <w:szCs w:val="26"/>
        </w:rPr>
        <w:t xml:space="preserve"> circuit breaker to the</w:t>
      </w:r>
      <w:r w:rsidR="00651167">
        <w:rPr>
          <w:sz w:val="26"/>
          <w:szCs w:val="26"/>
        </w:rPr>
        <w:t xml:space="preserve"> detached shed</w:t>
      </w:r>
      <w:r w:rsidR="0070425D">
        <w:rPr>
          <w:sz w:val="26"/>
          <w:szCs w:val="26"/>
        </w:rPr>
        <w:t>.  Findings of Fact No.</w:t>
      </w:r>
      <w:r w:rsidR="005A790F">
        <w:rPr>
          <w:sz w:val="26"/>
          <w:szCs w:val="26"/>
        </w:rPr>
        <w:t> </w:t>
      </w:r>
      <w:r w:rsidR="0070425D">
        <w:rPr>
          <w:sz w:val="26"/>
          <w:szCs w:val="26"/>
        </w:rPr>
        <w:t xml:space="preserve">12.  </w:t>
      </w:r>
      <w:r w:rsidR="002C34E3">
        <w:rPr>
          <w:sz w:val="26"/>
          <w:szCs w:val="26"/>
        </w:rPr>
        <w:t xml:space="preserve">The tenants have shared use of the detached shed, and the lighting </w:t>
      </w:r>
      <w:r w:rsidR="0055287E">
        <w:rPr>
          <w:sz w:val="26"/>
          <w:szCs w:val="26"/>
        </w:rPr>
        <w:t xml:space="preserve">located at the shed </w:t>
      </w:r>
      <w:r w:rsidR="002C34E3">
        <w:rPr>
          <w:sz w:val="26"/>
          <w:szCs w:val="26"/>
        </w:rPr>
        <w:t xml:space="preserve">is </w:t>
      </w:r>
      <w:r w:rsidR="0055287E">
        <w:rPr>
          <w:sz w:val="26"/>
          <w:szCs w:val="26"/>
        </w:rPr>
        <w:t xml:space="preserve">used </w:t>
      </w:r>
      <w:r w:rsidR="002C34E3">
        <w:rPr>
          <w:sz w:val="26"/>
          <w:szCs w:val="26"/>
        </w:rPr>
        <w:t xml:space="preserve">for </w:t>
      </w:r>
      <w:r>
        <w:rPr>
          <w:sz w:val="26"/>
          <w:szCs w:val="26"/>
        </w:rPr>
        <w:t>the</w:t>
      </w:r>
      <w:r w:rsidR="002C34E3">
        <w:rPr>
          <w:sz w:val="26"/>
          <w:szCs w:val="26"/>
        </w:rPr>
        <w:t xml:space="preserve"> </w:t>
      </w:r>
      <w:r w:rsidR="0055287E">
        <w:rPr>
          <w:sz w:val="26"/>
          <w:szCs w:val="26"/>
        </w:rPr>
        <w:t>shared</w:t>
      </w:r>
      <w:r w:rsidR="002C34E3">
        <w:rPr>
          <w:sz w:val="26"/>
          <w:szCs w:val="26"/>
        </w:rPr>
        <w:t xml:space="preserve"> space.  </w:t>
      </w:r>
      <w:r w:rsidRPr="00EA0680">
        <w:rPr>
          <w:i/>
          <w:sz w:val="26"/>
          <w:szCs w:val="26"/>
        </w:rPr>
        <w:t>See</w:t>
      </w:r>
      <w:r>
        <w:rPr>
          <w:sz w:val="26"/>
          <w:szCs w:val="26"/>
        </w:rPr>
        <w:t xml:space="preserve"> </w:t>
      </w:r>
      <w:r w:rsidR="002C34E3">
        <w:rPr>
          <w:sz w:val="26"/>
          <w:szCs w:val="26"/>
        </w:rPr>
        <w:t>Finding</w:t>
      </w:r>
      <w:r w:rsidR="00095135">
        <w:rPr>
          <w:sz w:val="26"/>
          <w:szCs w:val="26"/>
        </w:rPr>
        <w:t>s</w:t>
      </w:r>
      <w:r w:rsidR="002C34E3">
        <w:rPr>
          <w:sz w:val="26"/>
          <w:szCs w:val="26"/>
        </w:rPr>
        <w:t xml:space="preserve"> of Fact No. 6; </w:t>
      </w:r>
      <w:r w:rsidRPr="00EA0680">
        <w:rPr>
          <w:i/>
          <w:sz w:val="26"/>
          <w:szCs w:val="26"/>
        </w:rPr>
        <w:t>see also</w:t>
      </w:r>
      <w:r>
        <w:rPr>
          <w:sz w:val="26"/>
          <w:szCs w:val="26"/>
        </w:rPr>
        <w:t xml:space="preserve"> </w:t>
      </w:r>
      <w:r w:rsidR="002C34E3">
        <w:rPr>
          <w:sz w:val="26"/>
          <w:szCs w:val="26"/>
        </w:rPr>
        <w:t xml:space="preserve">I.D. at 10.  </w:t>
      </w:r>
      <w:r w:rsidR="0070425D">
        <w:rPr>
          <w:sz w:val="26"/>
          <w:szCs w:val="26"/>
        </w:rPr>
        <w:t xml:space="preserve">Following </w:t>
      </w:r>
      <w:r w:rsidR="0019757B">
        <w:rPr>
          <w:sz w:val="26"/>
          <w:szCs w:val="26"/>
        </w:rPr>
        <w:t>its</w:t>
      </w:r>
      <w:r w:rsidR="0070425D">
        <w:rPr>
          <w:sz w:val="26"/>
          <w:szCs w:val="26"/>
        </w:rPr>
        <w:t xml:space="preserve"> determination</w:t>
      </w:r>
      <w:r w:rsidR="0019757B">
        <w:rPr>
          <w:sz w:val="26"/>
          <w:szCs w:val="26"/>
        </w:rPr>
        <w:t xml:space="preserve"> that foreign load was present</w:t>
      </w:r>
      <w:r w:rsidR="0070425D">
        <w:rPr>
          <w:sz w:val="26"/>
          <w:szCs w:val="26"/>
        </w:rPr>
        <w:t>, PPL transferred the account</w:t>
      </w:r>
      <w:r w:rsidR="001E1FFD">
        <w:rPr>
          <w:sz w:val="26"/>
          <w:szCs w:val="26"/>
        </w:rPr>
        <w:t xml:space="preserve"> associated with the tenants’ meter</w:t>
      </w:r>
      <w:r w:rsidR="0070425D">
        <w:rPr>
          <w:sz w:val="26"/>
          <w:szCs w:val="26"/>
        </w:rPr>
        <w:t xml:space="preserve"> from the tenants to the Complainant</w:t>
      </w:r>
      <w:r w:rsidR="00B8436D">
        <w:rPr>
          <w:sz w:val="26"/>
          <w:szCs w:val="26"/>
        </w:rPr>
        <w:t xml:space="preserve"> until the foreign load was corrected</w:t>
      </w:r>
      <w:r w:rsidR="001E1FFD">
        <w:rPr>
          <w:sz w:val="26"/>
          <w:szCs w:val="26"/>
        </w:rPr>
        <w:t xml:space="preserve">.  </w:t>
      </w:r>
      <w:r w:rsidR="0019757B" w:rsidRPr="0019757B">
        <w:rPr>
          <w:i/>
          <w:sz w:val="26"/>
          <w:szCs w:val="26"/>
        </w:rPr>
        <w:t>See</w:t>
      </w:r>
      <w:r w:rsidR="0019757B">
        <w:rPr>
          <w:sz w:val="26"/>
          <w:szCs w:val="26"/>
        </w:rPr>
        <w:t xml:space="preserve"> Findings of Fact No. 15.  </w:t>
      </w:r>
      <w:r w:rsidR="001E1FFD">
        <w:rPr>
          <w:sz w:val="26"/>
          <w:szCs w:val="26"/>
        </w:rPr>
        <w:t xml:space="preserve">In addition, PPL sent a letter to the </w:t>
      </w:r>
      <w:r w:rsidR="0070425D">
        <w:rPr>
          <w:sz w:val="26"/>
          <w:szCs w:val="26"/>
        </w:rPr>
        <w:t xml:space="preserve">Complainant </w:t>
      </w:r>
      <w:r w:rsidR="001E1FFD">
        <w:rPr>
          <w:sz w:val="26"/>
          <w:szCs w:val="26"/>
        </w:rPr>
        <w:t xml:space="preserve">informing him of </w:t>
      </w:r>
      <w:r w:rsidR="0070425D">
        <w:rPr>
          <w:sz w:val="26"/>
          <w:szCs w:val="26"/>
        </w:rPr>
        <w:t xml:space="preserve">the results of its foreign load investigation and </w:t>
      </w:r>
      <w:r w:rsidR="00EA597A">
        <w:rPr>
          <w:sz w:val="26"/>
          <w:szCs w:val="26"/>
        </w:rPr>
        <w:t xml:space="preserve">that </w:t>
      </w:r>
      <w:r w:rsidR="001E1FFD">
        <w:rPr>
          <w:sz w:val="26"/>
          <w:szCs w:val="26"/>
        </w:rPr>
        <w:t xml:space="preserve">the outstanding balance on the </w:t>
      </w:r>
      <w:r w:rsidR="0070425D">
        <w:rPr>
          <w:sz w:val="26"/>
          <w:szCs w:val="26"/>
        </w:rPr>
        <w:t xml:space="preserve">account </w:t>
      </w:r>
      <w:r w:rsidR="00EA597A">
        <w:rPr>
          <w:sz w:val="26"/>
          <w:szCs w:val="26"/>
        </w:rPr>
        <w:t xml:space="preserve">was in </w:t>
      </w:r>
      <w:r w:rsidR="0070425D">
        <w:rPr>
          <w:sz w:val="26"/>
          <w:szCs w:val="26"/>
        </w:rPr>
        <w:t xml:space="preserve">the amount of $944.75.  </w:t>
      </w:r>
      <w:r w:rsidR="0070425D" w:rsidRPr="0070425D">
        <w:rPr>
          <w:i/>
          <w:sz w:val="26"/>
          <w:szCs w:val="26"/>
        </w:rPr>
        <w:t>See</w:t>
      </w:r>
      <w:r w:rsidR="0070425D">
        <w:rPr>
          <w:sz w:val="26"/>
          <w:szCs w:val="26"/>
        </w:rPr>
        <w:t xml:space="preserve"> Findings </w:t>
      </w:r>
      <w:r w:rsidR="006875C8">
        <w:rPr>
          <w:sz w:val="26"/>
          <w:szCs w:val="26"/>
        </w:rPr>
        <w:t>of Fact Nos.</w:t>
      </w:r>
      <w:r w:rsidR="0019757B">
        <w:rPr>
          <w:sz w:val="26"/>
          <w:szCs w:val="26"/>
        </w:rPr>
        <w:t xml:space="preserve"> 16</w:t>
      </w:r>
      <w:r w:rsidR="0070425D">
        <w:rPr>
          <w:sz w:val="26"/>
          <w:szCs w:val="26"/>
        </w:rPr>
        <w:t>-18</w:t>
      </w:r>
      <w:r w:rsidR="006875C8">
        <w:rPr>
          <w:sz w:val="26"/>
          <w:szCs w:val="26"/>
        </w:rPr>
        <w:t>.</w:t>
      </w:r>
      <w:r w:rsidR="00B8436D">
        <w:rPr>
          <w:sz w:val="26"/>
          <w:szCs w:val="26"/>
        </w:rPr>
        <w:t xml:space="preserve">  The </w:t>
      </w:r>
      <w:r w:rsidR="00EA597A">
        <w:rPr>
          <w:sz w:val="26"/>
          <w:szCs w:val="26"/>
        </w:rPr>
        <w:t>foreign load</w:t>
      </w:r>
      <w:r w:rsidR="00B8436D">
        <w:rPr>
          <w:sz w:val="26"/>
          <w:szCs w:val="26"/>
        </w:rPr>
        <w:t xml:space="preserve"> was corrected </w:t>
      </w:r>
      <w:r w:rsidR="00EA597A">
        <w:rPr>
          <w:sz w:val="26"/>
          <w:szCs w:val="26"/>
        </w:rPr>
        <w:t xml:space="preserve">by </w:t>
      </w:r>
      <w:r w:rsidR="00095135">
        <w:rPr>
          <w:sz w:val="26"/>
          <w:szCs w:val="26"/>
        </w:rPr>
        <w:t xml:space="preserve">the </w:t>
      </w:r>
      <w:r w:rsidR="00EA597A">
        <w:rPr>
          <w:sz w:val="26"/>
          <w:szCs w:val="26"/>
        </w:rPr>
        <w:t>Complainant</w:t>
      </w:r>
      <w:r w:rsidR="0019757B">
        <w:rPr>
          <w:sz w:val="26"/>
          <w:szCs w:val="26"/>
        </w:rPr>
        <w:t>’s hired electrician</w:t>
      </w:r>
      <w:r w:rsidR="00EA597A">
        <w:rPr>
          <w:sz w:val="26"/>
          <w:szCs w:val="26"/>
        </w:rPr>
        <w:t xml:space="preserve"> on</w:t>
      </w:r>
      <w:r w:rsidR="00B8436D">
        <w:rPr>
          <w:sz w:val="26"/>
          <w:szCs w:val="26"/>
        </w:rPr>
        <w:t xml:space="preserve"> </w:t>
      </w:r>
      <w:r w:rsidR="00B8436D">
        <w:rPr>
          <w:sz w:val="26"/>
          <w:szCs w:val="26"/>
        </w:rPr>
        <w:lastRenderedPageBreak/>
        <w:t>April</w:t>
      </w:r>
      <w:r w:rsidR="00EA597A">
        <w:rPr>
          <w:sz w:val="26"/>
          <w:szCs w:val="26"/>
        </w:rPr>
        <w:t xml:space="preserve"> 25,</w:t>
      </w:r>
      <w:r w:rsidR="00B8436D">
        <w:rPr>
          <w:sz w:val="26"/>
          <w:szCs w:val="26"/>
        </w:rPr>
        <w:t xml:space="preserve"> 2016.  </w:t>
      </w:r>
      <w:r w:rsidR="0055287E" w:rsidRPr="0055287E">
        <w:rPr>
          <w:i/>
          <w:sz w:val="26"/>
          <w:szCs w:val="26"/>
        </w:rPr>
        <w:t>See</w:t>
      </w:r>
      <w:r w:rsidR="0055287E">
        <w:rPr>
          <w:sz w:val="26"/>
          <w:szCs w:val="26"/>
        </w:rPr>
        <w:t xml:space="preserve"> </w:t>
      </w:r>
      <w:r w:rsidR="00B8436D">
        <w:rPr>
          <w:sz w:val="26"/>
          <w:szCs w:val="26"/>
        </w:rPr>
        <w:t>Findings of Fact No</w:t>
      </w:r>
      <w:r w:rsidR="0040173E">
        <w:rPr>
          <w:sz w:val="26"/>
          <w:szCs w:val="26"/>
        </w:rPr>
        <w:t>s</w:t>
      </w:r>
      <w:r w:rsidR="00B8436D">
        <w:rPr>
          <w:sz w:val="26"/>
          <w:szCs w:val="26"/>
        </w:rPr>
        <w:t xml:space="preserve">. </w:t>
      </w:r>
      <w:r w:rsidR="0040173E">
        <w:rPr>
          <w:sz w:val="26"/>
          <w:szCs w:val="26"/>
        </w:rPr>
        <w:t>7</w:t>
      </w:r>
      <w:r w:rsidR="0019757B">
        <w:rPr>
          <w:sz w:val="26"/>
          <w:szCs w:val="26"/>
        </w:rPr>
        <w:t>-8</w:t>
      </w:r>
      <w:r w:rsidR="0040173E">
        <w:rPr>
          <w:sz w:val="26"/>
          <w:szCs w:val="26"/>
        </w:rPr>
        <w:t xml:space="preserve">, </w:t>
      </w:r>
      <w:r w:rsidR="00B8436D">
        <w:rPr>
          <w:sz w:val="26"/>
          <w:szCs w:val="26"/>
        </w:rPr>
        <w:t xml:space="preserve">22.  </w:t>
      </w:r>
      <w:r w:rsidR="00A82B2D">
        <w:rPr>
          <w:sz w:val="26"/>
          <w:szCs w:val="26"/>
        </w:rPr>
        <w:t xml:space="preserve">Once the foreign load was corrected, the tenants again assumed responsibility for their usage on the account.  </w:t>
      </w:r>
      <w:r w:rsidR="00A82B2D" w:rsidRPr="00A82B2D">
        <w:rPr>
          <w:i/>
          <w:sz w:val="26"/>
          <w:szCs w:val="26"/>
        </w:rPr>
        <w:t>See</w:t>
      </w:r>
      <w:r w:rsidR="00A82B2D">
        <w:rPr>
          <w:sz w:val="26"/>
          <w:szCs w:val="26"/>
        </w:rPr>
        <w:t xml:space="preserve"> I.D. at 11.</w:t>
      </w:r>
    </w:p>
    <w:p w:rsidR="0028706C" w:rsidRPr="00CD27A2" w:rsidRDefault="0028706C" w:rsidP="00EA5DB2">
      <w:pPr>
        <w:widowControl/>
        <w:spacing w:line="360" w:lineRule="auto"/>
        <w:ind w:firstLine="1440"/>
        <w:rPr>
          <w:sz w:val="26"/>
          <w:szCs w:val="26"/>
        </w:rPr>
      </w:pPr>
    </w:p>
    <w:p w:rsidR="00CA43A5" w:rsidRDefault="00CA43A5" w:rsidP="00295CBB">
      <w:pPr>
        <w:keepNext/>
        <w:widowControl/>
        <w:spacing w:line="360" w:lineRule="auto"/>
        <w:jc w:val="center"/>
        <w:rPr>
          <w:b/>
          <w:sz w:val="26"/>
          <w:szCs w:val="26"/>
        </w:rPr>
      </w:pPr>
      <w:r w:rsidRPr="00CA43A5">
        <w:rPr>
          <w:b/>
          <w:sz w:val="26"/>
          <w:szCs w:val="26"/>
        </w:rPr>
        <w:t>Discussion</w:t>
      </w:r>
    </w:p>
    <w:p w:rsidR="00D8205B" w:rsidRDefault="00D8205B" w:rsidP="00295CBB">
      <w:pPr>
        <w:keepNext/>
        <w:widowControl/>
        <w:spacing w:line="360" w:lineRule="auto"/>
        <w:ind w:firstLine="1440"/>
        <w:rPr>
          <w:spacing w:val="-3"/>
          <w:sz w:val="26"/>
        </w:rPr>
      </w:pPr>
    </w:p>
    <w:p w:rsidR="00883B25" w:rsidRDefault="00D8205B" w:rsidP="00295CBB">
      <w:pPr>
        <w:widowControl/>
        <w:spacing w:line="360" w:lineRule="auto"/>
        <w:ind w:firstLine="1440"/>
        <w:rPr>
          <w:sz w:val="26"/>
          <w:szCs w:val="26"/>
        </w:rPr>
      </w:pPr>
      <w:r>
        <w:rPr>
          <w:spacing w:val="-3"/>
          <w:sz w:val="26"/>
        </w:rPr>
        <w:t xml:space="preserve">We begin by considering the nature of the matter before us because the analysis to be applied depends on the type of filing before us.  </w:t>
      </w:r>
      <w:r w:rsidR="00883B25">
        <w:rPr>
          <w:spacing w:val="-3"/>
          <w:sz w:val="26"/>
        </w:rPr>
        <w:t xml:space="preserve">In this case, </w:t>
      </w:r>
      <w:r w:rsidR="00883B25">
        <w:rPr>
          <w:sz w:val="26"/>
          <w:szCs w:val="26"/>
        </w:rPr>
        <w:t>Exceptions to the Initial Decision were due on February 20, 2017.  Exceptions were not received by the Comm</w:t>
      </w:r>
      <w:r w:rsidR="001E1FFD">
        <w:rPr>
          <w:sz w:val="26"/>
          <w:szCs w:val="26"/>
        </w:rPr>
        <w:t>ission by the required due date, and the Commission did not exercise its</w:t>
      </w:r>
      <w:r w:rsidR="001E1FFD" w:rsidRPr="0045502C">
        <w:rPr>
          <w:sz w:val="26"/>
          <w:szCs w:val="26"/>
        </w:rPr>
        <w:t xml:space="preserve"> right to review the Initial Decision pursuant to Section 332(h)</w:t>
      </w:r>
      <w:r w:rsidR="001E1FFD">
        <w:rPr>
          <w:sz w:val="26"/>
          <w:szCs w:val="26"/>
        </w:rPr>
        <w:t xml:space="preserve"> of the Public Utility Code (Code), 66 Pa. C.S. § 332(h).</w:t>
      </w:r>
      <w:r w:rsidR="001E1FFD" w:rsidRPr="0045502C">
        <w:rPr>
          <w:sz w:val="26"/>
          <w:szCs w:val="26"/>
        </w:rPr>
        <w:t xml:space="preserve"> </w:t>
      </w:r>
      <w:r w:rsidR="001E1FFD">
        <w:rPr>
          <w:sz w:val="26"/>
          <w:szCs w:val="26"/>
        </w:rPr>
        <w:t xml:space="preserve"> </w:t>
      </w:r>
      <w:r w:rsidR="001E1FFD" w:rsidRPr="00662FE0">
        <w:rPr>
          <w:sz w:val="26"/>
          <w:szCs w:val="26"/>
        </w:rPr>
        <w:t>Therefore</w:t>
      </w:r>
      <w:r w:rsidR="00883B25" w:rsidRPr="00662FE0">
        <w:rPr>
          <w:sz w:val="26"/>
          <w:szCs w:val="26"/>
        </w:rPr>
        <w:t xml:space="preserve">, in accordance with Section 332(h) of the Code, 66 Pa. C.S. § 332(h), the </w:t>
      </w:r>
      <w:r w:rsidR="00E8024F" w:rsidRPr="00662FE0">
        <w:rPr>
          <w:sz w:val="26"/>
          <w:szCs w:val="26"/>
        </w:rPr>
        <w:t xml:space="preserve">Initial Decision of </w:t>
      </w:r>
      <w:r w:rsidR="00883B25" w:rsidRPr="00662FE0">
        <w:rPr>
          <w:sz w:val="26"/>
          <w:szCs w:val="26"/>
        </w:rPr>
        <w:t xml:space="preserve">ALJ </w:t>
      </w:r>
      <w:r w:rsidR="00E8024F" w:rsidRPr="00662FE0">
        <w:rPr>
          <w:sz w:val="26"/>
          <w:szCs w:val="26"/>
        </w:rPr>
        <w:t xml:space="preserve">Cheskis, </w:t>
      </w:r>
      <w:r w:rsidR="001C62EF">
        <w:rPr>
          <w:sz w:val="26"/>
          <w:szCs w:val="26"/>
        </w:rPr>
        <w:t xml:space="preserve">issued </w:t>
      </w:r>
      <w:r w:rsidR="00EA5DB2">
        <w:rPr>
          <w:sz w:val="26"/>
          <w:szCs w:val="26"/>
        </w:rPr>
        <w:t xml:space="preserve">on </w:t>
      </w:r>
      <w:r w:rsidR="00E8024F" w:rsidRPr="00662FE0">
        <w:rPr>
          <w:sz w:val="26"/>
          <w:szCs w:val="26"/>
        </w:rPr>
        <w:t xml:space="preserve">January </w:t>
      </w:r>
      <w:r w:rsidR="001C62EF">
        <w:rPr>
          <w:sz w:val="26"/>
          <w:szCs w:val="26"/>
        </w:rPr>
        <w:t>31</w:t>
      </w:r>
      <w:r w:rsidR="00E8024F" w:rsidRPr="00662FE0">
        <w:rPr>
          <w:sz w:val="26"/>
          <w:szCs w:val="26"/>
        </w:rPr>
        <w:t xml:space="preserve">, 2017, </w:t>
      </w:r>
      <w:r w:rsidR="00883B25" w:rsidRPr="00662FE0">
        <w:rPr>
          <w:sz w:val="26"/>
          <w:szCs w:val="26"/>
        </w:rPr>
        <w:t>became final without further Commission action</w:t>
      </w:r>
      <w:r w:rsidR="001E1FFD" w:rsidRPr="00662FE0">
        <w:rPr>
          <w:sz w:val="26"/>
          <w:szCs w:val="26"/>
        </w:rPr>
        <w:t>, and a</w:t>
      </w:r>
      <w:r w:rsidR="00883B25" w:rsidRPr="00662FE0">
        <w:rPr>
          <w:sz w:val="26"/>
          <w:szCs w:val="26"/>
        </w:rPr>
        <w:t xml:space="preserve"> Final Order </w:t>
      </w:r>
      <w:r w:rsidR="001E1FFD" w:rsidRPr="00662FE0">
        <w:rPr>
          <w:sz w:val="26"/>
          <w:szCs w:val="26"/>
        </w:rPr>
        <w:t xml:space="preserve">was entered </w:t>
      </w:r>
      <w:r w:rsidR="00883B25" w:rsidRPr="00662FE0">
        <w:rPr>
          <w:sz w:val="26"/>
          <w:szCs w:val="26"/>
        </w:rPr>
        <w:t xml:space="preserve">on March 7, 2017, </w:t>
      </w:r>
      <w:r w:rsidR="00F058BC">
        <w:rPr>
          <w:sz w:val="26"/>
          <w:szCs w:val="26"/>
        </w:rPr>
        <w:t xml:space="preserve">stating as much, as well as </w:t>
      </w:r>
      <w:r w:rsidR="00883B25" w:rsidRPr="00662FE0">
        <w:rPr>
          <w:sz w:val="26"/>
          <w:szCs w:val="26"/>
        </w:rPr>
        <w:t>dismissing the Complaint and closing the matter.  The Complainant</w:t>
      </w:r>
      <w:r w:rsidR="00170779" w:rsidRPr="00662FE0">
        <w:rPr>
          <w:sz w:val="26"/>
          <w:szCs w:val="26"/>
        </w:rPr>
        <w:t>, who is unrepresented,</w:t>
      </w:r>
      <w:r w:rsidR="00883B25" w:rsidRPr="00662FE0">
        <w:rPr>
          <w:sz w:val="26"/>
          <w:szCs w:val="26"/>
        </w:rPr>
        <w:t xml:space="preserve"> filed Exceptions on March 13, 2017</w:t>
      </w:r>
      <w:r w:rsidR="00E8024F" w:rsidRPr="00662FE0">
        <w:rPr>
          <w:sz w:val="26"/>
          <w:szCs w:val="26"/>
        </w:rPr>
        <w:t xml:space="preserve">, which </w:t>
      </w:r>
      <w:r w:rsidR="00170779" w:rsidRPr="00662FE0">
        <w:rPr>
          <w:sz w:val="26"/>
          <w:szCs w:val="26"/>
        </w:rPr>
        <w:t>was</w:t>
      </w:r>
      <w:r w:rsidR="00E8024F" w:rsidRPr="00662FE0">
        <w:rPr>
          <w:sz w:val="26"/>
          <w:szCs w:val="26"/>
        </w:rPr>
        <w:t xml:space="preserve"> within six days of the Final Order.  </w:t>
      </w:r>
      <w:r w:rsidR="00095135" w:rsidRPr="00EA5DB2">
        <w:rPr>
          <w:sz w:val="26"/>
          <w:szCs w:val="26"/>
        </w:rPr>
        <w:t xml:space="preserve">Particularly </w:t>
      </w:r>
      <w:r w:rsidR="00095135" w:rsidRPr="00662FE0">
        <w:rPr>
          <w:sz w:val="26"/>
          <w:szCs w:val="26"/>
        </w:rPr>
        <w:t>because the Complainant is unrepresented and because his filing was made reasonably near the entry date of the Final Order in this case,</w:t>
      </w:r>
      <w:r w:rsidR="00883B25" w:rsidRPr="00662FE0">
        <w:rPr>
          <w:i/>
          <w:sz w:val="26"/>
          <w:szCs w:val="26"/>
        </w:rPr>
        <w:t xml:space="preserve"> </w:t>
      </w:r>
      <w:r w:rsidR="00883B25" w:rsidRPr="00662FE0">
        <w:rPr>
          <w:sz w:val="26"/>
          <w:szCs w:val="26"/>
        </w:rPr>
        <w:t>we will exercise our discretion under 52 Pa</w:t>
      </w:r>
      <w:r w:rsidR="00B84B23" w:rsidRPr="00662FE0">
        <w:rPr>
          <w:sz w:val="26"/>
          <w:szCs w:val="26"/>
        </w:rPr>
        <w:t xml:space="preserve">. Code § 1.2(a), which requires that our Regulations be liberally construed to secure the just, speedy, and inexpensive determination of every action or proceeding to which they are applicable, </w:t>
      </w:r>
      <w:r w:rsidR="00883B25" w:rsidRPr="00662FE0">
        <w:rPr>
          <w:sz w:val="26"/>
          <w:szCs w:val="26"/>
        </w:rPr>
        <w:t>and consider the Complainant’s filing on March 13, 2017, as a Petition for Reconsideration of the Commission’s final decision.  52 Pa. Code § 5.572(c).  Consequently, we will treat the Replies to Exceptions filed by the Respondent on March</w:t>
      </w:r>
      <w:r w:rsidR="00507079">
        <w:rPr>
          <w:sz w:val="26"/>
          <w:szCs w:val="26"/>
        </w:rPr>
        <w:t> </w:t>
      </w:r>
      <w:r w:rsidR="00883B25" w:rsidRPr="00662FE0">
        <w:rPr>
          <w:sz w:val="26"/>
          <w:szCs w:val="26"/>
        </w:rPr>
        <w:t>24, 2017, as an Answer to the Petition for Reconsideration.   52 Pa. Code §</w:t>
      </w:r>
      <w:r w:rsidR="00507079">
        <w:rPr>
          <w:sz w:val="26"/>
          <w:szCs w:val="26"/>
        </w:rPr>
        <w:t> </w:t>
      </w:r>
      <w:r w:rsidR="00883B25" w:rsidRPr="00662FE0">
        <w:rPr>
          <w:sz w:val="26"/>
          <w:szCs w:val="26"/>
        </w:rPr>
        <w:t>5.572(e).</w:t>
      </w:r>
      <w:r w:rsidR="00E8024F" w:rsidRPr="00662FE0">
        <w:rPr>
          <w:sz w:val="26"/>
          <w:szCs w:val="26"/>
        </w:rPr>
        <w:t xml:space="preserve">  However, we will disregard</w:t>
      </w:r>
      <w:r w:rsidR="0019757B" w:rsidRPr="00662FE0">
        <w:rPr>
          <w:sz w:val="26"/>
          <w:szCs w:val="26"/>
        </w:rPr>
        <w:t>,</w:t>
      </w:r>
      <w:r w:rsidR="002D73F0" w:rsidRPr="00662FE0">
        <w:rPr>
          <w:sz w:val="26"/>
          <w:szCs w:val="26"/>
        </w:rPr>
        <w:t xml:space="preserve"> in entirety</w:t>
      </w:r>
      <w:r w:rsidR="0019757B" w:rsidRPr="00662FE0">
        <w:rPr>
          <w:sz w:val="26"/>
          <w:szCs w:val="26"/>
        </w:rPr>
        <w:t>,</w:t>
      </w:r>
      <w:r w:rsidR="00170779" w:rsidRPr="00662FE0">
        <w:rPr>
          <w:sz w:val="26"/>
          <w:szCs w:val="26"/>
        </w:rPr>
        <w:t xml:space="preserve"> </w:t>
      </w:r>
      <w:r w:rsidR="002D73F0" w:rsidRPr="00662FE0">
        <w:rPr>
          <w:sz w:val="26"/>
          <w:szCs w:val="26"/>
        </w:rPr>
        <w:t xml:space="preserve">the </w:t>
      </w:r>
      <w:r w:rsidR="00E8024F" w:rsidRPr="00662FE0">
        <w:rPr>
          <w:sz w:val="26"/>
          <w:szCs w:val="26"/>
        </w:rPr>
        <w:t xml:space="preserve">Complainant’s </w:t>
      </w:r>
      <w:r w:rsidR="00E8024F">
        <w:rPr>
          <w:sz w:val="26"/>
          <w:szCs w:val="26"/>
        </w:rPr>
        <w:t>filing dated April</w:t>
      </w:r>
      <w:r w:rsidR="00507079">
        <w:rPr>
          <w:sz w:val="26"/>
          <w:szCs w:val="26"/>
        </w:rPr>
        <w:t> </w:t>
      </w:r>
      <w:r w:rsidR="00E8024F">
        <w:rPr>
          <w:sz w:val="26"/>
          <w:szCs w:val="26"/>
        </w:rPr>
        <w:t>11, 2017, as our Regulations do not permit replies to an Answer to a Petition for Reconsideration.</w:t>
      </w:r>
    </w:p>
    <w:p w:rsidR="0043592C" w:rsidRDefault="007B531E" w:rsidP="00295CBB">
      <w:pPr>
        <w:keepNext/>
        <w:widowControl/>
        <w:spacing w:line="360" w:lineRule="auto"/>
        <w:rPr>
          <w:sz w:val="26"/>
          <w:szCs w:val="26"/>
        </w:rPr>
      </w:pPr>
      <w:r>
        <w:rPr>
          <w:b/>
          <w:sz w:val="26"/>
          <w:szCs w:val="26"/>
        </w:rPr>
        <w:lastRenderedPageBreak/>
        <w:t>Legal Standard</w:t>
      </w:r>
    </w:p>
    <w:p w:rsidR="00095135" w:rsidRDefault="00095135" w:rsidP="00295CBB">
      <w:pPr>
        <w:keepNext/>
        <w:widowControl/>
        <w:spacing w:line="360" w:lineRule="auto"/>
        <w:rPr>
          <w:sz w:val="26"/>
          <w:szCs w:val="26"/>
        </w:rPr>
      </w:pPr>
    </w:p>
    <w:p w:rsidR="00E8024F" w:rsidRDefault="00E8024F" w:rsidP="00295CBB">
      <w:pPr>
        <w:widowControl/>
        <w:spacing w:line="360" w:lineRule="auto"/>
        <w:ind w:firstLine="1440"/>
        <w:rPr>
          <w:sz w:val="26"/>
        </w:rPr>
      </w:pPr>
      <w:r>
        <w:rPr>
          <w:sz w:val="26"/>
        </w:rPr>
        <w:t>The Code establishes a party’s right to seek relief following the issuance of ou</w:t>
      </w:r>
      <w:r w:rsidR="0019757B">
        <w:rPr>
          <w:sz w:val="26"/>
        </w:rPr>
        <w:t>r final decisions pursuant to S</w:t>
      </w:r>
      <w:r>
        <w:rPr>
          <w:sz w:val="26"/>
        </w:rPr>
        <w:t>ections 703(f) and (g)</w:t>
      </w:r>
      <w:r w:rsidR="0019757B">
        <w:rPr>
          <w:sz w:val="26"/>
        </w:rPr>
        <w:t xml:space="preserve"> of the Code</w:t>
      </w:r>
      <w:r>
        <w:rPr>
          <w:sz w:val="26"/>
        </w:rPr>
        <w:t xml:space="preserve">, 66 Pa. C.S. § 703(f) </w:t>
      </w:r>
    </w:p>
    <w:p w:rsidR="00E8024F" w:rsidRDefault="00E8024F" w:rsidP="00295CBB">
      <w:pPr>
        <w:widowControl/>
        <w:spacing w:line="360" w:lineRule="auto"/>
        <w:rPr>
          <w:sz w:val="26"/>
        </w:rPr>
      </w:pPr>
      <w:r>
        <w:rPr>
          <w:sz w:val="26"/>
        </w:rPr>
        <w:t>and § 703(g), relating to rehearings, as well as the rescission and amendment of orders.  Such requests for relief must be consistent with Section</w:t>
      </w:r>
      <w:r w:rsidR="00B84B23">
        <w:rPr>
          <w:sz w:val="26"/>
        </w:rPr>
        <w:t xml:space="preserve"> 5.572 of our Regulations, </w:t>
      </w:r>
      <w:r>
        <w:rPr>
          <w:sz w:val="26"/>
        </w:rPr>
        <w:t>52 Pa. Code § 5.572, relating to petitions for relief following the issuance of a final decision.</w:t>
      </w:r>
    </w:p>
    <w:p w:rsidR="00E8024F" w:rsidRDefault="00E8024F" w:rsidP="00295CBB">
      <w:pPr>
        <w:widowControl/>
        <w:spacing w:line="360" w:lineRule="auto"/>
        <w:rPr>
          <w:sz w:val="26"/>
        </w:rPr>
      </w:pPr>
    </w:p>
    <w:p w:rsidR="00E8024F" w:rsidRPr="007916B3" w:rsidRDefault="00E8024F" w:rsidP="00295CBB">
      <w:pPr>
        <w:widowControl/>
        <w:spacing w:line="360" w:lineRule="auto"/>
        <w:ind w:firstLine="1440"/>
        <w:rPr>
          <w:sz w:val="26"/>
        </w:rPr>
      </w:pPr>
      <w:r>
        <w:rPr>
          <w:sz w:val="26"/>
        </w:rPr>
        <w:t xml:space="preserve">The standards for granting a Petition for Reconsideration were set forth in </w:t>
      </w:r>
      <w:r>
        <w:rPr>
          <w:i/>
          <w:sz w:val="26"/>
        </w:rPr>
        <w:t>Duick v. Pennsylvania Gas and Water Company</w:t>
      </w:r>
      <w:r>
        <w:rPr>
          <w:sz w:val="26"/>
        </w:rPr>
        <w:t xml:space="preserve">, </w:t>
      </w:r>
      <w:r>
        <w:rPr>
          <w:sz w:val="26"/>
          <w:szCs w:val="24"/>
        </w:rPr>
        <w:t>56 Pa. P.U.C. 553</w:t>
      </w:r>
      <w:r>
        <w:rPr>
          <w:sz w:val="26"/>
        </w:rPr>
        <w:t xml:space="preserve"> (1982):  </w:t>
      </w:r>
    </w:p>
    <w:p w:rsidR="00E8024F" w:rsidRDefault="00E8024F" w:rsidP="00295CBB">
      <w:pPr>
        <w:widowControl/>
        <w:rPr>
          <w:sz w:val="26"/>
        </w:rPr>
      </w:pPr>
    </w:p>
    <w:p w:rsidR="00E8024F" w:rsidRDefault="00E8024F" w:rsidP="00295CBB">
      <w:pPr>
        <w:widowControl/>
        <w:ind w:left="1440" w:right="1440"/>
        <w:rPr>
          <w:sz w:val="26"/>
        </w:rPr>
      </w:pPr>
      <w:r>
        <w:rPr>
          <w:sz w:val="26"/>
        </w:rPr>
        <w:t>A Petition for Reconsideration, under the provisions of 66 Pa.</w:t>
      </w:r>
      <w:r w:rsidR="000A6C6D">
        <w:rPr>
          <w:sz w:val="26"/>
        </w:rPr>
        <w:t> </w:t>
      </w:r>
      <w:r>
        <w:rPr>
          <w:sz w:val="26"/>
        </w:rPr>
        <w:t>C.S. § 703(g), may properly raise any matters designed to convince the Commission that it should exercise its discretion under this code section to rescind or amend a prior order in whole or in part.</w:t>
      </w:r>
    </w:p>
    <w:p w:rsidR="00E8024F" w:rsidRDefault="00E8024F" w:rsidP="00295CBB">
      <w:pPr>
        <w:widowControl/>
        <w:ind w:left="1440" w:right="1440"/>
        <w:rPr>
          <w:sz w:val="26"/>
        </w:rPr>
      </w:pPr>
    </w:p>
    <w:p w:rsidR="00E8024F" w:rsidRDefault="00E8024F" w:rsidP="00295CBB">
      <w:pPr>
        <w:widowControl/>
        <w:ind w:left="1440" w:right="1440"/>
        <w:rPr>
          <w:sz w:val="26"/>
        </w:rPr>
      </w:pPr>
      <w:r>
        <w:rPr>
          <w:sz w:val="26"/>
        </w:rPr>
        <w:tab/>
        <w:t>In this regard we agree with the court in the Pennsyl</w:t>
      </w:r>
      <w:r>
        <w:rPr>
          <w:sz w:val="26"/>
        </w:rPr>
        <w:softHyphen/>
        <w:t>vania Railroad Company case, wherein it was stated that:</w:t>
      </w:r>
    </w:p>
    <w:p w:rsidR="00E8024F" w:rsidRDefault="00E8024F" w:rsidP="00295CBB">
      <w:pPr>
        <w:widowControl/>
        <w:ind w:left="2160" w:right="2160"/>
        <w:rPr>
          <w:sz w:val="26"/>
        </w:rPr>
      </w:pPr>
    </w:p>
    <w:p w:rsidR="00E8024F" w:rsidRDefault="00E8024F" w:rsidP="00295CBB">
      <w:pPr>
        <w:pStyle w:val="BlockText"/>
        <w:widowControl/>
        <w:spacing w:line="240" w:lineRule="auto"/>
        <w:ind w:left="2160"/>
      </w:pPr>
      <w:r>
        <w:tab/>
        <w:t>Parties . . . cannot be permitted by a second motion to review and reconsider, to raise the same questions which were specifically decided against them . . . what we expect to see raised in such petitions are new and novel arguments, not previously heard, or considera</w:t>
      </w:r>
      <w:r>
        <w:softHyphen/>
        <w:t>tions which appear to have been overlooked by the Commission.</w:t>
      </w:r>
    </w:p>
    <w:p w:rsidR="00E8024F" w:rsidRDefault="00E8024F" w:rsidP="00295CBB">
      <w:pPr>
        <w:pStyle w:val="BlockText"/>
        <w:widowControl/>
        <w:spacing w:line="240" w:lineRule="auto"/>
        <w:ind w:left="2160"/>
      </w:pPr>
    </w:p>
    <w:p w:rsidR="00E8024F" w:rsidRDefault="00E8024F" w:rsidP="00295CBB">
      <w:pPr>
        <w:widowControl/>
        <w:spacing w:line="360" w:lineRule="auto"/>
        <w:rPr>
          <w:sz w:val="26"/>
          <w:szCs w:val="24"/>
        </w:rPr>
      </w:pPr>
      <w:r>
        <w:rPr>
          <w:i/>
          <w:sz w:val="26"/>
        </w:rPr>
        <w:t>Duick,</w:t>
      </w:r>
      <w:r>
        <w:rPr>
          <w:sz w:val="26"/>
        </w:rPr>
        <w:t xml:space="preserve"> </w:t>
      </w:r>
      <w:r>
        <w:rPr>
          <w:sz w:val="26"/>
          <w:szCs w:val="24"/>
        </w:rPr>
        <w:t xml:space="preserve">56 Pa. P.U.C. at 559 (quoting </w:t>
      </w:r>
      <w:r>
        <w:rPr>
          <w:i/>
          <w:sz w:val="26"/>
          <w:szCs w:val="24"/>
        </w:rPr>
        <w:t>Pennsylvania Railroad Co. v. Pennsylvania Public Service Commission</w:t>
      </w:r>
      <w:r>
        <w:rPr>
          <w:sz w:val="26"/>
          <w:szCs w:val="24"/>
        </w:rPr>
        <w:t>, 179 A. 850, 854 (Pa. Super. Ct. 1935)).</w:t>
      </w:r>
    </w:p>
    <w:p w:rsidR="00E8024F" w:rsidRPr="00565C75" w:rsidRDefault="00E8024F" w:rsidP="00295CBB">
      <w:pPr>
        <w:widowControl/>
        <w:spacing w:line="360" w:lineRule="auto"/>
        <w:rPr>
          <w:sz w:val="26"/>
        </w:rPr>
      </w:pPr>
    </w:p>
    <w:p w:rsidR="00E8024F" w:rsidRPr="00E8024F" w:rsidRDefault="002A084D" w:rsidP="00295CBB">
      <w:pPr>
        <w:widowControl/>
        <w:spacing w:line="360" w:lineRule="auto"/>
        <w:ind w:firstLine="1440"/>
        <w:rPr>
          <w:color w:val="000000"/>
          <w:spacing w:val="-3"/>
          <w:sz w:val="26"/>
          <w:u w:color="000000"/>
        </w:rPr>
      </w:pPr>
      <w:r w:rsidRPr="006067FC">
        <w:rPr>
          <w:sz w:val="26"/>
          <w:szCs w:val="26"/>
        </w:rPr>
        <w:t xml:space="preserve">A petition to </w:t>
      </w:r>
      <w:r>
        <w:rPr>
          <w:sz w:val="26"/>
          <w:szCs w:val="26"/>
        </w:rPr>
        <w:t xml:space="preserve">amend </w:t>
      </w:r>
      <w:r w:rsidRPr="006067FC">
        <w:rPr>
          <w:sz w:val="26"/>
          <w:szCs w:val="26"/>
        </w:rPr>
        <w:t xml:space="preserve">or rescind a final Commission order may only be granted judiciously and under appropriate circumstances, because such an action results in the disturbance of final orders.  </w:t>
      </w:r>
      <w:r w:rsidRPr="006067FC">
        <w:rPr>
          <w:i/>
          <w:sz w:val="26"/>
          <w:szCs w:val="26"/>
        </w:rPr>
        <w:t xml:space="preserve">City of Pittsburgh v. Pennsylvania Department of </w:t>
      </w:r>
      <w:r w:rsidRPr="006067FC">
        <w:rPr>
          <w:i/>
          <w:sz w:val="26"/>
          <w:szCs w:val="26"/>
        </w:rPr>
        <w:lastRenderedPageBreak/>
        <w:t>Transportation,</w:t>
      </w:r>
      <w:r w:rsidRPr="006067FC">
        <w:rPr>
          <w:sz w:val="26"/>
          <w:szCs w:val="26"/>
        </w:rPr>
        <w:t xml:space="preserve"> 490 Pa. 264, 416 A.2d 461 (1980).  Additionally, we recognize that, while a petition under Section 703(g) may raise any matter designed to convince us that we should exercise our discretion to amend or rescind a prior order, at the same time “[p]arties . . ., cannot be permitted by a second motion to review and reconsider, to raise the same questions which were specifically considered and decided against them.”  </w:t>
      </w:r>
      <w:r w:rsidRPr="006067FC">
        <w:rPr>
          <w:i/>
          <w:sz w:val="26"/>
          <w:szCs w:val="26"/>
        </w:rPr>
        <w:t>Duick v. Pennsylvania Gas and Water Company</w:t>
      </w:r>
      <w:r w:rsidRPr="006067FC">
        <w:rPr>
          <w:sz w:val="26"/>
          <w:szCs w:val="26"/>
        </w:rPr>
        <w:t xml:space="preserve">, 56 Pa. P.U.C. 553 (Order entered December 17, 1982) (quoting </w:t>
      </w:r>
      <w:r w:rsidRPr="006067FC">
        <w:rPr>
          <w:i/>
          <w:sz w:val="26"/>
          <w:szCs w:val="26"/>
        </w:rPr>
        <w:t>Pennsylvania Railroad Co. v. Pennsylvania Public Service Commission</w:t>
      </w:r>
      <w:r w:rsidRPr="006067FC">
        <w:rPr>
          <w:sz w:val="26"/>
          <w:szCs w:val="26"/>
        </w:rPr>
        <w:t xml:space="preserve">, 179 A. 850, 854 (Pa. Super. Ct. 1935)).  </w:t>
      </w:r>
      <w:r w:rsidR="00E8024F">
        <w:rPr>
          <w:color w:val="000000"/>
          <w:spacing w:val="-3"/>
          <w:sz w:val="26"/>
          <w:u w:color="000000"/>
        </w:rPr>
        <w:t>Such petitions are likely to succeed only when they raise “new and novel arguments” not previously heard</w:t>
      </w:r>
      <w:r w:rsidR="00F058BC">
        <w:rPr>
          <w:color w:val="000000"/>
          <w:spacing w:val="-3"/>
          <w:sz w:val="26"/>
          <w:u w:color="000000"/>
        </w:rPr>
        <w:t>,</w:t>
      </w:r>
      <w:r w:rsidR="00E8024F">
        <w:rPr>
          <w:color w:val="000000"/>
          <w:spacing w:val="-3"/>
          <w:sz w:val="26"/>
          <w:u w:color="000000"/>
        </w:rPr>
        <w:t xml:space="preserve"> or considerations which appear to have been overlooked or not addressed by the Commission.  </w:t>
      </w:r>
      <w:r w:rsidR="00E8024F">
        <w:rPr>
          <w:i/>
          <w:color w:val="000000"/>
          <w:spacing w:val="-3"/>
          <w:sz w:val="26"/>
          <w:u w:color="000000"/>
        </w:rPr>
        <w:t>Duick</w:t>
      </w:r>
      <w:r w:rsidR="00E8024F">
        <w:rPr>
          <w:color w:val="000000"/>
          <w:spacing w:val="-3"/>
          <w:sz w:val="26"/>
          <w:u w:color="000000"/>
        </w:rPr>
        <w:t>, 56 Pa. P.U.C. at 559.</w:t>
      </w:r>
    </w:p>
    <w:p w:rsidR="001A001C" w:rsidRDefault="001A001C" w:rsidP="00295CBB">
      <w:pPr>
        <w:widowControl/>
        <w:spacing w:line="360" w:lineRule="auto"/>
        <w:ind w:firstLine="1440"/>
        <w:rPr>
          <w:sz w:val="26"/>
        </w:rPr>
      </w:pPr>
    </w:p>
    <w:p w:rsidR="00D8205B" w:rsidRDefault="002A084D" w:rsidP="00295CBB">
      <w:pPr>
        <w:widowControl/>
        <w:spacing w:line="360" w:lineRule="auto"/>
        <w:ind w:firstLine="1440"/>
        <w:rPr>
          <w:sz w:val="26"/>
          <w:szCs w:val="26"/>
        </w:rPr>
      </w:pPr>
      <w:r>
        <w:rPr>
          <w:sz w:val="26"/>
          <w:szCs w:val="26"/>
        </w:rPr>
        <w:t>Finally</w:t>
      </w:r>
      <w:r w:rsidR="00D8205B">
        <w:rPr>
          <w:sz w:val="26"/>
          <w:szCs w:val="26"/>
        </w:rPr>
        <w:t>,</w:t>
      </w:r>
      <w:r>
        <w:rPr>
          <w:sz w:val="26"/>
          <w:szCs w:val="26"/>
        </w:rPr>
        <w:t xml:space="preserve"> we note </w:t>
      </w:r>
      <w:r w:rsidR="00F058BC">
        <w:rPr>
          <w:sz w:val="26"/>
          <w:szCs w:val="26"/>
        </w:rPr>
        <w:t xml:space="preserve">that </w:t>
      </w:r>
      <w:r>
        <w:rPr>
          <w:sz w:val="26"/>
          <w:szCs w:val="26"/>
        </w:rPr>
        <w:t>we are</w:t>
      </w:r>
      <w:r w:rsidRPr="002A6750">
        <w:rPr>
          <w:sz w:val="26"/>
          <w:szCs w:val="26"/>
        </w:rPr>
        <w:t xml:space="preserve"> not required to consider expressly or at length each contention or argument raised by the parties.  </w:t>
      </w:r>
      <w:hyperlink r:id="rId8" w:history="1">
        <w:r w:rsidRPr="002A6750">
          <w:rPr>
            <w:rStyle w:val="Emphasis"/>
            <w:color w:val="000000"/>
            <w:sz w:val="26"/>
            <w:szCs w:val="26"/>
          </w:rPr>
          <w:t xml:space="preserve">Consolidated Rail Corp. v. Pa. PUC, </w:t>
        </w:r>
        <w:r w:rsidRPr="002A6750">
          <w:rPr>
            <w:rStyle w:val="Hyperlink"/>
            <w:color w:val="000000"/>
            <w:sz w:val="26"/>
            <w:szCs w:val="26"/>
            <w:u w:val="none"/>
          </w:rPr>
          <w:t>625 A.2d 741 (Pa. Cmwlth. 1993);</w:t>
        </w:r>
      </w:hyperlink>
      <w:r w:rsidRPr="002A6750">
        <w:rPr>
          <w:color w:val="000000"/>
          <w:sz w:val="26"/>
          <w:szCs w:val="26"/>
        </w:rPr>
        <w:t xml:space="preserve"> </w:t>
      </w:r>
      <w:r w:rsidRPr="002A6750">
        <w:rPr>
          <w:i/>
          <w:color w:val="000000"/>
          <w:sz w:val="26"/>
          <w:szCs w:val="26"/>
        </w:rPr>
        <w:t xml:space="preserve">also </w:t>
      </w:r>
      <w:r w:rsidRPr="002A6750">
        <w:rPr>
          <w:rStyle w:val="Emphasis"/>
          <w:color w:val="000000"/>
          <w:sz w:val="26"/>
          <w:szCs w:val="26"/>
        </w:rPr>
        <w:t xml:space="preserve">see, generally, </w:t>
      </w:r>
      <w:hyperlink r:id="rId9" w:history="1">
        <w:r w:rsidRPr="002A6750">
          <w:rPr>
            <w:rStyle w:val="Emphasis"/>
            <w:color w:val="000000"/>
            <w:sz w:val="26"/>
            <w:szCs w:val="26"/>
          </w:rPr>
          <w:t>University of Pennsylvania v. Pa. PUC</w:t>
        </w:r>
        <w:r w:rsidRPr="002A6750">
          <w:rPr>
            <w:rStyle w:val="Hyperlink"/>
            <w:color w:val="000000"/>
            <w:sz w:val="26"/>
            <w:szCs w:val="26"/>
            <w:u w:val="none"/>
          </w:rPr>
          <w:t>, 485 A.2d 1217 (Pa. Cmwlth. 1984).</w:t>
        </w:r>
      </w:hyperlink>
      <w:r>
        <w:rPr>
          <w:rStyle w:val="Hyperlink"/>
          <w:color w:val="000000"/>
          <w:sz w:val="26"/>
          <w:szCs w:val="26"/>
          <w:u w:val="none"/>
        </w:rPr>
        <w:t xml:space="preserve">  Therefore,</w:t>
      </w:r>
      <w:r w:rsidRPr="002A6750">
        <w:rPr>
          <w:sz w:val="26"/>
          <w:szCs w:val="26"/>
        </w:rPr>
        <w:t xml:space="preserve"> </w:t>
      </w:r>
      <w:r w:rsidR="00D8205B">
        <w:rPr>
          <w:sz w:val="26"/>
          <w:szCs w:val="26"/>
        </w:rPr>
        <w:t>a</w:t>
      </w:r>
      <w:r w:rsidR="00D8205B" w:rsidRPr="002A6750">
        <w:rPr>
          <w:sz w:val="26"/>
          <w:szCs w:val="26"/>
        </w:rPr>
        <w:t xml:space="preserve">ny issue that </w:t>
      </w:r>
      <w:r w:rsidR="00D8205B">
        <w:rPr>
          <w:sz w:val="26"/>
          <w:szCs w:val="26"/>
        </w:rPr>
        <w:t>the Commission</w:t>
      </w:r>
      <w:r w:rsidR="00D8205B" w:rsidRPr="002A6750">
        <w:rPr>
          <w:sz w:val="26"/>
          <w:szCs w:val="26"/>
        </w:rPr>
        <w:t xml:space="preserve"> do</w:t>
      </w:r>
      <w:r w:rsidR="00D8205B">
        <w:rPr>
          <w:sz w:val="26"/>
          <w:szCs w:val="26"/>
        </w:rPr>
        <w:t>es</w:t>
      </w:r>
      <w:r w:rsidR="00D8205B" w:rsidRPr="002A6750">
        <w:rPr>
          <w:sz w:val="26"/>
          <w:szCs w:val="26"/>
        </w:rPr>
        <w:t xml:space="preserve"> not specifically</w:t>
      </w:r>
      <w:r w:rsidR="00D8205B">
        <w:rPr>
          <w:sz w:val="26"/>
          <w:szCs w:val="26"/>
        </w:rPr>
        <w:t xml:space="preserve"> address or</w:t>
      </w:r>
      <w:r w:rsidR="00D8205B" w:rsidRPr="002A6750">
        <w:rPr>
          <w:sz w:val="26"/>
          <w:szCs w:val="26"/>
        </w:rPr>
        <w:t xml:space="preserve"> delineate </w:t>
      </w:r>
      <w:r w:rsidR="00D8205B">
        <w:rPr>
          <w:sz w:val="26"/>
          <w:szCs w:val="26"/>
        </w:rPr>
        <w:t xml:space="preserve">in its decision </w:t>
      </w:r>
      <w:r w:rsidR="00D8205B" w:rsidRPr="002A6750">
        <w:rPr>
          <w:sz w:val="26"/>
          <w:szCs w:val="26"/>
        </w:rPr>
        <w:t>shall be deemed to have been duly considered and denied without further discussion.</w:t>
      </w:r>
    </w:p>
    <w:p w:rsidR="00CA43A5" w:rsidRPr="00CA43A5" w:rsidRDefault="00CA43A5" w:rsidP="00295CBB">
      <w:pPr>
        <w:widowControl/>
        <w:spacing w:line="360" w:lineRule="auto"/>
        <w:rPr>
          <w:sz w:val="26"/>
          <w:szCs w:val="26"/>
        </w:rPr>
      </w:pPr>
    </w:p>
    <w:p w:rsidR="00006F35" w:rsidRDefault="00C0632B" w:rsidP="00295CBB">
      <w:pPr>
        <w:keepNext/>
        <w:widowControl/>
        <w:spacing w:line="360" w:lineRule="auto"/>
        <w:rPr>
          <w:b/>
          <w:sz w:val="26"/>
          <w:szCs w:val="26"/>
        </w:rPr>
      </w:pPr>
      <w:r>
        <w:rPr>
          <w:b/>
          <w:sz w:val="26"/>
          <w:szCs w:val="26"/>
        </w:rPr>
        <w:t>ALJ’s</w:t>
      </w:r>
      <w:r w:rsidR="00006F35">
        <w:rPr>
          <w:b/>
          <w:sz w:val="26"/>
          <w:szCs w:val="26"/>
        </w:rPr>
        <w:t xml:space="preserve"> </w:t>
      </w:r>
      <w:r w:rsidR="007B531E">
        <w:rPr>
          <w:b/>
          <w:sz w:val="26"/>
          <w:szCs w:val="26"/>
        </w:rPr>
        <w:t>Initial Decision</w:t>
      </w:r>
    </w:p>
    <w:p w:rsidR="007B531E" w:rsidRDefault="007B531E" w:rsidP="00295CBB">
      <w:pPr>
        <w:widowControl/>
        <w:spacing w:line="360" w:lineRule="auto"/>
        <w:ind w:firstLine="1440"/>
        <w:rPr>
          <w:sz w:val="26"/>
          <w:szCs w:val="26"/>
        </w:rPr>
      </w:pPr>
    </w:p>
    <w:p w:rsidR="007B531E" w:rsidRDefault="00CD27A2" w:rsidP="00295CBB">
      <w:pPr>
        <w:widowControl/>
        <w:spacing w:line="360" w:lineRule="auto"/>
        <w:ind w:firstLine="1440"/>
        <w:rPr>
          <w:sz w:val="26"/>
          <w:szCs w:val="26"/>
        </w:rPr>
      </w:pPr>
      <w:r>
        <w:rPr>
          <w:sz w:val="26"/>
          <w:szCs w:val="26"/>
        </w:rPr>
        <w:t>In his</w:t>
      </w:r>
      <w:r w:rsidR="00D457EC">
        <w:rPr>
          <w:sz w:val="26"/>
          <w:szCs w:val="26"/>
        </w:rPr>
        <w:t xml:space="preserve"> Initial </w:t>
      </w:r>
      <w:r w:rsidR="00D457EC" w:rsidRPr="00CD27A2">
        <w:rPr>
          <w:sz w:val="26"/>
          <w:szCs w:val="26"/>
        </w:rPr>
        <w:t xml:space="preserve">Decision, </w:t>
      </w:r>
      <w:r w:rsidR="00C0632B" w:rsidRPr="00CD27A2">
        <w:rPr>
          <w:sz w:val="26"/>
          <w:szCs w:val="26"/>
        </w:rPr>
        <w:t xml:space="preserve">ALJ </w:t>
      </w:r>
      <w:r>
        <w:rPr>
          <w:sz w:val="26"/>
          <w:szCs w:val="26"/>
        </w:rPr>
        <w:t>Cheskis</w:t>
      </w:r>
      <w:r w:rsidR="00C0632B" w:rsidRPr="00CD27A2">
        <w:rPr>
          <w:sz w:val="26"/>
          <w:szCs w:val="26"/>
        </w:rPr>
        <w:t xml:space="preserve"> </w:t>
      </w:r>
      <w:r w:rsidR="007B531E" w:rsidRPr="00CD27A2">
        <w:rPr>
          <w:sz w:val="26"/>
          <w:szCs w:val="26"/>
        </w:rPr>
        <w:t>made</w:t>
      </w:r>
      <w:r w:rsidR="00D457EC" w:rsidRPr="00CD27A2">
        <w:rPr>
          <w:sz w:val="26"/>
          <w:szCs w:val="26"/>
        </w:rPr>
        <w:t xml:space="preserve"> twe</w:t>
      </w:r>
      <w:r>
        <w:rPr>
          <w:sz w:val="26"/>
          <w:szCs w:val="26"/>
        </w:rPr>
        <w:t>nty-two</w:t>
      </w:r>
      <w:r w:rsidR="00D457EC" w:rsidRPr="00CD27A2">
        <w:rPr>
          <w:sz w:val="26"/>
          <w:szCs w:val="26"/>
        </w:rPr>
        <w:t xml:space="preserve"> (</w:t>
      </w:r>
      <w:r>
        <w:rPr>
          <w:sz w:val="26"/>
          <w:szCs w:val="26"/>
        </w:rPr>
        <w:t>2</w:t>
      </w:r>
      <w:r w:rsidR="00D457EC" w:rsidRPr="00CD27A2">
        <w:rPr>
          <w:sz w:val="26"/>
          <w:szCs w:val="26"/>
        </w:rPr>
        <w:t xml:space="preserve">2) </w:t>
      </w:r>
      <w:r w:rsidR="007B531E" w:rsidRPr="00CD27A2">
        <w:rPr>
          <w:sz w:val="26"/>
          <w:szCs w:val="26"/>
        </w:rPr>
        <w:t xml:space="preserve">Findings of Fact and reached </w:t>
      </w:r>
      <w:r>
        <w:rPr>
          <w:sz w:val="26"/>
          <w:szCs w:val="26"/>
        </w:rPr>
        <w:t>fourteen (14)</w:t>
      </w:r>
      <w:r w:rsidR="00D457EC" w:rsidRPr="00CD27A2">
        <w:rPr>
          <w:sz w:val="26"/>
          <w:szCs w:val="26"/>
        </w:rPr>
        <w:t xml:space="preserve"> </w:t>
      </w:r>
      <w:r w:rsidR="007B531E" w:rsidRPr="00CD27A2">
        <w:rPr>
          <w:sz w:val="26"/>
          <w:szCs w:val="26"/>
        </w:rPr>
        <w:t xml:space="preserve">Conclusions of Law.  </w:t>
      </w:r>
      <w:r w:rsidRPr="00CD27A2">
        <w:rPr>
          <w:i/>
          <w:sz w:val="26"/>
          <w:szCs w:val="26"/>
        </w:rPr>
        <w:t>See</w:t>
      </w:r>
      <w:r>
        <w:rPr>
          <w:sz w:val="26"/>
          <w:szCs w:val="26"/>
        </w:rPr>
        <w:t xml:space="preserve"> I.D. at 3-5; 11-13</w:t>
      </w:r>
      <w:r w:rsidR="00600F38" w:rsidRPr="00CD27A2">
        <w:rPr>
          <w:sz w:val="26"/>
          <w:szCs w:val="26"/>
        </w:rPr>
        <w:t xml:space="preserve">. </w:t>
      </w:r>
      <w:r>
        <w:rPr>
          <w:sz w:val="26"/>
          <w:szCs w:val="26"/>
        </w:rPr>
        <w:t xml:space="preserve"> </w:t>
      </w:r>
      <w:r w:rsidR="007B531E" w:rsidRPr="00CD27A2">
        <w:rPr>
          <w:sz w:val="26"/>
          <w:szCs w:val="26"/>
        </w:rPr>
        <w:t>The</w:t>
      </w:r>
      <w:r w:rsidR="007B531E" w:rsidRPr="00CA43A5">
        <w:rPr>
          <w:sz w:val="26"/>
          <w:szCs w:val="26"/>
        </w:rPr>
        <w:t xml:space="preserve"> Findings of Fact and Conclusions of Law are </w:t>
      </w:r>
      <w:r w:rsidR="007B531E" w:rsidRPr="00662FE0">
        <w:rPr>
          <w:sz w:val="26"/>
          <w:szCs w:val="26"/>
        </w:rPr>
        <w:t>incorporated herein by reference and are adopted without comment unless they are either expressly or by necessary implication rejected or modified by this Opinion and Order.</w:t>
      </w:r>
      <w:r w:rsidR="001251BB" w:rsidRPr="00662FE0">
        <w:rPr>
          <w:sz w:val="26"/>
          <w:szCs w:val="26"/>
        </w:rPr>
        <w:t xml:space="preserve">  We note our summary, </w:t>
      </w:r>
      <w:r w:rsidR="001251BB" w:rsidRPr="00662FE0">
        <w:rPr>
          <w:i/>
          <w:sz w:val="26"/>
          <w:szCs w:val="26"/>
        </w:rPr>
        <w:t>supra</w:t>
      </w:r>
      <w:r w:rsidR="001251BB" w:rsidRPr="00662FE0">
        <w:rPr>
          <w:sz w:val="26"/>
          <w:szCs w:val="26"/>
        </w:rPr>
        <w:t xml:space="preserve">, of the </w:t>
      </w:r>
      <w:r w:rsidR="001251BB">
        <w:rPr>
          <w:sz w:val="26"/>
          <w:szCs w:val="26"/>
        </w:rPr>
        <w:t>pertinent facts of this case.</w:t>
      </w:r>
    </w:p>
    <w:p w:rsidR="00506B92" w:rsidRDefault="00506B92" w:rsidP="00295CBB">
      <w:pPr>
        <w:widowControl/>
        <w:spacing w:line="360" w:lineRule="auto"/>
        <w:ind w:firstLine="1440"/>
        <w:rPr>
          <w:sz w:val="26"/>
          <w:szCs w:val="26"/>
        </w:rPr>
      </w:pPr>
    </w:p>
    <w:p w:rsidR="00511A26" w:rsidRDefault="008D2C8D" w:rsidP="00295CBB">
      <w:pPr>
        <w:widowControl/>
        <w:spacing w:line="360" w:lineRule="auto"/>
        <w:ind w:firstLine="1440"/>
        <w:rPr>
          <w:sz w:val="26"/>
          <w:szCs w:val="26"/>
        </w:rPr>
      </w:pPr>
      <w:r>
        <w:rPr>
          <w:sz w:val="26"/>
          <w:szCs w:val="26"/>
        </w:rPr>
        <w:lastRenderedPageBreak/>
        <w:t>In the Initial Decision, t</w:t>
      </w:r>
      <w:r w:rsidR="00C0632B">
        <w:rPr>
          <w:sz w:val="26"/>
          <w:szCs w:val="26"/>
        </w:rPr>
        <w:t>he ALJ</w:t>
      </w:r>
      <w:r w:rsidR="00C36D97" w:rsidRPr="00C36D97">
        <w:rPr>
          <w:sz w:val="26"/>
          <w:szCs w:val="26"/>
        </w:rPr>
        <w:t xml:space="preserve"> </w:t>
      </w:r>
      <w:r w:rsidR="00C36D97">
        <w:rPr>
          <w:sz w:val="26"/>
          <w:szCs w:val="26"/>
        </w:rPr>
        <w:t>explained that the Complainant argued that PPL made an incorrect determination that foreign load was present at the service address,</w:t>
      </w:r>
      <w:r w:rsidR="001251BB">
        <w:rPr>
          <w:sz w:val="26"/>
          <w:szCs w:val="26"/>
        </w:rPr>
        <w:t xml:space="preserve"> and</w:t>
      </w:r>
      <w:r w:rsidR="001A58E1">
        <w:rPr>
          <w:sz w:val="26"/>
          <w:szCs w:val="26"/>
        </w:rPr>
        <w:t xml:space="preserve"> </w:t>
      </w:r>
      <w:r w:rsidR="001251BB">
        <w:rPr>
          <w:sz w:val="26"/>
          <w:szCs w:val="26"/>
        </w:rPr>
        <w:t>PPL</w:t>
      </w:r>
      <w:r w:rsidR="005556C4">
        <w:rPr>
          <w:sz w:val="26"/>
          <w:szCs w:val="26"/>
        </w:rPr>
        <w:t xml:space="preserve"> </w:t>
      </w:r>
      <w:r w:rsidR="00D25F55">
        <w:rPr>
          <w:sz w:val="26"/>
          <w:szCs w:val="26"/>
        </w:rPr>
        <w:t xml:space="preserve">consequently </w:t>
      </w:r>
      <w:r w:rsidR="001A58E1">
        <w:rPr>
          <w:sz w:val="26"/>
          <w:szCs w:val="26"/>
        </w:rPr>
        <w:t xml:space="preserve">incorrectly </w:t>
      </w:r>
      <w:r w:rsidR="005556C4">
        <w:rPr>
          <w:sz w:val="26"/>
          <w:szCs w:val="26"/>
        </w:rPr>
        <w:t xml:space="preserve">transferred the Complainant’s </w:t>
      </w:r>
      <w:r w:rsidR="00C36D97">
        <w:rPr>
          <w:sz w:val="26"/>
          <w:szCs w:val="26"/>
        </w:rPr>
        <w:t xml:space="preserve">tenants’ account, which included the $944.75 outstanding balance, to </w:t>
      </w:r>
      <w:r w:rsidR="005556C4">
        <w:rPr>
          <w:sz w:val="26"/>
          <w:szCs w:val="26"/>
        </w:rPr>
        <w:t>the Complainant’s</w:t>
      </w:r>
      <w:r w:rsidR="00C36D97">
        <w:rPr>
          <w:sz w:val="26"/>
          <w:szCs w:val="26"/>
        </w:rPr>
        <w:t xml:space="preserve"> name. </w:t>
      </w:r>
      <w:r w:rsidR="00C36D97" w:rsidRPr="001251BB">
        <w:rPr>
          <w:i/>
          <w:sz w:val="26"/>
          <w:szCs w:val="26"/>
        </w:rPr>
        <w:t xml:space="preserve"> </w:t>
      </w:r>
      <w:r w:rsidR="00A11BB5" w:rsidRPr="001251BB">
        <w:rPr>
          <w:i/>
          <w:sz w:val="26"/>
          <w:szCs w:val="26"/>
        </w:rPr>
        <w:t>See</w:t>
      </w:r>
      <w:r w:rsidR="00A11BB5">
        <w:rPr>
          <w:sz w:val="26"/>
          <w:szCs w:val="26"/>
        </w:rPr>
        <w:t xml:space="preserve"> I.D. at 6.  </w:t>
      </w:r>
      <w:r w:rsidR="00C36D97">
        <w:rPr>
          <w:sz w:val="26"/>
          <w:szCs w:val="26"/>
        </w:rPr>
        <w:t>The Complainant contended that there was no foreign load at this property and requested that PPL be directed to transfer the balance owed on the account back to the tenants.</w:t>
      </w:r>
      <w:r w:rsidR="00A11BB5">
        <w:rPr>
          <w:sz w:val="26"/>
          <w:szCs w:val="26"/>
        </w:rPr>
        <w:t xml:space="preserve">  </w:t>
      </w:r>
      <w:r w:rsidR="00A11BB5" w:rsidRPr="001251BB">
        <w:rPr>
          <w:i/>
          <w:sz w:val="26"/>
          <w:szCs w:val="26"/>
        </w:rPr>
        <w:t>See</w:t>
      </w:r>
      <w:r w:rsidR="00A11BB5">
        <w:rPr>
          <w:sz w:val="26"/>
          <w:szCs w:val="26"/>
        </w:rPr>
        <w:t xml:space="preserve"> I.D. at</w:t>
      </w:r>
      <w:r w:rsidR="00D25F55">
        <w:rPr>
          <w:sz w:val="26"/>
          <w:szCs w:val="26"/>
        </w:rPr>
        <w:t> </w:t>
      </w:r>
      <w:r w:rsidR="00A11BB5">
        <w:rPr>
          <w:sz w:val="26"/>
          <w:szCs w:val="26"/>
        </w:rPr>
        <w:t xml:space="preserve">6. </w:t>
      </w:r>
      <w:r w:rsidR="00AC7B32">
        <w:rPr>
          <w:sz w:val="26"/>
          <w:szCs w:val="26"/>
        </w:rPr>
        <w:t xml:space="preserve"> </w:t>
      </w:r>
      <w:r w:rsidR="00D23ABE">
        <w:rPr>
          <w:sz w:val="26"/>
          <w:szCs w:val="26"/>
        </w:rPr>
        <w:t xml:space="preserve">As explained in the Initial Decision, the Complainant presented testimony and evidence in this case showing that he depreciates half of the value of the detached shed in support of his position that the tenants have shared use of the </w:t>
      </w:r>
      <w:r w:rsidR="0040173E">
        <w:rPr>
          <w:sz w:val="26"/>
          <w:szCs w:val="26"/>
        </w:rPr>
        <w:t xml:space="preserve">detached </w:t>
      </w:r>
      <w:r w:rsidR="00D23ABE">
        <w:rPr>
          <w:sz w:val="26"/>
          <w:szCs w:val="26"/>
        </w:rPr>
        <w:t>shed</w:t>
      </w:r>
      <w:r w:rsidR="0040173E">
        <w:rPr>
          <w:sz w:val="26"/>
          <w:szCs w:val="26"/>
        </w:rPr>
        <w:t xml:space="preserve">.  </w:t>
      </w:r>
      <w:r w:rsidR="0040173E" w:rsidRPr="00D23ABE">
        <w:rPr>
          <w:i/>
          <w:sz w:val="26"/>
          <w:szCs w:val="26"/>
        </w:rPr>
        <w:t>See</w:t>
      </w:r>
      <w:r w:rsidR="0040173E">
        <w:rPr>
          <w:sz w:val="26"/>
          <w:szCs w:val="26"/>
        </w:rPr>
        <w:t xml:space="preserve"> I.D. at</w:t>
      </w:r>
      <w:r w:rsidR="007228AF">
        <w:rPr>
          <w:sz w:val="26"/>
          <w:szCs w:val="26"/>
        </w:rPr>
        <w:t> </w:t>
      </w:r>
      <w:r w:rsidR="0040173E">
        <w:rPr>
          <w:sz w:val="26"/>
          <w:szCs w:val="26"/>
        </w:rPr>
        <w:t xml:space="preserve">10; Findings of Fact No. </w:t>
      </w:r>
      <w:r w:rsidR="00C32E7D">
        <w:rPr>
          <w:sz w:val="26"/>
          <w:szCs w:val="26"/>
        </w:rPr>
        <w:t xml:space="preserve">6, </w:t>
      </w:r>
      <w:r w:rsidR="0040173E">
        <w:rPr>
          <w:sz w:val="26"/>
          <w:szCs w:val="26"/>
        </w:rPr>
        <w:t xml:space="preserve">8.  </w:t>
      </w:r>
      <w:r w:rsidR="00511A26">
        <w:rPr>
          <w:sz w:val="26"/>
          <w:szCs w:val="26"/>
        </w:rPr>
        <w:t>As explained in the Initial Decision, t</w:t>
      </w:r>
      <w:r w:rsidR="0040173E">
        <w:rPr>
          <w:sz w:val="26"/>
          <w:szCs w:val="26"/>
        </w:rPr>
        <w:t>he Complainant argued that because his tenants enjoy shared use of the detached shed, the two wires that ran from the tenants’ circuit breaker to the detached shed does not constitute foreign load</w:t>
      </w:r>
      <w:r w:rsidR="00D23ABE">
        <w:rPr>
          <w:sz w:val="26"/>
          <w:szCs w:val="26"/>
        </w:rPr>
        <w:t xml:space="preserve">.  </w:t>
      </w:r>
      <w:r w:rsidR="00D23ABE" w:rsidRPr="00D23ABE">
        <w:rPr>
          <w:i/>
          <w:sz w:val="26"/>
          <w:szCs w:val="26"/>
        </w:rPr>
        <w:t>See</w:t>
      </w:r>
      <w:r w:rsidR="0040173E">
        <w:rPr>
          <w:sz w:val="26"/>
          <w:szCs w:val="26"/>
        </w:rPr>
        <w:t xml:space="preserve"> I.D. at 10.</w:t>
      </w:r>
    </w:p>
    <w:p w:rsidR="00511A26" w:rsidRDefault="00511A26" w:rsidP="00295CBB">
      <w:pPr>
        <w:widowControl/>
        <w:spacing w:line="360" w:lineRule="auto"/>
        <w:ind w:firstLine="1440"/>
        <w:rPr>
          <w:sz w:val="26"/>
          <w:szCs w:val="26"/>
        </w:rPr>
      </w:pPr>
    </w:p>
    <w:p w:rsidR="00F058BC" w:rsidRDefault="00511A26" w:rsidP="00295CBB">
      <w:pPr>
        <w:widowControl/>
        <w:spacing w:line="360" w:lineRule="auto"/>
        <w:ind w:firstLine="1440"/>
        <w:rPr>
          <w:sz w:val="26"/>
          <w:szCs w:val="26"/>
        </w:rPr>
      </w:pPr>
      <w:r>
        <w:rPr>
          <w:sz w:val="26"/>
          <w:szCs w:val="26"/>
        </w:rPr>
        <w:t xml:space="preserve">As explained in the Initial Decision, </w:t>
      </w:r>
      <w:r w:rsidR="00AC7B32">
        <w:rPr>
          <w:sz w:val="26"/>
          <w:szCs w:val="26"/>
        </w:rPr>
        <w:t>PPL</w:t>
      </w:r>
      <w:r>
        <w:rPr>
          <w:sz w:val="26"/>
          <w:szCs w:val="26"/>
        </w:rPr>
        <w:t xml:space="preserve"> responded by presenting </w:t>
      </w:r>
      <w:r w:rsidR="00AC7B32">
        <w:rPr>
          <w:sz w:val="26"/>
          <w:szCs w:val="26"/>
        </w:rPr>
        <w:t xml:space="preserve">testimony </w:t>
      </w:r>
      <w:r w:rsidR="00D23ABE">
        <w:rPr>
          <w:sz w:val="26"/>
          <w:szCs w:val="26"/>
        </w:rPr>
        <w:t xml:space="preserve">and exhibits </w:t>
      </w:r>
      <w:r>
        <w:rPr>
          <w:sz w:val="26"/>
          <w:szCs w:val="26"/>
        </w:rPr>
        <w:t>that showed</w:t>
      </w:r>
      <w:r w:rsidR="00AC7B32">
        <w:rPr>
          <w:sz w:val="26"/>
          <w:szCs w:val="26"/>
        </w:rPr>
        <w:t xml:space="preserve"> that the foreign load was discovered by a PPL representative</w:t>
      </w:r>
      <w:r w:rsidR="001251BB">
        <w:rPr>
          <w:sz w:val="26"/>
          <w:szCs w:val="26"/>
        </w:rPr>
        <w:t>,</w:t>
      </w:r>
      <w:r w:rsidR="00D23ABE">
        <w:rPr>
          <w:sz w:val="26"/>
          <w:szCs w:val="26"/>
        </w:rPr>
        <w:t xml:space="preserve"> </w:t>
      </w:r>
      <w:r w:rsidR="003A696D">
        <w:rPr>
          <w:sz w:val="26"/>
          <w:szCs w:val="26"/>
        </w:rPr>
        <w:t>in the form of two wires running from the circuit breaker to the detached shed serving a</w:t>
      </w:r>
      <w:r w:rsidR="00D23ABE">
        <w:rPr>
          <w:sz w:val="26"/>
          <w:szCs w:val="26"/>
        </w:rPr>
        <w:t xml:space="preserve"> 110 kv motion light and a 220 kv outside light</w:t>
      </w:r>
      <w:r w:rsidR="003A696D">
        <w:rPr>
          <w:sz w:val="26"/>
          <w:szCs w:val="26"/>
        </w:rPr>
        <w:t>, and that the wiring</w:t>
      </w:r>
      <w:r w:rsidR="001251BB">
        <w:rPr>
          <w:sz w:val="26"/>
          <w:szCs w:val="26"/>
        </w:rPr>
        <w:t xml:space="preserve"> was</w:t>
      </w:r>
      <w:r w:rsidR="00AC7B32">
        <w:rPr>
          <w:sz w:val="26"/>
          <w:szCs w:val="26"/>
        </w:rPr>
        <w:t xml:space="preserve"> subsequently corrected</w:t>
      </w:r>
      <w:r w:rsidR="001251BB">
        <w:rPr>
          <w:sz w:val="26"/>
          <w:szCs w:val="26"/>
        </w:rPr>
        <w:t xml:space="preserve"> </w:t>
      </w:r>
      <w:r w:rsidR="0040173E">
        <w:rPr>
          <w:sz w:val="26"/>
          <w:szCs w:val="26"/>
        </w:rPr>
        <w:t xml:space="preserve">by the Complainant’s hired electrician </w:t>
      </w:r>
      <w:r w:rsidR="001251BB">
        <w:rPr>
          <w:sz w:val="26"/>
          <w:szCs w:val="26"/>
        </w:rPr>
        <w:t>at the service address</w:t>
      </w:r>
      <w:r w:rsidR="0040173E">
        <w:rPr>
          <w:sz w:val="26"/>
          <w:szCs w:val="26"/>
        </w:rPr>
        <w:t xml:space="preserve">.  </w:t>
      </w:r>
      <w:r w:rsidR="0040173E" w:rsidRPr="00C32E7D">
        <w:rPr>
          <w:i/>
          <w:sz w:val="26"/>
          <w:szCs w:val="26"/>
        </w:rPr>
        <w:t>See</w:t>
      </w:r>
      <w:r w:rsidR="0040173E">
        <w:rPr>
          <w:sz w:val="26"/>
          <w:szCs w:val="26"/>
        </w:rPr>
        <w:t xml:space="preserve"> I.D. at</w:t>
      </w:r>
      <w:r w:rsidR="00BD6728">
        <w:rPr>
          <w:sz w:val="26"/>
          <w:szCs w:val="26"/>
        </w:rPr>
        <w:t> </w:t>
      </w:r>
      <w:r w:rsidR="0040173E">
        <w:rPr>
          <w:sz w:val="26"/>
          <w:szCs w:val="26"/>
        </w:rPr>
        <w:t xml:space="preserve">6; </w:t>
      </w:r>
      <w:r w:rsidR="0040173E" w:rsidRPr="00C32E7D">
        <w:rPr>
          <w:i/>
          <w:sz w:val="26"/>
          <w:szCs w:val="26"/>
        </w:rPr>
        <w:t>see</w:t>
      </w:r>
      <w:r w:rsidR="0040173E">
        <w:rPr>
          <w:sz w:val="26"/>
          <w:szCs w:val="26"/>
        </w:rPr>
        <w:t xml:space="preserve"> Findings of Fact Nos. </w:t>
      </w:r>
      <w:r w:rsidR="00C32E7D">
        <w:rPr>
          <w:sz w:val="26"/>
          <w:szCs w:val="26"/>
        </w:rPr>
        <w:t>7, 11-12</w:t>
      </w:r>
      <w:r w:rsidR="0040173E">
        <w:rPr>
          <w:sz w:val="26"/>
          <w:szCs w:val="26"/>
        </w:rPr>
        <w:t>.</w:t>
      </w:r>
    </w:p>
    <w:p w:rsidR="00F058BC" w:rsidRDefault="00F058BC" w:rsidP="00295CBB">
      <w:pPr>
        <w:widowControl/>
        <w:spacing w:line="360" w:lineRule="auto"/>
        <w:ind w:firstLine="1440"/>
        <w:rPr>
          <w:sz w:val="26"/>
          <w:szCs w:val="26"/>
        </w:rPr>
      </w:pPr>
    </w:p>
    <w:p w:rsidR="00AC7B32" w:rsidRDefault="0019757B" w:rsidP="00295CBB">
      <w:pPr>
        <w:widowControl/>
        <w:spacing w:line="360" w:lineRule="auto"/>
        <w:ind w:firstLine="1440"/>
        <w:rPr>
          <w:sz w:val="26"/>
          <w:szCs w:val="26"/>
        </w:rPr>
      </w:pPr>
      <w:r>
        <w:rPr>
          <w:sz w:val="26"/>
          <w:szCs w:val="26"/>
        </w:rPr>
        <w:t>The ALJ found</w:t>
      </w:r>
      <w:r w:rsidR="00D23ABE">
        <w:rPr>
          <w:sz w:val="26"/>
          <w:szCs w:val="26"/>
        </w:rPr>
        <w:t xml:space="preserve"> </w:t>
      </w:r>
      <w:r w:rsidR="00B82400">
        <w:rPr>
          <w:sz w:val="26"/>
          <w:szCs w:val="26"/>
        </w:rPr>
        <w:t xml:space="preserve">that regardless of whether the Complainant depreciates half the detached shed </w:t>
      </w:r>
      <w:r w:rsidR="00D23ABE">
        <w:rPr>
          <w:sz w:val="26"/>
          <w:szCs w:val="26"/>
        </w:rPr>
        <w:t xml:space="preserve">because the tenants have shared use of the area, the two wires that ran from the tenants’ circuit breaker to the </w:t>
      </w:r>
      <w:r>
        <w:rPr>
          <w:sz w:val="26"/>
          <w:szCs w:val="26"/>
        </w:rPr>
        <w:t xml:space="preserve">shared use </w:t>
      </w:r>
      <w:r w:rsidR="00D23ABE">
        <w:rPr>
          <w:sz w:val="26"/>
          <w:szCs w:val="26"/>
        </w:rPr>
        <w:t>shed created the foreign load</w:t>
      </w:r>
      <w:r w:rsidR="00B46CCD">
        <w:rPr>
          <w:sz w:val="26"/>
          <w:szCs w:val="26"/>
        </w:rPr>
        <w:t xml:space="preserve"> and that PPL appropriately transferred the account to the Complainant’s name</w:t>
      </w:r>
      <w:r w:rsidR="00D23ABE">
        <w:rPr>
          <w:sz w:val="26"/>
          <w:szCs w:val="26"/>
        </w:rPr>
        <w:t xml:space="preserve">.  </w:t>
      </w:r>
      <w:r w:rsidR="00C32E7D" w:rsidRPr="00C32E7D">
        <w:rPr>
          <w:i/>
          <w:sz w:val="26"/>
          <w:szCs w:val="26"/>
        </w:rPr>
        <w:t>See</w:t>
      </w:r>
      <w:r w:rsidR="00C32E7D">
        <w:rPr>
          <w:sz w:val="26"/>
          <w:szCs w:val="26"/>
        </w:rPr>
        <w:t xml:space="preserve"> </w:t>
      </w:r>
      <w:r w:rsidR="0020559A">
        <w:rPr>
          <w:sz w:val="26"/>
          <w:szCs w:val="26"/>
        </w:rPr>
        <w:t xml:space="preserve">I.D. at 10, citing to </w:t>
      </w:r>
      <w:r w:rsidR="0020559A" w:rsidRPr="0020559A">
        <w:rPr>
          <w:i/>
          <w:sz w:val="26"/>
          <w:szCs w:val="26"/>
        </w:rPr>
        <w:t>Chinniah</w:t>
      </w:r>
      <w:r w:rsidR="0020559A" w:rsidRPr="0020559A">
        <w:rPr>
          <w:sz w:val="26"/>
          <w:szCs w:val="26"/>
        </w:rPr>
        <w:t>,</w:t>
      </w:r>
      <w:r w:rsidR="0020559A" w:rsidRPr="0020559A">
        <w:rPr>
          <w:i/>
          <w:sz w:val="26"/>
          <w:szCs w:val="26"/>
        </w:rPr>
        <w:t xml:space="preserve"> </w:t>
      </w:r>
      <w:r w:rsidR="0020559A">
        <w:rPr>
          <w:i/>
          <w:sz w:val="26"/>
          <w:szCs w:val="26"/>
        </w:rPr>
        <w:t>infra</w:t>
      </w:r>
      <w:r w:rsidR="0020559A" w:rsidRPr="0020559A">
        <w:rPr>
          <w:sz w:val="26"/>
          <w:szCs w:val="26"/>
        </w:rPr>
        <w:t>;</w:t>
      </w:r>
      <w:r w:rsidR="0020559A" w:rsidRPr="0020559A">
        <w:rPr>
          <w:i/>
          <w:sz w:val="26"/>
          <w:szCs w:val="26"/>
        </w:rPr>
        <w:t xml:space="preserve"> Kopf</w:t>
      </w:r>
      <w:r w:rsidR="0020559A" w:rsidRPr="0020559A">
        <w:rPr>
          <w:sz w:val="26"/>
          <w:szCs w:val="26"/>
        </w:rPr>
        <w:t>,</w:t>
      </w:r>
      <w:r w:rsidR="0020559A">
        <w:rPr>
          <w:i/>
          <w:sz w:val="26"/>
          <w:szCs w:val="26"/>
        </w:rPr>
        <w:t xml:space="preserve"> infra</w:t>
      </w:r>
      <w:r w:rsidR="002A076D">
        <w:rPr>
          <w:sz w:val="26"/>
          <w:szCs w:val="26"/>
        </w:rPr>
        <w:t>.</w:t>
      </w:r>
    </w:p>
    <w:p w:rsidR="00C32E7D" w:rsidRDefault="00C32E7D" w:rsidP="00295CBB">
      <w:pPr>
        <w:widowControl/>
        <w:spacing w:line="360" w:lineRule="auto"/>
        <w:ind w:firstLine="1440"/>
        <w:rPr>
          <w:sz w:val="26"/>
          <w:szCs w:val="26"/>
        </w:rPr>
      </w:pPr>
    </w:p>
    <w:p w:rsidR="00EB2CFF" w:rsidRDefault="0019757B" w:rsidP="00295CBB">
      <w:pPr>
        <w:widowControl/>
        <w:spacing w:line="360" w:lineRule="auto"/>
        <w:ind w:firstLine="1440"/>
        <w:rPr>
          <w:sz w:val="26"/>
          <w:szCs w:val="26"/>
        </w:rPr>
      </w:pPr>
      <w:r>
        <w:rPr>
          <w:sz w:val="26"/>
          <w:szCs w:val="26"/>
        </w:rPr>
        <w:lastRenderedPageBreak/>
        <w:t>In support of his finding</w:t>
      </w:r>
      <w:r w:rsidR="00B46CCD">
        <w:rPr>
          <w:sz w:val="26"/>
          <w:szCs w:val="26"/>
        </w:rPr>
        <w:t xml:space="preserve">s, ALJ Cheskis set forth an extensive discussion </w:t>
      </w:r>
      <w:r>
        <w:rPr>
          <w:sz w:val="26"/>
          <w:szCs w:val="26"/>
        </w:rPr>
        <w:t>of the applicable case law</w:t>
      </w:r>
      <w:r w:rsidR="00B46CCD">
        <w:rPr>
          <w:sz w:val="26"/>
          <w:szCs w:val="26"/>
        </w:rPr>
        <w:t xml:space="preserve"> in his Initial Decision</w:t>
      </w:r>
      <w:r>
        <w:rPr>
          <w:sz w:val="26"/>
          <w:szCs w:val="26"/>
        </w:rPr>
        <w:t>.</w:t>
      </w:r>
      <w:r w:rsidR="004E0A65">
        <w:rPr>
          <w:rStyle w:val="FootnoteReference"/>
          <w:sz w:val="26"/>
          <w:szCs w:val="26"/>
        </w:rPr>
        <w:footnoteReference w:id="2"/>
      </w:r>
      <w:r>
        <w:rPr>
          <w:sz w:val="26"/>
          <w:szCs w:val="26"/>
        </w:rPr>
        <w:t xml:space="preserve">  </w:t>
      </w:r>
      <w:r w:rsidR="00C32E7D">
        <w:rPr>
          <w:sz w:val="26"/>
          <w:szCs w:val="26"/>
        </w:rPr>
        <w:t xml:space="preserve">As explained in the Initial Decision, </w:t>
      </w:r>
      <w:r w:rsidR="00536361">
        <w:rPr>
          <w:sz w:val="26"/>
          <w:szCs w:val="26"/>
        </w:rPr>
        <w:t>the term “</w:t>
      </w:r>
      <w:r w:rsidR="00C32E7D">
        <w:rPr>
          <w:sz w:val="26"/>
          <w:szCs w:val="26"/>
        </w:rPr>
        <w:t>foreign load</w:t>
      </w:r>
      <w:r w:rsidR="00536361">
        <w:rPr>
          <w:sz w:val="26"/>
          <w:szCs w:val="26"/>
        </w:rPr>
        <w:t>”</w:t>
      </w:r>
      <w:r w:rsidR="008C254D">
        <w:rPr>
          <w:sz w:val="26"/>
          <w:szCs w:val="26"/>
        </w:rPr>
        <w:t xml:space="preserve"> refers to utility service which is not related to serving a tenant but for which the tenant is being billed.  </w:t>
      </w:r>
      <w:r w:rsidRPr="0019757B">
        <w:rPr>
          <w:i/>
          <w:sz w:val="26"/>
          <w:szCs w:val="26"/>
        </w:rPr>
        <w:t>See</w:t>
      </w:r>
      <w:r>
        <w:rPr>
          <w:sz w:val="26"/>
          <w:szCs w:val="26"/>
        </w:rPr>
        <w:t xml:space="preserve"> </w:t>
      </w:r>
      <w:r w:rsidR="008C254D">
        <w:rPr>
          <w:sz w:val="26"/>
          <w:szCs w:val="26"/>
        </w:rPr>
        <w:t xml:space="preserve">I.D. at 6-7, citing </w:t>
      </w:r>
      <w:r w:rsidR="008C254D" w:rsidRPr="0019757B">
        <w:rPr>
          <w:i/>
          <w:sz w:val="26"/>
          <w:szCs w:val="26"/>
        </w:rPr>
        <w:t>Santos v. Metropolitan Edison Co</w:t>
      </w:r>
      <w:r>
        <w:rPr>
          <w:i/>
          <w:sz w:val="26"/>
          <w:szCs w:val="26"/>
        </w:rPr>
        <w:t>mpany</w:t>
      </w:r>
      <w:r w:rsidR="008C254D">
        <w:rPr>
          <w:sz w:val="26"/>
          <w:szCs w:val="26"/>
        </w:rPr>
        <w:t xml:space="preserve">, Docket No. C-00967757 (Order entered August 7, 1997).  </w:t>
      </w:r>
      <w:r w:rsidR="00D20264">
        <w:rPr>
          <w:sz w:val="26"/>
          <w:szCs w:val="26"/>
        </w:rPr>
        <w:t xml:space="preserve">The ALJ explained that </w:t>
      </w:r>
      <w:r>
        <w:rPr>
          <w:sz w:val="26"/>
          <w:szCs w:val="26"/>
        </w:rPr>
        <w:t>f</w:t>
      </w:r>
      <w:r w:rsidR="008C254D">
        <w:rPr>
          <w:sz w:val="26"/>
          <w:szCs w:val="26"/>
        </w:rPr>
        <w:t xml:space="preserve">oreign load occurs when a tenant’s meter registers usage for utility service provided to a dwelling unit or units other than the tenant’s or to a common area of a building, such as hallway lighting or to communal laundry room appliance.  I.D. at 7, citing </w:t>
      </w:r>
      <w:r w:rsidR="008C254D" w:rsidRPr="008C254D">
        <w:rPr>
          <w:i/>
          <w:sz w:val="26"/>
          <w:szCs w:val="26"/>
        </w:rPr>
        <w:t>George W. Kopf, Jr. v. PECO Energy Co</w:t>
      </w:r>
      <w:r w:rsidR="008C254D">
        <w:rPr>
          <w:sz w:val="26"/>
          <w:szCs w:val="26"/>
        </w:rPr>
        <w:t>., Docket No. C-2012-2332993 (Opinion and Order entered June 13, 2013) (</w:t>
      </w:r>
      <w:r w:rsidR="008C254D" w:rsidRPr="008C254D">
        <w:rPr>
          <w:i/>
          <w:sz w:val="26"/>
          <w:szCs w:val="26"/>
        </w:rPr>
        <w:t>Kopf</w:t>
      </w:r>
      <w:r w:rsidR="008C254D">
        <w:rPr>
          <w:sz w:val="26"/>
          <w:szCs w:val="26"/>
        </w:rPr>
        <w:t xml:space="preserve">) at n. 1.  Foreign load exists where tenants have a meter and are direct utility customers and where utility service for other tenants or for the landlord is being billed through their meter.  I.D. at 7, citing </w:t>
      </w:r>
      <w:r w:rsidR="008C254D" w:rsidRPr="008C254D">
        <w:rPr>
          <w:i/>
          <w:sz w:val="26"/>
          <w:szCs w:val="26"/>
        </w:rPr>
        <w:t>David P. Boyce v. Duquesne Light Company</w:t>
      </w:r>
      <w:r w:rsidR="008C254D">
        <w:rPr>
          <w:sz w:val="26"/>
          <w:szCs w:val="26"/>
        </w:rPr>
        <w:t>, Docket No. Z-00223698 (Opinion and Order entered September 1, 1994)</w:t>
      </w:r>
      <w:r w:rsidR="009D558C">
        <w:rPr>
          <w:sz w:val="26"/>
          <w:szCs w:val="26"/>
        </w:rPr>
        <w:t xml:space="preserve"> (</w:t>
      </w:r>
      <w:r w:rsidR="009D558C" w:rsidRPr="009D558C">
        <w:rPr>
          <w:i/>
          <w:sz w:val="26"/>
          <w:szCs w:val="26"/>
        </w:rPr>
        <w:t>Boyce</w:t>
      </w:r>
      <w:r w:rsidR="009D558C">
        <w:rPr>
          <w:sz w:val="26"/>
          <w:szCs w:val="26"/>
        </w:rPr>
        <w:t>)</w:t>
      </w:r>
      <w:r w:rsidR="008C254D">
        <w:rPr>
          <w:sz w:val="26"/>
          <w:szCs w:val="26"/>
        </w:rPr>
        <w:t xml:space="preserve">; </w:t>
      </w:r>
      <w:r w:rsidR="008C254D" w:rsidRPr="008C254D">
        <w:rPr>
          <w:i/>
          <w:sz w:val="26"/>
          <w:szCs w:val="26"/>
        </w:rPr>
        <w:t>1-A Realty v. Pa. PUC</w:t>
      </w:r>
      <w:r w:rsidR="008C254D">
        <w:rPr>
          <w:sz w:val="26"/>
          <w:szCs w:val="26"/>
        </w:rPr>
        <w:t xml:space="preserve">, 63 A.3d 480 (Pa. Cmwlth. 2013) (communal street lights in a mobile home park were connected to the electric boxes of the homes of the nearest tenants); </w:t>
      </w:r>
      <w:r w:rsidR="008C254D" w:rsidRPr="008C254D">
        <w:rPr>
          <w:i/>
          <w:sz w:val="26"/>
          <w:szCs w:val="26"/>
        </w:rPr>
        <w:t>Gnana Chinniah v. PPL Electric Utilities Corp.</w:t>
      </w:r>
      <w:r w:rsidR="008C254D">
        <w:rPr>
          <w:sz w:val="26"/>
          <w:szCs w:val="26"/>
        </w:rPr>
        <w:t xml:space="preserve">, Docket No. F-2012-2325248 (Opinion and Order entered May 9, 2013) (foreign load was created by a detached storage shed located in the middle of a backyard of a duplex on the boundary between the two properties); and </w:t>
      </w:r>
      <w:r w:rsidR="008C254D" w:rsidRPr="008C254D">
        <w:rPr>
          <w:i/>
          <w:sz w:val="26"/>
          <w:szCs w:val="26"/>
        </w:rPr>
        <w:t>Kopf</w:t>
      </w:r>
      <w:r w:rsidR="008C254D">
        <w:rPr>
          <w:sz w:val="26"/>
          <w:szCs w:val="26"/>
        </w:rPr>
        <w:t xml:space="preserve">, </w:t>
      </w:r>
      <w:r w:rsidR="008C254D" w:rsidRPr="008C254D">
        <w:rPr>
          <w:i/>
          <w:sz w:val="26"/>
          <w:szCs w:val="26"/>
        </w:rPr>
        <w:t>supra</w:t>
      </w:r>
      <w:r w:rsidR="008C254D">
        <w:rPr>
          <w:sz w:val="26"/>
          <w:szCs w:val="26"/>
        </w:rPr>
        <w:t xml:space="preserve"> (the foreign wiring condition related to electric service to common areas in a second floor hallway, basement and outside light of a rental property).</w:t>
      </w:r>
    </w:p>
    <w:p w:rsidR="00EB2CFF" w:rsidRDefault="00EB2CFF" w:rsidP="00295CBB">
      <w:pPr>
        <w:widowControl/>
        <w:spacing w:line="360" w:lineRule="auto"/>
        <w:ind w:firstLine="1440"/>
        <w:rPr>
          <w:sz w:val="26"/>
          <w:szCs w:val="26"/>
        </w:rPr>
      </w:pPr>
    </w:p>
    <w:p w:rsidR="009D558C" w:rsidRDefault="0019757B" w:rsidP="00295CBB">
      <w:pPr>
        <w:widowControl/>
        <w:spacing w:line="360" w:lineRule="auto"/>
        <w:ind w:firstLine="1440"/>
        <w:rPr>
          <w:sz w:val="26"/>
          <w:szCs w:val="26"/>
        </w:rPr>
      </w:pPr>
      <w:r>
        <w:rPr>
          <w:sz w:val="26"/>
          <w:szCs w:val="26"/>
        </w:rPr>
        <w:lastRenderedPageBreak/>
        <w:t>A</w:t>
      </w:r>
      <w:r w:rsidR="00C00DE0">
        <w:rPr>
          <w:sz w:val="26"/>
          <w:szCs w:val="26"/>
        </w:rPr>
        <w:t>l</w:t>
      </w:r>
      <w:r>
        <w:rPr>
          <w:sz w:val="26"/>
          <w:szCs w:val="26"/>
        </w:rPr>
        <w:t>s</w:t>
      </w:r>
      <w:r w:rsidR="005E2C3D">
        <w:rPr>
          <w:sz w:val="26"/>
          <w:szCs w:val="26"/>
        </w:rPr>
        <w:t xml:space="preserve">o, </w:t>
      </w:r>
      <w:r w:rsidR="00C00DE0">
        <w:rPr>
          <w:sz w:val="26"/>
          <w:szCs w:val="26"/>
        </w:rPr>
        <w:t>as</w:t>
      </w:r>
      <w:r>
        <w:rPr>
          <w:sz w:val="26"/>
          <w:szCs w:val="26"/>
        </w:rPr>
        <w:t xml:space="preserve"> </w:t>
      </w:r>
      <w:r w:rsidR="00511A26">
        <w:rPr>
          <w:sz w:val="26"/>
          <w:szCs w:val="26"/>
        </w:rPr>
        <w:t xml:space="preserve">the ALJ </w:t>
      </w:r>
      <w:r>
        <w:rPr>
          <w:sz w:val="26"/>
          <w:szCs w:val="26"/>
        </w:rPr>
        <w:t>explained</w:t>
      </w:r>
      <w:r w:rsidR="00511A26">
        <w:rPr>
          <w:sz w:val="26"/>
          <w:szCs w:val="26"/>
        </w:rPr>
        <w:t>,</w:t>
      </w:r>
      <w:r>
        <w:rPr>
          <w:sz w:val="26"/>
          <w:szCs w:val="26"/>
        </w:rPr>
        <w:t xml:space="preserve"> </w:t>
      </w:r>
      <w:r w:rsidR="005637B7">
        <w:rPr>
          <w:sz w:val="26"/>
          <w:szCs w:val="26"/>
        </w:rPr>
        <w:t>o</w:t>
      </w:r>
      <w:r w:rsidR="009D558C">
        <w:rPr>
          <w:sz w:val="26"/>
          <w:szCs w:val="26"/>
        </w:rPr>
        <w:t xml:space="preserve">nce </w:t>
      </w:r>
      <w:r>
        <w:rPr>
          <w:sz w:val="26"/>
          <w:szCs w:val="26"/>
        </w:rPr>
        <w:t xml:space="preserve">a </w:t>
      </w:r>
      <w:r w:rsidR="009D558C">
        <w:rPr>
          <w:sz w:val="26"/>
          <w:szCs w:val="26"/>
        </w:rPr>
        <w:t xml:space="preserve">foreign load is discovered, </w:t>
      </w:r>
      <w:r>
        <w:rPr>
          <w:sz w:val="26"/>
          <w:szCs w:val="26"/>
        </w:rPr>
        <w:t>the utility is required, pursuant to</w:t>
      </w:r>
      <w:r w:rsidRPr="0019757B">
        <w:rPr>
          <w:sz w:val="26"/>
          <w:szCs w:val="26"/>
        </w:rPr>
        <w:t xml:space="preserve"> </w:t>
      </w:r>
      <w:r>
        <w:rPr>
          <w:sz w:val="26"/>
          <w:szCs w:val="26"/>
        </w:rPr>
        <w:t xml:space="preserve">Section 1529.1 of the Code, 66 Pa. C.S. § 1529.1, </w:t>
      </w:r>
      <w:r w:rsidR="009D558C">
        <w:rPr>
          <w:sz w:val="26"/>
          <w:szCs w:val="26"/>
        </w:rPr>
        <w:t>to list the account associated with the foreign load in the name of the owner of the property</w:t>
      </w:r>
      <w:r w:rsidR="000D7BD8">
        <w:rPr>
          <w:sz w:val="26"/>
          <w:szCs w:val="26"/>
        </w:rPr>
        <w:t xml:space="preserve"> until it is corrected</w:t>
      </w:r>
      <w:r w:rsidR="009D558C">
        <w:rPr>
          <w:sz w:val="26"/>
          <w:szCs w:val="26"/>
        </w:rPr>
        <w:t xml:space="preserve">.  </w:t>
      </w:r>
      <w:r w:rsidR="000D7BD8" w:rsidRPr="000D7BD8">
        <w:rPr>
          <w:i/>
          <w:sz w:val="26"/>
          <w:szCs w:val="26"/>
        </w:rPr>
        <w:t>See</w:t>
      </w:r>
      <w:r w:rsidR="000D7BD8">
        <w:rPr>
          <w:sz w:val="26"/>
          <w:szCs w:val="26"/>
        </w:rPr>
        <w:t xml:space="preserve"> I.D. at 7-8</w:t>
      </w:r>
      <w:r w:rsidR="00EB2CFF">
        <w:rPr>
          <w:sz w:val="26"/>
          <w:szCs w:val="26"/>
        </w:rPr>
        <w:t>, citing 66 Pa. C.S. § 1529.1</w:t>
      </w:r>
      <w:r w:rsidR="000D7BD8">
        <w:rPr>
          <w:sz w:val="26"/>
          <w:szCs w:val="26"/>
        </w:rPr>
        <w:t xml:space="preserve">.  </w:t>
      </w:r>
      <w:r w:rsidR="009D558C">
        <w:rPr>
          <w:sz w:val="26"/>
          <w:szCs w:val="26"/>
        </w:rPr>
        <w:t xml:space="preserve">The </w:t>
      </w:r>
      <w:r w:rsidR="000D7BD8">
        <w:rPr>
          <w:sz w:val="26"/>
          <w:szCs w:val="26"/>
        </w:rPr>
        <w:t xml:space="preserve">ALJ explained that the </w:t>
      </w:r>
      <w:r w:rsidR="009D558C">
        <w:rPr>
          <w:sz w:val="26"/>
          <w:szCs w:val="26"/>
        </w:rPr>
        <w:t xml:space="preserve">Commission has established that Section 1529.1 is clear </w:t>
      </w:r>
      <w:r w:rsidR="00EE67A7">
        <w:rPr>
          <w:sz w:val="26"/>
          <w:szCs w:val="26"/>
        </w:rPr>
        <w:t xml:space="preserve">in </w:t>
      </w:r>
      <w:r w:rsidR="009D558C">
        <w:rPr>
          <w:sz w:val="26"/>
          <w:szCs w:val="26"/>
        </w:rPr>
        <w:t xml:space="preserve">that only individually metered units may be billed directly to a tenant and that, upon the documenting of the presence of foreign load, a utility must bill the service to the landlord.  </w:t>
      </w:r>
      <w:r w:rsidR="009D558C" w:rsidRPr="009D558C">
        <w:rPr>
          <w:i/>
          <w:sz w:val="26"/>
          <w:szCs w:val="26"/>
        </w:rPr>
        <w:t>See</w:t>
      </w:r>
      <w:r w:rsidR="009D558C">
        <w:rPr>
          <w:sz w:val="26"/>
          <w:szCs w:val="26"/>
        </w:rPr>
        <w:t xml:space="preserve"> </w:t>
      </w:r>
      <w:r w:rsidR="00EE67A7" w:rsidRPr="00EE67A7">
        <w:rPr>
          <w:i/>
          <w:sz w:val="26"/>
          <w:szCs w:val="26"/>
        </w:rPr>
        <w:t>generally</w:t>
      </w:r>
      <w:r w:rsidR="00EE67A7">
        <w:rPr>
          <w:sz w:val="26"/>
          <w:szCs w:val="26"/>
        </w:rPr>
        <w:t xml:space="preserve"> </w:t>
      </w:r>
      <w:r w:rsidR="009D558C">
        <w:rPr>
          <w:sz w:val="26"/>
          <w:szCs w:val="26"/>
        </w:rPr>
        <w:t xml:space="preserve">I.D. at 8, citing </w:t>
      </w:r>
      <w:r w:rsidR="009D558C" w:rsidRPr="000D7BD8">
        <w:rPr>
          <w:i/>
          <w:sz w:val="26"/>
          <w:szCs w:val="26"/>
        </w:rPr>
        <w:t>Boyce</w:t>
      </w:r>
      <w:r w:rsidR="009D558C">
        <w:rPr>
          <w:sz w:val="26"/>
          <w:szCs w:val="26"/>
        </w:rPr>
        <w:t>.</w:t>
      </w:r>
    </w:p>
    <w:p w:rsidR="008814A7" w:rsidRDefault="008814A7" w:rsidP="00295CBB">
      <w:pPr>
        <w:widowControl/>
        <w:spacing w:line="360" w:lineRule="auto"/>
        <w:ind w:firstLine="1440"/>
        <w:rPr>
          <w:sz w:val="26"/>
          <w:szCs w:val="26"/>
        </w:rPr>
      </w:pPr>
    </w:p>
    <w:p w:rsidR="00511A26" w:rsidRDefault="00A9493F" w:rsidP="00295CBB">
      <w:pPr>
        <w:widowControl/>
        <w:spacing w:line="360" w:lineRule="auto"/>
        <w:ind w:firstLine="1440"/>
        <w:rPr>
          <w:sz w:val="26"/>
          <w:szCs w:val="26"/>
        </w:rPr>
      </w:pPr>
      <w:r>
        <w:rPr>
          <w:sz w:val="26"/>
          <w:szCs w:val="26"/>
        </w:rPr>
        <w:t xml:space="preserve">According to the </w:t>
      </w:r>
      <w:r w:rsidR="00E3776A">
        <w:rPr>
          <w:sz w:val="26"/>
          <w:szCs w:val="26"/>
        </w:rPr>
        <w:t>ALJ</w:t>
      </w:r>
      <w:r>
        <w:rPr>
          <w:sz w:val="26"/>
          <w:szCs w:val="26"/>
        </w:rPr>
        <w:t xml:space="preserve">, </w:t>
      </w:r>
      <w:r w:rsidR="001B37C5">
        <w:rPr>
          <w:sz w:val="26"/>
          <w:szCs w:val="26"/>
        </w:rPr>
        <w:t>th</w:t>
      </w:r>
      <w:r w:rsidR="0068064B">
        <w:rPr>
          <w:sz w:val="26"/>
          <w:szCs w:val="26"/>
        </w:rPr>
        <w:t>e Complainant argued that</w:t>
      </w:r>
      <w:r w:rsidR="00490877">
        <w:rPr>
          <w:sz w:val="26"/>
          <w:szCs w:val="26"/>
        </w:rPr>
        <w:t xml:space="preserve"> even if a foreign load w</w:t>
      </w:r>
      <w:r>
        <w:rPr>
          <w:sz w:val="26"/>
          <w:szCs w:val="26"/>
        </w:rPr>
        <w:t>ere</w:t>
      </w:r>
      <w:r w:rsidR="00490877">
        <w:rPr>
          <w:sz w:val="26"/>
          <w:szCs w:val="26"/>
        </w:rPr>
        <w:t xml:space="preserve"> present on his property,</w:t>
      </w:r>
      <w:r w:rsidR="0068064B">
        <w:rPr>
          <w:sz w:val="26"/>
          <w:szCs w:val="26"/>
        </w:rPr>
        <w:t xml:space="preserve"> he should not be responsible for the </w:t>
      </w:r>
      <w:r w:rsidR="005637B7">
        <w:rPr>
          <w:sz w:val="26"/>
          <w:szCs w:val="26"/>
        </w:rPr>
        <w:t xml:space="preserve">entire </w:t>
      </w:r>
      <w:r w:rsidR="0068064B">
        <w:rPr>
          <w:sz w:val="26"/>
          <w:szCs w:val="26"/>
        </w:rPr>
        <w:t>outstanding balance of $944</w:t>
      </w:r>
      <w:r w:rsidR="00D65853">
        <w:rPr>
          <w:sz w:val="26"/>
          <w:szCs w:val="26"/>
        </w:rPr>
        <w:t>.75</w:t>
      </w:r>
      <w:r w:rsidR="0068064B">
        <w:rPr>
          <w:sz w:val="26"/>
          <w:szCs w:val="26"/>
        </w:rPr>
        <w:t xml:space="preserve"> on the account associated with the foreign load because the electric usage related to the foreign load was only a small amount </w:t>
      </w:r>
      <w:r w:rsidR="00662FE0">
        <w:rPr>
          <w:sz w:val="26"/>
          <w:szCs w:val="26"/>
        </w:rPr>
        <w:t>relative to</w:t>
      </w:r>
      <w:r w:rsidR="0068064B">
        <w:rPr>
          <w:sz w:val="26"/>
          <w:szCs w:val="26"/>
        </w:rPr>
        <w:t xml:space="preserve"> the outstanding balance.</w:t>
      </w:r>
      <w:r w:rsidR="005637B7">
        <w:rPr>
          <w:sz w:val="26"/>
          <w:szCs w:val="26"/>
        </w:rPr>
        <w:t xml:space="preserve">  </w:t>
      </w:r>
      <w:r w:rsidR="005637B7" w:rsidRPr="005637B7">
        <w:rPr>
          <w:i/>
          <w:sz w:val="26"/>
          <w:szCs w:val="26"/>
        </w:rPr>
        <w:t>See</w:t>
      </w:r>
      <w:r w:rsidR="005637B7">
        <w:rPr>
          <w:sz w:val="26"/>
          <w:szCs w:val="26"/>
        </w:rPr>
        <w:t xml:space="preserve"> I.D. at 10.  The Initial Decision explained, however, that there is “</w:t>
      </w:r>
      <w:r w:rsidR="005637B7" w:rsidRPr="005637B7">
        <w:rPr>
          <w:i/>
          <w:sz w:val="26"/>
          <w:szCs w:val="26"/>
        </w:rPr>
        <w:t>no de minimus exception</w:t>
      </w:r>
      <w:r w:rsidR="005637B7">
        <w:rPr>
          <w:sz w:val="26"/>
          <w:szCs w:val="26"/>
        </w:rPr>
        <w:t xml:space="preserve">” in foreign load cases.  </w:t>
      </w:r>
      <w:r w:rsidR="005637B7" w:rsidRPr="005637B7">
        <w:rPr>
          <w:i/>
          <w:sz w:val="26"/>
          <w:szCs w:val="26"/>
        </w:rPr>
        <w:t>See</w:t>
      </w:r>
      <w:r w:rsidR="005637B7">
        <w:rPr>
          <w:sz w:val="26"/>
          <w:szCs w:val="26"/>
        </w:rPr>
        <w:t xml:space="preserve"> I.D. at 10</w:t>
      </w:r>
      <w:r w:rsidR="003664C1">
        <w:rPr>
          <w:sz w:val="26"/>
          <w:szCs w:val="26"/>
        </w:rPr>
        <w:t xml:space="preserve">, citing </w:t>
      </w:r>
      <w:r w:rsidR="003664C1" w:rsidRPr="005637B7">
        <w:rPr>
          <w:i/>
          <w:sz w:val="26"/>
          <w:szCs w:val="26"/>
        </w:rPr>
        <w:t>Ace Check Cas</w:t>
      </w:r>
      <w:r w:rsidR="00B46CCD">
        <w:rPr>
          <w:i/>
          <w:sz w:val="26"/>
          <w:szCs w:val="26"/>
        </w:rPr>
        <w:t xml:space="preserve">hing </w:t>
      </w:r>
      <w:r w:rsidR="003664C1">
        <w:rPr>
          <w:sz w:val="26"/>
          <w:szCs w:val="26"/>
        </w:rPr>
        <w:t>at 8</w:t>
      </w:r>
      <w:r w:rsidR="005637B7">
        <w:rPr>
          <w:sz w:val="26"/>
          <w:szCs w:val="26"/>
        </w:rPr>
        <w:t>.</w:t>
      </w:r>
      <w:r w:rsidR="003664C1">
        <w:rPr>
          <w:sz w:val="26"/>
          <w:szCs w:val="26"/>
        </w:rPr>
        <w:t xml:space="preserve">  Throughout the discussion in the</w:t>
      </w:r>
      <w:r w:rsidR="005637B7">
        <w:rPr>
          <w:sz w:val="26"/>
          <w:szCs w:val="26"/>
        </w:rPr>
        <w:t xml:space="preserve"> Initial Decision</w:t>
      </w:r>
      <w:r w:rsidR="003664C1">
        <w:rPr>
          <w:sz w:val="26"/>
          <w:szCs w:val="26"/>
        </w:rPr>
        <w:t>, the ALJ</w:t>
      </w:r>
      <w:r w:rsidR="005637B7">
        <w:rPr>
          <w:sz w:val="26"/>
          <w:szCs w:val="26"/>
        </w:rPr>
        <w:t xml:space="preserve"> made citations to </w:t>
      </w:r>
      <w:r w:rsidR="005637B7" w:rsidRPr="005637B7">
        <w:rPr>
          <w:i/>
          <w:sz w:val="26"/>
          <w:szCs w:val="26"/>
        </w:rPr>
        <w:t>Ace Check Cashing</w:t>
      </w:r>
      <w:r w:rsidR="003664C1" w:rsidRPr="003664C1">
        <w:rPr>
          <w:sz w:val="26"/>
          <w:szCs w:val="26"/>
        </w:rPr>
        <w:t>,</w:t>
      </w:r>
      <w:r w:rsidR="005637B7">
        <w:rPr>
          <w:rStyle w:val="FootnoteReference"/>
          <w:sz w:val="26"/>
          <w:szCs w:val="26"/>
        </w:rPr>
        <w:footnoteReference w:id="3"/>
      </w:r>
      <w:r w:rsidR="003664C1">
        <w:rPr>
          <w:i/>
          <w:sz w:val="26"/>
          <w:szCs w:val="26"/>
        </w:rPr>
        <w:t xml:space="preserve"> </w:t>
      </w:r>
      <w:r w:rsidR="003664C1" w:rsidRPr="003664C1">
        <w:rPr>
          <w:sz w:val="26"/>
          <w:szCs w:val="26"/>
        </w:rPr>
        <w:t>in which</w:t>
      </w:r>
      <w:r w:rsidR="005637B7" w:rsidRPr="003664C1">
        <w:rPr>
          <w:sz w:val="26"/>
          <w:szCs w:val="26"/>
        </w:rPr>
        <w:t xml:space="preserve"> </w:t>
      </w:r>
      <w:r w:rsidR="005637B7">
        <w:rPr>
          <w:sz w:val="26"/>
          <w:szCs w:val="26"/>
        </w:rPr>
        <w:t>the Commission determined that well-established precedent “holds the property owner financially responsible for a tenant’s entire account, once foreign load is verif</w:t>
      </w:r>
      <w:r w:rsidR="00AC1019">
        <w:rPr>
          <w:sz w:val="26"/>
          <w:szCs w:val="26"/>
        </w:rPr>
        <w:t xml:space="preserve">ied on the tenant’s service.”  </w:t>
      </w:r>
      <w:r w:rsidR="005637B7" w:rsidRPr="005637B7">
        <w:rPr>
          <w:i/>
          <w:sz w:val="26"/>
          <w:szCs w:val="26"/>
        </w:rPr>
        <w:t>Ace</w:t>
      </w:r>
      <w:r w:rsidR="005637B7">
        <w:rPr>
          <w:sz w:val="26"/>
          <w:szCs w:val="26"/>
        </w:rPr>
        <w:t xml:space="preserve"> </w:t>
      </w:r>
      <w:r w:rsidR="0020559A" w:rsidRPr="0020559A">
        <w:rPr>
          <w:i/>
          <w:sz w:val="26"/>
          <w:szCs w:val="26"/>
        </w:rPr>
        <w:t>Check Cashing</w:t>
      </w:r>
      <w:r w:rsidR="0020559A">
        <w:rPr>
          <w:sz w:val="26"/>
          <w:szCs w:val="26"/>
        </w:rPr>
        <w:t xml:space="preserve"> </w:t>
      </w:r>
      <w:r w:rsidR="005637B7">
        <w:rPr>
          <w:sz w:val="26"/>
          <w:szCs w:val="26"/>
        </w:rPr>
        <w:t>at 6.</w:t>
      </w:r>
    </w:p>
    <w:p w:rsidR="00511A26" w:rsidRDefault="00511A26" w:rsidP="00295CBB">
      <w:pPr>
        <w:widowControl/>
        <w:spacing w:line="360" w:lineRule="auto"/>
        <w:ind w:firstLine="1440"/>
        <w:rPr>
          <w:sz w:val="26"/>
          <w:szCs w:val="26"/>
        </w:rPr>
      </w:pPr>
    </w:p>
    <w:p w:rsidR="0068064B" w:rsidRDefault="0068064B" w:rsidP="00295CBB">
      <w:pPr>
        <w:widowControl/>
        <w:spacing w:line="360" w:lineRule="auto"/>
        <w:ind w:firstLine="1440"/>
        <w:rPr>
          <w:sz w:val="26"/>
          <w:szCs w:val="26"/>
        </w:rPr>
      </w:pPr>
      <w:r>
        <w:rPr>
          <w:sz w:val="26"/>
          <w:szCs w:val="26"/>
        </w:rPr>
        <w:t>Furthermore, the Initial Decision explained that the law is clear that the Commission has no jurisdiction over disputes between landlords and tenants.</w:t>
      </w:r>
      <w:r w:rsidR="0020559A">
        <w:rPr>
          <w:sz w:val="26"/>
          <w:szCs w:val="26"/>
        </w:rPr>
        <w:t xml:space="preserve">  </w:t>
      </w:r>
      <w:r w:rsidR="0020559A" w:rsidRPr="0020559A">
        <w:rPr>
          <w:i/>
          <w:sz w:val="26"/>
          <w:szCs w:val="26"/>
        </w:rPr>
        <w:t>See</w:t>
      </w:r>
      <w:r w:rsidR="0020559A">
        <w:rPr>
          <w:sz w:val="26"/>
          <w:szCs w:val="26"/>
        </w:rPr>
        <w:t xml:space="preserve"> I.D. </w:t>
      </w:r>
      <w:r w:rsidR="0020559A">
        <w:rPr>
          <w:sz w:val="26"/>
          <w:szCs w:val="26"/>
        </w:rPr>
        <w:lastRenderedPageBreak/>
        <w:t>at</w:t>
      </w:r>
      <w:r w:rsidR="0033679C">
        <w:rPr>
          <w:sz w:val="26"/>
          <w:szCs w:val="26"/>
        </w:rPr>
        <w:t> </w:t>
      </w:r>
      <w:r w:rsidR="0020559A">
        <w:rPr>
          <w:sz w:val="26"/>
          <w:szCs w:val="26"/>
        </w:rPr>
        <w:t xml:space="preserve">8, citing to </w:t>
      </w:r>
      <w:r w:rsidR="0020559A" w:rsidRPr="0020559A">
        <w:rPr>
          <w:i/>
          <w:sz w:val="26"/>
          <w:szCs w:val="26"/>
        </w:rPr>
        <w:t>Ace Check Cashing</w:t>
      </w:r>
      <w:r w:rsidR="00A82B2D">
        <w:rPr>
          <w:i/>
          <w:sz w:val="26"/>
          <w:szCs w:val="26"/>
        </w:rPr>
        <w:t xml:space="preserve"> </w:t>
      </w:r>
      <w:r w:rsidR="00A82B2D" w:rsidRPr="00A82B2D">
        <w:rPr>
          <w:sz w:val="26"/>
          <w:szCs w:val="26"/>
        </w:rPr>
        <w:t>at 6-8</w:t>
      </w:r>
      <w:r w:rsidR="00A82B2D">
        <w:rPr>
          <w:i/>
          <w:sz w:val="26"/>
          <w:szCs w:val="26"/>
        </w:rPr>
        <w:t>;</w:t>
      </w:r>
      <w:r w:rsidR="0020559A">
        <w:rPr>
          <w:sz w:val="26"/>
          <w:szCs w:val="26"/>
        </w:rPr>
        <w:t xml:space="preserve"> </w:t>
      </w:r>
      <w:r w:rsidR="0020559A" w:rsidRPr="0020559A">
        <w:rPr>
          <w:i/>
          <w:sz w:val="26"/>
          <w:szCs w:val="26"/>
        </w:rPr>
        <w:t>Afshari v. PPL Electric Utilities Corporation</w:t>
      </w:r>
      <w:r w:rsidR="0020559A">
        <w:rPr>
          <w:sz w:val="26"/>
          <w:szCs w:val="26"/>
        </w:rPr>
        <w:t>, Docket No. C-20055547 (Order entered April 9, 2008).</w:t>
      </w:r>
      <w:r w:rsidR="00B46CCD">
        <w:rPr>
          <w:sz w:val="26"/>
          <w:szCs w:val="26"/>
        </w:rPr>
        <w:t xml:space="preserve"> </w:t>
      </w:r>
      <w:r>
        <w:rPr>
          <w:sz w:val="26"/>
          <w:szCs w:val="26"/>
        </w:rPr>
        <w:t xml:space="preserve"> </w:t>
      </w:r>
      <w:r w:rsidR="0020559A">
        <w:rPr>
          <w:sz w:val="26"/>
          <w:szCs w:val="26"/>
        </w:rPr>
        <w:t>Thus, t</w:t>
      </w:r>
      <w:r>
        <w:rPr>
          <w:sz w:val="26"/>
          <w:szCs w:val="26"/>
        </w:rPr>
        <w:t xml:space="preserve">he </w:t>
      </w:r>
      <w:r w:rsidR="0020559A">
        <w:rPr>
          <w:sz w:val="26"/>
          <w:szCs w:val="26"/>
        </w:rPr>
        <w:t xml:space="preserve">ALJ determined that financial responsibility for the </w:t>
      </w:r>
      <w:r>
        <w:rPr>
          <w:sz w:val="26"/>
          <w:szCs w:val="26"/>
        </w:rPr>
        <w:t>$944</w:t>
      </w:r>
      <w:r w:rsidR="00D65853">
        <w:rPr>
          <w:sz w:val="26"/>
          <w:szCs w:val="26"/>
        </w:rPr>
        <w:t>.75</w:t>
      </w:r>
      <w:r>
        <w:rPr>
          <w:sz w:val="26"/>
          <w:szCs w:val="26"/>
        </w:rPr>
        <w:t xml:space="preserve"> balance</w:t>
      </w:r>
      <w:r w:rsidR="00FB13A8">
        <w:rPr>
          <w:sz w:val="26"/>
          <w:szCs w:val="26"/>
        </w:rPr>
        <w:t>,</w:t>
      </w:r>
      <w:r>
        <w:rPr>
          <w:sz w:val="26"/>
          <w:szCs w:val="26"/>
        </w:rPr>
        <w:t xml:space="preserve"> </w:t>
      </w:r>
      <w:r w:rsidR="0020559A">
        <w:rPr>
          <w:sz w:val="26"/>
          <w:szCs w:val="26"/>
        </w:rPr>
        <w:t>as between the Complainant and his tenants</w:t>
      </w:r>
      <w:r w:rsidR="00FB13A8">
        <w:rPr>
          <w:sz w:val="26"/>
          <w:szCs w:val="26"/>
        </w:rPr>
        <w:t>,</w:t>
      </w:r>
      <w:r w:rsidR="0020559A">
        <w:rPr>
          <w:sz w:val="26"/>
          <w:szCs w:val="26"/>
        </w:rPr>
        <w:t xml:space="preserve"> is</w:t>
      </w:r>
      <w:r w:rsidR="00FB13A8">
        <w:rPr>
          <w:sz w:val="26"/>
          <w:szCs w:val="26"/>
        </w:rPr>
        <w:t xml:space="preserve"> a private</w:t>
      </w:r>
      <w:r>
        <w:rPr>
          <w:sz w:val="26"/>
          <w:szCs w:val="26"/>
        </w:rPr>
        <w:t xml:space="preserve"> matter that is between the Complainant and his tenants, not appropriate</w:t>
      </w:r>
      <w:r w:rsidR="0020559A">
        <w:rPr>
          <w:sz w:val="26"/>
          <w:szCs w:val="26"/>
        </w:rPr>
        <w:t xml:space="preserve"> for the Comm</w:t>
      </w:r>
      <w:r w:rsidR="00FB13A8">
        <w:rPr>
          <w:sz w:val="26"/>
          <w:szCs w:val="26"/>
        </w:rPr>
        <w:t xml:space="preserve">ission to resolve.  </w:t>
      </w:r>
      <w:r w:rsidR="00FB13A8" w:rsidRPr="00FB13A8">
        <w:rPr>
          <w:i/>
          <w:sz w:val="26"/>
          <w:szCs w:val="26"/>
        </w:rPr>
        <w:t>See</w:t>
      </w:r>
      <w:r w:rsidR="00FB13A8">
        <w:rPr>
          <w:sz w:val="26"/>
          <w:szCs w:val="26"/>
        </w:rPr>
        <w:t xml:space="preserve"> I.D. at </w:t>
      </w:r>
      <w:r w:rsidR="0020559A">
        <w:rPr>
          <w:sz w:val="26"/>
          <w:szCs w:val="26"/>
        </w:rPr>
        <w:t>10</w:t>
      </w:r>
      <w:r w:rsidR="00FB13A8">
        <w:rPr>
          <w:sz w:val="26"/>
          <w:szCs w:val="26"/>
        </w:rPr>
        <w:t xml:space="preserve">; </w:t>
      </w:r>
      <w:r w:rsidR="00FB13A8" w:rsidRPr="00FB13A8">
        <w:rPr>
          <w:i/>
          <w:sz w:val="26"/>
          <w:szCs w:val="26"/>
        </w:rPr>
        <w:t xml:space="preserve">see also </w:t>
      </w:r>
      <w:r w:rsidR="00FB13A8">
        <w:rPr>
          <w:sz w:val="26"/>
          <w:szCs w:val="26"/>
        </w:rPr>
        <w:t xml:space="preserve">I.D. at 8-9, citing </w:t>
      </w:r>
      <w:r w:rsidR="00D65853">
        <w:rPr>
          <w:i/>
          <w:sz w:val="26"/>
          <w:szCs w:val="26"/>
        </w:rPr>
        <w:t>Ace Check Cashing</w:t>
      </w:r>
      <w:r w:rsidR="00FB13A8">
        <w:rPr>
          <w:sz w:val="26"/>
          <w:szCs w:val="26"/>
        </w:rPr>
        <w:t xml:space="preserve"> at 6; </w:t>
      </w:r>
      <w:r w:rsidR="00B46CCD">
        <w:rPr>
          <w:sz w:val="26"/>
          <w:szCs w:val="26"/>
        </w:rPr>
        <w:t xml:space="preserve">citing also </w:t>
      </w:r>
      <w:r w:rsidR="00FB13A8" w:rsidRPr="00FB13A8">
        <w:rPr>
          <w:i/>
          <w:sz w:val="26"/>
          <w:szCs w:val="26"/>
        </w:rPr>
        <w:t>Edmund v. Corazzini v. UGI Penn Natural Gas, Inc</w:t>
      </w:r>
      <w:r w:rsidR="00FB13A8">
        <w:rPr>
          <w:sz w:val="26"/>
          <w:szCs w:val="26"/>
        </w:rPr>
        <w:t>., Docket No. F-2009-2101282 (Opinion and Order entered July 16, 2010) (the landlord may seek damages from his tenant through the courts but that is a private matter that is outside the Commission’s jurisdiction).</w:t>
      </w:r>
    </w:p>
    <w:p w:rsidR="0068064B" w:rsidRDefault="0068064B" w:rsidP="00295CBB">
      <w:pPr>
        <w:widowControl/>
        <w:spacing w:line="360" w:lineRule="auto"/>
        <w:ind w:firstLine="1440"/>
        <w:rPr>
          <w:sz w:val="26"/>
          <w:szCs w:val="26"/>
        </w:rPr>
      </w:pPr>
    </w:p>
    <w:p w:rsidR="00B82400" w:rsidRDefault="008E0751" w:rsidP="00295CBB">
      <w:pPr>
        <w:widowControl/>
        <w:spacing w:line="360" w:lineRule="auto"/>
        <w:ind w:firstLine="1440"/>
        <w:rPr>
          <w:sz w:val="26"/>
          <w:szCs w:val="26"/>
        </w:rPr>
      </w:pPr>
      <w:r>
        <w:rPr>
          <w:sz w:val="26"/>
          <w:szCs w:val="26"/>
        </w:rPr>
        <w:t xml:space="preserve">The ALJ concluded that the Complainant failed to carry his burden of proof, pursuant to 66 Pa. C.S. § 332(a), to demonstrate by a preponderance of the evidence, </w:t>
      </w:r>
      <w:r w:rsidR="00A51367">
        <w:rPr>
          <w:sz w:val="26"/>
          <w:szCs w:val="26"/>
        </w:rPr>
        <w:t xml:space="preserve">that no foreign load existed at </w:t>
      </w:r>
      <w:r w:rsidR="003664C1">
        <w:rPr>
          <w:sz w:val="26"/>
          <w:szCs w:val="26"/>
        </w:rPr>
        <w:t xml:space="preserve">the </w:t>
      </w:r>
      <w:r w:rsidR="00A51367">
        <w:rPr>
          <w:sz w:val="26"/>
          <w:szCs w:val="26"/>
        </w:rPr>
        <w:t>Complainant’s property</w:t>
      </w:r>
      <w:r w:rsidR="003664C1">
        <w:rPr>
          <w:sz w:val="26"/>
          <w:szCs w:val="26"/>
        </w:rPr>
        <w:t xml:space="preserve"> and</w:t>
      </w:r>
      <w:r w:rsidR="00A51367">
        <w:rPr>
          <w:sz w:val="26"/>
          <w:szCs w:val="26"/>
        </w:rPr>
        <w:t xml:space="preserve"> that PPL in any way violated the Code, any Commission order or regulation or any Commission-approved tariff.  </w:t>
      </w:r>
      <w:r w:rsidR="00A51367" w:rsidRPr="00A51367">
        <w:rPr>
          <w:i/>
          <w:sz w:val="26"/>
          <w:szCs w:val="26"/>
        </w:rPr>
        <w:t>See</w:t>
      </w:r>
      <w:r w:rsidR="00A51367">
        <w:rPr>
          <w:sz w:val="26"/>
          <w:szCs w:val="26"/>
        </w:rPr>
        <w:t xml:space="preserve"> I.D. 6, 9</w:t>
      </w:r>
      <w:r w:rsidR="00A82B2D">
        <w:rPr>
          <w:sz w:val="26"/>
          <w:szCs w:val="26"/>
        </w:rPr>
        <w:t>, 10-11</w:t>
      </w:r>
      <w:r w:rsidR="00A51367">
        <w:rPr>
          <w:sz w:val="26"/>
          <w:szCs w:val="26"/>
        </w:rPr>
        <w:t xml:space="preserve">; </w:t>
      </w:r>
      <w:r w:rsidR="00B46CCD" w:rsidRPr="00B46CCD">
        <w:rPr>
          <w:i/>
          <w:sz w:val="26"/>
          <w:szCs w:val="26"/>
        </w:rPr>
        <w:t>see also</w:t>
      </w:r>
      <w:r w:rsidR="00B46CCD">
        <w:rPr>
          <w:sz w:val="26"/>
          <w:szCs w:val="26"/>
        </w:rPr>
        <w:t xml:space="preserve"> </w:t>
      </w:r>
      <w:r w:rsidR="00A51367">
        <w:rPr>
          <w:sz w:val="26"/>
          <w:szCs w:val="26"/>
        </w:rPr>
        <w:t xml:space="preserve">Findings of Fact No. 14.  </w:t>
      </w:r>
      <w:r w:rsidR="00B82400">
        <w:rPr>
          <w:sz w:val="26"/>
          <w:szCs w:val="26"/>
        </w:rPr>
        <w:t>T</w:t>
      </w:r>
      <w:r w:rsidR="00A51367">
        <w:rPr>
          <w:sz w:val="26"/>
          <w:szCs w:val="26"/>
        </w:rPr>
        <w:t xml:space="preserve">he ALJ determined that substantial record evidence demonstrated that foreign load was present at the service address.  </w:t>
      </w:r>
      <w:r w:rsidR="00A51367" w:rsidRPr="00B82400">
        <w:rPr>
          <w:i/>
          <w:sz w:val="26"/>
          <w:szCs w:val="26"/>
        </w:rPr>
        <w:t>See</w:t>
      </w:r>
      <w:r w:rsidR="00A51367">
        <w:rPr>
          <w:sz w:val="26"/>
          <w:szCs w:val="26"/>
        </w:rPr>
        <w:t xml:space="preserve"> I.D. at </w:t>
      </w:r>
      <w:r w:rsidR="00B82400">
        <w:rPr>
          <w:sz w:val="26"/>
          <w:szCs w:val="26"/>
        </w:rPr>
        <w:t>10</w:t>
      </w:r>
      <w:r w:rsidR="00A82B2D">
        <w:rPr>
          <w:sz w:val="26"/>
          <w:szCs w:val="26"/>
        </w:rPr>
        <w:t>-11</w:t>
      </w:r>
      <w:r w:rsidR="00A51367">
        <w:rPr>
          <w:sz w:val="26"/>
          <w:szCs w:val="26"/>
        </w:rPr>
        <w:t xml:space="preserve">.  The ALJ also determined that substantial record evidence demonstrated that PPL </w:t>
      </w:r>
      <w:r w:rsidR="00921E9B">
        <w:rPr>
          <w:sz w:val="26"/>
          <w:szCs w:val="26"/>
        </w:rPr>
        <w:t xml:space="preserve">acted properly in listing the account in the Complainant’s name until the foreign load was corrected and </w:t>
      </w:r>
      <w:r w:rsidR="0068064B">
        <w:rPr>
          <w:sz w:val="26"/>
          <w:szCs w:val="26"/>
        </w:rPr>
        <w:t xml:space="preserve">in </w:t>
      </w:r>
      <w:r w:rsidR="00921E9B">
        <w:rPr>
          <w:sz w:val="26"/>
          <w:szCs w:val="26"/>
        </w:rPr>
        <w:t xml:space="preserve">transferring the account balance to him.  </w:t>
      </w:r>
      <w:r w:rsidR="00B82400">
        <w:rPr>
          <w:sz w:val="26"/>
          <w:szCs w:val="26"/>
        </w:rPr>
        <w:t>I.D. at 10</w:t>
      </w:r>
      <w:r w:rsidR="00A82B2D">
        <w:rPr>
          <w:sz w:val="26"/>
          <w:szCs w:val="26"/>
        </w:rPr>
        <w:t>-11</w:t>
      </w:r>
      <w:r w:rsidR="00B82400">
        <w:rPr>
          <w:sz w:val="26"/>
          <w:szCs w:val="26"/>
        </w:rPr>
        <w:t xml:space="preserve">.  The ALJ </w:t>
      </w:r>
      <w:r w:rsidR="00CC1329">
        <w:rPr>
          <w:sz w:val="26"/>
          <w:szCs w:val="26"/>
        </w:rPr>
        <w:t xml:space="preserve">concluded </w:t>
      </w:r>
      <w:r w:rsidR="00B82400">
        <w:rPr>
          <w:sz w:val="26"/>
          <w:szCs w:val="26"/>
        </w:rPr>
        <w:t xml:space="preserve">that the Complainant failed to rebut PPL’s evidence by a preponderance of the evidence, and, therefore, that he had failed to satisfy his burden of proof.  </w:t>
      </w:r>
      <w:r w:rsidR="00B46CCD" w:rsidRPr="00B46CCD">
        <w:rPr>
          <w:i/>
          <w:sz w:val="26"/>
          <w:szCs w:val="26"/>
        </w:rPr>
        <w:t>See</w:t>
      </w:r>
      <w:r w:rsidR="00B46CCD">
        <w:rPr>
          <w:sz w:val="26"/>
          <w:szCs w:val="26"/>
        </w:rPr>
        <w:t xml:space="preserve"> </w:t>
      </w:r>
      <w:r w:rsidR="00B82400">
        <w:rPr>
          <w:sz w:val="26"/>
          <w:szCs w:val="26"/>
        </w:rPr>
        <w:t>I.D. at 10; citing to</w:t>
      </w:r>
      <w:r w:rsidR="00B82400" w:rsidRPr="00B82400">
        <w:rPr>
          <w:i/>
          <w:sz w:val="26"/>
        </w:rPr>
        <w:t xml:space="preserve"> </w:t>
      </w:r>
      <w:r w:rsidR="00B82400">
        <w:rPr>
          <w:i/>
          <w:sz w:val="26"/>
        </w:rPr>
        <w:t xml:space="preserve">Milkie v. Pa. PUC, </w:t>
      </w:r>
      <w:r w:rsidR="00B82400">
        <w:rPr>
          <w:sz w:val="26"/>
        </w:rPr>
        <w:t>768 A.2d 1217 (Pa. Cmwlth. 2001)</w:t>
      </w:r>
      <w:r w:rsidR="00B46CCD">
        <w:rPr>
          <w:sz w:val="26"/>
        </w:rPr>
        <w:t xml:space="preserve">; </w:t>
      </w:r>
      <w:r w:rsidR="00B46CCD" w:rsidRPr="00B46CCD">
        <w:rPr>
          <w:i/>
          <w:sz w:val="26"/>
        </w:rPr>
        <w:t>see also</w:t>
      </w:r>
      <w:r w:rsidR="00B46CCD">
        <w:rPr>
          <w:sz w:val="26"/>
        </w:rPr>
        <w:t xml:space="preserve"> Conclusion of Law No. 14</w:t>
      </w:r>
      <w:r w:rsidR="00B82400">
        <w:rPr>
          <w:sz w:val="26"/>
        </w:rPr>
        <w:t>.</w:t>
      </w:r>
      <w:r w:rsidR="00B46CCD">
        <w:rPr>
          <w:sz w:val="26"/>
        </w:rPr>
        <w:t xml:space="preserve">  </w:t>
      </w:r>
      <w:r w:rsidR="0051511C">
        <w:rPr>
          <w:sz w:val="26"/>
        </w:rPr>
        <w:t xml:space="preserve">For </w:t>
      </w:r>
      <w:r w:rsidR="00815106">
        <w:rPr>
          <w:sz w:val="26"/>
        </w:rPr>
        <w:t>all</w:t>
      </w:r>
      <w:r w:rsidR="0051511C">
        <w:rPr>
          <w:sz w:val="26"/>
        </w:rPr>
        <w:t xml:space="preserve"> the above reasons, </w:t>
      </w:r>
      <w:r w:rsidR="00B46CCD">
        <w:rPr>
          <w:sz w:val="26"/>
        </w:rPr>
        <w:t xml:space="preserve">the ALJ dismissed the Complaint.  </w:t>
      </w:r>
      <w:r w:rsidR="00B46CCD" w:rsidRPr="00B46CCD">
        <w:rPr>
          <w:i/>
          <w:sz w:val="26"/>
        </w:rPr>
        <w:t>See</w:t>
      </w:r>
      <w:r w:rsidR="00B46CCD">
        <w:rPr>
          <w:sz w:val="26"/>
        </w:rPr>
        <w:t xml:space="preserve"> I.D. at 13. </w:t>
      </w:r>
    </w:p>
    <w:p w:rsidR="00C203E5" w:rsidRPr="00CA43A5" w:rsidRDefault="00C203E5" w:rsidP="00295CBB">
      <w:pPr>
        <w:widowControl/>
        <w:spacing w:line="360" w:lineRule="auto"/>
        <w:rPr>
          <w:sz w:val="26"/>
          <w:szCs w:val="26"/>
        </w:rPr>
      </w:pPr>
    </w:p>
    <w:p w:rsidR="00CA43A5" w:rsidRDefault="004D50F5" w:rsidP="00295CBB">
      <w:pPr>
        <w:keepNext/>
        <w:widowControl/>
        <w:spacing w:line="360" w:lineRule="auto"/>
        <w:rPr>
          <w:b/>
          <w:sz w:val="26"/>
          <w:szCs w:val="26"/>
        </w:rPr>
      </w:pPr>
      <w:r>
        <w:rPr>
          <w:b/>
          <w:sz w:val="26"/>
          <w:szCs w:val="26"/>
        </w:rPr>
        <w:t>The</w:t>
      </w:r>
      <w:r w:rsidR="001C2501">
        <w:rPr>
          <w:b/>
          <w:sz w:val="26"/>
          <w:szCs w:val="26"/>
        </w:rPr>
        <w:t xml:space="preserve"> Petition for Reconsideration</w:t>
      </w:r>
    </w:p>
    <w:p w:rsidR="00D457EC" w:rsidRDefault="00D457EC" w:rsidP="00295CBB">
      <w:pPr>
        <w:widowControl/>
        <w:spacing w:line="360" w:lineRule="auto"/>
        <w:rPr>
          <w:b/>
          <w:sz w:val="26"/>
          <w:szCs w:val="26"/>
        </w:rPr>
      </w:pPr>
    </w:p>
    <w:p w:rsidR="004D50F5" w:rsidRDefault="004D50F5" w:rsidP="00295CBB">
      <w:pPr>
        <w:widowControl/>
        <w:spacing w:line="360" w:lineRule="auto"/>
        <w:ind w:firstLine="1440"/>
        <w:rPr>
          <w:sz w:val="26"/>
          <w:szCs w:val="26"/>
        </w:rPr>
      </w:pPr>
      <w:r>
        <w:rPr>
          <w:sz w:val="26"/>
          <w:szCs w:val="26"/>
        </w:rPr>
        <w:t>In the Petition,</w:t>
      </w:r>
      <w:r w:rsidR="001C2501">
        <w:rPr>
          <w:sz w:val="26"/>
          <w:szCs w:val="26"/>
        </w:rPr>
        <w:t xml:space="preserve"> </w:t>
      </w:r>
      <w:r w:rsidR="00E94CF8">
        <w:rPr>
          <w:sz w:val="26"/>
          <w:szCs w:val="26"/>
        </w:rPr>
        <w:t xml:space="preserve">the </w:t>
      </w:r>
      <w:r w:rsidR="001C2501">
        <w:rPr>
          <w:sz w:val="26"/>
          <w:szCs w:val="26"/>
        </w:rPr>
        <w:t xml:space="preserve">Complainant </w:t>
      </w:r>
      <w:r w:rsidR="00C14FB9">
        <w:rPr>
          <w:sz w:val="26"/>
          <w:szCs w:val="26"/>
        </w:rPr>
        <w:t>admit</w:t>
      </w:r>
      <w:r w:rsidR="00351EF9">
        <w:rPr>
          <w:sz w:val="26"/>
          <w:szCs w:val="26"/>
        </w:rPr>
        <w:t>s</w:t>
      </w:r>
      <w:r w:rsidR="00C14FB9">
        <w:rPr>
          <w:sz w:val="26"/>
          <w:szCs w:val="26"/>
        </w:rPr>
        <w:t xml:space="preserve"> to laying the 110 kv and 220 kv lines to the </w:t>
      </w:r>
      <w:r w:rsidR="00AC1019">
        <w:rPr>
          <w:sz w:val="26"/>
          <w:szCs w:val="26"/>
        </w:rPr>
        <w:t>shared</w:t>
      </w:r>
      <w:r w:rsidR="00C14FB9">
        <w:rPr>
          <w:sz w:val="26"/>
          <w:szCs w:val="26"/>
        </w:rPr>
        <w:t xml:space="preserve"> detached shed from the tenants’ meter and </w:t>
      </w:r>
      <w:r>
        <w:rPr>
          <w:sz w:val="26"/>
          <w:szCs w:val="26"/>
        </w:rPr>
        <w:t xml:space="preserve">correctly identified the </w:t>
      </w:r>
      <w:r>
        <w:rPr>
          <w:sz w:val="26"/>
          <w:szCs w:val="26"/>
        </w:rPr>
        <w:lastRenderedPageBreak/>
        <w:t>definition of foreign load to be applied in this case, but object</w:t>
      </w:r>
      <w:r w:rsidR="00351EF9">
        <w:rPr>
          <w:sz w:val="26"/>
          <w:szCs w:val="26"/>
        </w:rPr>
        <w:t>s</w:t>
      </w:r>
      <w:r>
        <w:rPr>
          <w:sz w:val="26"/>
          <w:szCs w:val="26"/>
        </w:rPr>
        <w:t xml:space="preserve"> to the ALJ’s finding that foreign load existed in this case. </w:t>
      </w:r>
      <w:r w:rsidR="00C14FB9">
        <w:rPr>
          <w:sz w:val="26"/>
          <w:szCs w:val="26"/>
        </w:rPr>
        <w:t xml:space="preserve"> </w:t>
      </w:r>
      <w:r w:rsidR="00C14FB9" w:rsidRPr="00C14FB9">
        <w:rPr>
          <w:i/>
          <w:sz w:val="26"/>
          <w:szCs w:val="26"/>
        </w:rPr>
        <w:t>See</w:t>
      </w:r>
      <w:r w:rsidR="00C14FB9">
        <w:rPr>
          <w:sz w:val="26"/>
          <w:szCs w:val="26"/>
        </w:rPr>
        <w:t xml:space="preserve"> Petition at 1-2; 5-6.</w:t>
      </w:r>
      <w:r>
        <w:rPr>
          <w:sz w:val="26"/>
          <w:szCs w:val="26"/>
        </w:rPr>
        <w:t xml:space="preserve"> </w:t>
      </w:r>
      <w:r w:rsidR="00C14FB9">
        <w:rPr>
          <w:sz w:val="26"/>
          <w:szCs w:val="26"/>
        </w:rPr>
        <w:t xml:space="preserve"> </w:t>
      </w:r>
      <w:r>
        <w:rPr>
          <w:sz w:val="26"/>
          <w:szCs w:val="26"/>
        </w:rPr>
        <w:t>More specifically, the Complainant state</w:t>
      </w:r>
      <w:r w:rsidR="00351EF9">
        <w:rPr>
          <w:sz w:val="26"/>
          <w:szCs w:val="26"/>
        </w:rPr>
        <w:t>s</w:t>
      </w:r>
      <w:r w:rsidR="0051511C">
        <w:rPr>
          <w:sz w:val="26"/>
          <w:szCs w:val="26"/>
        </w:rPr>
        <w:t>,</w:t>
      </w:r>
      <w:r>
        <w:rPr>
          <w:sz w:val="26"/>
          <w:szCs w:val="26"/>
        </w:rPr>
        <w:t xml:space="preserve"> “Judge, I don’t see how I created a ‘foreign load’ by what I did.”  </w:t>
      </w:r>
      <w:r w:rsidRPr="004D50F5">
        <w:rPr>
          <w:i/>
          <w:sz w:val="26"/>
          <w:szCs w:val="26"/>
        </w:rPr>
        <w:t xml:space="preserve">See </w:t>
      </w:r>
      <w:r>
        <w:rPr>
          <w:sz w:val="26"/>
          <w:szCs w:val="26"/>
        </w:rPr>
        <w:t xml:space="preserve">Petition at 6.  </w:t>
      </w:r>
      <w:r w:rsidR="0051511C">
        <w:rPr>
          <w:sz w:val="26"/>
          <w:szCs w:val="26"/>
        </w:rPr>
        <w:t>T</w:t>
      </w:r>
      <w:r>
        <w:rPr>
          <w:sz w:val="26"/>
          <w:szCs w:val="26"/>
        </w:rPr>
        <w:t xml:space="preserve">he Complainant </w:t>
      </w:r>
      <w:r w:rsidR="00351EF9">
        <w:rPr>
          <w:sz w:val="26"/>
          <w:szCs w:val="26"/>
        </w:rPr>
        <w:t>avers</w:t>
      </w:r>
      <w:r w:rsidR="00C14FB9">
        <w:rPr>
          <w:sz w:val="26"/>
          <w:szCs w:val="26"/>
        </w:rPr>
        <w:t xml:space="preserve"> that the use of the light</w:t>
      </w:r>
      <w:r>
        <w:rPr>
          <w:sz w:val="26"/>
          <w:szCs w:val="26"/>
        </w:rPr>
        <w:t xml:space="preserve"> at the detached shed is exclusively shared by his tenants, and that he does not use it.</w:t>
      </w:r>
      <w:r w:rsidR="00C14FB9">
        <w:rPr>
          <w:sz w:val="26"/>
          <w:szCs w:val="26"/>
        </w:rPr>
        <w:t xml:space="preserve">  </w:t>
      </w:r>
      <w:r w:rsidR="00C14FB9" w:rsidRPr="00C14FB9">
        <w:rPr>
          <w:i/>
          <w:sz w:val="26"/>
          <w:szCs w:val="26"/>
        </w:rPr>
        <w:t>See</w:t>
      </w:r>
      <w:r w:rsidR="00C14FB9">
        <w:rPr>
          <w:sz w:val="26"/>
          <w:szCs w:val="26"/>
        </w:rPr>
        <w:t xml:space="preserve"> Petition at 1; 4.</w:t>
      </w:r>
      <w:r w:rsidR="00B3462F">
        <w:rPr>
          <w:sz w:val="26"/>
          <w:szCs w:val="26"/>
        </w:rPr>
        <w:t xml:space="preserve">  He also </w:t>
      </w:r>
      <w:r w:rsidR="00E84CC6">
        <w:rPr>
          <w:sz w:val="26"/>
          <w:szCs w:val="26"/>
        </w:rPr>
        <w:t>c</w:t>
      </w:r>
      <w:r w:rsidR="00AA1EF0">
        <w:rPr>
          <w:sz w:val="26"/>
          <w:szCs w:val="26"/>
        </w:rPr>
        <w:t>laims that t</w:t>
      </w:r>
      <w:r w:rsidR="00B3462F">
        <w:rPr>
          <w:sz w:val="26"/>
          <w:szCs w:val="26"/>
        </w:rPr>
        <w:t>he high bill and outstanding balance on the account was mostly attributable to the tenants</w:t>
      </w:r>
      <w:r w:rsidR="005A69FA">
        <w:rPr>
          <w:sz w:val="26"/>
          <w:szCs w:val="26"/>
        </w:rPr>
        <w:t>’ prior usage</w:t>
      </w:r>
      <w:r w:rsidR="00AC1019">
        <w:rPr>
          <w:sz w:val="26"/>
          <w:szCs w:val="26"/>
        </w:rPr>
        <w:t xml:space="preserve"> </w:t>
      </w:r>
      <w:r w:rsidR="00B3462F">
        <w:rPr>
          <w:sz w:val="26"/>
          <w:szCs w:val="26"/>
        </w:rPr>
        <w:t xml:space="preserve">rather than the shed lighting. </w:t>
      </w:r>
      <w:r w:rsidR="00AA1EF0">
        <w:rPr>
          <w:sz w:val="26"/>
          <w:szCs w:val="26"/>
        </w:rPr>
        <w:t xml:space="preserve"> </w:t>
      </w:r>
      <w:r w:rsidR="00B3462F" w:rsidRPr="00B3462F">
        <w:rPr>
          <w:i/>
          <w:sz w:val="26"/>
          <w:szCs w:val="26"/>
        </w:rPr>
        <w:t>See</w:t>
      </w:r>
      <w:r w:rsidR="002A076D">
        <w:rPr>
          <w:sz w:val="26"/>
          <w:szCs w:val="26"/>
        </w:rPr>
        <w:t xml:space="preserve"> Petition at</w:t>
      </w:r>
      <w:r w:rsidR="0051511C">
        <w:rPr>
          <w:sz w:val="26"/>
          <w:szCs w:val="26"/>
        </w:rPr>
        <w:t> </w:t>
      </w:r>
      <w:r w:rsidR="002A076D">
        <w:rPr>
          <w:sz w:val="26"/>
          <w:szCs w:val="26"/>
        </w:rPr>
        <w:t>8.</w:t>
      </w:r>
    </w:p>
    <w:p w:rsidR="004D50F5" w:rsidRDefault="004D50F5" w:rsidP="00295CBB">
      <w:pPr>
        <w:widowControl/>
        <w:spacing w:line="360" w:lineRule="auto"/>
        <w:ind w:firstLine="1440"/>
        <w:rPr>
          <w:sz w:val="26"/>
          <w:szCs w:val="26"/>
        </w:rPr>
      </w:pPr>
    </w:p>
    <w:p w:rsidR="004D50F5" w:rsidRDefault="004D50F5" w:rsidP="00295CBB">
      <w:pPr>
        <w:widowControl/>
        <w:spacing w:line="360" w:lineRule="auto"/>
        <w:ind w:firstLine="1440"/>
        <w:rPr>
          <w:sz w:val="26"/>
          <w:szCs w:val="26"/>
        </w:rPr>
      </w:pPr>
      <w:r>
        <w:rPr>
          <w:sz w:val="26"/>
          <w:szCs w:val="26"/>
        </w:rPr>
        <w:t xml:space="preserve">In its </w:t>
      </w:r>
      <w:r w:rsidR="00490877">
        <w:rPr>
          <w:sz w:val="26"/>
          <w:szCs w:val="26"/>
        </w:rPr>
        <w:t>Answer to the Petition</w:t>
      </w:r>
      <w:r>
        <w:rPr>
          <w:sz w:val="26"/>
          <w:szCs w:val="26"/>
        </w:rPr>
        <w:t xml:space="preserve">, PPL </w:t>
      </w:r>
      <w:r w:rsidR="00A74945">
        <w:rPr>
          <w:sz w:val="26"/>
          <w:szCs w:val="26"/>
        </w:rPr>
        <w:t>argues</w:t>
      </w:r>
      <w:r w:rsidR="00AA1EF0">
        <w:rPr>
          <w:sz w:val="26"/>
          <w:szCs w:val="26"/>
        </w:rPr>
        <w:t>,</w:t>
      </w:r>
      <w:r w:rsidR="00490877">
        <w:rPr>
          <w:sz w:val="26"/>
          <w:szCs w:val="26"/>
        </w:rPr>
        <w:t xml:space="preserve"> </w:t>
      </w:r>
      <w:r w:rsidR="00490877" w:rsidRPr="00490877">
        <w:rPr>
          <w:i/>
          <w:sz w:val="26"/>
          <w:szCs w:val="26"/>
        </w:rPr>
        <w:t>inter alia</w:t>
      </w:r>
      <w:r w:rsidR="00490877">
        <w:rPr>
          <w:sz w:val="26"/>
          <w:szCs w:val="26"/>
        </w:rPr>
        <w:t xml:space="preserve">, that </w:t>
      </w:r>
      <w:r w:rsidR="00E94CF8">
        <w:rPr>
          <w:sz w:val="26"/>
          <w:szCs w:val="26"/>
        </w:rPr>
        <w:t xml:space="preserve">the </w:t>
      </w:r>
      <w:r w:rsidR="00490877">
        <w:rPr>
          <w:sz w:val="26"/>
          <w:szCs w:val="26"/>
        </w:rPr>
        <w:t>Complainant has done nothing more than repeat the same information</w:t>
      </w:r>
      <w:r w:rsidR="00C3518E">
        <w:rPr>
          <w:sz w:val="26"/>
          <w:szCs w:val="26"/>
        </w:rPr>
        <w:t xml:space="preserve"> that </w:t>
      </w:r>
      <w:r w:rsidR="00490877">
        <w:rPr>
          <w:sz w:val="26"/>
          <w:szCs w:val="26"/>
        </w:rPr>
        <w:t xml:space="preserve">he used in support of his Complaint and at the time of the telephonic evidentiary hearing, and </w:t>
      </w:r>
      <w:r w:rsidR="00AC1019">
        <w:rPr>
          <w:sz w:val="26"/>
          <w:szCs w:val="26"/>
        </w:rPr>
        <w:t xml:space="preserve">the same </w:t>
      </w:r>
      <w:r w:rsidR="00490877">
        <w:rPr>
          <w:sz w:val="26"/>
          <w:szCs w:val="26"/>
        </w:rPr>
        <w:t xml:space="preserve">claim that he does not understand how his actions caused a foreign load.  </w:t>
      </w:r>
      <w:r w:rsidR="00490877" w:rsidRPr="00490877">
        <w:rPr>
          <w:i/>
          <w:sz w:val="26"/>
          <w:szCs w:val="26"/>
        </w:rPr>
        <w:t>See</w:t>
      </w:r>
      <w:r w:rsidR="00490877">
        <w:rPr>
          <w:sz w:val="26"/>
          <w:szCs w:val="26"/>
        </w:rPr>
        <w:t xml:space="preserve"> Answer at 5-6.  PPL </w:t>
      </w:r>
      <w:r w:rsidR="000942C3">
        <w:rPr>
          <w:sz w:val="26"/>
          <w:szCs w:val="26"/>
        </w:rPr>
        <w:t xml:space="preserve">submits </w:t>
      </w:r>
      <w:r w:rsidR="00490877">
        <w:rPr>
          <w:sz w:val="26"/>
          <w:szCs w:val="26"/>
        </w:rPr>
        <w:t xml:space="preserve">that </w:t>
      </w:r>
      <w:r w:rsidR="00E94CF8">
        <w:rPr>
          <w:sz w:val="26"/>
          <w:szCs w:val="26"/>
        </w:rPr>
        <w:t xml:space="preserve">the </w:t>
      </w:r>
      <w:r w:rsidR="00490877">
        <w:rPr>
          <w:sz w:val="26"/>
          <w:szCs w:val="26"/>
        </w:rPr>
        <w:t xml:space="preserve">Complainant failed to show that the ALJ made an improper finding of fact, and/or improperly applied the law to the facts of this case, and/or reached an inappropriate conclusion of law.  </w:t>
      </w:r>
      <w:r w:rsidR="00490877" w:rsidRPr="00490877">
        <w:rPr>
          <w:i/>
          <w:sz w:val="26"/>
          <w:szCs w:val="26"/>
        </w:rPr>
        <w:t>See</w:t>
      </w:r>
      <w:r w:rsidR="00490877">
        <w:rPr>
          <w:sz w:val="26"/>
          <w:szCs w:val="26"/>
        </w:rPr>
        <w:t xml:space="preserve"> Answer at 3, 6.  </w:t>
      </w:r>
      <w:r w:rsidR="004E2B8A">
        <w:rPr>
          <w:sz w:val="26"/>
          <w:szCs w:val="26"/>
        </w:rPr>
        <w:t xml:space="preserve">PPL contends that </w:t>
      </w:r>
      <w:r w:rsidR="00490877">
        <w:rPr>
          <w:sz w:val="26"/>
          <w:szCs w:val="26"/>
        </w:rPr>
        <w:t xml:space="preserve">the Complainant simply reiterated information </w:t>
      </w:r>
      <w:r w:rsidR="00BA285C">
        <w:rPr>
          <w:sz w:val="26"/>
          <w:szCs w:val="26"/>
        </w:rPr>
        <w:t>which</w:t>
      </w:r>
      <w:r w:rsidR="00490877">
        <w:rPr>
          <w:sz w:val="26"/>
          <w:szCs w:val="26"/>
        </w:rPr>
        <w:t xml:space="preserve"> he already pres</w:t>
      </w:r>
      <w:r w:rsidR="005A69FA">
        <w:rPr>
          <w:sz w:val="26"/>
          <w:szCs w:val="26"/>
        </w:rPr>
        <w:t xml:space="preserve">ented to the ALJ in support of his position </w:t>
      </w:r>
      <w:r w:rsidR="00490877">
        <w:rPr>
          <w:sz w:val="26"/>
          <w:szCs w:val="26"/>
        </w:rPr>
        <w:t>that a foreign load was not present on his property and/or that</w:t>
      </w:r>
      <w:r w:rsidR="00AC1019">
        <w:rPr>
          <w:sz w:val="26"/>
          <w:szCs w:val="26"/>
        </w:rPr>
        <w:t>,</w:t>
      </w:r>
      <w:r w:rsidR="00490877">
        <w:rPr>
          <w:sz w:val="26"/>
          <w:szCs w:val="26"/>
        </w:rPr>
        <w:t xml:space="preserve"> even if a foreign load was present, that he should not be responsible for the resultant balance from</w:t>
      </w:r>
      <w:r w:rsidR="00AC1019">
        <w:rPr>
          <w:sz w:val="26"/>
          <w:szCs w:val="26"/>
        </w:rPr>
        <w:t xml:space="preserve"> his tenants’</w:t>
      </w:r>
      <w:r w:rsidR="00490877">
        <w:rPr>
          <w:sz w:val="26"/>
          <w:szCs w:val="26"/>
        </w:rPr>
        <w:t xml:space="preserve"> account.  </w:t>
      </w:r>
      <w:r w:rsidR="00490877" w:rsidRPr="00490877">
        <w:rPr>
          <w:i/>
          <w:sz w:val="26"/>
          <w:szCs w:val="26"/>
        </w:rPr>
        <w:t>Id</w:t>
      </w:r>
      <w:r w:rsidR="00490877">
        <w:rPr>
          <w:sz w:val="26"/>
          <w:szCs w:val="26"/>
        </w:rPr>
        <w:t>.  PPL assert</w:t>
      </w:r>
      <w:r w:rsidR="00A74945">
        <w:rPr>
          <w:sz w:val="26"/>
          <w:szCs w:val="26"/>
        </w:rPr>
        <w:t>s</w:t>
      </w:r>
      <w:r w:rsidR="00AC1019">
        <w:rPr>
          <w:sz w:val="26"/>
          <w:szCs w:val="26"/>
        </w:rPr>
        <w:t xml:space="preserve"> that</w:t>
      </w:r>
      <w:r w:rsidR="00490877">
        <w:rPr>
          <w:sz w:val="26"/>
          <w:szCs w:val="26"/>
        </w:rPr>
        <w:t xml:space="preserve"> the ALJ already heard this evidence and r</w:t>
      </w:r>
      <w:r w:rsidR="00AC1019">
        <w:rPr>
          <w:sz w:val="26"/>
          <w:szCs w:val="26"/>
        </w:rPr>
        <w:t xml:space="preserve">endered an appropriate decision; in light of such, </w:t>
      </w:r>
      <w:r w:rsidR="004E2B8A">
        <w:rPr>
          <w:sz w:val="26"/>
          <w:szCs w:val="26"/>
        </w:rPr>
        <w:t xml:space="preserve">PPL </w:t>
      </w:r>
      <w:r w:rsidR="00AC58B7">
        <w:rPr>
          <w:sz w:val="26"/>
          <w:szCs w:val="26"/>
        </w:rPr>
        <w:t>maintains that</w:t>
      </w:r>
      <w:r w:rsidR="00490877">
        <w:rPr>
          <w:sz w:val="26"/>
          <w:szCs w:val="26"/>
        </w:rPr>
        <w:t xml:space="preserve"> the Complainant’s Petition is without merit</w:t>
      </w:r>
      <w:r w:rsidR="00AC1019">
        <w:rPr>
          <w:sz w:val="26"/>
          <w:szCs w:val="26"/>
        </w:rPr>
        <w:t xml:space="preserve"> and should be denied</w:t>
      </w:r>
      <w:r w:rsidR="00490877">
        <w:rPr>
          <w:sz w:val="26"/>
          <w:szCs w:val="26"/>
        </w:rPr>
        <w:t xml:space="preserve">.  </w:t>
      </w:r>
      <w:r w:rsidR="00490877" w:rsidRPr="00490877">
        <w:rPr>
          <w:i/>
          <w:sz w:val="26"/>
          <w:szCs w:val="26"/>
        </w:rPr>
        <w:t>Id</w:t>
      </w:r>
      <w:r w:rsidR="00490877">
        <w:rPr>
          <w:sz w:val="26"/>
          <w:szCs w:val="26"/>
        </w:rPr>
        <w:t>.</w:t>
      </w:r>
    </w:p>
    <w:p w:rsidR="004D50F5" w:rsidRPr="007B531E" w:rsidRDefault="004D50F5" w:rsidP="00295CBB">
      <w:pPr>
        <w:widowControl/>
        <w:spacing w:line="360" w:lineRule="auto"/>
        <w:ind w:firstLine="1440"/>
        <w:rPr>
          <w:sz w:val="26"/>
          <w:szCs w:val="26"/>
        </w:rPr>
      </w:pPr>
    </w:p>
    <w:p w:rsidR="00006F35" w:rsidRPr="007B531E" w:rsidRDefault="00006F35" w:rsidP="00295CBB">
      <w:pPr>
        <w:keepNext/>
        <w:widowControl/>
        <w:spacing w:line="360" w:lineRule="auto"/>
        <w:rPr>
          <w:b/>
          <w:sz w:val="26"/>
          <w:szCs w:val="26"/>
        </w:rPr>
      </w:pPr>
      <w:r w:rsidRPr="007B531E">
        <w:rPr>
          <w:b/>
          <w:sz w:val="26"/>
          <w:szCs w:val="26"/>
        </w:rPr>
        <w:t>Disposition</w:t>
      </w:r>
    </w:p>
    <w:p w:rsidR="00006F35" w:rsidRPr="007B531E" w:rsidRDefault="00006F35" w:rsidP="00295CBB">
      <w:pPr>
        <w:widowControl/>
        <w:spacing w:line="360" w:lineRule="auto"/>
        <w:rPr>
          <w:b/>
          <w:sz w:val="26"/>
          <w:szCs w:val="26"/>
        </w:rPr>
      </w:pPr>
    </w:p>
    <w:p w:rsidR="00490877" w:rsidRDefault="00490877" w:rsidP="00295CBB">
      <w:pPr>
        <w:widowControl/>
        <w:spacing w:line="360" w:lineRule="auto"/>
        <w:ind w:firstLine="1440"/>
        <w:rPr>
          <w:sz w:val="26"/>
          <w:szCs w:val="26"/>
        </w:rPr>
      </w:pPr>
      <w:r w:rsidRPr="00625B2B">
        <w:rPr>
          <w:sz w:val="26"/>
          <w:szCs w:val="26"/>
        </w:rPr>
        <w:t xml:space="preserve">As stated above, Petitions for Reconsideration are governed by </w:t>
      </w:r>
      <w:r w:rsidRPr="00625B2B">
        <w:rPr>
          <w:i/>
          <w:sz w:val="26"/>
          <w:szCs w:val="26"/>
        </w:rPr>
        <w:t>Duick</w:t>
      </w:r>
      <w:r w:rsidRPr="00625B2B">
        <w:rPr>
          <w:sz w:val="26"/>
          <w:szCs w:val="26"/>
        </w:rPr>
        <w:t xml:space="preserve">, which essentially requires a two-step analysis.  First, we determine whether a party has offered new and novel arguments, or identified considerations that appear to have been overlooked or not addressed by the Commission in its previous order.  We will not reconsider our previous decision based on arguments that have already been considered.  </w:t>
      </w:r>
      <w:r w:rsidRPr="00625B2B">
        <w:rPr>
          <w:sz w:val="26"/>
          <w:szCs w:val="26"/>
        </w:rPr>
        <w:lastRenderedPageBreak/>
        <w:t xml:space="preserve">The second step of the </w:t>
      </w:r>
      <w:r w:rsidRPr="00625B2B">
        <w:rPr>
          <w:i/>
          <w:sz w:val="26"/>
          <w:szCs w:val="26"/>
        </w:rPr>
        <w:t>Duick</w:t>
      </w:r>
      <w:r w:rsidRPr="00625B2B">
        <w:rPr>
          <w:sz w:val="26"/>
          <w:szCs w:val="26"/>
        </w:rPr>
        <w:t xml:space="preserve"> analysis is</w:t>
      </w:r>
      <w:r>
        <w:rPr>
          <w:sz w:val="26"/>
          <w:szCs w:val="26"/>
        </w:rPr>
        <w:t>,</w:t>
      </w:r>
      <w:r w:rsidRPr="00625B2B">
        <w:rPr>
          <w:sz w:val="26"/>
          <w:szCs w:val="26"/>
        </w:rPr>
        <w:t xml:space="preserve"> therefore</w:t>
      </w:r>
      <w:r>
        <w:rPr>
          <w:sz w:val="26"/>
          <w:szCs w:val="26"/>
        </w:rPr>
        <w:t>,</w:t>
      </w:r>
      <w:r w:rsidRPr="00625B2B">
        <w:rPr>
          <w:sz w:val="26"/>
          <w:szCs w:val="26"/>
        </w:rPr>
        <w:t xml:space="preserve"> to evaluate the new or novel argument, or overlooked consideration, in order to determine whether to modify our previous decision.</w:t>
      </w:r>
      <w:r>
        <w:rPr>
          <w:sz w:val="26"/>
          <w:szCs w:val="26"/>
        </w:rPr>
        <w:t xml:space="preserve">  </w:t>
      </w:r>
      <w:r w:rsidRPr="00893339">
        <w:rPr>
          <w:sz w:val="26"/>
          <w:szCs w:val="26"/>
        </w:rPr>
        <w:t>However, we will not necessarily modify our prior decision just because a party offers a new and novel argument, or identifies a consideration that was overlooked or not addressed by the Commission in its previous order.</w:t>
      </w:r>
      <w:r>
        <w:rPr>
          <w:sz w:val="26"/>
          <w:szCs w:val="26"/>
        </w:rPr>
        <w:t xml:space="preserve">  Based upon our evaluation of the record and the parties’ positions in each particular case, we will determine if there is a sufficient basis for us to</w:t>
      </w:r>
      <w:r w:rsidRPr="00625B2B">
        <w:rPr>
          <w:color w:val="000000"/>
          <w:spacing w:val="-3"/>
          <w:sz w:val="26"/>
          <w:szCs w:val="26"/>
          <w:u w:color="000000"/>
        </w:rPr>
        <w:t xml:space="preserve"> exercise our discretion to amend or rescind a prior Order, in whole or in part.</w:t>
      </w:r>
    </w:p>
    <w:p w:rsidR="00490877" w:rsidRDefault="00490877" w:rsidP="00295CBB">
      <w:pPr>
        <w:widowControl/>
        <w:spacing w:line="360" w:lineRule="auto"/>
        <w:rPr>
          <w:sz w:val="26"/>
          <w:szCs w:val="26"/>
        </w:rPr>
      </w:pPr>
    </w:p>
    <w:p w:rsidR="00490877" w:rsidRDefault="00490877" w:rsidP="00295CBB">
      <w:pPr>
        <w:widowControl/>
        <w:spacing w:line="360" w:lineRule="auto"/>
        <w:ind w:firstLine="1440"/>
        <w:rPr>
          <w:sz w:val="26"/>
          <w:szCs w:val="26"/>
        </w:rPr>
      </w:pPr>
      <w:r>
        <w:rPr>
          <w:sz w:val="26"/>
          <w:szCs w:val="26"/>
        </w:rPr>
        <w:t xml:space="preserve">Based on our review of the record, we conclude that the Complainant has not satisfied the </w:t>
      </w:r>
      <w:r w:rsidRPr="00F25401">
        <w:rPr>
          <w:i/>
          <w:sz w:val="26"/>
          <w:szCs w:val="26"/>
        </w:rPr>
        <w:t>Duick</w:t>
      </w:r>
      <w:r w:rsidR="00630395">
        <w:rPr>
          <w:sz w:val="26"/>
          <w:szCs w:val="26"/>
        </w:rPr>
        <w:t xml:space="preserve"> standards with respect to his</w:t>
      </w:r>
      <w:r>
        <w:rPr>
          <w:sz w:val="26"/>
          <w:szCs w:val="26"/>
        </w:rPr>
        <w:t xml:space="preserve"> arguments regarding the p</w:t>
      </w:r>
      <w:r w:rsidR="00630395">
        <w:rPr>
          <w:sz w:val="26"/>
          <w:szCs w:val="26"/>
        </w:rPr>
        <w:t xml:space="preserve">resence of foreign load on the Complainant’s </w:t>
      </w:r>
      <w:r>
        <w:rPr>
          <w:sz w:val="26"/>
          <w:szCs w:val="26"/>
        </w:rPr>
        <w:t xml:space="preserve">property and PPL’s </w:t>
      </w:r>
      <w:r w:rsidR="00AC1019">
        <w:rPr>
          <w:sz w:val="26"/>
          <w:szCs w:val="26"/>
        </w:rPr>
        <w:t xml:space="preserve">subsequent </w:t>
      </w:r>
      <w:r>
        <w:rPr>
          <w:sz w:val="26"/>
          <w:szCs w:val="26"/>
        </w:rPr>
        <w:t xml:space="preserve">transfer of the account associated with the foreign load to the Complainant’s name, including the outstanding balance that existed </w:t>
      </w:r>
      <w:r w:rsidR="00AC1019">
        <w:rPr>
          <w:sz w:val="26"/>
          <w:szCs w:val="26"/>
        </w:rPr>
        <w:t xml:space="preserve">on the account prior to when PPL verified that the foreign load had been corrected. </w:t>
      </w:r>
      <w:r w:rsidR="00630395">
        <w:rPr>
          <w:sz w:val="26"/>
          <w:szCs w:val="26"/>
        </w:rPr>
        <w:t xml:space="preserve"> The Complainant’s arguments fail because the Complainant has not raised any new or novel arguments and has merely reiterated the arguments he has made throughout this proceeding.  Additionally, the ALJ’s findings regarding foreign load are supported by the </w:t>
      </w:r>
      <w:r w:rsidR="00D65853">
        <w:rPr>
          <w:sz w:val="26"/>
          <w:szCs w:val="26"/>
        </w:rPr>
        <w:t xml:space="preserve">substantial evidence in the </w:t>
      </w:r>
      <w:r w:rsidR="00630395">
        <w:rPr>
          <w:sz w:val="26"/>
          <w:szCs w:val="26"/>
        </w:rPr>
        <w:t>record and applicable case law.</w:t>
      </w:r>
    </w:p>
    <w:p w:rsidR="00600F38" w:rsidRDefault="00490877" w:rsidP="00295CBB">
      <w:pPr>
        <w:widowControl/>
        <w:spacing w:line="360" w:lineRule="auto"/>
        <w:ind w:firstLine="1440"/>
        <w:rPr>
          <w:sz w:val="26"/>
          <w:szCs w:val="26"/>
        </w:rPr>
      </w:pPr>
      <w:r>
        <w:rPr>
          <w:sz w:val="26"/>
          <w:szCs w:val="26"/>
        </w:rPr>
        <w:t xml:space="preserve"> </w:t>
      </w:r>
    </w:p>
    <w:p w:rsidR="00CA43A5" w:rsidRPr="00CA43A5" w:rsidRDefault="00CA43A5" w:rsidP="00295CBB">
      <w:pPr>
        <w:keepNext/>
        <w:widowControl/>
        <w:spacing w:line="360" w:lineRule="auto"/>
        <w:jc w:val="center"/>
        <w:rPr>
          <w:b/>
          <w:sz w:val="26"/>
          <w:szCs w:val="26"/>
        </w:rPr>
      </w:pPr>
      <w:r w:rsidRPr="00CA43A5">
        <w:rPr>
          <w:b/>
          <w:sz w:val="26"/>
          <w:szCs w:val="26"/>
        </w:rPr>
        <w:t>Conclusion</w:t>
      </w:r>
    </w:p>
    <w:p w:rsidR="00CA43A5" w:rsidRPr="00CA43A5" w:rsidRDefault="00CA43A5" w:rsidP="00295CBB">
      <w:pPr>
        <w:widowControl/>
        <w:spacing w:line="360" w:lineRule="auto"/>
        <w:ind w:firstLine="1440"/>
        <w:rPr>
          <w:sz w:val="26"/>
          <w:szCs w:val="26"/>
        </w:rPr>
      </w:pPr>
    </w:p>
    <w:p w:rsidR="00CA43A5" w:rsidRPr="00CA43A5" w:rsidRDefault="00CA43A5" w:rsidP="00AC58B7">
      <w:pPr>
        <w:widowControl/>
        <w:spacing w:line="360" w:lineRule="auto"/>
        <w:ind w:firstLine="1440"/>
        <w:rPr>
          <w:sz w:val="26"/>
          <w:szCs w:val="26"/>
        </w:rPr>
      </w:pPr>
      <w:r w:rsidRPr="00CA43A5">
        <w:rPr>
          <w:sz w:val="26"/>
          <w:szCs w:val="26"/>
        </w:rPr>
        <w:t xml:space="preserve">Based upon </w:t>
      </w:r>
      <w:r w:rsidR="006468E3">
        <w:rPr>
          <w:sz w:val="26"/>
          <w:szCs w:val="26"/>
        </w:rPr>
        <w:t>our review of the record and the applicable law</w:t>
      </w:r>
      <w:r w:rsidRPr="00CA43A5">
        <w:rPr>
          <w:sz w:val="26"/>
          <w:szCs w:val="26"/>
        </w:rPr>
        <w:t xml:space="preserve">, we shall </w:t>
      </w:r>
      <w:r w:rsidR="00D457EC">
        <w:rPr>
          <w:sz w:val="26"/>
          <w:szCs w:val="26"/>
        </w:rPr>
        <w:t xml:space="preserve">deny the </w:t>
      </w:r>
      <w:r w:rsidR="00630395">
        <w:rPr>
          <w:sz w:val="26"/>
          <w:szCs w:val="26"/>
        </w:rPr>
        <w:t>Complainant’s Petition</w:t>
      </w:r>
      <w:r w:rsidR="00D457EC">
        <w:rPr>
          <w:sz w:val="26"/>
          <w:szCs w:val="26"/>
        </w:rPr>
        <w:t xml:space="preserve"> </w:t>
      </w:r>
      <w:r w:rsidR="00630395">
        <w:rPr>
          <w:sz w:val="26"/>
          <w:szCs w:val="26"/>
        </w:rPr>
        <w:t>for Reconsideration</w:t>
      </w:r>
      <w:r w:rsidRPr="00CA43A5">
        <w:rPr>
          <w:sz w:val="26"/>
          <w:szCs w:val="26"/>
        </w:rPr>
        <w:t xml:space="preserve">; </w:t>
      </w:r>
      <w:r w:rsidRPr="00CA43A5">
        <w:rPr>
          <w:b/>
          <w:sz w:val="26"/>
          <w:szCs w:val="26"/>
        </w:rPr>
        <w:t>THEREFORE,</w:t>
      </w:r>
    </w:p>
    <w:p w:rsidR="00CA43A5" w:rsidRDefault="00CA43A5" w:rsidP="00AC58B7">
      <w:pPr>
        <w:widowControl/>
        <w:spacing w:line="360" w:lineRule="auto"/>
        <w:rPr>
          <w:sz w:val="26"/>
          <w:szCs w:val="26"/>
        </w:rPr>
      </w:pPr>
    </w:p>
    <w:p w:rsidR="00CA43A5" w:rsidRDefault="00CA43A5" w:rsidP="00815106">
      <w:pPr>
        <w:keepNext/>
        <w:keepLines/>
        <w:widowControl/>
        <w:spacing w:line="360" w:lineRule="auto"/>
        <w:ind w:firstLine="1440"/>
        <w:rPr>
          <w:b/>
          <w:sz w:val="26"/>
          <w:szCs w:val="26"/>
        </w:rPr>
      </w:pPr>
      <w:r w:rsidRPr="00CA43A5">
        <w:rPr>
          <w:b/>
          <w:sz w:val="26"/>
          <w:szCs w:val="26"/>
        </w:rPr>
        <w:lastRenderedPageBreak/>
        <w:t>IT IS ORDERED:</w:t>
      </w:r>
    </w:p>
    <w:p w:rsidR="00600F38" w:rsidRPr="00CA43A5" w:rsidRDefault="00600F38" w:rsidP="00815106">
      <w:pPr>
        <w:keepNext/>
        <w:keepLines/>
        <w:widowControl/>
        <w:spacing w:line="360" w:lineRule="auto"/>
        <w:ind w:firstLine="1440"/>
        <w:rPr>
          <w:b/>
          <w:sz w:val="26"/>
          <w:szCs w:val="26"/>
        </w:rPr>
      </w:pPr>
    </w:p>
    <w:p w:rsidR="009155F7" w:rsidRPr="00815106" w:rsidRDefault="009155F7" w:rsidP="00815106">
      <w:pPr>
        <w:keepNext/>
        <w:keepLines/>
        <w:widowControl/>
        <w:numPr>
          <w:ilvl w:val="0"/>
          <w:numId w:val="1"/>
        </w:numPr>
        <w:tabs>
          <w:tab w:val="clear" w:pos="2160"/>
          <w:tab w:val="num" w:pos="0"/>
        </w:tabs>
        <w:spacing w:line="360" w:lineRule="auto"/>
        <w:ind w:left="0" w:firstLine="1440"/>
        <w:rPr>
          <w:sz w:val="26"/>
          <w:szCs w:val="26"/>
        </w:rPr>
      </w:pPr>
      <w:r>
        <w:rPr>
          <w:sz w:val="26"/>
          <w:szCs w:val="26"/>
        </w:rPr>
        <w:t xml:space="preserve">That the </w:t>
      </w:r>
      <w:r w:rsidR="00511A26">
        <w:rPr>
          <w:sz w:val="26"/>
          <w:szCs w:val="26"/>
        </w:rPr>
        <w:t xml:space="preserve">Petition for Reconsideration, </w:t>
      </w:r>
      <w:r w:rsidR="00630395">
        <w:rPr>
          <w:sz w:val="26"/>
          <w:szCs w:val="26"/>
        </w:rPr>
        <w:t>filed by John F. Carmody</w:t>
      </w:r>
      <w:r w:rsidR="00EB2CFF">
        <w:rPr>
          <w:sz w:val="26"/>
          <w:szCs w:val="26"/>
        </w:rPr>
        <w:t xml:space="preserve"> on March 13, 2017,</w:t>
      </w:r>
      <w:r w:rsidR="00511A26">
        <w:rPr>
          <w:sz w:val="26"/>
          <w:szCs w:val="26"/>
        </w:rPr>
        <w:t xml:space="preserve"> under the label of “Exceptions,”</w:t>
      </w:r>
      <w:r w:rsidR="00EB2CFF">
        <w:rPr>
          <w:sz w:val="26"/>
          <w:szCs w:val="26"/>
        </w:rPr>
        <w:t xml:space="preserve"> </w:t>
      </w:r>
      <w:r w:rsidR="002A076D">
        <w:rPr>
          <w:color w:val="000000"/>
          <w:sz w:val="26"/>
        </w:rPr>
        <w:t>is denied.</w:t>
      </w:r>
    </w:p>
    <w:p w:rsidR="00815106" w:rsidRDefault="00815106" w:rsidP="00815106">
      <w:pPr>
        <w:keepNext/>
        <w:keepLines/>
        <w:widowControl/>
        <w:spacing w:line="360" w:lineRule="auto"/>
        <w:ind w:left="1440"/>
        <w:rPr>
          <w:sz w:val="26"/>
          <w:szCs w:val="26"/>
        </w:rPr>
      </w:pPr>
    </w:p>
    <w:p w:rsidR="00CA43A5" w:rsidRDefault="00CA43A5" w:rsidP="00295CBB">
      <w:pPr>
        <w:widowControl/>
        <w:numPr>
          <w:ilvl w:val="0"/>
          <w:numId w:val="1"/>
        </w:numPr>
        <w:tabs>
          <w:tab w:val="clear" w:pos="2160"/>
          <w:tab w:val="num" w:pos="0"/>
        </w:tabs>
        <w:spacing w:line="360" w:lineRule="auto"/>
        <w:ind w:left="0" w:firstLine="1440"/>
        <w:rPr>
          <w:sz w:val="26"/>
          <w:szCs w:val="26"/>
        </w:rPr>
      </w:pPr>
      <w:r w:rsidRPr="00CA43A5">
        <w:rPr>
          <w:sz w:val="26"/>
          <w:szCs w:val="26"/>
        </w:rPr>
        <w:t xml:space="preserve">That </w:t>
      </w:r>
      <w:r w:rsidR="00630395">
        <w:rPr>
          <w:sz w:val="26"/>
          <w:szCs w:val="26"/>
        </w:rPr>
        <w:t>a copy of this Opinion and Order shall be served on the parties to this proceeding, John F. Carmody, as the Complainant, and PPL Electric Utilities Corporation, as the Respondent.</w:t>
      </w:r>
    </w:p>
    <w:p w:rsidR="00600F38" w:rsidRPr="004772C2" w:rsidRDefault="00600F38" w:rsidP="00295CBB">
      <w:pPr>
        <w:widowControl/>
        <w:rPr>
          <w:sz w:val="26"/>
          <w:szCs w:val="26"/>
        </w:rPr>
      </w:pPr>
    </w:p>
    <w:p w:rsidR="00532610" w:rsidRDefault="00630395" w:rsidP="00295CBB">
      <w:pPr>
        <w:widowControl/>
        <w:numPr>
          <w:ilvl w:val="0"/>
          <w:numId w:val="1"/>
        </w:numPr>
        <w:tabs>
          <w:tab w:val="clear" w:pos="2160"/>
          <w:tab w:val="num" w:pos="0"/>
        </w:tabs>
        <w:spacing w:line="360" w:lineRule="auto"/>
        <w:ind w:left="0" w:firstLine="1440"/>
        <w:rPr>
          <w:sz w:val="26"/>
          <w:szCs w:val="26"/>
        </w:rPr>
      </w:pPr>
      <w:r>
        <w:rPr>
          <w:sz w:val="26"/>
          <w:szCs w:val="26"/>
        </w:rPr>
        <w:t xml:space="preserve">That the Secretary’s Bureau shall mark </w:t>
      </w:r>
      <w:r w:rsidR="00532610" w:rsidRPr="00630395">
        <w:rPr>
          <w:sz w:val="26"/>
          <w:szCs w:val="26"/>
        </w:rPr>
        <w:t>this proceeding</w:t>
      </w:r>
      <w:r w:rsidR="002A076D">
        <w:rPr>
          <w:sz w:val="26"/>
          <w:szCs w:val="26"/>
        </w:rPr>
        <w:t xml:space="preserve"> closed.</w:t>
      </w:r>
    </w:p>
    <w:p w:rsidR="00815106" w:rsidRPr="00630395" w:rsidRDefault="00815106" w:rsidP="00815106">
      <w:pPr>
        <w:widowControl/>
        <w:spacing w:line="360" w:lineRule="auto"/>
        <w:ind w:left="1440"/>
        <w:rPr>
          <w:sz w:val="26"/>
          <w:szCs w:val="26"/>
        </w:rPr>
      </w:pPr>
    </w:p>
    <w:p w:rsidR="00CA43A5" w:rsidRPr="00CA43A5" w:rsidRDefault="00270F92" w:rsidP="00295CBB">
      <w:pPr>
        <w:widowControl/>
        <w:tabs>
          <w:tab w:val="left" w:pos="-720"/>
        </w:tabs>
        <w:ind w:firstLine="5040"/>
        <w:rPr>
          <w:sz w:val="26"/>
          <w:szCs w:val="26"/>
        </w:rPr>
      </w:pPr>
      <w:r>
        <w:rPr>
          <w:noProof/>
        </w:rPr>
        <w:drawing>
          <wp:anchor distT="0" distB="0" distL="114300" distR="114300" simplePos="0" relativeHeight="251659264" behindDoc="1" locked="0" layoutInCell="1" allowOverlap="1" wp14:anchorId="551C3024" wp14:editId="356FAEEB">
            <wp:simplePos x="0" y="0"/>
            <wp:positionH relativeFrom="column">
              <wp:posOffset>3103685</wp:posOffset>
            </wp:positionH>
            <wp:positionV relativeFrom="paragraph">
              <wp:posOffset>71364</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A43A5" w:rsidRPr="00CA43A5">
        <w:rPr>
          <w:b/>
          <w:sz w:val="26"/>
          <w:szCs w:val="26"/>
        </w:rPr>
        <w:t>BY THE COMMISSION,</w:t>
      </w:r>
    </w:p>
    <w:p w:rsidR="00CA43A5" w:rsidRPr="00CA43A5" w:rsidRDefault="00CA43A5" w:rsidP="00295CBB">
      <w:pPr>
        <w:widowControl/>
        <w:tabs>
          <w:tab w:val="left" w:pos="-720"/>
        </w:tabs>
        <w:rPr>
          <w:sz w:val="26"/>
          <w:szCs w:val="26"/>
        </w:rPr>
      </w:pPr>
    </w:p>
    <w:p w:rsidR="00CA43A5" w:rsidRPr="00CA43A5" w:rsidRDefault="00CA43A5" w:rsidP="00295CBB">
      <w:pPr>
        <w:widowControl/>
        <w:tabs>
          <w:tab w:val="left" w:pos="-720"/>
        </w:tabs>
        <w:rPr>
          <w:sz w:val="26"/>
          <w:szCs w:val="26"/>
        </w:rPr>
      </w:pPr>
    </w:p>
    <w:p w:rsidR="00CA43A5" w:rsidRPr="00CA43A5" w:rsidRDefault="00CA43A5" w:rsidP="00295CBB">
      <w:pPr>
        <w:widowControl/>
        <w:tabs>
          <w:tab w:val="left" w:pos="-720"/>
        </w:tabs>
        <w:rPr>
          <w:sz w:val="26"/>
          <w:szCs w:val="26"/>
        </w:rPr>
      </w:pPr>
    </w:p>
    <w:p w:rsidR="00CA43A5" w:rsidRPr="00CA43A5" w:rsidRDefault="00564565" w:rsidP="00295CBB">
      <w:pPr>
        <w:widowControl/>
        <w:tabs>
          <w:tab w:val="left" w:pos="-720"/>
        </w:tabs>
        <w:ind w:firstLine="5040"/>
        <w:rPr>
          <w:b/>
          <w:sz w:val="26"/>
          <w:szCs w:val="26"/>
        </w:rPr>
      </w:pPr>
      <w:r>
        <w:rPr>
          <w:sz w:val="26"/>
          <w:szCs w:val="26"/>
        </w:rPr>
        <w:t>Rosemary Chiavetta</w:t>
      </w:r>
    </w:p>
    <w:p w:rsidR="00CA43A5" w:rsidRPr="00CA43A5" w:rsidRDefault="00CA43A5" w:rsidP="00295CBB">
      <w:pPr>
        <w:widowControl/>
        <w:tabs>
          <w:tab w:val="left" w:pos="-720"/>
        </w:tabs>
        <w:ind w:firstLine="5040"/>
        <w:rPr>
          <w:sz w:val="26"/>
          <w:szCs w:val="26"/>
        </w:rPr>
      </w:pPr>
      <w:r w:rsidRPr="00CA43A5">
        <w:rPr>
          <w:sz w:val="26"/>
          <w:szCs w:val="26"/>
        </w:rPr>
        <w:t>Secretary</w:t>
      </w:r>
    </w:p>
    <w:p w:rsidR="00CA43A5" w:rsidRPr="00CA43A5" w:rsidRDefault="00CA43A5" w:rsidP="00295CBB">
      <w:pPr>
        <w:widowControl/>
        <w:tabs>
          <w:tab w:val="left" w:pos="-720"/>
        </w:tabs>
        <w:rPr>
          <w:sz w:val="26"/>
          <w:szCs w:val="26"/>
        </w:rPr>
      </w:pPr>
    </w:p>
    <w:p w:rsidR="00CA43A5" w:rsidRPr="00CA43A5" w:rsidRDefault="00CA43A5" w:rsidP="00295CBB">
      <w:pPr>
        <w:widowControl/>
        <w:tabs>
          <w:tab w:val="left" w:pos="-720"/>
        </w:tabs>
        <w:rPr>
          <w:sz w:val="26"/>
          <w:szCs w:val="26"/>
        </w:rPr>
      </w:pPr>
      <w:r w:rsidRPr="00CA43A5">
        <w:rPr>
          <w:sz w:val="26"/>
          <w:szCs w:val="26"/>
        </w:rPr>
        <w:t>(SEAL)</w:t>
      </w:r>
    </w:p>
    <w:p w:rsidR="00CA43A5" w:rsidRPr="00CA43A5" w:rsidRDefault="00CA43A5" w:rsidP="00295CBB">
      <w:pPr>
        <w:widowControl/>
        <w:tabs>
          <w:tab w:val="left" w:pos="-720"/>
        </w:tabs>
        <w:rPr>
          <w:sz w:val="26"/>
          <w:szCs w:val="26"/>
        </w:rPr>
      </w:pPr>
    </w:p>
    <w:p w:rsidR="00CA43A5" w:rsidRPr="00CA43A5" w:rsidRDefault="00CA43A5" w:rsidP="00295CBB">
      <w:pPr>
        <w:widowControl/>
        <w:tabs>
          <w:tab w:val="left" w:pos="-720"/>
        </w:tabs>
        <w:rPr>
          <w:sz w:val="26"/>
          <w:szCs w:val="26"/>
        </w:rPr>
      </w:pPr>
      <w:r w:rsidRPr="00CA43A5">
        <w:rPr>
          <w:sz w:val="26"/>
          <w:szCs w:val="26"/>
        </w:rPr>
        <w:t xml:space="preserve">ORDER ADOPTED: </w:t>
      </w:r>
      <w:r w:rsidR="00F17AB3">
        <w:rPr>
          <w:sz w:val="26"/>
          <w:szCs w:val="26"/>
        </w:rPr>
        <w:t xml:space="preserve"> October 26</w:t>
      </w:r>
      <w:r w:rsidR="00532610">
        <w:rPr>
          <w:sz w:val="26"/>
          <w:szCs w:val="26"/>
        </w:rPr>
        <w:t>, 2017</w:t>
      </w:r>
    </w:p>
    <w:p w:rsidR="00857172" w:rsidRDefault="00857172" w:rsidP="00295CBB">
      <w:pPr>
        <w:widowControl/>
        <w:tabs>
          <w:tab w:val="left" w:pos="-720"/>
        </w:tabs>
        <w:rPr>
          <w:sz w:val="26"/>
          <w:szCs w:val="26"/>
        </w:rPr>
      </w:pPr>
    </w:p>
    <w:p w:rsidR="00344804" w:rsidRPr="00CA43A5" w:rsidRDefault="002A076D" w:rsidP="00295CBB">
      <w:pPr>
        <w:widowControl/>
        <w:tabs>
          <w:tab w:val="left" w:pos="-720"/>
        </w:tabs>
        <w:rPr>
          <w:sz w:val="26"/>
          <w:szCs w:val="26"/>
        </w:rPr>
      </w:pPr>
      <w:r>
        <w:rPr>
          <w:sz w:val="26"/>
          <w:szCs w:val="26"/>
        </w:rPr>
        <w:t>ORDER ENTERED:</w:t>
      </w:r>
      <w:r w:rsidR="00815106">
        <w:rPr>
          <w:sz w:val="26"/>
          <w:szCs w:val="26"/>
        </w:rPr>
        <w:t xml:space="preserve">  </w:t>
      </w:r>
      <w:r w:rsidR="00270F92">
        <w:rPr>
          <w:sz w:val="26"/>
          <w:szCs w:val="26"/>
        </w:rPr>
        <w:t>October 26, 2017</w:t>
      </w:r>
      <w:bookmarkStart w:id="2" w:name="_GoBack"/>
      <w:bookmarkEnd w:id="2"/>
    </w:p>
    <w:sectPr w:rsidR="00344804" w:rsidRPr="00CA43A5" w:rsidSect="00360CBC">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1A2" w:rsidRDefault="00D261A2" w:rsidP="00360CBC">
      <w:r>
        <w:separator/>
      </w:r>
    </w:p>
  </w:endnote>
  <w:endnote w:type="continuationSeparator" w:id="0">
    <w:p w:rsidR="00D261A2" w:rsidRDefault="00D261A2" w:rsidP="00360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7760473"/>
      <w:docPartObj>
        <w:docPartGallery w:val="Page Numbers (Bottom of Page)"/>
        <w:docPartUnique/>
      </w:docPartObj>
    </w:sdtPr>
    <w:sdtEndPr>
      <w:rPr>
        <w:noProof/>
        <w:sz w:val="24"/>
        <w:szCs w:val="24"/>
      </w:rPr>
    </w:sdtEndPr>
    <w:sdtContent>
      <w:p w:rsidR="00630395" w:rsidRPr="00360CBC" w:rsidRDefault="00630395">
        <w:pPr>
          <w:pStyle w:val="Footer"/>
          <w:jc w:val="center"/>
          <w:rPr>
            <w:sz w:val="24"/>
            <w:szCs w:val="24"/>
          </w:rPr>
        </w:pPr>
        <w:r w:rsidRPr="00360CBC">
          <w:rPr>
            <w:sz w:val="24"/>
            <w:szCs w:val="24"/>
          </w:rPr>
          <w:fldChar w:fldCharType="begin"/>
        </w:r>
        <w:r w:rsidRPr="00360CBC">
          <w:rPr>
            <w:sz w:val="24"/>
            <w:szCs w:val="24"/>
          </w:rPr>
          <w:instrText xml:space="preserve"> PAGE   \* MERGEFORMAT </w:instrText>
        </w:r>
        <w:r w:rsidRPr="00360CBC">
          <w:rPr>
            <w:sz w:val="24"/>
            <w:szCs w:val="24"/>
          </w:rPr>
          <w:fldChar w:fldCharType="separate"/>
        </w:r>
        <w:r w:rsidR="00270F92">
          <w:rPr>
            <w:noProof/>
            <w:sz w:val="24"/>
            <w:szCs w:val="24"/>
          </w:rPr>
          <w:t>14</w:t>
        </w:r>
        <w:r w:rsidRPr="00360CBC">
          <w:rPr>
            <w:noProof/>
            <w:sz w:val="24"/>
            <w:szCs w:val="24"/>
          </w:rPr>
          <w:fldChar w:fldCharType="end"/>
        </w:r>
      </w:p>
    </w:sdtContent>
  </w:sdt>
  <w:p w:rsidR="00630395" w:rsidRDefault="00630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1A2" w:rsidRDefault="00D261A2" w:rsidP="00360CBC">
      <w:r>
        <w:separator/>
      </w:r>
    </w:p>
  </w:footnote>
  <w:footnote w:type="continuationSeparator" w:id="0">
    <w:p w:rsidR="00D261A2" w:rsidRDefault="00D261A2" w:rsidP="00360CBC">
      <w:r>
        <w:continuationSeparator/>
      </w:r>
    </w:p>
  </w:footnote>
  <w:footnote w:id="1">
    <w:p w:rsidR="00630395" w:rsidRDefault="00630395" w:rsidP="00295CBB">
      <w:pPr>
        <w:pStyle w:val="FootnoteText"/>
        <w:keepNext/>
        <w:keepLines/>
        <w:widowControl/>
        <w:ind w:firstLine="720"/>
      </w:pPr>
      <w:r w:rsidRPr="00D8205B">
        <w:rPr>
          <w:rStyle w:val="FootnoteReference"/>
          <w:sz w:val="26"/>
          <w:szCs w:val="26"/>
        </w:rPr>
        <w:footnoteRef/>
      </w:r>
      <w:r>
        <w:tab/>
      </w:r>
      <w:r w:rsidRPr="00A3588B">
        <w:rPr>
          <w:sz w:val="26"/>
          <w:szCs w:val="26"/>
        </w:rPr>
        <w:t>The Exceptions that were filed with the Secretary’s Bureau</w:t>
      </w:r>
      <w:r>
        <w:rPr>
          <w:sz w:val="26"/>
          <w:szCs w:val="26"/>
        </w:rPr>
        <w:t xml:space="preserve"> on March 13, 2017, did not include a Certificate of Service.  As such, by letter dated March 16, 2017, the Secretary’s Bureau provided a copy of the Exceptions to the Respondent, informing the Respondent that it had until March 27, </w:t>
      </w:r>
      <w:r w:rsidR="002A076D">
        <w:rPr>
          <w:sz w:val="26"/>
          <w:szCs w:val="26"/>
        </w:rPr>
        <w:t>2017, to file Repl</w:t>
      </w:r>
      <w:r w:rsidR="006A0C4A">
        <w:rPr>
          <w:sz w:val="26"/>
          <w:szCs w:val="26"/>
        </w:rPr>
        <w:t>ies to</w:t>
      </w:r>
      <w:r w:rsidR="002A076D">
        <w:rPr>
          <w:sz w:val="26"/>
          <w:szCs w:val="26"/>
        </w:rPr>
        <w:t xml:space="preserve"> Exceptions.</w:t>
      </w:r>
    </w:p>
  </w:footnote>
  <w:footnote w:id="2">
    <w:p w:rsidR="004E0A65" w:rsidRDefault="004E0A65" w:rsidP="004E0A65">
      <w:pPr>
        <w:pStyle w:val="FootnoteText"/>
        <w:keepNext/>
        <w:keepLines/>
        <w:widowControl/>
        <w:ind w:firstLine="720"/>
      </w:pPr>
      <w:r w:rsidRPr="004E0A65">
        <w:rPr>
          <w:rStyle w:val="FootnoteReference"/>
          <w:sz w:val="26"/>
          <w:szCs w:val="26"/>
        </w:rPr>
        <w:footnoteRef/>
      </w:r>
      <w:r>
        <w:rPr>
          <w:sz w:val="26"/>
          <w:szCs w:val="26"/>
        </w:rPr>
        <w:tab/>
        <w:t>We note here that o</w:t>
      </w:r>
      <w:r w:rsidRPr="005669C3">
        <w:rPr>
          <w:sz w:val="26"/>
          <w:szCs w:val="26"/>
        </w:rPr>
        <w:t xml:space="preserve">ne of the documents attached to the Complaint was a </w:t>
      </w:r>
      <w:r w:rsidR="002160AF">
        <w:rPr>
          <w:sz w:val="26"/>
          <w:szCs w:val="26"/>
        </w:rPr>
        <w:t xml:space="preserve">printout </w:t>
      </w:r>
      <w:r w:rsidRPr="005669C3">
        <w:rPr>
          <w:sz w:val="26"/>
          <w:szCs w:val="26"/>
        </w:rPr>
        <w:t xml:space="preserve">copy of the Commission’s </w:t>
      </w:r>
      <w:r w:rsidRPr="004E0A65">
        <w:rPr>
          <w:i/>
          <w:sz w:val="26"/>
          <w:szCs w:val="26"/>
        </w:rPr>
        <w:t>1998 Proposed Policy Statement</w:t>
      </w:r>
      <w:r>
        <w:rPr>
          <w:sz w:val="26"/>
          <w:szCs w:val="26"/>
        </w:rPr>
        <w:t xml:space="preserve"> on foreign load</w:t>
      </w:r>
      <w:r w:rsidRPr="005669C3">
        <w:rPr>
          <w:sz w:val="26"/>
          <w:szCs w:val="26"/>
        </w:rPr>
        <w:t xml:space="preserve">.  </w:t>
      </w:r>
      <w:r w:rsidR="002160AF">
        <w:rPr>
          <w:sz w:val="26"/>
          <w:szCs w:val="26"/>
        </w:rPr>
        <w:t>I</w:t>
      </w:r>
      <w:r w:rsidR="002160AF" w:rsidRPr="005669C3">
        <w:rPr>
          <w:sz w:val="26"/>
          <w:szCs w:val="26"/>
        </w:rPr>
        <w:t xml:space="preserve">t appears the Complainant printed this policy statement on April 27, 2016, from a prior version of the </w:t>
      </w:r>
      <w:r w:rsidR="002160AF" w:rsidRPr="005669C3">
        <w:rPr>
          <w:i/>
          <w:sz w:val="26"/>
          <w:szCs w:val="26"/>
        </w:rPr>
        <w:t>Pennsylvania Bulletin</w:t>
      </w:r>
      <w:r w:rsidR="002160AF" w:rsidRPr="005669C3">
        <w:rPr>
          <w:sz w:val="26"/>
          <w:szCs w:val="26"/>
        </w:rPr>
        <w:t xml:space="preserve"> </w:t>
      </w:r>
      <w:r w:rsidR="002160AF">
        <w:rPr>
          <w:sz w:val="26"/>
          <w:szCs w:val="26"/>
        </w:rPr>
        <w:t xml:space="preserve">available </w:t>
      </w:r>
      <w:r w:rsidR="002160AF" w:rsidRPr="005669C3">
        <w:rPr>
          <w:sz w:val="26"/>
          <w:szCs w:val="26"/>
        </w:rPr>
        <w:t>online</w:t>
      </w:r>
      <w:r w:rsidR="002160AF">
        <w:rPr>
          <w:sz w:val="26"/>
          <w:szCs w:val="26"/>
        </w:rPr>
        <w:t xml:space="preserve"> at www.pabulletin.com</w:t>
      </w:r>
      <w:r w:rsidR="002160AF" w:rsidRPr="005669C3">
        <w:rPr>
          <w:sz w:val="26"/>
          <w:szCs w:val="26"/>
        </w:rPr>
        <w:t>.</w:t>
      </w:r>
      <w:r w:rsidR="002160AF">
        <w:rPr>
          <w:sz w:val="26"/>
          <w:szCs w:val="26"/>
        </w:rPr>
        <w:t xml:space="preserve">  </w:t>
      </w:r>
      <w:r>
        <w:rPr>
          <w:sz w:val="26"/>
          <w:szCs w:val="26"/>
        </w:rPr>
        <w:t xml:space="preserve">Although the ALJ did not address the </w:t>
      </w:r>
      <w:r w:rsidRPr="004E0A65">
        <w:rPr>
          <w:i/>
          <w:sz w:val="26"/>
          <w:szCs w:val="26"/>
        </w:rPr>
        <w:t>1998 Proposed Policy Statement</w:t>
      </w:r>
      <w:r>
        <w:rPr>
          <w:sz w:val="26"/>
          <w:szCs w:val="26"/>
        </w:rPr>
        <w:t xml:space="preserve"> in</w:t>
      </w:r>
      <w:r w:rsidR="002160AF">
        <w:rPr>
          <w:sz w:val="26"/>
          <w:szCs w:val="26"/>
        </w:rPr>
        <w:t xml:space="preserve"> his Initial Decision, we note, for the record, that </w:t>
      </w:r>
      <w:r>
        <w:rPr>
          <w:sz w:val="26"/>
          <w:szCs w:val="26"/>
        </w:rPr>
        <w:t xml:space="preserve">the Commission withdrew the </w:t>
      </w:r>
      <w:r w:rsidRPr="005669C3">
        <w:rPr>
          <w:i/>
          <w:sz w:val="26"/>
          <w:szCs w:val="26"/>
        </w:rPr>
        <w:t>1998 Proposed Policy Statement</w:t>
      </w:r>
      <w:r>
        <w:rPr>
          <w:sz w:val="26"/>
          <w:szCs w:val="26"/>
        </w:rPr>
        <w:t xml:space="preserve"> and that any reliance on such </w:t>
      </w:r>
      <w:r w:rsidR="002160AF">
        <w:rPr>
          <w:sz w:val="26"/>
          <w:szCs w:val="26"/>
        </w:rPr>
        <w:t xml:space="preserve">statement </w:t>
      </w:r>
      <w:r>
        <w:rPr>
          <w:sz w:val="26"/>
          <w:szCs w:val="26"/>
        </w:rPr>
        <w:t xml:space="preserve">in this proceeding would be contrary to law.  </w:t>
      </w:r>
      <w:r w:rsidRPr="005669C3">
        <w:rPr>
          <w:i/>
          <w:sz w:val="26"/>
          <w:szCs w:val="26"/>
        </w:rPr>
        <w:t>See 1-A Realty v. PPL Electric Utilities Corporation</w:t>
      </w:r>
      <w:r>
        <w:rPr>
          <w:sz w:val="26"/>
          <w:szCs w:val="26"/>
        </w:rPr>
        <w:t>, Docket Nos. F-2010-2166554 and F</w:t>
      </w:r>
      <w:r w:rsidR="00C34FD0">
        <w:rPr>
          <w:sz w:val="26"/>
          <w:szCs w:val="26"/>
        </w:rPr>
        <w:noBreakHyphen/>
      </w:r>
      <w:r>
        <w:rPr>
          <w:sz w:val="26"/>
          <w:szCs w:val="26"/>
        </w:rPr>
        <w:t xml:space="preserve">2010-2166976 (Order entered April 12, 2012) at 18-19, 13, n.2  </w:t>
      </w:r>
    </w:p>
  </w:footnote>
  <w:footnote w:id="3">
    <w:p w:rsidR="00630395" w:rsidRPr="005637B7" w:rsidRDefault="00630395" w:rsidP="00295CBB">
      <w:pPr>
        <w:pStyle w:val="FootnoteText"/>
        <w:keepNext/>
        <w:keepLines/>
        <w:widowControl/>
        <w:ind w:firstLine="720"/>
        <w:rPr>
          <w:sz w:val="26"/>
          <w:szCs w:val="26"/>
        </w:rPr>
      </w:pPr>
      <w:r w:rsidRPr="005637B7">
        <w:rPr>
          <w:rStyle w:val="FootnoteReference"/>
          <w:sz w:val="26"/>
          <w:szCs w:val="26"/>
        </w:rPr>
        <w:footnoteRef/>
      </w:r>
      <w:r w:rsidRPr="005637B7">
        <w:rPr>
          <w:sz w:val="26"/>
          <w:szCs w:val="26"/>
        </w:rPr>
        <w:t xml:space="preserve"> </w:t>
      </w:r>
      <w:r w:rsidRPr="005637B7">
        <w:rPr>
          <w:sz w:val="26"/>
          <w:szCs w:val="26"/>
        </w:rPr>
        <w:tab/>
        <w:t xml:space="preserve">In </w:t>
      </w:r>
      <w:r w:rsidRPr="005637B7">
        <w:rPr>
          <w:i/>
          <w:sz w:val="26"/>
          <w:szCs w:val="26"/>
        </w:rPr>
        <w:t>Ace Check Cashing</w:t>
      </w:r>
      <w:r w:rsidRPr="005637B7">
        <w:rPr>
          <w:sz w:val="26"/>
          <w:szCs w:val="26"/>
        </w:rPr>
        <w:t xml:space="preserve">, the Commission’s foreign load policy was explained in detail:  Upon finding </w:t>
      </w:r>
      <w:r w:rsidR="00511A26">
        <w:rPr>
          <w:sz w:val="26"/>
          <w:szCs w:val="26"/>
        </w:rPr>
        <w:t xml:space="preserve">a </w:t>
      </w:r>
      <w:r w:rsidRPr="005637B7">
        <w:rPr>
          <w:sz w:val="26"/>
          <w:szCs w:val="26"/>
        </w:rPr>
        <w:t xml:space="preserve">foreign load, the utility must list the account, including any arrearages, in the landlord’s name.  </w:t>
      </w:r>
      <w:r>
        <w:rPr>
          <w:sz w:val="26"/>
          <w:szCs w:val="26"/>
        </w:rPr>
        <w:t xml:space="preserve">The landlord is responsible for paying the utility bills until the foreign load is correct.  After the foreign load is corrected by the landlord and verified by the utility, the utility is to re-list the account back in the tenant’s name.  However, the landlord remains responsible for any arrearages on the tenant’s account that existed prior to </w:t>
      </w:r>
      <w:r w:rsidR="00AC1019">
        <w:rPr>
          <w:sz w:val="26"/>
          <w:szCs w:val="26"/>
        </w:rPr>
        <w:t>when the</w:t>
      </w:r>
      <w:r>
        <w:rPr>
          <w:sz w:val="26"/>
          <w:szCs w:val="26"/>
        </w:rPr>
        <w:t xml:space="preserve"> </w:t>
      </w:r>
      <w:r w:rsidR="00AC1019">
        <w:rPr>
          <w:sz w:val="26"/>
          <w:szCs w:val="26"/>
        </w:rPr>
        <w:t xml:space="preserve">utility verified that the </w:t>
      </w:r>
      <w:r>
        <w:rPr>
          <w:sz w:val="26"/>
          <w:szCs w:val="26"/>
        </w:rPr>
        <w:t xml:space="preserve">foreign load was corrected.  This rule applies even if the amount of usage attributable to the foreign load is considered </w:t>
      </w:r>
      <w:r w:rsidRPr="0020559A">
        <w:rPr>
          <w:i/>
          <w:sz w:val="26"/>
          <w:szCs w:val="26"/>
        </w:rPr>
        <w:t>de minimus</w:t>
      </w:r>
      <w:r>
        <w:rPr>
          <w:sz w:val="26"/>
          <w:szCs w:val="26"/>
        </w:rPr>
        <w:t xml:space="preserve">.  </w:t>
      </w:r>
      <w:r w:rsidRPr="0020559A">
        <w:rPr>
          <w:i/>
          <w:sz w:val="26"/>
          <w:szCs w:val="26"/>
        </w:rPr>
        <w:t>See Ace Check Cashing</w:t>
      </w:r>
      <w:r>
        <w:rPr>
          <w:sz w:val="26"/>
          <w:szCs w:val="26"/>
        </w:rPr>
        <w:t xml:space="preserve"> at 6-8.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4A1F43E9"/>
    <w:multiLevelType w:val="hybridMultilevel"/>
    <w:tmpl w:val="F97CCA16"/>
    <w:lvl w:ilvl="0" w:tplc="239223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7EC"/>
    <w:rsid w:val="00000D47"/>
    <w:rsid w:val="00001FC8"/>
    <w:rsid w:val="00006685"/>
    <w:rsid w:val="00006F35"/>
    <w:rsid w:val="00016D57"/>
    <w:rsid w:val="00017852"/>
    <w:rsid w:val="00021E46"/>
    <w:rsid w:val="00022B74"/>
    <w:rsid w:val="0002524C"/>
    <w:rsid w:val="00025F3F"/>
    <w:rsid w:val="00026CD2"/>
    <w:rsid w:val="00040A8E"/>
    <w:rsid w:val="00040AEA"/>
    <w:rsid w:val="00046C52"/>
    <w:rsid w:val="00047874"/>
    <w:rsid w:val="00047F4A"/>
    <w:rsid w:val="000523D1"/>
    <w:rsid w:val="00052B8F"/>
    <w:rsid w:val="00054612"/>
    <w:rsid w:val="0005572E"/>
    <w:rsid w:val="00056286"/>
    <w:rsid w:val="000612FD"/>
    <w:rsid w:val="000642AA"/>
    <w:rsid w:val="000649EC"/>
    <w:rsid w:val="00066EE5"/>
    <w:rsid w:val="00067260"/>
    <w:rsid w:val="00072808"/>
    <w:rsid w:val="000736BA"/>
    <w:rsid w:val="00076F35"/>
    <w:rsid w:val="00084573"/>
    <w:rsid w:val="00084AF9"/>
    <w:rsid w:val="000918D4"/>
    <w:rsid w:val="00092D9D"/>
    <w:rsid w:val="00093164"/>
    <w:rsid w:val="000942C3"/>
    <w:rsid w:val="00095135"/>
    <w:rsid w:val="0009612D"/>
    <w:rsid w:val="00097504"/>
    <w:rsid w:val="000A365D"/>
    <w:rsid w:val="000A6C6D"/>
    <w:rsid w:val="000B216D"/>
    <w:rsid w:val="000B2755"/>
    <w:rsid w:val="000B4EAE"/>
    <w:rsid w:val="000B5238"/>
    <w:rsid w:val="000B607A"/>
    <w:rsid w:val="000B6B15"/>
    <w:rsid w:val="000B730E"/>
    <w:rsid w:val="000C2650"/>
    <w:rsid w:val="000C2AE3"/>
    <w:rsid w:val="000C709A"/>
    <w:rsid w:val="000D7BD8"/>
    <w:rsid w:val="000E2731"/>
    <w:rsid w:val="000F179E"/>
    <w:rsid w:val="000F1B79"/>
    <w:rsid w:val="000F4307"/>
    <w:rsid w:val="0010158F"/>
    <w:rsid w:val="00101F51"/>
    <w:rsid w:val="001026CA"/>
    <w:rsid w:val="00104D9B"/>
    <w:rsid w:val="00117CB2"/>
    <w:rsid w:val="00120B39"/>
    <w:rsid w:val="001238E5"/>
    <w:rsid w:val="00123A2E"/>
    <w:rsid w:val="00124071"/>
    <w:rsid w:val="001251BB"/>
    <w:rsid w:val="001267D4"/>
    <w:rsid w:val="00135972"/>
    <w:rsid w:val="001360FC"/>
    <w:rsid w:val="001447A0"/>
    <w:rsid w:val="0014497F"/>
    <w:rsid w:val="00146DDD"/>
    <w:rsid w:val="00146E58"/>
    <w:rsid w:val="00147145"/>
    <w:rsid w:val="00150096"/>
    <w:rsid w:val="001508E4"/>
    <w:rsid w:val="0015380A"/>
    <w:rsid w:val="00153EB0"/>
    <w:rsid w:val="00154CB6"/>
    <w:rsid w:val="00163F7E"/>
    <w:rsid w:val="00164DA4"/>
    <w:rsid w:val="00166298"/>
    <w:rsid w:val="001663C8"/>
    <w:rsid w:val="00170779"/>
    <w:rsid w:val="00174D3D"/>
    <w:rsid w:val="00182478"/>
    <w:rsid w:val="00186A97"/>
    <w:rsid w:val="0019530E"/>
    <w:rsid w:val="00195F2E"/>
    <w:rsid w:val="0019757B"/>
    <w:rsid w:val="001A001C"/>
    <w:rsid w:val="001A58E1"/>
    <w:rsid w:val="001B1DB4"/>
    <w:rsid w:val="001B37C5"/>
    <w:rsid w:val="001B3D8C"/>
    <w:rsid w:val="001B787F"/>
    <w:rsid w:val="001C2501"/>
    <w:rsid w:val="001C4978"/>
    <w:rsid w:val="001C62EF"/>
    <w:rsid w:val="001D030D"/>
    <w:rsid w:val="001D0ED2"/>
    <w:rsid w:val="001E0B61"/>
    <w:rsid w:val="001E1276"/>
    <w:rsid w:val="001E1FFD"/>
    <w:rsid w:val="001F285E"/>
    <w:rsid w:val="001F36AB"/>
    <w:rsid w:val="00202524"/>
    <w:rsid w:val="0020559A"/>
    <w:rsid w:val="00210736"/>
    <w:rsid w:val="00210F81"/>
    <w:rsid w:val="00211622"/>
    <w:rsid w:val="00214B3E"/>
    <w:rsid w:val="002160AF"/>
    <w:rsid w:val="00222A0A"/>
    <w:rsid w:val="0022698E"/>
    <w:rsid w:val="00227912"/>
    <w:rsid w:val="002311EE"/>
    <w:rsid w:val="002370F5"/>
    <w:rsid w:val="00240ACA"/>
    <w:rsid w:val="00240D7B"/>
    <w:rsid w:val="00241299"/>
    <w:rsid w:val="00255462"/>
    <w:rsid w:val="00260957"/>
    <w:rsid w:val="00264646"/>
    <w:rsid w:val="00270F92"/>
    <w:rsid w:val="0027232D"/>
    <w:rsid w:val="00274D0F"/>
    <w:rsid w:val="00277500"/>
    <w:rsid w:val="00281A5F"/>
    <w:rsid w:val="00285F1E"/>
    <w:rsid w:val="0028706C"/>
    <w:rsid w:val="00287A54"/>
    <w:rsid w:val="00291F68"/>
    <w:rsid w:val="00293A97"/>
    <w:rsid w:val="00295CBB"/>
    <w:rsid w:val="002A060A"/>
    <w:rsid w:val="002A076D"/>
    <w:rsid w:val="002A084D"/>
    <w:rsid w:val="002A4450"/>
    <w:rsid w:val="002A6750"/>
    <w:rsid w:val="002B2296"/>
    <w:rsid w:val="002B4407"/>
    <w:rsid w:val="002B5F0A"/>
    <w:rsid w:val="002B67B7"/>
    <w:rsid w:val="002C0429"/>
    <w:rsid w:val="002C19E4"/>
    <w:rsid w:val="002C34E3"/>
    <w:rsid w:val="002C6CC4"/>
    <w:rsid w:val="002D13C4"/>
    <w:rsid w:val="002D275E"/>
    <w:rsid w:val="002D6357"/>
    <w:rsid w:val="002D66BC"/>
    <w:rsid w:val="002D73F0"/>
    <w:rsid w:val="002D7584"/>
    <w:rsid w:val="002D7DA3"/>
    <w:rsid w:val="002E0C6D"/>
    <w:rsid w:val="002E3026"/>
    <w:rsid w:val="002E3F06"/>
    <w:rsid w:val="002E4D7F"/>
    <w:rsid w:val="002E565C"/>
    <w:rsid w:val="002E6FFA"/>
    <w:rsid w:val="002E7F8F"/>
    <w:rsid w:val="002F3F04"/>
    <w:rsid w:val="002F41BA"/>
    <w:rsid w:val="003018AA"/>
    <w:rsid w:val="00303B99"/>
    <w:rsid w:val="0030714F"/>
    <w:rsid w:val="003073E2"/>
    <w:rsid w:val="00307DDF"/>
    <w:rsid w:val="00311539"/>
    <w:rsid w:val="00314A43"/>
    <w:rsid w:val="003153F3"/>
    <w:rsid w:val="0031694F"/>
    <w:rsid w:val="0032041A"/>
    <w:rsid w:val="00322040"/>
    <w:rsid w:val="003240B8"/>
    <w:rsid w:val="00325422"/>
    <w:rsid w:val="00332146"/>
    <w:rsid w:val="00333FCF"/>
    <w:rsid w:val="00333FDA"/>
    <w:rsid w:val="003340DE"/>
    <w:rsid w:val="0033679C"/>
    <w:rsid w:val="00340D19"/>
    <w:rsid w:val="00342AA1"/>
    <w:rsid w:val="00344804"/>
    <w:rsid w:val="003518C8"/>
    <w:rsid w:val="00351EF9"/>
    <w:rsid w:val="00352E7B"/>
    <w:rsid w:val="003533B5"/>
    <w:rsid w:val="00354C7D"/>
    <w:rsid w:val="00360CBC"/>
    <w:rsid w:val="003622CA"/>
    <w:rsid w:val="00363030"/>
    <w:rsid w:val="00364304"/>
    <w:rsid w:val="0036462C"/>
    <w:rsid w:val="00364A42"/>
    <w:rsid w:val="003664C1"/>
    <w:rsid w:val="003755FB"/>
    <w:rsid w:val="0037577C"/>
    <w:rsid w:val="00385502"/>
    <w:rsid w:val="00391A43"/>
    <w:rsid w:val="00391E8D"/>
    <w:rsid w:val="003A2E75"/>
    <w:rsid w:val="003A3D9F"/>
    <w:rsid w:val="003A696D"/>
    <w:rsid w:val="003B0611"/>
    <w:rsid w:val="003B42D9"/>
    <w:rsid w:val="003C1000"/>
    <w:rsid w:val="003C3140"/>
    <w:rsid w:val="003C3E02"/>
    <w:rsid w:val="003C3FE8"/>
    <w:rsid w:val="003C6621"/>
    <w:rsid w:val="003C73F9"/>
    <w:rsid w:val="003D5F07"/>
    <w:rsid w:val="003D6AB5"/>
    <w:rsid w:val="003E0FD0"/>
    <w:rsid w:val="003E3FF5"/>
    <w:rsid w:val="003E5354"/>
    <w:rsid w:val="003F3F79"/>
    <w:rsid w:val="003F51F4"/>
    <w:rsid w:val="003F52C6"/>
    <w:rsid w:val="003F558E"/>
    <w:rsid w:val="0040173E"/>
    <w:rsid w:val="00403D6E"/>
    <w:rsid w:val="00407AC0"/>
    <w:rsid w:val="00411317"/>
    <w:rsid w:val="00412E30"/>
    <w:rsid w:val="004170AF"/>
    <w:rsid w:val="00425D4B"/>
    <w:rsid w:val="00427151"/>
    <w:rsid w:val="00432BB7"/>
    <w:rsid w:val="004331E9"/>
    <w:rsid w:val="00433E8D"/>
    <w:rsid w:val="0043592C"/>
    <w:rsid w:val="004411B9"/>
    <w:rsid w:val="00441207"/>
    <w:rsid w:val="004422CA"/>
    <w:rsid w:val="00443807"/>
    <w:rsid w:val="004462F7"/>
    <w:rsid w:val="00451679"/>
    <w:rsid w:val="004554B1"/>
    <w:rsid w:val="0046019D"/>
    <w:rsid w:val="00461287"/>
    <w:rsid w:val="00464536"/>
    <w:rsid w:val="0046514E"/>
    <w:rsid w:val="0046610B"/>
    <w:rsid w:val="0046623C"/>
    <w:rsid w:val="00467739"/>
    <w:rsid w:val="00470D0C"/>
    <w:rsid w:val="00470E18"/>
    <w:rsid w:val="00474E22"/>
    <w:rsid w:val="0047608F"/>
    <w:rsid w:val="0047610C"/>
    <w:rsid w:val="00476554"/>
    <w:rsid w:val="004772C2"/>
    <w:rsid w:val="004813D4"/>
    <w:rsid w:val="0048167C"/>
    <w:rsid w:val="00481693"/>
    <w:rsid w:val="00482174"/>
    <w:rsid w:val="00490877"/>
    <w:rsid w:val="00491D91"/>
    <w:rsid w:val="004924F1"/>
    <w:rsid w:val="0049580C"/>
    <w:rsid w:val="0049768F"/>
    <w:rsid w:val="004A04E5"/>
    <w:rsid w:val="004A1495"/>
    <w:rsid w:val="004A2165"/>
    <w:rsid w:val="004A5E8B"/>
    <w:rsid w:val="004A5F74"/>
    <w:rsid w:val="004B1052"/>
    <w:rsid w:val="004B6B14"/>
    <w:rsid w:val="004D2DC9"/>
    <w:rsid w:val="004D50F5"/>
    <w:rsid w:val="004E0A65"/>
    <w:rsid w:val="004E2B8A"/>
    <w:rsid w:val="004E47EC"/>
    <w:rsid w:val="004E514F"/>
    <w:rsid w:val="004E737F"/>
    <w:rsid w:val="004F03DE"/>
    <w:rsid w:val="004F22DA"/>
    <w:rsid w:val="004F5D96"/>
    <w:rsid w:val="00502165"/>
    <w:rsid w:val="00504834"/>
    <w:rsid w:val="00504C7A"/>
    <w:rsid w:val="00505AEE"/>
    <w:rsid w:val="0050632E"/>
    <w:rsid w:val="00506B92"/>
    <w:rsid w:val="00506EF3"/>
    <w:rsid w:val="00507079"/>
    <w:rsid w:val="0050752D"/>
    <w:rsid w:val="005102B3"/>
    <w:rsid w:val="00511A26"/>
    <w:rsid w:val="00511EF3"/>
    <w:rsid w:val="00514507"/>
    <w:rsid w:val="0051511C"/>
    <w:rsid w:val="00521350"/>
    <w:rsid w:val="00532610"/>
    <w:rsid w:val="005351B9"/>
    <w:rsid w:val="00536011"/>
    <w:rsid w:val="00536361"/>
    <w:rsid w:val="00550530"/>
    <w:rsid w:val="00550B79"/>
    <w:rsid w:val="0055150B"/>
    <w:rsid w:val="0055171B"/>
    <w:rsid w:val="0055287E"/>
    <w:rsid w:val="005532F9"/>
    <w:rsid w:val="0055440B"/>
    <w:rsid w:val="005556C4"/>
    <w:rsid w:val="0055708D"/>
    <w:rsid w:val="00561CA6"/>
    <w:rsid w:val="005637B7"/>
    <w:rsid w:val="00564237"/>
    <w:rsid w:val="00564565"/>
    <w:rsid w:val="005647BE"/>
    <w:rsid w:val="00566299"/>
    <w:rsid w:val="005669C3"/>
    <w:rsid w:val="005725F6"/>
    <w:rsid w:val="00586817"/>
    <w:rsid w:val="00586D92"/>
    <w:rsid w:val="00587507"/>
    <w:rsid w:val="00596A0B"/>
    <w:rsid w:val="00596E05"/>
    <w:rsid w:val="00596F85"/>
    <w:rsid w:val="005970FA"/>
    <w:rsid w:val="005A0176"/>
    <w:rsid w:val="005A088E"/>
    <w:rsid w:val="005A2298"/>
    <w:rsid w:val="005A28C1"/>
    <w:rsid w:val="005A69FA"/>
    <w:rsid w:val="005A72FC"/>
    <w:rsid w:val="005A790F"/>
    <w:rsid w:val="005B0388"/>
    <w:rsid w:val="005B109A"/>
    <w:rsid w:val="005B3392"/>
    <w:rsid w:val="005C2FD5"/>
    <w:rsid w:val="005C339A"/>
    <w:rsid w:val="005C5378"/>
    <w:rsid w:val="005C5D4B"/>
    <w:rsid w:val="005D2AB9"/>
    <w:rsid w:val="005D34E2"/>
    <w:rsid w:val="005D496E"/>
    <w:rsid w:val="005D7C20"/>
    <w:rsid w:val="005E2C3D"/>
    <w:rsid w:val="005E6960"/>
    <w:rsid w:val="005E7EB8"/>
    <w:rsid w:val="005F18D6"/>
    <w:rsid w:val="00600F38"/>
    <w:rsid w:val="00603024"/>
    <w:rsid w:val="006116E3"/>
    <w:rsid w:val="00624400"/>
    <w:rsid w:val="00624E51"/>
    <w:rsid w:val="00626162"/>
    <w:rsid w:val="00626B53"/>
    <w:rsid w:val="00630395"/>
    <w:rsid w:val="00634719"/>
    <w:rsid w:val="00635E6A"/>
    <w:rsid w:val="006468E3"/>
    <w:rsid w:val="006503E8"/>
    <w:rsid w:val="00651167"/>
    <w:rsid w:val="00654A4A"/>
    <w:rsid w:val="0065545A"/>
    <w:rsid w:val="00662FE0"/>
    <w:rsid w:val="006661CF"/>
    <w:rsid w:val="00670BFD"/>
    <w:rsid w:val="00671E4C"/>
    <w:rsid w:val="00674295"/>
    <w:rsid w:val="0068064B"/>
    <w:rsid w:val="006818A8"/>
    <w:rsid w:val="00681A51"/>
    <w:rsid w:val="00682469"/>
    <w:rsid w:val="00683D97"/>
    <w:rsid w:val="00684FCA"/>
    <w:rsid w:val="00686B5C"/>
    <w:rsid w:val="006875C8"/>
    <w:rsid w:val="00692C4F"/>
    <w:rsid w:val="00695292"/>
    <w:rsid w:val="006965C5"/>
    <w:rsid w:val="00696997"/>
    <w:rsid w:val="006970C7"/>
    <w:rsid w:val="006A0C4A"/>
    <w:rsid w:val="006A3DC1"/>
    <w:rsid w:val="006A4D8A"/>
    <w:rsid w:val="006A758C"/>
    <w:rsid w:val="006B7EA6"/>
    <w:rsid w:val="006C1EEC"/>
    <w:rsid w:val="006C2B8C"/>
    <w:rsid w:val="006C3FEA"/>
    <w:rsid w:val="006C69E7"/>
    <w:rsid w:val="006D10AE"/>
    <w:rsid w:val="006D29F2"/>
    <w:rsid w:val="006D7CA2"/>
    <w:rsid w:val="006E065B"/>
    <w:rsid w:val="006E09D3"/>
    <w:rsid w:val="006E1E6C"/>
    <w:rsid w:val="006E2C54"/>
    <w:rsid w:val="006E5505"/>
    <w:rsid w:val="006F240A"/>
    <w:rsid w:val="006F2FB3"/>
    <w:rsid w:val="006F531B"/>
    <w:rsid w:val="006F62BC"/>
    <w:rsid w:val="00702493"/>
    <w:rsid w:val="0070425D"/>
    <w:rsid w:val="00714F3B"/>
    <w:rsid w:val="007166F7"/>
    <w:rsid w:val="00716AEF"/>
    <w:rsid w:val="00717076"/>
    <w:rsid w:val="00717296"/>
    <w:rsid w:val="00717464"/>
    <w:rsid w:val="007228AF"/>
    <w:rsid w:val="00726B3B"/>
    <w:rsid w:val="00727370"/>
    <w:rsid w:val="0073296B"/>
    <w:rsid w:val="00733D5F"/>
    <w:rsid w:val="00735D9E"/>
    <w:rsid w:val="00737CFB"/>
    <w:rsid w:val="0074109C"/>
    <w:rsid w:val="00742335"/>
    <w:rsid w:val="00742842"/>
    <w:rsid w:val="00753376"/>
    <w:rsid w:val="007543B0"/>
    <w:rsid w:val="007568A9"/>
    <w:rsid w:val="00761514"/>
    <w:rsid w:val="00763CE7"/>
    <w:rsid w:val="00771561"/>
    <w:rsid w:val="00772177"/>
    <w:rsid w:val="00775C65"/>
    <w:rsid w:val="0077639A"/>
    <w:rsid w:val="00780803"/>
    <w:rsid w:val="0078100C"/>
    <w:rsid w:val="0078157F"/>
    <w:rsid w:val="007815CE"/>
    <w:rsid w:val="0078199D"/>
    <w:rsid w:val="00786E6C"/>
    <w:rsid w:val="00786F48"/>
    <w:rsid w:val="0078772C"/>
    <w:rsid w:val="007878E4"/>
    <w:rsid w:val="00790745"/>
    <w:rsid w:val="00795639"/>
    <w:rsid w:val="00795EEB"/>
    <w:rsid w:val="007963BD"/>
    <w:rsid w:val="007A4783"/>
    <w:rsid w:val="007A5191"/>
    <w:rsid w:val="007B0500"/>
    <w:rsid w:val="007B111B"/>
    <w:rsid w:val="007B3AE8"/>
    <w:rsid w:val="007B4418"/>
    <w:rsid w:val="007B531E"/>
    <w:rsid w:val="007B5F62"/>
    <w:rsid w:val="007B66B3"/>
    <w:rsid w:val="007B7077"/>
    <w:rsid w:val="007C3003"/>
    <w:rsid w:val="007C5A2F"/>
    <w:rsid w:val="007C6B60"/>
    <w:rsid w:val="007C6F85"/>
    <w:rsid w:val="007D3AA0"/>
    <w:rsid w:val="007D3FE2"/>
    <w:rsid w:val="007D5690"/>
    <w:rsid w:val="007D69FA"/>
    <w:rsid w:val="007E1600"/>
    <w:rsid w:val="007E50C1"/>
    <w:rsid w:val="00810603"/>
    <w:rsid w:val="00814283"/>
    <w:rsid w:val="00815106"/>
    <w:rsid w:val="008156B4"/>
    <w:rsid w:val="00820209"/>
    <w:rsid w:val="00820F35"/>
    <w:rsid w:val="00820FEC"/>
    <w:rsid w:val="0082393D"/>
    <w:rsid w:val="0083324D"/>
    <w:rsid w:val="00841733"/>
    <w:rsid w:val="00844D38"/>
    <w:rsid w:val="00844D85"/>
    <w:rsid w:val="008524BE"/>
    <w:rsid w:val="00853BC2"/>
    <w:rsid w:val="00854278"/>
    <w:rsid w:val="00856063"/>
    <w:rsid w:val="00857172"/>
    <w:rsid w:val="0086236A"/>
    <w:rsid w:val="0087035A"/>
    <w:rsid w:val="0087347D"/>
    <w:rsid w:val="008814A7"/>
    <w:rsid w:val="00882DAD"/>
    <w:rsid w:val="00883B25"/>
    <w:rsid w:val="00885263"/>
    <w:rsid w:val="00892DA5"/>
    <w:rsid w:val="008949B1"/>
    <w:rsid w:val="0089713E"/>
    <w:rsid w:val="008A10F3"/>
    <w:rsid w:val="008A5C0F"/>
    <w:rsid w:val="008A5C2F"/>
    <w:rsid w:val="008B1596"/>
    <w:rsid w:val="008C09C4"/>
    <w:rsid w:val="008C1F44"/>
    <w:rsid w:val="008C254D"/>
    <w:rsid w:val="008C6441"/>
    <w:rsid w:val="008C646F"/>
    <w:rsid w:val="008D2C8D"/>
    <w:rsid w:val="008E0751"/>
    <w:rsid w:val="008E3E4B"/>
    <w:rsid w:val="008E4EF9"/>
    <w:rsid w:val="008E6DFC"/>
    <w:rsid w:val="008E7710"/>
    <w:rsid w:val="008F2F19"/>
    <w:rsid w:val="008F3E76"/>
    <w:rsid w:val="00900635"/>
    <w:rsid w:val="00900D4D"/>
    <w:rsid w:val="00903F34"/>
    <w:rsid w:val="00905C0A"/>
    <w:rsid w:val="009122F8"/>
    <w:rsid w:val="00915520"/>
    <w:rsid w:val="009155F7"/>
    <w:rsid w:val="00921131"/>
    <w:rsid w:val="00921E9B"/>
    <w:rsid w:val="009247F5"/>
    <w:rsid w:val="00926AB2"/>
    <w:rsid w:val="009339FF"/>
    <w:rsid w:val="00934643"/>
    <w:rsid w:val="009407FE"/>
    <w:rsid w:val="00942436"/>
    <w:rsid w:val="00957603"/>
    <w:rsid w:val="00957A1D"/>
    <w:rsid w:val="00957BC0"/>
    <w:rsid w:val="0096487B"/>
    <w:rsid w:val="009757D1"/>
    <w:rsid w:val="00980754"/>
    <w:rsid w:val="00981535"/>
    <w:rsid w:val="009825C8"/>
    <w:rsid w:val="0098409F"/>
    <w:rsid w:val="00985537"/>
    <w:rsid w:val="00991698"/>
    <w:rsid w:val="00991C17"/>
    <w:rsid w:val="00992D1E"/>
    <w:rsid w:val="00997EB2"/>
    <w:rsid w:val="009A06F5"/>
    <w:rsid w:val="009A0788"/>
    <w:rsid w:val="009A0E92"/>
    <w:rsid w:val="009A17EC"/>
    <w:rsid w:val="009A35B4"/>
    <w:rsid w:val="009B03DF"/>
    <w:rsid w:val="009B53B9"/>
    <w:rsid w:val="009B6AF0"/>
    <w:rsid w:val="009C292D"/>
    <w:rsid w:val="009C5F0C"/>
    <w:rsid w:val="009C67C0"/>
    <w:rsid w:val="009D1035"/>
    <w:rsid w:val="009D13D0"/>
    <w:rsid w:val="009D2068"/>
    <w:rsid w:val="009D558C"/>
    <w:rsid w:val="009D7D33"/>
    <w:rsid w:val="009E1026"/>
    <w:rsid w:val="009E4DD4"/>
    <w:rsid w:val="009E4E3F"/>
    <w:rsid w:val="009E698B"/>
    <w:rsid w:val="009F1547"/>
    <w:rsid w:val="009F4ABA"/>
    <w:rsid w:val="00A066AE"/>
    <w:rsid w:val="00A10DD9"/>
    <w:rsid w:val="00A11BB5"/>
    <w:rsid w:val="00A12C6B"/>
    <w:rsid w:val="00A14117"/>
    <w:rsid w:val="00A149FA"/>
    <w:rsid w:val="00A17DF0"/>
    <w:rsid w:val="00A20F78"/>
    <w:rsid w:val="00A218F1"/>
    <w:rsid w:val="00A27DEE"/>
    <w:rsid w:val="00A31B93"/>
    <w:rsid w:val="00A3588B"/>
    <w:rsid w:val="00A375EF"/>
    <w:rsid w:val="00A51367"/>
    <w:rsid w:val="00A528C2"/>
    <w:rsid w:val="00A54AFD"/>
    <w:rsid w:val="00A54E69"/>
    <w:rsid w:val="00A61B06"/>
    <w:rsid w:val="00A62113"/>
    <w:rsid w:val="00A6759C"/>
    <w:rsid w:val="00A67923"/>
    <w:rsid w:val="00A713ED"/>
    <w:rsid w:val="00A714B8"/>
    <w:rsid w:val="00A74901"/>
    <w:rsid w:val="00A74945"/>
    <w:rsid w:val="00A75733"/>
    <w:rsid w:val="00A76308"/>
    <w:rsid w:val="00A77C08"/>
    <w:rsid w:val="00A81527"/>
    <w:rsid w:val="00A82058"/>
    <w:rsid w:val="00A82B2D"/>
    <w:rsid w:val="00A8489D"/>
    <w:rsid w:val="00A84AE7"/>
    <w:rsid w:val="00A869B0"/>
    <w:rsid w:val="00A9289F"/>
    <w:rsid w:val="00A92C1D"/>
    <w:rsid w:val="00A9493F"/>
    <w:rsid w:val="00AA0C77"/>
    <w:rsid w:val="00AA1D27"/>
    <w:rsid w:val="00AA1EF0"/>
    <w:rsid w:val="00AA204C"/>
    <w:rsid w:val="00AA2D57"/>
    <w:rsid w:val="00AA3941"/>
    <w:rsid w:val="00AA56D0"/>
    <w:rsid w:val="00AA6734"/>
    <w:rsid w:val="00AB0C9F"/>
    <w:rsid w:val="00AB143A"/>
    <w:rsid w:val="00AB36DC"/>
    <w:rsid w:val="00AC003C"/>
    <w:rsid w:val="00AC0103"/>
    <w:rsid w:val="00AC1019"/>
    <w:rsid w:val="00AC1404"/>
    <w:rsid w:val="00AC58B7"/>
    <w:rsid w:val="00AC7B32"/>
    <w:rsid w:val="00AD039F"/>
    <w:rsid w:val="00AD3902"/>
    <w:rsid w:val="00AD6010"/>
    <w:rsid w:val="00AE33FF"/>
    <w:rsid w:val="00AF06D5"/>
    <w:rsid w:val="00AF09DD"/>
    <w:rsid w:val="00AF5302"/>
    <w:rsid w:val="00AF73E6"/>
    <w:rsid w:val="00B02655"/>
    <w:rsid w:val="00B05102"/>
    <w:rsid w:val="00B1068B"/>
    <w:rsid w:val="00B153F9"/>
    <w:rsid w:val="00B16A34"/>
    <w:rsid w:val="00B17780"/>
    <w:rsid w:val="00B25453"/>
    <w:rsid w:val="00B2558C"/>
    <w:rsid w:val="00B27FAB"/>
    <w:rsid w:val="00B31B9C"/>
    <w:rsid w:val="00B33DF8"/>
    <w:rsid w:val="00B3462F"/>
    <w:rsid w:val="00B34D6C"/>
    <w:rsid w:val="00B46CCD"/>
    <w:rsid w:val="00B505B0"/>
    <w:rsid w:val="00B5544F"/>
    <w:rsid w:val="00B55E5D"/>
    <w:rsid w:val="00B57324"/>
    <w:rsid w:val="00B60A36"/>
    <w:rsid w:val="00B66867"/>
    <w:rsid w:val="00B66994"/>
    <w:rsid w:val="00B71AFB"/>
    <w:rsid w:val="00B71F3A"/>
    <w:rsid w:val="00B73C97"/>
    <w:rsid w:val="00B76340"/>
    <w:rsid w:val="00B80C43"/>
    <w:rsid w:val="00B82400"/>
    <w:rsid w:val="00B8436D"/>
    <w:rsid w:val="00B84B23"/>
    <w:rsid w:val="00B87649"/>
    <w:rsid w:val="00B93821"/>
    <w:rsid w:val="00B94786"/>
    <w:rsid w:val="00BA285C"/>
    <w:rsid w:val="00BA78B6"/>
    <w:rsid w:val="00BB26AD"/>
    <w:rsid w:val="00BB79BD"/>
    <w:rsid w:val="00BC7208"/>
    <w:rsid w:val="00BD0B48"/>
    <w:rsid w:val="00BD2A0A"/>
    <w:rsid w:val="00BD5D0F"/>
    <w:rsid w:val="00BD6728"/>
    <w:rsid w:val="00BD7C68"/>
    <w:rsid w:val="00BE1CBC"/>
    <w:rsid w:val="00BE29DC"/>
    <w:rsid w:val="00BE4D74"/>
    <w:rsid w:val="00BF697A"/>
    <w:rsid w:val="00BF6ADB"/>
    <w:rsid w:val="00C00DE0"/>
    <w:rsid w:val="00C03776"/>
    <w:rsid w:val="00C0632B"/>
    <w:rsid w:val="00C13821"/>
    <w:rsid w:val="00C14051"/>
    <w:rsid w:val="00C14FB9"/>
    <w:rsid w:val="00C15F73"/>
    <w:rsid w:val="00C2037B"/>
    <w:rsid w:val="00C203E5"/>
    <w:rsid w:val="00C22FF7"/>
    <w:rsid w:val="00C27F76"/>
    <w:rsid w:val="00C30DA4"/>
    <w:rsid w:val="00C32E7D"/>
    <w:rsid w:val="00C34FD0"/>
    <w:rsid w:val="00C3518E"/>
    <w:rsid w:val="00C36D97"/>
    <w:rsid w:val="00C374D9"/>
    <w:rsid w:val="00C41A86"/>
    <w:rsid w:val="00C44719"/>
    <w:rsid w:val="00C50108"/>
    <w:rsid w:val="00C508E2"/>
    <w:rsid w:val="00C57410"/>
    <w:rsid w:val="00C6572C"/>
    <w:rsid w:val="00C70CFF"/>
    <w:rsid w:val="00C75655"/>
    <w:rsid w:val="00C80CD2"/>
    <w:rsid w:val="00C820B3"/>
    <w:rsid w:val="00C837C3"/>
    <w:rsid w:val="00C84497"/>
    <w:rsid w:val="00C868F6"/>
    <w:rsid w:val="00C90036"/>
    <w:rsid w:val="00C9137C"/>
    <w:rsid w:val="00C91644"/>
    <w:rsid w:val="00C9552C"/>
    <w:rsid w:val="00C9663B"/>
    <w:rsid w:val="00CA43A5"/>
    <w:rsid w:val="00CA7C0B"/>
    <w:rsid w:val="00CB6E2B"/>
    <w:rsid w:val="00CB6FF7"/>
    <w:rsid w:val="00CB7302"/>
    <w:rsid w:val="00CC1329"/>
    <w:rsid w:val="00CC1E9F"/>
    <w:rsid w:val="00CC5896"/>
    <w:rsid w:val="00CD27A2"/>
    <w:rsid w:val="00CE0C35"/>
    <w:rsid w:val="00CE3810"/>
    <w:rsid w:val="00CE52B4"/>
    <w:rsid w:val="00CE5DCD"/>
    <w:rsid w:val="00CE701C"/>
    <w:rsid w:val="00CE7599"/>
    <w:rsid w:val="00CF4053"/>
    <w:rsid w:val="00CF414A"/>
    <w:rsid w:val="00CF4FF0"/>
    <w:rsid w:val="00CF5B47"/>
    <w:rsid w:val="00D05B49"/>
    <w:rsid w:val="00D104F9"/>
    <w:rsid w:val="00D14323"/>
    <w:rsid w:val="00D16008"/>
    <w:rsid w:val="00D166D4"/>
    <w:rsid w:val="00D20264"/>
    <w:rsid w:val="00D23ABE"/>
    <w:rsid w:val="00D25F55"/>
    <w:rsid w:val="00D261A2"/>
    <w:rsid w:val="00D30254"/>
    <w:rsid w:val="00D33768"/>
    <w:rsid w:val="00D33D87"/>
    <w:rsid w:val="00D35077"/>
    <w:rsid w:val="00D35A6E"/>
    <w:rsid w:val="00D408A8"/>
    <w:rsid w:val="00D457EC"/>
    <w:rsid w:val="00D46771"/>
    <w:rsid w:val="00D46DAE"/>
    <w:rsid w:val="00D508B8"/>
    <w:rsid w:val="00D51C8F"/>
    <w:rsid w:val="00D5204B"/>
    <w:rsid w:val="00D54C10"/>
    <w:rsid w:val="00D55191"/>
    <w:rsid w:val="00D55CD0"/>
    <w:rsid w:val="00D57544"/>
    <w:rsid w:val="00D57829"/>
    <w:rsid w:val="00D57973"/>
    <w:rsid w:val="00D60CE2"/>
    <w:rsid w:val="00D612EC"/>
    <w:rsid w:val="00D6153E"/>
    <w:rsid w:val="00D623C4"/>
    <w:rsid w:val="00D65853"/>
    <w:rsid w:val="00D722DF"/>
    <w:rsid w:val="00D8205B"/>
    <w:rsid w:val="00D83E5E"/>
    <w:rsid w:val="00D84675"/>
    <w:rsid w:val="00D8526A"/>
    <w:rsid w:val="00D86252"/>
    <w:rsid w:val="00D917F3"/>
    <w:rsid w:val="00D97BAA"/>
    <w:rsid w:val="00DA24F5"/>
    <w:rsid w:val="00DA3AF3"/>
    <w:rsid w:val="00DA4F9E"/>
    <w:rsid w:val="00DA5455"/>
    <w:rsid w:val="00DA5C2B"/>
    <w:rsid w:val="00DB5EFB"/>
    <w:rsid w:val="00DB6EF1"/>
    <w:rsid w:val="00DC19BB"/>
    <w:rsid w:val="00DC6404"/>
    <w:rsid w:val="00DD7FDF"/>
    <w:rsid w:val="00DE1703"/>
    <w:rsid w:val="00DE177B"/>
    <w:rsid w:val="00DE25AC"/>
    <w:rsid w:val="00DF0811"/>
    <w:rsid w:val="00DF2B78"/>
    <w:rsid w:val="00DF568D"/>
    <w:rsid w:val="00E00CCB"/>
    <w:rsid w:val="00E01BC3"/>
    <w:rsid w:val="00E028FD"/>
    <w:rsid w:val="00E042C7"/>
    <w:rsid w:val="00E0781A"/>
    <w:rsid w:val="00E11475"/>
    <w:rsid w:val="00E175A7"/>
    <w:rsid w:val="00E20168"/>
    <w:rsid w:val="00E20740"/>
    <w:rsid w:val="00E20E92"/>
    <w:rsid w:val="00E245DA"/>
    <w:rsid w:val="00E24645"/>
    <w:rsid w:val="00E251FF"/>
    <w:rsid w:val="00E31BCB"/>
    <w:rsid w:val="00E31E79"/>
    <w:rsid w:val="00E32963"/>
    <w:rsid w:val="00E337BC"/>
    <w:rsid w:val="00E350CD"/>
    <w:rsid w:val="00E372A9"/>
    <w:rsid w:val="00E3776A"/>
    <w:rsid w:val="00E4001B"/>
    <w:rsid w:val="00E45982"/>
    <w:rsid w:val="00E4734A"/>
    <w:rsid w:val="00E51FDE"/>
    <w:rsid w:val="00E534B2"/>
    <w:rsid w:val="00E541D5"/>
    <w:rsid w:val="00E56B66"/>
    <w:rsid w:val="00E579AF"/>
    <w:rsid w:val="00E705B7"/>
    <w:rsid w:val="00E7086E"/>
    <w:rsid w:val="00E70ECC"/>
    <w:rsid w:val="00E71A89"/>
    <w:rsid w:val="00E74F6B"/>
    <w:rsid w:val="00E77197"/>
    <w:rsid w:val="00E8024F"/>
    <w:rsid w:val="00E81B1A"/>
    <w:rsid w:val="00E84CC6"/>
    <w:rsid w:val="00E84FB3"/>
    <w:rsid w:val="00E87037"/>
    <w:rsid w:val="00E94CF8"/>
    <w:rsid w:val="00EA0680"/>
    <w:rsid w:val="00EA0F03"/>
    <w:rsid w:val="00EA1EF9"/>
    <w:rsid w:val="00EA2CA0"/>
    <w:rsid w:val="00EA597A"/>
    <w:rsid w:val="00EA5DB2"/>
    <w:rsid w:val="00EA7237"/>
    <w:rsid w:val="00EB055B"/>
    <w:rsid w:val="00EB112A"/>
    <w:rsid w:val="00EB2CFF"/>
    <w:rsid w:val="00EC1212"/>
    <w:rsid w:val="00EC1D3D"/>
    <w:rsid w:val="00EC3331"/>
    <w:rsid w:val="00EC677E"/>
    <w:rsid w:val="00EC7E67"/>
    <w:rsid w:val="00ED5B5C"/>
    <w:rsid w:val="00ED70BD"/>
    <w:rsid w:val="00EE0B3E"/>
    <w:rsid w:val="00EE370B"/>
    <w:rsid w:val="00EE37BB"/>
    <w:rsid w:val="00EE3A63"/>
    <w:rsid w:val="00EE67A7"/>
    <w:rsid w:val="00EF4099"/>
    <w:rsid w:val="00EF6BDC"/>
    <w:rsid w:val="00F01C4C"/>
    <w:rsid w:val="00F02786"/>
    <w:rsid w:val="00F0434F"/>
    <w:rsid w:val="00F058BC"/>
    <w:rsid w:val="00F0670F"/>
    <w:rsid w:val="00F07FA6"/>
    <w:rsid w:val="00F11BB3"/>
    <w:rsid w:val="00F13036"/>
    <w:rsid w:val="00F14300"/>
    <w:rsid w:val="00F17AB3"/>
    <w:rsid w:val="00F21D1A"/>
    <w:rsid w:val="00F22865"/>
    <w:rsid w:val="00F24D75"/>
    <w:rsid w:val="00F261E3"/>
    <w:rsid w:val="00F34B2F"/>
    <w:rsid w:val="00F34F33"/>
    <w:rsid w:val="00F36D1F"/>
    <w:rsid w:val="00F3769E"/>
    <w:rsid w:val="00F40F06"/>
    <w:rsid w:val="00F42669"/>
    <w:rsid w:val="00F4749B"/>
    <w:rsid w:val="00F50D24"/>
    <w:rsid w:val="00F514FB"/>
    <w:rsid w:val="00F547F3"/>
    <w:rsid w:val="00F56CE9"/>
    <w:rsid w:val="00F61151"/>
    <w:rsid w:val="00F64ECE"/>
    <w:rsid w:val="00F67B6E"/>
    <w:rsid w:val="00F77765"/>
    <w:rsid w:val="00F77EC3"/>
    <w:rsid w:val="00F85E98"/>
    <w:rsid w:val="00FA7C8B"/>
    <w:rsid w:val="00FB0249"/>
    <w:rsid w:val="00FB13A8"/>
    <w:rsid w:val="00FB793A"/>
    <w:rsid w:val="00FC5915"/>
    <w:rsid w:val="00FC5D6D"/>
    <w:rsid w:val="00FD6657"/>
    <w:rsid w:val="00FF194B"/>
    <w:rsid w:val="00FF1A54"/>
    <w:rsid w:val="00FF714E"/>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E035D"/>
  <w15:docId w15:val="{7CF36715-2FB2-4DC9-BDBF-6318D8B4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ListParagraph">
    <w:name w:val="List Paragraph"/>
    <w:basedOn w:val="Normal"/>
    <w:uiPriority w:val="34"/>
    <w:qFormat/>
    <w:rsid w:val="00B17780"/>
    <w:pPr>
      <w:ind w:left="720"/>
      <w:contextualSpacing/>
    </w:pPr>
  </w:style>
  <w:style w:type="paragraph" w:styleId="Header">
    <w:name w:val="header"/>
    <w:basedOn w:val="Normal"/>
    <w:link w:val="HeaderChar"/>
    <w:uiPriority w:val="99"/>
    <w:unhideWhenUsed/>
    <w:rsid w:val="00360CBC"/>
    <w:pPr>
      <w:tabs>
        <w:tab w:val="center" w:pos="4680"/>
        <w:tab w:val="right" w:pos="9360"/>
      </w:tabs>
    </w:pPr>
  </w:style>
  <w:style w:type="character" w:customStyle="1" w:styleId="HeaderChar">
    <w:name w:val="Header Char"/>
    <w:basedOn w:val="DefaultParagraphFont"/>
    <w:link w:val="Header"/>
    <w:uiPriority w:val="99"/>
    <w:rsid w:val="00360CB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60CBC"/>
    <w:pPr>
      <w:tabs>
        <w:tab w:val="center" w:pos="4680"/>
        <w:tab w:val="right" w:pos="9360"/>
      </w:tabs>
    </w:pPr>
  </w:style>
  <w:style w:type="character" w:customStyle="1" w:styleId="FooterChar">
    <w:name w:val="Footer Char"/>
    <w:basedOn w:val="DefaultParagraphFont"/>
    <w:link w:val="Footer"/>
    <w:uiPriority w:val="99"/>
    <w:rsid w:val="00360CBC"/>
    <w:rPr>
      <w:rFonts w:ascii="Times New Roman" w:eastAsia="Times New Roman" w:hAnsi="Times New Roman" w:cs="Times New Roman"/>
      <w:sz w:val="20"/>
      <w:szCs w:val="20"/>
    </w:rPr>
  </w:style>
  <w:style w:type="paragraph" w:styleId="FootnoteText">
    <w:name w:val="footnote text"/>
    <w:basedOn w:val="Normal"/>
    <w:link w:val="FootnoteTextChar"/>
    <w:uiPriority w:val="99"/>
    <w:unhideWhenUsed/>
    <w:rsid w:val="00A3588B"/>
  </w:style>
  <w:style w:type="character" w:customStyle="1" w:styleId="FootnoteTextChar">
    <w:name w:val="Footnote Text Char"/>
    <w:basedOn w:val="DefaultParagraphFont"/>
    <w:link w:val="FootnoteText"/>
    <w:uiPriority w:val="99"/>
    <w:rsid w:val="00A3588B"/>
    <w:rPr>
      <w:rFonts w:ascii="Times New Roman" w:eastAsia="Times New Roman" w:hAnsi="Times New Roman" w:cs="Times New Roman"/>
      <w:sz w:val="20"/>
      <w:szCs w:val="20"/>
    </w:rPr>
  </w:style>
  <w:style w:type="paragraph" w:styleId="BlockText">
    <w:name w:val="Block Text"/>
    <w:basedOn w:val="Normal"/>
    <w:rsid w:val="00E8024F"/>
    <w:pPr>
      <w:tabs>
        <w:tab w:val="left" w:pos="-720"/>
      </w:tabs>
      <w:spacing w:line="360" w:lineRule="auto"/>
      <w:ind w:left="1440" w:right="2160"/>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513619">
      <w:bodyDiv w:val="1"/>
      <w:marLeft w:val="0"/>
      <w:marRight w:val="0"/>
      <w:marTop w:val="0"/>
      <w:marBottom w:val="0"/>
      <w:divBdr>
        <w:top w:val="none" w:sz="0" w:space="0" w:color="auto"/>
        <w:left w:val="none" w:sz="0" w:space="0" w:color="auto"/>
        <w:bottom w:val="none" w:sz="0" w:space="0" w:color="auto"/>
        <w:right w:val="none" w:sz="0" w:space="0" w:color="auto"/>
      </w:divBdr>
      <w:divsChild>
        <w:div w:id="1920210590">
          <w:marLeft w:val="0"/>
          <w:marRight w:val="0"/>
          <w:marTop w:val="0"/>
          <w:marBottom w:val="0"/>
          <w:divBdr>
            <w:top w:val="none" w:sz="0" w:space="0" w:color="auto"/>
            <w:left w:val="single" w:sz="6" w:space="0" w:color="BBBBBB"/>
            <w:bottom w:val="single" w:sz="6" w:space="0" w:color="BBBBBB"/>
            <w:right w:val="single" w:sz="6" w:space="0" w:color="BBBBBB"/>
          </w:divBdr>
          <w:divsChild>
            <w:div w:id="1881821683">
              <w:marLeft w:val="0"/>
              <w:marRight w:val="0"/>
              <w:marTop w:val="0"/>
              <w:marBottom w:val="0"/>
              <w:divBdr>
                <w:top w:val="none" w:sz="0" w:space="0" w:color="auto"/>
                <w:left w:val="none" w:sz="0" w:space="0" w:color="auto"/>
                <w:bottom w:val="none" w:sz="0" w:space="0" w:color="auto"/>
                <w:right w:val="none" w:sz="0" w:space="0" w:color="auto"/>
              </w:divBdr>
              <w:divsChild>
                <w:div w:id="1371612716">
                  <w:marLeft w:val="0"/>
                  <w:marRight w:val="0"/>
                  <w:marTop w:val="75"/>
                  <w:marBottom w:val="0"/>
                  <w:divBdr>
                    <w:top w:val="none" w:sz="0" w:space="0" w:color="auto"/>
                    <w:left w:val="none" w:sz="0" w:space="0" w:color="auto"/>
                    <w:bottom w:val="none" w:sz="0" w:space="0" w:color="auto"/>
                    <w:right w:val="none" w:sz="0" w:space="0" w:color="auto"/>
                  </w:divBdr>
                  <w:divsChild>
                    <w:div w:id="596643816">
                      <w:marLeft w:val="0"/>
                      <w:marRight w:val="0"/>
                      <w:marTop w:val="0"/>
                      <w:marBottom w:val="0"/>
                      <w:divBdr>
                        <w:top w:val="none" w:sz="0" w:space="0" w:color="auto"/>
                        <w:left w:val="none" w:sz="0" w:space="0" w:color="auto"/>
                        <w:bottom w:val="none" w:sz="0" w:space="0" w:color="auto"/>
                        <w:right w:val="none" w:sz="0" w:space="0" w:color="auto"/>
                      </w:divBdr>
                      <w:divsChild>
                        <w:div w:id="1870795348">
                          <w:marLeft w:val="0"/>
                          <w:marRight w:val="0"/>
                          <w:marTop w:val="0"/>
                          <w:marBottom w:val="0"/>
                          <w:divBdr>
                            <w:top w:val="none" w:sz="0" w:space="0" w:color="auto"/>
                            <w:left w:val="none" w:sz="0" w:space="0" w:color="auto"/>
                            <w:bottom w:val="none" w:sz="0" w:space="0" w:color="auto"/>
                            <w:right w:val="none" w:sz="0" w:space="0" w:color="auto"/>
                          </w:divBdr>
                          <w:divsChild>
                            <w:div w:id="2113359500">
                              <w:marLeft w:val="0"/>
                              <w:marRight w:val="0"/>
                              <w:marTop w:val="0"/>
                              <w:marBottom w:val="0"/>
                              <w:divBdr>
                                <w:top w:val="none" w:sz="0" w:space="0" w:color="auto"/>
                                <w:left w:val="none" w:sz="0" w:space="0" w:color="auto"/>
                                <w:bottom w:val="none" w:sz="0" w:space="0" w:color="auto"/>
                                <w:right w:val="none" w:sz="0" w:space="0" w:color="auto"/>
                              </w:divBdr>
                              <w:divsChild>
                                <w:div w:id="766658952">
                                  <w:marLeft w:val="0"/>
                                  <w:marRight w:val="0"/>
                                  <w:marTop w:val="0"/>
                                  <w:marBottom w:val="0"/>
                                  <w:divBdr>
                                    <w:top w:val="none" w:sz="0" w:space="0" w:color="auto"/>
                                    <w:left w:val="none" w:sz="0" w:space="0" w:color="auto"/>
                                    <w:bottom w:val="none" w:sz="0" w:space="0" w:color="auto"/>
                                    <w:right w:val="none" w:sz="0" w:space="0" w:color="auto"/>
                                  </w:divBdr>
                                  <w:divsChild>
                                    <w:div w:id="235092423">
                                      <w:marLeft w:val="0"/>
                                      <w:marRight w:val="0"/>
                                      <w:marTop w:val="0"/>
                                      <w:marBottom w:val="0"/>
                                      <w:divBdr>
                                        <w:top w:val="none" w:sz="0" w:space="0" w:color="auto"/>
                                        <w:left w:val="none" w:sz="0" w:space="0" w:color="auto"/>
                                        <w:bottom w:val="none" w:sz="0" w:space="0" w:color="auto"/>
                                        <w:right w:val="none" w:sz="0" w:space="0" w:color="auto"/>
                                      </w:divBdr>
                                      <w:divsChild>
                                        <w:div w:id="1543009425">
                                          <w:marLeft w:val="1200"/>
                                          <w:marRight w:val="1200"/>
                                          <w:marTop w:val="0"/>
                                          <w:marBottom w:val="0"/>
                                          <w:divBdr>
                                            <w:top w:val="none" w:sz="0" w:space="0" w:color="auto"/>
                                            <w:left w:val="none" w:sz="0" w:space="0" w:color="auto"/>
                                            <w:bottom w:val="none" w:sz="0" w:space="0" w:color="auto"/>
                                            <w:right w:val="none" w:sz="0" w:space="0" w:color="auto"/>
                                          </w:divBdr>
                                          <w:divsChild>
                                            <w:div w:id="683826365">
                                              <w:marLeft w:val="0"/>
                                              <w:marRight w:val="0"/>
                                              <w:marTop w:val="0"/>
                                              <w:marBottom w:val="0"/>
                                              <w:divBdr>
                                                <w:top w:val="none" w:sz="0" w:space="0" w:color="auto"/>
                                                <w:left w:val="none" w:sz="0" w:space="0" w:color="auto"/>
                                                <w:bottom w:val="none" w:sz="0" w:space="0" w:color="auto"/>
                                                <w:right w:val="none" w:sz="0" w:space="0" w:color="auto"/>
                                              </w:divBdr>
                                              <w:divsChild>
                                                <w:div w:id="31273515">
                                                  <w:marLeft w:val="0"/>
                                                  <w:marRight w:val="0"/>
                                                  <w:marTop w:val="240"/>
                                                  <w:marBottom w:val="0"/>
                                                  <w:divBdr>
                                                    <w:top w:val="none" w:sz="0" w:space="0" w:color="auto"/>
                                                    <w:left w:val="none" w:sz="0" w:space="0" w:color="auto"/>
                                                    <w:bottom w:val="none" w:sz="0" w:space="0" w:color="auto"/>
                                                    <w:right w:val="none" w:sz="0" w:space="0" w:color="auto"/>
                                                  </w:divBdr>
                                                  <w:divsChild>
                                                    <w:div w:id="1739204367">
                                                      <w:marLeft w:val="0"/>
                                                      <w:marRight w:val="0"/>
                                                      <w:marTop w:val="0"/>
                                                      <w:marBottom w:val="0"/>
                                                      <w:divBdr>
                                                        <w:top w:val="none" w:sz="0" w:space="0" w:color="auto"/>
                                                        <w:left w:val="none" w:sz="0" w:space="0" w:color="auto"/>
                                                        <w:bottom w:val="none" w:sz="0" w:space="0" w:color="auto"/>
                                                        <w:right w:val="none" w:sz="0" w:space="0" w:color="auto"/>
                                                      </w:divBdr>
                                                      <w:divsChild>
                                                        <w:div w:id="1327512573">
                                                          <w:marLeft w:val="1275"/>
                                                          <w:marRight w:val="0"/>
                                                          <w:marTop w:val="0"/>
                                                          <w:marBottom w:val="0"/>
                                                          <w:divBdr>
                                                            <w:top w:val="none" w:sz="0" w:space="0" w:color="auto"/>
                                                            <w:left w:val="none" w:sz="0" w:space="0" w:color="auto"/>
                                                            <w:bottom w:val="none" w:sz="0" w:space="0" w:color="auto"/>
                                                            <w:right w:val="none" w:sz="0" w:space="0" w:color="auto"/>
                                                          </w:divBdr>
                                                          <w:divsChild>
                                                            <w:div w:id="993799400">
                                                              <w:marLeft w:val="0"/>
                                                              <w:marRight w:val="0"/>
                                                              <w:marTop w:val="0"/>
                                                              <w:marBottom w:val="0"/>
                                                              <w:divBdr>
                                                                <w:top w:val="none" w:sz="0" w:space="0" w:color="auto"/>
                                                                <w:left w:val="none" w:sz="0" w:space="0" w:color="auto"/>
                                                                <w:bottom w:val="none" w:sz="0" w:space="0" w:color="auto"/>
                                                                <w:right w:val="none" w:sz="0" w:space="0" w:color="auto"/>
                                                              </w:divBdr>
                                                              <w:divsChild>
                                                                <w:div w:id="121249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77055214">
      <w:bodyDiv w:val="1"/>
      <w:marLeft w:val="0"/>
      <w:marRight w:val="0"/>
      <w:marTop w:val="0"/>
      <w:marBottom w:val="0"/>
      <w:divBdr>
        <w:top w:val="none" w:sz="0" w:space="0" w:color="auto"/>
        <w:left w:val="none" w:sz="0" w:space="0" w:color="auto"/>
        <w:bottom w:val="none" w:sz="0" w:space="0" w:color="auto"/>
        <w:right w:val="none" w:sz="0" w:space="0" w:color="auto"/>
      </w:divBdr>
    </w:div>
    <w:div w:id="1545217665">
      <w:bodyDiv w:val="1"/>
      <w:marLeft w:val="0"/>
      <w:marRight w:val="0"/>
      <w:marTop w:val="0"/>
      <w:marBottom w:val="0"/>
      <w:divBdr>
        <w:top w:val="none" w:sz="0" w:space="0" w:color="auto"/>
        <w:left w:val="none" w:sz="0" w:space="0" w:color="auto"/>
        <w:bottom w:val="none" w:sz="0" w:space="0" w:color="auto"/>
        <w:right w:val="none" w:sz="0" w:space="0" w:color="auto"/>
      </w:divBdr>
      <w:divsChild>
        <w:div w:id="231813236">
          <w:marLeft w:val="0"/>
          <w:marRight w:val="0"/>
          <w:marTop w:val="0"/>
          <w:marBottom w:val="0"/>
          <w:divBdr>
            <w:top w:val="none" w:sz="0" w:space="0" w:color="auto"/>
            <w:left w:val="single" w:sz="6" w:space="0" w:color="BBBBBB"/>
            <w:bottom w:val="single" w:sz="6" w:space="0" w:color="BBBBBB"/>
            <w:right w:val="single" w:sz="6" w:space="0" w:color="BBBBBB"/>
          </w:divBdr>
          <w:divsChild>
            <w:div w:id="473638825">
              <w:marLeft w:val="0"/>
              <w:marRight w:val="0"/>
              <w:marTop w:val="0"/>
              <w:marBottom w:val="0"/>
              <w:divBdr>
                <w:top w:val="none" w:sz="0" w:space="0" w:color="auto"/>
                <w:left w:val="none" w:sz="0" w:space="0" w:color="auto"/>
                <w:bottom w:val="none" w:sz="0" w:space="0" w:color="auto"/>
                <w:right w:val="none" w:sz="0" w:space="0" w:color="auto"/>
              </w:divBdr>
              <w:divsChild>
                <w:div w:id="750737865">
                  <w:marLeft w:val="0"/>
                  <w:marRight w:val="0"/>
                  <w:marTop w:val="75"/>
                  <w:marBottom w:val="0"/>
                  <w:divBdr>
                    <w:top w:val="none" w:sz="0" w:space="0" w:color="auto"/>
                    <w:left w:val="none" w:sz="0" w:space="0" w:color="auto"/>
                    <w:bottom w:val="none" w:sz="0" w:space="0" w:color="auto"/>
                    <w:right w:val="none" w:sz="0" w:space="0" w:color="auto"/>
                  </w:divBdr>
                  <w:divsChild>
                    <w:div w:id="169107547">
                      <w:marLeft w:val="0"/>
                      <w:marRight w:val="0"/>
                      <w:marTop w:val="0"/>
                      <w:marBottom w:val="0"/>
                      <w:divBdr>
                        <w:top w:val="none" w:sz="0" w:space="0" w:color="auto"/>
                        <w:left w:val="none" w:sz="0" w:space="0" w:color="auto"/>
                        <w:bottom w:val="none" w:sz="0" w:space="0" w:color="auto"/>
                        <w:right w:val="none" w:sz="0" w:space="0" w:color="auto"/>
                      </w:divBdr>
                      <w:divsChild>
                        <w:div w:id="1735737122">
                          <w:marLeft w:val="0"/>
                          <w:marRight w:val="0"/>
                          <w:marTop w:val="0"/>
                          <w:marBottom w:val="0"/>
                          <w:divBdr>
                            <w:top w:val="none" w:sz="0" w:space="0" w:color="auto"/>
                            <w:left w:val="none" w:sz="0" w:space="0" w:color="auto"/>
                            <w:bottom w:val="none" w:sz="0" w:space="0" w:color="auto"/>
                            <w:right w:val="none" w:sz="0" w:space="0" w:color="auto"/>
                          </w:divBdr>
                          <w:divsChild>
                            <w:div w:id="1097601481">
                              <w:marLeft w:val="0"/>
                              <w:marRight w:val="0"/>
                              <w:marTop w:val="0"/>
                              <w:marBottom w:val="0"/>
                              <w:divBdr>
                                <w:top w:val="none" w:sz="0" w:space="0" w:color="auto"/>
                                <w:left w:val="none" w:sz="0" w:space="0" w:color="auto"/>
                                <w:bottom w:val="none" w:sz="0" w:space="0" w:color="auto"/>
                                <w:right w:val="none" w:sz="0" w:space="0" w:color="auto"/>
                              </w:divBdr>
                              <w:divsChild>
                                <w:div w:id="575165908">
                                  <w:marLeft w:val="0"/>
                                  <w:marRight w:val="0"/>
                                  <w:marTop w:val="0"/>
                                  <w:marBottom w:val="0"/>
                                  <w:divBdr>
                                    <w:top w:val="none" w:sz="0" w:space="0" w:color="auto"/>
                                    <w:left w:val="none" w:sz="0" w:space="0" w:color="auto"/>
                                    <w:bottom w:val="none" w:sz="0" w:space="0" w:color="auto"/>
                                    <w:right w:val="none" w:sz="0" w:space="0" w:color="auto"/>
                                  </w:divBdr>
                                  <w:divsChild>
                                    <w:div w:id="1761483639">
                                      <w:marLeft w:val="0"/>
                                      <w:marRight w:val="0"/>
                                      <w:marTop w:val="0"/>
                                      <w:marBottom w:val="0"/>
                                      <w:divBdr>
                                        <w:top w:val="none" w:sz="0" w:space="0" w:color="auto"/>
                                        <w:left w:val="none" w:sz="0" w:space="0" w:color="auto"/>
                                        <w:bottom w:val="none" w:sz="0" w:space="0" w:color="auto"/>
                                        <w:right w:val="none" w:sz="0" w:space="0" w:color="auto"/>
                                      </w:divBdr>
                                      <w:divsChild>
                                        <w:div w:id="1391271020">
                                          <w:marLeft w:val="1200"/>
                                          <w:marRight w:val="1200"/>
                                          <w:marTop w:val="0"/>
                                          <w:marBottom w:val="0"/>
                                          <w:divBdr>
                                            <w:top w:val="none" w:sz="0" w:space="0" w:color="auto"/>
                                            <w:left w:val="none" w:sz="0" w:space="0" w:color="auto"/>
                                            <w:bottom w:val="none" w:sz="0" w:space="0" w:color="auto"/>
                                            <w:right w:val="none" w:sz="0" w:space="0" w:color="auto"/>
                                          </w:divBdr>
                                          <w:divsChild>
                                            <w:div w:id="1677922654">
                                              <w:marLeft w:val="0"/>
                                              <w:marRight w:val="0"/>
                                              <w:marTop w:val="0"/>
                                              <w:marBottom w:val="0"/>
                                              <w:divBdr>
                                                <w:top w:val="none" w:sz="0" w:space="0" w:color="auto"/>
                                                <w:left w:val="none" w:sz="0" w:space="0" w:color="auto"/>
                                                <w:bottom w:val="none" w:sz="0" w:space="0" w:color="auto"/>
                                                <w:right w:val="none" w:sz="0" w:space="0" w:color="auto"/>
                                              </w:divBdr>
                                              <w:divsChild>
                                                <w:div w:id="1076198234">
                                                  <w:marLeft w:val="0"/>
                                                  <w:marRight w:val="0"/>
                                                  <w:marTop w:val="240"/>
                                                  <w:marBottom w:val="0"/>
                                                  <w:divBdr>
                                                    <w:top w:val="none" w:sz="0" w:space="0" w:color="auto"/>
                                                    <w:left w:val="none" w:sz="0" w:space="0" w:color="auto"/>
                                                    <w:bottom w:val="none" w:sz="0" w:space="0" w:color="auto"/>
                                                    <w:right w:val="none" w:sz="0" w:space="0" w:color="auto"/>
                                                  </w:divBdr>
                                                  <w:divsChild>
                                                    <w:div w:id="1004169038">
                                                      <w:marLeft w:val="0"/>
                                                      <w:marRight w:val="0"/>
                                                      <w:marTop w:val="0"/>
                                                      <w:marBottom w:val="0"/>
                                                      <w:divBdr>
                                                        <w:top w:val="none" w:sz="0" w:space="0" w:color="auto"/>
                                                        <w:left w:val="none" w:sz="0" w:space="0" w:color="auto"/>
                                                        <w:bottom w:val="none" w:sz="0" w:space="0" w:color="auto"/>
                                                        <w:right w:val="none" w:sz="0" w:space="0" w:color="auto"/>
                                                      </w:divBdr>
                                                      <w:divsChild>
                                                        <w:div w:id="801655057">
                                                          <w:marLeft w:val="1275"/>
                                                          <w:marRight w:val="0"/>
                                                          <w:marTop w:val="0"/>
                                                          <w:marBottom w:val="0"/>
                                                          <w:divBdr>
                                                            <w:top w:val="none" w:sz="0" w:space="0" w:color="auto"/>
                                                            <w:left w:val="none" w:sz="0" w:space="0" w:color="auto"/>
                                                            <w:bottom w:val="none" w:sz="0" w:space="0" w:color="auto"/>
                                                            <w:right w:val="none" w:sz="0" w:space="0" w:color="auto"/>
                                                          </w:divBdr>
                                                          <w:divsChild>
                                                            <w:div w:id="693920796">
                                                              <w:marLeft w:val="0"/>
                                                              <w:marRight w:val="0"/>
                                                              <w:marTop w:val="0"/>
                                                              <w:marBottom w:val="0"/>
                                                              <w:divBdr>
                                                                <w:top w:val="none" w:sz="0" w:space="0" w:color="auto"/>
                                                                <w:left w:val="none" w:sz="0" w:space="0" w:color="auto"/>
                                                                <w:bottom w:val="none" w:sz="0" w:space="0" w:color="auto"/>
                                                                <w:right w:val="none" w:sz="0" w:space="0" w:color="auto"/>
                                                              </w:divBdr>
                                                              <w:divsChild>
                                                                <w:div w:id="212634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81604078">
      <w:bodyDiv w:val="1"/>
      <w:marLeft w:val="0"/>
      <w:marRight w:val="0"/>
      <w:marTop w:val="0"/>
      <w:marBottom w:val="0"/>
      <w:divBdr>
        <w:top w:val="none" w:sz="0" w:space="0" w:color="auto"/>
        <w:left w:val="none" w:sz="0" w:space="0" w:color="auto"/>
        <w:bottom w:val="none" w:sz="0" w:space="0" w:color="auto"/>
        <w:right w:val="none" w:sz="0" w:space="0" w:color="auto"/>
      </w:divBdr>
    </w:div>
    <w:div w:id="180534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C6500-F2DE-4C63-A286-F44ED1DED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3675</Words>
  <Characters>20951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Wagner, Nathan R</cp:lastModifiedBy>
  <cp:revision>4</cp:revision>
  <cp:lastPrinted>2017-09-26T15:06:00Z</cp:lastPrinted>
  <dcterms:created xsi:type="dcterms:W3CDTF">2017-09-28T13:50:00Z</dcterms:created>
  <dcterms:modified xsi:type="dcterms:W3CDTF">2017-10-26T11:59:00Z</dcterms:modified>
</cp:coreProperties>
</file>