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960" w:rsidRDefault="001C4793" w:rsidP="00D64A4C">
      <w:pPr>
        <w:spacing w:line="240" w:lineRule="auto"/>
        <w:jc w:val="left"/>
        <w:rPr>
          <w:b/>
        </w:rPr>
      </w:pPr>
      <w:r>
        <w:rPr>
          <w:b/>
        </w:rPr>
        <w:t>BEFORE THE</w:t>
      </w:r>
    </w:p>
    <w:p w:rsidR="001C4793" w:rsidRDefault="001C4793" w:rsidP="00D64A4C">
      <w:pPr>
        <w:spacing w:line="240" w:lineRule="auto"/>
        <w:jc w:val="left"/>
        <w:rPr>
          <w:b/>
        </w:rPr>
      </w:pPr>
      <w:r>
        <w:rPr>
          <w:b/>
        </w:rPr>
        <w:t>PENNSYLVANIA PUBLIC UTILITY COMMISSION</w:t>
      </w:r>
    </w:p>
    <w:p w:rsidR="001C4793" w:rsidRDefault="001C4793" w:rsidP="00D64A4C">
      <w:pPr>
        <w:spacing w:line="240" w:lineRule="auto"/>
        <w:jc w:val="left"/>
        <w:rPr>
          <w:b/>
        </w:rPr>
      </w:pPr>
    </w:p>
    <w:p w:rsidR="001C4793" w:rsidRDefault="001C4793" w:rsidP="00D64A4C">
      <w:pPr>
        <w:spacing w:line="240" w:lineRule="auto"/>
        <w:jc w:val="left"/>
        <w:rPr>
          <w:b/>
        </w:rPr>
      </w:pPr>
    </w:p>
    <w:p w:rsidR="00D64A4C" w:rsidRDefault="00D64A4C" w:rsidP="00D64A4C">
      <w:pPr>
        <w:spacing w:line="240" w:lineRule="auto"/>
        <w:jc w:val="left"/>
        <w:rPr>
          <w:b/>
        </w:rPr>
      </w:pPr>
    </w:p>
    <w:p w:rsidR="001C4793" w:rsidRDefault="006671EA" w:rsidP="00D64A4C">
      <w:pPr>
        <w:spacing w:line="240" w:lineRule="auto"/>
        <w:jc w:val="left"/>
      </w:pPr>
      <w:proofErr w:type="spellStart"/>
      <w:r>
        <w:t>Sanju</w:t>
      </w:r>
      <w:proofErr w:type="spellEnd"/>
      <w:r>
        <w:t xml:space="preserve"> John</w:t>
      </w:r>
      <w:r w:rsidR="00B868C3">
        <w:tab/>
      </w:r>
      <w:r w:rsidR="001C4793">
        <w:tab/>
      </w:r>
      <w:r w:rsidR="001C4793">
        <w:tab/>
      </w:r>
      <w:r w:rsidR="001C4793">
        <w:tab/>
      </w:r>
      <w:r w:rsidR="001C4793">
        <w:tab/>
      </w:r>
      <w:r w:rsidR="001C4793">
        <w:tab/>
        <w:t>:</w:t>
      </w:r>
    </w:p>
    <w:p w:rsidR="001C4793" w:rsidRDefault="001C4793" w:rsidP="00D64A4C">
      <w:pPr>
        <w:spacing w:line="240" w:lineRule="auto"/>
        <w:jc w:val="left"/>
      </w:pPr>
      <w:r>
        <w:tab/>
      </w:r>
      <w:r>
        <w:tab/>
      </w:r>
      <w:r>
        <w:tab/>
      </w:r>
      <w:r>
        <w:tab/>
      </w:r>
      <w:r>
        <w:tab/>
      </w:r>
      <w:r>
        <w:tab/>
      </w:r>
      <w:r>
        <w:tab/>
        <w:t>:</w:t>
      </w:r>
    </w:p>
    <w:p w:rsidR="001C4793" w:rsidRDefault="001C4793" w:rsidP="00D64A4C">
      <w:pPr>
        <w:spacing w:line="240" w:lineRule="auto"/>
        <w:jc w:val="left"/>
      </w:pPr>
      <w:r>
        <w:tab/>
        <w:t>v.</w:t>
      </w:r>
      <w:r>
        <w:tab/>
      </w:r>
      <w:r>
        <w:tab/>
      </w:r>
      <w:r>
        <w:tab/>
      </w:r>
      <w:r>
        <w:tab/>
      </w:r>
      <w:r>
        <w:tab/>
      </w:r>
      <w:r>
        <w:tab/>
        <w:t>:</w:t>
      </w:r>
      <w:r>
        <w:tab/>
      </w:r>
      <w:r>
        <w:tab/>
        <w:t>C-201</w:t>
      </w:r>
      <w:r w:rsidR="006671EA">
        <w:t>7</w:t>
      </w:r>
      <w:r>
        <w:t>-</w:t>
      </w:r>
      <w:r w:rsidR="00B868C3">
        <w:t>2</w:t>
      </w:r>
      <w:r w:rsidR="006671EA">
        <w:t>621095</w:t>
      </w:r>
    </w:p>
    <w:p w:rsidR="001C4793" w:rsidRDefault="001C4793" w:rsidP="00D64A4C">
      <w:pPr>
        <w:spacing w:line="240" w:lineRule="auto"/>
        <w:jc w:val="left"/>
      </w:pPr>
      <w:r>
        <w:tab/>
      </w:r>
      <w:r>
        <w:tab/>
      </w:r>
      <w:r>
        <w:tab/>
      </w:r>
      <w:r>
        <w:tab/>
      </w:r>
      <w:r>
        <w:tab/>
      </w:r>
      <w:r>
        <w:tab/>
      </w:r>
      <w:r>
        <w:tab/>
        <w:t>:</w:t>
      </w:r>
    </w:p>
    <w:p w:rsidR="001C4793" w:rsidRDefault="001C4793" w:rsidP="00D64A4C">
      <w:pPr>
        <w:spacing w:line="240" w:lineRule="auto"/>
        <w:jc w:val="left"/>
      </w:pPr>
      <w:r>
        <w:t>P</w:t>
      </w:r>
      <w:r w:rsidR="006671EA">
        <w:t>hiladelphia</w:t>
      </w:r>
      <w:r>
        <w:t xml:space="preserve"> Gas </w:t>
      </w:r>
      <w:r w:rsidR="006671EA">
        <w:t>Works</w:t>
      </w:r>
      <w:r w:rsidR="006671EA">
        <w:tab/>
      </w:r>
      <w:r>
        <w:tab/>
      </w:r>
      <w:r>
        <w:tab/>
      </w:r>
      <w:r>
        <w:tab/>
        <w:t>:</w:t>
      </w:r>
    </w:p>
    <w:p w:rsidR="001C4793" w:rsidRDefault="001C4793" w:rsidP="00D64A4C">
      <w:pPr>
        <w:spacing w:line="240" w:lineRule="auto"/>
        <w:jc w:val="left"/>
      </w:pPr>
    </w:p>
    <w:p w:rsidR="001C4793" w:rsidRDefault="001C4793" w:rsidP="00D64A4C">
      <w:pPr>
        <w:spacing w:line="240" w:lineRule="auto"/>
        <w:jc w:val="left"/>
      </w:pPr>
    </w:p>
    <w:p w:rsidR="00D64A4C" w:rsidRDefault="00D64A4C" w:rsidP="00D64A4C">
      <w:pPr>
        <w:spacing w:line="240" w:lineRule="auto"/>
        <w:jc w:val="left"/>
      </w:pPr>
    </w:p>
    <w:p w:rsidR="001C4793" w:rsidRDefault="00937F58" w:rsidP="00D64A4C">
      <w:pPr>
        <w:spacing w:line="240" w:lineRule="auto"/>
        <w:jc w:val="left"/>
        <w:rPr>
          <w:b/>
        </w:rPr>
      </w:pPr>
      <w:r>
        <w:rPr>
          <w:b/>
        </w:rPr>
        <w:t>ORDER GRANTING IN PART AND DENYING IN PART</w:t>
      </w:r>
    </w:p>
    <w:p w:rsidR="00937F58" w:rsidRDefault="00937F58" w:rsidP="00D64A4C">
      <w:pPr>
        <w:spacing w:line="240" w:lineRule="auto"/>
        <w:jc w:val="left"/>
        <w:rPr>
          <w:b/>
        </w:rPr>
      </w:pPr>
      <w:r>
        <w:rPr>
          <w:b/>
        </w:rPr>
        <w:t xml:space="preserve">THE PRELIMINARY OBJECTIONS FILED BY </w:t>
      </w:r>
    </w:p>
    <w:p w:rsidR="006671EA" w:rsidRDefault="006671EA" w:rsidP="00D64A4C">
      <w:pPr>
        <w:spacing w:line="240" w:lineRule="auto"/>
        <w:jc w:val="left"/>
        <w:rPr>
          <w:b/>
        </w:rPr>
      </w:pPr>
      <w:r>
        <w:rPr>
          <w:b/>
        </w:rPr>
        <w:t>PHILADELPHIA GAS WORKS</w:t>
      </w:r>
    </w:p>
    <w:p w:rsidR="00937F58" w:rsidRPr="00937F58" w:rsidRDefault="00937F58" w:rsidP="00D64A4C">
      <w:pPr>
        <w:spacing w:line="240" w:lineRule="auto"/>
        <w:jc w:val="left"/>
        <w:rPr>
          <w:b/>
        </w:rPr>
      </w:pPr>
    </w:p>
    <w:p w:rsidR="001C4793" w:rsidRDefault="001C4793" w:rsidP="00D64A4C">
      <w:pPr>
        <w:spacing w:line="240" w:lineRule="auto"/>
        <w:jc w:val="left"/>
      </w:pPr>
    </w:p>
    <w:p w:rsidR="001C4793" w:rsidRDefault="001C4793" w:rsidP="00D64A4C">
      <w:pPr>
        <w:spacing w:line="240" w:lineRule="auto"/>
        <w:jc w:val="left"/>
        <w:rPr>
          <w:u w:val="single"/>
        </w:rPr>
      </w:pPr>
      <w:r>
        <w:rPr>
          <w:u w:val="single"/>
        </w:rPr>
        <w:t>HISTORY OF THE PROCEEDING</w:t>
      </w:r>
    </w:p>
    <w:p w:rsidR="001C4793" w:rsidRDefault="001C4793" w:rsidP="00D64A4C">
      <w:pPr>
        <w:spacing w:line="240" w:lineRule="auto"/>
        <w:jc w:val="left"/>
        <w:rPr>
          <w:u w:val="single"/>
        </w:rPr>
      </w:pPr>
    </w:p>
    <w:p w:rsidR="001C4793" w:rsidRDefault="001C4793" w:rsidP="00D64A4C">
      <w:pPr>
        <w:jc w:val="left"/>
      </w:pPr>
      <w:r>
        <w:tab/>
      </w:r>
      <w:r>
        <w:tab/>
        <w:t xml:space="preserve">On </w:t>
      </w:r>
      <w:r w:rsidR="006671EA">
        <w:t xml:space="preserve">August 14, 2017, the Complainant, </w:t>
      </w:r>
      <w:proofErr w:type="spellStart"/>
      <w:r w:rsidR="006671EA">
        <w:t>Sanju</w:t>
      </w:r>
      <w:proofErr w:type="spellEnd"/>
      <w:r w:rsidR="006671EA">
        <w:t xml:space="preserve"> John, </w:t>
      </w:r>
      <w:r>
        <w:t xml:space="preserve">filed a </w:t>
      </w:r>
      <w:r w:rsidR="006671EA">
        <w:t>f</w:t>
      </w:r>
      <w:r>
        <w:t xml:space="preserve">ormal </w:t>
      </w:r>
      <w:r w:rsidR="006671EA">
        <w:t>c</w:t>
      </w:r>
      <w:r>
        <w:t>omplaint against P</w:t>
      </w:r>
      <w:r w:rsidR="006671EA">
        <w:t>hiladelphia</w:t>
      </w:r>
      <w:r>
        <w:t xml:space="preserve"> Gas </w:t>
      </w:r>
      <w:r w:rsidR="006671EA">
        <w:t>Works</w:t>
      </w:r>
      <w:r>
        <w:t xml:space="preserve"> (</w:t>
      </w:r>
      <w:r w:rsidR="006671EA">
        <w:t>PGW</w:t>
      </w:r>
      <w:r>
        <w:t xml:space="preserve">) </w:t>
      </w:r>
      <w:r w:rsidR="00022412">
        <w:t xml:space="preserve">wherein </w:t>
      </w:r>
      <w:r w:rsidR="0066127A">
        <w:t xml:space="preserve">he </w:t>
      </w:r>
      <w:r>
        <w:t>alleg</w:t>
      </w:r>
      <w:r w:rsidR="0066127A">
        <w:t>e</w:t>
      </w:r>
      <w:r w:rsidR="006671EA">
        <w:t>d</w:t>
      </w:r>
      <w:r>
        <w:t xml:space="preserve"> that</w:t>
      </w:r>
      <w:r w:rsidR="00E23F34">
        <w:t xml:space="preserve"> </w:t>
      </w:r>
      <w:r w:rsidR="006671EA">
        <w:t xml:space="preserve">PGW failed to repair a cracked sidewalk and replace a curb following the installation of new gas lines on his property.  </w:t>
      </w:r>
      <w:r w:rsidR="00E23F34">
        <w:t>By way of relief, the Complainant is requesting that P</w:t>
      </w:r>
      <w:r w:rsidR="006671EA">
        <w:t xml:space="preserve">GW replace the missing curb and repair the cracked sidewalk.  </w:t>
      </w:r>
      <w:r w:rsidR="00E23F34">
        <w:t xml:space="preserve">  </w:t>
      </w:r>
    </w:p>
    <w:p w:rsidR="001C4793" w:rsidRDefault="001C4793" w:rsidP="00D64A4C">
      <w:pPr>
        <w:jc w:val="left"/>
      </w:pPr>
    </w:p>
    <w:p w:rsidR="001C4793" w:rsidRDefault="001C4793" w:rsidP="00D64A4C">
      <w:pPr>
        <w:jc w:val="left"/>
      </w:pPr>
      <w:r>
        <w:tab/>
      </w:r>
      <w:r>
        <w:tab/>
      </w:r>
      <w:r w:rsidR="006671EA">
        <w:t xml:space="preserve">On September 14, 2017, PGW filed an answer with new matter, preliminary objections and </w:t>
      </w:r>
      <w:r w:rsidR="006867F3">
        <w:t xml:space="preserve">a </w:t>
      </w:r>
      <w:r w:rsidR="006671EA">
        <w:t xml:space="preserve">motion for summary judgement.  </w:t>
      </w:r>
      <w:r w:rsidR="00916777">
        <w:t xml:space="preserve">Notices to Plead were properly attached to both the preliminary objections and the motion for summary judgment.  </w:t>
      </w:r>
      <w:r w:rsidR="007B5CA5">
        <w:t xml:space="preserve">In its </w:t>
      </w:r>
      <w:r w:rsidR="00794FA6">
        <w:t>a</w:t>
      </w:r>
      <w:r w:rsidR="007B5CA5">
        <w:t xml:space="preserve">nswer, </w:t>
      </w:r>
      <w:r w:rsidR="006671EA">
        <w:t xml:space="preserve">PGW </w:t>
      </w:r>
      <w:r w:rsidR="007B5CA5">
        <w:t xml:space="preserve">denied </w:t>
      </w:r>
      <w:r w:rsidR="001667B2">
        <w:t>that</w:t>
      </w:r>
      <w:r w:rsidR="00794FA6">
        <w:t xml:space="preserve"> there is a reliability, safety or quality problem associated with the service provided to the service address at issue.  In its new matter, PGW avers that the Complainant is not the ratepayer or owner of the property at issue, and he is not a PGW customer.  </w:t>
      </w:r>
      <w:r w:rsidR="001667B2">
        <w:t xml:space="preserve"> </w:t>
      </w:r>
    </w:p>
    <w:p w:rsidR="005C31F9" w:rsidRDefault="005C31F9" w:rsidP="00D64A4C">
      <w:pPr>
        <w:jc w:val="left"/>
      </w:pPr>
    </w:p>
    <w:p w:rsidR="005C31F9" w:rsidRDefault="005C31F9" w:rsidP="00D64A4C">
      <w:pPr>
        <w:jc w:val="left"/>
      </w:pPr>
      <w:r>
        <w:tab/>
      </w:r>
      <w:r>
        <w:tab/>
      </w:r>
      <w:r w:rsidR="002B21CE">
        <w:t xml:space="preserve">In its </w:t>
      </w:r>
      <w:r w:rsidR="00794FA6">
        <w:t>p</w:t>
      </w:r>
      <w:r w:rsidR="00292555">
        <w:t xml:space="preserve">reliminary </w:t>
      </w:r>
      <w:r w:rsidR="00794FA6">
        <w:t>o</w:t>
      </w:r>
      <w:r w:rsidR="00292555">
        <w:t>bjections,</w:t>
      </w:r>
      <w:r w:rsidR="002B21CE">
        <w:t xml:space="preserve"> </w:t>
      </w:r>
      <w:r w:rsidR="00794FA6">
        <w:t>PGW requests that the complaint be dismissed preliminarily</w:t>
      </w:r>
      <w:r w:rsidR="00CD190F">
        <w:t xml:space="preserve"> on the basis that the Commission is without authorization to order the relief request</w:t>
      </w:r>
      <w:r w:rsidR="00916777">
        <w:t>ed</w:t>
      </w:r>
      <w:r w:rsidR="00CD190F">
        <w:t xml:space="preserve"> by Mr. John.  </w:t>
      </w:r>
      <w:r w:rsidR="00916777">
        <w:t>PGW</w:t>
      </w:r>
      <w:r w:rsidR="00CD190F">
        <w:t xml:space="preserve"> argues that</w:t>
      </w:r>
      <w:r w:rsidR="00916777">
        <w:t xml:space="preserve"> since it does not perform the concrete repair work sought by the Complainant, it would have to contract with someone who does, thereby making the relief sought by the Complainant tantamount to </w:t>
      </w:r>
      <w:r w:rsidR="006867F3">
        <w:t xml:space="preserve">an award of </w:t>
      </w:r>
      <w:r w:rsidR="00916777">
        <w:t xml:space="preserve">monetary damages, the payment </w:t>
      </w:r>
      <w:r w:rsidR="00916777">
        <w:lastRenderedPageBreak/>
        <w:t>of which the Commission cannot order.</w:t>
      </w:r>
      <w:r w:rsidR="00916777">
        <w:rPr>
          <w:rStyle w:val="FootnoteReference"/>
        </w:rPr>
        <w:footnoteReference w:id="1"/>
      </w:r>
      <w:r w:rsidR="00916777">
        <w:t xml:space="preserve">  PGW argues that </w:t>
      </w:r>
      <w:r w:rsidR="00292555">
        <w:t xml:space="preserve">the request constitutes impertinent matter within the meaning of 52 </w:t>
      </w:r>
      <w:proofErr w:type="spellStart"/>
      <w:proofErr w:type="gramStart"/>
      <w:r w:rsidR="00292555">
        <w:t>Pa.Code</w:t>
      </w:r>
      <w:proofErr w:type="spellEnd"/>
      <w:proofErr w:type="gramEnd"/>
      <w:r w:rsidR="00292555">
        <w:t xml:space="preserve"> §5.101(a)(2)</w:t>
      </w:r>
      <w:r w:rsidR="00916777">
        <w:t xml:space="preserve">.  The Complainant did not file an answer to PGW’s preliminary objections.  </w:t>
      </w:r>
    </w:p>
    <w:p w:rsidR="00292555" w:rsidRDefault="00292555" w:rsidP="00D64A4C">
      <w:pPr>
        <w:jc w:val="left"/>
      </w:pPr>
    </w:p>
    <w:p w:rsidR="005C31F9" w:rsidRDefault="005C31F9" w:rsidP="00D64A4C">
      <w:pPr>
        <w:jc w:val="left"/>
      </w:pPr>
      <w:r>
        <w:tab/>
      </w:r>
      <w:r>
        <w:tab/>
      </w:r>
      <w:r w:rsidR="00AB504C">
        <w:t xml:space="preserve">By Motion Judge Assignment Notice </w:t>
      </w:r>
      <w:r w:rsidR="00022412">
        <w:t>dat</w:t>
      </w:r>
      <w:r w:rsidR="00AB504C">
        <w:t xml:space="preserve">ed </w:t>
      </w:r>
      <w:r w:rsidR="00916777">
        <w:t>October 23, 2017</w:t>
      </w:r>
      <w:r w:rsidR="00AB504C">
        <w:t xml:space="preserve">, the matter has been assigned to me.  The </w:t>
      </w:r>
      <w:r w:rsidR="00916777">
        <w:t>p</w:t>
      </w:r>
      <w:r w:rsidR="00292555">
        <w:t xml:space="preserve">reliminary </w:t>
      </w:r>
      <w:r w:rsidR="00916777">
        <w:t>o</w:t>
      </w:r>
      <w:r w:rsidR="00292555">
        <w:t xml:space="preserve">bjections </w:t>
      </w:r>
      <w:r w:rsidR="00AB504C">
        <w:t xml:space="preserve">are </w:t>
      </w:r>
      <w:r w:rsidR="00022412">
        <w:t xml:space="preserve">ready </w:t>
      </w:r>
      <w:r w:rsidR="00AB504C">
        <w:t xml:space="preserve">for </w:t>
      </w:r>
      <w:r w:rsidR="00022412">
        <w:t>decision</w:t>
      </w:r>
      <w:r w:rsidR="00AB504C">
        <w:t>.</w:t>
      </w:r>
    </w:p>
    <w:p w:rsidR="00AB504C" w:rsidRDefault="00AB504C" w:rsidP="00D64A4C">
      <w:pPr>
        <w:jc w:val="left"/>
      </w:pPr>
    </w:p>
    <w:p w:rsidR="00AB504C" w:rsidRDefault="00AB504C" w:rsidP="00D64A4C">
      <w:pPr>
        <w:jc w:val="left"/>
        <w:rPr>
          <w:u w:val="single"/>
        </w:rPr>
      </w:pPr>
      <w:r>
        <w:rPr>
          <w:u w:val="single"/>
        </w:rPr>
        <w:t>DISCUSSION</w:t>
      </w:r>
    </w:p>
    <w:p w:rsidR="00AB504C" w:rsidRPr="00AB504C" w:rsidRDefault="00AB504C" w:rsidP="00D64A4C">
      <w:pPr>
        <w:jc w:val="left"/>
      </w:pPr>
    </w:p>
    <w:p w:rsidR="00AB504C" w:rsidRPr="006B4473" w:rsidRDefault="00AB504C" w:rsidP="00D64A4C">
      <w:pPr>
        <w:jc w:val="left"/>
      </w:pPr>
      <w:r w:rsidRPr="00AB504C">
        <w:tab/>
      </w:r>
      <w:r>
        <w:tab/>
      </w:r>
      <w:r w:rsidRPr="006B4473">
        <w:t xml:space="preserve">Commission preliminary objection practice is </w:t>
      </w:r>
      <w:proofErr w:type="gramStart"/>
      <w:r w:rsidRPr="006B4473">
        <w:t>similar to</w:t>
      </w:r>
      <w:proofErr w:type="gramEnd"/>
      <w:r w:rsidRPr="006B4473">
        <w:t xml:space="preserve"> Pennsylvania civil practice.  </w:t>
      </w:r>
      <w:r w:rsidRPr="006B4473">
        <w:rPr>
          <w:i/>
        </w:rPr>
        <w:t xml:space="preserve">Equitable Small Transportation Interveners v. Equitable Gas Company, </w:t>
      </w:r>
      <w:r w:rsidRPr="006B4473">
        <w:t xml:space="preserve">1994 Pa. PUC LEXIS 69, Docket No. C-000935435 (July 18, 1994).  When considering the preliminary objection, the Commission must determine “whether the law says with certainty, based on well-pleaded factual averments . . . that no recovery or relief is possible.  </w:t>
      </w:r>
      <w:r w:rsidRPr="006B4473">
        <w:rPr>
          <w:i/>
        </w:rPr>
        <w:t xml:space="preserve">P. J. S. v. Pa. State Ethics Commission, </w:t>
      </w:r>
      <w:r>
        <w:t>669 A.2d 1105 (</w:t>
      </w:r>
      <w:proofErr w:type="spellStart"/>
      <w:proofErr w:type="gramStart"/>
      <w:r>
        <w:t>Pa.</w:t>
      </w:r>
      <w:r w:rsidRPr="006B4473">
        <w:t>Cmwlth</w:t>
      </w:r>
      <w:proofErr w:type="spellEnd"/>
      <w:proofErr w:type="gramEnd"/>
      <w:r w:rsidRPr="006B4473">
        <w:t xml:space="preserve">. 1996).  Any doubt must be resolved in favor of the non-moving party by refusing to sustain the preliminary objections.  </w:t>
      </w:r>
      <w:r w:rsidRPr="006B4473">
        <w:rPr>
          <w:i/>
        </w:rPr>
        <w:t xml:space="preserve">Boyd v. Ward, </w:t>
      </w:r>
      <w:r>
        <w:t>802 A.2d 705 (</w:t>
      </w:r>
      <w:proofErr w:type="spellStart"/>
      <w:proofErr w:type="gramStart"/>
      <w:r>
        <w:t>Pa.</w:t>
      </w:r>
      <w:r w:rsidRPr="006B4473">
        <w:t>Cmwlth</w:t>
      </w:r>
      <w:proofErr w:type="spellEnd"/>
      <w:proofErr w:type="gramEnd"/>
      <w:r w:rsidRPr="006B4473">
        <w:t xml:space="preserve">. 2002).”  </w:t>
      </w:r>
      <w:r w:rsidRPr="006B4473">
        <w:rPr>
          <w:i/>
        </w:rPr>
        <w:t xml:space="preserve">Dept. of Auditor General, et al. v. State Employees’ Retirement System, et al., </w:t>
      </w:r>
      <w:r>
        <w:t>836 A.2d 1053, 1064 (</w:t>
      </w:r>
      <w:proofErr w:type="spellStart"/>
      <w:proofErr w:type="gramStart"/>
      <w:r>
        <w:t>Pa.</w:t>
      </w:r>
      <w:r w:rsidRPr="006B4473">
        <w:t>Cmwlth</w:t>
      </w:r>
      <w:proofErr w:type="spellEnd"/>
      <w:proofErr w:type="gramEnd"/>
      <w:r w:rsidRPr="006B4473">
        <w:t xml:space="preserve">. 2003).  </w:t>
      </w:r>
      <w:r w:rsidRPr="006B4473">
        <w:rPr>
          <w:i/>
        </w:rPr>
        <w:t xml:space="preserve"> </w:t>
      </w:r>
    </w:p>
    <w:p w:rsidR="00AB504C" w:rsidRPr="006B4473" w:rsidRDefault="00AB504C" w:rsidP="00D64A4C">
      <w:pPr>
        <w:jc w:val="left"/>
      </w:pPr>
    </w:p>
    <w:p w:rsidR="00AB504C" w:rsidRPr="006B4473" w:rsidRDefault="00AB504C" w:rsidP="00D64A4C">
      <w:pPr>
        <w:jc w:val="left"/>
      </w:pPr>
      <w:r w:rsidRPr="006B4473">
        <w:tab/>
      </w:r>
      <w:r w:rsidRPr="006B4473">
        <w:tab/>
        <w:t>The rules regard</w:t>
      </w:r>
      <w:r>
        <w:t>ing</w:t>
      </w:r>
      <w:r w:rsidRPr="006B4473">
        <w:t xml:space="preserve"> preliminary objections are as follows:</w:t>
      </w:r>
    </w:p>
    <w:p w:rsidR="00AB504C" w:rsidRPr="006B4473" w:rsidRDefault="00AB504C" w:rsidP="00D64A4C">
      <w:pPr>
        <w:jc w:val="left"/>
      </w:pPr>
    </w:p>
    <w:p w:rsidR="00AB504C" w:rsidRPr="006B4473" w:rsidRDefault="00AB504C" w:rsidP="00D64A4C">
      <w:pPr>
        <w:ind w:left="1440" w:right="1440"/>
        <w:contextualSpacing/>
        <w:jc w:val="left"/>
        <w:rPr>
          <w:b/>
        </w:rPr>
      </w:pPr>
      <w:r w:rsidRPr="006B4473">
        <w:rPr>
          <w:b/>
        </w:rPr>
        <w:t>§ 5.101.  Preliminary objections.</w:t>
      </w:r>
    </w:p>
    <w:p w:rsidR="00AB504C" w:rsidRPr="006B4473" w:rsidRDefault="00AB504C" w:rsidP="00D64A4C">
      <w:pPr>
        <w:spacing w:line="240" w:lineRule="auto"/>
        <w:ind w:left="1440" w:right="1440"/>
        <w:contextualSpacing/>
        <w:jc w:val="left"/>
      </w:pPr>
      <w:r w:rsidRPr="006B4473">
        <w:t>(a)</w:t>
      </w:r>
      <w:r w:rsidRPr="006B4473">
        <w:tab/>
      </w:r>
      <w:r w:rsidRPr="006B4473">
        <w:rPr>
          <w:i/>
        </w:rPr>
        <w:t>Grounds.</w:t>
      </w:r>
      <w:r w:rsidRPr="006B4473">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AB504C" w:rsidRPr="006B4473" w:rsidRDefault="00AB504C" w:rsidP="00D64A4C">
      <w:pPr>
        <w:spacing w:line="240" w:lineRule="auto"/>
        <w:ind w:left="1440" w:right="1440"/>
        <w:contextualSpacing/>
        <w:jc w:val="left"/>
        <w:rPr>
          <w:i/>
        </w:rPr>
      </w:pPr>
    </w:p>
    <w:p w:rsidR="00AB504C" w:rsidRPr="006B4473" w:rsidRDefault="00AB504C" w:rsidP="00D64A4C">
      <w:pPr>
        <w:spacing w:line="240" w:lineRule="auto"/>
        <w:ind w:left="1440" w:right="1440"/>
        <w:contextualSpacing/>
        <w:jc w:val="left"/>
      </w:pPr>
      <w:r w:rsidRPr="006B4473">
        <w:t>(1)  Lack of Commission jurisdiction or improper service of the pleading initiating the proceeding.</w:t>
      </w:r>
    </w:p>
    <w:p w:rsidR="00AB504C" w:rsidRPr="006B4473" w:rsidRDefault="00AB504C" w:rsidP="00D64A4C">
      <w:pPr>
        <w:spacing w:line="240" w:lineRule="auto"/>
        <w:ind w:left="1440" w:right="1440"/>
        <w:contextualSpacing/>
        <w:jc w:val="left"/>
      </w:pPr>
    </w:p>
    <w:p w:rsidR="00AB504C" w:rsidRPr="006B4473" w:rsidRDefault="00AB504C" w:rsidP="00D64A4C">
      <w:pPr>
        <w:spacing w:line="240" w:lineRule="auto"/>
        <w:ind w:left="1440" w:right="1440"/>
        <w:contextualSpacing/>
        <w:jc w:val="left"/>
      </w:pPr>
      <w:r w:rsidRPr="006B4473">
        <w:t>(2)  Failure of a pleading to conform to this chapter or the inclusion of scandalous or impertinent matter.</w:t>
      </w:r>
    </w:p>
    <w:p w:rsidR="00AB504C" w:rsidRPr="006B4473" w:rsidRDefault="00AB504C" w:rsidP="00D64A4C">
      <w:pPr>
        <w:spacing w:line="240" w:lineRule="auto"/>
        <w:ind w:left="1440" w:right="1440"/>
        <w:contextualSpacing/>
        <w:jc w:val="left"/>
      </w:pPr>
    </w:p>
    <w:p w:rsidR="00AB504C" w:rsidRPr="006B4473" w:rsidRDefault="00AB504C" w:rsidP="00D64A4C">
      <w:pPr>
        <w:spacing w:line="240" w:lineRule="auto"/>
        <w:ind w:left="1440" w:right="1440"/>
        <w:contextualSpacing/>
        <w:jc w:val="left"/>
      </w:pPr>
      <w:r w:rsidRPr="006B4473">
        <w:lastRenderedPageBreak/>
        <w:t>(3)  Insufficient specificity of a pleading.</w:t>
      </w:r>
    </w:p>
    <w:p w:rsidR="00AB504C" w:rsidRPr="006B4473" w:rsidRDefault="00AB504C" w:rsidP="00D64A4C">
      <w:pPr>
        <w:spacing w:line="240" w:lineRule="auto"/>
        <w:ind w:left="1440" w:right="1440"/>
        <w:contextualSpacing/>
        <w:jc w:val="left"/>
      </w:pPr>
    </w:p>
    <w:p w:rsidR="00AB504C" w:rsidRPr="006B4473" w:rsidRDefault="00AB504C" w:rsidP="00D64A4C">
      <w:pPr>
        <w:spacing w:line="240" w:lineRule="auto"/>
        <w:ind w:left="1440" w:right="1440"/>
        <w:contextualSpacing/>
        <w:jc w:val="left"/>
      </w:pPr>
      <w:r w:rsidRPr="006B4473">
        <w:t>(4)  Legal insufficiency of a pleading.</w:t>
      </w:r>
    </w:p>
    <w:p w:rsidR="00AB504C" w:rsidRPr="006B4473" w:rsidRDefault="00AB504C" w:rsidP="00D64A4C">
      <w:pPr>
        <w:spacing w:line="240" w:lineRule="auto"/>
        <w:ind w:left="1440" w:right="1440"/>
        <w:contextualSpacing/>
        <w:jc w:val="left"/>
      </w:pPr>
    </w:p>
    <w:p w:rsidR="00AB504C" w:rsidRPr="006B4473" w:rsidRDefault="00AB504C" w:rsidP="00D64A4C">
      <w:pPr>
        <w:spacing w:line="240" w:lineRule="auto"/>
        <w:ind w:left="1440" w:right="1440"/>
        <w:contextualSpacing/>
        <w:jc w:val="left"/>
      </w:pPr>
      <w:r w:rsidRPr="006B4473">
        <w:t>(5) Lack of capacity to sue, nonjoinder of a necessary party or misjoinder of a cause of action.</w:t>
      </w:r>
    </w:p>
    <w:p w:rsidR="00AB504C" w:rsidRPr="006B4473" w:rsidRDefault="00AB504C" w:rsidP="00D64A4C">
      <w:pPr>
        <w:spacing w:line="240" w:lineRule="auto"/>
        <w:ind w:left="1440" w:right="1440"/>
        <w:contextualSpacing/>
        <w:jc w:val="left"/>
      </w:pPr>
    </w:p>
    <w:p w:rsidR="00AB504C" w:rsidRDefault="00AB504C" w:rsidP="00D64A4C">
      <w:pPr>
        <w:spacing w:line="240" w:lineRule="auto"/>
        <w:ind w:left="1440" w:right="1440"/>
        <w:contextualSpacing/>
        <w:jc w:val="left"/>
      </w:pPr>
      <w:r w:rsidRPr="006B4473">
        <w:t>(6)  Pendency of a prior proceeding or agreement for alternative dispute resolution.</w:t>
      </w:r>
    </w:p>
    <w:p w:rsidR="00AB504C" w:rsidRDefault="00AB504C" w:rsidP="00D64A4C">
      <w:pPr>
        <w:spacing w:line="240" w:lineRule="auto"/>
        <w:ind w:left="1440" w:right="1440"/>
        <w:contextualSpacing/>
        <w:jc w:val="left"/>
      </w:pPr>
    </w:p>
    <w:p w:rsidR="00AB504C" w:rsidRPr="006B4473" w:rsidRDefault="00AB504C" w:rsidP="00D64A4C">
      <w:pPr>
        <w:spacing w:line="240" w:lineRule="auto"/>
        <w:ind w:left="1440" w:right="1440"/>
        <w:contextualSpacing/>
        <w:jc w:val="left"/>
      </w:pPr>
      <w:r>
        <w:t>(7)  Standing of a party to participate in the proceeding.</w:t>
      </w:r>
    </w:p>
    <w:p w:rsidR="00AB504C" w:rsidRPr="006B4473" w:rsidRDefault="00AB504C" w:rsidP="00D64A4C">
      <w:pPr>
        <w:spacing w:line="240" w:lineRule="auto"/>
        <w:ind w:left="1440" w:right="1440"/>
        <w:contextualSpacing/>
        <w:jc w:val="left"/>
      </w:pPr>
      <w:r w:rsidRPr="006B4473">
        <w:t>* * *</w:t>
      </w:r>
    </w:p>
    <w:p w:rsidR="00AB504C" w:rsidRPr="006B4473" w:rsidRDefault="00AB504C" w:rsidP="00D64A4C">
      <w:pPr>
        <w:spacing w:line="240" w:lineRule="auto"/>
        <w:ind w:left="1440" w:right="1440" w:hanging="1440"/>
        <w:contextualSpacing/>
        <w:jc w:val="left"/>
      </w:pPr>
      <w:r w:rsidRPr="006B4473">
        <w:t xml:space="preserve">52 Pa. Code § 5.101(a).  </w:t>
      </w:r>
    </w:p>
    <w:p w:rsidR="00AB504C" w:rsidRDefault="00AB504C" w:rsidP="00D64A4C">
      <w:pPr>
        <w:spacing w:line="240" w:lineRule="auto"/>
        <w:ind w:left="1440" w:right="1440"/>
        <w:contextualSpacing/>
        <w:jc w:val="left"/>
      </w:pPr>
    </w:p>
    <w:p w:rsidR="00916777" w:rsidRPr="006B4473" w:rsidRDefault="00916777" w:rsidP="00D64A4C">
      <w:pPr>
        <w:spacing w:line="240" w:lineRule="auto"/>
        <w:ind w:left="1440" w:right="1440"/>
        <w:contextualSpacing/>
        <w:jc w:val="left"/>
      </w:pPr>
    </w:p>
    <w:p w:rsidR="00AB504C" w:rsidRDefault="00AB504C" w:rsidP="00D64A4C">
      <w:pPr>
        <w:jc w:val="left"/>
      </w:pPr>
      <w:r w:rsidRPr="006B4473">
        <w:tab/>
      </w:r>
      <w:r w:rsidRPr="006B4473">
        <w:tab/>
        <w:t xml:space="preserve"> In </w:t>
      </w:r>
      <w:proofErr w:type="gramStart"/>
      <w:r w:rsidRPr="006B4473">
        <w:t>reviewing</w:t>
      </w:r>
      <w:proofErr w:type="gramEnd"/>
      <w:r w:rsidRPr="006B4473">
        <w:t xml:space="preserve"> preliminary objections, only the facts in the </w:t>
      </w:r>
      <w:r>
        <w:t xml:space="preserve">pleadings filed by the nonmoving party </w:t>
      </w:r>
      <w:r w:rsidRPr="006B4473">
        <w:t xml:space="preserve">can be presumed to be true in order to determine whether recovery is possible. </w:t>
      </w:r>
      <w:r>
        <w:rPr>
          <w:i/>
        </w:rPr>
        <w:t xml:space="preserve">Pennsylvania State Lodge, Fraternal Order of Police v. Dept. of Conservation &amp; Natural Resources, </w:t>
      </w:r>
      <w:r>
        <w:t>909 A2d 413 (</w:t>
      </w:r>
      <w:proofErr w:type="spellStart"/>
      <w:proofErr w:type="gramStart"/>
      <w:r>
        <w:t>Pa.Cmwlth</w:t>
      </w:r>
      <w:proofErr w:type="spellEnd"/>
      <w:proofErr w:type="gramEnd"/>
      <w:r>
        <w:t xml:space="preserve">. 2006) aff'd, 492 Pa. 304, 924 A.2d 1203 (2007).  </w:t>
      </w:r>
    </w:p>
    <w:p w:rsidR="00AB504C" w:rsidRPr="00DA593C" w:rsidRDefault="00AB504C" w:rsidP="00D64A4C">
      <w:pPr>
        <w:jc w:val="left"/>
      </w:pPr>
      <w:r>
        <w:t>The reviewing authority will accept as true the well-pled averments set forth in the complaint, and all inferences reasonably deducible therefrom.  Conclusions of law, unwarranted inferences from facts, argumentative allegations, or expressions of opinion will not be accepted as true for purposes of evaluating preliminary objections.  "</w:t>
      </w:r>
      <w:proofErr w:type="gramStart"/>
      <w:r>
        <w:t>In order to</w:t>
      </w:r>
      <w:proofErr w:type="gramEnd"/>
      <w:r>
        <w:t xml:space="preserve"> sustain preliminary objections, it must appear with certainty that the law will not permit recovery, and, where any doubt exists as to whether the preliminary objections should be sustained, the doubt must be resolved in favor of overruling the preliminary objections.  </w:t>
      </w:r>
      <w:proofErr w:type="spellStart"/>
      <w:r>
        <w:rPr>
          <w:i/>
        </w:rPr>
        <w:t>Corman</w:t>
      </w:r>
      <w:proofErr w:type="spellEnd"/>
      <w:r>
        <w:rPr>
          <w:i/>
        </w:rPr>
        <w:t>, et al. v. The National Collegiate Athletic Association</w:t>
      </w:r>
      <w:r>
        <w:t>, 74 A.2d 1149 (</w:t>
      </w:r>
      <w:proofErr w:type="spellStart"/>
      <w:proofErr w:type="gramStart"/>
      <w:r>
        <w:t>Pa.Cmwlth</w:t>
      </w:r>
      <w:proofErr w:type="spellEnd"/>
      <w:proofErr w:type="gramEnd"/>
      <w:r>
        <w:t xml:space="preserve">. 2013), 2013 Pa. </w:t>
      </w:r>
      <w:proofErr w:type="spellStart"/>
      <w:r>
        <w:t>Commw</w:t>
      </w:r>
      <w:proofErr w:type="spellEnd"/>
      <w:r>
        <w:t>. LEXIS 353.</w:t>
      </w:r>
    </w:p>
    <w:p w:rsidR="00AB504C" w:rsidRDefault="00AB504C" w:rsidP="00D64A4C">
      <w:pPr>
        <w:jc w:val="left"/>
      </w:pPr>
    </w:p>
    <w:p w:rsidR="00AB504C" w:rsidRDefault="00DD519C" w:rsidP="00D64A4C">
      <w:pPr>
        <w:jc w:val="left"/>
      </w:pPr>
      <w:r>
        <w:tab/>
      </w:r>
      <w:r>
        <w:tab/>
      </w:r>
      <w:r w:rsidR="00AB504C" w:rsidRPr="006B4473">
        <w:t xml:space="preserve"> </w:t>
      </w:r>
      <w:proofErr w:type="gramStart"/>
      <w:r w:rsidR="00AB504C" w:rsidRPr="006B4473">
        <w:t>In order for</w:t>
      </w:r>
      <w:proofErr w:type="gramEnd"/>
      <w:r w:rsidR="00AB504C" w:rsidRPr="006B4473">
        <w:t xml:space="preserve"> Complainant to prevail ultimately, there must be a statute, regulation or order which the Commission is authorized to enforce.  The Complaint must set forth anything done or omitted to be done by </w:t>
      </w:r>
      <w:r w:rsidR="00AB504C">
        <w:t>the Respondent</w:t>
      </w:r>
      <w:r w:rsidR="00AB504C" w:rsidRPr="006B4473">
        <w:t xml:space="preserve"> in violation of any law which the Commission has jurisdiction to administer.  66 Pa. C.S. § 701; 52 Pa. Code § 5.21(a).  </w:t>
      </w:r>
    </w:p>
    <w:p w:rsidR="00DD519C" w:rsidRDefault="00DD519C" w:rsidP="00D64A4C">
      <w:pPr>
        <w:jc w:val="left"/>
      </w:pPr>
    </w:p>
    <w:p w:rsidR="001D3FB1" w:rsidRDefault="00DD519C" w:rsidP="00D64A4C">
      <w:pPr>
        <w:jc w:val="left"/>
      </w:pPr>
      <w:r>
        <w:tab/>
      </w:r>
      <w:r>
        <w:tab/>
        <w:t xml:space="preserve">The </w:t>
      </w:r>
      <w:r w:rsidR="00916777">
        <w:t>p</w:t>
      </w:r>
      <w:r w:rsidR="00F9180E">
        <w:t xml:space="preserve">reliminary </w:t>
      </w:r>
      <w:r w:rsidR="00916777">
        <w:t>o</w:t>
      </w:r>
      <w:r w:rsidR="00F9180E">
        <w:t xml:space="preserve">bjections </w:t>
      </w:r>
      <w:r>
        <w:t xml:space="preserve">seek </w:t>
      </w:r>
      <w:r w:rsidR="00F9180E">
        <w:t xml:space="preserve">to </w:t>
      </w:r>
      <w:r>
        <w:t xml:space="preserve">strike the request for </w:t>
      </w:r>
      <w:r w:rsidR="00916777">
        <w:t xml:space="preserve">an award of monetary damages </w:t>
      </w:r>
      <w:r>
        <w:t>as impertinent matter.</w:t>
      </w:r>
    </w:p>
    <w:p w:rsidR="001D3FB1" w:rsidRDefault="001D3FB1" w:rsidP="00D64A4C">
      <w:pPr>
        <w:jc w:val="left"/>
      </w:pPr>
    </w:p>
    <w:p w:rsidR="00C43F08" w:rsidRDefault="001D3FB1" w:rsidP="00D64A4C">
      <w:pPr>
        <w:jc w:val="left"/>
      </w:pPr>
      <w:r>
        <w:lastRenderedPageBreak/>
        <w:tab/>
      </w:r>
      <w:r>
        <w:tab/>
        <w:t xml:space="preserve">Complainant alleges that </w:t>
      </w:r>
      <w:r w:rsidR="00916777">
        <w:t>PGW</w:t>
      </w:r>
      <w:r w:rsidR="00C43F08">
        <w:t xml:space="preserve"> </w:t>
      </w:r>
      <w:r w:rsidR="00404653">
        <w:t xml:space="preserve">failed to repair a cracked sidewalk and to replace a missing curb at his property following a gas line replacement project.  </w:t>
      </w:r>
    </w:p>
    <w:p w:rsidR="00C43F08" w:rsidRDefault="00C43F08" w:rsidP="00D64A4C">
      <w:pPr>
        <w:jc w:val="left"/>
      </w:pPr>
    </w:p>
    <w:p w:rsidR="00C43F08" w:rsidRDefault="00C43F08" w:rsidP="00D64A4C">
      <w:pPr>
        <w:contextualSpacing/>
        <w:jc w:val="left"/>
      </w:pPr>
      <w:r>
        <w:tab/>
      </w:r>
      <w:r>
        <w:tab/>
        <w:t xml:space="preserve">The Commission must act within and cannot exceed its jurisdiction.  </w:t>
      </w:r>
      <w:r>
        <w:rPr>
          <w:i/>
        </w:rPr>
        <w:t>Feingold v. Bell of PA,</w:t>
      </w:r>
      <w:r>
        <w:t xml:space="preserve"> 383 A.2d 791 (Pa. 1977); </w:t>
      </w:r>
      <w:r>
        <w:rPr>
          <w:i/>
        </w:rPr>
        <w:t xml:space="preserve">Loma, Inc. v. Pa. Publ. Util. Comm’n, </w:t>
      </w:r>
      <w:r>
        <w:t xml:space="preserve">682 A.2d 425 (Pa. </w:t>
      </w:r>
      <w:proofErr w:type="spellStart"/>
      <w:r>
        <w:t>Cmwlth</w:t>
      </w:r>
      <w:proofErr w:type="spellEnd"/>
      <w:r>
        <w:t xml:space="preserve">. 1996).  One measure of relief that the Commission is not authorized to grant is </w:t>
      </w:r>
      <w:r w:rsidR="006867F3">
        <w:t xml:space="preserve">an award of </w:t>
      </w:r>
      <w:r>
        <w:t xml:space="preserve">monetary damages.  </w:t>
      </w:r>
      <w:r>
        <w:rPr>
          <w:i/>
        </w:rPr>
        <w:t>Elkin v. Bell,</w:t>
      </w:r>
      <w:r>
        <w:t xml:space="preserve"> 491 Pa. 123, 420 A.2d 371 (1980); </w:t>
      </w:r>
      <w:r>
        <w:rPr>
          <w:i/>
        </w:rPr>
        <w:t>Feingold v. Bell of PA,</w:t>
      </w:r>
      <w:r>
        <w:t xml:space="preserve"> 383 A.2d 791 (Pa. 1977); </w:t>
      </w:r>
      <w:r>
        <w:rPr>
          <w:i/>
        </w:rPr>
        <w:t xml:space="preserve">Loma, Inc. v. Pa. Publ. Util. Comm’n, </w:t>
      </w:r>
      <w:r>
        <w:t>682 A.2d 425 (</w:t>
      </w:r>
      <w:proofErr w:type="spellStart"/>
      <w:proofErr w:type="gramStart"/>
      <w:r>
        <w:t>Pa.Cmwlth</w:t>
      </w:r>
      <w:proofErr w:type="spellEnd"/>
      <w:proofErr w:type="gramEnd"/>
      <w:r>
        <w:t xml:space="preserve">. 1996).  </w:t>
      </w:r>
    </w:p>
    <w:p w:rsidR="00C43F08" w:rsidRDefault="00C43F08" w:rsidP="00D64A4C">
      <w:pPr>
        <w:contextualSpacing/>
        <w:jc w:val="left"/>
      </w:pPr>
    </w:p>
    <w:p w:rsidR="00C43F08" w:rsidRDefault="00C43F08" w:rsidP="00D64A4C">
      <w:pPr>
        <w:contextualSpacing/>
        <w:jc w:val="left"/>
      </w:pPr>
      <w:r>
        <w:tab/>
      </w:r>
      <w:r>
        <w:tab/>
      </w:r>
      <w:r w:rsidR="00404653">
        <w:t>PGW</w:t>
      </w:r>
      <w:r>
        <w:t xml:space="preserve"> is correct that the Commission </w:t>
      </w:r>
      <w:r w:rsidR="00404653">
        <w:t>may</w:t>
      </w:r>
      <w:r>
        <w:t xml:space="preserve"> not award monetary compensation even if </w:t>
      </w:r>
      <w:r w:rsidR="00404653">
        <w:t xml:space="preserve">the allegations raised by the </w:t>
      </w:r>
      <w:r>
        <w:t>Complainant</w:t>
      </w:r>
      <w:r w:rsidR="00404653">
        <w:t xml:space="preserve"> are </w:t>
      </w:r>
      <w:r>
        <w:t>ultimately prove</w:t>
      </w:r>
      <w:r w:rsidR="00404653">
        <w:t xml:space="preserve">n to be true.  </w:t>
      </w:r>
      <w:r w:rsidR="00404653">
        <w:rPr>
          <w:i/>
        </w:rPr>
        <w:t>Feingold.</w:t>
      </w:r>
      <w:r w:rsidR="00404653">
        <w:t xml:space="preserve">   Acco</w:t>
      </w:r>
      <w:r>
        <w:t xml:space="preserve">rdingly, the </w:t>
      </w:r>
      <w:r w:rsidR="00404653">
        <w:t>preliminarily objections</w:t>
      </w:r>
      <w:r>
        <w:t xml:space="preserve"> will be granted insofar as </w:t>
      </w:r>
      <w:r w:rsidR="00E04D1A">
        <w:t xml:space="preserve">they </w:t>
      </w:r>
      <w:r>
        <w:t xml:space="preserve">seek a holding that no monetary compensation will be awarded.  </w:t>
      </w:r>
    </w:p>
    <w:p w:rsidR="00C43F08" w:rsidRDefault="00C43F08" w:rsidP="00D64A4C">
      <w:pPr>
        <w:contextualSpacing/>
        <w:jc w:val="left"/>
      </w:pPr>
    </w:p>
    <w:p w:rsidR="00C43F08" w:rsidRDefault="00C43F08" w:rsidP="00D64A4C">
      <w:pPr>
        <w:contextualSpacing/>
        <w:jc w:val="left"/>
      </w:pPr>
      <w:r>
        <w:tab/>
      </w:r>
      <w:r>
        <w:tab/>
      </w:r>
      <w:r w:rsidR="00E04D1A">
        <w:t xml:space="preserve">However, </w:t>
      </w:r>
      <w:r w:rsidR="00404653">
        <w:t xml:space="preserve">the </w:t>
      </w:r>
      <w:r w:rsidR="00E04D1A">
        <w:t>Complainant</w:t>
      </w:r>
      <w:r w:rsidR="00404653">
        <w:t xml:space="preserve">’s allegations, if true, may constitute </w:t>
      </w:r>
      <w:r w:rsidR="00E04D1A">
        <w:t>inadequate service</w:t>
      </w:r>
      <w:r w:rsidR="00404653">
        <w:t xml:space="preserve"> of the part of PGW</w:t>
      </w:r>
      <w:r w:rsidR="00E04D1A">
        <w:t>, actionable under Section 1501, and therefore, Complainant will be given the opportuni</w:t>
      </w:r>
      <w:r w:rsidR="00937F58">
        <w:t xml:space="preserve">ty to prove his claims.  66 </w:t>
      </w:r>
      <w:proofErr w:type="spellStart"/>
      <w:r w:rsidR="00937F58">
        <w:t>Pa.</w:t>
      </w:r>
      <w:r w:rsidR="00E04D1A">
        <w:t>C.S</w:t>
      </w:r>
      <w:proofErr w:type="spellEnd"/>
      <w:r w:rsidR="00E04D1A">
        <w:t>. § 1501.  Complainant is cautioned</w:t>
      </w:r>
      <w:r w:rsidR="006867F3">
        <w:t>, however,</w:t>
      </w:r>
      <w:r w:rsidR="00E04D1A">
        <w:t xml:space="preserve"> that if he </w:t>
      </w:r>
      <w:proofErr w:type="gramStart"/>
      <w:r w:rsidR="00E04D1A">
        <w:t>is able to</w:t>
      </w:r>
      <w:proofErr w:type="gramEnd"/>
      <w:r w:rsidR="00E04D1A">
        <w:t xml:space="preserve"> prove inadequate service, any civil penalty assessed against </w:t>
      </w:r>
      <w:r w:rsidR="00404653">
        <w:t>PGW</w:t>
      </w:r>
      <w:r w:rsidR="00E04D1A">
        <w:t xml:space="preserve"> will be payable directly to the Commonwealth of Pennsylvania General Fund.  No</w:t>
      </w:r>
      <w:r w:rsidR="006867F3">
        <w:t xml:space="preserve"> monetary award</w:t>
      </w:r>
      <w:r w:rsidR="00E04D1A">
        <w:t xml:space="preserve"> will be allocated to the Complainant.  </w:t>
      </w:r>
    </w:p>
    <w:p w:rsidR="00C43F08" w:rsidRDefault="00C43F08" w:rsidP="00D64A4C">
      <w:pPr>
        <w:contextualSpacing/>
        <w:jc w:val="left"/>
      </w:pPr>
    </w:p>
    <w:p w:rsidR="00E04D1A" w:rsidRDefault="00E04D1A" w:rsidP="00D64A4C">
      <w:pPr>
        <w:jc w:val="left"/>
      </w:pPr>
      <w:r>
        <w:tab/>
      </w:r>
      <w:r>
        <w:tab/>
        <w:t>Should Complainant decide not to pursue his claim in this forum, he is asked to notify the Commission in writing of his decision, or to ask the Respondent to file a certificate of satisfaction to end this proceeding.  In the meantime, this matter will be set for hearing.</w:t>
      </w:r>
    </w:p>
    <w:p w:rsidR="00E04D1A" w:rsidRDefault="00E04D1A" w:rsidP="00D64A4C">
      <w:pPr>
        <w:jc w:val="left"/>
      </w:pPr>
    </w:p>
    <w:p w:rsidR="00404653" w:rsidRDefault="00404653" w:rsidP="00D64A4C">
      <w:pPr>
        <w:jc w:val="left"/>
      </w:pPr>
    </w:p>
    <w:p w:rsidR="00404653" w:rsidRDefault="00404653" w:rsidP="00D64A4C">
      <w:pPr>
        <w:jc w:val="left"/>
      </w:pPr>
      <w:bookmarkStart w:id="0" w:name="_GoBack"/>
      <w:bookmarkEnd w:id="0"/>
    </w:p>
    <w:p w:rsidR="00404653" w:rsidRDefault="00404653" w:rsidP="00D64A4C">
      <w:pPr>
        <w:jc w:val="left"/>
      </w:pPr>
    </w:p>
    <w:p w:rsidR="00404653" w:rsidRDefault="00404653" w:rsidP="00D64A4C">
      <w:pPr>
        <w:jc w:val="left"/>
      </w:pPr>
    </w:p>
    <w:p w:rsidR="00404653" w:rsidRDefault="00404653" w:rsidP="00D64A4C">
      <w:pPr>
        <w:jc w:val="left"/>
      </w:pPr>
    </w:p>
    <w:p w:rsidR="00E04D1A" w:rsidRDefault="00E04D1A" w:rsidP="00D64A4C">
      <w:pPr>
        <w:jc w:val="left"/>
      </w:pPr>
      <w:r>
        <w:lastRenderedPageBreak/>
        <w:tab/>
      </w:r>
      <w:r>
        <w:tab/>
        <w:t>THEREFORE,</w:t>
      </w:r>
    </w:p>
    <w:p w:rsidR="00E04D1A" w:rsidRDefault="00E04D1A" w:rsidP="00D64A4C">
      <w:pPr>
        <w:jc w:val="left"/>
      </w:pPr>
    </w:p>
    <w:p w:rsidR="00E04D1A" w:rsidRDefault="00E04D1A" w:rsidP="00D64A4C">
      <w:pPr>
        <w:jc w:val="left"/>
      </w:pPr>
      <w:r>
        <w:tab/>
      </w:r>
      <w:r>
        <w:tab/>
        <w:t>IT IS ORDERED:</w:t>
      </w:r>
    </w:p>
    <w:p w:rsidR="00E04D1A" w:rsidRDefault="00E04D1A" w:rsidP="00D64A4C">
      <w:pPr>
        <w:jc w:val="left"/>
      </w:pPr>
    </w:p>
    <w:p w:rsidR="00E04D1A" w:rsidRDefault="00E04D1A" w:rsidP="00D64A4C">
      <w:pPr>
        <w:jc w:val="left"/>
      </w:pPr>
      <w:r>
        <w:tab/>
      </w:r>
      <w:r>
        <w:tab/>
        <w:t>1.</w:t>
      </w:r>
      <w:r>
        <w:tab/>
        <w:t>That the Preliminary Objections filed by P</w:t>
      </w:r>
      <w:r w:rsidR="00404653">
        <w:t>hiladelphia</w:t>
      </w:r>
      <w:r>
        <w:t xml:space="preserve"> Gas </w:t>
      </w:r>
      <w:r w:rsidR="00404653">
        <w:t xml:space="preserve">Works </w:t>
      </w:r>
      <w:r>
        <w:t xml:space="preserve">in the case captioned </w:t>
      </w:r>
      <w:proofErr w:type="spellStart"/>
      <w:r w:rsidR="00404653">
        <w:t>Sanju</w:t>
      </w:r>
      <w:proofErr w:type="spellEnd"/>
      <w:r w:rsidR="00404653">
        <w:t xml:space="preserve"> John v. Philadelphia Gas Works,</w:t>
      </w:r>
      <w:r>
        <w:rPr>
          <w:i/>
        </w:rPr>
        <w:t xml:space="preserve"> </w:t>
      </w:r>
      <w:r>
        <w:t>at Docket No. C-201</w:t>
      </w:r>
      <w:r w:rsidR="00404653">
        <w:t>7</w:t>
      </w:r>
      <w:r>
        <w:t>-2</w:t>
      </w:r>
      <w:r w:rsidR="00404653">
        <w:t>621095</w:t>
      </w:r>
      <w:r>
        <w:t xml:space="preserve">, are </w:t>
      </w:r>
      <w:r w:rsidR="006867F3">
        <w:t xml:space="preserve">sustained </w:t>
      </w:r>
      <w:r>
        <w:t>insofar as they seek a holding that the Commission will not award monetary damages in this case.</w:t>
      </w:r>
    </w:p>
    <w:p w:rsidR="00E04D1A" w:rsidRDefault="00E04D1A" w:rsidP="00D64A4C">
      <w:pPr>
        <w:jc w:val="left"/>
      </w:pPr>
    </w:p>
    <w:p w:rsidR="00E04D1A" w:rsidRDefault="00E04D1A" w:rsidP="00D64A4C">
      <w:pPr>
        <w:jc w:val="left"/>
      </w:pPr>
      <w:r>
        <w:tab/>
      </w:r>
      <w:r>
        <w:tab/>
        <w:t>2.</w:t>
      </w:r>
      <w:r>
        <w:tab/>
        <w:t>That the Preliminary Objections filed by</w:t>
      </w:r>
      <w:r w:rsidR="00404653" w:rsidRPr="00404653">
        <w:t xml:space="preserve"> </w:t>
      </w:r>
      <w:r w:rsidR="00404653">
        <w:t xml:space="preserve">Philadelphia Gas Works in the case captioned </w:t>
      </w:r>
      <w:proofErr w:type="spellStart"/>
      <w:r w:rsidR="00404653">
        <w:t>Sanju</w:t>
      </w:r>
      <w:proofErr w:type="spellEnd"/>
      <w:r w:rsidR="00404653">
        <w:t xml:space="preserve"> John v. Philadelphia Gas Works,</w:t>
      </w:r>
      <w:r w:rsidR="00404653">
        <w:rPr>
          <w:i/>
        </w:rPr>
        <w:t xml:space="preserve"> </w:t>
      </w:r>
      <w:r w:rsidR="00404653">
        <w:t>at Docket No. C-2017-2621095</w:t>
      </w:r>
      <w:r>
        <w:t>, are denied insofar as they seek dismissal of the Complaint.</w:t>
      </w:r>
    </w:p>
    <w:p w:rsidR="00E04D1A" w:rsidRDefault="00E04D1A" w:rsidP="00D64A4C">
      <w:pPr>
        <w:jc w:val="left"/>
      </w:pPr>
    </w:p>
    <w:p w:rsidR="00E04D1A" w:rsidRDefault="00E04D1A" w:rsidP="00D64A4C">
      <w:pPr>
        <w:jc w:val="left"/>
      </w:pPr>
      <w:r>
        <w:tab/>
      </w:r>
      <w:r>
        <w:tab/>
        <w:t>3.</w:t>
      </w:r>
      <w:r>
        <w:tab/>
        <w:t>That this matter be set for hearing.</w:t>
      </w:r>
    </w:p>
    <w:p w:rsidR="00E04D1A" w:rsidRDefault="00E04D1A" w:rsidP="00D64A4C">
      <w:pPr>
        <w:jc w:val="left"/>
      </w:pPr>
    </w:p>
    <w:p w:rsidR="00404653" w:rsidRDefault="00404653" w:rsidP="00D64A4C">
      <w:pPr>
        <w:jc w:val="left"/>
      </w:pPr>
    </w:p>
    <w:p w:rsidR="00E04D1A" w:rsidRDefault="00E04D1A" w:rsidP="00D64A4C">
      <w:pPr>
        <w:spacing w:line="240" w:lineRule="auto"/>
        <w:jc w:val="left"/>
      </w:pPr>
      <w:r>
        <w:t>Dated:</w:t>
      </w:r>
      <w:r>
        <w:tab/>
      </w:r>
      <w:r w:rsidR="00D64A4C">
        <w:rPr>
          <w:u w:val="single"/>
        </w:rPr>
        <w:t>November 6, 2017</w:t>
      </w:r>
      <w:r>
        <w:tab/>
      </w:r>
      <w:r>
        <w:tab/>
      </w:r>
      <w:r>
        <w:tab/>
      </w:r>
      <w:r>
        <w:tab/>
      </w:r>
      <w:r>
        <w:tab/>
        <w:t>_____________________________</w:t>
      </w:r>
    </w:p>
    <w:p w:rsidR="00E04D1A" w:rsidRDefault="00E04D1A" w:rsidP="00D64A4C">
      <w:pPr>
        <w:spacing w:line="240" w:lineRule="auto"/>
        <w:jc w:val="left"/>
      </w:pPr>
      <w:r>
        <w:tab/>
      </w:r>
      <w:r>
        <w:tab/>
      </w:r>
      <w:r>
        <w:tab/>
      </w:r>
      <w:r>
        <w:tab/>
      </w:r>
      <w:r>
        <w:tab/>
      </w:r>
      <w:r>
        <w:tab/>
      </w:r>
      <w:r>
        <w:tab/>
      </w:r>
      <w:r>
        <w:tab/>
        <w:t>S</w:t>
      </w:r>
      <w:r w:rsidR="00404653">
        <w:t>teven K. Haas</w:t>
      </w:r>
    </w:p>
    <w:p w:rsidR="00DD519C" w:rsidRDefault="00E04D1A" w:rsidP="00D64A4C">
      <w:pPr>
        <w:spacing w:line="240" w:lineRule="auto"/>
        <w:jc w:val="left"/>
      </w:pPr>
      <w:r>
        <w:tab/>
      </w:r>
      <w:r>
        <w:tab/>
      </w:r>
      <w:r>
        <w:tab/>
      </w:r>
      <w:r>
        <w:tab/>
      </w:r>
      <w:r>
        <w:tab/>
      </w:r>
      <w:r>
        <w:tab/>
      </w:r>
      <w:r>
        <w:tab/>
      </w:r>
      <w:r>
        <w:tab/>
        <w:t xml:space="preserve">Administrative Law Judge </w:t>
      </w:r>
      <w:r w:rsidR="00DD519C">
        <w:t xml:space="preserve">   </w:t>
      </w:r>
    </w:p>
    <w:p w:rsidR="00AB504C" w:rsidRPr="00615C08" w:rsidRDefault="00AB504C" w:rsidP="00D64A4C">
      <w:pPr>
        <w:jc w:val="left"/>
      </w:pPr>
    </w:p>
    <w:p w:rsidR="00D64A4C" w:rsidRDefault="00D64A4C" w:rsidP="00D64A4C">
      <w:pPr>
        <w:jc w:val="left"/>
        <w:sectPr w:rsidR="00D64A4C" w:rsidSect="00E04D1A">
          <w:footerReference w:type="default" r:id="rId7"/>
          <w:pgSz w:w="12240" w:h="15840"/>
          <w:pgMar w:top="1440" w:right="1440" w:bottom="1440" w:left="1440" w:header="720" w:footer="720" w:gutter="0"/>
          <w:cols w:space="720"/>
          <w:titlePg/>
          <w:docGrid w:linePitch="360"/>
        </w:sectPr>
      </w:pPr>
    </w:p>
    <w:p w:rsidR="00D64A4C" w:rsidRDefault="00D64A4C" w:rsidP="00D64A4C">
      <w:pPr>
        <w:spacing w:line="240" w:lineRule="auto"/>
        <w:contextualSpacing/>
        <w:jc w:val="left"/>
        <w:rPr>
          <w:rFonts w:ascii="Microsoft Sans Serif"/>
          <w:b/>
        </w:rPr>
      </w:pPr>
      <w:r>
        <w:rPr>
          <w:rFonts w:ascii="Microsoft Sans Serif"/>
          <w:b/>
          <w:u w:val="single"/>
        </w:rPr>
        <w:lastRenderedPageBreak/>
        <w:t>C-2017-2621095 - SANJU JOHN v. PHILADELPHIA GAS WORKS</w:t>
      </w:r>
      <w:r>
        <w:rPr>
          <w:rFonts w:ascii="Microsoft Sans Serif"/>
          <w:b/>
          <w:u w:val="single"/>
        </w:rPr>
        <w:cr/>
      </w:r>
      <w:r>
        <w:rPr>
          <w:rFonts w:ascii="Microsoft Sans Serif"/>
        </w:rPr>
        <w:cr/>
        <w:t>SANJU JOHN</w:t>
      </w:r>
      <w:r>
        <w:rPr>
          <w:rFonts w:ascii="Microsoft Sans Serif"/>
        </w:rPr>
        <w:cr/>
        <w:t>1901 FOSTER STREET</w:t>
      </w:r>
      <w:r>
        <w:rPr>
          <w:rFonts w:ascii="Microsoft Sans Serif"/>
        </w:rPr>
        <w:cr/>
        <w:t>PHILADELPHIA PA  19116</w:t>
      </w:r>
      <w:r>
        <w:rPr>
          <w:rFonts w:ascii="Microsoft Sans Serif"/>
        </w:rPr>
        <w:cr/>
      </w:r>
      <w:r>
        <w:rPr>
          <w:rFonts w:ascii="Microsoft Sans Serif"/>
          <w:b/>
        </w:rPr>
        <w:t>267.342.</w:t>
      </w:r>
      <w:r w:rsidRPr="00CA454D">
        <w:rPr>
          <w:rFonts w:ascii="Microsoft Sans Serif"/>
          <w:b/>
        </w:rPr>
        <w:t>2995</w:t>
      </w:r>
      <w:r>
        <w:rPr>
          <w:rFonts w:ascii="Microsoft Sans Serif"/>
        </w:rPr>
        <w:cr/>
      </w:r>
      <w:r>
        <w:rPr>
          <w:rFonts w:ascii="Microsoft Sans Serif"/>
          <w:b/>
          <w:u w:val="single"/>
        </w:rPr>
        <w:cr/>
      </w:r>
      <w:r>
        <w:rPr>
          <w:rFonts w:ascii="Microsoft Sans Serif"/>
        </w:rPr>
        <w:t>GRACIELA CHRISTLIEB ESQUIRE</w:t>
      </w:r>
      <w:r>
        <w:rPr>
          <w:rFonts w:ascii="Microsoft Sans Serif"/>
        </w:rPr>
        <w:cr/>
        <w:t>800 WEST MONTGOMERY AVENUE</w:t>
      </w:r>
      <w:r>
        <w:rPr>
          <w:rFonts w:ascii="Microsoft Sans Serif"/>
        </w:rPr>
        <w:cr/>
        <w:t>PHILADELPHIA PA  19122</w:t>
      </w:r>
      <w:r>
        <w:rPr>
          <w:rFonts w:ascii="Microsoft Sans Serif"/>
        </w:rPr>
        <w:cr/>
      </w:r>
      <w:r w:rsidRPr="00CA454D">
        <w:rPr>
          <w:rFonts w:ascii="Microsoft Sans Serif"/>
          <w:b/>
        </w:rPr>
        <w:t>215.684.6164</w:t>
      </w:r>
    </w:p>
    <w:p w:rsidR="00D64A4C" w:rsidRPr="00D64A4C" w:rsidRDefault="00D64A4C" w:rsidP="00D64A4C">
      <w:pPr>
        <w:spacing w:line="240" w:lineRule="auto"/>
        <w:contextualSpacing/>
        <w:jc w:val="left"/>
        <w:rPr>
          <w:rFonts w:ascii="Microsoft Sans Serif"/>
          <w:b/>
          <w:i/>
        </w:rPr>
      </w:pPr>
      <w:r w:rsidRPr="00D64A4C">
        <w:rPr>
          <w:rFonts w:ascii="Microsoft Sans Serif"/>
          <w:b/>
          <w:i/>
        </w:rPr>
        <w:t>Accepts E-service</w:t>
      </w:r>
    </w:p>
    <w:p w:rsidR="00D64A4C" w:rsidRPr="00CA454D" w:rsidRDefault="00D64A4C" w:rsidP="00D64A4C">
      <w:pPr>
        <w:spacing w:line="240" w:lineRule="auto"/>
        <w:contextualSpacing/>
        <w:jc w:val="left"/>
        <w:rPr>
          <w:i/>
        </w:rPr>
      </w:pPr>
      <w:r w:rsidRPr="00CA454D">
        <w:rPr>
          <w:rFonts w:ascii="Microsoft Sans Serif"/>
          <w:i/>
        </w:rPr>
        <w:t>Representing</w:t>
      </w:r>
      <w:r w:rsidRPr="00CA454D">
        <w:rPr>
          <w:rFonts w:ascii="Microsoft Sans Serif"/>
        </w:rPr>
        <w:t xml:space="preserve"> </w:t>
      </w:r>
      <w:r w:rsidRPr="00CA454D">
        <w:rPr>
          <w:rFonts w:ascii="Microsoft Sans Serif"/>
          <w:i/>
        </w:rPr>
        <w:t xml:space="preserve">Philadelphia Gas Works </w:t>
      </w:r>
      <w:r w:rsidRPr="00CA454D">
        <w:rPr>
          <w:rFonts w:ascii="Microsoft Sans Serif"/>
          <w:i/>
        </w:rPr>
        <w:cr/>
      </w:r>
    </w:p>
    <w:p w:rsidR="001C4793" w:rsidRPr="001C4793" w:rsidRDefault="001C4793" w:rsidP="00D64A4C">
      <w:pPr>
        <w:jc w:val="left"/>
      </w:pPr>
    </w:p>
    <w:sectPr w:rsidR="001C4793" w:rsidRPr="001C4793" w:rsidSect="00E04D1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92C" w:rsidRDefault="002A792C" w:rsidP="00E04D1A">
      <w:pPr>
        <w:spacing w:line="240" w:lineRule="auto"/>
      </w:pPr>
      <w:r>
        <w:separator/>
      </w:r>
    </w:p>
  </w:endnote>
  <w:endnote w:type="continuationSeparator" w:id="0">
    <w:p w:rsidR="002A792C" w:rsidRDefault="002A792C" w:rsidP="00E04D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D1A" w:rsidRDefault="00E04D1A" w:rsidP="00D64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92C" w:rsidRDefault="002A792C" w:rsidP="00E04D1A">
      <w:pPr>
        <w:spacing w:line="240" w:lineRule="auto"/>
      </w:pPr>
      <w:r>
        <w:separator/>
      </w:r>
    </w:p>
  </w:footnote>
  <w:footnote w:type="continuationSeparator" w:id="0">
    <w:p w:rsidR="002A792C" w:rsidRDefault="002A792C" w:rsidP="00E04D1A">
      <w:pPr>
        <w:spacing w:line="240" w:lineRule="auto"/>
      </w:pPr>
      <w:r>
        <w:continuationSeparator/>
      </w:r>
    </w:p>
  </w:footnote>
  <w:footnote w:id="1">
    <w:p w:rsidR="00916777" w:rsidRDefault="00916777" w:rsidP="00916777">
      <w:pPr>
        <w:pStyle w:val="FootnoteText"/>
        <w:jc w:val="left"/>
      </w:pPr>
      <w:r>
        <w:rPr>
          <w:rStyle w:val="FootnoteReference"/>
        </w:rPr>
        <w:footnoteRef/>
      </w:r>
      <w:r>
        <w:t xml:space="preserve"> PGW’s </w:t>
      </w:r>
      <w:r w:rsidR="006867F3">
        <w:t>m</w:t>
      </w:r>
      <w:r>
        <w:t xml:space="preserve">otion for </w:t>
      </w:r>
      <w:r w:rsidR="006867F3">
        <w:t>s</w:t>
      </w:r>
      <w:r>
        <w:t xml:space="preserve">ummary </w:t>
      </w:r>
      <w:r w:rsidR="006867F3">
        <w:t>j</w:t>
      </w:r>
      <w:r>
        <w:t>udgment will be address</w:t>
      </w:r>
      <w:r w:rsidR="006867F3">
        <w:t>ed</w:t>
      </w:r>
      <w:r>
        <w:t xml:space="preserve"> in a separate order.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793"/>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412"/>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6063"/>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67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4793"/>
    <w:rsid w:val="001C537D"/>
    <w:rsid w:val="001C64B4"/>
    <w:rsid w:val="001C65CD"/>
    <w:rsid w:val="001D05DB"/>
    <w:rsid w:val="001D0876"/>
    <w:rsid w:val="001D0F91"/>
    <w:rsid w:val="001D1F1B"/>
    <w:rsid w:val="001D3FB1"/>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2555"/>
    <w:rsid w:val="0029353E"/>
    <w:rsid w:val="00293F4E"/>
    <w:rsid w:val="00296B74"/>
    <w:rsid w:val="00297286"/>
    <w:rsid w:val="002A05C6"/>
    <w:rsid w:val="002A1522"/>
    <w:rsid w:val="002A17F4"/>
    <w:rsid w:val="002A4E7E"/>
    <w:rsid w:val="002A5F4D"/>
    <w:rsid w:val="002A70E9"/>
    <w:rsid w:val="002A792C"/>
    <w:rsid w:val="002A7A0A"/>
    <w:rsid w:val="002B0D61"/>
    <w:rsid w:val="002B21CE"/>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066"/>
    <w:rsid w:val="00344C34"/>
    <w:rsid w:val="00344ECD"/>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4ED"/>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653"/>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273"/>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1F9"/>
    <w:rsid w:val="005C373B"/>
    <w:rsid w:val="005C3DD2"/>
    <w:rsid w:val="005C4AAA"/>
    <w:rsid w:val="005C610A"/>
    <w:rsid w:val="005D1442"/>
    <w:rsid w:val="005D1922"/>
    <w:rsid w:val="005D2788"/>
    <w:rsid w:val="005D4281"/>
    <w:rsid w:val="005D6D2F"/>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17B41"/>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127A"/>
    <w:rsid w:val="006621E9"/>
    <w:rsid w:val="00662904"/>
    <w:rsid w:val="00664977"/>
    <w:rsid w:val="00664A57"/>
    <w:rsid w:val="00664C73"/>
    <w:rsid w:val="006671EA"/>
    <w:rsid w:val="00671999"/>
    <w:rsid w:val="006723EE"/>
    <w:rsid w:val="006764EA"/>
    <w:rsid w:val="00677DDE"/>
    <w:rsid w:val="00680B65"/>
    <w:rsid w:val="00681287"/>
    <w:rsid w:val="006815A6"/>
    <w:rsid w:val="00681FD9"/>
    <w:rsid w:val="0068285E"/>
    <w:rsid w:val="00684EF6"/>
    <w:rsid w:val="006856E2"/>
    <w:rsid w:val="006867F3"/>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6AA5"/>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4FA6"/>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5CA5"/>
    <w:rsid w:val="007B6474"/>
    <w:rsid w:val="007B7F0F"/>
    <w:rsid w:val="007C041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272"/>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777"/>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37F58"/>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04C"/>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2516"/>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8C3"/>
    <w:rsid w:val="00B86F52"/>
    <w:rsid w:val="00B878F5"/>
    <w:rsid w:val="00B91893"/>
    <w:rsid w:val="00B926BD"/>
    <w:rsid w:val="00B92DE8"/>
    <w:rsid w:val="00B93D8F"/>
    <w:rsid w:val="00B94AF0"/>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3F08"/>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190F"/>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A4C"/>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3909"/>
    <w:rsid w:val="00DC4772"/>
    <w:rsid w:val="00DC48CF"/>
    <w:rsid w:val="00DC5BB0"/>
    <w:rsid w:val="00DC6711"/>
    <w:rsid w:val="00DC6826"/>
    <w:rsid w:val="00DD20E3"/>
    <w:rsid w:val="00DD2605"/>
    <w:rsid w:val="00DD2AAA"/>
    <w:rsid w:val="00DD50B5"/>
    <w:rsid w:val="00DD519C"/>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D1A"/>
    <w:rsid w:val="00E04EFF"/>
    <w:rsid w:val="00E05212"/>
    <w:rsid w:val="00E05D02"/>
    <w:rsid w:val="00E0690D"/>
    <w:rsid w:val="00E101A9"/>
    <w:rsid w:val="00E12954"/>
    <w:rsid w:val="00E12A2F"/>
    <w:rsid w:val="00E12D9F"/>
    <w:rsid w:val="00E12FAE"/>
    <w:rsid w:val="00E13468"/>
    <w:rsid w:val="00E1638A"/>
    <w:rsid w:val="00E23F34"/>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245D"/>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4409"/>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180E"/>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50572"/>
  <w15:docId w15:val="{C9B8E763-734C-4033-A999-62D1CA73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D1A"/>
    <w:pPr>
      <w:tabs>
        <w:tab w:val="center" w:pos="4680"/>
        <w:tab w:val="right" w:pos="9360"/>
      </w:tabs>
      <w:spacing w:line="240" w:lineRule="auto"/>
    </w:pPr>
  </w:style>
  <w:style w:type="character" w:customStyle="1" w:styleId="HeaderChar">
    <w:name w:val="Header Char"/>
    <w:basedOn w:val="DefaultParagraphFont"/>
    <w:link w:val="Header"/>
    <w:uiPriority w:val="99"/>
    <w:rsid w:val="00E04D1A"/>
  </w:style>
  <w:style w:type="paragraph" w:styleId="Footer">
    <w:name w:val="footer"/>
    <w:basedOn w:val="Normal"/>
    <w:link w:val="FooterChar"/>
    <w:uiPriority w:val="99"/>
    <w:unhideWhenUsed/>
    <w:rsid w:val="00E04D1A"/>
    <w:pPr>
      <w:tabs>
        <w:tab w:val="center" w:pos="4680"/>
        <w:tab w:val="right" w:pos="9360"/>
      </w:tabs>
      <w:spacing w:line="240" w:lineRule="auto"/>
    </w:pPr>
  </w:style>
  <w:style w:type="character" w:customStyle="1" w:styleId="FooterChar">
    <w:name w:val="Footer Char"/>
    <w:basedOn w:val="DefaultParagraphFont"/>
    <w:link w:val="Footer"/>
    <w:uiPriority w:val="99"/>
    <w:rsid w:val="00E04D1A"/>
  </w:style>
  <w:style w:type="paragraph" w:styleId="FootnoteText">
    <w:name w:val="footnote text"/>
    <w:basedOn w:val="Normal"/>
    <w:link w:val="FootnoteTextChar"/>
    <w:uiPriority w:val="99"/>
    <w:semiHidden/>
    <w:unhideWhenUsed/>
    <w:rsid w:val="00916777"/>
    <w:pPr>
      <w:spacing w:line="240" w:lineRule="auto"/>
    </w:pPr>
    <w:rPr>
      <w:sz w:val="20"/>
      <w:szCs w:val="20"/>
    </w:rPr>
  </w:style>
  <w:style w:type="character" w:customStyle="1" w:styleId="FootnoteTextChar">
    <w:name w:val="Footnote Text Char"/>
    <w:basedOn w:val="DefaultParagraphFont"/>
    <w:link w:val="FootnoteText"/>
    <w:uiPriority w:val="99"/>
    <w:semiHidden/>
    <w:rsid w:val="00916777"/>
    <w:rPr>
      <w:sz w:val="20"/>
      <w:szCs w:val="20"/>
    </w:rPr>
  </w:style>
  <w:style w:type="character" w:styleId="FootnoteReference">
    <w:name w:val="footnote reference"/>
    <w:basedOn w:val="DefaultParagraphFont"/>
    <w:uiPriority w:val="99"/>
    <w:semiHidden/>
    <w:unhideWhenUsed/>
    <w:rsid w:val="00916777"/>
    <w:rPr>
      <w:vertAlign w:val="superscript"/>
    </w:rPr>
  </w:style>
  <w:style w:type="paragraph" w:styleId="BalloonText">
    <w:name w:val="Balloon Text"/>
    <w:basedOn w:val="Normal"/>
    <w:link w:val="BalloonTextChar"/>
    <w:uiPriority w:val="99"/>
    <w:semiHidden/>
    <w:unhideWhenUsed/>
    <w:rsid w:val="00D64A4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A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BF2EB-E26B-40FA-A4B9-EAD045CBE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2017-11-06T14:49:00Z</cp:lastPrinted>
  <dcterms:created xsi:type="dcterms:W3CDTF">2017-11-06T14:49:00Z</dcterms:created>
  <dcterms:modified xsi:type="dcterms:W3CDTF">2017-11-06T14:49:00Z</dcterms:modified>
</cp:coreProperties>
</file>