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960" w:rsidRDefault="001C4793" w:rsidP="006469A4">
      <w:pPr>
        <w:spacing w:line="240" w:lineRule="auto"/>
        <w:jc w:val="left"/>
        <w:rPr>
          <w:b/>
        </w:rPr>
      </w:pPr>
      <w:r>
        <w:rPr>
          <w:b/>
        </w:rPr>
        <w:t>BEFORE THE</w:t>
      </w:r>
    </w:p>
    <w:p w:rsidR="001C4793" w:rsidRDefault="001C4793" w:rsidP="006469A4">
      <w:pPr>
        <w:spacing w:line="240" w:lineRule="auto"/>
        <w:jc w:val="left"/>
        <w:rPr>
          <w:b/>
        </w:rPr>
      </w:pPr>
      <w:r>
        <w:rPr>
          <w:b/>
        </w:rPr>
        <w:t>PENNSYLVANIA PUBLIC UTILITY COMMISSION</w:t>
      </w:r>
    </w:p>
    <w:p w:rsidR="001C4793" w:rsidRDefault="001C4793" w:rsidP="006469A4">
      <w:pPr>
        <w:spacing w:line="240" w:lineRule="auto"/>
        <w:jc w:val="left"/>
        <w:rPr>
          <w:b/>
        </w:rPr>
      </w:pPr>
    </w:p>
    <w:p w:rsidR="001C4793" w:rsidRDefault="001C4793" w:rsidP="006469A4">
      <w:pPr>
        <w:spacing w:line="240" w:lineRule="auto"/>
        <w:jc w:val="left"/>
        <w:rPr>
          <w:b/>
        </w:rPr>
      </w:pPr>
    </w:p>
    <w:p w:rsidR="006469A4" w:rsidRDefault="006469A4" w:rsidP="006469A4">
      <w:pPr>
        <w:spacing w:line="240" w:lineRule="auto"/>
        <w:jc w:val="left"/>
        <w:rPr>
          <w:b/>
        </w:rPr>
      </w:pPr>
    </w:p>
    <w:p w:rsidR="001C4793" w:rsidRDefault="006671EA" w:rsidP="006469A4">
      <w:pPr>
        <w:spacing w:line="240" w:lineRule="auto"/>
        <w:jc w:val="left"/>
      </w:pPr>
      <w:proofErr w:type="spellStart"/>
      <w:r>
        <w:t>Sanju</w:t>
      </w:r>
      <w:proofErr w:type="spellEnd"/>
      <w:r>
        <w:t xml:space="preserve"> John</w:t>
      </w:r>
      <w:r w:rsidR="00B868C3">
        <w:tab/>
      </w:r>
      <w:r w:rsidR="001C4793">
        <w:tab/>
      </w:r>
      <w:r w:rsidR="001C4793">
        <w:tab/>
      </w:r>
      <w:r w:rsidR="001C4793">
        <w:tab/>
      </w:r>
      <w:r w:rsidR="001C4793">
        <w:tab/>
      </w:r>
      <w:r w:rsidR="001C4793">
        <w:tab/>
        <w:t>:</w:t>
      </w:r>
    </w:p>
    <w:p w:rsidR="001C4793" w:rsidRDefault="001C4793" w:rsidP="006469A4">
      <w:pPr>
        <w:spacing w:line="240" w:lineRule="auto"/>
        <w:jc w:val="left"/>
      </w:pPr>
      <w:r>
        <w:tab/>
      </w:r>
      <w:r>
        <w:tab/>
      </w:r>
      <w:r>
        <w:tab/>
      </w:r>
      <w:r>
        <w:tab/>
      </w:r>
      <w:r>
        <w:tab/>
      </w:r>
      <w:r>
        <w:tab/>
      </w:r>
      <w:r>
        <w:tab/>
        <w:t>:</w:t>
      </w:r>
    </w:p>
    <w:p w:rsidR="001C4793" w:rsidRDefault="001C4793" w:rsidP="006469A4">
      <w:pPr>
        <w:spacing w:line="240" w:lineRule="auto"/>
        <w:jc w:val="left"/>
      </w:pPr>
      <w:r>
        <w:tab/>
        <w:t>v.</w:t>
      </w:r>
      <w:r>
        <w:tab/>
      </w:r>
      <w:r>
        <w:tab/>
      </w:r>
      <w:r>
        <w:tab/>
      </w:r>
      <w:r>
        <w:tab/>
      </w:r>
      <w:r>
        <w:tab/>
      </w:r>
      <w:r>
        <w:tab/>
        <w:t>:</w:t>
      </w:r>
      <w:r>
        <w:tab/>
      </w:r>
      <w:r>
        <w:tab/>
        <w:t>C-201</w:t>
      </w:r>
      <w:r w:rsidR="006671EA">
        <w:t>7</w:t>
      </w:r>
      <w:r>
        <w:t>-</w:t>
      </w:r>
      <w:r w:rsidR="00B868C3">
        <w:t>2</w:t>
      </w:r>
      <w:r w:rsidR="006671EA">
        <w:t>621095</w:t>
      </w:r>
    </w:p>
    <w:p w:rsidR="001C4793" w:rsidRDefault="001C4793" w:rsidP="006469A4">
      <w:pPr>
        <w:spacing w:line="240" w:lineRule="auto"/>
        <w:jc w:val="left"/>
      </w:pPr>
      <w:r>
        <w:tab/>
      </w:r>
      <w:r>
        <w:tab/>
      </w:r>
      <w:r>
        <w:tab/>
      </w:r>
      <w:r>
        <w:tab/>
      </w:r>
      <w:r>
        <w:tab/>
      </w:r>
      <w:r>
        <w:tab/>
      </w:r>
      <w:r>
        <w:tab/>
        <w:t>:</w:t>
      </w:r>
    </w:p>
    <w:p w:rsidR="001C4793" w:rsidRDefault="001C4793" w:rsidP="006469A4">
      <w:pPr>
        <w:spacing w:line="240" w:lineRule="auto"/>
        <w:jc w:val="left"/>
      </w:pPr>
      <w:r>
        <w:t>P</w:t>
      </w:r>
      <w:r w:rsidR="006671EA">
        <w:t>hiladelphia</w:t>
      </w:r>
      <w:r>
        <w:t xml:space="preserve"> Gas </w:t>
      </w:r>
      <w:r w:rsidR="006671EA">
        <w:t>Works</w:t>
      </w:r>
      <w:r w:rsidR="006671EA">
        <w:tab/>
      </w:r>
      <w:r>
        <w:tab/>
      </w:r>
      <w:r>
        <w:tab/>
      </w:r>
      <w:r>
        <w:tab/>
        <w:t>:</w:t>
      </w:r>
    </w:p>
    <w:p w:rsidR="001C4793" w:rsidRDefault="001C4793" w:rsidP="006469A4">
      <w:pPr>
        <w:spacing w:line="240" w:lineRule="auto"/>
        <w:jc w:val="left"/>
      </w:pPr>
    </w:p>
    <w:p w:rsidR="001C4793" w:rsidRDefault="001C4793" w:rsidP="006469A4">
      <w:pPr>
        <w:spacing w:line="240" w:lineRule="auto"/>
        <w:jc w:val="left"/>
      </w:pPr>
    </w:p>
    <w:p w:rsidR="006469A4" w:rsidRDefault="006469A4" w:rsidP="006469A4">
      <w:pPr>
        <w:spacing w:line="240" w:lineRule="auto"/>
        <w:jc w:val="left"/>
      </w:pPr>
    </w:p>
    <w:p w:rsidR="001D33A2" w:rsidRDefault="00937F58" w:rsidP="006469A4">
      <w:pPr>
        <w:spacing w:line="240" w:lineRule="auto"/>
        <w:jc w:val="left"/>
        <w:rPr>
          <w:b/>
        </w:rPr>
      </w:pPr>
      <w:r>
        <w:rPr>
          <w:b/>
        </w:rPr>
        <w:t xml:space="preserve">ORDER </w:t>
      </w:r>
      <w:r w:rsidR="001D33A2">
        <w:rPr>
          <w:b/>
        </w:rPr>
        <w:t xml:space="preserve">DENYING </w:t>
      </w:r>
    </w:p>
    <w:p w:rsidR="00937F58" w:rsidRDefault="001D33A2" w:rsidP="006469A4">
      <w:pPr>
        <w:spacing w:line="240" w:lineRule="auto"/>
        <w:jc w:val="left"/>
        <w:rPr>
          <w:b/>
        </w:rPr>
      </w:pPr>
      <w:r>
        <w:rPr>
          <w:b/>
        </w:rPr>
        <w:t>MOTION FOR SUMMARY JUDGMENT F</w:t>
      </w:r>
      <w:r w:rsidR="00937F58">
        <w:rPr>
          <w:b/>
        </w:rPr>
        <w:t xml:space="preserve">ILED BY </w:t>
      </w:r>
    </w:p>
    <w:p w:rsidR="006671EA" w:rsidRDefault="006671EA" w:rsidP="006469A4">
      <w:pPr>
        <w:spacing w:line="240" w:lineRule="auto"/>
        <w:jc w:val="left"/>
        <w:rPr>
          <w:b/>
        </w:rPr>
      </w:pPr>
      <w:r>
        <w:rPr>
          <w:b/>
        </w:rPr>
        <w:t>PHILADELPHIA GAS WORKS</w:t>
      </w:r>
    </w:p>
    <w:p w:rsidR="00937F58" w:rsidRPr="00937F58" w:rsidRDefault="00937F58" w:rsidP="006469A4">
      <w:pPr>
        <w:spacing w:line="240" w:lineRule="auto"/>
        <w:jc w:val="left"/>
        <w:rPr>
          <w:b/>
        </w:rPr>
      </w:pPr>
    </w:p>
    <w:p w:rsidR="001C4793" w:rsidRDefault="001C4793" w:rsidP="006469A4">
      <w:pPr>
        <w:spacing w:line="240" w:lineRule="auto"/>
        <w:jc w:val="left"/>
      </w:pPr>
    </w:p>
    <w:p w:rsidR="001C4793" w:rsidRDefault="001C4793" w:rsidP="006469A4">
      <w:pPr>
        <w:spacing w:line="240" w:lineRule="auto"/>
        <w:jc w:val="left"/>
        <w:rPr>
          <w:u w:val="single"/>
        </w:rPr>
      </w:pPr>
      <w:r>
        <w:rPr>
          <w:u w:val="single"/>
        </w:rPr>
        <w:t>HISTORY OF THE PROCEEDING</w:t>
      </w:r>
    </w:p>
    <w:p w:rsidR="001C4793" w:rsidRDefault="001C4793" w:rsidP="006469A4">
      <w:pPr>
        <w:spacing w:line="240" w:lineRule="auto"/>
        <w:jc w:val="left"/>
        <w:rPr>
          <w:u w:val="single"/>
        </w:rPr>
      </w:pPr>
    </w:p>
    <w:p w:rsidR="001C4793" w:rsidRDefault="001C4793" w:rsidP="006469A4">
      <w:pPr>
        <w:jc w:val="left"/>
      </w:pPr>
      <w:r>
        <w:tab/>
      </w:r>
      <w:r>
        <w:tab/>
        <w:t xml:space="preserve">On </w:t>
      </w:r>
      <w:r w:rsidR="006671EA">
        <w:t xml:space="preserve">August 14, 2017, the Complainant, </w:t>
      </w:r>
      <w:proofErr w:type="spellStart"/>
      <w:r w:rsidR="006671EA">
        <w:t>Sanju</w:t>
      </w:r>
      <w:proofErr w:type="spellEnd"/>
      <w:r w:rsidR="006671EA">
        <w:t xml:space="preserve"> John, </w:t>
      </w:r>
      <w:r>
        <w:t xml:space="preserve">filed a </w:t>
      </w:r>
      <w:r w:rsidR="006671EA">
        <w:t>f</w:t>
      </w:r>
      <w:r>
        <w:t xml:space="preserve">ormal </w:t>
      </w:r>
      <w:r w:rsidR="006671EA">
        <w:t>c</w:t>
      </w:r>
      <w:r>
        <w:t>omplaint against P</w:t>
      </w:r>
      <w:r w:rsidR="006671EA">
        <w:t>hiladelphia</w:t>
      </w:r>
      <w:r>
        <w:t xml:space="preserve"> Gas </w:t>
      </w:r>
      <w:r w:rsidR="006671EA">
        <w:t>Works</w:t>
      </w:r>
      <w:r>
        <w:t xml:space="preserve"> (</w:t>
      </w:r>
      <w:r w:rsidR="006671EA">
        <w:t>PGW</w:t>
      </w:r>
      <w:r>
        <w:t xml:space="preserve">) </w:t>
      </w:r>
      <w:r w:rsidR="00022412">
        <w:t xml:space="preserve">wherein </w:t>
      </w:r>
      <w:r w:rsidR="0066127A">
        <w:t xml:space="preserve">he </w:t>
      </w:r>
      <w:r>
        <w:t>alleg</w:t>
      </w:r>
      <w:r w:rsidR="0066127A">
        <w:t>e</w:t>
      </w:r>
      <w:r w:rsidR="006671EA">
        <w:t>d</w:t>
      </w:r>
      <w:r>
        <w:t xml:space="preserve"> that</w:t>
      </w:r>
      <w:r w:rsidR="00E23F34">
        <w:t xml:space="preserve"> </w:t>
      </w:r>
      <w:r w:rsidR="006671EA">
        <w:t xml:space="preserve">PGW failed to repair a cracked sidewalk and replace a curb following the installation of new gas lines on his property.  </w:t>
      </w:r>
      <w:r w:rsidR="00E23F34">
        <w:t>By way of relief, the Complainant is requesting that P</w:t>
      </w:r>
      <w:r w:rsidR="006671EA">
        <w:t xml:space="preserve">GW replace the missing curb and repair the cracked sidewalk.  </w:t>
      </w:r>
      <w:r w:rsidR="00E23F34">
        <w:t xml:space="preserve">  </w:t>
      </w:r>
    </w:p>
    <w:p w:rsidR="001C4793" w:rsidRDefault="001C4793" w:rsidP="006469A4">
      <w:pPr>
        <w:jc w:val="left"/>
      </w:pPr>
    </w:p>
    <w:p w:rsidR="001C4793" w:rsidRDefault="001C4793" w:rsidP="006469A4">
      <w:pPr>
        <w:jc w:val="left"/>
      </w:pPr>
      <w:r>
        <w:tab/>
      </w:r>
      <w:r>
        <w:tab/>
      </w:r>
      <w:r w:rsidR="006671EA">
        <w:t>On September 14, 2017, PGW filed an answer with new matter, preliminary objections and</w:t>
      </w:r>
      <w:r w:rsidR="00AF0392">
        <w:t xml:space="preserve"> a</w:t>
      </w:r>
      <w:r w:rsidR="006671EA">
        <w:t xml:space="preserve"> motion for summary judgement.  </w:t>
      </w:r>
      <w:r w:rsidR="00916777">
        <w:t xml:space="preserve">Notices to Plead were properly attached to both the preliminary objections and the motion for summary judgment.  </w:t>
      </w:r>
      <w:r w:rsidR="007B5CA5">
        <w:t xml:space="preserve">In its </w:t>
      </w:r>
      <w:r w:rsidR="00794FA6">
        <w:t>a</w:t>
      </w:r>
      <w:r w:rsidR="007B5CA5">
        <w:t xml:space="preserve">nswer, </w:t>
      </w:r>
      <w:r w:rsidR="006671EA">
        <w:t xml:space="preserve">PGW </w:t>
      </w:r>
      <w:r w:rsidR="007B5CA5">
        <w:t xml:space="preserve">denied </w:t>
      </w:r>
      <w:r w:rsidR="001667B2">
        <w:t>that</w:t>
      </w:r>
      <w:r w:rsidR="00794FA6">
        <w:t xml:space="preserve"> there is a reliability, safety or quality problem associated with the service provided to the service address at issue.  In its new matter, PGW avers that the Complainant is not the ratepayer or owner of the property at issue, and he is not a PGW customer.  </w:t>
      </w:r>
      <w:r w:rsidR="001667B2">
        <w:t xml:space="preserve"> </w:t>
      </w:r>
    </w:p>
    <w:p w:rsidR="005C31F9" w:rsidRDefault="005C31F9" w:rsidP="006469A4">
      <w:pPr>
        <w:jc w:val="left"/>
      </w:pPr>
    </w:p>
    <w:p w:rsidR="001D33A2" w:rsidRDefault="005C31F9" w:rsidP="006469A4">
      <w:pPr>
        <w:jc w:val="left"/>
      </w:pPr>
      <w:r>
        <w:tab/>
      </w:r>
      <w:r>
        <w:tab/>
      </w:r>
      <w:r w:rsidR="002B21CE">
        <w:t xml:space="preserve">In its </w:t>
      </w:r>
      <w:r w:rsidR="00794FA6">
        <w:t>p</w:t>
      </w:r>
      <w:r w:rsidR="00292555">
        <w:t xml:space="preserve">reliminary </w:t>
      </w:r>
      <w:r w:rsidR="00794FA6">
        <w:t>o</w:t>
      </w:r>
      <w:r w:rsidR="00292555">
        <w:t>bjections,</w:t>
      </w:r>
      <w:r w:rsidR="002B21CE">
        <w:t xml:space="preserve"> </w:t>
      </w:r>
      <w:r w:rsidR="00794FA6">
        <w:t>PGW requests that the complaint be dismissed preliminarily</w:t>
      </w:r>
      <w:r w:rsidR="00CD190F">
        <w:t xml:space="preserve"> on the basis that the Commission is without authorization to order the relief request</w:t>
      </w:r>
      <w:r w:rsidR="00916777">
        <w:t>ed</w:t>
      </w:r>
      <w:r w:rsidR="00CD190F">
        <w:t xml:space="preserve"> by Mr. John.  </w:t>
      </w:r>
      <w:r w:rsidR="00916777">
        <w:t>PGW</w:t>
      </w:r>
      <w:r w:rsidR="00CD190F">
        <w:t xml:space="preserve"> argues that</w:t>
      </w:r>
      <w:r w:rsidR="00916777">
        <w:t xml:space="preserve"> since it does not perform the concrete repair work sought by the Complainant, it would have to contract with someone who does, thereby making the relief sought by the Complainant tantamount to </w:t>
      </w:r>
      <w:r w:rsidR="00AF0392">
        <w:t xml:space="preserve">an award of </w:t>
      </w:r>
      <w:r w:rsidR="00916777">
        <w:t xml:space="preserve">monetary damages, the payment </w:t>
      </w:r>
      <w:r w:rsidR="00916777">
        <w:lastRenderedPageBreak/>
        <w:t xml:space="preserve">of which the Commission cannot order.  PGW argues that </w:t>
      </w:r>
      <w:r w:rsidR="00292555">
        <w:t xml:space="preserve">the request constitutes impertinent matter within the meaning of 52 </w:t>
      </w:r>
      <w:proofErr w:type="spellStart"/>
      <w:proofErr w:type="gramStart"/>
      <w:r w:rsidR="00292555">
        <w:t>Pa.Code</w:t>
      </w:r>
      <w:proofErr w:type="spellEnd"/>
      <w:proofErr w:type="gramEnd"/>
      <w:r w:rsidR="00292555">
        <w:t xml:space="preserve"> §5.101(a)(2)</w:t>
      </w:r>
      <w:r w:rsidR="00916777">
        <w:t>.  The Complainant did not file an answer to PGW’s preliminary objections.</w:t>
      </w:r>
      <w:r w:rsidR="003C5EFE">
        <w:rPr>
          <w:rStyle w:val="FootnoteReference"/>
        </w:rPr>
        <w:footnoteReference w:id="1"/>
      </w:r>
    </w:p>
    <w:p w:rsidR="001D33A2" w:rsidRDefault="001D33A2" w:rsidP="006469A4">
      <w:pPr>
        <w:jc w:val="left"/>
      </w:pPr>
    </w:p>
    <w:p w:rsidR="005C31F9" w:rsidRDefault="001D33A2" w:rsidP="006469A4">
      <w:pPr>
        <w:jc w:val="left"/>
      </w:pPr>
      <w:r>
        <w:tab/>
      </w:r>
      <w:r>
        <w:tab/>
        <w:t xml:space="preserve">In its motion for summary judgment, PGW </w:t>
      </w:r>
      <w:r w:rsidR="006411B5">
        <w:t>avers</w:t>
      </w:r>
      <w:r w:rsidR="003C5EFE">
        <w:t xml:space="preserve"> that the Complainant </w:t>
      </w:r>
      <w:r w:rsidR="006411B5">
        <w:t>is</w:t>
      </w:r>
      <w:r w:rsidR="003C5EFE">
        <w:t xml:space="preserve"> neither the property owner of the address at issue nor the ratepayer for the service provided to the address.  </w:t>
      </w:r>
      <w:r w:rsidR="009062D1">
        <w:t xml:space="preserve">It </w:t>
      </w:r>
      <w:r w:rsidR="006411B5">
        <w:t>states</w:t>
      </w:r>
      <w:r w:rsidR="009062D1">
        <w:t xml:space="preserve"> that PGW’s record</w:t>
      </w:r>
      <w:r w:rsidR="006411B5">
        <w:t>s</w:t>
      </w:r>
      <w:r w:rsidR="009062D1">
        <w:t xml:space="preserve"> indicate that Mr. John is not a PGW customer, and that documents from Philadelphia’s Bureau of Revision of Taxes indicate that he is not the owner of the property.  It argues that, since Mr. John is not a PGW customer, he does not have the requisite interest necessary to confer standing to bring the complaint.  </w:t>
      </w:r>
      <w:r>
        <w:t xml:space="preserve"> </w:t>
      </w:r>
      <w:r w:rsidR="00916777">
        <w:t xml:space="preserve">  </w:t>
      </w:r>
    </w:p>
    <w:p w:rsidR="00292555" w:rsidRDefault="00292555" w:rsidP="006469A4">
      <w:pPr>
        <w:jc w:val="left"/>
      </w:pPr>
    </w:p>
    <w:p w:rsidR="005C31F9" w:rsidRDefault="005C31F9" w:rsidP="006469A4">
      <w:pPr>
        <w:jc w:val="left"/>
      </w:pPr>
      <w:r>
        <w:tab/>
      </w:r>
      <w:r>
        <w:tab/>
      </w:r>
      <w:r w:rsidR="00AB504C">
        <w:t xml:space="preserve">By Motion Judge Assignment Notice </w:t>
      </w:r>
      <w:r w:rsidR="00022412">
        <w:t>dat</w:t>
      </w:r>
      <w:r w:rsidR="00AB504C">
        <w:t xml:space="preserve">ed </w:t>
      </w:r>
      <w:r w:rsidR="00916777">
        <w:t>October 23, 2017</w:t>
      </w:r>
      <w:r w:rsidR="00AB504C">
        <w:t xml:space="preserve">, the matter has been assigned to me.  The </w:t>
      </w:r>
      <w:r w:rsidR="009062D1">
        <w:t>motion for summary judgment is</w:t>
      </w:r>
      <w:r w:rsidR="00AB504C">
        <w:t xml:space="preserve"> </w:t>
      </w:r>
      <w:r w:rsidR="00022412">
        <w:t xml:space="preserve">ready </w:t>
      </w:r>
      <w:r w:rsidR="00AB504C">
        <w:t xml:space="preserve">for </w:t>
      </w:r>
      <w:r w:rsidR="00022412">
        <w:t>decision</w:t>
      </w:r>
      <w:r w:rsidR="00AB504C">
        <w:t>.</w:t>
      </w:r>
    </w:p>
    <w:p w:rsidR="00AB504C" w:rsidRDefault="00AB504C" w:rsidP="006469A4">
      <w:pPr>
        <w:jc w:val="left"/>
      </w:pPr>
    </w:p>
    <w:p w:rsidR="00AB504C" w:rsidRDefault="00AB504C" w:rsidP="006469A4">
      <w:pPr>
        <w:jc w:val="left"/>
        <w:rPr>
          <w:u w:val="single"/>
        </w:rPr>
      </w:pPr>
      <w:r>
        <w:rPr>
          <w:u w:val="single"/>
        </w:rPr>
        <w:t>DISCUSSION</w:t>
      </w:r>
    </w:p>
    <w:p w:rsidR="00AB504C" w:rsidRPr="00AB504C" w:rsidRDefault="00AB504C" w:rsidP="006469A4">
      <w:pPr>
        <w:jc w:val="left"/>
      </w:pPr>
    </w:p>
    <w:p w:rsidR="00E04D1A" w:rsidRDefault="00AB504C" w:rsidP="006469A4">
      <w:pPr>
        <w:jc w:val="left"/>
      </w:pPr>
      <w:r w:rsidRPr="00AB504C">
        <w:tab/>
      </w:r>
      <w:r>
        <w:tab/>
      </w:r>
      <w:r w:rsidR="006411B5">
        <w:t xml:space="preserve">Parties to proceedings before the Commission may file motions for summary judgment.  52 </w:t>
      </w:r>
      <w:proofErr w:type="spellStart"/>
      <w:proofErr w:type="gramStart"/>
      <w:r w:rsidR="006411B5">
        <w:t>Pa.Code</w:t>
      </w:r>
      <w:proofErr w:type="spellEnd"/>
      <w:proofErr w:type="gramEnd"/>
      <w:r w:rsidR="006411B5">
        <w:t xml:space="preserve"> § 5.102.  Motions must be based on the pleadings and depositions, answers to interrogatories, admissions and supporting affidavits.  A motion for summary judgment may be granted by a presiding officer if the pleadings, depositions, answers to interrogatories, admissions and supporting affidavits, if any, show that there are no genuine issues as to material facts and that the moving party is entitled to a judgment as a matter of law.  52 </w:t>
      </w:r>
      <w:proofErr w:type="spellStart"/>
      <w:proofErr w:type="gramStart"/>
      <w:r w:rsidR="006411B5">
        <w:t>Pa.Code</w:t>
      </w:r>
      <w:proofErr w:type="spellEnd"/>
      <w:proofErr w:type="gramEnd"/>
      <w:r w:rsidR="006411B5">
        <w:t xml:space="preserve"> § 5.102(d)(1).   </w:t>
      </w:r>
    </w:p>
    <w:p w:rsidR="00E04D1A" w:rsidRDefault="00E04D1A" w:rsidP="006469A4">
      <w:pPr>
        <w:jc w:val="left"/>
      </w:pPr>
    </w:p>
    <w:p w:rsidR="00B0149D" w:rsidRDefault="006411B5" w:rsidP="006469A4">
      <w:pPr>
        <w:jc w:val="left"/>
      </w:pPr>
      <w:r>
        <w:tab/>
      </w:r>
      <w:r>
        <w:tab/>
      </w:r>
      <w:r w:rsidR="00B0149D">
        <w:t xml:space="preserve">As noted, PGW states in its motion that the Complainant is neither </w:t>
      </w:r>
      <w:r w:rsidR="00F30589">
        <w:t>its</w:t>
      </w:r>
      <w:r w:rsidR="00B0149D">
        <w:t xml:space="preserve"> customer nor </w:t>
      </w:r>
      <w:r w:rsidR="00FE5AA8">
        <w:t xml:space="preserve">the </w:t>
      </w:r>
      <w:r w:rsidR="00B0149D">
        <w:t xml:space="preserve">owner of the property at issue.  It argues that both its records and records from Philadelphia’s Bureau of Revision of Taxes support these averments.  It concludes from the pleadings and these records that there are no genuine issues of material fact and that the complaint should be denied </w:t>
      </w:r>
      <w:r w:rsidR="00FE5AA8">
        <w:t xml:space="preserve">as a matter of law </w:t>
      </w:r>
      <w:r w:rsidR="00B0149D">
        <w:t>since the Complainant lacks standing to bring the complaint against PGW.  I disagree.</w:t>
      </w:r>
    </w:p>
    <w:p w:rsidR="00B0149D" w:rsidRDefault="00B0149D" w:rsidP="006469A4">
      <w:pPr>
        <w:jc w:val="left"/>
      </w:pPr>
    </w:p>
    <w:p w:rsidR="00404653" w:rsidRDefault="00B0149D" w:rsidP="006469A4">
      <w:pPr>
        <w:jc w:val="left"/>
      </w:pPr>
      <w:r>
        <w:tab/>
      </w:r>
      <w:r>
        <w:tab/>
        <w:t xml:space="preserve">In his complaint, Mr. </w:t>
      </w:r>
      <w:r w:rsidR="00172BB1">
        <w:t>J</w:t>
      </w:r>
      <w:r>
        <w:t xml:space="preserve">ohn </w:t>
      </w:r>
      <w:r w:rsidR="00172BB1">
        <w:t>states, “[r]</w:t>
      </w:r>
      <w:proofErr w:type="spellStart"/>
      <w:r w:rsidR="00172BB1">
        <w:t>epair</w:t>
      </w:r>
      <w:proofErr w:type="spellEnd"/>
      <w:r w:rsidR="00172BB1">
        <w:t xml:space="preserve"> missing curb and cracked sidewalk resulting from installation of gas lines </w:t>
      </w:r>
      <w:r w:rsidR="00172BB1" w:rsidRPr="00172BB1">
        <w:rPr>
          <w:b/>
        </w:rPr>
        <w:t>on my property</w:t>
      </w:r>
      <w:r w:rsidR="00172BB1">
        <w:t xml:space="preserve"> which was not requested by me.  Contacted PGW on several occasions regarding damages </w:t>
      </w:r>
      <w:r w:rsidR="00172BB1" w:rsidRPr="00F30589">
        <w:rPr>
          <w:b/>
        </w:rPr>
        <w:t>on my property</w:t>
      </w:r>
      <w:r w:rsidR="00172BB1">
        <w:t xml:space="preserve"> with no results.”  [Emphasis added].</w:t>
      </w:r>
      <w:r w:rsidR="00F30589">
        <w:t xml:space="preserve">  Attached to the complaint is a PGW General Claim Information Form that was completed and executed by the Complainant.  Mr. John lists his address as 1901 Foster Street, Philadelphia, PA, which is the address at issue in this proceeding.  </w:t>
      </w:r>
      <w:proofErr w:type="gramStart"/>
      <w:r w:rsidR="00F30589">
        <w:t>Also</w:t>
      </w:r>
      <w:proofErr w:type="gramEnd"/>
      <w:r w:rsidR="00F30589">
        <w:t xml:space="preserve"> attached to the complaint are copies of e-mails between the Complainant and PGW’s Risk Management Department in which Mr. </w:t>
      </w:r>
      <w:r w:rsidR="00FE5AA8">
        <w:t>J</w:t>
      </w:r>
      <w:r w:rsidR="00F30589">
        <w:t>ohn’s complaint is discussed.  PGW’s e-mails identify the recipient as Mr. John</w:t>
      </w:r>
      <w:r w:rsidR="00FE5AA8">
        <w:t>,</w:t>
      </w:r>
      <w:r w:rsidR="00F30589">
        <w:t xml:space="preserve"> at 1901 Foster Street, Philadelphia, PA.  Mr. John does not state anywhere in his complaint or attached documentation that he is not PGW’s customer or the owner or occupant of the property at issue.  Rather, he refers to the 1901 Foster Street address as “my property” at two places in his complaint.  </w:t>
      </w:r>
      <w:r w:rsidR="00FE5AA8">
        <w:t>T</w:t>
      </w:r>
      <w:r w:rsidR="00F30589">
        <w:t xml:space="preserve">his issue is </w:t>
      </w:r>
      <w:r w:rsidR="00204C08">
        <w:t xml:space="preserve">central to </w:t>
      </w:r>
      <w:r w:rsidR="00F30589">
        <w:t>PGW’s motion</w:t>
      </w:r>
      <w:r w:rsidR="00FE5AA8">
        <w:t>.  PGW avers that Mr. John is not the owner or occupant of the property.  Mr. John’s complaint and attachments may reasonably be read to suggest otherwise.</w:t>
      </w:r>
      <w:r w:rsidR="00FE5AA8" w:rsidRPr="00FE5AA8">
        <w:t xml:space="preserve"> </w:t>
      </w:r>
      <w:r w:rsidR="00FE5AA8">
        <w:t xml:space="preserve"> If, in fact, Mr. John is an occupant or owner of the property, he may have standing to raise an allegation of inadequate or unsafe service being provided to the property.  T</w:t>
      </w:r>
      <w:r w:rsidR="00F30589">
        <w:t>her</w:t>
      </w:r>
      <w:r w:rsidR="00204C08">
        <w:t>e</w:t>
      </w:r>
      <w:r w:rsidR="00F30589">
        <w:t xml:space="preserve"> clearly is</w:t>
      </w:r>
      <w:r w:rsidR="00204C08">
        <w:t xml:space="preserve"> a genuine issue as to a material fact such that dismissal of the complaint at this point is inappropriate.  </w:t>
      </w:r>
    </w:p>
    <w:p w:rsidR="00FE5AA8" w:rsidRDefault="00FE5AA8" w:rsidP="006469A4">
      <w:pPr>
        <w:jc w:val="left"/>
      </w:pPr>
    </w:p>
    <w:p w:rsidR="00404653" w:rsidRDefault="00FE5AA8" w:rsidP="006469A4">
      <w:pPr>
        <w:jc w:val="left"/>
      </w:pPr>
      <w:r>
        <w:tab/>
      </w:r>
      <w:r>
        <w:tab/>
      </w:r>
    </w:p>
    <w:p w:rsidR="00AF0392" w:rsidRDefault="00AF0392" w:rsidP="006469A4">
      <w:pPr>
        <w:jc w:val="left"/>
      </w:pPr>
    </w:p>
    <w:p w:rsidR="00AF0392" w:rsidRDefault="00AF0392" w:rsidP="006469A4">
      <w:pPr>
        <w:jc w:val="left"/>
      </w:pPr>
    </w:p>
    <w:p w:rsidR="00AF0392" w:rsidRDefault="00AF0392" w:rsidP="006469A4">
      <w:pPr>
        <w:jc w:val="left"/>
      </w:pPr>
    </w:p>
    <w:p w:rsidR="00AF0392" w:rsidRDefault="00AF0392" w:rsidP="006469A4">
      <w:pPr>
        <w:jc w:val="left"/>
      </w:pPr>
    </w:p>
    <w:p w:rsidR="00AF0392" w:rsidRDefault="00AF0392" w:rsidP="006469A4">
      <w:pPr>
        <w:jc w:val="left"/>
      </w:pPr>
    </w:p>
    <w:p w:rsidR="00AF0392" w:rsidRDefault="00AF0392" w:rsidP="006469A4">
      <w:pPr>
        <w:jc w:val="left"/>
      </w:pPr>
    </w:p>
    <w:p w:rsidR="00AF0392" w:rsidRDefault="00AF0392" w:rsidP="006469A4">
      <w:pPr>
        <w:jc w:val="left"/>
      </w:pPr>
    </w:p>
    <w:p w:rsidR="00AF0392" w:rsidRDefault="00AF0392" w:rsidP="006469A4">
      <w:pPr>
        <w:jc w:val="left"/>
      </w:pPr>
    </w:p>
    <w:p w:rsidR="00AF0392" w:rsidRDefault="00AF0392" w:rsidP="006469A4">
      <w:pPr>
        <w:jc w:val="left"/>
      </w:pPr>
    </w:p>
    <w:p w:rsidR="00AF0392" w:rsidRDefault="00AF0392" w:rsidP="006469A4">
      <w:pPr>
        <w:jc w:val="left"/>
      </w:pPr>
    </w:p>
    <w:p w:rsidR="00AF0392" w:rsidRDefault="00AF0392" w:rsidP="006469A4">
      <w:pPr>
        <w:jc w:val="left"/>
      </w:pPr>
    </w:p>
    <w:p w:rsidR="00E04D1A" w:rsidRDefault="00E04D1A" w:rsidP="006469A4">
      <w:pPr>
        <w:jc w:val="left"/>
      </w:pPr>
    </w:p>
    <w:p w:rsidR="00E04D1A" w:rsidRDefault="00E04D1A" w:rsidP="006469A4">
      <w:pPr>
        <w:jc w:val="left"/>
      </w:pPr>
      <w:r>
        <w:tab/>
      </w:r>
      <w:r>
        <w:tab/>
        <w:t>THEREFORE,</w:t>
      </w:r>
    </w:p>
    <w:p w:rsidR="00E04D1A" w:rsidRDefault="00E04D1A" w:rsidP="006469A4">
      <w:pPr>
        <w:jc w:val="left"/>
      </w:pPr>
    </w:p>
    <w:p w:rsidR="00E04D1A" w:rsidRDefault="00E04D1A" w:rsidP="006469A4">
      <w:pPr>
        <w:jc w:val="left"/>
      </w:pPr>
      <w:r>
        <w:tab/>
      </w:r>
      <w:r>
        <w:tab/>
        <w:t>IT IS ORDERED:</w:t>
      </w:r>
    </w:p>
    <w:p w:rsidR="00E04D1A" w:rsidRDefault="00E04D1A" w:rsidP="006469A4">
      <w:pPr>
        <w:jc w:val="left"/>
      </w:pPr>
    </w:p>
    <w:p w:rsidR="00E04D1A" w:rsidRDefault="00E04D1A" w:rsidP="006469A4">
      <w:pPr>
        <w:jc w:val="left"/>
      </w:pPr>
      <w:r>
        <w:tab/>
      </w:r>
      <w:r>
        <w:tab/>
        <w:t>1.</w:t>
      </w:r>
      <w:r>
        <w:tab/>
        <w:t xml:space="preserve">That the </w:t>
      </w:r>
      <w:r w:rsidR="00FE5AA8">
        <w:t xml:space="preserve">Motion for Summary Judgment filed by </w:t>
      </w:r>
      <w:r>
        <w:t>P</w:t>
      </w:r>
      <w:r w:rsidR="00404653">
        <w:t>hiladelphia</w:t>
      </w:r>
      <w:r>
        <w:t xml:space="preserve"> Gas </w:t>
      </w:r>
      <w:r w:rsidR="00404653">
        <w:t xml:space="preserve">Works </w:t>
      </w:r>
      <w:r>
        <w:t xml:space="preserve">in the case captioned </w:t>
      </w:r>
      <w:proofErr w:type="spellStart"/>
      <w:r w:rsidR="00404653">
        <w:t>Sanju</w:t>
      </w:r>
      <w:proofErr w:type="spellEnd"/>
      <w:r w:rsidR="00404653">
        <w:t xml:space="preserve"> John v. Philadelphia Gas Works,</w:t>
      </w:r>
      <w:r>
        <w:rPr>
          <w:i/>
        </w:rPr>
        <w:t xml:space="preserve"> </w:t>
      </w:r>
      <w:r>
        <w:t>at Docket No. C-201</w:t>
      </w:r>
      <w:r w:rsidR="00404653">
        <w:t>7</w:t>
      </w:r>
      <w:r>
        <w:t>-2</w:t>
      </w:r>
      <w:r w:rsidR="00404653">
        <w:t>621095</w:t>
      </w:r>
      <w:r>
        <w:t xml:space="preserve">, </w:t>
      </w:r>
      <w:r w:rsidR="00FE5AA8">
        <w:t xml:space="preserve">is denied.  </w:t>
      </w:r>
    </w:p>
    <w:p w:rsidR="00E04D1A" w:rsidRDefault="00E04D1A" w:rsidP="006469A4">
      <w:pPr>
        <w:jc w:val="left"/>
      </w:pPr>
    </w:p>
    <w:p w:rsidR="00E04D1A" w:rsidRDefault="00E04D1A" w:rsidP="006469A4">
      <w:pPr>
        <w:jc w:val="left"/>
      </w:pPr>
      <w:r>
        <w:tab/>
      </w:r>
      <w:r>
        <w:tab/>
      </w:r>
      <w:r w:rsidR="00FE5AA8">
        <w:t>2</w:t>
      </w:r>
      <w:r>
        <w:t>.</w:t>
      </w:r>
      <w:r>
        <w:tab/>
        <w:t>That this matter be set for hearing.</w:t>
      </w:r>
    </w:p>
    <w:p w:rsidR="00E04D1A" w:rsidRDefault="00E04D1A" w:rsidP="006469A4">
      <w:pPr>
        <w:jc w:val="left"/>
      </w:pPr>
    </w:p>
    <w:p w:rsidR="00404653" w:rsidRDefault="00404653" w:rsidP="006469A4">
      <w:pPr>
        <w:jc w:val="left"/>
      </w:pPr>
    </w:p>
    <w:p w:rsidR="00E04D1A" w:rsidRDefault="00E04D1A" w:rsidP="006469A4">
      <w:pPr>
        <w:spacing w:line="240" w:lineRule="auto"/>
        <w:jc w:val="left"/>
      </w:pPr>
      <w:r>
        <w:t>Dated:</w:t>
      </w:r>
      <w:r>
        <w:tab/>
      </w:r>
      <w:r w:rsidR="006469A4">
        <w:rPr>
          <w:u w:val="single"/>
        </w:rPr>
        <w:t>November 6, 2017</w:t>
      </w:r>
      <w:r>
        <w:tab/>
      </w:r>
      <w:r>
        <w:tab/>
      </w:r>
      <w:r>
        <w:tab/>
      </w:r>
      <w:r>
        <w:tab/>
      </w:r>
      <w:r>
        <w:tab/>
        <w:t>_____________________________</w:t>
      </w:r>
    </w:p>
    <w:p w:rsidR="00E04D1A" w:rsidRDefault="00E04D1A" w:rsidP="006469A4">
      <w:pPr>
        <w:spacing w:line="240" w:lineRule="auto"/>
        <w:jc w:val="left"/>
      </w:pPr>
      <w:r>
        <w:tab/>
      </w:r>
      <w:r>
        <w:tab/>
      </w:r>
      <w:r>
        <w:tab/>
      </w:r>
      <w:r>
        <w:tab/>
      </w:r>
      <w:r>
        <w:tab/>
      </w:r>
      <w:r>
        <w:tab/>
      </w:r>
      <w:r>
        <w:tab/>
      </w:r>
      <w:r>
        <w:tab/>
        <w:t>S</w:t>
      </w:r>
      <w:r w:rsidR="00404653">
        <w:t>teven K. Haas</w:t>
      </w:r>
    </w:p>
    <w:p w:rsidR="00DD519C" w:rsidRDefault="00E04D1A" w:rsidP="006469A4">
      <w:pPr>
        <w:spacing w:line="240" w:lineRule="auto"/>
        <w:jc w:val="left"/>
      </w:pPr>
      <w:r>
        <w:tab/>
      </w:r>
      <w:r>
        <w:tab/>
      </w:r>
      <w:r>
        <w:tab/>
      </w:r>
      <w:r>
        <w:tab/>
      </w:r>
      <w:r>
        <w:tab/>
      </w:r>
      <w:r>
        <w:tab/>
      </w:r>
      <w:r>
        <w:tab/>
      </w:r>
      <w:r>
        <w:tab/>
        <w:t xml:space="preserve">Administrative Law Judge </w:t>
      </w:r>
      <w:r w:rsidR="00DD519C">
        <w:t xml:space="preserve">   </w:t>
      </w:r>
    </w:p>
    <w:p w:rsidR="006469A4" w:rsidRDefault="006469A4" w:rsidP="006469A4">
      <w:pPr>
        <w:jc w:val="left"/>
        <w:sectPr w:rsidR="006469A4" w:rsidSect="00E04D1A">
          <w:footerReference w:type="default" r:id="rId7"/>
          <w:pgSz w:w="12240" w:h="15840"/>
          <w:pgMar w:top="1440" w:right="1440" w:bottom="1440" w:left="1440" w:header="720" w:footer="720" w:gutter="0"/>
          <w:cols w:space="720"/>
          <w:titlePg/>
          <w:docGrid w:linePitch="360"/>
        </w:sectPr>
      </w:pPr>
    </w:p>
    <w:p w:rsidR="006469A4" w:rsidRDefault="006469A4" w:rsidP="006469A4">
      <w:pPr>
        <w:spacing w:line="240" w:lineRule="auto"/>
        <w:contextualSpacing/>
        <w:jc w:val="left"/>
        <w:rPr>
          <w:rFonts w:ascii="Microsoft Sans Serif"/>
        </w:rPr>
      </w:pPr>
      <w:r>
        <w:rPr>
          <w:rFonts w:ascii="Microsoft Sans Serif"/>
          <w:b/>
          <w:u w:val="single"/>
        </w:rPr>
        <w:lastRenderedPageBreak/>
        <w:t>C-2017-2621095 - SANJU JOHN v. PHILADELPHIA GAS WORKS</w:t>
      </w:r>
      <w:r>
        <w:rPr>
          <w:rFonts w:ascii="Microsoft Sans Serif"/>
          <w:b/>
          <w:u w:val="single"/>
        </w:rPr>
        <w:cr/>
      </w:r>
      <w:r>
        <w:rPr>
          <w:rFonts w:ascii="Microsoft Sans Serif"/>
        </w:rPr>
        <w:cr/>
        <w:t>SANJU JOHN</w:t>
      </w:r>
      <w:r>
        <w:rPr>
          <w:rFonts w:ascii="Microsoft Sans Serif"/>
        </w:rPr>
        <w:cr/>
        <w:t>1901 FOSTER STREET</w:t>
      </w:r>
      <w:r>
        <w:rPr>
          <w:rFonts w:ascii="Microsoft Sans Serif"/>
        </w:rPr>
        <w:cr/>
        <w:t>PHILADELPHIA PA  19116</w:t>
      </w:r>
      <w:r>
        <w:rPr>
          <w:rFonts w:ascii="Microsoft Sans Serif"/>
        </w:rPr>
        <w:cr/>
      </w:r>
      <w:r>
        <w:rPr>
          <w:rFonts w:ascii="Microsoft Sans Serif"/>
          <w:b/>
        </w:rPr>
        <w:t>267.342.</w:t>
      </w:r>
      <w:r w:rsidRPr="00CA454D">
        <w:rPr>
          <w:rFonts w:ascii="Microsoft Sans Serif"/>
          <w:b/>
        </w:rPr>
        <w:t>2995</w:t>
      </w:r>
      <w:r>
        <w:rPr>
          <w:rFonts w:ascii="Microsoft Sans Serif"/>
        </w:rPr>
        <w:cr/>
      </w:r>
      <w:r>
        <w:rPr>
          <w:rFonts w:ascii="Microsoft Sans Serif"/>
          <w:b/>
          <w:u w:val="single"/>
        </w:rPr>
        <w:cr/>
      </w:r>
      <w:r>
        <w:rPr>
          <w:rFonts w:ascii="Microsoft Sans Serif"/>
        </w:rPr>
        <w:t>GRACIELA CHRISTLIEB ESQUIRE</w:t>
      </w:r>
      <w:r>
        <w:rPr>
          <w:rFonts w:ascii="Microsoft Sans Serif"/>
        </w:rPr>
        <w:cr/>
        <w:t>800 WEST MONTGOMER</w:t>
      </w:r>
      <w:r>
        <w:rPr>
          <w:rFonts w:ascii="Microsoft Sans Serif"/>
        </w:rPr>
        <w:t>Y AVENUE</w:t>
      </w:r>
      <w:r>
        <w:rPr>
          <w:rFonts w:ascii="Microsoft Sans Serif"/>
        </w:rPr>
        <w:cr/>
        <w:t>PHILADELPHIA PA  19122</w:t>
      </w:r>
    </w:p>
    <w:p w:rsidR="006469A4" w:rsidRDefault="006469A4" w:rsidP="006469A4">
      <w:pPr>
        <w:spacing w:line="240" w:lineRule="auto"/>
        <w:contextualSpacing/>
        <w:jc w:val="left"/>
        <w:rPr>
          <w:rFonts w:ascii="Microsoft Sans Serif"/>
          <w:b/>
        </w:rPr>
      </w:pPr>
      <w:r w:rsidRPr="00CA454D">
        <w:rPr>
          <w:rFonts w:ascii="Microsoft Sans Serif"/>
          <w:b/>
        </w:rPr>
        <w:t>215.684.6164</w:t>
      </w:r>
    </w:p>
    <w:p w:rsidR="006469A4" w:rsidRPr="006469A4" w:rsidRDefault="006469A4" w:rsidP="006469A4">
      <w:pPr>
        <w:spacing w:line="240" w:lineRule="auto"/>
        <w:contextualSpacing/>
        <w:jc w:val="left"/>
        <w:rPr>
          <w:rFonts w:ascii="Microsoft Sans Serif"/>
          <w:b/>
          <w:i/>
        </w:rPr>
      </w:pPr>
      <w:r w:rsidRPr="006469A4">
        <w:rPr>
          <w:rFonts w:ascii="Microsoft Sans Serif"/>
          <w:b/>
          <w:i/>
        </w:rPr>
        <w:t>Accepts E-service</w:t>
      </w:r>
      <w:bookmarkStart w:id="0" w:name="_GoBack"/>
      <w:bookmarkEnd w:id="0"/>
    </w:p>
    <w:p w:rsidR="001C4793" w:rsidRPr="006469A4" w:rsidRDefault="006469A4" w:rsidP="006469A4">
      <w:pPr>
        <w:spacing w:line="240" w:lineRule="auto"/>
        <w:contextualSpacing/>
        <w:jc w:val="left"/>
        <w:rPr>
          <w:rFonts w:ascii="Microsoft Sans Serif"/>
          <w:i/>
        </w:rPr>
      </w:pPr>
      <w:r w:rsidRPr="00CA454D">
        <w:rPr>
          <w:rFonts w:ascii="Microsoft Sans Serif"/>
          <w:i/>
        </w:rPr>
        <w:t>Representing</w:t>
      </w:r>
      <w:r w:rsidRPr="00CA454D">
        <w:rPr>
          <w:rFonts w:ascii="Microsoft Sans Serif"/>
        </w:rPr>
        <w:t xml:space="preserve"> </w:t>
      </w:r>
      <w:r w:rsidRPr="00CA454D">
        <w:rPr>
          <w:rFonts w:ascii="Microsoft Sans Serif"/>
          <w:i/>
        </w:rPr>
        <w:t>Philadelphia Gas Works</w:t>
      </w:r>
    </w:p>
    <w:sectPr w:rsidR="001C4793" w:rsidRPr="006469A4" w:rsidSect="00E04D1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AA3" w:rsidRDefault="00551AA3" w:rsidP="00E04D1A">
      <w:pPr>
        <w:spacing w:line="240" w:lineRule="auto"/>
      </w:pPr>
      <w:r>
        <w:separator/>
      </w:r>
    </w:p>
  </w:endnote>
  <w:endnote w:type="continuationSeparator" w:id="0">
    <w:p w:rsidR="00551AA3" w:rsidRDefault="00551AA3" w:rsidP="00E04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1A" w:rsidRDefault="00E04D1A" w:rsidP="00646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AA3" w:rsidRDefault="00551AA3" w:rsidP="00E04D1A">
      <w:pPr>
        <w:spacing w:line="240" w:lineRule="auto"/>
      </w:pPr>
      <w:r>
        <w:separator/>
      </w:r>
    </w:p>
  </w:footnote>
  <w:footnote w:type="continuationSeparator" w:id="0">
    <w:p w:rsidR="00551AA3" w:rsidRDefault="00551AA3" w:rsidP="00E04D1A">
      <w:pPr>
        <w:spacing w:line="240" w:lineRule="auto"/>
      </w:pPr>
      <w:r>
        <w:continuationSeparator/>
      </w:r>
    </w:p>
  </w:footnote>
  <w:footnote w:id="1">
    <w:p w:rsidR="003C5EFE" w:rsidRDefault="003C5EFE" w:rsidP="003C5EFE">
      <w:pPr>
        <w:pStyle w:val="FootnoteText"/>
        <w:jc w:val="left"/>
      </w:pPr>
      <w:r>
        <w:rPr>
          <w:rStyle w:val="FootnoteReference"/>
        </w:rPr>
        <w:footnoteRef/>
      </w:r>
      <w:r>
        <w:t xml:space="preserve"> PGW’s preliminary objections will be addressed in a separate order.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9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412"/>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6063"/>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67B2"/>
    <w:rsid w:val="00170FE6"/>
    <w:rsid w:val="00171416"/>
    <w:rsid w:val="00172857"/>
    <w:rsid w:val="00172B0B"/>
    <w:rsid w:val="00172BB1"/>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4793"/>
    <w:rsid w:val="001C537D"/>
    <w:rsid w:val="001C64B4"/>
    <w:rsid w:val="001C65CD"/>
    <w:rsid w:val="001D05DB"/>
    <w:rsid w:val="001D0876"/>
    <w:rsid w:val="001D0F91"/>
    <w:rsid w:val="001D1F1B"/>
    <w:rsid w:val="001D33A2"/>
    <w:rsid w:val="001D3FB1"/>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4C08"/>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2555"/>
    <w:rsid w:val="0029353E"/>
    <w:rsid w:val="00293F4E"/>
    <w:rsid w:val="00296B74"/>
    <w:rsid w:val="00297286"/>
    <w:rsid w:val="002A05C6"/>
    <w:rsid w:val="002A1522"/>
    <w:rsid w:val="002A17F4"/>
    <w:rsid w:val="002A4E7E"/>
    <w:rsid w:val="002A5F4D"/>
    <w:rsid w:val="002A70E9"/>
    <w:rsid w:val="002A7A0A"/>
    <w:rsid w:val="002B0D61"/>
    <w:rsid w:val="002B21CE"/>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066"/>
    <w:rsid w:val="00344C34"/>
    <w:rsid w:val="00344EC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5EFE"/>
    <w:rsid w:val="003C610C"/>
    <w:rsid w:val="003C64ED"/>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653"/>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273"/>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1AA3"/>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1F9"/>
    <w:rsid w:val="005C373B"/>
    <w:rsid w:val="005C3DD2"/>
    <w:rsid w:val="005C4AAA"/>
    <w:rsid w:val="005C610A"/>
    <w:rsid w:val="005D1442"/>
    <w:rsid w:val="005D1922"/>
    <w:rsid w:val="005D2788"/>
    <w:rsid w:val="005D4281"/>
    <w:rsid w:val="005D6D2F"/>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17B41"/>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1B5"/>
    <w:rsid w:val="006416B8"/>
    <w:rsid w:val="0064349A"/>
    <w:rsid w:val="00643E46"/>
    <w:rsid w:val="006466B3"/>
    <w:rsid w:val="0064692D"/>
    <w:rsid w:val="006469A4"/>
    <w:rsid w:val="00646FCC"/>
    <w:rsid w:val="0064750C"/>
    <w:rsid w:val="00651F0A"/>
    <w:rsid w:val="006540C5"/>
    <w:rsid w:val="006543FB"/>
    <w:rsid w:val="006549F5"/>
    <w:rsid w:val="00655505"/>
    <w:rsid w:val="00655AA7"/>
    <w:rsid w:val="00655F80"/>
    <w:rsid w:val="00656541"/>
    <w:rsid w:val="00660216"/>
    <w:rsid w:val="0066127A"/>
    <w:rsid w:val="006621E9"/>
    <w:rsid w:val="00662904"/>
    <w:rsid w:val="00664977"/>
    <w:rsid w:val="00664A57"/>
    <w:rsid w:val="00664C73"/>
    <w:rsid w:val="006671EA"/>
    <w:rsid w:val="00671999"/>
    <w:rsid w:val="006723E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4FA6"/>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5CA5"/>
    <w:rsid w:val="007B6474"/>
    <w:rsid w:val="007B7F0F"/>
    <w:rsid w:val="007C041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050"/>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2D1"/>
    <w:rsid w:val="00906A31"/>
    <w:rsid w:val="00906B1B"/>
    <w:rsid w:val="00910398"/>
    <w:rsid w:val="0091039C"/>
    <w:rsid w:val="00911640"/>
    <w:rsid w:val="0091213F"/>
    <w:rsid w:val="00912783"/>
    <w:rsid w:val="00913D36"/>
    <w:rsid w:val="0091451C"/>
    <w:rsid w:val="00915C3E"/>
    <w:rsid w:val="00915D45"/>
    <w:rsid w:val="00916777"/>
    <w:rsid w:val="00916C5E"/>
    <w:rsid w:val="00920088"/>
    <w:rsid w:val="00922DF5"/>
    <w:rsid w:val="00923349"/>
    <w:rsid w:val="009235D9"/>
    <w:rsid w:val="00923CE8"/>
    <w:rsid w:val="009252D3"/>
    <w:rsid w:val="00926002"/>
    <w:rsid w:val="00930061"/>
    <w:rsid w:val="00930EBA"/>
    <w:rsid w:val="0093151F"/>
    <w:rsid w:val="0093268C"/>
    <w:rsid w:val="00934728"/>
    <w:rsid w:val="009347A5"/>
    <w:rsid w:val="00935580"/>
    <w:rsid w:val="009366E0"/>
    <w:rsid w:val="00936EB3"/>
    <w:rsid w:val="00937F58"/>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6C28"/>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4ED4"/>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04C"/>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0392"/>
    <w:rsid w:val="00AF32D8"/>
    <w:rsid w:val="00AF3F64"/>
    <w:rsid w:val="00AF40CA"/>
    <w:rsid w:val="00AF4C64"/>
    <w:rsid w:val="00AF70FF"/>
    <w:rsid w:val="00B0149D"/>
    <w:rsid w:val="00B01BE5"/>
    <w:rsid w:val="00B02385"/>
    <w:rsid w:val="00B03878"/>
    <w:rsid w:val="00B06DDF"/>
    <w:rsid w:val="00B07809"/>
    <w:rsid w:val="00B079A5"/>
    <w:rsid w:val="00B1069C"/>
    <w:rsid w:val="00B11C89"/>
    <w:rsid w:val="00B134C7"/>
    <w:rsid w:val="00B136CC"/>
    <w:rsid w:val="00B143BA"/>
    <w:rsid w:val="00B17521"/>
    <w:rsid w:val="00B17683"/>
    <w:rsid w:val="00B20FAA"/>
    <w:rsid w:val="00B21806"/>
    <w:rsid w:val="00B21CD8"/>
    <w:rsid w:val="00B21FBA"/>
    <w:rsid w:val="00B22516"/>
    <w:rsid w:val="00B22C3E"/>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8C3"/>
    <w:rsid w:val="00B86F52"/>
    <w:rsid w:val="00B878F5"/>
    <w:rsid w:val="00B91893"/>
    <w:rsid w:val="00B926BD"/>
    <w:rsid w:val="00B92DE8"/>
    <w:rsid w:val="00B93D8F"/>
    <w:rsid w:val="00B94AF0"/>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53C"/>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3F08"/>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90F"/>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166"/>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3909"/>
    <w:rsid w:val="00DC4772"/>
    <w:rsid w:val="00DC48CF"/>
    <w:rsid w:val="00DC5BB0"/>
    <w:rsid w:val="00DC6711"/>
    <w:rsid w:val="00DC6826"/>
    <w:rsid w:val="00DD20E3"/>
    <w:rsid w:val="00DD2605"/>
    <w:rsid w:val="00DD2AAA"/>
    <w:rsid w:val="00DD50B5"/>
    <w:rsid w:val="00DD519C"/>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D1A"/>
    <w:rsid w:val="00E04EFF"/>
    <w:rsid w:val="00E05212"/>
    <w:rsid w:val="00E05D02"/>
    <w:rsid w:val="00E0690D"/>
    <w:rsid w:val="00E101A9"/>
    <w:rsid w:val="00E12954"/>
    <w:rsid w:val="00E12A2F"/>
    <w:rsid w:val="00E12D9F"/>
    <w:rsid w:val="00E12FAE"/>
    <w:rsid w:val="00E13468"/>
    <w:rsid w:val="00E1638A"/>
    <w:rsid w:val="00E23F34"/>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245D"/>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4409"/>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0589"/>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80E"/>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5AA8"/>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587A5"/>
  <w15:docId w15:val="{C9B8E763-734C-4033-A999-62D1CA73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1A"/>
    <w:pPr>
      <w:tabs>
        <w:tab w:val="center" w:pos="4680"/>
        <w:tab w:val="right" w:pos="9360"/>
      </w:tabs>
      <w:spacing w:line="240" w:lineRule="auto"/>
    </w:pPr>
  </w:style>
  <w:style w:type="character" w:customStyle="1" w:styleId="HeaderChar">
    <w:name w:val="Header Char"/>
    <w:basedOn w:val="DefaultParagraphFont"/>
    <w:link w:val="Header"/>
    <w:uiPriority w:val="99"/>
    <w:rsid w:val="00E04D1A"/>
  </w:style>
  <w:style w:type="paragraph" w:styleId="Footer">
    <w:name w:val="footer"/>
    <w:basedOn w:val="Normal"/>
    <w:link w:val="FooterChar"/>
    <w:uiPriority w:val="99"/>
    <w:unhideWhenUsed/>
    <w:rsid w:val="00E04D1A"/>
    <w:pPr>
      <w:tabs>
        <w:tab w:val="center" w:pos="4680"/>
        <w:tab w:val="right" w:pos="9360"/>
      </w:tabs>
      <w:spacing w:line="240" w:lineRule="auto"/>
    </w:pPr>
  </w:style>
  <w:style w:type="character" w:customStyle="1" w:styleId="FooterChar">
    <w:name w:val="Footer Char"/>
    <w:basedOn w:val="DefaultParagraphFont"/>
    <w:link w:val="Footer"/>
    <w:uiPriority w:val="99"/>
    <w:rsid w:val="00E04D1A"/>
  </w:style>
  <w:style w:type="paragraph" w:styleId="FootnoteText">
    <w:name w:val="footnote text"/>
    <w:basedOn w:val="Normal"/>
    <w:link w:val="FootnoteTextChar"/>
    <w:uiPriority w:val="99"/>
    <w:semiHidden/>
    <w:unhideWhenUsed/>
    <w:rsid w:val="00916777"/>
    <w:pPr>
      <w:spacing w:line="240" w:lineRule="auto"/>
    </w:pPr>
    <w:rPr>
      <w:sz w:val="20"/>
      <w:szCs w:val="20"/>
    </w:rPr>
  </w:style>
  <w:style w:type="character" w:customStyle="1" w:styleId="FootnoteTextChar">
    <w:name w:val="Footnote Text Char"/>
    <w:basedOn w:val="DefaultParagraphFont"/>
    <w:link w:val="FootnoteText"/>
    <w:uiPriority w:val="99"/>
    <w:semiHidden/>
    <w:rsid w:val="00916777"/>
    <w:rPr>
      <w:sz w:val="20"/>
      <w:szCs w:val="20"/>
    </w:rPr>
  </w:style>
  <w:style w:type="character" w:styleId="FootnoteReference">
    <w:name w:val="footnote reference"/>
    <w:basedOn w:val="DefaultParagraphFont"/>
    <w:uiPriority w:val="99"/>
    <w:semiHidden/>
    <w:unhideWhenUsed/>
    <w:rsid w:val="00916777"/>
    <w:rPr>
      <w:vertAlign w:val="superscript"/>
    </w:rPr>
  </w:style>
  <w:style w:type="paragraph" w:styleId="BalloonText">
    <w:name w:val="Balloon Text"/>
    <w:basedOn w:val="Normal"/>
    <w:link w:val="BalloonTextChar"/>
    <w:uiPriority w:val="99"/>
    <w:semiHidden/>
    <w:unhideWhenUsed/>
    <w:rsid w:val="00A94E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E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0627D-1A3F-47C0-BD2A-277B43F8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2017-11-06T14:36:00Z</cp:lastPrinted>
  <dcterms:created xsi:type="dcterms:W3CDTF">2017-11-06T14:38:00Z</dcterms:created>
  <dcterms:modified xsi:type="dcterms:W3CDTF">2017-11-06T14:38:00Z</dcterms:modified>
</cp:coreProperties>
</file>