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72F4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2F4B">
        <w:rPr>
          <w:rFonts w:ascii="Microsoft Sans Serif" w:hAnsi="Microsoft Sans Serif" w:cs="Microsoft Sans Serif"/>
          <w:b/>
          <w:sz w:val="24"/>
          <w:szCs w:val="24"/>
        </w:rPr>
        <w:t>F-2017-2628793</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C72F4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Jennifer Manning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72F4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F4B">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F4B">
        <w:rPr>
          <w:rFonts w:ascii="Microsoft Sans Serif" w:hAnsi="Microsoft Sans Serif" w:cs="Microsoft Sans Serif"/>
          <w:b/>
          <w:sz w:val="24"/>
          <w:szCs w:val="24"/>
        </w:rPr>
        <w:t>Monday, January 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2F4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72F4B">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72F4B">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Pr="00C72F4B" w:rsidRDefault="004075AA" w:rsidP="00590EBA">
      <w:pPr>
        <w:rPr>
          <w:rFonts w:ascii="Microsoft Sans Serif" w:hAnsi="Microsoft Sans Serif" w:cs="Microsoft Sans Serif"/>
          <w:sz w:val="24"/>
          <w:szCs w:val="24"/>
        </w:rPr>
      </w:pPr>
    </w:p>
    <w:p w:rsidR="004075AA" w:rsidRPr="00C72F4B" w:rsidRDefault="004075AA" w:rsidP="00590EBA">
      <w:pPr>
        <w:rPr>
          <w:rFonts w:ascii="Microsoft Sans Serif" w:hAnsi="Microsoft Sans Serif" w:cs="Microsoft Sans Serif"/>
          <w:sz w:val="24"/>
          <w:szCs w:val="24"/>
        </w:rPr>
        <w:sectPr w:rsidR="004075AA" w:rsidRPr="00C72F4B" w:rsidSect="0002278A">
          <w:pgSz w:w="12240" w:h="15840"/>
          <w:pgMar w:top="1440" w:right="1440" w:bottom="1440" w:left="1440" w:header="720" w:footer="720" w:gutter="0"/>
          <w:cols w:space="720"/>
        </w:sectPr>
      </w:pPr>
    </w:p>
    <w:p w:rsidR="00C72F4B" w:rsidRPr="00C72F4B" w:rsidRDefault="00C72F4B" w:rsidP="00C72F4B">
      <w:pPr>
        <w:rPr>
          <w:rFonts w:ascii="Microsoft Sans Serif" w:hAnsi="Microsoft Sans Serif" w:cs="Microsoft Sans Serif"/>
          <w:b/>
          <w:caps/>
          <w:sz w:val="24"/>
          <w:szCs w:val="24"/>
          <w:u w:val="single"/>
        </w:rPr>
      </w:pPr>
      <w:r w:rsidRPr="00C72F4B">
        <w:rPr>
          <w:rFonts w:ascii="Microsoft Sans Serif" w:hAnsi="Microsoft Sans Serif" w:cs="Microsoft Sans Serif"/>
          <w:b/>
          <w:caps/>
          <w:noProof/>
          <w:sz w:val="24"/>
          <w:szCs w:val="24"/>
          <w:u w:val="single"/>
        </w:rPr>
        <w:lastRenderedPageBreak/>
        <w:t>F-2017-2628793</w:t>
      </w:r>
      <w:r w:rsidRPr="00C72F4B">
        <w:rPr>
          <w:rFonts w:ascii="Microsoft Sans Serif" w:hAnsi="Microsoft Sans Serif" w:cs="Microsoft Sans Serif"/>
          <w:b/>
          <w:caps/>
          <w:sz w:val="24"/>
          <w:szCs w:val="24"/>
          <w:u w:val="single"/>
        </w:rPr>
        <w:t xml:space="preserve"> </w:t>
      </w:r>
      <w:r w:rsidRPr="00C72F4B">
        <w:rPr>
          <w:rFonts w:ascii="Microsoft Sans Serif" w:hAnsi="Microsoft Sans Serif" w:cs="Microsoft Sans Serif"/>
          <w:b/>
          <w:caps/>
          <w:noProof/>
          <w:sz w:val="24"/>
          <w:szCs w:val="24"/>
          <w:u w:val="single"/>
        </w:rPr>
        <w:t>Jennifer Manning v. PPL Electric Utilities Corporation</w:t>
      </w:r>
    </w:p>
    <w:p w:rsidR="00C72F4B" w:rsidRPr="00C72F4B" w:rsidRDefault="00C72F4B" w:rsidP="00C72F4B">
      <w:pPr>
        <w:rPr>
          <w:rFonts w:ascii="Microsoft Sans Serif" w:hAnsi="Microsoft Sans Serif" w:cs="Microsoft Sans Serif"/>
          <w:caps/>
          <w:sz w:val="24"/>
          <w:szCs w:val="24"/>
        </w:rPr>
      </w:pPr>
    </w:p>
    <w:p w:rsidR="00C72F4B" w:rsidRPr="00C72F4B" w:rsidRDefault="00C72F4B" w:rsidP="00C72F4B">
      <w:pPr>
        <w:rPr>
          <w:rFonts w:ascii="Microsoft Sans Serif" w:hAnsi="Microsoft Sans Serif" w:cs="Microsoft Sans Serif"/>
          <w:caps/>
          <w:sz w:val="24"/>
          <w:szCs w:val="24"/>
        </w:rPr>
      </w:pPr>
    </w:p>
    <w:p w:rsidR="00C72F4B" w:rsidRPr="00C72F4B" w:rsidRDefault="00C72F4B" w:rsidP="00C72F4B">
      <w:pPr>
        <w:rPr>
          <w:rFonts w:ascii="Microsoft Sans Serif" w:hAnsi="Microsoft Sans Serif" w:cs="Microsoft Sans Serif"/>
          <w:caps/>
          <w:sz w:val="24"/>
          <w:szCs w:val="24"/>
        </w:rPr>
      </w:pPr>
    </w:p>
    <w:p w:rsidR="00C72F4B" w:rsidRPr="00C72F4B" w:rsidRDefault="00C72F4B" w:rsidP="00C72F4B">
      <w:pPr>
        <w:rPr>
          <w:rFonts w:ascii="Microsoft Sans Serif" w:hAnsi="Microsoft Sans Serif" w:cs="Microsoft Sans Serif"/>
          <w:caps/>
          <w:noProof/>
          <w:sz w:val="24"/>
          <w:szCs w:val="24"/>
        </w:rPr>
      </w:pPr>
      <w:r w:rsidRPr="00C72F4B">
        <w:rPr>
          <w:rFonts w:ascii="Microsoft Sans Serif" w:hAnsi="Microsoft Sans Serif" w:cs="Microsoft Sans Serif"/>
          <w:caps/>
          <w:noProof/>
          <w:sz w:val="24"/>
          <w:szCs w:val="24"/>
        </w:rPr>
        <w:t>jennifer manning</w:t>
      </w:r>
    </w:p>
    <w:p w:rsidR="00C72F4B" w:rsidRPr="00C72F4B" w:rsidRDefault="00C72F4B" w:rsidP="00C72F4B">
      <w:pPr>
        <w:rPr>
          <w:rFonts w:ascii="Microsoft Sans Serif" w:hAnsi="Microsoft Sans Serif" w:cs="Microsoft Sans Serif"/>
          <w:caps/>
          <w:noProof/>
          <w:sz w:val="24"/>
          <w:szCs w:val="24"/>
        </w:rPr>
      </w:pPr>
      <w:r w:rsidRPr="00C72F4B">
        <w:rPr>
          <w:rFonts w:ascii="Microsoft Sans Serif" w:hAnsi="Microsoft Sans Serif" w:cs="Microsoft Sans Serif"/>
          <w:caps/>
          <w:noProof/>
          <w:sz w:val="24"/>
          <w:szCs w:val="24"/>
        </w:rPr>
        <w:t>208 marion st</w:t>
      </w:r>
    </w:p>
    <w:p w:rsidR="00C72F4B" w:rsidRPr="00C72F4B" w:rsidRDefault="00C72F4B" w:rsidP="00C72F4B">
      <w:pPr>
        <w:rPr>
          <w:rFonts w:ascii="Microsoft Sans Serif" w:hAnsi="Microsoft Sans Serif" w:cs="Microsoft Sans Serif"/>
          <w:caps/>
          <w:sz w:val="24"/>
          <w:szCs w:val="24"/>
        </w:rPr>
      </w:pPr>
      <w:r w:rsidRPr="00C72F4B">
        <w:rPr>
          <w:rFonts w:ascii="Microsoft Sans Serif" w:hAnsi="Microsoft Sans Serif" w:cs="Microsoft Sans Serif"/>
          <w:caps/>
          <w:noProof/>
          <w:sz w:val="24"/>
          <w:szCs w:val="24"/>
        </w:rPr>
        <w:t>jersey shore pa 17740</w:t>
      </w:r>
    </w:p>
    <w:p w:rsidR="00C72F4B" w:rsidRPr="00C72F4B" w:rsidRDefault="00C72F4B" w:rsidP="00C72F4B">
      <w:pPr>
        <w:rPr>
          <w:rFonts w:ascii="Microsoft Sans Serif" w:hAnsi="Microsoft Sans Serif" w:cs="Microsoft Sans Serif"/>
          <w:b/>
          <w:caps/>
          <w:noProof/>
          <w:sz w:val="24"/>
          <w:szCs w:val="24"/>
        </w:rPr>
      </w:pPr>
      <w:r w:rsidRPr="00C72F4B">
        <w:rPr>
          <w:rFonts w:ascii="Microsoft Sans Serif" w:hAnsi="Microsoft Sans Serif" w:cs="Microsoft Sans Serif"/>
          <w:b/>
          <w:caps/>
          <w:noProof/>
          <w:sz w:val="24"/>
          <w:szCs w:val="24"/>
        </w:rPr>
        <w:t>570.502.5448</w:t>
      </w:r>
    </w:p>
    <w:p w:rsidR="00C72F4B" w:rsidRPr="00C72F4B" w:rsidRDefault="00C72F4B" w:rsidP="00C72F4B">
      <w:pPr>
        <w:rPr>
          <w:rFonts w:ascii="Microsoft Sans Serif" w:hAnsi="Microsoft Sans Serif" w:cs="Microsoft Sans Serif"/>
          <w:caps/>
          <w:sz w:val="24"/>
          <w:szCs w:val="24"/>
        </w:rPr>
      </w:pPr>
    </w:p>
    <w:p w:rsidR="00C72F4B" w:rsidRPr="00C72F4B" w:rsidRDefault="00C72F4B" w:rsidP="00C72F4B">
      <w:pPr>
        <w:rPr>
          <w:rFonts w:ascii="Microsoft Sans Serif" w:hAnsi="Microsoft Sans Serif" w:cs="Microsoft Sans Serif"/>
          <w:caps/>
          <w:sz w:val="24"/>
          <w:szCs w:val="24"/>
        </w:rPr>
      </w:pPr>
    </w:p>
    <w:p w:rsidR="00C72F4B" w:rsidRPr="00C72F4B" w:rsidRDefault="00C72F4B" w:rsidP="00C72F4B">
      <w:pPr>
        <w:rPr>
          <w:rFonts w:ascii="Microsoft Sans Serif" w:hAnsi="Microsoft Sans Serif" w:cs="Microsoft Sans Serif"/>
          <w:caps/>
          <w:noProof/>
          <w:sz w:val="24"/>
          <w:szCs w:val="24"/>
        </w:rPr>
      </w:pPr>
      <w:r w:rsidRPr="00C72F4B">
        <w:rPr>
          <w:rFonts w:ascii="Microsoft Sans Serif" w:hAnsi="Microsoft Sans Serif" w:cs="Microsoft Sans Serif"/>
          <w:caps/>
          <w:noProof/>
          <w:sz w:val="24"/>
          <w:szCs w:val="24"/>
        </w:rPr>
        <w:t>g</w:t>
      </w:r>
      <w:r w:rsidR="00D54EAE">
        <w:rPr>
          <w:rFonts w:ascii="Microsoft Sans Serif" w:hAnsi="Microsoft Sans Serif" w:cs="Microsoft Sans Serif"/>
          <w:caps/>
          <w:noProof/>
          <w:sz w:val="24"/>
          <w:szCs w:val="24"/>
        </w:rPr>
        <w:t>r</w:t>
      </w:r>
      <w:r w:rsidRPr="00C72F4B">
        <w:rPr>
          <w:rFonts w:ascii="Microsoft Sans Serif" w:hAnsi="Microsoft Sans Serif" w:cs="Microsoft Sans Serif"/>
          <w:caps/>
          <w:noProof/>
          <w:sz w:val="24"/>
          <w:szCs w:val="24"/>
        </w:rPr>
        <w:t>aig m schultz Esquire</w:t>
      </w:r>
    </w:p>
    <w:p w:rsidR="00C72F4B" w:rsidRPr="00C72F4B" w:rsidRDefault="00C72F4B" w:rsidP="00C72F4B">
      <w:pPr>
        <w:rPr>
          <w:rFonts w:ascii="Microsoft Sans Serif" w:hAnsi="Microsoft Sans Serif" w:cs="Microsoft Sans Serif"/>
          <w:caps/>
          <w:noProof/>
          <w:sz w:val="24"/>
          <w:szCs w:val="24"/>
        </w:rPr>
      </w:pPr>
      <w:r w:rsidRPr="00C72F4B">
        <w:rPr>
          <w:rFonts w:ascii="Microsoft Sans Serif" w:hAnsi="Microsoft Sans Serif" w:cs="Microsoft Sans Serif"/>
          <w:caps/>
          <w:noProof/>
          <w:sz w:val="24"/>
          <w:szCs w:val="24"/>
        </w:rPr>
        <w:t>gross mcginley llp</w:t>
      </w:r>
    </w:p>
    <w:p w:rsidR="00C72F4B" w:rsidRPr="00C72F4B" w:rsidRDefault="00C72F4B" w:rsidP="00C72F4B">
      <w:pPr>
        <w:rPr>
          <w:rFonts w:ascii="Microsoft Sans Serif" w:hAnsi="Microsoft Sans Serif" w:cs="Microsoft Sans Serif"/>
          <w:caps/>
          <w:noProof/>
          <w:sz w:val="24"/>
          <w:szCs w:val="24"/>
        </w:rPr>
      </w:pPr>
      <w:r w:rsidRPr="00C72F4B">
        <w:rPr>
          <w:rFonts w:ascii="Microsoft Sans Serif" w:hAnsi="Microsoft Sans Serif" w:cs="Microsoft Sans Serif"/>
          <w:caps/>
          <w:noProof/>
          <w:sz w:val="24"/>
          <w:szCs w:val="24"/>
        </w:rPr>
        <w:t>33 south seventh st</w:t>
      </w:r>
    </w:p>
    <w:p w:rsidR="00C72F4B" w:rsidRPr="00C72F4B" w:rsidRDefault="00C72F4B" w:rsidP="00C72F4B">
      <w:pPr>
        <w:rPr>
          <w:rFonts w:ascii="Microsoft Sans Serif" w:hAnsi="Microsoft Sans Serif" w:cs="Microsoft Sans Serif"/>
          <w:caps/>
          <w:noProof/>
          <w:sz w:val="24"/>
          <w:szCs w:val="24"/>
        </w:rPr>
      </w:pPr>
      <w:r w:rsidRPr="00C72F4B">
        <w:rPr>
          <w:rFonts w:ascii="Microsoft Sans Serif" w:hAnsi="Microsoft Sans Serif" w:cs="Microsoft Sans Serif"/>
          <w:caps/>
          <w:noProof/>
          <w:sz w:val="24"/>
          <w:szCs w:val="24"/>
        </w:rPr>
        <w:t>po box 4060</w:t>
      </w:r>
    </w:p>
    <w:p w:rsidR="00C72F4B" w:rsidRPr="00C72F4B" w:rsidRDefault="00C72F4B" w:rsidP="00C72F4B">
      <w:pPr>
        <w:rPr>
          <w:rFonts w:ascii="Microsoft Sans Serif" w:hAnsi="Microsoft Sans Serif" w:cs="Microsoft Sans Serif"/>
          <w:caps/>
          <w:sz w:val="24"/>
          <w:szCs w:val="24"/>
        </w:rPr>
      </w:pPr>
      <w:r w:rsidRPr="00C72F4B">
        <w:rPr>
          <w:rFonts w:ascii="Microsoft Sans Serif" w:hAnsi="Microsoft Sans Serif" w:cs="Microsoft Sans Serif"/>
          <w:caps/>
          <w:noProof/>
          <w:sz w:val="24"/>
          <w:szCs w:val="24"/>
        </w:rPr>
        <w:t>allentown pa 18105</w:t>
      </w:r>
    </w:p>
    <w:p w:rsidR="00590EBA" w:rsidRPr="00C72F4B" w:rsidRDefault="00C72F4B" w:rsidP="00C72F4B">
      <w:pPr>
        <w:rPr>
          <w:rFonts w:ascii="Microsoft Sans Serif" w:hAnsi="Microsoft Sans Serif" w:cs="Microsoft Sans Serif"/>
          <w:sz w:val="24"/>
          <w:szCs w:val="24"/>
        </w:rPr>
      </w:pPr>
      <w:r w:rsidRPr="00C72F4B">
        <w:rPr>
          <w:rFonts w:ascii="Microsoft Sans Serif" w:hAnsi="Microsoft Sans Serif" w:cs="Microsoft Sans Serif"/>
          <w:b/>
          <w:caps/>
          <w:noProof/>
          <w:sz w:val="24"/>
          <w:szCs w:val="24"/>
        </w:rPr>
        <w:t>610.820.5450</w:t>
      </w:r>
      <w:bookmarkStart w:id="0" w:name="_GoBack"/>
      <w:bookmarkEnd w:id="0"/>
    </w:p>
    <w:sectPr w:rsidR="00590EBA" w:rsidRPr="00C72F4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49F" w:rsidRDefault="00B7749F">
      <w:r>
        <w:separator/>
      </w:r>
    </w:p>
  </w:endnote>
  <w:endnote w:type="continuationSeparator" w:id="0">
    <w:p w:rsidR="00B7749F" w:rsidRDefault="00B7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B7749F"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4B" w:rsidRDefault="00C72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4B" w:rsidRDefault="00C72F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4B" w:rsidRPr="004C134C" w:rsidRDefault="00C72F4B"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49F" w:rsidRDefault="00B7749F">
      <w:r>
        <w:separator/>
      </w:r>
    </w:p>
  </w:footnote>
  <w:footnote w:type="continuationSeparator" w:id="0">
    <w:p w:rsidR="00B7749F" w:rsidRDefault="00B7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4B" w:rsidRDefault="00C72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4B" w:rsidRDefault="00C72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4B" w:rsidRDefault="00C72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F43A6"/>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7749F"/>
    <w:rsid w:val="00B95D18"/>
    <w:rsid w:val="00BA2BE1"/>
    <w:rsid w:val="00C72F4B"/>
    <w:rsid w:val="00C76AA7"/>
    <w:rsid w:val="00D01B43"/>
    <w:rsid w:val="00D16ABB"/>
    <w:rsid w:val="00D54EAE"/>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527FA3F"/>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C72F4B"/>
  </w:style>
  <w:style w:type="character" w:customStyle="1" w:styleId="FooterChar">
    <w:name w:val="Footer Char"/>
    <w:basedOn w:val="DefaultParagraphFont"/>
    <w:link w:val="Footer"/>
    <w:rsid w:val="00C7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661C-B721-46B1-9A4D-B502BA2B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2017-11-06T20:54:00Z</dcterms:created>
  <dcterms:modified xsi:type="dcterms:W3CDTF">2017-11-07T12:56:00Z</dcterms:modified>
</cp:coreProperties>
</file>