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7442DE" w:rsidP="008038A1">
      <w:r>
        <w:t>Friedman Wagner-</w:t>
      </w:r>
      <w:proofErr w:type="spellStart"/>
      <w:r>
        <w:t>Dobler</w:t>
      </w:r>
      <w:proofErr w:type="spellEnd"/>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7442DE">
        <w:t>2017-2593690</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7442DE" w:rsidP="008038A1">
      <w:proofErr w:type="spellStart"/>
      <w:r>
        <w:t>Rasier</w:t>
      </w:r>
      <w:proofErr w:type="spellEnd"/>
      <w:r>
        <w:t>-PA</w:t>
      </w:r>
      <w:r w:rsidR="00F725B5">
        <w:t>,</w:t>
      </w:r>
      <w:r>
        <w:t xml:space="preserve"> LLC</w:t>
      </w:r>
      <w:r>
        <w:tab/>
      </w:r>
      <w:r w:rsidR="008038A1" w:rsidRPr="008038A1">
        <w:tab/>
      </w:r>
      <w:r w:rsidR="008038A1" w:rsidRPr="008038A1">
        <w:tab/>
      </w:r>
      <w:r w:rsidR="008038A1" w:rsidRPr="008038A1">
        <w:tab/>
      </w:r>
      <w:r w:rsidR="008038A1" w:rsidRPr="008038A1">
        <w:tab/>
        <w:t>:</w:t>
      </w:r>
    </w:p>
    <w:p w:rsidR="008038A1" w:rsidRDefault="007442DE" w:rsidP="008038A1">
      <w:r>
        <w:t>d/b/a Uber</w:t>
      </w:r>
      <w:r>
        <w:tab/>
      </w:r>
      <w:r>
        <w:tab/>
      </w:r>
      <w:r>
        <w:tab/>
      </w:r>
      <w:r>
        <w:tab/>
      </w:r>
      <w:r>
        <w:tab/>
      </w:r>
      <w:r>
        <w:tab/>
        <w:t>:</w:t>
      </w:r>
    </w:p>
    <w:p w:rsidR="00CD309F" w:rsidRPr="008038A1" w:rsidRDefault="00CD309F" w:rsidP="008038A1"/>
    <w:p w:rsidR="008038A1" w:rsidRPr="008038A1" w:rsidRDefault="008038A1" w:rsidP="008038A1"/>
    <w:p w:rsidR="008038A1" w:rsidRPr="007B25E2" w:rsidRDefault="009B28C5" w:rsidP="008038A1">
      <w:pPr>
        <w:jc w:val="center"/>
        <w:rPr>
          <w:b/>
          <w:u w:val="single"/>
        </w:rPr>
      </w:pPr>
      <w:r>
        <w:rPr>
          <w:b/>
          <w:u w:val="single"/>
        </w:rPr>
        <w:t>POST-HEARING</w:t>
      </w:r>
      <w:r w:rsidR="008038A1" w:rsidRPr="007B25E2">
        <w:rPr>
          <w:b/>
          <w:u w:val="single"/>
        </w:rPr>
        <w:t xml:space="preserve"> INTERIM ORDER</w:t>
      </w:r>
    </w:p>
    <w:p w:rsidR="001A517C" w:rsidRPr="007B25E2" w:rsidRDefault="009B28C5" w:rsidP="008038A1">
      <w:pPr>
        <w:jc w:val="center"/>
      </w:pPr>
      <w:r>
        <w:t>Re-Open Hearing Record and Establish Briefing Schedule</w:t>
      </w:r>
    </w:p>
    <w:p w:rsidR="00CD309F" w:rsidRDefault="00CD309F" w:rsidP="00280D5C">
      <w:pPr>
        <w:spacing w:line="360" w:lineRule="auto"/>
      </w:pPr>
    </w:p>
    <w:p w:rsidR="007442DE" w:rsidRDefault="00280D5C" w:rsidP="00280D5C">
      <w:pPr>
        <w:spacing w:line="360" w:lineRule="auto"/>
      </w:pPr>
      <w:r>
        <w:tab/>
      </w:r>
      <w:r>
        <w:tab/>
        <w:t xml:space="preserve">On </w:t>
      </w:r>
      <w:r w:rsidR="007442DE">
        <w:t>March 14, 2017</w:t>
      </w:r>
      <w:r>
        <w:t xml:space="preserve">, </w:t>
      </w:r>
      <w:r w:rsidR="007442DE">
        <w:t>Friedman Wagner-</w:t>
      </w:r>
      <w:proofErr w:type="spellStart"/>
      <w:r w:rsidR="007442DE">
        <w:t>Dobler</w:t>
      </w:r>
      <w:proofErr w:type="spellEnd"/>
      <w:r>
        <w:t xml:space="preserve"> (Complainant or Mr. </w:t>
      </w:r>
      <w:r w:rsidR="007442DE">
        <w:t>Wagner-</w:t>
      </w:r>
      <w:proofErr w:type="spellStart"/>
      <w:r w:rsidR="007442DE">
        <w:t>Dobler</w:t>
      </w:r>
      <w:proofErr w:type="spellEnd"/>
      <w:r>
        <w:t xml:space="preserve">) filed a formal complaint with the Pennsylvania Public Utility Commission (Commission) against </w:t>
      </w:r>
      <w:proofErr w:type="spellStart"/>
      <w:r w:rsidR="007442DE">
        <w:t>Rasier</w:t>
      </w:r>
      <w:proofErr w:type="spellEnd"/>
      <w:r w:rsidR="007442DE">
        <w:t>-PA</w:t>
      </w:r>
      <w:r w:rsidR="00F725B5">
        <w:t>,</w:t>
      </w:r>
      <w:r w:rsidR="007442DE">
        <w:t xml:space="preserve"> LLC, d/b/a Uber</w:t>
      </w:r>
      <w:r>
        <w:t xml:space="preserve"> (</w:t>
      </w:r>
      <w:proofErr w:type="spellStart"/>
      <w:r w:rsidR="007442DE">
        <w:t>Rasier</w:t>
      </w:r>
      <w:proofErr w:type="spellEnd"/>
      <w:r w:rsidR="007442DE">
        <w:t xml:space="preserve"> or Uber</w:t>
      </w:r>
      <w:r>
        <w:t xml:space="preserve">) alleging </w:t>
      </w:r>
      <w:r w:rsidR="007442DE">
        <w:t xml:space="preserve">Uber overcharged him for two identical rides on March 10, 2017 and March 13, </w:t>
      </w:r>
      <w:r w:rsidR="009B28C5">
        <w:t xml:space="preserve">2017, and on subsequent rides, and requested </w:t>
      </w:r>
      <w:r w:rsidR="007442DE">
        <w:t>a refund</w:t>
      </w:r>
      <w:r w:rsidR="009B28C5">
        <w:t xml:space="preserve"> and an audit o</w:t>
      </w:r>
      <w:r w:rsidR="007442DE">
        <w:t>f his past trips</w:t>
      </w:r>
      <w:r>
        <w:t xml:space="preserve">.  </w:t>
      </w:r>
    </w:p>
    <w:p w:rsidR="007442DE" w:rsidRDefault="007442DE" w:rsidP="00280D5C">
      <w:pPr>
        <w:spacing w:line="360" w:lineRule="auto"/>
      </w:pPr>
    </w:p>
    <w:p w:rsidR="00280D5C" w:rsidRDefault="00280D5C" w:rsidP="00280D5C">
      <w:pPr>
        <w:spacing w:line="360" w:lineRule="auto"/>
      </w:pPr>
      <w:r>
        <w:tab/>
      </w:r>
      <w:r>
        <w:tab/>
        <w:t xml:space="preserve">On </w:t>
      </w:r>
      <w:r w:rsidR="00342C83">
        <w:t>July 17, 2017</w:t>
      </w:r>
      <w:r>
        <w:t xml:space="preserve">, the Office of Administrative Law Judge (OALJ) issued a Call-In Telephone Hearing Notice scheduling an initial telephonic hearing to be conducted on </w:t>
      </w:r>
      <w:r w:rsidR="00342C83">
        <w:t>Monday, August 28, 2017</w:t>
      </w:r>
      <w:r>
        <w:t xml:space="preserve"> at 10:00 a.m.  On </w:t>
      </w:r>
      <w:r w:rsidR="00342C83">
        <w:t>July 18, 2017</w:t>
      </w:r>
      <w:r w:rsidR="007B29AB">
        <w:t xml:space="preserve">, the presiding officer issued the Prehearing Order which, </w:t>
      </w:r>
      <w:r w:rsidR="007B29AB" w:rsidRPr="007B29AB">
        <w:rPr>
          <w:i/>
        </w:rPr>
        <w:t>inter alia</w:t>
      </w:r>
      <w:r w:rsidR="007B29AB">
        <w:t xml:space="preserve">, informed the parties how to request a continuance in the proceedings.  </w:t>
      </w:r>
    </w:p>
    <w:p w:rsidR="009B28C5" w:rsidRDefault="009B28C5" w:rsidP="00280D5C">
      <w:pPr>
        <w:spacing w:line="360" w:lineRule="auto"/>
      </w:pPr>
    </w:p>
    <w:p w:rsidR="00BC5F72" w:rsidRDefault="00342C83" w:rsidP="00BC5F72">
      <w:pPr>
        <w:spacing w:line="360" w:lineRule="auto"/>
        <w:ind w:firstLine="1440"/>
      </w:pPr>
      <w:r>
        <w:t>On August 8, 2017</w:t>
      </w:r>
      <w:r w:rsidR="007B29AB">
        <w:t xml:space="preserve">, </w:t>
      </w:r>
      <w:proofErr w:type="spellStart"/>
      <w:r>
        <w:t>Rasier</w:t>
      </w:r>
      <w:proofErr w:type="spellEnd"/>
      <w:r w:rsidR="007B29AB">
        <w:t xml:space="preserve"> filed a </w:t>
      </w:r>
      <w:r>
        <w:t>letter requesting a c</w:t>
      </w:r>
      <w:r w:rsidR="007B29AB">
        <w:t xml:space="preserve">ontinuance.  </w:t>
      </w:r>
      <w:proofErr w:type="spellStart"/>
      <w:r>
        <w:t>Rasier</w:t>
      </w:r>
      <w:proofErr w:type="spellEnd"/>
      <w:r w:rsidR="007B29AB">
        <w:t xml:space="preserve"> alleged </w:t>
      </w:r>
      <w:r>
        <w:t xml:space="preserve">it needed more time to investigate the complaint, engage in settlement negotiations with Complainant, and prepare for the hearing.  </w:t>
      </w:r>
      <w:proofErr w:type="spellStart"/>
      <w:r w:rsidR="00BC5F72">
        <w:t>Rasier</w:t>
      </w:r>
      <w:proofErr w:type="spellEnd"/>
      <w:r w:rsidR="00BC5F72">
        <w:t xml:space="preserve"> indicated in its request that it contacted Complainant, who agreed to the continuance request.</w:t>
      </w:r>
    </w:p>
    <w:p w:rsidR="00BC5F72" w:rsidRDefault="00BC5F72" w:rsidP="00342C83">
      <w:pPr>
        <w:spacing w:line="360" w:lineRule="auto"/>
        <w:ind w:firstLine="1440"/>
      </w:pPr>
    </w:p>
    <w:p w:rsidR="009B28C5" w:rsidRDefault="009B28C5" w:rsidP="00342C83">
      <w:pPr>
        <w:spacing w:line="360" w:lineRule="auto"/>
        <w:ind w:firstLine="1440"/>
      </w:pPr>
      <w:r>
        <w:t xml:space="preserve">On August 10, 2017, the presiding officer granted the continuance request of </w:t>
      </w:r>
      <w:proofErr w:type="spellStart"/>
      <w:r>
        <w:t>Rasier</w:t>
      </w:r>
      <w:proofErr w:type="spellEnd"/>
      <w:r>
        <w:t xml:space="preserve">.  Thereafter, on August 11, 2017, the OALJ issued a Call-In Telephone Hearing Notice </w:t>
      </w:r>
      <w:r>
        <w:lastRenderedPageBreak/>
        <w:t>scheduling an initial telephonic hearing to be conducted on Thursday, September 28, 2017 at 10:00 a.m.</w:t>
      </w:r>
    </w:p>
    <w:p w:rsidR="005D7F03" w:rsidRDefault="005D7F03" w:rsidP="005D7F03">
      <w:pPr>
        <w:spacing w:line="360" w:lineRule="auto"/>
        <w:ind w:firstLine="1440"/>
      </w:pPr>
    </w:p>
    <w:p w:rsidR="005D7F03" w:rsidRDefault="005D7F03" w:rsidP="005D7F03">
      <w:pPr>
        <w:spacing w:line="360" w:lineRule="auto"/>
        <w:ind w:firstLine="1440"/>
      </w:pPr>
      <w:r w:rsidRPr="00662939">
        <w:t xml:space="preserve">On </w:t>
      </w:r>
      <w:r>
        <w:t>September 28, 2017</w:t>
      </w:r>
      <w:r w:rsidRPr="00662939">
        <w:t xml:space="preserve">, the presiding officer convened the </w:t>
      </w:r>
      <w:r>
        <w:t xml:space="preserve">initial </w:t>
      </w:r>
      <w:r w:rsidRPr="00662939">
        <w:t xml:space="preserve">telephonic hearing as scheduled.  Complainant appeared </w:t>
      </w:r>
      <w:r w:rsidRPr="00625DA1">
        <w:rPr>
          <w:i/>
        </w:rPr>
        <w:t>pro se</w:t>
      </w:r>
      <w:r w:rsidRPr="00662939">
        <w:t xml:space="preserve">.  </w:t>
      </w:r>
      <w:r>
        <w:t xml:space="preserve">Respondent was represented by John F. </w:t>
      </w:r>
      <w:proofErr w:type="spellStart"/>
      <w:r>
        <w:t>Povilaitis</w:t>
      </w:r>
      <w:proofErr w:type="spellEnd"/>
      <w:r>
        <w:t xml:space="preserve">, Esquire.  Complainant presented testimony from himself but did not offer any exhibits.  Respondent presented the testimony of one witness but did not offer any exhibits.  </w:t>
      </w:r>
      <w:r w:rsidRPr="008D5A3F">
        <w:t>Complainant and Respondent issued final statements on the hearing record.</w:t>
      </w:r>
      <w:r>
        <w:t xml:space="preserve">  Prior to concluding the hearing, Respondent requested permission to file briefs, and Complainant agreed he would like the same opportunity.</w:t>
      </w:r>
      <w:r w:rsidRPr="008D5A3F">
        <w:t xml:space="preserve">  </w:t>
      </w:r>
      <w:r>
        <w:t xml:space="preserve">  </w:t>
      </w:r>
    </w:p>
    <w:p w:rsidR="005D7F03" w:rsidRDefault="005D7F03" w:rsidP="005D7F03">
      <w:pPr>
        <w:spacing w:line="360" w:lineRule="auto"/>
        <w:ind w:firstLine="1440"/>
      </w:pPr>
    </w:p>
    <w:p w:rsidR="009B28C5" w:rsidRDefault="005D7F03" w:rsidP="00342C83">
      <w:pPr>
        <w:spacing w:line="360" w:lineRule="auto"/>
        <w:ind w:firstLine="1440"/>
      </w:pPr>
      <w:r>
        <w:t xml:space="preserve">On November 1, 2017, the presiding officer received the transcript consisting of 113 pages.  </w:t>
      </w:r>
      <w:r w:rsidR="00136A22">
        <w:t xml:space="preserve">On November 2, 2017, the presiding officer inadvertently issued an Interim Order which closed the hearing record, instead of establishing a briefing schedule, as requested by Respondent.  </w:t>
      </w:r>
    </w:p>
    <w:p w:rsidR="002649A1" w:rsidRDefault="002649A1" w:rsidP="002649A1">
      <w:pPr>
        <w:pStyle w:val="FootnoteText"/>
        <w:spacing w:line="360" w:lineRule="auto"/>
        <w:jc w:val="center"/>
        <w:rPr>
          <w:rFonts w:ascii="Times New Roman" w:hAnsi="Times New Roman" w:cs="Times New Roman"/>
          <w:spacing w:val="-3"/>
          <w:u w:val="single"/>
        </w:rPr>
      </w:pPr>
    </w:p>
    <w:p w:rsidR="002649A1" w:rsidRPr="006B1D48" w:rsidRDefault="002649A1" w:rsidP="002649A1">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2649A1" w:rsidRDefault="002649A1" w:rsidP="002649A1">
      <w:pPr>
        <w:pStyle w:val="FootnoteText"/>
        <w:spacing w:line="360" w:lineRule="auto"/>
        <w:ind w:firstLine="1350"/>
        <w:rPr>
          <w:rFonts w:ascii="Times New Roman" w:hAnsi="Times New Roman" w:cs="Times New Roman"/>
          <w:spacing w:val="-3"/>
        </w:rPr>
      </w:pPr>
    </w:p>
    <w:p w:rsidR="00086845" w:rsidRDefault="00086845" w:rsidP="00086845">
      <w:pPr>
        <w:spacing w:line="360" w:lineRule="auto"/>
        <w:ind w:firstLine="1440"/>
        <w:rPr>
          <w:bCs/>
          <w:spacing w:val="-3"/>
        </w:rPr>
      </w:pPr>
      <w:r>
        <w:rPr>
          <w:bCs/>
          <w:spacing w:val="-3"/>
        </w:rPr>
        <w:t xml:space="preserve">After receiving the transcript from the hearing on </w:t>
      </w:r>
      <w:r w:rsidR="00136A22">
        <w:rPr>
          <w:bCs/>
          <w:spacing w:val="-3"/>
        </w:rPr>
        <w:t>November 1, 2017, which consisted of 113 pages but no exhibits</w:t>
      </w:r>
      <w:r>
        <w:rPr>
          <w:bCs/>
          <w:spacing w:val="-3"/>
        </w:rPr>
        <w:t xml:space="preserve">, the </w:t>
      </w:r>
      <w:r w:rsidRPr="00993D3D">
        <w:rPr>
          <w:bCs/>
          <w:spacing w:val="-3"/>
        </w:rPr>
        <w:t>presiding officer closed the hearing record by issuance of the Interim Order Closing the Record</w:t>
      </w:r>
      <w:r>
        <w:rPr>
          <w:bCs/>
          <w:spacing w:val="-3"/>
        </w:rPr>
        <w:t xml:space="preserve"> on </w:t>
      </w:r>
      <w:r w:rsidR="00136A22">
        <w:rPr>
          <w:bCs/>
          <w:spacing w:val="-3"/>
        </w:rPr>
        <w:t xml:space="preserve">November 2, 2017.  However, Respondent had requested the opportunity to file a brief, to which Complainant consented, </w:t>
      </w:r>
      <w:proofErr w:type="gramStart"/>
      <w:r w:rsidR="00136A22">
        <w:rPr>
          <w:bCs/>
          <w:spacing w:val="-3"/>
        </w:rPr>
        <w:t>at the conclusion of</w:t>
      </w:r>
      <w:proofErr w:type="gramEnd"/>
      <w:r w:rsidR="00136A22">
        <w:rPr>
          <w:bCs/>
          <w:spacing w:val="-3"/>
        </w:rPr>
        <w:t xml:space="preserve"> the telephonic hearing.  Accordingly, the issuance of the Interim Order Closing the Record on November 2, 2017 was in error.  This Post-Hearing Order reverses that order by reopening the hearing record and establishing a briefing schedule.  </w:t>
      </w:r>
    </w:p>
    <w:p w:rsidR="00086845" w:rsidRPr="00E34AFD" w:rsidRDefault="00086845" w:rsidP="00086845">
      <w:pPr>
        <w:tabs>
          <w:tab w:val="left" w:pos="2160"/>
        </w:tabs>
        <w:spacing w:line="360" w:lineRule="auto"/>
        <w:ind w:firstLine="1440"/>
      </w:pPr>
    </w:p>
    <w:p w:rsidR="00086845" w:rsidRDefault="00136A22" w:rsidP="00086845">
      <w:pPr>
        <w:spacing w:line="360" w:lineRule="auto"/>
        <w:ind w:firstLine="1440"/>
      </w:pPr>
      <w:r>
        <w:t xml:space="preserve">Pursuant to 52 </w:t>
      </w:r>
      <w:proofErr w:type="spellStart"/>
      <w:proofErr w:type="gramStart"/>
      <w:r>
        <w:t>Pa.</w:t>
      </w:r>
      <w:r w:rsidR="00086845" w:rsidRPr="00E34AFD">
        <w:t>Code</w:t>
      </w:r>
      <w:proofErr w:type="spellEnd"/>
      <w:proofErr w:type="gramEnd"/>
      <w:r w:rsidR="00086845" w:rsidRPr="00E34AFD">
        <w:t xml:space="preserve"> §</w:t>
      </w:r>
      <w:r>
        <w:t xml:space="preserve"> 5.483 and 66 </w:t>
      </w:r>
      <w:proofErr w:type="spellStart"/>
      <w:r>
        <w:t>Pa.</w:t>
      </w:r>
      <w:r w:rsidR="00086845" w:rsidRPr="00E34AFD">
        <w:t>C.S.A</w:t>
      </w:r>
      <w:proofErr w:type="spellEnd"/>
      <w:r w:rsidR="00086845" w:rsidRPr="00E34AFD">
        <w:t>. §</w:t>
      </w:r>
      <w:r>
        <w:t xml:space="preserve"> </w:t>
      </w:r>
      <w:r w:rsidR="00086845" w:rsidRPr="00E34AFD">
        <w:t>331(d) and §</w:t>
      </w:r>
      <w:r>
        <w:t xml:space="preserve"> </w:t>
      </w:r>
      <w:r w:rsidR="00086845" w:rsidRPr="00E34AFD">
        <w:t xml:space="preserve">332, the presiding officer has various powers to preside over the taking of evidence and to regulate the course of proceedings, including the </w:t>
      </w:r>
      <w:r>
        <w:t>close of the hearing record and the submission of briefs</w:t>
      </w:r>
      <w:r w:rsidR="00086845" w:rsidRPr="00E34AFD">
        <w:t xml:space="preserve">.  </w:t>
      </w:r>
    </w:p>
    <w:p w:rsidR="00086845" w:rsidRDefault="00086845" w:rsidP="00086845">
      <w:pPr>
        <w:spacing w:line="360" w:lineRule="auto"/>
        <w:ind w:firstLine="1440"/>
      </w:pPr>
    </w:p>
    <w:p w:rsidR="00086845" w:rsidRDefault="00136A22" w:rsidP="00086845">
      <w:pPr>
        <w:spacing w:line="360" w:lineRule="auto"/>
        <w:ind w:firstLine="1440"/>
      </w:pPr>
      <w:r>
        <w:t xml:space="preserve">Pursuant to 52 </w:t>
      </w:r>
      <w:proofErr w:type="spellStart"/>
      <w:proofErr w:type="gramStart"/>
      <w:r>
        <w:t>Pa.</w:t>
      </w:r>
      <w:r w:rsidR="00086845" w:rsidRPr="00E34AFD">
        <w:t>Code</w:t>
      </w:r>
      <w:proofErr w:type="spellEnd"/>
      <w:proofErr w:type="gramEnd"/>
      <w:r w:rsidR="00086845" w:rsidRPr="00E34AFD">
        <w:t xml:space="preserve"> §</w:t>
      </w:r>
      <w:r>
        <w:t xml:space="preserve"> </w:t>
      </w:r>
      <w:r w:rsidR="00086845" w:rsidRPr="00E34AFD">
        <w:t>5.571(d), the presiding officer may reopen the record prior to the issuance of a decision, after notifying the parties of the need to receive further evidence and when there is reason to believe conditions of fact or of law</w:t>
      </w:r>
      <w:r w:rsidR="00086845">
        <w:t xml:space="preserve"> have so changed as to require, or that the public interest requires, the reopening of the proceeding.  </w:t>
      </w:r>
    </w:p>
    <w:p w:rsidR="00136A22" w:rsidRDefault="00136A22" w:rsidP="00086845">
      <w:pPr>
        <w:spacing w:line="360" w:lineRule="auto"/>
        <w:ind w:firstLine="1440"/>
      </w:pPr>
    </w:p>
    <w:p w:rsidR="00136A22" w:rsidRDefault="00136A22" w:rsidP="00086845">
      <w:pPr>
        <w:spacing w:line="360" w:lineRule="auto"/>
        <w:ind w:firstLine="1440"/>
      </w:pPr>
      <w:r>
        <w:t xml:space="preserve">The content and form of briefs are specified in 52 </w:t>
      </w:r>
      <w:proofErr w:type="spellStart"/>
      <w:r>
        <w:t>Pa.Code</w:t>
      </w:r>
      <w:proofErr w:type="spellEnd"/>
      <w:r>
        <w:t xml:space="preserve"> § 5.501, which requires that all briefs contain (1) a concise state of the case; (2) reference to the pages of the record where the evidence relied upon appears; (3) an argument preceded by a summ</w:t>
      </w:r>
      <w:r w:rsidR="00196C70">
        <w:t>a</w:t>
      </w:r>
      <w:bookmarkStart w:id="0" w:name="_GoBack"/>
      <w:bookmarkEnd w:id="0"/>
      <w:r w:rsidR="007360BE">
        <w:t>ry</w:t>
      </w:r>
      <w:r>
        <w:t xml:space="preserve"> in which Complainant (as the party with the burden of proof in this case) shall completely address every issue raised by his request for relief and the evidence presented at the hearing; and (4) a conclusion that includes the requested relief.  </w:t>
      </w:r>
      <w:r w:rsidR="00756A84">
        <w:t xml:space="preserve">Pursuant to 52 </w:t>
      </w:r>
      <w:proofErr w:type="spellStart"/>
      <w:proofErr w:type="gramStart"/>
      <w:r w:rsidR="00756A84">
        <w:t>Pa.Code</w:t>
      </w:r>
      <w:proofErr w:type="spellEnd"/>
      <w:proofErr w:type="gramEnd"/>
      <w:r w:rsidR="00756A84">
        <w:t xml:space="preserve"> § 5.502, the briefs must be filed and served upon the presiding officer and the other party.</w:t>
      </w:r>
    </w:p>
    <w:p w:rsidR="00086845" w:rsidRDefault="00086845" w:rsidP="00086845">
      <w:pPr>
        <w:spacing w:line="360" w:lineRule="auto"/>
      </w:pPr>
    </w:p>
    <w:p w:rsidR="00086845" w:rsidRDefault="00086845" w:rsidP="00086845">
      <w:pPr>
        <w:spacing w:line="360" w:lineRule="auto"/>
      </w:pPr>
      <w:r>
        <w:tab/>
      </w:r>
      <w:r>
        <w:tab/>
        <w:t>It is clear from the record the presiding officer inadvertently closed the hearing record without first providing the parties with an opportunity to file briefs.  Accordingly, the presiding officer will reopen the hearing record in order that the parties</w:t>
      </w:r>
      <w:r w:rsidR="00756A84">
        <w:t xml:space="preserve"> will have time in which to file briefs</w:t>
      </w:r>
      <w:r>
        <w:t xml:space="preserve">, after which the hearing record will be closed by a subsequent order.  </w:t>
      </w:r>
    </w:p>
    <w:p w:rsidR="00756A84" w:rsidRPr="00BF2F2A" w:rsidRDefault="00756A84" w:rsidP="00756A84">
      <w:pPr>
        <w:spacing w:line="360" w:lineRule="auto"/>
      </w:pPr>
    </w:p>
    <w:p w:rsidR="00756A84" w:rsidRDefault="00756A84" w:rsidP="00756A84">
      <w:pPr>
        <w:spacing w:line="360" w:lineRule="auto"/>
      </w:pPr>
      <w:r>
        <w:tab/>
      </w:r>
      <w:r>
        <w:tab/>
        <w:t>THEREFORE,</w:t>
      </w:r>
    </w:p>
    <w:p w:rsidR="00756A84" w:rsidRDefault="00756A84" w:rsidP="00756A84">
      <w:pPr>
        <w:spacing w:line="360" w:lineRule="auto"/>
      </w:pPr>
    </w:p>
    <w:p w:rsidR="00756A84" w:rsidRDefault="00756A84" w:rsidP="00756A84">
      <w:pPr>
        <w:spacing w:line="360" w:lineRule="auto"/>
      </w:pPr>
      <w:r>
        <w:tab/>
      </w:r>
      <w:r>
        <w:tab/>
        <w:t>IT IS ORDERED:</w:t>
      </w:r>
    </w:p>
    <w:p w:rsidR="00756A84" w:rsidRDefault="00756A84" w:rsidP="00756A84">
      <w:pPr>
        <w:spacing w:line="360" w:lineRule="auto"/>
      </w:pPr>
    </w:p>
    <w:p w:rsidR="00756A84" w:rsidRDefault="00756A84" w:rsidP="00756A84">
      <w:pPr>
        <w:numPr>
          <w:ilvl w:val="0"/>
          <w:numId w:val="1"/>
        </w:numPr>
        <w:tabs>
          <w:tab w:val="clear" w:pos="2160"/>
          <w:tab w:val="num" w:pos="0"/>
        </w:tabs>
        <w:spacing w:line="360" w:lineRule="auto"/>
        <w:ind w:left="0" w:firstLine="1440"/>
      </w:pPr>
      <w:r>
        <w:t>That the hearing record in Friedman Wagner-</w:t>
      </w:r>
      <w:proofErr w:type="spellStart"/>
      <w:r>
        <w:t>Dobler</w:t>
      </w:r>
      <w:proofErr w:type="spellEnd"/>
      <w:r>
        <w:t xml:space="preserve"> v </w:t>
      </w:r>
      <w:proofErr w:type="spellStart"/>
      <w:r>
        <w:t>Rasier</w:t>
      </w:r>
      <w:proofErr w:type="spellEnd"/>
      <w:r>
        <w:t>-PA, LLC, d/b/a Uber, at Docket No. C-2017-2593690 is reopened.</w:t>
      </w:r>
    </w:p>
    <w:p w:rsidR="00756A84" w:rsidRDefault="00756A84" w:rsidP="00756A84">
      <w:pPr>
        <w:spacing w:line="360" w:lineRule="auto"/>
        <w:ind w:left="1440"/>
      </w:pPr>
    </w:p>
    <w:p w:rsidR="00756A84" w:rsidRDefault="00756A84" w:rsidP="00756A84">
      <w:pPr>
        <w:numPr>
          <w:ilvl w:val="0"/>
          <w:numId w:val="1"/>
        </w:numPr>
        <w:tabs>
          <w:tab w:val="clear" w:pos="2160"/>
          <w:tab w:val="num" w:pos="0"/>
        </w:tabs>
        <w:spacing w:line="360" w:lineRule="auto"/>
        <w:ind w:left="0" w:firstLine="1440"/>
      </w:pPr>
      <w:r>
        <w:t>Friedman Wagner-</w:t>
      </w:r>
      <w:proofErr w:type="spellStart"/>
      <w:r>
        <w:t>Dobler</w:t>
      </w:r>
      <w:proofErr w:type="spellEnd"/>
      <w:r>
        <w:t xml:space="preserve"> and </w:t>
      </w:r>
      <w:proofErr w:type="spellStart"/>
      <w:r>
        <w:t>Rasier</w:t>
      </w:r>
      <w:proofErr w:type="spellEnd"/>
      <w:r>
        <w:t xml:space="preserve">-PA, LLC, d/b/a Uber, are granted leave to file a main brief provided the main brief is filed consistent with paragraphs 4, 5 and 6 below, and served on or before the close of business on </w:t>
      </w:r>
      <w:r>
        <w:rPr>
          <w:b/>
        </w:rPr>
        <w:t>Friday, December 1, 2017</w:t>
      </w:r>
      <w:r>
        <w:t>.</w:t>
      </w:r>
    </w:p>
    <w:p w:rsidR="00756A84" w:rsidRDefault="00756A84" w:rsidP="00756A84">
      <w:pPr>
        <w:spacing w:line="360" w:lineRule="auto"/>
        <w:ind w:left="1440"/>
      </w:pPr>
    </w:p>
    <w:p w:rsidR="00756A84" w:rsidRDefault="00756A84" w:rsidP="00756A84">
      <w:pPr>
        <w:numPr>
          <w:ilvl w:val="0"/>
          <w:numId w:val="1"/>
        </w:numPr>
        <w:tabs>
          <w:tab w:val="clear" w:pos="2160"/>
          <w:tab w:val="num" w:pos="0"/>
        </w:tabs>
        <w:spacing w:line="360" w:lineRule="auto"/>
        <w:ind w:left="0" w:firstLine="1440"/>
      </w:pPr>
      <w:r>
        <w:t>If either Friedman Wagner-</w:t>
      </w:r>
      <w:proofErr w:type="spellStart"/>
      <w:r>
        <w:t>Dobler</w:t>
      </w:r>
      <w:proofErr w:type="spellEnd"/>
      <w:r>
        <w:t xml:space="preserve"> and/or </w:t>
      </w:r>
      <w:proofErr w:type="spellStart"/>
      <w:r>
        <w:t>Rasier</w:t>
      </w:r>
      <w:proofErr w:type="spellEnd"/>
      <w:r>
        <w:t xml:space="preserve">-PA, LLC, d/b/a Uber choose to submit a reply brief, that reply brief must be filed consistent with paragraphs 4, 5 and 6 below, on or before </w:t>
      </w:r>
      <w:r>
        <w:rPr>
          <w:b/>
        </w:rPr>
        <w:t>Friday, December 15, 2017</w:t>
      </w:r>
      <w:r>
        <w:t>.</w:t>
      </w:r>
    </w:p>
    <w:p w:rsidR="00756A84" w:rsidRDefault="00756A84" w:rsidP="00756A84">
      <w:pPr>
        <w:spacing w:line="360" w:lineRule="auto"/>
        <w:ind w:left="1440"/>
      </w:pPr>
    </w:p>
    <w:p w:rsidR="00756A84" w:rsidRDefault="00756A84" w:rsidP="00756A84">
      <w:pPr>
        <w:numPr>
          <w:ilvl w:val="0"/>
          <w:numId w:val="1"/>
        </w:numPr>
        <w:tabs>
          <w:tab w:val="clear" w:pos="2160"/>
          <w:tab w:val="num" w:pos="0"/>
        </w:tabs>
        <w:spacing w:line="360" w:lineRule="auto"/>
        <w:ind w:left="0" w:firstLine="1440"/>
      </w:pPr>
      <w:r>
        <w:t xml:space="preserve">An original copy of the main brief and reply brief, if filed, must be filed with the Secretary, in accordance with 52 </w:t>
      </w:r>
      <w:proofErr w:type="spellStart"/>
      <w:proofErr w:type="gramStart"/>
      <w:r>
        <w:t>Pa.Code</w:t>
      </w:r>
      <w:proofErr w:type="spellEnd"/>
      <w:proofErr w:type="gramEnd"/>
      <w:r>
        <w:t xml:space="preserve"> §</w:t>
      </w:r>
      <w:r w:rsidR="007360BE">
        <w:t xml:space="preserve"> </w:t>
      </w:r>
      <w:r>
        <w:t xml:space="preserve">5.502(a), and one copy received in-hand by me and all parties </w:t>
      </w:r>
      <w:r w:rsidRPr="00756A84">
        <w:rPr>
          <w:b/>
          <w:u w:val="single"/>
        </w:rPr>
        <w:t>no later than 4:00 p.m.</w:t>
      </w:r>
      <w:r>
        <w:t xml:space="preserve"> on the dates listed.  In addition, each party is directed to e-mail its brief in Microsoft Word to me.  </w:t>
      </w:r>
    </w:p>
    <w:p w:rsidR="00756A84" w:rsidRDefault="00756A84" w:rsidP="00756A84">
      <w:pPr>
        <w:spacing w:line="360" w:lineRule="auto"/>
      </w:pPr>
    </w:p>
    <w:p w:rsidR="00756A84" w:rsidRDefault="00756A84" w:rsidP="00756A84">
      <w:pPr>
        <w:numPr>
          <w:ilvl w:val="0"/>
          <w:numId w:val="1"/>
        </w:numPr>
        <w:tabs>
          <w:tab w:val="clear" w:pos="2160"/>
          <w:tab w:val="num" w:pos="0"/>
        </w:tabs>
        <w:spacing w:line="360" w:lineRule="auto"/>
        <w:ind w:left="0" w:firstLine="1440"/>
      </w:pPr>
      <w:r>
        <w:t xml:space="preserve">All briefs shall comply with the requirements of 52 </w:t>
      </w:r>
      <w:proofErr w:type="spellStart"/>
      <w:proofErr w:type="gramStart"/>
      <w:r>
        <w:t>Pa.Code</w:t>
      </w:r>
      <w:proofErr w:type="spellEnd"/>
      <w:proofErr w:type="gramEnd"/>
      <w:r>
        <w:t xml:space="preserve"> §</w:t>
      </w:r>
      <w:r w:rsidR="007360BE">
        <w:t xml:space="preserve"> </w:t>
      </w:r>
      <w:r>
        <w:t>5.501 and §</w:t>
      </w:r>
      <w:r w:rsidR="007360BE">
        <w:t> </w:t>
      </w:r>
      <w:r>
        <w:t xml:space="preserve">5.502, and in addition to the mandatory contents set forth in 52 </w:t>
      </w:r>
      <w:proofErr w:type="spellStart"/>
      <w:r>
        <w:t>Pa.Code</w:t>
      </w:r>
      <w:proofErr w:type="spellEnd"/>
      <w:r>
        <w:t xml:space="preserve"> §</w:t>
      </w:r>
      <w:r w:rsidR="007360BE">
        <w:t xml:space="preserve"> </w:t>
      </w:r>
      <w:r>
        <w:t>5.501(a), the main brief filed by Friedman Wagner-</w:t>
      </w:r>
      <w:proofErr w:type="spellStart"/>
      <w:r>
        <w:t>Dobler</w:t>
      </w:r>
      <w:proofErr w:type="spellEnd"/>
      <w:r>
        <w:t xml:space="preserve"> and </w:t>
      </w:r>
      <w:proofErr w:type="spellStart"/>
      <w:r>
        <w:t>Rasier</w:t>
      </w:r>
      <w:proofErr w:type="spellEnd"/>
      <w:r>
        <w:t>-PA, LLC, d/b/a Uber, regardless of length, must contain:</w:t>
      </w:r>
    </w:p>
    <w:p w:rsidR="00756A84" w:rsidRDefault="00756A84" w:rsidP="00756A84">
      <w:pPr>
        <w:spacing w:line="360" w:lineRule="auto"/>
      </w:pPr>
    </w:p>
    <w:p w:rsidR="00756A84" w:rsidRDefault="00756A84" w:rsidP="00756A84">
      <w:pPr>
        <w:numPr>
          <w:ilvl w:val="1"/>
          <w:numId w:val="1"/>
        </w:numPr>
        <w:spacing w:line="360" w:lineRule="auto"/>
      </w:pPr>
      <w:r>
        <w:t>A concise statement or counter-statement of the case;</w:t>
      </w:r>
    </w:p>
    <w:p w:rsidR="00756A84" w:rsidRDefault="00756A84" w:rsidP="00756A84">
      <w:pPr>
        <w:spacing w:line="360" w:lineRule="auto"/>
      </w:pPr>
    </w:p>
    <w:p w:rsidR="00756A84" w:rsidRDefault="00756A84" w:rsidP="00756A84">
      <w:pPr>
        <w:numPr>
          <w:ilvl w:val="1"/>
          <w:numId w:val="1"/>
        </w:numPr>
        <w:tabs>
          <w:tab w:val="clear" w:pos="2880"/>
          <w:tab w:val="num" w:pos="0"/>
        </w:tabs>
        <w:spacing w:line="360" w:lineRule="auto"/>
        <w:ind w:left="0" w:firstLine="2160"/>
      </w:pPr>
      <w:r>
        <w:t xml:space="preserve">Proposed Findings of Fact, </w:t>
      </w:r>
      <w:proofErr w:type="gramStart"/>
      <w:r>
        <w:t>with reference to</w:t>
      </w:r>
      <w:proofErr w:type="gramEnd"/>
      <w:r>
        <w:t xml:space="preserve"> the pages of the record or exhibits where the evidence relied upon by the filing party appears;</w:t>
      </w:r>
    </w:p>
    <w:p w:rsidR="00756A84" w:rsidRDefault="00756A84" w:rsidP="00756A84">
      <w:pPr>
        <w:spacing w:line="360" w:lineRule="auto"/>
      </w:pPr>
    </w:p>
    <w:p w:rsidR="00756A84" w:rsidRDefault="00756A84" w:rsidP="00756A84">
      <w:pPr>
        <w:numPr>
          <w:ilvl w:val="1"/>
          <w:numId w:val="1"/>
        </w:numPr>
        <w:tabs>
          <w:tab w:val="clear" w:pos="2880"/>
          <w:tab w:val="num" w:pos="3060"/>
        </w:tabs>
        <w:spacing w:line="360" w:lineRule="auto"/>
        <w:ind w:left="0" w:firstLine="2160"/>
      </w:pPr>
      <w:r>
        <w:t>An argument preceded by a summary.  The party with the burden of proof – Friedman Wagner-</w:t>
      </w:r>
      <w:proofErr w:type="spellStart"/>
      <w:r>
        <w:t>Dobler</w:t>
      </w:r>
      <w:proofErr w:type="spellEnd"/>
      <w:r>
        <w:t xml:space="preserve"> – shall address completely, to the extent possible, every issue raised by his complaint and by the evidence adduced at hearing; </w:t>
      </w:r>
    </w:p>
    <w:p w:rsidR="00756A84" w:rsidRDefault="00756A84" w:rsidP="00756A84">
      <w:pPr>
        <w:spacing w:line="360" w:lineRule="auto"/>
      </w:pPr>
    </w:p>
    <w:p w:rsidR="00756A84" w:rsidRDefault="00756A84" w:rsidP="00756A84">
      <w:pPr>
        <w:numPr>
          <w:ilvl w:val="1"/>
          <w:numId w:val="1"/>
        </w:numPr>
        <w:tabs>
          <w:tab w:val="clear" w:pos="2880"/>
          <w:tab w:val="num" w:pos="0"/>
        </w:tabs>
        <w:spacing w:line="360" w:lineRule="auto"/>
        <w:ind w:left="0" w:firstLine="2160"/>
      </w:pPr>
      <w:r>
        <w:t>Proposed ordering paragraphs specifically identifying the relief sought; and</w:t>
      </w:r>
    </w:p>
    <w:p w:rsidR="00756A84" w:rsidRDefault="00756A84" w:rsidP="00756A84">
      <w:pPr>
        <w:spacing w:line="360" w:lineRule="auto"/>
      </w:pPr>
    </w:p>
    <w:p w:rsidR="00756A84" w:rsidRDefault="00756A84" w:rsidP="00756A84">
      <w:pPr>
        <w:numPr>
          <w:ilvl w:val="1"/>
          <w:numId w:val="1"/>
        </w:numPr>
        <w:spacing w:line="360" w:lineRule="auto"/>
      </w:pPr>
      <w:r>
        <w:t>A conclusion with requested relief.</w:t>
      </w:r>
    </w:p>
    <w:p w:rsidR="00756A84" w:rsidRDefault="00756A84" w:rsidP="00756A84">
      <w:pPr>
        <w:spacing w:line="360" w:lineRule="auto"/>
        <w:ind w:left="2160"/>
      </w:pPr>
    </w:p>
    <w:p w:rsidR="00756A84" w:rsidRDefault="00756A84" w:rsidP="00756A84">
      <w:pPr>
        <w:numPr>
          <w:ilvl w:val="0"/>
          <w:numId w:val="1"/>
        </w:numPr>
        <w:tabs>
          <w:tab w:val="clear" w:pos="2160"/>
          <w:tab w:val="num" w:pos="0"/>
        </w:tabs>
        <w:spacing w:line="360" w:lineRule="auto"/>
        <w:ind w:left="0" w:firstLine="1440"/>
      </w:pPr>
      <w:r>
        <w:t xml:space="preserve">Any brief not filed and served on or before the date fixed in paragraphs </w:t>
      </w:r>
      <w:r w:rsidR="00482790">
        <w:t>2</w:t>
      </w:r>
      <w:r>
        <w:t xml:space="preserve"> and </w:t>
      </w:r>
      <w:r w:rsidR="00482790">
        <w:t>3</w:t>
      </w:r>
      <w:r>
        <w:t xml:space="preserve"> above will not be accepted for filing, except by special permission of the Commission or the presiding Administrative Law Judge pursuant to 52 </w:t>
      </w:r>
      <w:proofErr w:type="spellStart"/>
      <w:proofErr w:type="gramStart"/>
      <w:r>
        <w:t>Pa.Code</w:t>
      </w:r>
      <w:proofErr w:type="spellEnd"/>
      <w:proofErr w:type="gramEnd"/>
      <w:r>
        <w:t xml:space="preserve"> §</w:t>
      </w:r>
      <w:r w:rsidR="007360BE">
        <w:t xml:space="preserve"> </w:t>
      </w:r>
      <w:r>
        <w:t>5.502(c).</w:t>
      </w:r>
    </w:p>
    <w:p w:rsidR="00756A84" w:rsidRDefault="00756A84" w:rsidP="00756A84">
      <w:pPr>
        <w:spacing w:line="360" w:lineRule="auto"/>
        <w:ind w:left="1440"/>
      </w:pPr>
    </w:p>
    <w:p w:rsidR="00756A84" w:rsidRDefault="00756A84" w:rsidP="00756A84">
      <w:pPr>
        <w:numPr>
          <w:ilvl w:val="0"/>
          <w:numId w:val="1"/>
        </w:numPr>
        <w:tabs>
          <w:tab w:val="clear" w:pos="2160"/>
          <w:tab w:val="num" w:pos="0"/>
        </w:tabs>
        <w:spacing w:line="360" w:lineRule="auto"/>
        <w:ind w:left="0" w:firstLine="1440"/>
      </w:pPr>
      <w:r>
        <w:t xml:space="preserve"> After </w:t>
      </w:r>
      <w:r>
        <w:rPr>
          <w:b/>
        </w:rPr>
        <w:t>December 15</w:t>
      </w:r>
      <w:r w:rsidRPr="00F80377">
        <w:rPr>
          <w:b/>
        </w:rPr>
        <w:t>, 2017</w:t>
      </w:r>
      <w:r>
        <w:t>, the record in Docket No. C-2017-2593690 will be closed and the decision in this case will be prepared and issued.</w:t>
      </w:r>
    </w:p>
    <w:p w:rsidR="00756A84" w:rsidRDefault="00756A84" w:rsidP="00756A84">
      <w:pPr>
        <w:spacing w:line="360" w:lineRule="auto"/>
      </w:pPr>
    </w:p>
    <w:p w:rsidR="00756A84" w:rsidRDefault="00756A84" w:rsidP="00756A84">
      <w:pPr>
        <w:spacing w:line="360" w:lineRule="auto"/>
      </w:pPr>
    </w:p>
    <w:p w:rsidR="00756A84" w:rsidRDefault="00756A84" w:rsidP="00756A84">
      <w:pPr>
        <w:spacing w:line="360" w:lineRule="auto"/>
      </w:pPr>
    </w:p>
    <w:p w:rsidR="00756A84" w:rsidRDefault="00756A84" w:rsidP="00756A84">
      <w:r>
        <w:t xml:space="preserve">Date:  </w:t>
      </w:r>
      <w:r>
        <w:rPr>
          <w:u w:val="single"/>
        </w:rPr>
        <w:t>November 7, 2017</w:t>
      </w:r>
      <w:r>
        <w:tab/>
      </w:r>
      <w:r>
        <w:tab/>
      </w:r>
      <w:r>
        <w:tab/>
      </w:r>
      <w:r>
        <w:tab/>
        <w:t>_______________________</w:t>
      </w:r>
      <w:r w:rsidR="00223E5C">
        <w:t>____________</w:t>
      </w:r>
      <w:r>
        <w:tab/>
      </w:r>
      <w:r>
        <w:tab/>
      </w:r>
      <w:r>
        <w:tab/>
      </w:r>
      <w:r>
        <w:tab/>
      </w:r>
      <w:r>
        <w:tab/>
      </w:r>
      <w:r>
        <w:tab/>
      </w:r>
      <w:r>
        <w:tab/>
      </w:r>
      <w:r>
        <w:tab/>
        <w:t>Katrina L. Dunderdale</w:t>
      </w:r>
    </w:p>
    <w:p w:rsidR="00756A84" w:rsidRDefault="00756A84" w:rsidP="00756A84">
      <w:r>
        <w:tab/>
      </w:r>
      <w:r>
        <w:tab/>
      </w:r>
      <w:r>
        <w:tab/>
      </w:r>
      <w:r>
        <w:tab/>
      </w:r>
      <w:r>
        <w:tab/>
      </w:r>
      <w:r>
        <w:tab/>
      </w:r>
      <w:r>
        <w:tab/>
        <w:t>Administrative Law Judge</w:t>
      </w:r>
      <w:r>
        <w:tab/>
      </w:r>
    </w:p>
    <w:p w:rsidR="00756A84" w:rsidRDefault="00756A84" w:rsidP="00756A84"/>
    <w:p w:rsidR="00086845" w:rsidRDefault="00086845">
      <w:pPr>
        <w:rPr>
          <w:rFonts w:ascii="Microsoft Sans Serif"/>
          <w:b/>
          <w:u w:val="single"/>
        </w:rPr>
      </w:pPr>
      <w:r>
        <w:rPr>
          <w:rFonts w:ascii="Microsoft Sans Serif"/>
          <w:b/>
          <w:u w:val="single"/>
        </w:rPr>
        <w:br w:type="page"/>
      </w:r>
    </w:p>
    <w:p w:rsidR="00483F12" w:rsidRDefault="00483F12" w:rsidP="005F5DFD">
      <w:pPr>
        <w:contextualSpacing/>
        <w:rPr>
          <w:rFonts w:ascii="Microsoft Sans Serif"/>
          <w:b/>
          <w:u w:val="single"/>
        </w:rPr>
        <w:sectPr w:rsidR="00483F12" w:rsidSect="00BD6EBA">
          <w:footerReference w:type="default" r:id="rId7"/>
          <w:footerReference w:type="first" r:id="rId8"/>
          <w:pgSz w:w="12240" w:h="15840" w:code="1"/>
          <w:pgMar w:top="1440" w:right="1440" w:bottom="1440" w:left="1440" w:header="1440" w:footer="1440" w:gutter="0"/>
          <w:cols w:space="720"/>
          <w:titlePg/>
          <w:docGrid w:linePitch="360"/>
        </w:sectPr>
      </w:pPr>
    </w:p>
    <w:p w:rsidR="005F5DFD" w:rsidRPr="009C65E3" w:rsidRDefault="005F5DFD" w:rsidP="005F5DFD">
      <w:pPr>
        <w:contextualSpacing/>
        <w:rPr>
          <w:rFonts w:ascii="Microsoft Sans Serif"/>
          <w:i/>
        </w:rPr>
      </w:pPr>
      <w:r>
        <w:rPr>
          <w:rFonts w:ascii="Microsoft Sans Serif"/>
          <w:b/>
          <w:u w:val="single"/>
        </w:rPr>
        <w:t>C-2017-2593690 - FRIEDMAN WAGNER-DOBLER v. RASIER-PA LLC DBA UBER</w:t>
      </w:r>
      <w:r>
        <w:rPr>
          <w:rFonts w:ascii="Microsoft Sans Serif"/>
          <w:b/>
          <w:u w:val="single"/>
        </w:rPr>
        <w:cr/>
      </w:r>
      <w:r>
        <w:rPr>
          <w:rFonts w:ascii="Microsoft Sans Serif"/>
        </w:rPr>
        <w:cr/>
      </w:r>
      <w:r>
        <w:rPr>
          <w:rFonts w:ascii="Microsoft Sans Serif"/>
          <w:i/>
        </w:rPr>
        <w:t>(Revised 8/10/17)</w:t>
      </w:r>
    </w:p>
    <w:p w:rsidR="005F5DFD" w:rsidRDefault="005F5DFD" w:rsidP="005F5DFD">
      <w:pPr>
        <w:contextualSpacing/>
        <w:rPr>
          <w:rFonts w:ascii="Microsoft Sans Serif"/>
        </w:rPr>
      </w:pPr>
    </w:p>
    <w:p w:rsidR="005F5DFD" w:rsidRPr="00A57EFE" w:rsidRDefault="005F5DFD" w:rsidP="005F5DFD">
      <w:pPr>
        <w:contextualSpacing/>
        <w:rPr>
          <w:rFonts w:ascii="Microsoft Sans Serif"/>
        </w:rPr>
      </w:pPr>
      <w:r w:rsidRPr="00A57EFE">
        <w:rPr>
          <w:rFonts w:ascii="Microsoft Sans Serif"/>
        </w:rPr>
        <w:t>FRIEDMAN WAGNER</w:t>
      </w:r>
      <w:r>
        <w:rPr>
          <w:rFonts w:ascii="Microsoft Sans Serif"/>
        </w:rPr>
        <w:t>-</w:t>
      </w:r>
      <w:r w:rsidRPr="00A57EFE">
        <w:rPr>
          <w:rFonts w:ascii="Microsoft Sans Serif"/>
        </w:rPr>
        <w:t xml:space="preserve">DOBLER </w:t>
      </w:r>
    </w:p>
    <w:p w:rsidR="005F5DFD" w:rsidRPr="00A57EFE" w:rsidRDefault="005F5DFD" w:rsidP="005F5DFD">
      <w:pPr>
        <w:contextualSpacing/>
        <w:rPr>
          <w:rFonts w:ascii="Microsoft Sans Serif"/>
        </w:rPr>
      </w:pPr>
      <w:r w:rsidRPr="00A57EFE">
        <w:rPr>
          <w:rFonts w:ascii="Microsoft Sans Serif"/>
        </w:rPr>
        <w:t xml:space="preserve">5729 WALNUT ST </w:t>
      </w:r>
    </w:p>
    <w:p w:rsidR="005F5DFD" w:rsidRDefault="005F5DFD" w:rsidP="005F5DFD">
      <w:pPr>
        <w:contextualSpacing/>
        <w:rPr>
          <w:rFonts w:ascii="Microsoft Sans Serif"/>
        </w:rPr>
      </w:pPr>
      <w:r w:rsidRPr="00A57EFE">
        <w:rPr>
          <w:rFonts w:ascii="Microsoft Sans Serif"/>
        </w:rPr>
        <w:t>PITTSBURGH PA  15232</w:t>
      </w:r>
      <w:r>
        <w:rPr>
          <w:rFonts w:ascii="Microsoft Sans Serif"/>
        </w:rPr>
        <w:cr/>
      </w:r>
      <w:r>
        <w:rPr>
          <w:rFonts w:ascii="Microsoft Sans Serif"/>
          <w:b/>
        </w:rPr>
        <w:t>412.441.</w:t>
      </w:r>
      <w:r w:rsidRPr="00A57EFE">
        <w:rPr>
          <w:rFonts w:ascii="Microsoft Sans Serif"/>
          <w:b/>
        </w:rPr>
        <w:t>1901</w:t>
      </w:r>
      <w:r w:rsidRPr="00A57EFE">
        <w:rPr>
          <w:rFonts w:ascii="Microsoft Sans Serif"/>
          <w:b/>
        </w:rPr>
        <w:cr/>
      </w:r>
      <w:r>
        <w:rPr>
          <w:rFonts w:ascii="Microsoft Sans Serif"/>
        </w:rPr>
        <w:cr/>
      </w:r>
    </w:p>
    <w:p w:rsidR="005F5DFD" w:rsidRDefault="005F5DFD" w:rsidP="005F5DFD">
      <w:pPr>
        <w:contextualSpacing/>
        <w:rPr>
          <w:rFonts w:ascii="Microsoft Sans Serif"/>
        </w:rPr>
      </w:pPr>
      <w:r>
        <w:rPr>
          <w:rFonts w:ascii="Microsoft Sans Serif"/>
        </w:rPr>
        <w:t>BRIAN C WAUHOP ESQUIRE</w:t>
      </w:r>
    </w:p>
    <w:p w:rsidR="005F5DFD" w:rsidRDefault="005F5DFD" w:rsidP="005F5DFD">
      <w:pPr>
        <w:contextualSpacing/>
        <w:rPr>
          <w:rFonts w:ascii="Microsoft Sans Serif"/>
        </w:rPr>
      </w:pPr>
      <w:r>
        <w:rPr>
          <w:rFonts w:ascii="Microsoft Sans Serif"/>
        </w:rPr>
        <w:t>JOHN F POVILAITIS ESQUIRE</w:t>
      </w:r>
    </w:p>
    <w:p w:rsidR="005F5DFD" w:rsidRDefault="005F5DFD" w:rsidP="005F5DFD">
      <w:pPr>
        <w:contextualSpacing/>
        <w:rPr>
          <w:rFonts w:ascii="Microsoft Sans Serif"/>
        </w:rPr>
      </w:pPr>
      <w:r>
        <w:rPr>
          <w:rFonts w:ascii="Microsoft Sans Serif"/>
        </w:rPr>
        <w:t>BUCHANAN INGERSOLL &amp; ROONEY</w:t>
      </w:r>
    </w:p>
    <w:p w:rsidR="005F5DFD" w:rsidRDefault="005F5DFD" w:rsidP="005F5DFD">
      <w:pPr>
        <w:contextualSpacing/>
        <w:rPr>
          <w:rFonts w:ascii="Microsoft Sans Serif"/>
        </w:rPr>
      </w:pPr>
      <w:r>
        <w:rPr>
          <w:rFonts w:ascii="Microsoft Sans Serif"/>
        </w:rPr>
        <w:t>SUITE 500</w:t>
      </w:r>
    </w:p>
    <w:p w:rsidR="005F5DFD" w:rsidRDefault="005F5DFD" w:rsidP="005F5DFD">
      <w:pPr>
        <w:contextualSpacing/>
        <w:rPr>
          <w:rFonts w:ascii="Microsoft Sans Serif"/>
        </w:rPr>
      </w:pPr>
      <w:r>
        <w:rPr>
          <w:rFonts w:ascii="Microsoft Sans Serif"/>
        </w:rPr>
        <w:t>409 NORTH SECOND STREET</w:t>
      </w:r>
    </w:p>
    <w:p w:rsidR="005F5DFD" w:rsidRDefault="005F5DFD" w:rsidP="005F5DFD">
      <w:pPr>
        <w:contextualSpacing/>
        <w:rPr>
          <w:rFonts w:ascii="Microsoft Sans Serif"/>
        </w:rPr>
      </w:pPr>
      <w:r>
        <w:rPr>
          <w:rFonts w:ascii="Microsoft Sans Serif"/>
        </w:rPr>
        <w:t>HARRISBURG PA  17101-1357</w:t>
      </w:r>
    </w:p>
    <w:p w:rsidR="005F5DFD" w:rsidRPr="009C65E3" w:rsidRDefault="005F5DFD" w:rsidP="005F5DFD">
      <w:pPr>
        <w:contextualSpacing/>
        <w:rPr>
          <w:b/>
          <w:i/>
        </w:rPr>
      </w:pPr>
      <w:r>
        <w:rPr>
          <w:rFonts w:ascii="Microsoft Sans Serif"/>
          <w:b/>
          <w:i/>
        </w:rPr>
        <w:t xml:space="preserve">Representing </w:t>
      </w:r>
      <w:r w:rsidRPr="009C65E3">
        <w:rPr>
          <w:rFonts w:ascii="Microsoft Sans Serif"/>
          <w:b/>
          <w:i/>
        </w:rPr>
        <w:t>RASIER - PA LLC</w:t>
      </w:r>
      <w:r w:rsidRPr="009C65E3">
        <w:rPr>
          <w:rFonts w:ascii="Microsoft Sans Serif"/>
          <w:b/>
          <w:i/>
        </w:rPr>
        <w:cr/>
      </w:r>
      <w:r>
        <w:rPr>
          <w:rFonts w:ascii="Microsoft Sans Serif"/>
          <w:b/>
          <w:i/>
        </w:rPr>
        <w:t>Accepts E-service</w:t>
      </w:r>
      <w:r w:rsidRPr="009C65E3">
        <w:rPr>
          <w:rFonts w:ascii="Microsoft Sans Serif"/>
          <w:b/>
          <w:i/>
        </w:rPr>
        <w:cr/>
      </w:r>
    </w:p>
    <w:p w:rsidR="005F5DFD" w:rsidRDefault="005F5DFD" w:rsidP="005F5DFD">
      <w:pPr>
        <w:contextualSpacing/>
      </w:pPr>
    </w:p>
    <w:p w:rsidR="00687BAF" w:rsidRPr="00687BAF" w:rsidRDefault="00687BAF" w:rsidP="00687BAF"/>
    <w:sectPr w:rsidR="00687BA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57" w:rsidRDefault="000A3057" w:rsidP="003F47EA">
      <w:r>
        <w:separator/>
      </w:r>
    </w:p>
  </w:endnote>
  <w:endnote w:type="continuationSeparator" w:id="0">
    <w:p w:rsidR="000A3057" w:rsidRDefault="000A3057"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205721"/>
      <w:docPartObj>
        <w:docPartGallery w:val="Page Numbers (Bottom of Page)"/>
        <w:docPartUnique/>
      </w:docPartObj>
    </w:sdtPr>
    <w:sdtEndPr>
      <w:rPr>
        <w:noProof/>
      </w:rPr>
    </w:sdtEndPr>
    <w:sdtContent>
      <w:p w:rsidR="00964697" w:rsidRDefault="00964697">
        <w:pPr>
          <w:pStyle w:val="Footer"/>
          <w:jc w:val="center"/>
        </w:pPr>
        <w:r>
          <w:fldChar w:fldCharType="begin"/>
        </w:r>
        <w:r>
          <w:instrText xml:space="preserve"> PAGE   \* MERGEFORMAT </w:instrText>
        </w:r>
        <w:r>
          <w:fldChar w:fldCharType="separate"/>
        </w:r>
        <w:r w:rsidR="00196C70">
          <w:rPr>
            <w:noProof/>
          </w:rPr>
          <w:t>3</w:t>
        </w:r>
        <w:r>
          <w:rPr>
            <w:noProof/>
          </w:rPr>
          <w:fldChar w:fldCharType="end"/>
        </w:r>
      </w:p>
    </w:sdtContent>
  </w:sdt>
  <w:p w:rsidR="00964697" w:rsidRDefault="00964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57" w:rsidRDefault="000A3057" w:rsidP="003F47EA">
      <w:r>
        <w:separator/>
      </w:r>
    </w:p>
  </w:footnote>
  <w:footnote w:type="continuationSeparator" w:id="0">
    <w:p w:rsidR="000A3057" w:rsidRDefault="000A3057" w:rsidP="003F4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62E"/>
    <w:multiLevelType w:val="hybridMultilevel"/>
    <w:tmpl w:val="03B20368"/>
    <w:lvl w:ilvl="0" w:tplc="4D1A566E">
      <w:start w:val="1"/>
      <w:numFmt w:val="decimal"/>
      <w:lvlText w:val="%1."/>
      <w:lvlJc w:val="left"/>
      <w:pPr>
        <w:tabs>
          <w:tab w:val="num" w:pos="2160"/>
        </w:tabs>
        <w:ind w:left="2160" w:hanging="720"/>
      </w:pPr>
      <w:rPr>
        <w:rFonts w:hint="default"/>
      </w:rPr>
    </w:lvl>
    <w:lvl w:ilvl="1" w:tplc="22BE332C">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404B5"/>
    <w:rsid w:val="00042860"/>
    <w:rsid w:val="00046404"/>
    <w:rsid w:val="0005471E"/>
    <w:rsid w:val="00071F87"/>
    <w:rsid w:val="00086845"/>
    <w:rsid w:val="00087CC5"/>
    <w:rsid w:val="000A3057"/>
    <w:rsid w:val="000C1A6B"/>
    <w:rsid w:val="000C269C"/>
    <w:rsid w:val="000C71B2"/>
    <w:rsid w:val="000E6C36"/>
    <w:rsid w:val="000F3C6B"/>
    <w:rsid w:val="00100530"/>
    <w:rsid w:val="001163B8"/>
    <w:rsid w:val="001336B2"/>
    <w:rsid w:val="00136A22"/>
    <w:rsid w:val="001534FA"/>
    <w:rsid w:val="00161151"/>
    <w:rsid w:val="00192F81"/>
    <w:rsid w:val="00196C70"/>
    <w:rsid w:val="00197FE7"/>
    <w:rsid w:val="001A327B"/>
    <w:rsid w:val="001A517C"/>
    <w:rsid w:val="001B37F9"/>
    <w:rsid w:val="001B389A"/>
    <w:rsid w:val="001E6948"/>
    <w:rsid w:val="001F5E84"/>
    <w:rsid w:val="00202271"/>
    <w:rsid w:val="002107F3"/>
    <w:rsid w:val="00212F85"/>
    <w:rsid w:val="0021472B"/>
    <w:rsid w:val="00216054"/>
    <w:rsid w:val="00223E5C"/>
    <w:rsid w:val="0022623F"/>
    <w:rsid w:val="002270C7"/>
    <w:rsid w:val="00234986"/>
    <w:rsid w:val="0024528E"/>
    <w:rsid w:val="00247E77"/>
    <w:rsid w:val="00254AC4"/>
    <w:rsid w:val="002569D2"/>
    <w:rsid w:val="002649A1"/>
    <w:rsid w:val="00280D5C"/>
    <w:rsid w:val="00286E18"/>
    <w:rsid w:val="002A08AE"/>
    <w:rsid w:val="002A3713"/>
    <w:rsid w:val="002A3915"/>
    <w:rsid w:val="002B080D"/>
    <w:rsid w:val="002B43C8"/>
    <w:rsid w:val="002C0A83"/>
    <w:rsid w:val="002C5195"/>
    <w:rsid w:val="002C6736"/>
    <w:rsid w:val="003105EB"/>
    <w:rsid w:val="0031093F"/>
    <w:rsid w:val="0032184B"/>
    <w:rsid w:val="00322525"/>
    <w:rsid w:val="00323CE9"/>
    <w:rsid w:val="00342C83"/>
    <w:rsid w:val="0036055F"/>
    <w:rsid w:val="00374D14"/>
    <w:rsid w:val="00375FC7"/>
    <w:rsid w:val="00386EC2"/>
    <w:rsid w:val="003914A1"/>
    <w:rsid w:val="003A51FD"/>
    <w:rsid w:val="003A7731"/>
    <w:rsid w:val="003B5554"/>
    <w:rsid w:val="003B684C"/>
    <w:rsid w:val="003C49C9"/>
    <w:rsid w:val="003D2D9F"/>
    <w:rsid w:val="003D38F7"/>
    <w:rsid w:val="003F347A"/>
    <w:rsid w:val="003F47EA"/>
    <w:rsid w:val="003F69C5"/>
    <w:rsid w:val="00403EF2"/>
    <w:rsid w:val="00416D00"/>
    <w:rsid w:val="00417A48"/>
    <w:rsid w:val="00427446"/>
    <w:rsid w:val="00435A1B"/>
    <w:rsid w:val="00441E8C"/>
    <w:rsid w:val="00460155"/>
    <w:rsid w:val="00462D34"/>
    <w:rsid w:val="00466EEB"/>
    <w:rsid w:val="00482790"/>
    <w:rsid w:val="00483F12"/>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2B1"/>
    <w:rsid w:val="005055FD"/>
    <w:rsid w:val="00510BCD"/>
    <w:rsid w:val="00513A0D"/>
    <w:rsid w:val="00526125"/>
    <w:rsid w:val="0052693F"/>
    <w:rsid w:val="005319D7"/>
    <w:rsid w:val="00537A0C"/>
    <w:rsid w:val="00545E90"/>
    <w:rsid w:val="00546F57"/>
    <w:rsid w:val="00556A89"/>
    <w:rsid w:val="005756F9"/>
    <w:rsid w:val="00575B38"/>
    <w:rsid w:val="005773BD"/>
    <w:rsid w:val="00590615"/>
    <w:rsid w:val="00592F33"/>
    <w:rsid w:val="00595C07"/>
    <w:rsid w:val="005C5138"/>
    <w:rsid w:val="005D141F"/>
    <w:rsid w:val="005D7F03"/>
    <w:rsid w:val="005E058C"/>
    <w:rsid w:val="005E6C7E"/>
    <w:rsid w:val="005F5DFD"/>
    <w:rsid w:val="0060255E"/>
    <w:rsid w:val="00622936"/>
    <w:rsid w:val="006252C4"/>
    <w:rsid w:val="00636172"/>
    <w:rsid w:val="0065509C"/>
    <w:rsid w:val="00661B4E"/>
    <w:rsid w:val="0067080A"/>
    <w:rsid w:val="00670B1B"/>
    <w:rsid w:val="006734EC"/>
    <w:rsid w:val="00676400"/>
    <w:rsid w:val="0068098C"/>
    <w:rsid w:val="00687BAF"/>
    <w:rsid w:val="006A4914"/>
    <w:rsid w:val="006B690F"/>
    <w:rsid w:val="006C245B"/>
    <w:rsid w:val="006C7836"/>
    <w:rsid w:val="006D2E3F"/>
    <w:rsid w:val="006F08AE"/>
    <w:rsid w:val="007000FB"/>
    <w:rsid w:val="00704B6B"/>
    <w:rsid w:val="00735001"/>
    <w:rsid w:val="007360BE"/>
    <w:rsid w:val="007442DE"/>
    <w:rsid w:val="00747A6F"/>
    <w:rsid w:val="00752308"/>
    <w:rsid w:val="00756A84"/>
    <w:rsid w:val="00781BAD"/>
    <w:rsid w:val="00796F08"/>
    <w:rsid w:val="007A4181"/>
    <w:rsid w:val="007B25E2"/>
    <w:rsid w:val="007B29AB"/>
    <w:rsid w:val="007B430A"/>
    <w:rsid w:val="007D2137"/>
    <w:rsid w:val="007D67D1"/>
    <w:rsid w:val="007E2A88"/>
    <w:rsid w:val="008038A1"/>
    <w:rsid w:val="008046A7"/>
    <w:rsid w:val="008169F1"/>
    <w:rsid w:val="0082072C"/>
    <w:rsid w:val="008211B6"/>
    <w:rsid w:val="008215F2"/>
    <w:rsid w:val="008363BD"/>
    <w:rsid w:val="008433EA"/>
    <w:rsid w:val="00853982"/>
    <w:rsid w:val="00875888"/>
    <w:rsid w:val="00877335"/>
    <w:rsid w:val="00881A7C"/>
    <w:rsid w:val="0088214E"/>
    <w:rsid w:val="00885489"/>
    <w:rsid w:val="00890747"/>
    <w:rsid w:val="0089104A"/>
    <w:rsid w:val="00895B38"/>
    <w:rsid w:val="008A53F1"/>
    <w:rsid w:val="008C6CD3"/>
    <w:rsid w:val="008D25CC"/>
    <w:rsid w:val="008F5472"/>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B28C5"/>
    <w:rsid w:val="009F4617"/>
    <w:rsid w:val="00A249C6"/>
    <w:rsid w:val="00A24C4F"/>
    <w:rsid w:val="00A312B8"/>
    <w:rsid w:val="00A32C82"/>
    <w:rsid w:val="00A442C3"/>
    <w:rsid w:val="00AA1CCA"/>
    <w:rsid w:val="00AC5DB3"/>
    <w:rsid w:val="00AE3450"/>
    <w:rsid w:val="00B150FA"/>
    <w:rsid w:val="00B21B7C"/>
    <w:rsid w:val="00B50794"/>
    <w:rsid w:val="00B66819"/>
    <w:rsid w:val="00B72806"/>
    <w:rsid w:val="00B81D8F"/>
    <w:rsid w:val="00B83C4A"/>
    <w:rsid w:val="00BA3333"/>
    <w:rsid w:val="00BA36B3"/>
    <w:rsid w:val="00BC346D"/>
    <w:rsid w:val="00BC3D16"/>
    <w:rsid w:val="00BC5F72"/>
    <w:rsid w:val="00BD6EBA"/>
    <w:rsid w:val="00BF0827"/>
    <w:rsid w:val="00BF3093"/>
    <w:rsid w:val="00C11AAF"/>
    <w:rsid w:val="00C124E6"/>
    <w:rsid w:val="00C13F83"/>
    <w:rsid w:val="00C33C26"/>
    <w:rsid w:val="00C43BC6"/>
    <w:rsid w:val="00C4789A"/>
    <w:rsid w:val="00C50BC8"/>
    <w:rsid w:val="00C662E4"/>
    <w:rsid w:val="00C93740"/>
    <w:rsid w:val="00CB7B6B"/>
    <w:rsid w:val="00CD309F"/>
    <w:rsid w:val="00CE116F"/>
    <w:rsid w:val="00CE2FD5"/>
    <w:rsid w:val="00CF35E9"/>
    <w:rsid w:val="00D1088E"/>
    <w:rsid w:val="00D167BB"/>
    <w:rsid w:val="00D3255C"/>
    <w:rsid w:val="00D356CF"/>
    <w:rsid w:val="00D4206A"/>
    <w:rsid w:val="00D54671"/>
    <w:rsid w:val="00D628C0"/>
    <w:rsid w:val="00D6711C"/>
    <w:rsid w:val="00D807D1"/>
    <w:rsid w:val="00D970C4"/>
    <w:rsid w:val="00DA06FC"/>
    <w:rsid w:val="00DE5630"/>
    <w:rsid w:val="00DF0EC6"/>
    <w:rsid w:val="00DF6DBF"/>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C10E2"/>
    <w:rsid w:val="00EC4D4E"/>
    <w:rsid w:val="00ED55A2"/>
    <w:rsid w:val="00EF240B"/>
    <w:rsid w:val="00EF4F0C"/>
    <w:rsid w:val="00F0033E"/>
    <w:rsid w:val="00F02A7A"/>
    <w:rsid w:val="00F35C78"/>
    <w:rsid w:val="00F37163"/>
    <w:rsid w:val="00F725B5"/>
    <w:rsid w:val="00F73E58"/>
    <w:rsid w:val="00F75473"/>
    <w:rsid w:val="00FA536B"/>
    <w:rsid w:val="00FA5C4E"/>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511FA"/>
  <w15:docId w15:val="{B028BFF2-023E-4DD6-A3B1-308E404E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2649A1"/>
    <w:pPr>
      <w:autoSpaceDE w:val="0"/>
      <w:autoSpaceDN w:val="0"/>
    </w:pPr>
    <w:rPr>
      <w:rFonts w:ascii="CG Times" w:hAnsi="CG Times" w:cs="CG Times"/>
    </w:rPr>
  </w:style>
  <w:style w:type="character" w:customStyle="1" w:styleId="FootnoteTextChar">
    <w:name w:val="Footnote Text Char"/>
    <w:basedOn w:val="DefaultParagraphFont"/>
    <w:link w:val="FootnoteText"/>
    <w:rsid w:val="002649A1"/>
    <w:rPr>
      <w:rFonts w:ascii="CG Times" w:hAnsi="CG Times" w:cs="CG Times"/>
      <w:sz w:val="24"/>
      <w:szCs w:val="24"/>
    </w:rPr>
  </w:style>
  <w:style w:type="paragraph" w:styleId="BalloonText">
    <w:name w:val="Balloon Text"/>
    <w:basedOn w:val="Normal"/>
    <w:link w:val="BalloonTextChar"/>
    <w:rsid w:val="008F5472"/>
    <w:rPr>
      <w:rFonts w:ascii="Tahoma" w:hAnsi="Tahoma" w:cs="Tahoma"/>
      <w:sz w:val="16"/>
      <w:szCs w:val="16"/>
    </w:rPr>
  </w:style>
  <w:style w:type="character" w:customStyle="1" w:styleId="BalloonTextChar">
    <w:name w:val="Balloon Text Char"/>
    <w:basedOn w:val="DefaultParagraphFont"/>
    <w:link w:val="BalloonText"/>
    <w:rsid w:val="008F5472"/>
    <w:rPr>
      <w:rFonts w:ascii="Tahoma" w:hAnsi="Tahoma" w:cs="Tahoma"/>
      <w:sz w:val="16"/>
      <w:szCs w:val="16"/>
    </w:rPr>
  </w:style>
  <w:style w:type="paragraph" w:styleId="ListParagraph">
    <w:name w:val="List Paragraph"/>
    <w:basedOn w:val="Normal"/>
    <w:uiPriority w:val="34"/>
    <w:qFormat/>
    <w:rsid w:val="00756A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1152</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6</cp:revision>
  <cp:lastPrinted>2017-11-07T20:09:00Z</cp:lastPrinted>
  <dcterms:created xsi:type="dcterms:W3CDTF">2017-11-07T19:59:00Z</dcterms:created>
  <dcterms:modified xsi:type="dcterms:W3CDTF">2017-11-07T20:10:00Z</dcterms:modified>
</cp:coreProperties>
</file>