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EA0" w:rsidRPr="00404E19" w:rsidRDefault="00326EA0" w:rsidP="00326EA0">
      <w:pPr>
        <w:tabs>
          <w:tab w:val="left" w:pos="0"/>
        </w:tabs>
        <w:spacing w:line="240" w:lineRule="auto"/>
        <w:jc w:val="center"/>
        <w:rPr>
          <w:b/>
        </w:rPr>
      </w:pPr>
      <w:r w:rsidRPr="00404E19">
        <w:rPr>
          <w:b/>
        </w:rPr>
        <w:t>BEFORE THE</w:t>
      </w:r>
    </w:p>
    <w:p w:rsidR="00326EA0" w:rsidRDefault="00326EA0" w:rsidP="00326EA0">
      <w:pPr>
        <w:tabs>
          <w:tab w:val="left" w:pos="0"/>
        </w:tabs>
        <w:spacing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26EA0" w:rsidRPr="00404E19" w:rsidRDefault="00326EA0" w:rsidP="00326EA0">
      <w:pPr>
        <w:tabs>
          <w:tab w:val="left" w:pos="0"/>
        </w:tabs>
        <w:spacing w:line="240" w:lineRule="auto"/>
        <w:jc w:val="center"/>
        <w:rPr>
          <w:b/>
        </w:rPr>
      </w:pPr>
    </w:p>
    <w:p w:rsidR="00326EA0" w:rsidRPr="00404E19" w:rsidRDefault="00326EA0" w:rsidP="00326EA0">
      <w:pPr>
        <w:tabs>
          <w:tab w:val="left" w:pos="0"/>
        </w:tabs>
        <w:spacing w:line="240" w:lineRule="auto"/>
        <w:jc w:val="both"/>
        <w:rPr>
          <w:b/>
        </w:rPr>
      </w:pPr>
    </w:p>
    <w:p w:rsidR="00326EA0" w:rsidRDefault="00326EA0" w:rsidP="00326EA0">
      <w:pPr>
        <w:tabs>
          <w:tab w:val="left" w:pos="0"/>
          <w:tab w:val="left" w:pos="5040"/>
        </w:tabs>
        <w:spacing w:line="240" w:lineRule="auto"/>
        <w:jc w:val="both"/>
      </w:pPr>
    </w:p>
    <w:p w:rsidR="00326EA0" w:rsidRDefault="00326EA0" w:rsidP="00326EA0">
      <w:pPr>
        <w:tabs>
          <w:tab w:val="left" w:pos="0"/>
          <w:tab w:val="left" w:pos="5040"/>
        </w:tabs>
        <w:spacing w:line="240" w:lineRule="auto"/>
        <w:jc w:val="both"/>
        <w:rPr>
          <w:b/>
        </w:rPr>
      </w:pPr>
      <w:r>
        <w:t xml:space="preserve">Centre Park Historic District, Inc. </w:t>
      </w:r>
      <w:r>
        <w:tab/>
        <w:t>:</w:t>
      </w:r>
    </w:p>
    <w:p w:rsidR="00326EA0" w:rsidRPr="00560DC5" w:rsidRDefault="00326EA0" w:rsidP="00326EA0">
      <w:pPr>
        <w:tabs>
          <w:tab w:val="left" w:pos="0"/>
        </w:tabs>
        <w:spacing w:line="240" w:lineRule="auto"/>
        <w:jc w:val="both"/>
      </w:pPr>
      <w:r>
        <w:rPr>
          <w:b/>
        </w:rPr>
        <w:tab/>
      </w:r>
      <w:r>
        <w:rPr>
          <w:b/>
        </w:rPr>
        <w:tab/>
      </w:r>
      <w:r>
        <w:rPr>
          <w:b/>
        </w:rPr>
        <w:tab/>
      </w:r>
      <w:r>
        <w:rPr>
          <w:b/>
        </w:rPr>
        <w:tab/>
      </w:r>
      <w:r>
        <w:rPr>
          <w:b/>
        </w:rPr>
        <w:tab/>
      </w:r>
      <w:r>
        <w:rPr>
          <w:b/>
        </w:rPr>
        <w:tab/>
      </w:r>
      <w:r w:rsidRPr="00560DC5">
        <w:t>:</w:t>
      </w:r>
    </w:p>
    <w:p w:rsidR="00326EA0" w:rsidRPr="003B279A" w:rsidRDefault="00326EA0" w:rsidP="00326EA0">
      <w:pPr>
        <w:tabs>
          <w:tab w:val="left" w:pos="0"/>
          <w:tab w:val="left" w:pos="720"/>
        </w:tabs>
        <w:spacing w:line="240" w:lineRule="auto"/>
        <w:jc w:val="both"/>
      </w:pPr>
      <w:r>
        <w:tab/>
        <w:t>v.</w:t>
      </w:r>
      <w:r>
        <w:tab/>
      </w:r>
      <w:r>
        <w:tab/>
      </w:r>
      <w:r>
        <w:tab/>
      </w:r>
      <w:r>
        <w:tab/>
      </w:r>
      <w:r>
        <w:tab/>
      </w:r>
      <w:r>
        <w:tab/>
      </w:r>
      <w:r w:rsidRPr="00560DC5">
        <w:t>:</w:t>
      </w:r>
      <w:r>
        <w:rPr>
          <w:b/>
        </w:rPr>
        <w:tab/>
      </w:r>
      <w:r>
        <w:rPr>
          <w:b/>
        </w:rPr>
        <w:tab/>
      </w:r>
      <w:r>
        <w:t>C-2015-2516051</w:t>
      </w:r>
    </w:p>
    <w:p w:rsidR="00326EA0" w:rsidRPr="00560DC5" w:rsidRDefault="00326EA0" w:rsidP="00326EA0">
      <w:pPr>
        <w:tabs>
          <w:tab w:val="left" w:pos="0"/>
        </w:tabs>
        <w:spacing w:line="240" w:lineRule="auto"/>
        <w:jc w:val="both"/>
      </w:pPr>
      <w:r>
        <w:tab/>
      </w:r>
      <w:r>
        <w:tab/>
      </w:r>
      <w:r>
        <w:tab/>
      </w:r>
      <w:r>
        <w:tab/>
      </w:r>
      <w:r>
        <w:tab/>
      </w:r>
      <w:r>
        <w:tab/>
      </w:r>
      <w:r w:rsidRPr="00560DC5">
        <w:t>:</w:t>
      </w:r>
    </w:p>
    <w:p w:rsidR="00326EA0" w:rsidRDefault="00326EA0" w:rsidP="00326EA0">
      <w:pPr>
        <w:tabs>
          <w:tab w:val="left" w:pos="0"/>
        </w:tabs>
        <w:spacing w:line="240" w:lineRule="auto"/>
        <w:jc w:val="both"/>
      </w:pPr>
      <w:r>
        <w:t xml:space="preserve">UGI Utilities, </w:t>
      </w:r>
      <w:r>
        <w:tab/>
        <w:t>Inc. – Gas Division</w:t>
      </w:r>
      <w:r>
        <w:tab/>
      </w:r>
      <w:r>
        <w:tab/>
      </w:r>
      <w:r>
        <w:tab/>
      </w:r>
      <w:r w:rsidRPr="00560DC5">
        <w:t>:</w:t>
      </w:r>
    </w:p>
    <w:p w:rsidR="00326EA0" w:rsidRDefault="00326EA0" w:rsidP="00326EA0">
      <w:pPr>
        <w:tabs>
          <w:tab w:val="left" w:pos="0"/>
        </w:tabs>
        <w:spacing w:line="240" w:lineRule="auto"/>
        <w:jc w:val="both"/>
        <w:rPr>
          <w:b/>
        </w:rPr>
      </w:pPr>
    </w:p>
    <w:p w:rsidR="00326EA0" w:rsidRPr="00404E19" w:rsidRDefault="00326EA0" w:rsidP="00326EA0">
      <w:pPr>
        <w:tabs>
          <w:tab w:val="left" w:pos="0"/>
        </w:tabs>
        <w:spacing w:line="240" w:lineRule="auto"/>
        <w:jc w:val="both"/>
        <w:rPr>
          <w:b/>
        </w:rPr>
      </w:pPr>
    </w:p>
    <w:p w:rsidR="00326EA0" w:rsidRPr="00404E19" w:rsidRDefault="00326EA0" w:rsidP="00326EA0">
      <w:pPr>
        <w:tabs>
          <w:tab w:val="left" w:pos="0"/>
          <w:tab w:val="left" w:pos="5040"/>
        </w:tabs>
        <w:spacing w:line="240" w:lineRule="auto"/>
        <w:jc w:val="both"/>
        <w:rPr>
          <w:b/>
        </w:rPr>
      </w:pPr>
      <w:r>
        <w:t>City of Reading</w:t>
      </w:r>
      <w:r w:rsidRPr="00404E19">
        <w:t xml:space="preserve"> </w:t>
      </w:r>
      <w:r w:rsidRPr="00404E19">
        <w:tab/>
        <w:t>:</w:t>
      </w:r>
    </w:p>
    <w:p w:rsidR="00326EA0" w:rsidRPr="00404E19" w:rsidRDefault="00326EA0" w:rsidP="00326EA0">
      <w:pPr>
        <w:tabs>
          <w:tab w:val="left" w:pos="0"/>
        </w:tabs>
        <w:spacing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26EA0" w:rsidRPr="00404E19" w:rsidRDefault="00326EA0" w:rsidP="00326EA0">
      <w:pPr>
        <w:tabs>
          <w:tab w:val="left" w:pos="0"/>
          <w:tab w:val="left" w:pos="720"/>
        </w:tabs>
        <w:spacing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26EA0" w:rsidRPr="00404E19" w:rsidRDefault="00326EA0" w:rsidP="00326EA0">
      <w:pPr>
        <w:tabs>
          <w:tab w:val="left" w:pos="0"/>
        </w:tabs>
        <w:spacing w:line="240" w:lineRule="auto"/>
        <w:jc w:val="both"/>
      </w:pPr>
      <w:r w:rsidRPr="00404E19">
        <w:tab/>
      </w:r>
      <w:r w:rsidRPr="00404E19">
        <w:tab/>
      </w:r>
      <w:r w:rsidRPr="00404E19">
        <w:tab/>
      </w:r>
      <w:r w:rsidRPr="00404E19">
        <w:tab/>
      </w:r>
      <w:r w:rsidRPr="00404E19">
        <w:tab/>
      </w:r>
      <w:r w:rsidRPr="00404E19">
        <w:tab/>
        <w:t>:</w:t>
      </w:r>
    </w:p>
    <w:p w:rsidR="00326EA0" w:rsidRPr="00404E19" w:rsidRDefault="00326EA0" w:rsidP="00326EA0">
      <w:pPr>
        <w:tabs>
          <w:tab w:val="left" w:pos="0"/>
        </w:tabs>
        <w:spacing w:line="240" w:lineRule="auto"/>
        <w:jc w:val="both"/>
      </w:pPr>
      <w:r w:rsidRPr="00404E19">
        <w:t xml:space="preserve">UGI Utilities, </w:t>
      </w:r>
      <w:r w:rsidRPr="00404E19">
        <w:tab/>
        <w:t>Inc.</w:t>
      </w:r>
      <w:r>
        <w:tab/>
      </w:r>
      <w:r>
        <w:tab/>
      </w:r>
      <w:r w:rsidRPr="00404E19">
        <w:tab/>
      </w:r>
      <w:r w:rsidRPr="00404E19">
        <w:tab/>
      </w:r>
      <w:r w:rsidRPr="00404E19">
        <w:tab/>
        <w:t>:</w:t>
      </w:r>
    </w:p>
    <w:p w:rsidR="00326EA0" w:rsidRDefault="00326EA0" w:rsidP="00326EA0">
      <w:pPr>
        <w:tabs>
          <w:tab w:val="left" w:pos="0"/>
        </w:tabs>
        <w:spacing w:line="240" w:lineRule="auto"/>
        <w:jc w:val="both"/>
      </w:pPr>
    </w:p>
    <w:p w:rsidR="00326EA0" w:rsidRPr="00404E19" w:rsidRDefault="00326EA0" w:rsidP="00326EA0">
      <w:pPr>
        <w:tabs>
          <w:tab w:val="left" w:pos="0"/>
        </w:tabs>
        <w:spacing w:line="240" w:lineRule="auto"/>
        <w:jc w:val="both"/>
      </w:pPr>
    </w:p>
    <w:p w:rsidR="00326EA0" w:rsidRPr="00326EA0" w:rsidRDefault="00326EA0" w:rsidP="00326EA0">
      <w:pPr>
        <w:spacing w:line="240" w:lineRule="auto"/>
        <w:jc w:val="center"/>
        <w:rPr>
          <w:b/>
        </w:rPr>
      </w:pPr>
      <w:r w:rsidRPr="00326EA0">
        <w:rPr>
          <w:b/>
        </w:rPr>
        <w:t>INTERIM ORDER</w:t>
      </w:r>
    </w:p>
    <w:p w:rsidR="00326EA0" w:rsidRPr="00326EA0" w:rsidRDefault="00326EA0" w:rsidP="00326EA0">
      <w:pPr>
        <w:spacing w:line="240" w:lineRule="auto"/>
        <w:jc w:val="center"/>
        <w:rPr>
          <w:b/>
          <w:u w:val="single"/>
        </w:rPr>
      </w:pPr>
      <w:r w:rsidRPr="00326EA0">
        <w:rPr>
          <w:b/>
          <w:u w:val="single"/>
        </w:rPr>
        <w:t>ON MOTION TO VACATE</w:t>
      </w:r>
    </w:p>
    <w:p w:rsidR="00326EA0" w:rsidRDefault="00326EA0" w:rsidP="004C2FB8"/>
    <w:p w:rsidR="00326EA0" w:rsidRDefault="00326EA0" w:rsidP="004C2FB8">
      <w:r>
        <w:tab/>
        <w:t xml:space="preserve">The genesis of this matter </w:t>
      </w:r>
      <w:r w:rsidR="003F62BB">
        <w:t>is the</w:t>
      </w:r>
      <w:r>
        <w:t xml:space="preserve"> complaints filed by the Centre Park Historic District and the City of Reading </w:t>
      </w:r>
      <w:r w:rsidR="003F62BB">
        <w:t>challenging</w:t>
      </w:r>
      <w:r>
        <w:t xml:space="preserve"> the placement of meters in the City of Reading by UGI</w:t>
      </w:r>
      <w:r w:rsidR="003F62BB">
        <w:t xml:space="preserve"> Utilities, Inc. </w:t>
      </w:r>
      <w:r>
        <w:t>(UGI).  The reader is directed to the numerous orders which have already been served regarding these complaints for a full rendition of the procedural history.</w:t>
      </w:r>
    </w:p>
    <w:p w:rsidR="00326EA0" w:rsidRDefault="00326EA0" w:rsidP="004C2FB8"/>
    <w:p w:rsidR="004C2FB8" w:rsidRDefault="004C2FB8" w:rsidP="004C2FB8">
      <w:r>
        <w:tab/>
      </w:r>
      <w:r w:rsidR="00326EA0">
        <w:t>On</w:t>
      </w:r>
      <w:r>
        <w:t xml:space="preserve"> September 7, 2017, the Commission served an initial decision which granted in part and deni</w:t>
      </w:r>
      <w:r w:rsidR="003F62BB">
        <w:t>ed in part</w:t>
      </w:r>
      <w:r>
        <w:t xml:space="preserve"> UGI’s motion for summary judgement.  UGI filed exceptions to the initial decision on September 27, 2017.  In its exceptions UGI argued:</w:t>
      </w:r>
    </w:p>
    <w:p w:rsidR="004C2FB8" w:rsidRDefault="004C2FB8" w:rsidP="004C2FB8"/>
    <w:p w:rsidR="004C2FB8" w:rsidRDefault="004C2FB8" w:rsidP="004C2FB8">
      <w:pPr>
        <w:spacing w:line="240" w:lineRule="auto"/>
        <w:ind w:left="1440" w:right="1440"/>
      </w:pPr>
      <w:r>
        <w:t xml:space="preserve">The ID erred in denying UGI’s motion with respect to </w:t>
      </w:r>
      <w:r w:rsidR="003825F9">
        <w:t xml:space="preserve">the locations </w:t>
      </w:r>
      <w:r>
        <w:t>where there are no meters installed;</w:t>
      </w:r>
    </w:p>
    <w:p w:rsidR="004C2FB8" w:rsidRDefault="004C2FB8" w:rsidP="004C2FB8">
      <w:pPr>
        <w:spacing w:line="240" w:lineRule="auto"/>
        <w:ind w:left="1440" w:right="1440"/>
      </w:pPr>
    </w:p>
    <w:p w:rsidR="004C2FB8" w:rsidRDefault="004C2FB8" w:rsidP="004C2FB8">
      <w:pPr>
        <w:spacing w:line="240" w:lineRule="auto"/>
        <w:ind w:left="1440" w:right="1440"/>
      </w:pPr>
      <w:r>
        <w:t>The ID erred in implying that Section 59.18 requires gas utilities to consider or comply with local historic district regulations and permit requirements; and</w:t>
      </w:r>
    </w:p>
    <w:p w:rsidR="004C2FB8" w:rsidRDefault="004C2FB8" w:rsidP="004C2FB8">
      <w:pPr>
        <w:spacing w:line="240" w:lineRule="auto"/>
        <w:ind w:left="1440" w:right="1440"/>
      </w:pPr>
    </w:p>
    <w:p w:rsidR="004C2FB8" w:rsidRDefault="004C2FB8" w:rsidP="004C2FB8">
      <w:pPr>
        <w:spacing w:line="240" w:lineRule="auto"/>
        <w:ind w:left="1440" w:right="1440"/>
      </w:pPr>
      <w:r>
        <w:t>The ID erred in failing to address UGI’s argument that the Commission cannot grant the Complainants’ requested relief in a complaint proceeding.</w:t>
      </w:r>
    </w:p>
    <w:p w:rsidR="004C2FB8" w:rsidRDefault="004C2FB8" w:rsidP="004C2FB8">
      <w:r>
        <w:lastRenderedPageBreak/>
        <w:tab/>
        <w:t>By interim order dated October 5, 2017, the litigation in these proceedings was suspended pending the Commission’s review of UGI’s exceptions.  The Complainants filed reply exceptions on October 6, 2017.</w:t>
      </w:r>
    </w:p>
    <w:p w:rsidR="004C2FB8" w:rsidRDefault="004C2FB8" w:rsidP="004C2FB8"/>
    <w:p w:rsidR="004C2FB8" w:rsidRDefault="004C2FB8" w:rsidP="004C2FB8">
      <w:r>
        <w:tab/>
        <w:t>By email dated October 17, 2017, UGI requested a conference call to “discuss the status of the proceedings and potential approaches to move the case faster toward disposition.”  By email, the Complainants’ objected to the request because, in the Complainants’ view, it would be inefficient to further litigate the complaints while the Commission considers UGI’s exceptions.  In lieu of the requested conference call, UGI was directed to file a motion to vacate the October 5, 2017 interim order and to include a thorough proposal explaining an approach to move the case faster toward a final disposition.  UGI’s proposal was also to include an analysis of the manner in which its proposal serves judicial economy, is an appropriate expenditure of ratepayer and public funds and is in the public interest.</w:t>
      </w:r>
    </w:p>
    <w:p w:rsidR="004C2FB8" w:rsidRDefault="004C2FB8" w:rsidP="004C2FB8"/>
    <w:p w:rsidR="004C2FB8" w:rsidRDefault="004C2FB8" w:rsidP="004C2FB8">
      <w:r>
        <w:tab/>
        <w:t>On October 31, 2017, UGI filed a motion to vacate the October 5, 2017 Interim Order.  Also on October 31, 2017, UGI filed a letter directed to the Commission’s Secretary, which requested:</w:t>
      </w:r>
    </w:p>
    <w:p w:rsidR="0074425C" w:rsidRDefault="0074425C" w:rsidP="004C2FB8"/>
    <w:p w:rsidR="004C2FB8" w:rsidRDefault="004C2FB8" w:rsidP="004C2FB8">
      <w:pPr>
        <w:spacing w:line="240" w:lineRule="auto"/>
        <w:ind w:left="1440" w:right="1440"/>
      </w:pPr>
      <w:r>
        <w:t>that the Pennsylvania Public Utility Commission (“Commission”) permit the Company to withdraw its Exceptions to the Initial Decision issued by Administrative Law Judge Mary D. Long (the</w:t>
      </w:r>
      <w:r w:rsidR="008C2275">
        <w:t xml:space="preserve"> “</w:t>
      </w:r>
      <w:r>
        <w:t xml:space="preserve">ALJ”), </w:t>
      </w:r>
      <w:proofErr w:type="gramStart"/>
      <w:r>
        <w:t>provided that</w:t>
      </w:r>
      <w:proofErr w:type="gramEnd"/>
      <w:r>
        <w:t xml:space="preserve"> UGI retains the right to raise these issues and arguments in briefing and, if </w:t>
      </w:r>
      <w:r w:rsidR="004F01FC">
        <w:t>necessary</w:t>
      </w:r>
      <w:r>
        <w:t>, in exc</w:t>
      </w:r>
      <w:r w:rsidR="00566560">
        <w:t>e</w:t>
      </w:r>
      <w:r>
        <w:t>ptions from an Initial Decision issued after the conclusion of the evidentiary hearings.</w:t>
      </w:r>
    </w:p>
    <w:p w:rsidR="004C2FB8" w:rsidRDefault="004C2FB8" w:rsidP="004C2FB8"/>
    <w:p w:rsidR="008C2275" w:rsidRDefault="008C2275" w:rsidP="004C2FB8">
      <w:r>
        <w:t xml:space="preserve">UGI’s request to vacate the October 5, 2017 </w:t>
      </w:r>
      <w:r w:rsidR="003F62BB">
        <w:t xml:space="preserve">Interim Order </w:t>
      </w:r>
      <w:r>
        <w:t xml:space="preserve">and proposal for further proceedings was premised upon the Commission’s </w:t>
      </w:r>
      <w:r w:rsidR="003825F9">
        <w:t>approval</w:t>
      </w:r>
      <w:r>
        <w:t xml:space="preserve"> of </w:t>
      </w:r>
      <w:proofErr w:type="spellStart"/>
      <w:r>
        <w:t>UGI’s</w:t>
      </w:r>
      <w:proofErr w:type="spellEnd"/>
      <w:r>
        <w:t xml:space="preserve"> request to conditionally withdraw the exceptions.</w:t>
      </w:r>
    </w:p>
    <w:p w:rsidR="002865DA" w:rsidRDefault="002865DA"/>
    <w:p w:rsidR="007B284E" w:rsidRDefault="008C2275">
      <w:r>
        <w:lastRenderedPageBreak/>
        <w:tab/>
        <w:t>The Complainants filed a response to UGI’s motion on November 14, 2017, objecting to the Company’s proposal to move the matter forward.</w:t>
      </w:r>
      <w:r w:rsidR="00483569">
        <w:rPr>
          <w:rStyle w:val="FootnoteReference"/>
        </w:rPr>
        <w:footnoteReference w:id="1"/>
      </w:r>
      <w:r>
        <w:t xml:space="preserve">  The Complainants take the position that there is nothing in the Commission’s rules which permit a “conditional withdrawal” of the exceptions</w:t>
      </w:r>
      <w:r w:rsidR="00483569">
        <w:t>.  According to the Complainants, without a disposition by the Commission of the exceptions or an unconditional withdrawal of the exceptions, uncertainty is created which makes it difficult for the Complainants to prepare their case.  The Complainants also objected to the timeframe for the preparation of written testimony and hearing proposed by UGI</w:t>
      </w:r>
      <w:r w:rsidR="0058464D">
        <w:t>.</w:t>
      </w:r>
      <w:r w:rsidR="00CF6E9A">
        <w:rPr>
          <w:rStyle w:val="FootnoteReference"/>
        </w:rPr>
        <w:footnoteReference w:id="2"/>
      </w:r>
      <w:r w:rsidR="00483569">
        <w:t xml:space="preserve"> </w:t>
      </w:r>
    </w:p>
    <w:p w:rsidR="008C00D1" w:rsidRDefault="008C00D1"/>
    <w:p w:rsidR="00AC7AF4" w:rsidRDefault="007B284E">
      <w:r>
        <w:tab/>
        <w:t>UGI’s motion to vacate the order suspending the litigation in this matter is premised upon its request to “conditionally” withdraw its excep</w:t>
      </w:r>
      <w:r w:rsidR="003F62BB">
        <w:t>tions to the September 7, 2017 Initial D</w:t>
      </w:r>
      <w:r>
        <w:t>ecision.  That is, UGI has not simply withdrawn its exceptions pursuant to Section 5.539(b).</w:t>
      </w:r>
      <w:r w:rsidR="00A82E4B">
        <w:rPr>
          <w:rStyle w:val="FootnoteReference"/>
        </w:rPr>
        <w:footnoteReference w:id="3"/>
      </w:r>
      <w:r>
        <w:t xml:space="preserve">  Instead, </w:t>
      </w:r>
      <w:proofErr w:type="spellStart"/>
      <w:r>
        <w:t>UGI</w:t>
      </w:r>
      <w:proofErr w:type="spellEnd"/>
      <w:r>
        <w:t xml:space="preserve"> has requested </w:t>
      </w:r>
      <w:r w:rsidR="002A4E5C">
        <w:t xml:space="preserve">to retain the right to raise the issues addressed in </w:t>
      </w:r>
      <w:r w:rsidR="003825F9">
        <w:t>its</w:t>
      </w:r>
      <w:r w:rsidR="002A4E5C">
        <w:t xml:space="preserve"> </w:t>
      </w:r>
      <w:r w:rsidR="004F01FC">
        <w:t>exceptions</w:t>
      </w:r>
      <w:r w:rsidR="002A4E5C">
        <w:t>.</w:t>
      </w:r>
      <w:r>
        <w:t xml:space="preserve">  </w:t>
      </w:r>
      <w:r w:rsidR="00735B3D">
        <w:t>UGI has not cited any specific authority in the Commission’s rules for a “conditional withdrawal” of exceptions</w:t>
      </w:r>
      <w:r w:rsidR="0058464D">
        <w:t xml:space="preserve">.  </w:t>
      </w:r>
      <w:r w:rsidR="003F62BB">
        <w:t>The</w:t>
      </w:r>
      <w:r>
        <w:t xml:space="preserve"> consideration of UGI’s request remain</w:t>
      </w:r>
      <w:r w:rsidR="00AC7AF4">
        <w:t>s</w:t>
      </w:r>
      <w:r>
        <w:t xml:space="preserve"> within the purview of the Commission.  </w:t>
      </w:r>
    </w:p>
    <w:p w:rsidR="00AC7AF4" w:rsidRDefault="00AC7AF4"/>
    <w:p w:rsidR="00AC7AF4" w:rsidRDefault="00AC7AF4">
      <w:r>
        <w:tab/>
        <w:t>Moreover,</w:t>
      </w:r>
      <w:r w:rsidR="006E6980">
        <w:t xml:space="preserve"> it is important to note, that UGI’s exceptions are not solely related to a single narrow issue that could be bifurcated from the proceeding.  </w:t>
      </w:r>
      <w:r>
        <w:t xml:space="preserve"> UGI’s exceptions seek dismissal of the complaints in their entirety</w:t>
      </w:r>
      <w:r w:rsidR="0058464D">
        <w:t xml:space="preserve">.  </w:t>
      </w:r>
      <w:r w:rsidR="0085048A">
        <w:t>If the Commission does not permit UGI’s conditional withdrawal of its exceptions, i</w:t>
      </w:r>
      <w:r>
        <w:t xml:space="preserve">t is not a judicious use of resources to attempt to litigate a matter which could be dismissed.  </w:t>
      </w:r>
      <w:r w:rsidR="006E6980">
        <w:t>The desire for an expeditious resolution by itself is not a sufficient reason</w:t>
      </w:r>
      <w:r w:rsidR="00B20914">
        <w:t xml:space="preserve"> to force UGI’s ratepayers, the Complainants and the Commission to expend resources preparing for hearing when the matter could be dismissed in its entirety.</w:t>
      </w:r>
    </w:p>
    <w:p w:rsidR="0085048A" w:rsidRDefault="0085048A"/>
    <w:p w:rsidR="007B284E" w:rsidRDefault="0085048A">
      <w:r>
        <w:tab/>
        <w:t xml:space="preserve">In short, </w:t>
      </w:r>
      <w:r w:rsidR="007B284E">
        <w:t>I have no authority to schedule further proceedings until the Commission takes action on either the request to</w:t>
      </w:r>
      <w:bookmarkStart w:id="0" w:name="_GoBack"/>
      <w:bookmarkEnd w:id="0"/>
      <w:r w:rsidR="007B284E">
        <w:t xml:space="preserve"> conditionally withdraw the exceptions or takes action on the </w:t>
      </w:r>
      <w:r w:rsidR="007B284E">
        <w:lastRenderedPageBreak/>
        <w:t>exceptions themselves</w:t>
      </w:r>
      <w:r w:rsidR="0058464D">
        <w:t xml:space="preserve">.  </w:t>
      </w:r>
      <w:r w:rsidR="00B20914">
        <w:t>Even if I did have authority to move forward, UGI has not demonstrated a compelling reason for doing so that serves judicial economy and the public interest.</w:t>
      </w:r>
    </w:p>
    <w:p w:rsidR="007B284E" w:rsidRDefault="007B284E"/>
    <w:p w:rsidR="008C00D1" w:rsidRDefault="007B284E">
      <w:r>
        <w:tab/>
        <w:t xml:space="preserve">However, both UGI and the City have proposed litigation schedules which contemplate the filing of written testimony </w:t>
      </w:r>
      <w:r w:rsidR="003825F9">
        <w:t xml:space="preserve">and </w:t>
      </w:r>
      <w:r>
        <w:t>a</w:t>
      </w:r>
      <w:r w:rsidR="00AF0731">
        <w:t xml:space="preserve">n </w:t>
      </w:r>
      <w:r>
        <w:t xml:space="preserve">evidentiary hearing.  </w:t>
      </w:r>
      <w:r w:rsidR="008C00D1">
        <w:t>UGI’s motion proposed the service of direct testimony on December 15, 2017, and hearings beginning on January 10, 2018.  In response, the Complainants</w:t>
      </w:r>
      <w:r w:rsidR="00905430">
        <w:t xml:space="preserve"> take the position </w:t>
      </w:r>
      <w:r w:rsidR="008C00D1">
        <w:t>that December 15, 2017</w:t>
      </w:r>
      <w:r w:rsidR="00905430">
        <w:t>,</w:t>
      </w:r>
      <w:r w:rsidR="008C00D1">
        <w:t xml:space="preserve"> is not a reasonable deadline given the advent of the holidays and the City’s budget season.  The Complainants propose to serve direct testimony on February 28, 2018, with hearings beginning the week of March 26, 2018.</w:t>
      </w:r>
      <w:r w:rsidR="003F62BB">
        <w:t xml:space="preserve">  As explained above, specific deadlines cannot be established until the Commission takes action, but timeframes can be established for the service of testimony and approximate dates for evidentiary hearings.</w:t>
      </w:r>
    </w:p>
    <w:p w:rsidR="008C00D1" w:rsidRDefault="008C00D1"/>
    <w:p w:rsidR="007B284E" w:rsidRDefault="008C00D1">
      <w:r>
        <w:tab/>
        <w:t>Discovery concluded on May 30, 2017.  On September 7, 2017, UGI and the Complainants filed a stipulation which included spreadsheets cataloging the contested meters and other facts related to each location.</w:t>
      </w:r>
      <w:r>
        <w:rPr>
          <w:rStyle w:val="FootnoteReference"/>
        </w:rPr>
        <w:footnoteReference w:id="4"/>
      </w:r>
      <w:r>
        <w:t xml:space="preserve">  </w:t>
      </w:r>
      <w:r w:rsidR="00F92F35">
        <w:t xml:space="preserve">Therefore, the parties should have their witnesses and the subject of each witness’ testimony well established.  </w:t>
      </w:r>
      <w:r w:rsidR="003F62BB">
        <w:t>The</w:t>
      </w:r>
      <w:r w:rsidR="007B284E">
        <w:t xml:space="preserve"> ordering paragraphs below</w:t>
      </w:r>
      <w:r w:rsidR="003F62BB">
        <w:t xml:space="preserve"> will</w:t>
      </w:r>
      <w:r w:rsidR="007B284E">
        <w:t xml:space="preserve"> direct the parties to serve written testimony within 60 days of the Commission’s action</w:t>
      </w:r>
      <w:r w:rsidR="00905430">
        <w:t xml:space="preserve"> on the exceptions or granting UGI’s request to conditionally withdraw the exceptions</w:t>
      </w:r>
      <w:r w:rsidR="007B284E">
        <w:t xml:space="preserve">.  An evidentiary hearing will be scheduled 30 days following the service of written testimony.  This timeframe allows the parties </w:t>
      </w:r>
      <w:r w:rsidR="003F62BB">
        <w:t>sufficient time to plan any modifications to the presentation of their positions in response to an action of the Commission on the exceptions or UGI’s request to conditionally withdraw its exceptions.</w:t>
      </w:r>
    </w:p>
    <w:p w:rsidR="00E12DD8" w:rsidRDefault="00E12DD8"/>
    <w:p w:rsidR="00A82E4B" w:rsidRDefault="00A82E4B"/>
    <w:p w:rsidR="00A82E4B" w:rsidRDefault="00A82E4B"/>
    <w:p w:rsidR="00A82E4B" w:rsidRDefault="00A82E4B"/>
    <w:p w:rsidR="00A82E4B" w:rsidRDefault="00A82E4B"/>
    <w:p w:rsidR="00A82E4B" w:rsidRDefault="00A82E4B"/>
    <w:p w:rsidR="00E12DD8" w:rsidRDefault="007B4C3C">
      <w:r>
        <w:lastRenderedPageBreak/>
        <w:tab/>
      </w:r>
      <w:r w:rsidR="00E12DD8">
        <w:t>THEREFORE,</w:t>
      </w:r>
    </w:p>
    <w:p w:rsidR="00E12DD8" w:rsidRDefault="00E12DD8"/>
    <w:p w:rsidR="00E12DD8" w:rsidRDefault="007B4C3C">
      <w:r>
        <w:tab/>
      </w:r>
      <w:r w:rsidR="00E12DD8">
        <w:t>IT IS ORDERED:</w:t>
      </w:r>
    </w:p>
    <w:p w:rsidR="00E12DD8" w:rsidRDefault="00E12DD8"/>
    <w:p w:rsidR="00E12DD8" w:rsidRDefault="00E12DD8">
      <w:r>
        <w:tab/>
        <w:t>1.</w:t>
      </w:r>
      <w:r>
        <w:tab/>
      </w:r>
      <w:r w:rsidR="00944FB3">
        <w:t xml:space="preserve">That the motion of UGI to vacate the October 5, 2017 Interim </w:t>
      </w:r>
      <w:r w:rsidR="0058464D">
        <w:t>Order suspending</w:t>
      </w:r>
      <w:r w:rsidR="00944FB3">
        <w:t xml:space="preserve"> the litigation is granted in part.</w:t>
      </w:r>
    </w:p>
    <w:p w:rsidR="00944FB3" w:rsidRDefault="00944FB3"/>
    <w:p w:rsidR="00944FB3" w:rsidRDefault="00944FB3" w:rsidP="00944FB3">
      <w:r>
        <w:tab/>
        <w:t>2.</w:t>
      </w:r>
      <w:r>
        <w:tab/>
        <w:t xml:space="preserve">That within </w:t>
      </w:r>
      <w:r w:rsidRPr="00944FB3">
        <w:rPr>
          <w:b/>
          <w:u w:val="single"/>
        </w:rPr>
        <w:t>60 days</w:t>
      </w:r>
      <w:r>
        <w:t xml:space="preserve"> of a Commission action regarding the exceptions to the September 7, 2017 Initial Decision Denying in Part and Granting In Part UGI’s Motion for Summary Judgement or a Commission action granting UGI’s request to conditionally withdraw its exceptions, the parties will exchange exhibits, properly marked and paginated.  Exhibit lists will include written direct testimony for each witness to be called at the hearing.  Parties will file witness lists, including the sequence of each witness to be called and a current curriculum vitae.  </w:t>
      </w:r>
    </w:p>
    <w:p w:rsidR="00944FB3" w:rsidRDefault="00944FB3" w:rsidP="00944FB3"/>
    <w:p w:rsidR="00944FB3" w:rsidRDefault="00944FB3" w:rsidP="00944FB3">
      <w:r>
        <w:tab/>
        <w:t>3.</w:t>
      </w:r>
      <w:r>
        <w:tab/>
        <w:t xml:space="preserve">That evidentiary hearings will be scheduled promptly following a Commission action as described in Paragraph 2 and will commence approximately </w:t>
      </w:r>
      <w:r w:rsidRPr="009944B2">
        <w:rPr>
          <w:b/>
          <w:u w:val="single"/>
        </w:rPr>
        <w:t>30 days</w:t>
      </w:r>
      <w:r>
        <w:t xml:space="preserve"> following the service of ex</w:t>
      </w:r>
      <w:r w:rsidR="00326EA0">
        <w:t xml:space="preserve">hibits and written testimony directed </w:t>
      </w:r>
      <w:r>
        <w:t>in Paragraph 2.</w:t>
      </w:r>
    </w:p>
    <w:p w:rsidR="003F62BB" w:rsidRDefault="003F62BB" w:rsidP="00944FB3"/>
    <w:p w:rsidR="003F62BB" w:rsidRDefault="003F62BB" w:rsidP="00944FB3">
      <w:r>
        <w:tab/>
        <w:t>4.</w:t>
      </w:r>
      <w:r>
        <w:tab/>
        <w:t>That any party may file a request for a shorter timeframe within 5 days of Commission action described in Paragraph 2.  Responses to a request for a shorter timeframe shall be filed within 3 days.  No request for an extension of the timeframes will be entertained absent extraordinary circumstances.</w:t>
      </w:r>
    </w:p>
    <w:p w:rsidR="00905430" w:rsidRDefault="00905430" w:rsidP="00944FB3"/>
    <w:p w:rsidR="00905430" w:rsidRDefault="00905430" w:rsidP="00944FB3">
      <w:r>
        <w:tab/>
        <w:t>5.</w:t>
      </w:r>
      <w:r>
        <w:tab/>
      </w:r>
      <w:r w:rsidR="003A3F86">
        <w:t xml:space="preserve">That </w:t>
      </w:r>
      <w:proofErr w:type="spellStart"/>
      <w:r>
        <w:t>UGI’s</w:t>
      </w:r>
      <w:proofErr w:type="spellEnd"/>
      <w:r>
        <w:t xml:space="preserve"> motion to vacate is denied in all other respects.</w:t>
      </w:r>
    </w:p>
    <w:p w:rsidR="00F57789" w:rsidRDefault="00F57789" w:rsidP="00944FB3"/>
    <w:p w:rsidR="00F57789" w:rsidRDefault="00F57789" w:rsidP="00944FB3"/>
    <w:p w:rsidR="00F57789" w:rsidRPr="00F57789" w:rsidRDefault="00F57789" w:rsidP="00F57789">
      <w:pPr>
        <w:tabs>
          <w:tab w:val="clear" w:pos="1440"/>
          <w:tab w:val="left" w:pos="0"/>
        </w:tabs>
        <w:spacing w:line="240" w:lineRule="auto"/>
        <w:jc w:val="both"/>
        <w:rPr>
          <w:rFonts w:eastAsia="SimSun"/>
          <w:szCs w:val="24"/>
        </w:rPr>
      </w:pPr>
      <w:r w:rsidRPr="00F57789">
        <w:rPr>
          <w:szCs w:val="24"/>
        </w:rPr>
        <w:t xml:space="preserve">Date:  </w:t>
      </w:r>
      <w:r w:rsidRPr="00F57789">
        <w:rPr>
          <w:szCs w:val="24"/>
          <w:u w:val="single"/>
        </w:rPr>
        <w:t>November 1</w:t>
      </w:r>
      <w:r>
        <w:rPr>
          <w:szCs w:val="24"/>
          <w:u w:val="single"/>
        </w:rPr>
        <w:t>6</w:t>
      </w:r>
      <w:r w:rsidRPr="00F57789">
        <w:rPr>
          <w:szCs w:val="24"/>
          <w:u w:val="single"/>
        </w:rPr>
        <w:t>, 2017</w:t>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t>____________________________________</w:t>
      </w:r>
    </w:p>
    <w:p w:rsidR="00F57789" w:rsidRPr="00F57789" w:rsidRDefault="00F57789" w:rsidP="00F57789">
      <w:pPr>
        <w:tabs>
          <w:tab w:val="clear" w:pos="1440"/>
          <w:tab w:val="left" w:pos="0"/>
        </w:tabs>
        <w:spacing w:line="240" w:lineRule="auto"/>
        <w:jc w:val="both"/>
        <w:rPr>
          <w:rFonts w:eastAsia="SimSun"/>
          <w:szCs w:val="24"/>
        </w:rPr>
      </w:pP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t>Mary D. Long</w:t>
      </w:r>
    </w:p>
    <w:p w:rsidR="00F57789" w:rsidRPr="00F57789" w:rsidRDefault="00F57789" w:rsidP="00F57789">
      <w:pPr>
        <w:tabs>
          <w:tab w:val="clear" w:pos="1440"/>
          <w:tab w:val="left" w:pos="0"/>
        </w:tabs>
        <w:spacing w:line="240" w:lineRule="auto"/>
        <w:jc w:val="both"/>
        <w:rPr>
          <w:rFonts w:eastAsia="SimSun"/>
          <w:szCs w:val="24"/>
        </w:rPr>
      </w:pP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r>
      <w:r w:rsidRPr="00F57789">
        <w:rPr>
          <w:rFonts w:eastAsia="SimSun"/>
          <w:szCs w:val="24"/>
        </w:rPr>
        <w:tab/>
        <w:t>Administrative Law Judge</w:t>
      </w:r>
    </w:p>
    <w:p w:rsidR="00F57789" w:rsidRPr="00F57789" w:rsidRDefault="00F57789" w:rsidP="00F57789">
      <w:pPr>
        <w:tabs>
          <w:tab w:val="clear" w:pos="1440"/>
        </w:tabs>
        <w:spacing w:line="240" w:lineRule="auto"/>
        <w:rPr>
          <w:szCs w:val="24"/>
        </w:rPr>
      </w:pPr>
    </w:p>
    <w:p w:rsidR="00F57789" w:rsidRDefault="00F57789" w:rsidP="00944FB3"/>
    <w:p w:rsidR="0058464D" w:rsidRDefault="0058464D">
      <w:pPr>
        <w:sectPr w:rsidR="0058464D" w:rsidSect="00170A8C">
          <w:footerReference w:type="default" r:id="rId8"/>
          <w:pgSz w:w="12240" w:h="15840"/>
          <w:pgMar w:top="1440" w:right="1440" w:bottom="1440" w:left="1440" w:header="720" w:footer="720" w:gutter="0"/>
          <w:cols w:space="720"/>
          <w:titlePg/>
          <w:docGrid w:linePitch="360"/>
        </w:sectPr>
      </w:pPr>
    </w:p>
    <w:p w:rsidR="003825F9" w:rsidRPr="003825F9" w:rsidRDefault="003825F9" w:rsidP="003825F9">
      <w:pPr>
        <w:tabs>
          <w:tab w:val="clear" w:pos="1440"/>
        </w:tabs>
        <w:spacing w:line="240" w:lineRule="auto"/>
        <w:contextualSpacing/>
        <w:rPr>
          <w:rFonts w:ascii="Microsoft Sans Serif" w:eastAsiaTheme="minorEastAsia" w:hAnsiTheme="minorHAnsi" w:cstheme="minorBidi"/>
          <w:b/>
          <w:szCs w:val="24"/>
          <w:u w:val="single"/>
        </w:rPr>
      </w:pPr>
      <w:r w:rsidRPr="003825F9">
        <w:rPr>
          <w:rFonts w:ascii="Microsoft Sans Serif" w:eastAsiaTheme="minorEastAsia" w:hAnsiTheme="minorHAnsi" w:cstheme="minorBidi"/>
          <w:b/>
          <w:szCs w:val="24"/>
          <w:u w:val="single"/>
        </w:rPr>
        <w:lastRenderedPageBreak/>
        <w:t xml:space="preserve">C-2015-2516051 - CENTRE PARK HISTORIC DISTRICT INC v. </w:t>
      </w:r>
      <w:proofErr w:type="spellStart"/>
      <w:r w:rsidRPr="003825F9">
        <w:rPr>
          <w:rFonts w:ascii="Microsoft Sans Serif" w:eastAsiaTheme="minorEastAsia" w:hAnsiTheme="minorHAnsi" w:cstheme="minorBidi"/>
          <w:b/>
          <w:szCs w:val="24"/>
          <w:u w:val="single"/>
        </w:rPr>
        <w:t>UGI</w:t>
      </w:r>
      <w:proofErr w:type="spellEnd"/>
      <w:r w:rsidRPr="003825F9">
        <w:rPr>
          <w:rFonts w:ascii="Microsoft Sans Serif" w:eastAsiaTheme="minorEastAsia" w:hAnsiTheme="minorHAnsi" w:cstheme="minorBidi"/>
          <w:b/>
          <w:szCs w:val="24"/>
          <w:u w:val="single"/>
        </w:rPr>
        <w:t xml:space="preserve"> UTILITIES INC</w:t>
      </w:r>
    </w:p>
    <w:p w:rsidR="003825F9" w:rsidRPr="003825F9" w:rsidRDefault="003825F9" w:rsidP="003825F9">
      <w:pPr>
        <w:tabs>
          <w:tab w:val="clear" w:pos="1440"/>
        </w:tabs>
        <w:spacing w:line="240" w:lineRule="auto"/>
        <w:contextualSpacing/>
        <w:rPr>
          <w:rFonts w:ascii="Microsoft Sans Serif" w:eastAsiaTheme="minorEastAsia" w:hAnsiTheme="minorHAnsi" w:cstheme="minorBidi"/>
          <w:b/>
          <w:szCs w:val="24"/>
          <w:u w:val="single"/>
        </w:rPr>
      </w:pPr>
      <w:r w:rsidRPr="003825F9">
        <w:rPr>
          <w:rFonts w:ascii="Microsoft Sans Serif" w:eastAsiaTheme="minorEastAsia" w:hAnsiTheme="minorHAnsi" w:cstheme="minorBidi"/>
          <w:b/>
          <w:szCs w:val="22"/>
          <w:u w:val="single"/>
        </w:rPr>
        <w:t>C-2016-</w:t>
      </w:r>
      <w:proofErr w:type="gramStart"/>
      <w:r w:rsidRPr="003825F9">
        <w:rPr>
          <w:rFonts w:ascii="Microsoft Sans Serif" w:eastAsiaTheme="minorEastAsia" w:hAnsiTheme="minorHAnsi" w:cstheme="minorBidi"/>
          <w:b/>
          <w:szCs w:val="22"/>
          <w:u w:val="single"/>
        </w:rPr>
        <w:t>2530475  -</w:t>
      </w:r>
      <w:proofErr w:type="gramEnd"/>
      <w:r w:rsidRPr="003825F9">
        <w:rPr>
          <w:rFonts w:ascii="Microsoft Sans Serif" w:eastAsiaTheme="minorEastAsia" w:hAnsiTheme="minorHAnsi" w:cstheme="minorBidi"/>
          <w:b/>
          <w:szCs w:val="22"/>
          <w:u w:val="single"/>
        </w:rPr>
        <w:t xml:space="preserve"> CITY OF READING v. </w:t>
      </w:r>
      <w:proofErr w:type="spellStart"/>
      <w:r w:rsidRPr="003825F9">
        <w:rPr>
          <w:rFonts w:ascii="Microsoft Sans Serif" w:eastAsiaTheme="minorEastAsia" w:hAnsiTheme="minorHAnsi" w:cstheme="minorBidi"/>
          <w:b/>
          <w:szCs w:val="22"/>
          <w:u w:val="single"/>
        </w:rPr>
        <w:t>UGI</w:t>
      </w:r>
      <w:proofErr w:type="spellEnd"/>
      <w:r w:rsidRPr="003825F9">
        <w:rPr>
          <w:rFonts w:ascii="Microsoft Sans Serif" w:eastAsiaTheme="minorEastAsia" w:hAnsiTheme="minorHAnsi" w:cstheme="minorBidi"/>
          <w:b/>
          <w:szCs w:val="22"/>
          <w:u w:val="single"/>
        </w:rPr>
        <w:t xml:space="preserve"> UTILITIES, INC.</w:t>
      </w:r>
      <w:r w:rsidRPr="003825F9">
        <w:rPr>
          <w:rFonts w:ascii="Microsoft Sans Serif" w:eastAsiaTheme="minorEastAsia" w:hAnsiTheme="minorHAnsi" w:cstheme="minorBidi"/>
          <w:b/>
          <w:szCs w:val="22"/>
          <w:u w:val="single"/>
        </w:rPr>
        <w:cr/>
      </w:r>
    </w:p>
    <w:p w:rsidR="003825F9" w:rsidRPr="003825F9" w:rsidRDefault="003825F9" w:rsidP="003825F9">
      <w:pPr>
        <w:tabs>
          <w:tab w:val="clear" w:pos="1440"/>
        </w:tabs>
        <w:spacing w:line="240" w:lineRule="auto"/>
        <w:contextualSpacing/>
        <w:rPr>
          <w:rFonts w:ascii="Microsoft Sans Serif" w:eastAsiaTheme="minorEastAsia" w:hAnsiTheme="minorHAnsi" w:cstheme="minorBidi"/>
          <w:i/>
          <w:szCs w:val="24"/>
          <w:u w:val="single"/>
        </w:rPr>
      </w:pPr>
      <w:r w:rsidRPr="003825F9">
        <w:rPr>
          <w:rFonts w:ascii="Microsoft Sans Serif" w:eastAsiaTheme="minorEastAsia" w:hAnsiTheme="minorHAnsi" w:cstheme="minorBidi"/>
          <w:i/>
          <w:szCs w:val="24"/>
          <w:u w:val="single"/>
        </w:rPr>
        <w:t>Revised 10/18/17</w:t>
      </w:r>
    </w:p>
    <w:p w:rsidR="003825F9" w:rsidRPr="003825F9" w:rsidRDefault="003825F9" w:rsidP="003825F9">
      <w:pPr>
        <w:tabs>
          <w:tab w:val="clear" w:pos="1440"/>
        </w:tabs>
        <w:spacing w:line="240" w:lineRule="auto"/>
        <w:contextualSpacing/>
        <w:rPr>
          <w:rFonts w:ascii="Microsoft Sans Serif" w:eastAsiaTheme="minorEastAsia" w:hAnsiTheme="minorHAnsi" w:cstheme="minorBidi"/>
          <w:szCs w:val="24"/>
        </w:rPr>
      </w:pPr>
    </w:p>
    <w:p w:rsidR="003825F9" w:rsidRPr="003825F9" w:rsidRDefault="003825F9" w:rsidP="003825F9">
      <w:pPr>
        <w:tabs>
          <w:tab w:val="clear" w:pos="1440"/>
        </w:tabs>
        <w:spacing w:line="240" w:lineRule="auto"/>
        <w:contextualSpacing/>
        <w:rPr>
          <w:rFonts w:ascii="Microsoft Sans Serif" w:eastAsiaTheme="minorEastAsia" w:hAnsiTheme="minorHAnsi" w:cstheme="minorBidi"/>
          <w:szCs w:val="24"/>
        </w:rPr>
        <w:sectPr w:rsidR="003825F9" w:rsidRPr="003825F9" w:rsidSect="003825F9">
          <w:pgSz w:w="12240" w:h="15840"/>
          <w:pgMar w:top="720" w:right="720" w:bottom="720" w:left="720" w:header="720" w:footer="720" w:gutter="0"/>
          <w:cols w:space="720"/>
          <w:docGrid w:linePitch="360"/>
        </w:sectPr>
      </w:pP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MICHAEL J SAVONA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*MICHAEL E PETERS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 xml:space="preserve">ZACHARY A </w:t>
      </w:r>
      <w:proofErr w:type="spellStart"/>
      <w:r w:rsidRPr="003825F9">
        <w:rPr>
          <w:rFonts w:ascii="Microsoft Sans Serif" w:eastAsiaTheme="minorEastAsia" w:hAnsiTheme="minorHAnsi" w:cstheme="minorBidi"/>
          <w:szCs w:val="24"/>
        </w:rPr>
        <w:t>SIVERTSEN</w:t>
      </w:r>
      <w:proofErr w:type="spellEnd"/>
      <w:r w:rsidRPr="003825F9">
        <w:rPr>
          <w:rFonts w:ascii="Microsoft Sans Serif" w:eastAsiaTheme="minorEastAsia" w:hAnsiTheme="minorHAnsi" w:cstheme="minorBidi"/>
          <w:szCs w:val="24"/>
        </w:rPr>
        <w:t xml:space="preserve">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*MICHAEL T PIDGEON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proofErr w:type="spellStart"/>
      <w:r w:rsidRPr="003825F9">
        <w:rPr>
          <w:rFonts w:ascii="Microsoft Sans Serif" w:eastAsiaTheme="minorEastAsia" w:hAnsiTheme="minorHAnsi" w:cstheme="minorBidi"/>
          <w:szCs w:val="24"/>
        </w:rPr>
        <w:t>EASTBURN</w:t>
      </w:r>
      <w:proofErr w:type="spellEnd"/>
      <w:r w:rsidRPr="003825F9">
        <w:rPr>
          <w:rFonts w:ascii="Microsoft Sans Serif" w:eastAsiaTheme="minorEastAsia" w:hAnsiTheme="minorHAnsi" w:cstheme="minorBidi"/>
          <w:szCs w:val="24"/>
        </w:rPr>
        <w:t xml:space="preserve"> AND GRAY PC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60 EAST COURT STREET</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PO BOX 1389</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DOYLESTOWN PA 18901</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b/>
          <w:szCs w:val="24"/>
        </w:rPr>
      </w:pPr>
      <w:r w:rsidRPr="003825F9">
        <w:rPr>
          <w:rFonts w:ascii="Microsoft Sans Serif" w:eastAsiaTheme="minorEastAsia" w:hAnsiTheme="minorHAnsi" w:cstheme="minorBidi"/>
          <w:b/>
          <w:szCs w:val="24"/>
        </w:rPr>
        <w:t>215.345.7000</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szCs w:val="24"/>
        </w:rPr>
        <w:t>*</w:t>
      </w:r>
      <w:r w:rsidRPr="003825F9">
        <w:rPr>
          <w:rFonts w:ascii="Microsoft Sans Serif" w:eastAsiaTheme="minorEastAsia" w:hAnsiTheme="minorHAnsi" w:cstheme="minorBidi"/>
          <w:i/>
          <w:szCs w:val="24"/>
        </w:rPr>
        <w:t>Accepts E-service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i/>
          <w:szCs w:val="24"/>
        </w:rPr>
        <w:t>Representing Centre Park Historic District, Inc.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i/>
          <w:szCs w:val="24"/>
        </w:rPr>
        <w:t>and City of Reading</w:t>
      </w:r>
    </w:p>
    <w:p w:rsidR="003825F9" w:rsidRPr="003825F9" w:rsidRDefault="003825F9" w:rsidP="003825F9">
      <w:pPr>
        <w:tabs>
          <w:tab w:val="clear" w:pos="1440"/>
        </w:tabs>
        <w:spacing w:line="240" w:lineRule="auto"/>
        <w:contextualSpacing/>
        <w:rPr>
          <w:rFonts w:ascii="Microsoft Sans Serif" w:eastAsiaTheme="minorEastAsia" w:hAnsiTheme="minorHAnsi" w:cstheme="minorBidi"/>
          <w:szCs w:val="24"/>
        </w:rPr>
      </w:pPr>
    </w:p>
    <w:p w:rsidR="003825F9" w:rsidRPr="003825F9" w:rsidRDefault="003825F9" w:rsidP="003825F9">
      <w:pPr>
        <w:tabs>
          <w:tab w:val="clear" w:pos="1440"/>
        </w:tabs>
        <w:spacing w:line="240"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MARK C MORROW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 xml:space="preserve">DANIELLE </w:t>
      </w:r>
      <w:proofErr w:type="spellStart"/>
      <w:r w:rsidRPr="003825F9">
        <w:rPr>
          <w:rFonts w:ascii="Microsoft Sans Serif" w:eastAsiaTheme="minorEastAsia" w:hAnsiTheme="minorHAnsi" w:cstheme="minorBidi"/>
          <w:szCs w:val="24"/>
        </w:rPr>
        <w:t>JOUENNE</w:t>
      </w:r>
      <w:proofErr w:type="spellEnd"/>
      <w:r w:rsidRPr="003825F9">
        <w:rPr>
          <w:rFonts w:ascii="Microsoft Sans Serif" w:eastAsiaTheme="minorEastAsia" w:hAnsiTheme="minorHAnsi" w:cstheme="minorBidi"/>
          <w:szCs w:val="24"/>
        </w:rPr>
        <w:t xml:space="preserve">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proofErr w:type="spellStart"/>
      <w:r w:rsidRPr="003825F9">
        <w:rPr>
          <w:rFonts w:ascii="Microsoft Sans Serif" w:eastAsiaTheme="minorEastAsia" w:hAnsiTheme="minorHAnsi" w:cstheme="minorBidi"/>
          <w:szCs w:val="24"/>
        </w:rPr>
        <w:t>UGI</w:t>
      </w:r>
      <w:proofErr w:type="spellEnd"/>
      <w:r w:rsidRPr="003825F9">
        <w:rPr>
          <w:rFonts w:ascii="Microsoft Sans Serif" w:eastAsiaTheme="minorEastAsia" w:hAnsiTheme="minorHAnsi" w:cstheme="minorBidi"/>
          <w:szCs w:val="24"/>
        </w:rPr>
        <w:t xml:space="preserve"> UTILITIES INC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 xml:space="preserve">460 NORTH </w:t>
      </w:r>
      <w:proofErr w:type="spellStart"/>
      <w:r w:rsidRPr="003825F9">
        <w:rPr>
          <w:rFonts w:ascii="Microsoft Sans Serif" w:eastAsiaTheme="minorEastAsia" w:hAnsiTheme="minorHAnsi" w:cstheme="minorBidi"/>
          <w:szCs w:val="24"/>
        </w:rPr>
        <w:t>GULPH</w:t>
      </w:r>
      <w:proofErr w:type="spellEnd"/>
      <w:r w:rsidRPr="003825F9">
        <w:rPr>
          <w:rFonts w:ascii="Microsoft Sans Serif" w:eastAsiaTheme="minorEastAsia" w:hAnsiTheme="minorHAnsi" w:cstheme="minorBidi"/>
          <w:szCs w:val="24"/>
        </w:rPr>
        <w:t xml:space="preserve"> ROAD</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KING OF PRUSSIA PA 19406-2807</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b/>
          <w:szCs w:val="24"/>
        </w:rPr>
      </w:pPr>
      <w:r w:rsidRPr="003825F9">
        <w:rPr>
          <w:rFonts w:ascii="Microsoft Sans Serif" w:eastAsiaTheme="minorEastAsia" w:hAnsiTheme="minorHAnsi" w:cstheme="minorBidi"/>
          <w:b/>
          <w:szCs w:val="24"/>
        </w:rPr>
        <w:t>610.768.3628</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b/>
          <w:szCs w:val="24"/>
        </w:rPr>
      </w:pPr>
      <w:r w:rsidRPr="003825F9">
        <w:rPr>
          <w:rFonts w:ascii="Microsoft Sans Serif" w:eastAsiaTheme="minorEastAsia" w:hAnsiTheme="minorHAnsi" w:cstheme="minorBidi"/>
          <w:b/>
          <w:szCs w:val="24"/>
        </w:rPr>
        <w:t>610.992.3203</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i/>
          <w:szCs w:val="24"/>
        </w:rPr>
        <w:t>Accepts E-service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i/>
          <w:szCs w:val="24"/>
        </w:rPr>
        <w:t xml:space="preserve">Representing </w:t>
      </w:r>
      <w:proofErr w:type="spellStart"/>
      <w:r w:rsidRPr="003825F9">
        <w:rPr>
          <w:rFonts w:ascii="Microsoft Sans Serif" w:eastAsiaTheme="minorEastAsia" w:hAnsiTheme="minorHAnsi" w:cstheme="minorBidi"/>
          <w:i/>
          <w:szCs w:val="24"/>
        </w:rPr>
        <w:t>UGI</w:t>
      </w:r>
      <w:proofErr w:type="spellEnd"/>
      <w:r w:rsidRPr="003825F9">
        <w:rPr>
          <w:rFonts w:ascii="Microsoft Sans Serif" w:eastAsiaTheme="minorEastAsia" w:hAnsiTheme="minorHAnsi" w:cstheme="minorBidi"/>
          <w:i/>
          <w:szCs w:val="24"/>
        </w:rPr>
        <w:t xml:space="preserve"> Utilities, Inc. </w:t>
      </w:r>
      <w:r w:rsidRPr="003825F9">
        <w:rPr>
          <w:rFonts w:ascii="Microsoft Sans Serif" w:eastAsiaTheme="minorEastAsia" w:hAnsiTheme="minorHAnsi" w:cstheme="minorBidi"/>
          <w:i/>
          <w:szCs w:val="24"/>
        </w:rPr>
        <w:t>–</w:t>
      </w:r>
      <w:r w:rsidRPr="003825F9">
        <w:rPr>
          <w:rFonts w:ascii="Microsoft Sans Serif" w:eastAsiaTheme="minorEastAsia" w:hAnsiTheme="minorHAnsi" w:cstheme="minorBidi"/>
          <w:i/>
          <w:szCs w:val="24"/>
        </w:rPr>
        <w:t xml:space="preserve"> Gas Division</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DAVID B MACGREGOR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POST &amp; SHELL PC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FOUR PENN CENTER</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1600 JOHN F KENNEDY BOULEVARD</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PHILADELPHIA PA 19103-2808</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b/>
          <w:szCs w:val="24"/>
        </w:rPr>
      </w:pPr>
      <w:r w:rsidRPr="003825F9">
        <w:rPr>
          <w:rFonts w:ascii="Microsoft Sans Serif" w:eastAsiaTheme="minorEastAsia" w:hAnsiTheme="minorHAnsi" w:cstheme="minorBidi"/>
          <w:b/>
          <w:szCs w:val="24"/>
        </w:rPr>
        <w:t>215.587.1197</w:t>
      </w:r>
    </w:p>
    <w:p w:rsidR="003825F9" w:rsidRPr="003825F9" w:rsidRDefault="003825F9" w:rsidP="003825F9">
      <w:pPr>
        <w:tabs>
          <w:tab w:val="clear" w:pos="1440"/>
        </w:tabs>
        <w:spacing w:line="276" w:lineRule="auto"/>
        <w:contextualSpacing/>
        <w:rPr>
          <w:rFonts w:asciiTheme="minorHAnsi" w:eastAsiaTheme="minorEastAsia" w:hAnsiTheme="minorHAnsi" w:cstheme="minorBidi"/>
          <w:sz w:val="22"/>
          <w:szCs w:val="22"/>
        </w:rPr>
      </w:pPr>
      <w:r w:rsidRPr="003825F9">
        <w:rPr>
          <w:rFonts w:ascii="Microsoft Sans Serif" w:eastAsiaTheme="minorEastAsia" w:hAnsiTheme="minorHAnsi" w:cstheme="minorBidi"/>
          <w:i/>
          <w:szCs w:val="24"/>
        </w:rPr>
        <w:t xml:space="preserve">Representing </w:t>
      </w:r>
      <w:proofErr w:type="spellStart"/>
      <w:r w:rsidRPr="003825F9">
        <w:rPr>
          <w:rFonts w:ascii="Microsoft Sans Serif" w:eastAsiaTheme="minorEastAsia" w:hAnsiTheme="minorHAnsi" w:cstheme="minorBidi"/>
          <w:i/>
          <w:szCs w:val="24"/>
        </w:rPr>
        <w:t>UGI</w:t>
      </w:r>
      <w:proofErr w:type="spellEnd"/>
      <w:r w:rsidRPr="003825F9">
        <w:rPr>
          <w:rFonts w:ascii="Microsoft Sans Serif" w:eastAsiaTheme="minorEastAsia" w:hAnsiTheme="minorHAnsi" w:cstheme="minorBidi"/>
          <w:i/>
          <w:szCs w:val="24"/>
        </w:rPr>
        <w:t xml:space="preserve"> Utilities, Inc.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DEVIN T RYAN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CHRISTOPHER T WRIGHT ESQUIRE</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POST &amp; SHELL PC</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17 NORTH SECOND STREET</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12</w:t>
      </w:r>
      <w:r w:rsidRPr="003825F9">
        <w:rPr>
          <w:rFonts w:ascii="Microsoft Sans Serif" w:eastAsiaTheme="minorEastAsia" w:hAnsiTheme="minorHAnsi" w:cstheme="minorBidi"/>
          <w:szCs w:val="24"/>
          <w:vertAlign w:val="superscript"/>
        </w:rPr>
        <w:t>TH</w:t>
      </w:r>
      <w:r w:rsidRPr="003825F9">
        <w:rPr>
          <w:rFonts w:ascii="Microsoft Sans Serif" w:eastAsiaTheme="minorEastAsia" w:hAnsiTheme="minorHAnsi" w:cstheme="minorBidi"/>
          <w:szCs w:val="24"/>
        </w:rPr>
        <w:t xml:space="preserve"> FLOOR</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szCs w:val="24"/>
        </w:rPr>
      </w:pPr>
      <w:r w:rsidRPr="003825F9">
        <w:rPr>
          <w:rFonts w:ascii="Microsoft Sans Serif" w:eastAsiaTheme="minorEastAsia" w:hAnsiTheme="minorHAnsi" w:cstheme="minorBidi"/>
          <w:szCs w:val="24"/>
        </w:rPr>
        <w:t>HARRISBURG PA 17101-1601</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b/>
          <w:szCs w:val="24"/>
        </w:rPr>
      </w:pPr>
      <w:r w:rsidRPr="003825F9">
        <w:rPr>
          <w:rFonts w:ascii="Microsoft Sans Serif" w:eastAsiaTheme="minorEastAsia" w:hAnsiTheme="minorHAnsi" w:cstheme="minorBidi"/>
          <w:b/>
          <w:szCs w:val="24"/>
        </w:rPr>
        <w:t>717.731.1970</w:t>
      </w:r>
    </w:p>
    <w:p w:rsidR="003825F9" w:rsidRPr="003825F9" w:rsidRDefault="003825F9" w:rsidP="003825F9">
      <w:pPr>
        <w:tabs>
          <w:tab w:val="clear" w:pos="1440"/>
        </w:tabs>
        <w:spacing w:line="276" w:lineRule="auto"/>
        <w:contextualSpacing/>
        <w:rPr>
          <w:rFonts w:ascii="Microsoft Sans Serif" w:eastAsiaTheme="minorEastAsia" w:hAnsiTheme="minorHAnsi" w:cstheme="minorBidi"/>
          <w:i/>
          <w:szCs w:val="24"/>
        </w:rPr>
      </w:pPr>
      <w:r w:rsidRPr="003825F9">
        <w:rPr>
          <w:rFonts w:ascii="Microsoft Sans Serif" w:eastAsiaTheme="minorEastAsia" w:hAnsiTheme="minorHAnsi" w:cstheme="minorBidi"/>
          <w:i/>
          <w:szCs w:val="24"/>
        </w:rPr>
        <w:t>Accepts E-service</w:t>
      </w:r>
    </w:p>
    <w:p w:rsidR="003825F9" w:rsidRPr="003825F9" w:rsidRDefault="003825F9" w:rsidP="003825F9">
      <w:pPr>
        <w:tabs>
          <w:tab w:val="clear" w:pos="1440"/>
        </w:tabs>
        <w:spacing w:line="276" w:lineRule="auto"/>
        <w:contextualSpacing/>
        <w:rPr>
          <w:rFonts w:asciiTheme="minorHAnsi" w:eastAsiaTheme="minorEastAsia" w:hAnsiTheme="minorHAnsi" w:cstheme="minorBidi"/>
          <w:sz w:val="22"/>
          <w:szCs w:val="22"/>
        </w:rPr>
      </w:pPr>
      <w:r w:rsidRPr="003825F9">
        <w:rPr>
          <w:rFonts w:ascii="Microsoft Sans Serif" w:eastAsiaTheme="minorEastAsia" w:hAnsiTheme="minorHAnsi" w:cstheme="minorBidi"/>
          <w:i/>
          <w:szCs w:val="24"/>
        </w:rPr>
        <w:t xml:space="preserve">Representing </w:t>
      </w:r>
      <w:proofErr w:type="spellStart"/>
      <w:r w:rsidRPr="003825F9">
        <w:rPr>
          <w:rFonts w:ascii="Microsoft Sans Serif" w:eastAsiaTheme="minorEastAsia" w:hAnsiTheme="minorHAnsi" w:cstheme="minorBidi"/>
          <w:i/>
          <w:szCs w:val="24"/>
        </w:rPr>
        <w:t>UGI</w:t>
      </w:r>
      <w:proofErr w:type="spellEnd"/>
      <w:r w:rsidRPr="003825F9">
        <w:rPr>
          <w:rFonts w:ascii="Microsoft Sans Serif" w:eastAsiaTheme="minorEastAsia" w:hAnsiTheme="minorHAnsi" w:cstheme="minorBidi"/>
          <w:i/>
          <w:szCs w:val="24"/>
        </w:rPr>
        <w:t xml:space="preserve"> Utilities, Inc.</w:t>
      </w:r>
    </w:p>
    <w:p w:rsidR="003825F9" w:rsidRPr="003825F9" w:rsidRDefault="003825F9" w:rsidP="003825F9">
      <w:pPr>
        <w:tabs>
          <w:tab w:val="clear" w:pos="1440"/>
        </w:tabs>
        <w:spacing w:line="240" w:lineRule="auto"/>
        <w:rPr>
          <w:rFonts w:ascii="Microsoft Sans Serif" w:eastAsiaTheme="minorEastAsia" w:hAnsi="Microsoft Sans Serif" w:cs="Microsoft Sans Serif"/>
          <w:szCs w:val="24"/>
        </w:rPr>
      </w:pPr>
      <w:r w:rsidRPr="003825F9">
        <w:rPr>
          <w:rFonts w:ascii="Microsoft Sans Serif" w:eastAsiaTheme="minorEastAsia" w:hAnsi="Microsoft Sans Serif" w:cs="Microsoft Sans Serif"/>
          <w:szCs w:val="24"/>
        </w:rPr>
        <w:t>MICHAEL L SWINDLER ESQUIRE</w:t>
      </w:r>
    </w:p>
    <w:p w:rsidR="003825F9" w:rsidRPr="003825F9" w:rsidRDefault="003825F9" w:rsidP="003825F9">
      <w:pPr>
        <w:tabs>
          <w:tab w:val="clear" w:pos="1440"/>
        </w:tabs>
        <w:spacing w:line="240" w:lineRule="auto"/>
        <w:rPr>
          <w:rFonts w:ascii="Microsoft Sans Serif" w:eastAsiaTheme="minorEastAsia" w:hAnsi="Microsoft Sans Serif" w:cs="Microsoft Sans Serif"/>
          <w:szCs w:val="24"/>
        </w:rPr>
      </w:pPr>
      <w:r w:rsidRPr="003825F9">
        <w:rPr>
          <w:rFonts w:ascii="Microsoft Sans Serif" w:eastAsiaTheme="minorEastAsia" w:hAnsi="Microsoft Sans Serif" w:cs="Microsoft Sans Serif"/>
          <w:szCs w:val="24"/>
        </w:rPr>
        <w:t xml:space="preserve">PENNSYLVANIA PUBLIC UTILITY COMMISSION </w:t>
      </w:r>
    </w:p>
    <w:p w:rsidR="003825F9" w:rsidRPr="003825F9" w:rsidRDefault="003825F9" w:rsidP="003825F9">
      <w:pPr>
        <w:tabs>
          <w:tab w:val="clear" w:pos="1440"/>
        </w:tabs>
        <w:spacing w:line="240" w:lineRule="auto"/>
        <w:rPr>
          <w:rFonts w:ascii="Microsoft Sans Serif" w:eastAsiaTheme="minorEastAsia" w:hAnsi="Microsoft Sans Serif" w:cs="Microsoft Sans Serif"/>
          <w:szCs w:val="24"/>
        </w:rPr>
      </w:pPr>
      <w:r w:rsidRPr="003825F9">
        <w:rPr>
          <w:rFonts w:ascii="Microsoft Sans Serif" w:eastAsiaTheme="minorEastAsia" w:hAnsi="Microsoft Sans Serif" w:cs="Microsoft Sans Serif"/>
          <w:szCs w:val="24"/>
        </w:rPr>
        <w:t>BUREAU OF INVESTIGATION AND ENFORCEMENT</w:t>
      </w:r>
    </w:p>
    <w:p w:rsidR="003825F9" w:rsidRPr="003825F9" w:rsidRDefault="003825F9" w:rsidP="003825F9">
      <w:pPr>
        <w:tabs>
          <w:tab w:val="clear" w:pos="1440"/>
        </w:tabs>
        <w:spacing w:line="240" w:lineRule="auto"/>
        <w:rPr>
          <w:rFonts w:ascii="Microsoft Sans Serif" w:eastAsiaTheme="minorEastAsia" w:hAnsi="Microsoft Sans Serif" w:cs="Microsoft Sans Serif"/>
          <w:szCs w:val="24"/>
        </w:rPr>
      </w:pPr>
      <w:r w:rsidRPr="003825F9">
        <w:rPr>
          <w:rFonts w:ascii="Microsoft Sans Serif" w:eastAsiaTheme="minorEastAsia" w:hAnsi="Microsoft Sans Serif" w:cs="Microsoft Sans Serif"/>
          <w:szCs w:val="24"/>
        </w:rPr>
        <w:t>PO BOX 3265</w:t>
      </w:r>
    </w:p>
    <w:p w:rsidR="003825F9" w:rsidRPr="003825F9" w:rsidRDefault="003825F9" w:rsidP="003825F9">
      <w:pPr>
        <w:tabs>
          <w:tab w:val="clear" w:pos="1440"/>
        </w:tabs>
        <w:spacing w:line="240" w:lineRule="auto"/>
        <w:rPr>
          <w:rFonts w:ascii="Microsoft Sans Serif" w:eastAsiaTheme="minorEastAsia" w:hAnsi="Microsoft Sans Serif" w:cs="Microsoft Sans Serif"/>
          <w:szCs w:val="24"/>
        </w:rPr>
      </w:pPr>
      <w:r w:rsidRPr="003825F9">
        <w:rPr>
          <w:rFonts w:ascii="Microsoft Sans Serif" w:eastAsiaTheme="minorEastAsia" w:hAnsi="Microsoft Sans Serif" w:cs="Microsoft Sans Serif"/>
          <w:szCs w:val="24"/>
        </w:rPr>
        <w:t>HARRISBURG PA 17105-3265</w:t>
      </w:r>
    </w:p>
    <w:p w:rsidR="003825F9" w:rsidRPr="003825F9" w:rsidRDefault="003825F9" w:rsidP="003825F9">
      <w:pPr>
        <w:tabs>
          <w:tab w:val="clear" w:pos="1440"/>
        </w:tabs>
        <w:spacing w:line="240" w:lineRule="auto"/>
        <w:rPr>
          <w:rFonts w:ascii="Microsoft Sans Serif" w:eastAsiaTheme="minorEastAsia" w:hAnsi="Microsoft Sans Serif" w:cs="Microsoft Sans Serif"/>
          <w:b/>
          <w:szCs w:val="24"/>
        </w:rPr>
      </w:pPr>
      <w:r w:rsidRPr="003825F9">
        <w:rPr>
          <w:rFonts w:ascii="Microsoft Sans Serif" w:eastAsiaTheme="minorEastAsia" w:hAnsi="Microsoft Sans Serif" w:cs="Microsoft Sans Serif"/>
          <w:b/>
          <w:szCs w:val="24"/>
        </w:rPr>
        <w:t>717-787-5000</w:t>
      </w:r>
    </w:p>
    <w:p w:rsidR="003825F9" w:rsidRPr="003825F9" w:rsidRDefault="003825F9" w:rsidP="003825F9">
      <w:pPr>
        <w:tabs>
          <w:tab w:val="clear" w:pos="1440"/>
        </w:tabs>
        <w:spacing w:after="200" w:line="276" w:lineRule="auto"/>
        <w:rPr>
          <w:rFonts w:ascii="Microsoft Sans Serif" w:eastAsiaTheme="minorEastAsia" w:hAnsi="Microsoft Sans Serif" w:cs="Microsoft Sans Serif"/>
          <w:i/>
          <w:szCs w:val="24"/>
        </w:rPr>
      </w:pPr>
      <w:r w:rsidRPr="003825F9">
        <w:rPr>
          <w:rFonts w:ascii="Microsoft Sans Serif" w:eastAsiaTheme="minorEastAsia" w:hAnsi="Microsoft Sans Serif" w:cs="Microsoft Sans Serif"/>
          <w:i/>
          <w:szCs w:val="24"/>
        </w:rPr>
        <w:t>Accepts E-service</w:t>
      </w:r>
    </w:p>
    <w:p w:rsidR="0058464D" w:rsidRPr="0058464D" w:rsidRDefault="0058464D" w:rsidP="0058464D">
      <w:pPr>
        <w:tabs>
          <w:tab w:val="clear" w:pos="1440"/>
        </w:tabs>
        <w:spacing w:after="200" w:line="276" w:lineRule="auto"/>
        <w:rPr>
          <w:rFonts w:ascii="Microsoft Sans Serif" w:eastAsiaTheme="minorEastAsia" w:hAnsi="Microsoft Sans Serif" w:cs="Microsoft Sans Serif"/>
          <w:szCs w:val="24"/>
        </w:rPr>
      </w:pPr>
    </w:p>
    <w:p w:rsidR="00944FB3" w:rsidRDefault="00944FB3"/>
    <w:sectPr w:rsidR="00944FB3" w:rsidSect="0022482F">
      <w:footerReference w:type="default" r:id="rId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41A" w:rsidRDefault="0070341A" w:rsidP="004C2FB8">
      <w:pPr>
        <w:spacing w:line="240" w:lineRule="auto"/>
      </w:pPr>
      <w:r>
        <w:separator/>
      </w:r>
    </w:p>
  </w:endnote>
  <w:endnote w:type="continuationSeparator" w:id="0">
    <w:p w:rsidR="0070341A" w:rsidRDefault="0070341A" w:rsidP="004C2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840224"/>
      <w:docPartObj>
        <w:docPartGallery w:val="Page Numbers (Bottom of Page)"/>
        <w:docPartUnique/>
      </w:docPartObj>
    </w:sdtPr>
    <w:sdtEndPr>
      <w:rPr>
        <w:noProof/>
      </w:rPr>
    </w:sdtEndPr>
    <w:sdtContent>
      <w:p w:rsidR="00170A8C" w:rsidRDefault="00170A8C">
        <w:pPr>
          <w:pStyle w:val="Footer"/>
          <w:jc w:val="center"/>
        </w:pPr>
        <w:r w:rsidRPr="00F57789">
          <w:rPr>
            <w:sz w:val="20"/>
          </w:rPr>
          <w:fldChar w:fldCharType="begin"/>
        </w:r>
        <w:r w:rsidRPr="00F57789">
          <w:rPr>
            <w:sz w:val="20"/>
          </w:rPr>
          <w:instrText xml:space="preserve"> PAGE   \* MERGEFORMAT </w:instrText>
        </w:r>
        <w:r w:rsidRPr="00F57789">
          <w:rPr>
            <w:sz w:val="20"/>
          </w:rPr>
          <w:fldChar w:fldCharType="separate"/>
        </w:r>
        <w:r w:rsidR="0074425C">
          <w:rPr>
            <w:noProof/>
            <w:sz w:val="20"/>
          </w:rPr>
          <w:t>5</w:t>
        </w:r>
        <w:r w:rsidRPr="00F57789">
          <w:rPr>
            <w:noProof/>
            <w:sz w:val="20"/>
          </w:rPr>
          <w:fldChar w:fldCharType="end"/>
        </w:r>
      </w:p>
    </w:sdtContent>
  </w:sdt>
  <w:p w:rsidR="00170A8C" w:rsidRDefault="0017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D" w:rsidRDefault="0058464D">
    <w:pPr>
      <w:pStyle w:val="Footer"/>
      <w:jc w:val="center"/>
    </w:pPr>
  </w:p>
  <w:p w:rsidR="0058464D" w:rsidRDefault="0058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41A" w:rsidRDefault="0070341A" w:rsidP="004C2FB8">
      <w:pPr>
        <w:spacing w:line="240" w:lineRule="auto"/>
      </w:pPr>
      <w:r>
        <w:separator/>
      </w:r>
    </w:p>
  </w:footnote>
  <w:footnote w:type="continuationSeparator" w:id="0">
    <w:p w:rsidR="0070341A" w:rsidRDefault="0070341A" w:rsidP="004C2FB8">
      <w:pPr>
        <w:spacing w:line="240" w:lineRule="auto"/>
      </w:pPr>
      <w:r>
        <w:continuationSeparator/>
      </w:r>
    </w:p>
  </w:footnote>
  <w:footnote w:id="1">
    <w:p w:rsidR="00483569" w:rsidRDefault="00483569" w:rsidP="007B4C3C">
      <w:pPr>
        <w:pStyle w:val="FootnoteText"/>
        <w:spacing w:after="0"/>
      </w:pPr>
      <w:r>
        <w:rPr>
          <w:rStyle w:val="FootnoteReference"/>
        </w:rPr>
        <w:footnoteRef/>
      </w:r>
      <w:r>
        <w:t xml:space="preserve">  </w:t>
      </w:r>
      <w:r>
        <w:tab/>
        <w:t>The Complainants also filed a letter directed to the Secretary opposing UGI’s request to withdraw their exceptions.</w:t>
      </w:r>
    </w:p>
    <w:p w:rsidR="007B4C3C" w:rsidRDefault="007B4C3C" w:rsidP="007B4C3C">
      <w:pPr>
        <w:pStyle w:val="FootnoteText"/>
        <w:spacing w:after="0"/>
      </w:pPr>
    </w:p>
  </w:footnote>
  <w:footnote w:id="2">
    <w:p w:rsidR="00CF6E9A" w:rsidRDefault="00CF6E9A" w:rsidP="007B4C3C">
      <w:pPr>
        <w:pStyle w:val="FootnoteText"/>
        <w:spacing w:after="0"/>
      </w:pPr>
      <w:r>
        <w:rPr>
          <w:rStyle w:val="FootnoteReference"/>
        </w:rPr>
        <w:footnoteRef/>
      </w:r>
      <w:r>
        <w:t xml:space="preserve">  </w:t>
      </w:r>
      <w:r>
        <w:tab/>
      </w:r>
      <w:r w:rsidR="00457C78">
        <w:t xml:space="preserve">By letter dated November 14, 2017, </w:t>
      </w:r>
      <w:r>
        <w:t xml:space="preserve">BIE </w:t>
      </w:r>
      <w:r w:rsidR="00457C78">
        <w:t>stated</w:t>
      </w:r>
      <w:r>
        <w:t xml:space="preserve"> that it would not be filing a response to </w:t>
      </w:r>
      <w:proofErr w:type="spellStart"/>
      <w:r>
        <w:t>UGI’s</w:t>
      </w:r>
      <w:proofErr w:type="spellEnd"/>
      <w:r>
        <w:t xml:space="preserve"> motion.</w:t>
      </w:r>
    </w:p>
    <w:p w:rsidR="00A82E4B" w:rsidRDefault="00A82E4B" w:rsidP="007B4C3C">
      <w:pPr>
        <w:pStyle w:val="FootnoteText"/>
        <w:spacing w:after="0"/>
      </w:pPr>
    </w:p>
  </w:footnote>
  <w:footnote w:id="3">
    <w:p w:rsidR="00A82E4B" w:rsidRDefault="00A82E4B">
      <w:pPr>
        <w:pStyle w:val="FootnoteText"/>
      </w:pPr>
      <w:r>
        <w:rPr>
          <w:rStyle w:val="FootnoteReference"/>
        </w:rPr>
        <w:footnoteRef/>
      </w:r>
      <w:r>
        <w:t xml:space="preserve"> </w:t>
      </w:r>
      <w:r>
        <w:tab/>
        <w:t xml:space="preserve">52 </w:t>
      </w:r>
      <w:proofErr w:type="gramStart"/>
      <w:r>
        <w:t>Pa.Code</w:t>
      </w:r>
      <w:proofErr w:type="gramEnd"/>
      <w:r>
        <w:t xml:space="preserve"> § 5.539(b).</w:t>
      </w:r>
    </w:p>
  </w:footnote>
  <w:footnote w:id="4">
    <w:p w:rsidR="008C00D1" w:rsidRDefault="008C00D1" w:rsidP="007B4C3C">
      <w:pPr>
        <w:pStyle w:val="FootnoteText"/>
        <w:spacing w:after="0"/>
      </w:pPr>
      <w:r>
        <w:rPr>
          <w:rStyle w:val="FootnoteReference"/>
        </w:rPr>
        <w:footnoteRef/>
      </w:r>
      <w:r>
        <w:t xml:space="preserve">  </w:t>
      </w:r>
      <w:r>
        <w:tab/>
      </w:r>
      <w:r w:rsidR="008632DE">
        <w:t xml:space="preserve">These spreadsheets have been referred to as Stipulated Spreadsheets.  </w:t>
      </w:r>
      <w:r w:rsidRPr="003825F9">
        <w:rPr>
          <w:i/>
        </w:rPr>
        <w:t>See</w:t>
      </w:r>
      <w:r>
        <w:t xml:space="preserve"> the September 7, 2017 Initial Decision at pp.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5C"/>
    <w:rsid w:val="00004C37"/>
    <w:rsid w:val="00066D87"/>
    <w:rsid w:val="00085BA3"/>
    <w:rsid w:val="000C525C"/>
    <w:rsid w:val="000E3EDE"/>
    <w:rsid w:val="000E56FD"/>
    <w:rsid w:val="00102B42"/>
    <w:rsid w:val="00107E82"/>
    <w:rsid w:val="00170A8C"/>
    <w:rsid w:val="001A21B6"/>
    <w:rsid w:val="001B1CBA"/>
    <w:rsid w:val="001D2AF7"/>
    <w:rsid w:val="00207743"/>
    <w:rsid w:val="00213167"/>
    <w:rsid w:val="002512F9"/>
    <w:rsid w:val="002865DA"/>
    <w:rsid w:val="002A4E5C"/>
    <w:rsid w:val="002B16BB"/>
    <w:rsid w:val="002C63A6"/>
    <w:rsid w:val="002E10F3"/>
    <w:rsid w:val="003145FA"/>
    <w:rsid w:val="00326EA0"/>
    <w:rsid w:val="00367A41"/>
    <w:rsid w:val="003825F9"/>
    <w:rsid w:val="00393C92"/>
    <w:rsid w:val="003A3E09"/>
    <w:rsid w:val="003A3F86"/>
    <w:rsid w:val="003B763E"/>
    <w:rsid w:val="003F62BB"/>
    <w:rsid w:val="00401FBA"/>
    <w:rsid w:val="00457C78"/>
    <w:rsid w:val="00483569"/>
    <w:rsid w:val="004C2FB8"/>
    <w:rsid w:val="004D523C"/>
    <w:rsid w:val="004F01FC"/>
    <w:rsid w:val="004F72ED"/>
    <w:rsid w:val="005300F9"/>
    <w:rsid w:val="00566560"/>
    <w:rsid w:val="0058464D"/>
    <w:rsid w:val="005A1C17"/>
    <w:rsid w:val="005A2ABA"/>
    <w:rsid w:val="005D180A"/>
    <w:rsid w:val="005D564C"/>
    <w:rsid w:val="005E7B69"/>
    <w:rsid w:val="0061775F"/>
    <w:rsid w:val="00696C0D"/>
    <w:rsid w:val="006E6980"/>
    <w:rsid w:val="006F0329"/>
    <w:rsid w:val="00700807"/>
    <w:rsid w:val="0070341A"/>
    <w:rsid w:val="00712E58"/>
    <w:rsid w:val="00735B3D"/>
    <w:rsid w:val="007407AC"/>
    <w:rsid w:val="0074425C"/>
    <w:rsid w:val="00772D26"/>
    <w:rsid w:val="00792796"/>
    <w:rsid w:val="00796B64"/>
    <w:rsid w:val="007A2C0E"/>
    <w:rsid w:val="007B284E"/>
    <w:rsid w:val="007B4C3C"/>
    <w:rsid w:val="007C636C"/>
    <w:rsid w:val="007E6779"/>
    <w:rsid w:val="00820B4C"/>
    <w:rsid w:val="0083239D"/>
    <w:rsid w:val="0085048A"/>
    <w:rsid w:val="008529D2"/>
    <w:rsid w:val="008632DE"/>
    <w:rsid w:val="008C00D1"/>
    <w:rsid w:val="008C2275"/>
    <w:rsid w:val="00905430"/>
    <w:rsid w:val="00917DCA"/>
    <w:rsid w:val="00944FB3"/>
    <w:rsid w:val="009944B2"/>
    <w:rsid w:val="00A47096"/>
    <w:rsid w:val="00A82E4B"/>
    <w:rsid w:val="00AA2EC5"/>
    <w:rsid w:val="00AB4C73"/>
    <w:rsid w:val="00AC7AF4"/>
    <w:rsid w:val="00AE6F47"/>
    <w:rsid w:val="00AF0731"/>
    <w:rsid w:val="00B116B9"/>
    <w:rsid w:val="00B20914"/>
    <w:rsid w:val="00B91E47"/>
    <w:rsid w:val="00BC6B21"/>
    <w:rsid w:val="00C87E57"/>
    <w:rsid w:val="00CF6143"/>
    <w:rsid w:val="00CF6E9A"/>
    <w:rsid w:val="00DD5C37"/>
    <w:rsid w:val="00E12DD8"/>
    <w:rsid w:val="00E4239A"/>
    <w:rsid w:val="00EC1CBA"/>
    <w:rsid w:val="00EE7801"/>
    <w:rsid w:val="00F11A19"/>
    <w:rsid w:val="00F16554"/>
    <w:rsid w:val="00F544E1"/>
    <w:rsid w:val="00F57789"/>
    <w:rsid w:val="00F92F3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D92D1D"/>
  <w15:chartTrackingRefBased/>
  <w15:docId w15:val="{7379BFB8-0151-44F9-957B-F132527E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character" w:styleId="FootnoteReference">
    <w:name w:val="footnote reference"/>
    <w:basedOn w:val="DefaultParagraphFont"/>
    <w:uiPriority w:val="99"/>
    <w:semiHidden/>
    <w:unhideWhenUsed/>
    <w:rsid w:val="004C2FB8"/>
    <w:rPr>
      <w:vertAlign w:val="superscript"/>
    </w:rPr>
  </w:style>
  <w:style w:type="paragraph" w:styleId="BalloonText">
    <w:name w:val="Balloon Text"/>
    <w:basedOn w:val="Normal"/>
    <w:link w:val="BalloonTextChar"/>
    <w:uiPriority w:val="99"/>
    <w:semiHidden/>
    <w:unhideWhenUsed/>
    <w:rsid w:val="00170A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8C"/>
    <w:rPr>
      <w:rFonts w:ascii="Segoe UI" w:hAnsi="Segoe UI" w:cs="Segoe UI"/>
      <w:sz w:val="18"/>
      <w:szCs w:val="18"/>
    </w:rPr>
  </w:style>
  <w:style w:type="paragraph" w:styleId="Header">
    <w:name w:val="header"/>
    <w:basedOn w:val="Normal"/>
    <w:link w:val="HeaderChar"/>
    <w:uiPriority w:val="99"/>
    <w:unhideWhenUsed/>
    <w:rsid w:val="00170A8C"/>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170A8C"/>
  </w:style>
  <w:style w:type="paragraph" w:styleId="Footer">
    <w:name w:val="footer"/>
    <w:basedOn w:val="Normal"/>
    <w:link w:val="FooterChar"/>
    <w:uiPriority w:val="99"/>
    <w:unhideWhenUsed/>
    <w:rsid w:val="00170A8C"/>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17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B6E9-567F-4226-B0AA-9F1E39A8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9</cp:revision>
  <cp:lastPrinted>2017-11-16T16:02:00Z</cp:lastPrinted>
  <dcterms:created xsi:type="dcterms:W3CDTF">2017-11-15T20:42:00Z</dcterms:created>
  <dcterms:modified xsi:type="dcterms:W3CDTF">2017-11-16T16:04:00Z</dcterms:modified>
</cp:coreProperties>
</file>