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69" w:rsidRPr="00B43CD6" w:rsidRDefault="00EE6569" w:rsidP="00084B7B">
      <w:pPr>
        <w:tabs>
          <w:tab w:val="left" w:pos="5400"/>
          <w:tab w:val="right" w:pos="8640"/>
        </w:tabs>
        <w:contextualSpacing/>
        <w:jc w:val="center"/>
        <w:rPr>
          <w:b/>
          <w:sz w:val="24"/>
          <w:szCs w:val="24"/>
        </w:rPr>
      </w:pPr>
      <w:r w:rsidRPr="00B43CD6">
        <w:rPr>
          <w:b/>
          <w:caps/>
          <w:sz w:val="24"/>
          <w:szCs w:val="24"/>
        </w:rPr>
        <w:t>Before the</w:t>
      </w:r>
    </w:p>
    <w:p w:rsidR="00EE6569" w:rsidRDefault="00EE6569" w:rsidP="00EE6569">
      <w:pPr>
        <w:jc w:val="center"/>
        <w:rPr>
          <w:b/>
          <w:sz w:val="24"/>
          <w:szCs w:val="24"/>
        </w:rPr>
      </w:pPr>
      <w:r w:rsidRPr="00B43CD6">
        <w:rPr>
          <w:b/>
          <w:sz w:val="24"/>
          <w:szCs w:val="24"/>
        </w:rPr>
        <w:t>PENNSYLVANIA PUBLIC UTILITY COMMISSION</w:t>
      </w:r>
    </w:p>
    <w:p w:rsidR="00823049" w:rsidRPr="00B43CD6" w:rsidRDefault="00823049" w:rsidP="00EE6569">
      <w:pPr>
        <w:jc w:val="center"/>
        <w:rPr>
          <w:b/>
          <w:sz w:val="24"/>
          <w:szCs w:val="24"/>
        </w:rPr>
      </w:pPr>
    </w:p>
    <w:p w:rsidR="00EE6569" w:rsidRPr="00B43CD6" w:rsidRDefault="00EE6569" w:rsidP="00EE6569">
      <w:pPr>
        <w:jc w:val="center"/>
        <w:rPr>
          <w:b/>
          <w:sz w:val="24"/>
          <w:szCs w:val="24"/>
          <w:u w:val="single"/>
        </w:rPr>
      </w:pPr>
    </w:p>
    <w:p w:rsidR="00EE6569" w:rsidRPr="00B43CD6" w:rsidRDefault="00EE6569" w:rsidP="00EE6569">
      <w:pPr>
        <w:jc w:val="center"/>
        <w:rPr>
          <w:b/>
          <w:sz w:val="24"/>
          <w:szCs w:val="24"/>
          <w:u w:val="single"/>
        </w:rPr>
      </w:pPr>
    </w:p>
    <w:p w:rsidR="00EE6569" w:rsidRPr="00B43CD6" w:rsidRDefault="00EE6569" w:rsidP="00EE6569">
      <w:pPr>
        <w:jc w:val="both"/>
        <w:rPr>
          <w:sz w:val="24"/>
          <w:szCs w:val="24"/>
        </w:rPr>
      </w:pPr>
      <w:r w:rsidRPr="00B43CD6">
        <w:rPr>
          <w:sz w:val="24"/>
          <w:szCs w:val="24"/>
        </w:rPr>
        <w:t xml:space="preserve">Michelle </w:t>
      </w:r>
      <w:proofErr w:type="spellStart"/>
      <w:r w:rsidRPr="00B43CD6">
        <w:rPr>
          <w:sz w:val="24"/>
          <w:szCs w:val="24"/>
        </w:rPr>
        <w:t>Turnwald</w:t>
      </w:r>
      <w:proofErr w:type="spellEnd"/>
      <w:r w:rsidRPr="00B43CD6">
        <w:rPr>
          <w:sz w:val="24"/>
          <w:szCs w:val="24"/>
        </w:rPr>
        <w:tab/>
      </w:r>
      <w:r w:rsidRPr="00B43CD6">
        <w:rPr>
          <w:sz w:val="24"/>
          <w:szCs w:val="24"/>
        </w:rPr>
        <w:tab/>
      </w:r>
      <w:r w:rsidRPr="00B43CD6">
        <w:rPr>
          <w:sz w:val="24"/>
          <w:szCs w:val="24"/>
        </w:rPr>
        <w:tab/>
      </w:r>
      <w:r w:rsidRPr="00B43CD6">
        <w:rPr>
          <w:sz w:val="24"/>
          <w:szCs w:val="24"/>
        </w:rPr>
        <w:tab/>
      </w:r>
      <w:r w:rsidR="00084B7B" w:rsidRPr="00B43CD6">
        <w:rPr>
          <w:sz w:val="24"/>
          <w:szCs w:val="24"/>
        </w:rPr>
        <w:tab/>
      </w:r>
      <w:r w:rsidRPr="00B43CD6">
        <w:rPr>
          <w:sz w:val="24"/>
          <w:szCs w:val="24"/>
        </w:rPr>
        <w:t>:</w:t>
      </w:r>
    </w:p>
    <w:p w:rsidR="00EE6569" w:rsidRPr="00B43CD6" w:rsidRDefault="00EE6569" w:rsidP="00EE6569">
      <w:pPr>
        <w:jc w:val="both"/>
        <w:rPr>
          <w:sz w:val="24"/>
          <w:szCs w:val="24"/>
        </w:rPr>
      </w:pP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00084B7B" w:rsidRPr="00B43CD6">
        <w:rPr>
          <w:sz w:val="24"/>
          <w:szCs w:val="24"/>
        </w:rPr>
        <w:tab/>
      </w:r>
      <w:r w:rsidRPr="00B43CD6">
        <w:rPr>
          <w:sz w:val="24"/>
          <w:szCs w:val="24"/>
        </w:rPr>
        <w:t>:</w:t>
      </w:r>
    </w:p>
    <w:p w:rsidR="00EE6569" w:rsidRPr="00B43CD6" w:rsidRDefault="00084B7B" w:rsidP="00EE6569">
      <w:pPr>
        <w:jc w:val="both"/>
        <w:rPr>
          <w:sz w:val="24"/>
          <w:szCs w:val="24"/>
        </w:rPr>
      </w:pPr>
      <w:r w:rsidRPr="00B43CD6">
        <w:rPr>
          <w:sz w:val="24"/>
          <w:szCs w:val="24"/>
        </w:rPr>
        <w:tab/>
        <w:t>v.</w:t>
      </w:r>
      <w:r w:rsidR="00EE6569" w:rsidRPr="00B43CD6">
        <w:rPr>
          <w:sz w:val="24"/>
          <w:szCs w:val="24"/>
        </w:rPr>
        <w:tab/>
      </w:r>
      <w:r w:rsidR="00EE6569" w:rsidRPr="00B43CD6">
        <w:rPr>
          <w:sz w:val="24"/>
          <w:szCs w:val="24"/>
        </w:rPr>
        <w:tab/>
      </w:r>
      <w:r w:rsidR="00EE6569" w:rsidRPr="00B43CD6">
        <w:rPr>
          <w:sz w:val="24"/>
          <w:szCs w:val="24"/>
        </w:rPr>
        <w:tab/>
      </w:r>
      <w:r w:rsidRPr="00B43CD6">
        <w:rPr>
          <w:sz w:val="24"/>
          <w:szCs w:val="24"/>
        </w:rPr>
        <w:tab/>
      </w:r>
      <w:r w:rsidRPr="00B43CD6">
        <w:rPr>
          <w:sz w:val="24"/>
          <w:szCs w:val="24"/>
        </w:rPr>
        <w:tab/>
      </w:r>
      <w:r w:rsidR="00EE6569" w:rsidRPr="00B43CD6">
        <w:rPr>
          <w:sz w:val="24"/>
          <w:szCs w:val="24"/>
        </w:rPr>
        <w:tab/>
        <w:t>:</w:t>
      </w:r>
      <w:r w:rsidR="00EE6569" w:rsidRPr="00B43CD6">
        <w:rPr>
          <w:sz w:val="24"/>
          <w:szCs w:val="24"/>
        </w:rPr>
        <w:tab/>
      </w:r>
      <w:r w:rsidR="00B43CD6">
        <w:rPr>
          <w:sz w:val="24"/>
          <w:szCs w:val="24"/>
        </w:rPr>
        <w:tab/>
      </w:r>
      <w:r w:rsidR="00EE6569" w:rsidRPr="00B43CD6">
        <w:rPr>
          <w:sz w:val="24"/>
          <w:szCs w:val="24"/>
        </w:rPr>
        <w:t>C-2017-2622408</w:t>
      </w:r>
    </w:p>
    <w:p w:rsidR="00EE6569" w:rsidRPr="00B43CD6" w:rsidRDefault="00EE6569" w:rsidP="00EE6569">
      <w:pPr>
        <w:jc w:val="both"/>
        <w:rPr>
          <w:sz w:val="24"/>
          <w:szCs w:val="24"/>
        </w:rPr>
      </w:pP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00084B7B" w:rsidRPr="00B43CD6">
        <w:rPr>
          <w:sz w:val="24"/>
          <w:szCs w:val="24"/>
        </w:rPr>
        <w:tab/>
      </w:r>
      <w:r w:rsidRPr="00B43CD6">
        <w:rPr>
          <w:sz w:val="24"/>
          <w:szCs w:val="24"/>
        </w:rPr>
        <w:t>:</w:t>
      </w:r>
    </w:p>
    <w:p w:rsidR="00EE6569" w:rsidRPr="00B43CD6" w:rsidRDefault="00EE6569" w:rsidP="00EE6569">
      <w:pPr>
        <w:jc w:val="both"/>
        <w:rPr>
          <w:sz w:val="24"/>
          <w:szCs w:val="24"/>
        </w:rPr>
      </w:pPr>
      <w:r w:rsidRPr="00B43CD6">
        <w:rPr>
          <w:sz w:val="24"/>
          <w:szCs w:val="24"/>
        </w:rPr>
        <w:t>Duquesne Light Company</w:t>
      </w:r>
      <w:r w:rsidRPr="00B43CD6">
        <w:rPr>
          <w:sz w:val="24"/>
          <w:szCs w:val="24"/>
        </w:rPr>
        <w:tab/>
      </w:r>
      <w:r w:rsidRPr="00B43CD6">
        <w:rPr>
          <w:sz w:val="24"/>
          <w:szCs w:val="24"/>
        </w:rPr>
        <w:tab/>
      </w:r>
      <w:r w:rsidRPr="00B43CD6">
        <w:rPr>
          <w:sz w:val="24"/>
          <w:szCs w:val="24"/>
        </w:rPr>
        <w:tab/>
      </w:r>
      <w:r w:rsidR="00084B7B" w:rsidRPr="00B43CD6">
        <w:rPr>
          <w:sz w:val="24"/>
          <w:szCs w:val="24"/>
        </w:rPr>
        <w:tab/>
      </w:r>
      <w:r w:rsidRPr="00B43CD6">
        <w:rPr>
          <w:sz w:val="24"/>
          <w:szCs w:val="24"/>
        </w:rPr>
        <w:t>:</w:t>
      </w:r>
    </w:p>
    <w:p w:rsidR="00EE6569" w:rsidRPr="00B43CD6" w:rsidRDefault="00EE6569" w:rsidP="00EE6569">
      <w:pPr>
        <w:jc w:val="both"/>
        <w:rPr>
          <w:b/>
          <w:sz w:val="24"/>
          <w:szCs w:val="24"/>
          <w:u w:val="single"/>
        </w:rPr>
      </w:pP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p>
    <w:p w:rsidR="00EE6569" w:rsidRPr="00B43CD6" w:rsidRDefault="00EE6569" w:rsidP="00EE6569">
      <w:pPr>
        <w:jc w:val="both"/>
        <w:rPr>
          <w:sz w:val="24"/>
          <w:szCs w:val="24"/>
        </w:rPr>
      </w:pP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p>
    <w:p w:rsidR="00EE6569" w:rsidRPr="00B43CD6" w:rsidRDefault="00EE6569" w:rsidP="00EE6569">
      <w:pPr>
        <w:tabs>
          <w:tab w:val="left" w:pos="5040"/>
        </w:tabs>
        <w:jc w:val="both"/>
        <w:rPr>
          <w:sz w:val="24"/>
          <w:szCs w:val="24"/>
        </w:rPr>
      </w:pPr>
    </w:p>
    <w:p w:rsidR="00084B7B" w:rsidRPr="00B43CD6" w:rsidRDefault="00EE6569" w:rsidP="00EE6569">
      <w:pPr>
        <w:jc w:val="center"/>
        <w:rPr>
          <w:b/>
          <w:sz w:val="24"/>
          <w:szCs w:val="24"/>
        </w:rPr>
      </w:pPr>
      <w:r w:rsidRPr="00B43CD6">
        <w:rPr>
          <w:b/>
          <w:sz w:val="24"/>
          <w:szCs w:val="24"/>
        </w:rPr>
        <w:t>INTERIM ORDER</w:t>
      </w:r>
    </w:p>
    <w:p w:rsidR="00EE6569" w:rsidRPr="00B43CD6" w:rsidRDefault="00EE6569" w:rsidP="00EE6569">
      <w:pPr>
        <w:jc w:val="center"/>
        <w:rPr>
          <w:b/>
          <w:sz w:val="24"/>
          <w:szCs w:val="24"/>
          <w:u w:val="single"/>
        </w:rPr>
      </w:pPr>
      <w:r w:rsidRPr="00B43CD6">
        <w:rPr>
          <w:b/>
          <w:sz w:val="24"/>
          <w:szCs w:val="24"/>
        </w:rPr>
        <w:t xml:space="preserve">DENYING THE MOTION FOR JUDGMENT ON THE PLEADINGS FILED BY </w:t>
      </w:r>
      <w:r w:rsidRPr="00B43CD6">
        <w:rPr>
          <w:b/>
          <w:sz w:val="24"/>
          <w:szCs w:val="24"/>
          <w:u w:val="single"/>
        </w:rPr>
        <w:t>DUQUESNE LIGHT COMPANY</w:t>
      </w:r>
    </w:p>
    <w:p w:rsidR="00EE6569" w:rsidRPr="00B43CD6" w:rsidRDefault="00EE6569" w:rsidP="00EE6569">
      <w:pPr>
        <w:jc w:val="center"/>
        <w:rPr>
          <w:b/>
          <w:sz w:val="24"/>
          <w:szCs w:val="24"/>
          <w:u w:val="single"/>
        </w:rPr>
      </w:pPr>
    </w:p>
    <w:p w:rsidR="00EE6569" w:rsidRPr="00B43CD6" w:rsidRDefault="00EE6569" w:rsidP="00EE6569">
      <w:pPr>
        <w:rPr>
          <w:sz w:val="24"/>
          <w:szCs w:val="24"/>
        </w:rPr>
      </w:pPr>
    </w:p>
    <w:p w:rsidR="00BC7D76" w:rsidRPr="00B43CD6" w:rsidRDefault="00EE6569" w:rsidP="00EE6569">
      <w:pPr>
        <w:spacing w:line="360" w:lineRule="auto"/>
        <w:rPr>
          <w:sz w:val="24"/>
          <w:szCs w:val="24"/>
        </w:rPr>
      </w:pPr>
      <w:r w:rsidRPr="00B43CD6">
        <w:rPr>
          <w:sz w:val="24"/>
          <w:szCs w:val="24"/>
        </w:rPr>
        <w:tab/>
      </w:r>
      <w:r w:rsidRPr="00B43CD6">
        <w:rPr>
          <w:sz w:val="24"/>
          <w:szCs w:val="24"/>
        </w:rPr>
        <w:tab/>
        <w:t xml:space="preserve">On August 23, 2017, Michelle </w:t>
      </w:r>
      <w:proofErr w:type="spellStart"/>
      <w:r w:rsidRPr="00B43CD6">
        <w:rPr>
          <w:sz w:val="24"/>
          <w:szCs w:val="24"/>
        </w:rPr>
        <w:t>Turnwald</w:t>
      </w:r>
      <w:proofErr w:type="spellEnd"/>
      <w:r w:rsidRPr="00B43CD6">
        <w:rPr>
          <w:sz w:val="24"/>
          <w:szCs w:val="24"/>
        </w:rPr>
        <w:t xml:space="preserve"> (Complainant) filed with the Pennsylvania Public Utility Commission (Commission), a formal complaint against Duquesne Light Company (Respondent) alleging that Respondent has an easement over the back yard of her property, upon which a transmission line exists.  Complain</w:t>
      </w:r>
      <w:r w:rsidR="00221806">
        <w:rPr>
          <w:sz w:val="24"/>
          <w:szCs w:val="24"/>
        </w:rPr>
        <w:t>an</w:t>
      </w:r>
      <w:r w:rsidRPr="00B43CD6">
        <w:rPr>
          <w:sz w:val="24"/>
          <w:szCs w:val="24"/>
        </w:rPr>
        <w:t xml:space="preserve">t averred that a contractor for Respondent advised her that it would be removing </w:t>
      </w:r>
      <w:proofErr w:type="gramStart"/>
      <w:r w:rsidRPr="00B43CD6">
        <w:rPr>
          <w:sz w:val="24"/>
          <w:szCs w:val="24"/>
        </w:rPr>
        <w:t>all of</w:t>
      </w:r>
      <w:proofErr w:type="gramEnd"/>
      <w:r w:rsidRPr="00B43CD6">
        <w:rPr>
          <w:sz w:val="24"/>
          <w:szCs w:val="24"/>
        </w:rPr>
        <w:t xml:space="preserve"> the trees and vegetation in her back and side yards, including approximately 25 trees.  Complainant averred that Respondent’s high tension power lines are much higher than the tree line </w:t>
      </w:r>
      <w:r w:rsidR="00BC7D76" w:rsidRPr="00B43CD6">
        <w:rPr>
          <w:sz w:val="24"/>
          <w:szCs w:val="24"/>
        </w:rPr>
        <w:t xml:space="preserve">and </w:t>
      </w:r>
      <w:r w:rsidRPr="00B43CD6">
        <w:rPr>
          <w:sz w:val="24"/>
          <w:szCs w:val="24"/>
        </w:rPr>
        <w:t>t</w:t>
      </w:r>
      <w:r w:rsidR="00BC7D76" w:rsidRPr="00B43CD6">
        <w:rPr>
          <w:sz w:val="24"/>
          <w:szCs w:val="24"/>
        </w:rPr>
        <w:t xml:space="preserve">hat the trees do not interfere with the lines.  Complainant avers that the trees are </w:t>
      </w:r>
      <w:proofErr w:type="spellStart"/>
      <w:r w:rsidR="00BC7D76" w:rsidRPr="00B43CD6">
        <w:rPr>
          <w:sz w:val="24"/>
          <w:szCs w:val="24"/>
        </w:rPr>
        <w:t>asthetically</w:t>
      </w:r>
      <w:proofErr w:type="spellEnd"/>
      <w:r w:rsidR="00BC7D76" w:rsidRPr="00B43CD6">
        <w:rPr>
          <w:sz w:val="24"/>
          <w:szCs w:val="24"/>
        </w:rPr>
        <w:t xml:space="preserve"> pleasing and that they provide shade, privacy and protection to her property from storm water runoff.  Complainant avers that Respondent has effectively trimmed the trees every 6-7 years in the past.  Complainant requests that Respondent be ordered to forego the removal of the trees and that it be responsible for future storm water runoff damage.</w:t>
      </w:r>
    </w:p>
    <w:p w:rsidR="00BC7D76" w:rsidRPr="00B43CD6" w:rsidRDefault="00BC7D76" w:rsidP="00EE6569">
      <w:pPr>
        <w:spacing w:line="360" w:lineRule="auto"/>
        <w:rPr>
          <w:sz w:val="24"/>
          <w:szCs w:val="24"/>
        </w:rPr>
      </w:pPr>
    </w:p>
    <w:p w:rsidR="00605AF6" w:rsidRDefault="00BC7D76" w:rsidP="00E33BE8">
      <w:pPr>
        <w:spacing w:line="360" w:lineRule="auto"/>
        <w:ind w:firstLine="1440"/>
        <w:rPr>
          <w:sz w:val="24"/>
          <w:szCs w:val="24"/>
        </w:rPr>
      </w:pPr>
      <w:r w:rsidRPr="00B43CD6">
        <w:rPr>
          <w:sz w:val="24"/>
          <w:szCs w:val="24"/>
        </w:rPr>
        <w:t xml:space="preserve">On September 21, 2017, Respondent filed an answer and new matter.  Respondent averred, </w:t>
      </w:r>
      <w:r w:rsidRPr="00221806">
        <w:rPr>
          <w:sz w:val="24"/>
          <w:szCs w:val="24"/>
          <w:u w:val="single"/>
        </w:rPr>
        <w:t>inter alia</w:t>
      </w:r>
      <w:r w:rsidRPr="00B43CD6">
        <w:rPr>
          <w:sz w:val="24"/>
          <w:szCs w:val="24"/>
        </w:rPr>
        <w:t>, that it proposes to remove various trees on Complainant’s property that pose reliability and safety hazards to a nearby transmission circuit and avers that the proposed vegetation management helps to ensure that Respondent satisfies its obligation to provide safe and reliable service.  Respondent further avers that its right</w:t>
      </w:r>
      <w:r w:rsidR="00221806">
        <w:rPr>
          <w:sz w:val="24"/>
          <w:szCs w:val="24"/>
        </w:rPr>
        <w:t>-</w:t>
      </w:r>
      <w:r w:rsidRPr="00B43CD6">
        <w:rPr>
          <w:sz w:val="24"/>
          <w:szCs w:val="24"/>
        </w:rPr>
        <w:t>of</w:t>
      </w:r>
      <w:r w:rsidR="00221806">
        <w:rPr>
          <w:sz w:val="24"/>
          <w:szCs w:val="24"/>
        </w:rPr>
        <w:t>-</w:t>
      </w:r>
      <w:r w:rsidRPr="00B43CD6">
        <w:rPr>
          <w:sz w:val="24"/>
          <w:szCs w:val="24"/>
        </w:rPr>
        <w:t xml:space="preserve">way agreement over </w:t>
      </w:r>
      <w:r w:rsidRPr="00B43CD6">
        <w:rPr>
          <w:sz w:val="24"/>
          <w:szCs w:val="24"/>
        </w:rPr>
        <w:lastRenderedPageBreak/>
        <w:t xml:space="preserve">Complainant’s property gives it the right to trim or remove </w:t>
      </w:r>
      <w:r w:rsidR="00605AF6" w:rsidRPr="00B43CD6">
        <w:rPr>
          <w:sz w:val="24"/>
          <w:szCs w:val="24"/>
        </w:rPr>
        <w:t>trees which may be necessary to protect the transmission system from possible harm.</w:t>
      </w:r>
    </w:p>
    <w:p w:rsidR="00B220CA" w:rsidRPr="00B43CD6" w:rsidRDefault="00B220CA" w:rsidP="00E33BE8">
      <w:pPr>
        <w:spacing w:line="360" w:lineRule="auto"/>
        <w:ind w:firstLine="1440"/>
        <w:rPr>
          <w:sz w:val="24"/>
          <w:szCs w:val="24"/>
        </w:rPr>
      </w:pPr>
    </w:p>
    <w:p w:rsidR="00605AF6" w:rsidRPr="00B43CD6" w:rsidRDefault="00605AF6" w:rsidP="00B220CA">
      <w:pPr>
        <w:spacing w:line="360" w:lineRule="auto"/>
        <w:ind w:firstLine="1440"/>
        <w:rPr>
          <w:sz w:val="24"/>
          <w:szCs w:val="24"/>
        </w:rPr>
      </w:pPr>
      <w:r w:rsidRPr="00B43CD6">
        <w:rPr>
          <w:sz w:val="24"/>
          <w:szCs w:val="24"/>
        </w:rPr>
        <w:t>On October 27, 2017, Respondent filed a motion for judgment on the pleadings.  Respondent avers that the Commission lacks jurisdiction to resolve the property rights</w:t>
      </w:r>
      <w:r w:rsidR="00221806">
        <w:rPr>
          <w:sz w:val="24"/>
          <w:szCs w:val="24"/>
        </w:rPr>
        <w:t>’</w:t>
      </w:r>
      <w:r w:rsidRPr="00B43CD6">
        <w:rPr>
          <w:sz w:val="24"/>
          <w:szCs w:val="24"/>
        </w:rPr>
        <w:t xml:space="preserve"> dispute that forms the basis of this action.  Respondent argues the complaint represents Complainant’s challenge to the scope and validity of </w:t>
      </w:r>
      <w:r w:rsidR="00221806">
        <w:rPr>
          <w:sz w:val="24"/>
          <w:szCs w:val="24"/>
        </w:rPr>
        <w:t>R</w:t>
      </w:r>
      <w:r w:rsidRPr="00B43CD6">
        <w:rPr>
          <w:sz w:val="24"/>
          <w:szCs w:val="24"/>
        </w:rPr>
        <w:t xml:space="preserve">espondent’s easement because Complainant seeks to prevent Respondent from removing trees that </w:t>
      </w:r>
      <w:r w:rsidR="00221806">
        <w:rPr>
          <w:sz w:val="24"/>
          <w:szCs w:val="24"/>
        </w:rPr>
        <w:t>R</w:t>
      </w:r>
      <w:r w:rsidRPr="00B43CD6">
        <w:rPr>
          <w:sz w:val="24"/>
          <w:szCs w:val="24"/>
        </w:rPr>
        <w:t>espondent has a right to remove under the applicable right</w:t>
      </w:r>
      <w:r w:rsidR="00221806">
        <w:rPr>
          <w:sz w:val="24"/>
          <w:szCs w:val="24"/>
        </w:rPr>
        <w:t>-</w:t>
      </w:r>
      <w:r w:rsidRPr="00B43CD6">
        <w:rPr>
          <w:sz w:val="24"/>
          <w:szCs w:val="24"/>
        </w:rPr>
        <w:t>of</w:t>
      </w:r>
      <w:r w:rsidR="00221806">
        <w:rPr>
          <w:sz w:val="24"/>
          <w:szCs w:val="24"/>
        </w:rPr>
        <w:t>-</w:t>
      </w:r>
      <w:r w:rsidRPr="00B43CD6">
        <w:rPr>
          <w:sz w:val="24"/>
          <w:szCs w:val="24"/>
        </w:rPr>
        <w:t>way agreement.</w:t>
      </w:r>
    </w:p>
    <w:p w:rsidR="00EE6569" w:rsidRPr="00B43CD6" w:rsidRDefault="00EE6569" w:rsidP="00EE6569">
      <w:pPr>
        <w:spacing w:line="360" w:lineRule="auto"/>
        <w:jc w:val="both"/>
        <w:rPr>
          <w:sz w:val="24"/>
          <w:szCs w:val="24"/>
        </w:rPr>
      </w:pPr>
      <w:r w:rsidRPr="00B43CD6">
        <w:rPr>
          <w:sz w:val="24"/>
          <w:szCs w:val="24"/>
        </w:rPr>
        <w:t xml:space="preserve"> </w:t>
      </w:r>
    </w:p>
    <w:p w:rsidR="00EE6569" w:rsidRPr="00B43CD6" w:rsidRDefault="00EE6569" w:rsidP="00EE6569">
      <w:pPr>
        <w:spacing w:line="360" w:lineRule="auto"/>
        <w:jc w:val="center"/>
        <w:rPr>
          <w:sz w:val="24"/>
          <w:szCs w:val="24"/>
          <w:u w:val="single"/>
        </w:rPr>
      </w:pPr>
      <w:r w:rsidRPr="00B43CD6">
        <w:rPr>
          <w:sz w:val="24"/>
          <w:szCs w:val="24"/>
          <w:u w:val="single"/>
        </w:rPr>
        <w:t>DISCUSSION</w:t>
      </w:r>
    </w:p>
    <w:p w:rsidR="00EE6569" w:rsidRPr="00B43CD6" w:rsidRDefault="00EE6569" w:rsidP="00EE6569">
      <w:pPr>
        <w:jc w:val="center"/>
        <w:rPr>
          <w:sz w:val="24"/>
          <w:szCs w:val="24"/>
          <w:u w:val="single"/>
        </w:rPr>
      </w:pPr>
    </w:p>
    <w:p w:rsidR="00EE6569" w:rsidRPr="00B43CD6" w:rsidRDefault="00EE6569" w:rsidP="00EE6569">
      <w:pPr>
        <w:spacing w:line="360" w:lineRule="auto"/>
        <w:rPr>
          <w:b/>
          <w:sz w:val="24"/>
          <w:szCs w:val="24"/>
          <w:u w:val="single"/>
        </w:rPr>
      </w:pPr>
      <w:r w:rsidRPr="00B43CD6">
        <w:rPr>
          <w:sz w:val="24"/>
          <w:szCs w:val="24"/>
          <w:u w:val="single"/>
        </w:rPr>
        <w:t xml:space="preserve">Motion </w:t>
      </w:r>
      <w:proofErr w:type="gramStart"/>
      <w:r w:rsidRPr="00B43CD6">
        <w:rPr>
          <w:sz w:val="24"/>
          <w:szCs w:val="24"/>
          <w:u w:val="single"/>
        </w:rPr>
        <w:t>For</w:t>
      </w:r>
      <w:proofErr w:type="gramEnd"/>
      <w:r w:rsidRPr="00B43CD6">
        <w:rPr>
          <w:sz w:val="24"/>
          <w:szCs w:val="24"/>
          <w:u w:val="single"/>
        </w:rPr>
        <w:t xml:space="preserve"> Judgment On The Pleadings</w:t>
      </w:r>
    </w:p>
    <w:p w:rsidR="00EE6569" w:rsidRPr="00B43CD6" w:rsidRDefault="00EE6569" w:rsidP="00EE6569">
      <w:pPr>
        <w:spacing w:after="200"/>
        <w:rPr>
          <w:b/>
          <w:sz w:val="24"/>
          <w:szCs w:val="24"/>
          <w:u w:val="single"/>
        </w:rPr>
      </w:pPr>
    </w:p>
    <w:p w:rsidR="00EE6569" w:rsidRPr="00B43CD6" w:rsidRDefault="00EE6569" w:rsidP="00EE6569">
      <w:pPr>
        <w:spacing w:line="360" w:lineRule="auto"/>
        <w:rPr>
          <w:sz w:val="24"/>
          <w:szCs w:val="24"/>
          <w:u w:val="single"/>
        </w:rPr>
      </w:pPr>
      <w:r w:rsidRPr="00B43CD6">
        <w:rPr>
          <w:sz w:val="24"/>
          <w:szCs w:val="24"/>
          <w:u w:val="single"/>
        </w:rPr>
        <w:t>Legal Standard</w:t>
      </w:r>
    </w:p>
    <w:p w:rsidR="00EE6569" w:rsidRPr="00B43CD6" w:rsidRDefault="00EE6569" w:rsidP="00EE6569">
      <w:pPr>
        <w:rPr>
          <w:sz w:val="24"/>
          <w:szCs w:val="24"/>
        </w:rPr>
      </w:pPr>
    </w:p>
    <w:p w:rsidR="00EE6569" w:rsidRPr="00B43CD6" w:rsidRDefault="00EE6569" w:rsidP="00EE6569">
      <w:pPr>
        <w:spacing w:line="360" w:lineRule="auto"/>
        <w:ind w:firstLine="1440"/>
        <w:rPr>
          <w:sz w:val="24"/>
          <w:szCs w:val="24"/>
        </w:rPr>
      </w:pPr>
      <w:r w:rsidRPr="00B43CD6">
        <w:rPr>
          <w:sz w:val="24"/>
          <w:szCs w:val="24"/>
        </w:rPr>
        <w:t>A motion for judgment on the pleadings may be granted if the applicable pleadings, depositions, answers to interrogatories and admissions, etc. demonstrate that there is no genuine issue of material fact in dispute and the moving party is entitled to judgment in its favor as a matter of law.</w:t>
      </w:r>
      <w:r w:rsidRPr="00B43CD6">
        <w:rPr>
          <w:rStyle w:val="FootnoteReference"/>
          <w:sz w:val="24"/>
          <w:szCs w:val="24"/>
        </w:rPr>
        <w:footnoteReference w:id="1"/>
      </w:r>
      <w:r w:rsidRPr="00B43CD6">
        <w:rPr>
          <w:sz w:val="24"/>
          <w:szCs w:val="24"/>
        </w:rPr>
        <w:t xml:space="preserve"> </w:t>
      </w:r>
    </w:p>
    <w:p w:rsidR="00EE6569" w:rsidRPr="00B43CD6" w:rsidRDefault="00EE6569" w:rsidP="00EE6569">
      <w:pPr>
        <w:spacing w:line="360" w:lineRule="auto"/>
        <w:ind w:firstLine="1440"/>
        <w:rPr>
          <w:sz w:val="24"/>
          <w:szCs w:val="24"/>
        </w:rPr>
      </w:pPr>
    </w:p>
    <w:p w:rsidR="00EE6569" w:rsidRPr="00B43CD6" w:rsidRDefault="00EE6569" w:rsidP="00EE6569">
      <w:pPr>
        <w:spacing w:line="360" w:lineRule="auto"/>
        <w:rPr>
          <w:sz w:val="24"/>
          <w:szCs w:val="24"/>
        </w:rPr>
      </w:pPr>
      <w:r w:rsidRPr="00B43CD6">
        <w:rPr>
          <w:sz w:val="24"/>
          <w:szCs w:val="24"/>
        </w:rPr>
        <w:tab/>
      </w:r>
      <w:r w:rsidRPr="00B43CD6">
        <w:rPr>
          <w:sz w:val="24"/>
          <w:szCs w:val="24"/>
        </w:rPr>
        <w:tab/>
        <w:t xml:space="preserve">Judgment on the pleadings should be granted only in a case where the moving party’s right to prevail is so clear that a trial would be a fruitless exercise.  </w:t>
      </w:r>
      <w:r w:rsidRPr="006C7BA2">
        <w:rPr>
          <w:sz w:val="24"/>
          <w:szCs w:val="24"/>
          <w:u w:val="single"/>
        </w:rPr>
        <w:t xml:space="preserve">Kenneth E. </w:t>
      </w:r>
      <w:proofErr w:type="spellStart"/>
      <w:r w:rsidRPr="006C7BA2">
        <w:rPr>
          <w:sz w:val="24"/>
          <w:szCs w:val="24"/>
          <w:u w:val="single"/>
        </w:rPr>
        <w:t>Nein</w:t>
      </w:r>
      <w:proofErr w:type="spellEnd"/>
      <w:r w:rsidRPr="006C7BA2">
        <w:rPr>
          <w:sz w:val="24"/>
          <w:szCs w:val="24"/>
          <w:u w:val="single"/>
        </w:rPr>
        <w:t xml:space="preserve"> v. UGI Utilities, Inc</w:t>
      </w:r>
      <w:r w:rsidRPr="00B43CD6">
        <w:rPr>
          <w:i/>
          <w:sz w:val="24"/>
          <w:szCs w:val="24"/>
        </w:rPr>
        <w:t xml:space="preserve">., </w:t>
      </w:r>
      <w:r w:rsidRPr="00B43CD6">
        <w:rPr>
          <w:sz w:val="24"/>
          <w:szCs w:val="24"/>
        </w:rPr>
        <w:t xml:space="preserve">Docket No. C-2012-2298099 (Final Order entered November 9, 2012) citing </w:t>
      </w:r>
      <w:r w:rsidRPr="006C7BA2">
        <w:rPr>
          <w:sz w:val="24"/>
          <w:szCs w:val="24"/>
          <w:u w:val="single"/>
        </w:rPr>
        <w:t>Williams v. Lewis</w:t>
      </w:r>
      <w:r w:rsidRPr="00B43CD6">
        <w:rPr>
          <w:sz w:val="24"/>
          <w:szCs w:val="24"/>
        </w:rPr>
        <w:t xml:space="preserve">, 446 A. 2d 682 (Pa. Super. 1983); </w:t>
      </w:r>
      <w:r w:rsidRPr="006C7BA2">
        <w:rPr>
          <w:sz w:val="24"/>
          <w:szCs w:val="24"/>
          <w:u w:val="single"/>
        </w:rPr>
        <w:t>Service Employees International Union, Local 69, AFL-CIO v. The Peoples Natural Gas Company, d//b/a Dominion Peoples</w:t>
      </w:r>
      <w:r w:rsidRPr="00B43CD6">
        <w:rPr>
          <w:sz w:val="24"/>
          <w:szCs w:val="24"/>
        </w:rPr>
        <w:t xml:space="preserve">, Docket No. C-20028539 (Order entered December 19, 2003).  Judgment on the pleadings should be entered only when the case is clear and free from doubt.  </w:t>
      </w:r>
      <w:r w:rsidRPr="006C7BA2">
        <w:rPr>
          <w:sz w:val="24"/>
          <w:szCs w:val="24"/>
          <w:u w:val="single"/>
        </w:rPr>
        <w:t>Id</w:t>
      </w:r>
      <w:r w:rsidRPr="006C7BA2">
        <w:rPr>
          <w:sz w:val="24"/>
          <w:szCs w:val="24"/>
        </w:rPr>
        <w:t>.</w:t>
      </w:r>
      <w:r w:rsidRPr="00B43CD6">
        <w:rPr>
          <w:sz w:val="24"/>
          <w:szCs w:val="24"/>
        </w:rPr>
        <w:t xml:space="preserve">  (citing </w:t>
      </w:r>
      <w:r w:rsidRPr="006C7BA2">
        <w:rPr>
          <w:sz w:val="24"/>
          <w:szCs w:val="24"/>
          <w:u w:val="single"/>
        </w:rPr>
        <w:t>Reuben v. O’Brien</w:t>
      </w:r>
      <w:r w:rsidRPr="00B43CD6">
        <w:rPr>
          <w:sz w:val="24"/>
          <w:szCs w:val="24"/>
        </w:rPr>
        <w:t>, 496 A. 2d 913 (Pa. Super 1985).</w:t>
      </w:r>
    </w:p>
    <w:p w:rsidR="00E33BE8" w:rsidRDefault="00EE6569" w:rsidP="00A93C21">
      <w:pPr>
        <w:spacing w:line="360" w:lineRule="auto"/>
        <w:ind w:firstLine="720"/>
        <w:rPr>
          <w:sz w:val="24"/>
          <w:szCs w:val="24"/>
        </w:rPr>
      </w:pPr>
      <w:r w:rsidRPr="00B43CD6">
        <w:rPr>
          <w:sz w:val="24"/>
          <w:szCs w:val="24"/>
        </w:rPr>
        <w:tab/>
      </w:r>
      <w:r w:rsidR="00A93C21" w:rsidRPr="00B43CD6">
        <w:rPr>
          <w:sz w:val="24"/>
          <w:szCs w:val="24"/>
        </w:rPr>
        <w:t xml:space="preserve">               </w:t>
      </w:r>
    </w:p>
    <w:p w:rsidR="00A93C21" w:rsidRPr="00B43CD6" w:rsidRDefault="00A93C21" w:rsidP="00E33BE8">
      <w:pPr>
        <w:spacing w:line="360" w:lineRule="auto"/>
        <w:ind w:firstLine="1440"/>
        <w:rPr>
          <w:sz w:val="24"/>
          <w:szCs w:val="24"/>
        </w:rPr>
      </w:pPr>
      <w:r w:rsidRPr="00B43CD6">
        <w:rPr>
          <w:sz w:val="24"/>
          <w:szCs w:val="24"/>
        </w:rPr>
        <w:t>The regulation regarding motions for summary judgment and judgment on the pleadings is as follows:</w:t>
      </w:r>
    </w:p>
    <w:p w:rsidR="00A93C21" w:rsidRPr="00B43CD6" w:rsidRDefault="00A93C21" w:rsidP="00A93C21">
      <w:pPr>
        <w:spacing w:line="360" w:lineRule="auto"/>
        <w:rPr>
          <w:sz w:val="24"/>
          <w:szCs w:val="24"/>
        </w:rPr>
      </w:pPr>
    </w:p>
    <w:p w:rsidR="00A93C21" w:rsidRPr="00B43CD6" w:rsidRDefault="00A93C21" w:rsidP="00A93C21">
      <w:pPr>
        <w:ind w:left="2160"/>
        <w:rPr>
          <w:sz w:val="24"/>
          <w:szCs w:val="24"/>
        </w:rPr>
      </w:pPr>
      <w:r w:rsidRPr="00B43CD6">
        <w:rPr>
          <w:sz w:val="24"/>
          <w:szCs w:val="24"/>
        </w:rPr>
        <w:t>§ 5.102.  Motions for Summary Judgment and Judgment on the Pleadings</w:t>
      </w:r>
    </w:p>
    <w:p w:rsidR="00A93C21" w:rsidRPr="00B43CD6" w:rsidRDefault="00A93C21" w:rsidP="00A93C21">
      <w:pPr>
        <w:ind w:left="2160"/>
        <w:rPr>
          <w:b/>
          <w:sz w:val="24"/>
          <w:szCs w:val="24"/>
        </w:rPr>
      </w:pPr>
    </w:p>
    <w:p w:rsidR="00A93C21" w:rsidRDefault="00A93C21" w:rsidP="00D823CF">
      <w:pPr>
        <w:pStyle w:val="NormalWeb"/>
        <w:spacing w:before="0" w:beforeAutospacing="0" w:after="0" w:afterAutospacing="0"/>
        <w:ind w:left="2160" w:right="1440"/>
      </w:pPr>
      <w:r w:rsidRPr="00B43CD6">
        <w:t>(a)  </w:t>
      </w:r>
      <w:r w:rsidRPr="00B43CD6">
        <w:rPr>
          <w:i/>
          <w:iCs/>
        </w:rPr>
        <w:t>Generally</w:t>
      </w:r>
      <w:r w:rsidRPr="00B43CD6">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rsidR="00E33BE8" w:rsidRPr="00B43CD6" w:rsidRDefault="00E33BE8" w:rsidP="00A93C21">
      <w:pPr>
        <w:pStyle w:val="NormalWeb"/>
        <w:spacing w:before="0" w:beforeAutospacing="0" w:after="0" w:afterAutospacing="0" w:line="360" w:lineRule="auto"/>
        <w:ind w:left="2160" w:right="1440"/>
      </w:pPr>
    </w:p>
    <w:p w:rsidR="00A93C21" w:rsidRPr="00B43CD6" w:rsidRDefault="00A93C21" w:rsidP="00D823CF">
      <w:pPr>
        <w:pStyle w:val="NormalWeb"/>
        <w:spacing w:before="0" w:beforeAutospacing="0" w:after="0" w:afterAutospacing="0"/>
        <w:ind w:left="2160" w:right="1440"/>
      </w:pPr>
      <w:r w:rsidRPr="00B43CD6">
        <w:t>(b)  </w:t>
      </w:r>
      <w:r w:rsidRPr="00B43CD6">
        <w:rPr>
          <w:i/>
          <w:iCs/>
        </w:rPr>
        <w:t>Answers</w:t>
      </w:r>
      <w:r w:rsidRPr="00B43CD6">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E33BE8" w:rsidRDefault="00E33BE8" w:rsidP="00A93C21">
      <w:pPr>
        <w:pStyle w:val="NormalWeb"/>
        <w:spacing w:before="0" w:beforeAutospacing="0" w:after="0" w:afterAutospacing="0" w:line="360" w:lineRule="auto"/>
        <w:ind w:left="2160" w:right="1440"/>
      </w:pPr>
    </w:p>
    <w:p w:rsidR="00A93C21" w:rsidRPr="00B43CD6" w:rsidRDefault="00A93C21" w:rsidP="00D823CF">
      <w:pPr>
        <w:pStyle w:val="NormalWeb"/>
        <w:spacing w:before="0" w:beforeAutospacing="0" w:after="0" w:afterAutospacing="0"/>
        <w:ind w:left="2160" w:right="1440"/>
      </w:pPr>
      <w:r w:rsidRPr="00B43CD6">
        <w:t>(c)  </w:t>
      </w:r>
      <w:r w:rsidRPr="00B43CD6">
        <w:rPr>
          <w:i/>
          <w:iCs/>
        </w:rPr>
        <w:t>Motion for summary judgment</w:t>
      </w:r>
      <w:r w:rsidRPr="00B43CD6">
        <w:t xml:space="preserve">. A motion for summary judgment must be based on the pleadings and depositions, answers to interrogatories, admissions and supporting affidavits. Documents not already filed with the Commission shall be filed with the motion. </w:t>
      </w:r>
    </w:p>
    <w:p w:rsidR="00A93C21" w:rsidRPr="00B43CD6" w:rsidRDefault="00A93C21" w:rsidP="00A93C21">
      <w:pPr>
        <w:pStyle w:val="NormalWeb"/>
        <w:spacing w:before="0" w:beforeAutospacing="0" w:after="0" w:afterAutospacing="0" w:line="360" w:lineRule="auto"/>
        <w:ind w:left="2160" w:right="1440"/>
      </w:pPr>
    </w:p>
    <w:p w:rsidR="00A93C21" w:rsidRPr="00B43CD6" w:rsidRDefault="00A93C21" w:rsidP="00A93C21">
      <w:pPr>
        <w:pStyle w:val="NormalWeb"/>
        <w:spacing w:before="0" w:beforeAutospacing="0" w:after="0" w:afterAutospacing="0" w:line="360" w:lineRule="auto"/>
        <w:ind w:left="2160" w:right="1440"/>
      </w:pPr>
      <w:r w:rsidRPr="00B43CD6">
        <w:t>d)  </w:t>
      </w:r>
      <w:r w:rsidRPr="00B43CD6">
        <w:rPr>
          <w:i/>
          <w:iCs/>
        </w:rPr>
        <w:t>Decisions on motions</w:t>
      </w:r>
      <w:r w:rsidRPr="00B43CD6">
        <w:t xml:space="preserve">. </w:t>
      </w:r>
    </w:p>
    <w:p w:rsidR="00A93C21" w:rsidRPr="00B43CD6" w:rsidRDefault="00A93C21" w:rsidP="00D823CF">
      <w:pPr>
        <w:pStyle w:val="NormalWeb"/>
        <w:spacing w:before="0" w:beforeAutospacing="0" w:after="0" w:afterAutospacing="0"/>
        <w:ind w:left="2160" w:right="1440"/>
      </w:pPr>
    </w:p>
    <w:p w:rsidR="00A93C21" w:rsidRDefault="00A93C21" w:rsidP="00A93C21">
      <w:pPr>
        <w:pStyle w:val="NormalWeb"/>
        <w:spacing w:before="0" w:beforeAutospacing="0" w:after="0" w:afterAutospacing="0"/>
        <w:ind w:left="2880" w:right="1440"/>
      </w:pPr>
      <w:r w:rsidRPr="00B43CD6">
        <w:t>(1)  </w:t>
      </w:r>
      <w:r w:rsidRPr="00B43CD6">
        <w:rPr>
          <w:i/>
          <w:iCs/>
        </w:rPr>
        <w:t>Standard for grant or denial on all counts</w:t>
      </w:r>
      <w:r w:rsidRPr="00B43CD6">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E33BE8" w:rsidRPr="00B43CD6" w:rsidRDefault="00E33BE8" w:rsidP="00A93C21">
      <w:pPr>
        <w:pStyle w:val="NormalWeb"/>
        <w:spacing w:before="0" w:beforeAutospacing="0" w:after="0" w:afterAutospacing="0"/>
        <w:ind w:left="2880" w:right="1440"/>
      </w:pPr>
    </w:p>
    <w:p w:rsidR="00A93C21" w:rsidRPr="00B43CD6" w:rsidRDefault="00A93C21" w:rsidP="00A93C21">
      <w:pPr>
        <w:pStyle w:val="NormalWeb"/>
        <w:spacing w:before="0" w:beforeAutospacing="0" w:after="0" w:afterAutospacing="0"/>
        <w:ind w:left="2880" w:right="1440"/>
      </w:pPr>
      <w:r w:rsidRPr="00B43CD6">
        <w:t>(2)  </w:t>
      </w:r>
      <w:r w:rsidRPr="00B43CD6">
        <w:rPr>
          <w:i/>
          <w:iCs/>
        </w:rPr>
        <w:t>Standard for grant or denial in part</w:t>
      </w:r>
      <w:r w:rsidRPr="00B43CD6">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E33BE8" w:rsidRDefault="00E33BE8" w:rsidP="00A93C21">
      <w:pPr>
        <w:pStyle w:val="NormalWeb"/>
        <w:spacing w:before="0" w:beforeAutospacing="0" w:after="0" w:afterAutospacing="0"/>
        <w:ind w:left="2880" w:right="1440"/>
      </w:pPr>
    </w:p>
    <w:p w:rsidR="00A93C21" w:rsidRPr="00B43CD6" w:rsidRDefault="00A93C21" w:rsidP="00A93C21">
      <w:pPr>
        <w:pStyle w:val="NormalWeb"/>
        <w:spacing w:before="0" w:beforeAutospacing="0" w:after="0" w:afterAutospacing="0"/>
        <w:ind w:left="2880" w:right="1440"/>
      </w:pPr>
      <w:r w:rsidRPr="00B43CD6">
        <w:t>(3)  </w:t>
      </w:r>
      <w:r w:rsidRPr="00B43CD6">
        <w:rPr>
          <w:i/>
          <w:iCs/>
        </w:rPr>
        <w:t>Form of decision</w:t>
      </w:r>
      <w:r w:rsidRPr="00B43CD6">
        <w:t>. The presiding officer will grant, in whole or in part, the motion in the form of an initial or recommended decision which shall be subject to exceptions as set forth in § 5.533 (relating to exceptions). Denial of a motion will be in the form of a written order.</w:t>
      </w:r>
    </w:p>
    <w:p w:rsidR="00A93C21" w:rsidRPr="00B43CD6" w:rsidRDefault="00A93C21" w:rsidP="00A93C21">
      <w:pPr>
        <w:pStyle w:val="NormalWeb"/>
        <w:spacing w:before="0" w:beforeAutospacing="0" w:after="0" w:afterAutospacing="0"/>
        <w:ind w:left="2160" w:right="1440"/>
      </w:pPr>
    </w:p>
    <w:p w:rsidR="00E33BE8" w:rsidRDefault="00A93C21" w:rsidP="00E33BE8">
      <w:pPr>
        <w:rPr>
          <w:sz w:val="24"/>
          <w:szCs w:val="24"/>
        </w:rPr>
      </w:pPr>
      <w:r w:rsidRPr="00B43CD6">
        <w:rPr>
          <w:sz w:val="24"/>
          <w:szCs w:val="24"/>
        </w:rPr>
        <w:t xml:space="preserve"> </w:t>
      </w:r>
    </w:p>
    <w:p w:rsidR="00EE6569" w:rsidRPr="00B43CD6" w:rsidRDefault="00EE6569" w:rsidP="00E33BE8">
      <w:pPr>
        <w:rPr>
          <w:sz w:val="24"/>
          <w:szCs w:val="24"/>
          <w:u w:val="single"/>
        </w:rPr>
      </w:pPr>
      <w:r w:rsidRPr="00B43CD6">
        <w:rPr>
          <w:sz w:val="24"/>
          <w:szCs w:val="24"/>
          <w:u w:val="single"/>
        </w:rPr>
        <w:t xml:space="preserve">The </w:t>
      </w:r>
      <w:r w:rsidR="00C64E5A" w:rsidRPr="00B43CD6">
        <w:rPr>
          <w:sz w:val="24"/>
          <w:szCs w:val="24"/>
          <w:u w:val="single"/>
        </w:rPr>
        <w:t>Formal Complaint</w:t>
      </w:r>
    </w:p>
    <w:p w:rsidR="00EE6569" w:rsidRPr="00B43CD6" w:rsidRDefault="00EE6569" w:rsidP="00EE6569">
      <w:pPr>
        <w:rPr>
          <w:sz w:val="24"/>
          <w:szCs w:val="24"/>
        </w:rPr>
      </w:pPr>
    </w:p>
    <w:p w:rsidR="00EE6569" w:rsidRPr="00B43CD6" w:rsidRDefault="00EE6569" w:rsidP="00EE6569">
      <w:pPr>
        <w:rPr>
          <w:sz w:val="24"/>
          <w:szCs w:val="24"/>
        </w:rPr>
      </w:pPr>
    </w:p>
    <w:p w:rsidR="00C64E5A" w:rsidRPr="00B43CD6" w:rsidRDefault="00C64E5A" w:rsidP="00E33BE8">
      <w:pPr>
        <w:spacing w:line="360" w:lineRule="auto"/>
        <w:ind w:firstLine="1440"/>
        <w:rPr>
          <w:sz w:val="24"/>
          <w:szCs w:val="24"/>
        </w:rPr>
      </w:pPr>
      <w:r w:rsidRPr="00B43CD6">
        <w:rPr>
          <w:sz w:val="24"/>
          <w:szCs w:val="24"/>
        </w:rPr>
        <w:t>Complainant avers that Respondent has an easement over the back yard of her property, upon which a transmission line exists.  Complain</w:t>
      </w:r>
      <w:r w:rsidR="00221806">
        <w:rPr>
          <w:sz w:val="24"/>
          <w:szCs w:val="24"/>
        </w:rPr>
        <w:t>an</w:t>
      </w:r>
      <w:r w:rsidRPr="00B43CD6">
        <w:rPr>
          <w:sz w:val="24"/>
          <w:szCs w:val="24"/>
        </w:rPr>
        <w:t xml:space="preserve">t avers that a contractor for Respondent advised her that it would be removing </w:t>
      </w:r>
      <w:proofErr w:type="gramStart"/>
      <w:r w:rsidRPr="00B43CD6">
        <w:rPr>
          <w:sz w:val="24"/>
          <w:szCs w:val="24"/>
        </w:rPr>
        <w:t>all of</w:t>
      </w:r>
      <w:proofErr w:type="gramEnd"/>
      <w:r w:rsidRPr="00B43CD6">
        <w:rPr>
          <w:sz w:val="24"/>
          <w:szCs w:val="24"/>
        </w:rPr>
        <w:t xml:space="preserve"> the trees and vegetation in her back and side yards, including approximately 25 trees.  Complainant further avers that Respondent’s high tension power lines are much higher than the tree line and that the trees do not interfere with the lines.  Complainant avers that the trees are </w:t>
      </w:r>
      <w:proofErr w:type="spellStart"/>
      <w:r w:rsidRPr="00B43CD6">
        <w:rPr>
          <w:sz w:val="24"/>
          <w:szCs w:val="24"/>
        </w:rPr>
        <w:t>asthetically</w:t>
      </w:r>
      <w:proofErr w:type="spellEnd"/>
      <w:r w:rsidRPr="00B43CD6">
        <w:rPr>
          <w:sz w:val="24"/>
          <w:szCs w:val="24"/>
        </w:rPr>
        <w:t xml:space="preserve"> pleasing and that they provide shade, privacy and protection to her property from storm water runoff.  Complainant also avers that Respondent has effectively trimmed the trees every 6-7 years in the past.  Complainant requests that Respondent be ordered to forego the removal of the trees and that it be responsible for future storm water runoff damage.</w:t>
      </w:r>
    </w:p>
    <w:p w:rsidR="00EE6569" w:rsidRPr="00B43CD6" w:rsidRDefault="00EE6569" w:rsidP="00EE6569">
      <w:pPr>
        <w:tabs>
          <w:tab w:val="left" w:pos="1440"/>
        </w:tabs>
        <w:spacing w:line="360" w:lineRule="auto"/>
        <w:ind w:firstLine="1440"/>
        <w:rPr>
          <w:sz w:val="24"/>
          <w:szCs w:val="24"/>
        </w:rPr>
      </w:pPr>
    </w:p>
    <w:p w:rsidR="00C64E5A" w:rsidRPr="00B43CD6" w:rsidRDefault="00C64E5A" w:rsidP="00E33BE8">
      <w:pPr>
        <w:spacing w:line="360" w:lineRule="auto"/>
        <w:ind w:firstLine="1440"/>
        <w:rPr>
          <w:sz w:val="24"/>
          <w:szCs w:val="24"/>
        </w:rPr>
      </w:pPr>
      <w:r w:rsidRPr="00B43CD6">
        <w:rPr>
          <w:sz w:val="24"/>
          <w:szCs w:val="24"/>
        </w:rPr>
        <w:t xml:space="preserve">Respondent </w:t>
      </w:r>
      <w:r w:rsidR="00EE6569" w:rsidRPr="00B43CD6">
        <w:rPr>
          <w:sz w:val="24"/>
          <w:szCs w:val="24"/>
        </w:rPr>
        <w:t xml:space="preserve">seeks dismissal of the </w:t>
      </w:r>
      <w:r w:rsidRPr="00B43CD6">
        <w:rPr>
          <w:sz w:val="24"/>
          <w:szCs w:val="24"/>
        </w:rPr>
        <w:t>formal complaint</w:t>
      </w:r>
      <w:r w:rsidR="00EE6569" w:rsidRPr="00B43CD6">
        <w:rPr>
          <w:sz w:val="24"/>
          <w:szCs w:val="24"/>
        </w:rPr>
        <w:t>, arguing that</w:t>
      </w:r>
      <w:r w:rsidRPr="00B43CD6">
        <w:rPr>
          <w:sz w:val="24"/>
          <w:szCs w:val="24"/>
        </w:rPr>
        <w:t xml:space="preserve"> the Commission lacks jurisdiction to resolve the property rights</w:t>
      </w:r>
      <w:r w:rsidR="00221806">
        <w:rPr>
          <w:sz w:val="24"/>
          <w:szCs w:val="24"/>
        </w:rPr>
        <w:t>’</w:t>
      </w:r>
      <w:r w:rsidRPr="00B43CD6">
        <w:rPr>
          <w:sz w:val="24"/>
          <w:szCs w:val="24"/>
        </w:rPr>
        <w:t xml:space="preserve"> dispute that forms the basis of this action.  Respondent argues the formal complaint represents Complainant’s challenge to the scope and validity of </w:t>
      </w:r>
      <w:r w:rsidR="006C7BA2">
        <w:rPr>
          <w:sz w:val="24"/>
          <w:szCs w:val="24"/>
        </w:rPr>
        <w:t>R</w:t>
      </w:r>
      <w:r w:rsidRPr="00B43CD6">
        <w:rPr>
          <w:sz w:val="24"/>
          <w:szCs w:val="24"/>
        </w:rPr>
        <w:t xml:space="preserve">espondent’s easement because Complainant seeks to prevent Respondent from removing trees that </w:t>
      </w:r>
      <w:r w:rsidR="00221806">
        <w:rPr>
          <w:sz w:val="24"/>
          <w:szCs w:val="24"/>
        </w:rPr>
        <w:t>R</w:t>
      </w:r>
      <w:r w:rsidRPr="00B43CD6">
        <w:rPr>
          <w:sz w:val="24"/>
          <w:szCs w:val="24"/>
        </w:rPr>
        <w:t>espondent has a right to remove under the applicable right</w:t>
      </w:r>
      <w:r w:rsidR="00221806">
        <w:rPr>
          <w:sz w:val="24"/>
          <w:szCs w:val="24"/>
        </w:rPr>
        <w:t>-</w:t>
      </w:r>
      <w:r w:rsidRPr="00B43CD6">
        <w:rPr>
          <w:sz w:val="24"/>
          <w:szCs w:val="24"/>
        </w:rPr>
        <w:t>of</w:t>
      </w:r>
      <w:r w:rsidR="00221806">
        <w:rPr>
          <w:sz w:val="24"/>
          <w:szCs w:val="24"/>
        </w:rPr>
        <w:t>-</w:t>
      </w:r>
      <w:r w:rsidRPr="00B43CD6">
        <w:rPr>
          <w:sz w:val="24"/>
          <w:szCs w:val="24"/>
        </w:rPr>
        <w:t>way agreement.</w:t>
      </w:r>
    </w:p>
    <w:p w:rsidR="00C64E5A" w:rsidRPr="00B43CD6" w:rsidRDefault="00EE6569" w:rsidP="00EE6569">
      <w:pPr>
        <w:spacing w:line="360" w:lineRule="auto"/>
        <w:ind w:firstLine="720"/>
        <w:rPr>
          <w:b/>
          <w:sz w:val="24"/>
          <w:szCs w:val="24"/>
        </w:rPr>
      </w:pPr>
      <w:r w:rsidRPr="00B43CD6">
        <w:rPr>
          <w:b/>
          <w:sz w:val="24"/>
          <w:szCs w:val="24"/>
        </w:rPr>
        <w:t xml:space="preserve">   </w:t>
      </w:r>
    </w:p>
    <w:p w:rsidR="00A93C21" w:rsidRPr="00B43CD6" w:rsidRDefault="00A93C21" w:rsidP="00E33BE8">
      <w:pPr>
        <w:pStyle w:val="ListParagraph"/>
        <w:tabs>
          <w:tab w:val="left" w:pos="2160"/>
        </w:tabs>
        <w:spacing w:line="360" w:lineRule="auto"/>
        <w:ind w:left="0" w:firstLine="1440"/>
        <w:rPr>
          <w:sz w:val="24"/>
          <w:szCs w:val="24"/>
        </w:rPr>
      </w:pPr>
      <w:r w:rsidRPr="00B43CD6">
        <w:rPr>
          <w:sz w:val="24"/>
          <w:szCs w:val="24"/>
        </w:rPr>
        <w:t xml:space="preserve">It is the </w:t>
      </w:r>
      <w:r w:rsidR="005F19F8">
        <w:rPr>
          <w:sz w:val="24"/>
          <w:szCs w:val="24"/>
        </w:rPr>
        <w:t>C</w:t>
      </w:r>
      <w:r w:rsidRPr="00B43CD6">
        <w:rPr>
          <w:sz w:val="24"/>
          <w:szCs w:val="24"/>
        </w:rPr>
        <w:t xml:space="preserve">ourt of </w:t>
      </w:r>
      <w:r w:rsidR="005F19F8">
        <w:rPr>
          <w:sz w:val="24"/>
          <w:szCs w:val="24"/>
        </w:rPr>
        <w:t>C</w:t>
      </w:r>
      <w:r w:rsidRPr="00B43CD6">
        <w:rPr>
          <w:sz w:val="24"/>
          <w:szCs w:val="24"/>
        </w:rPr>
        <w:t xml:space="preserve">ommon </w:t>
      </w:r>
      <w:r w:rsidR="005F19F8">
        <w:rPr>
          <w:sz w:val="24"/>
          <w:szCs w:val="24"/>
        </w:rPr>
        <w:t>P</w:t>
      </w:r>
      <w:r w:rsidRPr="00B43CD6">
        <w:rPr>
          <w:sz w:val="24"/>
          <w:szCs w:val="24"/>
        </w:rPr>
        <w:t xml:space="preserve">leas, rather than the Commission, that has jurisdiction over substantive property disputes.  </w:t>
      </w:r>
      <w:proofErr w:type="spellStart"/>
      <w:r w:rsidRPr="00B43CD6">
        <w:rPr>
          <w:sz w:val="24"/>
          <w:szCs w:val="24"/>
          <w:u w:val="single"/>
        </w:rPr>
        <w:t>Fiorillo</w:t>
      </w:r>
      <w:proofErr w:type="spellEnd"/>
      <w:r w:rsidRPr="00B43CD6">
        <w:rPr>
          <w:sz w:val="24"/>
          <w:szCs w:val="24"/>
          <w:u w:val="single"/>
        </w:rPr>
        <w:t xml:space="preserve"> v. PECO Energy Co.</w:t>
      </w:r>
      <w:r w:rsidRPr="00B43CD6">
        <w:rPr>
          <w:i/>
          <w:sz w:val="24"/>
          <w:szCs w:val="24"/>
        </w:rPr>
        <w:t>,</w:t>
      </w:r>
      <w:r w:rsidRPr="00B43CD6">
        <w:rPr>
          <w:sz w:val="24"/>
          <w:szCs w:val="24"/>
        </w:rPr>
        <w:t xml:space="preserve"> Docket No. C-00971088, (Order entered September 15, 1999) (the Commission found a valid right-of-way and the interpretation of that agreement was held to be a substantive property rights issue and within the Court of Commons Pleas’ jurisdiction); </w:t>
      </w:r>
      <w:r w:rsidRPr="00B43CD6">
        <w:rPr>
          <w:sz w:val="24"/>
          <w:szCs w:val="24"/>
          <w:u w:val="single"/>
        </w:rPr>
        <w:t>Lou Amati/Amati Service Station v. West Penn Power Co. and Bell Atlantic-Pennsylvania, Inc.</w:t>
      </w:r>
      <w:r w:rsidRPr="00B43CD6">
        <w:rPr>
          <w:sz w:val="24"/>
          <w:szCs w:val="24"/>
        </w:rPr>
        <w:t>, Docket C</w:t>
      </w:r>
      <w:r w:rsidRPr="00B43CD6">
        <w:rPr>
          <w:sz w:val="24"/>
          <w:szCs w:val="24"/>
        </w:rPr>
        <w:noBreakHyphen/>
        <w:t xml:space="preserve">00945872, (Order entered October 25, 1996) (the Commission does not have subject matter jurisdiction over questions of trespass and the scope and validity of a utility’s right-of-way); </w:t>
      </w:r>
      <w:r w:rsidRPr="00B43CD6">
        <w:rPr>
          <w:sz w:val="24"/>
          <w:szCs w:val="24"/>
          <w:u w:val="single"/>
        </w:rPr>
        <w:t xml:space="preserve">Edward </w:t>
      </w:r>
      <w:proofErr w:type="spellStart"/>
      <w:r w:rsidRPr="00B43CD6">
        <w:rPr>
          <w:sz w:val="24"/>
          <w:szCs w:val="24"/>
          <w:u w:val="single"/>
        </w:rPr>
        <w:t>Boczar</w:t>
      </w:r>
      <w:proofErr w:type="spellEnd"/>
      <w:r w:rsidRPr="00B43CD6">
        <w:rPr>
          <w:sz w:val="24"/>
          <w:szCs w:val="24"/>
          <w:u w:val="single"/>
        </w:rPr>
        <w:t xml:space="preserve"> v. PPL Electric Utilities</w:t>
      </w:r>
      <w:r w:rsidRPr="00B43CD6">
        <w:rPr>
          <w:i/>
          <w:sz w:val="24"/>
          <w:szCs w:val="24"/>
        </w:rPr>
        <w:t xml:space="preserve">, </w:t>
      </w:r>
      <w:r w:rsidRPr="00B43CD6">
        <w:rPr>
          <w:sz w:val="24"/>
          <w:szCs w:val="24"/>
        </w:rPr>
        <w:t>Docket No. C</w:t>
      </w:r>
      <w:r w:rsidRPr="00B43CD6">
        <w:rPr>
          <w:sz w:val="24"/>
          <w:szCs w:val="24"/>
        </w:rPr>
        <w:noBreakHyphen/>
        <w:t xml:space="preserve">20016332, (Order entered February 10, 2003) (the Commission does not have jurisdiction to determine if utility’s facilities are situated within a valid right-of-way; such matters are within the exclusive jurisdiction of the Court of Common Pleas); </w:t>
      </w:r>
      <w:r w:rsidRPr="00B43CD6">
        <w:rPr>
          <w:sz w:val="24"/>
          <w:szCs w:val="24"/>
          <w:u w:val="single"/>
        </w:rPr>
        <w:t xml:space="preserve">Anne E. </w:t>
      </w:r>
      <w:proofErr w:type="spellStart"/>
      <w:r w:rsidRPr="00B43CD6">
        <w:rPr>
          <w:sz w:val="24"/>
          <w:szCs w:val="24"/>
          <w:u w:val="single"/>
        </w:rPr>
        <w:t>Perrige</w:t>
      </w:r>
      <w:proofErr w:type="spellEnd"/>
      <w:r w:rsidRPr="00B43CD6">
        <w:rPr>
          <w:sz w:val="24"/>
          <w:szCs w:val="24"/>
          <w:u w:val="single"/>
        </w:rPr>
        <w:t xml:space="preserve"> v. Metropolitan Edison Co.</w:t>
      </w:r>
      <w:r w:rsidRPr="00B43CD6">
        <w:rPr>
          <w:sz w:val="24"/>
          <w:szCs w:val="24"/>
        </w:rPr>
        <w:t xml:space="preserve">, Docket No. C-00004110, (Order entered July 11, 2003) (concluding that, as in </w:t>
      </w:r>
      <w:proofErr w:type="spellStart"/>
      <w:r w:rsidRPr="00B43CD6">
        <w:rPr>
          <w:sz w:val="24"/>
          <w:szCs w:val="24"/>
          <w:u w:val="single"/>
        </w:rPr>
        <w:t>Boczar</w:t>
      </w:r>
      <w:proofErr w:type="spellEnd"/>
      <w:r w:rsidRPr="00B43CD6">
        <w:rPr>
          <w:sz w:val="24"/>
          <w:szCs w:val="24"/>
        </w:rPr>
        <w:t>, the Commission does not have jurisdiction to determine the true location of the utility’s right-of-way).</w:t>
      </w:r>
    </w:p>
    <w:p w:rsidR="00A93C21" w:rsidRPr="00B43CD6" w:rsidRDefault="00A93C21" w:rsidP="00E33BE8">
      <w:pPr>
        <w:tabs>
          <w:tab w:val="left" w:pos="2160"/>
        </w:tabs>
        <w:spacing w:line="360" w:lineRule="auto"/>
        <w:ind w:left="720" w:right="720" w:firstLine="720"/>
        <w:rPr>
          <w:sz w:val="24"/>
          <w:szCs w:val="24"/>
        </w:rPr>
      </w:pPr>
    </w:p>
    <w:p w:rsidR="00A93C21" w:rsidRDefault="00A93C21" w:rsidP="00221806">
      <w:pPr>
        <w:tabs>
          <w:tab w:val="left" w:pos="2160"/>
        </w:tabs>
        <w:spacing w:line="360" w:lineRule="auto"/>
        <w:ind w:firstLine="1440"/>
        <w:rPr>
          <w:sz w:val="24"/>
          <w:szCs w:val="24"/>
        </w:rPr>
      </w:pPr>
      <w:r w:rsidRPr="00B43CD6">
        <w:rPr>
          <w:sz w:val="24"/>
          <w:szCs w:val="24"/>
        </w:rPr>
        <w:t xml:space="preserve">The Commission restated its position that its jurisdiction does not include the ability to interpret a right-of-way in </w:t>
      </w:r>
      <w:proofErr w:type="spellStart"/>
      <w:r w:rsidRPr="00B43CD6">
        <w:rPr>
          <w:sz w:val="24"/>
          <w:szCs w:val="24"/>
          <w:u w:val="single"/>
        </w:rPr>
        <w:t>Stefanoski</w:t>
      </w:r>
      <w:proofErr w:type="spellEnd"/>
      <w:r w:rsidRPr="00B43CD6">
        <w:rPr>
          <w:sz w:val="24"/>
          <w:szCs w:val="24"/>
          <w:u w:val="single"/>
        </w:rPr>
        <w:t xml:space="preserve"> v. Pennsylvanian-American Water Co.</w:t>
      </w:r>
      <w:r w:rsidRPr="00B43CD6">
        <w:rPr>
          <w:sz w:val="24"/>
          <w:szCs w:val="24"/>
        </w:rPr>
        <w:t xml:space="preserve">, Docket No. C-20078219 (Order entered September 22, 2008).  There, the complainant sought removal of the utility’s water line from his property or compensation for its remaining in the same location.  The Commission again recognized that the determination of the validity of a right-of-way falls within the province of the Court of Common Pleas.  However, unlike substantive property disputes, the determination of whether an easement exists is a question of fact.  </w:t>
      </w:r>
      <w:r w:rsidRPr="00B43CD6">
        <w:rPr>
          <w:sz w:val="24"/>
          <w:szCs w:val="24"/>
          <w:u w:val="single"/>
        </w:rPr>
        <w:t>Lou Amati/Amati Service Station v. West Penn Power Co. and Bell Atlantic-Pennsylvania, Inc.</w:t>
      </w:r>
      <w:r w:rsidRPr="00B43CD6">
        <w:rPr>
          <w:sz w:val="24"/>
          <w:szCs w:val="24"/>
        </w:rPr>
        <w:t xml:space="preserve">, Docket C-00945872, (Order entered October 25, 1996).  The “mere existence of an easement . . . is threshold factual determination that is incident to our jurisdiction.”  </w:t>
      </w:r>
      <w:r w:rsidRPr="00B43CD6">
        <w:rPr>
          <w:sz w:val="24"/>
          <w:szCs w:val="24"/>
          <w:u w:val="single"/>
        </w:rPr>
        <w:t>Messina v. Bell-Atlantic-Pennsylvania, Inc.</w:t>
      </w:r>
      <w:r w:rsidRPr="00B43CD6">
        <w:rPr>
          <w:sz w:val="24"/>
          <w:szCs w:val="24"/>
        </w:rPr>
        <w:t xml:space="preserve">, Docket No. C-00968225 (Order entered September 23, 1998) (Messina).  Making such a determination “[does] not go beyond the limit of our jurisdictional authority and extend into a determination of the validity of easements or rights-of-way.”  </w:t>
      </w:r>
      <w:r w:rsidRPr="00B43CD6">
        <w:rPr>
          <w:sz w:val="24"/>
          <w:szCs w:val="24"/>
          <w:u w:val="single"/>
        </w:rPr>
        <w:t>Id.</w:t>
      </w:r>
      <w:r w:rsidRPr="00B43CD6">
        <w:rPr>
          <w:sz w:val="24"/>
          <w:szCs w:val="24"/>
        </w:rPr>
        <w:t xml:space="preserve"> at 12; </w:t>
      </w:r>
      <w:r w:rsidR="00221806">
        <w:rPr>
          <w:sz w:val="24"/>
          <w:szCs w:val="24"/>
        </w:rPr>
        <w:t>S</w:t>
      </w:r>
      <w:r w:rsidRPr="00B43CD6">
        <w:rPr>
          <w:sz w:val="24"/>
          <w:szCs w:val="24"/>
        </w:rPr>
        <w:t xml:space="preserve">ee, generally, </w:t>
      </w:r>
      <w:proofErr w:type="spellStart"/>
      <w:r w:rsidRPr="00B43CD6">
        <w:rPr>
          <w:sz w:val="24"/>
          <w:szCs w:val="24"/>
          <w:u w:val="single"/>
        </w:rPr>
        <w:t>Sentner</w:t>
      </w:r>
      <w:proofErr w:type="spellEnd"/>
      <w:r w:rsidRPr="00B43CD6">
        <w:rPr>
          <w:sz w:val="24"/>
          <w:szCs w:val="24"/>
          <w:u w:val="single"/>
        </w:rPr>
        <w:t xml:space="preserve"> v. Bell Tel. Co. of Pa.</w:t>
      </w:r>
      <w:r w:rsidRPr="00B43CD6">
        <w:rPr>
          <w:sz w:val="24"/>
          <w:szCs w:val="24"/>
        </w:rPr>
        <w:t xml:space="preserve">, Docket No. F-00161106 (Order entered October 25, 1993).    </w:t>
      </w:r>
    </w:p>
    <w:p w:rsidR="00221806" w:rsidRDefault="00221806" w:rsidP="00E33BE8">
      <w:pPr>
        <w:tabs>
          <w:tab w:val="left" w:pos="2160"/>
        </w:tabs>
        <w:spacing w:line="360" w:lineRule="auto"/>
        <w:ind w:firstLine="720"/>
        <w:rPr>
          <w:sz w:val="24"/>
          <w:szCs w:val="24"/>
        </w:rPr>
      </w:pPr>
    </w:p>
    <w:p w:rsidR="00221806" w:rsidRPr="00B43CD6" w:rsidRDefault="00221806" w:rsidP="00E33BE8">
      <w:pPr>
        <w:tabs>
          <w:tab w:val="left" w:pos="2160"/>
        </w:tabs>
        <w:spacing w:line="360" w:lineRule="auto"/>
        <w:ind w:firstLine="720"/>
        <w:rPr>
          <w:sz w:val="24"/>
          <w:szCs w:val="24"/>
        </w:rPr>
      </w:pPr>
    </w:p>
    <w:p w:rsidR="00A93C21" w:rsidRPr="00B43CD6" w:rsidRDefault="00A93C21" w:rsidP="00A93C21">
      <w:pPr>
        <w:ind w:left="720"/>
        <w:rPr>
          <w:sz w:val="24"/>
          <w:szCs w:val="24"/>
        </w:rPr>
      </w:pPr>
    </w:p>
    <w:p w:rsidR="00A93C21" w:rsidRPr="00B43CD6" w:rsidRDefault="00A93C21" w:rsidP="00A93C21">
      <w:pPr>
        <w:tabs>
          <w:tab w:val="left" w:pos="720"/>
        </w:tabs>
        <w:spacing w:line="360" w:lineRule="auto"/>
        <w:rPr>
          <w:sz w:val="24"/>
          <w:szCs w:val="24"/>
        </w:rPr>
      </w:pPr>
      <w:r w:rsidRPr="00B43CD6">
        <w:rPr>
          <w:b/>
          <w:sz w:val="24"/>
          <w:szCs w:val="24"/>
        </w:rPr>
        <w:tab/>
      </w:r>
      <w:r w:rsidRPr="00B43CD6">
        <w:rPr>
          <w:b/>
          <w:sz w:val="24"/>
          <w:szCs w:val="24"/>
        </w:rPr>
        <w:tab/>
      </w:r>
      <w:r w:rsidRPr="00B43CD6">
        <w:rPr>
          <w:sz w:val="24"/>
          <w:szCs w:val="24"/>
        </w:rPr>
        <w:t>The Commission, as a creation of the General Assembly, has only the powers and authority granted to it by the General Assembly contained in the Public Utility Code.</w:t>
      </w:r>
      <w:r w:rsidR="00221806">
        <w:rPr>
          <w:sz w:val="24"/>
          <w:szCs w:val="24"/>
        </w:rPr>
        <w:t xml:space="preserve"> </w:t>
      </w:r>
      <w:r w:rsidRPr="00B43CD6">
        <w:rPr>
          <w:sz w:val="24"/>
          <w:szCs w:val="24"/>
        </w:rPr>
        <w:t xml:space="preserve"> </w:t>
      </w:r>
      <w:r w:rsidRPr="00B43CD6">
        <w:rPr>
          <w:sz w:val="24"/>
          <w:szCs w:val="24"/>
          <w:u w:val="single"/>
        </w:rPr>
        <w:t xml:space="preserve">Tod and Lisa </w:t>
      </w:r>
      <w:proofErr w:type="spellStart"/>
      <w:r w:rsidRPr="00B43CD6">
        <w:rPr>
          <w:sz w:val="24"/>
          <w:szCs w:val="24"/>
          <w:u w:val="single"/>
        </w:rPr>
        <w:t>Shedlosky</w:t>
      </w:r>
      <w:proofErr w:type="spellEnd"/>
      <w:r w:rsidRPr="00B43CD6">
        <w:rPr>
          <w:sz w:val="24"/>
          <w:szCs w:val="24"/>
          <w:u w:val="single"/>
        </w:rPr>
        <w:t xml:space="preserve"> v. Pennsylvania Electric Co.</w:t>
      </w:r>
      <w:r w:rsidRPr="00B43CD6">
        <w:rPr>
          <w:sz w:val="24"/>
          <w:szCs w:val="24"/>
        </w:rPr>
        <w:t xml:space="preserve">, Docket No. C-20066937 (Order entered May 28, 2008); </w:t>
      </w:r>
      <w:hyperlink r:id="rId7" w:history="1">
        <w:r w:rsidRPr="00B43CD6">
          <w:rPr>
            <w:sz w:val="24"/>
            <w:szCs w:val="24"/>
            <w:u w:val="single"/>
          </w:rPr>
          <w:t>Feingold v. Bell Tel. Co. of Pa.</w:t>
        </w:r>
      </w:hyperlink>
      <w:hyperlink r:id="rId8" w:history="1">
        <w:r w:rsidRPr="00B43CD6">
          <w:rPr>
            <w:sz w:val="24"/>
            <w:szCs w:val="24"/>
          </w:rPr>
          <w:t>, 383 A.2d 791 (Pa. 1977)</w:t>
        </w:r>
      </w:hyperlink>
      <w:r w:rsidRPr="00B43CD6">
        <w:rPr>
          <w:sz w:val="24"/>
          <w:szCs w:val="24"/>
        </w:rPr>
        <w:t xml:space="preserve">. </w:t>
      </w:r>
      <w:r w:rsidR="00221806">
        <w:rPr>
          <w:sz w:val="24"/>
          <w:szCs w:val="24"/>
        </w:rPr>
        <w:t xml:space="preserve"> </w:t>
      </w:r>
      <w:r w:rsidRPr="00B43CD6">
        <w:rPr>
          <w:sz w:val="24"/>
          <w:szCs w:val="24"/>
        </w:rPr>
        <w:t>The Commission must act within, and cannot exceed, its jurisdiction.</w:t>
      </w:r>
      <w:r w:rsidR="008619C4">
        <w:rPr>
          <w:sz w:val="24"/>
          <w:szCs w:val="24"/>
        </w:rPr>
        <w:t xml:space="preserve"> </w:t>
      </w:r>
      <w:r w:rsidRPr="00B43CD6">
        <w:rPr>
          <w:sz w:val="24"/>
          <w:szCs w:val="24"/>
        </w:rPr>
        <w:t xml:space="preserve"> </w:t>
      </w:r>
      <w:hyperlink r:id="rId9" w:history="1">
        <w:r w:rsidRPr="00B43CD6">
          <w:rPr>
            <w:sz w:val="24"/>
            <w:szCs w:val="24"/>
            <w:u w:val="single"/>
          </w:rPr>
          <w:t>City of Pittsburgh v. Pa. Pub. Util. Comm</w:t>
        </w:r>
        <w:r w:rsidR="00221806">
          <w:rPr>
            <w:sz w:val="24"/>
            <w:szCs w:val="24"/>
            <w:u w:val="single"/>
          </w:rPr>
          <w:t>’</w:t>
        </w:r>
        <w:r w:rsidRPr="00B43CD6">
          <w:rPr>
            <w:sz w:val="24"/>
            <w:szCs w:val="24"/>
            <w:u w:val="single"/>
          </w:rPr>
          <w:t>n,</w:t>
        </w:r>
      </w:hyperlink>
      <w:hyperlink r:id="rId10" w:history="1">
        <w:r w:rsidRPr="00B43CD6">
          <w:rPr>
            <w:sz w:val="24"/>
            <w:szCs w:val="24"/>
          </w:rPr>
          <w:t xml:space="preserve"> 43 A.2d 348 (Pa Super. 1945)</w:t>
        </w:r>
      </w:hyperlink>
      <w:r w:rsidRPr="00B43CD6">
        <w:rPr>
          <w:sz w:val="24"/>
          <w:szCs w:val="24"/>
        </w:rPr>
        <w:t xml:space="preserve">. </w:t>
      </w:r>
      <w:r w:rsidR="00221806">
        <w:rPr>
          <w:sz w:val="24"/>
          <w:szCs w:val="24"/>
        </w:rPr>
        <w:t xml:space="preserve"> </w:t>
      </w:r>
      <w:r w:rsidRPr="00B43CD6">
        <w:rPr>
          <w:sz w:val="24"/>
          <w:szCs w:val="24"/>
        </w:rPr>
        <w:t xml:space="preserve">Jurisdiction may not be conferred by the parties where none exists. </w:t>
      </w:r>
      <w:hyperlink r:id="rId11" w:history="1">
        <w:r w:rsidRPr="00B43CD6">
          <w:rPr>
            <w:sz w:val="24"/>
            <w:szCs w:val="24"/>
            <w:u w:val="single"/>
          </w:rPr>
          <w:t xml:space="preserve">Roberts v. </w:t>
        </w:r>
        <w:proofErr w:type="spellStart"/>
        <w:r w:rsidRPr="00B43CD6">
          <w:rPr>
            <w:sz w:val="24"/>
            <w:szCs w:val="24"/>
            <w:u w:val="single"/>
          </w:rPr>
          <w:t>Martorano</w:t>
        </w:r>
        <w:proofErr w:type="spellEnd"/>
      </w:hyperlink>
      <w:hyperlink r:id="rId12" w:history="1">
        <w:r w:rsidRPr="00B43CD6">
          <w:rPr>
            <w:sz w:val="24"/>
            <w:szCs w:val="24"/>
          </w:rPr>
          <w:t>, 235 A.2d 602 (Pa. 1967)</w:t>
        </w:r>
      </w:hyperlink>
      <w:r w:rsidRPr="00B43CD6">
        <w:rPr>
          <w:sz w:val="24"/>
          <w:szCs w:val="24"/>
        </w:rPr>
        <w:t xml:space="preserve">. </w:t>
      </w:r>
      <w:r w:rsidR="00221806">
        <w:rPr>
          <w:sz w:val="24"/>
          <w:szCs w:val="24"/>
        </w:rPr>
        <w:t xml:space="preserve"> </w:t>
      </w:r>
      <w:r w:rsidRPr="00B43CD6">
        <w:rPr>
          <w:sz w:val="24"/>
          <w:szCs w:val="24"/>
        </w:rPr>
        <w:t xml:space="preserve">Subject matter jurisdiction is a prerequisite to the exercise of power to decide a controversy. </w:t>
      </w:r>
      <w:r w:rsidR="00221806">
        <w:rPr>
          <w:sz w:val="24"/>
          <w:szCs w:val="24"/>
        </w:rPr>
        <w:t xml:space="preserve"> </w:t>
      </w:r>
      <w:hyperlink r:id="rId13" w:history="1">
        <w:r w:rsidRPr="00B43CD6">
          <w:rPr>
            <w:sz w:val="24"/>
            <w:szCs w:val="24"/>
            <w:u w:val="single"/>
          </w:rPr>
          <w:t>Hughes v. Pennsylvania State Police</w:t>
        </w:r>
      </w:hyperlink>
      <w:hyperlink r:id="rId14" w:history="1">
        <w:r w:rsidR="00221806">
          <w:rPr>
            <w:sz w:val="24"/>
            <w:szCs w:val="24"/>
          </w:rPr>
          <w:t>, 619 A.2d 390 (</w:t>
        </w:r>
        <w:proofErr w:type="spellStart"/>
        <w:proofErr w:type="gramStart"/>
        <w:r w:rsidR="00221806">
          <w:rPr>
            <w:sz w:val="24"/>
            <w:szCs w:val="24"/>
          </w:rPr>
          <w:t>Pa.</w:t>
        </w:r>
        <w:r w:rsidRPr="00B43CD6">
          <w:rPr>
            <w:sz w:val="24"/>
            <w:szCs w:val="24"/>
          </w:rPr>
          <w:t>Cmwlth</w:t>
        </w:r>
        <w:proofErr w:type="spellEnd"/>
        <w:proofErr w:type="gramEnd"/>
        <w:r w:rsidRPr="00B43CD6">
          <w:rPr>
            <w:sz w:val="24"/>
            <w:szCs w:val="24"/>
          </w:rPr>
          <w:t>. 1992)</w:t>
        </w:r>
      </w:hyperlink>
      <w:r w:rsidR="00221806">
        <w:rPr>
          <w:sz w:val="24"/>
          <w:szCs w:val="24"/>
        </w:rPr>
        <w:t xml:space="preserve"> </w:t>
      </w:r>
      <w:proofErr w:type="spellStart"/>
      <w:r w:rsidRPr="00B43CD6">
        <w:rPr>
          <w:sz w:val="24"/>
          <w:szCs w:val="24"/>
          <w:u w:val="single"/>
        </w:rPr>
        <w:t>alloc</w:t>
      </w:r>
      <w:proofErr w:type="spellEnd"/>
      <w:r w:rsidRPr="00B43CD6">
        <w:rPr>
          <w:sz w:val="24"/>
          <w:szCs w:val="24"/>
          <w:u w:val="single"/>
        </w:rPr>
        <w:t>. denied</w:t>
      </w:r>
      <w:r w:rsidR="00461C58" w:rsidRPr="00461C58">
        <w:rPr>
          <w:sz w:val="24"/>
          <w:szCs w:val="24"/>
        </w:rPr>
        <w:t>,</w:t>
      </w:r>
      <w:r w:rsidR="00221806" w:rsidRPr="008619C4">
        <w:rPr>
          <w:sz w:val="24"/>
          <w:szCs w:val="24"/>
        </w:rPr>
        <w:t xml:space="preserve"> </w:t>
      </w:r>
      <w:hyperlink r:id="rId15" w:history="1">
        <w:r w:rsidRPr="00B43CD6">
          <w:rPr>
            <w:sz w:val="24"/>
            <w:szCs w:val="24"/>
          </w:rPr>
          <w:t>637 A.2d 293 (Pa. 1993)</w:t>
        </w:r>
      </w:hyperlink>
      <w:r w:rsidRPr="00B43CD6">
        <w:rPr>
          <w:sz w:val="24"/>
          <w:szCs w:val="24"/>
        </w:rPr>
        <w:t>.</w:t>
      </w:r>
      <w:bookmarkStart w:id="0" w:name="_GoBack"/>
      <w:bookmarkEnd w:id="0"/>
    </w:p>
    <w:p w:rsidR="00A93C21" w:rsidRPr="00B43CD6" w:rsidRDefault="00A93C21" w:rsidP="00A93C21">
      <w:pPr>
        <w:widowControl w:val="0"/>
        <w:autoSpaceDE w:val="0"/>
        <w:autoSpaceDN w:val="0"/>
        <w:adjustRightInd w:val="0"/>
        <w:spacing w:line="360" w:lineRule="auto"/>
        <w:rPr>
          <w:sz w:val="24"/>
          <w:szCs w:val="24"/>
        </w:rPr>
      </w:pPr>
    </w:p>
    <w:p w:rsidR="00A93C21" w:rsidRPr="00B43CD6" w:rsidRDefault="00A93C21" w:rsidP="00221806">
      <w:pPr>
        <w:widowControl w:val="0"/>
        <w:autoSpaceDE w:val="0"/>
        <w:autoSpaceDN w:val="0"/>
        <w:adjustRightInd w:val="0"/>
        <w:spacing w:line="360" w:lineRule="auto"/>
        <w:ind w:firstLine="1440"/>
        <w:rPr>
          <w:color w:val="000000"/>
          <w:sz w:val="24"/>
          <w:szCs w:val="24"/>
        </w:rPr>
      </w:pPr>
      <w:r w:rsidRPr="00B43CD6">
        <w:rPr>
          <w:color w:val="000000"/>
          <w:sz w:val="24"/>
          <w:szCs w:val="24"/>
        </w:rPr>
        <w:t xml:space="preserve">In </w:t>
      </w:r>
      <w:proofErr w:type="spellStart"/>
      <w:r w:rsidRPr="00B43CD6">
        <w:rPr>
          <w:color w:val="000000"/>
          <w:sz w:val="24"/>
          <w:szCs w:val="24"/>
          <w:u w:val="single"/>
        </w:rPr>
        <w:t>Boczar</w:t>
      </w:r>
      <w:proofErr w:type="spellEnd"/>
      <w:r w:rsidRPr="00B43CD6">
        <w:rPr>
          <w:color w:val="000000"/>
          <w:sz w:val="24"/>
          <w:szCs w:val="24"/>
          <w:u w:val="single"/>
        </w:rPr>
        <w:t xml:space="preserve"> v. PPL Electric Utilities Corp.</w:t>
      </w:r>
      <w:r w:rsidRPr="00B43CD6">
        <w:rPr>
          <w:color w:val="000000"/>
          <w:sz w:val="24"/>
          <w:szCs w:val="24"/>
        </w:rPr>
        <w:t xml:space="preserve">, Docket No. C-20016332 (Order entered February 10, 2003), the complainant alleged that the utility was not authorized to place its poles, transformers and cable lines on his property. </w:t>
      </w:r>
      <w:r w:rsidR="00221806">
        <w:rPr>
          <w:color w:val="000000"/>
          <w:sz w:val="24"/>
          <w:szCs w:val="24"/>
        </w:rPr>
        <w:t xml:space="preserve"> </w:t>
      </w:r>
      <w:r w:rsidRPr="00B43CD6">
        <w:rPr>
          <w:color w:val="000000"/>
          <w:sz w:val="24"/>
          <w:szCs w:val="24"/>
        </w:rPr>
        <w:t xml:space="preserve">The Commission stated that the utility produced </w:t>
      </w:r>
      <w:r w:rsidRPr="00B43CD6">
        <w:rPr>
          <w:bCs/>
          <w:color w:val="000000"/>
          <w:sz w:val="24"/>
          <w:szCs w:val="24"/>
        </w:rPr>
        <w:t>right</w:t>
      </w:r>
      <w:r w:rsidR="00221806">
        <w:rPr>
          <w:bCs/>
          <w:color w:val="000000"/>
          <w:sz w:val="24"/>
          <w:szCs w:val="24"/>
        </w:rPr>
        <w:t>-</w:t>
      </w:r>
      <w:r w:rsidRPr="00B43CD6">
        <w:rPr>
          <w:color w:val="000000"/>
          <w:sz w:val="24"/>
          <w:szCs w:val="24"/>
        </w:rPr>
        <w:t>of</w:t>
      </w:r>
      <w:r w:rsidR="00221806">
        <w:rPr>
          <w:color w:val="000000"/>
          <w:sz w:val="24"/>
          <w:szCs w:val="24"/>
        </w:rPr>
        <w:t>-</w:t>
      </w:r>
      <w:r w:rsidRPr="00B43CD6">
        <w:rPr>
          <w:bCs/>
          <w:color w:val="000000"/>
          <w:sz w:val="24"/>
          <w:szCs w:val="24"/>
        </w:rPr>
        <w:t>way</w:t>
      </w:r>
      <w:r w:rsidRPr="00B43CD6">
        <w:rPr>
          <w:color w:val="000000"/>
          <w:sz w:val="24"/>
          <w:szCs w:val="24"/>
        </w:rPr>
        <w:t xml:space="preserve"> agreements for the facilities in question and concluded that it was without </w:t>
      </w:r>
      <w:r w:rsidRPr="00B43CD6">
        <w:rPr>
          <w:bCs/>
          <w:color w:val="000000"/>
          <w:sz w:val="24"/>
          <w:szCs w:val="24"/>
        </w:rPr>
        <w:t>jurisdiction</w:t>
      </w:r>
      <w:r w:rsidRPr="00B43CD6">
        <w:rPr>
          <w:color w:val="000000"/>
          <w:sz w:val="24"/>
          <w:szCs w:val="24"/>
        </w:rPr>
        <w:t xml:space="preserve"> to determine property rights concerning these easements. </w:t>
      </w:r>
      <w:r w:rsidR="00221806">
        <w:rPr>
          <w:color w:val="000000"/>
          <w:sz w:val="24"/>
          <w:szCs w:val="24"/>
        </w:rPr>
        <w:t xml:space="preserve"> </w:t>
      </w:r>
      <w:r w:rsidRPr="00B43CD6">
        <w:rPr>
          <w:color w:val="000000"/>
          <w:sz w:val="24"/>
          <w:szCs w:val="24"/>
        </w:rPr>
        <w:t xml:space="preserve">In </w:t>
      </w:r>
      <w:r w:rsidRPr="00B43CD6">
        <w:rPr>
          <w:color w:val="000000"/>
          <w:sz w:val="24"/>
          <w:szCs w:val="24"/>
          <w:u w:val="single"/>
        </w:rPr>
        <w:t>Lou Amati/Amati Service Station v. West Penn Power Co. and Bell Atlantic Pennsylvania, Inc.</w:t>
      </w:r>
      <w:r w:rsidRPr="00B43CD6">
        <w:rPr>
          <w:color w:val="000000"/>
          <w:sz w:val="24"/>
          <w:szCs w:val="24"/>
        </w:rPr>
        <w:t>, Docket No. C</w:t>
      </w:r>
      <w:r w:rsidR="006C7BA2">
        <w:rPr>
          <w:color w:val="000000"/>
          <w:sz w:val="24"/>
          <w:szCs w:val="24"/>
        </w:rPr>
        <w:noBreakHyphen/>
      </w:r>
      <w:r w:rsidRPr="00B43CD6">
        <w:rPr>
          <w:color w:val="000000"/>
          <w:sz w:val="24"/>
          <w:szCs w:val="24"/>
        </w:rPr>
        <w:t xml:space="preserve">00945842 (Order entered October 25, 1995), the Commission stated that real property issues, such as trespass and whether utility facilities were located pursuant to a valid easement are within the exclusive </w:t>
      </w:r>
      <w:r w:rsidRPr="00B43CD6">
        <w:rPr>
          <w:bCs/>
          <w:color w:val="000000"/>
          <w:sz w:val="24"/>
          <w:szCs w:val="24"/>
        </w:rPr>
        <w:t>jurisdiction</w:t>
      </w:r>
      <w:r w:rsidRPr="00B43CD6">
        <w:rPr>
          <w:color w:val="000000"/>
          <w:sz w:val="24"/>
          <w:szCs w:val="24"/>
        </w:rPr>
        <w:t xml:space="preserve"> of the </w:t>
      </w:r>
      <w:r w:rsidR="005F19F8">
        <w:rPr>
          <w:color w:val="000000"/>
          <w:sz w:val="24"/>
          <w:szCs w:val="24"/>
        </w:rPr>
        <w:t>C</w:t>
      </w:r>
      <w:r w:rsidRPr="00B43CD6">
        <w:rPr>
          <w:color w:val="000000"/>
          <w:sz w:val="24"/>
          <w:szCs w:val="24"/>
        </w:rPr>
        <w:t xml:space="preserve">ourt of </w:t>
      </w:r>
      <w:r w:rsidR="005F19F8">
        <w:rPr>
          <w:color w:val="000000"/>
          <w:sz w:val="24"/>
          <w:szCs w:val="24"/>
        </w:rPr>
        <w:t>C</w:t>
      </w:r>
      <w:r w:rsidRPr="00B43CD6">
        <w:rPr>
          <w:color w:val="000000"/>
          <w:sz w:val="24"/>
          <w:szCs w:val="24"/>
        </w:rPr>
        <w:t xml:space="preserve">ommon </w:t>
      </w:r>
      <w:r w:rsidR="005F19F8">
        <w:rPr>
          <w:color w:val="000000"/>
          <w:sz w:val="24"/>
          <w:szCs w:val="24"/>
        </w:rPr>
        <w:t>P</w:t>
      </w:r>
      <w:r w:rsidRPr="00B43CD6">
        <w:rPr>
          <w:color w:val="000000"/>
          <w:sz w:val="24"/>
          <w:szCs w:val="24"/>
        </w:rPr>
        <w:t>leas.</w:t>
      </w:r>
    </w:p>
    <w:p w:rsidR="00A93C21" w:rsidRPr="00B43CD6" w:rsidRDefault="00A93C21" w:rsidP="00A93C21">
      <w:pPr>
        <w:widowControl w:val="0"/>
        <w:autoSpaceDE w:val="0"/>
        <w:autoSpaceDN w:val="0"/>
        <w:adjustRightInd w:val="0"/>
        <w:spacing w:line="288" w:lineRule="auto"/>
        <w:rPr>
          <w:color w:val="000000"/>
          <w:sz w:val="24"/>
          <w:szCs w:val="24"/>
        </w:rPr>
      </w:pPr>
    </w:p>
    <w:p w:rsidR="00A93C21" w:rsidRPr="00B43CD6" w:rsidRDefault="00A93C21" w:rsidP="00221806">
      <w:pPr>
        <w:widowControl w:val="0"/>
        <w:autoSpaceDE w:val="0"/>
        <w:autoSpaceDN w:val="0"/>
        <w:adjustRightInd w:val="0"/>
        <w:spacing w:line="360" w:lineRule="auto"/>
        <w:ind w:firstLine="1440"/>
        <w:rPr>
          <w:color w:val="000000"/>
          <w:sz w:val="24"/>
          <w:szCs w:val="24"/>
        </w:rPr>
      </w:pPr>
      <w:r w:rsidRPr="00B43CD6">
        <w:rPr>
          <w:color w:val="000000"/>
          <w:sz w:val="24"/>
          <w:szCs w:val="24"/>
        </w:rPr>
        <w:t xml:space="preserve">The interpretation of legal instruments related to property rights, such as those granting easements and </w:t>
      </w:r>
      <w:r w:rsidRPr="00B43CD6">
        <w:rPr>
          <w:bCs/>
          <w:color w:val="000000"/>
          <w:sz w:val="24"/>
          <w:szCs w:val="24"/>
        </w:rPr>
        <w:t>rights</w:t>
      </w:r>
      <w:r w:rsidRPr="00B43CD6">
        <w:rPr>
          <w:color w:val="000000"/>
          <w:sz w:val="24"/>
          <w:szCs w:val="24"/>
        </w:rPr>
        <w:t>-of-</w:t>
      </w:r>
      <w:r w:rsidRPr="00B43CD6">
        <w:rPr>
          <w:bCs/>
          <w:color w:val="000000"/>
          <w:sz w:val="24"/>
          <w:szCs w:val="24"/>
        </w:rPr>
        <w:t>way</w:t>
      </w:r>
      <w:r w:rsidRPr="00B43CD6">
        <w:rPr>
          <w:color w:val="000000"/>
          <w:sz w:val="24"/>
          <w:szCs w:val="24"/>
        </w:rPr>
        <w:t xml:space="preserve">, are a matter for a court of general </w:t>
      </w:r>
      <w:r w:rsidRPr="00B43CD6">
        <w:rPr>
          <w:bCs/>
          <w:color w:val="000000"/>
          <w:sz w:val="24"/>
          <w:szCs w:val="24"/>
        </w:rPr>
        <w:t>jurisdiction</w:t>
      </w:r>
      <w:r w:rsidRPr="00B43CD6">
        <w:rPr>
          <w:color w:val="000000"/>
          <w:sz w:val="24"/>
          <w:szCs w:val="24"/>
        </w:rPr>
        <w:t xml:space="preserve">. </w:t>
      </w:r>
      <w:r w:rsidR="00221806">
        <w:rPr>
          <w:color w:val="000000"/>
          <w:sz w:val="24"/>
          <w:szCs w:val="24"/>
        </w:rPr>
        <w:t xml:space="preserve"> </w:t>
      </w:r>
      <w:proofErr w:type="spellStart"/>
      <w:r w:rsidRPr="006C7BA2">
        <w:rPr>
          <w:iCs/>
          <w:color w:val="000000"/>
          <w:sz w:val="24"/>
          <w:szCs w:val="24"/>
          <w:u w:val="single"/>
        </w:rPr>
        <w:t>Fiorello</w:t>
      </w:r>
      <w:proofErr w:type="spellEnd"/>
      <w:r w:rsidRPr="006C7BA2">
        <w:rPr>
          <w:iCs/>
          <w:color w:val="000000"/>
          <w:sz w:val="24"/>
          <w:szCs w:val="24"/>
          <w:u w:val="single"/>
        </w:rPr>
        <w:t xml:space="preserve"> v. PECO Energy Company</w:t>
      </w:r>
      <w:r w:rsidRPr="00B43CD6">
        <w:rPr>
          <w:i/>
          <w:iCs/>
          <w:color w:val="000000"/>
          <w:sz w:val="24"/>
          <w:szCs w:val="24"/>
        </w:rPr>
        <w:t>,</w:t>
      </w:r>
      <w:r w:rsidRPr="00B43CD6">
        <w:rPr>
          <w:color w:val="000000"/>
          <w:sz w:val="24"/>
          <w:szCs w:val="24"/>
        </w:rPr>
        <w:t xml:space="preserve"> Docket No. C-00971088 (Order entered September 14, 1999)</w:t>
      </w:r>
      <w:r w:rsidR="006C7BA2">
        <w:rPr>
          <w:color w:val="000000"/>
          <w:sz w:val="24"/>
          <w:szCs w:val="24"/>
        </w:rPr>
        <w:t xml:space="preserve"> </w:t>
      </w:r>
      <w:r w:rsidRPr="00B43CD6">
        <w:rPr>
          <w:color w:val="000000"/>
          <w:sz w:val="24"/>
          <w:szCs w:val="24"/>
        </w:rPr>
        <w:t xml:space="preserve">(the Commission found a valid </w:t>
      </w:r>
      <w:r w:rsidRPr="00B43CD6">
        <w:rPr>
          <w:bCs/>
          <w:color w:val="000000"/>
          <w:sz w:val="24"/>
          <w:szCs w:val="24"/>
        </w:rPr>
        <w:t>right</w:t>
      </w:r>
      <w:r w:rsidRPr="00B43CD6">
        <w:rPr>
          <w:color w:val="000000"/>
          <w:sz w:val="24"/>
          <w:szCs w:val="24"/>
        </w:rPr>
        <w:t>-of-</w:t>
      </w:r>
      <w:r w:rsidRPr="00B43CD6">
        <w:rPr>
          <w:bCs/>
          <w:color w:val="000000"/>
          <w:sz w:val="24"/>
          <w:szCs w:val="24"/>
        </w:rPr>
        <w:t>way</w:t>
      </w:r>
      <w:r w:rsidRPr="00B43CD6">
        <w:rPr>
          <w:color w:val="000000"/>
          <w:sz w:val="24"/>
          <w:szCs w:val="24"/>
        </w:rPr>
        <w:t xml:space="preserve"> and the interpretation of that agreement was held to be a substantive property rights</w:t>
      </w:r>
      <w:r w:rsidR="00221806">
        <w:rPr>
          <w:color w:val="000000"/>
          <w:sz w:val="24"/>
          <w:szCs w:val="24"/>
        </w:rPr>
        <w:t>’</w:t>
      </w:r>
      <w:r w:rsidRPr="00B43CD6">
        <w:rPr>
          <w:color w:val="000000"/>
          <w:sz w:val="24"/>
          <w:szCs w:val="24"/>
        </w:rPr>
        <w:t xml:space="preserve"> issue within the </w:t>
      </w:r>
      <w:r w:rsidR="005F19F8">
        <w:rPr>
          <w:color w:val="000000"/>
          <w:sz w:val="24"/>
          <w:szCs w:val="24"/>
        </w:rPr>
        <w:t>C</w:t>
      </w:r>
      <w:r w:rsidRPr="00B43CD6">
        <w:rPr>
          <w:color w:val="000000"/>
          <w:sz w:val="24"/>
          <w:szCs w:val="24"/>
        </w:rPr>
        <w:t xml:space="preserve">ourt of </w:t>
      </w:r>
      <w:r w:rsidR="005F19F8">
        <w:rPr>
          <w:color w:val="000000"/>
          <w:sz w:val="24"/>
          <w:szCs w:val="24"/>
        </w:rPr>
        <w:t>C</w:t>
      </w:r>
      <w:r w:rsidRPr="00B43CD6">
        <w:rPr>
          <w:color w:val="000000"/>
          <w:sz w:val="24"/>
          <w:szCs w:val="24"/>
        </w:rPr>
        <w:t xml:space="preserve">ommon </w:t>
      </w:r>
      <w:r w:rsidR="005F19F8">
        <w:rPr>
          <w:color w:val="000000"/>
          <w:sz w:val="24"/>
          <w:szCs w:val="24"/>
        </w:rPr>
        <w:t>P</w:t>
      </w:r>
      <w:r w:rsidRPr="00B43CD6">
        <w:rPr>
          <w:color w:val="000000"/>
          <w:sz w:val="24"/>
          <w:szCs w:val="24"/>
        </w:rPr>
        <w:t>leas</w:t>
      </w:r>
      <w:r w:rsidR="00221806">
        <w:rPr>
          <w:color w:val="000000"/>
          <w:sz w:val="24"/>
          <w:szCs w:val="24"/>
        </w:rPr>
        <w:t>’</w:t>
      </w:r>
      <w:r w:rsidRPr="00B43CD6">
        <w:rPr>
          <w:color w:val="000000"/>
          <w:sz w:val="24"/>
          <w:szCs w:val="24"/>
        </w:rPr>
        <w:t xml:space="preserve"> </w:t>
      </w:r>
      <w:r w:rsidRPr="00B43CD6">
        <w:rPr>
          <w:bCs/>
          <w:color w:val="000000"/>
          <w:sz w:val="24"/>
          <w:szCs w:val="24"/>
        </w:rPr>
        <w:t>jurisdiction</w:t>
      </w:r>
      <w:r w:rsidRPr="00B43CD6">
        <w:rPr>
          <w:color w:val="000000"/>
          <w:sz w:val="24"/>
          <w:szCs w:val="24"/>
        </w:rPr>
        <w:t xml:space="preserve">).  </w:t>
      </w:r>
    </w:p>
    <w:p w:rsidR="00A93C21" w:rsidRPr="00B43CD6" w:rsidRDefault="00A93C21" w:rsidP="00A93C21">
      <w:pPr>
        <w:widowControl w:val="0"/>
        <w:autoSpaceDE w:val="0"/>
        <w:autoSpaceDN w:val="0"/>
        <w:adjustRightInd w:val="0"/>
        <w:spacing w:line="288" w:lineRule="auto"/>
        <w:rPr>
          <w:color w:val="000000"/>
          <w:sz w:val="24"/>
          <w:szCs w:val="24"/>
        </w:rPr>
      </w:pPr>
    </w:p>
    <w:p w:rsidR="00A93C21" w:rsidRPr="00B43CD6" w:rsidRDefault="00A93C21" w:rsidP="00221806">
      <w:pPr>
        <w:tabs>
          <w:tab w:val="left" w:pos="2160"/>
        </w:tabs>
        <w:spacing w:line="360" w:lineRule="auto"/>
        <w:ind w:firstLine="1440"/>
        <w:rPr>
          <w:sz w:val="24"/>
          <w:szCs w:val="24"/>
        </w:rPr>
      </w:pPr>
      <w:r w:rsidRPr="00B43CD6">
        <w:rPr>
          <w:color w:val="000000"/>
          <w:sz w:val="24"/>
          <w:szCs w:val="24"/>
        </w:rPr>
        <w:t xml:space="preserve">Under the circumstances, </w:t>
      </w:r>
      <w:r w:rsidRPr="00B43CD6">
        <w:rPr>
          <w:sz w:val="24"/>
          <w:szCs w:val="24"/>
        </w:rPr>
        <w:t xml:space="preserve">the determination of whether an easement exists is a question of fact that is incident to the jurisdiction of the Commission.  Making such a determination does not go beyond the limit of the jurisdictional authority of the Commission.  </w:t>
      </w:r>
    </w:p>
    <w:p w:rsidR="00A93C21" w:rsidRDefault="00A93C21" w:rsidP="00A93C21">
      <w:pPr>
        <w:tabs>
          <w:tab w:val="left" w:pos="2160"/>
        </w:tabs>
        <w:spacing w:line="360" w:lineRule="auto"/>
        <w:ind w:right="720" w:firstLine="720"/>
        <w:rPr>
          <w:sz w:val="24"/>
          <w:szCs w:val="24"/>
        </w:rPr>
      </w:pPr>
    </w:p>
    <w:p w:rsidR="000708D0" w:rsidRPr="00B43CD6" w:rsidRDefault="000708D0" w:rsidP="00A93C21">
      <w:pPr>
        <w:tabs>
          <w:tab w:val="left" w:pos="2160"/>
        </w:tabs>
        <w:spacing w:line="360" w:lineRule="auto"/>
        <w:ind w:right="720" w:firstLine="720"/>
        <w:rPr>
          <w:sz w:val="24"/>
          <w:szCs w:val="24"/>
        </w:rPr>
      </w:pPr>
    </w:p>
    <w:p w:rsidR="00A93C21" w:rsidRPr="00B43CD6" w:rsidRDefault="00A93C21" w:rsidP="006C7BA2">
      <w:pPr>
        <w:spacing w:line="360" w:lineRule="auto"/>
        <w:ind w:firstLine="1440"/>
        <w:rPr>
          <w:sz w:val="24"/>
          <w:szCs w:val="24"/>
        </w:rPr>
      </w:pPr>
      <w:r w:rsidRPr="00B43CD6">
        <w:rPr>
          <w:sz w:val="24"/>
          <w:szCs w:val="24"/>
        </w:rPr>
        <w:t xml:space="preserve">Furthermore, in the instant case, Complainant avers that Respondent has effectively trimmed the trees which are a subject of this dispute, every 6-7 years in the past. Respondent now plans to remove </w:t>
      </w:r>
      <w:r w:rsidR="00673DD0" w:rsidRPr="00B43CD6">
        <w:rPr>
          <w:sz w:val="24"/>
          <w:szCs w:val="24"/>
        </w:rPr>
        <w:t xml:space="preserve">a significant number of </w:t>
      </w:r>
      <w:r w:rsidRPr="00B43CD6">
        <w:rPr>
          <w:sz w:val="24"/>
          <w:szCs w:val="24"/>
        </w:rPr>
        <w:t>trees a</w:t>
      </w:r>
      <w:r w:rsidR="00673DD0" w:rsidRPr="00B43CD6">
        <w:rPr>
          <w:sz w:val="24"/>
          <w:szCs w:val="24"/>
        </w:rPr>
        <w:t xml:space="preserve">long with </w:t>
      </w:r>
      <w:r w:rsidRPr="00B43CD6">
        <w:rPr>
          <w:sz w:val="24"/>
          <w:szCs w:val="24"/>
        </w:rPr>
        <w:t xml:space="preserve">other vegetation, instead of </w:t>
      </w:r>
      <w:r w:rsidR="00673DD0" w:rsidRPr="00B43CD6">
        <w:rPr>
          <w:sz w:val="24"/>
          <w:szCs w:val="24"/>
        </w:rPr>
        <w:t>continuing its practice of trimming the trees.</w:t>
      </w:r>
      <w:r w:rsidRPr="00B43CD6">
        <w:rPr>
          <w:sz w:val="24"/>
          <w:szCs w:val="24"/>
        </w:rPr>
        <w:t xml:space="preserve"> </w:t>
      </w:r>
      <w:r w:rsidR="00221FA3">
        <w:rPr>
          <w:sz w:val="24"/>
          <w:szCs w:val="24"/>
        </w:rPr>
        <w:t xml:space="preserve"> </w:t>
      </w:r>
      <w:r w:rsidRPr="00B43CD6">
        <w:rPr>
          <w:sz w:val="24"/>
          <w:szCs w:val="24"/>
        </w:rPr>
        <w:t>Complainant requests that Respondent be ordered to forego the removal of the trees</w:t>
      </w:r>
      <w:r w:rsidR="00673DD0" w:rsidRPr="00B43CD6">
        <w:rPr>
          <w:sz w:val="24"/>
          <w:szCs w:val="24"/>
        </w:rPr>
        <w:t>.</w:t>
      </w:r>
    </w:p>
    <w:p w:rsidR="00673DD0" w:rsidRPr="00B43CD6" w:rsidRDefault="00673DD0" w:rsidP="00A93C21">
      <w:pPr>
        <w:spacing w:line="360" w:lineRule="auto"/>
        <w:ind w:firstLine="720"/>
        <w:rPr>
          <w:sz w:val="24"/>
          <w:szCs w:val="24"/>
        </w:rPr>
      </w:pPr>
    </w:p>
    <w:p w:rsidR="001D0DB6" w:rsidRPr="00B43CD6" w:rsidRDefault="001D0DB6" w:rsidP="001D0DB6">
      <w:pPr>
        <w:keepNext/>
        <w:keepLines/>
        <w:spacing w:line="360" w:lineRule="auto"/>
        <w:ind w:firstLine="1440"/>
        <w:contextualSpacing/>
        <w:rPr>
          <w:sz w:val="24"/>
          <w:szCs w:val="24"/>
        </w:rPr>
      </w:pPr>
      <w:r w:rsidRPr="00B43CD6">
        <w:rPr>
          <w:sz w:val="24"/>
          <w:szCs w:val="24"/>
        </w:rPr>
        <w:t>Complainant</w:t>
      </w:r>
      <w:r w:rsidR="00A61279">
        <w:rPr>
          <w:sz w:val="24"/>
          <w:szCs w:val="24"/>
        </w:rPr>
        <w:t>’</w:t>
      </w:r>
      <w:r w:rsidRPr="00B43CD6">
        <w:rPr>
          <w:sz w:val="24"/>
          <w:szCs w:val="24"/>
        </w:rPr>
        <w:t xml:space="preserve">s averments and request for relief in this case appears to require a determination of whether Respondent’s vegetation management program and the proposed execution of the plan is compliant with our statute, regulations, and orders within the scope of “service” as outlined in Section 1501 of the Code.  Public utility service includes undertaking proper vegetation management because minimizing the opportunity for service outages caused by vegetation is critical to the provision of safe and reliable electricity.  Complainant </w:t>
      </w:r>
      <w:r w:rsidR="00E948FB" w:rsidRPr="00B43CD6">
        <w:rPr>
          <w:sz w:val="24"/>
          <w:szCs w:val="24"/>
        </w:rPr>
        <w:t xml:space="preserve">has not </w:t>
      </w:r>
      <w:r w:rsidRPr="00B43CD6">
        <w:rPr>
          <w:sz w:val="24"/>
          <w:szCs w:val="24"/>
        </w:rPr>
        <w:t>take</w:t>
      </w:r>
      <w:r w:rsidR="00E948FB" w:rsidRPr="00B43CD6">
        <w:rPr>
          <w:sz w:val="24"/>
          <w:szCs w:val="24"/>
        </w:rPr>
        <w:t>n</w:t>
      </w:r>
      <w:r w:rsidRPr="00B43CD6">
        <w:rPr>
          <w:sz w:val="24"/>
          <w:szCs w:val="24"/>
        </w:rPr>
        <w:t xml:space="preserve"> issue with </w:t>
      </w:r>
      <w:r w:rsidR="00E948FB" w:rsidRPr="00B43CD6">
        <w:rPr>
          <w:sz w:val="24"/>
          <w:szCs w:val="24"/>
        </w:rPr>
        <w:t>Respondent</w:t>
      </w:r>
      <w:r w:rsidRPr="00B43CD6">
        <w:rPr>
          <w:sz w:val="24"/>
          <w:szCs w:val="24"/>
        </w:rPr>
        <w:t xml:space="preserve">’s entire vegetation management program, but instead </w:t>
      </w:r>
      <w:r w:rsidR="00E948FB" w:rsidRPr="00B43CD6">
        <w:rPr>
          <w:sz w:val="24"/>
          <w:szCs w:val="24"/>
        </w:rPr>
        <w:t>alleges that the subject trees were successfully trimmed in the past, however Respondent now intends to remove approximately 25 trees.</w:t>
      </w:r>
    </w:p>
    <w:p w:rsidR="001D0DB6" w:rsidRPr="00B43CD6" w:rsidRDefault="001D0DB6" w:rsidP="001D0DB6">
      <w:pPr>
        <w:spacing w:line="360" w:lineRule="auto"/>
        <w:ind w:firstLine="1440"/>
        <w:contextualSpacing/>
        <w:rPr>
          <w:sz w:val="24"/>
          <w:szCs w:val="24"/>
        </w:rPr>
      </w:pPr>
    </w:p>
    <w:p w:rsidR="00416539" w:rsidRPr="00B43CD6" w:rsidRDefault="00E948FB" w:rsidP="001D0DB6">
      <w:pPr>
        <w:spacing w:line="360" w:lineRule="auto"/>
        <w:ind w:firstLine="1440"/>
        <w:contextualSpacing/>
        <w:rPr>
          <w:sz w:val="24"/>
          <w:szCs w:val="24"/>
        </w:rPr>
      </w:pPr>
      <w:r w:rsidRPr="00B43CD6">
        <w:rPr>
          <w:sz w:val="24"/>
          <w:szCs w:val="24"/>
        </w:rPr>
        <w:t>I</w:t>
      </w:r>
      <w:r w:rsidR="001D0DB6" w:rsidRPr="00B43CD6">
        <w:rPr>
          <w:sz w:val="24"/>
          <w:szCs w:val="24"/>
        </w:rPr>
        <w:t xml:space="preserve">t </w:t>
      </w:r>
      <w:r w:rsidRPr="00B43CD6">
        <w:rPr>
          <w:sz w:val="24"/>
          <w:szCs w:val="24"/>
        </w:rPr>
        <w:t>is</w:t>
      </w:r>
      <w:r w:rsidR="001D0DB6" w:rsidRPr="00B43CD6">
        <w:rPr>
          <w:sz w:val="24"/>
          <w:szCs w:val="24"/>
        </w:rPr>
        <w:t xml:space="preserve"> not unreasonable for the Complainant to expect, and for </w:t>
      </w:r>
      <w:r w:rsidR="00416539" w:rsidRPr="00B43CD6">
        <w:rPr>
          <w:sz w:val="24"/>
          <w:szCs w:val="24"/>
        </w:rPr>
        <w:t xml:space="preserve">Respondent to </w:t>
      </w:r>
      <w:r w:rsidR="001D0DB6" w:rsidRPr="00B43CD6">
        <w:rPr>
          <w:sz w:val="24"/>
          <w:szCs w:val="24"/>
        </w:rPr>
        <w:t xml:space="preserve">provide, reasonable and adequate </w:t>
      </w:r>
      <w:r w:rsidR="00416539" w:rsidRPr="00B43CD6">
        <w:rPr>
          <w:sz w:val="24"/>
          <w:szCs w:val="24"/>
        </w:rPr>
        <w:t>vegetation management upon Complainant’s property</w:t>
      </w:r>
      <w:r w:rsidR="001D0DB6" w:rsidRPr="00B43CD6">
        <w:rPr>
          <w:sz w:val="24"/>
          <w:szCs w:val="24"/>
        </w:rPr>
        <w:t>.</w:t>
      </w:r>
      <w:r w:rsidR="00416539" w:rsidRPr="00B43CD6">
        <w:rPr>
          <w:sz w:val="24"/>
          <w:szCs w:val="24"/>
        </w:rPr>
        <w:t xml:space="preserve">  </w:t>
      </w:r>
    </w:p>
    <w:p w:rsidR="00416539" w:rsidRPr="00B43CD6" w:rsidRDefault="00416539" w:rsidP="001D0DB6">
      <w:pPr>
        <w:spacing w:line="360" w:lineRule="auto"/>
        <w:ind w:firstLine="1440"/>
        <w:contextualSpacing/>
        <w:rPr>
          <w:sz w:val="24"/>
          <w:szCs w:val="24"/>
        </w:rPr>
      </w:pPr>
    </w:p>
    <w:p w:rsidR="001D0DB6" w:rsidRPr="00B43CD6" w:rsidRDefault="002C0212" w:rsidP="001D0DB6">
      <w:pPr>
        <w:spacing w:line="360" w:lineRule="auto"/>
        <w:ind w:firstLine="1440"/>
        <w:contextualSpacing/>
        <w:rPr>
          <w:sz w:val="24"/>
          <w:szCs w:val="24"/>
        </w:rPr>
      </w:pPr>
      <w:r w:rsidRPr="00B43CD6">
        <w:rPr>
          <w:sz w:val="24"/>
          <w:szCs w:val="24"/>
        </w:rPr>
        <w:t xml:space="preserve">The Commission has </w:t>
      </w:r>
      <w:r w:rsidR="001D0DB6" w:rsidRPr="00B43CD6">
        <w:rPr>
          <w:sz w:val="24"/>
          <w:szCs w:val="24"/>
        </w:rPr>
        <w:t xml:space="preserve">consistently found that vegetation management falls within </w:t>
      </w:r>
      <w:r w:rsidRPr="00B43CD6">
        <w:rPr>
          <w:sz w:val="24"/>
          <w:szCs w:val="24"/>
        </w:rPr>
        <w:t>its</w:t>
      </w:r>
      <w:r w:rsidR="001D0DB6" w:rsidRPr="00B43CD6">
        <w:rPr>
          <w:sz w:val="24"/>
          <w:szCs w:val="24"/>
        </w:rPr>
        <w:t xml:space="preserve"> purview, and the Commonwealth Court has supported this finding.  </w:t>
      </w:r>
      <w:r w:rsidR="001D0DB6" w:rsidRPr="006C7BA2">
        <w:rPr>
          <w:sz w:val="24"/>
          <w:szCs w:val="24"/>
        </w:rPr>
        <w:t>See</w:t>
      </w:r>
      <w:r w:rsidR="001D0DB6" w:rsidRPr="006C7BA2">
        <w:rPr>
          <w:i/>
          <w:sz w:val="24"/>
          <w:szCs w:val="24"/>
        </w:rPr>
        <w:t xml:space="preserve"> </w:t>
      </w:r>
      <w:r w:rsidR="001D0DB6" w:rsidRPr="006C7BA2">
        <w:rPr>
          <w:sz w:val="24"/>
          <w:szCs w:val="24"/>
          <w:u w:val="single"/>
        </w:rPr>
        <w:t>PECO Energy Company v. Township of Upper Dublin</w:t>
      </w:r>
      <w:r w:rsidR="001D0DB6" w:rsidRPr="00B43CD6">
        <w:rPr>
          <w:sz w:val="24"/>
          <w:szCs w:val="24"/>
        </w:rPr>
        <w:t>, 922 A.2d 996, 1005-06 (</w:t>
      </w:r>
      <w:proofErr w:type="spellStart"/>
      <w:proofErr w:type="gramStart"/>
      <w:r w:rsidR="001D0DB6" w:rsidRPr="00B43CD6">
        <w:rPr>
          <w:sz w:val="24"/>
          <w:szCs w:val="24"/>
        </w:rPr>
        <w:t>Pa.Cmwlth</w:t>
      </w:r>
      <w:proofErr w:type="spellEnd"/>
      <w:proofErr w:type="gramEnd"/>
      <w:r w:rsidR="001D0DB6" w:rsidRPr="00B43CD6">
        <w:rPr>
          <w:sz w:val="24"/>
          <w:szCs w:val="24"/>
        </w:rPr>
        <w:t xml:space="preserve">. 2007); </w:t>
      </w:r>
      <w:r w:rsidR="001D0DB6" w:rsidRPr="006C7BA2">
        <w:rPr>
          <w:sz w:val="24"/>
          <w:szCs w:val="24"/>
          <w:u w:val="single"/>
        </w:rPr>
        <w:t xml:space="preserve">Megan </w:t>
      </w:r>
      <w:proofErr w:type="spellStart"/>
      <w:r w:rsidR="001D0DB6" w:rsidRPr="006C7BA2">
        <w:rPr>
          <w:sz w:val="24"/>
          <w:szCs w:val="24"/>
          <w:u w:val="single"/>
        </w:rPr>
        <w:t>Mohn</w:t>
      </w:r>
      <w:proofErr w:type="spellEnd"/>
      <w:r w:rsidR="001D0DB6" w:rsidRPr="006C7BA2">
        <w:rPr>
          <w:sz w:val="24"/>
          <w:szCs w:val="24"/>
          <w:u w:val="single"/>
        </w:rPr>
        <w:t xml:space="preserve"> v. PPL Electric Utilities Corp</w:t>
      </w:r>
      <w:r w:rsidR="001D0DB6" w:rsidRPr="00B43CD6">
        <w:rPr>
          <w:sz w:val="24"/>
          <w:szCs w:val="24"/>
        </w:rPr>
        <w:t xml:space="preserve">., Docket No. C-2012-2301470 (Order entered October 11, 2012); </w:t>
      </w:r>
      <w:proofErr w:type="spellStart"/>
      <w:r w:rsidR="001D0DB6" w:rsidRPr="006C7BA2">
        <w:rPr>
          <w:sz w:val="24"/>
          <w:szCs w:val="24"/>
          <w:u w:val="single"/>
        </w:rPr>
        <w:t>Yanling</w:t>
      </w:r>
      <w:proofErr w:type="spellEnd"/>
      <w:r w:rsidR="001D0DB6" w:rsidRPr="006C7BA2">
        <w:rPr>
          <w:sz w:val="24"/>
          <w:szCs w:val="24"/>
          <w:u w:val="single"/>
        </w:rPr>
        <w:t xml:space="preserve"> Chen and </w:t>
      </w:r>
      <w:proofErr w:type="spellStart"/>
      <w:r w:rsidR="001D0DB6" w:rsidRPr="006C7BA2">
        <w:rPr>
          <w:sz w:val="24"/>
          <w:szCs w:val="24"/>
          <w:u w:val="single"/>
        </w:rPr>
        <w:t>Jianming</w:t>
      </w:r>
      <w:proofErr w:type="spellEnd"/>
      <w:r w:rsidR="001D0DB6" w:rsidRPr="006C7BA2">
        <w:rPr>
          <w:sz w:val="24"/>
          <w:szCs w:val="24"/>
          <w:u w:val="single"/>
        </w:rPr>
        <w:t xml:space="preserve"> Hu v. Metropolitan Edison Company</w:t>
      </w:r>
      <w:r w:rsidR="001D0DB6" w:rsidRPr="00B43CD6">
        <w:rPr>
          <w:i/>
          <w:sz w:val="24"/>
          <w:szCs w:val="24"/>
        </w:rPr>
        <w:t xml:space="preserve">, </w:t>
      </w:r>
      <w:r w:rsidR="001D0DB6" w:rsidRPr="00B43CD6">
        <w:rPr>
          <w:sz w:val="24"/>
          <w:szCs w:val="24"/>
        </w:rPr>
        <w:t xml:space="preserve">Docket No. C-2013-2397061 (Order entered November 5, 2015); </w:t>
      </w:r>
      <w:r w:rsidR="001D0DB6" w:rsidRPr="006C7BA2">
        <w:rPr>
          <w:sz w:val="24"/>
          <w:szCs w:val="24"/>
          <w:u w:val="single"/>
        </w:rPr>
        <w:t>Gene R. Wagner v. West Penn Power Company</w:t>
      </w:r>
      <w:r w:rsidR="001D0DB6" w:rsidRPr="00B43CD6">
        <w:rPr>
          <w:i/>
          <w:sz w:val="24"/>
          <w:szCs w:val="24"/>
        </w:rPr>
        <w:t xml:space="preserve">, </w:t>
      </w:r>
      <w:r w:rsidR="001D0DB6" w:rsidRPr="00B43CD6">
        <w:rPr>
          <w:sz w:val="24"/>
          <w:szCs w:val="24"/>
        </w:rPr>
        <w:t xml:space="preserve">Docket No. C-2014-2434494 (Final Order entered April 30, 2015); </w:t>
      </w:r>
      <w:r w:rsidR="001D0DB6" w:rsidRPr="006C7BA2">
        <w:rPr>
          <w:sz w:val="24"/>
          <w:szCs w:val="24"/>
          <w:u w:val="single"/>
        </w:rPr>
        <w:t xml:space="preserve">Richard and Sandy </w:t>
      </w:r>
      <w:proofErr w:type="spellStart"/>
      <w:r w:rsidR="001D0DB6" w:rsidRPr="006C7BA2">
        <w:rPr>
          <w:sz w:val="24"/>
          <w:szCs w:val="24"/>
          <w:u w:val="single"/>
        </w:rPr>
        <w:t>Lehet</w:t>
      </w:r>
      <w:proofErr w:type="spellEnd"/>
      <w:r w:rsidR="001D0DB6" w:rsidRPr="006C7BA2">
        <w:rPr>
          <w:sz w:val="24"/>
          <w:szCs w:val="24"/>
          <w:u w:val="single"/>
        </w:rPr>
        <w:t xml:space="preserve"> v. PPL Electric Utilities Corporation</w:t>
      </w:r>
      <w:r w:rsidR="001D0DB6" w:rsidRPr="00B43CD6">
        <w:rPr>
          <w:sz w:val="24"/>
          <w:szCs w:val="24"/>
        </w:rPr>
        <w:t xml:space="preserve">, Docket No. C-2014-2449983 (Order entered October 28, 2015); </w:t>
      </w:r>
      <w:r w:rsidR="001D0DB6" w:rsidRPr="006C7BA2">
        <w:rPr>
          <w:sz w:val="24"/>
          <w:szCs w:val="24"/>
          <w:u w:val="single"/>
        </w:rPr>
        <w:t>Marlene Broman v. West Penn Power Company</w:t>
      </w:r>
      <w:r w:rsidR="001D0DB6" w:rsidRPr="00B43CD6">
        <w:rPr>
          <w:sz w:val="24"/>
          <w:szCs w:val="24"/>
        </w:rPr>
        <w:t xml:space="preserve">, Docket No. C-2013-2356237 (Order Entered April 23, 2014); </w:t>
      </w:r>
      <w:r w:rsidR="001D0DB6" w:rsidRPr="006C7BA2">
        <w:rPr>
          <w:sz w:val="24"/>
          <w:szCs w:val="24"/>
          <w:u w:val="single"/>
        </w:rPr>
        <w:t xml:space="preserve">Jan and Joyce </w:t>
      </w:r>
      <w:proofErr w:type="spellStart"/>
      <w:r w:rsidR="001D0DB6" w:rsidRPr="006C7BA2">
        <w:rPr>
          <w:sz w:val="24"/>
          <w:szCs w:val="24"/>
          <w:u w:val="single"/>
        </w:rPr>
        <w:t>Spirat</w:t>
      </w:r>
      <w:proofErr w:type="spellEnd"/>
      <w:r w:rsidR="001D0DB6" w:rsidRPr="006C7BA2">
        <w:rPr>
          <w:sz w:val="24"/>
          <w:szCs w:val="24"/>
          <w:u w:val="single"/>
        </w:rPr>
        <w:t xml:space="preserve"> v. Metropolitan Edison Company</w:t>
      </w:r>
      <w:r w:rsidR="001D0DB6" w:rsidRPr="00B43CD6">
        <w:rPr>
          <w:sz w:val="24"/>
          <w:szCs w:val="24"/>
        </w:rPr>
        <w:t>, Docket No. C</w:t>
      </w:r>
      <w:r w:rsidR="006C7BA2">
        <w:rPr>
          <w:sz w:val="24"/>
          <w:szCs w:val="24"/>
        </w:rPr>
        <w:t> </w:t>
      </w:r>
      <w:r w:rsidR="001D0DB6" w:rsidRPr="00B43CD6">
        <w:rPr>
          <w:sz w:val="24"/>
          <w:szCs w:val="24"/>
        </w:rPr>
        <w:t xml:space="preserve">2013-2367044 (Order entered September 11, 2014); and </w:t>
      </w:r>
      <w:r w:rsidR="001D0DB6" w:rsidRPr="006C7BA2">
        <w:rPr>
          <w:sz w:val="24"/>
          <w:szCs w:val="24"/>
          <w:u w:val="single"/>
        </w:rPr>
        <w:t xml:space="preserve">Sarah </w:t>
      </w:r>
      <w:proofErr w:type="spellStart"/>
      <w:r w:rsidR="001D0DB6" w:rsidRPr="006C7BA2">
        <w:rPr>
          <w:sz w:val="24"/>
          <w:szCs w:val="24"/>
          <w:u w:val="single"/>
        </w:rPr>
        <w:t>Bernardi</w:t>
      </w:r>
      <w:proofErr w:type="spellEnd"/>
      <w:r w:rsidR="001D0DB6" w:rsidRPr="006C7BA2">
        <w:rPr>
          <w:sz w:val="24"/>
          <w:szCs w:val="24"/>
          <w:u w:val="single"/>
        </w:rPr>
        <w:t xml:space="preserve"> v. West Penn Power Co</w:t>
      </w:r>
      <w:r w:rsidR="001D0DB6" w:rsidRPr="00B43CD6">
        <w:rPr>
          <w:i/>
          <w:sz w:val="24"/>
          <w:szCs w:val="24"/>
        </w:rPr>
        <w:t>.,</w:t>
      </w:r>
      <w:r w:rsidR="001D0DB6" w:rsidRPr="00B43CD6">
        <w:rPr>
          <w:sz w:val="24"/>
          <w:szCs w:val="24"/>
        </w:rPr>
        <w:t xml:space="preserve"> Docket No. C-2014-2453852 (Order entered May 5, 2016).  </w:t>
      </w:r>
    </w:p>
    <w:p w:rsidR="00ED7D11" w:rsidRPr="00B43CD6" w:rsidRDefault="002C0212" w:rsidP="006C7BA2">
      <w:pPr>
        <w:tabs>
          <w:tab w:val="left" w:pos="2160"/>
        </w:tabs>
        <w:spacing w:line="360" w:lineRule="auto"/>
        <w:ind w:right="720" w:firstLine="1440"/>
        <w:rPr>
          <w:sz w:val="24"/>
          <w:szCs w:val="24"/>
        </w:rPr>
      </w:pPr>
      <w:r w:rsidRPr="00B43CD6">
        <w:rPr>
          <w:color w:val="000000"/>
          <w:sz w:val="24"/>
          <w:szCs w:val="24"/>
        </w:rPr>
        <w:t>Based upon the aforesaid, the claims set forth in the f</w:t>
      </w:r>
      <w:r w:rsidR="006C7BA2">
        <w:rPr>
          <w:color w:val="000000"/>
          <w:sz w:val="24"/>
          <w:szCs w:val="24"/>
        </w:rPr>
        <w:t xml:space="preserve">ormal complaint are within the </w:t>
      </w:r>
      <w:r w:rsidR="00ED7D11" w:rsidRPr="00B43CD6">
        <w:rPr>
          <w:sz w:val="24"/>
          <w:szCs w:val="24"/>
        </w:rPr>
        <w:t>jurisdictional authority of the Commission.  Accordingly, the motion for judgment on the pleadings will be denied.</w:t>
      </w:r>
    </w:p>
    <w:p w:rsidR="00A93C21" w:rsidRPr="00B43CD6" w:rsidRDefault="00A93C21" w:rsidP="00A93C21">
      <w:pPr>
        <w:tabs>
          <w:tab w:val="left" w:pos="2160"/>
        </w:tabs>
        <w:spacing w:line="360" w:lineRule="auto"/>
        <w:ind w:right="720" w:firstLine="720"/>
        <w:rPr>
          <w:color w:val="000000"/>
          <w:sz w:val="24"/>
          <w:szCs w:val="24"/>
        </w:rPr>
      </w:pPr>
    </w:p>
    <w:p w:rsidR="00A93C21" w:rsidRPr="00B43CD6" w:rsidRDefault="00A93C21" w:rsidP="00A93C21">
      <w:pPr>
        <w:spacing w:line="360" w:lineRule="auto"/>
        <w:rPr>
          <w:sz w:val="24"/>
          <w:szCs w:val="24"/>
        </w:rPr>
      </w:pPr>
      <w:r w:rsidRPr="00B43CD6">
        <w:rPr>
          <w:sz w:val="24"/>
          <w:szCs w:val="24"/>
        </w:rPr>
        <w:tab/>
      </w:r>
      <w:r w:rsidRPr="00B43CD6">
        <w:rPr>
          <w:sz w:val="24"/>
          <w:szCs w:val="24"/>
        </w:rPr>
        <w:tab/>
        <w:t>THEREFORE,</w:t>
      </w:r>
    </w:p>
    <w:p w:rsidR="00A93C21" w:rsidRPr="00B43CD6" w:rsidRDefault="00A93C21" w:rsidP="00A93C21">
      <w:pPr>
        <w:spacing w:line="360" w:lineRule="auto"/>
        <w:ind w:firstLine="720"/>
        <w:rPr>
          <w:sz w:val="24"/>
          <w:szCs w:val="24"/>
        </w:rPr>
      </w:pPr>
    </w:p>
    <w:p w:rsidR="00A93C21" w:rsidRPr="00B43CD6" w:rsidRDefault="00A93C21" w:rsidP="00A93C21">
      <w:pPr>
        <w:spacing w:line="360" w:lineRule="auto"/>
        <w:ind w:firstLine="720"/>
        <w:rPr>
          <w:sz w:val="24"/>
          <w:szCs w:val="24"/>
        </w:rPr>
      </w:pPr>
      <w:r w:rsidRPr="00B43CD6">
        <w:rPr>
          <w:sz w:val="24"/>
          <w:szCs w:val="24"/>
        </w:rPr>
        <w:tab/>
        <w:t>IT IS ORDERED:</w:t>
      </w:r>
    </w:p>
    <w:p w:rsidR="00A93C21" w:rsidRPr="00B43CD6" w:rsidRDefault="00A93C21" w:rsidP="00A93C21">
      <w:pPr>
        <w:spacing w:line="360" w:lineRule="auto"/>
        <w:ind w:firstLine="720"/>
        <w:rPr>
          <w:sz w:val="24"/>
          <w:szCs w:val="24"/>
        </w:rPr>
      </w:pPr>
    </w:p>
    <w:p w:rsidR="00A93C21" w:rsidRPr="00B43CD6" w:rsidRDefault="00A93C21" w:rsidP="006C7BA2">
      <w:pPr>
        <w:spacing w:line="360" w:lineRule="auto"/>
        <w:ind w:firstLine="1440"/>
        <w:rPr>
          <w:sz w:val="24"/>
          <w:szCs w:val="24"/>
        </w:rPr>
      </w:pPr>
      <w:r w:rsidRPr="00B43CD6">
        <w:rPr>
          <w:sz w:val="24"/>
          <w:szCs w:val="24"/>
        </w:rPr>
        <w:t xml:space="preserve">That the motion for judgment on the pleadings of Duquesne Light Company </w:t>
      </w:r>
      <w:r w:rsidR="00ED7D11" w:rsidRPr="00B43CD6">
        <w:rPr>
          <w:sz w:val="24"/>
          <w:szCs w:val="24"/>
        </w:rPr>
        <w:t>filed at Docket No. C-2017-2622408 is denied.</w:t>
      </w:r>
      <w:r w:rsidRPr="00B43CD6">
        <w:rPr>
          <w:sz w:val="24"/>
          <w:szCs w:val="24"/>
        </w:rPr>
        <w:t xml:space="preserve">  </w:t>
      </w:r>
    </w:p>
    <w:p w:rsidR="00A93C21" w:rsidRPr="00B43CD6" w:rsidRDefault="00A93C21" w:rsidP="00A93C21">
      <w:pPr>
        <w:tabs>
          <w:tab w:val="left" w:pos="0"/>
        </w:tabs>
        <w:spacing w:line="360" w:lineRule="auto"/>
        <w:jc w:val="both"/>
        <w:rPr>
          <w:sz w:val="24"/>
          <w:szCs w:val="24"/>
        </w:rPr>
      </w:pPr>
    </w:p>
    <w:p w:rsidR="00A93C21" w:rsidRDefault="00A93C21" w:rsidP="00A93C21">
      <w:pPr>
        <w:tabs>
          <w:tab w:val="left" w:pos="0"/>
        </w:tabs>
        <w:spacing w:line="360" w:lineRule="auto"/>
        <w:jc w:val="both"/>
        <w:rPr>
          <w:sz w:val="24"/>
          <w:szCs w:val="24"/>
        </w:rPr>
      </w:pPr>
    </w:p>
    <w:p w:rsidR="00823049" w:rsidRPr="00B43CD6" w:rsidRDefault="00823049" w:rsidP="00A93C21">
      <w:pPr>
        <w:tabs>
          <w:tab w:val="left" w:pos="0"/>
        </w:tabs>
        <w:spacing w:line="360" w:lineRule="auto"/>
        <w:jc w:val="both"/>
        <w:rPr>
          <w:sz w:val="24"/>
          <w:szCs w:val="24"/>
        </w:rPr>
      </w:pPr>
    </w:p>
    <w:p w:rsidR="00A93C21" w:rsidRPr="00B43CD6" w:rsidRDefault="00A93C21" w:rsidP="00A93C21">
      <w:pPr>
        <w:tabs>
          <w:tab w:val="left" w:pos="0"/>
        </w:tabs>
        <w:jc w:val="both"/>
        <w:rPr>
          <w:sz w:val="24"/>
          <w:szCs w:val="24"/>
        </w:rPr>
      </w:pPr>
      <w:r w:rsidRPr="00B43CD6">
        <w:rPr>
          <w:sz w:val="24"/>
          <w:szCs w:val="24"/>
        </w:rPr>
        <w:t xml:space="preserve">Date: </w:t>
      </w:r>
      <w:r w:rsidR="00221806">
        <w:rPr>
          <w:sz w:val="24"/>
          <w:szCs w:val="24"/>
        </w:rPr>
        <w:t xml:space="preserve"> </w:t>
      </w:r>
      <w:r w:rsidR="00972B27" w:rsidRPr="006C7BA2">
        <w:rPr>
          <w:sz w:val="24"/>
          <w:szCs w:val="24"/>
          <w:u w:val="single"/>
        </w:rPr>
        <w:t>November 22</w:t>
      </w:r>
      <w:r w:rsidRPr="006C7BA2">
        <w:rPr>
          <w:sz w:val="24"/>
          <w:szCs w:val="24"/>
          <w:u w:val="single"/>
        </w:rPr>
        <w:t>, 201</w:t>
      </w:r>
      <w:r w:rsidR="00972B27" w:rsidRPr="006C7BA2">
        <w:rPr>
          <w:sz w:val="24"/>
          <w:szCs w:val="24"/>
          <w:u w:val="single"/>
        </w:rPr>
        <w:t>7</w:t>
      </w:r>
      <w:r w:rsidRPr="00B43CD6">
        <w:rPr>
          <w:sz w:val="24"/>
          <w:szCs w:val="24"/>
        </w:rPr>
        <w:t xml:space="preserve">                 </w:t>
      </w:r>
      <w:r w:rsidRPr="00B43CD6">
        <w:rPr>
          <w:sz w:val="24"/>
          <w:szCs w:val="24"/>
        </w:rPr>
        <w:tab/>
      </w:r>
      <w:r w:rsidRPr="00B43CD6">
        <w:rPr>
          <w:sz w:val="24"/>
          <w:szCs w:val="24"/>
        </w:rPr>
        <w:tab/>
      </w:r>
      <w:r w:rsidRPr="00B43CD6">
        <w:rPr>
          <w:sz w:val="24"/>
          <w:szCs w:val="24"/>
        </w:rPr>
        <w:tab/>
      </w:r>
      <w:r w:rsidR="006C7BA2">
        <w:rPr>
          <w:sz w:val="24"/>
          <w:szCs w:val="24"/>
        </w:rPr>
        <w:tab/>
      </w:r>
      <w:r w:rsidRPr="00B43CD6">
        <w:rPr>
          <w:sz w:val="24"/>
          <w:szCs w:val="24"/>
        </w:rPr>
        <w:t>______________________________</w:t>
      </w:r>
    </w:p>
    <w:p w:rsidR="00A93C21" w:rsidRPr="00B43CD6" w:rsidRDefault="00A93C21" w:rsidP="00A93C21">
      <w:pPr>
        <w:tabs>
          <w:tab w:val="left" w:pos="0"/>
        </w:tabs>
        <w:jc w:val="both"/>
        <w:rPr>
          <w:sz w:val="24"/>
          <w:szCs w:val="24"/>
        </w:rPr>
      </w:pP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006C7BA2">
        <w:rPr>
          <w:sz w:val="24"/>
          <w:szCs w:val="24"/>
        </w:rPr>
        <w:tab/>
      </w:r>
      <w:r w:rsidRPr="00B43CD6">
        <w:rPr>
          <w:sz w:val="24"/>
          <w:szCs w:val="24"/>
        </w:rPr>
        <w:t>Jeffrey A. Watson</w:t>
      </w:r>
    </w:p>
    <w:p w:rsidR="00A93C21" w:rsidRPr="00B43CD6" w:rsidRDefault="00A93C21" w:rsidP="00A93C21">
      <w:pPr>
        <w:tabs>
          <w:tab w:val="left" w:pos="0"/>
        </w:tabs>
        <w:jc w:val="both"/>
        <w:rPr>
          <w:b/>
          <w:sz w:val="24"/>
          <w:szCs w:val="24"/>
        </w:rPr>
      </w:pP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Pr="00B43CD6">
        <w:rPr>
          <w:sz w:val="24"/>
          <w:szCs w:val="24"/>
        </w:rPr>
        <w:tab/>
      </w:r>
      <w:r w:rsidR="006C7BA2">
        <w:rPr>
          <w:sz w:val="24"/>
          <w:szCs w:val="24"/>
        </w:rPr>
        <w:tab/>
      </w:r>
      <w:r w:rsidRPr="00B43CD6">
        <w:rPr>
          <w:sz w:val="24"/>
          <w:szCs w:val="24"/>
        </w:rPr>
        <w:t>Administrative Law Judge</w:t>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r w:rsidRPr="00B43CD6">
        <w:rPr>
          <w:b/>
          <w:sz w:val="24"/>
          <w:szCs w:val="24"/>
        </w:rPr>
        <w:tab/>
      </w:r>
    </w:p>
    <w:p w:rsidR="00C64E5A" w:rsidRPr="00B43CD6" w:rsidRDefault="00C64E5A" w:rsidP="00EE6569">
      <w:pPr>
        <w:spacing w:line="360" w:lineRule="auto"/>
        <w:ind w:firstLine="720"/>
        <w:rPr>
          <w:b/>
          <w:sz w:val="24"/>
          <w:szCs w:val="24"/>
        </w:rPr>
      </w:pPr>
    </w:p>
    <w:p w:rsidR="00C64E5A" w:rsidRPr="00B43CD6" w:rsidRDefault="00C64E5A" w:rsidP="00EE6569">
      <w:pPr>
        <w:spacing w:line="360" w:lineRule="auto"/>
        <w:ind w:firstLine="720"/>
        <w:rPr>
          <w:b/>
          <w:sz w:val="24"/>
          <w:szCs w:val="24"/>
        </w:rPr>
      </w:pPr>
    </w:p>
    <w:p w:rsidR="00EE6569" w:rsidRPr="00B43CD6" w:rsidRDefault="00EE6569" w:rsidP="00EE6569">
      <w:pPr>
        <w:tabs>
          <w:tab w:val="left" w:pos="1440"/>
        </w:tabs>
        <w:spacing w:line="360" w:lineRule="auto"/>
        <w:rPr>
          <w:sz w:val="24"/>
          <w:szCs w:val="24"/>
        </w:rPr>
      </w:pPr>
    </w:p>
    <w:p w:rsidR="00ED7D11" w:rsidRPr="00B43CD6" w:rsidRDefault="00EE6569" w:rsidP="00ED7D11">
      <w:pPr>
        <w:spacing w:line="360" w:lineRule="auto"/>
        <w:rPr>
          <w:sz w:val="24"/>
          <w:szCs w:val="24"/>
        </w:rPr>
      </w:pPr>
      <w:r w:rsidRPr="00B43CD6">
        <w:rPr>
          <w:sz w:val="24"/>
          <w:szCs w:val="24"/>
        </w:rPr>
        <w:tab/>
        <w:t xml:space="preserve">             </w:t>
      </w:r>
    </w:p>
    <w:p w:rsidR="00A81232" w:rsidRDefault="00EE6569" w:rsidP="00ED7D11">
      <w:pPr>
        <w:spacing w:line="360" w:lineRule="auto"/>
        <w:rPr>
          <w:b/>
          <w:sz w:val="24"/>
          <w:szCs w:val="24"/>
        </w:rPr>
      </w:pPr>
      <w:r w:rsidRPr="00B43CD6">
        <w:rPr>
          <w:sz w:val="24"/>
          <w:szCs w:val="24"/>
        </w:rPr>
        <w:t>.</w:t>
      </w:r>
      <w:r w:rsidR="00ED7D11" w:rsidRPr="00B43CD6">
        <w:rPr>
          <w:b/>
          <w:sz w:val="24"/>
          <w:szCs w:val="24"/>
        </w:rPr>
        <w:t xml:space="preserve"> </w:t>
      </w:r>
    </w:p>
    <w:p w:rsidR="00A81232" w:rsidRDefault="00A81232">
      <w:pPr>
        <w:spacing w:after="200" w:line="276" w:lineRule="auto"/>
        <w:rPr>
          <w:b/>
          <w:sz w:val="24"/>
          <w:szCs w:val="24"/>
        </w:rPr>
      </w:pPr>
      <w:r>
        <w:rPr>
          <w:b/>
          <w:sz w:val="24"/>
          <w:szCs w:val="24"/>
        </w:rPr>
        <w:br w:type="page"/>
      </w:r>
    </w:p>
    <w:p w:rsidR="008619C4" w:rsidRDefault="008619C4" w:rsidP="00A81232">
      <w:pPr>
        <w:rPr>
          <w:rFonts w:ascii="Microsoft Sans Serif" w:hAnsi="Microsoft Sans Serif" w:cs="Microsoft Sans Serif"/>
          <w:b/>
          <w:caps/>
          <w:noProof/>
          <w:sz w:val="24"/>
          <w:szCs w:val="24"/>
          <w:u w:val="single"/>
        </w:rPr>
        <w:sectPr w:rsidR="008619C4" w:rsidSect="003D2328">
          <w:footerReference w:type="default" r:id="rId16"/>
          <w:footerReference w:type="first" r:id="rId17"/>
          <w:pgSz w:w="12240" w:h="15840" w:code="1"/>
          <w:pgMar w:top="1440" w:right="1440" w:bottom="1440" w:left="1440" w:header="720" w:footer="720" w:gutter="0"/>
          <w:cols w:space="720"/>
          <w:noEndnote/>
          <w:titlePg/>
          <w:docGrid w:linePitch="272"/>
        </w:sectPr>
      </w:pPr>
    </w:p>
    <w:p w:rsidR="00A81232" w:rsidRPr="00A81232" w:rsidRDefault="00A81232" w:rsidP="00A81232">
      <w:pPr>
        <w:rPr>
          <w:rFonts w:ascii="Microsoft Sans Serif" w:hAnsi="Microsoft Sans Serif" w:cs="Microsoft Sans Serif"/>
          <w:b/>
          <w:caps/>
          <w:sz w:val="24"/>
          <w:szCs w:val="24"/>
          <w:u w:val="single"/>
        </w:rPr>
      </w:pPr>
      <w:r w:rsidRPr="00A81232">
        <w:rPr>
          <w:rFonts w:ascii="Microsoft Sans Serif" w:hAnsi="Microsoft Sans Serif" w:cs="Microsoft Sans Serif"/>
          <w:b/>
          <w:caps/>
          <w:noProof/>
          <w:sz w:val="24"/>
          <w:szCs w:val="24"/>
          <w:u w:val="single"/>
        </w:rPr>
        <w:t>C-2017-2622408 Michelle turnwald v duquesne light co</w:t>
      </w:r>
    </w:p>
    <w:p w:rsidR="00A81232" w:rsidRPr="00A81232" w:rsidRDefault="00A81232" w:rsidP="00A81232">
      <w:pPr>
        <w:rPr>
          <w:rFonts w:ascii="Microsoft Sans Serif" w:hAnsi="Microsoft Sans Serif" w:cs="Microsoft Sans Serif"/>
          <w:caps/>
          <w:sz w:val="24"/>
          <w:szCs w:val="24"/>
        </w:rPr>
      </w:pPr>
    </w:p>
    <w:p w:rsidR="00A81232" w:rsidRPr="00A81232" w:rsidRDefault="00A81232" w:rsidP="00A81232">
      <w:pPr>
        <w:rPr>
          <w:rFonts w:ascii="Microsoft Sans Serif" w:hAnsi="Microsoft Sans Serif" w:cs="Microsoft Sans Serif"/>
          <w:caps/>
          <w:sz w:val="24"/>
          <w:szCs w:val="24"/>
        </w:rPr>
      </w:pPr>
    </w:p>
    <w:p w:rsidR="00A81232" w:rsidRPr="00A81232" w:rsidRDefault="00A81232" w:rsidP="00A81232">
      <w:pPr>
        <w:rPr>
          <w:rFonts w:ascii="Microsoft Sans Serif" w:hAnsi="Microsoft Sans Serif" w:cs="Microsoft Sans Serif"/>
          <w:caps/>
          <w:noProof/>
          <w:sz w:val="24"/>
          <w:szCs w:val="24"/>
        </w:rPr>
      </w:pPr>
      <w:r w:rsidRPr="00A81232">
        <w:rPr>
          <w:rFonts w:ascii="Microsoft Sans Serif" w:hAnsi="Microsoft Sans Serif" w:cs="Microsoft Sans Serif"/>
          <w:caps/>
          <w:noProof/>
          <w:sz w:val="24"/>
          <w:szCs w:val="24"/>
        </w:rPr>
        <w:t>michelle turnwald</w:t>
      </w:r>
    </w:p>
    <w:p w:rsidR="00A81232" w:rsidRPr="00A81232" w:rsidRDefault="00A81232" w:rsidP="00A81232">
      <w:pPr>
        <w:rPr>
          <w:rFonts w:ascii="Microsoft Sans Serif" w:hAnsi="Microsoft Sans Serif" w:cs="Microsoft Sans Serif"/>
          <w:caps/>
          <w:noProof/>
          <w:sz w:val="24"/>
          <w:szCs w:val="24"/>
        </w:rPr>
      </w:pPr>
      <w:r w:rsidRPr="00A81232">
        <w:rPr>
          <w:rFonts w:ascii="Microsoft Sans Serif" w:hAnsi="Microsoft Sans Serif" w:cs="Microsoft Sans Serif"/>
          <w:caps/>
          <w:noProof/>
          <w:sz w:val="24"/>
          <w:szCs w:val="24"/>
        </w:rPr>
        <w:t>1245 manor dr</w:t>
      </w:r>
    </w:p>
    <w:p w:rsidR="00A81232" w:rsidRPr="00A81232" w:rsidRDefault="00A81232" w:rsidP="00A81232">
      <w:pPr>
        <w:rPr>
          <w:rFonts w:ascii="Microsoft Sans Serif" w:hAnsi="Microsoft Sans Serif" w:cs="Microsoft Sans Serif"/>
          <w:caps/>
          <w:sz w:val="24"/>
          <w:szCs w:val="24"/>
        </w:rPr>
      </w:pPr>
      <w:r w:rsidRPr="00A81232">
        <w:rPr>
          <w:rFonts w:ascii="Microsoft Sans Serif" w:hAnsi="Microsoft Sans Serif" w:cs="Microsoft Sans Serif"/>
          <w:caps/>
          <w:noProof/>
          <w:sz w:val="24"/>
          <w:szCs w:val="24"/>
        </w:rPr>
        <w:t>pittsburgh pa 15241</w:t>
      </w:r>
    </w:p>
    <w:p w:rsidR="00A81232" w:rsidRPr="00A81232" w:rsidRDefault="00A81232" w:rsidP="00A81232">
      <w:pPr>
        <w:rPr>
          <w:rFonts w:ascii="Microsoft Sans Serif" w:hAnsi="Microsoft Sans Serif" w:cs="Microsoft Sans Serif"/>
          <w:b/>
          <w:caps/>
          <w:noProof/>
          <w:sz w:val="24"/>
          <w:szCs w:val="24"/>
        </w:rPr>
      </w:pPr>
      <w:r w:rsidRPr="00A81232">
        <w:rPr>
          <w:rFonts w:ascii="Microsoft Sans Serif" w:hAnsi="Microsoft Sans Serif" w:cs="Microsoft Sans Serif"/>
          <w:b/>
          <w:caps/>
          <w:noProof/>
          <w:sz w:val="24"/>
          <w:szCs w:val="24"/>
        </w:rPr>
        <w:t>412.833.9339</w:t>
      </w:r>
    </w:p>
    <w:p w:rsidR="00A81232" w:rsidRPr="00A81232" w:rsidRDefault="00A81232" w:rsidP="00A81232">
      <w:pPr>
        <w:rPr>
          <w:rFonts w:ascii="Microsoft Sans Serif" w:hAnsi="Microsoft Sans Serif" w:cs="Microsoft Sans Serif"/>
          <w:caps/>
          <w:sz w:val="24"/>
          <w:szCs w:val="24"/>
        </w:rPr>
      </w:pPr>
    </w:p>
    <w:p w:rsidR="00A81232" w:rsidRPr="00A81232" w:rsidRDefault="00A81232" w:rsidP="00A81232">
      <w:pPr>
        <w:rPr>
          <w:rFonts w:ascii="Microsoft Sans Serif" w:hAnsi="Microsoft Sans Serif" w:cs="Microsoft Sans Serif"/>
          <w:caps/>
          <w:sz w:val="24"/>
          <w:szCs w:val="24"/>
        </w:rPr>
      </w:pPr>
    </w:p>
    <w:p w:rsidR="00A81232" w:rsidRPr="00A81232" w:rsidRDefault="00A81232" w:rsidP="00A81232">
      <w:pPr>
        <w:rPr>
          <w:rFonts w:ascii="Microsoft Sans Serif" w:hAnsi="Microsoft Sans Serif" w:cs="Microsoft Sans Serif"/>
          <w:caps/>
          <w:noProof/>
          <w:sz w:val="24"/>
          <w:szCs w:val="24"/>
        </w:rPr>
      </w:pPr>
      <w:r w:rsidRPr="00A81232">
        <w:rPr>
          <w:rFonts w:ascii="Microsoft Sans Serif" w:hAnsi="Microsoft Sans Serif" w:cs="Microsoft Sans Serif"/>
          <w:caps/>
          <w:noProof/>
          <w:sz w:val="24"/>
          <w:szCs w:val="24"/>
        </w:rPr>
        <w:t>jereny farrell esquire</w:t>
      </w:r>
    </w:p>
    <w:p w:rsidR="00A81232" w:rsidRPr="00A81232" w:rsidRDefault="00A81232" w:rsidP="00A81232">
      <w:pPr>
        <w:rPr>
          <w:rFonts w:ascii="Microsoft Sans Serif" w:hAnsi="Microsoft Sans Serif" w:cs="Microsoft Sans Serif"/>
          <w:caps/>
          <w:noProof/>
          <w:sz w:val="24"/>
          <w:szCs w:val="24"/>
        </w:rPr>
      </w:pPr>
      <w:r w:rsidRPr="00A81232">
        <w:rPr>
          <w:rFonts w:ascii="Microsoft Sans Serif" w:hAnsi="Microsoft Sans Serif" w:cs="Microsoft Sans Serif"/>
          <w:caps/>
          <w:noProof/>
          <w:sz w:val="24"/>
          <w:szCs w:val="24"/>
        </w:rPr>
        <w:t>tucker arensberg pc</w:t>
      </w:r>
    </w:p>
    <w:p w:rsidR="00A81232" w:rsidRPr="00A81232" w:rsidRDefault="00A81232" w:rsidP="00A81232">
      <w:pPr>
        <w:rPr>
          <w:rFonts w:ascii="Microsoft Sans Serif" w:hAnsi="Microsoft Sans Serif" w:cs="Microsoft Sans Serif"/>
          <w:caps/>
          <w:noProof/>
          <w:sz w:val="24"/>
          <w:szCs w:val="24"/>
        </w:rPr>
      </w:pPr>
      <w:r w:rsidRPr="00A81232">
        <w:rPr>
          <w:rFonts w:ascii="Microsoft Sans Serif" w:hAnsi="Microsoft Sans Serif" w:cs="Microsoft Sans Serif"/>
          <w:caps/>
          <w:noProof/>
          <w:sz w:val="24"/>
          <w:szCs w:val="24"/>
        </w:rPr>
        <w:t>1500 one ppg place</w:t>
      </w:r>
    </w:p>
    <w:p w:rsidR="00A81232" w:rsidRPr="00A81232" w:rsidRDefault="00A81232" w:rsidP="00A81232">
      <w:pPr>
        <w:rPr>
          <w:rFonts w:ascii="Microsoft Sans Serif" w:hAnsi="Microsoft Sans Serif" w:cs="Microsoft Sans Serif"/>
          <w:caps/>
          <w:noProof/>
          <w:sz w:val="24"/>
          <w:szCs w:val="24"/>
        </w:rPr>
      </w:pPr>
      <w:r w:rsidRPr="00A81232">
        <w:rPr>
          <w:rFonts w:ascii="Microsoft Sans Serif" w:hAnsi="Microsoft Sans Serif" w:cs="Microsoft Sans Serif"/>
          <w:caps/>
          <w:noProof/>
          <w:sz w:val="24"/>
          <w:szCs w:val="24"/>
        </w:rPr>
        <w:t>pittsburgh pa 15222</w:t>
      </w:r>
    </w:p>
    <w:p w:rsidR="00A81232" w:rsidRPr="00A81232" w:rsidRDefault="00A81232" w:rsidP="00A81232">
      <w:pPr>
        <w:rPr>
          <w:rFonts w:ascii="Microsoft Sans Serif" w:hAnsi="Microsoft Sans Serif" w:cs="Microsoft Sans Serif"/>
          <w:b/>
          <w:caps/>
          <w:sz w:val="24"/>
          <w:szCs w:val="24"/>
        </w:rPr>
      </w:pPr>
      <w:r w:rsidRPr="00A81232">
        <w:rPr>
          <w:rFonts w:ascii="Microsoft Sans Serif" w:hAnsi="Microsoft Sans Serif" w:cs="Microsoft Sans Serif"/>
          <w:b/>
          <w:caps/>
          <w:noProof/>
          <w:sz w:val="24"/>
          <w:szCs w:val="24"/>
        </w:rPr>
        <w:t>412.594.3938</w:t>
      </w:r>
    </w:p>
    <w:p w:rsidR="00A81232" w:rsidRPr="00A81232" w:rsidRDefault="00A81232" w:rsidP="00A81232">
      <w:pPr>
        <w:rPr>
          <w:rFonts w:ascii="Microsoft Sans Serif" w:hAnsi="Microsoft Sans Serif" w:cs="Microsoft Sans Serif"/>
          <w:b/>
          <w:i/>
          <w:caps/>
          <w:sz w:val="24"/>
          <w:szCs w:val="24"/>
          <w:u w:val="single"/>
        </w:rPr>
      </w:pPr>
      <w:r w:rsidRPr="00A81232">
        <w:rPr>
          <w:rFonts w:ascii="Microsoft Sans Serif" w:hAnsi="Microsoft Sans Serif" w:cs="Microsoft Sans Serif"/>
          <w:b/>
          <w:i/>
          <w:caps/>
          <w:sz w:val="24"/>
          <w:szCs w:val="24"/>
          <w:u w:val="single"/>
        </w:rPr>
        <w:t>e-service</w:t>
      </w:r>
    </w:p>
    <w:p w:rsidR="00DC28A6" w:rsidRPr="00A81232" w:rsidRDefault="00461C58" w:rsidP="00ED7D11">
      <w:pPr>
        <w:spacing w:line="360" w:lineRule="auto"/>
        <w:rPr>
          <w:sz w:val="24"/>
          <w:szCs w:val="24"/>
        </w:rPr>
      </w:pPr>
    </w:p>
    <w:sectPr w:rsidR="00DC28A6" w:rsidRPr="00A81232" w:rsidSect="003D2328">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90A" w:rsidRDefault="0084390A" w:rsidP="00EE6569">
      <w:r>
        <w:separator/>
      </w:r>
    </w:p>
  </w:endnote>
  <w:endnote w:type="continuationSeparator" w:id="0">
    <w:p w:rsidR="0084390A" w:rsidRDefault="0084390A" w:rsidP="00EE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D13" w:rsidRDefault="00A9451C">
    <w:pPr>
      <w:pStyle w:val="Footer"/>
      <w:jc w:val="center"/>
    </w:pPr>
    <w:r>
      <w:fldChar w:fldCharType="begin"/>
    </w:r>
    <w:r>
      <w:instrText xml:space="preserve"> PAGE   \* MERGEFORMAT </w:instrText>
    </w:r>
    <w:r>
      <w:fldChar w:fldCharType="separate"/>
    </w:r>
    <w:r w:rsidR="00461C58">
      <w:rPr>
        <w:noProof/>
      </w:rPr>
      <w:t>8</w:t>
    </w:r>
    <w:r>
      <w:fldChar w:fldCharType="end"/>
    </w:r>
  </w:p>
  <w:p w:rsidR="004C4D13" w:rsidRDefault="00461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D13" w:rsidRDefault="00461C58">
    <w:pPr>
      <w:pStyle w:val="Footer"/>
      <w:jc w:val="center"/>
    </w:pPr>
  </w:p>
  <w:p w:rsidR="004C4D13" w:rsidRDefault="00461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90A" w:rsidRDefault="0084390A" w:rsidP="00EE6569">
      <w:r>
        <w:separator/>
      </w:r>
    </w:p>
  </w:footnote>
  <w:footnote w:type="continuationSeparator" w:id="0">
    <w:p w:rsidR="0084390A" w:rsidRDefault="0084390A" w:rsidP="00EE6569">
      <w:r>
        <w:continuationSeparator/>
      </w:r>
    </w:p>
  </w:footnote>
  <w:footnote w:id="1">
    <w:p w:rsidR="00EE6569" w:rsidRPr="00652768" w:rsidRDefault="00EE6569" w:rsidP="00EE6569">
      <w:pPr>
        <w:pStyle w:val="FootnoteText"/>
        <w:rPr>
          <w:sz w:val="20"/>
        </w:rPr>
      </w:pPr>
      <w:r w:rsidRPr="00E33BE8">
        <w:rPr>
          <w:rStyle w:val="FootnoteReference"/>
          <w:sz w:val="20"/>
        </w:rPr>
        <w:footnoteRef/>
      </w:r>
      <w:r w:rsidRPr="00652768">
        <w:rPr>
          <w:sz w:val="20"/>
        </w:rPr>
        <w:tab/>
        <w:t xml:space="preserve">52 </w:t>
      </w:r>
      <w:proofErr w:type="spellStart"/>
      <w:proofErr w:type="gramStart"/>
      <w:r w:rsidRPr="00652768">
        <w:rPr>
          <w:sz w:val="20"/>
        </w:rPr>
        <w:t>Pa.Code</w:t>
      </w:r>
      <w:proofErr w:type="spellEnd"/>
      <w:proofErr w:type="gramEnd"/>
      <w:r w:rsidRPr="00652768">
        <w:rPr>
          <w:sz w:val="20"/>
        </w:rPr>
        <w:t xml:space="preserve"> § 5.102(d)(1).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998"/>
    <w:multiLevelType w:val="hybridMultilevel"/>
    <w:tmpl w:val="D9006B7E"/>
    <w:lvl w:ilvl="0" w:tplc="F50A0C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240DE"/>
    <w:multiLevelType w:val="hybridMultilevel"/>
    <w:tmpl w:val="816A3512"/>
    <w:lvl w:ilvl="0" w:tplc="3EE2B6F8">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CF1A54"/>
    <w:multiLevelType w:val="hybridMultilevel"/>
    <w:tmpl w:val="763E84E8"/>
    <w:lvl w:ilvl="0" w:tplc="64F0A8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69"/>
    <w:rsid w:val="000708D0"/>
    <w:rsid w:val="00084B7B"/>
    <w:rsid w:val="00095DEB"/>
    <w:rsid w:val="00104512"/>
    <w:rsid w:val="001D0DB6"/>
    <w:rsid w:val="00221806"/>
    <w:rsid w:val="00221FA3"/>
    <w:rsid w:val="002970B7"/>
    <w:rsid w:val="002C0212"/>
    <w:rsid w:val="00416539"/>
    <w:rsid w:val="00461C58"/>
    <w:rsid w:val="0047163B"/>
    <w:rsid w:val="005F19F8"/>
    <w:rsid w:val="00605AF6"/>
    <w:rsid w:val="00673DD0"/>
    <w:rsid w:val="006C7BA2"/>
    <w:rsid w:val="007218BD"/>
    <w:rsid w:val="007B5C79"/>
    <w:rsid w:val="00823049"/>
    <w:rsid w:val="0084390A"/>
    <w:rsid w:val="008619C4"/>
    <w:rsid w:val="00972B27"/>
    <w:rsid w:val="00A16AE1"/>
    <w:rsid w:val="00A61279"/>
    <w:rsid w:val="00A72208"/>
    <w:rsid w:val="00A81232"/>
    <w:rsid w:val="00A93C21"/>
    <w:rsid w:val="00A9451C"/>
    <w:rsid w:val="00AE59E6"/>
    <w:rsid w:val="00B220CA"/>
    <w:rsid w:val="00B43CD6"/>
    <w:rsid w:val="00BC4FBE"/>
    <w:rsid w:val="00BC7D76"/>
    <w:rsid w:val="00BE0C4D"/>
    <w:rsid w:val="00C64E5A"/>
    <w:rsid w:val="00D823CF"/>
    <w:rsid w:val="00E33BE8"/>
    <w:rsid w:val="00E948FB"/>
    <w:rsid w:val="00ED7D11"/>
    <w:rsid w:val="00EE6569"/>
    <w:rsid w:val="00F7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FB79"/>
  <w15:chartTrackingRefBased/>
  <w15:docId w15:val="{994ACFDF-ED33-4338-8F22-CC4F219E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E65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uiPriority w:val="99"/>
    <w:rsid w:val="00EE6569"/>
    <w:rPr>
      <w:rFonts w:cs="Times New Roman"/>
      <w:vertAlign w:val="superscript"/>
    </w:rPr>
  </w:style>
  <w:style w:type="paragraph" w:styleId="Footer">
    <w:name w:val="footer"/>
    <w:basedOn w:val="Normal"/>
    <w:link w:val="FooterChar"/>
    <w:uiPriority w:val="99"/>
    <w:rsid w:val="00EE6569"/>
    <w:pPr>
      <w:tabs>
        <w:tab w:val="center" w:pos="4320"/>
        <w:tab w:val="right" w:pos="8640"/>
      </w:tabs>
    </w:pPr>
  </w:style>
  <w:style w:type="character" w:customStyle="1" w:styleId="FooterChar">
    <w:name w:val="Footer Char"/>
    <w:basedOn w:val="DefaultParagraphFont"/>
    <w:link w:val="Footer"/>
    <w:uiPriority w:val="99"/>
    <w:rsid w:val="00EE6569"/>
    <w:rPr>
      <w:rFonts w:ascii="Times New Roman" w:eastAsia="Times New Roman" w:hAnsi="Times New Roman" w:cs="Times New Roman"/>
      <w:sz w:val="20"/>
      <w:szCs w:val="20"/>
    </w:rPr>
  </w:style>
  <w:style w:type="paragraph" w:styleId="ListParagraph">
    <w:name w:val="List Paragraph"/>
    <w:basedOn w:val="Normal"/>
    <w:qFormat/>
    <w:rsid w:val="00EE6569"/>
    <w:pPr>
      <w:ind w:left="720"/>
      <w:contextualSpacing/>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qFormat/>
    <w:rsid w:val="00EE6569"/>
    <w:pPr>
      <w:jc w:val="both"/>
    </w:pPr>
    <w:rPr>
      <w:sz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EE6569"/>
    <w:rPr>
      <w:rFonts w:ascii="Times New Roman" w:eastAsia="Times New Roman" w:hAnsi="Times New Roman" w:cs="Times New Roman"/>
      <w:sz w:val="26"/>
      <w:szCs w:val="20"/>
    </w:rPr>
  </w:style>
  <w:style w:type="paragraph" w:styleId="Quote">
    <w:name w:val="Quote"/>
    <w:basedOn w:val="Normal"/>
    <w:next w:val="Normal"/>
    <w:link w:val="QuoteChar"/>
    <w:uiPriority w:val="29"/>
    <w:qFormat/>
    <w:rsid w:val="00EE6569"/>
    <w:pPr>
      <w:tabs>
        <w:tab w:val="left" w:pos="1440"/>
      </w:tabs>
      <w:spacing w:after="120"/>
    </w:pPr>
    <w:rPr>
      <w:iCs/>
      <w:color w:val="000000"/>
      <w:sz w:val="24"/>
    </w:rPr>
  </w:style>
  <w:style w:type="character" w:customStyle="1" w:styleId="QuoteChar">
    <w:name w:val="Quote Char"/>
    <w:basedOn w:val="DefaultParagraphFont"/>
    <w:link w:val="Quote"/>
    <w:uiPriority w:val="29"/>
    <w:rsid w:val="00EE6569"/>
    <w:rPr>
      <w:rFonts w:ascii="Times New Roman" w:eastAsia="Times New Roman" w:hAnsi="Times New Roman" w:cs="Times New Roman"/>
      <w:iCs/>
      <w:color w:val="000000"/>
      <w:sz w:val="24"/>
      <w:szCs w:val="20"/>
    </w:rPr>
  </w:style>
  <w:style w:type="paragraph" w:styleId="NormalWeb">
    <w:name w:val="Normal (Web)"/>
    <w:basedOn w:val="Normal"/>
    <w:rsid w:val="00A93C2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71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Find/Default.wl?rs=dfa1.0&amp;vr=2.0&amp;DB=0000162&amp;FindType=Y&amp;SerialNum=1977121873" TargetMode="External"/><Relationship Id="rId13" Type="http://schemas.openxmlformats.org/officeDocument/2006/relationships/hyperlink" Target="http://www.westlaw.com/Find/Default.wl?rs=dfa1.0&amp;vr=2.0&amp;DB=0000162&amp;FindType=Y&amp;SerialNum=199222401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law.com/Find/Default.wl?rs=dfa1.0&amp;vr=2.0&amp;DB=0000162&amp;FindType=Y&amp;SerialNum=1977121873" TargetMode="External"/><Relationship Id="rId12" Type="http://schemas.openxmlformats.org/officeDocument/2006/relationships/hyperlink" Target="http://www.westlaw.com/Find/Default.wl?rs=dfa1.0&amp;vr=2.0&amp;DB=0000162&amp;FindType=Y&amp;SerialNum=19671101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law.com/Find/Default.wl?rs=dfa1.0&amp;vr=2.0&amp;DB=0000162&amp;FindType=Y&amp;SerialNum=1967110140" TargetMode="External"/><Relationship Id="rId5" Type="http://schemas.openxmlformats.org/officeDocument/2006/relationships/footnotes" Target="footnotes.xml"/><Relationship Id="rId15" Type="http://schemas.openxmlformats.org/officeDocument/2006/relationships/hyperlink" Target="http://www.westlaw.com/Find/Default.wl?rs=dfa1.0&amp;vr=2.0&amp;DB=0000162&amp;FindType=Y&amp;SerialNum=1994028517" TargetMode="External"/><Relationship Id="rId10" Type="http://schemas.openxmlformats.org/officeDocument/2006/relationships/hyperlink" Target="http://www.westlaw.com/Find/Default.wl?rs=dfa1.0&amp;vr=2.0&amp;DB=0000162&amp;FindType=Y&amp;SerialNum=194510942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estlaw.com/Find/Default.wl?rs=dfa1.0&amp;vr=2.0&amp;DB=0000162&amp;FindType=Y&amp;SerialNum=1945109428" TargetMode="External"/><Relationship Id="rId14" Type="http://schemas.openxmlformats.org/officeDocument/2006/relationships/hyperlink" Target="http://www.westlaw.com/Find/Default.wl?rs=dfa1.0&amp;vr=2.0&amp;DB=0000162&amp;FindType=Y&amp;SerialNum=1992224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24</cp:revision>
  <cp:lastPrinted>2017-11-22T15:59:00Z</cp:lastPrinted>
  <dcterms:created xsi:type="dcterms:W3CDTF">2017-11-22T14:47:00Z</dcterms:created>
  <dcterms:modified xsi:type="dcterms:W3CDTF">2017-11-22T16:00:00Z</dcterms:modified>
</cp:coreProperties>
</file>