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387932">
      <w:pPr>
        <w:tabs>
          <w:tab w:val="left" w:pos="360"/>
        </w:tabs>
        <w:spacing w:line="233" w:lineRule="auto"/>
        <w:jc w:val="both"/>
        <w:rPr>
          <w:b/>
          <w:sz w:val="24"/>
        </w:rPr>
      </w:pPr>
      <w:r>
        <w:rPr>
          <w:sz w:val="24"/>
        </w:rPr>
        <w:t>A</w:t>
      </w:r>
      <w:r w:rsidR="00DF6F3A">
        <w:rPr>
          <w:sz w:val="24"/>
        </w:rPr>
        <w:t>lisa R. Stroud</w:t>
      </w:r>
      <w:r w:rsidR="00DF6F3A">
        <w:rPr>
          <w:sz w:val="24"/>
        </w:rPr>
        <w:tab/>
      </w:r>
      <w:r w:rsidR="00DF6F3A">
        <w:rPr>
          <w:sz w:val="24"/>
        </w:rPr>
        <w:tab/>
      </w:r>
      <w:r w:rsidR="00D52F64">
        <w:rPr>
          <w:sz w:val="24"/>
        </w:rPr>
        <w:tab/>
      </w:r>
      <w:r w:rsidR="00D52F64">
        <w:rPr>
          <w:sz w:val="24"/>
        </w:rPr>
        <w:tab/>
      </w:r>
      <w:r w:rsidR="00F0615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DF6F3A">
        <w:rPr>
          <w:sz w:val="24"/>
        </w:rPr>
        <w:t>7</w:t>
      </w:r>
      <w:r w:rsidR="001D38B8">
        <w:rPr>
          <w:sz w:val="24"/>
        </w:rPr>
        <w:t>-2</w:t>
      </w:r>
      <w:r w:rsidR="00DF6F3A">
        <w:rPr>
          <w:sz w:val="24"/>
        </w:rPr>
        <w:t>624046</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DF6F3A">
        <w:rPr>
          <w:sz w:val="24"/>
        </w:rPr>
        <w:t>Friday</w:t>
      </w:r>
      <w:r w:rsidR="002273B2">
        <w:rPr>
          <w:sz w:val="24"/>
        </w:rPr>
        <w:t>,</w:t>
      </w:r>
      <w:r>
        <w:rPr>
          <w:sz w:val="24"/>
        </w:rPr>
        <w:t xml:space="preserve"> </w:t>
      </w:r>
      <w:r w:rsidR="00DF6F3A">
        <w:rPr>
          <w:sz w:val="24"/>
        </w:rPr>
        <w:t>December 15</w:t>
      </w:r>
      <w:r>
        <w:rPr>
          <w:sz w:val="24"/>
        </w:rPr>
        <w:t>, 20</w:t>
      </w:r>
      <w:r w:rsidR="00A13234">
        <w:rPr>
          <w:sz w:val="24"/>
        </w:rPr>
        <w:t>1</w:t>
      </w:r>
      <w:r w:rsidR="00DF6F3A">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agreement, if you have failed to make all payments under an earlier payment agreement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DF6F3A" w:rsidRPr="00DF6F3A">
        <w:rPr>
          <w:sz w:val="24"/>
          <w:u w:val="single"/>
        </w:rPr>
        <w:t>November 27, 2017</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996747" w:rsidRDefault="00996747">
      <w:pPr>
        <w:rPr>
          <w:sz w:val="24"/>
        </w:rPr>
      </w:pPr>
      <w:r>
        <w:rPr>
          <w:sz w:val="24"/>
        </w:rPr>
        <w:br w:type="page"/>
      </w:r>
    </w:p>
    <w:p w:rsidR="00782AA8" w:rsidRDefault="00782AA8" w:rsidP="00996747">
      <w:pPr>
        <w:rPr>
          <w:rFonts w:ascii="Microsoft Sans Serif" w:hAnsi="Microsoft Sans Serif" w:cs="Microsoft Sans Serif"/>
          <w:b/>
          <w:caps/>
          <w:noProof/>
          <w:sz w:val="24"/>
          <w:szCs w:val="24"/>
          <w:u w:val="single"/>
        </w:rPr>
        <w:sectPr w:rsidR="00782AA8" w:rsidSect="00F3373C">
          <w:footerReference w:type="even" r:id="rId7"/>
          <w:footerReference w:type="default" r:id="rId8"/>
          <w:pgSz w:w="12240" w:h="15840"/>
          <w:pgMar w:top="1440" w:right="1440" w:bottom="1440" w:left="1440" w:header="720" w:footer="720" w:gutter="0"/>
          <w:cols w:space="720"/>
          <w:titlePg/>
        </w:sectPr>
      </w:pPr>
    </w:p>
    <w:p w:rsidR="00996747" w:rsidRPr="00996747" w:rsidRDefault="00996747" w:rsidP="00996747">
      <w:pPr>
        <w:rPr>
          <w:rFonts w:ascii="Microsoft Sans Serif" w:hAnsi="Microsoft Sans Serif" w:cs="Microsoft Sans Serif"/>
          <w:b/>
          <w:caps/>
          <w:sz w:val="24"/>
          <w:szCs w:val="24"/>
          <w:u w:val="single"/>
        </w:rPr>
      </w:pPr>
      <w:bookmarkStart w:id="0" w:name="_GoBack"/>
      <w:bookmarkEnd w:id="0"/>
      <w:r w:rsidRPr="00996747">
        <w:rPr>
          <w:rFonts w:ascii="Microsoft Sans Serif" w:hAnsi="Microsoft Sans Serif" w:cs="Microsoft Sans Serif"/>
          <w:b/>
          <w:caps/>
          <w:noProof/>
          <w:sz w:val="24"/>
          <w:szCs w:val="24"/>
          <w:u w:val="single"/>
        </w:rPr>
        <w:lastRenderedPageBreak/>
        <w:t>C-2017-</w:t>
      </w:r>
      <w:proofErr w:type="gramStart"/>
      <w:r w:rsidRPr="00996747">
        <w:rPr>
          <w:rFonts w:ascii="Microsoft Sans Serif" w:hAnsi="Microsoft Sans Serif" w:cs="Microsoft Sans Serif"/>
          <w:b/>
          <w:caps/>
          <w:noProof/>
          <w:sz w:val="24"/>
          <w:szCs w:val="24"/>
          <w:u w:val="single"/>
        </w:rPr>
        <w:t>2624046</w:t>
      </w:r>
      <w:r w:rsidRPr="00996747">
        <w:rPr>
          <w:rFonts w:ascii="Microsoft Sans Serif" w:hAnsi="Microsoft Sans Serif" w:cs="Microsoft Sans Serif"/>
          <w:b/>
          <w:caps/>
          <w:sz w:val="24"/>
          <w:szCs w:val="24"/>
          <w:u w:val="single"/>
        </w:rPr>
        <w:t xml:space="preserve">  </w:t>
      </w:r>
      <w:r w:rsidRPr="00996747">
        <w:rPr>
          <w:rFonts w:ascii="Microsoft Sans Serif" w:hAnsi="Microsoft Sans Serif" w:cs="Microsoft Sans Serif"/>
          <w:b/>
          <w:caps/>
          <w:noProof/>
          <w:sz w:val="24"/>
          <w:szCs w:val="24"/>
          <w:u w:val="single"/>
        </w:rPr>
        <w:t>Alisa</w:t>
      </w:r>
      <w:proofErr w:type="gramEnd"/>
      <w:r w:rsidRPr="00996747">
        <w:rPr>
          <w:rFonts w:ascii="Microsoft Sans Serif" w:hAnsi="Microsoft Sans Serif" w:cs="Microsoft Sans Serif"/>
          <w:b/>
          <w:caps/>
          <w:noProof/>
          <w:sz w:val="24"/>
          <w:szCs w:val="24"/>
          <w:u w:val="single"/>
        </w:rPr>
        <w:t xml:space="preserve"> R Stroud v. Duquesne Light Company</w:t>
      </w:r>
    </w:p>
    <w:p w:rsidR="00996747" w:rsidRPr="00996747" w:rsidRDefault="00996747" w:rsidP="00996747">
      <w:pPr>
        <w:rPr>
          <w:rFonts w:ascii="Microsoft Sans Serif" w:hAnsi="Microsoft Sans Serif" w:cs="Microsoft Sans Serif"/>
          <w:caps/>
          <w:sz w:val="24"/>
          <w:szCs w:val="24"/>
        </w:rPr>
      </w:pPr>
    </w:p>
    <w:p w:rsidR="00996747" w:rsidRPr="00996747" w:rsidRDefault="00996747" w:rsidP="00996747">
      <w:pPr>
        <w:rPr>
          <w:rFonts w:ascii="Microsoft Sans Serif" w:hAnsi="Microsoft Sans Serif" w:cs="Microsoft Sans Serif"/>
          <w:caps/>
          <w:sz w:val="24"/>
          <w:szCs w:val="24"/>
        </w:rPr>
      </w:pPr>
    </w:p>
    <w:p w:rsidR="00996747" w:rsidRPr="00996747" w:rsidRDefault="00996747" w:rsidP="00996747">
      <w:pPr>
        <w:rPr>
          <w:rFonts w:ascii="Microsoft Sans Serif" w:hAnsi="Microsoft Sans Serif" w:cs="Microsoft Sans Serif"/>
          <w:caps/>
          <w:sz w:val="24"/>
          <w:szCs w:val="24"/>
        </w:rPr>
      </w:pPr>
    </w:p>
    <w:p w:rsidR="00996747" w:rsidRPr="00996747" w:rsidRDefault="00996747" w:rsidP="00996747">
      <w:pPr>
        <w:rPr>
          <w:rFonts w:ascii="Microsoft Sans Serif" w:hAnsi="Microsoft Sans Serif" w:cs="Microsoft Sans Serif"/>
          <w:caps/>
          <w:noProof/>
          <w:sz w:val="24"/>
          <w:szCs w:val="24"/>
        </w:rPr>
      </w:pPr>
      <w:r w:rsidRPr="00996747">
        <w:rPr>
          <w:rFonts w:ascii="Microsoft Sans Serif" w:hAnsi="Microsoft Sans Serif" w:cs="Microsoft Sans Serif"/>
          <w:caps/>
          <w:noProof/>
          <w:sz w:val="24"/>
          <w:szCs w:val="24"/>
        </w:rPr>
        <w:t>alisa r stroud</w:t>
      </w:r>
    </w:p>
    <w:p w:rsidR="00996747" w:rsidRPr="00996747" w:rsidRDefault="00996747" w:rsidP="00996747">
      <w:pPr>
        <w:rPr>
          <w:rFonts w:ascii="Microsoft Sans Serif" w:hAnsi="Microsoft Sans Serif" w:cs="Microsoft Sans Serif"/>
          <w:caps/>
          <w:noProof/>
          <w:sz w:val="24"/>
          <w:szCs w:val="24"/>
        </w:rPr>
      </w:pPr>
      <w:r w:rsidRPr="00996747">
        <w:rPr>
          <w:rFonts w:ascii="Microsoft Sans Serif" w:hAnsi="Microsoft Sans Serif" w:cs="Microsoft Sans Serif"/>
          <w:caps/>
          <w:noProof/>
          <w:sz w:val="24"/>
          <w:szCs w:val="24"/>
        </w:rPr>
        <w:t>112 palace ct</w:t>
      </w:r>
    </w:p>
    <w:p w:rsidR="00996747" w:rsidRPr="00996747" w:rsidRDefault="00996747" w:rsidP="00996747">
      <w:pPr>
        <w:rPr>
          <w:rFonts w:ascii="Microsoft Sans Serif" w:hAnsi="Microsoft Sans Serif" w:cs="Microsoft Sans Serif"/>
          <w:caps/>
          <w:sz w:val="24"/>
          <w:szCs w:val="24"/>
        </w:rPr>
      </w:pPr>
      <w:r w:rsidRPr="00996747">
        <w:rPr>
          <w:rFonts w:ascii="Microsoft Sans Serif" w:hAnsi="Microsoft Sans Serif" w:cs="Microsoft Sans Serif"/>
          <w:caps/>
          <w:noProof/>
          <w:sz w:val="24"/>
          <w:szCs w:val="24"/>
        </w:rPr>
        <w:t>pittsburgh pa 15227</w:t>
      </w:r>
    </w:p>
    <w:p w:rsidR="00996747" w:rsidRPr="00996747" w:rsidRDefault="00996747" w:rsidP="00996747">
      <w:pPr>
        <w:rPr>
          <w:rFonts w:ascii="Microsoft Sans Serif" w:hAnsi="Microsoft Sans Serif" w:cs="Microsoft Sans Serif"/>
          <w:b/>
          <w:caps/>
          <w:noProof/>
          <w:sz w:val="24"/>
          <w:szCs w:val="24"/>
        </w:rPr>
      </w:pPr>
      <w:r w:rsidRPr="00996747">
        <w:rPr>
          <w:rFonts w:ascii="Microsoft Sans Serif" w:hAnsi="Microsoft Sans Serif" w:cs="Microsoft Sans Serif"/>
          <w:b/>
          <w:caps/>
          <w:noProof/>
          <w:sz w:val="24"/>
          <w:szCs w:val="24"/>
        </w:rPr>
        <w:t>412.515.5468</w:t>
      </w:r>
    </w:p>
    <w:p w:rsidR="00996747" w:rsidRPr="00996747" w:rsidRDefault="00996747" w:rsidP="00996747">
      <w:pPr>
        <w:rPr>
          <w:rFonts w:ascii="Microsoft Sans Serif" w:hAnsi="Microsoft Sans Serif" w:cs="Microsoft Sans Serif"/>
          <w:caps/>
          <w:sz w:val="24"/>
          <w:szCs w:val="24"/>
        </w:rPr>
      </w:pPr>
    </w:p>
    <w:p w:rsidR="00996747" w:rsidRPr="00996747" w:rsidRDefault="00996747" w:rsidP="00996747">
      <w:pPr>
        <w:rPr>
          <w:rFonts w:ascii="Microsoft Sans Serif" w:hAnsi="Microsoft Sans Serif" w:cs="Microsoft Sans Serif"/>
          <w:caps/>
          <w:sz w:val="24"/>
          <w:szCs w:val="24"/>
        </w:rPr>
      </w:pPr>
    </w:p>
    <w:p w:rsidR="00996747" w:rsidRPr="00996747" w:rsidRDefault="00996747" w:rsidP="00996747">
      <w:pPr>
        <w:rPr>
          <w:rFonts w:ascii="Microsoft Sans Serif" w:hAnsi="Microsoft Sans Serif" w:cs="Microsoft Sans Serif"/>
          <w:caps/>
          <w:noProof/>
          <w:sz w:val="24"/>
          <w:szCs w:val="24"/>
        </w:rPr>
      </w:pPr>
      <w:r w:rsidRPr="00996747">
        <w:rPr>
          <w:rFonts w:ascii="Microsoft Sans Serif" w:hAnsi="Microsoft Sans Serif" w:cs="Microsoft Sans Serif"/>
          <w:caps/>
          <w:noProof/>
          <w:sz w:val="24"/>
          <w:szCs w:val="24"/>
        </w:rPr>
        <w:t>paul s miller esquire</w:t>
      </w:r>
    </w:p>
    <w:p w:rsidR="00996747" w:rsidRPr="00996747" w:rsidRDefault="00996747" w:rsidP="00996747">
      <w:pPr>
        <w:rPr>
          <w:rFonts w:ascii="Microsoft Sans Serif" w:hAnsi="Microsoft Sans Serif" w:cs="Microsoft Sans Serif"/>
          <w:caps/>
          <w:noProof/>
          <w:sz w:val="24"/>
          <w:szCs w:val="24"/>
        </w:rPr>
      </w:pPr>
      <w:r w:rsidRPr="00996747">
        <w:rPr>
          <w:rFonts w:ascii="Microsoft Sans Serif" w:hAnsi="Microsoft Sans Serif" w:cs="Microsoft Sans Serif"/>
          <w:caps/>
          <w:noProof/>
          <w:sz w:val="24"/>
          <w:szCs w:val="24"/>
        </w:rPr>
        <w:t>tucker arensberg, pc</w:t>
      </w:r>
    </w:p>
    <w:p w:rsidR="00996747" w:rsidRPr="00996747" w:rsidRDefault="00996747" w:rsidP="00996747">
      <w:pPr>
        <w:rPr>
          <w:rFonts w:ascii="Microsoft Sans Serif" w:hAnsi="Microsoft Sans Serif" w:cs="Microsoft Sans Serif"/>
          <w:caps/>
          <w:noProof/>
          <w:sz w:val="24"/>
          <w:szCs w:val="24"/>
        </w:rPr>
      </w:pPr>
      <w:r w:rsidRPr="00996747">
        <w:rPr>
          <w:rFonts w:ascii="Microsoft Sans Serif" w:hAnsi="Microsoft Sans Serif" w:cs="Microsoft Sans Serif"/>
          <w:caps/>
          <w:noProof/>
          <w:sz w:val="24"/>
          <w:szCs w:val="24"/>
        </w:rPr>
        <w:t>1500 one ppg place</w:t>
      </w:r>
    </w:p>
    <w:p w:rsidR="00996747" w:rsidRPr="00996747" w:rsidRDefault="00996747" w:rsidP="00996747">
      <w:pPr>
        <w:rPr>
          <w:rFonts w:ascii="Microsoft Sans Serif" w:hAnsi="Microsoft Sans Serif" w:cs="Microsoft Sans Serif"/>
          <w:caps/>
          <w:noProof/>
          <w:sz w:val="24"/>
          <w:szCs w:val="24"/>
        </w:rPr>
      </w:pPr>
      <w:r w:rsidRPr="00996747">
        <w:rPr>
          <w:rFonts w:ascii="Microsoft Sans Serif" w:hAnsi="Microsoft Sans Serif" w:cs="Microsoft Sans Serif"/>
          <w:caps/>
          <w:noProof/>
          <w:sz w:val="24"/>
          <w:szCs w:val="24"/>
        </w:rPr>
        <w:t>pittsburgh pa 15222</w:t>
      </w:r>
    </w:p>
    <w:p w:rsidR="00996747" w:rsidRPr="00996747" w:rsidRDefault="00996747" w:rsidP="00996747">
      <w:pPr>
        <w:rPr>
          <w:rFonts w:ascii="Microsoft Sans Serif" w:hAnsi="Microsoft Sans Serif" w:cs="Microsoft Sans Serif"/>
          <w:b/>
          <w:caps/>
          <w:noProof/>
          <w:sz w:val="24"/>
          <w:szCs w:val="24"/>
        </w:rPr>
      </w:pPr>
      <w:r w:rsidRPr="00996747">
        <w:rPr>
          <w:rFonts w:ascii="Microsoft Sans Serif" w:hAnsi="Microsoft Sans Serif" w:cs="Microsoft Sans Serif"/>
          <w:b/>
          <w:caps/>
          <w:noProof/>
          <w:sz w:val="24"/>
          <w:szCs w:val="24"/>
        </w:rPr>
        <w:t>412.594.5503</w:t>
      </w:r>
    </w:p>
    <w:p w:rsidR="00996747" w:rsidRPr="00996747" w:rsidRDefault="00996747" w:rsidP="00996747">
      <w:pPr>
        <w:rPr>
          <w:rFonts w:ascii="Microsoft Sans Serif" w:hAnsi="Microsoft Sans Serif" w:cs="Microsoft Sans Serif"/>
          <w:b/>
          <w:i/>
          <w:caps/>
          <w:sz w:val="24"/>
          <w:szCs w:val="24"/>
          <w:u w:val="single"/>
        </w:rPr>
      </w:pPr>
      <w:r w:rsidRPr="00996747">
        <w:rPr>
          <w:rFonts w:ascii="Microsoft Sans Serif" w:hAnsi="Microsoft Sans Serif" w:cs="Microsoft Sans Serif"/>
          <w:b/>
          <w:i/>
          <w:caps/>
          <w:sz w:val="24"/>
          <w:szCs w:val="24"/>
          <w:u w:val="single"/>
        </w:rPr>
        <w:t>e-service</w:t>
      </w:r>
    </w:p>
    <w:p w:rsidR="001D38B8" w:rsidRPr="00996747" w:rsidRDefault="001D38B8" w:rsidP="001D38B8">
      <w:pPr>
        <w:tabs>
          <w:tab w:val="left" w:pos="360"/>
        </w:tabs>
        <w:rPr>
          <w:sz w:val="24"/>
          <w:szCs w:val="24"/>
        </w:rPr>
      </w:pPr>
    </w:p>
    <w:sectPr w:rsidR="001D38B8" w:rsidRPr="00996747"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C37" w:rsidRDefault="004E2C37">
      <w:r>
        <w:separator/>
      </w:r>
    </w:p>
  </w:endnote>
  <w:endnote w:type="continuationSeparator" w:id="0">
    <w:p w:rsidR="004E2C37" w:rsidRDefault="004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2AA8">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C37" w:rsidRDefault="004E2C37">
      <w:r>
        <w:separator/>
      </w:r>
    </w:p>
  </w:footnote>
  <w:footnote w:type="continuationSeparator" w:id="0">
    <w:p w:rsidR="004E2C37" w:rsidRDefault="004E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A22F9"/>
    <w:rsid w:val="000C01F3"/>
    <w:rsid w:val="000D50F2"/>
    <w:rsid w:val="000E7447"/>
    <w:rsid w:val="000F1967"/>
    <w:rsid w:val="0010441E"/>
    <w:rsid w:val="0010572B"/>
    <w:rsid w:val="00116F8A"/>
    <w:rsid w:val="00143936"/>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87932"/>
    <w:rsid w:val="003A08F3"/>
    <w:rsid w:val="003B3FBC"/>
    <w:rsid w:val="003B7B1D"/>
    <w:rsid w:val="003D0B0B"/>
    <w:rsid w:val="003E4E24"/>
    <w:rsid w:val="00412780"/>
    <w:rsid w:val="00461C22"/>
    <w:rsid w:val="004856BA"/>
    <w:rsid w:val="00495F65"/>
    <w:rsid w:val="0049711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55D"/>
    <w:rsid w:val="006A14B5"/>
    <w:rsid w:val="006A15DE"/>
    <w:rsid w:val="0071350D"/>
    <w:rsid w:val="0073663B"/>
    <w:rsid w:val="00740357"/>
    <w:rsid w:val="0077153E"/>
    <w:rsid w:val="007768F9"/>
    <w:rsid w:val="00782AA8"/>
    <w:rsid w:val="007845E9"/>
    <w:rsid w:val="0078531F"/>
    <w:rsid w:val="00785C22"/>
    <w:rsid w:val="007903F9"/>
    <w:rsid w:val="00792CE7"/>
    <w:rsid w:val="007A0CC7"/>
    <w:rsid w:val="007B28B5"/>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6747"/>
    <w:rsid w:val="00997F90"/>
    <w:rsid w:val="009D6EC6"/>
    <w:rsid w:val="009E5BD3"/>
    <w:rsid w:val="00A01F2B"/>
    <w:rsid w:val="00A0342E"/>
    <w:rsid w:val="00A13234"/>
    <w:rsid w:val="00A22ECD"/>
    <w:rsid w:val="00A615FF"/>
    <w:rsid w:val="00AE0239"/>
    <w:rsid w:val="00B02B8A"/>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DF6F3A"/>
    <w:rsid w:val="00E10828"/>
    <w:rsid w:val="00E372F4"/>
    <w:rsid w:val="00E7004F"/>
    <w:rsid w:val="00EA4143"/>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D181E9"/>
  <w15:docId w15:val="{EB30C898-46A7-4362-A9EC-6CDDBEE1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8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1306</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5</cp:revision>
  <cp:lastPrinted>2017-11-27T14:47:00Z</cp:lastPrinted>
  <dcterms:created xsi:type="dcterms:W3CDTF">2017-11-27T14:20:00Z</dcterms:created>
  <dcterms:modified xsi:type="dcterms:W3CDTF">2017-11-27T14:47:00Z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