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18" w:rsidRDefault="00F92DBE" w:rsidP="00F92DBE">
      <w:pPr>
        <w:jc w:val="center"/>
        <w:rPr>
          <w:sz w:val="26"/>
          <w:szCs w:val="26"/>
        </w:rPr>
      </w:pPr>
      <w:r>
        <w:rPr>
          <w:sz w:val="26"/>
          <w:szCs w:val="26"/>
        </w:rPr>
        <w:t>November 29, 2017</w:t>
      </w:r>
    </w:p>
    <w:p w:rsidR="00DE5318" w:rsidRDefault="00130671" w:rsidP="006873F2">
      <w:pPr>
        <w:jc w:val="right"/>
        <w:rPr>
          <w:sz w:val="26"/>
          <w:szCs w:val="26"/>
        </w:rPr>
      </w:pPr>
      <w:r w:rsidRPr="00787E91">
        <w:rPr>
          <w:sz w:val="26"/>
          <w:szCs w:val="26"/>
        </w:rPr>
        <w:t>Docket No.</w:t>
      </w:r>
      <w:r w:rsidR="00DE5318">
        <w:rPr>
          <w:sz w:val="26"/>
          <w:szCs w:val="26"/>
        </w:rPr>
        <w:t xml:space="preserve"> R-2017-2586783</w:t>
      </w:r>
      <w:r w:rsidR="006873F2">
        <w:rPr>
          <w:sz w:val="26"/>
          <w:szCs w:val="26"/>
        </w:rPr>
        <w:t xml:space="preserve"> </w:t>
      </w:r>
    </w:p>
    <w:p w:rsidR="00F00F7F" w:rsidRPr="00787E91" w:rsidRDefault="00130671" w:rsidP="006873F2">
      <w:pPr>
        <w:jc w:val="right"/>
        <w:rPr>
          <w:sz w:val="26"/>
          <w:szCs w:val="26"/>
        </w:rPr>
      </w:pPr>
      <w:r w:rsidRPr="00787E91">
        <w:rPr>
          <w:sz w:val="26"/>
          <w:szCs w:val="26"/>
        </w:rPr>
        <w:t xml:space="preserve"> </w:t>
      </w:r>
    </w:p>
    <w:p w:rsidR="00B45AC9" w:rsidRPr="00F92DBE" w:rsidRDefault="00DE5318" w:rsidP="00B45673">
      <w:pPr>
        <w:rPr>
          <w:sz w:val="24"/>
          <w:szCs w:val="24"/>
        </w:rPr>
      </w:pPr>
      <w:r w:rsidRPr="00F92DBE">
        <w:rPr>
          <w:sz w:val="24"/>
          <w:szCs w:val="24"/>
        </w:rPr>
        <w:t>DANIEL CLEARFIELD</w:t>
      </w:r>
    </w:p>
    <w:p w:rsidR="00DE5318" w:rsidRPr="00F92DBE" w:rsidRDefault="00DE5318" w:rsidP="00B45673">
      <w:pPr>
        <w:rPr>
          <w:sz w:val="24"/>
          <w:szCs w:val="24"/>
        </w:rPr>
      </w:pPr>
      <w:r w:rsidRPr="00F92DBE">
        <w:rPr>
          <w:sz w:val="24"/>
          <w:szCs w:val="24"/>
        </w:rPr>
        <w:t>ECKERT SEAMANS CHERIN &amp; MELLOTT LLC</w:t>
      </w:r>
    </w:p>
    <w:p w:rsidR="00DE5318" w:rsidRPr="00F92DBE" w:rsidRDefault="00DE5318" w:rsidP="00B45673">
      <w:pPr>
        <w:rPr>
          <w:sz w:val="24"/>
          <w:szCs w:val="24"/>
        </w:rPr>
      </w:pPr>
      <w:r w:rsidRPr="00F92DBE">
        <w:rPr>
          <w:sz w:val="24"/>
          <w:szCs w:val="24"/>
        </w:rPr>
        <w:t>213 MARKET STREET</w:t>
      </w:r>
    </w:p>
    <w:p w:rsidR="00DE5318" w:rsidRPr="00F92DBE" w:rsidRDefault="00DE5318" w:rsidP="00B45673">
      <w:pPr>
        <w:rPr>
          <w:sz w:val="24"/>
          <w:szCs w:val="24"/>
        </w:rPr>
      </w:pPr>
      <w:r w:rsidRPr="00F92DBE">
        <w:rPr>
          <w:sz w:val="24"/>
          <w:szCs w:val="24"/>
        </w:rPr>
        <w:t>8</w:t>
      </w:r>
      <w:r w:rsidRPr="00F92DBE">
        <w:rPr>
          <w:sz w:val="24"/>
          <w:szCs w:val="24"/>
          <w:vertAlign w:val="superscript"/>
        </w:rPr>
        <w:t>TH</w:t>
      </w:r>
      <w:r w:rsidRPr="00F92DBE">
        <w:rPr>
          <w:sz w:val="24"/>
          <w:szCs w:val="24"/>
        </w:rPr>
        <w:t xml:space="preserve"> FLOOR</w:t>
      </w:r>
    </w:p>
    <w:p w:rsidR="00DE5318" w:rsidRPr="00F92DBE" w:rsidRDefault="00DE5318" w:rsidP="00B45673">
      <w:pPr>
        <w:rPr>
          <w:sz w:val="24"/>
          <w:szCs w:val="24"/>
        </w:rPr>
      </w:pPr>
      <w:r w:rsidRPr="00F92DBE">
        <w:rPr>
          <w:sz w:val="24"/>
          <w:szCs w:val="24"/>
        </w:rPr>
        <w:t>HARRISBURG PA  17101</w:t>
      </w:r>
    </w:p>
    <w:p w:rsidR="00B45673" w:rsidRPr="00787E91" w:rsidRDefault="00B45673" w:rsidP="00B45673">
      <w:pPr>
        <w:rPr>
          <w:sz w:val="26"/>
          <w:szCs w:val="26"/>
        </w:rPr>
      </w:pPr>
    </w:p>
    <w:p w:rsidR="00C13A42" w:rsidRPr="00787E91" w:rsidRDefault="00C13A42" w:rsidP="00B45673">
      <w:pPr>
        <w:rPr>
          <w:sz w:val="26"/>
          <w:szCs w:val="26"/>
        </w:rPr>
      </w:pPr>
    </w:p>
    <w:p w:rsidR="00C13A42" w:rsidRPr="00787E91" w:rsidRDefault="00C13A42" w:rsidP="00B45673">
      <w:pPr>
        <w:rPr>
          <w:sz w:val="26"/>
          <w:szCs w:val="26"/>
        </w:rPr>
      </w:pPr>
    </w:p>
    <w:p w:rsidR="00DE5318" w:rsidRDefault="00B45673" w:rsidP="00D1606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>Re</w:t>
      </w:r>
      <w:r w:rsidR="00C13A42" w:rsidRPr="00787E91">
        <w:rPr>
          <w:sz w:val="26"/>
          <w:szCs w:val="26"/>
        </w:rPr>
        <w:t xml:space="preserve">:  </w:t>
      </w:r>
      <w:r w:rsidR="00DE5318">
        <w:rPr>
          <w:sz w:val="26"/>
          <w:szCs w:val="26"/>
        </w:rPr>
        <w:t>Philadelphia Gas Works</w:t>
      </w:r>
      <w:r w:rsidR="0036494B">
        <w:rPr>
          <w:sz w:val="26"/>
          <w:szCs w:val="26"/>
        </w:rPr>
        <w:t>’</w:t>
      </w:r>
      <w:r w:rsidR="00DE5318">
        <w:rPr>
          <w:sz w:val="26"/>
          <w:szCs w:val="26"/>
        </w:rPr>
        <w:t xml:space="preserve"> Supplement No. 106 to Gas Service Tariff – Pa P.U.C. </w:t>
      </w:r>
    </w:p>
    <w:p w:rsidR="00C13A42" w:rsidRPr="00787E91" w:rsidRDefault="00DE5318" w:rsidP="00DE5318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No. 2 and Supplement No. 73 to Gas Supplier Tariff – Pa P.U.C. No. 1</w:t>
      </w:r>
    </w:p>
    <w:p w:rsidR="00130671" w:rsidRPr="00787E91" w:rsidRDefault="00130671" w:rsidP="00D1606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 xml:space="preserve">      </w:t>
      </w:r>
    </w:p>
    <w:p w:rsidR="00B45673" w:rsidRPr="00787E91" w:rsidRDefault="00B45673" w:rsidP="00B45673">
      <w:pPr>
        <w:rPr>
          <w:sz w:val="26"/>
          <w:szCs w:val="26"/>
        </w:rPr>
      </w:pPr>
      <w:r w:rsidRPr="00787E91">
        <w:rPr>
          <w:sz w:val="26"/>
          <w:szCs w:val="26"/>
        </w:rPr>
        <w:t xml:space="preserve">Dear </w:t>
      </w:r>
      <w:r w:rsidR="0036494B">
        <w:rPr>
          <w:sz w:val="26"/>
          <w:szCs w:val="26"/>
        </w:rPr>
        <w:t>Mr. Clearfield</w:t>
      </w:r>
      <w:r w:rsidR="006D5846" w:rsidRPr="00787E91">
        <w:rPr>
          <w:sz w:val="26"/>
          <w:szCs w:val="26"/>
        </w:rPr>
        <w:t>:</w:t>
      </w:r>
    </w:p>
    <w:p w:rsidR="00B45673" w:rsidRPr="00787E91" w:rsidRDefault="00B45673" w:rsidP="00B45673">
      <w:pPr>
        <w:rPr>
          <w:sz w:val="26"/>
          <w:szCs w:val="26"/>
        </w:rPr>
      </w:pPr>
    </w:p>
    <w:p w:rsidR="00E8069B" w:rsidRPr="00787E91" w:rsidRDefault="00B45673" w:rsidP="00F33B46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="00AB60E6"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>By Order entered</w:t>
      </w:r>
      <w:r w:rsidR="00C13A42" w:rsidRPr="00787E91">
        <w:rPr>
          <w:sz w:val="26"/>
          <w:szCs w:val="26"/>
        </w:rPr>
        <w:t xml:space="preserve"> </w:t>
      </w:r>
      <w:r w:rsidR="0036494B">
        <w:rPr>
          <w:sz w:val="26"/>
          <w:szCs w:val="26"/>
        </w:rPr>
        <w:t>November 8, 2017</w:t>
      </w:r>
      <w:r w:rsidR="004C741D" w:rsidRPr="00787E91">
        <w:rPr>
          <w:sz w:val="26"/>
          <w:szCs w:val="26"/>
        </w:rPr>
        <w:t xml:space="preserve">, the Commission </w:t>
      </w:r>
      <w:r w:rsidR="006861B6" w:rsidRPr="00787E91">
        <w:rPr>
          <w:sz w:val="26"/>
          <w:szCs w:val="26"/>
        </w:rPr>
        <w:t xml:space="preserve">authorized </w:t>
      </w:r>
      <w:r w:rsidR="00F33B46">
        <w:rPr>
          <w:sz w:val="26"/>
          <w:szCs w:val="26"/>
        </w:rPr>
        <w:t>Philadelphia Gas Works</w:t>
      </w:r>
      <w:r w:rsidR="00255B27" w:rsidRPr="00787E91">
        <w:rPr>
          <w:sz w:val="26"/>
          <w:szCs w:val="26"/>
        </w:rPr>
        <w:t xml:space="preserve"> (C</w:t>
      </w:r>
      <w:r w:rsidR="006861B6" w:rsidRPr="00787E91">
        <w:rPr>
          <w:sz w:val="26"/>
          <w:szCs w:val="26"/>
        </w:rPr>
        <w:t>ompany)</w:t>
      </w:r>
      <w:r w:rsidR="005E0496" w:rsidRPr="00787E91">
        <w:rPr>
          <w:sz w:val="26"/>
          <w:szCs w:val="26"/>
        </w:rPr>
        <w:t xml:space="preserve"> </w:t>
      </w:r>
      <w:r w:rsidR="006861B6" w:rsidRPr="00787E91">
        <w:rPr>
          <w:sz w:val="26"/>
          <w:szCs w:val="26"/>
        </w:rPr>
        <w:t xml:space="preserve">to file </w:t>
      </w:r>
      <w:r w:rsidR="00130671" w:rsidRPr="00787E91">
        <w:rPr>
          <w:sz w:val="26"/>
          <w:szCs w:val="26"/>
        </w:rPr>
        <w:t>tariff supplement</w:t>
      </w:r>
      <w:r w:rsidR="00F33B46">
        <w:rPr>
          <w:sz w:val="26"/>
          <w:szCs w:val="26"/>
        </w:rPr>
        <w:t>s,</w:t>
      </w:r>
      <w:r w:rsidR="00130671" w:rsidRPr="00787E91">
        <w:rPr>
          <w:sz w:val="26"/>
          <w:szCs w:val="26"/>
        </w:rPr>
        <w:t xml:space="preserve"> </w:t>
      </w:r>
      <w:r w:rsidR="00255B27" w:rsidRPr="00787E91">
        <w:rPr>
          <w:sz w:val="26"/>
          <w:szCs w:val="26"/>
        </w:rPr>
        <w:t xml:space="preserve">in </w:t>
      </w:r>
      <w:r w:rsidR="00F33B46">
        <w:rPr>
          <w:sz w:val="26"/>
          <w:szCs w:val="26"/>
        </w:rPr>
        <w:t xml:space="preserve">the form set forth in Exhibit 1 </w:t>
      </w:r>
      <w:r w:rsidR="00255B27" w:rsidRPr="00787E91">
        <w:rPr>
          <w:sz w:val="26"/>
          <w:szCs w:val="26"/>
        </w:rPr>
        <w:t xml:space="preserve">to the Joint Petition </w:t>
      </w:r>
      <w:r w:rsidR="00F33B46">
        <w:rPr>
          <w:sz w:val="26"/>
          <w:szCs w:val="26"/>
        </w:rPr>
        <w:t xml:space="preserve">for Partial </w:t>
      </w:r>
      <w:r w:rsidR="00F33B46" w:rsidRPr="00787E91">
        <w:rPr>
          <w:sz w:val="26"/>
          <w:szCs w:val="26"/>
        </w:rPr>
        <w:t xml:space="preserve">Settlement </w:t>
      </w:r>
      <w:r w:rsidR="00255B27" w:rsidRPr="00787E91">
        <w:rPr>
          <w:sz w:val="26"/>
          <w:szCs w:val="26"/>
        </w:rPr>
        <w:t>filed in the above docketed rate investigation</w:t>
      </w:r>
      <w:r w:rsidR="00F33B46">
        <w:rPr>
          <w:sz w:val="26"/>
          <w:szCs w:val="26"/>
        </w:rPr>
        <w:t>, increasing annual operating revenues in the total amount of $41,998,117.</w:t>
      </w:r>
      <w:r w:rsidR="00A4155F" w:rsidRPr="00787E91">
        <w:rPr>
          <w:sz w:val="26"/>
          <w:szCs w:val="26"/>
        </w:rPr>
        <w:t xml:space="preserve">  </w:t>
      </w:r>
      <w:r w:rsidR="006861B6" w:rsidRPr="00787E91">
        <w:rPr>
          <w:sz w:val="26"/>
          <w:szCs w:val="26"/>
        </w:rPr>
        <w:t xml:space="preserve">On </w:t>
      </w:r>
      <w:r w:rsidR="00F33B46">
        <w:rPr>
          <w:sz w:val="26"/>
          <w:szCs w:val="26"/>
        </w:rPr>
        <w:t>November 14</w:t>
      </w:r>
      <w:r w:rsidR="006861B6" w:rsidRPr="00787E91">
        <w:rPr>
          <w:sz w:val="26"/>
          <w:szCs w:val="26"/>
        </w:rPr>
        <w:t xml:space="preserve">, the </w:t>
      </w:r>
      <w:r w:rsidR="004F5F75" w:rsidRPr="00787E91">
        <w:rPr>
          <w:sz w:val="26"/>
          <w:szCs w:val="26"/>
        </w:rPr>
        <w:t>C</w:t>
      </w:r>
      <w:r w:rsidR="006861B6" w:rsidRPr="00787E91">
        <w:rPr>
          <w:sz w:val="26"/>
          <w:szCs w:val="26"/>
        </w:rPr>
        <w:t>ompany</w:t>
      </w:r>
      <w:r w:rsidR="004F5F75" w:rsidRPr="00787E91">
        <w:rPr>
          <w:sz w:val="26"/>
          <w:szCs w:val="26"/>
        </w:rPr>
        <w:t xml:space="preserve"> filed </w:t>
      </w:r>
      <w:r w:rsidR="00F33B46" w:rsidRPr="00F33B46">
        <w:rPr>
          <w:sz w:val="26"/>
          <w:szCs w:val="26"/>
        </w:rPr>
        <w:t>Supplement No. 106 to Gas Service Tariff – Pa P.U.C. No. 2 and Supplement No. 73 to Gas Supplier Tariff – Pa P.U.C. No. 1</w:t>
      </w:r>
      <w:r w:rsidR="00F33B46">
        <w:rPr>
          <w:sz w:val="26"/>
          <w:szCs w:val="26"/>
        </w:rPr>
        <w:t>,</w:t>
      </w:r>
      <w:r w:rsidR="004F5F75" w:rsidRPr="00787E91">
        <w:rPr>
          <w:sz w:val="26"/>
          <w:szCs w:val="26"/>
        </w:rPr>
        <w:t xml:space="preserve"> </w:t>
      </w:r>
      <w:r w:rsidR="00E8069B" w:rsidRPr="00787E91">
        <w:rPr>
          <w:sz w:val="26"/>
          <w:szCs w:val="26"/>
        </w:rPr>
        <w:t xml:space="preserve">to become effective </w:t>
      </w:r>
      <w:r w:rsidR="00F33B46">
        <w:rPr>
          <w:sz w:val="26"/>
          <w:szCs w:val="26"/>
        </w:rPr>
        <w:t>December 1, 2017</w:t>
      </w:r>
      <w:r w:rsidR="00E8069B" w:rsidRPr="00787E91">
        <w:rPr>
          <w:sz w:val="26"/>
          <w:szCs w:val="26"/>
        </w:rPr>
        <w:t xml:space="preserve">.  </w:t>
      </w:r>
    </w:p>
    <w:p w:rsidR="00757E90" w:rsidRPr="00787E91" w:rsidRDefault="00757E90" w:rsidP="00DD2FE2">
      <w:pPr>
        <w:rPr>
          <w:sz w:val="26"/>
          <w:szCs w:val="26"/>
        </w:rPr>
      </w:pPr>
    </w:p>
    <w:p w:rsidR="00A4155F" w:rsidRPr="00787E91" w:rsidRDefault="00757E90" w:rsidP="00757E90">
      <w:pPr>
        <w:ind w:hanging="1080"/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 xml:space="preserve">Commission Staff has reviewed the tariff revisions and found that suspension or further investigation does not appear warranted.  Therefore, in accordance with 52 Pa. Code, </w:t>
      </w:r>
      <w:r w:rsidR="00F33B46">
        <w:rPr>
          <w:sz w:val="26"/>
          <w:szCs w:val="26"/>
        </w:rPr>
        <w:t xml:space="preserve">the supplements are accepted and approved to become </w:t>
      </w:r>
      <w:r w:rsidR="00A4155F" w:rsidRPr="00787E91">
        <w:rPr>
          <w:sz w:val="26"/>
          <w:szCs w:val="26"/>
        </w:rPr>
        <w:t xml:space="preserve">effective by operation of law </w:t>
      </w:r>
      <w:r w:rsidR="003C688B">
        <w:rPr>
          <w:sz w:val="26"/>
          <w:szCs w:val="26"/>
        </w:rPr>
        <w:t>per</w:t>
      </w:r>
      <w:r w:rsidR="00A4155F" w:rsidRPr="00787E91">
        <w:rPr>
          <w:sz w:val="26"/>
          <w:szCs w:val="26"/>
        </w:rPr>
        <w:t xml:space="preserve"> the</w:t>
      </w:r>
      <w:r w:rsidR="00F33B46">
        <w:rPr>
          <w:sz w:val="26"/>
          <w:szCs w:val="26"/>
        </w:rPr>
        <w:t xml:space="preserve"> proposed</w:t>
      </w:r>
      <w:r w:rsidR="00A4155F" w:rsidRPr="00787E91">
        <w:rPr>
          <w:sz w:val="26"/>
          <w:szCs w:val="26"/>
        </w:rPr>
        <w:t xml:space="preserve"> effective date.  However, this is without prejudice to any formal complaints timely filed against said tariff revision</w:t>
      </w:r>
      <w:r w:rsidR="003C688B">
        <w:rPr>
          <w:sz w:val="26"/>
          <w:szCs w:val="26"/>
        </w:rPr>
        <w:t>s</w:t>
      </w:r>
      <w:r w:rsidR="00A4155F" w:rsidRPr="00787E91">
        <w:rPr>
          <w:sz w:val="26"/>
          <w:szCs w:val="26"/>
        </w:rPr>
        <w:t>.</w:t>
      </w:r>
    </w:p>
    <w:p w:rsidR="00A4155F" w:rsidRPr="00787E91" w:rsidRDefault="00A4155F" w:rsidP="00757E90">
      <w:pPr>
        <w:ind w:hanging="1080"/>
        <w:rPr>
          <w:sz w:val="26"/>
          <w:szCs w:val="26"/>
        </w:rPr>
      </w:pPr>
    </w:p>
    <w:p w:rsidR="00A4155F" w:rsidRPr="00787E91" w:rsidRDefault="00A4155F" w:rsidP="00757E90">
      <w:pPr>
        <w:ind w:hanging="1080"/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 xml:space="preserve">If you have any questions in this matter, please contact Marissa Boyle, Bureau of Technical Utility Services, at 717-787-7237 or </w:t>
      </w:r>
      <w:hyperlink r:id="rId7" w:history="1">
        <w:r w:rsidR="009527F2" w:rsidRPr="00787E91">
          <w:rPr>
            <w:rStyle w:val="Hyperlink"/>
            <w:sz w:val="26"/>
            <w:szCs w:val="26"/>
          </w:rPr>
          <w:t>maboyle@pa.gov</w:t>
        </w:r>
      </w:hyperlink>
      <w:r w:rsidR="009527F2" w:rsidRPr="00787E91">
        <w:rPr>
          <w:sz w:val="26"/>
          <w:szCs w:val="26"/>
        </w:rPr>
        <w:t>.</w:t>
      </w:r>
    </w:p>
    <w:p w:rsidR="009527F2" w:rsidRPr="00787E91" w:rsidRDefault="009527F2" w:rsidP="00F33B46">
      <w:pPr>
        <w:rPr>
          <w:sz w:val="26"/>
          <w:szCs w:val="26"/>
        </w:rPr>
      </w:pPr>
    </w:p>
    <w:p w:rsidR="009527F2" w:rsidRPr="00787E91" w:rsidRDefault="009527F2" w:rsidP="00F33B46">
      <w:pPr>
        <w:rPr>
          <w:sz w:val="26"/>
          <w:szCs w:val="26"/>
        </w:rPr>
      </w:pPr>
    </w:p>
    <w:p w:rsidR="00787E91" w:rsidRDefault="00787E91" w:rsidP="00DD2FE2">
      <w:pPr>
        <w:rPr>
          <w:sz w:val="26"/>
          <w:szCs w:val="26"/>
        </w:rPr>
      </w:pPr>
    </w:p>
    <w:p w:rsidR="00DD2FE2" w:rsidRPr="00787E91" w:rsidRDefault="00F92DBE" w:rsidP="00DD2FE2">
      <w:pPr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D90620" wp14:editId="79CCB3C4">
            <wp:simplePos x="0" y="0"/>
            <wp:positionH relativeFrom="column">
              <wp:posOffset>3514725</wp:posOffset>
            </wp:positionH>
            <wp:positionV relativeFrom="paragraph">
              <wp:posOffset>46355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</w:r>
      <w:r w:rsidR="00DD2FE2" w:rsidRPr="00787E91">
        <w:rPr>
          <w:sz w:val="26"/>
          <w:szCs w:val="26"/>
        </w:rPr>
        <w:tab/>
        <w:t>Sincerely</w:t>
      </w:r>
      <w:r w:rsidR="00033DFF" w:rsidRPr="00787E91">
        <w:rPr>
          <w:sz w:val="26"/>
          <w:szCs w:val="26"/>
        </w:rPr>
        <w:t>,</w:t>
      </w:r>
    </w:p>
    <w:p w:rsidR="00DD2FE2" w:rsidRPr="00787E91" w:rsidRDefault="00DD2FE2" w:rsidP="00DD2FE2">
      <w:pPr>
        <w:rPr>
          <w:sz w:val="26"/>
          <w:szCs w:val="26"/>
        </w:rPr>
      </w:pPr>
    </w:p>
    <w:p w:rsidR="00DD2FE2" w:rsidRPr="00787E91" w:rsidRDefault="00DD2FE2" w:rsidP="00DD2FE2">
      <w:pPr>
        <w:rPr>
          <w:sz w:val="26"/>
          <w:szCs w:val="26"/>
        </w:rPr>
      </w:pPr>
    </w:p>
    <w:p w:rsidR="00DD2FE2" w:rsidRPr="00787E91" w:rsidRDefault="00DD2FE2" w:rsidP="00DD2FE2">
      <w:pPr>
        <w:rPr>
          <w:sz w:val="26"/>
          <w:szCs w:val="26"/>
        </w:rPr>
      </w:pPr>
    </w:p>
    <w:p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5056CA" w:rsidRPr="00787E91">
        <w:rPr>
          <w:sz w:val="26"/>
          <w:szCs w:val="26"/>
        </w:rPr>
        <w:t>Rosemary Chiavetta</w:t>
      </w:r>
    </w:p>
    <w:p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Secretary</w:t>
      </w:r>
    </w:p>
    <w:p w:rsidR="00AB60E6" w:rsidRPr="00787E91" w:rsidRDefault="00AB60E6" w:rsidP="00DD2FE2">
      <w:pPr>
        <w:rPr>
          <w:sz w:val="26"/>
          <w:szCs w:val="26"/>
        </w:rPr>
      </w:pPr>
    </w:p>
    <w:p w:rsidR="00DD2FE2" w:rsidRPr="00AB60E6" w:rsidRDefault="00DD2FE2" w:rsidP="00D16063">
      <w:pPr>
        <w:ind w:firstLine="720"/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6873F2">
      <w:headerReference w:type="default" r:id="rId9"/>
      <w:type w:val="continuous"/>
      <w:pgSz w:w="12240" w:h="15840"/>
      <w:pgMar w:top="504" w:right="1152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86" w:rsidRDefault="00BC7486">
      <w:r>
        <w:separator/>
      </w:r>
    </w:p>
  </w:endnote>
  <w:endnote w:type="continuationSeparator" w:id="0">
    <w:p w:rsidR="00BC7486" w:rsidRDefault="00B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86" w:rsidRDefault="00BC7486">
      <w:r>
        <w:separator/>
      </w:r>
    </w:p>
  </w:footnote>
  <w:footnote w:type="continuationSeparator" w:id="0">
    <w:p w:rsidR="00BC7486" w:rsidRDefault="00BC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noProof/>
        <w:color w:val="000080"/>
        <w:spacing w:val="-3"/>
        <w:sz w:val="26"/>
        <w:szCs w:val="22"/>
      </w:rPr>
      <w:drawing>
        <wp:anchor distT="0" distB="0" distL="114300" distR="114300" simplePos="0" relativeHeight="251665920" behindDoc="0" locked="0" layoutInCell="1" allowOverlap="1" wp14:anchorId="41F6302D" wp14:editId="1CA31574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1" name="Picture 1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COMMONWEALTH</w:t>
        </w:r>
      </w:smartTag>
      <w:r w:rsidRPr="006873F2">
        <w:rPr>
          <w:rFonts w:ascii="Arial" w:hAnsi="Arial"/>
          <w:color w:val="000080"/>
          <w:spacing w:val="-3"/>
          <w:sz w:val="26"/>
          <w:szCs w:val="22"/>
        </w:rPr>
        <w:t xml:space="preserve"> OF </w:t>
      </w:r>
      <w:smartTag w:uri="urn:schemas-microsoft-com:office:smarttags" w:element="PlaceNam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</w:p>
  <w:p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smartTag w:uri="urn:schemas-microsoft-com:office:smarttags" w:element="place">
      <w:smartTag w:uri="urn:schemas-microsoft-com:office:smarttags" w:element="Stat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  <w:r w:rsidRPr="006873F2">
      <w:rPr>
        <w:rFonts w:ascii="Arial" w:hAnsi="Arial"/>
        <w:color w:val="000080"/>
        <w:spacing w:val="-3"/>
        <w:sz w:val="26"/>
        <w:szCs w:val="22"/>
      </w:rPr>
      <w:t xml:space="preserve"> PUBLIC UTILITY COMMISSION</w:t>
    </w:r>
  </w:p>
  <w:p w:rsidR="006873F2" w:rsidRDefault="006873F2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color w:val="000080"/>
        <w:spacing w:val="-3"/>
        <w:sz w:val="26"/>
        <w:szCs w:val="22"/>
      </w:rPr>
      <w:t>400 NORTH STREET, HARRISBURG, PA 17120</w:t>
    </w:r>
  </w:p>
  <w:p w:rsidR="004508E4" w:rsidRDefault="004508E4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FD"/>
    <w:rsid w:val="000124FB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73893"/>
    <w:rsid w:val="001878A7"/>
    <w:rsid w:val="00255B27"/>
    <w:rsid w:val="00260FC4"/>
    <w:rsid w:val="002824E7"/>
    <w:rsid w:val="003461CD"/>
    <w:rsid w:val="0036494B"/>
    <w:rsid w:val="003C688B"/>
    <w:rsid w:val="003D1F83"/>
    <w:rsid w:val="003D45ED"/>
    <w:rsid w:val="003D613B"/>
    <w:rsid w:val="003F15D5"/>
    <w:rsid w:val="00400D28"/>
    <w:rsid w:val="0043103D"/>
    <w:rsid w:val="004508E4"/>
    <w:rsid w:val="00480B00"/>
    <w:rsid w:val="004C741D"/>
    <w:rsid w:val="004E42FD"/>
    <w:rsid w:val="004F5F75"/>
    <w:rsid w:val="005056CA"/>
    <w:rsid w:val="00512D8A"/>
    <w:rsid w:val="0056517B"/>
    <w:rsid w:val="005C7262"/>
    <w:rsid w:val="005E0496"/>
    <w:rsid w:val="005F0888"/>
    <w:rsid w:val="00610700"/>
    <w:rsid w:val="00612FDC"/>
    <w:rsid w:val="0064012A"/>
    <w:rsid w:val="00652F4C"/>
    <w:rsid w:val="006861B6"/>
    <w:rsid w:val="006873F2"/>
    <w:rsid w:val="006B2538"/>
    <w:rsid w:val="006D3506"/>
    <w:rsid w:val="006D3801"/>
    <w:rsid w:val="006D5846"/>
    <w:rsid w:val="006E681C"/>
    <w:rsid w:val="00727946"/>
    <w:rsid w:val="00734593"/>
    <w:rsid w:val="00735B63"/>
    <w:rsid w:val="00744865"/>
    <w:rsid w:val="00757E90"/>
    <w:rsid w:val="00787E91"/>
    <w:rsid w:val="007C2FEA"/>
    <w:rsid w:val="00826337"/>
    <w:rsid w:val="00873C66"/>
    <w:rsid w:val="008A40F2"/>
    <w:rsid w:val="008A4C7A"/>
    <w:rsid w:val="008C4062"/>
    <w:rsid w:val="008D31D7"/>
    <w:rsid w:val="00920579"/>
    <w:rsid w:val="00926F9A"/>
    <w:rsid w:val="00946C8F"/>
    <w:rsid w:val="009527F2"/>
    <w:rsid w:val="00953D93"/>
    <w:rsid w:val="009963A1"/>
    <w:rsid w:val="009D51DE"/>
    <w:rsid w:val="009E0384"/>
    <w:rsid w:val="00A0750A"/>
    <w:rsid w:val="00A338C4"/>
    <w:rsid w:val="00A37FC5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22CB0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4F6C"/>
    <w:rsid w:val="00BB78EB"/>
    <w:rsid w:val="00BC7486"/>
    <w:rsid w:val="00BF6C18"/>
    <w:rsid w:val="00C04F4E"/>
    <w:rsid w:val="00C10E1B"/>
    <w:rsid w:val="00C13A42"/>
    <w:rsid w:val="00CD6821"/>
    <w:rsid w:val="00CE01FD"/>
    <w:rsid w:val="00CF09D8"/>
    <w:rsid w:val="00D10508"/>
    <w:rsid w:val="00D16063"/>
    <w:rsid w:val="00D24FA2"/>
    <w:rsid w:val="00D32F14"/>
    <w:rsid w:val="00D678BC"/>
    <w:rsid w:val="00DA08E9"/>
    <w:rsid w:val="00DB7619"/>
    <w:rsid w:val="00DD2FE2"/>
    <w:rsid w:val="00DE5318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33B46"/>
    <w:rsid w:val="00F4231E"/>
    <w:rsid w:val="00F70CBC"/>
    <w:rsid w:val="00F76505"/>
    <w:rsid w:val="00F92DBE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1B94AD"/>
  <w15:docId w15:val="{A334EF31-6242-4BF0-AF37-BDA2DD8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5</cp:revision>
  <cp:lastPrinted>2017-11-29T14:06:00Z</cp:lastPrinted>
  <dcterms:created xsi:type="dcterms:W3CDTF">2017-11-15T19:39:00Z</dcterms:created>
  <dcterms:modified xsi:type="dcterms:W3CDTF">2017-11-29T14:06:00Z</dcterms:modified>
</cp:coreProperties>
</file>