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960" w:rsidRDefault="000E13E9" w:rsidP="000E13E9">
      <w:pPr>
        <w:spacing w:line="240" w:lineRule="auto"/>
        <w:rPr>
          <w:b/>
        </w:rPr>
      </w:pPr>
      <w:r>
        <w:rPr>
          <w:b/>
        </w:rPr>
        <w:t>BEFORE THE</w:t>
      </w:r>
    </w:p>
    <w:p w:rsidR="000E13E9" w:rsidRDefault="000E13E9" w:rsidP="000E13E9">
      <w:pPr>
        <w:spacing w:line="240" w:lineRule="auto"/>
        <w:rPr>
          <w:b/>
        </w:rPr>
      </w:pPr>
      <w:r>
        <w:rPr>
          <w:b/>
        </w:rPr>
        <w:t>PENNSYLVANIA PUBLIC UTILITY COMMISSION</w:t>
      </w:r>
    </w:p>
    <w:p w:rsidR="000E13E9" w:rsidRDefault="000E13E9" w:rsidP="000E13E9">
      <w:pPr>
        <w:spacing w:line="240" w:lineRule="auto"/>
        <w:rPr>
          <w:b/>
        </w:rPr>
      </w:pPr>
    </w:p>
    <w:p w:rsidR="000E13E9" w:rsidRDefault="000E13E9" w:rsidP="000E13E9">
      <w:pPr>
        <w:spacing w:line="240" w:lineRule="auto"/>
        <w:rPr>
          <w:b/>
        </w:rPr>
      </w:pPr>
    </w:p>
    <w:p w:rsidR="00BB5CF4" w:rsidRDefault="00BB5CF4" w:rsidP="000E13E9">
      <w:pPr>
        <w:spacing w:line="240" w:lineRule="auto"/>
        <w:rPr>
          <w:b/>
        </w:rPr>
      </w:pPr>
    </w:p>
    <w:p w:rsidR="000E13E9" w:rsidRDefault="00793DD9" w:rsidP="000E13E9">
      <w:pPr>
        <w:spacing w:line="240" w:lineRule="auto"/>
        <w:jc w:val="left"/>
      </w:pPr>
      <w:r>
        <w:t>Walter Kolas</w:t>
      </w:r>
      <w:r w:rsidR="005200D5">
        <w:tab/>
      </w:r>
      <w:r w:rsidR="000E13E9">
        <w:t xml:space="preserve"> </w:t>
      </w:r>
      <w:r w:rsidR="000E13E9">
        <w:tab/>
      </w:r>
      <w:r w:rsidR="000E13E9">
        <w:tab/>
      </w:r>
      <w:r w:rsidR="000E13E9">
        <w:tab/>
      </w:r>
      <w:r w:rsidR="000E13E9">
        <w:tab/>
        <w:t>:</w:t>
      </w:r>
    </w:p>
    <w:p w:rsidR="000E13E9" w:rsidRDefault="000E13E9" w:rsidP="000E13E9">
      <w:pPr>
        <w:spacing w:line="240" w:lineRule="auto"/>
        <w:jc w:val="left"/>
      </w:pPr>
      <w:r>
        <w:tab/>
      </w:r>
      <w:r>
        <w:tab/>
      </w:r>
      <w:r>
        <w:tab/>
      </w:r>
      <w:r>
        <w:tab/>
      </w:r>
      <w:r>
        <w:tab/>
      </w:r>
      <w:r>
        <w:tab/>
        <w:t>:</w:t>
      </w:r>
    </w:p>
    <w:p w:rsidR="000E13E9" w:rsidRDefault="000E13E9" w:rsidP="000E13E9">
      <w:pPr>
        <w:spacing w:line="240" w:lineRule="auto"/>
        <w:jc w:val="left"/>
      </w:pPr>
      <w:r>
        <w:tab/>
        <w:t>v.</w:t>
      </w:r>
      <w:r>
        <w:tab/>
      </w:r>
      <w:r>
        <w:tab/>
      </w:r>
      <w:r>
        <w:tab/>
      </w:r>
      <w:r>
        <w:tab/>
      </w:r>
      <w:r>
        <w:tab/>
        <w:t>:</w:t>
      </w:r>
      <w:r>
        <w:tab/>
      </w:r>
      <w:r>
        <w:tab/>
        <w:t>F-201</w:t>
      </w:r>
      <w:r w:rsidR="00793DD9">
        <w:t>7</w:t>
      </w:r>
      <w:r>
        <w:t>-2</w:t>
      </w:r>
      <w:r w:rsidR="00793DD9">
        <w:t>626722</w:t>
      </w:r>
    </w:p>
    <w:p w:rsidR="000E13E9" w:rsidRDefault="000E13E9" w:rsidP="000E13E9">
      <w:pPr>
        <w:spacing w:line="240" w:lineRule="auto"/>
        <w:jc w:val="left"/>
      </w:pPr>
      <w:r>
        <w:tab/>
      </w:r>
      <w:r>
        <w:tab/>
      </w:r>
      <w:r>
        <w:tab/>
      </w:r>
      <w:r>
        <w:tab/>
      </w:r>
      <w:r>
        <w:tab/>
      </w:r>
      <w:r>
        <w:tab/>
        <w:t>:</w:t>
      </w:r>
    </w:p>
    <w:p w:rsidR="000E13E9" w:rsidRDefault="00793DD9" w:rsidP="000E13E9">
      <w:pPr>
        <w:spacing w:line="240" w:lineRule="auto"/>
        <w:jc w:val="left"/>
      </w:pPr>
      <w:r>
        <w:t>Duquesne Light</w:t>
      </w:r>
      <w:r w:rsidR="000E13E9">
        <w:t xml:space="preserve"> Company</w:t>
      </w:r>
      <w:r w:rsidR="005200D5">
        <w:tab/>
      </w:r>
      <w:r w:rsidR="000E13E9">
        <w:tab/>
      </w:r>
      <w:r w:rsidR="000E13E9">
        <w:tab/>
        <w:t>:</w:t>
      </w:r>
    </w:p>
    <w:p w:rsidR="000E13E9" w:rsidRDefault="000E13E9" w:rsidP="000E13E9">
      <w:pPr>
        <w:spacing w:line="240" w:lineRule="auto"/>
        <w:jc w:val="left"/>
      </w:pPr>
    </w:p>
    <w:p w:rsidR="00822DE6" w:rsidRDefault="00822DE6" w:rsidP="000E13E9">
      <w:pPr>
        <w:spacing w:line="240" w:lineRule="auto"/>
        <w:jc w:val="left"/>
      </w:pPr>
    </w:p>
    <w:p w:rsidR="000E13E9" w:rsidRDefault="000E13E9" w:rsidP="000E13E9">
      <w:pPr>
        <w:spacing w:line="240" w:lineRule="auto"/>
        <w:jc w:val="left"/>
      </w:pPr>
    </w:p>
    <w:p w:rsidR="00793DD9" w:rsidRDefault="009A05A6" w:rsidP="009A05A6">
      <w:pPr>
        <w:spacing w:line="240" w:lineRule="auto"/>
        <w:rPr>
          <w:b/>
        </w:rPr>
      </w:pPr>
      <w:r>
        <w:rPr>
          <w:b/>
        </w:rPr>
        <w:t xml:space="preserve">ORDER GRANTING </w:t>
      </w:r>
    </w:p>
    <w:p w:rsidR="009A05A6" w:rsidRDefault="009A05A6" w:rsidP="009A05A6">
      <w:pPr>
        <w:spacing w:line="240" w:lineRule="auto"/>
        <w:rPr>
          <w:b/>
        </w:rPr>
      </w:pPr>
      <w:r>
        <w:rPr>
          <w:b/>
        </w:rPr>
        <w:t xml:space="preserve">THE PRELIMINARY OBJECTIONS FILED BY  </w:t>
      </w:r>
    </w:p>
    <w:p w:rsidR="00793DD9" w:rsidRDefault="00793DD9" w:rsidP="00793DD9">
      <w:pPr>
        <w:spacing w:line="240" w:lineRule="auto"/>
        <w:rPr>
          <w:b/>
        </w:rPr>
      </w:pPr>
      <w:r>
        <w:rPr>
          <w:b/>
        </w:rPr>
        <w:t>DUQUESNE LIGHT</w:t>
      </w:r>
      <w:r w:rsidR="009A05A6">
        <w:rPr>
          <w:b/>
        </w:rPr>
        <w:t xml:space="preserve"> COMPANY </w:t>
      </w:r>
    </w:p>
    <w:p w:rsidR="000E13E9" w:rsidRDefault="000E13E9" w:rsidP="000E13E9">
      <w:pPr>
        <w:spacing w:line="240" w:lineRule="auto"/>
        <w:rPr>
          <w:u w:val="single"/>
        </w:rPr>
      </w:pPr>
    </w:p>
    <w:p w:rsidR="000E13E9" w:rsidRDefault="000E13E9" w:rsidP="000E13E9">
      <w:pPr>
        <w:spacing w:line="240" w:lineRule="auto"/>
        <w:rPr>
          <w:u w:val="single"/>
        </w:rPr>
      </w:pPr>
    </w:p>
    <w:p w:rsidR="000E13E9" w:rsidRPr="000E13E9" w:rsidRDefault="000E13E9" w:rsidP="000E13E9">
      <w:pPr>
        <w:spacing w:line="240" w:lineRule="auto"/>
        <w:rPr>
          <w:u w:val="single"/>
        </w:rPr>
      </w:pPr>
      <w:r w:rsidRPr="000E13E9">
        <w:rPr>
          <w:u w:val="single"/>
        </w:rPr>
        <w:t>HISTORY OF THE PROCEEDING</w:t>
      </w:r>
    </w:p>
    <w:p w:rsidR="000E13E9" w:rsidRDefault="000E13E9" w:rsidP="00BB5CF4"/>
    <w:p w:rsidR="00D55910" w:rsidRDefault="00D55910" w:rsidP="00BB5CF4">
      <w:pPr>
        <w:jc w:val="left"/>
      </w:pPr>
      <w:r>
        <w:tab/>
      </w:r>
      <w:r>
        <w:tab/>
        <w:t xml:space="preserve">This </w:t>
      </w:r>
      <w:r w:rsidR="00761A01">
        <w:t>o</w:t>
      </w:r>
      <w:r w:rsidR="009A05A6">
        <w:t>rder</w:t>
      </w:r>
      <w:r>
        <w:t xml:space="preserve"> </w:t>
      </w:r>
      <w:r w:rsidR="005200D5">
        <w:t xml:space="preserve">grants </w:t>
      </w:r>
      <w:r w:rsidR="00793DD9">
        <w:t>th</w:t>
      </w:r>
      <w:r w:rsidR="005200D5">
        <w:t xml:space="preserve">e </w:t>
      </w:r>
      <w:r w:rsidR="00793DD9">
        <w:t>p</w:t>
      </w:r>
      <w:r w:rsidR="005200D5">
        <w:t xml:space="preserve">reliminary </w:t>
      </w:r>
      <w:r w:rsidR="00793DD9">
        <w:t>o</w:t>
      </w:r>
      <w:r w:rsidR="005200D5">
        <w:t xml:space="preserve">bjections (POs) filed by </w:t>
      </w:r>
      <w:r w:rsidR="00793DD9">
        <w:t>Duquesne Light</w:t>
      </w:r>
      <w:r w:rsidR="005200D5">
        <w:t xml:space="preserve"> Company (</w:t>
      </w:r>
      <w:r w:rsidR="00793DD9">
        <w:t>Duquesne)</w:t>
      </w:r>
      <w:r w:rsidR="00522A37">
        <w:t xml:space="preserve">, </w:t>
      </w:r>
      <w:r w:rsidR="00793DD9">
        <w:t xml:space="preserve">and dismisses the Complainant’s request for relief to the extent it seeks an adjustment of charges on his account incurred more than four years before the filing of a complaint by the </w:t>
      </w:r>
      <w:r w:rsidR="00946313">
        <w:t>C</w:t>
      </w:r>
      <w:r w:rsidR="00793DD9">
        <w:t xml:space="preserve">omplainant.  </w:t>
      </w:r>
    </w:p>
    <w:p w:rsidR="00D55910" w:rsidRDefault="00D55910" w:rsidP="00BB5CF4">
      <w:pPr>
        <w:jc w:val="left"/>
      </w:pPr>
    </w:p>
    <w:p w:rsidR="000E13E9" w:rsidRDefault="000E13E9" w:rsidP="00BB5CF4">
      <w:pPr>
        <w:jc w:val="left"/>
      </w:pPr>
      <w:r>
        <w:tab/>
      </w:r>
      <w:r>
        <w:tab/>
        <w:t xml:space="preserve">On </w:t>
      </w:r>
      <w:r w:rsidR="00793DD9">
        <w:t>September 25, 2017</w:t>
      </w:r>
      <w:r>
        <w:t xml:space="preserve">, </w:t>
      </w:r>
      <w:r w:rsidR="00793DD9">
        <w:t xml:space="preserve">the Complainant, Walter Kolas, </w:t>
      </w:r>
      <w:r>
        <w:t xml:space="preserve">filed a </w:t>
      </w:r>
      <w:r w:rsidR="008D7E65">
        <w:t>f</w:t>
      </w:r>
      <w:r>
        <w:t xml:space="preserve">ormal </w:t>
      </w:r>
      <w:r w:rsidR="008D7E65">
        <w:t>c</w:t>
      </w:r>
      <w:r>
        <w:t xml:space="preserve">omplaint against </w:t>
      </w:r>
      <w:r w:rsidR="00D16BDE">
        <w:t>Duquesne</w:t>
      </w:r>
      <w:r w:rsidR="008D7E65">
        <w:t xml:space="preserve"> in which he </w:t>
      </w:r>
      <w:r>
        <w:t>alleg</w:t>
      </w:r>
      <w:r w:rsidR="008D7E65">
        <w:t>ed</w:t>
      </w:r>
      <w:r>
        <w:t xml:space="preserve"> that </w:t>
      </w:r>
      <w:r w:rsidR="00D16BDE">
        <w:t xml:space="preserve">Duquesne did not change a faulty meter at </w:t>
      </w:r>
      <w:r w:rsidR="008D7E65">
        <w:t xml:space="preserve">his residence </w:t>
      </w:r>
      <w:r w:rsidR="00D16BDE">
        <w:t xml:space="preserve">in the required time period.  </w:t>
      </w:r>
      <w:r w:rsidR="00761A01">
        <w:t xml:space="preserve">He avers that Duquesne was advised of this issue more than once since 2011.  </w:t>
      </w:r>
      <w:r w:rsidR="00D16BDE">
        <w:t>Mr. Kolas seeks an adjustment on his total bill</w:t>
      </w:r>
      <w:r w:rsidR="009B0390">
        <w:t xml:space="preserve"> because</w:t>
      </w:r>
      <w:r w:rsidR="00D16BDE">
        <w:t xml:space="preserve"> the issue was occurring since the inception of the account.  </w:t>
      </w:r>
      <w:r>
        <w:t xml:space="preserve">The </w:t>
      </w:r>
      <w:r w:rsidR="00D16BDE">
        <w:t>formal c</w:t>
      </w:r>
      <w:r>
        <w:t xml:space="preserve">omplaint is a timely appeal of a BCS informal decision </w:t>
      </w:r>
      <w:r w:rsidR="0002474F">
        <w:t xml:space="preserve">at </w:t>
      </w:r>
      <w:r w:rsidR="00390837">
        <w:t xml:space="preserve">BCS </w:t>
      </w:r>
      <w:r w:rsidR="00D16BDE">
        <w:t xml:space="preserve">Case </w:t>
      </w:r>
      <w:r w:rsidR="0002474F">
        <w:t xml:space="preserve">No. </w:t>
      </w:r>
      <w:r w:rsidR="00390837">
        <w:t>35</w:t>
      </w:r>
      <w:r w:rsidR="00D16BDE">
        <w:t>16731</w:t>
      </w:r>
      <w:r w:rsidR="0002474F">
        <w:t xml:space="preserve">. </w:t>
      </w:r>
    </w:p>
    <w:p w:rsidR="0002474F" w:rsidRDefault="0002474F" w:rsidP="00BB5CF4">
      <w:pPr>
        <w:jc w:val="left"/>
      </w:pPr>
    </w:p>
    <w:p w:rsidR="00605359" w:rsidRDefault="0002474F" w:rsidP="000E13E9">
      <w:pPr>
        <w:jc w:val="left"/>
        <w:sectPr w:rsidR="00605359">
          <w:pgSz w:w="12240" w:h="15840"/>
          <w:pgMar w:top="1440" w:right="1440" w:bottom="1440" w:left="1440" w:header="720" w:footer="720" w:gutter="0"/>
          <w:cols w:space="720"/>
          <w:docGrid w:linePitch="360"/>
        </w:sectPr>
      </w:pPr>
      <w:r>
        <w:tab/>
      </w:r>
      <w:r>
        <w:tab/>
        <w:t xml:space="preserve">On </w:t>
      </w:r>
      <w:r w:rsidR="00D16BDE">
        <w:t>October 18, 2017</w:t>
      </w:r>
      <w:r>
        <w:t xml:space="preserve">, </w:t>
      </w:r>
      <w:r w:rsidR="00D16BDE">
        <w:t>Duquesne</w:t>
      </w:r>
      <w:r>
        <w:t xml:space="preserve"> filed </w:t>
      </w:r>
      <w:r w:rsidR="00390837">
        <w:t>an</w:t>
      </w:r>
      <w:r>
        <w:t xml:space="preserve"> </w:t>
      </w:r>
      <w:r w:rsidR="00D16BDE">
        <w:t>a</w:t>
      </w:r>
      <w:r>
        <w:t xml:space="preserve">nswer and POs.  </w:t>
      </w:r>
      <w:r w:rsidR="00390837">
        <w:t xml:space="preserve">In its </w:t>
      </w:r>
      <w:r w:rsidR="00D16BDE">
        <w:t>a</w:t>
      </w:r>
      <w:r>
        <w:t>nswer</w:t>
      </w:r>
      <w:r w:rsidR="00390837">
        <w:t xml:space="preserve">, </w:t>
      </w:r>
      <w:r w:rsidR="00D16BDE">
        <w:t>Duquesne denied that there are incorrect charges on the Complainant’s account</w:t>
      </w:r>
      <w:r w:rsidR="008D7E65">
        <w:t xml:space="preserve"> or that it failed to change the </w:t>
      </w:r>
      <w:r w:rsidR="009B0390">
        <w:t>C</w:t>
      </w:r>
      <w:r w:rsidR="008D7E65">
        <w:t xml:space="preserve">omplainant’s meter in the required time.  Duquesne avers that it installed a smart meter at the Complainant’s location in accordance with its smart meter procurement and </w:t>
      </w:r>
      <w:r w:rsidR="00605359">
        <w:t xml:space="preserve"> </w:t>
      </w:r>
    </w:p>
    <w:p w:rsidR="00927BFA" w:rsidRDefault="008D7E65" w:rsidP="000E13E9">
      <w:pPr>
        <w:jc w:val="left"/>
      </w:pPr>
      <w:r>
        <w:lastRenderedPageBreak/>
        <w:t xml:space="preserve">installation plan.  Duquesne also states that, even if an adjustment is warranted, </w:t>
      </w:r>
      <w:r w:rsidR="00A36599">
        <w:t>it may not include charges incurred more than four</w:t>
      </w:r>
      <w:r w:rsidR="00761A01">
        <w:t xml:space="preserve"> years</w:t>
      </w:r>
      <w:r w:rsidR="00A36599">
        <w:t xml:space="preserve"> before the filing of a complaint.</w:t>
      </w:r>
    </w:p>
    <w:p w:rsidR="00761A01" w:rsidRDefault="00761A01" w:rsidP="000E13E9">
      <w:pPr>
        <w:jc w:val="left"/>
      </w:pPr>
    </w:p>
    <w:p w:rsidR="00781867" w:rsidRDefault="00927BFA" w:rsidP="000E13E9">
      <w:pPr>
        <w:jc w:val="left"/>
      </w:pPr>
      <w:r>
        <w:tab/>
      </w:r>
      <w:r>
        <w:tab/>
        <w:t>In</w:t>
      </w:r>
      <w:r w:rsidR="00242560">
        <w:t xml:space="preserve"> its </w:t>
      </w:r>
      <w:r>
        <w:t xml:space="preserve">POs, </w:t>
      </w:r>
      <w:r w:rsidR="00A36599">
        <w:t>Duquesne</w:t>
      </w:r>
      <w:r w:rsidR="00242560">
        <w:t xml:space="preserve"> </w:t>
      </w:r>
      <w:r>
        <w:t xml:space="preserve">seeks dismissal of the </w:t>
      </w:r>
      <w:r w:rsidR="00A36599">
        <w:t>f</w:t>
      </w:r>
      <w:r>
        <w:t xml:space="preserve">ormal </w:t>
      </w:r>
      <w:r w:rsidR="00A36599">
        <w:t>c</w:t>
      </w:r>
      <w:r>
        <w:t>omplaint</w:t>
      </w:r>
      <w:r w:rsidR="00A36599">
        <w:t xml:space="preserve"> to the extent Mr. Kolas is seeking an adjustment of charges incurred more than four years before the filing of a complaint.  It cites the four-year statute of limitations provision in the Pennsylvania Public Utility Code at 66 Pa. C.S. ¶</w:t>
      </w:r>
      <w:r w:rsidR="00761A01">
        <w:t xml:space="preserve"> </w:t>
      </w:r>
      <w:r w:rsidR="00A36599">
        <w:t xml:space="preserve">1312 in support of this position.  Duquesne argues that the Complainant’s request for relief, to the extent it extends to charges incurred beyond four years, should be dismissed as impertinent matter under 52 Pa. Code ¶5.101(a)(2).  The Complainant did not file an answer to Duquesne’s POs.        </w:t>
      </w:r>
      <w:r>
        <w:t xml:space="preserve"> </w:t>
      </w:r>
    </w:p>
    <w:p w:rsidR="00781867" w:rsidRDefault="00781867" w:rsidP="000E13E9">
      <w:pPr>
        <w:jc w:val="left"/>
      </w:pPr>
    </w:p>
    <w:p w:rsidR="0023334C" w:rsidRDefault="00781867" w:rsidP="000E13E9">
      <w:pPr>
        <w:jc w:val="left"/>
      </w:pPr>
      <w:r>
        <w:tab/>
      </w:r>
      <w:r>
        <w:tab/>
      </w:r>
      <w:r w:rsidR="00A36599">
        <w:t>This proceeding was assigned to me by the Commission.  T</w:t>
      </w:r>
      <w:r w:rsidR="00D55910">
        <w:t xml:space="preserve">he POs </w:t>
      </w:r>
      <w:r w:rsidR="0023334C">
        <w:t xml:space="preserve">are </w:t>
      </w:r>
      <w:r w:rsidR="00176AD9">
        <w:t xml:space="preserve">now </w:t>
      </w:r>
      <w:r w:rsidR="0023334C">
        <w:t>r</w:t>
      </w:r>
      <w:r w:rsidR="000808EF">
        <w:t>eady</w:t>
      </w:r>
      <w:r w:rsidR="0023334C">
        <w:t xml:space="preserve"> for disposition.</w:t>
      </w:r>
    </w:p>
    <w:p w:rsidR="0023334C" w:rsidRDefault="0023334C" w:rsidP="000E13E9">
      <w:pPr>
        <w:jc w:val="left"/>
      </w:pPr>
    </w:p>
    <w:p w:rsidR="000816A1" w:rsidRDefault="000816A1" w:rsidP="000816A1">
      <w:pPr>
        <w:rPr>
          <w:u w:val="single"/>
        </w:rPr>
      </w:pPr>
      <w:r>
        <w:rPr>
          <w:u w:val="single"/>
        </w:rPr>
        <w:t>DISCUSSION</w:t>
      </w:r>
    </w:p>
    <w:p w:rsidR="000816A1" w:rsidRDefault="000816A1" w:rsidP="00A304A4">
      <w:pPr>
        <w:jc w:val="left"/>
        <w:rPr>
          <w:u w:val="single"/>
        </w:rPr>
      </w:pPr>
    </w:p>
    <w:p w:rsidR="006F1702" w:rsidRDefault="00BF5530" w:rsidP="00A304A4">
      <w:pPr>
        <w:jc w:val="left"/>
      </w:pPr>
      <w:r>
        <w:tab/>
      </w:r>
      <w:r>
        <w:tab/>
        <w:t xml:space="preserve">Complainant </w:t>
      </w:r>
      <w:r w:rsidR="006E59C4">
        <w:t xml:space="preserve">avers that his meter was faulty since the inception of his account, and that Duquesne was advised of the </w:t>
      </w:r>
      <w:r w:rsidR="00EE5FE0">
        <w:t>issue more than once since 2011.  He requests an adjustment on his total bill since the inception of the account.  Duquesne</w:t>
      </w:r>
      <w:r w:rsidR="0081462C">
        <w:t xml:space="preserve">, </w:t>
      </w:r>
      <w:r w:rsidR="0062795D">
        <w:t>argu</w:t>
      </w:r>
      <w:r w:rsidR="008D6E78">
        <w:t xml:space="preserve">es that </w:t>
      </w:r>
      <w:r w:rsidR="00EE5FE0">
        <w:t xml:space="preserve">there is a four-year statute of limitations on refunds for </w:t>
      </w:r>
      <w:r w:rsidR="00761A01">
        <w:t>excess payments</w:t>
      </w:r>
      <w:r w:rsidR="00EE5FE0">
        <w:t xml:space="preserve"> and that, </w:t>
      </w:r>
      <w:r w:rsidR="009B0390">
        <w:t xml:space="preserve">even </w:t>
      </w:r>
      <w:r w:rsidR="0081462C">
        <w:t xml:space="preserve">if </w:t>
      </w:r>
      <w:r w:rsidR="00EE5FE0">
        <w:t xml:space="preserve">Mr. Kolas </w:t>
      </w:r>
      <w:r w:rsidR="0081462C">
        <w:t>is</w:t>
      </w:r>
      <w:r w:rsidR="00EE5FE0">
        <w:t xml:space="preserve"> entitled to a refund, he may only receive one for charges incurred</w:t>
      </w:r>
      <w:r w:rsidR="0081462C">
        <w:t xml:space="preserve"> within four years of the filing of a complaint on this issue.  As explained below, I agree with Duquesne.    </w:t>
      </w:r>
    </w:p>
    <w:p w:rsidR="00BF5530" w:rsidRDefault="006F1702" w:rsidP="00A304A4">
      <w:pPr>
        <w:contextualSpacing/>
        <w:jc w:val="left"/>
        <w:rPr>
          <w:u w:val="single"/>
        </w:rPr>
      </w:pPr>
      <w:r>
        <w:tab/>
      </w:r>
      <w:r>
        <w:tab/>
      </w:r>
    </w:p>
    <w:p w:rsidR="005234E9" w:rsidRDefault="000816A1" w:rsidP="00A304A4">
      <w:pPr>
        <w:jc w:val="left"/>
      </w:pPr>
      <w:r>
        <w:tab/>
      </w:r>
      <w:r>
        <w:tab/>
      </w:r>
      <w:r w:rsidR="005234E9">
        <w:t xml:space="preserve">Commission preliminary objection practice is similar to Pennsylvania civil practice.  </w:t>
      </w:r>
      <w:r w:rsidR="005234E9">
        <w:rPr>
          <w:i/>
        </w:rPr>
        <w:t xml:space="preserve">Equitable Small Transportation Interveners v. Equitable Gas Company, </w:t>
      </w:r>
      <w:r w:rsidR="005234E9">
        <w:t xml:space="preserve">1994 Pa.PUC LEXIS 69, PUC Docket No. C-000935435 (July 18, 1994). </w:t>
      </w:r>
      <w:r w:rsidR="005234E9">
        <w:tab/>
        <w:t xml:space="preserve"> When considering preliminary objection</w:t>
      </w:r>
      <w:r w:rsidR="006D74BB">
        <w:t>s</w:t>
      </w:r>
      <w:r w:rsidR="005234E9">
        <w:t xml:space="preserve">, the Commission must determine “whether the law says with certainty, based on well-pleaded factual averments . . . that no recovery or relief is possible.  </w:t>
      </w:r>
      <w:r w:rsidR="005234E9">
        <w:rPr>
          <w:i/>
        </w:rPr>
        <w:t xml:space="preserve">P. J. S. v. Pa. State Ethics Commission, </w:t>
      </w:r>
      <w:r w:rsidR="005234E9">
        <w:t xml:space="preserve">669 A.2d 1105 (Pa.Cmwlth. 1996).  Any doubt must be resolved in favor of the non-moving party by refusing to sustain the preliminary objections.  </w:t>
      </w:r>
      <w:r w:rsidR="005234E9">
        <w:rPr>
          <w:i/>
        </w:rPr>
        <w:t xml:space="preserve">Boyd v. Ward, </w:t>
      </w:r>
      <w:r w:rsidR="005234E9">
        <w:t>802 A.2d 705 (Pa.Cmwlth. 2002).</w:t>
      </w:r>
      <w:r w:rsidR="006D74BB">
        <w:t>”</w:t>
      </w:r>
      <w:r w:rsidR="005234E9">
        <w:t xml:space="preserve">  </w:t>
      </w:r>
      <w:r w:rsidR="005234E9" w:rsidRPr="00F87999">
        <w:rPr>
          <w:i/>
        </w:rPr>
        <w:t xml:space="preserve">Dept. of Auditor General, et al. v. State Employees’ Retirement System, et al., </w:t>
      </w:r>
      <w:r w:rsidR="005234E9">
        <w:t xml:space="preserve">836 A.2d 1053, 1064 (Pa.Cmwlth. 2003).  </w:t>
      </w:r>
      <w:r w:rsidR="005234E9">
        <w:rPr>
          <w:i/>
        </w:rPr>
        <w:t xml:space="preserve"> </w:t>
      </w:r>
    </w:p>
    <w:p w:rsidR="005234E9" w:rsidRDefault="005234E9" w:rsidP="00A304A4">
      <w:pPr>
        <w:jc w:val="left"/>
      </w:pPr>
    </w:p>
    <w:p w:rsidR="00BB5CF4" w:rsidRDefault="005234E9" w:rsidP="0081462C">
      <w:pPr>
        <w:jc w:val="left"/>
      </w:pPr>
      <w:r>
        <w:tab/>
      </w:r>
      <w:r>
        <w:tab/>
      </w:r>
      <w:r w:rsidR="00761A01">
        <w:t xml:space="preserve">The </w:t>
      </w:r>
      <w:r>
        <w:t>Commission</w:t>
      </w:r>
      <w:r w:rsidR="00761A01">
        <w:t>’s</w:t>
      </w:r>
      <w:r>
        <w:t xml:space="preserve"> regulations regarding preliminary objections </w:t>
      </w:r>
      <w:r w:rsidR="00761A01">
        <w:t>state</w:t>
      </w:r>
      <w:r>
        <w:t xml:space="preserve"> as follows:</w:t>
      </w:r>
    </w:p>
    <w:p w:rsidR="005234E9" w:rsidRDefault="005234E9" w:rsidP="00BB5CF4"/>
    <w:p w:rsidR="005234E9" w:rsidRDefault="005234E9" w:rsidP="005234E9">
      <w:pPr>
        <w:spacing w:line="240" w:lineRule="auto"/>
        <w:ind w:left="1440" w:right="1440"/>
        <w:contextualSpacing/>
        <w:jc w:val="left"/>
        <w:rPr>
          <w:b/>
        </w:rPr>
      </w:pPr>
      <w:r>
        <w:rPr>
          <w:b/>
        </w:rPr>
        <w:t>§ 5.101.  Preliminary objections.</w:t>
      </w:r>
    </w:p>
    <w:p w:rsidR="005234E9" w:rsidRDefault="005234E9" w:rsidP="005234E9">
      <w:pPr>
        <w:spacing w:line="240" w:lineRule="auto"/>
        <w:ind w:left="1440" w:right="1440"/>
        <w:contextualSpacing/>
        <w:jc w:val="left"/>
      </w:pPr>
      <w:r>
        <w:t>(a)</w:t>
      </w:r>
      <w:r>
        <w:tab/>
      </w:r>
      <w:r>
        <w:rPr>
          <w:i/>
        </w:rPr>
        <w:t>Grounds.</w:t>
      </w:r>
      <w:r>
        <w:t xml:space="preserve"> 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5234E9" w:rsidRDefault="005234E9" w:rsidP="005234E9">
      <w:pPr>
        <w:spacing w:line="240" w:lineRule="auto"/>
        <w:ind w:left="1440" w:right="1440"/>
        <w:contextualSpacing/>
        <w:jc w:val="left"/>
        <w:rPr>
          <w:i/>
        </w:rPr>
      </w:pPr>
    </w:p>
    <w:p w:rsidR="005234E9" w:rsidRDefault="005234E9" w:rsidP="005234E9">
      <w:pPr>
        <w:spacing w:line="240" w:lineRule="auto"/>
        <w:ind w:left="1440" w:right="1440"/>
        <w:contextualSpacing/>
        <w:jc w:val="left"/>
      </w:pPr>
      <w:r>
        <w:t>(1)  Lack of Commission jurisdiction or improper service of the pleading initiating the proceeding.</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(2)  Failure of a pleading to conform to this chapter or the inclusion of scandalous or impertinent matter.</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(3)  Insufficient specificity of a pleading.</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(4)  Legal insufficiency of a pleading.</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(5) Lack of capacity to sue, nonjoinder of a necessary party or misjoinder of a cause of action.</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(6)  Pendency of a prior proceeding or agreement for alternative dispute resolution.</w:t>
      </w:r>
    </w:p>
    <w:p w:rsidR="005234E9" w:rsidRDefault="005234E9" w:rsidP="005234E9">
      <w:pPr>
        <w:spacing w:line="240" w:lineRule="auto"/>
        <w:ind w:left="1440" w:right="1440"/>
        <w:contextualSpacing/>
        <w:jc w:val="left"/>
      </w:pPr>
    </w:p>
    <w:p w:rsidR="005234E9" w:rsidRDefault="005234E9" w:rsidP="005234E9">
      <w:pPr>
        <w:spacing w:line="240" w:lineRule="auto"/>
        <w:ind w:left="1440" w:right="1440"/>
        <w:contextualSpacing/>
        <w:jc w:val="left"/>
      </w:pPr>
      <w:r>
        <w:t>(7)  Standing of a party to participate in the proceeding.</w:t>
      </w:r>
    </w:p>
    <w:p w:rsidR="005234E9" w:rsidRDefault="005234E9" w:rsidP="005234E9">
      <w:pPr>
        <w:spacing w:line="240" w:lineRule="auto"/>
        <w:ind w:left="1440" w:right="1440"/>
        <w:contextualSpacing/>
        <w:jc w:val="left"/>
      </w:pPr>
    </w:p>
    <w:p w:rsidR="005234E9" w:rsidRPr="00D10A1C" w:rsidRDefault="005234E9" w:rsidP="005234E9">
      <w:pPr>
        <w:spacing w:line="240" w:lineRule="auto"/>
        <w:ind w:left="1440" w:right="1440"/>
        <w:contextualSpacing/>
      </w:pPr>
      <w:r>
        <w:t>* * *</w:t>
      </w:r>
    </w:p>
    <w:p w:rsidR="005234E9" w:rsidRDefault="005234E9" w:rsidP="00761A01">
      <w:pPr>
        <w:spacing w:line="240" w:lineRule="auto"/>
        <w:ind w:left="1440" w:right="1440" w:hanging="1440"/>
        <w:contextualSpacing/>
        <w:jc w:val="left"/>
      </w:pPr>
      <w:r>
        <w:t xml:space="preserve">52 Pa. Code § 5.101(a).  </w:t>
      </w:r>
    </w:p>
    <w:p w:rsidR="005234E9" w:rsidRPr="009058F2" w:rsidRDefault="005234E9" w:rsidP="005234E9">
      <w:pPr>
        <w:contextualSpacing/>
        <w:jc w:val="left"/>
      </w:pPr>
    </w:p>
    <w:p w:rsidR="00BF5530" w:rsidRPr="00F96FE9" w:rsidRDefault="005234E9" w:rsidP="00BF5530">
      <w:pPr>
        <w:contextualSpacing/>
        <w:jc w:val="left"/>
      </w:pPr>
      <w:r>
        <w:tab/>
      </w:r>
      <w:r>
        <w:tab/>
      </w:r>
      <w:r w:rsidR="00BF5530" w:rsidRPr="00F96FE9">
        <w:t xml:space="preserve">In deciding preliminary objections, the Commission must determine whether, based on well-pleaded factual averments of the Complainant, recovery or relief is possible.  </w:t>
      </w:r>
      <w:r w:rsidR="00BF5530" w:rsidRPr="00F96FE9">
        <w:rPr>
          <w:i/>
        </w:rPr>
        <w:t>Dept. of Auditor General, et al v. SERS, et al.</w:t>
      </w:r>
      <w:r w:rsidR="00BF5530" w:rsidRPr="00F96FE9">
        <w:t xml:space="preserve">, 836 A.2d 1053, 1064 (Pa.Cmwlth. 2003), 2003 Pa. Commw. LEXIS 849; </w:t>
      </w:r>
      <w:r w:rsidR="00BF5530" w:rsidRPr="00F96FE9">
        <w:rPr>
          <w:i/>
        </w:rPr>
        <w:t>P.J.S. v. Pa. State Ethics Comm’n,</w:t>
      </w:r>
      <w:r w:rsidR="00BF5530" w:rsidRPr="00F96FE9">
        <w:t xml:space="preserve"> 669 A.2d 1105 (Pa.Cmwlth. 1996),</w:t>
      </w:r>
      <w:r w:rsidR="00BF5530">
        <w:t> </w:t>
      </w:r>
      <w:r w:rsidR="00BF5530" w:rsidRPr="00F96FE9">
        <w:t xml:space="preserve">1996 Pa.Commw. LEXIS 11.  Any doubt must be resolved in favor of the non-moving party by refusing to sustain the preliminary objections.  </w:t>
      </w:r>
      <w:r w:rsidR="00BF5530" w:rsidRPr="00F96FE9">
        <w:rPr>
          <w:i/>
        </w:rPr>
        <w:t xml:space="preserve">Boyd v. Ward, </w:t>
      </w:r>
      <w:r w:rsidR="00BF5530" w:rsidRPr="00F96FE9">
        <w:t xml:space="preserve">802 A.2d 705 (Pa.Cmwlth. 2002), 2002 Pa.Commw. LEXIS 580.  All of the non-moving party’s averments in the complaint must be </w:t>
      </w:r>
      <w:r w:rsidR="006147B5">
        <w:t>accept</w:t>
      </w:r>
      <w:r w:rsidR="00BF5530" w:rsidRPr="00F96FE9">
        <w:t xml:space="preserve">ed as true for purposes of deciding the preliminary objections, and only those facts specifically admitted may be considered against the non-moving party.  </w:t>
      </w:r>
      <w:r w:rsidR="00BF5530" w:rsidRPr="00F96FE9">
        <w:rPr>
          <w:i/>
        </w:rPr>
        <w:t>Ridge v. State Employees’ Retirement Board</w:t>
      </w:r>
      <w:r w:rsidR="00BF5530" w:rsidRPr="00F96FE9">
        <w:t>, 690 A.2d 1312 (Pa.Cmwlth. 1997) 1997 Pa.Commw. LEXIS 148.</w:t>
      </w:r>
    </w:p>
    <w:p w:rsidR="00BF5530" w:rsidRPr="00F96FE9" w:rsidRDefault="00BF5530" w:rsidP="00BF5530">
      <w:pPr>
        <w:contextualSpacing/>
        <w:jc w:val="left"/>
      </w:pPr>
    </w:p>
    <w:p w:rsidR="00BF5530" w:rsidRPr="00F96FE9" w:rsidRDefault="00BF5530" w:rsidP="00BF5530">
      <w:pPr>
        <w:contextualSpacing/>
        <w:jc w:val="left"/>
      </w:pPr>
      <w:r w:rsidRPr="00F96FE9">
        <w:tab/>
      </w:r>
      <w:r w:rsidRPr="00F96FE9">
        <w:tab/>
      </w:r>
      <w:r w:rsidR="00DA07DD" w:rsidRPr="00E25D52">
        <w:t xml:space="preserve">Here, </w:t>
      </w:r>
      <w:r w:rsidRPr="00E25D52">
        <w:t xml:space="preserve">only the facts </w:t>
      </w:r>
      <w:r w:rsidR="008D6E78" w:rsidRPr="00E25D52">
        <w:t xml:space="preserve">averred </w:t>
      </w:r>
      <w:r w:rsidR="009B0390">
        <w:t xml:space="preserve">by Mr. Kolas </w:t>
      </w:r>
      <w:r w:rsidRPr="00E25D52">
        <w:t xml:space="preserve">in the </w:t>
      </w:r>
      <w:r w:rsidR="009B0390">
        <w:t>c</w:t>
      </w:r>
      <w:r w:rsidRPr="00E25D52">
        <w:t xml:space="preserve">omplaint </w:t>
      </w:r>
      <w:r w:rsidR="008D6E78" w:rsidRPr="00E25D52">
        <w:t>may</w:t>
      </w:r>
      <w:r w:rsidRPr="00E25D52">
        <w:t xml:space="preserve"> be presumed to be true to determine whether recovery is possible.</w:t>
      </w:r>
      <w:r w:rsidRPr="00F96FE9">
        <w:t xml:space="preserve"> </w:t>
      </w:r>
      <w:r>
        <w:t xml:space="preserve"> </w:t>
      </w:r>
      <w:r w:rsidRPr="00F96FE9">
        <w:t xml:space="preserve">Complainant </w:t>
      </w:r>
      <w:r w:rsidR="00C672BB">
        <w:t>aver</w:t>
      </w:r>
      <w:r w:rsidRPr="00F96FE9">
        <w:t xml:space="preserve">s that </w:t>
      </w:r>
      <w:r w:rsidR="009B0390">
        <w:t xml:space="preserve">his meter has been faulty since the inception of his account and that Duquesne was advised of the issue more than once since 2011.  He sees an adjustment of his total bill since the inception of his account.  </w:t>
      </w:r>
    </w:p>
    <w:p w:rsidR="00BF5530" w:rsidRDefault="00BF5530" w:rsidP="005234E9">
      <w:pPr>
        <w:jc w:val="left"/>
      </w:pPr>
    </w:p>
    <w:p w:rsidR="00761A01" w:rsidRDefault="00BF5530" w:rsidP="009B0390">
      <w:pPr>
        <w:jc w:val="left"/>
      </w:pPr>
      <w:r>
        <w:tab/>
      </w:r>
      <w:r>
        <w:tab/>
      </w:r>
      <w:r w:rsidR="009B0390">
        <w:t>Duquesne is correct that there is a four-year limitations provision in the Public Utility Code for the issuance of refunds of excess payments made by utility customers.  66 Pa. C.S. ¶1312 states, in relevant part, “</w:t>
      </w:r>
      <w:r w:rsidR="00B96B2D">
        <w:t xml:space="preserve">. . . </w:t>
      </w:r>
      <w:r w:rsidR="009B0390">
        <w:t>the commission shall have the power and authority to make an order requiring</w:t>
      </w:r>
      <w:r w:rsidR="00B96B2D">
        <w:t xml:space="preserve"> the public utility to refund the amount of any excess paid by any patron</w:t>
      </w:r>
    </w:p>
    <w:p w:rsidR="00F043E3" w:rsidRDefault="00B96B2D" w:rsidP="009B0390">
      <w:pPr>
        <w:jc w:val="left"/>
      </w:pPr>
      <w:r>
        <w:t xml:space="preserve"> . . . within four years prior to the date of the filing of the complaint . . . .”  Here, the Complainant avers that Duquesne was advised of the faulty meter more than once since 2011, and he is seeking an adjustment on his total bill due to the faulty meter since the inception of the account.  Because of the four-year refund limitations provision in the Public Utility Code, the Commission may not order Duquesne to issue refunds for excess payments, if any, made more than four years before the filing of a complaint </w:t>
      </w:r>
      <w:r w:rsidR="00A52DAA">
        <w:t>o</w:t>
      </w:r>
      <w:r>
        <w:t xml:space="preserve">n this issue.      </w:t>
      </w:r>
      <w:r w:rsidR="009B0390">
        <w:t xml:space="preserve">    </w:t>
      </w:r>
    </w:p>
    <w:p w:rsidR="00F043E3" w:rsidRDefault="00F043E3" w:rsidP="00BB5CF4">
      <w:pPr>
        <w:contextualSpacing/>
        <w:jc w:val="left"/>
      </w:pPr>
    </w:p>
    <w:p w:rsidR="00CC09B6" w:rsidRDefault="00F043E3" w:rsidP="00BB5CF4">
      <w:pPr>
        <w:contextualSpacing/>
        <w:jc w:val="left"/>
      </w:pPr>
      <w:r>
        <w:tab/>
      </w:r>
      <w:r>
        <w:tab/>
      </w:r>
      <w:r w:rsidR="00B96B2D">
        <w:t xml:space="preserve">By Hearing Notice dated November 29, 2017, a telephonic hearing has been scheduled in this proceeding for Monday, January 29, 2018, at 10:00 a.m.  The hearing will be conducted as scheduled for all remaining issues and requests for relief.  </w:t>
      </w:r>
    </w:p>
    <w:p w:rsidR="00CC09B6" w:rsidRDefault="00CC09B6" w:rsidP="00BB5CF4">
      <w:pPr>
        <w:contextualSpacing/>
        <w:jc w:val="left"/>
      </w:pPr>
    </w:p>
    <w:p w:rsidR="00CC09B6" w:rsidRDefault="00CC09B6" w:rsidP="00BB5CF4">
      <w:pPr>
        <w:contextualSpacing/>
        <w:jc w:val="left"/>
      </w:pPr>
    </w:p>
    <w:p w:rsidR="00CC09B6" w:rsidRDefault="00CC09B6" w:rsidP="00BB5CF4">
      <w:pPr>
        <w:contextualSpacing/>
        <w:jc w:val="left"/>
      </w:pPr>
    </w:p>
    <w:p w:rsidR="00A52DAA" w:rsidRDefault="00A52DAA" w:rsidP="00BB5CF4">
      <w:pPr>
        <w:contextualSpacing/>
        <w:jc w:val="left"/>
      </w:pPr>
    </w:p>
    <w:p w:rsidR="00CC09B6" w:rsidRDefault="00CC09B6" w:rsidP="00BB5CF4">
      <w:pPr>
        <w:contextualSpacing/>
        <w:jc w:val="left"/>
      </w:pPr>
    </w:p>
    <w:p w:rsidR="00F043E3" w:rsidRPr="00FC4CE0" w:rsidRDefault="00B96B2D" w:rsidP="00BB5CF4">
      <w:pPr>
        <w:contextualSpacing/>
        <w:jc w:val="left"/>
        <w:rPr>
          <w:b/>
        </w:rPr>
      </w:pPr>
      <w:r>
        <w:t xml:space="preserve"> </w:t>
      </w:r>
      <w:r w:rsidR="00A438F2" w:rsidRPr="00FC4CE0">
        <w:rPr>
          <w:b/>
        </w:rPr>
        <w:t xml:space="preserve"> </w:t>
      </w:r>
    </w:p>
    <w:p w:rsidR="007F349A" w:rsidRDefault="007F349A" w:rsidP="00BB5CF4">
      <w:pPr>
        <w:contextualSpacing/>
        <w:jc w:val="left"/>
      </w:pPr>
    </w:p>
    <w:p w:rsidR="007F349A" w:rsidRPr="00BB5CF4" w:rsidRDefault="007F349A" w:rsidP="007F349A">
      <w:pPr>
        <w:rPr>
          <w:u w:val="single"/>
        </w:rPr>
      </w:pPr>
      <w:r w:rsidRPr="00BB5CF4">
        <w:rPr>
          <w:u w:val="single"/>
        </w:rPr>
        <w:t>ORDER</w:t>
      </w:r>
    </w:p>
    <w:p w:rsidR="007F349A" w:rsidRDefault="007F349A" w:rsidP="00A304A4">
      <w:pPr>
        <w:jc w:val="left"/>
        <w:rPr>
          <w:b/>
          <w:u w:val="single"/>
        </w:rPr>
      </w:pPr>
    </w:p>
    <w:p w:rsidR="007F349A" w:rsidRPr="00F96FE9" w:rsidRDefault="007F349A" w:rsidP="00A304A4">
      <w:pPr>
        <w:jc w:val="left"/>
        <w:rPr>
          <w:b/>
          <w:u w:val="single"/>
        </w:rPr>
      </w:pPr>
    </w:p>
    <w:p w:rsidR="007F349A" w:rsidRPr="00F96FE9" w:rsidRDefault="007F349A" w:rsidP="00A304A4">
      <w:pPr>
        <w:jc w:val="left"/>
      </w:pPr>
      <w:r w:rsidRPr="00F96FE9">
        <w:tab/>
      </w:r>
      <w:r w:rsidRPr="00F96FE9">
        <w:tab/>
        <w:t>THEREFORE,</w:t>
      </w:r>
    </w:p>
    <w:p w:rsidR="007F349A" w:rsidRPr="00F96FE9" w:rsidRDefault="007F349A" w:rsidP="00A304A4">
      <w:pPr>
        <w:jc w:val="left"/>
      </w:pPr>
    </w:p>
    <w:p w:rsidR="007F349A" w:rsidRPr="00F96FE9" w:rsidRDefault="007F349A" w:rsidP="00A304A4">
      <w:pPr>
        <w:jc w:val="left"/>
      </w:pPr>
      <w:r w:rsidRPr="00F96FE9">
        <w:tab/>
      </w:r>
      <w:r w:rsidRPr="00F96FE9">
        <w:tab/>
        <w:t>IT IS ORDERED:</w:t>
      </w:r>
    </w:p>
    <w:p w:rsidR="007F349A" w:rsidRPr="00F96FE9" w:rsidRDefault="007F349A" w:rsidP="00A304A4">
      <w:pPr>
        <w:jc w:val="left"/>
      </w:pPr>
    </w:p>
    <w:p w:rsidR="007F349A" w:rsidRPr="002401A9" w:rsidRDefault="007F349A" w:rsidP="00A304A4">
      <w:pPr>
        <w:jc w:val="left"/>
      </w:pPr>
      <w:r w:rsidRPr="00F96FE9">
        <w:tab/>
      </w:r>
      <w:r w:rsidRPr="00F96FE9">
        <w:tab/>
      </w:r>
      <w:r w:rsidRPr="002401A9">
        <w:t>1.</w:t>
      </w:r>
      <w:r w:rsidRPr="002401A9">
        <w:tab/>
        <w:t xml:space="preserve">That the Preliminary Objections filed by </w:t>
      </w:r>
      <w:r w:rsidR="00CC09B6">
        <w:t>Duquesne Light</w:t>
      </w:r>
      <w:r w:rsidRPr="002401A9">
        <w:t xml:space="preserve"> Company in the case captioned </w:t>
      </w:r>
      <w:r w:rsidR="00CC09B6">
        <w:t>Walter Kolas v. Duquesne Light</w:t>
      </w:r>
      <w:r w:rsidRPr="002401A9">
        <w:t xml:space="preserve"> Company at Docket No. </w:t>
      </w:r>
      <w:r w:rsidR="00CC09B6">
        <w:t>F</w:t>
      </w:r>
      <w:r w:rsidRPr="002401A9">
        <w:t>-201</w:t>
      </w:r>
      <w:r w:rsidR="00CC09B6">
        <w:t>7</w:t>
      </w:r>
      <w:r w:rsidRPr="002401A9">
        <w:t>-2</w:t>
      </w:r>
      <w:r w:rsidR="00CC09B6">
        <w:t>626722</w:t>
      </w:r>
      <w:r w:rsidRPr="002401A9">
        <w:t>, are</w:t>
      </w:r>
      <w:r w:rsidR="00E304E3">
        <w:t xml:space="preserve"> </w:t>
      </w:r>
      <w:r w:rsidR="00CC09B6">
        <w:t xml:space="preserve">sustained to the extent the Complainant seeks refunds for excess payments made </w:t>
      </w:r>
      <w:r w:rsidR="00A52DAA">
        <w:t xml:space="preserve">or charges incurred </w:t>
      </w:r>
      <w:r w:rsidR="00CC09B6">
        <w:t xml:space="preserve">more than four years prior to the filing of a complaint on the issue of a faulty meter.  </w:t>
      </w:r>
    </w:p>
    <w:p w:rsidR="007F349A" w:rsidRPr="002401A9" w:rsidRDefault="007F349A" w:rsidP="00A304A4">
      <w:pPr>
        <w:jc w:val="left"/>
      </w:pPr>
    </w:p>
    <w:p w:rsidR="007F349A" w:rsidRDefault="007F349A" w:rsidP="00A304A4">
      <w:pPr>
        <w:jc w:val="left"/>
      </w:pPr>
      <w:r w:rsidRPr="00F96FE9">
        <w:tab/>
      </w:r>
      <w:r w:rsidRPr="00F96FE9">
        <w:tab/>
        <w:t>2.</w:t>
      </w:r>
      <w:r w:rsidRPr="00F96FE9">
        <w:tab/>
        <w:t>That the</w:t>
      </w:r>
      <w:r w:rsidR="00E304E3">
        <w:t xml:space="preserve"> </w:t>
      </w:r>
      <w:r w:rsidR="00FC4CE0">
        <w:t xml:space="preserve">remaining matters </w:t>
      </w:r>
      <w:r w:rsidR="00CC09B6">
        <w:t xml:space="preserve">and requests for relief will be addressed during the telephonic hearing in this proceeding currently scheduled for Monday, January 29, 2018.  </w:t>
      </w:r>
    </w:p>
    <w:p w:rsidR="007F349A" w:rsidRDefault="007F349A" w:rsidP="00A304A4">
      <w:pPr>
        <w:jc w:val="left"/>
      </w:pPr>
    </w:p>
    <w:p w:rsidR="00BB5CF4" w:rsidRPr="00F96FE9" w:rsidRDefault="00BB5CF4" w:rsidP="00A304A4">
      <w:pPr>
        <w:jc w:val="left"/>
      </w:pPr>
    </w:p>
    <w:p w:rsidR="007F349A" w:rsidRPr="00F96FE9" w:rsidRDefault="009D78B1" w:rsidP="007F349A">
      <w:pPr>
        <w:tabs>
          <w:tab w:val="left" w:pos="720"/>
          <w:tab w:val="left" w:pos="5040"/>
          <w:tab w:val="left" w:pos="5760"/>
          <w:tab w:val="left" w:pos="9180"/>
        </w:tabs>
        <w:spacing w:line="240" w:lineRule="auto"/>
        <w:jc w:val="left"/>
      </w:pPr>
      <w:r>
        <w:t>Dated:</w:t>
      </w:r>
      <w:r w:rsidR="00CC09B6">
        <w:t xml:space="preserve">  </w:t>
      </w:r>
      <w:r w:rsidR="00CC09B6">
        <w:rPr>
          <w:u w:val="single"/>
        </w:rPr>
        <w:t xml:space="preserve">December </w:t>
      </w:r>
      <w:r w:rsidR="00605359">
        <w:rPr>
          <w:u w:val="single"/>
        </w:rPr>
        <w:t>12</w:t>
      </w:r>
      <w:r w:rsidR="00CC09B6">
        <w:rPr>
          <w:u w:val="single"/>
        </w:rPr>
        <w:t>, 2017</w:t>
      </w:r>
      <w:r w:rsidR="00CC09B6">
        <w:tab/>
      </w:r>
      <w:r w:rsidR="007F349A">
        <w:rPr>
          <w:u w:val="single"/>
        </w:rPr>
        <w:tab/>
      </w:r>
      <w:r w:rsidR="007F349A">
        <w:rPr>
          <w:u w:val="single"/>
        </w:rPr>
        <w:tab/>
      </w:r>
      <w:r w:rsidR="007F349A" w:rsidRPr="00F96FE9">
        <w:tab/>
      </w:r>
    </w:p>
    <w:p w:rsidR="007F349A" w:rsidRPr="00F96FE9" w:rsidRDefault="007F349A" w:rsidP="007F349A">
      <w:pPr>
        <w:spacing w:line="240" w:lineRule="auto"/>
        <w:jc w:val="left"/>
      </w:pPr>
      <w:r w:rsidRPr="00F96FE9">
        <w:tab/>
      </w:r>
      <w:r w:rsidRPr="00F96FE9">
        <w:tab/>
      </w:r>
      <w:r w:rsidRPr="00F96FE9">
        <w:tab/>
      </w:r>
      <w:r w:rsidRPr="00F96FE9">
        <w:tab/>
      </w:r>
      <w:r w:rsidRPr="00F96FE9">
        <w:tab/>
      </w:r>
      <w:r w:rsidRPr="00F96FE9">
        <w:tab/>
      </w:r>
      <w:r w:rsidRPr="00F96FE9">
        <w:tab/>
      </w:r>
      <w:r w:rsidR="00E0319A">
        <w:t>Steven K. Haas</w:t>
      </w:r>
    </w:p>
    <w:p w:rsidR="009D78B1" w:rsidRPr="0000501F" w:rsidRDefault="007F349A" w:rsidP="00CC09B6">
      <w:pPr>
        <w:spacing w:line="240" w:lineRule="auto"/>
        <w:jc w:val="left"/>
        <w:rPr>
          <w:i/>
        </w:rPr>
      </w:pPr>
      <w:r w:rsidRPr="00F96FE9">
        <w:tab/>
      </w:r>
      <w:r w:rsidRPr="00F96FE9">
        <w:tab/>
      </w:r>
      <w:r w:rsidRPr="00F96FE9">
        <w:tab/>
      </w:r>
      <w:r w:rsidRPr="00F96FE9">
        <w:tab/>
      </w:r>
      <w:r w:rsidRPr="00F96FE9">
        <w:tab/>
      </w:r>
      <w:r w:rsidRPr="00F96FE9">
        <w:tab/>
      </w:r>
      <w:r w:rsidRPr="00F96FE9">
        <w:tab/>
        <w:t>Administrative Law Judge</w:t>
      </w:r>
    </w:p>
    <w:p w:rsidR="009D78B1" w:rsidRDefault="009D78B1" w:rsidP="009D78B1">
      <w:pPr>
        <w:jc w:val="left"/>
      </w:pPr>
    </w:p>
    <w:p w:rsidR="00605359" w:rsidRDefault="00605359" w:rsidP="009D78B1">
      <w:pPr>
        <w:spacing w:line="240" w:lineRule="auto"/>
        <w:jc w:val="left"/>
        <w:sectPr w:rsidR="00605359">
          <w:footerReference w:type="default" r:id="rId8"/>
          <w:pgSz w:w="12240" w:h="15840"/>
          <w:pgMar w:top="1440" w:right="1440" w:bottom="1440" w:left="1440" w:header="720" w:footer="720" w:gutter="0"/>
          <w:cols w:space="720"/>
          <w:docGrid w:linePitch="360"/>
        </w:sectPr>
      </w:pPr>
    </w:p>
    <w:p w:rsidR="00605359" w:rsidRPr="00657150" w:rsidRDefault="00605359" w:rsidP="00605359">
      <w:pPr>
        <w:spacing w:line="240" w:lineRule="auto"/>
        <w:jc w:val="left"/>
        <w:rPr>
          <w:b/>
          <w:i/>
          <w:u w:val="single"/>
        </w:rPr>
      </w:pPr>
      <w:r>
        <w:rPr>
          <w:rFonts w:ascii="Microsoft Sans Serif"/>
          <w:b/>
          <w:u w:val="single"/>
        </w:rPr>
        <w:t>F-2017-2626722- WALTER KOLAS v. DUQUESNE LIGHT COMPANY</w:t>
      </w:r>
      <w:r>
        <w:rPr>
          <w:rFonts w:ascii="Microsoft Sans Serif"/>
          <w:b/>
          <w:u w:val="single"/>
        </w:rPr>
        <w:cr/>
      </w:r>
      <w:r>
        <w:rPr>
          <w:rFonts w:ascii="Microsoft Sans Serif"/>
          <w:b/>
          <w:u w:val="single"/>
        </w:rPr>
        <w:cr/>
      </w:r>
      <w:r>
        <w:rPr>
          <w:rFonts w:ascii="Microsoft Sans Serif"/>
        </w:rPr>
        <w:t>WALTER KOLAS</w:t>
      </w:r>
      <w:r>
        <w:rPr>
          <w:rFonts w:ascii="Microsoft Sans Serif"/>
        </w:rPr>
        <w:cr/>
        <w:t>127 AVON ROAD</w:t>
      </w:r>
      <w:r>
        <w:rPr>
          <w:rFonts w:ascii="Microsoft Sans Serif"/>
        </w:rPr>
        <w:cr/>
        <w:t>WEST MIFFLIN PA 15122</w:t>
      </w:r>
      <w:r>
        <w:rPr>
          <w:rFonts w:ascii="Microsoft Sans Serif"/>
        </w:rPr>
        <w:cr/>
      </w:r>
      <w:r w:rsidRPr="00657150">
        <w:rPr>
          <w:rFonts w:ascii="Microsoft Sans Serif"/>
          <w:b/>
        </w:rPr>
        <w:t>412</w:t>
      </w:r>
      <w:r>
        <w:rPr>
          <w:rFonts w:ascii="Microsoft Sans Serif"/>
          <w:b/>
        </w:rPr>
        <w:t>.</w:t>
      </w:r>
      <w:r w:rsidRPr="00657150">
        <w:rPr>
          <w:rFonts w:ascii="Microsoft Sans Serif"/>
          <w:b/>
        </w:rPr>
        <w:t>277</w:t>
      </w:r>
      <w:r>
        <w:rPr>
          <w:rFonts w:ascii="Microsoft Sans Serif"/>
          <w:b/>
        </w:rPr>
        <w:t>.</w:t>
      </w:r>
      <w:r w:rsidRPr="00657150">
        <w:rPr>
          <w:rFonts w:ascii="Microsoft Sans Serif"/>
          <w:b/>
        </w:rPr>
        <w:t>0538</w:t>
      </w:r>
      <w:r>
        <w:rPr>
          <w:rFonts w:ascii="Microsoft Sans Serif"/>
        </w:rPr>
        <w:cr/>
      </w:r>
      <w:r>
        <w:rPr>
          <w:rFonts w:ascii="Microsoft Sans Serif"/>
        </w:rPr>
        <w:cr/>
        <w:t>PAUL SHANE MILLER ESQUIRE</w:t>
      </w:r>
      <w:r>
        <w:rPr>
          <w:rFonts w:ascii="Microsoft Sans Serif"/>
        </w:rPr>
        <w:cr/>
        <w:t>TUCKER ARENSBERG PC</w:t>
      </w:r>
      <w:r>
        <w:rPr>
          <w:rFonts w:ascii="Microsoft Sans Serif"/>
        </w:rPr>
        <w:cr/>
        <w:t>1500 ONE PPG PLACE</w:t>
      </w:r>
      <w:r>
        <w:rPr>
          <w:rFonts w:ascii="Microsoft Sans Serif"/>
        </w:rPr>
        <w:cr/>
        <w:t>PITTSBURGH PA 15222</w:t>
      </w:r>
      <w:r>
        <w:rPr>
          <w:rFonts w:ascii="Microsoft Sans Serif"/>
        </w:rPr>
        <w:cr/>
      </w:r>
      <w:r w:rsidRPr="00657150">
        <w:rPr>
          <w:rFonts w:ascii="Microsoft Sans Serif"/>
          <w:b/>
        </w:rPr>
        <w:t>412.594.5503</w:t>
      </w:r>
      <w:r>
        <w:rPr>
          <w:rFonts w:ascii="Microsoft Sans Serif"/>
        </w:rPr>
        <w:cr/>
      </w:r>
      <w:r>
        <w:rPr>
          <w:rFonts w:ascii="Microsoft Sans Serif"/>
          <w:b/>
          <w:i/>
          <w:u w:val="single"/>
        </w:rPr>
        <w:t>E-SERVICE</w:t>
      </w:r>
    </w:p>
    <w:p w:rsidR="00605359" w:rsidRDefault="00605359" w:rsidP="00605359">
      <w:bookmarkStart w:id="0" w:name="_GoBack"/>
      <w:bookmarkEnd w:id="0"/>
    </w:p>
    <w:p w:rsidR="00BD6583" w:rsidRDefault="00BD6583" w:rsidP="009D78B1">
      <w:pPr>
        <w:spacing w:line="240" w:lineRule="auto"/>
        <w:jc w:val="left"/>
      </w:pPr>
    </w:p>
    <w:sectPr w:rsidR="00BD65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0CD" w:rsidRDefault="007000CD" w:rsidP="00BF5530">
      <w:pPr>
        <w:spacing w:line="240" w:lineRule="auto"/>
      </w:pPr>
      <w:r>
        <w:separator/>
      </w:r>
    </w:p>
  </w:endnote>
  <w:endnote w:type="continuationSeparator" w:id="0">
    <w:p w:rsidR="007000CD" w:rsidRDefault="007000CD" w:rsidP="00BF55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350853"/>
      <w:docPartObj>
        <w:docPartGallery w:val="Page Numbers (Bottom of Page)"/>
        <w:docPartUnique/>
      </w:docPartObj>
    </w:sdtPr>
    <w:sdtEndPr>
      <w:rPr>
        <w:noProof/>
        <w:sz w:val="20"/>
        <w:szCs w:val="20"/>
      </w:rPr>
    </w:sdtEndPr>
    <w:sdtContent>
      <w:p w:rsidR="00605359" w:rsidRPr="00605359" w:rsidRDefault="00605359">
        <w:pPr>
          <w:pStyle w:val="Footer"/>
          <w:rPr>
            <w:sz w:val="20"/>
            <w:szCs w:val="20"/>
          </w:rPr>
        </w:pPr>
        <w:r w:rsidRPr="00605359">
          <w:rPr>
            <w:sz w:val="20"/>
            <w:szCs w:val="20"/>
          </w:rPr>
          <w:fldChar w:fldCharType="begin"/>
        </w:r>
        <w:r w:rsidRPr="00605359">
          <w:rPr>
            <w:sz w:val="20"/>
            <w:szCs w:val="20"/>
          </w:rPr>
          <w:instrText xml:space="preserve"> PAGE   \* MERGEFORMAT </w:instrText>
        </w:r>
        <w:r w:rsidRPr="00605359">
          <w:rPr>
            <w:sz w:val="20"/>
            <w:szCs w:val="20"/>
          </w:rPr>
          <w:fldChar w:fldCharType="separate"/>
        </w:r>
        <w:r>
          <w:rPr>
            <w:noProof/>
            <w:sz w:val="20"/>
            <w:szCs w:val="20"/>
          </w:rPr>
          <w:t>6</w:t>
        </w:r>
        <w:r w:rsidRPr="00605359">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0CD" w:rsidRDefault="007000CD" w:rsidP="00BB5CF4">
      <w:pPr>
        <w:spacing w:line="240" w:lineRule="auto"/>
        <w:jc w:val="both"/>
      </w:pPr>
      <w:r>
        <w:separator/>
      </w:r>
    </w:p>
  </w:footnote>
  <w:footnote w:type="continuationSeparator" w:id="0">
    <w:p w:rsidR="007000CD" w:rsidRDefault="007000CD" w:rsidP="00BF55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F17F3"/>
    <w:multiLevelType w:val="hybridMultilevel"/>
    <w:tmpl w:val="9664FFAA"/>
    <w:lvl w:ilvl="0" w:tplc="4E6ACD1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3E9"/>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474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4A6D"/>
    <w:rsid w:val="00055078"/>
    <w:rsid w:val="00055CC5"/>
    <w:rsid w:val="000576ED"/>
    <w:rsid w:val="000604FC"/>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08EF"/>
    <w:rsid w:val="000816A1"/>
    <w:rsid w:val="00082363"/>
    <w:rsid w:val="00083558"/>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166"/>
    <w:rsid w:val="000C7A4F"/>
    <w:rsid w:val="000D29BA"/>
    <w:rsid w:val="000D3E49"/>
    <w:rsid w:val="000D5763"/>
    <w:rsid w:val="000E13E9"/>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AD9"/>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45F"/>
    <w:rsid w:val="001A1644"/>
    <w:rsid w:val="001A216A"/>
    <w:rsid w:val="001A33F5"/>
    <w:rsid w:val="001A3A31"/>
    <w:rsid w:val="001A3D48"/>
    <w:rsid w:val="001A5421"/>
    <w:rsid w:val="001A6541"/>
    <w:rsid w:val="001A7F95"/>
    <w:rsid w:val="001B06B8"/>
    <w:rsid w:val="001B1B1D"/>
    <w:rsid w:val="001B33E2"/>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34C"/>
    <w:rsid w:val="002337D7"/>
    <w:rsid w:val="00234DEB"/>
    <w:rsid w:val="0023584A"/>
    <w:rsid w:val="00236C44"/>
    <w:rsid w:val="00240343"/>
    <w:rsid w:val="002403E6"/>
    <w:rsid w:val="002422D0"/>
    <w:rsid w:val="0024256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6833"/>
    <w:rsid w:val="00277591"/>
    <w:rsid w:val="00283282"/>
    <w:rsid w:val="00284760"/>
    <w:rsid w:val="00286A34"/>
    <w:rsid w:val="002871C2"/>
    <w:rsid w:val="00287CB1"/>
    <w:rsid w:val="0029096F"/>
    <w:rsid w:val="00290AD2"/>
    <w:rsid w:val="00291B51"/>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04F2"/>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37"/>
    <w:rsid w:val="003908D7"/>
    <w:rsid w:val="00390929"/>
    <w:rsid w:val="00390DBB"/>
    <w:rsid w:val="00391CFF"/>
    <w:rsid w:val="003924CC"/>
    <w:rsid w:val="00396333"/>
    <w:rsid w:val="00396ADD"/>
    <w:rsid w:val="0039716B"/>
    <w:rsid w:val="00397B6F"/>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BF0"/>
    <w:rsid w:val="00465D71"/>
    <w:rsid w:val="00466D15"/>
    <w:rsid w:val="0047070D"/>
    <w:rsid w:val="00477A71"/>
    <w:rsid w:val="004800E7"/>
    <w:rsid w:val="00481269"/>
    <w:rsid w:val="004839FC"/>
    <w:rsid w:val="00483C70"/>
    <w:rsid w:val="00484589"/>
    <w:rsid w:val="00484BCE"/>
    <w:rsid w:val="00485E57"/>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5138"/>
    <w:rsid w:val="004C657C"/>
    <w:rsid w:val="004D0BE0"/>
    <w:rsid w:val="004D149F"/>
    <w:rsid w:val="004D14F0"/>
    <w:rsid w:val="004D1505"/>
    <w:rsid w:val="004D17DF"/>
    <w:rsid w:val="004D38F8"/>
    <w:rsid w:val="004D4A68"/>
    <w:rsid w:val="004D5646"/>
    <w:rsid w:val="004D5824"/>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0F35"/>
    <w:rsid w:val="00503634"/>
    <w:rsid w:val="00504F92"/>
    <w:rsid w:val="00505551"/>
    <w:rsid w:val="005078B3"/>
    <w:rsid w:val="00510A28"/>
    <w:rsid w:val="00511C54"/>
    <w:rsid w:val="0051292E"/>
    <w:rsid w:val="00516207"/>
    <w:rsid w:val="005200D5"/>
    <w:rsid w:val="00520C27"/>
    <w:rsid w:val="00521B57"/>
    <w:rsid w:val="00522A37"/>
    <w:rsid w:val="00522DE9"/>
    <w:rsid w:val="00522EF8"/>
    <w:rsid w:val="005234E9"/>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7618F"/>
    <w:rsid w:val="0058036C"/>
    <w:rsid w:val="0058073B"/>
    <w:rsid w:val="00580815"/>
    <w:rsid w:val="00582289"/>
    <w:rsid w:val="0058363F"/>
    <w:rsid w:val="00584CB9"/>
    <w:rsid w:val="00585BD9"/>
    <w:rsid w:val="00587B74"/>
    <w:rsid w:val="00590035"/>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65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359"/>
    <w:rsid w:val="00605D75"/>
    <w:rsid w:val="006073B5"/>
    <w:rsid w:val="00610CE1"/>
    <w:rsid w:val="006113D8"/>
    <w:rsid w:val="00612C6B"/>
    <w:rsid w:val="006147B5"/>
    <w:rsid w:val="006151E3"/>
    <w:rsid w:val="00616232"/>
    <w:rsid w:val="00620850"/>
    <w:rsid w:val="00620DB5"/>
    <w:rsid w:val="00621A59"/>
    <w:rsid w:val="0062201A"/>
    <w:rsid w:val="006225AC"/>
    <w:rsid w:val="006230A9"/>
    <w:rsid w:val="00623799"/>
    <w:rsid w:val="00624D32"/>
    <w:rsid w:val="006273ED"/>
    <w:rsid w:val="0062795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0219"/>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F0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6776"/>
    <w:rsid w:val="006C71BB"/>
    <w:rsid w:val="006D071F"/>
    <w:rsid w:val="006D1276"/>
    <w:rsid w:val="006D13C4"/>
    <w:rsid w:val="006D1E5C"/>
    <w:rsid w:val="006D2C14"/>
    <w:rsid w:val="006D3945"/>
    <w:rsid w:val="006D4C15"/>
    <w:rsid w:val="006D74BB"/>
    <w:rsid w:val="006D7692"/>
    <w:rsid w:val="006E1753"/>
    <w:rsid w:val="006E3BF0"/>
    <w:rsid w:val="006E4E29"/>
    <w:rsid w:val="006E59C4"/>
    <w:rsid w:val="006E5D2E"/>
    <w:rsid w:val="006E670A"/>
    <w:rsid w:val="006E7C63"/>
    <w:rsid w:val="006F08E9"/>
    <w:rsid w:val="006F15E9"/>
    <w:rsid w:val="006F1702"/>
    <w:rsid w:val="006F252A"/>
    <w:rsid w:val="006F27FC"/>
    <w:rsid w:val="006F3153"/>
    <w:rsid w:val="006F4B6F"/>
    <w:rsid w:val="006F4F6D"/>
    <w:rsid w:val="006F6668"/>
    <w:rsid w:val="0070008A"/>
    <w:rsid w:val="007000CD"/>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1A01"/>
    <w:rsid w:val="007631D1"/>
    <w:rsid w:val="007635AC"/>
    <w:rsid w:val="00772458"/>
    <w:rsid w:val="00775812"/>
    <w:rsid w:val="00781867"/>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3DD9"/>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3C3"/>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349A"/>
    <w:rsid w:val="007F6E2B"/>
    <w:rsid w:val="007F7699"/>
    <w:rsid w:val="007F773D"/>
    <w:rsid w:val="008003C8"/>
    <w:rsid w:val="00801A80"/>
    <w:rsid w:val="00802118"/>
    <w:rsid w:val="00804065"/>
    <w:rsid w:val="008047DD"/>
    <w:rsid w:val="0080611B"/>
    <w:rsid w:val="00806213"/>
    <w:rsid w:val="008121D7"/>
    <w:rsid w:val="00812B80"/>
    <w:rsid w:val="0081462C"/>
    <w:rsid w:val="008168A2"/>
    <w:rsid w:val="00820421"/>
    <w:rsid w:val="008213E7"/>
    <w:rsid w:val="00821687"/>
    <w:rsid w:val="0082217D"/>
    <w:rsid w:val="00822A40"/>
    <w:rsid w:val="00822DE6"/>
    <w:rsid w:val="008236C7"/>
    <w:rsid w:val="00823E67"/>
    <w:rsid w:val="00826045"/>
    <w:rsid w:val="00826EE3"/>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6E78"/>
    <w:rsid w:val="008D7E65"/>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1919"/>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48AC"/>
    <w:rsid w:val="009252D3"/>
    <w:rsid w:val="00926002"/>
    <w:rsid w:val="00927BFA"/>
    <w:rsid w:val="00930061"/>
    <w:rsid w:val="00930EBA"/>
    <w:rsid w:val="0093151F"/>
    <w:rsid w:val="0093268C"/>
    <w:rsid w:val="00934728"/>
    <w:rsid w:val="009347A5"/>
    <w:rsid w:val="00935580"/>
    <w:rsid w:val="009366E0"/>
    <w:rsid w:val="00936EB3"/>
    <w:rsid w:val="00940622"/>
    <w:rsid w:val="009412D9"/>
    <w:rsid w:val="00944730"/>
    <w:rsid w:val="00944858"/>
    <w:rsid w:val="00946313"/>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05A6"/>
    <w:rsid w:val="009A1BA1"/>
    <w:rsid w:val="009A2A81"/>
    <w:rsid w:val="009A2AFB"/>
    <w:rsid w:val="009A2DE2"/>
    <w:rsid w:val="009A3B62"/>
    <w:rsid w:val="009A3ED4"/>
    <w:rsid w:val="009A56EE"/>
    <w:rsid w:val="009A5C47"/>
    <w:rsid w:val="009A68E7"/>
    <w:rsid w:val="009A6BC5"/>
    <w:rsid w:val="009B0164"/>
    <w:rsid w:val="009B0390"/>
    <w:rsid w:val="009B2B90"/>
    <w:rsid w:val="009B4A92"/>
    <w:rsid w:val="009B4B7B"/>
    <w:rsid w:val="009B4CB6"/>
    <w:rsid w:val="009B66C0"/>
    <w:rsid w:val="009B72A1"/>
    <w:rsid w:val="009B74A5"/>
    <w:rsid w:val="009C0E90"/>
    <w:rsid w:val="009C24F9"/>
    <w:rsid w:val="009C638A"/>
    <w:rsid w:val="009D3AAC"/>
    <w:rsid w:val="009D5B63"/>
    <w:rsid w:val="009D6C48"/>
    <w:rsid w:val="009D78B1"/>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04A4"/>
    <w:rsid w:val="00A321F9"/>
    <w:rsid w:val="00A34AEC"/>
    <w:rsid w:val="00A35AFD"/>
    <w:rsid w:val="00A36599"/>
    <w:rsid w:val="00A3659B"/>
    <w:rsid w:val="00A40295"/>
    <w:rsid w:val="00A40731"/>
    <w:rsid w:val="00A40A39"/>
    <w:rsid w:val="00A429D5"/>
    <w:rsid w:val="00A42E39"/>
    <w:rsid w:val="00A433E2"/>
    <w:rsid w:val="00A438F2"/>
    <w:rsid w:val="00A448EF"/>
    <w:rsid w:val="00A4598C"/>
    <w:rsid w:val="00A46087"/>
    <w:rsid w:val="00A510EE"/>
    <w:rsid w:val="00A51638"/>
    <w:rsid w:val="00A52A4E"/>
    <w:rsid w:val="00A52DAA"/>
    <w:rsid w:val="00A5343C"/>
    <w:rsid w:val="00A55081"/>
    <w:rsid w:val="00A5538B"/>
    <w:rsid w:val="00A55B15"/>
    <w:rsid w:val="00A57796"/>
    <w:rsid w:val="00A57AB1"/>
    <w:rsid w:val="00A635D9"/>
    <w:rsid w:val="00A645C6"/>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959FE"/>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023F"/>
    <w:rsid w:val="00B11C89"/>
    <w:rsid w:val="00B134C7"/>
    <w:rsid w:val="00B136CC"/>
    <w:rsid w:val="00B143BA"/>
    <w:rsid w:val="00B17521"/>
    <w:rsid w:val="00B17683"/>
    <w:rsid w:val="00B20FAA"/>
    <w:rsid w:val="00B21806"/>
    <w:rsid w:val="00B21B0E"/>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63"/>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6B2D"/>
    <w:rsid w:val="00B9799D"/>
    <w:rsid w:val="00BA1322"/>
    <w:rsid w:val="00BA25FD"/>
    <w:rsid w:val="00BA2D85"/>
    <w:rsid w:val="00BA3AA7"/>
    <w:rsid w:val="00BA3C3F"/>
    <w:rsid w:val="00BA5CEA"/>
    <w:rsid w:val="00BA690D"/>
    <w:rsid w:val="00BA7612"/>
    <w:rsid w:val="00BB1D36"/>
    <w:rsid w:val="00BB3631"/>
    <w:rsid w:val="00BB3FF6"/>
    <w:rsid w:val="00BB5630"/>
    <w:rsid w:val="00BB5CF4"/>
    <w:rsid w:val="00BB6BE1"/>
    <w:rsid w:val="00BC392E"/>
    <w:rsid w:val="00BC60A6"/>
    <w:rsid w:val="00BC62E0"/>
    <w:rsid w:val="00BC6FBF"/>
    <w:rsid w:val="00BD00D9"/>
    <w:rsid w:val="00BD1886"/>
    <w:rsid w:val="00BD23E3"/>
    <w:rsid w:val="00BD40BC"/>
    <w:rsid w:val="00BD6234"/>
    <w:rsid w:val="00BD6583"/>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5530"/>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4DAB"/>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2BB"/>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76A"/>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09B6"/>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49D"/>
    <w:rsid w:val="00CE665D"/>
    <w:rsid w:val="00CE6758"/>
    <w:rsid w:val="00CE7731"/>
    <w:rsid w:val="00CF096F"/>
    <w:rsid w:val="00CF1226"/>
    <w:rsid w:val="00CF329F"/>
    <w:rsid w:val="00CF6106"/>
    <w:rsid w:val="00CF6A79"/>
    <w:rsid w:val="00CF73D7"/>
    <w:rsid w:val="00D00AAE"/>
    <w:rsid w:val="00D02D5A"/>
    <w:rsid w:val="00D03B9D"/>
    <w:rsid w:val="00D0498A"/>
    <w:rsid w:val="00D04D22"/>
    <w:rsid w:val="00D065E6"/>
    <w:rsid w:val="00D06F2D"/>
    <w:rsid w:val="00D10843"/>
    <w:rsid w:val="00D11B6A"/>
    <w:rsid w:val="00D13B2D"/>
    <w:rsid w:val="00D154A5"/>
    <w:rsid w:val="00D15660"/>
    <w:rsid w:val="00D16BDE"/>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5910"/>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1EE4"/>
    <w:rsid w:val="00D92D94"/>
    <w:rsid w:val="00D961DB"/>
    <w:rsid w:val="00DA0625"/>
    <w:rsid w:val="00DA07DD"/>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9CE"/>
    <w:rsid w:val="00DF4C70"/>
    <w:rsid w:val="00DF4D56"/>
    <w:rsid w:val="00DF63EB"/>
    <w:rsid w:val="00DF78BC"/>
    <w:rsid w:val="00E0212C"/>
    <w:rsid w:val="00E02A20"/>
    <w:rsid w:val="00E030AE"/>
    <w:rsid w:val="00E0319A"/>
    <w:rsid w:val="00E04587"/>
    <w:rsid w:val="00E04EFF"/>
    <w:rsid w:val="00E04F29"/>
    <w:rsid w:val="00E05116"/>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25D52"/>
    <w:rsid w:val="00E304E3"/>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31C"/>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4E17"/>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E5FE0"/>
    <w:rsid w:val="00EF2966"/>
    <w:rsid w:val="00EF5346"/>
    <w:rsid w:val="00EF7235"/>
    <w:rsid w:val="00F00A4D"/>
    <w:rsid w:val="00F014D5"/>
    <w:rsid w:val="00F01EA8"/>
    <w:rsid w:val="00F023A3"/>
    <w:rsid w:val="00F02A6F"/>
    <w:rsid w:val="00F030F9"/>
    <w:rsid w:val="00F04308"/>
    <w:rsid w:val="00F043E3"/>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A2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4CE0"/>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830A"/>
  <w15:docId w15:val="{998153C3-2F20-4376-B63B-E9EC9A40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F349A"/>
    <w:rPr>
      <w:strike w:val="0"/>
      <w:dstrike w:val="0"/>
      <w:color w:val="004B91"/>
      <w:u w:val="none"/>
      <w:effect w:val="none"/>
    </w:rPr>
  </w:style>
  <w:style w:type="paragraph" w:styleId="BalloonText">
    <w:name w:val="Balloon Text"/>
    <w:basedOn w:val="Normal"/>
    <w:link w:val="BalloonTextChar"/>
    <w:uiPriority w:val="99"/>
    <w:semiHidden/>
    <w:unhideWhenUsed/>
    <w:rsid w:val="007F34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49A"/>
    <w:rPr>
      <w:rFonts w:ascii="Tahoma" w:hAnsi="Tahoma" w:cs="Tahoma"/>
      <w:sz w:val="16"/>
      <w:szCs w:val="16"/>
    </w:rPr>
  </w:style>
  <w:style w:type="paragraph" w:styleId="FootnoteText">
    <w:name w:val="footnote text"/>
    <w:basedOn w:val="Normal"/>
    <w:link w:val="FootnoteTextChar"/>
    <w:uiPriority w:val="99"/>
    <w:semiHidden/>
    <w:unhideWhenUsed/>
    <w:rsid w:val="00BF5530"/>
    <w:pPr>
      <w:spacing w:line="240" w:lineRule="auto"/>
    </w:pPr>
    <w:rPr>
      <w:sz w:val="20"/>
      <w:szCs w:val="20"/>
    </w:rPr>
  </w:style>
  <w:style w:type="character" w:customStyle="1" w:styleId="FootnoteTextChar">
    <w:name w:val="Footnote Text Char"/>
    <w:basedOn w:val="DefaultParagraphFont"/>
    <w:link w:val="FootnoteText"/>
    <w:uiPriority w:val="99"/>
    <w:semiHidden/>
    <w:rsid w:val="00BF5530"/>
    <w:rPr>
      <w:sz w:val="20"/>
      <w:szCs w:val="20"/>
    </w:rPr>
  </w:style>
  <w:style w:type="character" w:styleId="FootnoteReference">
    <w:name w:val="footnote reference"/>
    <w:basedOn w:val="DefaultParagraphFont"/>
    <w:uiPriority w:val="99"/>
    <w:semiHidden/>
    <w:unhideWhenUsed/>
    <w:rsid w:val="00BF5530"/>
    <w:rPr>
      <w:vertAlign w:val="superscript"/>
    </w:rPr>
  </w:style>
  <w:style w:type="paragraph" w:styleId="Header">
    <w:name w:val="header"/>
    <w:basedOn w:val="Normal"/>
    <w:link w:val="HeaderChar"/>
    <w:uiPriority w:val="99"/>
    <w:unhideWhenUsed/>
    <w:rsid w:val="006F1702"/>
    <w:pPr>
      <w:tabs>
        <w:tab w:val="center" w:pos="4680"/>
        <w:tab w:val="right" w:pos="9360"/>
      </w:tabs>
      <w:spacing w:line="240" w:lineRule="auto"/>
    </w:pPr>
  </w:style>
  <w:style w:type="character" w:customStyle="1" w:styleId="HeaderChar">
    <w:name w:val="Header Char"/>
    <w:basedOn w:val="DefaultParagraphFont"/>
    <w:link w:val="Header"/>
    <w:uiPriority w:val="99"/>
    <w:rsid w:val="006F1702"/>
  </w:style>
  <w:style w:type="paragraph" w:styleId="Footer">
    <w:name w:val="footer"/>
    <w:basedOn w:val="Normal"/>
    <w:link w:val="FooterChar"/>
    <w:uiPriority w:val="99"/>
    <w:unhideWhenUsed/>
    <w:rsid w:val="006F1702"/>
    <w:pPr>
      <w:tabs>
        <w:tab w:val="center" w:pos="4680"/>
        <w:tab w:val="right" w:pos="9360"/>
      </w:tabs>
      <w:spacing w:line="240" w:lineRule="auto"/>
    </w:pPr>
  </w:style>
  <w:style w:type="character" w:customStyle="1" w:styleId="FooterChar">
    <w:name w:val="Footer Char"/>
    <w:basedOn w:val="DefaultParagraphFont"/>
    <w:link w:val="Footer"/>
    <w:uiPriority w:val="99"/>
    <w:rsid w:val="006F1702"/>
  </w:style>
  <w:style w:type="paragraph" w:styleId="ListParagraph">
    <w:name w:val="List Paragraph"/>
    <w:basedOn w:val="Normal"/>
    <w:uiPriority w:val="34"/>
    <w:qFormat/>
    <w:rsid w:val="00176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6B1E4-D998-48EA-BC09-7A0A2F7A1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2014-04-03T17:19:00Z</cp:lastPrinted>
  <dcterms:created xsi:type="dcterms:W3CDTF">2017-12-12T16:20:00Z</dcterms:created>
  <dcterms:modified xsi:type="dcterms:W3CDTF">2017-12-12T16:20:00Z</dcterms:modified>
</cp:coreProperties>
</file>