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CD645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645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D6455">
        <w:rPr>
          <w:rFonts w:ascii="Times New Roman" w:hAnsi="Times New Roman"/>
          <w:b/>
          <w:spacing w:val="-3"/>
          <w:szCs w:val="24"/>
        </w:rPr>
        <w:fldChar w:fldCharType="begin"/>
      </w:r>
      <w:r w:rsidRPr="00CD645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D645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D645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645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D6455" w:rsidRPr="00CD6455" w:rsidRDefault="00141506" w:rsidP="00CD64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645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D6455" w:rsidRDefault="00CD6455" w:rsidP="00CD64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D6455" w:rsidRDefault="00CD6455" w:rsidP="00CD64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D6455" w:rsidRDefault="00CD6455" w:rsidP="00CD64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D6455" w:rsidRPr="00CD6455" w:rsidRDefault="00CD6455" w:rsidP="00CD6455">
      <w:pPr>
        <w:rPr>
          <w:rFonts w:ascii="Times New Roman" w:eastAsiaTheme="minorHAnsi" w:hAnsi="Times New Roman"/>
          <w:szCs w:val="24"/>
        </w:rPr>
      </w:pPr>
      <w:r w:rsidRPr="00CD6455">
        <w:rPr>
          <w:rFonts w:ascii="Times New Roman" w:eastAsiaTheme="minorHAnsi" w:hAnsi="Times New Roman"/>
          <w:szCs w:val="24"/>
        </w:rPr>
        <w:t>Elizabeth Christine Reinaker</w:t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  <w:t>:</w:t>
      </w:r>
    </w:p>
    <w:p w:rsidR="00CD6455" w:rsidRPr="00CD6455" w:rsidRDefault="00CD6455" w:rsidP="00CD6455">
      <w:pPr>
        <w:rPr>
          <w:rFonts w:ascii="Times New Roman" w:eastAsiaTheme="minorHAnsi" w:hAnsi="Times New Roman"/>
          <w:szCs w:val="24"/>
        </w:rPr>
      </w:pP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  <w:t>:</w:t>
      </w:r>
    </w:p>
    <w:p w:rsidR="00CD6455" w:rsidRPr="00CD6455" w:rsidRDefault="00CD6455" w:rsidP="00CD6455">
      <w:pPr>
        <w:rPr>
          <w:rFonts w:ascii="Times New Roman" w:eastAsiaTheme="minorHAnsi" w:hAnsi="Times New Roman"/>
          <w:szCs w:val="24"/>
        </w:rPr>
      </w:pPr>
      <w:r w:rsidRPr="00CD6455">
        <w:rPr>
          <w:rFonts w:ascii="Times New Roman" w:eastAsiaTheme="minorHAnsi" w:hAnsi="Times New Roman"/>
          <w:szCs w:val="24"/>
        </w:rPr>
        <w:tab/>
        <w:t>v.</w:t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  <w:t>:</w:t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>C-201</w:t>
      </w:r>
      <w:r w:rsidR="009B3C0A">
        <w:rPr>
          <w:rFonts w:ascii="Times New Roman" w:eastAsiaTheme="minorHAnsi" w:hAnsi="Times New Roman"/>
          <w:szCs w:val="24"/>
        </w:rPr>
        <w:t>6</w:t>
      </w:r>
      <w:bookmarkStart w:id="0" w:name="_GoBack"/>
      <w:bookmarkEnd w:id="0"/>
      <w:r w:rsidRPr="00CD6455">
        <w:rPr>
          <w:rFonts w:ascii="Times New Roman" w:eastAsiaTheme="minorHAnsi" w:hAnsi="Times New Roman"/>
          <w:szCs w:val="24"/>
        </w:rPr>
        <w:t>-2549950</w:t>
      </w:r>
    </w:p>
    <w:p w:rsidR="00CD6455" w:rsidRPr="00CD6455" w:rsidRDefault="00CD6455" w:rsidP="00CD6455">
      <w:pPr>
        <w:rPr>
          <w:rFonts w:ascii="Times New Roman" w:eastAsiaTheme="minorHAnsi" w:hAnsi="Times New Roman"/>
          <w:szCs w:val="24"/>
        </w:rPr>
      </w:pP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  <w:t>:</w:t>
      </w:r>
    </w:p>
    <w:p w:rsidR="00CD6455" w:rsidRPr="00CD6455" w:rsidRDefault="00CD6455" w:rsidP="00CD6455">
      <w:pPr>
        <w:rPr>
          <w:rFonts w:ascii="Times New Roman" w:eastAsiaTheme="minorHAnsi" w:hAnsi="Times New Roman"/>
          <w:szCs w:val="24"/>
        </w:rPr>
      </w:pPr>
      <w:r w:rsidRPr="00CD6455">
        <w:rPr>
          <w:rFonts w:ascii="Times New Roman" w:eastAsiaTheme="minorHAnsi" w:hAnsi="Times New Roman"/>
          <w:szCs w:val="24"/>
        </w:rPr>
        <w:t>PPL Electric Utilities Corporation</w:t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</w:r>
      <w:r w:rsidRPr="00CD6455">
        <w:rPr>
          <w:rFonts w:ascii="Times New Roman" w:eastAsiaTheme="minorHAnsi" w:hAnsi="Times New Roman"/>
          <w:szCs w:val="24"/>
        </w:rPr>
        <w:tab/>
        <w:t>:</w:t>
      </w:r>
    </w:p>
    <w:p w:rsidR="00CD6455" w:rsidRDefault="00CD6455" w:rsidP="00CD645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D6455" w:rsidRDefault="00CD6455" w:rsidP="00CD645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D6455" w:rsidRPr="000C1A59" w:rsidRDefault="00CD6455" w:rsidP="00CD645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D64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D645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CD6455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D6455">
        <w:rPr>
          <w:rFonts w:ascii="Times New Roman" w:hAnsi="Times New Roman"/>
          <w:spacing w:val="-3"/>
          <w:szCs w:val="24"/>
        </w:rPr>
        <w:t>November 14,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D645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D645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D645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D645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D645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D6455" w:rsidRPr="00CD6455" w:rsidRDefault="00CD6455" w:rsidP="00CD645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D6455">
        <w:rPr>
          <w:rFonts w:ascii="Times New Roman" w:hAnsi="Times New Roman"/>
        </w:rPr>
        <w:t>1.</w:t>
      </w:r>
      <w:r w:rsidRPr="00CD6455">
        <w:rPr>
          <w:rFonts w:ascii="Times New Roman" w:hAnsi="Times New Roman"/>
        </w:rPr>
        <w:tab/>
        <w:t xml:space="preserve">That the formal complaint filed by Elizabeth Christine Reinaker against PPL Electric Utilities Corporation at Docket No. C-2016-2549950 is dismissed.   </w:t>
      </w:r>
    </w:p>
    <w:p w:rsidR="00CD6455" w:rsidRPr="00CD6455" w:rsidRDefault="00CD6455" w:rsidP="00CD645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CD6455" w:rsidP="00CD645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D6455">
        <w:rPr>
          <w:rFonts w:ascii="Times New Roman" w:hAnsi="Times New Roman"/>
        </w:rPr>
        <w:t>2.</w:t>
      </w:r>
      <w:r w:rsidRPr="00CD6455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E560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77FF6A4" wp14:editId="0325E6C5">
            <wp:simplePos x="0" y="0"/>
            <wp:positionH relativeFrom="column">
              <wp:posOffset>3200400</wp:posOffset>
            </wp:positionH>
            <wp:positionV relativeFrom="paragraph">
              <wp:posOffset>52754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88369B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5608">
        <w:rPr>
          <w:rFonts w:ascii="Times New Roman" w:hAnsi="Times New Roman"/>
          <w:spacing w:val="-3"/>
          <w:szCs w:val="24"/>
        </w:rPr>
        <w:t>January 5, 2018</w:t>
      </w:r>
    </w:p>
    <w:sectPr w:rsidR="00141506" w:rsidRPr="00FB6879" w:rsidSect="00CD645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745" w:rsidRDefault="00531745">
      <w:pPr>
        <w:spacing w:line="20" w:lineRule="exact"/>
      </w:pPr>
    </w:p>
  </w:endnote>
  <w:endnote w:type="continuationSeparator" w:id="0">
    <w:p w:rsidR="00531745" w:rsidRDefault="00531745">
      <w:r>
        <w:t xml:space="preserve"> </w:t>
      </w:r>
    </w:p>
  </w:endnote>
  <w:endnote w:type="continuationNotice" w:id="1">
    <w:p w:rsidR="00531745" w:rsidRDefault="005317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745" w:rsidRDefault="00531745">
      <w:r>
        <w:separator/>
      </w:r>
    </w:p>
  </w:footnote>
  <w:footnote w:type="continuationSeparator" w:id="0">
    <w:p w:rsidR="00531745" w:rsidRDefault="0053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1745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3C0A"/>
    <w:rsid w:val="009B74F2"/>
    <w:rsid w:val="00A01A5E"/>
    <w:rsid w:val="00A0616A"/>
    <w:rsid w:val="00A16540"/>
    <w:rsid w:val="00A40989"/>
    <w:rsid w:val="00A47CC7"/>
    <w:rsid w:val="00A52368"/>
    <w:rsid w:val="00A54870"/>
    <w:rsid w:val="00A7062E"/>
    <w:rsid w:val="00AA556A"/>
    <w:rsid w:val="00AC3685"/>
    <w:rsid w:val="00AC624C"/>
    <w:rsid w:val="00AD4D7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6455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7B14DF"/>
  <w15:docId w15:val="{B58569F9-4726-4A4A-B8B7-1E31C140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B3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B3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15</cp:revision>
  <cp:lastPrinted>2018-01-05T19:25:00Z</cp:lastPrinted>
  <dcterms:created xsi:type="dcterms:W3CDTF">2010-09-08T19:30:00Z</dcterms:created>
  <dcterms:modified xsi:type="dcterms:W3CDTF">2018-01-05T19:26:00Z</dcterms:modified>
</cp:coreProperties>
</file>