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1B45" w:rsidRPr="00531B45" w:rsidRDefault="00531B45" w:rsidP="00531B45">
      <w:pPr>
        <w:autoSpaceDE w:val="0"/>
        <w:autoSpaceDN w:val="0"/>
        <w:jc w:val="center"/>
        <w:rPr>
          <w:rFonts w:cs="CG Times (W1)"/>
          <w:b/>
        </w:rPr>
      </w:pPr>
      <w:r w:rsidRPr="00531B45">
        <w:rPr>
          <w:rFonts w:cs="CG Times (W1)"/>
          <w:b/>
        </w:rPr>
        <w:t>BEFORE THE</w:t>
      </w:r>
    </w:p>
    <w:p w:rsidR="00531B45" w:rsidRPr="00531B45" w:rsidRDefault="00531B45" w:rsidP="00531B45">
      <w:pPr>
        <w:autoSpaceDE w:val="0"/>
        <w:autoSpaceDN w:val="0"/>
        <w:jc w:val="center"/>
        <w:rPr>
          <w:rFonts w:cs="CG Times (W1)"/>
          <w:b/>
        </w:rPr>
      </w:pPr>
      <w:r w:rsidRPr="00531B45">
        <w:rPr>
          <w:rFonts w:cs="CG Times (W1)"/>
          <w:b/>
        </w:rPr>
        <w:t>PENNSYLVANIA PUBLIC UTILITY COMMISSION</w:t>
      </w:r>
    </w:p>
    <w:p w:rsidR="00531B45" w:rsidRPr="00531B45" w:rsidRDefault="00531B45" w:rsidP="00531B45">
      <w:pPr>
        <w:autoSpaceDE w:val="0"/>
        <w:autoSpaceDN w:val="0"/>
        <w:rPr>
          <w:rFonts w:cs="CG Times (W1)"/>
          <w:b/>
        </w:rPr>
      </w:pPr>
    </w:p>
    <w:p w:rsidR="00531B45" w:rsidRPr="00531B45" w:rsidRDefault="00531B45" w:rsidP="00531B45">
      <w:pPr>
        <w:autoSpaceDE w:val="0"/>
        <w:autoSpaceDN w:val="0"/>
        <w:rPr>
          <w:rFonts w:cs="CG Times (W1)"/>
          <w:b/>
        </w:rPr>
      </w:pPr>
    </w:p>
    <w:p w:rsidR="00531B45" w:rsidRPr="00531B45" w:rsidRDefault="00531B45" w:rsidP="00531B45">
      <w:pPr>
        <w:autoSpaceDE w:val="0"/>
        <w:autoSpaceDN w:val="0"/>
        <w:rPr>
          <w:rFonts w:cs="CG Times (W1)"/>
        </w:rPr>
      </w:pPr>
    </w:p>
    <w:p w:rsidR="00531B45" w:rsidRPr="00531B45" w:rsidRDefault="00531B45" w:rsidP="00531B45">
      <w:pPr>
        <w:autoSpaceDE w:val="0"/>
        <w:autoSpaceDN w:val="0"/>
        <w:rPr>
          <w:rFonts w:cs="CG Times (W1)"/>
        </w:rPr>
      </w:pPr>
      <w:r w:rsidRPr="00531B45">
        <w:rPr>
          <w:rFonts w:cs="CG Times (W1)"/>
        </w:rPr>
        <w:t>Florence Ackridge</w:t>
      </w:r>
      <w:r w:rsidRPr="00531B45">
        <w:rPr>
          <w:rFonts w:cs="CG Times (W1)"/>
        </w:rPr>
        <w:tab/>
      </w:r>
      <w:r w:rsidRPr="00531B45">
        <w:rPr>
          <w:rFonts w:cs="CG Times (W1)"/>
        </w:rPr>
        <w:tab/>
        <w:t xml:space="preserve"> </w:t>
      </w:r>
      <w:r w:rsidRPr="00531B45">
        <w:rPr>
          <w:rFonts w:cs="CG Times (W1)"/>
        </w:rPr>
        <w:tab/>
      </w:r>
      <w:r w:rsidRPr="00531B45">
        <w:rPr>
          <w:rFonts w:cs="CG Times (W1)"/>
        </w:rPr>
        <w:tab/>
        <w:t>:</w:t>
      </w:r>
    </w:p>
    <w:p w:rsidR="00531B45" w:rsidRPr="00531B45" w:rsidRDefault="00531B45" w:rsidP="00531B45">
      <w:pPr>
        <w:autoSpaceDE w:val="0"/>
        <w:autoSpaceDN w:val="0"/>
        <w:ind w:left="4320"/>
        <w:rPr>
          <w:rFonts w:cs="CG Times (W1)"/>
        </w:rPr>
      </w:pPr>
      <w:r w:rsidRPr="00531B45">
        <w:rPr>
          <w:rFonts w:cs="CG Times (W1)"/>
        </w:rPr>
        <w:t>:</w:t>
      </w:r>
    </w:p>
    <w:p w:rsidR="00531B45" w:rsidRPr="00531B45" w:rsidRDefault="00531B45" w:rsidP="00531B45">
      <w:pPr>
        <w:autoSpaceDE w:val="0"/>
        <w:autoSpaceDN w:val="0"/>
        <w:rPr>
          <w:rFonts w:cs="CG Times (W1)"/>
        </w:rPr>
      </w:pPr>
      <w:r w:rsidRPr="00531B45">
        <w:rPr>
          <w:rFonts w:cs="CG Times (W1)"/>
        </w:rPr>
        <w:tab/>
        <w:t>v.</w:t>
      </w:r>
      <w:r w:rsidRPr="00531B45">
        <w:rPr>
          <w:rFonts w:cs="CG Times (W1)"/>
        </w:rPr>
        <w:tab/>
      </w:r>
      <w:r w:rsidRPr="00531B45">
        <w:rPr>
          <w:rFonts w:cs="CG Times (W1)"/>
        </w:rPr>
        <w:tab/>
      </w:r>
      <w:r w:rsidRPr="00531B45">
        <w:rPr>
          <w:rFonts w:cs="CG Times (W1)"/>
        </w:rPr>
        <w:tab/>
      </w:r>
      <w:r w:rsidRPr="00531B45">
        <w:rPr>
          <w:rFonts w:cs="CG Times (W1)"/>
        </w:rPr>
        <w:tab/>
      </w:r>
      <w:r w:rsidRPr="00531B45">
        <w:rPr>
          <w:rFonts w:cs="CG Times (W1)"/>
        </w:rPr>
        <w:tab/>
        <w:t>:</w:t>
      </w:r>
      <w:r w:rsidRPr="00531B45">
        <w:rPr>
          <w:rFonts w:cs="CG Times (W1)"/>
        </w:rPr>
        <w:tab/>
      </w:r>
      <w:r w:rsidRPr="00531B45">
        <w:rPr>
          <w:rFonts w:cs="CG Times (W1)"/>
        </w:rPr>
        <w:tab/>
      </w:r>
      <w:bookmarkStart w:id="0" w:name="_GoBack"/>
      <w:r w:rsidRPr="00531B45">
        <w:rPr>
          <w:rFonts w:cs="CG Times (W1)"/>
        </w:rPr>
        <w:t>F-2017-2613068</w:t>
      </w:r>
      <w:bookmarkEnd w:id="0"/>
    </w:p>
    <w:p w:rsidR="00531B45" w:rsidRPr="00531B45" w:rsidRDefault="00531B45" w:rsidP="00531B45">
      <w:pPr>
        <w:autoSpaceDE w:val="0"/>
        <w:autoSpaceDN w:val="0"/>
        <w:rPr>
          <w:rFonts w:cs="CG Times (W1)"/>
        </w:rPr>
      </w:pPr>
      <w:r w:rsidRPr="00531B45">
        <w:rPr>
          <w:rFonts w:cs="CG Times (W1)"/>
        </w:rPr>
        <w:tab/>
      </w:r>
      <w:r w:rsidRPr="00531B45">
        <w:rPr>
          <w:rFonts w:cs="CG Times (W1)"/>
        </w:rPr>
        <w:tab/>
      </w:r>
      <w:r w:rsidRPr="00531B45">
        <w:rPr>
          <w:rFonts w:cs="CG Times (W1)"/>
        </w:rPr>
        <w:tab/>
      </w:r>
      <w:r w:rsidRPr="00531B45">
        <w:rPr>
          <w:rFonts w:cs="CG Times (W1)"/>
        </w:rPr>
        <w:tab/>
      </w:r>
      <w:r w:rsidRPr="00531B45">
        <w:rPr>
          <w:rFonts w:cs="CG Times (W1)"/>
        </w:rPr>
        <w:tab/>
      </w:r>
      <w:r w:rsidRPr="00531B45">
        <w:rPr>
          <w:rFonts w:cs="CG Times (W1)"/>
        </w:rPr>
        <w:tab/>
        <w:t>:</w:t>
      </w:r>
    </w:p>
    <w:p w:rsidR="00531B45" w:rsidRPr="00531B45" w:rsidRDefault="00531B45" w:rsidP="00531B45">
      <w:pPr>
        <w:autoSpaceDE w:val="0"/>
        <w:autoSpaceDN w:val="0"/>
        <w:spacing w:line="276" w:lineRule="auto"/>
        <w:rPr>
          <w:rFonts w:cs="CG Times (W1)"/>
        </w:rPr>
      </w:pPr>
      <w:r w:rsidRPr="00531B45">
        <w:rPr>
          <w:rFonts w:cs="CG Times (W1)"/>
        </w:rPr>
        <w:t>Philadelphia Gas Works</w:t>
      </w:r>
      <w:r w:rsidRPr="00531B45">
        <w:rPr>
          <w:rFonts w:cs="CG Times (W1)"/>
        </w:rPr>
        <w:tab/>
      </w:r>
      <w:r w:rsidRPr="00531B45">
        <w:rPr>
          <w:rFonts w:cs="CG Times (W1)"/>
        </w:rPr>
        <w:tab/>
      </w:r>
      <w:r w:rsidRPr="00531B45">
        <w:rPr>
          <w:rFonts w:cs="CG Times (W1)"/>
        </w:rPr>
        <w:tab/>
        <w:t>:</w:t>
      </w:r>
    </w:p>
    <w:p w:rsidR="00531B45" w:rsidRDefault="00531B45" w:rsidP="00531B45">
      <w:pPr>
        <w:jc w:val="center"/>
        <w:rPr>
          <w:b/>
          <w:bCs/>
          <w:u w:val="single"/>
        </w:rPr>
      </w:pPr>
    </w:p>
    <w:p w:rsidR="00531B45" w:rsidRDefault="00531B45" w:rsidP="00531B45">
      <w:pPr>
        <w:jc w:val="center"/>
        <w:rPr>
          <w:b/>
          <w:bCs/>
          <w:u w:val="single"/>
        </w:rPr>
      </w:pPr>
    </w:p>
    <w:p w:rsidR="00531B45" w:rsidRPr="00103290" w:rsidRDefault="00531B45" w:rsidP="00413E3A">
      <w:pPr>
        <w:jc w:val="center"/>
        <w:rPr>
          <w:sz w:val="22"/>
          <w:szCs w:val="22"/>
        </w:rPr>
      </w:pPr>
      <w:r w:rsidRPr="00103290">
        <w:rPr>
          <w:b/>
          <w:bCs/>
          <w:u w:val="single"/>
        </w:rPr>
        <w:t>ERRATA NOTICE</w:t>
      </w:r>
    </w:p>
    <w:p w:rsidR="00413E3A" w:rsidRDefault="00413E3A" w:rsidP="00531B45">
      <w:pPr>
        <w:spacing w:line="360" w:lineRule="auto"/>
      </w:pPr>
    </w:p>
    <w:p w:rsidR="00531B45" w:rsidRDefault="00531B45" w:rsidP="00531B45">
      <w:pPr>
        <w:spacing w:line="360" w:lineRule="auto"/>
      </w:pPr>
      <w:r>
        <w:tab/>
      </w:r>
      <w:r>
        <w:tab/>
      </w:r>
      <w:r w:rsidRPr="00103290">
        <w:t>T</w:t>
      </w:r>
      <w:smartTag w:uri="urn:schemas-microsoft-com:office:smarttags" w:element="PersonName">
        <w:r w:rsidRPr="00103290">
          <w:t>h</w:t>
        </w:r>
      </w:smartTag>
      <w:r w:rsidRPr="00103290">
        <w:t>is is to advise all parties of record t</w:t>
      </w:r>
      <w:smartTag w:uri="urn:schemas-microsoft-com:office:smarttags" w:element="PersonName">
        <w:r w:rsidRPr="00103290">
          <w:t>h</w:t>
        </w:r>
      </w:smartTag>
      <w:r w:rsidRPr="00103290">
        <w:t>at the</w:t>
      </w:r>
      <w:r>
        <w:t xml:space="preserve"> </w:t>
      </w:r>
      <w:r w:rsidR="00413E3A">
        <w:t xml:space="preserve">Initial </w:t>
      </w:r>
      <w:r w:rsidRPr="00103290">
        <w:t xml:space="preserve">Decision </w:t>
      </w:r>
      <w:r w:rsidR="00413E3A">
        <w:t>dated</w:t>
      </w:r>
      <w:r w:rsidRPr="00103290">
        <w:t xml:space="preserve"> </w:t>
      </w:r>
      <w:r>
        <w:t>J</w:t>
      </w:r>
      <w:r w:rsidR="00413E3A">
        <w:t>anuary</w:t>
      </w:r>
      <w:r>
        <w:t xml:space="preserve"> 8, 20</w:t>
      </w:r>
      <w:r w:rsidR="00413E3A">
        <w:t>1</w:t>
      </w:r>
      <w:r>
        <w:t>8</w:t>
      </w:r>
      <w:r w:rsidR="00461E23">
        <w:t>,</w:t>
      </w:r>
      <w:r w:rsidRPr="00103290">
        <w:t xml:space="preserve"> in t</w:t>
      </w:r>
      <w:smartTag w:uri="urn:schemas-microsoft-com:office:smarttags" w:element="PersonName">
        <w:r w:rsidRPr="00103290">
          <w:t>h</w:t>
        </w:r>
      </w:smartTag>
      <w:r w:rsidRPr="00103290">
        <w:t xml:space="preserve">e above-captioned proceeding contains </w:t>
      </w:r>
      <w:r>
        <w:t xml:space="preserve">a </w:t>
      </w:r>
      <w:r w:rsidRPr="00103290">
        <w:t>typograph</w:t>
      </w:r>
      <w:r>
        <w:t xml:space="preserve">ical error </w:t>
      </w:r>
      <w:r w:rsidR="00920A60">
        <w:t xml:space="preserve">on Page 1, </w:t>
      </w:r>
      <w:r w:rsidR="00E23D76" w:rsidRPr="00920A60">
        <w:rPr>
          <w:u w:val="single"/>
        </w:rPr>
        <w:t>HISTORY OF THE PROCEEDING</w:t>
      </w:r>
      <w:r w:rsidR="00E23D76">
        <w:t>, Paragraph 2</w:t>
      </w:r>
      <w:r w:rsidR="00920A60">
        <w:t xml:space="preserve">, which read </w:t>
      </w:r>
      <w:r>
        <w:t xml:space="preserve">as </w:t>
      </w:r>
      <w:r w:rsidR="00920A60">
        <w:t>follows</w:t>
      </w:r>
      <w:r>
        <w:t xml:space="preserve">:  </w:t>
      </w:r>
    </w:p>
    <w:p w:rsidR="00413E3A" w:rsidRDefault="00413E3A" w:rsidP="00413E3A">
      <w:pPr>
        <w:spacing w:line="360" w:lineRule="auto"/>
        <w:ind w:left="1800"/>
      </w:pPr>
    </w:p>
    <w:p w:rsidR="00E23D76" w:rsidRDefault="00E23D76" w:rsidP="00E23D76">
      <w:pPr>
        <w:spacing w:line="360" w:lineRule="auto"/>
        <w:ind w:firstLine="1440"/>
        <w:textAlignment w:val="baseline"/>
        <w:rPr>
          <w:color w:val="000000"/>
          <w:spacing w:val="4"/>
        </w:rPr>
      </w:pPr>
      <w:r w:rsidRPr="00E23D76">
        <w:rPr>
          <w:color w:val="000000"/>
          <w:spacing w:val="4"/>
        </w:rPr>
        <w:t xml:space="preserve">On July 27, 2017, Respondent filed an Answer admitting that the Company did terminate Complainant’s </w:t>
      </w:r>
      <w:r w:rsidRPr="00E23D76">
        <w:rPr>
          <w:b/>
          <w:color w:val="000000"/>
          <w:spacing w:val="4"/>
        </w:rPr>
        <w:t>electric</w:t>
      </w:r>
      <w:r w:rsidRPr="00E23D76">
        <w:rPr>
          <w:color w:val="000000"/>
          <w:spacing w:val="4"/>
        </w:rPr>
        <w:t xml:space="preserve"> service for an unpaid balance and denying that there are incorrect charges on Complainant’s bill.</w:t>
      </w:r>
    </w:p>
    <w:p w:rsidR="00E23D76" w:rsidRDefault="00E23D76" w:rsidP="00E23D76">
      <w:pPr>
        <w:spacing w:line="360" w:lineRule="auto"/>
        <w:ind w:firstLine="1440"/>
        <w:textAlignment w:val="baseline"/>
        <w:rPr>
          <w:color w:val="000000"/>
          <w:spacing w:val="4"/>
        </w:rPr>
      </w:pPr>
    </w:p>
    <w:p w:rsidR="00E23D76" w:rsidRPr="00E23D76" w:rsidRDefault="00E23D76" w:rsidP="00E23D76">
      <w:pPr>
        <w:spacing w:line="360" w:lineRule="auto"/>
        <w:ind w:firstLine="1440"/>
        <w:textAlignment w:val="baseline"/>
        <w:rPr>
          <w:color w:val="000000"/>
          <w:spacing w:val="4"/>
        </w:rPr>
      </w:pPr>
      <w:r>
        <w:rPr>
          <w:color w:val="000000"/>
          <w:spacing w:val="4"/>
        </w:rPr>
        <w:t xml:space="preserve">The typographical error should be corrected to </w:t>
      </w:r>
      <w:r w:rsidR="00461E23">
        <w:rPr>
          <w:color w:val="000000"/>
          <w:spacing w:val="4"/>
        </w:rPr>
        <w:t xml:space="preserve">read </w:t>
      </w:r>
      <w:r w:rsidRPr="00E23D76">
        <w:rPr>
          <w:b/>
          <w:color w:val="000000"/>
          <w:spacing w:val="4"/>
        </w:rPr>
        <w:t>gas</w:t>
      </w:r>
      <w:r>
        <w:rPr>
          <w:color w:val="000000"/>
          <w:spacing w:val="4"/>
        </w:rPr>
        <w:t>.</w:t>
      </w:r>
      <w:r w:rsidRPr="00E23D76">
        <w:rPr>
          <w:color w:val="000000"/>
          <w:spacing w:val="4"/>
        </w:rPr>
        <w:t xml:space="preserve"> </w:t>
      </w:r>
    </w:p>
    <w:p w:rsidR="00E23D76" w:rsidRDefault="00E23D76" w:rsidP="00E23D76">
      <w:pPr>
        <w:spacing w:line="360" w:lineRule="auto"/>
      </w:pPr>
    </w:p>
    <w:p w:rsidR="006E64F1" w:rsidRPr="00103290" w:rsidRDefault="00E23D76" w:rsidP="006E64F1">
      <w:pPr>
        <w:spacing w:line="360" w:lineRule="auto"/>
        <w:ind w:firstLine="1440"/>
        <w:rPr>
          <w:sz w:val="22"/>
          <w:szCs w:val="22"/>
        </w:rPr>
      </w:pPr>
      <w:r>
        <w:t>A corrected Page 1 is attached</w:t>
      </w:r>
      <w:r w:rsidR="008E1152">
        <w:t xml:space="preserve"> to this Errata Notice</w:t>
      </w:r>
      <w:r>
        <w:t>.</w:t>
      </w:r>
      <w:r w:rsidR="00D52BE7">
        <w:t xml:space="preserve">  </w:t>
      </w:r>
      <w:r w:rsidR="008E1152">
        <w:t xml:space="preserve">Except for the </w:t>
      </w:r>
      <w:r w:rsidR="008E1152" w:rsidRPr="008E1152">
        <w:t>above correction, the Initial Decision and Order remains in effect in all other respects.</w:t>
      </w:r>
      <w:r w:rsidR="008E1152" w:rsidRPr="008E1152">
        <w:rPr>
          <w:sz w:val="22"/>
          <w:szCs w:val="22"/>
        </w:rPr>
        <w:t xml:space="preserve"> </w:t>
      </w:r>
      <w:r w:rsidR="006E64F1">
        <w:rPr>
          <w:sz w:val="22"/>
          <w:szCs w:val="22"/>
        </w:rPr>
        <w:t xml:space="preserve"> </w:t>
      </w:r>
      <w:r w:rsidR="006E64F1">
        <w:t>This correction will not affect the exception period established by the Commission’s Sec</w:t>
      </w:r>
      <w:r w:rsidR="006C338B">
        <w:t>r</w:t>
      </w:r>
      <w:r w:rsidR="006E64F1">
        <w:t xml:space="preserve">etary’s Service Letter dated January 11, 2018. </w:t>
      </w:r>
      <w:r w:rsidR="006E64F1" w:rsidRPr="00103290">
        <w:t xml:space="preserve">  </w:t>
      </w:r>
    </w:p>
    <w:p w:rsidR="008E1152" w:rsidRDefault="008E1152" w:rsidP="008E1152">
      <w:pPr>
        <w:spacing w:line="360" w:lineRule="auto"/>
        <w:rPr>
          <w:sz w:val="22"/>
          <w:szCs w:val="22"/>
        </w:rPr>
      </w:pPr>
    </w:p>
    <w:p w:rsidR="00D52BE7" w:rsidRPr="00D52BE7" w:rsidRDefault="00D52BE7" w:rsidP="006E64F1">
      <w:pPr>
        <w:spacing w:line="360" w:lineRule="auto"/>
      </w:pPr>
      <w:r w:rsidRPr="00D52BE7">
        <w:rPr>
          <w:rFonts w:ascii="CG Times" w:hAnsi="CG Times" w:cs="CG Times"/>
          <w:noProof/>
        </w:rPr>
        <w:drawing>
          <wp:anchor distT="0" distB="0" distL="114300" distR="114300" simplePos="0" relativeHeight="251659264" behindDoc="1" locked="0" layoutInCell="1" allowOverlap="1" wp14:anchorId="02FE2F1A" wp14:editId="6C619D88">
            <wp:simplePos x="0" y="0"/>
            <wp:positionH relativeFrom="column">
              <wp:posOffset>3048000</wp:posOffset>
            </wp:positionH>
            <wp:positionV relativeFrom="paragraph">
              <wp:posOffset>222885</wp:posOffset>
            </wp:positionV>
            <wp:extent cx="2800350" cy="1047750"/>
            <wp:effectExtent l="0" t="0" r="0" b="0"/>
            <wp:wrapNone/>
            <wp:docPr id="2" name="Picture 0"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02387" cy="104851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52BE7" w:rsidRPr="00D52BE7" w:rsidRDefault="00D52BE7" w:rsidP="00D52BE7">
      <w:pPr>
        <w:autoSpaceDE w:val="0"/>
        <w:autoSpaceDN w:val="0"/>
        <w:spacing w:line="360" w:lineRule="auto"/>
        <w:rPr>
          <w:rFonts w:ascii="CG Times" w:hAnsi="CG Times" w:cs="CG Times"/>
        </w:rPr>
      </w:pPr>
    </w:p>
    <w:p w:rsidR="00D52BE7" w:rsidRPr="00D52BE7" w:rsidRDefault="00D52BE7" w:rsidP="00D52BE7">
      <w:pPr>
        <w:autoSpaceDE w:val="0"/>
        <w:autoSpaceDN w:val="0"/>
        <w:rPr>
          <w:rFonts w:ascii="CG Times" w:hAnsi="CG Times" w:cs="CG Times"/>
          <w:u w:val="single"/>
        </w:rPr>
      </w:pPr>
      <w:r w:rsidRPr="00D52BE7">
        <w:rPr>
          <w:rFonts w:ascii="CG Times" w:hAnsi="CG Times" w:cs="CG Times"/>
        </w:rPr>
        <w:t xml:space="preserve">Date:  </w:t>
      </w:r>
      <w:r w:rsidRPr="00D52BE7">
        <w:rPr>
          <w:rFonts w:ascii="CG Times" w:hAnsi="CG Times" w:cs="CG Times"/>
          <w:u w:val="single"/>
        </w:rPr>
        <w:t>January 22, 201</w:t>
      </w:r>
      <w:r>
        <w:rPr>
          <w:rFonts w:ascii="CG Times" w:hAnsi="CG Times" w:cs="CG Times"/>
          <w:u w:val="single"/>
        </w:rPr>
        <w:t>8</w:t>
      </w:r>
    </w:p>
    <w:p w:rsidR="00D52BE7" w:rsidRPr="00D52BE7" w:rsidRDefault="00D52BE7" w:rsidP="00D52BE7">
      <w:pPr>
        <w:autoSpaceDE w:val="0"/>
        <w:autoSpaceDN w:val="0"/>
        <w:rPr>
          <w:rFonts w:ascii="CG Times" w:hAnsi="CG Times" w:cs="CG Times"/>
          <w:u w:val="single"/>
        </w:rPr>
      </w:pPr>
    </w:p>
    <w:p w:rsidR="00D52BE7" w:rsidRPr="00D52BE7" w:rsidRDefault="00D52BE7" w:rsidP="00D52BE7">
      <w:pPr>
        <w:autoSpaceDE w:val="0"/>
        <w:autoSpaceDN w:val="0"/>
        <w:rPr>
          <w:rFonts w:ascii="CG Times" w:hAnsi="CG Times" w:cs="CG Times"/>
          <w:u w:val="single"/>
        </w:rPr>
      </w:pPr>
    </w:p>
    <w:p w:rsidR="00D52BE7" w:rsidRDefault="00D52BE7">
      <w:pPr>
        <w:spacing w:after="200" w:line="276" w:lineRule="auto"/>
        <w:rPr>
          <w:rFonts w:ascii="Microsoft Sans Serif" w:hAnsi="Microsoft Sans Serif" w:cs="Microsoft Sans Serif"/>
          <w:b/>
          <w:caps/>
          <w:noProof/>
          <w:u w:val="single"/>
        </w:rPr>
      </w:pPr>
      <w:r>
        <w:rPr>
          <w:rFonts w:ascii="Microsoft Sans Serif" w:hAnsi="Microsoft Sans Serif" w:cs="Microsoft Sans Serif"/>
          <w:b/>
          <w:caps/>
          <w:noProof/>
          <w:u w:val="single"/>
        </w:rPr>
        <w:br w:type="page"/>
      </w:r>
    </w:p>
    <w:p w:rsidR="00D52BE7" w:rsidRPr="00D52BE7" w:rsidRDefault="00D52BE7" w:rsidP="00D52BE7">
      <w:pPr>
        <w:spacing w:line="233" w:lineRule="auto"/>
        <w:jc w:val="center"/>
        <w:rPr>
          <w:rFonts w:eastAsia="SimSun"/>
          <w:szCs w:val="20"/>
        </w:rPr>
      </w:pPr>
      <w:r w:rsidRPr="00D52BE7">
        <w:rPr>
          <w:rFonts w:eastAsia="SimSun"/>
          <w:szCs w:val="20"/>
        </w:rPr>
        <w:lastRenderedPageBreak/>
        <w:t>BEFORE THE</w:t>
      </w:r>
    </w:p>
    <w:p w:rsidR="00D52BE7" w:rsidRPr="00D52BE7" w:rsidRDefault="00D52BE7" w:rsidP="00D52BE7">
      <w:pPr>
        <w:spacing w:line="233" w:lineRule="auto"/>
        <w:jc w:val="center"/>
        <w:rPr>
          <w:rFonts w:eastAsia="SimSun"/>
          <w:szCs w:val="20"/>
        </w:rPr>
      </w:pPr>
      <w:r w:rsidRPr="00D52BE7">
        <w:rPr>
          <w:rFonts w:eastAsia="SimSun"/>
          <w:szCs w:val="20"/>
        </w:rPr>
        <w:t>PENNSYLVANIA PUBLIC UTILITY COMMISSION</w:t>
      </w:r>
    </w:p>
    <w:p w:rsidR="00D52BE7" w:rsidRPr="00D52BE7" w:rsidRDefault="00D52BE7" w:rsidP="00D52BE7">
      <w:pPr>
        <w:spacing w:line="233" w:lineRule="auto"/>
        <w:rPr>
          <w:rFonts w:eastAsia="SimSun"/>
          <w:szCs w:val="20"/>
        </w:rPr>
      </w:pPr>
    </w:p>
    <w:p w:rsidR="00D52BE7" w:rsidRPr="00D52BE7" w:rsidRDefault="00D52BE7" w:rsidP="00D52BE7">
      <w:pPr>
        <w:spacing w:line="233" w:lineRule="auto"/>
        <w:rPr>
          <w:rFonts w:eastAsia="SimSun"/>
          <w:szCs w:val="20"/>
        </w:rPr>
      </w:pPr>
    </w:p>
    <w:p w:rsidR="00D52BE7" w:rsidRPr="00D52BE7" w:rsidRDefault="00D52BE7" w:rsidP="00D52BE7">
      <w:pPr>
        <w:spacing w:line="233" w:lineRule="auto"/>
        <w:rPr>
          <w:rFonts w:eastAsia="SimSun"/>
          <w:szCs w:val="20"/>
        </w:rPr>
      </w:pPr>
    </w:p>
    <w:p w:rsidR="00D52BE7" w:rsidRPr="00D52BE7" w:rsidRDefault="00D52BE7" w:rsidP="00D52BE7">
      <w:pPr>
        <w:spacing w:line="233" w:lineRule="auto"/>
        <w:rPr>
          <w:rFonts w:eastAsia="SimSun"/>
          <w:szCs w:val="20"/>
        </w:rPr>
      </w:pPr>
      <w:r w:rsidRPr="00D52BE7">
        <w:rPr>
          <w:rFonts w:eastAsia="SimSun"/>
          <w:szCs w:val="20"/>
        </w:rPr>
        <w:t>Florence Ackridge</w:t>
      </w:r>
      <w:r w:rsidRPr="00D52BE7">
        <w:rPr>
          <w:rFonts w:eastAsia="SimSun"/>
          <w:szCs w:val="20"/>
        </w:rPr>
        <w:tab/>
      </w:r>
      <w:r w:rsidRPr="00D52BE7">
        <w:rPr>
          <w:rFonts w:eastAsia="SimSun"/>
          <w:szCs w:val="20"/>
        </w:rPr>
        <w:tab/>
      </w:r>
      <w:r w:rsidRPr="00D52BE7">
        <w:rPr>
          <w:rFonts w:eastAsia="SimSun"/>
          <w:szCs w:val="20"/>
        </w:rPr>
        <w:tab/>
      </w:r>
      <w:r w:rsidRPr="00D52BE7">
        <w:rPr>
          <w:rFonts w:eastAsia="SimSun"/>
          <w:szCs w:val="20"/>
        </w:rPr>
        <w:tab/>
      </w:r>
      <w:r w:rsidRPr="00D52BE7">
        <w:rPr>
          <w:rFonts w:eastAsia="SimSun"/>
          <w:szCs w:val="20"/>
        </w:rPr>
        <w:tab/>
        <w:t>:</w:t>
      </w:r>
    </w:p>
    <w:p w:rsidR="00D52BE7" w:rsidRPr="00D52BE7" w:rsidRDefault="00D52BE7" w:rsidP="00D52BE7">
      <w:pPr>
        <w:spacing w:line="233" w:lineRule="auto"/>
        <w:rPr>
          <w:rFonts w:eastAsia="SimSun"/>
          <w:szCs w:val="20"/>
        </w:rPr>
      </w:pPr>
      <w:r w:rsidRPr="00D52BE7">
        <w:rPr>
          <w:rFonts w:eastAsia="SimSun"/>
          <w:szCs w:val="20"/>
        </w:rPr>
        <w:tab/>
      </w:r>
      <w:r w:rsidRPr="00D52BE7">
        <w:rPr>
          <w:rFonts w:eastAsia="SimSun"/>
          <w:szCs w:val="20"/>
        </w:rPr>
        <w:tab/>
      </w:r>
      <w:r w:rsidRPr="00D52BE7">
        <w:rPr>
          <w:rFonts w:eastAsia="SimSun"/>
          <w:szCs w:val="20"/>
        </w:rPr>
        <w:tab/>
      </w:r>
      <w:r w:rsidRPr="00D52BE7">
        <w:rPr>
          <w:rFonts w:eastAsia="SimSun"/>
          <w:szCs w:val="20"/>
        </w:rPr>
        <w:tab/>
      </w:r>
      <w:r w:rsidRPr="00D52BE7">
        <w:rPr>
          <w:rFonts w:eastAsia="SimSun"/>
          <w:szCs w:val="20"/>
        </w:rPr>
        <w:tab/>
      </w:r>
      <w:r w:rsidRPr="00D52BE7">
        <w:rPr>
          <w:rFonts w:eastAsia="SimSun"/>
          <w:szCs w:val="20"/>
        </w:rPr>
        <w:tab/>
      </w:r>
      <w:r w:rsidRPr="00D52BE7">
        <w:rPr>
          <w:rFonts w:eastAsia="SimSun"/>
          <w:szCs w:val="20"/>
        </w:rPr>
        <w:tab/>
        <w:t>:</w:t>
      </w:r>
    </w:p>
    <w:p w:rsidR="00D52BE7" w:rsidRPr="00D52BE7" w:rsidRDefault="00D52BE7" w:rsidP="00D52BE7">
      <w:pPr>
        <w:spacing w:line="233" w:lineRule="auto"/>
        <w:rPr>
          <w:rFonts w:eastAsia="SimSun"/>
          <w:szCs w:val="20"/>
        </w:rPr>
      </w:pPr>
      <w:r w:rsidRPr="00D52BE7">
        <w:rPr>
          <w:rFonts w:eastAsia="SimSun"/>
          <w:szCs w:val="20"/>
        </w:rPr>
        <w:tab/>
        <w:t>v.</w:t>
      </w:r>
      <w:r w:rsidRPr="00D52BE7">
        <w:rPr>
          <w:rFonts w:eastAsia="SimSun"/>
          <w:szCs w:val="20"/>
        </w:rPr>
        <w:tab/>
      </w:r>
      <w:r w:rsidRPr="00D52BE7">
        <w:rPr>
          <w:rFonts w:eastAsia="SimSun"/>
          <w:szCs w:val="20"/>
        </w:rPr>
        <w:tab/>
      </w:r>
      <w:r w:rsidRPr="00D52BE7">
        <w:rPr>
          <w:rFonts w:eastAsia="SimSun"/>
          <w:szCs w:val="20"/>
        </w:rPr>
        <w:tab/>
      </w:r>
      <w:r w:rsidR="004F0DFE">
        <w:rPr>
          <w:rFonts w:eastAsia="SimSun"/>
          <w:szCs w:val="20"/>
        </w:rPr>
        <w:tab/>
      </w:r>
      <w:r w:rsidRPr="00D52BE7">
        <w:rPr>
          <w:rFonts w:eastAsia="SimSun"/>
          <w:szCs w:val="20"/>
        </w:rPr>
        <w:tab/>
      </w:r>
      <w:r w:rsidRPr="00D52BE7">
        <w:rPr>
          <w:rFonts w:eastAsia="SimSun"/>
          <w:szCs w:val="20"/>
        </w:rPr>
        <w:tab/>
        <w:t>:</w:t>
      </w:r>
      <w:r w:rsidRPr="00D52BE7">
        <w:rPr>
          <w:rFonts w:eastAsia="SimSun"/>
          <w:szCs w:val="20"/>
        </w:rPr>
        <w:tab/>
      </w:r>
      <w:r w:rsidRPr="00D52BE7">
        <w:rPr>
          <w:rFonts w:eastAsia="SimSun"/>
          <w:szCs w:val="20"/>
        </w:rPr>
        <w:tab/>
        <w:t>F-2017-2613068</w:t>
      </w:r>
    </w:p>
    <w:p w:rsidR="00D52BE7" w:rsidRPr="00D52BE7" w:rsidRDefault="00D52BE7" w:rsidP="00D52BE7">
      <w:pPr>
        <w:spacing w:line="233" w:lineRule="auto"/>
        <w:rPr>
          <w:rFonts w:eastAsia="SimSun"/>
          <w:szCs w:val="20"/>
        </w:rPr>
      </w:pPr>
      <w:r w:rsidRPr="00D52BE7">
        <w:rPr>
          <w:rFonts w:eastAsia="SimSun"/>
          <w:szCs w:val="20"/>
        </w:rPr>
        <w:tab/>
      </w:r>
      <w:r w:rsidRPr="00D52BE7">
        <w:rPr>
          <w:rFonts w:eastAsia="SimSun"/>
          <w:szCs w:val="20"/>
        </w:rPr>
        <w:tab/>
      </w:r>
      <w:r w:rsidRPr="00D52BE7">
        <w:rPr>
          <w:rFonts w:eastAsia="SimSun"/>
          <w:szCs w:val="20"/>
        </w:rPr>
        <w:tab/>
      </w:r>
      <w:r w:rsidRPr="00D52BE7">
        <w:rPr>
          <w:rFonts w:eastAsia="SimSun"/>
          <w:szCs w:val="20"/>
        </w:rPr>
        <w:tab/>
      </w:r>
      <w:r w:rsidRPr="00D52BE7">
        <w:rPr>
          <w:rFonts w:eastAsia="SimSun"/>
          <w:szCs w:val="20"/>
        </w:rPr>
        <w:tab/>
      </w:r>
      <w:r w:rsidRPr="00D52BE7">
        <w:rPr>
          <w:rFonts w:eastAsia="SimSun"/>
          <w:szCs w:val="20"/>
        </w:rPr>
        <w:tab/>
      </w:r>
      <w:r w:rsidRPr="00D52BE7">
        <w:rPr>
          <w:rFonts w:eastAsia="SimSun"/>
          <w:szCs w:val="20"/>
        </w:rPr>
        <w:tab/>
        <w:t>:</w:t>
      </w:r>
    </w:p>
    <w:p w:rsidR="00D52BE7" w:rsidRPr="00D52BE7" w:rsidRDefault="00D52BE7" w:rsidP="00D52BE7">
      <w:pPr>
        <w:spacing w:line="233" w:lineRule="auto"/>
        <w:rPr>
          <w:rFonts w:eastAsia="SimSun"/>
          <w:szCs w:val="20"/>
        </w:rPr>
      </w:pPr>
      <w:r w:rsidRPr="00D52BE7">
        <w:rPr>
          <w:rFonts w:eastAsia="SimSun"/>
          <w:szCs w:val="20"/>
        </w:rPr>
        <w:t>Philadelphia Gas Works</w:t>
      </w:r>
      <w:r w:rsidRPr="00D52BE7">
        <w:rPr>
          <w:rFonts w:eastAsia="SimSun"/>
          <w:szCs w:val="20"/>
        </w:rPr>
        <w:tab/>
      </w:r>
      <w:r w:rsidRPr="00D52BE7">
        <w:rPr>
          <w:rFonts w:eastAsia="SimSun"/>
          <w:szCs w:val="20"/>
        </w:rPr>
        <w:tab/>
      </w:r>
      <w:r w:rsidRPr="00D52BE7">
        <w:rPr>
          <w:rFonts w:eastAsia="SimSun"/>
          <w:szCs w:val="20"/>
        </w:rPr>
        <w:tab/>
      </w:r>
      <w:r w:rsidRPr="00D52BE7">
        <w:rPr>
          <w:rFonts w:eastAsia="SimSun"/>
          <w:szCs w:val="20"/>
        </w:rPr>
        <w:tab/>
        <w:t>:</w:t>
      </w:r>
    </w:p>
    <w:p w:rsidR="00D52BE7" w:rsidRPr="00D52BE7" w:rsidRDefault="00D52BE7" w:rsidP="00D52BE7">
      <w:pPr>
        <w:spacing w:line="233" w:lineRule="auto"/>
        <w:rPr>
          <w:rFonts w:eastAsia="SimSun"/>
          <w:szCs w:val="20"/>
        </w:rPr>
      </w:pPr>
    </w:p>
    <w:p w:rsidR="00D52BE7" w:rsidRPr="00D52BE7" w:rsidRDefault="00D52BE7" w:rsidP="00D52BE7">
      <w:pPr>
        <w:spacing w:line="233" w:lineRule="auto"/>
        <w:rPr>
          <w:rFonts w:eastAsia="SimSun"/>
          <w:szCs w:val="20"/>
        </w:rPr>
      </w:pPr>
    </w:p>
    <w:p w:rsidR="00D52BE7" w:rsidRPr="00D52BE7" w:rsidRDefault="00D52BE7" w:rsidP="00D52BE7">
      <w:pPr>
        <w:spacing w:line="233" w:lineRule="auto"/>
        <w:rPr>
          <w:rFonts w:eastAsia="SimSun"/>
          <w:szCs w:val="20"/>
        </w:rPr>
      </w:pPr>
    </w:p>
    <w:p w:rsidR="00D52BE7" w:rsidRPr="00E56C37" w:rsidRDefault="00D52BE7" w:rsidP="00D52BE7">
      <w:pPr>
        <w:spacing w:line="233" w:lineRule="auto"/>
        <w:jc w:val="center"/>
        <w:rPr>
          <w:rFonts w:eastAsia="SimSun"/>
          <w:b/>
          <w:szCs w:val="20"/>
          <w:u w:val="single"/>
        </w:rPr>
      </w:pPr>
      <w:r w:rsidRPr="00E56C37">
        <w:rPr>
          <w:rFonts w:eastAsia="SimSun"/>
          <w:b/>
          <w:szCs w:val="20"/>
          <w:u w:val="single"/>
        </w:rPr>
        <w:t>INITIAL DECISION</w:t>
      </w:r>
    </w:p>
    <w:p w:rsidR="00D52BE7" w:rsidRPr="00D52BE7" w:rsidRDefault="00D52BE7" w:rsidP="00D52BE7">
      <w:pPr>
        <w:spacing w:line="233" w:lineRule="auto"/>
        <w:rPr>
          <w:rFonts w:eastAsia="SimSun"/>
          <w:szCs w:val="20"/>
        </w:rPr>
      </w:pPr>
    </w:p>
    <w:p w:rsidR="00D52BE7" w:rsidRPr="00D52BE7" w:rsidRDefault="00D52BE7" w:rsidP="00D52BE7">
      <w:pPr>
        <w:spacing w:line="233" w:lineRule="auto"/>
        <w:rPr>
          <w:rFonts w:eastAsia="SimSun"/>
          <w:szCs w:val="20"/>
        </w:rPr>
      </w:pPr>
    </w:p>
    <w:p w:rsidR="00D52BE7" w:rsidRPr="00D52BE7" w:rsidRDefault="00D52BE7" w:rsidP="00D52BE7">
      <w:pPr>
        <w:spacing w:line="233" w:lineRule="auto"/>
        <w:jc w:val="center"/>
        <w:rPr>
          <w:rFonts w:eastAsia="SimSun"/>
          <w:szCs w:val="20"/>
        </w:rPr>
      </w:pPr>
      <w:r w:rsidRPr="00D52BE7">
        <w:rPr>
          <w:rFonts w:eastAsia="SimSun"/>
          <w:szCs w:val="20"/>
        </w:rPr>
        <w:t>Before</w:t>
      </w:r>
    </w:p>
    <w:p w:rsidR="00D52BE7" w:rsidRPr="00D52BE7" w:rsidRDefault="00D52BE7" w:rsidP="00D52BE7">
      <w:pPr>
        <w:spacing w:line="233" w:lineRule="auto"/>
        <w:jc w:val="center"/>
        <w:rPr>
          <w:rFonts w:eastAsia="SimSun"/>
          <w:szCs w:val="20"/>
        </w:rPr>
      </w:pPr>
      <w:r w:rsidRPr="00D52BE7">
        <w:rPr>
          <w:rFonts w:eastAsia="SimSun"/>
          <w:szCs w:val="20"/>
        </w:rPr>
        <w:t>Conrad A. Johnson</w:t>
      </w:r>
    </w:p>
    <w:p w:rsidR="00D52BE7" w:rsidRPr="00D52BE7" w:rsidRDefault="00D52BE7" w:rsidP="00D52BE7">
      <w:pPr>
        <w:spacing w:line="233" w:lineRule="auto"/>
        <w:jc w:val="center"/>
        <w:rPr>
          <w:rFonts w:eastAsia="SimSun"/>
          <w:szCs w:val="20"/>
        </w:rPr>
      </w:pPr>
      <w:r w:rsidRPr="00D52BE7">
        <w:rPr>
          <w:rFonts w:eastAsia="SimSun"/>
          <w:szCs w:val="20"/>
        </w:rPr>
        <w:t>Administrative Law Judge</w:t>
      </w:r>
    </w:p>
    <w:p w:rsidR="00D52BE7" w:rsidRPr="00D52BE7" w:rsidRDefault="00D52BE7" w:rsidP="00D52BE7">
      <w:pPr>
        <w:spacing w:line="233" w:lineRule="auto"/>
        <w:rPr>
          <w:rFonts w:eastAsia="SimSun"/>
          <w:szCs w:val="20"/>
        </w:rPr>
      </w:pPr>
    </w:p>
    <w:p w:rsidR="00D52BE7" w:rsidRPr="00D52BE7" w:rsidRDefault="00D52BE7" w:rsidP="00D52BE7">
      <w:pPr>
        <w:spacing w:line="360" w:lineRule="auto"/>
        <w:rPr>
          <w:rFonts w:eastAsia="SimSun"/>
          <w:szCs w:val="20"/>
        </w:rPr>
      </w:pPr>
      <w:r w:rsidRPr="00D52BE7">
        <w:rPr>
          <w:rFonts w:eastAsia="SimSun"/>
          <w:szCs w:val="20"/>
        </w:rPr>
        <w:tab/>
      </w:r>
      <w:r w:rsidRPr="00D52BE7">
        <w:rPr>
          <w:rFonts w:eastAsia="SimSun"/>
          <w:szCs w:val="20"/>
        </w:rPr>
        <w:tab/>
      </w:r>
    </w:p>
    <w:p w:rsidR="00D52BE7" w:rsidRPr="00D52BE7" w:rsidRDefault="00D52BE7" w:rsidP="00D52BE7">
      <w:pPr>
        <w:spacing w:line="360" w:lineRule="auto"/>
        <w:rPr>
          <w:rFonts w:eastAsia="SimSun"/>
          <w:szCs w:val="20"/>
        </w:rPr>
      </w:pPr>
      <w:r>
        <w:rPr>
          <w:rFonts w:eastAsia="SimSun"/>
          <w:szCs w:val="20"/>
        </w:rPr>
        <w:tab/>
      </w:r>
      <w:r w:rsidRPr="00D52BE7">
        <w:rPr>
          <w:rFonts w:eastAsia="SimSun"/>
          <w:szCs w:val="20"/>
        </w:rPr>
        <w:tab/>
        <w:t>This decision dismisses the Complaint filed in this matter for failure of Complainant to appear for the hearing and prosecute the Complaint.</w:t>
      </w:r>
    </w:p>
    <w:p w:rsidR="00D52BE7" w:rsidRPr="00D52BE7" w:rsidRDefault="00D52BE7" w:rsidP="00D52BE7">
      <w:pPr>
        <w:spacing w:line="360" w:lineRule="auto"/>
        <w:rPr>
          <w:rFonts w:eastAsia="SimSun"/>
          <w:szCs w:val="20"/>
        </w:rPr>
      </w:pPr>
    </w:p>
    <w:p w:rsidR="00D52BE7" w:rsidRPr="00E56C37" w:rsidRDefault="00D52BE7" w:rsidP="00D52BE7">
      <w:pPr>
        <w:spacing w:line="360" w:lineRule="auto"/>
        <w:jc w:val="center"/>
        <w:rPr>
          <w:rFonts w:eastAsia="SimSun"/>
          <w:szCs w:val="20"/>
          <w:u w:val="single"/>
        </w:rPr>
      </w:pPr>
      <w:r w:rsidRPr="00E56C37">
        <w:rPr>
          <w:rFonts w:eastAsia="SimSun"/>
          <w:szCs w:val="20"/>
          <w:u w:val="single"/>
        </w:rPr>
        <w:t>HISTORY OF THE PROCEEDING</w:t>
      </w:r>
    </w:p>
    <w:p w:rsidR="00D52BE7" w:rsidRPr="00D52BE7" w:rsidRDefault="00D52BE7" w:rsidP="00D52BE7">
      <w:pPr>
        <w:spacing w:line="360" w:lineRule="auto"/>
        <w:jc w:val="center"/>
        <w:rPr>
          <w:rFonts w:eastAsia="SimSun"/>
          <w:szCs w:val="20"/>
        </w:rPr>
      </w:pPr>
    </w:p>
    <w:p w:rsidR="00D52BE7" w:rsidRPr="00D52BE7" w:rsidRDefault="00D52BE7" w:rsidP="00D52BE7">
      <w:pPr>
        <w:spacing w:line="360" w:lineRule="auto"/>
        <w:rPr>
          <w:rFonts w:eastAsia="SimSun"/>
          <w:szCs w:val="20"/>
        </w:rPr>
      </w:pPr>
      <w:r>
        <w:rPr>
          <w:rFonts w:eastAsia="SimSun"/>
          <w:szCs w:val="20"/>
        </w:rPr>
        <w:tab/>
      </w:r>
      <w:r>
        <w:rPr>
          <w:rFonts w:eastAsia="SimSun"/>
          <w:szCs w:val="20"/>
        </w:rPr>
        <w:tab/>
      </w:r>
      <w:r w:rsidRPr="00D52BE7">
        <w:rPr>
          <w:rFonts w:eastAsia="SimSun"/>
          <w:szCs w:val="20"/>
        </w:rPr>
        <w:t xml:space="preserve">On July 3, 2017, Florence Ackridge (Complainant) filed a Complaint with the Pennsylvania Public Utility Commission (Commission) against Philadelphia Gas Works (Respondent).  Complainant checked the boxes on the Formal Complaint form stating 1) the utility is threatening service termination or has already terminated service, and 2) incorrect charges are on my bill.  </w:t>
      </w:r>
    </w:p>
    <w:p w:rsidR="00D52BE7" w:rsidRPr="00D52BE7" w:rsidRDefault="00D52BE7" w:rsidP="00D52BE7">
      <w:pPr>
        <w:spacing w:line="360" w:lineRule="auto"/>
        <w:rPr>
          <w:rFonts w:eastAsia="SimSun"/>
          <w:szCs w:val="20"/>
        </w:rPr>
      </w:pPr>
    </w:p>
    <w:p w:rsidR="00D52BE7" w:rsidRPr="00D52BE7" w:rsidRDefault="00D52BE7" w:rsidP="00D52BE7">
      <w:pPr>
        <w:spacing w:line="360" w:lineRule="auto"/>
        <w:rPr>
          <w:rFonts w:eastAsia="SimSun"/>
          <w:szCs w:val="20"/>
        </w:rPr>
      </w:pPr>
      <w:r>
        <w:rPr>
          <w:rFonts w:eastAsia="SimSun"/>
          <w:szCs w:val="20"/>
        </w:rPr>
        <w:tab/>
      </w:r>
      <w:r>
        <w:rPr>
          <w:rFonts w:eastAsia="SimSun"/>
          <w:szCs w:val="20"/>
        </w:rPr>
        <w:tab/>
      </w:r>
      <w:r w:rsidRPr="00D52BE7">
        <w:rPr>
          <w:rFonts w:eastAsia="SimSun"/>
          <w:szCs w:val="20"/>
        </w:rPr>
        <w:t xml:space="preserve">On July 27, 2017, Respondent filed an Answer admitting that the Company did terminate Complainant’s </w:t>
      </w:r>
      <w:r w:rsidR="00E56C37">
        <w:rPr>
          <w:rFonts w:eastAsia="SimSun"/>
          <w:szCs w:val="20"/>
        </w:rPr>
        <w:t>gas</w:t>
      </w:r>
      <w:r w:rsidRPr="00D52BE7">
        <w:rPr>
          <w:rFonts w:eastAsia="SimSun"/>
          <w:szCs w:val="20"/>
        </w:rPr>
        <w:t xml:space="preserve"> service for an unpaid balance and denying that there are incorrect charges on Complainant’s bill. </w:t>
      </w:r>
    </w:p>
    <w:p w:rsidR="00D52BE7" w:rsidRPr="00D52BE7" w:rsidRDefault="00D52BE7" w:rsidP="00D52BE7">
      <w:pPr>
        <w:spacing w:line="360" w:lineRule="auto"/>
        <w:rPr>
          <w:rFonts w:eastAsia="SimSun"/>
          <w:szCs w:val="20"/>
        </w:rPr>
      </w:pPr>
    </w:p>
    <w:p w:rsidR="004F0DFE" w:rsidRDefault="00D52BE7" w:rsidP="00D52BE7">
      <w:pPr>
        <w:spacing w:line="360" w:lineRule="auto"/>
        <w:rPr>
          <w:rFonts w:eastAsia="SimSun"/>
          <w:szCs w:val="20"/>
        </w:rPr>
        <w:sectPr w:rsidR="004F0DFE">
          <w:pgSz w:w="12240" w:h="15840"/>
          <w:pgMar w:top="1440" w:right="1440" w:bottom="1440" w:left="1440" w:header="720" w:footer="720" w:gutter="0"/>
          <w:cols w:space="720"/>
          <w:docGrid w:linePitch="360"/>
        </w:sectPr>
      </w:pPr>
      <w:r>
        <w:rPr>
          <w:rFonts w:eastAsia="SimSun"/>
          <w:szCs w:val="20"/>
        </w:rPr>
        <w:tab/>
      </w:r>
      <w:r>
        <w:rPr>
          <w:rFonts w:eastAsia="SimSun"/>
          <w:szCs w:val="20"/>
        </w:rPr>
        <w:tab/>
      </w:r>
      <w:r w:rsidRPr="00D52BE7">
        <w:rPr>
          <w:rFonts w:eastAsia="SimSun"/>
          <w:szCs w:val="20"/>
        </w:rPr>
        <w:t xml:space="preserve">By notice dated August 8, 2017, the Commission scheduled this matter for a call in telephonic hearing on September 11, 2017 at 10:00 a.m. and assigned the case to me.  </w:t>
      </w:r>
    </w:p>
    <w:p w:rsidR="004F0DFE" w:rsidRPr="004F0DFE" w:rsidRDefault="004F0DFE" w:rsidP="004F0DFE">
      <w:pPr>
        <w:contextualSpacing/>
        <w:rPr>
          <w:rFonts w:ascii="Calibri" w:hAnsi="Calibri"/>
          <w:sz w:val="22"/>
          <w:szCs w:val="22"/>
        </w:rPr>
      </w:pPr>
      <w:r w:rsidRPr="004F0DFE">
        <w:rPr>
          <w:rFonts w:ascii="Microsoft Sans Serif" w:hAnsi="Calibri"/>
          <w:b/>
          <w:szCs w:val="22"/>
          <w:u w:val="single"/>
        </w:rPr>
        <w:lastRenderedPageBreak/>
        <w:t xml:space="preserve">F-2017-2613068 - FLORENCE </w:t>
      </w:r>
      <w:proofErr w:type="spellStart"/>
      <w:r w:rsidRPr="004F0DFE">
        <w:rPr>
          <w:rFonts w:ascii="Microsoft Sans Serif" w:hAnsi="Calibri"/>
          <w:b/>
          <w:szCs w:val="22"/>
          <w:u w:val="single"/>
        </w:rPr>
        <w:t>ACKRIDGE</w:t>
      </w:r>
      <w:proofErr w:type="spellEnd"/>
      <w:r w:rsidRPr="004F0DFE">
        <w:rPr>
          <w:rFonts w:ascii="Microsoft Sans Serif" w:hAnsi="Calibri"/>
          <w:b/>
          <w:szCs w:val="22"/>
          <w:u w:val="single"/>
        </w:rPr>
        <w:t xml:space="preserve"> v. PHILADELPHIA GAS WORKS</w:t>
      </w:r>
      <w:r w:rsidRPr="004F0DFE">
        <w:rPr>
          <w:rFonts w:ascii="Microsoft Sans Serif" w:hAnsi="Calibri"/>
          <w:b/>
          <w:szCs w:val="22"/>
          <w:u w:val="single"/>
        </w:rPr>
        <w:cr/>
      </w:r>
      <w:r w:rsidRPr="004F0DFE">
        <w:rPr>
          <w:rFonts w:ascii="Microsoft Sans Serif" w:hAnsi="Calibri"/>
          <w:b/>
          <w:szCs w:val="22"/>
          <w:u w:val="single"/>
        </w:rPr>
        <w:cr/>
      </w:r>
      <w:r w:rsidRPr="004F0DFE">
        <w:rPr>
          <w:rFonts w:ascii="Microsoft Sans Serif" w:hAnsi="Calibri"/>
          <w:szCs w:val="22"/>
        </w:rPr>
        <w:t xml:space="preserve">FLORENCE </w:t>
      </w:r>
      <w:proofErr w:type="spellStart"/>
      <w:r w:rsidRPr="004F0DFE">
        <w:rPr>
          <w:rFonts w:ascii="Microsoft Sans Serif" w:hAnsi="Calibri"/>
          <w:szCs w:val="22"/>
        </w:rPr>
        <w:t>ACKRIDGE</w:t>
      </w:r>
      <w:proofErr w:type="spellEnd"/>
      <w:r w:rsidRPr="004F0DFE">
        <w:rPr>
          <w:rFonts w:ascii="Microsoft Sans Serif" w:hAnsi="Calibri"/>
          <w:szCs w:val="22"/>
        </w:rPr>
        <w:cr/>
        <w:t>6713 GRATZ STREET</w:t>
      </w:r>
      <w:r w:rsidRPr="004F0DFE">
        <w:rPr>
          <w:rFonts w:ascii="Microsoft Sans Serif" w:hAnsi="Calibri"/>
          <w:szCs w:val="22"/>
        </w:rPr>
        <w:cr/>
        <w:t>PHILADELPHIA PA  19126</w:t>
      </w:r>
      <w:r w:rsidRPr="004F0DFE">
        <w:rPr>
          <w:rFonts w:ascii="Microsoft Sans Serif" w:hAnsi="Calibri"/>
          <w:szCs w:val="22"/>
        </w:rPr>
        <w:cr/>
      </w:r>
      <w:r w:rsidRPr="004F0DFE">
        <w:rPr>
          <w:rFonts w:ascii="Microsoft Sans Serif" w:hAnsi="Calibri"/>
          <w:szCs w:val="22"/>
        </w:rPr>
        <w:cr/>
        <w:t xml:space="preserve">GRACIELA </w:t>
      </w:r>
      <w:proofErr w:type="spellStart"/>
      <w:r w:rsidRPr="004F0DFE">
        <w:rPr>
          <w:rFonts w:ascii="Microsoft Sans Serif" w:hAnsi="Calibri"/>
          <w:szCs w:val="22"/>
        </w:rPr>
        <w:t>CHRISTLIEB</w:t>
      </w:r>
      <w:proofErr w:type="spellEnd"/>
      <w:r w:rsidRPr="004F0DFE">
        <w:rPr>
          <w:rFonts w:ascii="Microsoft Sans Serif" w:hAnsi="Calibri"/>
          <w:szCs w:val="22"/>
        </w:rPr>
        <w:t xml:space="preserve"> ESQUIRE</w:t>
      </w:r>
      <w:r w:rsidRPr="004F0DFE">
        <w:rPr>
          <w:rFonts w:ascii="Microsoft Sans Serif" w:hAnsi="Calibri"/>
          <w:szCs w:val="22"/>
        </w:rPr>
        <w:cr/>
        <w:t>PHILADELPHIA GAS WORKS</w:t>
      </w:r>
      <w:r w:rsidRPr="004F0DFE">
        <w:rPr>
          <w:rFonts w:ascii="Microsoft Sans Serif" w:hAnsi="Calibri"/>
          <w:szCs w:val="22"/>
        </w:rPr>
        <w:cr/>
        <w:t>800 WEST MONTGOMERY AVENUE</w:t>
      </w:r>
      <w:r w:rsidRPr="004F0DFE">
        <w:rPr>
          <w:rFonts w:ascii="Microsoft Sans Serif" w:hAnsi="Calibri"/>
          <w:szCs w:val="22"/>
        </w:rPr>
        <w:cr/>
        <w:t>PHILADELPHIA PA  19122</w:t>
      </w:r>
      <w:r w:rsidRPr="004F0DFE">
        <w:rPr>
          <w:rFonts w:ascii="Microsoft Sans Serif" w:hAnsi="Calibri"/>
          <w:szCs w:val="22"/>
        </w:rPr>
        <w:cr/>
      </w:r>
      <w:r w:rsidRPr="004F0DFE">
        <w:rPr>
          <w:rFonts w:ascii="Microsoft Sans Serif" w:hAnsi="Calibri"/>
          <w:b/>
          <w:szCs w:val="22"/>
        </w:rPr>
        <w:t>215.684.6164</w:t>
      </w:r>
    </w:p>
    <w:p w:rsidR="004F0DFE" w:rsidRPr="004F0DFE" w:rsidRDefault="004F0DFE" w:rsidP="004F0DFE">
      <w:pPr>
        <w:contextualSpacing/>
        <w:rPr>
          <w:rFonts w:ascii="Microsoft Sans Serif" w:hAnsi="Microsoft Sans Serif" w:cs="Microsoft Sans Serif"/>
          <w:i/>
        </w:rPr>
      </w:pPr>
      <w:r w:rsidRPr="004F0DFE">
        <w:rPr>
          <w:rFonts w:ascii="Microsoft Sans Serif" w:hAnsi="Microsoft Sans Serif" w:cs="Microsoft Sans Serif"/>
          <w:i/>
        </w:rPr>
        <w:t>Accepts E-service</w:t>
      </w:r>
    </w:p>
    <w:p w:rsidR="004F0DFE" w:rsidRPr="004F0DFE" w:rsidRDefault="004F0DFE" w:rsidP="004F0DFE">
      <w:pPr>
        <w:contextualSpacing/>
        <w:rPr>
          <w:rFonts w:ascii="Microsoft Sans Serif" w:hAnsi="Microsoft Sans Serif" w:cs="Microsoft Sans Serif"/>
          <w:i/>
        </w:rPr>
      </w:pPr>
      <w:r w:rsidRPr="004F0DFE">
        <w:rPr>
          <w:rFonts w:ascii="Microsoft Sans Serif" w:hAnsi="Microsoft Sans Serif" w:cs="Microsoft Sans Serif"/>
          <w:i/>
        </w:rPr>
        <w:t>Representing Philadelphia Gas Works</w:t>
      </w:r>
      <w:r w:rsidRPr="004F0DFE">
        <w:rPr>
          <w:rFonts w:ascii="Microsoft Sans Serif" w:hAnsi="Microsoft Sans Serif" w:cs="Microsoft Sans Serif"/>
          <w:i/>
        </w:rPr>
        <w:cr/>
      </w:r>
    </w:p>
    <w:p w:rsidR="00D52BE7" w:rsidRPr="00D52BE7" w:rsidRDefault="00D52BE7" w:rsidP="00D52BE7">
      <w:pPr>
        <w:spacing w:line="360" w:lineRule="auto"/>
        <w:rPr>
          <w:rFonts w:eastAsia="SimSun"/>
          <w:szCs w:val="20"/>
        </w:rPr>
      </w:pPr>
    </w:p>
    <w:sectPr w:rsidR="00D52BE7" w:rsidRPr="00D52B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B562E"/>
    <w:multiLevelType w:val="hybridMultilevel"/>
    <w:tmpl w:val="2708BECA"/>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35897B4F"/>
    <w:multiLevelType w:val="hybridMultilevel"/>
    <w:tmpl w:val="C7382D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B45"/>
    <w:rsid w:val="00071DCD"/>
    <w:rsid w:val="00305A68"/>
    <w:rsid w:val="003C0EFD"/>
    <w:rsid w:val="00403EFA"/>
    <w:rsid w:val="00413E3A"/>
    <w:rsid w:val="00461E23"/>
    <w:rsid w:val="004F0DFE"/>
    <w:rsid w:val="00531B45"/>
    <w:rsid w:val="0057250B"/>
    <w:rsid w:val="00693971"/>
    <w:rsid w:val="006C338B"/>
    <w:rsid w:val="006E64F1"/>
    <w:rsid w:val="00711224"/>
    <w:rsid w:val="00745948"/>
    <w:rsid w:val="008D1A45"/>
    <w:rsid w:val="008E1152"/>
    <w:rsid w:val="008F7FBC"/>
    <w:rsid w:val="0091539B"/>
    <w:rsid w:val="00920A60"/>
    <w:rsid w:val="009C03E2"/>
    <w:rsid w:val="00A87BAF"/>
    <w:rsid w:val="00A9605F"/>
    <w:rsid w:val="00C07FEF"/>
    <w:rsid w:val="00CE174E"/>
    <w:rsid w:val="00D52BE7"/>
    <w:rsid w:val="00E23D76"/>
    <w:rsid w:val="00E56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76D44CE"/>
  <w15:chartTrackingRefBased/>
  <w15:docId w15:val="{327AD9F2-227B-480F-99F6-549938093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1B4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1B4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9669F-77F2-46E5-9AE5-5C1BE882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Conrad</dc:creator>
  <cp:keywords/>
  <dc:description/>
  <cp:lastModifiedBy>Pallas, Dan</cp:lastModifiedBy>
  <cp:revision>2</cp:revision>
  <dcterms:created xsi:type="dcterms:W3CDTF">2018-01-22T18:43:00Z</dcterms:created>
  <dcterms:modified xsi:type="dcterms:W3CDTF">2018-01-22T18:43:00Z</dcterms:modified>
</cp:coreProperties>
</file>