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685" w:rsidRDefault="008A1685" w:rsidP="008A1685">
      <w:pPr>
        <w:pStyle w:val="Title"/>
        <w:tabs>
          <w:tab w:val="clear" w:pos="360"/>
          <w:tab w:val="left" w:pos="0"/>
        </w:tabs>
      </w:pPr>
      <w:r>
        <w:t>BEFORE THE</w:t>
      </w:r>
    </w:p>
    <w:p w:rsidR="008A1685" w:rsidRDefault="008A1685" w:rsidP="008A1685">
      <w:pPr>
        <w:tabs>
          <w:tab w:val="left" w:pos="0"/>
        </w:tabs>
        <w:jc w:val="center"/>
        <w:rPr>
          <w:b/>
          <w:sz w:val="24"/>
        </w:rPr>
      </w:pPr>
      <w:r>
        <w:rPr>
          <w:b/>
          <w:sz w:val="24"/>
        </w:rPr>
        <w:t>PENNSYLVANIA PUBLIC UTILITY COMMISSION</w:t>
      </w:r>
    </w:p>
    <w:p w:rsidR="008A1685" w:rsidRDefault="008A1685" w:rsidP="008A1685">
      <w:pPr>
        <w:tabs>
          <w:tab w:val="left" w:pos="0"/>
        </w:tabs>
        <w:jc w:val="both"/>
        <w:rPr>
          <w:b/>
          <w:sz w:val="24"/>
        </w:rPr>
      </w:pPr>
    </w:p>
    <w:p w:rsidR="008A1685" w:rsidRDefault="008A1685" w:rsidP="008A1685">
      <w:pPr>
        <w:tabs>
          <w:tab w:val="left" w:pos="0"/>
        </w:tabs>
        <w:jc w:val="both"/>
        <w:rPr>
          <w:b/>
          <w:sz w:val="24"/>
        </w:rPr>
      </w:pPr>
    </w:p>
    <w:p w:rsidR="008A1685" w:rsidRDefault="008A1685" w:rsidP="008A1685">
      <w:pPr>
        <w:tabs>
          <w:tab w:val="left" w:pos="0"/>
        </w:tabs>
        <w:jc w:val="both"/>
        <w:rPr>
          <w:b/>
          <w:sz w:val="24"/>
        </w:rPr>
      </w:pPr>
    </w:p>
    <w:p w:rsidR="008A1685" w:rsidRDefault="00A9715A" w:rsidP="008A1685">
      <w:pPr>
        <w:tabs>
          <w:tab w:val="left" w:pos="0"/>
        </w:tabs>
        <w:jc w:val="both"/>
        <w:rPr>
          <w:b/>
          <w:sz w:val="24"/>
        </w:rPr>
      </w:pPr>
      <w:r>
        <w:rPr>
          <w:sz w:val="24"/>
        </w:rPr>
        <w:t>Alisa Str</w:t>
      </w:r>
      <w:r w:rsidR="00183723">
        <w:rPr>
          <w:sz w:val="24"/>
        </w:rPr>
        <w:t>oud</w:t>
      </w:r>
      <w:r w:rsidR="00183723">
        <w:rPr>
          <w:sz w:val="24"/>
        </w:rPr>
        <w:tab/>
      </w:r>
      <w:r w:rsidR="008A1685">
        <w:rPr>
          <w:sz w:val="24"/>
        </w:rPr>
        <w:tab/>
      </w:r>
      <w:r w:rsidR="008A1685">
        <w:rPr>
          <w:sz w:val="24"/>
        </w:rPr>
        <w:tab/>
      </w:r>
      <w:r w:rsidR="008A1685">
        <w:rPr>
          <w:sz w:val="24"/>
        </w:rPr>
        <w:tab/>
      </w:r>
      <w:r w:rsidR="008A1685">
        <w:rPr>
          <w:sz w:val="24"/>
        </w:rPr>
        <w:tab/>
      </w:r>
      <w:r w:rsidR="008A1685">
        <w:rPr>
          <w:sz w:val="24"/>
        </w:rPr>
        <w:tab/>
      </w:r>
      <w:r w:rsidR="008A1685" w:rsidRPr="00560DC5">
        <w:rPr>
          <w:sz w:val="24"/>
        </w:rPr>
        <w:t>:</w:t>
      </w:r>
    </w:p>
    <w:p w:rsidR="008A1685" w:rsidRPr="00560DC5" w:rsidRDefault="008A1685" w:rsidP="008A168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8A1685" w:rsidRDefault="008A1685" w:rsidP="008A1685">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w:t>
      </w:r>
      <w:r w:rsidR="00183723">
        <w:rPr>
          <w:sz w:val="24"/>
        </w:rPr>
        <w:t>7-2624046</w:t>
      </w:r>
    </w:p>
    <w:p w:rsidR="008A1685" w:rsidRPr="00560DC5" w:rsidRDefault="008A1685" w:rsidP="008A168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8A1685" w:rsidRDefault="00183723" w:rsidP="008A1685">
      <w:pPr>
        <w:tabs>
          <w:tab w:val="left" w:pos="0"/>
        </w:tabs>
        <w:jc w:val="both"/>
        <w:rPr>
          <w:sz w:val="24"/>
        </w:rPr>
      </w:pPr>
      <w:r>
        <w:rPr>
          <w:sz w:val="24"/>
        </w:rPr>
        <w:t>Duquesne Light Company</w:t>
      </w:r>
      <w:r>
        <w:rPr>
          <w:sz w:val="24"/>
        </w:rPr>
        <w:tab/>
      </w:r>
      <w:r w:rsidR="008A1685">
        <w:rPr>
          <w:sz w:val="24"/>
        </w:rPr>
        <w:tab/>
      </w:r>
      <w:r w:rsidR="008A1685">
        <w:rPr>
          <w:sz w:val="24"/>
        </w:rPr>
        <w:tab/>
      </w:r>
      <w:r w:rsidR="008A1685">
        <w:rPr>
          <w:sz w:val="24"/>
        </w:rPr>
        <w:tab/>
      </w:r>
      <w:r w:rsidR="008A1685" w:rsidRPr="00560DC5">
        <w:rPr>
          <w:sz w:val="24"/>
        </w:rPr>
        <w:t>:</w:t>
      </w:r>
    </w:p>
    <w:p w:rsidR="008A1685" w:rsidRDefault="008A1685" w:rsidP="008A1685">
      <w:pPr>
        <w:tabs>
          <w:tab w:val="left" w:pos="0"/>
        </w:tabs>
        <w:jc w:val="both"/>
        <w:rPr>
          <w:sz w:val="24"/>
        </w:rPr>
      </w:pPr>
    </w:p>
    <w:p w:rsidR="008A1685" w:rsidRDefault="008A1685" w:rsidP="008A1685">
      <w:pPr>
        <w:tabs>
          <w:tab w:val="left" w:pos="0"/>
        </w:tabs>
        <w:jc w:val="both"/>
        <w:rPr>
          <w:b/>
          <w:sz w:val="24"/>
        </w:rPr>
      </w:pPr>
    </w:p>
    <w:p w:rsidR="008A1685" w:rsidRDefault="008A1685" w:rsidP="008A1685">
      <w:pPr>
        <w:tabs>
          <w:tab w:val="left" w:pos="0"/>
        </w:tabs>
        <w:jc w:val="both"/>
        <w:rPr>
          <w:b/>
          <w:sz w:val="24"/>
        </w:rPr>
      </w:pPr>
    </w:p>
    <w:p w:rsidR="00AD3B6A" w:rsidRPr="00AD3B6A" w:rsidRDefault="008A1685" w:rsidP="008A1685">
      <w:pPr>
        <w:tabs>
          <w:tab w:val="left" w:pos="0"/>
        </w:tabs>
        <w:jc w:val="center"/>
        <w:rPr>
          <w:b/>
          <w:sz w:val="24"/>
        </w:rPr>
      </w:pPr>
      <w:r w:rsidRPr="00AD3B6A">
        <w:rPr>
          <w:b/>
          <w:sz w:val="24"/>
        </w:rPr>
        <w:t>INTERIM ORDER</w:t>
      </w:r>
    </w:p>
    <w:p w:rsidR="008A1685" w:rsidRDefault="008A1685" w:rsidP="008A1685">
      <w:pPr>
        <w:tabs>
          <w:tab w:val="left" w:pos="0"/>
        </w:tabs>
        <w:jc w:val="center"/>
        <w:rPr>
          <w:b/>
          <w:sz w:val="24"/>
          <w:u w:val="single"/>
        </w:rPr>
      </w:pPr>
      <w:r w:rsidRPr="00AD3B6A">
        <w:rPr>
          <w:b/>
          <w:sz w:val="24"/>
        </w:rPr>
        <w:t xml:space="preserve">DENYING </w:t>
      </w:r>
      <w:r w:rsidR="00183723" w:rsidRPr="00AD3B6A">
        <w:rPr>
          <w:b/>
          <w:sz w:val="24"/>
        </w:rPr>
        <w:t xml:space="preserve">DUQUESNE LIGHT </w:t>
      </w:r>
      <w:r w:rsidRPr="00AD3B6A">
        <w:rPr>
          <w:b/>
          <w:sz w:val="24"/>
        </w:rPr>
        <w:t xml:space="preserve">COMPANY’S MOTION FOR </w:t>
      </w:r>
      <w:r w:rsidR="00183723" w:rsidRPr="00AD3B6A">
        <w:rPr>
          <w:b/>
          <w:sz w:val="24"/>
        </w:rPr>
        <w:t xml:space="preserve">PARTIAL </w:t>
      </w:r>
      <w:r w:rsidRPr="00AD3B6A">
        <w:rPr>
          <w:b/>
          <w:sz w:val="24"/>
        </w:rPr>
        <w:t>JUDGMENT</w:t>
      </w:r>
      <w:r>
        <w:rPr>
          <w:b/>
          <w:sz w:val="24"/>
          <w:u w:val="single"/>
        </w:rPr>
        <w:t xml:space="preserve"> ON THE PLEADINGS</w:t>
      </w:r>
    </w:p>
    <w:p w:rsidR="008A1685" w:rsidRDefault="008A1685" w:rsidP="008A1685">
      <w:pPr>
        <w:tabs>
          <w:tab w:val="left" w:pos="0"/>
        </w:tabs>
        <w:spacing w:line="233" w:lineRule="auto"/>
        <w:jc w:val="both"/>
        <w:rPr>
          <w:sz w:val="24"/>
        </w:rPr>
      </w:pPr>
    </w:p>
    <w:p w:rsidR="008A1685" w:rsidRPr="00964981" w:rsidRDefault="008A1685" w:rsidP="008A1685">
      <w:pPr>
        <w:tabs>
          <w:tab w:val="left" w:pos="0"/>
        </w:tabs>
        <w:spacing w:line="233" w:lineRule="auto"/>
        <w:jc w:val="both"/>
        <w:rPr>
          <w:sz w:val="24"/>
          <w:szCs w:val="24"/>
        </w:rPr>
      </w:pPr>
    </w:p>
    <w:p w:rsidR="008A1685" w:rsidRPr="00964981" w:rsidRDefault="008A1685" w:rsidP="008A1685">
      <w:pPr>
        <w:spacing w:line="360" w:lineRule="auto"/>
        <w:rPr>
          <w:sz w:val="24"/>
          <w:szCs w:val="24"/>
        </w:rPr>
      </w:pPr>
      <w:r w:rsidRPr="00964981">
        <w:rPr>
          <w:sz w:val="24"/>
          <w:szCs w:val="24"/>
        </w:rPr>
        <w:tab/>
      </w:r>
      <w:r w:rsidRPr="00964981">
        <w:rPr>
          <w:sz w:val="24"/>
          <w:szCs w:val="24"/>
        </w:rPr>
        <w:tab/>
        <w:t xml:space="preserve">On </w:t>
      </w:r>
      <w:r w:rsidR="00183723">
        <w:rPr>
          <w:sz w:val="24"/>
          <w:szCs w:val="24"/>
        </w:rPr>
        <w:t>September 9, 2017,</w:t>
      </w:r>
      <w:r w:rsidRPr="00964981">
        <w:rPr>
          <w:sz w:val="24"/>
          <w:szCs w:val="24"/>
        </w:rPr>
        <w:t xml:space="preserve"> </w:t>
      </w:r>
      <w:r w:rsidR="00183723">
        <w:rPr>
          <w:sz w:val="24"/>
        </w:rPr>
        <w:t>Alisa Stroud</w:t>
      </w:r>
      <w:r w:rsidR="00183723">
        <w:rPr>
          <w:sz w:val="24"/>
          <w:szCs w:val="24"/>
        </w:rPr>
        <w:t xml:space="preserve"> </w:t>
      </w:r>
      <w:r>
        <w:rPr>
          <w:sz w:val="24"/>
          <w:szCs w:val="24"/>
        </w:rPr>
        <w:t xml:space="preserve">(Complainant or Ms. </w:t>
      </w:r>
      <w:r w:rsidR="00183723">
        <w:rPr>
          <w:sz w:val="24"/>
          <w:szCs w:val="24"/>
        </w:rPr>
        <w:t>Stroud</w:t>
      </w:r>
      <w:r>
        <w:rPr>
          <w:sz w:val="24"/>
          <w:szCs w:val="24"/>
        </w:rPr>
        <w:t xml:space="preserve">) </w:t>
      </w:r>
      <w:r w:rsidRPr="00964981">
        <w:rPr>
          <w:sz w:val="24"/>
          <w:szCs w:val="24"/>
        </w:rPr>
        <w:t xml:space="preserve">filed a </w:t>
      </w:r>
      <w:r>
        <w:rPr>
          <w:sz w:val="24"/>
          <w:szCs w:val="24"/>
        </w:rPr>
        <w:t xml:space="preserve">formal </w:t>
      </w:r>
      <w:r w:rsidRPr="00964981">
        <w:rPr>
          <w:sz w:val="24"/>
          <w:szCs w:val="24"/>
        </w:rPr>
        <w:t xml:space="preserve">complaint </w:t>
      </w:r>
      <w:r>
        <w:rPr>
          <w:sz w:val="24"/>
          <w:szCs w:val="24"/>
        </w:rPr>
        <w:t xml:space="preserve">(Complaint) </w:t>
      </w:r>
      <w:r w:rsidRPr="00964981">
        <w:rPr>
          <w:sz w:val="24"/>
          <w:szCs w:val="24"/>
        </w:rPr>
        <w:t>against</w:t>
      </w:r>
      <w:r w:rsidR="00183723">
        <w:rPr>
          <w:sz w:val="24"/>
          <w:szCs w:val="24"/>
        </w:rPr>
        <w:t xml:space="preserve"> </w:t>
      </w:r>
      <w:r w:rsidR="00183723">
        <w:rPr>
          <w:sz w:val="24"/>
        </w:rPr>
        <w:t>Duquesne Light Company</w:t>
      </w:r>
      <w:r>
        <w:rPr>
          <w:sz w:val="24"/>
          <w:szCs w:val="24"/>
        </w:rPr>
        <w:t xml:space="preserve"> (Company or Respondent)</w:t>
      </w:r>
      <w:r w:rsidRPr="00964981">
        <w:rPr>
          <w:sz w:val="24"/>
          <w:szCs w:val="24"/>
        </w:rPr>
        <w:t xml:space="preserve"> which</w:t>
      </w:r>
      <w:r>
        <w:rPr>
          <w:sz w:val="24"/>
          <w:szCs w:val="24"/>
        </w:rPr>
        <w:t>, among other things,</w:t>
      </w:r>
      <w:r w:rsidRPr="00964981">
        <w:rPr>
          <w:sz w:val="24"/>
          <w:szCs w:val="24"/>
        </w:rPr>
        <w:t xml:space="preserve"> </w:t>
      </w:r>
      <w:r w:rsidR="00183723">
        <w:rPr>
          <w:sz w:val="24"/>
          <w:szCs w:val="24"/>
        </w:rPr>
        <w:t xml:space="preserve">alleged that Respondent terminated or threatened to terminate Complainant’s electric service, </w:t>
      </w:r>
      <w:r>
        <w:rPr>
          <w:sz w:val="24"/>
          <w:szCs w:val="24"/>
        </w:rPr>
        <w:t>allege</w:t>
      </w:r>
      <w:r w:rsidR="00183723">
        <w:rPr>
          <w:sz w:val="24"/>
          <w:szCs w:val="24"/>
        </w:rPr>
        <w:t xml:space="preserve">d the existence of </w:t>
      </w:r>
      <w:r>
        <w:rPr>
          <w:sz w:val="24"/>
          <w:szCs w:val="24"/>
        </w:rPr>
        <w:t>incorrect charges on her bill</w:t>
      </w:r>
      <w:r w:rsidR="00183723">
        <w:rPr>
          <w:sz w:val="24"/>
          <w:szCs w:val="24"/>
        </w:rPr>
        <w:t xml:space="preserve"> and that a L</w:t>
      </w:r>
      <w:r w:rsidR="00DA1CA6">
        <w:rPr>
          <w:sz w:val="24"/>
          <w:szCs w:val="24"/>
        </w:rPr>
        <w:t>IHEAP</w:t>
      </w:r>
      <w:r w:rsidR="00183723">
        <w:rPr>
          <w:sz w:val="24"/>
          <w:szCs w:val="24"/>
        </w:rPr>
        <w:t xml:space="preserve"> grant should have been applied to her balance.  As relief, Complainant requested a thorough investigation of her electric usage and billing, application of L</w:t>
      </w:r>
      <w:r w:rsidR="00DA1CA6">
        <w:rPr>
          <w:sz w:val="24"/>
          <w:szCs w:val="24"/>
        </w:rPr>
        <w:t>IHEAP</w:t>
      </w:r>
      <w:r w:rsidR="00183723">
        <w:rPr>
          <w:sz w:val="24"/>
          <w:szCs w:val="24"/>
        </w:rPr>
        <w:t xml:space="preserve"> funds to her account, an adjustment to her bill, approval of a payment arrangement and cancellation of her termination notice.</w:t>
      </w:r>
      <w:r w:rsidRPr="00964981">
        <w:rPr>
          <w:sz w:val="24"/>
          <w:szCs w:val="24"/>
        </w:rPr>
        <w:t xml:space="preserve"> </w:t>
      </w:r>
      <w:r w:rsidR="00BD75BC">
        <w:rPr>
          <w:sz w:val="24"/>
          <w:szCs w:val="24"/>
        </w:rPr>
        <w:t xml:space="preserve"> </w:t>
      </w:r>
      <w:r w:rsidR="00183723">
        <w:rPr>
          <w:sz w:val="24"/>
          <w:szCs w:val="24"/>
        </w:rPr>
        <w:t xml:space="preserve">Attached to the Complaint were three pages which appear to be billing statements, and which were not identified or referenced in the Complaint.  </w:t>
      </w:r>
      <w:r w:rsidRPr="00964981">
        <w:rPr>
          <w:sz w:val="24"/>
          <w:szCs w:val="24"/>
        </w:rPr>
        <w:t xml:space="preserve"> </w:t>
      </w:r>
      <w:r>
        <w:rPr>
          <w:sz w:val="24"/>
          <w:szCs w:val="24"/>
        </w:rPr>
        <w:t xml:space="preserve">Respondent </w:t>
      </w:r>
      <w:r w:rsidRPr="00964981">
        <w:rPr>
          <w:sz w:val="24"/>
          <w:szCs w:val="24"/>
        </w:rPr>
        <w:t>filed an answer</w:t>
      </w:r>
      <w:r>
        <w:rPr>
          <w:sz w:val="24"/>
          <w:szCs w:val="24"/>
        </w:rPr>
        <w:t xml:space="preserve"> on </w:t>
      </w:r>
      <w:r w:rsidR="00183723">
        <w:rPr>
          <w:sz w:val="24"/>
          <w:szCs w:val="24"/>
        </w:rPr>
        <w:t xml:space="preserve">October 2, 2017, </w:t>
      </w:r>
      <w:r w:rsidR="00FE458A">
        <w:rPr>
          <w:sz w:val="24"/>
          <w:szCs w:val="24"/>
        </w:rPr>
        <w:t xml:space="preserve">averring, </w:t>
      </w:r>
      <w:r w:rsidR="00FE458A" w:rsidRPr="00FE458A">
        <w:rPr>
          <w:i/>
          <w:sz w:val="24"/>
          <w:szCs w:val="24"/>
        </w:rPr>
        <w:t>inter alia</w:t>
      </w:r>
      <w:r w:rsidR="00FE458A">
        <w:rPr>
          <w:sz w:val="24"/>
          <w:szCs w:val="24"/>
        </w:rPr>
        <w:t xml:space="preserve">, </w:t>
      </w:r>
      <w:r w:rsidR="00183723">
        <w:rPr>
          <w:sz w:val="24"/>
          <w:szCs w:val="24"/>
        </w:rPr>
        <w:t>that Complainant is entitled to a payment arrangement</w:t>
      </w:r>
      <w:r w:rsidR="00FE458A">
        <w:rPr>
          <w:sz w:val="24"/>
          <w:szCs w:val="24"/>
        </w:rPr>
        <w:t xml:space="preserve"> and that part of Complainant’s outstanding account balance is in arrears from Duquesne Light Company’s Customer Assistance Program (CAP). </w:t>
      </w:r>
      <w:r>
        <w:rPr>
          <w:sz w:val="24"/>
          <w:szCs w:val="24"/>
        </w:rPr>
        <w:t xml:space="preserve"> On </w:t>
      </w:r>
      <w:r w:rsidR="00FE458A">
        <w:rPr>
          <w:sz w:val="24"/>
          <w:szCs w:val="24"/>
        </w:rPr>
        <w:t>November 8, 2017</w:t>
      </w:r>
      <w:r>
        <w:rPr>
          <w:sz w:val="24"/>
          <w:szCs w:val="24"/>
        </w:rPr>
        <w:t xml:space="preserve">, the Commission issued a Notice scheduling a telephonic </w:t>
      </w:r>
      <w:r w:rsidR="00FE458A">
        <w:rPr>
          <w:sz w:val="24"/>
          <w:szCs w:val="24"/>
        </w:rPr>
        <w:t>hearing for December 15, 2017</w:t>
      </w:r>
      <w:r>
        <w:rPr>
          <w:sz w:val="24"/>
          <w:szCs w:val="24"/>
        </w:rPr>
        <w:t xml:space="preserve"> at 10:00</w:t>
      </w:r>
      <w:r w:rsidR="008B0952">
        <w:rPr>
          <w:sz w:val="24"/>
          <w:szCs w:val="24"/>
        </w:rPr>
        <w:t> </w:t>
      </w:r>
      <w:r>
        <w:rPr>
          <w:sz w:val="24"/>
          <w:szCs w:val="24"/>
        </w:rPr>
        <w:t xml:space="preserve">a.m.  A Prehearing Conference Order was issued by the undersigned presiding officer on </w:t>
      </w:r>
      <w:r w:rsidR="00FE458A">
        <w:rPr>
          <w:sz w:val="24"/>
          <w:szCs w:val="24"/>
        </w:rPr>
        <w:t xml:space="preserve">December 6, 2017, at the request of Complainant.  </w:t>
      </w:r>
      <w:r>
        <w:rPr>
          <w:sz w:val="24"/>
          <w:szCs w:val="24"/>
        </w:rPr>
        <w:t xml:space="preserve">Respondent filed a motion for </w:t>
      </w:r>
      <w:r w:rsidR="00FE458A">
        <w:rPr>
          <w:sz w:val="24"/>
          <w:szCs w:val="24"/>
        </w:rPr>
        <w:t xml:space="preserve">partial </w:t>
      </w:r>
      <w:r>
        <w:rPr>
          <w:sz w:val="24"/>
          <w:szCs w:val="24"/>
        </w:rPr>
        <w:t xml:space="preserve">judgment on the pleadings </w:t>
      </w:r>
      <w:r w:rsidR="007E3E38">
        <w:rPr>
          <w:sz w:val="24"/>
          <w:szCs w:val="24"/>
        </w:rPr>
        <w:t xml:space="preserve">(Motion) </w:t>
      </w:r>
      <w:r>
        <w:rPr>
          <w:sz w:val="24"/>
          <w:szCs w:val="24"/>
        </w:rPr>
        <w:t xml:space="preserve">on </w:t>
      </w:r>
      <w:r w:rsidR="00FE458A">
        <w:rPr>
          <w:sz w:val="24"/>
          <w:szCs w:val="24"/>
        </w:rPr>
        <w:t>December 22, 2017.</w:t>
      </w:r>
      <w:r w:rsidRPr="00964981">
        <w:rPr>
          <w:sz w:val="24"/>
          <w:szCs w:val="24"/>
        </w:rPr>
        <w:t xml:space="preserve">  </w:t>
      </w:r>
      <w:r w:rsidR="00FE458A">
        <w:rPr>
          <w:sz w:val="24"/>
          <w:szCs w:val="24"/>
        </w:rPr>
        <w:t xml:space="preserve">Complainant </w:t>
      </w:r>
      <w:r>
        <w:rPr>
          <w:sz w:val="24"/>
          <w:szCs w:val="24"/>
        </w:rPr>
        <w:t xml:space="preserve">did not respond to the motion for </w:t>
      </w:r>
      <w:r w:rsidR="00FE458A">
        <w:rPr>
          <w:sz w:val="24"/>
          <w:szCs w:val="24"/>
        </w:rPr>
        <w:t xml:space="preserve">partial </w:t>
      </w:r>
      <w:r>
        <w:rPr>
          <w:sz w:val="24"/>
          <w:szCs w:val="24"/>
        </w:rPr>
        <w:t>judgment on the pleadings.</w:t>
      </w:r>
    </w:p>
    <w:p w:rsidR="008A1685" w:rsidRDefault="008A1685" w:rsidP="008A1685">
      <w:pPr>
        <w:spacing w:line="360" w:lineRule="auto"/>
        <w:ind w:firstLine="720"/>
        <w:rPr>
          <w:sz w:val="24"/>
          <w:szCs w:val="24"/>
        </w:rPr>
      </w:pPr>
    </w:p>
    <w:p w:rsidR="00FE458A" w:rsidRDefault="008A1685" w:rsidP="008A1685">
      <w:pPr>
        <w:spacing w:line="360" w:lineRule="auto"/>
        <w:ind w:firstLine="1440"/>
        <w:rPr>
          <w:sz w:val="24"/>
          <w:szCs w:val="24"/>
        </w:rPr>
      </w:pPr>
      <w:r>
        <w:rPr>
          <w:sz w:val="24"/>
          <w:szCs w:val="24"/>
        </w:rPr>
        <w:lastRenderedPageBreak/>
        <w:t>Respondent</w:t>
      </w:r>
      <w:r w:rsidR="00FE458A">
        <w:rPr>
          <w:sz w:val="24"/>
          <w:szCs w:val="24"/>
        </w:rPr>
        <w:t xml:space="preserve">’s motion for partial judgment on the pleadings essentially </w:t>
      </w:r>
      <w:r w:rsidR="007168A8">
        <w:rPr>
          <w:sz w:val="24"/>
          <w:szCs w:val="24"/>
        </w:rPr>
        <w:t>requests</w:t>
      </w:r>
      <w:r w:rsidR="00FE458A">
        <w:rPr>
          <w:sz w:val="24"/>
          <w:szCs w:val="24"/>
        </w:rPr>
        <w:t xml:space="preserve"> in her Complaint, </w:t>
      </w:r>
      <w:r w:rsidR="007168A8">
        <w:rPr>
          <w:sz w:val="24"/>
          <w:szCs w:val="24"/>
        </w:rPr>
        <w:t>that she be permitted to enter into</w:t>
      </w:r>
      <w:r w:rsidR="00CC0217">
        <w:rPr>
          <w:sz w:val="24"/>
          <w:szCs w:val="24"/>
        </w:rPr>
        <w:t xml:space="preserve"> a payment </w:t>
      </w:r>
      <w:r w:rsidR="007168A8">
        <w:rPr>
          <w:sz w:val="24"/>
          <w:szCs w:val="24"/>
        </w:rPr>
        <w:t xml:space="preserve">arrangement </w:t>
      </w:r>
      <w:r w:rsidR="00CC0217">
        <w:rPr>
          <w:sz w:val="24"/>
          <w:szCs w:val="24"/>
        </w:rPr>
        <w:t xml:space="preserve">on arrears that she accumulated while </w:t>
      </w:r>
      <w:r w:rsidR="00600B0D">
        <w:rPr>
          <w:sz w:val="24"/>
          <w:szCs w:val="24"/>
        </w:rPr>
        <w:t xml:space="preserve">on CAP.  </w:t>
      </w:r>
      <w:r w:rsidR="007168A8">
        <w:rPr>
          <w:sz w:val="24"/>
          <w:szCs w:val="24"/>
        </w:rPr>
        <w:t xml:space="preserve">A close reading of the Complaint clearly indicates that Complainant did not make such an averment in the Complaint.  </w:t>
      </w:r>
      <w:r w:rsidR="00600B0D">
        <w:rPr>
          <w:sz w:val="24"/>
          <w:szCs w:val="24"/>
        </w:rPr>
        <w:t>Respondent further averred that, as CAP arrears are not subject to payment arrangements negotiated or approved by the Commission, this request must be dismissed as a matter of law.  (</w:t>
      </w:r>
      <w:r w:rsidR="007E3E38">
        <w:rPr>
          <w:sz w:val="24"/>
          <w:szCs w:val="24"/>
        </w:rPr>
        <w:t>Motion</w:t>
      </w:r>
      <w:r w:rsidR="00600B0D">
        <w:rPr>
          <w:sz w:val="24"/>
          <w:szCs w:val="24"/>
        </w:rPr>
        <w:t xml:space="preserve"> </w:t>
      </w:r>
      <w:r w:rsidR="00440BA8">
        <w:rPr>
          <w:sz w:val="24"/>
          <w:szCs w:val="24"/>
        </w:rPr>
        <w:t>¶ 1).  Respondent further averred that to the extent Complainant requests a payment arrangement on non-CAP arrears, such request must be dismissed because Respondent is not seeking payment of that amount and that the pleadings establish that Complainant has an extremely poor payment history and has not made a good-faith effort to pay her utility bills, and thus is not entitled to a payment arrangement on her non-CAP arrears.</w:t>
      </w:r>
      <w:r w:rsidR="007E3E38">
        <w:rPr>
          <w:sz w:val="24"/>
          <w:szCs w:val="24"/>
        </w:rPr>
        <w:t xml:space="preserve">  (Motion ¶ 2).  Respondent requests that Complainant’s request for a payment arrangement be dismissed with prejudice.</w:t>
      </w:r>
    </w:p>
    <w:p w:rsidR="00FE458A" w:rsidRDefault="00FE458A" w:rsidP="008A1685">
      <w:pPr>
        <w:spacing w:line="360" w:lineRule="auto"/>
        <w:ind w:firstLine="1440"/>
        <w:rPr>
          <w:sz w:val="24"/>
          <w:szCs w:val="24"/>
        </w:rPr>
      </w:pPr>
    </w:p>
    <w:p w:rsidR="008A1685" w:rsidRDefault="008A1685" w:rsidP="008A1685">
      <w:pPr>
        <w:spacing w:line="360" w:lineRule="auto"/>
        <w:ind w:firstLine="1440"/>
        <w:rPr>
          <w:sz w:val="24"/>
          <w:szCs w:val="24"/>
        </w:rPr>
      </w:pPr>
      <w:r w:rsidRPr="00907001">
        <w:rPr>
          <w:sz w:val="24"/>
          <w:szCs w:val="24"/>
        </w:rPr>
        <w:t>A motion for judgment on the pleadings may be granted if the applicable pleadings, depositions, answers to interrogatories and admissions, etc. demonstrate that there is no genuine issue of material fact in dispute and the moving party is entitled to judgment in its favor as a matter of law.</w:t>
      </w:r>
      <w:r w:rsidRPr="00907001">
        <w:rPr>
          <w:rStyle w:val="FootnoteReference"/>
          <w:sz w:val="24"/>
          <w:szCs w:val="24"/>
        </w:rPr>
        <w:footnoteReference w:id="1"/>
      </w:r>
      <w:r w:rsidRPr="00907001">
        <w:rPr>
          <w:sz w:val="24"/>
          <w:szCs w:val="24"/>
        </w:rPr>
        <w:t xml:space="preserve"> </w:t>
      </w:r>
    </w:p>
    <w:p w:rsidR="008A1685" w:rsidRPr="003D5FF6" w:rsidRDefault="008A1685" w:rsidP="008A1685">
      <w:pPr>
        <w:spacing w:line="360" w:lineRule="auto"/>
        <w:ind w:firstLine="1440"/>
        <w:rPr>
          <w:sz w:val="24"/>
          <w:szCs w:val="24"/>
        </w:rPr>
      </w:pPr>
    </w:p>
    <w:p w:rsidR="008A1685" w:rsidRDefault="008A1685" w:rsidP="008A1685">
      <w:pPr>
        <w:spacing w:line="360" w:lineRule="auto"/>
        <w:rPr>
          <w:sz w:val="24"/>
          <w:szCs w:val="24"/>
        </w:rPr>
      </w:pPr>
      <w:r w:rsidRPr="003D5FF6">
        <w:rPr>
          <w:sz w:val="24"/>
          <w:szCs w:val="24"/>
        </w:rPr>
        <w:tab/>
      </w:r>
      <w:r w:rsidRPr="003D5FF6">
        <w:rPr>
          <w:sz w:val="24"/>
          <w:szCs w:val="24"/>
        </w:rPr>
        <w:tab/>
      </w:r>
      <w:r>
        <w:rPr>
          <w:sz w:val="24"/>
          <w:szCs w:val="24"/>
        </w:rPr>
        <w:t xml:space="preserve">Judgment on the pleadings should be granted only in a case where the moving party’s right to prevail is so clear that a trial would be a fruitless exercise.  </w:t>
      </w:r>
      <w:r w:rsidRPr="000675C3">
        <w:rPr>
          <w:i/>
          <w:sz w:val="24"/>
          <w:szCs w:val="24"/>
        </w:rPr>
        <w:t xml:space="preserve">Kenneth E. </w:t>
      </w:r>
      <w:proofErr w:type="spellStart"/>
      <w:r w:rsidRPr="000675C3">
        <w:rPr>
          <w:i/>
          <w:sz w:val="24"/>
          <w:szCs w:val="24"/>
        </w:rPr>
        <w:t>Nein</w:t>
      </w:r>
      <w:proofErr w:type="spellEnd"/>
      <w:r w:rsidRPr="000675C3">
        <w:rPr>
          <w:i/>
          <w:sz w:val="24"/>
          <w:szCs w:val="24"/>
        </w:rPr>
        <w:t xml:space="preserve"> v. UGI Utilities, Inc., </w:t>
      </w:r>
      <w:r>
        <w:rPr>
          <w:sz w:val="24"/>
          <w:szCs w:val="24"/>
        </w:rPr>
        <w:t xml:space="preserve">Docket No. C-2012-2298099 (Final Order entered November 9, 2012) citing </w:t>
      </w:r>
      <w:r w:rsidRPr="000675C3">
        <w:rPr>
          <w:i/>
          <w:sz w:val="24"/>
          <w:szCs w:val="24"/>
        </w:rPr>
        <w:t>Williams v. Lewis</w:t>
      </w:r>
      <w:r>
        <w:rPr>
          <w:sz w:val="24"/>
          <w:szCs w:val="24"/>
        </w:rPr>
        <w:t xml:space="preserve">, 446 A. 2d 682 (Pa. Super. 1983); </w:t>
      </w:r>
      <w:r w:rsidRPr="000675C3">
        <w:rPr>
          <w:i/>
          <w:sz w:val="24"/>
          <w:szCs w:val="24"/>
        </w:rPr>
        <w:t>Service Employees International Union, Local 69, AFL-CIO v. The Peoples Natural Gas Company, d//b/a Dominion Peoples</w:t>
      </w:r>
      <w:r>
        <w:rPr>
          <w:sz w:val="24"/>
          <w:szCs w:val="24"/>
        </w:rPr>
        <w:t xml:space="preserve">, Docket No. C-20028539 (Order entered December 19, 2003).  Judgment on the pleadings should be entered only when the case is clear and free from doubt.  </w:t>
      </w:r>
      <w:r w:rsidRPr="000675C3">
        <w:rPr>
          <w:i/>
          <w:sz w:val="24"/>
          <w:szCs w:val="24"/>
        </w:rPr>
        <w:t>Id</w:t>
      </w:r>
      <w:r>
        <w:rPr>
          <w:sz w:val="24"/>
          <w:szCs w:val="24"/>
        </w:rPr>
        <w:t xml:space="preserve">.  (citing </w:t>
      </w:r>
      <w:r w:rsidRPr="00C64EA1">
        <w:rPr>
          <w:i/>
          <w:sz w:val="24"/>
          <w:szCs w:val="24"/>
        </w:rPr>
        <w:t>Reuben v. O’Brien</w:t>
      </w:r>
      <w:r>
        <w:rPr>
          <w:sz w:val="24"/>
          <w:szCs w:val="24"/>
        </w:rPr>
        <w:t>, 496 A. 2d 913 (Pa. Super 1985).</w:t>
      </w:r>
    </w:p>
    <w:p w:rsidR="008A1685" w:rsidRPr="003D5FF6" w:rsidRDefault="008A1685" w:rsidP="008A1685">
      <w:pPr>
        <w:spacing w:line="360" w:lineRule="auto"/>
        <w:rPr>
          <w:sz w:val="24"/>
          <w:szCs w:val="24"/>
        </w:rPr>
      </w:pPr>
    </w:p>
    <w:p w:rsidR="007E3E38" w:rsidRDefault="008A1685" w:rsidP="007168A8">
      <w:pPr>
        <w:spacing w:line="360" w:lineRule="auto"/>
        <w:ind w:firstLine="1440"/>
        <w:rPr>
          <w:sz w:val="24"/>
          <w:szCs w:val="24"/>
        </w:rPr>
      </w:pPr>
      <w:r>
        <w:rPr>
          <w:sz w:val="24"/>
          <w:szCs w:val="24"/>
        </w:rPr>
        <w:t>In the instant case, Complainant has made sufficient averments in her formal complaint to warrant a hearing in this matter</w:t>
      </w:r>
      <w:r w:rsidR="007E3E38">
        <w:rPr>
          <w:sz w:val="24"/>
          <w:szCs w:val="24"/>
        </w:rPr>
        <w:t xml:space="preserve"> on all issues and requests for relief raised in the Complaint.  In her Complaint, Complainant averred, among other things,</w:t>
      </w:r>
      <w:r w:rsidR="007E3E38" w:rsidRPr="00964981">
        <w:rPr>
          <w:sz w:val="24"/>
          <w:szCs w:val="24"/>
        </w:rPr>
        <w:t xml:space="preserve"> </w:t>
      </w:r>
      <w:r w:rsidR="007E3E38">
        <w:rPr>
          <w:sz w:val="24"/>
          <w:szCs w:val="24"/>
        </w:rPr>
        <w:t xml:space="preserve">that Respondent </w:t>
      </w:r>
      <w:r w:rsidR="007E3E38">
        <w:rPr>
          <w:sz w:val="24"/>
          <w:szCs w:val="24"/>
        </w:rPr>
        <w:lastRenderedPageBreak/>
        <w:t>terminated or threatened to terminate Complainant’s electric service, alleged the existence of incorrect charges on her bill and that a L</w:t>
      </w:r>
      <w:r w:rsidR="00B05CF6">
        <w:rPr>
          <w:sz w:val="24"/>
          <w:szCs w:val="24"/>
        </w:rPr>
        <w:t>IHEAP</w:t>
      </w:r>
      <w:r w:rsidR="007E3E38">
        <w:rPr>
          <w:sz w:val="24"/>
          <w:szCs w:val="24"/>
        </w:rPr>
        <w:t xml:space="preserve"> grant should have been applied to her balance.  As relief, Complainant requested a thorough investigation of her electric usage and billing, application of L</w:t>
      </w:r>
      <w:r w:rsidR="00B05CF6">
        <w:rPr>
          <w:sz w:val="24"/>
          <w:szCs w:val="24"/>
        </w:rPr>
        <w:t>IHEAP</w:t>
      </w:r>
      <w:r w:rsidR="007E3E38">
        <w:rPr>
          <w:sz w:val="24"/>
          <w:szCs w:val="24"/>
        </w:rPr>
        <w:t xml:space="preserve"> funds to her account, an adjustment to her bill, approval of a payment arrangement and cancellation of her termination notice.</w:t>
      </w:r>
      <w:r w:rsidR="007E3E38" w:rsidRPr="00964981">
        <w:rPr>
          <w:sz w:val="24"/>
          <w:szCs w:val="24"/>
        </w:rPr>
        <w:t xml:space="preserve"> </w:t>
      </w:r>
      <w:r w:rsidR="00BD75BC">
        <w:rPr>
          <w:sz w:val="24"/>
          <w:szCs w:val="24"/>
        </w:rPr>
        <w:t xml:space="preserve"> </w:t>
      </w:r>
      <w:r w:rsidR="007E3E38">
        <w:rPr>
          <w:sz w:val="24"/>
          <w:szCs w:val="24"/>
        </w:rPr>
        <w:t xml:space="preserve">Attached to the Complaint were three pages which appear to be billing statements, and which were not identified or referenced in the Complaint.  </w:t>
      </w:r>
      <w:r w:rsidR="007E3E38" w:rsidRPr="00964981">
        <w:rPr>
          <w:sz w:val="24"/>
          <w:szCs w:val="24"/>
        </w:rPr>
        <w:t xml:space="preserve"> </w:t>
      </w:r>
      <w:r w:rsidR="007E3E38">
        <w:rPr>
          <w:sz w:val="24"/>
          <w:szCs w:val="24"/>
        </w:rPr>
        <w:t xml:space="preserve">Nowhere in her Complaint, did Complainant in her Complaint, request a payment “on arrears that she accumulated while on CAP” nor did she aver that she was a participant in the CAP program.  Respondent further averred that to the extent Complainant requests a payment arrangement on non-CAP arrears, such request must be dismissed because Respondent is not seeking payment of that amount and that the pleadings establish that Complainant has an extremely poor payment history and has not made a good-faith effort to pay her utility bills, and thus is not entitled to a payment arrangement on her non-CAP </w:t>
      </w:r>
      <w:proofErr w:type="spellStart"/>
      <w:r w:rsidR="007E3E38">
        <w:rPr>
          <w:sz w:val="24"/>
          <w:szCs w:val="24"/>
        </w:rPr>
        <w:t>arreaars</w:t>
      </w:r>
      <w:proofErr w:type="spellEnd"/>
      <w:r w:rsidR="007E3E38">
        <w:rPr>
          <w:sz w:val="24"/>
          <w:szCs w:val="24"/>
        </w:rPr>
        <w:t xml:space="preserve">.  (Motion ¶ 2).  </w:t>
      </w:r>
      <w:r w:rsidR="007168A8">
        <w:rPr>
          <w:sz w:val="24"/>
          <w:szCs w:val="24"/>
        </w:rPr>
        <w:t xml:space="preserve">These are not averments raised in the Complaint, but may be defenses that Respondent intends to raise at a hearing in this matter. </w:t>
      </w:r>
    </w:p>
    <w:p w:rsidR="007E3E38" w:rsidRDefault="007E3E38" w:rsidP="008A1685">
      <w:pPr>
        <w:spacing w:line="360" w:lineRule="auto"/>
        <w:ind w:firstLine="720"/>
        <w:rPr>
          <w:sz w:val="24"/>
          <w:szCs w:val="24"/>
        </w:rPr>
      </w:pPr>
    </w:p>
    <w:p w:rsidR="007168A8" w:rsidRDefault="007168A8" w:rsidP="007168A8">
      <w:pPr>
        <w:spacing w:line="360" w:lineRule="auto"/>
        <w:ind w:firstLine="1440"/>
        <w:rPr>
          <w:sz w:val="24"/>
          <w:szCs w:val="24"/>
        </w:rPr>
      </w:pPr>
      <w:r w:rsidRPr="00907001">
        <w:rPr>
          <w:sz w:val="24"/>
          <w:szCs w:val="24"/>
        </w:rPr>
        <w:t>A motion for judgment on the pleadings may be granted if the applicable pleadings, depositions, answers to interrogatories and admissions, etc. demonstrate that there is no genuine issue of material fact in dispute and the moving party is entitled to judgment in its favor as a matter of law.</w:t>
      </w:r>
      <w:r>
        <w:rPr>
          <w:sz w:val="24"/>
          <w:szCs w:val="24"/>
        </w:rPr>
        <w:t xml:space="preserve">  Nowhere in the Complaint </w:t>
      </w:r>
      <w:proofErr w:type="gramStart"/>
      <w:r>
        <w:rPr>
          <w:sz w:val="24"/>
          <w:szCs w:val="24"/>
        </w:rPr>
        <w:t>does</w:t>
      </w:r>
      <w:proofErr w:type="gramEnd"/>
      <w:r>
        <w:rPr>
          <w:sz w:val="24"/>
          <w:szCs w:val="24"/>
        </w:rPr>
        <w:t xml:space="preserve"> Complainant aver that she participated in the CAP program or that she is seeking a payment arrangement for CAP arrears.  In addition, this defense was not raised in a new matter filed by Respondent, to which Complainant would have been provided an opportunity to file a responsive pleading.  </w:t>
      </w:r>
    </w:p>
    <w:p w:rsidR="007168A8" w:rsidRDefault="007168A8" w:rsidP="007168A8">
      <w:pPr>
        <w:spacing w:line="360" w:lineRule="auto"/>
        <w:ind w:firstLine="1440"/>
        <w:rPr>
          <w:sz w:val="24"/>
          <w:szCs w:val="24"/>
        </w:rPr>
      </w:pPr>
      <w:r>
        <w:rPr>
          <w:sz w:val="24"/>
          <w:szCs w:val="24"/>
        </w:rPr>
        <w:t xml:space="preserve">   </w:t>
      </w:r>
      <w:r w:rsidRPr="00907001">
        <w:rPr>
          <w:sz w:val="24"/>
          <w:szCs w:val="24"/>
        </w:rPr>
        <w:t xml:space="preserve"> </w:t>
      </w:r>
    </w:p>
    <w:p w:rsidR="008A1685" w:rsidRPr="00907001" w:rsidRDefault="008A1685" w:rsidP="00393101">
      <w:pPr>
        <w:spacing w:line="360" w:lineRule="auto"/>
        <w:ind w:firstLine="1440"/>
        <w:rPr>
          <w:sz w:val="24"/>
          <w:szCs w:val="24"/>
        </w:rPr>
      </w:pPr>
      <w:r>
        <w:rPr>
          <w:sz w:val="24"/>
          <w:szCs w:val="24"/>
        </w:rPr>
        <w:t xml:space="preserve">It appears that the formal complaint filed by Complainant raised sufficient </w:t>
      </w:r>
      <w:r w:rsidRPr="00907001">
        <w:rPr>
          <w:sz w:val="24"/>
          <w:szCs w:val="24"/>
        </w:rPr>
        <w:t>issue</w:t>
      </w:r>
      <w:r>
        <w:rPr>
          <w:sz w:val="24"/>
          <w:szCs w:val="24"/>
        </w:rPr>
        <w:t>s</w:t>
      </w:r>
      <w:r w:rsidRPr="00907001">
        <w:rPr>
          <w:sz w:val="24"/>
          <w:szCs w:val="24"/>
        </w:rPr>
        <w:t xml:space="preserve"> of material fact </w:t>
      </w:r>
      <w:r>
        <w:rPr>
          <w:sz w:val="24"/>
          <w:szCs w:val="24"/>
        </w:rPr>
        <w:t>to be determined at a hearing in this matter.  Accordingly</w:t>
      </w:r>
      <w:r w:rsidR="007168A8">
        <w:rPr>
          <w:sz w:val="24"/>
          <w:szCs w:val="24"/>
        </w:rPr>
        <w:t>,</w:t>
      </w:r>
      <w:r>
        <w:rPr>
          <w:sz w:val="24"/>
          <w:szCs w:val="24"/>
        </w:rPr>
        <w:t xml:space="preserve"> Respondent </w:t>
      </w:r>
      <w:r w:rsidRPr="00907001">
        <w:rPr>
          <w:sz w:val="24"/>
          <w:szCs w:val="24"/>
        </w:rPr>
        <w:t>is</w:t>
      </w:r>
      <w:r>
        <w:rPr>
          <w:sz w:val="24"/>
          <w:szCs w:val="24"/>
        </w:rPr>
        <w:t xml:space="preserve"> not</w:t>
      </w:r>
      <w:r w:rsidRPr="00907001">
        <w:rPr>
          <w:sz w:val="24"/>
          <w:szCs w:val="24"/>
        </w:rPr>
        <w:t xml:space="preserve"> entitled to </w:t>
      </w:r>
      <w:r w:rsidR="007168A8">
        <w:rPr>
          <w:sz w:val="24"/>
          <w:szCs w:val="24"/>
        </w:rPr>
        <w:t xml:space="preserve">a partial </w:t>
      </w:r>
      <w:r w:rsidRPr="00907001">
        <w:rPr>
          <w:sz w:val="24"/>
          <w:szCs w:val="24"/>
        </w:rPr>
        <w:t xml:space="preserve">judgment in its favor as a matter of law. </w:t>
      </w:r>
    </w:p>
    <w:p w:rsidR="008A1685" w:rsidRDefault="008A1685" w:rsidP="008A1685">
      <w:pPr>
        <w:spacing w:line="360" w:lineRule="auto"/>
      </w:pPr>
    </w:p>
    <w:p w:rsidR="00B1481D" w:rsidRDefault="008A1685" w:rsidP="008A1685">
      <w:pPr>
        <w:spacing w:line="360" w:lineRule="auto"/>
        <w:ind w:firstLine="720"/>
        <w:rPr>
          <w:sz w:val="24"/>
          <w:szCs w:val="24"/>
        </w:rPr>
      </w:pPr>
      <w:r>
        <w:rPr>
          <w:sz w:val="24"/>
          <w:szCs w:val="24"/>
        </w:rPr>
        <w:tab/>
      </w:r>
    </w:p>
    <w:p w:rsidR="00B1481D" w:rsidRDefault="00B1481D">
      <w:pPr>
        <w:spacing w:after="200" w:line="276" w:lineRule="auto"/>
        <w:rPr>
          <w:sz w:val="24"/>
          <w:szCs w:val="24"/>
        </w:rPr>
      </w:pPr>
      <w:r>
        <w:rPr>
          <w:sz w:val="24"/>
          <w:szCs w:val="24"/>
        </w:rPr>
        <w:br w:type="page"/>
      </w:r>
    </w:p>
    <w:p w:rsidR="008A1685" w:rsidRPr="00964981" w:rsidRDefault="008A1685" w:rsidP="00B1481D">
      <w:pPr>
        <w:spacing w:line="360" w:lineRule="auto"/>
        <w:ind w:left="720" w:firstLine="720"/>
        <w:rPr>
          <w:sz w:val="24"/>
          <w:szCs w:val="24"/>
        </w:rPr>
      </w:pPr>
      <w:r w:rsidRPr="00964981">
        <w:rPr>
          <w:sz w:val="24"/>
          <w:szCs w:val="24"/>
        </w:rPr>
        <w:t>THEREFORE</w:t>
      </w:r>
      <w:r>
        <w:rPr>
          <w:sz w:val="24"/>
          <w:szCs w:val="24"/>
        </w:rPr>
        <w:t>,</w:t>
      </w:r>
    </w:p>
    <w:p w:rsidR="008A1685" w:rsidRPr="00964981" w:rsidRDefault="008A1685" w:rsidP="008A1685">
      <w:pPr>
        <w:spacing w:line="360" w:lineRule="auto"/>
        <w:ind w:firstLine="720"/>
        <w:rPr>
          <w:sz w:val="24"/>
          <w:szCs w:val="24"/>
        </w:rPr>
      </w:pPr>
    </w:p>
    <w:p w:rsidR="008A1685" w:rsidRPr="00964981" w:rsidRDefault="008A1685" w:rsidP="008A1685">
      <w:pPr>
        <w:spacing w:line="360" w:lineRule="auto"/>
        <w:ind w:firstLine="720"/>
        <w:rPr>
          <w:sz w:val="24"/>
          <w:szCs w:val="24"/>
        </w:rPr>
      </w:pPr>
      <w:r w:rsidRPr="00964981">
        <w:rPr>
          <w:sz w:val="24"/>
          <w:szCs w:val="24"/>
        </w:rPr>
        <w:tab/>
        <w:t>IT IS ORDERED:</w:t>
      </w:r>
    </w:p>
    <w:p w:rsidR="008A1685" w:rsidRPr="00964981" w:rsidRDefault="008A1685" w:rsidP="008A1685">
      <w:pPr>
        <w:spacing w:line="360" w:lineRule="auto"/>
        <w:ind w:firstLine="720"/>
        <w:rPr>
          <w:sz w:val="24"/>
          <w:szCs w:val="24"/>
        </w:rPr>
      </w:pPr>
    </w:p>
    <w:p w:rsidR="008A1685" w:rsidRDefault="008A1685" w:rsidP="001515FA">
      <w:pPr>
        <w:pStyle w:val="ListParagraph"/>
        <w:numPr>
          <w:ilvl w:val="0"/>
          <w:numId w:val="2"/>
        </w:numPr>
        <w:spacing w:line="360" w:lineRule="auto"/>
        <w:ind w:left="0" w:firstLine="1440"/>
        <w:rPr>
          <w:sz w:val="24"/>
          <w:szCs w:val="24"/>
        </w:rPr>
      </w:pPr>
      <w:r>
        <w:rPr>
          <w:sz w:val="24"/>
          <w:szCs w:val="24"/>
        </w:rPr>
        <w:t>That th</w:t>
      </w:r>
      <w:r w:rsidRPr="0076675C">
        <w:rPr>
          <w:sz w:val="24"/>
          <w:szCs w:val="24"/>
        </w:rPr>
        <w:t xml:space="preserve">e </w:t>
      </w:r>
      <w:r>
        <w:rPr>
          <w:sz w:val="24"/>
          <w:szCs w:val="24"/>
        </w:rPr>
        <w:t>motion for</w:t>
      </w:r>
      <w:r w:rsidR="007168A8">
        <w:rPr>
          <w:sz w:val="24"/>
          <w:szCs w:val="24"/>
        </w:rPr>
        <w:t xml:space="preserve"> partial</w:t>
      </w:r>
      <w:r>
        <w:rPr>
          <w:sz w:val="24"/>
          <w:szCs w:val="24"/>
        </w:rPr>
        <w:t xml:space="preserve"> judgment on the pleadings filed by </w:t>
      </w:r>
      <w:r w:rsidR="007168A8">
        <w:rPr>
          <w:sz w:val="24"/>
        </w:rPr>
        <w:t>Duquesne Light Company</w:t>
      </w:r>
      <w:r w:rsidR="007168A8" w:rsidRPr="0076675C">
        <w:rPr>
          <w:sz w:val="24"/>
          <w:szCs w:val="24"/>
        </w:rPr>
        <w:t xml:space="preserve"> </w:t>
      </w:r>
      <w:r w:rsidRPr="0076675C">
        <w:rPr>
          <w:sz w:val="24"/>
          <w:szCs w:val="24"/>
        </w:rPr>
        <w:t>seeking a</w:t>
      </w:r>
      <w:r>
        <w:rPr>
          <w:sz w:val="24"/>
          <w:szCs w:val="24"/>
        </w:rPr>
        <w:t xml:space="preserve"> dismissal of </w:t>
      </w:r>
      <w:r w:rsidR="007168A8">
        <w:rPr>
          <w:sz w:val="24"/>
          <w:szCs w:val="24"/>
        </w:rPr>
        <w:t xml:space="preserve">Complainant’s request for a payment arrangement, with prejudice, </w:t>
      </w:r>
      <w:r w:rsidRPr="0076675C">
        <w:rPr>
          <w:sz w:val="24"/>
          <w:szCs w:val="24"/>
        </w:rPr>
        <w:t xml:space="preserve">is denied.  </w:t>
      </w:r>
    </w:p>
    <w:p w:rsidR="001515FA" w:rsidRDefault="001515FA" w:rsidP="001515FA">
      <w:pPr>
        <w:spacing w:line="360" w:lineRule="auto"/>
        <w:rPr>
          <w:sz w:val="24"/>
          <w:szCs w:val="24"/>
        </w:rPr>
      </w:pPr>
    </w:p>
    <w:p w:rsidR="006A16C3" w:rsidRPr="006A16C3" w:rsidRDefault="006A16C3" w:rsidP="006A16C3">
      <w:pPr>
        <w:pStyle w:val="ListParagraph"/>
        <w:numPr>
          <w:ilvl w:val="0"/>
          <w:numId w:val="2"/>
        </w:numPr>
        <w:spacing w:line="360" w:lineRule="auto"/>
        <w:ind w:left="0" w:firstLine="1440"/>
        <w:rPr>
          <w:sz w:val="24"/>
          <w:szCs w:val="24"/>
        </w:rPr>
      </w:pPr>
      <w:r w:rsidRPr="006A16C3">
        <w:rPr>
          <w:sz w:val="24"/>
          <w:szCs w:val="24"/>
        </w:rPr>
        <w:t>Th</w:t>
      </w:r>
      <w:r w:rsidR="00355694">
        <w:rPr>
          <w:sz w:val="24"/>
          <w:szCs w:val="24"/>
        </w:rPr>
        <w:t>at th</w:t>
      </w:r>
      <w:bookmarkStart w:id="0" w:name="_GoBack"/>
      <w:bookmarkEnd w:id="0"/>
      <w:r w:rsidRPr="006A16C3">
        <w:rPr>
          <w:sz w:val="24"/>
          <w:szCs w:val="24"/>
        </w:rPr>
        <w:t>e Parties shall appear and participate at the telephoni</w:t>
      </w:r>
      <w:r w:rsidR="00E05D57">
        <w:rPr>
          <w:sz w:val="24"/>
          <w:szCs w:val="24"/>
        </w:rPr>
        <w:t xml:space="preserve">c hearing in this proceeding on </w:t>
      </w:r>
      <w:r w:rsidRPr="006A16C3">
        <w:rPr>
          <w:sz w:val="24"/>
          <w:szCs w:val="24"/>
        </w:rPr>
        <w:t>January 30, 2018 at 10:00 a.m. as previously scheduled.</w:t>
      </w:r>
    </w:p>
    <w:p w:rsidR="001515FA" w:rsidRPr="001515FA" w:rsidRDefault="001515FA" w:rsidP="006A16C3">
      <w:pPr>
        <w:pStyle w:val="ListParagraph"/>
        <w:spacing w:line="360" w:lineRule="auto"/>
        <w:ind w:left="2160"/>
        <w:rPr>
          <w:sz w:val="24"/>
          <w:szCs w:val="24"/>
        </w:rPr>
      </w:pPr>
    </w:p>
    <w:p w:rsidR="008A1685" w:rsidRPr="0076675C" w:rsidRDefault="008A1685" w:rsidP="008A1685">
      <w:pPr>
        <w:tabs>
          <w:tab w:val="left" w:pos="0"/>
        </w:tabs>
        <w:spacing w:line="360" w:lineRule="auto"/>
        <w:jc w:val="both"/>
        <w:rPr>
          <w:sz w:val="24"/>
          <w:szCs w:val="24"/>
        </w:rPr>
      </w:pPr>
    </w:p>
    <w:p w:rsidR="008A1685" w:rsidRDefault="008A1685" w:rsidP="008A1685">
      <w:pPr>
        <w:tabs>
          <w:tab w:val="left" w:pos="0"/>
        </w:tabs>
        <w:spacing w:line="360" w:lineRule="auto"/>
        <w:jc w:val="both"/>
        <w:rPr>
          <w:sz w:val="24"/>
        </w:rPr>
      </w:pPr>
    </w:p>
    <w:p w:rsidR="008A1685" w:rsidRDefault="008A1685" w:rsidP="008A1685">
      <w:pPr>
        <w:tabs>
          <w:tab w:val="left" w:pos="0"/>
        </w:tabs>
        <w:jc w:val="both"/>
        <w:rPr>
          <w:sz w:val="24"/>
        </w:rPr>
      </w:pPr>
      <w:r>
        <w:rPr>
          <w:sz w:val="24"/>
        </w:rPr>
        <w:t xml:space="preserve">Date:  </w:t>
      </w:r>
      <w:r w:rsidR="007168A8" w:rsidRPr="00B1481D">
        <w:rPr>
          <w:sz w:val="24"/>
          <w:u w:val="single"/>
        </w:rPr>
        <w:t>January 24, 2018</w:t>
      </w:r>
      <w:r>
        <w:rPr>
          <w:sz w:val="24"/>
        </w:rPr>
        <w:t xml:space="preserve">                 </w:t>
      </w:r>
      <w:r>
        <w:rPr>
          <w:sz w:val="24"/>
        </w:rPr>
        <w:tab/>
      </w:r>
      <w:r>
        <w:rPr>
          <w:sz w:val="24"/>
        </w:rPr>
        <w:tab/>
      </w:r>
      <w:r>
        <w:rPr>
          <w:sz w:val="24"/>
        </w:rPr>
        <w:tab/>
        <w:t>______________________________</w:t>
      </w:r>
      <w:r w:rsidR="00393101">
        <w:rPr>
          <w:sz w:val="24"/>
        </w:rPr>
        <w:t>_____</w:t>
      </w:r>
    </w:p>
    <w:p w:rsidR="008A1685" w:rsidRDefault="008A1685" w:rsidP="008A168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Jeffrey A. Watson</w:t>
      </w:r>
    </w:p>
    <w:p w:rsidR="008A1685" w:rsidRDefault="008A1685" w:rsidP="008A1685">
      <w:pPr>
        <w:tabs>
          <w:tab w:val="left" w:pos="0"/>
        </w:tabs>
        <w:jc w:val="both"/>
        <w:rPr>
          <w:b/>
          <w:sz w:val="24"/>
          <w:szCs w:val="24"/>
        </w:rPr>
        <w:sectPr w:rsidR="008A1685" w:rsidSect="00440BA8">
          <w:footerReference w:type="even" r:id="rId8"/>
          <w:footerReference w:type="default" r:id="rId9"/>
          <w:pgSz w:w="12240" w:h="15840"/>
          <w:pgMar w:top="1440" w:right="1440" w:bottom="1440" w:left="1440" w:header="720" w:footer="720" w:gutter="0"/>
          <w:pgNumType w:start="1"/>
          <w:cols w:space="720"/>
          <w:titlePg/>
          <w:docGrid w:linePitch="360"/>
        </w:sectPr>
      </w:pPr>
      <w:r>
        <w:rPr>
          <w:sz w:val="24"/>
        </w:rPr>
        <w:tab/>
      </w:r>
      <w:r>
        <w:rPr>
          <w:sz w:val="24"/>
        </w:rPr>
        <w:tab/>
      </w:r>
      <w:r>
        <w:rPr>
          <w:sz w:val="24"/>
        </w:rPr>
        <w:tab/>
      </w:r>
      <w:r>
        <w:rPr>
          <w:sz w:val="24"/>
        </w:rPr>
        <w:tab/>
      </w:r>
      <w:r>
        <w:rPr>
          <w:sz w:val="24"/>
        </w:rPr>
        <w:tab/>
      </w:r>
      <w:r>
        <w:rPr>
          <w:sz w:val="24"/>
        </w:rPr>
        <w:tab/>
      </w:r>
      <w:r>
        <w:rPr>
          <w:sz w:val="24"/>
        </w:rPr>
        <w:tab/>
        <w:t>Administrative Law Judge</w:t>
      </w:r>
      <w:r>
        <w:rPr>
          <w:b/>
          <w:sz w:val="24"/>
          <w:szCs w:val="24"/>
        </w:rPr>
        <w:tab/>
      </w:r>
    </w:p>
    <w:p w:rsidR="000A0A3F" w:rsidRPr="000A0A3F" w:rsidRDefault="000A0A3F" w:rsidP="000A0A3F">
      <w:pPr>
        <w:rPr>
          <w:rFonts w:ascii="Microsoft Sans Serif" w:hAnsi="Microsoft Sans Serif" w:cs="Microsoft Sans Serif"/>
          <w:b/>
          <w:caps/>
          <w:sz w:val="24"/>
          <w:szCs w:val="24"/>
          <w:u w:val="single"/>
        </w:rPr>
      </w:pPr>
      <w:r w:rsidRPr="000A0A3F">
        <w:rPr>
          <w:rFonts w:ascii="Microsoft Sans Serif" w:hAnsi="Microsoft Sans Serif" w:cs="Microsoft Sans Serif"/>
          <w:b/>
          <w:caps/>
          <w:noProof/>
          <w:sz w:val="24"/>
          <w:szCs w:val="24"/>
          <w:u w:val="single"/>
        </w:rPr>
        <w:t>C-2017-</w:t>
      </w:r>
      <w:proofErr w:type="gramStart"/>
      <w:r w:rsidRPr="000A0A3F">
        <w:rPr>
          <w:rFonts w:ascii="Microsoft Sans Serif" w:hAnsi="Microsoft Sans Serif" w:cs="Microsoft Sans Serif"/>
          <w:b/>
          <w:caps/>
          <w:noProof/>
          <w:sz w:val="24"/>
          <w:szCs w:val="24"/>
          <w:u w:val="single"/>
        </w:rPr>
        <w:t>2624046</w:t>
      </w:r>
      <w:r w:rsidRPr="000A0A3F">
        <w:rPr>
          <w:rFonts w:ascii="Microsoft Sans Serif" w:hAnsi="Microsoft Sans Serif" w:cs="Microsoft Sans Serif"/>
          <w:b/>
          <w:caps/>
          <w:sz w:val="24"/>
          <w:szCs w:val="24"/>
          <w:u w:val="single"/>
        </w:rPr>
        <w:t xml:space="preserve">  </w:t>
      </w:r>
      <w:r w:rsidRPr="000A0A3F">
        <w:rPr>
          <w:rFonts w:ascii="Microsoft Sans Serif" w:hAnsi="Microsoft Sans Serif" w:cs="Microsoft Sans Serif"/>
          <w:b/>
          <w:caps/>
          <w:noProof/>
          <w:sz w:val="24"/>
          <w:szCs w:val="24"/>
          <w:u w:val="single"/>
        </w:rPr>
        <w:t>Alisa</w:t>
      </w:r>
      <w:proofErr w:type="gramEnd"/>
      <w:r w:rsidRPr="000A0A3F">
        <w:rPr>
          <w:rFonts w:ascii="Microsoft Sans Serif" w:hAnsi="Microsoft Sans Serif" w:cs="Microsoft Sans Serif"/>
          <w:b/>
          <w:caps/>
          <w:noProof/>
          <w:sz w:val="24"/>
          <w:szCs w:val="24"/>
          <w:u w:val="single"/>
        </w:rPr>
        <w:t xml:space="preserve"> R Stroud v. Duquesne Light Company</w:t>
      </w:r>
    </w:p>
    <w:p w:rsidR="000A0A3F" w:rsidRPr="000A0A3F" w:rsidRDefault="000A0A3F" w:rsidP="000A0A3F">
      <w:pPr>
        <w:rPr>
          <w:rFonts w:ascii="Microsoft Sans Serif" w:hAnsi="Microsoft Sans Serif" w:cs="Microsoft Sans Serif"/>
          <w:caps/>
          <w:sz w:val="24"/>
          <w:szCs w:val="24"/>
        </w:rPr>
      </w:pPr>
    </w:p>
    <w:p w:rsidR="000A0A3F" w:rsidRPr="000A0A3F" w:rsidRDefault="000A0A3F" w:rsidP="000A0A3F">
      <w:pPr>
        <w:rPr>
          <w:rFonts w:ascii="Microsoft Sans Serif" w:hAnsi="Microsoft Sans Serif" w:cs="Microsoft Sans Serif"/>
          <w:caps/>
          <w:sz w:val="24"/>
          <w:szCs w:val="24"/>
        </w:rPr>
      </w:pP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alisa r stroud</w:t>
      </w: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112 palace ct</w:t>
      </w:r>
    </w:p>
    <w:p w:rsidR="000A0A3F" w:rsidRPr="000A0A3F" w:rsidRDefault="000A0A3F" w:rsidP="000A0A3F">
      <w:pPr>
        <w:rPr>
          <w:rFonts w:ascii="Microsoft Sans Serif" w:hAnsi="Microsoft Sans Serif" w:cs="Microsoft Sans Serif"/>
          <w:caps/>
          <w:sz w:val="24"/>
          <w:szCs w:val="24"/>
        </w:rPr>
      </w:pPr>
      <w:r w:rsidRPr="000A0A3F">
        <w:rPr>
          <w:rFonts w:ascii="Microsoft Sans Serif" w:hAnsi="Microsoft Sans Serif" w:cs="Microsoft Sans Serif"/>
          <w:caps/>
          <w:noProof/>
          <w:sz w:val="24"/>
          <w:szCs w:val="24"/>
        </w:rPr>
        <w:t>pittsburgh pa 15227</w:t>
      </w:r>
    </w:p>
    <w:p w:rsidR="000A0A3F" w:rsidRPr="000A0A3F" w:rsidRDefault="000A0A3F" w:rsidP="000A0A3F">
      <w:pPr>
        <w:rPr>
          <w:rFonts w:ascii="Microsoft Sans Serif" w:hAnsi="Microsoft Sans Serif" w:cs="Microsoft Sans Serif"/>
          <w:b/>
          <w:caps/>
          <w:noProof/>
          <w:sz w:val="24"/>
          <w:szCs w:val="24"/>
        </w:rPr>
      </w:pPr>
      <w:r w:rsidRPr="000A0A3F">
        <w:rPr>
          <w:rFonts w:ascii="Microsoft Sans Serif" w:hAnsi="Microsoft Sans Serif" w:cs="Microsoft Sans Serif"/>
          <w:b/>
          <w:caps/>
          <w:noProof/>
          <w:sz w:val="24"/>
          <w:szCs w:val="24"/>
        </w:rPr>
        <w:t>412.515.5468</w:t>
      </w:r>
    </w:p>
    <w:p w:rsidR="000A0A3F" w:rsidRPr="000A0A3F" w:rsidRDefault="000A0A3F" w:rsidP="000A0A3F">
      <w:pPr>
        <w:rPr>
          <w:rFonts w:ascii="Microsoft Sans Serif" w:hAnsi="Microsoft Sans Serif" w:cs="Microsoft Sans Serif"/>
          <w:caps/>
          <w:sz w:val="24"/>
          <w:szCs w:val="24"/>
        </w:rPr>
      </w:pPr>
    </w:p>
    <w:p w:rsidR="000A0A3F" w:rsidRPr="000A0A3F" w:rsidRDefault="000A0A3F" w:rsidP="000A0A3F">
      <w:pPr>
        <w:rPr>
          <w:rFonts w:ascii="Microsoft Sans Serif" w:hAnsi="Microsoft Sans Serif" w:cs="Microsoft Sans Serif"/>
          <w:caps/>
          <w:sz w:val="24"/>
          <w:szCs w:val="24"/>
        </w:rPr>
      </w:pP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paul s miller esquire</w:t>
      </w: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tucker arensberg, pc</w:t>
      </w: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1500 one ppg place</w:t>
      </w:r>
    </w:p>
    <w:p w:rsidR="000A0A3F" w:rsidRPr="000A0A3F" w:rsidRDefault="000A0A3F" w:rsidP="000A0A3F">
      <w:pPr>
        <w:rPr>
          <w:rFonts w:ascii="Microsoft Sans Serif" w:hAnsi="Microsoft Sans Serif" w:cs="Microsoft Sans Serif"/>
          <w:caps/>
          <w:noProof/>
          <w:sz w:val="24"/>
          <w:szCs w:val="24"/>
        </w:rPr>
      </w:pPr>
      <w:r w:rsidRPr="000A0A3F">
        <w:rPr>
          <w:rFonts w:ascii="Microsoft Sans Serif" w:hAnsi="Microsoft Sans Serif" w:cs="Microsoft Sans Serif"/>
          <w:caps/>
          <w:noProof/>
          <w:sz w:val="24"/>
          <w:szCs w:val="24"/>
        </w:rPr>
        <w:t>pittsburgh pa 15222</w:t>
      </w:r>
    </w:p>
    <w:p w:rsidR="000A0A3F" w:rsidRPr="000A0A3F" w:rsidRDefault="000A0A3F" w:rsidP="000A0A3F">
      <w:pPr>
        <w:rPr>
          <w:rFonts w:ascii="Microsoft Sans Serif" w:hAnsi="Microsoft Sans Serif" w:cs="Microsoft Sans Serif"/>
          <w:b/>
          <w:caps/>
          <w:noProof/>
          <w:sz w:val="24"/>
          <w:szCs w:val="24"/>
        </w:rPr>
        <w:sectPr w:rsidR="000A0A3F" w:rsidRPr="000A0A3F" w:rsidSect="00C30B7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0A0A3F">
        <w:rPr>
          <w:rFonts w:ascii="Microsoft Sans Serif" w:hAnsi="Microsoft Sans Serif" w:cs="Microsoft Sans Serif"/>
          <w:b/>
          <w:caps/>
          <w:noProof/>
          <w:sz w:val="24"/>
          <w:szCs w:val="24"/>
        </w:rPr>
        <w:t>412.594.5503</w:t>
      </w:r>
    </w:p>
    <w:p w:rsidR="000A0A3F" w:rsidRPr="000A0A3F" w:rsidRDefault="000A0A3F" w:rsidP="000A0A3F">
      <w:pPr>
        <w:rPr>
          <w:rFonts w:ascii="Microsoft Sans Serif" w:hAnsi="Microsoft Sans Serif" w:cs="Microsoft Sans Serif"/>
          <w:b/>
          <w:i/>
          <w:caps/>
          <w:sz w:val="24"/>
          <w:szCs w:val="24"/>
          <w:u w:val="single"/>
        </w:rPr>
      </w:pPr>
      <w:r w:rsidRPr="000A0A3F">
        <w:rPr>
          <w:rFonts w:ascii="Microsoft Sans Serif" w:hAnsi="Microsoft Sans Serif" w:cs="Microsoft Sans Serif"/>
          <w:b/>
          <w:i/>
          <w:caps/>
          <w:sz w:val="24"/>
          <w:szCs w:val="24"/>
          <w:u w:val="single"/>
        </w:rPr>
        <w:t>e-service</w:t>
      </w:r>
    </w:p>
    <w:p w:rsidR="00440BA8" w:rsidRDefault="00440BA8"/>
    <w:sectPr w:rsidR="00440BA8" w:rsidSect="00C30B7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EFA" w:rsidRDefault="007B1EFA" w:rsidP="008A1685">
      <w:r>
        <w:separator/>
      </w:r>
    </w:p>
  </w:endnote>
  <w:endnote w:type="continuationSeparator" w:id="0">
    <w:p w:rsidR="007B1EFA" w:rsidRDefault="007B1EFA" w:rsidP="008A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BA8" w:rsidRDefault="00440B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0BA8" w:rsidRDefault="00440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62954"/>
      <w:docPartObj>
        <w:docPartGallery w:val="Page Numbers (Bottom of Page)"/>
        <w:docPartUnique/>
      </w:docPartObj>
    </w:sdtPr>
    <w:sdtEndPr>
      <w:rPr>
        <w:sz w:val="24"/>
        <w:szCs w:val="24"/>
      </w:rPr>
    </w:sdtEndPr>
    <w:sdtContent>
      <w:p w:rsidR="00440BA8" w:rsidRPr="00FF331C" w:rsidRDefault="00440BA8">
        <w:pPr>
          <w:pStyle w:val="Footer"/>
          <w:jc w:val="center"/>
          <w:rPr>
            <w:sz w:val="24"/>
            <w:szCs w:val="24"/>
          </w:rPr>
        </w:pPr>
        <w:r w:rsidRPr="00FF331C">
          <w:rPr>
            <w:sz w:val="24"/>
            <w:szCs w:val="24"/>
          </w:rPr>
          <w:fldChar w:fldCharType="begin"/>
        </w:r>
        <w:r w:rsidRPr="00FF331C">
          <w:rPr>
            <w:sz w:val="24"/>
            <w:szCs w:val="24"/>
          </w:rPr>
          <w:instrText xml:space="preserve"> PAGE   \* MERGEFORMAT </w:instrText>
        </w:r>
        <w:r w:rsidRPr="00FF331C">
          <w:rPr>
            <w:sz w:val="24"/>
            <w:szCs w:val="24"/>
          </w:rPr>
          <w:fldChar w:fldCharType="separate"/>
        </w:r>
        <w:r w:rsidR="00355694">
          <w:rPr>
            <w:noProof/>
            <w:sz w:val="24"/>
            <w:szCs w:val="24"/>
          </w:rPr>
          <w:t>4</w:t>
        </w:r>
        <w:r w:rsidRPr="00FF331C">
          <w:rPr>
            <w:noProof/>
            <w:sz w:val="24"/>
            <w:szCs w:val="24"/>
          </w:rPr>
          <w:fldChar w:fldCharType="end"/>
        </w:r>
      </w:p>
    </w:sdtContent>
  </w:sdt>
  <w:p w:rsidR="00440BA8" w:rsidRDefault="00440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Default="000A0A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Default="000A0A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Pr="004C134C" w:rsidRDefault="000A0A3F" w:rsidP="004C13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3556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3556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35569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EFA" w:rsidRDefault="007B1EFA" w:rsidP="008A1685">
      <w:r>
        <w:separator/>
      </w:r>
    </w:p>
  </w:footnote>
  <w:footnote w:type="continuationSeparator" w:id="0">
    <w:p w:rsidR="007B1EFA" w:rsidRDefault="007B1EFA" w:rsidP="008A1685">
      <w:r>
        <w:continuationSeparator/>
      </w:r>
    </w:p>
  </w:footnote>
  <w:footnote w:id="1">
    <w:p w:rsidR="00440BA8" w:rsidRDefault="00440BA8" w:rsidP="00B1481D">
      <w:pPr>
        <w:pStyle w:val="FootnoteText"/>
      </w:pPr>
      <w:r>
        <w:rPr>
          <w:rStyle w:val="FootnoteReference"/>
        </w:rPr>
        <w:footnoteRef/>
      </w:r>
      <w:r w:rsidR="00B1481D">
        <w:t xml:space="preserve">  </w:t>
      </w:r>
      <w:r w:rsidR="00B1481D">
        <w:tab/>
        <w:t xml:space="preserve">52 </w:t>
      </w:r>
      <w:proofErr w:type="spellStart"/>
      <w:proofErr w:type="gramStart"/>
      <w:r w:rsidR="00B1481D">
        <w:t>Pa.</w:t>
      </w:r>
      <w:r>
        <w:t>Code</w:t>
      </w:r>
      <w:proofErr w:type="spellEnd"/>
      <w:proofErr w:type="gramEnd"/>
      <w:r>
        <w:t xml:space="preserve"> § 5.102(d)(1).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Default="000A0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Default="000A0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3F" w:rsidRDefault="000A0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3556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3556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355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761147"/>
    <w:multiLevelType w:val="hybridMultilevel"/>
    <w:tmpl w:val="F45612F0"/>
    <w:lvl w:ilvl="0" w:tplc="F0B02F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85"/>
    <w:rsid w:val="000A0A3F"/>
    <w:rsid w:val="001515FA"/>
    <w:rsid w:val="00183723"/>
    <w:rsid w:val="00320290"/>
    <w:rsid w:val="00355694"/>
    <w:rsid w:val="00386704"/>
    <w:rsid w:val="00393101"/>
    <w:rsid w:val="00440BA8"/>
    <w:rsid w:val="00600B0D"/>
    <w:rsid w:val="0062731A"/>
    <w:rsid w:val="006A16C3"/>
    <w:rsid w:val="007168A8"/>
    <w:rsid w:val="007B1EFA"/>
    <w:rsid w:val="007B5C79"/>
    <w:rsid w:val="007D339B"/>
    <w:rsid w:val="007E3E38"/>
    <w:rsid w:val="00863099"/>
    <w:rsid w:val="008A1685"/>
    <w:rsid w:val="008B0952"/>
    <w:rsid w:val="009207C3"/>
    <w:rsid w:val="009B01C3"/>
    <w:rsid w:val="00A9715A"/>
    <w:rsid w:val="00AD3B6A"/>
    <w:rsid w:val="00B05CF6"/>
    <w:rsid w:val="00B1481D"/>
    <w:rsid w:val="00BC4FBE"/>
    <w:rsid w:val="00BD75BC"/>
    <w:rsid w:val="00CC0217"/>
    <w:rsid w:val="00D347B3"/>
    <w:rsid w:val="00DA1CA6"/>
    <w:rsid w:val="00E05D57"/>
    <w:rsid w:val="00E516ED"/>
    <w:rsid w:val="00E60E0A"/>
    <w:rsid w:val="00F97245"/>
    <w:rsid w:val="00FE458A"/>
    <w:rsid w:val="00FF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EE2E"/>
  <w15:chartTrackingRefBased/>
  <w15:docId w15:val="{D4E9DE0A-32EB-4368-9EC6-145BDDC6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6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1685"/>
    <w:pPr>
      <w:tabs>
        <w:tab w:val="center" w:pos="4320"/>
        <w:tab w:val="right" w:pos="8640"/>
      </w:tabs>
    </w:pPr>
  </w:style>
  <w:style w:type="character" w:customStyle="1" w:styleId="FooterChar">
    <w:name w:val="Footer Char"/>
    <w:basedOn w:val="DefaultParagraphFont"/>
    <w:link w:val="Footer"/>
    <w:rsid w:val="008A1685"/>
    <w:rPr>
      <w:rFonts w:ascii="Times New Roman" w:eastAsia="Times New Roman" w:hAnsi="Times New Roman" w:cs="Times New Roman"/>
      <w:sz w:val="20"/>
      <w:szCs w:val="20"/>
    </w:rPr>
  </w:style>
  <w:style w:type="character" w:styleId="PageNumber">
    <w:name w:val="page number"/>
    <w:basedOn w:val="DefaultParagraphFont"/>
    <w:rsid w:val="008A1685"/>
  </w:style>
  <w:style w:type="paragraph" w:styleId="Title">
    <w:name w:val="Title"/>
    <w:basedOn w:val="Normal"/>
    <w:link w:val="TitleChar"/>
    <w:qFormat/>
    <w:rsid w:val="008A1685"/>
    <w:pPr>
      <w:tabs>
        <w:tab w:val="left" w:pos="360"/>
      </w:tabs>
      <w:spacing w:line="233" w:lineRule="auto"/>
      <w:jc w:val="center"/>
    </w:pPr>
    <w:rPr>
      <w:b/>
      <w:sz w:val="24"/>
    </w:rPr>
  </w:style>
  <w:style w:type="character" w:customStyle="1" w:styleId="TitleChar">
    <w:name w:val="Title Char"/>
    <w:basedOn w:val="DefaultParagraphFont"/>
    <w:link w:val="Title"/>
    <w:rsid w:val="008A1685"/>
    <w:rPr>
      <w:rFonts w:ascii="Times New Roman" w:eastAsia="Times New Roman" w:hAnsi="Times New Roman" w:cs="Times New Roman"/>
      <w:b/>
      <w:sz w:val="24"/>
      <w:szCs w:val="20"/>
    </w:rPr>
  </w:style>
  <w:style w:type="paragraph" w:styleId="ListParagraph">
    <w:name w:val="List Paragraph"/>
    <w:basedOn w:val="Normal"/>
    <w:uiPriority w:val="34"/>
    <w:qFormat/>
    <w:rsid w:val="008A1685"/>
    <w:pPr>
      <w:ind w:left="720"/>
      <w:contextualSpacing/>
    </w:pPr>
  </w:style>
  <w:style w:type="paragraph" w:styleId="FootnoteText">
    <w:name w:val="footnote text"/>
    <w:aliases w:val="Car"/>
    <w:basedOn w:val="Normal"/>
    <w:link w:val="FootnoteTextChar"/>
    <w:uiPriority w:val="99"/>
    <w:qFormat/>
    <w:rsid w:val="008A1685"/>
  </w:style>
  <w:style w:type="character" w:customStyle="1" w:styleId="FootnoteTextChar">
    <w:name w:val="Footnote Text Char"/>
    <w:aliases w:val="Car Char"/>
    <w:basedOn w:val="DefaultParagraphFont"/>
    <w:link w:val="FootnoteText"/>
    <w:uiPriority w:val="99"/>
    <w:rsid w:val="008A168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A1685"/>
    <w:rPr>
      <w:vertAlign w:val="superscript"/>
    </w:rPr>
  </w:style>
  <w:style w:type="paragraph" w:styleId="Header">
    <w:name w:val="header"/>
    <w:basedOn w:val="Normal"/>
    <w:link w:val="HeaderChar"/>
    <w:rsid w:val="000A0A3F"/>
    <w:pPr>
      <w:tabs>
        <w:tab w:val="center" w:pos="4680"/>
        <w:tab w:val="right" w:pos="9360"/>
      </w:tabs>
    </w:pPr>
    <w:rPr>
      <w:sz w:val="24"/>
    </w:rPr>
  </w:style>
  <w:style w:type="character" w:customStyle="1" w:styleId="HeaderChar">
    <w:name w:val="Header Char"/>
    <w:basedOn w:val="DefaultParagraphFont"/>
    <w:link w:val="Header"/>
    <w:rsid w:val="000A0A3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3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61E3-E1CE-429F-892A-8A0A54E1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2018-01-24T19:27:00Z</cp:lastPrinted>
  <dcterms:created xsi:type="dcterms:W3CDTF">2018-01-24T17:58:00Z</dcterms:created>
  <dcterms:modified xsi:type="dcterms:W3CDTF">2018-01-24T19:44:00Z</dcterms:modified>
</cp:coreProperties>
</file>