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72" w:rsidRPr="00631C3D" w:rsidRDefault="00E10672" w:rsidP="00E10672">
      <w:pPr>
        <w:tabs>
          <w:tab w:val="right" w:pos="8640"/>
        </w:tabs>
        <w:spacing w:line="240" w:lineRule="auto"/>
        <w:contextualSpacing/>
        <w:jc w:val="center"/>
        <w:rPr>
          <w:rFonts w:ascii="Times New Roman" w:hAnsi="Times New Roman"/>
          <w:b/>
          <w:sz w:val="24"/>
          <w:szCs w:val="24"/>
        </w:rPr>
      </w:pPr>
      <w:r w:rsidRPr="00631C3D">
        <w:rPr>
          <w:rFonts w:ascii="Times New Roman" w:hAnsi="Times New Roman"/>
          <w:b/>
          <w:caps/>
          <w:sz w:val="24"/>
          <w:szCs w:val="24"/>
        </w:rPr>
        <w:t>Before the</w:t>
      </w:r>
    </w:p>
    <w:p w:rsidR="00E10672" w:rsidRPr="00631C3D" w:rsidRDefault="00E10672" w:rsidP="00E10672">
      <w:pPr>
        <w:spacing w:after="0" w:line="240" w:lineRule="auto"/>
        <w:jc w:val="center"/>
        <w:rPr>
          <w:rFonts w:ascii="Times New Roman" w:hAnsi="Times New Roman"/>
          <w:b/>
          <w:sz w:val="24"/>
          <w:szCs w:val="24"/>
        </w:rPr>
      </w:pPr>
      <w:r w:rsidRPr="00631C3D">
        <w:rPr>
          <w:rFonts w:ascii="Times New Roman" w:hAnsi="Times New Roman"/>
          <w:b/>
          <w:sz w:val="24"/>
          <w:szCs w:val="24"/>
        </w:rPr>
        <w:t>PENNSYLVANIA PUBLIC UTILITY COMMISSION</w:t>
      </w:r>
    </w:p>
    <w:p w:rsidR="00E10672" w:rsidRPr="00631C3D" w:rsidRDefault="00E10672" w:rsidP="00E10672">
      <w:pPr>
        <w:spacing w:after="0"/>
        <w:jc w:val="center"/>
        <w:rPr>
          <w:rFonts w:ascii="Times New Roman" w:hAnsi="Times New Roman"/>
          <w:b/>
          <w:sz w:val="24"/>
          <w:szCs w:val="24"/>
          <w:u w:val="single"/>
        </w:rPr>
      </w:pPr>
    </w:p>
    <w:p w:rsidR="00E10672" w:rsidRPr="00631C3D" w:rsidRDefault="00E10672" w:rsidP="00E10672">
      <w:pPr>
        <w:spacing w:after="0"/>
        <w:jc w:val="center"/>
        <w:rPr>
          <w:rFonts w:ascii="Times New Roman" w:hAnsi="Times New Roman"/>
          <w:b/>
          <w:sz w:val="24"/>
          <w:szCs w:val="24"/>
          <w:u w:val="single"/>
        </w:rPr>
      </w:pPr>
    </w:p>
    <w:p w:rsidR="00E10672" w:rsidRPr="00631C3D" w:rsidRDefault="00E10672" w:rsidP="00E10672">
      <w:pPr>
        <w:spacing w:after="0"/>
        <w:jc w:val="center"/>
        <w:rPr>
          <w:rFonts w:ascii="Times New Roman" w:hAnsi="Times New Roman"/>
          <w:b/>
          <w:sz w:val="24"/>
          <w:szCs w:val="24"/>
          <w:u w:val="single"/>
        </w:rPr>
      </w:pP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 xml:space="preserve">Michele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 xml:space="preserve"> and</w:t>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 xml:space="preserve">Francis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ab/>
        <w:t>v.</w:t>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r w:rsidRPr="00631C3D">
        <w:rPr>
          <w:rFonts w:ascii="Times New Roman" w:hAnsi="Times New Roman"/>
          <w:sz w:val="24"/>
          <w:szCs w:val="24"/>
        </w:rPr>
        <w:tab/>
      </w:r>
      <w:r w:rsidRPr="00631C3D">
        <w:rPr>
          <w:rFonts w:ascii="Times New Roman" w:hAnsi="Times New Roman"/>
          <w:sz w:val="24"/>
          <w:szCs w:val="24"/>
        </w:rPr>
        <w:tab/>
        <w:t>C-2016-2571726</w:t>
      </w: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p>
    <w:p w:rsidR="00E10672" w:rsidRPr="00631C3D" w:rsidRDefault="00E10672" w:rsidP="00564EB9">
      <w:pPr>
        <w:spacing w:after="0" w:line="240" w:lineRule="auto"/>
        <w:jc w:val="both"/>
        <w:rPr>
          <w:rFonts w:ascii="Times New Roman" w:hAnsi="Times New Roman"/>
          <w:sz w:val="24"/>
          <w:szCs w:val="24"/>
        </w:rPr>
      </w:pPr>
      <w:r w:rsidRPr="00631C3D">
        <w:rPr>
          <w:rFonts w:ascii="Times New Roman" w:hAnsi="Times New Roman"/>
          <w:sz w:val="24"/>
          <w:szCs w:val="24"/>
        </w:rPr>
        <w:t>Duquesne Light Company</w:t>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t>:</w:t>
      </w:r>
    </w:p>
    <w:p w:rsidR="00E10672" w:rsidRPr="00631C3D" w:rsidRDefault="00E10672" w:rsidP="00E10672">
      <w:pPr>
        <w:spacing w:after="0"/>
        <w:jc w:val="both"/>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r w:rsidRPr="00631C3D">
        <w:rPr>
          <w:rFonts w:ascii="Times New Roman" w:hAnsi="Times New Roman"/>
          <w:sz w:val="24"/>
          <w:szCs w:val="24"/>
        </w:rPr>
        <w:tab/>
      </w:r>
    </w:p>
    <w:p w:rsidR="00E10672" w:rsidRPr="00631C3D" w:rsidRDefault="00E10672" w:rsidP="00564EB9">
      <w:pPr>
        <w:spacing w:after="0" w:line="240" w:lineRule="auto"/>
        <w:rPr>
          <w:rFonts w:ascii="Times New Roman" w:hAnsi="Times New Roman"/>
          <w:sz w:val="24"/>
          <w:szCs w:val="24"/>
        </w:rPr>
      </w:pPr>
    </w:p>
    <w:p w:rsidR="00E10672" w:rsidRPr="00631C3D" w:rsidRDefault="00E10672" w:rsidP="00E10672">
      <w:pPr>
        <w:spacing w:after="0"/>
        <w:rPr>
          <w:rFonts w:ascii="Times New Roman" w:hAnsi="Times New Roman"/>
          <w:sz w:val="24"/>
          <w:szCs w:val="24"/>
        </w:rPr>
      </w:pPr>
    </w:p>
    <w:p w:rsidR="00910CE6" w:rsidRPr="00631C3D" w:rsidRDefault="00E10672" w:rsidP="00E10672">
      <w:pPr>
        <w:tabs>
          <w:tab w:val="left" w:pos="1440"/>
        </w:tabs>
        <w:spacing w:after="0" w:line="240" w:lineRule="auto"/>
        <w:jc w:val="center"/>
        <w:rPr>
          <w:rFonts w:ascii="Times New Roman" w:eastAsia="Times New Roman" w:hAnsi="Times New Roman"/>
          <w:b/>
          <w:sz w:val="24"/>
          <w:szCs w:val="24"/>
        </w:rPr>
      </w:pPr>
      <w:r w:rsidRPr="00631C3D">
        <w:rPr>
          <w:rFonts w:ascii="Times New Roman" w:eastAsia="Times New Roman" w:hAnsi="Times New Roman"/>
          <w:b/>
          <w:sz w:val="24"/>
          <w:szCs w:val="24"/>
        </w:rPr>
        <w:t>INTERIM ORDER</w:t>
      </w:r>
    </w:p>
    <w:p w:rsidR="00E10672" w:rsidRPr="00631C3D" w:rsidRDefault="00E10672" w:rsidP="00E10672">
      <w:pPr>
        <w:tabs>
          <w:tab w:val="left" w:pos="1440"/>
        </w:tabs>
        <w:spacing w:after="0" w:line="240" w:lineRule="auto"/>
        <w:jc w:val="center"/>
        <w:rPr>
          <w:rFonts w:ascii="Times New Roman" w:eastAsia="Times New Roman" w:hAnsi="Times New Roman"/>
          <w:b/>
          <w:sz w:val="24"/>
          <w:szCs w:val="24"/>
          <w:u w:val="single"/>
        </w:rPr>
      </w:pPr>
      <w:r w:rsidRPr="00631C3D">
        <w:rPr>
          <w:rFonts w:ascii="Times New Roman" w:eastAsia="Times New Roman" w:hAnsi="Times New Roman"/>
          <w:b/>
          <w:sz w:val="24"/>
          <w:szCs w:val="24"/>
        </w:rPr>
        <w:t>DENYING COMPLAINANTS</w:t>
      </w:r>
      <w:r w:rsidR="00910CE6" w:rsidRPr="00631C3D">
        <w:rPr>
          <w:rFonts w:ascii="Times New Roman" w:eastAsia="Times New Roman" w:hAnsi="Times New Roman"/>
          <w:b/>
          <w:sz w:val="24"/>
          <w:szCs w:val="24"/>
        </w:rPr>
        <w:t>’</w:t>
      </w:r>
      <w:r w:rsidRPr="00631C3D">
        <w:rPr>
          <w:rFonts w:ascii="Times New Roman" w:eastAsia="Times New Roman" w:hAnsi="Times New Roman"/>
          <w:b/>
          <w:sz w:val="24"/>
          <w:szCs w:val="24"/>
        </w:rPr>
        <w:t xml:space="preserve"> MOTION TO COMPEL</w:t>
      </w:r>
      <w:r w:rsidR="00910CE6" w:rsidRPr="00631C3D">
        <w:rPr>
          <w:rFonts w:ascii="Times New Roman" w:eastAsia="Times New Roman" w:hAnsi="Times New Roman"/>
          <w:b/>
          <w:sz w:val="24"/>
          <w:szCs w:val="24"/>
        </w:rPr>
        <w:t>,</w:t>
      </w:r>
      <w:r w:rsidRPr="00631C3D">
        <w:rPr>
          <w:rFonts w:ascii="Times New Roman" w:eastAsia="Times New Roman" w:hAnsi="Times New Roman"/>
          <w:b/>
          <w:sz w:val="24"/>
          <w:szCs w:val="24"/>
        </w:rPr>
        <w:t xml:space="preserve"> DENYING RESPONDENT</w:t>
      </w:r>
      <w:r w:rsidR="00910CE6" w:rsidRPr="00631C3D">
        <w:rPr>
          <w:rFonts w:ascii="Times New Roman" w:eastAsia="Times New Roman" w:hAnsi="Times New Roman"/>
          <w:b/>
          <w:sz w:val="24"/>
          <w:szCs w:val="24"/>
        </w:rPr>
        <w:t>’</w:t>
      </w:r>
      <w:r w:rsidRPr="00631C3D">
        <w:rPr>
          <w:rFonts w:ascii="Times New Roman" w:eastAsia="Times New Roman" w:hAnsi="Times New Roman"/>
          <w:b/>
          <w:sz w:val="24"/>
          <w:szCs w:val="24"/>
        </w:rPr>
        <w:t>S MOTION TO STRIKE, GRANTING RESPONDENT’S MOTION FOR PROTECTIVE</w:t>
      </w:r>
      <w:r w:rsidRPr="00631C3D">
        <w:rPr>
          <w:rFonts w:ascii="Times New Roman" w:eastAsia="Times New Roman" w:hAnsi="Times New Roman"/>
          <w:b/>
          <w:sz w:val="24"/>
          <w:szCs w:val="24"/>
          <w:u w:val="single"/>
        </w:rPr>
        <w:t xml:space="preserve"> ORDER AND MODIFYING THE LITIGATION SCHEDULE </w:t>
      </w:r>
    </w:p>
    <w:p w:rsidR="00E10672" w:rsidRPr="00631C3D" w:rsidRDefault="00E10672" w:rsidP="00E10672">
      <w:pPr>
        <w:pStyle w:val="Style"/>
        <w:jc w:val="center"/>
        <w:rPr>
          <w:b/>
          <w:bCs/>
          <w:color w:val="000000"/>
          <w:u w:val="single"/>
        </w:rPr>
      </w:pPr>
    </w:p>
    <w:p w:rsidR="00910CE6" w:rsidRPr="00631C3D" w:rsidRDefault="00910CE6" w:rsidP="00E10672">
      <w:pPr>
        <w:pStyle w:val="Style"/>
        <w:jc w:val="center"/>
        <w:rPr>
          <w:b/>
          <w:bCs/>
          <w:color w:val="000000"/>
          <w:u w:val="single"/>
        </w:rPr>
      </w:pPr>
    </w:p>
    <w:p w:rsidR="00E10672" w:rsidRPr="00631C3D" w:rsidRDefault="00E10672" w:rsidP="00E10672">
      <w:pPr>
        <w:pStyle w:val="Style"/>
        <w:widowControl/>
        <w:spacing w:line="360" w:lineRule="auto"/>
        <w:rPr>
          <w:rFonts w:eastAsia="Calibri"/>
        </w:rPr>
      </w:pPr>
      <w:r w:rsidRPr="00631C3D">
        <w:rPr>
          <w:rFonts w:eastAsia="Calibri"/>
          <w:u w:val="single"/>
        </w:rPr>
        <w:t>Procedural Background</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ind w:firstLine="1440"/>
        <w:rPr>
          <w:rFonts w:ascii="Times New Roman" w:hAnsi="Times New Roman"/>
          <w:sz w:val="24"/>
          <w:szCs w:val="24"/>
        </w:rPr>
      </w:pPr>
      <w:r w:rsidRPr="00631C3D">
        <w:rPr>
          <w:rFonts w:ascii="Times New Roman" w:hAnsi="Times New Roman"/>
          <w:sz w:val="24"/>
          <w:szCs w:val="24"/>
        </w:rPr>
        <w:t xml:space="preserve">Michele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 xml:space="preserve"> and Francis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 xml:space="preserve"> (Complainants) filed a Formal Complaint (Complaint) with the Pennsylvania Public Utility Commission (Commission) against Duquesne Light Company (Respondent or Company) on October 3, 2016, alleging, </w:t>
      </w:r>
      <w:r w:rsidRPr="00631C3D">
        <w:rPr>
          <w:rFonts w:ascii="Times New Roman" w:hAnsi="Times New Roman"/>
          <w:i/>
          <w:sz w:val="24"/>
          <w:szCs w:val="24"/>
        </w:rPr>
        <w:t>inter alia</w:t>
      </w:r>
      <w:r w:rsidRPr="00631C3D">
        <w:rPr>
          <w:rFonts w:ascii="Times New Roman" w:hAnsi="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proofErr w:type="gramStart"/>
      <w:r w:rsidRPr="00631C3D">
        <w:rPr>
          <w:rFonts w:ascii="Times New Roman" w:hAnsi="Times New Roman"/>
          <w:sz w:val="24"/>
          <w:szCs w:val="24"/>
        </w:rPr>
        <w:t>underwriters</w:t>
      </w:r>
      <w:proofErr w:type="gramEnd"/>
      <w:r w:rsidRPr="00631C3D">
        <w:rPr>
          <w:rFonts w:ascii="Times New Roman" w:hAnsi="Times New Roman"/>
          <w:sz w:val="24"/>
          <w:szCs w:val="24"/>
        </w:rPr>
        <w:t xml:space="preserve"> laboratories, there is a potential for the meters to explode, are the meters are not always installed by certified electricians and that fires have been caused by the quality of meter construction and </w:t>
      </w:r>
      <w:r w:rsidRPr="00631C3D">
        <w:rPr>
          <w:rFonts w:ascii="Times New Roman" w:hAnsi="Times New Roman"/>
          <w:sz w:val="24"/>
          <w:szCs w:val="24"/>
        </w:rPr>
        <w:lastRenderedPageBreak/>
        <w:t xml:space="preserve">the lack of evaluations and inspections.  Complainants also object to the cost of implementing and installing the meters.  As relief, Complainants request that the Commission </w:t>
      </w:r>
      <w:proofErr w:type="gramStart"/>
      <w:r w:rsidRPr="00631C3D">
        <w:rPr>
          <w:rFonts w:ascii="Times New Roman" w:hAnsi="Times New Roman"/>
          <w:sz w:val="24"/>
          <w:szCs w:val="24"/>
        </w:rPr>
        <w:t>order</w:t>
      </w:r>
      <w:proofErr w:type="gramEnd"/>
      <w:r w:rsidRPr="00631C3D">
        <w:rPr>
          <w:rFonts w:ascii="Times New Roman" w:hAnsi="Times New Roman"/>
          <w:sz w:val="24"/>
          <w:szCs w:val="24"/>
        </w:rPr>
        <w:t xml:space="preserve"> Respondent to forego installation of a smart meter at their residence.  </w:t>
      </w:r>
    </w:p>
    <w:p w:rsidR="00E10672" w:rsidRPr="00631C3D" w:rsidRDefault="00E10672" w:rsidP="00E10672">
      <w:pPr>
        <w:spacing w:after="0"/>
        <w:jc w:val="both"/>
        <w:rPr>
          <w:rFonts w:ascii="Times New Roman" w:hAnsi="Times New Roman"/>
          <w:sz w:val="24"/>
          <w:szCs w:val="24"/>
        </w:rPr>
      </w:pPr>
    </w:p>
    <w:p w:rsidR="00E10672" w:rsidRPr="00631C3D" w:rsidRDefault="00E10672" w:rsidP="00E10672">
      <w:pPr>
        <w:spacing w:after="0" w:line="360" w:lineRule="auto"/>
        <w:ind w:firstLine="1440"/>
        <w:rPr>
          <w:rFonts w:ascii="Times New Roman" w:hAnsi="Times New Roman"/>
          <w:sz w:val="24"/>
          <w:szCs w:val="24"/>
        </w:rPr>
      </w:pPr>
      <w:r w:rsidRPr="00631C3D">
        <w:rPr>
          <w:rFonts w:ascii="Times New Roman" w:hAnsi="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631C3D">
        <w:rPr>
          <w:rStyle w:val="FootnoteReference"/>
          <w:rFonts w:ascii="Times New Roman" w:hAnsi="Times New Roman"/>
          <w:sz w:val="24"/>
          <w:szCs w:val="24"/>
        </w:rPr>
        <w:footnoteReference w:id="1"/>
      </w:r>
      <w:r w:rsidRPr="00631C3D">
        <w:rPr>
          <w:rFonts w:ascii="Times New Roman" w:hAnsi="Times New Roman"/>
          <w:sz w:val="24"/>
          <w:szCs w:val="24"/>
        </w:rPr>
        <w:t xml:space="preserve"> to install the AMI meter.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November 4, 2016, Respondent also filed preliminary objections to the Complaint.  Respondent essentially avers that the Complaint is legally insufficient.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November 11, 2016, Complainants filed an agreement regarding an extension of time for Complainants to file responses to the preliminary objections and answer and new matter until December 15, 2016.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w:t>
      </w:r>
      <w:r w:rsidR="00DF2F5A">
        <w:rPr>
          <w:rFonts w:ascii="Times New Roman" w:hAnsi="Times New Roman"/>
          <w:sz w:val="24"/>
          <w:szCs w:val="24"/>
        </w:rPr>
        <w:t>P</w:t>
      </w:r>
      <w:r w:rsidRPr="00631C3D">
        <w:rPr>
          <w:rFonts w:ascii="Times New Roman" w:hAnsi="Times New Roman"/>
          <w:sz w:val="24"/>
          <w:szCs w:val="24"/>
        </w:rPr>
        <w:t>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631C3D">
        <w:rPr>
          <w:rStyle w:val="FootnoteReference"/>
          <w:rFonts w:ascii="Times New Roman" w:hAnsi="Times New Roman"/>
          <w:sz w:val="24"/>
          <w:szCs w:val="24"/>
        </w:rPr>
        <w:footnoteReference w:id="2"/>
      </w:r>
      <w:r w:rsidRPr="00631C3D">
        <w:rPr>
          <w:rFonts w:ascii="Times New Roman" w:hAnsi="Times New Roman"/>
          <w:sz w:val="24"/>
          <w:szCs w:val="24"/>
        </w:rPr>
        <w:t xml:space="preserve"> </w:t>
      </w:r>
    </w:p>
    <w:p w:rsidR="00E10672" w:rsidRPr="00631C3D" w:rsidRDefault="00E10672" w:rsidP="00E10672">
      <w:pPr>
        <w:spacing w:after="0" w:line="360" w:lineRule="auto"/>
        <w:rPr>
          <w:rFonts w:ascii="Times New Roman" w:hAnsi="Times New Roman"/>
          <w:sz w:val="24"/>
          <w:szCs w:val="24"/>
        </w:rPr>
      </w:pPr>
    </w:p>
    <w:p w:rsidR="00E10672"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lastRenderedPageBreak/>
        <w:tab/>
      </w:r>
      <w:r w:rsidRPr="00631C3D">
        <w:rPr>
          <w:rFonts w:ascii="Times New Roman" w:hAnsi="Times New Roman"/>
          <w:sz w:val="24"/>
          <w:szCs w:val="24"/>
        </w:rPr>
        <w:tab/>
        <w:t xml:space="preserve">On December 19, 2016, Complainants filed a response to the corrected preliminary objections of Respondent.    </w:t>
      </w:r>
    </w:p>
    <w:p w:rsidR="003309AE" w:rsidRPr="00631C3D" w:rsidRDefault="003309AE"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January 9, 2017, Complainants filed a response to the answer and new matter filed by Respondent.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January 11, 2017, Complainants filed a response to Respondent’s answer and new matter.  The second paragraph of Complainants’ request for relief included a demand for “a summary judgment in [Complainant’s] favor, and against Duquesne Light….”  On January 17, 2017, Respondent filed an answer in opposition to Complainants’ motion for summary judgment.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January 20, 2017, Complainants filed a response to the answer in opposition to Complainants’ motion for summary judgment of Respondent. </w:t>
      </w: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 xml:space="preserve"> </w:t>
      </w: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January 24, 2017, Complainants filed a document entitled “New Matter and a separate document entitled “Correction to Pulse Table in Complainants Response to ANSWER AND NEW MATTER TO FORMAL COMPLAINT”.   On January 27, 2017, Complainants filed a document entitled “NEW MATTER #2”.  Respondent filed a letter dated February 2, 2017, in response to the filings by Complainants on January 24, 2017 and January 27, 2017.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On February 3, 2017, Complainants filed a document entitled “NEW MATTER #3”.  On February 14, 2017, Complainants filed a document entitled “NEW MATTER #4”.  </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A Motion Judge Assignment Notice was issued on May 16, 2017 and assigned the undersigned presiding officer to this proceeding.</w:t>
      </w:r>
    </w:p>
    <w:p w:rsidR="00E10672" w:rsidRPr="00631C3D" w:rsidRDefault="00E10672" w:rsidP="00E10672">
      <w:pPr>
        <w:spacing w:after="0" w:line="360" w:lineRule="auto"/>
        <w:rPr>
          <w:rFonts w:ascii="Times New Roman" w:hAnsi="Times New Roman"/>
          <w:sz w:val="24"/>
          <w:szCs w:val="24"/>
        </w:rPr>
      </w:pPr>
    </w:p>
    <w:p w:rsidR="00E10672" w:rsidRPr="00631C3D" w:rsidRDefault="00E10672" w:rsidP="00E10672">
      <w:pPr>
        <w:spacing w:after="0" w:line="360" w:lineRule="auto"/>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Respondent’s </w:t>
      </w:r>
      <w:r w:rsidRPr="00631C3D">
        <w:rPr>
          <w:rFonts w:ascii="Times New Roman" w:eastAsia="Times New Roman" w:hAnsi="Times New Roman"/>
          <w:color w:val="000000"/>
          <w:sz w:val="24"/>
          <w:szCs w:val="24"/>
        </w:rPr>
        <w:t xml:space="preserve">preliminary objections were denied by interim order entered on August 16, 2017.  The order denying the preliminary objections pointed out that </w:t>
      </w:r>
      <w:r w:rsidRPr="00631C3D">
        <w:rPr>
          <w:rFonts w:ascii="Times New Roman" w:hAnsi="Times New Roman"/>
          <w:sz w:val="24"/>
          <w:szCs w:val="24"/>
        </w:rPr>
        <w:t xml:space="preserve">the standard of proof at a hearing is different than the standard used to dispose of preliminary motions such as the preliminary objections in this case.  </w:t>
      </w:r>
      <w:proofErr w:type="gramStart"/>
      <w:r w:rsidRPr="00631C3D">
        <w:rPr>
          <w:rFonts w:ascii="Times New Roman" w:hAnsi="Times New Roman"/>
          <w:sz w:val="24"/>
          <w:szCs w:val="24"/>
        </w:rPr>
        <w:t>In order to</w:t>
      </w:r>
      <w:proofErr w:type="gramEnd"/>
      <w:r w:rsidRPr="00631C3D">
        <w:rPr>
          <w:rFonts w:ascii="Times New Roman" w:hAnsi="Times New Roman"/>
          <w:sz w:val="24"/>
          <w:szCs w:val="24"/>
        </w:rPr>
        <w:t xml:space="preserve"> prevail on some or all of the assertions raised </w:t>
      </w:r>
      <w:r w:rsidRPr="00631C3D">
        <w:rPr>
          <w:rFonts w:ascii="Times New Roman" w:hAnsi="Times New Roman"/>
          <w:sz w:val="24"/>
          <w:szCs w:val="24"/>
        </w:rPr>
        <w:lastRenderedPageBreak/>
        <w:t xml:space="preserve">in the </w:t>
      </w:r>
      <w:r w:rsidR="00AA127E">
        <w:rPr>
          <w:rFonts w:ascii="Times New Roman" w:hAnsi="Times New Roman"/>
          <w:sz w:val="24"/>
          <w:szCs w:val="24"/>
        </w:rPr>
        <w:t>C</w:t>
      </w:r>
      <w:r w:rsidRPr="00631C3D">
        <w:rPr>
          <w:rFonts w:ascii="Times New Roman" w:hAnsi="Times New Roman"/>
          <w:sz w:val="24"/>
          <w:szCs w:val="24"/>
        </w:rPr>
        <w:t xml:space="preserve">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w:t>
      </w:r>
      <w:r w:rsidR="00DF2F5A">
        <w:rPr>
          <w:rFonts w:ascii="Times New Roman" w:hAnsi="Times New Roman"/>
          <w:sz w:val="24"/>
          <w:szCs w:val="24"/>
        </w:rPr>
        <w:t>P</w:t>
      </w:r>
      <w:r w:rsidRPr="00631C3D">
        <w:rPr>
          <w:rFonts w:ascii="Times New Roman" w:hAnsi="Times New Roman"/>
          <w:sz w:val="24"/>
          <w:szCs w:val="24"/>
        </w:rPr>
        <w:t xml:space="preserve">arties were cautioned to review the Public Utility Code as well as the statutes, regulations and decisions applicable to this proceeding and to comply with such legal authority. </w:t>
      </w:r>
    </w:p>
    <w:p w:rsidR="00E10672" w:rsidRPr="00631C3D" w:rsidRDefault="00E10672" w:rsidP="00E10672">
      <w:pPr>
        <w:spacing w:after="0" w:line="360" w:lineRule="auto"/>
        <w:rPr>
          <w:rFonts w:ascii="Times New Roman" w:hAnsi="Times New Roman"/>
          <w:sz w:val="24"/>
          <w:szCs w:val="24"/>
        </w:rPr>
      </w:pPr>
    </w:p>
    <w:p w:rsidR="00E10672" w:rsidRDefault="00E10672" w:rsidP="00E10672">
      <w:pPr>
        <w:pStyle w:val="ParaTab1"/>
        <w:spacing w:line="360" w:lineRule="auto"/>
        <w:rPr>
          <w:rFonts w:ascii="Times New Roman" w:eastAsia="Calibri" w:hAnsi="Times New Roman" w:cs="Times New Roman"/>
        </w:rPr>
      </w:pPr>
      <w:r w:rsidRPr="00631C3D">
        <w:rPr>
          <w:rFonts w:ascii="Times New Roman" w:eastAsia="Calibri" w:hAnsi="Times New Roman" w:cs="Times New Roman"/>
        </w:rPr>
        <w:t>On September 22, 2017, Complainants filed a pleading entitled “REQUEST FOR CLARIFICATION and an EXTENSION”.  Subsequently, on the same date, Complainants filed a “CORRECTED REQUEST FOR CLARIFICATION and an EXTENSION”.  In its corrected pleading, Complainants aver that Complainants received a First Set of Discovery Requests from Respondent dated September 11, 2017.  Complainants request</w:t>
      </w:r>
      <w:r w:rsidR="00F267C5">
        <w:rPr>
          <w:rFonts w:ascii="Times New Roman" w:eastAsia="Calibri" w:hAnsi="Times New Roman" w:cs="Times New Roman"/>
        </w:rPr>
        <w:t>ed</w:t>
      </w:r>
      <w:r w:rsidRPr="00631C3D">
        <w:rPr>
          <w:rFonts w:ascii="Times New Roman" w:eastAsia="Calibri" w:hAnsi="Times New Roman" w:cs="Times New Roman"/>
        </w:rPr>
        <w:t xml:space="preserve"> an extension of time to file responses to the discovery requests and aver that they did not receive the discovery requests until September 15, 2017.  Complainants aver that counsel for Respondent did not object to the request for an extension.  </w:t>
      </w:r>
    </w:p>
    <w:p w:rsidR="00F267C5" w:rsidRPr="00631C3D" w:rsidRDefault="00F267C5" w:rsidP="00E10672">
      <w:pPr>
        <w:pStyle w:val="ParaTab1"/>
        <w:spacing w:line="360" w:lineRule="auto"/>
        <w:rPr>
          <w:rFonts w:ascii="Times New Roman" w:eastAsia="Calibri" w:hAnsi="Times New Roman" w:cs="Times New Roman"/>
        </w:rPr>
      </w:pPr>
    </w:p>
    <w:p w:rsidR="00E10672" w:rsidRPr="00631C3D" w:rsidRDefault="00E10672" w:rsidP="00E10672">
      <w:pPr>
        <w:pStyle w:val="ParaTab1"/>
        <w:spacing w:line="360" w:lineRule="auto"/>
        <w:rPr>
          <w:rFonts w:ascii="Times New Roman" w:eastAsia="Calibri" w:hAnsi="Times New Roman" w:cs="Times New Roman"/>
        </w:rPr>
      </w:pPr>
      <w:r w:rsidRPr="00631C3D">
        <w:rPr>
          <w:rFonts w:ascii="Times New Roman" w:eastAsia="Calibri" w:hAnsi="Times New Roman" w:cs="Times New Roman"/>
        </w:rPr>
        <w:t xml:space="preserve">Complainants also requested clarification as to why no ruling has been made regarding Respondent’s answer and new matter and the documents filed by Complainants referred to as “New Matter #1”, “New Matter #2”, “New Matter #3”, and “New Matter #4”.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rsidR="00E10672" w:rsidRPr="00631C3D" w:rsidRDefault="00E10672" w:rsidP="00E10672">
      <w:pPr>
        <w:pStyle w:val="ParaTab1"/>
        <w:spacing w:line="360" w:lineRule="auto"/>
        <w:rPr>
          <w:rFonts w:ascii="Times New Roman" w:eastAsia="Calibri" w:hAnsi="Times New Roman" w:cs="Times New Roman"/>
        </w:rPr>
      </w:pPr>
    </w:p>
    <w:p w:rsidR="00E10672" w:rsidRPr="00631C3D" w:rsidRDefault="00E10672" w:rsidP="00E10672">
      <w:pPr>
        <w:pStyle w:val="ParaTab1"/>
        <w:spacing w:line="360" w:lineRule="auto"/>
        <w:rPr>
          <w:rFonts w:ascii="Times New Roman" w:hAnsi="Times New Roman" w:cs="Times New Roman"/>
          <w:color w:val="000000"/>
        </w:rPr>
      </w:pPr>
      <w:r w:rsidRPr="00631C3D">
        <w:rPr>
          <w:rFonts w:ascii="Times New Roman" w:eastAsia="Calibri" w:hAnsi="Times New Roman" w:cs="Times New Roman"/>
        </w:rPr>
        <w:t xml:space="preserve">On October 3, 2017, an interim order was entered granting </w:t>
      </w:r>
      <w:r w:rsidRPr="00631C3D">
        <w:rPr>
          <w:rFonts w:ascii="Times New Roman" w:hAnsi="Times New Roman" w:cs="Times New Roman"/>
          <w:color w:val="000000"/>
        </w:rPr>
        <w:t>Complainants’ request for an extension of time</w:t>
      </w:r>
      <w:r w:rsidRPr="00631C3D">
        <w:rPr>
          <w:rFonts w:ascii="Times New Roman" w:hAnsi="Times New Roman" w:cs="Times New Roman"/>
        </w:rPr>
        <w:t xml:space="preserve"> to file responses to the discovery requests propounded to Complainants by Respondent.  It was ordered that </w:t>
      </w:r>
      <w:r w:rsidRPr="00631C3D">
        <w:rPr>
          <w:rFonts w:ascii="Times New Roman" w:hAnsi="Times New Roman" w:cs="Times New Roman"/>
          <w:color w:val="000000"/>
        </w:rPr>
        <w:t xml:space="preserve">Complainants shall </w:t>
      </w:r>
      <w:r w:rsidRPr="00631C3D">
        <w:rPr>
          <w:rFonts w:ascii="Times New Roman" w:hAnsi="Times New Roman" w:cs="Times New Roman"/>
        </w:rPr>
        <w:t xml:space="preserve">provide full, complete and verified answers to the interrogatories and responses to the request for production served upon Complainants by Respondent, and file a certificate of service with the Commission’s Secretary </w:t>
      </w:r>
      <w:r w:rsidRPr="00631C3D">
        <w:rPr>
          <w:rFonts w:ascii="Times New Roman" w:hAnsi="Times New Roman" w:cs="Times New Roman"/>
        </w:rPr>
        <w:lastRenderedPageBreak/>
        <w:t xml:space="preserve">on or before October 27, 2017.  It was further ordered that on or before October 13, 2017, Respondent may file a response to Complainants’ request for a continuance of the hearing </w:t>
      </w:r>
      <w:r w:rsidR="00F267C5">
        <w:rPr>
          <w:rFonts w:ascii="Times New Roman" w:hAnsi="Times New Roman" w:cs="Times New Roman"/>
        </w:rPr>
        <w:t xml:space="preserve">that was </w:t>
      </w:r>
      <w:r w:rsidRPr="00631C3D">
        <w:rPr>
          <w:rFonts w:ascii="Times New Roman" w:hAnsi="Times New Roman" w:cs="Times New Roman"/>
        </w:rPr>
        <w:t>scheduled for January 3-4, 2018.</w:t>
      </w:r>
      <w:r w:rsidRPr="00631C3D">
        <w:rPr>
          <w:rFonts w:ascii="Times New Roman" w:hAnsi="Times New Roman" w:cs="Times New Roman"/>
          <w:color w:val="000000"/>
        </w:rPr>
        <w:t xml:space="preserve">  </w:t>
      </w:r>
    </w:p>
    <w:p w:rsidR="00E10672" w:rsidRPr="00631C3D" w:rsidRDefault="00E10672" w:rsidP="00E10672">
      <w:pPr>
        <w:pStyle w:val="ParaTab1"/>
        <w:spacing w:line="360" w:lineRule="auto"/>
        <w:rPr>
          <w:rFonts w:ascii="Times New Roman" w:hAnsi="Times New Roman" w:cs="Times New Roman"/>
          <w:color w:val="000000"/>
        </w:rPr>
      </w:pPr>
    </w:p>
    <w:p w:rsidR="00E10672" w:rsidRPr="00631C3D" w:rsidRDefault="00E10672" w:rsidP="00E10672">
      <w:pPr>
        <w:pStyle w:val="ParaTab1"/>
        <w:spacing w:line="360" w:lineRule="auto"/>
        <w:rPr>
          <w:rFonts w:ascii="Times New Roman" w:hAnsi="Times New Roman" w:cs="Times New Roman"/>
          <w:color w:val="000000"/>
        </w:rPr>
      </w:pPr>
      <w:r w:rsidRPr="00631C3D">
        <w:rPr>
          <w:rFonts w:ascii="Times New Roman" w:hAnsi="Times New Roman" w:cs="Times New Roman"/>
          <w:color w:val="000000"/>
        </w:rPr>
        <w:t xml:space="preserve">On October 4, 2017, Respondent filed a consent to the continuance request and a motion requesting a litigation schedule.  </w:t>
      </w:r>
    </w:p>
    <w:p w:rsidR="00E10672" w:rsidRPr="00631C3D" w:rsidRDefault="00E10672" w:rsidP="00E10672">
      <w:pPr>
        <w:pStyle w:val="ParaTab1"/>
        <w:spacing w:line="360" w:lineRule="auto"/>
        <w:rPr>
          <w:rFonts w:ascii="Times New Roman" w:hAnsi="Times New Roman" w:cs="Times New Roman"/>
          <w:color w:val="000000"/>
        </w:rPr>
      </w:pPr>
    </w:p>
    <w:p w:rsidR="00E10672" w:rsidRPr="00631C3D" w:rsidRDefault="00E10672" w:rsidP="00E10672">
      <w:pPr>
        <w:spacing w:line="360" w:lineRule="auto"/>
        <w:ind w:firstLine="1440"/>
        <w:rPr>
          <w:rFonts w:ascii="Times New Roman" w:hAnsi="Times New Roman"/>
          <w:sz w:val="24"/>
          <w:szCs w:val="24"/>
        </w:rPr>
      </w:pPr>
      <w:r w:rsidRPr="00631C3D">
        <w:rPr>
          <w:rFonts w:ascii="Times New Roman" w:hAnsi="Times New Roman"/>
          <w:color w:val="000000"/>
          <w:sz w:val="24"/>
          <w:szCs w:val="24"/>
        </w:rPr>
        <w:t>On November 8, 2017, an interim order was entered scheduling a prehearing conference for Tuesday</w:t>
      </w:r>
      <w:r w:rsidR="00A33F01">
        <w:rPr>
          <w:rFonts w:ascii="Times New Roman" w:hAnsi="Times New Roman"/>
          <w:color w:val="000000"/>
          <w:sz w:val="24"/>
          <w:szCs w:val="24"/>
        </w:rPr>
        <w:t>,</w:t>
      </w:r>
      <w:r w:rsidRPr="00631C3D">
        <w:rPr>
          <w:rFonts w:ascii="Times New Roman" w:hAnsi="Times New Roman"/>
          <w:color w:val="000000"/>
          <w:sz w:val="24"/>
          <w:szCs w:val="24"/>
        </w:rPr>
        <w:t xml:space="preserve"> November 21, 2017 at 1</w:t>
      </w:r>
      <w:r w:rsidRPr="00631C3D">
        <w:rPr>
          <w:rFonts w:ascii="Times New Roman" w:hAnsi="Times New Roman"/>
          <w:sz w:val="24"/>
          <w:szCs w:val="24"/>
        </w:rPr>
        <w:t xml:space="preserve">0:00 a.m.  The interim order included the following statement: </w:t>
      </w:r>
    </w:p>
    <w:p w:rsidR="00E10672" w:rsidRPr="00631C3D" w:rsidRDefault="00E10672" w:rsidP="00445288">
      <w:pPr>
        <w:tabs>
          <w:tab w:val="left" w:pos="-1440"/>
          <w:tab w:val="left" w:pos="-720"/>
          <w:tab w:val="left" w:pos="0"/>
          <w:tab w:val="left" w:pos="1440"/>
          <w:tab w:val="left" w:pos="2160"/>
        </w:tabs>
        <w:spacing w:after="0" w:line="240" w:lineRule="auto"/>
        <w:ind w:left="1440" w:right="720" w:hanging="720"/>
        <w:rPr>
          <w:rFonts w:ascii="Times New Roman" w:hAnsi="Times New Roman"/>
          <w:sz w:val="24"/>
          <w:szCs w:val="24"/>
        </w:rPr>
      </w:pPr>
      <w:r w:rsidRPr="00631C3D">
        <w:rPr>
          <w:rFonts w:ascii="Times New Roman" w:hAnsi="Times New Roman"/>
          <w:sz w:val="24"/>
          <w:szCs w:val="24"/>
        </w:rPr>
        <w:tab/>
      </w:r>
      <w:r w:rsidRPr="00631C3D">
        <w:rPr>
          <w:rFonts w:ascii="Times New Roman" w:hAnsi="Times New Roman"/>
          <w:sz w:val="24"/>
          <w:szCs w:val="24"/>
        </w:rPr>
        <w:tab/>
        <w:t xml:space="preserve">The </w:t>
      </w:r>
      <w:r w:rsidR="00DF2F5A">
        <w:rPr>
          <w:rFonts w:ascii="Times New Roman" w:hAnsi="Times New Roman"/>
          <w:sz w:val="24"/>
          <w:szCs w:val="24"/>
        </w:rPr>
        <w:t>P</w:t>
      </w:r>
      <w:r w:rsidRPr="00631C3D">
        <w:rPr>
          <w:rFonts w:ascii="Times New Roman" w:hAnsi="Times New Roman"/>
          <w:sz w:val="24"/>
          <w:szCs w:val="24"/>
        </w:rPr>
        <w:t xml:space="preserve">arties are further directed to review the regulations relating to discovery, specifically 52 Pa. Code §5.331(b), which provides, </w:t>
      </w:r>
      <w:r w:rsidRPr="00631C3D">
        <w:rPr>
          <w:rFonts w:ascii="Times New Roman" w:hAnsi="Times New Roman"/>
          <w:sz w:val="24"/>
          <w:szCs w:val="24"/>
          <w:u w:val="single"/>
        </w:rPr>
        <w:t>inter</w:t>
      </w:r>
      <w:r w:rsidRPr="00631C3D">
        <w:rPr>
          <w:rFonts w:ascii="Times New Roman" w:hAnsi="Times New Roman"/>
          <w:sz w:val="24"/>
          <w:szCs w:val="24"/>
        </w:rPr>
        <w:t xml:space="preserve"> </w:t>
      </w:r>
      <w:r w:rsidRPr="00631C3D">
        <w:rPr>
          <w:rFonts w:ascii="Times New Roman" w:hAnsi="Times New Roman"/>
          <w:sz w:val="24"/>
          <w:szCs w:val="24"/>
          <w:u w:val="single"/>
        </w:rPr>
        <w:t>alia</w:t>
      </w:r>
      <w:r w:rsidRPr="00631C3D">
        <w:rPr>
          <w:rFonts w:ascii="Times New Roman" w:hAnsi="Times New Roman"/>
          <w:sz w:val="24"/>
          <w:szCs w:val="24"/>
        </w:rPr>
        <w:t xml:space="preserve">, that “a party shall initiate discovery as early in the proceedings as reasonably possible,” and 52 Pa. Code §5.322, which encourages participants to exchange information on an informal basis.  I urge all </w:t>
      </w:r>
      <w:r w:rsidR="00DF2F5A">
        <w:rPr>
          <w:rFonts w:ascii="Times New Roman" w:hAnsi="Times New Roman"/>
          <w:sz w:val="24"/>
          <w:szCs w:val="24"/>
        </w:rPr>
        <w:t>P</w:t>
      </w:r>
      <w:r w:rsidRPr="00631C3D">
        <w:rPr>
          <w:rFonts w:ascii="Times New Roman" w:hAnsi="Times New Roman"/>
          <w:sz w:val="24"/>
          <w:szCs w:val="24"/>
        </w:rPr>
        <w:t>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631C3D">
        <w:rPr>
          <w:rFonts w:ascii="Times New Roman" w:hAnsi="Times New Roman"/>
          <w:sz w:val="24"/>
          <w:szCs w:val="24"/>
        </w:rPr>
        <w:noBreakHyphen/>
        <w:t>5.372.</w:t>
      </w:r>
    </w:p>
    <w:p w:rsidR="00753014" w:rsidRDefault="00753014" w:rsidP="00E10672">
      <w:pPr>
        <w:ind w:firstLine="720"/>
        <w:rPr>
          <w:rFonts w:ascii="Times New Roman" w:hAnsi="Times New Roman"/>
          <w:sz w:val="24"/>
          <w:szCs w:val="24"/>
        </w:rPr>
      </w:pPr>
    </w:p>
    <w:p w:rsidR="00753014" w:rsidRDefault="00E10672" w:rsidP="00EA7F76">
      <w:pPr>
        <w:spacing w:after="0" w:line="360" w:lineRule="auto"/>
        <w:ind w:firstLine="1440"/>
        <w:rPr>
          <w:rFonts w:ascii="Times New Roman" w:hAnsi="Times New Roman"/>
          <w:sz w:val="24"/>
          <w:szCs w:val="24"/>
        </w:rPr>
      </w:pPr>
      <w:r w:rsidRPr="00631C3D">
        <w:rPr>
          <w:rFonts w:ascii="Times New Roman" w:hAnsi="Times New Roman"/>
          <w:sz w:val="24"/>
          <w:szCs w:val="24"/>
        </w:rPr>
        <w:t>In addition, the interim order continued the hearing previously scheduled for January 3-4, 2018.</w:t>
      </w:r>
    </w:p>
    <w:p w:rsidR="00EA7F76" w:rsidRDefault="00EA7F76" w:rsidP="00EA7F76">
      <w:pPr>
        <w:spacing w:after="0" w:line="360" w:lineRule="auto"/>
        <w:ind w:firstLine="1440"/>
        <w:rPr>
          <w:rFonts w:ascii="Times New Roman" w:hAnsi="Times New Roman"/>
          <w:sz w:val="24"/>
          <w:szCs w:val="24"/>
        </w:rPr>
      </w:pPr>
    </w:p>
    <w:p w:rsidR="00E10672" w:rsidRDefault="00E10672" w:rsidP="00753014">
      <w:pPr>
        <w:spacing w:after="0" w:line="360" w:lineRule="auto"/>
        <w:ind w:firstLine="1440"/>
        <w:rPr>
          <w:rFonts w:ascii="Times New Roman" w:hAnsi="Times New Roman"/>
          <w:sz w:val="24"/>
          <w:szCs w:val="24"/>
        </w:rPr>
      </w:pPr>
      <w:r w:rsidRPr="00631C3D">
        <w:rPr>
          <w:rFonts w:ascii="Times New Roman" w:hAnsi="Times New Roman"/>
          <w:sz w:val="24"/>
          <w:szCs w:val="24"/>
        </w:rPr>
        <w:t xml:space="preserve">On December 15, 2017, a prehearing order was entered which provided, </w:t>
      </w:r>
      <w:r w:rsidRPr="00A33F01">
        <w:rPr>
          <w:rFonts w:ascii="Times New Roman" w:hAnsi="Times New Roman"/>
          <w:i/>
          <w:sz w:val="24"/>
          <w:szCs w:val="24"/>
        </w:rPr>
        <w:t>inter alia</w:t>
      </w:r>
      <w:r w:rsidRPr="00631C3D">
        <w:rPr>
          <w:rFonts w:ascii="Times New Roman" w:hAnsi="Times New Roman"/>
          <w:sz w:val="24"/>
          <w:szCs w:val="24"/>
        </w:rPr>
        <w:t>, that any additional discovery requests would be served no later than January 2, 2018, with responses to be provided within twenty days, established a litigation schedule and scheduled a hearing in this proceeding for April 26-27, 2018.</w:t>
      </w:r>
    </w:p>
    <w:p w:rsidR="00F267C5" w:rsidRDefault="00F267C5" w:rsidP="00753014">
      <w:pPr>
        <w:spacing w:after="0" w:line="360" w:lineRule="auto"/>
        <w:ind w:firstLine="1440"/>
        <w:rPr>
          <w:rFonts w:ascii="Times New Roman" w:hAnsi="Times New Roman"/>
          <w:sz w:val="24"/>
          <w:szCs w:val="24"/>
        </w:rPr>
      </w:pPr>
    </w:p>
    <w:p w:rsidR="00E10672" w:rsidRDefault="00E10672"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631C3D">
        <w:rPr>
          <w:rFonts w:ascii="Times New Roman" w:hAnsi="Times New Roman"/>
          <w:sz w:val="24"/>
          <w:szCs w:val="24"/>
        </w:rPr>
        <w:t xml:space="preserve">On January 3, 2018, the undersigned received a cover letter from Complainant, Francis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 xml:space="preserve"> dated December 30, 2017, which included a Motion to Compel Discovery</w:t>
      </w:r>
      <w:r w:rsidR="00FD685A" w:rsidRPr="00631C3D">
        <w:rPr>
          <w:rFonts w:ascii="Times New Roman" w:hAnsi="Times New Roman"/>
          <w:sz w:val="24"/>
          <w:szCs w:val="24"/>
        </w:rPr>
        <w:t xml:space="preserve"> (Motion to Compel)</w:t>
      </w:r>
      <w:r w:rsidRPr="00631C3D">
        <w:rPr>
          <w:rFonts w:ascii="Times New Roman" w:hAnsi="Times New Roman"/>
          <w:sz w:val="24"/>
          <w:szCs w:val="24"/>
        </w:rPr>
        <w:t xml:space="preserve">.  Attached to the Motion to Compel Discovery was a document entitled “Follow-up to Set #1 of Discovery Requests”.  There was no indication that the Motion to </w:t>
      </w:r>
      <w:r w:rsidRPr="00631C3D">
        <w:rPr>
          <w:rFonts w:ascii="Times New Roman" w:hAnsi="Times New Roman"/>
          <w:sz w:val="24"/>
          <w:szCs w:val="24"/>
        </w:rPr>
        <w:lastRenderedPageBreak/>
        <w:t xml:space="preserve">Compel Discovery was </w:t>
      </w:r>
      <w:r w:rsidR="00FD685A" w:rsidRPr="00631C3D">
        <w:rPr>
          <w:rFonts w:ascii="Times New Roman" w:hAnsi="Times New Roman"/>
          <w:sz w:val="24"/>
          <w:szCs w:val="24"/>
        </w:rPr>
        <w:t>filed with the Commission</w:t>
      </w:r>
      <w:r w:rsidR="00A33F01">
        <w:rPr>
          <w:rFonts w:ascii="Times New Roman" w:hAnsi="Times New Roman"/>
          <w:sz w:val="24"/>
          <w:szCs w:val="24"/>
        </w:rPr>
        <w:t>’s</w:t>
      </w:r>
      <w:r w:rsidR="00FD685A" w:rsidRPr="00631C3D">
        <w:rPr>
          <w:rFonts w:ascii="Times New Roman" w:hAnsi="Times New Roman"/>
          <w:sz w:val="24"/>
          <w:szCs w:val="24"/>
        </w:rPr>
        <w:t xml:space="preserve"> Secretary.  The Motion to Compel avers that discovery requests were filed by Complainants on October 5, 2017, and after extensions, Respondent provided “vague, inconsistent, and/or incomplete” answers to </w:t>
      </w:r>
      <w:proofErr w:type="gramStart"/>
      <w:r w:rsidR="00FD685A" w:rsidRPr="00631C3D">
        <w:rPr>
          <w:rFonts w:ascii="Times New Roman" w:hAnsi="Times New Roman"/>
          <w:sz w:val="24"/>
          <w:szCs w:val="24"/>
        </w:rPr>
        <w:t>a number of</w:t>
      </w:r>
      <w:proofErr w:type="gramEnd"/>
      <w:r w:rsidR="00FD685A" w:rsidRPr="00631C3D">
        <w:rPr>
          <w:rFonts w:ascii="Times New Roman" w:hAnsi="Times New Roman"/>
          <w:sz w:val="24"/>
          <w:szCs w:val="24"/>
        </w:rPr>
        <w:t xml:space="preserve"> the discovery requests on November 21, 2017. </w:t>
      </w:r>
      <w:r w:rsidR="00A33F01">
        <w:rPr>
          <w:rFonts w:ascii="Times New Roman" w:hAnsi="Times New Roman"/>
          <w:sz w:val="24"/>
          <w:szCs w:val="24"/>
        </w:rPr>
        <w:t xml:space="preserve"> </w:t>
      </w:r>
      <w:r w:rsidR="00FD685A" w:rsidRPr="00631C3D">
        <w:rPr>
          <w:rFonts w:ascii="Times New Roman" w:hAnsi="Times New Roman"/>
          <w:sz w:val="24"/>
          <w:szCs w:val="24"/>
        </w:rPr>
        <w:t>The Motion to Compel seeks the entry of an order to compel Respondent to fully respond to the “Follow-up to Set #1 of Discovery Requests</w:t>
      </w:r>
      <w:r w:rsidR="00A33F01">
        <w:rPr>
          <w:rFonts w:ascii="Times New Roman" w:hAnsi="Times New Roman"/>
          <w:sz w:val="24"/>
          <w:szCs w:val="24"/>
        </w:rPr>
        <w:t>”</w:t>
      </w:r>
      <w:r w:rsidR="00FD685A" w:rsidRPr="00631C3D">
        <w:rPr>
          <w:rFonts w:ascii="Times New Roman" w:hAnsi="Times New Roman"/>
          <w:sz w:val="24"/>
          <w:szCs w:val="24"/>
        </w:rPr>
        <w:t xml:space="preserve"> attached to the Motion to Compel.</w:t>
      </w:r>
    </w:p>
    <w:p w:rsidR="00753014" w:rsidRPr="00631C3D" w:rsidRDefault="00753014"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A455A6" w:rsidRDefault="00FD685A" w:rsidP="00F03C4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631C3D">
        <w:rPr>
          <w:rFonts w:ascii="Times New Roman" w:hAnsi="Times New Roman"/>
          <w:sz w:val="24"/>
          <w:szCs w:val="24"/>
        </w:rPr>
        <w:t xml:space="preserve">On January 5, 2018, Respondent filed Duquesne Light Company’s Motion to Strike and Motion for Protective Order.  </w:t>
      </w:r>
      <w:r w:rsidR="002222CC" w:rsidRPr="00631C3D">
        <w:rPr>
          <w:rFonts w:ascii="Times New Roman" w:hAnsi="Times New Roman"/>
          <w:sz w:val="24"/>
          <w:szCs w:val="24"/>
        </w:rPr>
        <w:t xml:space="preserve">Respondent avers that the </w:t>
      </w:r>
      <w:r w:rsidR="00A33F01">
        <w:rPr>
          <w:rFonts w:ascii="Times New Roman" w:hAnsi="Times New Roman"/>
          <w:sz w:val="24"/>
          <w:szCs w:val="24"/>
        </w:rPr>
        <w:t>M</w:t>
      </w:r>
      <w:r w:rsidR="002222CC" w:rsidRPr="00631C3D">
        <w:rPr>
          <w:rFonts w:ascii="Times New Roman" w:hAnsi="Times New Roman"/>
          <w:sz w:val="24"/>
          <w:szCs w:val="24"/>
        </w:rPr>
        <w:t xml:space="preserve">otion to </w:t>
      </w:r>
      <w:r w:rsidR="00A33F01">
        <w:rPr>
          <w:rFonts w:ascii="Times New Roman" w:hAnsi="Times New Roman"/>
          <w:sz w:val="24"/>
          <w:szCs w:val="24"/>
        </w:rPr>
        <w:t>C</w:t>
      </w:r>
      <w:r w:rsidR="002222CC" w:rsidRPr="00631C3D">
        <w:rPr>
          <w:rFonts w:ascii="Times New Roman" w:hAnsi="Times New Roman"/>
          <w:sz w:val="24"/>
          <w:szCs w:val="24"/>
        </w:rPr>
        <w:t xml:space="preserve">ompel is unfounded and improper and essentially argues that Complainants improperly seek to compel Respondent to respond to a new set of discovery requests.  Respondent’s Motion </w:t>
      </w:r>
      <w:r w:rsidR="00AA127E">
        <w:rPr>
          <w:rFonts w:ascii="Times New Roman" w:hAnsi="Times New Roman"/>
          <w:sz w:val="24"/>
          <w:szCs w:val="24"/>
        </w:rPr>
        <w:t>f</w:t>
      </w:r>
      <w:r w:rsidR="002222CC" w:rsidRPr="00631C3D">
        <w:rPr>
          <w:rFonts w:ascii="Times New Roman" w:hAnsi="Times New Roman"/>
          <w:sz w:val="24"/>
          <w:szCs w:val="24"/>
        </w:rPr>
        <w:t>or Protective Order argues that the “follow-up” discovery requests are improper and would cause unreasonable burden, expense, or investigation by Respondent.</w:t>
      </w:r>
      <w:r w:rsidR="00A455A6" w:rsidRPr="00631C3D">
        <w:rPr>
          <w:rStyle w:val="FootnoteReference"/>
          <w:rFonts w:ascii="Times New Roman" w:hAnsi="Times New Roman"/>
          <w:sz w:val="24"/>
          <w:szCs w:val="24"/>
        </w:rPr>
        <w:footnoteReference w:id="3"/>
      </w:r>
      <w:r w:rsidR="002222CC" w:rsidRPr="00631C3D">
        <w:rPr>
          <w:rFonts w:ascii="Times New Roman" w:hAnsi="Times New Roman"/>
          <w:sz w:val="24"/>
          <w:szCs w:val="24"/>
        </w:rPr>
        <w:t xml:space="preserve">   </w:t>
      </w:r>
    </w:p>
    <w:p w:rsidR="00F03C49" w:rsidRPr="00631C3D" w:rsidRDefault="00F03C49" w:rsidP="00F03C49">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453627" w:rsidRDefault="00A455A6"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631C3D">
        <w:rPr>
          <w:rFonts w:ascii="Times New Roman" w:hAnsi="Times New Roman"/>
          <w:sz w:val="24"/>
          <w:szCs w:val="24"/>
        </w:rPr>
        <w:t xml:space="preserve">On January 25, 2018, the undersigned presiding officer received a cover letter from Complainant, Francis </w:t>
      </w:r>
      <w:proofErr w:type="spellStart"/>
      <w:r w:rsidRPr="00631C3D">
        <w:rPr>
          <w:rFonts w:ascii="Times New Roman" w:hAnsi="Times New Roman"/>
          <w:sz w:val="24"/>
          <w:szCs w:val="24"/>
        </w:rPr>
        <w:t>Hriadil</w:t>
      </w:r>
      <w:proofErr w:type="spellEnd"/>
      <w:r w:rsidRPr="00631C3D">
        <w:rPr>
          <w:rFonts w:ascii="Times New Roman" w:hAnsi="Times New Roman"/>
          <w:sz w:val="24"/>
          <w:szCs w:val="24"/>
        </w:rPr>
        <w:t xml:space="preserve"> along with Complainants</w:t>
      </w:r>
      <w:r w:rsidR="00AA127E">
        <w:rPr>
          <w:rFonts w:ascii="Times New Roman" w:hAnsi="Times New Roman"/>
          <w:sz w:val="24"/>
          <w:szCs w:val="24"/>
        </w:rPr>
        <w:t>’</w:t>
      </w:r>
      <w:r w:rsidRPr="00631C3D">
        <w:rPr>
          <w:rFonts w:ascii="Times New Roman" w:hAnsi="Times New Roman"/>
          <w:sz w:val="24"/>
          <w:szCs w:val="24"/>
        </w:rPr>
        <w:t xml:space="preserve"> written response to Respondent’s Motion to Strike and Motion </w:t>
      </w:r>
      <w:r w:rsidR="00AA127E">
        <w:rPr>
          <w:rFonts w:ascii="Times New Roman" w:hAnsi="Times New Roman"/>
          <w:sz w:val="24"/>
          <w:szCs w:val="24"/>
        </w:rPr>
        <w:t>f</w:t>
      </w:r>
      <w:r w:rsidRPr="00631C3D">
        <w:rPr>
          <w:rFonts w:ascii="Times New Roman" w:hAnsi="Times New Roman"/>
          <w:sz w:val="24"/>
          <w:szCs w:val="24"/>
        </w:rPr>
        <w:t xml:space="preserve">or Protective Order.  The </w:t>
      </w:r>
      <w:r w:rsidR="00AA127E">
        <w:rPr>
          <w:rFonts w:ascii="Times New Roman" w:hAnsi="Times New Roman"/>
          <w:sz w:val="24"/>
          <w:szCs w:val="24"/>
        </w:rPr>
        <w:t>r</w:t>
      </w:r>
      <w:r w:rsidRPr="00631C3D">
        <w:rPr>
          <w:rFonts w:ascii="Times New Roman" w:hAnsi="Times New Roman"/>
          <w:sz w:val="24"/>
          <w:szCs w:val="24"/>
        </w:rPr>
        <w:t>esponse by Complainants request</w:t>
      </w:r>
      <w:r w:rsidR="003363C6">
        <w:rPr>
          <w:rFonts w:ascii="Times New Roman" w:hAnsi="Times New Roman"/>
          <w:sz w:val="24"/>
          <w:szCs w:val="24"/>
        </w:rPr>
        <w:t xml:space="preserve"> </w:t>
      </w:r>
      <w:r w:rsidRPr="00631C3D">
        <w:rPr>
          <w:rFonts w:ascii="Times New Roman" w:hAnsi="Times New Roman"/>
          <w:sz w:val="24"/>
          <w:szCs w:val="24"/>
        </w:rPr>
        <w:t xml:space="preserve">that Respondent’s Motion to Strike and Motion </w:t>
      </w:r>
      <w:r w:rsidR="00AA127E">
        <w:rPr>
          <w:rFonts w:ascii="Times New Roman" w:hAnsi="Times New Roman"/>
          <w:sz w:val="24"/>
          <w:szCs w:val="24"/>
        </w:rPr>
        <w:t>f</w:t>
      </w:r>
      <w:r w:rsidRPr="00631C3D">
        <w:rPr>
          <w:rFonts w:ascii="Times New Roman" w:hAnsi="Times New Roman"/>
          <w:sz w:val="24"/>
          <w:szCs w:val="24"/>
        </w:rPr>
        <w:t>or Protective Order be denied.</w:t>
      </w:r>
    </w:p>
    <w:p w:rsidR="006B47C6" w:rsidRDefault="006B47C6"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D567DA" w:rsidRDefault="00D567DA" w:rsidP="00D567DA">
      <w:pPr>
        <w:spacing w:after="0" w:line="360" w:lineRule="auto"/>
        <w:ind w:firstLine="1440"/>
        <w:rPr>
          <w:rFonts w:ascii="Times New Roman" w:hAnsi="Times New Roman"/>
          <w:sz w:val="24"/>
          <w:szCs w:val="24"/>
        </w:rPr>
      </w:pPr>
      <w:r w:rsidRPr="00631C3D">
        <w:rPr>
          <w:rFonts w:ascii="Times New Roman" w:hAnsi="Times New Roman"/>
          <w:sz w:val="24"/>
          <w:szCs w:val="24"/>
        </w:rPr>
        <w:t>The scope of permissible discovery in Commission proceedings is governed by t</w:t>
      </w:r>
      <w:r>
        <w:rPr>
          <w:rFonts w:ascii="Times New Roman" w:hAnsi="Times New Roman"/>
          <w:sz w:val="24"/>
          <w:szCs w:val="24"/>
        </w:rPr>
        <w:t xml:space="preserve">he Commission’s rules at 52 </w:t>
      </w:r>
      <w:proofErr w:type="spellStart"/>
      <w:proofErr w:type="gramStart"/>
      <w:r>
        <w:rPr>
          <w:rFonts w:ascii="Times New Roman" w:hAnsi="Times New Roman"/>
          <w:sz w:val="24"/>
          <w:szCs w:val="24"/>
        </w:rPr>
        <w:t>Pa.</w:t>
      </w:r>
      <w:r w:rsidRPr="00631C3D">
        <w:rPr>
          <w:rFonts w:ascii="Times New Roman" w:hAnsi="Times New Roman"/>
          <w:sz w:val="24"/>
          <w:szCs w:val="24"/>
        </w:rPr>
        <w:t>Code</w:t>
      </w:r>
      <w:proofErr w:type="spellEnd"/>
      <w:proofErr w:type="gramEnd"/>
      <w:r w:rsidRPr="00631C3D">
        <w:rPr>
          <w:rFonts w:ascii="Times New Roman" w:hAnsi="Times New Roman"/>
          <w:sz w:val="24"/>
          <w:szCs w:val="24"/>
        </w:rPr>
        <w:t xml:space="preserve"> § 5.321.  The presiding officer in any proceeding has broad discretion regarding the scope of discovery. </w:t>
      </w:r>
      <w:r>
        <w:rPr>
          <w:rFonts w:ascii="Times New Roman" w:hAnsi="Times New Roman"/>
          <w:sz w:val="24"/>
          <w:szCs w:val="24"/>
        </w:rPr>
        <w:t xml:space="preserve"> 52 </w:t>
      </w:r>
      <w:proofErr w:type="spellStart"/>
      <w:proofErr w:type="gramStart"/>
      <w:r>
        <w:rPr>
          <w:rFonts w:ascii="Times New Roman" w:hAnsi="Times New Roman"/>
          <w:sz w:val="24"/>
          <w:szCs w:val="24"/>
        </w:rPr>
        <w:t>Pa.</w:t>
      </w:r>
      <w:r w:rsidRPr="00631C3D">
        <w:rPr>
          <w:rFonts w:ascii="Times New Roman" w:hAnsi="Times New Roman"/>
          <w:sz w:val="24"/>
          <w:szCs w:val="24"/>
        </w:rPr>
        <w:t>Code</w:t>
      </w:r>
      <w:proofErr w:type="spellEnd"/>
      <w:proofErr w:type="gramEnd"/>
      <w:r w:rsidRPr="00631C3D">
        <w:rPr>
          <w:rFonts w:ascii="Times New Roman" w:hAnsi="Times New Roman"/>
          <w:sz w:val="24"/>
          <w:szCs w:val="24"/>
        </w:rPr>
        <w:t xml:space="preserve"> § 5.321(b) specifically gives the presiding officer the authority to “vary provisions of this subchapter as justice requires.”  </w:t>
      </w:r>
    </w:p>
    <w:p w:rsidR="00D567DA" w:rsidRDefault="00D567DA"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D567DA" w:rsidRDefault="00D567DA" w:rsidP="00916D9E">
      <w:pPr>
        <w:pStyle w:val="BodyText"/>
        <w:spacing w:line="360" w:lineRule="auto"/>
        <w:ind w:firstLine="1440"/>
        <w:rPr>
          <w:szCs w:val="24"/>
        </w:rPr>
      </w:pPr>
    </w:p>
    <w:p w:rsidR="00D567DA" w:rsidRDefault="00D567DA" w:rsidP="00916D9E">
      <w:pPr>
        <w:pStyle w:val="BodyText"/>
        <w:spacing w:line="360" w:lineRule="auto"/>
        <w:ind w:firstLine="1440"/>
        <w:rPr>
          <w:szCs w:val="24"/>
        </w:rPr>
      </w:pPr>
    </w:p>
    <w:p w:rsidR="00916D9E" w:rsidRDefault="00453627" w:rsidP="00916D9E">
      <w:pPr>
        <w:pStyle w:val="BodyText"/>
        <w:spacing w:line="360" w:lineRule="auto"/>
        <w:ind w:firstLine="1440"/>
        <w:rPr>
          <w:szCs w:val="24"/>
        </w:rPr>
      </w:pPr>
      <w:r w:rsidRPr="00631C3D">
        <w:rPr>
          <w:szCs w:val="24"/>
        </w:rPr>
        <w:t>The Commission</w:t>
      </w:r>
      <w:r w:rsidR="00AA127E">
        <w:rPr>
          <w:szCs w:val="24"/>
        </w:rPr>
        <w:t>’</w:t>
      </w:r>
      <w:r w:rsidRPr="00631C3D">
        <w:rPr>
          <w:szCs w:val="24"/>
        </w:rPr>
        <w:t xml:space="preserve">s regulations at 52 </w:t>
      </w:r>
      <w:proofErr w:type="spellStart"/>
      <w:proofErr w:type="gramStart"/>
      <w:r w:rsidRPr="00631C3D">
        <w:rPr>
          <w:szCs w:val="24"/>
        </w:rPr>
        <w:t>Pa.Code</w:t>
      </w:r>
      <w:proofErr w:type="spellEnd"/>
      <w:proofErr w:type="gramEnd"/>
      <w:r w:rsidRPr="00631C3D">
        <w:rPr>
          <w:szCs w:val="24"/>
        </w:rPr>
        <w:t xml:space="preserve"> § 5.321(c) define the scope of permissible discovery as follows:</w:t>
      </w:r>
    </w:p>
    <w:p w:rsidR="00916D9E" w:rsidRDefault="00916D9E" w:rsidP="00916D9E">
      <w:pPr>
        <w:pStyle w:val="BodyText"/>
        <w:spacing w:line="360" w:lineRule="auto"/>
        <w:ind w:firstLine="1440"/>
        <w:rPr>
          <w:szCs w:val="24"/>
        </w:rPr>
      </w:pPr>
    </w:p>
    <w:p w:rsidR="00453627" w:rsidRDefault="00453627" w:rsidP="00916D9E">
      <w:pPr>
        <w:pStyle w:val="BodyText"/>
        <w:spacing w:line="240" w:lineRule="auto"/>
        <w:ind w:left="1440" w:right="720" w:firstLine="0"/>
      </w:pPr>
      <w:r w:rsidRPr="00631C3D">
        <w:t xml:space="preserve">(c)  </w:t>
      </w:r>
      <w:r w:rsidRPr="00631C3D">
        <w:rPr>
          <w:i/>
        </w:rPr>
        <w:t>Scope</w:t>
      </w:r>
      <w:r w:rsidRPr="00631C3D">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w:t>
      </w:r>
      <w:r w:rsidRPr="00631C3D">
        <w:lastRenderedPageBreak/>
        <w:t>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753014" w:rsidRPr="00631C3D" w:rsidRDefault="00753014" w:rsidP="00753014">
      <w:pPr>
        <w:spacing w:after="0" w:line="360" w:lineRule="auto"/>
        <w:ind w:firstLine="1440"/>
        <w:rPr>
          <w:rFonts w:ascii="Times New Roman" w:hAnsi="Times New Roman"/>
          <w:sz w:val="24"/>
          <w:szCs w:val="24"/>
        </w:rPr>
      </w:pPr>
    </w:p>
    <w:p w:rsidR="00835A12" w:rsidRPr="00631C3D" w:rsidRDefault="008F6D76" w:rsidP="00753014">
      <w:pPr>
        <w:pStyle w:val="ListNumber"/>
        <w:numPr>
          <w:ilvl w:val="0"/>
          <w:numId w:val="0"/>
        </w:numPr>
        <w:spacing w:line="360" w:lineRule="auto"/>
        <w:ind w:firstLine="1440"/>
      </w:pPr>
      <w:r w:rsidRPr="00631C3D">
        <w:t xml:space="preserve">Complainants argue that Respondent provided “vague, inconsistent, and/or incomplete” answers to </w:t>
      </w:r>
      <w:proofErr w:type="gramStart"/>
      <w:r w:rsidRPr="00631C3D">
        <w:t>a number of</w:t>
      </w:r>
      <w:proofErr w:type="gramEnd"/>
      <w:r w:rsidRPr="00631C3D">
        <w:t xml:space="preserve"> the discovery requests on November 21, 2017.   However, Complainants</w:t>
      </w:r>
      <w:r w:rsidR="00A33F01">
        <w:t>’</w:t>
      </w:r>
      <w:r w:rsidRPr="00631C3D">
        <w:t xml:space="preserve"> Motion to Compel fails to identify the specific interrogatories or requests for production that are incomplete, insufficient or otherwise objectionable and the specific basis for each such claim.  In addition, instead of identifying what specific discovery requests were not properly answered by Respondent, and why, Complainants waited over a month after receiving the responses to file a </w:t>
      </w:r>
      <w:r w:rsidR="000D6F90">
        <w:t>M</w:t>
      </w:r>
      <w:r w:rsidRPr="00631C3D">
        <w:t xml:space="preserve">otion to </w:t>
      </w:r>
      <w:r w:rsidR="000D6F90">
        <w:t>C</w:t>
      </w:r>
      <w:r w:rsidRPr="00631C3D">
        <w:t xml:space="preserve">ompel.  Further, instead of </w:t>
      </w:r>
      <w:r w:rsidR="00D567DA">
        <w:t xml:space="preserve">requesting </w:t>
      </w:r>
      <w:r w:rsidRPr="00631C3D">
        <w:t>full and complete responses to specific discovery requests previously provided to Respondent by Complainant</w:t>
      </w:r>
      <w:r w:rsidR="00A33F01">
        <w:t>s</w:t>
      </w:r>
      <w:r w:rsidRPr="00631C3D">
        <w:t>, Complainant</w:t>
      </w:r>
      <w:r w:rsidR="00A33F01">
        <w:t>s</w:t>
      </w:r>
      <w:r w:rsidRPr="00631C3D">
        <w:t xml:space="preserve"> seek entry of an order to compel Respondent to fully respond to a new set of discovery requests entitled “Follow-up to Set #1 of Discovery Requests</w:t>
      </w:r>
      <w:r w:rsidR="00A33F01">
        <w:t xml:space="preserve">” </w:t>
      </w:r>
      <w:r w:rsidRPr="00631C3D">
        <w:t>and which were attached to</w:t>
      </w:r>
      <w:r w:rsidR="00A05DE7" w:rsidRPr="00631C3D">
        <w:t xml:space="preserve"> Complainants</w:t>
      </w:r>
      <w:r w:rsidR="00A33F01">
        <w:t>’</w:t>
      </w:r>
      <w:r w:rsidR="00A05DE7" w:rsidRPr="00631C3D">
        <w:t xml:space="preserve"> </w:t>
      </w:r>
      <w:r w:rsidRPr="00631C3D">
        <w:t>Motion to Compel.</w:t>
      </w:r>
      <w:r w:rsidR="00A05DE7" w:rsidRPr="00631C3D">
        <w:t xml:space="preserve">  Complainant</w:t>
      </w:r>
      <w:r w:rsidR="00CE1469">
        <w:t>s</w:t>
      </w:r>
      <w:r w:rsidR="00A05DE7" w:rsidRPr="00631C3D">
        <w:t xml:space="preserve"> ha</w:t>
      </w:r>
      <w:r w:rsidR="00CE1469">
        <w:t>ve</w:t>
      </w:r>
      <w:r w:rsidR="00A05DE7" w:rsidRPr="00631C3D">
        <w:t xml:space="preserve"> not identified the specific responses to </w:t>
      </w:r>
      <w:r w:rsidR="00CE1469">
        <w:t>their</w:t>
      </w:r>
      <w:r w:rsidR="00A05DE7" w:rsidRPr="00631C3D">
        <w:t xml:space="preserve"> discovery requests that are objectionable nor how the responses to any specific discovery requests are improper or require the entry of an order requiring a further response.  </w:t>
      </w:r>
      <w:r w:rsidR="00835A12" w:rsidRPr="00631C3D">
        <w:t>In addition, Complainant</w:t>
      </w:r>
      <w:r w:rsidR="00A33F01">
        <w:t>s</w:t>
      </w:r>
      <w:r w:rsidR="00835A12" w:rsidRPr="00631C3D">
        <w:t xml:space="preserve"> do not seek further responses to </w:t>
      </w:r>
      <w:r w:rsidR="00CE1469">
        <w:t>their</w:t>
      </w:r>
      <w:r w:rsidR="00835A12" w:rsidRPr="00631C3D">
        <w:t xml:space="preserve"> Set</w:t>
      </w:r>
      <w:r w:rsidR="00CE1469">
        <w:t> </w:t>
      </w:r>
      <w:r w:rsidR="00835A12" w:rsidRPr="00631C3D">
        <w:t xml:space="preserve">#1 discovery requests, but instead seek entry of an order to compel Respondent to fully respond to </w:t>
      </w:r>
      <w:r w:rsidR="00A33F01">
        <w:t>a</w:t>
      </w:r>
      <w:r w:rsidR="00835A12" w:rsidRPr="00631C3D">
        <w:t xml:space="preserve"> new set of discovery requests entitled “Follow-up to Set #1 of Discovery Requests</w:t>
      </w:r>
      <w:r w:rsidR="00A33F01">
        <w:t>”</w:t>
      </w:r>
      <w:r w:rsidR="00835A12" w:rsidRPr="00631C3D">
        <w:t>.</w:t>
      </w:r>
    </w:p>
    <w:p w:rsidR="00835A12" w:rsidRPr="00631C3D" w:rsidRDefault="00835A12" w:rsidP="00A05DE7">
      <w:pPr>
        <w:pStyle w:val="ListNumber"/>
        <w:numPr>
          <w:ilvl w:val="0"/>
          <w:numId w:val="0"/>
        </w:numPr>
        <w:spacing w:line="360" w:lineRule="auto"/>
        <w:ind w:firstLine="720"/>
      </w:pPr>
    </w:p>
    <w:p w:rsidR="00A05DE7" w:rsidRDefault="00835A12" w:rsidP="00753014">
      <w:pPr>
        <w:pStyle w:val="ListNumber"/>
        <w:numPr>
          <w:ilvl w:val="0"/>
          <w:numId w:val="0"/>
        </w:numPr>
        <w:spacing w:line="360" w:lineRule="auto"/>
        <w:ind w:firstLine="1440"/>
      </w:pPr>
      <w:r w:rsidRPr="00631C3D">
        <w:t>Under the circumstances, Complainants</w:t>
      </w:r>
      <w:r w:rsidR="00A33F01">
        <w:t>’</w:t>
      </w:r>
      <w:r w:rsidRPr="00631C3D">
        <w:t xml:space="preserve"> Motion </w:t>
      </w:r>
      <w:r w:rsidR="00CE1469">
        <w:t>t</w:t>
      </w:r>
      <w:r w:rsidRPr="00631C3D">
        <w:t xml:space="preserve">o Compel will be denied, as more fully set forth in the ordering paragraphs below.  </w:t>
      </w:r>
    </w:p>
    <w:p w:rsidR="00753014" w:rsidRPr="00631C3D" w:rsidRDefault="00753014" w:rsidP="00753014">
      <w:pPr>
        <w:pStyle w:val="ListNumber"/>
        <w:numPr>
          <w:ilvl w:val="0"/>
          <w:numId w:val="0"/>
        </w:numPr>
        <w:spacing w:line="360" w:lineRule="auto"/>
        <w:ind w:firstLine="1440"/>
      </w:pPr>
    </w:p>
    <w:p w:rsidR="00753014" w:rsidRDefault="00835A12" w:rsidP="00753014">
      <w:pPr>
        <w:spacing w:after="0" w:line="360" w:lineRule="auto"/>
        <w:ind w:firstLine="1440"/>
        <w:rPr>
          <w:rFonts w:ascii="Times New Roman" w:hAnsi="Times New Roman"/>
          <w:sz w:val="24"/>
          <w:szCs w:val="24"/>
        </w:rPr>
      </w:pPr>
      <w:r w:rsidRPr="00631C3D">
        <w:rPr>
          <w:rFonts w:ascii="Times New Roman" w:hAnsi="Times New Roman"/>
          <w:sz w:val="24"/>
          <w:szCs w:val="24"/>
        </w:rPr>
        <w:lastRenderedPageBreak/>
        <w:t xml:space="preserve">On January 5, 2018, Respondent filed Duquesne Light Company’s Motion to Strike </w:t>
      </w:r>
      <w:r w:rsidR="00EC08E1" w:rsidRPr="00631C3D">
        <w:rPr>
          <w:rFonts w:ascii="Times New Roman" w:hAnsi="Times New Roman"/>
          <w:sz w:val="24"/>
          <w:szCs w:val="24"/>
        </w:rPr>
        <w:t>the Complainants</w:t>
      </w:r>
      <w:r w:rsidR="00CE1469">
        <w:rPr>
          <w:rFonts w:ascii="Times New Roman" w:hAnsi="Times New Roman"/>
          <w:sz w:val="24"/>
          <w:szCs w:val="24"/>
        </w:rPr>
        <w:t>’</w:t>
      </w:r>
      <w:r w:rsidR="00EC08E1" w:rsidRPr="00631C3D">
        <w:rPr>
          <w:rFonts w:ascii="Times New Roman" w:hAnsi="Times New Roman"/>
          <w:sz w:val="24"/>
          <w:szCs w:val="24"/>
        </w:rPr>
        <w:t xml:space="preserve"> Motion </w:t>
      </w:r>
      <w:r w:rsidR="00CE1469">
        <w:rPr>
          <w:rFonts w:ascii="Times New Roman" w:hAnsi="Times New Roman"/>
          <w:sz w:val="24"/>
          <w:szCs w:val="24"/>
        </w:rPr>
        <w:t>t</w:t>
      </w:r>
      <w:r w:rsidR="00EC08E1" w:rsidRPr="00631C3D">
        <w:rPr>
          <w:rFonts w:ascii="Times New Roman" w:hAnsi="Times New Roman"/>
          <w:sz w:val="24"/>
          <w:szCs w:val="24"/>
        </w:rPr>
        <w:t xml:space="preserve">o Compel. </w:t>
      </w:r>
      <w:r w:rsidRPr="00631C3D">
        <w:rPr>
          <w:rFonts w:ascii="Times New Roman" w:hAnsi="Times New Roman"/>
          <w:sz w:val="24"/>
          <w:szCs w:val="24"/>
        </w:rPr>
        <w:t xml:space="preserve"> Respondent avers that the </w:t>
      </w:r>
      <w:r w:rsidR="00AA127E">
        <w:rPr>
          <w:rFonts w:ascii="Times New Roman" w:hAnsi="Times New Roman"/>
          <w:sz w:val="24"/>
          <w:szCs w:val="24"/>
        </w:rPr>
        <w:t>M</w:t>
      </w:r>
      <w:r w:rsidRPr="00631C3D">
        <w:rPr>
          <w:rFonts w:ascii="Times New Roman" w:hAnsi="Times New Roman"/>
          <w:sz w:val="24"/>
          <w:szCs w:val="24"/>
        </w:rPr>
        <w:t xml:space="preserve">otion to </w:t>
      </w:r>
      <w:r w:rsidR="00AA127E">
        <w:rPr>
          <w:rFonts w:ascii="Times New Roman" w:hAnsi="Times New Roman"/>
          <w:sz w:val="24"/>
          <w:szCs w:val="24"/>
        </w:rPr>
        <w:t>C</w:t>
      </w:r>
      <w:r w:rsidRPr="00631C3D">
        <w:rPr>
          <w:rFonts w:ascii="Times New Roman" w:hAnsi="Times New Roman"/>
          <w:sz w:val="24"/>
          <w:szCs w:val="24"/>
        </w:rPr>
        <w:t>ompel is unfounded and improper and essentially argues that Complainants improperly seek to compel Respondent to respond to a new set of discovery requests.  Respondent seeks entry of an order striking Complainants</w:t>
      </w:r>
      <w:r w:rsidR="00A33F01">
        <w:rPr>
          <w:rFonts w:ascii="Times New Roman" w:hAnsi="Times New Roman"/>
          <w:sz w:val="24"/>
          <w:szCs w:val="24"/>
        </w:rPr>
        <w:t>’</w:t>
      </w:r>
      <w:r w:rsidRPr="00631C3D">
        <w:rPr>
          <w:rFonts w:ascii="Times New Roman" w:hAnsi="Times New Roman"/>
          <w:sz w:val="24"/>
          <w:szCs w:val="24"/>
        </w:rPr>
        <w:t xml:space="preserve"> Motion to Compel.  For the reasons set forth herein, Complainants</w:t>
      </w:r>
      <w:r w:rsidR="00CE1469">
        <w:rPr>
          <w:rFonts w:ascii="Times New Roman" w:hAnsi="Times New Roman"/>
          <w:sz w:val="24"/>
          <w:szCs w:val="24"/>
        </w:rPr>
        <w:t>’</w:t>
      </w:r>
      <w:r w:rsidRPr="00631C3D">
        <w:rPr>
          <w:rFonts w:ascii="Times New Roman" w:hAnsi="Times New Roman"/>
          <w:sz w:val="24"/>
          <w:szCs w:val="24"/>
        </w:rPr>
        <w:t xml:space="preserve"> Motion </w:t>
      </w:r>
      <w:r w:rsidR="00CE1469">
        <w:rPr>
          <w:rFonts w:ascii="Times New Roman" w:hAnsi="Times New Roman"/>
          <w:sz w:val="24"/>
          <w:szCs w:val="24"/>
        </w:rPr>
        <w:t>t</w:t>
      </w:r>
      <w:r w:rsidRPr="00631C3D">
        <w:rPr>
          <w:rFonts w:ascii="Times New Roman" w:hAnsi="Times New Roman"/>
          <w:sz w:val="24"/>
          <w:szCs w:val="24"/>
        </w:rPr>
        <w:t xml:space="preserve">o Compel is denied.  As such, the Motion </w:t>
      </w:r>
      <w:r w:rsidR="00CE1469">
        <w:rPr>
          <w:rFonts w:ascii="Times New Roman" w:hAnsi="Times New Roman"/>
          <w:sz w:val="24"/>
          <w:szCs w:val="24"/>
        </w:rPr>
        <w:t>t</w:t>
      </w:r>
      <w:r w:rsidRPr="00631C3D">
        <w:rPr>
          <w:rFonts w:ascii="Times New Roman" w:hAnsi="Times New Roman"/>
          <w:sz w:val="24"/>
          <w:szCs w:val="24"/>
        </w:rPr>
        <w:t>o Strike is denied as moot.</w:t>
      </w:r>
    </w:p>
    <w:p w:rsidR="00835A12" w:rsidRPr="00631C3D" w:rsidRDefault="00835A12" w:rsidP="00753014">
      <w:pPr>
        <w:spacing w:after="0" w:line="360" w:lineRule="auto"/>
        <w:ind w:firstLine="1440"/>
        <w:rPr>
          <w:rFonts w:ascii="Times New Roman" w:hAnsi="Times New Roman"/>
          <w:sz w:val="24"/>
          <w:szCs w:val="24"/>
        </w:rPr>
      </w:pPr>
      <w:r w:rsidRPr="00631C3D">
        <w:rPr>
          <w:rFonts w:ascii="Times New Roman" w:hAnsi="Times New Roman"/>
          <w:sz w:val="24"/>
          <w:szCs w:val="24"/>
        </w:rPr>
        <w:t xml:space="preserve">   </w:t>
      </w:r>
    </w:p>
    <w:p w:rsidR="00835A12" w:rsidRDefault="00835A12"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631C3D">
        <w:rPr>
          <w:rFonts w:ascii="Times New Roman" w:hAnsi="Times New Roman"/>
          <w:sz w:val="24"/>
          <w:szCs w:val="24"/>
        </w:rPr>
        <w:t xml:space="preserve">On January 5, 2018, Respondent </w:t>
      </w:r>
      <w:r w:rsidR="00EC08E1" w:rsidRPr="00631C3D">
        <w:rPr>
          <w:rFonts w:ascii="Times New Roman" w:hAnsi="Times New Roman"/>
          <w:sz w:val="24"/>
          <w:szCs w:val="24"/>
        </w:rPr>
        <w:t xml:space="preserve">also </w:t>
      </w:r>
      <w:r w:rsidRPr="00631C3D">
        <w:rPr>
          <w:rFonts w:ascii="Times New Roman" w:hAnsi="Times New Roman"/>
          <w:sz w:val="24"/>
          <w:szCs w:val="24"/>
        </w:rPr>
        <w:t xml:space="preserve">filed Duquesne Light Company’s Motion for Protective Order. </w:t>
      </w:r>
      <w:r w:rsidR="00EC08E1" w:rsidRPr="00631C3D">
        <w:rPr>
          <w:rFonts w:ascii="Times New Roman" w:hAnsi="Times New Roman"/>
          <w:sz w:val="24"/>
          <w:szCs w:val="24"/>
        </w:rPr>
        <w:t xml:space="preserve"> </w:t>
      </w:r>
      <w:r w:rsidRPr="00631C3D">
        <w:rPr>
          <w:rFonts w:ascii="Times New Roman" w:hAnsi="Times New Roman"/>
          <w:sz w:val="24"/>
          <w:szCs w:val="24"/>
        </w:rPr>
        <w:t xml:space="preserve">Respondent’s Motion </w:t>
      </w:r>
      <w:r w:rsidR="005829B9">
        <w:rPr>
          <w:rFonts w:ascii="Times New Roman" w:hAnsi="Times New Roman"/>
          <w:sz w:val="24"/>
          <w:szCs w:val="24"/>
        </w:rPr>
        <w:t>f</w:t>
      </w:r>
      <w:r w:rsidRPr="00631C3D">
        <w:rPr>
          <w:rFonts w:ascii="Times New Roman" w:hAnsi="Times New Roman"/>
          <w:sz w:val="24"/>
          <w:szCs w:val="24"/>
        </w:rPr>
        <w:t xml:space="preserve">or Protective Order argues that the “follow-up” </w:t>
      </w:r>
      <w:r w:rsidR="00D567DA">
        <w:rPr>
          <w:rFonts w:ascii="Times New Roman" w:hAnsi="Times New Roman"/>
          <w:sz w:val="24"/>
          <w:szCs w:val="24"/>
        </w:rPr>
        <w:t xml:space="preserve">to Set I </w:t>
      </w:r>
      <w:r w:rsidRPr="00631C3D">
        <w:rPr>
          <w:rFonts w:ascii="Times New Roman" w:hAnsi="Times New Roman"/>
          <w:sz w:val="24"/>
          <w:szCs w:val="24"/>
        </w:rPr>
        <w:t>discovery requests are improper and would cause unreasonable burden, expense, or investigation by Respondent.</w:t>
      </w:r>
      <w:r w:rsidRPr="00631C3D">
        <w:rPr>
          <w:rStyle w:val="FootnoteReference"/>
          <w:rFonts w:ascii="Times New Roman" w:hAnsi="Times New Roman"/>
          <w:sz w:val="24"/>
          <w:szCs w:val="24"/>
        </w:rPr>
        <w:footnoteReference w:id="4"/>
      </w:r>
      <w:r w:rsidRPr="00631C3D">
        <w:rPr>
          <w:rFonts w:ascii="Times New Roman" w:hAnsi="Times New Roman"/>
          <w:sz w:val="24"/>
          <w:szCs w:val="24"/>
        </w:rPr>
        <w:t xml:space="preserve">   </w:t>
      </w:r>
      <w:r w:rsidR="00EC08E1" w:rsidRPr="00631C3D">
        <w:rPr>
          <w:rFonts w:ascii="Times New Roman" w:hAnsi="Times New Roman"/>
          <w:sz w:val="24"/>
          <w:szCs w:val="24"/>
        </w:rPr>
        <w:t>Without ruling on the appropriateness of each of the “Discovery Requests” attached to Complainants</w:t>
      </w:r>
      <w:r w:rsidR="005829B9">
        <w:rPr>
          <w:rFonts w:ascii="Times New Roman" w:hAnsi="Times New Roman"/>
          <w:sz w:val="24"/>
          <w:szCs w:val="24"/>
        </w:rPr>
        <w:t>’</w:t>
      </w:r>
      <w:r w:rsidR="00EC08E1" w:rsidRPr="00631C3D">
        <w:rPr>
          <w:rFonts w:ascii="Times New Roman" w:hAnsi="Times New Roman"/>
          <w:sz w:val="24"/>
          <w:szCs w:val="24"/>
        </w:rPr>
        <w:t xml:space="preserve"> Motion to Compel, and marked as pages 1 through 41, </w:t>
      </w:r>
      <w:proofErr w:type="gramStart"/>
      <w:r w:rsidR="00EC08E1" w:rsidRPr="00631C3D">
        <w:rPr>
          <w:rFonts w:ascii="Times New Roman" w:hAnsi="Times New Roman"/>
          <w:sz w:val="24"/>
          <w:szCs w:val="24"/>
        </w:rPr>
        <w:t>it is clear that a</w:t>
      </w:r>
      <w:proofErr w:type="gramEnd"/>
      <w:r w:rsidR="00EC08E1" w:rsidRPr="00631C3D">
        <w:rPr>
          <w:rFonts w:ascii="Times New Roman" w:hAnsi="Times New Roman"/>
          <w:sz w:val="24"/>
          <w:szCs w:val="24"/>
        </w:rPr>
        <w:t xml:space="preserve"> number of the “Discovery Requests” do not request information and simply contain statements from Complainants.  </w:t>
      </w:r>
      <w:proofErr w:type="gramStart"/>
      <w:r w:rsidR="00EC08E1" w:rsidRPr="00631C3D">
        <w:rPr>
          <w:rFonts w:ascii="Times New Roman" w:hAnsi="Times New Roman"/>
          <w:sz w:val="24"/>
          <w:szCs w:val="24"/>
        </w:rPr>
        <w:t>In the event that</w:t>
      </w:r>
      <w:proofErr w:type="gramEnd"/>
      <w:r w:rsidR="00EC08E1" w:rsidRPr="00631C3D">
        <w:rPr>
          <w:rFonts w:ascii="Times New Roman" w:hAnsi="Times New Roman"/>
          <w:sz w:val="24"/>
          <w:szCs w:val="24"/>
        </w:rPr>
        <w:t xml:space="preserve"> Complainant</w:t>
      </w:r>
      <w:r w:rsidR="005829B9">
        <w:rPr>
          <w:rFonts w:ascii="Times New Roman" w:hAnsi="Times New Roman"/>
          <w:sz w:val="24"/>
          <w:szCs w:val="24"/>
        </w:rPr>
        <w:t>s</w:t>
      </w:r>
      <w:r w:rsidR="00EC08E1" w:rsidRPr="00631C3D">
        <w:rPr>
          <w:rFonts w:ascii="Times New Roman" w:hAnsi="Times New Roman"/>
          <w:sz w:val="24"/>
          <w:szCs w:val="24"/>
        </w:rPr>
        <w:t xml:space="preserve"> seek discoverable information and materials from Respondent, Complainant</w:t>
      </w:r>
      <w:r w:rsidR="005829B9">
        <w:rPr>
          <w:rFonts w:ascii="Times New Roman" w:hAnsi="Times New Roman"/>
          <w:sz w:val="24"/>
          <w:szCs w:val="24"/>
        </w:rPr>
        <w:t>s</w:t>
      </w:r>
      <w:r w:rsidR="00EC08E1" w:rsidRPr="00631C3D">
        <w:rPr>
          <w:rFonts w:ascii="Times New Roman" w:hAnsi="Times New Roman"/>
          <w:sz w:val="24"/>
          <w:szCs w:val="24"/>
        </w:rPr>
        <w:t xml:space="preserve"> must set forth </w:t>
      </w:r>
      <w:r w:rsidR="005829B9">
        <w:rPr>
          <w:rFonts w:ascii="Times New Roman" w:hAnsi="Times New Roman"/>
          <w:sz w:val="24"/>
          <w:szCs w:val="24"/>
        </w:rPr>
        <w:t>their</w:t>
      </w:r>
      <w:r w:rsidR="00EC08E1" w:rsidRPr="00631C3D">
        <w:rPr>
          <w:rFonts w:ascii="Times New Roman" w:hAnsi="Times New Roman"/>
          <w:sz w:val="24"/>
          <w:szCs w:val="24"/>
        </w:rPr>
        <w:t xml:space="preserve"> requests in </w:t>
      </w:r>
      <w:r w:rsidR="008D2672" w:rsidRPr="00631C3D">
        <w:rPr>
          <w:rFonts w:ascii="Times New Roman" w:hAnsi="Times New Roman"/>
          <w:sz w:val="24"/>
          <w:szCs w:val="24"/>
        </w:rPr>
        <w:t xml:space="preserve">a clear and concise manner </w:t>
      </w:r>
      <w:r w:rsidR="00D567DA">
        <w:rPr>
          <w:rFonts w:ascii="Times New Roman" w:hAnsi="Times New Roman"/>
          <w:sz w:val="24"/>
          <w:szCs w:val="24"/>
        </w:rPr>
        <w:t xml:space="preserve">consistent with Commission rules and regulations, </w:t>
      </w:r>
      <w:r w:rsidR="008D2672" w:rsidRPr="00631C3D">
        <w:rPr>
          <w:rFonts w:ascii="Times New Roman" w:hAnsi="Times New Roman"/>
          <w:sz w:val="24"/>
          <w:szCs w:val="24"/>
        </w:rPr>
        <w:t>in order to convey to Respondent what information or documents are being sought by Complainants.  Again, without ruling on the appropriatene</w:t>
      </w:r>
      <w:r w:rsidR="00753014">
        <w:rPr>
          <w:rFonts w:ascii="Times New Roman" w:hAnsi="Times New Roman"/>
          <w:sz w:val="24"/>
          <w:szCs w:val="24"/>
        </w:rPr>
        <w:t xml:space="preserve">ss of each of the specific </w:t>
      </w:r>
      <w:r w:rsidR="008D2672" w:rsidRPr="00631C3D">
        <w:rPr>
          <w:rFonts w:ascii="Times New Roman" w:hAnsi="Times New Roman"/>
          <w:sz w:val="24"/>
          <w:szCs w:val="24"/>
        </w:rPr>
        <w:t>“Discovery Requests” attached to Complainant</w:t>
      </w:r>
      <w:r w:rsidR="005829B9">
        <w:rPr>
          <w:rFonts w:ascii="Times New Roman" w:hAnsi="Times New Roman"/>
          <w:sz w:val="24"/>
          <w:szCs w:val="24"/>
        </w:rPr>
        <w:t>s’</w:t>
      </w:r>
      <w:r w:rsidR="008D2672" w:rsidRPr="00631C3D">
        <w:rPr>
          <w:rFonts w:ascii="Times New Roman" w:hAnsi="Times New Roman"/>
          <w:sz w:val="24"/>
          <w:szCs w:val="24"/>
        </w:rPr>
        <w:t xml:space="preserve"> Motion to Compel, the “Follow-up </w:t>
      </w:r>
      <w:proofErr w:type="gramStart"/>
      <w:r w:rsidR="008D2672" w:rsidRPr="00631C3D">
        <w:rPr>
          <w:rFonts w:ascii="Times New Roman" w:hAnsi="Times New Roman"/>
          <w:sz w:val="24"/>
          <w:szCs w:val="24"/>
        </w:rPr>
        <w:t>To</w:t>
      </w:r>
      <w:proofErr w:type="gramEnd"/>
      <w:r w:rsidR="008D2672" w:rsidRPr="00631C3D">
        <w:rPr>
          <w:rFonts w:ascii="Times New Roman" w:hAnsi="Times New Roman"/>
          <w:sz w:val="24"/>
          <w:szCs w:val="24"/>
        </w:rPr>
        <w:t xml:space="preserve"> Set #1 Of Discovery Requests” propounded by Complainants as an attachment to their Motion </w:t>
      </w:r>
      <w:r w:rsidR="005829B9">
        <w:rPr>
          <w:rFonts w:ascii="Times New Roman" w:hAnsi="Times New Roman"/>
          <w:sz w:val="24"/>
          <w:szCs w:val="24"/>
        </w:rPr>
        <w:t>t</w:t>
      </w:r>
      <w:r w:rsidR="008D2672" w:rsidRPr="00631C3D">
        <w:rPr>
          <w:rFonts w:ascii="Times New Roman" w:hAnsi="Times New Roman"/>
          <w:sz w:val="24"/>
          <w:szCs w:val="24"/>
        </w:rPr>
        <w:t xml:space="preserve">o Compel, taken as a whole, is improper and the Motion </w:t>
      </w:r>
      <w:r w:rsidR="005829B9">
        <w:rPr>
          <w:rFonts w:ascii="Times New Roman" w:hAnsi="Times New Roman"/>
          <w:sz w:val="24"/>
          <w:szCs w:val="24"/>
        </w:rPr>
        <w:t>to</w:t>
      </w:r>
      <w:r w:rsidR="008D2672" w:rsidRPr="00631C3D">
        <w:rPr>
          <w:rFonts w:ascii="Times New Roman" w:hAnsi="Times New Roman"/>
          <w:sz w:val="24"/>
          <w:szCs w:val="24"/>
        </w:rPr>
        <w:t xml:space="preserve"> Strike will be granted consistent with the ordering paragraphs below.  Complainant</w:t>
      </w:r>
      <w:r w:rsidR="005829B9">
        <w:rPr>
          <w:rFonts w:ascii="Times New Roman" w:hAnsi="Times New Roman"/>
          <w:sz w:val="24"/>
          <w:szCs w:val="24"/>
        </w:rPr>
        <w:t>s</w:t>
      </w:r>
      <w:r w:rsidR="008D2672" w:rsidRPr="00631C3D">
        <w:rPr>
          <w:rFonts w:ascii="Times New Roman" w:hAnsi="Times New Roman"/>
          <w:sz w:val="24"/>
          <w:szCs w:val="24"/>
        </w:rPr>
        <w:t xml:space="preserve"> will be permitted to serve additional discovery requests, prior to the deadline set forth </w:t>
      </w:r>
      <w:r w:rsidR="00D567DA">
        <w:rPr>
          <w:rFonts w:ascii="Times New Roman" w:hAnsi="Times New Roman"/>
          <w:sz w:val="24"/>
          <w:szCs w:val="24"/>
        </w:rPr>
        <w:t>below</w:t>
      </w:r>
      <w:r w:rsidR="008D2672" w:rsidRPr="00631C3D">
        <w:rPr>
          <w:rFonts w:ascii="Times New Roman" w:hAnsi="Times New Roman"/>
          <w:sz w:val="24"/>
          <w:szCs w:val="24"/>
        </w:rPr>
        <w:t>, in accordance with applicable law and the rules and regulations of the Commission.</w:t>
      </w:r>
    </w:p>
    <w:p w:rsidR="00753014" w:rsidRPr="00631C3D" w:rsidRDefault="00753014" w:rsidP="00753014">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D567DA" w:rsidRDefault="00D567DA" w:rsidP="00753014">
      <w:pPr>
        <w:pStyle w:val="BodyText"/>
        <w:spacing w:line="360" w:lineRule="auto"/>
        <w:ind w:firstLine="1440"/>
        <w:rPr>
          <w:szCs w:val="24"/>
        </w:rPr>
      </w:pPr>
    </w:p>
    <w:p w:rsidR="00D567DA" w:rsidRDefault="00D567DA" w:rsidP="00753014">
      <w:pPr>
        <w:pStyle w:val="BodyText"/>
        <w:spacing w:line="360" w:lineRule="auto"/>
        <w:ind w:firstLine="1440"/>
        <w:rPr>
          <w:szCs w:val="24"/>
        </w:rPr>
      </w:pPr>
    </w:p>
    <w:p w:rsidR="00A05DE7" w:rsidRDefault="00A05DE7" w:rsidP="009A41F3">
      <w:pPr>
        <w:pStyle w:val="BodyText"/>
        <w:spacing w:line="240" w:lineRule="auto"/>
        <w:ind w:firstLine="1440"/>
        <w:rPr>
          <w:szCs w:val="24"/>
        </w:rPr>
      </w:pPr>
      <w:r w:rsidRPr="00631C3D">
        <w:rPr>
          <w:szCs w:val="24"/>
        </w:rPr>
        <w:t>THEREFORE,</w:t>
      </w:r>
    </w:p>
    <w:p w:rsidR="00753014" w:rsidRPr="00631C3D" w:rsidRDefault="00753014" w:rsidP="00871593">
      <w:pPr>
        <w:pStyle w:val="BodyText"/>
        <w:spacing w:line="240" w:lineRule="auto"/>
        <w:ind w:firstLine="1440"/>
        <w:rPr>
          <w:szCs w:val="24"/>
        </w:rPr>
      </w:pPr>
    </w:p>
    <w:p w:rsidR="00A05DE7" w:rsidRDefault="00A05DE7" w:rsidP="009A41F3">
      <w:pPr>
        <w:pStyle w:val="BodyText"/>
        <w:spacing w:line="240" w:lineRule="auto"/>
        <w:ind w:left="720"/>
        <w:rPr>
          <w:szCs w:val="24"/>
        </w:rPr>
      </w:pPr>
      <w:r w:rsidRPr="00631C3D">
        <w:rPr>
          <w:szCs w:val="24"/>
        </w:rPr>
        <w:lastRenderedPageBreak/>
        <w:t>IT IS ORDERED:</w:t>
      </w:r>
    </w:p>
    <w:p w:rsidR="00753014" w:rsidRPr="00631C3D" w:rsidRDefault="00753014" w:rsidP="00753014">
      <w:pPr>
        <w:pStyle w:val="BodyText"/>
        <w:spacing w:line="360" w:lineRule="auto"/>
        <w:ind w:left="720"/>
        <w:rPr>
          <w:szCs w:val="24"/>
        </w:rPr>
      </w:pPr>
    </w:p>
    <w:p w:rsidR="00A05DE7" w:rsidRDefault="00A05DE7" w:rsidP="00753014">
      <w:pPr>
        <w:pStyle w:val="OutlineL2"/>
        <w:spacing w:after="0" w:line="360" w:lineRule="auto"/>
        <w:ind w:firstLine="1440"/>
        <w:rPr>
          <w:szCs w:val="24"/>
        </w:rPr>
      </w:pPr>
      <w:r w:rsidRPr="00631C3D">
        <w:rPr>
          <w:szCs w:val="24"/>
        </w:rPr>
        <w:t xml:space="preserve">That </w:t>
      </w:r>
      <w:r w:rsidR="000B2593" w:rsidRPr="00631C3D">
        <w:rPr>
          <w:szCs w:val="24"/>
        </w:rPr>
        <w:t>Complainants</w:t>
      </w:r>
      <w:r w:rsidR="005829B9">
        <w:rPr>
          <w:szCs w:val="24"/>
        </w:rPr>
        <w:t>’</w:t>
      </w:r>
      <w:r w:rsidR="000B2593" w:rsidRPr="00631C3D">
        <w:rPr>
          <w:szCs w:val="24"/>
        </w:rPr>
        <w:t xml:space="preserve"> </w:t>
      </w:r>
      <w:r w:rsidRPr="00631C3D">
        <w:rPr>
          <w:szCs w:val="24"/>
        </w:rPr>
        <w:t>Motion to Compel</w:t>
      </w:r>
      <w:r w:rsidR="000B2593" w:rsidRPr="00631C3D">
        <w:rPr>
          <w:szCs w:val="24"/>
        </w:rPr>
        <w:t xml:space="preserve"> dated </w:t>
      </w:r>
      <w:r w:rsidR="00753C43" w:rsidRPr="00631C3D">
        <w:rPr>
          <w:szCs w:val="24"/>
        </w:rPr>
        <w:t>December 30, 2017, that</w:t>
      </w:r>
      <w:r w:rsidR="000B2593" w:rsidRPr="00631C3D">
        <w:rPr>
          <w:szCs w:val="24"/>
        </w:rPr>
        <w:t xml:space="preserve"> avers that Respondent’s responses to </w:t>
      </w:r>
      <w:r w:rsidR="00753C43" w:rsidRPr="00631C3D">
        <w:rPr>
          <w:szCs w:val="24"/>
        </w:rPr>
        <w:t xml:space="preserve">discovery requests filed by Complainants on October 5, 2017, </w:t>
      </w:r>
      <w:r w:rsidR="000B2593" w:rsidRPr="00631C3D">
        <w:rPr>
          <w:szCs w:val="24"/>
        </w:rPr>
        <w:t xml:space="preserve">were </w:t>
      </w:r>
      <w:r w:rsidR="00753C43" w:rsidRPr="00631C3D">
        <w:rPr>
          <w:szCs w:val="24"/>
        </w:rPr>
        <w:t>vague, inconsistent, and/or incomplete</w:t>
      </w:r>
      <w:r w:rsidR="000B2593" w:rsidRPr="00631C3D">
        <w:rPr>
          <w:szCs w:val="24"/>
        </w:rPr>
        <w:t>, is denied.  Complainant</w:t>
      </w:r>
      <w:r w:rsidR="005829B9">
        <w:rPr>
          <w:szCs w:val="24"/>
        </w:rPr>
        <w:t>s</w:t>
      </w:r>
      <w:r w:rsidR="000B2593" w:rsidRPr="00631C3D">
        <w:rPr>
          <w:szCs w:val="24"/>
        </w:rPr>
        <w:t xml:space="preserve"> may file a more specific and concise Motion </w:t>
      </w:r>
      <w:r w:rsidR="00F66A42">
        <w:rPr>
          <w:szCs w:val="24"/>
        </w:rPr>
        <w:t>t</w:t>
      </w:r>
      <w:r w:rsidR="000B2593" w:rsidRPr="00631C3D">
        <w:rPr>
          <w:szCs w:val="24"/>
        </w:rPr>
        <w:t xml:space="preserve">o Compel </w:t>
      </w:r>
      <w:r w:rsidR="005829B9">
        <w:rPr>
          <w:szCs w:val="24"/>
        </w:rPr>
        <w:t>r</w:t>
      </w:r>
      <w:r w:rsidR="000B2593" w:rsidRPr="00631C3D">
        <w:rPr>
          <w:szCs w:val="24"/>
        </w:rPr>
        <w:t xml:space="preserve">esponses to the discovery requests propounded by Complainants on October 5, 2017, identifying the specific interrogatories or requests for production that are incomplete, insufficient or otherwise objectionable and the specific basis for each such claim, on or before February 20, 2018.  Respondent may file any response to such </w:t>
      </w:r>
      <w:r w:rsidR="00AA127E">
        <w:rPr>
          <w:szCs w:val="24"/>
        </w:rPr>
        <w:t>m</w:t>
      </w:r>
      <w:r w:rsidR="000B2593" w:rsidRPr="00631C3D">
        <w:rPr>
          <w:szCs w:val="24"/>
        </w:rPr>
        <w:t>otion on or before March 5, 2018.</w:t>
      </w:r>
    </w:p>
    <w:p w:rsidR="00753014" w:rsidRPr="00631C3D" w:rsidRDefault="00753014" w:rsidP="00753014">
      <w:pPr>
        <w:pStyle w:val="OutlineL2"/>
        <w:numPr>
          <w:ilvl w:val="0"/>
          <w:numId w:val="0"/>
        </w:numPr>
        <w:spacing w:after="0" w:line="360" w:lineRule="auto"/>
        <w:ind w:left="1440"/>
        <w:rPr>
          <w:szCs w:val="24"/>
        </w:rPr>
      </w:pPr>
    </w:p>
    <w:p w:rsidR="000B2593" w:rsidRDefault="000B2593" w:rsidP="00753014">
      <w:pPr>
        <w:pStyle w:val="OutlineL2"/>
        <w:spacing w:after="0" w:line="360" w:lineRule="auto"/>
        <w:ind w:firstLine="1440"/>
        <w:rPr>
          <w:szCs w:val="24"/>
        </w:rPr>
      </w:pPr>
      <w:r w:rsidRPr="00631C3D">
        <w:rPr>
          <w:szCs w:val="24"/>
        </w:rPr>
        <w:t>That Respondent</w:t>
      </w:r>
      <w:r w:rsidR="00AF1F01" w:rsidRPr="00631C3D">
        <w:rPr>
          <w:szCs w:val="24"/>
        </w:rPr>
        <w:t xml:space="preserve">, </w:t>
      </w:r>
      <w:r w:rsidRPr="00631C3D">
        <w:rPr>
          <w:szCs w:val="24"/>
        </w:rPr>
        <w:t>Duquesne Light Company’s Motion to Strike the Complainants</w:t>
      </w:r>
      <w:r w:rsidR="005829B9">
        <w:rPr>
          <w:szCs w:val="24"/>
        </w:rPr>
        <w:t>’</w:t>
      </w:r>
      <w:r w:rsidRPr="00631C3D">
        <w:rPr>
          <w:szCs w:val="24"/>
        </w:rPr>
        <w:t xml:space="preserve"> Motion </w:t>
      </w:r>
      <w:r w:rsidR="00F66A42">
        <w:rPr>
          <w:szCs w:val="24"/>
        </w:rPr>
        <w:t>t</w:t>
      </w:r>
      <w:r w:rsidRPr="00631C3D">
        <w:rPr>
          <w:szCs w:val="24"/>
        </w:rPr>
        <w:t>o Compel</w:t>
      </w:r>
      <w:r w:rsidR="00AF1F01" w:rsidRPr="00631C3D">
        <w:rPr>
          <w:szCs w:val="24"/>
        </w:rPr>
        <w:t>, filed on January 5, 2018, is denied as moot.</w:t>
      </w:r>
      <w:r w:rsidRPr="00631C3D">
        <w:rPr>
          <w:szCs w:val="24"/>
        </w:rPr>
        <w:t xml:space="preserve">   </w:t>
      </w:r>
    </w:p>
    <w:p w:rsidR="00753014" w:rsidRPr="00631C3D" w:rsidRDefault="00753014" w:rsidP="00753014">
      <w:pPr>
        <w:pStyle w:val="OutlineL2"/>
        <w:numPr>
          <w:ilvl w:val="0"/>
          <w:numId w:val="0"/>
        </w:numPr>
        <w:spacing w:after="0" w:line="360" w:lineRule="auto"/>
        <w:rPr>
          <w:szCs w:val="24"/>
        </w:rPr>
      </w:pPr>
    </w:p>
    <w:p w:rsidR="00AF1F01" w:rsidRDefault="00AF1F01" w:rsidP="00753014">
      <w:pPr>
        <w:pStyle w:val="OutlineL2"/>
        <w:spacing w:after="0" w:line="360" w:lineRule="auto"/>
        <w:ind w:firstLine="1440"/>
        <w:rPr>
          <w:szCs w:val="24"/>
        </w:rPr>
      </w:pPr>
      <w:r w:rsidRPr="00631C3D">
        <w:rPr>
          <w:szCs w:val="24"/>
        </w:rPr>
        <w:t xml:space="preserve">That </w:t>
      </w:r>
      <w:r w:rsidR="000B2593" w:rsidRPr="00631C3D">
        <w:rPr>
          <w:szCs w:val="24"/>
        </w:rPr>
        <w:t>Respondent</w:t>
      </w:r>
      <w:r w:rsidRPr="00631C3D">
        <w:rPr>
          <w:szCs w:val="24"/>
        </w:rPr>
        <w:t xml:space="preserve">, </w:t>
      </w:r>
      <w:r w:rsidR="000B2593" w:rsidRPr="00631C3D">
        <w:rPr>
          <w:szCs w:val="24"/>
        </w:rPr>
        <w:t>Duquesne Light Company’s Motion for Protective Order</w:t>
      </w:r>
      <w:r w:rsidRPr="00631C3D">
        <w:rPr>
          <w:szCs w:val="24"/>
        </w:rPr>
        <w:t xml:space="preserve"> is granted to the limited extent that Respondent is not required to provide a response to the </w:t>
      </w:r>
      <w:r w:rsidR="000B2593" w:rsidRPr="00631C3D">
        <w:rPr>
          <w:szCs w:val="24"/>
        </w:rPr>
        <w:t xml:space="preserve">Follow-up </w:t>
      </w:r>
      <w:proofErr w:type="gramStart"/>
      <w:r w:rsidR="000B2593" w:rsidRPr="00631C3D">
        <w:rPr>
          <w:szCs w:val="24"/>
        </w:rPr>
        <w:t>To</w:t>
      </w:r>
      <w:proofErr w:type="gramEnd"/>
      <w:r w:rsidR="000B2593" w:rsidRPr="00631C3D">
        <w:rPr>
          <w:szCs w:val="24"/>
        </w:rPr>
        <w:t xml:space="preserve"> Set #1 Of Discovery Requests</w:t>
      </w:r>
      <w:r w:rsidRPr="00631C3D">
        <w:rPr>
          <w:szCs w:val="24"/>
        </w:rPr>
        <w:t xml:space="preserve">, </w:t>
      </w:r>
      <w:r w:rsidR="000B2593" w:rsidRPr="00631C3D">
        <w:rPr>
          <w:szCs w:val="24"/>
        </w:rPr>
        <w:t xml:space="preserve">propounded by Complainants as an attachment to their Motion </w:t>
      </w:r>
      <w:r w:rsidR="005829B9">
        <w:rPr>
          <w:szCs w:val="24"/>
        </w:rPr>
        <w:t>t</w:t>
      </w:r>
      <w:r w:rsidR="000B2593" w:rsidRPr="00631C3D">
        <w:rPr>
          <w:szCs w:val="24"/>
        </w:rPr>
        <w:t xml:space="preserve">o Compel, </w:t>
      </w:r>
      <w:r w:rsidRPr="00631C3D">
        <w:rPr>
          <w:szCs w:val="24"/>
        </w:rPr>
        <w:t xml:space="preserve">subject to </w:t>
      </w:r>
      <w:r w:rsidR="000B2593" w:rsidRPr="00631C3D">
        <w:rPr>
          <w:szCs w:val="24"/>
        </w:rPr>
        <w:t xml:space="preserve">the ordering paragraphs below.  </w:t>
      </w:r>
    </w:p>
    <w:p w:rsidR="00A35248" w:rsidRPr="00631C3D" w:rsidRDefault="00A35248" w:rsidP="00A35248">
      <w:pPr>
        <w:pStyle w:val="OutlineL2"/>
        <w:numPr>
          <w:ilvl w:val="0"/>
          <w:numId w:val="0"/>
        </w:numPr>
        <w:spacing w:after="0" w:line="360" w:lineRule="auto"/>
        <w:ind w:left="1440"/>
        <w:rPr>
          <w:szCs w:val="24"/>
        </w:rPr>
      </w:pPr>
    </w:p>
    <w:p w:rsidR="000B2593" w:rsidRDefault="00AF1F01" w:rsidP="00753014">
      <w:pPr>
        <w:pStyle w:val="OutlineL2"/>
        <w:spacing w:after="0" w:line="360" w:lineRule="auto"/>
        <w:ind w:firstLine="1440"/>
        <w:rPr>
          <w:szCs w:val="24"/>
        </w:rPr>
      </w:pPr>
      <w:r w:rsidRPr="00631C3D">
        <w:rPr>
          <w:szCs w:val="24"/>
        </w:rPr>
        <w:t xml:space="preserve">That the </w:t>
      </w:r>
      <w:r w:rsidR="00DF2F5A">
        <w:rPr>
          <w:szCs w:val="24"/>
        </w:rPr>
        <w:t>P</w:t>
      </w:r>
      <w:r w:rsidRPr="00631C3D">
        <w:rPr>
          <w:szCs w:val="24"/>
        </w:rPr>
        <w:t>arties may serve additional discovery requests in this proceeding, on or before March 16, 2018</w:t>
      </w:r>
      <w:r w:rsidR="000B2593" w:rsidRPr="00631C3D">
        <w:rPr>
          <w:szCs w:val="24"/>
        </w:rPr>
        <w:t>, in accordance with applicable law and the rules and regulations of the Commission.</w:t>
      </w:r>
    </w:p>
    <w:p w:rsidR="00753014" w:rsidRDefault="00753014" w:rsidP="00753014">
      <w:pPr>
        <w:pStyle w:val="OutlineL2"/>
        <w:numPr>
          <w:ilvl w:val="0"/>
          <w:numId w:val="0"/>
        </w:numPr>
        <w:spacing w:after="0" w:line="360" w:lineRule="auto"/>
        <w:ind w:left="1440"/>
        <w:rPr>
          <w:szCs w:val="24"/>
        </w:rPr>
      </w:pPr>
    </w:p>
    <w:p w:rsidR="00AF1F01" w:rsidRPr="00631C3D" w:rsidRDefault="00AF1F01" w:rsidP="00753014">
      <w:pPr>
        <w:pStyle w:val="OutlineL2"/>
        <w:spacing w:after="0" w:line="360" w:lineRule="auto"/>
        <w:ind w:firstLine="1440"/>
        <w:rPr>
          <w:szCs w:val="24"/>
        </w:rPr>
      </w:pPr>
      <w:r w:rsidRPr="00631C3D">
        <w:rPr>
          <w:szCs w:val="24"/>
        </w:rPr>
        <w:t>That the deadlines set forth in the prehearing order entered on December</w:t>
      </w:r>
      <w:r w:rsidR="00753014">
        <w:rPr>
          <w:szCs w:val="24"/>
        </w:rPr>
        <w:t> </w:t>
      </w:r>
      <w:r w:rsidRPr="00631C3D">
        <w:rPr>
          <w:szCs w:val="24"/>
        </w:rPr>
        <w:t>15, 2017, are hereby suspended</w:t>
      </w:r>
      <w:r w:rsidR="008C105A" w:rsidRPr="00631C3D">
        <w:rPr>
          <w:szCs w:val="24"/>
        </w:rPr>
        <w:t>.</w:t>
      </w:r>
    </w:p>
    <w:p w:rsidR="00A05DE7" w:rsidRDefault="00A05DE7" w:rsidP="000B2593">
      <w:pPr>
        <w:rPr>
          <w:rFonts w:ascii="Times New Roman" w:hAnsi="Times New Roman"/>
          <w:sz w:val="24"/>
          <w:szCs w:val="24"/>
        </w:rPr>
      </w:pPr>
    </w:p>
    <w:p w:rsidR="00753014" w:rsidRPr="00631C3D" w:rsidRDefault="00753014" w:rsidP="00871593">
      <w:pPr>
        <w:spacing w:line="240" w:lineRule="auto"/>
        <w:rPr>
          <w:rFonts w:ascii="Times New Roman" w:hAnsi="Times New Roman"/>
          <w:sz w:val="24"/>
          <w:szCs w:val="24"/>
        </w:rPr>
      </w:pPr>
    </w:p>
    <w:tbl>
      <w:tblPr>
        <w:tblW w:w="0" w:type="auto"/>
        <w:tblBorders>
          <w:insideH w:val="single" w:sz="4" w:space="0" w:color="auto"/>
          <w:insideV w:val="single" w:sz="4" w:space="0" w:color="auto"/>
        </w:tblBorders>
        <w:tblLook w:val="01E0" w:firstRow="1" w:lastRow="1" w:firstColumn="1" w:lastColumn="1" w:noHBand="0" w:noVBand="0"/>
      </w:tblPr>
      <w:tblGrid>
        <w:gridCol w:w="4672"/>
        <w:gridCol w:w="4688"/>
      </w:tblGrid>
      <w:tr w:rsidR="00A05DE7" w:rsidRPr="00631C3D" w:rsidTr="00CA238D">
        <w:tc>
          <w:tcPr>
            <w:tcW w:w="4788" w:type="dxa"/>
            <w:tcBorders>
              <w:top w:val="nil"/>
              <w:bottom w:val="nil"/>
              <w:right w:val="nil"/>
            </w:tcBorders>
          </w:tcPr>
          <w:p w:rsidR="00A05DE7" w:rsidRPr="00631C3D" w:rsidRDefault="00A05DE7" w:rsidP="00753014">
            <w:pPr>
              <w:pStyle w:val="FirmPlain"/>
              <w:ind w:left="-18" w:hanging="90"/>
            </w:pPr>
            <w:r w:rsidRPr="00631C3D">
              <w:t xml:space="preserve">Date: </w:t>
            </w:r>
            <w:r w:rsidR="00753014">
              <w:t xml:space="preserve"> </w:t>
            </w:r>
            <w:r w:rsidR="008C105A" w:rsidRPr="00753014">
              <w:rPr>
                <w:u w:val="single"/>
              </w:rPr>
              <w:t>February 5</w:t>
            </w:r>
            <w:r w:rsidRPr="00753014">
              <w:rPr>
                <w:u w:val="single"/>
              </w:rPr>
              <w:t>, 2018</w:t>
            </w:r>
          </w:p>
        </w:tc>
        <w:tc>
          <w:tcPr>
            <w:tcW w:w="4788" w:type="dxa"/>
            <w:tcBorders>
              <w:top w:val="nil"/>
              <w:left w:val="nil"/>
              <w:bottom w:val="single" w:sz="4" w:space="0" w:color="auto"/>
            </w:tcBorders>
          </w:tcPr>
          <w:p w:rsidR="00A05DE7" w:rsidRPr="00631C3D" w:rsidRDefault="00A05DE7" w:rsidP="00CA238D">
            <w:pPr>
              <w:pStyle w:val="FirmPlain"/>
            </w:pPr>
          </w:p>
        </w:tc>
      </w:tr>
      <w:tr w:rsidR="00A05DE7" w:rsidRPr="00631C3D" w:rsidTr="00CA238D">
        <w:tc>
          <w:tcPr>
            <w:tcW w:w="4788" w:type="dxa"/>
            <w:tcBorders>
              <w:top w:val="nil"/>
              <w:right w:val="nil"/>
            </w:tcBorders>
          </w:tcPr>
          <w:p w:rsidR="00A05DE7" w:rsidRPr="00631C3D" w:rsidRDefault="00A05DE7" w:rsidP="00CA238D">
            <w:pPr>
              <w:pStyle w:val="FirmPlain"/>
            </w:pPr>
          </w:p>
        </w:tc>
        <w:tc>
          <w:tcPr>
            <w:tcW w:w="4788" w:type="dxa"/>
            <w:tcBorders>
              <w:top w:val="single" w:sz="4" w:space="0" w:color="auto"/>
              <w:left w:val="nil"/>
              <w:bottom w:val="nil"/>
            </w:tcBorders>
          </w:tcPr>
          <w:p w:rsidR="00A05DE7" w:rsidRPr="00631C3D" w:rsidRDefault="00A05DE7" w:rsidP="005829B9">
            <w:pPr>
              <w:pStyle w:val="FirmPlain"/>
              <w:ind w:left="-96"/>
            </w:pPr>
            <w:r w:rsidRPr="00631C3D">
              <w:t>Jeffrey A. Watson</w:t>
            </w:r>
          </w:p>
          <w:p w:rsidR="00A05DE7" w:rsidRPr="00631C3D" w:rsidRDefault="00A05DE7" w:rsidP="005829B9">
            <w:pPr>
              <w:pStyle w:val="FirmPlain"/>
              <w:ind w:left="-96"/>
            </w:pPr>
            <w:r w:rsidRPr="00631C3D">
              <w:t>Administrative Law Judge</w:t>
            </w:r>
          </w:p>
        </w:tc>
      </w:tr>
    </w:tbl>
    <w:p w:rsidR="00784E34" w:rsidRDefault="00784E34" w:rsidP="00784E34">
      <w:pPr>
        <w:spacing w:after="0" w:line="240" w:lineRule="auto"/>
        <w:contextualSpacing/>
        <w:rPr>
          <w:rFonts w:ascii="Microsoft Sans Serif"/>
          <w:b/>
          <w:sz w:val="24"/>
          <w:u w:val="single"/>
        </w:rPr>
        <w:sectPr w:rsidR="00784E34" w:rsidSect="00631C3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bookmarkStart w:id="0" w:name="_GoBack"/>
      <w:bookmarkEnd w:id="0"/>
    </w:p>
    <w:p w:rsidR="00784E34" w:rsidRDefault="00784E34" w:rsidP="00784E34">
      <w:pPr>
        <w:spacing w:after="0" w:line="240" w:lineRule="auto"/>
        <w:contextualSpacing/>
        <w:rPr>
          <w:rFonts w:ascii="Microsoft Sans Serif"/>
          <w:sz w:val="24"/>
        </w:rPr>
      </w:pPr>
      <w:r>
        <w:rPr>
          <w:rFonts w:ascii="Microsoft Sans Serif"/>
          <w:b/>
          <w:sz w:val="24"/>
          <w:u w:val="single"/>
        </w:rPr>
        <w:lastRenderedPageBreak/>
        <w:t>C-2016-2571726 - MICHELE HRIADIL &amp; FRANCIS HRIADIL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MICHELE HRIADIL</w:t>
      </w:r>
    </w:p>
    <w:p w:rsidR="00784E34" w:rsidRDefault="00784E34" w:rsidP="00784E34">
      <w:pPr>
        <w:spacing w:after="0" w:line="240" w:lineRule="auto"/>
        <w:contextualSpacing/>
      </w:pPr>
      <w:r>
        <w:rPr>
          <w:rFonts w:ascii="Microsoft Sans Serif"/>
          <w:sz w:val="24"/>
        </w:rPr>
        <w:t>FRANCIS HRIADIL</w:t>
      </w:r>
      <w:r>
        <w:rPr>
          <w:rFonts w:ascii="Microsoft Sans Serif"/>
          <w:sz w:val="24"/>
        </w:rPr>
        <w:cr/>
        <w:t>331 SHADY RIDGE DRIVE</w:t>
      </w:r>
      <w:r>
        <w:rPr>
          <w:rFonts w:ascii="Microsoft Sans Serif"/>
          <w:sz w:val="24"/>
        </w:rPr>
        <w:cr/>
        <w:t>MONROEVILLE PA  15146-7510</w:t>
      </w:r>
      <w:r>
        <w:rPr>
          <w:rFonts w:ascii="Microsoft Sans Serif"/>
          <w:sz w:val="24"/>
        </w:rPr>
        <w:cr/>
        <w:t>412.779.3314</w:t>
      </w:r>
      <w:r>
        <w:rPr>
          <w:rFonts w:ascii="Microsoft Sans Serif"/>
          <w:sz w:val="24"/>
        </w:rPr>
        <w:cr/>
      </w:r>
    </w:p>
    <w:p w:rsidR="00784E34" w:rsidRDefault="00784E34" w:rsidP="00784E34">
      <w:pPr>
        <w:spacing w:after="0" w:line="240" w:lineRule="auto"/>
        <w:rPr>
          <w:rFonts w:ascii="Microsoft Sans Serif"/>
          <w:sz w:val="24"/>
        </w:rPr>
      </w:pPr>
      <w:r>
        <w:rPr>
          <w:rFonts w:ascii="Microsoft Sans Serif"/>
          <w:sz w:val="24"/>
        </w:rPr>
        <w:t xml:space="preserve">JEREMY V FARRELL ESQUIRE </w:t>
      </w:r>
      <w:r>
        <w:rPr>
          <w:rFonts w:ascii="Microsoft Sans Serif"/>
          <w:sz w:val="24"/>
        </w:rPr>
        <w:cr/>
        <w:t>PAUL SHANE MILLER ESQUIRE</w:t>
      </w:r>
    </w:p>
    <w:p w:rsidR="00784E34" w:rsidRDefault="00784E34" w:rsidP="00784E34">
      <w:pPr>
        <w:spacing w:after="0" w:line="240" w:lineRule="auto"/>
        <w:rPr>
          <w:rFonts w:ascii="Microsoft Sans Serif"/>
          <w:sz w:val="24"/>
        </w:rPr>
      </w:pPr>
      <w:r>
        <w:rPr>
          <w:rFonts w:ascii="Microsoft Sans Serif"/>
          <w:sz w:val="24"/>
        </w:rPr>
        <w:t>LAUREN N RULLI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rsidR="00784E34" w:rsidRPr="00690FBC" w:rsidRDefault="00784E34" w:rsidP="00784E34">
      <w:pPr>
        <w:spacing w:after="0" w:line="240" w:lineRule="auto"/>
        <w:rPr>
          <w:b/>
          <w:i/>
          <w:u w:val="single"/>
        </w:rPr>
      </w:pPr>
      <w:r>
        <w:rPr>
          <w:rFonts w:ascii="Microsoft Sans Serif"/>
          <w:sz w:val="24"/>
        </w:rPr>
        <w:t>412.594.5503</w:t>
      </w:r>
      <w:r>
        <w:rPr>
          <w:rFonts w:ascii="Microsoft Sans Serif"/>
          <w:sz w:val="24"/>
        </w:rPr>
        <w:cr/>
        <w:t>412.594.5510</w:t>
      </w:r>
      <w:r>
        <w:rPr>
          <w:rFonts w:ascii="Microsoft Sans Serif"/>
          <w:sz w:val="24"/>
        </w:rPr>
        <w:cr/>
      </w:r>
      <w:r>
        <w:rPr>
          <w:rFonts w:ascii="Microsoft Sans Serif"/>
          <w:b/>
          <w:i/>
          <w:sz w:val="24"/>
          <w:u w:val="single"/>
        </w:rPr>
        <w:t>-E-SERVE-</w:t>
      </w:r>
    </w:p>
    <w:p w:rsidR="00784E34" w:rsidRPr="00690FBC" w:rsidRDefault="00784E34" w:rsidP="00784E34">
      <w:pPr>
        <w:rPr>
          <w:b/>
          <w:i/>
          <w:u w:val="single"/>
        </w:rPr>
      </w:pPr>
    </w:p>
    <w:p w:rsidR="00E10672" w:rsidRPr="00631C3D" w:rsidRDefault="00E10672" w:rsidP="00E10672">
      <w:pPr>
        <w:tabs>
          <w:tab w:val="left" w:pos="-1440"/>
          <w:tab w:val="left" w:pos="-720"/>
          <w:tab w:val="left" w:pos="0"/>
          <w:tab w:val="left" w:pos="720"/>
          <w:tab w:val="left" w:pos="1440"/>
          <w:tab w:val="left" w:pos="2160"/>
        </w:tabs>
        <w:spacing w:line="360" w:lineRule="auto"/>
        <w:ind w:firstLine="1440"/>
        <w:rPr>
          <w:rFonts w:ascii="Times New Roman" w:hAnsi="Times New Roman"/>
          <w:sz w:val="24"/>
          <w:szCs w:val="24"/>
        </w:rPr>
      </w:pPr>
    </w:p>
    <w:sectPr w:rsidR="00E10672" w:rsidRPr="00631C3D" w:rsidSect="00631C3D">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929" w:rsidRDefault="00CB2929" w:rsidP="00E10672">
      <w:pPr>
        <w:spacing w:after="0" w:line="240" w:lineRule="auto"/>
      </w:pPr>
      <w:r>
        <w:separator/>
      </w:r>
    </w:p>
  </w:endnote>
  <w:endnote w:type="continuationSeparator" w:id="0">
    <w:p w:rsidR="00CB2929" w:rsidRDefault="00CB2929" w:rsidP="00E1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3D" w:rsidRDefault="00631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548896"/>
      <w:docPartObj>
        <w:docPartGallery w:val="Page Numbers (Bottom of Page)"/>
        <w:docPartUnique/>
      </w:docPartObj>
    </w:sdtPr>
    <w:sdtEndPr>
      <w:rPr>
        <w:rFonts w:ascii="Times New Roman" w:hAnsi="Times New Roman"/>
        <w:noProof/>
        <w:sz w:val="24"/>
        <w:szCs w:val="24"/>
      </w:rPr>
    </w:sdtEndPr>
    <w:sdtContent>
      <w:p w:rsidR="00631C3D" w:rsidRPr="00631C3D" w:rsidRDefault="00631C3D">
        <w:pPr>
          <w:pStyle w:val="Footer"/>
          <w:jc w:val="center"/>
          <w:rPr>
            <w:rFonts w:ascii="Times New Roman" w:hAnsi="Times New Roman"/>
            <w:sz w:val="24"/>
            <w:szCs w:val="24"/>
          </w:rPr>
        </w:pPr>
        <w:r w:rsidRPr="00631C3D">
          <w:rPr>
            <w:rFonts w:ascii="Times New Roman" w:hAnsi="Times New Roman"/>
            <w:sz w:val="24"/>
            <w:szCs w:val="24"/>
          </w:rPr>
          <w:fldChar w:fldCharType="begin"/>
        </w:r>
        <w:r w:rsidRPr="00631C3D">
          <w:rPr>
            <w:rFonts w:ascii="Times New Roman" w:hAnsi="Times New Roman"/>
            <w:sz w:val="24"/>
            <w:szCs w:val="24"/>
          </w:rPr>
          <w:instrText xml:space="preserve"> PAGE   \* MERGEFORMAT </w:instrText>
        </w:r>
        <w:r w:rsidRPr="00631C3D">
          <w:rPr>
            <w:rFonts w:ascii="Times New Roman" w:hAnsi="Times New Roman"/>
            <w:sz w:val="24"/>
            <w:szCs w:val="24"/>
          </w:rPr>
          <w:fldChar w:fldCharType="separate"/>
        </w:r>
        <w:r w:rsidR="00BB3D70">
          <w:rPr>
            <w:rFonts w:ascii="Times New Roman" w:hAnsi="Times New Roman"/>
            <w:noProof/>
            <w:sz w:val="24"/>
            <w:szCs w:val="24"/>
          </w:rPr>
          <w:t>9</w:t>
        </w:r>
        <w:r w:rsidRPr="00631C3D">
          <w:rPr>
            <w:rFonts w:ascii="Times New Roman" w:hAnsi="Times New Roman"/>
            <w:noProof/>
            <w:sz w:val="24"/>
            <w:szCs w:val="24"/>
          </w:rPr>
          <w:fldChar w:fldCharType="end"/>
        </w:r>
      </w:p>
    </w:sdtContent>
  </w:sdt>
  <w:p w:rsidR="00631C3D" w:rsidRDefault="00631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3D" w:rsidRDefault="00631C3D">
    <w:pPr>
      <w:pStyle w:val="Footer"/>
      <w:jc w:val="center"/>
    </w:pPr>
  </w:p>
  <w:p w:rsidR="00631C3D" w:rsidRDefault="0063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929" w:rsidRDefault="00CB2929" w:rsidP="00E10672">
      <w:pPr>
        <w:spacing w:after="0" w:line="240" w:lineRule="auto"/>
      </w:pPr>
      <w:r>
        <w:separator/>
      </w:r>
    </w:p>
  </w:footnote>
  <w:footnote w:type="continuationSeparator" w:id="0">
    <w:p w:rsidR="00CB2929" w:rsidRDefault="00CB2929" w:rsidP="00E10672">
      <w:pPr>
        <w:spacing w:after="0" w:line="240" w:lineRule="auto"/>
      </w:pPr>
      <w:r>
        <w:continuationSeparator/>
      </w:r>
    </w:p>
  </w:footnote>
  <w:footnote w:id="1">
    <w:p w:rsidR="00E10672" w:rsidRPr="00F447AF" w:rsidRDefault="00E10672" w:rsidP="00E10672">
      <w:pPr>
        <w:pStyle w:val="FootnoteText"/>
        <w:rPr>
          <w:rFonts w:ascii="Times New Roman" w:hAnsi="Times New Roman"/>
        </w:rPr>
      </w:pPr>
      <w:r w:rsidRPr="00F447AF">
        <w:rPr>
          <w:rStyle w:val="FootnoteReference"/>
          <w:rFonts w:ascii="Times New Roman" w:hAnsi="Times New Roman"/>
        </w:rPr>
        <w:footnoteRef/>
      </w:r>
      <w:r w:rsidRPr="00F447AF">
        <w:rPr>
          <w:rFonts w:ascii="Times New Roman" w:hAnsi="Times New Roman"/>
        </w:rPr>
        <w:t xml:space="preserve"> </w:t>
      </w:r>
      <w:r w:rsidRPr="00F447AF">
        <w:rPr>
          <w:rFonts w:ascii="Times New Roman" w:hAnsi="Times New Roman"/>
        </w:rPr>
        <w:tab/>
        <w:t xml:space="preserve">66 </w:t>
      </w:r>
      <w:proofErr w:type="spellStart"/>
      <w:r w:rsidRPr="00F447AF">
        <w:rPr>
          <w:rFonts w:ascii="Times New Roman" w:hAnsi="Times New Roman"/>
        </w:rPr>
        <w:t>Pa.C.S</w:t>
      </w:r>
      <w:proofErr w:type="spellEnd"/>
      <w:r w:rsidRPr="00F447AF">
        <w:rPr>
          <w:rFonts w:ascii="Times New Roman" w:hAnsi="Times New Roman"/>
        </w:rPr>
        <w:t xml:space="preserve">. Sections 2806.1, </w:t>
      </w:r>
      <w:r w:rsidRPr="005F64D7">
        <w:rPr>
          <w:rFonts w:ascii="Times New Roman" w:hAnsi="Times New Roman"/>
          <w:i/>
        </w:rPr>
        <w:t>et seq</w:t>
      </w:r>
      <w:r w:rsidRPr="00F447AF">
        <w:rPr>
          <w:rFonts w:ascii="Times New Roman" w:hAnsi="Times New Roman"/>
        </w:rPr>
        <w:t xml:space="preserve">. </w:t>
      </w:r>
    </w:p>
  </w:footnote>
  <w:footnote w:id="2">
    <w:p w:rsidR="00E10672" w:rsidRPr="00F447AF" w:rsidRDefault="00E10672" w:rsidP="00E10672">
      <w:pPr>
        <w:pStyle w:val="FootnoteText"/>
        <w:rPr>
          <w:rFonts w:ascii="Times New Roman" w:hAnsi="Times New Roman"/>
        </w:rPr>
      </w:pPr>
      <w:r w:rsidRPr="00F447AF">
        <w:rPr>
          <w:rStyle w:val="FootnoteReference"/>
          <w:rFonts w:ascii="Times New Roman" w:hAnsi="Times New Roman"/>
        </w:rPr>
        <w:footnoteRef/>
      </w:r>
      <w:r w:rsidRPr="00F447AF">
        <w:rPr>
          <w:rFonts w:ascii="Times New Roman" w:hAnsi="Times New Roman"/>
        </w:rPr>
        <w:t xml:space="preserve"> </w:t>
      </w:r>
      <w:r w:rsidRPr="00F447AF">
        <w:rPr>
          <w:rFonts w:ascii="Times New Roman" w:hAnsi="Times New Roman"/>
        </w:rPr>
        <w:tab/>
        <w:t xml:space="preserve">The letter from Respondent dated December 6, 2016 outlining the agreement of the </w:t>
      </w:r>
      <w:r w:rsidR="00DF2F5A">
        <w:rPr>
          <w:rFonts w:ascii="Times New Roman" w:hAnsi="Times New Roman"/>
        </w:rPr>
        <w:t>P</w:t>
      </w:r>
      <w:r w:rsidRPr="00F447AF">
        <w:rPr>
          <w:rFonts w:ascii="Times New Roman" w:hAnsi="Times New Roman"/>
        </w:rPr>
        <w:t>arties uses a date of January 11, 2016.</w:t>
      </w:r>
    </w:p>
  </w:footnote>
  <w:footnote w:id="3">
    <w:p w:rsidR="00A455A6" w:rsidRPr="00A33F01" w:rsidRDefault="00A455A6" w:rsidP="00A33F01">
      <w:pPr>
        <w:tabs>
          <w:tab w:val="left" w:pos="-1440"/>
          <w:tab w:val="left" w:pos="-720"/>
          <w:tab w:val="left" w:pos="0"/>
          <w:tab w:val="left" w:pos="720"/>
          <w:tab w:val="left" w:pos="1440"/>
          <w:tab w:val="left" w:pos="2160"/>
        </w:tabs>
        <w:spacing w:line="240" w:lineRule="auto"/>
        <w:rPr>
          <w:rFonts w:ascii="Times New Roman" w:hAnsi="Times New Roman"/>
          <w:sz w:val="20"/>
          <w:szCs w:val="20"/>
        </w:rPr>
      </w:pPr>
      <w:r w:rsidRPr="00A33F01">
        <w:rPr>
          <w:rStyle w:val="FootnoteReference"/>
          <w:rFonts w:ascii="Times New Roman" w:hAnsi="Times New Roman"/>
        </w:rPr>
        <w:footnoteRef/>
      </w:r>
      <w:r w:rsidRPr="00A33F01">
        <w:rPr>
          <w:rFonts w:ascii="Times New Roman" w:hAnsi="Times New Roman"/>
        </w:rPr>
        <w:t xml:space="preserve"> </w:t>
      </w:r>
      <w:r w:rsidRPr="00A33F01">
        <w:rPr>
          <w:rFonts w:ascii="Times New Roman" w:hAnsi="Times New Roman"/>
        </w:rPr>
        <w:tab/>
      </w:r>
      <w:r w:rsidRPr="00A33F01">
        <w:rPr>
          <w:rFonts w:ascii="Times New Roman" w:hAnsi="Times New Roman"/>
          <w:sz w:val="20"/>
          <w:szCs w:val="20"/>
        </w:rPr>
        <w:t>The “follow-up” discovery requests attached to Complainan</w:t>
      </w:r>
      <w:r w:rsidR="00A33F01">
        <w:rPr>
          <w:rFonts w:ascii="Times New Roman" w:hAnsi="Times New Roman"/>
          <w:sz w:val="20"/>
          <w:szCs w:val="20"/>
        </w:rPr>
        <w:t>t</w:t>
      </w:r>
      <w:r w:rsidRPr="00A33F01">
        <w:rPr>
          <w:rFonts w:ascii="Times New Roman" w:hAnsi="Times New Roman"/>
          <w:sz w:val="20"/>
          <w:szCs w:val="20"/>
        </w:rPr>
        <w:t>s</w:t>
      </w:r>
      <w:r w:rsidR="00A33F01">
        <w:rPr>
          <w:rFonts w:ascii="Times New Roman" w:hAnsi="Times New Roman"/>
          <w:sz w:val="20"/>
          <w:szCs w:val="20"/>
        </w:rPr>
        <w:t>’</w:t>
      </w:r>
      <w:r w:rsidRPr="00A33F01">
        <w:rPr>
          <w:rFonts w:ascii="Times New Roman" w:hAnsi="Times New Roman"/>
          <w:sz w:val="20"/>
          <w:szCs w:val="20"/>
        </w:rPr>
        <w:t xml:space="preserve"> </w:t>
      </w:r>
      <w:r w:rsidR="00A33F01">
        <w:rPr>
          <w:rFonts w:ascii="Times New Roman" w:hAnsi="Times New Roman"/>
          <w:sz w:val="20"/>
          <w:szCs w:val="20"/>
        </w:rPr>
        <w:t>M</w:t>
      </w:r>
      <w:r w:rsidRPr="00A33F01">
        <w:rPr>
          <w:rFonts w:ascii="Times New Roman" w:hAnsi="Times New Roman"/>
          <w:sz w:val="20"/>
          <w:szCs w:val="20"/>
        </w:rPr>
        <w:t>otion to Compel were dated December</w:t>
      </w:r>
      <w:r w:rsidR="00A33F01">
        <w:rPr>
          <w:rFonts w:ascii="Times New Roman" w:hAnsi="Times New Roman"/>
          <w:sz w:val="20"/>
          <w:szCs w:val="20"/>
        </w:rPr>
        <w:t> </w:t>
      </w:r>
      <w:r w:rsidRPr="00A33F01">
        <w:rPr>
          <w:rFonts w:ascii="Times New Roman" w:hAnsi="Times New Roman"/>
          <w:sz w:val="20"/>
          <w:szCs w:val="20"/>
        </w:rPr>
        <w:t>30, 2017, provided to Respondent, and received by the undersigned presiding officer on January 3, 201</w:t>
      </w:r>
      <w:r w:rsidR="00B50F9F">
        <w:rPr>
          <w:rFonts w:ascii="Times New Roman" w:hAnsi="Times New Roman"/>
          <w:sz w:val="20"/>
          <w:szCs w:val="20"/>
        </w:rPr>
        <w:t>8</w:t>
      </w:r>
      <w:r w:rsidRPr="00A33F01">
        <w:rPr>
          <w:rFonts w:ascii="Times New Roman" w:hAnsi="Times New Roman"/>
          <w:sz w:val="20"/>
          <w:szCs w:val="20"/>
        </w:rPr>
        <w:t xml:space="preserve">, within the deadline for service of discovery requests of January 2, 2018. </w:t>
      </w:r>
    </w:p>
    <w:p w:rsidR="00A455A6" w:rsidRDefault="00A455A6">
      <w:pPr>
        <w:pStyle w:val="FootnoteText"/>
      </w:pPr>
    </w:p>
  </w:footnote>
  <w:footnote w:id="4">
    <w:p w:rsidR="00835A12" w:rsidRPr="00753014" w:rsidRDefault="00835A12" w:rsidP="00753014">
      <w:pPr>
        <w:tabs>
          <w:tab w:val="left" w:pos="-1440"/>
          <w:tab w:val="left" w:pos="-720"/>
          <w:tab w:val="left" w:pos="0"/>
          <w:tab w:val="left" w:pos="720"/>
          <w:tab w:val="left" w:pos="1440"/>
          <w:tab w:val="left" w:pos="2160"/>
        </w:tabs>
        <w:spacing w:line="240" w:lineRule="auto"/>
        <w:rPr>
          <w:rFonts w:ascii="Times New Roman" w:hAnsi="Times New Roman"/>
          <w:sz w:val="20"/>
          <w:szCs w:val="20"/>
        </w:rPr>
      </w:pPr>
      <w:r w:rsidRPr="00753014">
        <w:rPr>
          <w:rStyle w:val="FootnoteReference"/>
          <w:rFonts w:ascii="Times New Roman" w:hAnsi="Times New Roman"/>
          <w:sz w:val="20"/>
          <w:szCs w:val="20"/>
        </w:rPr>
        <w:footnoteRef/>
      </w:r>
      <w:r w:rsidRPr="00753014">
        <w:rPr>
          <w:rFonts w:ascii="Times New Roman" w:hAnsi="Times New Roman"/>
          <w:sz w:val="20"/>
          <w:szCs w:val="20"/>
        </w:rPr>
        <w:t xml:space="preserve"> </w:t>
      </w:r>
      <w:r w:rsidRPr="00753014">
        <w:rPr>
          <w:rFonts w:ascii="Times New Roman" w:hAnsi="Times New Roman"/>
          <w:sz w:val="20"/>
          <w:szCs w:val="20"/>
        </w:rPr>
        <w:tab/>
        <w:t>The “follow-up” discovery requests attached to Complainants</w:t>
      </w:r>
      <w:r w:rsidR="005829B9">
        <w:rPr>
          <w:rFonts w:ascii="Times New Roman" w:hAnsi="Times New Roman"/>
          <w:sz w:val="20"/>
          <w:szCs w:val="20"/>
        </w:rPr>
        <w:t>’</w:t>
      </w:r>
      <w:r w:rsidRPr="00753014">
        <w:rPr>
          <w:rFonts w:ascii="Times New Roman" w:hAnsi="Times New Roman"/>
          <w:sz w:val="20"/>
          <w:szCs w:val="20"/>
        </w:rPr>
        <w:t xml:space="preserve"> </w:t>
      </w:r>
      <w:r w:rsidR="005829B9">
        <w:rPr>
          <w:rFonts w:ascii="Times New Roman" w:hAnsi="Times New Roman"/>
          <w:sz w:val="20"/>
          <w:szCs w:val="20"/>
        </w:rPr>
        <w:t>M</w:t>
      </w:r>
      <w:r w:rsidRPr="00753014">
        <w:rPr>
          <w:rFonts w:ascii="Times New Roman" w:hAnsi="Times New Roman"/>
          <w:sz w:val="20"/>
          <w:szCs w:val="20"/>
        </w:rPr>
        <w:t>otion to Compel were dated December</w:t>
      </w:r>
      <w:r w:rsidR="00753014">
        <w:rPr>
          <w:rFonts w:ascii="Times New Roman" w:hAnsi="Times New Roman"/>
          <w:sz w:val="20"/>
          <w:szCs w:val="20"/>
        </w:rPr>
        <w:t> </w:t>
      </w:r>
      <w:r w:rsidRPr="00753014">
        <w:rPr>
          <w:rFonts w:ascii="Times New Roman" w:hAnsi="Times New Roman"/>
          <w:sz w:val="20"/>
          <w:szCs w:val="20"/>
        </w:rPr>
        <w:t>30, 2017, provided to Respondent, and received by the undersigned presiding officer on January 3, 201</w:t>
      </w:r>
      <w:r w:rsidR="005829B9">
        <w:rPr>
          <w:rFonts w:ascii="Times New Roman" w:hAnsi="Times New Roman"/>
          <w:sz w:val="20"/>
          <w:szCs w:val="20"/>
        </w:rPr>
        <w:t>8</w:t>
      </w:r>
      <w:r w:rsidRPr="00753014">
        <w:rPr>
          <w:rFonts w:ascii="Times New Roman" w:hAnsi="Times New Roman"/>
          <w:sz w:val="20"/>
          <w:szCs w:val="20"/>
        </w:rPr>
        <w:t xml:space="preserve">, within the deadline for service of discovery requests of January 2, 2018. </w:t>
      </w:r>
    </w:p>
    <w:p w:rsidR="00835A12" w:rsidRDefault="00835A12" w:rsidP="00835A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3D" w:rsidRDefault="00631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3D" w:rsidRDefault="00631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C3D" w:rsidRDefault="0063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38671F2"/>
    <w:lvl w:ilvl="0">
      <w:start w:val="1"/>
      <w:numFmt w:val="decimal"/>
      <w:pStyle w:val="ListNumber"/>
      <w:lvlText w:val="%1."/>
      <w:lvlJc w:val="left"/>
      <w:pPr>
        <w:tabs>
          <w:tab w:val="num" w:pos="360"/>
        </w:tabs>
        <w:ind w:left="360" w:hanging="360"/>
      </w:pPr>
    </w:lvl>
  </w:abstractNum>
  <w:abstractNum w:abstractNumId="1"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72"/>
    <w:rsid w:val="000A4024"/>
    <w:rsid w:val="000B2593"/>
    <w:rsid w:val="000D6F90"/>
    <w:rsid w:val="000E0489"/>
    <w:rsid w:val="00186D10"/>
    <w:rsid w:val="002222CC"/>
    <w:rsid w:val="003309AE"/>
    <w:rsid w:val="003363C6"/>
    <w:rsid w:val="00445288"/>
    <w:rsid w:val="00453627"/>
    <w:rsid w:val="00545D8D"/>
    <w:rsid w:val="00564EB9"/>
    <w:rsid w:val="005829B9"/>
    <w:rsid w:val="005E639B"/>
    <w:rsid w:val="00631C3D"/>
    <w:rsid w:val="00661C5B"/>
    <w:rsid w:val="006B47C6"/>
    <w:rsid w:val="006E09A2"/>
    <w:rsid w:val="00707A22"/>
    <w:rsid w:val="00753014"/>
    <w:rsid w:val="00753C43"/>
    <w:rsid w:val="00784E34"/>
    <w:rsid w:val="007B5C79"/>
    <w:rsid w:val="00835A12"/>
    <w:rsid w:val="00871593"/>
    <w:rsid w:val="0087250D"/>
    <w:rsid w:val="00884513"/>
    <w:rsid w:val="008C105A"/>
    <w:rsid w:val="008D2672"/>
    <w:rsid w:val="008F6D76"/>
    <w:rsid w:val="00910CE6"/>
    <w:rsid w:val="00916D9E"/>
    <w:rsid w:val="009A41F3"/>
    <w:rsid w:val="009B01C3"/>
    <w:rsid w:val="00A05DE7"/>
    <w:rsid w:val="00A33F01"/>
    <w:rsid w:val="00A35248"/>
    <w:rsid w:val="00A37F81"/>
    <w:rsid w:val="00A455A6"/>
    <w:rsid w:val="00AA0039"/>
    <w:rsid w:val="00AA127E"/>
    <w:rsid w:val="00AC1957"/>
    <w:rsid w:val="00AF1CA2"/>
    <w:rsid w:val="00AF1F01"/>
    <w:rsid w:val="00B50F9F"/>
    <w:rsid w:val="00B977E3"/>
    <w:rsid w:val="00BB3D70"/>
    <w:rsid w:val="00BC4FBE"/>
    <w:rsid w:val="00CB2929"/>
    <w:rsid w:val="00CE1469"/>
    <w:rsid w:val="00D567DA"/>
    <w:rsid w:val="00DF2F5A"/>
    <w:rsid w:val="00E10672"/>
    <w:rsid w:val="00EA7F76"/>
    <w:rsid w:val="00EC08E1"/>
    <w:rsid w:val="00F03C49"/>
    <w:rsid w:val="00F267C5"/>
    <w:rsid w:val="00F66A42"/>
    <w:rsid w:val="00FD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E8B4"/>
  <w15:chartTrackingRefBased/>
  <w15:docId w15:val="{1D99ED3F-A4EA-4005-A679-C959C91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6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E10672"/>
    <w:rPr>
      <w:sz w:val="20"/>
      <w:szCs w:val="20"/>
    </w:rPr>
  </w:style>
  <w:style w:type="character" w:customStyle="1" w:styleId="FootnoteTextChar">
    <w:name w:val="Footnote Text Char"/>
    <w:aliases w:val="Car Char"/>
    <w:basedOn w:val="DefaultParagraphFont"/>
    <w:link w:val="FootnoteText"/>
    <w:rsid w:val="00E10672"/>
    <w:rPr>
      <w:rFonts w:ascii="Calibri" w:eastAsia="Calibri" w:hAnsi="Calibri" w:cs="Times New Roman"/>
      <w:sz w:val="20"/>
      <w:szCs w:val="20"/>
    </w:rPr>
  </w:style>
  <w:style w:type="character" w:styleId="FootnoteReference">
    <w:name w:val="footnote reference"/>
    <w:aliases w:val="o,fr"/>
    <w:uiPriority w:val="99"/>
    <w:unhideWhenUsed/>
    <w:rsid w:val="00E10672"/>
    <w:rPr>
      <w:vertAlign w:val="superscript"/>
    </w:rPr>
  </w:style>
  <w:style w:type="paragraph" w:styleId="Footer">
    <w:name w:val="footer"/>
    <w:basedOn w:val="Normal"/>
    <w:link w:val="FooterChar"/>
    <w:uiPriority w:val="99"/>
    <w:unhideWhenUsed/>
    <w:rsid w:val="00E10672"/>
    <w:pPr>
      <w:tabs>
        <w:tab w:val="center" w:pos="4680"/>
        <w:tab w:val="right" w:pos="9360"/>
      </w:tabs>
    </w:pPr>
  </w:style>
  <w:style w:type="character" w:customStyle="1" w:styleId="FooterChar">
    <w:name w:val="Footer Char"/>
    <w:basedOn w:val="DefaultParagraphFont"/>
    <w:link w:val="Footer"/>
    <w:uiPriority w:val="99"/>
    <w:rsid w:val="00E10672"/>
    <w:rPr>
      <w:rFonts w:ascii="Calibri" w:eastAsia="Calibri" w:hAnsi="Calibri" w:cs="Times New Roman"/>
    </w:rPr>
  </w:style>
  <w:style w:type="paragraph" w:styleId="ListParagraph">
    <w:name w:val="List Paragraph"/>
    <w:basedOn w:val="Normal"/>
    <w:uiPriority w:val="34"/>
    <w:qFormat/>
    <w:rsid w:val="00E10672"/>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E106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E1067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453627"/>
    <w:pPr>
      <w:widowControl w:val="0"/>
      <w:spacing w:after="0" w:line="48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
    <w:rsid w:val="00453627"/>
    <w:rPr>
      <w:rFonts w:ascii="Times New Roman" w:eastAsia="Times New Roman" w:hAnsi="Times New Roman" w:cs="Times New Roman"/>
      <w:sz w:val="24"/>
      <w:szCs w:val="20"/>
    </w:rPr>
  </w:style>
  <w:style w:type="paragraph" w:customStyle="1" w:styleId="FirmQuote">
    <w:name w:val="Firm Quote"/>
    <w:basedOn w:val="Normal"/>
    <w:rsid w:val="00453627"/>
    <w:pPr>
      <w:spacing w:before="240" w:after="240" w:line="240" w:lineRule="auto"/>
      <w:ind w:left="1440" w:right="1440"/>
    </w:pPr>
    <w:rPr>
      <w:rFonts w:ascii="Times New Roman" w:eastAsia="Times New Roman" w:hAnsi="Times New Roman"/>
      <w:sz w:val="24"/>
      <w:szCs w:val="24"/>
    </w:rPr>
  </w:style>
  <w:style w:type="paragraph" w:styleId="ListNumber">
    <w:name w:val="List Number"/>
    <w:basedOn w:val="Normal"/>
    <w:rsid w:val="008F6D76"/>
    <w:pPr>
      <w:numPr>
        <w:numId w:val="2"/>
      </w:numPr>
      <w:spacing w:after="0" w:line="240" w:lineRule="auto"/>
      <w:contextualSpacing/>
    </w:pPr>
    <w:rPr>
      <w:rFonts w:ascii="Times New Roman" w:eastAsia="Times New Roman" w:hAnsi="Times New Roman"/>
      <w:sz w:val="24"/>
      <w:szCs w:val="24"/>
    </w:rPr>
  </w:style>
  <w:style w:type="paragraph" w:customStyle="1" w:styleId="FirmPlain">
    <w:name w:val="Firm Plain"/>
    <w:basedOn w:val="Normal"/>
    <w:rsid w:val="00A05DE7"/>
    <w:pPr>
      <w:spacing w:after="0" w:line="240" w:lineRule="auto"/>
    </w:pPr>
    <w:rPr>
      <w:rFonts w:ascii="Times New Roman" w:eastAsia="Times New Roman" w:hAnsi="Times New Roman"/>
      <w:sz w:val="24"/>
      <w:szCs w:val="24"/>
    </w:rPr>
  </w:style>
  <w:style w:type="paragraph" w:customStyle="1" w:styleId="OutlineL1">
    <w:name w:val="Outline_L1"/>
    <w:basedOn w:val="Normal"/>
    <w:next w:val="BodyText"/>
    <w:rsid w:val="00A05DE7"/>
    <w:pPr>
      <w:keepNext/>
      <w:numPr>
        <w:numId w:val="3"/>
      </w:numPr>
      <w:spacing w:after="240" w:line="240" w:lineRule="auto"/>
      <w:jc w:val="center"/>
      <w:outlineLvl w:val="0"/>
    </w:pPr>
    <w:rPr>
      <w:rFonts w:ascii="Times New Roman" w:eastAsia="Times New Roman" w:hAnsi="Times New Roman"/>
      <w:b/>
      <w:caps/>
      <w:sz w:val="24"/>
      <w:szCs w:val="20"/>
    </w:rPr>
  </w:style>
  <w:style w:type="paragraph" w:customStyle="1" w:styleId="OutlineL2">
    <w:name w:val="Outline_L2"/>
    <w:basedOn w:val="OutlineL1"/>
    <w:rsid w:val="00A05DE7"/>
    <w:pPr>
      <w:keepNext w:val="0"/>
      <w:numPr>
        <w:ilvl w:val="1"/>
      </w:numPr>
      <w:spacing w:line="480" w:lineRule="auto"/>
      <w:jc w:val="left"/>
      <w:outlineLvl w:val="1"/>
    </w:pPr>
    <w:rPr>
      <w:b w:val="0"/>
      <w:caps w:val="0"/>
    </w:rPr>
  </w:style>
  <w:style w:type="paragraph" w:customStyle="1" w:styleId="OutlineL3">
    <w:name w:val="Outline_L3"/>
    <w:basedOn w:val="OutlineL2"/>
    <w:rsid w:val="00A05DE7"/>
    <w:pPr>
      <w:numPr>
        <w:ilvl w:val="2"/>
      </w:numPr>
      <w:spacing w:line="240" w:lineRule="auto"/>
      <w:outlineLvl w:val="2"/>
    </w:pPr>
  </w:style>
  <w:style w:type="paragraph" w:customStyle="1" w:styleId="OutlineL4">
    <w:name w:val="Outline_L4"/>
    <w:basedOn w:val="OutlineL3"/>
    <w:rsid w:val="00A05DE7"/>
    <w:pPr>
      <w:numPr>
        <w:ilvl w:val="3"/>
      </w:numPr>
      <w:outlineLvl w:val="3"/>
    </w:pPr>
  </w:style>
  <w:style w:type="paragraph" w:customStyle="1" w:styleId="OutlineL5">
    <w:name w:val="Outline_L5"/>
    <w:basedOn w:val="OutlineL4"/>
    <w:rsid w:val="00A05DE7"/>
    <w:pPr>
      <w:numPr>
        <w:ilvl w:val="4"/>
      </w:numPr>
      <w:outlineLvl w:val="4"/>
    </w:pPr>
  </w:style>
  <w:style w:type="paragraph" w:customStyle="1" w:styleId="OutlineL6">
    <w:name w:val="Outline_L6"/>
    <w:basedOn w:val="OutlineL5"/>
    <w:rsid w:val="00A05DE7"/>
    <w:pPr>
      <w:numPr>
        <w:ilvl w:val="5"/>
      </w:numPr>
      <w:outlineLvl w:val="5"/>
    </w:pPr>
  </w:style>
  <w:style w:type="paragraph" w:customStyle="1" w:styleId="OutlineL7">
    <w:name w:val="Outline_L7"/>
    <w:basedOn w:val="OutlineL6"/>
    <w:rsid w:val="00A05DE7"/>
    <w:pPr>
      <w:numPr>
        <w:ilvl w:val="6"/>
      </w:numPr>
      <w:outlineLvl w:val="6"/>
    </w:pPr>
  </w:style>
  <w:style w:type="paragraph" w:customStyle="1" w:styleId="OutlineL8">
    <w:name w:val="Outline_L8"/>
    <w:basedOn w:val="OutlineL7"/>
    <w:rsid w:val="00A05DE7"/>
    <w:pPr>
      <w:numPr>
        <w:ilvl w:val="7"/>
      </w:numPr>
      <w:outlineLvl w:val="7"/>
    </w:pPr>
  </w:style>
  <w:style w:type="paragraph" w:customStyle="1" w:styleId="OutlineL9">
    <w:name w:val="Outline_L9"/>
    <w:basedOn w:val="OutlineL8"/>
    <w:rsid w:val="00A05DE7"/>
    <w:pPr>
      <w:numPr>
        <w:ilvl w:val="8"/>
      </w:numPr>
      <w:outlineLvl w:val="8"/>
    </w:pPr>
  </w:style>
  <w:style w:type="paragraph" w:styleId="Header">
    <w:name w:val="header"/>
    <w:basedOn w:val="Normal"/>
    <w:link w:val="HeaderChar"/>
    <w:uiPriority w:val="99"/>
    <w:unhideWhenUsed/>
    <w:rsid w:val="0063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4DCD2-2541-48EE-8CD5-263B372B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37</cp:revision>
  <cp:lastPrinted>2018-02-05T17:56:00Z</cp:lastPrinted>
  <dcterms:created xsi:type="dcterms:W3CDTF">2018-02-05T13:15:00Z</dcterms:created>
  <dcterms:modified xsi:type="dcterms:W3CDTF">2018-02-05T19:45:00Z</dcterms:modified>
</cp:coreProperties>
</file>