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92D" w:rsidRPr="00B42058" w:rsidRDefault="005E192D" w:rsidP="00EC1CE5">
      <w:pPr>
        <w:tabs>
          <w:tab w:val="center" w:pos="4680"/>
        </w:tabs>
        <w:suppressAutoHyphens/>
        <w:jc w:val="center"/>
        <w:outlineLvl w:val="0"/>
        <w:rPr>
          <w:b/>
          <w:bCs/>
          <w:sz w:val="24"/>
          <w:szCs w:val="24"/>
        </w:rPr>
      </w:pPr>
      <w:r w:rsidRPr="00B42058">
        <w:rPr>
          <w:b/>
          <w:bCs/>
          <w:sz w:val="24"/>
          <w:szCs w:val="24"/>
        </w:rPr>
        <w:t>BEFORE THE</w:t>
      </w:r>
    </w:p>
    <w:p w:rsidR="005E192D" w:rsidRPr="00B42058" w:rsidRDefault="005E192D" w:rsidP="001B2509">
      <w:pPr>
        <w:tabs>
          <w:tab w:val="left" w:pos="-720"/>
        </w:tabs>
        <w:suppressAutoHyphens/>
        <w:jc w:val="center"/>
        <w:outlineLvl w:val="0"/>
        <w:rPr>
          <w:b/>
          <w:bCs/>
          <w:sz w:val="24"/>
          <w:szCs w:val="24"/>
        </w:rPr>
      </w:pPr>
      <w:r w:rsidRPr="00B42058">
        <w:rPr>
          <w:b/>
          <w:bCs/>
          <w:sz w:val="24"/>
          <w:szCs w:val="24"/>
        </w:rPr>
        <w:t>PENNSYLVANIA PUBLIC UTILITY COMMISSION</w:t>
      </w:r>
    </w:p>
    <w:p w:rsidR="005E192D" w:rsidRPr="00B42058" w:rsidRDefault="005E192D" w:rsidP="009C0EC8">
      <w:pPr>
        <w:tabs>
          <w:tab w:val="left" w:pos="-720"/>
        </w:tabs>
        <w:suppressAutoHyphens/>
        <w:jc w:val="center"/>
        <w:rPr>
          <w:b/>
          <w:bCs/>
          <w:sz w:val="24"/>
          <w:szCs w:val="24"/>
        </w:rPr>
      </w:pPr>
    </w:p>
    <w:p w:rsidR="005E192D" w:rsidRPr="00B42058" w:rsidRDefault="005E192D" w:rsidP="009C0EC8">
      <w:pPr>
        <w:tabs>
          <w:tab w:val="left" w:pos="-720"/>
        </w:tabs>
        <w:suppressAutoHyphens/>
        <w:jc w:val="center"/>
        <w:rPr>
          <w:b/>
          <w:bCs/>
          <w:sz w:val="24"/>
          <w:szCs w:val="24"/>
        </w:rPr>
      </w:pPr>
    </w:p>
    <w:p w:rsidR="005E192D" w:rsidRPr="00B42058" w:rsidRDefault="005E192D" w:rsidP="009C0EC8">
      <w:pPr>
        <w:tabs>
          <w:tab w:val="left" w:pos="-720"/>
        </w:tabs>
        <w:suppressAutoHyphens/>
        <w:jc w:val="center"/>
        <w:rPr>
          <w:b/>
          <w:bCs/>
          <w:sz w:val="24"/>
          <w:szCs w:val="24"/>
        </w:rPr>
      </w:pPr>
    </w:p>
    <w:p w:rsidR="005E192D" w:rsidRPr="00B42058" w:rsidRDefault="00512840">
      <w:pPr>
        <w:tabs>
          <w:tab w:val="left" w:pos="-720"/>
        </w:tabs>
        <w:suppressAutoHyphens/>
        <w:rPr>
          <w:sz w:val="24"/>
          <w:szCs w:val="24"/>
        </w:rPr>
      </w:pPr>
      <w:r>
        <w:rPr>
          <w:sz w:val="24"/>
          <w:szCs w:val="24"/>
        </w:rPr>
        <w:t>Gary Bottoms</w:t>
      </w:r>
      <w:r>
        <w:rPr>
          <w:sz w:val="24"/>
          <w:szCs w:val="24"/>
        </w:rPr>
        <w:tab/>
      </w:r>
      <w:r w:rsidR="000653E2" w:rsidRPr="00B42058">
        <w:rPr>
          <w:sz w:val="24"/>
          <w:szCs w:val="24"/>
        </w:rPr>
        <w:tab/>
      </w:r>
      <w:r w:rsidR="005E192D" w:rsidRPr="00B42058">
        <w:rPr>
          <w:sz w:val="24"/>
          <w:szCs w:val="24"/>
        </w:rPr>
        <w:tab/>
      </w:r>
      <w:r w:rsidR="005E192D" w:rsidRPr="00B42058">
        <w:rPr>
          <w:sz w:val="24"/>
          <w:szCs w:val="24"/>
        </w:rPr>
        <w:tab/>
      </w:r>
      <w:r w:rsidR="005E192D" w:rsidRPr="00B42058">
        <w:rPr>
          <w:sz w:val="24"/>
          <w:szCs w:val="24"/>
        </w:rPr>
        <w:tab/>
      </w:r>
      <w:r w:rsidR="005E192D" w:rsidRPr="00B42058">
        <w:rPr>
          <w:sz w:val="24"/>
          <w:szCs w:val="24"/>
        </w:rPr>
        <w:tab/>
        <w:t>:</w:t>
      </w:r>
    </w:p>
    <w:p w:rsidR="005E192D" w:rsidRPr="00B42058" w:rsidRDefault="005E192D">
      <w:pPr>
        <w:tabs>
          <w:tab w:val="left" w:pos="-720"/>
        </w:tabs>
        <w:suppressAutoHyphens/>
        <w:rPr>
          <w:sz w:val="24"/>
          <w:szCs w:val="24"/>
        </w:rPr>
      </w:pPr>
      <w:r w:rsidRPr="00B42058">
        <w:rPr>
          <w:sz w:val="24"/>
          <w:szCs w:val="24"/>
        </w:rPr>
        <w:tab/>
      </w:r>
      <w:r w:rsidRPr="00B42058">
        <w:rPr>
          <w:sz w:val="24"/>
          <w:szCs w:val="24"/>
        </w:rPr>
        <w:tab/>
      </w:r>
      <w:r w:rsidRPr="00B42058">
        <w:rPr>
          <w:sz w:val="24"/>
          <w:szCs w:val="24"/>
        </w:rPr>
        <w:tab/>
      </w:r>
      <w:r w:rsidRPr="00B42058">
        <w:rPr>
          <w:sz w:val="24"/>
          <w:szCs w:val="24"/>
        </w:rPr>
        <w:tab/>
      </w:r>
      <w:r w:rsidRPr="00B42058">
        <w:rPr>
          <w:sz w:val="24"/>
          <w:szCs w:val="24"/>
        </w:rPr>
        <w:tab/>
      </w:r>
      <w:r w:rsidRPr="00B42058">
        <w:rPr>
          <w:sz w:val="24"/>
          <w:szCs w:val="24"/>
        </w:rPr>
        <w:tab/>
      </w:r>
      <w:r w:rsidRPr="00B42058">
        <w:rPr>
          <w:sz w:val="24"/>
          <w:szCs w:val="24"/>
        </w:rPr>
        <w:tab/>
        <w:t>:</w:t>
      </w:r>
    </w:p>
    <w:p w:rsidR="005E192D" w:rsidRPr="00B42058" w:rsidRDefault="005E192D">
      <w:pPr>
        <w:tabs>
          <w:tab w:val="left" w:pos="-720"/>
        </w:tabs>
        <w:suppressAutoHyphens/>
        <w:rPr>
          <w:sz w:val="24"/>
          <w:szCs w:val="24"/>
        </w:rPr>
      </w:pPr>
      <w:r w:rsidRPr="00B42058">
        <w:rPr>
          <w:sz w:val="24"/>
          <w:szCs w:val="24"/>
        </w:rPr>
        <w:tab/>
        <w:t>v.</w:t>
      </w:r>
      <w:r w:rsidRPr="00B42058">
        <w:rPr>
          <w:sz w:val="24"/>
          <w:szCs w:val="24"/>
        </w:rPr>
        <w:tab/>
      </w:r>
      <w:r w:rsidRPr="00B42058">
        <w:rPr>
          <w:sz w:val="24"/>
          <w:szCs w:val="24"/>
        </w:rPr>
        <w:tab/>
      </w:r>
      <w:r w:rsidRPr="00B42058">
        <w:rPr>
          <w:sz w:val="24"/>
          <w:szCs w:val="24"/>
        </w:rPr>
        <w:tab/>
      </w:r>
      <w:r w:rsidRPr="00B42058">
        <w:rPr>
          <w:sz w:val="24"/>
          <w:szCs w:val="24"/>
        </w:rPr>
        <w:tab/>
      </w:r>
      <w:r w:rsidRPr="00B42058">
        <w:rPr>
          <w:sz w:val="24"/>
          <w:szCs w:val="24"/>
        </w:rPr>
        <w:tab/>
      </w:r>
      <w:r w:rsidRPr="00B42058">
        <w:rPr>
          <w:sz w:val="24"/>
          <w:szCs w:val="24"/>
        </w:rPr>
        <w:tab/>
        <w:t>:</w:t>
      </w:r>
      <w:r w:rsidRPr="00B42058">
        <w:rPr>
          <w:sz w:val="24"/>
          <w:szCs w:val="24"/>
        </w:rPr>
        <w:tab/>
      </w:r>
      <w:r w:rsidRPr="00B42058">
        <w:rPr>
          <w:sz w:val="24"/>
          <w:szCs w:val="24"/>
        </w:rPr>
        <w:tab/>
      </w:r>
      <w:r w:rsidR="00512840">
        <w:rPr>
          <w:sz w:val="24"/>
          <w:szCs w:val="24"/>
        </w:rPr>
        <w:t>F-2017-2634988</w:t>
      </w:r>
    </w:p>
    <w:p w:rsidR="005E192D" w:rsidRPr="00B42058" w:rsidRDefault="005E192D">
      <w:pPr>
        <w:tabs>
          <w:tab w:val="left" w:pos="-720"/>
        </w:tabs>
        <w:suppressAutoHyphens/>
        <w:rPr>
          <w:sz w:val="24"/>
          <w:szCs w:val="24"/>
        </w:rPr>
      </w:pPr>
      <w:r w:rsidRPr="00B42058">
        <w:rPr>
          <w:sz w:val="24"/>
          <w:szCs w:val="24"/>
        </w:rPr>
        <w:tab/>
      </w:r>
      <w:r w:rsidRPr="00B42058">
        <w:rPr>
          <w:sz w:val="24"/>
          <w:szCs w:val="24"/>
        </w:rPr>
        <w:tab/>
      </w:r>
      <w:r w:rsidRPr="00B42058">
        <w:rPr>
          <w:sz w:val="24"/>
          <w:szCs w:val="24"/>
        </w:rPr>
        <w:tab/>
      </w:r>
      <w:r w:rsidRPr="00B42058">
        <w:rPr>
          <w:sz w:val="24"/>
          <w:szCs w:val="24"/>
        </w:rPr>
        <w:tab/>
      </w:r>
      <w:r w:rsidRPr="00B42058">
        <w:rPr>
          <w:sz w:val="24"/>
          <w:szCs w:val="24"/>
        </w:rPr>
        <w:tab/>
      </w:r>
      <w:r w:rsidRPr="00B42058">
        <w:rPr>
          <w:sz w:val="24"/>
          <w:szCs w:val="24"/>
        </w:rPr>
        <w:tab/>
      </w:r>
      <w:r w:rsidRPr="00B42058">
        <w:rPr>
          <w:sz w:val="24"/>
          <w:szCs w:val="24"/>
        </w:rPr>
        <w:tab/>
        <w:t>:</w:t>
      </w:r>
    </w:p>
    <w:p w:rsidR="005E192D" w:rsidRPr="00B42058" w:rsidRDefault="00512840">
      <w:pPr>
        <w:tabs>
          <w:tab w:val="left" w:pos="-720"/>
        </w:tabs>
        <w:suppressAutoHyphens/>
        <w:rPr>
          <w:sz w:val="24"/>
          <w:szCs w:val="24"/>
        </w:rPr>
      </w:pPr>
      <w:r>
        <w:rPr>
          <w:sz w:val="24"/>
          <w:szCs w:val="24"/>
        </w:rPr>
        <w:t>Duquesne Light Company</w:t>
      </w:r>
      <w:r w:rsidR="004F319B">
        <w:rPr>
          <w:sz w:val="24"/>
          <w:szCs w:val="24"/>
        </w:rPr>
        <w:tab/>
      </w:r>
      <w:r w:rsidR="009C0EC8" w:rsidRPr="00B42058">
        <w:rPr>
          <w:sz w:val="24"/>
          <w:szCs w:val="24"/>
        </w:rPr>
        <w:tab/>
      </w:r>
      <w:r w:rsidR="005E192D" w:rsidRPr="00B42058">
        <w:rPr>
          <w:sz w:val="24"/>
          <w:szCs w:val="24"/>
        </w:rPr>
        <w:tab/>
      </w:r>
      <w:r w:rsidR="005E192D" w:rsidRPr="00B42058">
        <w:rPr>
          <w:sz w:val="24"/>
          <w:szCs w:val="24"/>
        </w:rPr>
        <w:tab/>
        <w:t>:</w:t>
      </w:r>
    </w:p>
    <w:p w:rsidR="00AB161E" w:rsidRPr="00B42058" w:rsidRDefault="00AB161E">
      <w:pPr>
        <w:tabs>
          <w:tab w:val="left" w:pos="-720"/>
        </w:tabs>
        <w:suppressAutoHyphens/>
        <w:rPr>
          <w:sz w:val="24"/>
          <w:szCs w:val="24"/>
        </w:rPr>
      </w:pPr>
    </w:p>
    <w:p w:rsidR="005E192D" w:rsidRPr="00B42058" w:rsidRDefault="005E192D">
      <w:pPr>
        <w:tabs>
          <w:tab w:val="left" w:pos="-720"/>
        </w:tabs>
        <w:suppressAutoHyphens/>
        <w:rPr>
          <w:sz w:val="24"/>
          <w:szCs w:val="24"/>
        </w:rPr>
      </w:pPr>
    </w:p>
    <w:p w:rsidR="008E10A2" w:rsidRPr="00183666" w:rsidRDefault="008E10A2" w:rsidP="008E10A2">
      <w:pPr>
        <w:jc w:val="both"/>
        <w:rPr>
          <w:sz w:val="24"/>
          <w:szCs w:val="24"/>
        </w:rPr>
      </w:pPr>
    </w:p>
    <w:p w:rsidR="002D0108" w:rsidRPr="002D0108" w:rsidRDefault="002D0108" w:rsidP="008E10A2">
      <w:pPr>
        <w:pStyle w:val="Heading1"/>
        <w:jc w:val="center"/>
        <w:rPr>
          <w:sz w:val="24"/>
          <w:szCs w:val="24"/>
          <w:u w:val="single"/>
        </w:rPr>
      </w:pPr>
      <w:r>
        <w:rPr>
          <w:sz w:val="24"/>
          <w:szCs w:val="24"/>
          <w:u w:val="single"/>
        </w:rPr>
        <w:t xml:space="preserve">FIRST </w:t>
      </w:r>
      <w:r w:rsidRPr="002D0108">
        <w:rPr>
          <w:sz w:val="24"/>
          <w:szCs w:val="24"/>
          <w:u w:val="single"/>
        </w:rPr>
        <w:t>INTERIM ORDER</w:t>
      </w:r>
    </w:p>
    <w:p w:rsidR="002D0108" w:rsidRDefault="00554246" w:rsidP="008E10A2">
      <w:pPr>
        <w:pStyle w:val="Heading1"/>
        <w:jc w:val="center"/>
        <w:rPr>
          <w:sz w:val="24"/>
          <w:szCs w:val="24"/>
        </w:rPr>
      </w:pPr>
      <w:r>
        <w:rPr>
          <w:sz w:val="24"/>
          <w:szCs w:val="24"/>
        </w:rPr>
        <w:t>Deny</w:t>
      </w:r>
      <w:r w:rsidR="002D0108">
        <w:rPr>
          <w:sz w:val="24"/>
          <w:szCs w:val="24"/>
        </w:rPr>
        <w:t>ing Respondent</w:t>
      </w:r>
      <w:r w:rsidR="00512840">
        <w:rPr>
          <w:sz w:val="24"/>
          <w:szCs w:val="24"/>
        </w:rPr>
        <w:t>’s</w:t>
      </w:r>
      <w:r w:rsidR="002D0108">
        <w:rPr>
          <w:sz w:val="24"/>
          <w:szCs w:val="24"/>
        </w:rPr>
        <w:t xml:space="preserve"> </w:t>
      </w:r>
    </w:p>
    <w:p w:rsidR="002D0108" w:rsidRDefault="002D0108" w:rsidP="008E10A2">
      <w:pPr>
        <w:pStyle w:val="Heading1"/>
        <w:jc w:val="center"/>
        <w:rPr>
          <w:sz w:val="24"/>
          <w:szCs w:val="24"/>
        </w:rPr>
      </w:pPr>
      <w:r>
        <w:rPr>
          <w:sz w:val="24"/>
          <w:szCs w:val="24"/>
        </w:rPr>
        <w:t>Preliminary Objections</w:t>
      </w:r>
    </w:p>
    <w:p w:rsidR="005E192D" w:rsidRDefault="005E192D">
      <w:pPr>
        <w:tabs>
          <w:tab w:val="center" w:pos="4680"/>
        </w:tabs>
        <w:suppressAutoHyphens/>
        <w:jc w:val="center"/>
        <w:rPr>
          <w:b/>
          <w:bCs/>
          <w:sz w:val="24"/>
          <w:szCs w:val="24"/>
          <w:u w:val="single"/>
        </w:rPr>
      </w:pPr>
    </w:p>
    <w:p w:rsidR="00132CFA" w:rsidRPr="00B42058" w:rsidRDefault="00132CFA">
      <w:pPr>
        <w:tabs>
          <w:tab w:val="center" w:pos="4680"/>
        </w:tabs>
        <w:suppressAutoHyphens/>
        <w:jc w:val="center"/>
        <w:rPr>
          <w:b/>
          <w:bCs/>
          <w:sz w:val="24"/>
          <w:szCs w:val="24"/>
          <w:u w:val="single"/>
        </w:rPr>
      </w:pPr>
    </w:p>
    <w:p w:rsidR="005E192D" w:rsidRPr="00B42058" w:rsidRDefault="005E192D" w:rsidP="00EC1CE5">
      <w:pPr>
        <w:tabs>
          <w:tab w:val="center" w:pos="4680"/>
        </w:tabs>
        <w:suppressAutoHyphens/>
        <w:jc w:val="center"/>
        <w:outlineLvl w:val="0"/>
        <w:rPr>
          <w:sz w:val="24"/>
          <w:szCs w:val="24"/>
        </w:rPr>
      </w:pPr>
      <w:r w:rsidRPr="00B42058">
        <w:rPr>
          <w:sz w:val="24"/>
          <w:szCs w:val="24"/>
        </w:rPr>
        <w:t>Before</w:t>
      </w:r>
    </w:p>
    <w:p w:rsidR="005E192D" w:rsidRPr="00B42058" w:rsidRDefault="0021130D">
      <w:pPr>
        <w:tabs>
          <w:tab w:val="center" w:pos="4680"/>
        </w:tabs>
        <w:suppressAutoHyphens/>
        <w:jc w:val="center"/>
        <w:rPr>
          <w:sz w:val="24"/>
          <w:szCs w:val="24"/>
        </w:rPr>
      </w:pPr>
      <w:r>
        <w:rPr>
          <w:sz w:val="24"/>
          <w:szCs w:val="24"/>
        </w:rPr>
        <w:t>Katrina L. Dunderdale</w:t>
      </w:r>
    </w:p>
    <w:p w:rsidR="005E192D" w:rsidRPr="00B42058" w:rsidRDefault="005E192D">
      <w:pPr>
        <w:tabs>
          <w:tab w:val="center" w:pos="4680"/>
        </w:tabs>
        <w:suppressAutoHyphens/>
        <w:jc w:val="center"/>
        <w:rPr>
          <w:sz w:val="24"/>
          <w:szCs w:val="24"/>
        </w:rPr>
      </w:pPr>
      <w:r w:rsidRPr="00B42058">
        <w:rPr>
          <w:sz w:val="24"/>
          <w:szCs w:val="24"/>
        </w:rPr>
        <w:t>Administrative Law Judge</w:t>
      </w:r>
    </w:p>
    <w:p w:rsidR="005E192D" w:rsidRDefault="005E192D">
      <w:pPr>
        <w:tabs>
          <w:tab w:val="center" w:pos="4680"/>
        </w:tabs>
        <w:suppressAutoHyphens/>
        <w:jc w:val="center"/>
        <w:rPr>
          <w:sz w:val="24"/>
          <w:szCs w:val="24"/>
        </w:rPr>
      </w:pPr>
    </w:p>
    <w:p w:rsidR="00D34F31" w:rsidRDefault="00D34F31">
      <w:pPr>
        <w:tabs>
          <w:tab w:val="center" w:pos="4680"/>
        </w:tabs>
        <w:suppressAutoHyphens/>
        <w:jc w:val="center"/>
        <w:rPr>
          <w:sz w:val="24"/>
          <w:szCs w:val="24"/>
        </w:rPr>
      </w:pPr>
    </w:p>
    <w:p w:rsidR="00D34F31" w:rsidRPr="00D34F31" w:rsidRDefault="00D34F31" w:rsidP="00D34F31">
      <w:pPr>
        <w:tabs>
          <w:tab w:val="center" w:pos="4680"/>
        </w:tabs>
        <w:suppressAutoHyphens/>
        <w:spacing w:line="360" w:lineRule="auto"/>
        <w:jc w:val="center"/>
        <w:rPr>
          <w:sz w:val="24"/>
          <w:szCs w:val="24"/>
          <w:u w:val="single"/>
        </w:rPr>
      </w:pPr>
      <w:r w:rsidRPr="00D34F31">
        <w:rPr>
          <w:sz w:val="24"/>
          <w:szCs w:val="24"/>
          <w:u w:val="single"/>
        </w:rPr>
        <w:t>INTRODUCTION</w:t>
      </w:r>
    </w:p>
    <w:p w:rsidR="00D34F31" w:rsidRDefault="00D34F31" w:rsidP="00D34F31">
      <w:pPr>
        <w:tabs>
          <w:tab w:val="center" w:pos="4680"/>
        </w:tabs>
        <w:suppressAutoHyphens/>
        <w:spacing w:line="360" w:lineRule="auto"/>
        <w:rPr>
          <w:sz w:val="24"/>
          <w:szCs w:val="24"/>
        </w:rPr>
      </w:pPr>
    </w:p>
    <w:p w:rsidR="00D34F31" w:rsidRDefault="00D34F31" w:rsidP="00D34F31">
      <w:pPr>
        <w:suppressAutoHyphens/>
        <w:spacing w:line="360" w:lineRule="auto"/>
        <w:rPr>
          <w:sz w:val="24"/>
          <w:szCs w:val="24"/>
        </w:rPr>
      </w:pPr>
      <w:r>
        <w:rPr>
          <w:sz w:val="24"/>
          <w:szCs w:val="24"/>
        </w:rPr>
        <w:tab/>
      </w:r>
      <w:r>
        <w:rPr>
          <w:sz w:val="24"/>
          <w:szCs w:val="24"/>
        </w:rPr>
        <w:tab/>
        <w:t xml:space="preserve">This </w:t>
      </w:r>
      <w:r w:rsidR="00512840">
        <w:rPr>
          <w:sz w:val="24"/>
          <w:szCs w:val="24"/>
        </w:rPr>
        <w:t>Interim Order</w:t>
      </w:r>
      <w:r>
        <w:rPr>
          <w:sz w:val="24"/>
          <w:szCs w:val="24"/>
        </w:rPr>
        <w:t xml:space="preserve"> </w:t>
      </w:r>
      <w:r w:rsidR="002D0108">
        <w:rPr>
          <w:sz w:val="24"/>
          <w:szCs w:val="24"/>
        </w:rPr>
        <w:t>denies</w:t>
      </w:r>
      <w:r>
        <w:rPr>
          <w:sz w:val="24"/>
          <w:szCs w:val="24"/>
        </w:rPr>
        <w:t xml:space="preserve"> </w:t>
      </w:r>
      <w:r w:rsidR="00512840">
        <w:rPr>
          <w:sz w:val="24"/>
          <w:szCs w:val="24"/>
        </w:rPr>
        <w:t>the</w:t>
      </w:r>
      <w:r>
        <w:rPr>
          <w:sz w:val="24"/>
          <w:szCs w:val="24"/>
        </w:rPr>
        <w:t xml:space="preserve"> Preliminary Objections</w:t>
      </w:r>
      <w:r w:rsidR="00F01CA4">
        <w:rPr>
          <w:sz w:val="24"/>
          <w:szCs w:val="24"/>
        </w:rPr>
        <w:t xml:space="preserve"> </w:t>
      </w:r>
      <w:r w:rsidR="00512840">
        <w:rPr>
          <w:sz w:val="24"/>
          <w:szCs w:val="24"/>
        </w:rPr>
        <w:t>of Duquesne Light Company</w:t>
      </w:r>
      <w:r w:rsidR="00F01CA4">
        <w:rPr>
          <w:sz w:val="24"/>
          <w:szCs w:val="24"/>
        </w:rPr>
        <w:t>.</w:t>
      </w:r>
    </w:p>
    <w:p w:rsidR="005E192D" w:rsidRPr="00B42058" w:rsidRDefault="005E192D" w:rsidP="00D34F31">
      <w:pPr>
        <w:tabs>
          <w:tab w:val="center" w:pos="4680"/>
        </w:tabs>
        <w:suppressAutoHyphens/>
        <w:spacing w:line="360" w:lineRule="auto"/>
        <w:jc w:val="center"/>
        <w:rPr>
          <w:sz w:val="24"/>
          <w:szCs w:val="24"/>
        </w:rPr>
      </w:pPr>
    </w:p>
    <w:p w:rsidR="005E192D" w:rsidRPr="00B42058" w:rsidRDefault="005E192D" w:rsidP="00D34F31">
      <w:pPr>
        <w:spacing w:line="360" w:lineRule="auto"/>
        <w:jc w:val="center"/>
        <w:outlineLvl w:val="0"/>
        <w:rPr>
          <w:sz w:val="24"/>
          <w:szCs w:val="24"/>
          <w:u w:val="single"/>
        </w:rPr>
      </w:pPr>
      <w:r w:rsidRPr="00B42058">
        <w:rPr>
          <w:sz w:val="24"/>
          <w:szCs w:val="24"/>
          <w:u w:val="single"/>
        </w:rPr>
        <w:t>HISTORY OF THE PROCEEDING</w:t>
      </w:r>
    </w:p>
    <w:p w:rsidR="005E192D" w:rsidRPr="00B42058" w:rsidRDefault="005E192D" w:rsidP="00B47FC3">
      <w:pPr>
        <w:spacing w:line="360" w:lineRule="auto"/>
        <w:jc w:val="center"/>
        <w:rPr>
          <w:sz w:val="24"/>
          <w:szCs w:val="24"/>
          <w:u w:val="single"/>
        </w:rPr>
      </w:pPr>
    </w:p>
    <w:p w:rsidR="004F319B" w:rsidRDefault="005E192D">
      <w:pPr>
        <w:spacing w:line="360" w:lineRule="auto"/>
        <w:ind w:firstLine="1440"/>
        <w:rPr>
          <w:sz w:val="24"/>
          <w:szCs w:val="24"/>
        </w:rPr>
      </w:pPr>
      <w:r w:rsidRPr="00B42058">
        <w:rPr>
          <w:sz w:val="24"/>
          <w:szCs w:val="24"/>
        </w:rPr>
        <w:t xml:space="preserve">On </w:t>
      </w:r>
      <w:r w:rsidR="00512840">
        <w:rPr>
          <w:sz w:val="24"/>
          <w:szCs w:val="24"/>
        </w:rPr>
        <w:t>November 20, 2017</w:t>
      </w:r>
      <w:r w:rsidR="004F319B">
        <w:rPr>
          <w:sz w:val="24"/>
          <w:szCs w:val="24"/>
        </w:rPr>
        <w:t xml:space="preserve">, </w:t>
      </w:r>
      <w:r w:rsidR="00512840">
        <w:rPr>
          <w:sz w:val="24"/>
          <w:szCs w:val="24"/>
        </w:rPr>
        <w:t>Gary Bottoms</w:t>
      </w:r>
      <w:r w:rsidR="009C0EC8" w:rsidRPr="00B42058">
        <w:rPr>
          <w:sz w:val="24"/>
          <w:szCs w:val="24"/>
        </w:rPr>
        <w:t xml:space="preserve"> </w:t>
      </w:r>
      <w:r w:rsidRPr="00B42058">
        <w:rPr>
          <w:sz w:val="24"/>
          <w:szCs w:val="24"/>
        </w:rPr>
        <w:t>(</w:t>
      </w:r>
      <w:r w:rsidR="008D2C45">
        <w:rPr>
          <w:sz w:val="24"/>
          <w:szCs w:val="24"/>
        </w:rPr>
        <w:t>Complainant</w:t>
      </w:r>
      <w:r w:rsidR="004F319B">
        <w:rPr>
          <w:sz w:val="24"/>
          <w:szCs w:val="24"/>
        </w:rPr>
        <w:t xml:space="preserve"> or </w:t>
      </w:r>
      <w:r w:rsidR="00512840">
        <w:rPr>
          <w:sz w:val="24"/>
          <w:szCs w:val="24"/>
        </w:rPr>
        <w:t>Mr. Bottoms</w:t>
      </w:r>
      <w:r w:rsidR="008D2C45">
        <w:rPr>
          <w:sz w:val="24"/>
          <w:szCs w:val="24"/>
        </w:rPr>
        <w:t>) filed a formal complaint</w:t>
      </w:r>
      <w:r w:rsidR="0099279E" w:rsidRPr="00B42058">
        <w:rPr>
          <w:sz w:val="24"/>
          <w:szCs w:val="24"/>
        </w:rPr>
        <w:t xml:space="preserve"> against </w:t>
      </w:r>
      <w:r w:rsidR="00512840">
        <w:rPr>
          <w:sz w:val="24"/>
          <w:szCs w:val="24"/>
        </w:rPr>
        <w:t>Duquesne Light Company</w:t>
      </w:r>
      <w:r w:rsidR="0099279E" w:rsidRPr="00B42058">
        <w:rPr>
          <w:sz w:val="24"/>
          <w:szCs w:val="24"/>
        </w:rPr>
        <w:t xml:space="preserve"> (</w:t>
      </w:r>
      <w:r w:rsidR="0049417A">
        <w:rPr>
          <w:sz w:val="24"/>
          <w:szCs w:val="24"/>
        </w:rPr>
        <w:t>Respondent</w:t>
      </w:r>
      <w:r w:rsidR="004F319B">
        <w:rPr>
          <w:sz w:val="24"/>
          <w:szCs w:val="24"/>
        </w:rPr>
        <w:t xml:space="preserve"> or</w:t>
      </w:r>
      <w:r w:rsidR="0049417A">
        <w:rPr>
          <w:sz w:val="24"/>
          <w:szCs w:val="24"/>
        </w:rPr>
        <w:t xml:space="preserve"> </w:t>
      </w:r>
      <w:r w:rsidR="00512840">
        <w:rPr>
          <w:sz w:val="24"/>
          <w:szCs w:val="24"/>
        </w:rPr>
        <w:t>Duquesne Light</w:t>
      </w:r>
      <w:r w:rsidR="0099279E" w:rsidRPr="00B42058">
        <w:rPr>
          <w:sz w:val="24"/>
          <w:szCs w:val="24"/>
        </w:rPr>
        <w:t>)</w:t>
      </w:r>
      <w:r w:rsidR="0049417A">
        <w:rPr>
          <w:sz w:val="24"/>
          <w:szCs w:val="24"/>
        </w:rPr>
        <w:t xml:space="preserve"> </w:t>
      </w:r>
      <w:r w:rsidRPr="00B42058">
        <w:rPr>
          <w:sz w:val="24"/>
          <w:szCs w:val="24"/>
        </w:rPr>
        <w:t xml:space="preserve">with the Pennsylvania Public </w:t>
      </w:r>
      <w:r w:rsidR="008D2C45">
        <w:rPr>
          <w:sz w:val="24"/>
          <w:szCs w:val="24"/>
        </w:rPr>
        <w:t>Utility Commission (Commission)</w:t>
      </w:r>
      <w:r w:rsidRPr="00B42058">
        <w:rPr>
          <w:sz w:val="24"/>
          <w:szCs w:val="24"/>
        </w:rPr>
        <w:t xml:space="preserve">.  </w:t>
      </w:r>
      <w:r w:rsidR="008D2C45">
        <w:rPr>
          <w:sz w:val="24"/>
          <w:szCs w:val="24"/>
        </w:rPr>
        <w:t>Complainant</w:t>
      </w:r>
      <w:r w:rsidR="009C0EC8" w:rsidRPr="00B42058">
        <w:rPr>
          <w:sz w:val="24"/>
          <w:szCs w:val="24"/>
        </w:rPr>
        <w:t xml:space="preserve"> </w:t>
      </w:r>
      <w:r w:rsidR="004F319B">
        <w:rPr>
          <w:sz w:val="24"/>
          <w:szCs w:val="24"/>
        </w:rPr>
        <w:t xml:space="preserve">alleges </w:t>
      </w:r>
      <w:r w:rsidR="00804BA9">
        <w:rPr>
          <w:sz w:val="24"/>
          <w:szCs w:val="24"/>
        </w:rPr>
        <w:t>Respondent</w:t>
      </w:r>
      <w:r w:rsidR="00A45DB0">
        <w:rPr>
          <w:sz w:val="24"/>
          <w:szCs w:val="24"/>
        </w:rPr>
        <w:t xml:space="preserve"> is threatening to terminate service </w:t>
      </w:r>
      <w:r w:rsidR="00512840">
        <w:rPr>
          <w:sz w:val="24"/>
          <w:szCs w:val="24"/>
        </w:rPr>
        <w:t>or has terminated service.  Complainant asks the Commission to order Respondent not to assess arrears accrued by Complainant’s deceased mother, set up a payment agreement and order Respondent to open a new account in Complainant’s name</w:t>
      </w:r>
      <w:r w:rsidR="00A45DB0">
        <w:rPr>
          <w:sz w:val="24"/>
          <w:szCs w:val="24"/>
        </w:rPr>
        <w:t xml:space="preserve">.  </w:t>
      </w:r>
      <w:r w:rsidR="004F319B">
        <w:rPr>
          <w:sz w:val="24"/>
          <w:szCs w:val="24"/>
        </w:rPr>
        <w:t xml:space="preserve">  </w:t>
      </w:r>
    </w:p>
    <w:p w:rsidR="004F319B" w:rsidRDefault="004F319B">
      <w:pPr>
        <w:spacing w:line="360" w:lineRule="auto"/>
        <w:ind w:firstLine="1440"/>
        <w:rPr>
          <w:sz w:val="24"/>
          <w:szCs w:val="24"/>
        </w:rPr>
      </w:pPr>
    </w:p>
    <w:p w:rsidR="00512840" w:rsidRDefault="007902B0" w:rsidP="00AB161E">
      <w:pPr>
        <w:spacing w:line="360" w:lineRule="auto"/>
        <w:ind w:firstLine="1440"/>
        <w:rPr>
          <w:sz w:val="24"/>
          <w:szCs w:val="24"/>
        </w:rPr>
      </w:pPr>
      <w:r w:rsidRPr="00B42058">
        <w:rPr>
          <w:sz w:val="24"/>
          <w:szCs w:val="24"/>
        </w:rPr>
        <w:lastRenderedPageBreak/>
        <w:t xml:space="preserve">On </w:t>
      </w:r>
      <w:r w:rsidR="00512840">
        <w:rPr>
          <w:sz w:val="24"/>
          <w:szCs w:val="24"/>
        </w:rPr>
        <w:t>December 12, 2017</w:t>
      </w:r>
      <w:r w:rsidRPr="00B42058">
        <w:rPr>
          <w:sz w:val="24"/>
          <w:szCs w:val="24"/>
        </w:rPr>
        <w:t xml:space="preserve">, </w:t>
      </w:r>
      <w:r w:rsidR="00AB161E">
        <w:rPr>
          <w:sz w:val="24"/>
          <w:szCs w:val="24"/>
        </w:rPr>
        <w:t>Respondent</w:t>
      </w:r>
      <w:r w:rsidRPr="00B42058">
        <w:rPr>
          <w:sz w:val="24"/>
          <w:szCs w:val="24"/>
        </w:rPr>
        <w:t xml:space="preserve"> filed</w:t>
      </w:r>
      <w:r w:rsidR="00E269BB" w:rsidRPr="00B42058">
        <w:rPr>
          <w:sz w:val="24"/>
          <w:szCs w:val="24"/>
        </w:rPr>
        <w:t xml:space="preserve"> and served</w:t>
      </w:r>
      <w:r w:rsidRPr="00B42058">
        <w:rPr>
          <w:sz w:val="24"/>
          <w:szCs w:val="24"/>
        </w:rPr>
        <w:t xml:space="preserve"> its Answer </w:t>
      </w:r>
      <w:r w:rsidR="0004550B" w:rsidRPr="00B42058">
        <w:rPr>
          <w:sz w:val="24"/>
          <w:szCs w:val="24"/>
        </w:rPr>
        <w:t>and New Matter (Answer)</w:t>
      </w:r>
      <w:r w:rsidR="00512840">
        <w:rPr>
          <w:sz w:val="24"/>
          <w:szCs w:val="24"/>
        </w:rPr>
        <w:t xml:space="preserve">, </w:t>
      </w:r>
      <w:r w:rsidR="006204F5">
        <w:rPr>
          <w:sz w:val="24"/>
          <w:szCs w:val="24"/>
        </w:rPr>
        <w:t xml:space="preserve">endorsed </w:t>
      </w:r>
      <w:r w:rsidR="00512840">
        <w:rPr>
          <w:sz w:val="24"/>
          <w:szCs w:val="24"/>
        </w:rPr>
        <w:t xml:space="preserve">with a Notice to Plead, and generally denied </w:t>
      </w:r>
      <w:r w:rsidR="008D2C45">
        <w:rPr>
          <w:sz w:val="24"/>
          <w:szCs w:val="24"/>
        </w:rPr>
        <w:t>C</w:t>
      </w:r>
      <w:r w:rsidR="007547C1" w:rsidRPr="00B42058">
        <w:rPr>
          <w:sz w:val="24"/>
          <w:szCs w:val="24"/>
        </w:rPr>
        <w:t>omplainant’s</w:t>
      </w:r>
      <w:r w:rsidR="008D2C45">
        <w:rPr>
          <w:sz w:val="24"/>
          <w:szCs w:val="24"/>
        </w:rPr>
        <w:t xml:space="preserve"> allegations</w:t>
      </w:r>
      <w:r w:rsidR="005D3A87" w:rsidRPr="00B42058">
        <w:rPr>
          <w:sz w:val="24"/>
          <w:szCs w:val="24"/>
        </w:rPr>
        <w:t>.</w:t>
      </w:r>
      <w:r w:rsidR="008D2C45">
        <w:rPr>
          <w:sz w:val="24"/>
          <w:szCs w:val="24"/>
        </w:rPr>
        <w:t xml:space="preserve">  </w:t>
      </w:r>
      <w:r w:rsidR="006204F5">
        <w:rPr>
          <w:sz w:val="24"/>
          <w:szCs w:val="24"/>
        </w:rPr>
        <w:t xml:space="preserve">Duquesne Light contended Complainant had breached prior payment arrangements and he had resided at the service address when the arrears accrued.  </w:t>
      </w:r>
      <w:r w:rsidR="00F01CA4">
        <w:rPr>
          <w:sz w:val="24"/>
          <w:szCs w:val="24"/>
        </w:rPr>
        <w:t xml:space="preserve">The New Matter </w:t>
      </w:r>
      <w:r w:rsidR="006204F5">
        <w:rPr>
          <w:sz w:val="24"/>
          <w:szCs w:val="24"/>
        </w:rPr>
        <w:t>requested</w:t>
      </w:r>
      <w:r w:rsidR="00F01CA4">
        <w:rPr>
          <w:sz w:val="24"/>
          <w:szCs w:val="24"/>
        </w:rPr>
        <w:t xml:space="preserve"> the Commission dismiss the formal complaint </w:t>
      </w:r>
      <w:r w:rsidR="006204F5">
        <w:rPr>
          <w:sz w:val="24"/>
          <w:szCs w:val="24"/>
        </w:rPr>
        <w:t>because Complainant had failed to comply with previous payment arrangements, and to dismiss the formal complaint because as a matter of law Complainant was an adult occupant of the service address when the arrears accrued</w:t>
      </w:r>
      <w:r w:rsidR="00F01CA4">
        <w:rPr>
          <w:sz w:val="24"/>
          <w:szCs w:val="24"/>
        </w:rPr>
        <w:t xml:space="preserve">.  </w:t>
      </w:r>
    </w:p>
    <w:p w:rsidR="00512840" w:rsidRDefault="00512840" w:rsidP="00AB161E">
      <w:pPr>
        <w:spacing w:line="360" w:lineRule="auto"/>
        <w:ind w:firstLine="1440"/>
        <w:rPr>
          <w:sz w:val="24"/>
          <w:szCs w:val="24"/>
        </w:rPr>
      </w:pPr>
    </w:p>
    <w:p w:rsidR="00A45DB0" w:rsidRDefault="005D3A87" w:rsidP="00AB161E">
      <w:pPr>
        <w:spacing w:line="360" w:lineRule="auto"/>
        <w:ind w:firstLine="1440"/>
        <w:rPr>
          <w:sz w:val="24"/>
          <w:szCs w:val="24"/>
        </w:rPr>
      </w:pPr>
      <w:r w:rsidRPr="00B42058">
        <w:rPr>
          <w:sz w:val="24"/>
          <w:szCs w:val="24"/>
        </w:rPr>
        <w:t xml:space="preserve">Also on </w:t>
      </w:r>
      <w:r w:rsidR="00512840">
        <w:rPr>
          <w:sz w:val="24"/>
          <w:szCs w:val="24"/>
        </w:rPr>
        <w:t>December 12, 2017</w:t>
      </w:r>
      <w:r w:rsidRPr="00B42058">
        <w:rPr>
          <w:sz w:val="24"/>
          <w:szCs w:val="24"/>
        </w:rPr>
        <w:t xml:space="preserve">, </w:t>
      </w:r>
      <w:r w:rsidR="00A45DB0">
        <w:rPr>
          <w:sz w:val="24"/>
          <w:szCs w:val="24"/>
        </w:rPr>
        <w:t>Respondent</w:t>
      </w:r>
      <w:r w:rsidRPr="00B42058">
        <w:rPr>
          <w:sz w:val="24"/>
          <w:szCs w:val="24"/>
        </w:rPr>
        <w:t xml:space="preserve"> filed</w:t>
      </w:r>
      <w:r w:rsidR="00E269BB" w:rsidRPr="00B42058">
        <w:rPr>
          <w:sz w:val="24"/>
          <w:szCs w:val="24"/>
        </w:rPr>
        <w:t xml:space="preserve"> and served</w:t>
      </w:r>
      <w:r w:rsidRPr="00B42058">
        <w:rPr>
          <w:sz w:val="24"/>
          <w:szCs w:val="24"/>
        </w:rPr>
        <w:t xml:space="preserve"> </w:t>
      </w:r>
      <w:r w:rsidR="00E269BB" w:rsidRPr="00B42058">
        <w:rPr>
          <w:sz w:val="24"/>
          <w:szCs w:val="24"/>
        </w:rPr>
        <w:t xml:space="preserve">Preliminary </w:t>
      </w:r>
      <w:r w:rsidR="00E44CE9">
        <w:rPr>
          <w:sz w:val="24"/>
          <w:szCs w:val="24"/>
        </w:rPr>
        <w:t>Objections</w:t>
      </w:r>
      <w:r w:rsidR="00E269BB" w:rsidRPr="00B42058">
        <w:rPr>
          <w:sz w:val="24"/>
          <w:szCs w:val="24"/>
        </w:rPr>
        <w:t xml:space="preserve"> (Preliminary </w:t>
      </w:r>
      <w:r w:rsidR="00E44CE9">
        <w:rPr>
          <w:sz w:val="24"/>
          <w:szCs w:val="24"/>
        </w:rPr>
        <w:t>Objections</w:t>
      </w:r>
      <w:r w:rsidR="00E269BB" w:rsidRPr="00B42058">
        <w:rPr>
          <w:sz w:val="24"/>
          <w:szCs w:val="24"/>
        </w:rPr>
        <w:t xml:space="preserve">) </w:t>
      </w:r>
      <w:r w:rsidR="008D2C45">
        <w:rPr>
          <w:sz w:val="24"/>
          <w:szCs w:val="24"/>
        </w:rPr>
        <w:t xml:space="preserve">which </w:t>
      </w:r>
      <w:r w:rsidR="00D34F31">
        <w:rPr>
          <w:sz w:val="24"/>
          <w:szCs w:val="24"/>
        </w:rPr>
        <w:t>were</w:t>
      </w:r>
      <w:r w:rsidRPr="00B42058">
        <w:rPr>
          <w:sz w:val="24"/>
          <w:szCs w:val="24"/>
        </w:rPr>
        <w:t xml:space="preserve"> endorsed with a Notice </w:t>
      </w:r>
      <w:r w:rsidR="00925439">
        <w:rPr>
          <w:sz w:val="24"/>
          <w:szCs w:val="24"/>
        </w:rPr>
        <w:t>t</w:t>
      </w:r>
      <w:r w:rsidRPr="00B42058">
        <w:rPr>
          <w:sz w:val="24"/>
          <w:szCs w:val="24"/>
        </w:rPr>
        <w:t>o Plead</w:t>
      </w:r>
      <w:r w:rsidR="006204F5">
        <w:rPr>
          <w:sz w:val="24"/>
          <w:szCs w:val="24"/>
        </w:rPr>
        <w:t xml:space="preserve">, pursuant to 52 </w:t>
      </w:r>
      <w:proofErr w:type="spellStart"/>
      <w:proofErr w:type="gramStart"/>
      <w:r w:rsidR="006204F5">
        <w:rPr>
          <w:sz w:val="24"/>
          <w:szCs w:val="24"/>
        </w:rPr>
        <w:t>Pa.Code</w:t>
      </w:r>
      <w:proofErr w:type="spellEnd"/>
      <w:proofErr w:type="gramEnd"/>
      <w:r w:rsidR="006204F5">
        <w:rPr>
          <w:sz w:val="24"/>
          <w:szCs w:val="24"/>
        </w:rPr>
        <w:t xml:space="preserve"> §</w:t>
      </w:r>
      <w:r w:rsidR="00C94618">
        <w:rPr>
          <w:sz w:val="24"/>
          <w:szCs w:val="24"/>
        </w:rPr>
        <w:t> </w:t>
      </w:r>
      <w:r w:rsidR="006204F5">
        <w:rPr>
          <w:sz w:val="24"/>
          <w:szCs w:val="24"/>
        </w:rPr>
        <w:t>5.101(4)</w:t>
      </w:r>
      <w:r w:rsidRPr="00B42058">
        <w:rPr>
          <w:sz w:val="24"/>
          <w:szCs w:val="24"/>
        </w:rPr>
        <w:t>.</w:t>
      </w:r>
      <w:r w:rsidR="00D34F31">
        <w:rPr>
          <w:sz w:val="24"/>
          <w:szCs w:val="24"/>
        </w:rPr>
        <w:t xml:space="preserve">  </w:t>
      </w:r>
      <w:r w:rsidR="00033C00">
        <w:rPr>
          <w:sz w:val="24"/>
          <w:szCs w:val="24"/>
        </w:rPr>
        <w:t xml:space="preserve">The Preliminary Objections </w:t>
      </w:r>
      <w:r w:rsidR="006204F5">
        <w:rPr>
          <w:sz w:val="24"/>
          <w:szCs w:val="24"/>
        </w:rPr>
        <w:t>averred the formal complaint was legally insufficient because</w:t>
      </w:r>
      <w:r w:rsidR="00033C00">
        <w:rPr>
          <w:sz w:val="24"/>
          <w:szCs w:val="24"/>
        </w:rPr>
        <w:t xml:space="preserve"> </w:t>
      </w:r>
      <w:r w:rsidR="006204F5">
        <w:rPr>
          <w:sz w:val="24"/>
          <w:szCs w:val="24"/>
        </w:rPr>
        <w:t xml:space="preserve">Complainant was not entitled to a payment arrangement as a matter of law because he had not complied with previous payment arrangements.  Further, Duquesne Light </w:t>
      </w:r>
      <w:proofErr w:type="gramStart"/>
      <w:r w:rsidR="006204F5">
        <w:rPr>
          <w:sz w:val="24"/>
          <w:szCs w:val="24"/>
        </w:rPr>
        <w:t>averred</w:t>
      </w:r>
      <w:proofErr w:type="gramEnd"/>
      <w:r w:rsidR="006204F5">
        <w:rPr>
          <w:sz w:val="24"/>
          <w:szCs w:val="24"/>
        </w:rPr>
        <w:t xml:space="preserve"> Complainant was responsible for the account balance at the service address as a matter of law because he had been an adult occupant of the premises when the balance accrued.  </w:t>
      </w:r>
      <w:r w:rsidR="00033C00">
        <w:rPr>
          <w:sz w:val="24"/>
          <w:szCs w:val="24"/>
        </w:rPr>
        <w:t xml:space="preserve"> </w:t>
      </w:r>
    </w:p>
    <w:p w:rsidR="00A45DB0" w:rsidRDefault="00A45DB0" w:rsidP="00AB161E">
      <w:pPr>
        <w:spacing w:line="360" w:lineRule="auto"/>
        <w:ind w:firstLine="1440"/>
        <w:rPr>
          <w:sz w:val="24"/>
          <w:szCs w:val="24"/>
        </w:rPr>
      </w:pPr>
    </w:p>
    <w:p w:rsidR="001E441D" w:rsidRPr="00B42058" w:rsidRDefault="001E441D" w:rsidP="00FA43BA">
      <w:pPr>
        <w:spacing w:line="360" w:lineRule="auto"/>
        <w:ind w:firstLine="1440"/>
        <w:outlineLvl w:val="0"/>
        <w:rPr>
          <w:sz w:val="24"/>
          <w:szCs w:val="24"/>
        </w:rPr>
      </w:pPr>
      <w:r w:rsidRPr="00B42058">
        <w:rPr>
          <w:sz w:val="24"/>
          <w:szCs w:val="24"/>
        </w:rPr>
        <w:t xml:space="preserve">By Motion Judge Assignment Notice dated </w:t>
      </w:r>
      <w:r w:rsidR="006204F5">
        <w:rPr>
          <w:sz w:val="24"/>
          <w:szCs w:val="24"/>
        </w:rPr>
        <w:t>January 16, 2018</w:t>
      </w:r>
      <w:r w:rsidRPr="00B42058">
        <w:rPr>
          <w:sz w:val="24"/>
          <w:szCs w:val="24"/>
        </w:rPr>
        <w:t xml:space="preserve">, I was assigned the </w:t>
      </w:r>
      <w:r w:rsidR="008D2C45">
        <w:rPr>
          <w:sz w:val="24"/>
          <w:szCs w:val="24"/>
        </w:rPr>
        <w:t xml:space="preserve">case for purposes of ruling on </w:t>
      </w:r>
      <w:r w:rsidR="001F0055">
        <w:rPr>
          <w:sz w:val="24"/>
          <w:szCs w:val="24"/>
        </w:rPr>
        <w:t>Respondent’s</w:t>
      </w:r>
      <w:r w:rsidRPr="00B42058">
        <w:rPr>
          <w:sz w:val="24"/>
          <w:szCs w:val="24"/>
        </w:rPr>
        <w:t xml:space="preserve"> </w:t>
      </w:r>
      <w:r w:rsidR="00357DF5" w:rsidRPr="00B42058">
        <w:rPr>
          <w:sz w:val="24"/>
          <w:szCs w:val="24"/>
        </w:rPr>
        <w:t xml:space="preserve">Preliminary </w:t>
      </w:r>
      <w:r w:rsidR="00E44CE9">
        <w:rPr>
          <w:sz w:val="24"/>
          <w:szCs w:val="24"/>
        </w:rPr>
        <w:t>Objections</w:t>
      </w:r>
      <w:r w:rsidRPr="00B42058">
        <w:rPr>
          <w:sz w:val="24"/>
          <w:szCs w:val="24"/>
        </w:rPr>
        <w:t>.</w:t>
      </w:r>
    </w:p>
    <w:p w:rsidR="001E441D" w:rsidRPr="00B42058" w:rsidRDefault="001E441D">
      <w:pPr>
        <w:spacing w:line="360" w:lineRule="auto"/>
        <w:ind w:firstLine="1440"/>
        <w:rPr>
          <w:sz w:val="24"/>
          <w:szCs w:val="24"/>
        </w:rPr>
      </w:pPr>
    </w:p>
    <w:p w:rsidR="005E192D" w:rsidRPr="00B42058" w:rsidRDefault="005E192D" w:rsidP="00EC1CE5">
      <w:pPr>
        <w:spacing w:line="360" w:lineRule="auto"/>
        <w:jc w:val="center"/>
        <w:outlineLvl w:val="0"/>
        <w:rPr>
          <w:sz w:val="24"/>
          <w:szCs w:val="24"/>
        </w:rPr>
      </w:pPr>
      <w:r w:rsidRPr="00B42058">
        <w:rPr>
          <w:sz w:val="24"/>
          <w:szCs w:val="24"/>
          <w:u w:val="single"/>
        </w:rPr>
        <w:t>DISCUSSION</w:t>
      </w:r>
    </w:p>
    <w:p w:rsidR="005E192D" w:rsidRPr="00B42058" w:rsidRDefault="005E192D">
      <w:pPr>
        <w:spacing w:line="360" w:lineRule="auto"/>
        <w:ind w:firstLine="1440"/>
        <w:rPr>
          <w:sz w:val="24"/>
          <w:szCs w:val="24"/>
        </w:rPr>
      </w:pPr>
    </w:p>
    <w:p w:rsidR="005E192D" w:rsidRDefault="00B31E9F" w:rsidP="00EC1CE5">
      <w:pPr>
        <w:spacing w:line="360" w:lineRule="auto"/>
        <w:ind w:firstLine="1440"/>
        <w:outlineLvl w:val="0"/>
        <w:rPr>
          <w:sz w:val="24"/>
          <w:szCs w:val="24"/>
        </w:rPr>
      </w:pPr>
      <w:r>
        <w:rPr>
          <w:sz w:val="24"/>
          <w:szCs w:val="24"/>
        </w:rPr>
        <w:t>Respondent</w:t>
      </w:r>
      <w:r w:rsidR="00D26B0F">
        <w:rPr>
          <w:sz w:val="24"/>
          <w:szCs w:val="24"/>
        </w:rPr>
        <w:t xml:space="preserve"> filed two pleadings in response to </w:t>
      </w:r>
      <w:r w:rsidR="006204F5">
        <w:rPr>
          <w:sz w:val="24"/>
          <w:szCs w:val="24"/>
        </w:rPr>
        <w:t>the formal complaint</w:t>
      </w:r>
      <w:r w:rsidR="00D26B0F">
        <w:rPr>
          <w:sz w:val="24"/>
          <w:szCs w:val="24"/>
        </w:rPr>
        <w:t xml:space="preserve">: </w:t>
      </w:r>
      <w:r w:rsidR="00C94618">
        <w:rPr>
          <w:sz w:val="24"/>
          <w:szCs w:val="24"/>
        </w:rPr>
        <w:t xml:space="preserve"> </w:t>
      </w:r>
      <w:r w:rsidR="00D26B0F">
        <w:rPr>
          <w:sz w:val="24"/>
          <w:szCs w:val="24"/>
        </w:rPr>
        <w:t>an Answer and New Matter,</w:t>
      </w:r>
      <w:r w:rsidR="006204F5">
        <w:rPr>
          <w:sz w:val="24"/>
          <w:szCs w:val="24"/>
        </w:rPr>
        <w:t xml:space="preserve"> and Preliminary Objections.  In both pleadings, Duquesne Light used identical reasoning or arguments for why the Commission should grant the requests and dismiss the formal complaint: </w:t>
      </w:r>
      <w:r w:rsidR="00C94618">
        <w:rPr>
          <w:sz w:val="24"/>
          <w:szCs w:val="24"/>
        </w:rPr>
        <w:t xml:space="preserve"> </w:t>
      </w:r>
      <w:r w:rsidR="006204F5">
        <w:rPr>
          <w:sz w:val="24"/>
          <w:szCs w:val="24"/>
        </w:rPr>
        <w:t>because Complainant breached prior payment arrangements and he had resided as an adult at the service address when the arrears accrued</w:t>
      </w:r>
      <w:r w:rsidR="00D26B0F">
        <w:rPr>
          <w:sz w:val="24"/>
          <w:szCs w:val="24"/>
        </w:rPr>
        <w:t xml:space="preserve">.  </w:t>
      </w:r>
    </w:p>
    <w:p w:rsidR="00D26B0F" w:rsidRDefault="00D26B0F" w:rsidP="00EC1CE5">
      <w:pPr>
        <w:spacing w:line="360" w:lineRule="auto"/>
        <w:ind w:firstLine="1440"/>
        <w:outlineLvl w:val="0"/>
        <w:rPr>
          <w:sz w:val="24"/>
          <w:szCs w:val="24"/>
        </w:rPr>
      </w:pPr>
    </w:p>
    <w:p w:rsidR="00D26B0F" w:rsidRPr="00B42058" w:rsidRDefault="00665C80" w:rsidP="00EC1CE5">
      <w:pPr>
        <w:spacing w:line="360" w:lineRule="auto"/>
        <w:ind w:firstLine="1440"/>
        <w:outlineLvl w:val="0"/>
        <w:rPr>
          <w:sz w:val="24"/>
          <w:szCs w:val="24"/>
        </w:rPr>
      </w:pPr>
      <w:r>
        <w:rPr>
          <w:sz w:val="24"/>
          <w:szCs w:val="24"/>
        </w:rPr>
        <w:t>Affirmative defenses, p</w:t>
      </w:r>
      <w:r w:rsidR="00D26B0F">
        <w:rPr>
          <w:sz w:val="24"/>
          <w:szCs w:val="24"/>
        </w:rPr>
        <w:t xml:space="preserve">ursuant to 52 </w:t>
      </w:r>
      <w:proofErr w:type="spellStart"/>
      <w:proofErr w:type="gramStart"/>
      <w:r w:rsidR="00D26B0F">
        <w:rPr>
          <w:sz w:val="24"/>
          <w:szCs w:val="24"/>
        </w:rPr>
        <w:t>Pa.Code</w:t>
      </w:r>
      <w:proofErr w:type="spellEnd"/>
      <w:proofErr w:type="gramEnd"/>
      <w:r w:rsidR="00D26B0F">
        <w:rPr>
          <w:sz w:val="24"/>
          <w:szCs w:val="24"/>
        </w:rPr>
        <w:t xml:space="preserve"> § 5.62(b), “shall be pleaded in an answer or other responsive pleading under the heading of ‘New Matter.’  A party may set forth as new matter another material fact which is not merely a denial of the averments of the </w:t>
      </w:r>
      <w:r w:rsidR="00D26B0F">
        <w:rPr>
          <w:sz w:val="24"/>
          <w:szCs w:val="24"/>
        </w:rPr>
        <w:lastRenderedPageBreak/>
        <w:t xml:space="preserve">preceding pleading.”  A party that raises the affirmative defense must include additional facts </w:t>
      </w:r>
      <w:proofErr w:type="gramStart"/>
      <w:r w:rsidR="00D26B0F">
        <w:rPr>
          <w:sz w:val="24"/>
          <w:szCs w:val="24"/>
        </w:rPr>
        <w:t>in order to</w:t>
      </w:r>
      <w:proofErr w:type="gramEnd"/>
      <w:r w:rsidR="00D26B0F">
        <w:rPr>
          <w:sz w:val="24"/>
          <w:szCs w:val="24"/>
        </w:rPr>
        <w:t xml:space="preserve"> ascertain which affirmative defense applies</w:t>
      </w:r>
      <w:r>
        <w:rPr>
          <w:sz w:val="24"/>
          <w:szCs w:val="24"/>
        </w:rPr>
        <w:t>.</w:t>
      </w:r>
      <w:r w:rsidR="00D26B0F">
        <w:rPr>
          <w:rStyle w:val="FootnoteReference"/>
          <w:sz w:val="24"/>
          <w:szCs w:val="24"/>
        </w:rPr>
        <w:footnoteReference w:id="1"/>
      </w:r>
      <w:r w:rsidR="00D26B0F">
        <w:rPr>
          <w:sz w:val="24"/>
          <w:szCs w:val="24"/>
        </w:rPr>
        <w:t xml:space="preserve">  </w:t>
      </w:r>
    </w:p>
    <w:p w:rsidR="008E10A2" w:rsidRDefault="008E10A2" w:rsidP="008E10A2">
      <w:pPr>
        <w:spacing w:line="360" w:lineRule="auto"/>
        <w:rPr>
          <w:sz w:val="24"/>
          <w:szCs w:val="24"/>
        </w:rPr>
      </w:pPr>
      <w:bookmarkStart w:id="0" w:name="_GoBack"/>
      <w:bookmarkEnd w:id="0"/>
      <w:r>
        <w:rPr>
          <w:sz w:val="24"/>
          <w:szCs w:val="24"/>
        </w:rPr>
        <w:tab/>
      </w:r>
      <w:r>
        <w:rPr>
          <w:sz w:val="24"/>
          <w:szCs w:val="24"/>
        </w:rPr>
        <w:tab/>
      </w:r>
      <w:r w:rsidR="00665C80">
        <w:rPr>
          <w:sz w:val="24"/>
          <w:szCs w:val="24"/>
        </w:rPr>
        <w:t>Preliminary objections, under t</w:t>
      </w:r>
      <w:r>
        <w:rPr>
          <w:sz w:val="24"/>
          <w:szCs w:val="24"/>
        </w:rPr>
        <w:t>he Commission’s regulations</w:t>
      </w:r>
      <w:r w:rsidR="00665C80">
        <w:rPr>
          <w:sz w:val="24"/>
          <w:szCs w:val="24"/>
        </w:rPr>
        <w:t xml:space="preserve">, are </w:t>
      </w:r>
      <w:r>
        <w:rPr>
          <w:sz w:val="24"/>
          <w:szCs w:val="24"/>
        </w:rPr>
        <w:t>available to parties and allow for objections to be filed in response to any pleading except a motion or prior preliminary objections.  A party filing preliminary objections must include a notice to plead, must state specifically the legal and factual grounds relied upon and limit the objections to the following:</w:t>
      </w:r>
    </w:p>
    <w:p w:rsidR="008E10A2" w:rsidRDefault="008E10A2" w:rsidP="00FE5D90">
      <w:pPr>
        <w:numPr>
          <w:ilvl w:val="0"/>
          <w:numId w:val="1"/>
        </w:numPr>
        <w:autoSpaceDE/>
        <w:autoSpaceDN/>
        <w:ind w:right="720" w:firstLine="0"/>
        <w:rPr>
          <w:sz w:val="24"/>
          <w:szCs w:val="24"/>
        </w:rPr>
      </w:pPr>
      <w:r>
        <w:rPr>
          <w:sz w:val="24"/>
          <w:szCs w:val="24"/>
        </w:rPr>
        <w:t>Lack of Commission jurisdiction or improper service of the pleading initiating the proceeding.</w:t>
      </w:r>
    </w:p>
    <w:p w:rsidR="00FE5D90" w:rsidRDefault="00FE5D90" w:rsidP="00FE5D90">
      <w:pPr>
        <w:autoSpaceDE/>
        <w:autoSpaceDN/>
        <w:ind w:left="1440" w:right="720"/>
        <w:rPr>
          <w:sz w:val="24"/>
          <w:szCs w:val="24"/>
        </w:rPr>
      </w:pPr>
    </w:p>
    <w:p w:rsidR="008E10A2" w:rsidRDefault="008E10A2" w:rsidP="00FE5D90">
      <w:pPr>
        <w:numPr>
          <w:ilvl w:val="0"/>
          <w:numId w:val="1"/>
        </w:numPr>
        <w:autoSpaceDE/>
        <w:autoSpaceDN/>
        <w:ind w:right="720" w:firstLine="0"/>
        <w:rPr>
          <w:sz w:val="24"/>
          <w:szCs w:val="24"/>
        </w:rPr>
      </w:pPr>
      <w:r>
        <w:rPr>
          <w:sz w:val="24"/>
          <w:szCs w:val="24"/>
        </w:rPr>
        <w:t>Failure of a pleading to conform to Chapter 5, Title 52 of the Pennsylvania Code, or include scandalous or impertinent matter.</w:t>
      </w:r>
    </w:p>
    <w:p w:rsidR="00FE5D90" w:rsidRDefault="00FE5D90" w:rsidP="00FE5D90">
      <w:pPr>
        <w:pStyle w:val="ListParagraph"/>
        <w:ind w:right="720"/>
        <w:rPr>
          <w:sz w:val="24"/>
          <w:szCs w:val="24"/>
        </w:rPr>
      </w:pPr>
    </w:p>
    <w:p w:rsidR="00FE5D90" w:rsidRDefault="008E10A2" w:rsidP="00FE5D90">
      <w:pPr>
        <w:numPr>
          <w:ilvl w:val="0"/>
          <w:numId w:val="1"/>
        </w:numPr>
        <w:autoSpaceDE/>
        <w:autoSpaceDN/>
        <w:ind w:right="720" w:firstLine="0"/>
        <w:rPr>
          <w:sz w:val="24"/>
          <w:szCs w:val="24"/>
        </w:rPr>
      </w:pPr>
      <w:r>
        <w:rPr>
          <w:sz w:val="24"/>
          <w:szCs w:val="24"/>
        </w:rPr>
        <w:t>Insufficient specificity of a pleading.</w:t>
      </w:r>
    </w:p>
    <w:p w:rsidR="00FE5D90" w:rsidRPr="00FE5D90" w:rsidRDefault="00FE5D90" w:rsidP="00FE5D90">
      <w:pPr>
        <w:autoSpaceDE/>
        <w:autoSpaceDN/>
        <w:ind w:left="1440" w:right="720"/>
        <w:rPr>
          <w:sz w:val="24"/>
          <w:szCs w:val="24"/>
        </w:rPr>
      </w:pPr>
    </w:p>
    <w:p w:rsidR="008E10A2" w:rsidRDefault="008E10A2" w:rsidP="00FE5D90">
      <w:pPr>
        <w:numPr>
          <w:ilvl w:val="0"/>
          <w:numId w:val="1"/>
        </w:numPr>
        <w:autoSpaceDE/>
        <w:autoSpaceDN/>
        <w:ind w:right="720" w:firstLine="0"/>
        <w:rPr>
          <w:sz w:val="24"/>
          <w:szCs w:val="24"/>
        </w:rPr>
      </w:pPr>
      <w:r>
        <w:rPr>
          <w:sz w:val="24"/>
          <w:szCs w:val="24"/>
        </w:rPr>
        <w:t>Legal insufficiency of a pleading.</w:t>
      </w:r>
    </w:p>
    <w:p w:rsidR="00FE5D90" w:rsidRDefault="00FE5D90" w:rsidP="00FE5D90">
      <w:pPr>
        <w:autoSpaceDE/>
        <w:autoSpaceDN/>
        <w:ind w:left="1440" w:right="720"/>
        <w:rPr>
          <w:sz w:val="24"/>
          <w:szCs w:val="24"/>
        </w:rPr>
      </w:pPr>
    </w:p>
    <w:p w:rsidR="008E10A2" w:rsidRDefault="008E10A2" w:rsidP="00FE5D90">
      <w:pPr>
        <w:numPr>
          <w:ilvl w:val="0"/>
          <w:numId w:val="1"/>
        </w:numPr>
        <w:autoSpaceDE/>
        <w:autoSpaceDN/>
        <w:ind w:right="720" w:firstLine="0"/>
        <w:rPr>
          <w:sz w:val="24"/>
          <w:szCs w:val="24"/>
        </w:rPr>
      </w:pPr>
      <w:r>
        <w:rPr>
          <w:sz w:val="24"/>
          <w:szCs w:val="24"/>
        </w:rPr>
        <w:t xml:space="preserve">Lack of capacity to sue, nonjoinder of a necessary party or misjoinder of a cause of action.  </w:t>
      </w:r>
    </w:p>
    <w:p w:rsidR="00FE5D90" w:rsidRDefault="00FE5D90" w:rsidP="00FE5D90">
      <w:pPr>
        <w:autoSpaceDE/>
        <w:autoSpaceDN/>
        <w:ind w:left="1440" w:right="720"/>
        <w:rPr>
          <w:sz w:val="24"/>
          <w:szCs w:val="24"/>
        </w:rPr>
      </w:pPr>
    </w:p>
    <w:p w:rsidR="008E10A2" w:rsidRDefault="008E10A2" w:rsidP="00FE5D90">
      <w:pPr>
        <w:numPr>
          <w:ilvl w:val="0"/>
          <w:numId w:val="1"/>
        </w:numPr>
        <w:autoSpaceDE/>
        <w:autoSpaceDN/>
        <w:ind w:right="720" w:firstLine="0"/>
        <w:rPr>
          <w:sz w:val="24"/>
          <w:szCs w:val="24"/>
        </w:rPr>
      </w:pPr>
      <w:r>
        <w:rPr>
          <w:sz w:val="24"/>
          <w:szCs w:val="24"/>
        </w:rPr>
        <w:t>Pendency of a prior proceeding or agreement for alternative dispute resolution.</w:t>
      </w:r>
    </w:p>
    <w:p w:rsidR="00FE5D90" w:rsidRDefault="00FE5D90" w:rsidP="00FE5D90">
      <w:pPr>
        <w:autoSpaceDE/>
        <w:autoSpaceDN/>
        <w:ind w:left="1440"/>
        <w:rPr>
          <w:sz w:val="24"/>
          <w:szCs w:val="24"/>
        </w:rPr>
      </w:pPr>
    </w:p>
    <w:p w:rsidR="00FA39D8" w:rsidRDefault="00FA39D8" w:rsidP="00FA39D8">
      <w:pPr>
        <w:pStyle w:val="ListParagraph"/>
        <w:numPr>
          <w:ilvl w:val="0"/>
          <w:numId w:val="1"/>
        </w:numPr>
        <w:autoSpaceDE/>
        <w:autoSpaceDN/>
        <w:ind w:firstLine="0"/>
        <w:rPr>
          <w:sz w:val="24"/>
          <w:szCs w:val="24"/>
        </w:rPr>
      </w:pPr>
      <w:r>
        <w:rPr>
          <w:sz w:val="24"/>
          <w:szCs w:val="24"/>
        </w:rPr>
        <w:t>Standing of a party to participate in the proceeding.</w:t>
      </w:r>
    </w:p>
    <w:p w:rsidR="00FA39D8" w:rsidRPr="00FA39D8" w:rsidRDefault="00FA39D8" w:rsidP="00FA39D8">
      <w:pPr>
        <w:pStyle w:val="ListParagraph"/>
        <w:autoSpaceDE/>
        <w:autoSpaceDN/>
        <w:ind w:left="1440"/>
        <w:rPr>
          <w:sz w:val="24"/>
          <w:szCs w:val="24"/>
        </w:rPr>
      </w:pPr>
    </w:p>
    <w:p w:rsidR="008E10A2" w:rsidRDefault="008E10A2" w:rsidP="008E10A2">
      <w:pPr>
        <w:spacing w:line="360" w:lineRule="auto"/>
        <w:rPr>
          <w:sz w:val="24"/>
          <w:szCs w:val="24"/>
        </w:rPr>
      </w:pPr>
      <w:r>
        <w:rPr>
          <w:sz w:val="24"/>
          <w:szCs w:val="24"/>
        </w:rPr>
        <w:t xml:space="preserve">52 </w:t>
      </w:r>
      <w:proofErr w:type="spellStart"/>
      <w:proofErr w:type="gramStart"/>
      <w:r>
        <w:rPr>
          <w:sz w:val="24"/>
          <w:szCs w:val="24"/>
        </w:rPr>
        <w:t>Pa.Code</w:t>
      </w:r>
      <w:proofErr w:type="spellEnd"/>
      <w:proofErr w:type="gramEnd"/>
      <w:r>
        <w:rPr>
          <w:sz w:val="24"/>
          <w:szCs w:val="24"/>
        </w:rPr>
        <w:t xml:space="preserve"> §</w:t>
      </w:r>
      <w:r w:rsidR="00163537">
        <w:rPr>
          <w:sz w:val="24"/>
          <w:szCs w:val="24"/>
        </w:rPr>
        <w:t xml:space="preserve"> </w:t>
      </w:r>
      <w:r>
        <w:rPr>
          <w:sz w:val="24"/>
          <w:szCs w:val="24"/>
        </w:rPr>
        <w:t>5.101(a).</w:t>
      </w:r>
    </w:p>
    <w:p w:rsidR="008E10A2" w:rsidRDefault="008E10A2" w:rsidP="008E10A2">
      <w:pPr>
        <w:spacing w:line="360" w:lineRule="auto"/>
        <w:rPr>
          <w:sz w:val="24"/>
          <w:szCs w:val="24"/>
        </w:rPr>
      </w:pPr>
    </w:p>
    <w:p w:rsidR="008E10A2" w:rsidRPr="00D54B7B" w:rsidRDefault="008E10A2" w:rsidP="00D54B7B">
      <w:pPr>
        <w:spacing w:line="360" w:lineRule="auto"/>
        <w:rPr>
          <w:sz w:val="24"/>
          <w:szCs w:val="24"/>
        </w:rPr>
      </w:pPr>
      <w:r>
        <w:rPr>
          <w:sz w:val="24"/>
          <w:szCs w:val="24"/>
        </w:rPr>
        <w:tab/>
      </w:r>
      <w:r>
        <w:rPr>
          <w:sz w:val="24"/>
          <w:szCs w:val="24"/>
        </w:rPr>
        <w:tab/>
        <w:t xml:space="preserve">The party against whom preliminary objections are filed </w:t>
      </w:r>
      <w:r w:rsidR="00665C80" w:rsidRPr="00665C80">
        <w:rPr>
          <w:sz w:val="24"/>
          <w:szCs w:val="24"/>
          <w:u w:val="single"/>
        </w:rPr>
        <w:t>may</w:t>
      </w:r>
      <w:r>
        <w:rPr>
          <w:sz w:val="24"/>
          <w:szCs w:val="24"/>
        </w:rPr>
        <w:t xml:space="preserve"> file an answer to the preliminary objections but the answer must be filed within ten days of the date </w:t>
      </w:r>
      <w:r w:rsidR="00B31E9F">
        <w:rPr>
          <w:sz w:val="24"/>
          <w:szCs w:val="24"/>
        </w:rPr>
        <w:t xml:space="preserve">when the </w:t>
      </w:r>
      <w:r w:rsidR="00B31E9F" w:rsidRPr="00D54B7B">
        <w:rPr>
          <w:sz w:val="24"/>
          <w:szCs w:val="24"/>
        </w:rPr>
        <w:t>preliminary objections are served</w:t>
      </w:r>
      <w:r w:rsidRPr="00D54B7B">
        <w:rPr>
          <w:sz w:val="24"/>
          <w:szCs w:val="24"/>
        </w:rPr>
        <w:t xml:space="preserve">.  52 </w:t>
      </w:r>
      <w:proofErr w:type="spellStart"/>
      <w:proofErr w:type="gramStart"/>
      <w:r w:rsidRPr="00D54B7B">
        <w:rPr>
          <w:sz w:val="24"/>
          <w:szCs w:val="24"/>
        </w:rPr>
        <w:t>Pa.Code</w:t>
      </w:r>
      <w:proofErr w:type="spellEnd"/>
      <w:proofErr w:type="gramEnd"/>
      <w:r w:rsidRPr="00D54B7B">
        <w:rPr>
          <w:sz w:val="24"/>
          <w:szCs w:val="24"/>
        </w:rPr>
        <w:t xml:space="preserve"> §</w:t>
      </w:r>
      <w:r w:rsidR="00B31E9F" w:rsidRPr="00D54B7B">
        <w:rPr>
          <w:sz w:val="24"/>
          <w:szCs w:val="24"/>
        </w:rPr>
        <w:t xml:space="preserve"> </w:t>
      </w:r>
      <w:r w:rsidRPr="00D54B7B">
        <w:rPr>
          <w:sz w:val="24"/>
          <w:szCs w:val="24"/>
        </w:rPr>
        <w:t xml:space="preserve">5.101(f)(1).  Then the presiding officer will decide the preliminary objections within thirty days of the date the preliminary objection is assigned to the presiding officer.  52 </w:t>
      </w:r>
      <w:proofErr w:type="spellStart"/>
      <w:proofErr w:type="gramStart"/>
      <w:r w:rsidRPr="00D54B7B">
        <w:rPr>
          <w:sz w:val="24"/>
          <w:szCs w:val="24"/>
        </w:rPr>
        <w:t>Pa.Code</w:t>
      </w:r>
      <w:proofErr w:type="spellEnd"/>
      <w:proofErr w:type="gramEnd"/>
      <w:r w:rsidRPr="00D54B7B">
        <w:rPr>
          <w:sz w:val="24"/>
          <w:szCs w:val="24"/>
        </w:rPr>
        <w:t xml:space="preserve"> §</w:t>
      </w:r>
      <w:r w:rsidR="00B31E9F" w:rsidRPr="00D54B7B">
        <w:rPr>
          <w:sz w:val="24"/>
          <w:szCs w:val="24"/>
        </w:rPr>
        <w:t xml:space="preserve"> </w:t>
      </w:r>
      <w:r w:rsidRPr="00D54B7B">
        <w:rPr>
          <w:sz w:val="24"/>
          <w:szCs w:val="24"/>
        </w:rPr>
        <w:t>5.101(g).</w:t>
      </w:r>
    </w:p>
    <w:p w:rsidR="00D54B7B" w:rsidRPr="00D54B7B" w:rsidRDefault="00D54B7B" w:rsidP="00D54B7B">
      <w:pPr>
        <w:spacing w:line="360" w:lineRule="auto"/>
        <w:ind w:firstLine="1440"/>
        <w:rPr>
          <w:sz w:val="24"/>
          <w:szCs w:val="24"/>
        </w:rPr>
      </w:pPr>
    </w:p>
    <w:p w:rsidR="00D54B7B" w:rsidRPr="00D54B7B" w:rsidRDefault="00D54B7B" w:rsidP="00D54B7B">
      <w:pPr>
        <w:spacing w:line="360" w:lineRule="auto"/>
        <w:ind w:firstLine="1440"/>
        <w:rPr>
          <w:sz w:val="24"/>
          <w:szCs w:val="24"/>
        </w:rPr>
      </w:pPr>
      <w:r w:rsidRPr="00D54B7B">
        <w:rPr>
          <w:sz w:val="24"/>
          <w:szCs w:val="24"/>
        </w:rPr>
        <w:t>The moving party may not rely on its own factual assertions, but must accept</w:t>
      </w:r>
      <w:r w:rsidR="002D0108">
        <w:rPr>
          <w:sz w:val="24"/>
          <w:szCs w:val="24"/>
        </w:rPr>
        <w:t>,</w:t>
      </w:r>
      <w:r w:rsidRPr="00D54B7B">
        <w:rPr>
          <w:sz w:val="24"/>
          <w:szCs w:val="24"/>
        </w:rPr>
        <w:t xml:space="preserve"> for the purposes of disposition of the preliminary objection, all well-pleaded, material facts of the other party, as well as every inference fairly deducible from those facts.</w:t>
      </w:r>
      <w:r w:rsidR="002D0108">
        <w:rPr>
          <w:rStyle w:val="FootnoteReference"/>
          <w:sz w:val="24"/>
          <w:szCs w:val="24"/>
        </w:rPr>
        <w:footnoteReference w:id="2"/>
      </w:r>
      <w:r w:rsidRPr="00D54B7B">
        <w:rPr>
          <w:sz w:val="24"/>
          <w:szCs w:val="24"/>
        </w:rPr>
        <w:t xml:space="preserve">  Therefore, in ruling on a preliminary objection, the Commission must assume, for decisional purposes only, that </w:t>
      </w:r>
      <w:r w:rsidR="002D0108">
        <w:rPr>
          <w:sz w:val="24"/>
          <w:szCs w:val="24"/>
        </w:rPr>
        <w:t>the factual allegations of the c</w:t>
      </w:r>
      <w:r w:rsidRPr="00D54B7B">
        <w:rPr>
          <w:sz w:val="24"/>
          <w:szCs w:val="24"/>
        </w:rPr>
        <w:t>omplaint are true.</w:t>
      </w:r>
      <w:r w:rsidR="002D0108">
        <w:rPr>
          <w:rStyle w:val="FootnoteReference"/>
          <w:sz w:val="24"/>
          <w:szCs w:val="24"/>
        </w:rPr>
        <w:footnoteReference w:id="3"/>
      </w:r>
      <w:r w:rsidRPr="00D54B7B">
        <w:rPr>
          <w:sz w:val="24"/>
          <w:szCs w:val="24"/>
        </w:rPr>
        <w:t xml:space="preserve">  The preliminary objection may be granted only if the moving party prevails as a matter of law.</w:t>
      </w:r>
      <w:r w:rsidR="002D0108">
        <w:rPr>
          <w:rStyle w:val="FootnoteReference"/>
          <w:sz w:val="24"/>
          <w:szCs w:val="24"/>
        </w:rPr>
        <w:footnoteReference w:id="4"/>
      </w:r>
      <w:r w:rsidRPr="00D54B7B">
        <w:rPr>
          <w:sz w:val="24"/>
          <w:szCs w:val="24"/>
        </w:rPr>
        <w:t xml:space="preserve">  Any doubt must be resolved in favor of the non-moving party by refusing to sustain the preliminary objections.</w:t>
      </w:r>
      <w:r w:rsidR="002D0108">
        <w:rPr>
          <w:rStyle w:val="FootnoteReference"/>
          <w:sz w:val="24"/>
          <w:szCs w:val="24"/>
        </w:rPr>
        <w:footnoteReference w:id="5"/>
      </w:r>
      <w:r w:rsidRPr="00D54B7B">
        <w:rPr>
          <w:sz w:val="24"/>
          <w:szCs w:val="24"/>
        </w:rPr>
        <w:t xml:space="preserve">    </w:t>
      </w:r>
    </w:p>
    <w:p w:rsidR="008E10A2" w:rsidRPr="00D54B7B" w:rsidRDefault="008E10A2" w:rsidP="00D54B7B">
      <w:pPr>
        <w:spacing w:line="360" w:lineRule="auto"/>
        <w:rPr>
          <w:sz w:val="24"/>
          <w:szCs w:val="24"/>
        </w:rPr>
      </w:pPr>
    </w:p>
    <w:p w:rsidR="00D54B7B" w:rsidRPr="00D54B7B" w:rsidRDefault="008E10A2" w:rsidP="00D54B7B">
      <w:pPr>
        <w:spacing w:line="360" w:lineRule="auto"/>
        <w:ind w:firstLine="1440"/>
        <w:rPr>
          <w:sz w:val="24"/>
          <w:szCs w:val="24"/>
        </w:rPr>
      </w:pPr>
      <w:r w:rsidRPr="00D54B7B">
        <w:rPr>
          <w:sz w:val="24"/>
          <w:szCs w:val="24"/>
        </w:rPr>
        <w:t>The Commission has the discretion to “dismiss any complaint without hearing if, in its opinion, a hearing is not nece</w:t>
      </w:r>
      <w:r w:rsidR="00FB4DC9" w:rsidRPr="00D54B7B">
        <w:rPr>
          <w:sz w:val="24"/>
          <w:szCs w:val="24"/>
        </w:rPr>
        <w:t>ssary in the public interest.”</w:t>
      </w:r>
      <w:r w:rsidR="00FB4DC9" w:rsidRPr="00D54B7B">
        <w:rPr>
          <w:rStyle w:val="FootnoteReference"/>
          <w:sz w:val="24"/>
          <w:szCs w:val="24"/>
        </w:rPr>
        <w:footnoteReference w:id="6"/>
      </w:r>
      <w:r w:rsidR="00FB4DC9" w:rsidRPr="00D54B7B">
        <w:rPr>
          <w:sz w:val="24"/>
          <w:szCs w:val="24"/>
        </w:rPr>
        <w:t xml:space="preserve">  </w:t>
      </w:r>
      <w:r w:rsidRPr="00D54B7B">
        <w:rPr>
          <w:sz w:val="24"/>
          <w:szCs w:val="24"/>
        </w:rPr>
        <w:t>A hearing is necessary only to</w:t>
      </w:r>
      <w:r>
        <w:rPr>
          <w:sz w:val="24"/>
          <w:szCs w:val="24"/>
        </w:rPr>
        <w:t xml:space="preserve"> res</w:t>
      </w:r>
      <w:r w:rsidR="00B31E9F">
        <w:rPr>
          <w:sz w:val="24"/>
          <w:szCs w:val="24"/>
        </w:rPr>
        <w:t>olve disputed questions of fact</w:t>
      </w:r>
      <w:r>
        <w:rPr>
          <w:sz w:val="24"/>
          <w:szCs w:val="24"/>
        </w:rPr>
        <w:t xml:space="preserve"> and</w:t>
      </w:r>
      <w:r w:rsidR="00B31E9F">
        <w:rPr>
          <w:sz w:val="24"/>
          <w:szCs w:val="24"/>
        </w:rPr>
        <w:t>,</w:t>
      </w:r>
      <w:r>
        <w:rPr>
          <w:sz w:val="24"/>
          <w:szCs w:val="24"/>
        </w:rPr>
        <w:t xml:space="preserve"> when the question presented is solely one of law, the Commission need not hold a hearing</w:t>
      </w:r>
      <w:r w:rsidRPr="00D54B7B">
        <w:rPr>
          <w:sz w:val="24"/>
          <w:szCs w:val="24"/>
        </w:rPr>
        <w:t>.</w:t>
      </w:r>
      <w:r w:rsidRPr="00D54B7B">
        <w:rPr>
          <w:rStyle w:val="FootnoteReference"/>
          <w:sz w:val="24"/>
          <w:szCs w:val="24"/>
        </w:rPr>
        <w:footnoteReference w:id="7"/>
      </w:r>
      <w:r w:rsidR="00D54B7B" w:rsidRPr="00D54B7B">
        <w:rPr>
          <w:sz w:val="24"/>
          <w:szCs w:val="24"/>
        </w:rPr>
        <w:t xml:space="preserve">  The public interest does not require a hearing in </w:t>
      </w:r>
      <w:r w:rsidR="00D54B7B">
        <w:rPr>
          <w:sz w:val="24"/>
          <w:szCs w:val="24"/>
        </w:rPr>
        <w:t>a</w:t>
      </w:r>
      <w:r w:rsidR="00D54B7B" w:rsidRPr="00D54B7B">
        <w:rPr>
          <w:sz w:val="24"/>
          <w:szCs w:val="24"/>
        </w:rPr>
        <w:t xml:space="preserve"> case</w:t>
      </w:r>
      <w:r w:rsidR="00D54B7B">
        <w:rPr>
          <w:sz w:val="24"/>
          <w:szCs w:val="24"/>
        </w:rPr>
        <w:t xml:space="preserve"> which </w:t>
      </w:r>
      <w:r w:rsidR="00D54B7B" w:rsidRPr="00D54B7B">
        <w:rPr>
          <w:sz w:val="24"/>
          <w:szCs w:val="24"/>
        </w:rPr>
        <w:t>would be a fruitless exercise and</w:t>
      </w:r>
      <w:r w:rsidR="00D54B7B">
        <w:rPr>
          <w:sz w:val="24"/>
          <w:szCs w:val="24"/>
        </w:rPr>
        <w:t>,</w:t>
      </w:r>
      <w:r w:rsidR="00D54B7B" w:rsidRPr="00D54B7B">
        <w:rPr>
          <w:sz w:val="24"/>
          <w:szCs w:val="24"/>
        </w:rPr>
        <w:t xml:space="preserve"> therefore</w:t>
      </w:r>
      <w:r w:rsidR="00D54B7B">
        <w:rPr>
          <w:sz w:val="24"/>
          <w:szCs w:val="24"/>
        </w:rPr>
        <w:t xml:space="preserve">, </w:t>
      </w:r>
      <w:r w:rsidR="00D54B7B" w:rsidRPr="00D54B7B">
        <w:rPr>
          <w:sz w:val="24"/>
          <w:szCs w:val="24"/>
        </w:rPr>
        <w:t>not necessary or in the public interest.</w:t>
      </w:r>
      <w:r w:rsidR="00D54B7B">
        <w:rPr>
          <w:rStyle w:val="FootnoteReference"/>
          <w:sz w:val="24"/>
          <w:szCs w:val="24"/>
        </w:rPr>
        <w:footnoteReference w:id="8"/>
      </w:r>
    </w:p>
    <w:p w:rsidR="008E10A2" w:rsidRDefault="008E10A2" w:rsidP="00D54B7B">
      <w:pPr>
        <w:spacing w:line="360" w:lineRule="auto"/>
        <w:rPr>
          <w:sz w:val="24"/>
          <w:szCs w:val="24"/>
        </w:rPr>
      </w:pPr>
    </w:p>
    <w:p w:rsidR="00033C00" w:rsidRPr="00A22C5D" w:rsidRDefault="00033C00" w:rsidP="00D54B7B">
      <w:pPr>
        <w:spacing w:line="360" w:lineRule="auto"/>
        <w:rPr>
          <w:sz w:val="24"/>
          <w:szCs w:val="24"/>
          <w:u w:val="single"/>
        </w:rPr>
      </w:pPr>
      <w:r w:rsidRPr="00A22C5D">
        <w:rPr>
          <w:sz w:val="24"/>
          <w:szCs w:val="24"/>
          <w:u w:val="single"/>
        </w:rPr>
        <w:t>Respondent’s Position</w:t>
      </w:r>
    </w:p>
    <w:p w:rsidR="00033C00" w:rsidRDefault="00033C00" w:rsidP="00D54B7B">
      <w:pPr>
        <w:spacing w:line="360" w:lineRule="auto"/>
        <w:rPr>
          <w:sz w:val="24"/>
          <w:szCs w:val="24"/>
        </w:rPr>
      </w:pPr>
    </w:p>
    <w:p w:rsidR="008E10A2" w:rsidRDefault="00B31E9F" w:rsidP="00A22C5D">
      <w:pPr>
        <w:spacing w:line="360" w:lineRule="auto"/>
        <w:ind w:firstLine="1440"/>
        <w:rPr>
          <w:sz w:val="24"/>
          <w:szCs w:val="24"/>
        </w:rPr>
      </w:pPr>
      <w:r>
        <w:rPr>
          <w:sz w:val="24"/>
          <w:szCs w:val="24"/>
        </w:rPr>
        <w:t>Respondent</w:t>
      </w:r>
      <w:r w:rsidR="00E44CE9">
        <w:rPr>
          <w:sz w:val="24"/>
          <w:szCs w:val="24"/>
        </w:rPr>
        <w:t xml:space="preserve"> </w:t>
      </w:r>
      <w:r w:rsidR="00A22C5D">
        <w:rPr>
          <w:sz w:val="24"/>
          <w:szCs w:val="24"/>
        </w:rPr>
        <w:t xml:space="preserve">filed New Matter in which Respondent avers the complaint </w:t>
      </w:r>
      <w:r w:rsidR="00665C80">
        <w:rPr>
          <w:sz w:val="24"/>
          <w:szCs w:val="24"/>
        </w:rPr>
        <w:t>should be dismissed as legally insufficient and as a matter of law.</w:t>
      </w:r>
      <w:r w:rsidR="00A22C5D">
        <w:rPr>
          <w:sz w:val="24"/>
          <w:szCs w:val="24"/>
        </w:rPr>
        <w:t xml:space="preserve">  Respondent also </w:t>
      </w:r>
      <w:r w:rsidR="00E44CE9">
        <w:rPr>
          <w:sz w:val="24"/>
          <w:szCs w:val="24"/>
        </w:rPr>
        <w:t>aver</w:t>
      </w:r>
      <w:r w:rsidR="00A22C5D">
        <w:rPr>
          <w:sz w:val="24"/>
          <w:szCs w:val="24"/>
        </w:rPr>
        <w:t>red in its Preliminary Objections</w:t>
      </w:r>
      <w:r w:rsidR="00E44CE9">
        <w:rPr>
          <w:sz w:val="24"/>
          <w:szCs w:val="24"/>
        </w:rPr>
        <w:t xml:space="preserve"> the complaint is </w:t>
      </w:r>
      <w:r w:rsidR="00665C80">
        <w:rPr>
          <w:sz w:val="24"/>
          <w:szCs w:val="24"/>
        </w:rPr>
        <w:t xml:space="preserve">legally </w:t>
      </w:r>
      <w:r w:rsidR="00E44CE9">
        <w:rPr>
          <w:sz w:val="24"/>
          <w:szCs w:val="24"/>
        </w:rPr>
        <w:t xml:space="preserve">insufficient </w:t>
      </w:r>
      <w:r w:rsidR="00665C80">
        <w:rPr>
          <w:sz w:val="24"/>
          <w:szCs w:val="24"/>
        </w:rPr>
        <w:t>and as a matter of law</w:t>
      </w:r>
      <w:r>
        <w:rPr>
          <w:sz w:val="24"/>
          <w:szCs w:val="24"/>
        </w:rPr>
        <w:t>.  P</w:t>
      </w:r>
      <w:r w:rsidR="00E44CE9">
        <w:rPr>
          <w:sz w:val="24"/>
          <w:szCs w:val="24"/>
        </w:rPr>
        <w:t xml:space="preserve">ursuant to 52 </w:t>
      </w:r>
      <w:proofErr w:type="spellStart"/>
      <w:proofErr w:type="gramStart"/>
      <w:r w:rsidR="00E44CE9">
        <w:rPr>
          <w:sz w:val="24"/>
          <w:szCs w:val="24"/>
        </w:rPr>
        <w:t>Pa.Code</w:t>
      </w:r>
      <w:proofErr w:type="spellEnd"/>
      <w:proofErr w:type="gramEnd"/>
      <w:r w:rsidR="00E44CE9">
        <w:rPr>
          <w:sz w:val="24"/>
          <w:szCs w:val="24"/>
        </w:rPr>
        <w:t xml:space="preserve"> §</w:t>
      </w:r>
      <w:r w:rsidR="003E639D">
        <w:rPr>
          <w:sz w:val="24"/>
          <w:szCs w:val="24"/>
        </w:rPr>
        <w:t xml:space="preserve"> </w:t>
      </w:r>
      <w:r w:rsidR="00E44CE9">
        <w:rPr>
          <w:sz w:val="24"/>
          <w:szCs w:val="24"/>
        </w:rPr>
        <w:t>5.101(a)</w:t>
      </w:r>
      <w:r w:rsidR="00255B3E">
        <w:rPr>
          <w:rStyle w:val="FootnoteReference"/>
          <w:sz w:val="24"/>
          <w:szCs w:val="24"/>
        </w:rPr>
        <w:footnoteReference w:id="9"/>
      </w:r>
      <w:r w:rsidR="00E44CE9">
        <w:rPr>
          <w:sz w:val="24"/>
          <w:szCs w:val="24"/>
        </w:rPr>
        <w:t xml:space="preserve">, </w:t>
      </w:r>
      <w:r w:rsidR="00665C80">
        <w:rPr>
          <w:sz w:val="24"/>
          <w:szCs w:val="24"/>
        </w:rPr>
        <w:t>Duquesne Light</w:t>
      </w:r>
      <w:r>
        <w:rPr>
          <w:sz w:val="24"/>
          <w:szCs w:val="24"/>
        </w:rPr>
        <w:t xml:space="preserve"> contends </w:t>
      </w:r>
      <w:r w:rsidR="00E44CE9">
        <w:rPr>
          <w:sz w:val="24"/>
          <w:szCs w:val="24"/>
        </w:rPr>
        <w:t xml:space="preserve">the </w:t>
      </w:r>
      <w:r w:rsidR="00503094">
        <w:rPr>
          <w:sz w:val="24"/>
          <w:szCs w:val="24"/>
        </w:rPr>
        <w:t>formal complaint should be dismissed</w:t>
      </w:r>
      <w:r w:rsidR="00E44CE9">
        <w:rPr>
          <w:sz w:val="24"/>
          <w:szCs w:val="24"/>
        </w:rPr>
        <w:t xml:space="preserve"> on that basis.  </w:t>
      </w:r>
      <w:proofErr w:type="gramStart"/>
      <w:r w:rsidR="00E44CE9">
        <w:rPr>
          <w:sz w:val="24"/>
          <w:szCs w:val="24"/>
        </w:rPr>
        <w:t xml:space="preserve">In essence, </w:t>
      </w:r>
      <w:r>
        <w:rPr>
          <w:sz w:val="24"/>
          <w:szCs w:val="24"/>
        </w:rPr>
        <w:t>Respondent</w:t>
      </w:r>
      <w:proofErr w:type="gramEnd"/>
      <w:r w:rsidR="00E44CE9">
        <w:rPr>
          <w:sz w:val="24"/>
          <w:szCs w:val="24"/>
        </w:rPr>
        <w:t xml:space="preserve"> contends Complainant’s </w:t>
      </w:r>
      <w:r w:rsidR="00D34F31">
        <w:rPr>
          <w:sz w:val="24"/>
          <w:szCs w:val="24"/>
        </w:rPr>
        <w:t xml:space="preserve">formal </w:t>
      </w:r>
      <w:r w:rsidR="00E44CE9">
        <w:rPr>
          <w:sz w:val="24"/>
          <w:szCs w:val="24"/>
        </w:rPr>
        <w:t xml:space="preserve">complaint does not specify a cause of action </w:t>
      </w:r>
      <w:r w:rsidR="00804BA9" w:rsidRPr="00B31E9F">
        <w:rPr>
          <w:sz w:val="24"/>
          <w:szCs w:val="24"/>
        </w:rPr>
        <w:t xml:space="preserve">against </w:t>
      </w:r>
      <w:r w:rsidR="00665C80">
        <w:rPr>
          <w:sz w:val="24"/>
          <w:szCs w:val="24"/>
        </w:rPr>
        <w:t>Duquesne Light</w:t>
      </w:r>
      <w:r w:rsidR="00804BA9">
        <w:rPr>
          <w:sz w:val="24"/>
          <w:szCs w:val="24"/>
        </w:rPr>
        <w:t xml:space="preserve"> </w:t>
      </w:r>
      <w:r w:rsidR="00E44CE9">
        <w:rPr>
          <w:sz w:val="24"/>
          <w:szCs w:val="24"/>
        </w:rPr>
        <w:t>upon which the Commission can grant relief even if all well-pleaded facts as alleged by Compl</w:t>
      </w:r>
      <w:r w:rsidR="00A22C5D">
        <w:rPr>
          <w:sz w:val="24"/>
          <w:szCs w:val="24"/>
        </w:rPr>
        <w:t xml:space="preserve">ainant are presumed to be true.  </w:t>
      </w:r>
      <w:r w:rsidR="00665C80">
        <w:rPr>
          <w:sz w:val="24"/>
          <w:szCs w:val="24"/>
        </w:rPr>
        <w:t>Respondent assumes</w:t>
      </w:r>
      <w:r w:rsidR="00A22C5D">
        <w:rPr>
          <w:sz w:val="24"/>
          <w:szCs w:val="24"/>
        </w:rPr>
        <w:t xml:space="preserve"> dismissal promotes judicial economy by avoiding a hearing where no factual issue pertinent to the resolution of the case exists.</w:t>
      </w:r>
      <w:r w:rsidR="00A22C5D">
        <w:rPr>
          <w:rStyle w:val="FootnoteReference"/>
          <w:sz w:val="24"/>
          <w:szCs w:val="24"/>
        </w:rPr>
        <w:footnoteReference w:id="10"/>
      </w:r>
    </w:p>
    <w:p w:rsidR="00033C00" w:rsidRDefault="00033C00" w:rsidP="00033C00">
      <w:pPr>
        <w:spacing w:line="360" w:lineRule="auto"/>
        <w:rPr>
          <w:sz w:val="24"/>
          <w:szCs w:val="24"/>
        </w:rPr>
      </w:pPr>
    </w:p>
    <w:p w:rsidR="001D0688" w:rsidRDefault="001D0688" w:rsidP="00033C00">
      <w:pPr>
        <w:spacing w:line="360" w:lineRule="auto"/>
        <w:rPr>
          <w:sz w:val="24"/>
          <w:szCs w:val="24"/>
        </w:rPr>
      </w:pPr>
      <w:r>
        <w:rPr>
          <w:sz w:val="24"/>
          <w:szCs w:val="24"/>
        </w:rPr>
        <w:tab/>
      </w:r>
      <w:r>
        <w:rPr>
          <w:sz w:val="24"/>
          <w:szCs w:val="24"/>
        </w:rPr>
        <w:tab/>
        <w:t xml:space="preserve">Complainant </w:t>
      </w:r>
      <w:r w:rsidR="00665C80">
        <w:rPr>
          <w:sz w:val="24"/>
          <w:szCs w:val="24"/>
        </w:rPr>
        <w:t>did not file</w:t>
      </w:r>
      <w:r>
        <w:rPr>
          <w:sz w:val="24"/>
          <w:szCs w:val="24"/>
        </w:rPr>
        <w:t xml:space="preserve"> a Response to </w:t>
      </w:r>
      <w:r w:rsidR="00665C80">
        <w:rPr>
          <w:sz w:val="24"/>
          <w:szCs w:val="24"/>
        </w:rPr>
        <w:t>Duquesne Light’s Answer and New Matter, or to its</w:t>
      </w:r>
      <w:r>
        <w:rPr>
          <w:sz w:val="24"/>
          <w:szCs w:val="24"/>
        </w:rPr>
        <w:t xml:space="preserve"> Preliminary Objections.  </w:t>
      </w:r>
    </w:p>
    <w:p w:rsidR="001D0688" w:rsidRDefault="001D0688" w:rsidP="00033C00">
      <w:pPr>
        <w:spacing w:line="360" w:lineRule="auto"/>
        <w:rPr>
          <w:sz w:val="24"/>
          <w:szCs w:val="24"/>
        </w:rPr>
      </w:pPr>
    </w:p>
    <w:p w:rsidR="00F019BA" w:rsidRPr="00A22C5D" w:rsidRDefault="00F019BA" w:rsidP="00033C00">
      <w:pPr>
        <w:spacing w:line="360" w:lineRule="auto"/>
        <w:rPr>
          <w:sz w:val="24"/>
          <w:szCs w:val="24"/>
          <w:u w:val="single"/>
        </w:rPr>
      </w:pPr>
      <w:r w:rsidRPr="00A22C5D">
        <w:rPr>
          <w:sz w:val="24"/>
          <w:szCs w:val="24"/>
          <w:u w:val="single"/>
        </w:rPr>
        <w:t>Requirements when Filing a Complaint</w:t>
      </w:r>
    </w:p>
    <w:p w:rsidR="00F019BA" w:rsidRDefault="00F019BA" w:rsidP="00F019BA">
      <w:pPr>
        <w:spacing w:line="360" w:lineRule="auto"/>
        <w:rPr>
          <w:sz w:val="24"/>
          <w:szCs w:val="24"/>
        </w:rPr>
      </w:pPr>
    </w:p>
    <w:p w:rsidR="00017B90" w:rsidRDefault="00A22C5D" w:rsidP="00F019BA">
      <w:pPr>
        <w:spacing w:line="360" w:lineRule="auto"/>
        <w:ind w:firstLine="1440"/>
        <w:rPr>
          <w:sz w:val="24"/>
          <w:szCs w:val="24"/>
        </w:rPr>
      </w:pPr>
      <w:r>
        <w:rPr>
          <w:sz w:val="24"/>
          <w:szCs w:val="24"/>
        </w:rPr>
        <w:t xml:space="preserve">First, the regulations permit </w:t>
      </w:r>
      <w:r w:rsidR="00665C80">
        <w:rPr>
          <w:sz w:val="24"/>
          <w:szCs w:val="24"/>
        </w:rPr>
        <w:t>Duquesne Light</w:t>
      </w:r>
      <w:r>
        <w:rPr>
          <w:sz w:val="24"/>
          <w:szCs w:val="24"/>
        </w:rPr>
        <w:t xml:space="preserve"> </w:t>
      </w:r>
      <w:r w:rsidR="00F019BA">
        <w:rPr>
          <w:sz w:val="24"/>
          <w:szCs w:val="24"/>
        </w:rPr>
        <w:t>to file preliminary objection</w:t>
      </w:r>
      <w:r w:rsidR="00665C80">
        <w:rPr>
          <w:sz w:val="24"/>
          <w:szCs w:val="24"/>
        </w:rPr>
        <w:t>s</w:t>
      </w:r>
      <w:r w:rsidR="00F019BA">
        <w:rPr>
          <w:sz w:val="24"/>
          <w:szCs w:val="24"/>
        </w:rPr>
        <w:t xml:space="preserve"> to dismiss a pleading for legal insufficiency.</w:t>
      </w:r>
      <w:r w:rsidR="00F019BA">
        <w:rPr>
          <w:rStyle w:val="FootnoteReference"/>
          <w:sz w:val="24"/>
          <w:szCs w:val="24"/>
        </w:rPr>
        <w:footnoteReference w:id="11"/>
      </w:r>
      <w:r>
        <w:rPr>
          <w:sz w:val="24"/>
          <w:szCs w:val="24"/>
        </w:rPr>
        <w:t xml:space="preserve">  </w:t>
      </w:r>
      <w:r w:rsidR="00F019BA">
        <w:rPr>
          <w:sz w:val="24"/>
          <w:szCs w:val="24"/>
        </w:rPr>
        <w:t xml:space="preserve">The law requires a formal complaint to set forth an “act or thing done or admitted </w:t>
      </w:r>
      <w:proofErr w:type="gramStart"/>
      <w:r w:rsidR="00F019BA">
        <w:rPr>
          <w:sz w:val="24"/>
          <w:szCs w:val="24"/>
        </w:rPr>
        <w:t>to be</w:t>
      </w:r>
      <w:proofErr w:type="gramEnd"/>
      <w:r w:rsidR="00F019BA">
        <w:rPr>
          <w:sz w:val="24"/>
          <w:szCs w:val="24"/>
        </w:rPr>
        <w:t xml:space="preserve"> done or about to be done or admitted to be done by the Respondent in violation, or claimed violation, of a statute which the Commission has jurisdiction to administer, or of a regulation or order of the Commission.”</w:t>
      </w:r>
      <w:r w:rsidR="00F019BA">
        <w:rPr>
          <w:rStyle w:val="FootnoteReference"/>
          <w:sz w:val="24"/>
          <w:szCs w:val="24"/>
        </w:rPr>
        <w:footnoteReference w:id="12"/>
      </w:r>
      <w:r w:rsidR="00F019BA">
        <w:rPr>
          <w:sz w:val="24"/>
          <w:szCs w:val="24"/>
        </w:rPr>
        <w:t xml:space="preserve">  </w:t>
      </w:r>
    </w:p>
    <w:p w:rsidR="00017B90" w:rsidRDefault="00017B90" w:rsidP="00F019BA">
      <w:pPr>
        <w:spacing w:line="360" w:lineRule="auto"/>
        <w:ind w:firstLine="1440"/>
        <w:rPr>
          <w:sz w:val="24"/>
          <w:szCs w:val="24"/>
        </w:rPr>
      </w:pPr>
    </w:p>
    <w:p w:rsidR="00F019BA" w:rsidRDefault="00F019BA" w:rsidP="00F019BA">
      <w:pPr>
        <w:spacing w:line="360" w:lineRule="auto"/>
        <w:ind w:firstLine="1440"/>
        <w:rPr>
          <w:sz w:val="24"/>
          <w:szCs w:val="24"/>
        </w:rPr>
      </w:pPr>
      <w:r>
        <w:rPr>
          <w:sz w:val="24"/>
          <w:szCs w:val="24"/>
        </w:rPr>
        <w:t xml:space="preserve">Respondent avers </w:t>
      </w:r>
      <w:r w:rsidR="00017B90">
        <w:rPr>
          <w:sz w:val="24"/>
          <w:szCs w:val="24"/>
        </w:rPr>
        <w:t>the formal complaint does not specify a cause of action upon which the Commission can grant relief even if all well-pleaded facts are presumed to be true.  Respondent contends there exists no factual issue pertinent to the resolution of the case.</w:t>
      </w:r>
    </w:p>
    <w:p w:rsidR="00017B90" w:rsidRDefault="00017B90" w:rsidP="00F019BA">
      <w:pPr>
        <w:spacing w:line="360" w:lineRule="auto"/>
        <w:ind w:firstLine="1440"/>
        <w:rPr>
          <w:sz w:val="24"/>
          <w:szCs w:val="24"/>
        </w:rPr>
      </w:pPr>
    </w:p>
    <w:p w:rsidR="00017B90" w:rsidRDefault="00017B90" w:rsidP="00F019BA">
      <w:pPr>
        <w:spacing w:line="360" w:lineRule="auto"/>
        <w:ind w:firstLine="1440"/>
        <w:rPr>
          <w:sz w:val="24"/>
          <w:szCs w:val="24"/>
        </w:rPr>
      </w:pPr>
      <w:r>
        <w:rPr>
          <w:sz w:val="24"/>
          <w:szCs w:val="24"/>
        </w:rPr>
        <w:t>In his formal complaint, Mr. Bottoms contends he would like a payment agreement and avers the utility wants to charge him for arrears that accrued in his mother’s name which amount to over $8,000.  Mr. Bottoms appears to acknowledge that he resided at the service address because he adds that he was “residing at the address” but there is “no other legal contract [which] works this way unless your [sic] a cosigner.”  Lastly, Mr. Bottoms asks the Commission to “eliminate older accounts and start new service under my application submitted.”</w:t>
      </w:r>
    </w:p>
    <w:p w:rsidR="000E04AA" w:rsidRPr="00AC0FB3" w:rsidRDefault="000E04AA" w:rsidP="00C7017F">
      <w:pPr>
        <w:spacing w:line="360" w:lineRule="auto"/>
        <w:rPr>
          <w:sz w:val="24"/>
          <w:szCs w:val="24"/>
          <w:u w:val="single"/>
        </w:rPr>
      </w:pPr>
      <w:r w:rsidRPr="00AC0FB3">
        <w:rPr>
          <w:sz w:val="24"/>
          <w:szCs w:val="24"/>
          <w:u w:val="single"/>
        </w:rPr>
        <w:t>Conclusion</w:t>
      </w:r>
    </w:p>
    <w:p w:rsidR="00D65F60" w:rsidRDefault="00D65F60" w:rsidP="00D65F60">
      <w:pPr>
        <w:spacing w:line="360" w:lineRule="auto"/>
        <w:rPr>
          <w:sz w:val="24"/>
          <w:szCs w:val="24"/>
        </w:rPr>
      </w:pPr>
    </w:p>
    <w:p w:rsidR="00A55098" w:rsidRPr="00BB5653" w:rsidRDefault="00F619ED" w:rsidP="00BB5653">
      <w:pPr>
        <w:spacing w:line="360" w:lineRule="auto"/>
        <w:ind w:firstLine="1440"/>
        <w:rPr>
          <w:sz w:val="24"/>
          <w:szCs w:val="24"/>
        </w:rPr>
      </w:pPr>
      <w:r w:rsidRPr="008475EB">
        <w:rPr>
          <w:sz w:val="24"/>
          <w:szCs w:val="24"/>
        </w:rPr>
        <w:t>This case</w:t>
      </w:r>
      <w:r w:rsidR="00EC320B" w:rsidRPr="00AC0FB3">
        <w:rPr>
          <w:sz w:val="24"/>
          <w:szCs w:val="24"/>
        </w:rPr>
        <w:t xml:space="preserve"> – on its face and when taken in the light most favorable to Complainant</w:t>
      </w:r>
      <w:r w:rsidR="000202CD">
        <w:rPr>
          <w:sz w:val="24"/>
          <w:szCs w:val="24"/>
        </w:rPr>
        <w:t> –</w:t>
      </w:r>
      <w:r w:rsidR="00E5005B">
        <w:rPr>
          <w:sz w:val="24"/>
          <w:szCs w:val="24"/>
        </w:rPr>
        <w:t xml:space="preserve"> </w:t>
      </w:r>
      <w:r w:rsidR="00FB4DC9">
        <w:rPr>
          <w:sz w:val="24"/>
          <w:szCs w:val="24"/>
        </w:rPr>
        <w:t>involve</w:t>
      </w:r>
      <w:r w:rsidR="00E5005B">
        <w:rPr>
          <w:sz w:val="24"/>
          <w:szCs w:val="24"/>
        </w:rPr>
        <w:t xml:space="preserve">s at least </w:t>
      </w:r>
      <w:r w:rsidR="00034A51">
        <w:rPr>
          <w:sz w:val="24"/>
          <w:szCs w:val="24"/>
        </w:rPr>
        <w:t>two</w:t>
      </w:r>
      <w:r w:rsidR="002B7DB0">
        <w:rPr>
          <w:sz w:val="24"/>
          <w:szCs w:val="24"/>
        </w:rPr>
        <w:t xml:space="preserve"> </w:t>
      </w:r>
      <w:r w:rsidR="0067181D">
        <w:rPr>
          <w:sz w:val="24"/>
          <w:szCs w:val="24"/>
        </w:rPr>
        <w:t xml:space="preserve">similar but </w:t>
      </w:r>
      <w:r w:rsidRPr="00AC0FB3">
        <w:rPr>
          <w:sz w:val="24"/>
          <w:szCs w:val="24"/>
        </w:rPr>
        <w:t>disputed question</w:t>
      </w:r>
      <w:r w:rsidR="00A55098">
        <w:rPr>
          <w:sz w:val="24"/>
          <w:szCs w:val="24"/>
        </w:rPr>
        <w:t>s</w:t>
      </w:r>
      <w:r w:rsidRPr="00AC0FB3">
        <w:rPr>
          <w:sz w:val="24"/>
          <w:szCs w:val="24"/>
        </w:rPr>
        <w:t xml:space="preserve"> of fact</w:t>
      </w:r>
      <w:r w:rsidR="00017B90">
        <w:rPr>
          <w:sz w:val="24"/>
          <w:szCs w:val="24"/>
        </w:rPr>
        <w:t xml:space="preserve"> and law</w:t>
      </w:r>
      <w:proofErr w:type="gramStart"/>
      <w:r w:rsidR="00017B90">
        <w:rPr>
          <w:sz w:val="24"/>
          <w:szCs w:val="24"/>
        </w:rPr>
        <w:t>:</w:t>
      </w:r>
      <w:r w:rsidR="00C94618">
        <w:rPr>
          <w:sz w:val="24"/>
          <w:szCs w:val="24"/>
        </w:rPr>
        <w:t xml:space="preserve"> </w:t>
      </w:r>
      <w:r w:rsidR="00017B90">
        <w:rPr>
          <w:sz w:val="24"/>
          <w:szCs w:val="24"/>
        </w:rPr>
        <w:t xml:space="preserve"> </w:t>
      </w:r>
      <w:r w:rsidR="00A55098">
        <w:rPr>
          <w:sz w:val="24"/>
          <w:szCs w:val="24"/>
        </w:rPr>
        <w:t>(</w:t>
      </w:r>
      <w:proofErr w:type="gramEnd"/>
      <w:r w:rsidR="00A55098">
        <w:rPr>
          <w:sz w:val="24"/>
          <w:szCs w:val="24"/>
        </w:rPr>
        <w:t xml:space="preserve">1) </w:t>
      </w:r>
      <w:r w:rsidR="00017B90">
        <w:rPr>
          <w:sz w:val="24"/>
          <w:szCs w:val="24"/>
        </w:rPr>
        <w:t xml:space="preserve">whether Mr. Bottoms is </w:t>
      </w:r>
      <w:r w:rsidR="00017B90" w:rsidRPr="00BB5653">
        <w:rPr>
          <w:sz w:val="24"/>
          <w:szCs w:val="24"/>
        </w:rPr>
        <w:t>entitled to a payment arrangement</w:t>
      </w:r>
      <w:r w:rsidR="00A55098" w:rsidRPr="00BB5653">
        <w:rPr>
          <w:sz w:val="24"/>
          <w:szCs w:val="24"/>
        </w:rPr>
        <w:t xml:space="preserve"> and (2) whether Mr. Bottoms was an adult resident at the service address when the unpaid electric service charges accrued</w:t>
      </w:r>
      <w:r w:rsidR="00E5005B" w:rsidRPr="00BB5653">
        <w:rPr>
          <w:sz w:val="24"/>
          <w:szCs w:val="24"/>
        </w:rPr>
        <w:t>.</w:t>
      </w:r>
      <w:r w:rsidR="00017B90" w:rsidRPr="00BB5653">
        <w:rPr>
          <w:sz w:val="24"/>
          <w:szCs w:val="24"/>
        </w:rPr>
        <w:t xml:space="preserve">  </w:t>
      </w:r>
    </w:p>
    <w:p w:rsidR="00A55098" w:rsidRPr="00BB5653" w:rsidRDefault="00A55098" w:rsidP="00BB5653">
      <w:pPr>
        <w:spacing w:line="360" w:lineRule="auto"/>
        <w:ind w:firstLine="1440"/>
        <w:rPr>
          <w:sz w:val="24"/>
          <w:szCs w:val="24"/>
        </w:rPr>
      </w:pPr>
    </w:p>
    <w:p w:rsidR="0067181D" w:rsidRDefault="00BB5653" w:rsidP="00BB5653">
      <w:pPr>
        <w:pStyle w:val="FootnoteText"/>
        <w:spacing w:line="360" w:lineRule="auto"/>
        <w:ind w:firstLine="1440"/>
        <w:rPr>
          <w:sz w:val="24"/>
          <w:szCs w:val="24"/>
        </w:rPr>
      </w:pPr>
      <w:r w:rsidRPr="00BB5653">
        <w:rPr>
          <w:sz w:val="24"/>
          <w:szCs w:val="24"/>
        </w:rPr>
        <w:t xml:space="preserve">Whether Mr. Bottoms is entitled to a payment arrangement depends in large part on whether he is a customer. </w:t>
      </w:r>
      <w:r w:rsidR="00C94618">
        <w:rPr>
          <w:sz w:val="24"/>
          <w:szCs w:val="24"/>
        </w:rPr>
        <w:t xml:space="preserve"> </w:t>
      </w:r>
      <w:r w:rsidR="0067181D">
        <w:rPr>
          <w:sz w:val="24"/>
          <w:szCs w:val="24"/>
        </w:rPr>
        <w:t>Only customers can get a payment arrangement.  Pursuant to 66</w:t>
      </w:r>
      <w:r w:rsidR="00C94618">
        <w:rPr>
          <w:sz w:val="24"/>
          <w:szCs w:val="24"/>
        </w:rPr>
        <w:t> </w:t>
      </w:r>
      <w:proofErr w:type="spellStart"/>
      <w:r w:rsidR="0067181D">
        <w:rPr>
          <w:sz w:val="24"/>
          <w:szCs w:val="24"/>
        </w:rPr>
        <w:t>Pa.C.S.A</w:t>
      </w:r>
      <w:proofErr w:type="spellEnd"/>
      <w:r w:rsidR="0067181D">
        <w:rPr>
          <w:sz w:val="24"/>
          <w:szCs w:val="24"/>
        </w:rPr>
        <w:t xml:space="preserve">. § 1405, the Commission is authorized to establish a payment arrangement between a public utility and a customer or applicant.  A customer is defined at 66 </w:t>
      </w:r>
      <w:proofErr w:type="spellStart"/>
      <w:r w:rsidR="0067181D">
        <w:rPr>
          <w:sz w:val="24"/>
          <w:szCs w:val="24"/>
        </w:rPr>
        <w:t>Pa.C.S.A</w:t>
      </w:r>
      <w:proofErr w:type="spellEnd"/>
      <w:r w:rsidR="0067181D">
        <w:rPr>
          <w:sz w:val="24"/>
          <w:szCs w:val="24"/>
        </w:rPr>
        <w:t xml:space="preserve">. § 1403 as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The term includes a person who, within 30 days after service termination or discontinuance of service, seeks to have service reconnected at the same location or transferred to another location within the service territory of the public utility.”  </w:t>
      </w:r>
    </w:p>
    <w:p w:rsidR="0067181D" w:rsidRDefault="0067181D" w:rsidP="00BB5653">
      <w:pPr>
        <w:pStyle w:val="FootnoteText"/>
        <w:spacing w:line="360" w:lineRule="auto"/>
        <w:ind w:firstLine="1440"/>
        <w:rPr>
          <w:sz w:val="24"/>
          <w:szCs w:val="24"/>
        </w:rPr>
      </w:pPr>
    </w:p>
    <w:p w:rsidR="00BB5653" w:rsidRDefault="0067181D" w:rsidP="00BB5653">
      <w:pPr>
        <w:pStyle w:val="FootnoteText"/>
        <w:spacing w:line="360" w:lineRule="auto"/>
        <w:ind w:firstLine="1440"/>
        <w:rPr>
          <w:sz w:val="24"/>
          <w:szCs w:val="24"/>
        </w:rPr>
      </w:pPr>
      <w:r>
        <w:rPr>
          <w:sz w:val="24"/>
          <w:szCs w:val="24"/>
        </w:rPr>
        <w:t xml:space="preserve">The Commission’s regulations, at </w:t>
      </w:r>
      <w:r w:rsidR="000915B2">
        <w:rPr>
          <w:sz w:val="24"/>
          <w:szCs w:val="24"/>
        </w:rPr>
        <w:t xml:space="preserve">52 </w:t>
      </w:r>
      <w:proofErr w:type="spellStart"/>
      <w:proofErr w:type="gramStart"/>
      <w:r w:rsidR="000915B2">
        <w:rPr>
          <w:sz w:val="24"/>
          <w:szCs w:val="24"/>
        </w:rPr>
        <w:t>Pa.Code</w:t>
      </w:r>
      <w:proofErr w:type="spellEnd"/>
      <w:proofErr w:type="gramEnd"/>
      <w:r w:rsidR="000915B2">
        <w:rPr>
          <w:sz w:val="24"/>
          <w:szCs w:val="24"/>
        </w:rPr>
        <w:t xml:space="preserve"> § 56.2, </w:t>
      </w:r>
      <w:r>
        <w:rPr>
          <w:sz w:val="24"/>
          <w:szCs w:val="24"/>
        </w:rPr>
        <w:t xml:space="preserve">define </w:t>
      </w:r>
      <w:r w:rsidR="000915B2">
        <w:rPr>
          <w:sz w:val="24"/>
          <w:szCs w:val="24"/>
        </w:rPr>
        <w:t xml:space="preserve">a customer </w:t>
      </w:r>
      <w:r w:rsidR="00BB5653" w:rsidRPr="00BB5653">
        <w:rPr>
          <w:sz w:val="24"/>
          <w:szCs w:val="24"/>
        </w:rPr>
        <w:t xml:space="preserve">as a “natural person </w:t>
      </w:r>
      <w:r w:rsidR="000915B2">
        <w:rPr>
          <w:sz w:val="24"/>
          <w:szCs w:val="24"/>
        </w:rPr>
        <w:t xml:space="preserve">at least 18 years of age </w:t>
      </w:r>
      <w:r w:rsidR="00BB5653" w:rsidRPr="00BB5653">
        <w:rPr>
          <w:sz w:val="24"/>
          <w:szCs w:val="24"/>
        </w:rPr>
        <w:t xml:space="preserve">in whose name a residential service account is listed and who is primarily responsible for payment of bills rendered for the service or an adult occupant whose name appears on the mortgage, deed or lease of the property for which the residential </w:t>
      </w:r>
      <w:r w:rsidR="000915B2">
        <w:rPr>
          <w:sz w:val="24"/>
          <w:szCs w:val="24"/>
        </w:rPr>
        <w:t xml:space="preserve">public </w:t>
      </w:r>
      <w:r w:rsidR="00BB5653" w:rsidRPr="00BB5653">
        <w:rPr>
          <w:sz w:val="24"/>
          <w:szCs w:val="24"/>
        </w:rPr>
        <w:t xml:space="preserve">utility service is requested.”  </w:t>
      </w:r>
    </w:p>
    <w:p w:rsidR="000915B2" w:rsidRDefault="000915B2" w:rsidP="00BB5653">
      <w:pPr>
        <w:pStyle w:val="FootnoteText"/>
        <w:spacing w:line="360" w:lineRule="auto"/>
        <w:ind w:firstLine="1440"/>
        <w:rPr>
          <w:sz w:val="24"/>
          <w:szCs w:val="24"/>
        </w:rPr>
      </w:pPr>
    </w:p>
    <w:p w:rsidR="000915B2" w:rsidRPr="00BB5653" w:rsidRDefault="0067181D" w:rsidP="00BB5653">
      <w:pPr>
        <w:pStyle w:val="FootnoteText"/>
        <w:spacing w:line="360" w:lineRule="auto"/>
        <w:ind w:firstLine="1440"/>
        <w:rPr>
          <w:sz w:val="24"/>
          <w:szCs w:val="24"/>
        </w:rPr>
      </w:pPr>
      <w:r w:rsidRPr="00BB5653">
        <w:rPr>
          <w:sz w:val="24"/>
          <w:szCs w:val="24"/>
        </w:rPr>
        <w:t>If the service address is 1425 Elm Street, Pittsburgh, Pennsylvania, and if Mr.</w:t>
      </w:r>
      <w:r w:rsidR="00C94618">
        <w:rPr>
          <w:sz w:val="24"/>
          <w:szCs w:val="24"/>
        </w:rPr>
        <w:t> </w:t>
      </w:r>
      <w:r w:rsidRPr="00BB5653">
        <w:rPr>
          <w:sz w:val="24"/>
          <w:szCs w:val="24"/>
        </w:rPr>
        <w:t>Bottoms resided at the service address while his mother accrued $8,000 in unpaid electric service charges, then</w:t>
      </w:r>
      <w:r>
        <w:rPr>
          <w:sz w:val="24"/>
          <w:szCs w:val="24"/>
        </w:rPr>
        <w:t xml:space="preserve"> Mr. Bottoms might be entitled to a payment arrangement from the Commission.  If Mr. Bottoms was not a customer or was not an adult, when the unpaid balance accrued, then he has a right to have an opportunity to prove that he is not a “customer” under the Commission’s definitions.  </w:t>
      </w:r>
      <w:r w:rsidR="000915B2">
        <w:rPr>
          <w:sz w:val="24"/>
          <w:szCs w:val="24"/>
        </w:rPr>
        <w:t xml:space="preserve">Mr. Bottoms should have the opportunity to prove that he was a customer when the unpaid balance accrued </w:t>
      </w:r>
      <w:r>
        <w:rPr>
          <w:sz w:val="24"/>
          <w:szCs w:val="24"/>
        </w:rPr>
        <w:t xml:space="preserve">or that he was not a customer </w:t>
      </w:r>
      <w:r w:rsidR="000915B2">
        <w:rPr>
          <w:sz w:val="24"/>
          <w:szCs w:val="24"/>
        </w:rPr>
        <w:t xml:space="preserve">when the unpaid balance accrued.  </w:t>
      </w:r>
    </w:p>
    <w:p w:rsidR="008E10A2" w:rsidRDefault="00FB4DC9" w:rsidP="00BB5653">
      <w:pPr>
        <w:spacing w:line="360" w:lineRule="auto"/>
        <w:ind w:firstLine="1440"/>
        <w:rPr>
          <w:sz w:val="24"/>
          <w:szCs w:val="24"/>
        </w:rPr>
      </w:pPr>
      <w:r>
        <w:rPr>
          <w:sz w:val="24"/>
          <w:szCs w:val="24"/>
        </w:rPr>
        <w:t xml:space="preserve">The preliminary objections will be </w:t>
      </w:r>
      <w:r w:rsidR="00D247F9">
        <w:rPr>
          <w:sz w:val="24"/>
          <w:szCs w:val="24"/>
        </w:rPr>
        <w:t xml:space="preserve">denied </w:t>
      </w:r>
      <w:r>
        <w:rPr>
          <w:sz w:val="24"/>
          <w:szCs w:val="24"/>
        </w:rPr>
        <w:t xml:space="preserve">in that the formal complaint alleges </w:t>
      </w:r>
      <w:r w:rsidR="00D247F9">
        <w:rPr>
          <w:sz w:val="24"/>
          <w:szCs w:val="24"/>
        </w:rPr>
        <w:t>two</w:t>
      </w:r>
      <w:r>
        <w:rPr>
          <w:sz w:val="24"/>
          <w:szCs w:val="24"/>
        </w:rPr>
        <w:t xml:space="preserve"> factual dispute</w:t>
      </w:r>
      <w:r w:rsidR="00D247F9">
        <w:rPr>
          <w:sz w:val="24"/>
          <w:szCs w:val="24"/>
        </w:rPr>
        <w:t>s</w:t>
      </w:r>
      <w:r>
        <w:rPr>
          <w:sz w:val="24"/>
          <w:szCs w:val="24"/>
        </w:rPr>
        <w:t xml:space="preserve">, and Complainant will be permitted to proceed with </w:t>
      </w:r>
      <w:r w:rsidR="00E5005B">
        <w:rPr>
          <w:sz w:val="24"/>
          <w:szCs w:val="24"/>
        </w:rPr>
        <w:t>his</w:t>
      </w:r>
      <w:r>
        <w:rPr>
          <w:sz w:val="24"/>
          <w:szCs w:val="24"/>
        </w:rPr>
        <w:t xml:space="preserve"> complaint on </w:t>
      </w:r>
      <w:r w:rsidR="00D247F9">
        <w:rPr>
          <w:sz w:val="24"/>
          <w:szCs w:val="24"/>
        </w:rPr>
        <w:t xml:space="preserve">these two </w:t>
      </w:r>
      <w:r w:rsidRPr="00D247F9">
        <w:rPr>
          <w:sz w:val="24"/>
          <w:szCs w:val="24"/>
        </w:rPr>
        <w:t>allegation</w:t>
      </w:r>
      <w:r w:rsidR="00D247F9" w:rsidRPr="00D247F9">
        <w:rPr>
          <w:sz w:val="24"/>
          <w:szCs w:val="24"/>
        </w:rPr>
        <w:t>s</w:t>
      </w:r>
      <w:proofErr w:type="gramStart"/>
      <w:r w:rsidR="00D247F9">
        <w:rPr>
          <w:sz w:val="24"/>
          <w:szCs w:val="24"/>
        </w:rPr>
        <w:t>:</w:t>
      </w:r>
      <w:r w:rsidR="00C94618">
        <w:rPr>
          <w:sz w:val="24"/>
          <w:szCs w:val="24"/>
        </w:rPr>
        <w:t xml:space="preserve"> </w:t>
      </w:r>
      <w:r w:rsidR="00D247F9">
        <w:rPr>
          <w:sz w:val="24"/>
          <w:szCs w:val="24"/>
        </w:rPr>
        <w:t xml:space="preserve"> (</w:t>
      </w:r>
      <w:proofErr w:type="gramEnd"/>
      <w:r w:rsidR="00D247F9">
        <w:rPr>
          <w:sz w:val="24"/>
          <w:szCs w:val="24"/>
        </w:rPr>
        <w:t xml:space="preserve">1) whether Complainant is entitled to a new payment arrangement; and (2) whether Respondent violated Commission rules and/or regulations when </w:t>
      </w:r>
      <w:r w:rsidR="00017B90">
        <w:rPr>
          <w:sz w:val="24"/>
          <w:szCs w:val="24"/>
        </w:rPr>
        <w:t>it determined he was an adult when the unpaid electric service charges accrued on his now-deceased mother’s account with Duquesne Light</w:t>
      </w:r>
      <w:r>
        <w:rPr>
          <w:sz w:val="24"/>
          <w:szCs w:val="24"/>
        </w:rPr>
        <w:t xml:space="preserve">.  </w:t>
      </w:r>
    </w:p>
    <w:p w:rsidR="002B7DB0" w:rsidRDefault="002B7DB0" w:rsidP="008E10A2">
      <w:pPr>
        <w:spacing w:line="360" w:lineRule="auto"/>
        <w:ind w:firstLine="1440"/>
        <w:rPr>
          <w:sz w:val="24"/>
          <w:szCs w:val="24"/>
        </w:rPr>
      </w:pPr>
    </w:p>
    <w:p w:rsidR="008E10A2" w:rsidRDefault="008E10A2" w:rsidP="008E10A2">
      <w:pPr>
        <w:spacing w:line="360" w:lineRule="auto"/>
        <w:jc w:val="center"/>
        <w:rPr>
          <w:sz w:val="24"/>
          <w:szCs w:val="24"/>
        </w:rPr>
      </w:pPr>
      <w:r>
        <w:rPr>
          <w:sz w:val="24"/>
          <w:szCs w:val="24"/>
          <w:u w:val="single"/>
        </w:rPr>
        <w:t>CONCLUSIONS OF LAW</w:t>
      </w:r>
    </w:p>
    <w:p w:rsidR="008E10A2" w:rsidRDefault="008E10A2" w:rsidP="008E10A2">
      <w:pPr>
        <w:spacing w:line="360" w:lineRule="auto"/>
        <w:rPr>
          <w:sz w:val="24"/>
          <w:szCs w:val="24"/>
        </w:rPr>
      </w:pPr>
    </w:p>
    <w:p w:rsidR="008E10A2" w:rsidRPr="00D54B7B" w:rsidRDefault="008E10A2" w:rsidP="008E10A2">
      <w:pPr>
        <w:numPr>
          <w:ilvl w:val="0"/>
          <w:numId w:val="2"/>
        </w:numPr>
        <w:autoSpaceDE/>
        <w:autoSpaceDN/>
        <w:spacing w:line="360" w:lineRule="auto"/>
        <w:rPr>
          <w:sz w:val="24"/>
          <w:szCs w:val="24"/>
        </w:rPr>
      </w:pPr>
      <w:r w:rsidRPr="00D54B7B">
        <w:rPr>
          <w:sz w:val="24"/>
          <w:szCs w:val="24"/>
        </w:rPr>
        <w:t>The Commission has jurisdiction over the parties to this dispute.</w:t>
      </w:r>
    </w:p>
    <w:p w:rsidR="00E5005B" w:rsidRDefault="00E5005B" w:rsidP="00E5005B">
      <w:pPr>
        <w:spacing w:line="360" w:lineRule="auto"/>
        <w:rPr>
          <w:sz w:val="24"/>
          <w:szCs w:val="24"/>
        </w:rPr>
      </w:pPr>
    </w:p>
    <w:p w:rsidR="00E5005B" w:rsidRPr="00E5005B" w:rsidRDefault="00E5005B" w:rsidP="00E5005B">
      <w:pPr>
        <w:spacing w:line="360" w:lineRule="auto"/>
        <w:ind w:firstLine="1440"/>
        <w:rPr>
          <w:sz w:val="24"/>
          <w:szCs w:val="24"/>
        </w:rPr>
      </w:pPr>
      <w:r>
        <w:rPr>
          <w:sz w:val="24"/>
          <w:szCs w:val="24"/>
        </w:rPr>
        <w:t>2</w:t>
      </w:r>
      <w:r w:rsidRPr="00E5005B">
        <w:rPr>
          <w:sz w:val="24"/>
          <w:szCs w:val="24"/>
        </w:rPr>
        <w:t>.</w:t>
      </w:r>
      <w:r w:rsidRPr="00E5005B">
        <w:rPr>
          <w:sz w:val="24"/>
          <w:szCs w:val="24"/>
        </w:rPr>
        <w:tab/>
        <w:t xml:space="preserve">The Commission has jurisdiction over the subject matter of this dispute to the extent the complaint involves allegations of a failure by Respondent to provide </w:t>
      </w:r>
      <w:r w:rsidRPr="00E5005B">
        <w:rPr>
          <w:color w:val="000000"/>
          <w:w w:val="106"/>
          <w:sz w:val="24"/>
          <w:szCs w:val="24"/>
        </w:rPr>
        <w:t xml:space="preserve">Complainant with reasonable and adequate customer service, pursuant to 66 </w:t>
      </w:r>
      <w:proofErr w:type="spellStart"/>
      <w:r w:rsidRPr="00E5005B">
        <w:rPr>
          <w:color w:val="000000"/>
          <w:w w:val="106"/>
          <w:sz w:val="24"/>
          <w:szCs w:val="24"/>
        </w:rPr>
        <w:t>Pa.C.S.A</w:t>
      </w:r>
      <w:proofErr w:type="spellEnd"/>
      <w:r w:rsidRPr="00E5005B">
        <w:rPr>
          <w:color w:val="000000"/>
          <w:w w:val="106"/>
          <w:sz w:val="24"/>
          <w:szCs w:val="24"/>
        </w:rPr>
        <w:t>. § 1501</w:t>
      </w:r>
      <w:r w:rsidR="00D74221">
        <w:rPr>
          <w:color w:val="000000"/>
          <w:w w:val="106"/>
          <w:sz w:val="24"/>
          <w:szCs w:val="24"/>
        </w:rPr>
        <w:t xml:space="preserve"> and </w:t>
      </w:r>
      <w:r w:rsidR="00D74221">
        <w:rPr>
          <w:sz w:val="24"/>
          <w:szCs w:val="24"/>
        </w:rPr>
        <w:t>52</w:t>
      </w:r>
      <w:r w:rsidR="00C94618">
        <w:rPr>
          <w:sz w:val="24"/>
          <w:szCs w:val="24"/>
        </w:rPr>
        <w:t> </w:t>
      </w:r>
      <w:proofErr w:type="spellStart"/>
      <w:proofErr w:type="gramStart"/>
      <w:r w:rsidR="00D74221">
        <w:rPr>
          <w:sz w:val="24"/>
          <w:szCs w:val="24"/>
        </w:rPr>
        <w:t>Pa.Code</w:t>
      </w:r>
      <w:proofErr w:type="spellEnd"/>
      <w:proofErr w:type="gramEnd"/>
      <w:r w:rsidR="00D74221">
        <w:rPr>
          <w:sz w:val="24"/>
          <w:szCs w:val="24"/>
        </w:rPr>
        <w:t xml:space="preserve"> § 56.2</w:t>
      </w:r>
      <w:r w:rsidRPr="00E5005B">
        <w:rPr>
          <w:color w:val="000000"/>
          <w:w w:val="106"/>
          <w:sz w:val="24"/>
          <w:szCs w:val="24"/>
        </w:rPr>
        <w:t xml:space="preserve">, as it relates to </w:t>
      </w:r>
      <w:r w:rsidR="00564C48">
        <w:rPr>
          <w:color w:val="000000"/>
          <w:w w:val="106"/>
          <w:sz w:val="24"/>
          <w:szCs w:val="24"/>
        </w:rPr>
        <w:t>whether Complainant is responsible for an unpaid balance</w:t>
      </w:r>
      <w:r w:rsidRPr="00E5005B">
        <w:rPr>
          <w:color w:val="000000"/>
          <w:w w:val="106"/>
          <w:sz w:val="24"/>
          <w:szCs w:val="24"/>
        </w:rPr>
        <w:t>.</w:t>
      </w:r>
    </w:p>
    <w:p w:rsidR="008E10A2" w:rsidRDefault="008E10A2" w:rsidP="008E10A2">
      <w:pPr>
        <w:spacing w:line="360" w:lineRule="auto"/>
        <w:rPr>
          <w:sz w:val="24"/>
          <w:szCs w:val="24"/>
        </w:rPr>
      </w:pPr>
    </w:p>
    <w:p w:rsidR="00E5005B" w:rsidRDefault="00E5005B" w:rsidP="00E5005B">
      <w:pPr>
        <w:spacing w:line="360" w:lineRule="auto"/>
        <w:ind w:firstLine="1440"/>
        <w:rPr>
          <w:sz w:val="24"/>
          <w:szCs w:val="24"/>
        </w:rPr>
      </w:pPr>
      <w:r>
        <w:rPr>
          <w:color w:val="000000"/>
          <w:w w:val="106"/>
          <w:sz w:val="24"/>
          <w:szCs w:val="24"/>
        </w:rPr>
        <w:t xml:space="preserve">3. </w:t>
      </w:r>
      <w:r>
        <w:rPr>
          <w:color w:val="000000"/>
          <w:w w:val="106"/>
          <w:sz w:val="24"/>
          <w:szCs w:val="24"/>
        </w:rPr>
        <w:tab/>
        <w:t xml:space="preserve">The Commission has jurisdiction over the subject matter of this dispute to the extent the complaint involves allegations by Complainant that he is entitled to receive a payment agreement, pursuant to </w:t>
      </w:r>
      <w:r>
        <w:rPr>
          <w:sz w:val="24"/>
          <w:szCs w:val="24"/>
        </w:rPr>
        <w:t xml:space="preserve">66 </w:t>
      </w:r>
      <w:proofErr w:type="spellStart"/>
      <w:r>
        <w:rPr>
          <w:sz w:val="24"/>
          <w:szCs w:val="24"/>
        </w:rPr>
        <w:t>Pa.C.S.A</w:t>
      </w:r>
      <w:proofErr w:type="spellEnd"/>
      <w:r>
        <w:rPr>
          <w:sz w:val="24"/>
          <w:szCs w:val="24"/>
        </w:rPr>
        <w:t xml:space="preserve">. § 1401, </w:t>
      </w:r>
      <w:r w:rsidRPr="00E5005B">
        <w:rPr>
          <w:i/>
          <w:sz w:val="24"/>
          <w:szCs w:val="24"/>
        </w:rPr>
        <w:t>et seq</w:t>
      </w:r>
      <w:r>
        <w:rPr>
          <w:sz w:val="24"/>
          <w:szCs w:val="24"/>
        </w:rPr>
        <w:t>.</w:t>
      </w:r>
    </w:p>
    <w:p w:rsidR="00E5005B" w:rsidRPr="00D54B7B" w:rsidRDefault="00E5005B" w:rsidP="008E10A2">
      <w:pPr>
        <w:spacing w:line="360" w:lineRule="auto"/>
        <w:rPr>
          <w:sz w:val="24"/>
          <w:szCs w:val="24"/>
        </w:rPr>
      </w:pPr>
    </w:p>
    <w:p w:rsidR="008E10A2" w:rsidRPr="00D54B7B" w:rsidRDefault="00E5005B" w:rsidP="008E10A2">
      <w:pPr>
        <w:spacing w:line="360" w:lineRule="auto"/>
        <w:ind w:firstLine="1440"/>
        <w:rPr>
          <w:sz w:val="24"/>
          <w:szCs w:val="24"/>
        </w:rPr>
      </w:pPr>
      <w:r>
        <w:rPr>
          <w:sz w:val="24"/>
          <w:szCs w:val="24"/>
        </w:rPr>
        <w:t>4</w:t>
      </w:r>
      <w:r w:rsidR="008E10A2" w:rsidRPr="00D54B7B">
        <w:rPr>
          <w:sz w:val="24"/>
          <w:szCs w:val="24"/>
        </w:rPr>
        <w:t>.</w:t>
      </w:r>
      <w:r w:rsidR="008E10A2" w:rsidRPr="00D54B7B">
        <w:rPr>
          <w:sz w:val="24"/>
          <w:szCs w:val="24"/>
        </w:rPr>
        <w:tab/>
        <w:t>The formal complaint raise</w:t>
      </w:r>
      <w:r w:rsidR="00C21C8A">
        <w:rPr>
          <w:sz w:val="24"/>
          <w:szCs w:val="24"/>
        </w:rPr>
        <w:t>s</w:t>
      </w:r>
      <w:r w:rsidR="008E10A2" w:rsidRPr="00D54B7B">
        <w:rPr>
          <w:sz w:val="24"/>
          <w:szCs w:val="24"/>
        </w:rPr>
        <w:t xml:space="preserve"> a claim that, if proven, would show </w:t>
      </w:r>
      <w:r w:rsidR="00512840">
        <w:rPr>
          <w:sz w:val="24"/>
          <w:szCs w:val="24"/>
        </w:rPr>
        <w:t>Duquesne Light Company</w:t>
      </w:r>
      <w:r w:rsidR="008E10A2" w:rsidRPr="00D54B7B">
        <w:rPr>
          <w:sz w:val="24"/>
          <w:szCs w:val="24"/>
        </w:rPr>
        <w:t xml:space="preserve"> failed in </w:t>
      </w:r>
      <w:r w:rsidR="007369E5">
        <w:rPr>
          <w:sz w:val="24"/>
          <w:szCs w:val="24"/>
        </w:rPr>
        <w:t>some</w:t>
      </w:r>
      <w:r w:rsidR="008E10A2" w:rsidRPr="00D54B7B">
        <w:rPr>
          <w:sz w:val="24"/>
          <w:szCs w:val="24"/>
        </w:rPr>
        <w:t xml:space="preserve"> way to furnish and maintain adequate, efficient, safe and reasonable service and facilities</w:t>
      </w:r>
      <w:r w:rsidR="00C21C8A">
        <w:rPr>
          <w:sz w:val="24"/>
          <w:szCs w:val="24"/>
        </w:rPr>
        <w:t xml:space="preserve">, pursuant to 66 </w:t>
      </w:r>
      <w:proofErr w:type="spellStart"/>
      <w:r w:rsidR="00C21C8A">
        <w:rPr>
          <w:sz w:val="24"/>
          <w:szCs w:val="24"/>
        </w:rPr>
        <w:t>Pa.C.S.A</w:t>
      </w:r>
      <w:proofErr w:type="spellEnd"/>
      <w:r w:rsidR="00C21C8A">
        <w:rPr>
          <w:sz w:val="24"/>
          <w:szCs w:val="24"/>
        </w:rPr>
        <w:t>. § 1501</w:t>
      </w:r>
      <w:r w:rsidR="008E10A2" w:rsidRPr="00D54B7B">
        <w:rPr>
          <w:sz w:val="24"/>
          <w:szCs w:val="24"/>
        </w:rPr>
        <w:t xml:space="preserve">.  </w:t>
      </w:r>
    </w:p>
    <w:p w:rsidR="008E10A2" w:rsidRPr="00D54B7B" w:rsidRDefault="008E10A2" w:rsidP="008E10A2">
      <w:pPr>
        <w:spacing w:line="360" w:lineRule="auto"/>
        <w:ind w:left="1440"/>
        <w:rPr>
          <w:sz w:val="24"/>
          <w:szCs w:val="24"/>
        </w:rPr>
      </w:pPr>
    </w:p>
    <w:p w:rsidR="00D54B7B" w:rsidRDefault="00E5005B" w:rsidP="00D54B7B">
      <w:pPr>
        <w:spacing w:line="360" w:lineRule="auto"/>
        <w:ind w:firstLine="1440"/>
        <w:rPr>
          <w:sz w:val="24"/>
          <w:szCs w:val="24"/>
        </w:rPr>
      </w:pPr>
      <w:r>
        <w:rPr>
          <w:sz w:val="24"/>
          <w:szCs w:val="24"/>
        </w:rPr>
        <w:t>5</w:t>
      </w:r>
      <w:r w:rsidR="00D54B7B" w:rsidRPr="00D54B7B">
        <w:rPr>
          <w:sz w:val="24"/>
          <w:szCs w:val="24"/>
        </w:rPr>
        <w:t>.</w:t>
      </w:r>
      <w:r w:rsidR="00D54B7B" w:rsidRPr="00D54B7B">
        <w:rPr>
          <w:sz w:val="24"/>
          <w:szCs w:val="24"/>
        </w:rPr>
        <w:tab/>
        <w:t>A preliminary objection in civil practice seeking dismissal of a pleading will be granted only where relief is clearly warranted and free from doubt</w:t>
      </w:r>
      <w:r w:rsidR="00C21C8A">
        <w:rPr>
          <w:sz w:val="24"/>
          <w:szCs w:val="24"/>
        </w:rPr>
        <w:t xml:space="preserve"> and only</w:t>
      </w:r>
      <w:r w:rsidR="00C21C8A" w:rsidRPr="00D54B7B">
        <w:rPr>
          <w:sz w:val="24"/>
          <w:szCs w:val="24"/>
        </w:rPr>
        <w:t xml:space="preserve"> if the moving party prevails as a matter of law</w:t>
      </w:r>
      <w:r w:rsidR="00D54B7B" w:rsidRPr="00D54B7B">
        <w:rPr>
          <w:sz w:val="24"/>
          <w:szCs w:val="24"/>
        </w:rPr>
        <w:t xml:space="preserve">.  </w:t>
      </w:r>
      <w:r w:rsidR="00D54B7B" w:rsidRPr="00D54B7B">
        <w:rPr>
          <w:sz w:val="24"/>
          <w:szCs w:val="24"/>
          <w:u w:val="single"/>
        </w:rPr>
        <w:t>Interstate Traveler Services, Inc. v. Pa. Dept. of Environmental Resources</w:t>
      </w:r>
      <w:r w:rsidR="00C21C8A">
        <w:rPr>
          <w:sz w:val="24"/>
          <w:szCs w:val="24"/>
        </w:rPr>
        <w:t xml:space="preserve">, 406 A.2d 1020 (Pa. 1979); and </w:t>
      </w:r>
      <w:r w:rsidR="00C21C8A" w:rsidRPr="00D54B7B">
        <w:rPr>
          <w:sz w:val="24"/>
          <w:szCs w:val="24"/>
          <w:u w:val="single"/>
        </w:rPr>
        <w:t>Roc v. Flaherty</w:t>
      </w:r>
      <w:r w:rsidR="00C21C8A" w:rsidRPr="00D54B7B">
        <w:rPr>
          <w:sz w:val="24"/>
          <w:szCs w:val="24"/>
        </w:rPr>
        <w:t>, 527 A.2d 211 (</w:t>
      </w:r>
      <w:proofErr w:type="spellStart"/>
      <w:proofErr w:type="gramStart"/>
      <w:r w:rsidR="00C21C8A" w:rsidRPr="00D54B7B">
        <w:rPr>
          <w:sz w:val="24"/>
          <w:szCs w:val="24"/>
        </w:rPr>
        <w:t>Pa.Cmwlth</w:t>
      </w:r>
      <w:proofErr w:type="spellEnd"/>
      <w:proofErr w:type="gramEnd"/>
      <w:r w:rsidR="00C21C8A" w:rsidRPr="00D54B7B">
        <w:rPr>
          <w:sz w:val="24"/>
          <w:szCs w:val="24"/>
        </w:rPr>
        <w:t>. 1985).</w:t>
      </w:r>
    </w:p>
    <w:p w:rsidR="00E5005B" w:rsidRPr="00D54B7B" w:rsidRDefault="00E5005B" w:rsidP="00D54B7B">
      <w:pPr>
        <w:spacing w:line="360" w:lineRule="auto"/>
        <w:ind w:firstLine="1440"/>
        <w:rPr>
          <w:sz w:val="24"/>
          <w:szCs w:val="24"/>
        </w:rPr>
      </w:pPr>
    </w:p>
    <w:p w:rsidR="00D54B7B" w:rsidRDefault="00E5005B" w:rsidP="00D54B7B">
      <w:pPr>
        <w:spacing w:line="360" w:lineRule="auto"/>
        <w:ind w:firstLine="1440"/>
        <w:rPr>
          <w:sz w:val="24"/>
          <w:szCs w:val="24"/>
        </w:rPr>
      </w:pPr>
      <w:r>
        <w:rPr>
          <w:sz w:val="24"/>
          <w:szCs w:val="24"/>
        </w:rPr>
        <w:t>6</w:t>
      </w:r>
      <w:r w:rsidR="00D54B7B" w:rsidRPr="00D54B7B">
        <w:rPr>
          <w:sz w:val="24"/>
          <w:szCs w:val="24"/>
        </w:rPr>
        <w:t>.</w:t>
      </w:r>
      <w:r w:rsidR="00D54B7B" w:rsidRPr="00D54B7B">
        <w:rPr>
          <w:sz w:val="24"/>
          <w:szCs w:val="24"/>
        </w:rPr>
        <w:tab/>
        <w:t xml:space="preserve">Section 703 of the Public Utility Code, 66 </w:t>
      </w:r>
      <w:proofErr w:type="spellStart"/>
      <w:r w:rsidR="00D54B7B" w:rsidRPr="00D54B7B">
        <w:rPr>
          <w:sz w:val="24"/>
          <w:szCs w:val="24"/>
        </w:rPr>
        <w:t>Pa.C.S.</w:t>
      </w:r>
      <w:r>
        <w:rPr>
          <w:sz w:val="24"/>
          <w:szCs w:val="24"/>
        </w:rPr>
        <w:t>A</w:t>
      </w:r>
      <w:proofErr w:type="spellEnd"/>
      <w:r>
        <w:rPr>
          <w:sz w:val="24"/>
          <w:szCs w:val="24"/>
        </w:rPr>
        <w:t>.</w:t>
      </w:r>
      <w:r w:rsidR="00D54B7B" w:rsidRPr="00D54B7B">
        <w:rPr>
          <w:sz w:val="24"/>
          <w:szCs w:val="24"/>
        </w:rPr>
        <w:t xml:space="preserve"> § 703(b), provides that the Commission may dismiss any complaint without a hearing if, in its opinion, a hearing, is not necessary in the public interest.  </w:t>
      </w:r>
    </w:p>
    <w:p w:rsidR="00E5005B" w:rsidRPr="00D54B7B" w:rsidRDefault="00E5005B" w:rsidP="00E5005B">
      <w:pPr>
        <w:spacing w:line="360" w:lineRule="auto"/>
        <w:ind w:firstLine="1440"/>
        <w:rPr>
          <w:sz w:val="24"/>
          <w:szCs w:val="24"/>
        </w:rPr>
      </w:pPr>
    </w:p>
    <w:p w:rsidR="00E5005B" w:rsidRPr="00D54B7B" w:rsidRDefault="00E5005B" w:rsidP="00E5005B">
      <w:pPr>
        <w:spacing w:line="360" w:lineRule="auto"/>
        <w:ind w:firstLine="1440"/>
        <w:rPr>
          <w:sz w:val="24"/>
          <w:szCs w:val="24"/>
        </w:rPr>
      </w:pPr>
      <w:r>
        <w:rPr>
          <w:sz w:val="24"/>
          <w:szCs w:val="24"/>
        </w:rPr>
        <w:t>7</w:t>
      </w:r>
      <w:r w:rsidRPr="00D54B7B">
        <w:rPr>
          <w:sz w:val="24"/>
          <w:szCs w:val="24"/>
        </w:rPr>
        <w:t>.</w:t>
      </w:r>
      <w:r w:rsidRPr="00D54B7B">
        <w:rPr>
          <w:sz w:val="24"/>
          <w:szCs w:val="24"/>
        </w:rPr>
        <w:tab/>
        <w:t>A hearing in this matter is necessary in the public interest.</w:t>
      </w:r>
    </w:p>
    <w:p w:rsidR="00E11B3F" w:rsidRPr="00D54B7B" w:rsidRDefault="00E11B3F" w:rsidP="00D54B7B">
      <w:pPr>
        <w:spacing w:line="360" w:lineRule="auto"/>
        <w:rPr>
          <w:sz w:val="24"/>
          <w:szCs w:val="24"/>
        </w:rPr>
      </w:pPr>
    </w:p>
    <w:p w:rsidR="00921D8C" w:rsidRPr="00B42058" w:rsidRDefault="00921D8C" w:rsidP="00921D8C">
      <w:pPr>
        <w:spacing w:line="360" w:lineRule="auto"/>
        <w:jc w:val="center"/>
        <w:outlineLvl w:val="0"/>
        <w:rPr>
          <w:sz w:val="24"/>
          <w:szCs w:val="24"/>
          <w:u w:val="single"/>
        </w:rPr>
      </w:pPr>
      <w:r w:rsidRPr="00B42058">
        <w:rPr>
          <w:sz w:val="24"/>
          <w:szCs w:val="24"/>
          <w:u w:val="single"/>
        </w:rPr>
        <w:t>ORDER</w:t>
      </w:r>
    </w:p>
    <w:p w:rsidR="00921D8C" w:rsidRDefault="00921D8C" w:rsidP="00921D8C">
      <w:pPr>
        <w:spacing w:line="360" w:lineRule="auto"/>
        <w:ind w:firstLine="1440"/>
        <w:rPr>
          <w:sz w:val="24"/>
          <w:szCs w:val="24"/>
        </w:rPr>
      </w:pPr>
    </w:p>
    <w:p w:rsidR="00BC326C" w:rsidRPr="00B42058" w:rsidRDefault="00BC326C" w:rsidP="00921D8C">
      <w:pPr>
        <w:spacing w:line="360" w:lineRule="auto"/>
        <w:ind w:firstLine="1440"/>
        <w:rPr>
          <w:sz w:val="24"/>
          <w:szCs w:val="24"/>
        </w:rPr>
      </w:pPr>
    </w:p>
    <w:p w:rsidR="00921D8C" w:rsidRPr="00B42058" w:rsidRDefault="00921D8C" w:rsidP="00921D8C">
      <w:pPr>
        <w:spacing w:line="360" w:lineRule="auto"/>
        <w:ind w:firstLine="1440"/>
        <w:rPr>
          <w:sz w:val="24"/>
          <w:szCs w:val="24"/>
        </w:rPr>
      </w:pPr>
      <w:r w:rsidRPr="00B42058">
        <w:rPr>
          <w:sz w:val="24"/>
          <w:szCs w:val="24"/>
        </w:rPr>
        <w:t>THEREFORE,</w:t>
      </w:r>
    </w:p>
    <w:p w:rsidR="00921D8C" w:rsidRPr="00B42058" w:rsidRDefault="00921D8C" w:rsidP="00921D8C">
      <w:pPr>
        <w:spacing w:line="360" w:lineRule="auto"/>
        <w:ind w:firstLine="1440"/>
        <w:rPr>
          <w:sz w:val="24"/>
          <w:szCs w:val="24"/>
        </w:rPr>
      </w:pPr>
    </w:p>
    <w:p w:rsidR="00921D8C" w:rsidRPr="00B42058" w:rsidRDefault="00921D8C" w:rsidP="00921D8C">
      <w:pPr>
        <w:spacing w:line="360" w:lineRule="auto"/>
        <w:ind w:firstLine="1440"/>
        <w:outlineLvl w:val="0"/>
        <w:rPr>
          <w:sz w:val="24"/>
          <w:szCs w:val="24"/>
        </w:rPr>
      </w:pPr>
      <w:r w:rsidRPr="00B42058">
        <w:rPr>
          <w:sz w:val="24"/>
          <w:szCs w:val="24"/>
        </w:rPr>
        <w:t>IT IS ORDERED:</w:t>
      </w:r>
    </w:p>
    <w:p w:rsidR="00921D8C" w:rsidRPr="00B42058" w:rsidRDefault="00921D8C" w:rsidP="00921D8C">
      <w:pPr>
        <w:spacing w:line="360" w:lineRule="auto"/>
        <w:ind w:firstLine="1440"/>
        <w:rPr>
          <w:sz w:val="24"/>
          <w:szCs w:val="24"/>
        </w:rPr>
      </w:pPr>
    </w:p>
    <w:p w:rsidR="00921D8C" w:rsidRDefault="00921D8C" w:rsidP="00921D8C">
      <w:pPr>
        <w:spacing w:line="360" w:lineRule="auto"/>
        <w:ind w:firstLine="1440"/>
        <w:rPr>
          <w:sz w:val="24"/>
          <w:szCs w:val="24"/>
        </w:rPr>
      </w:pPr>
      <w:r w:rsidRPr="00B42058">
        <w:rPr>
          <w:sz w:val="24"/>
          <w:szCs w:val="24"/>
        </w:rPr>
        <w:t>1.</w:t>
      </w:r>
      <w:r w:rsidRPr="00B42058">
        <w:rPr>
          <w:sz w:val="24"/>
          <w:szCs w:val="24"/>
        </w:rPr>
        <w:tab/>
        <w:t xml:space="preserve">That the Preliminary </w:t>
      </w:r>
      <w:r>
        <w:rPr>
          <w:sz w:val="24"/>
          <w:szCs w:val="24"/>
        </w:rPr>
        <w:t>Objections</w:t>
      </w:r>
      <w:r w:rsidRPr="00B42058">
        <w:rPr>
          <w:sz w:val="24"/>
          <w:szCs w:val="24"/>
        </w:rPr>
        <w:t xml:space="preserve"> filed by </w:t>
      </w:r>
      <w:r w:rsidR="00512840">
        <w:rPr>
          <w:sz w:val="24"/>
          <w:szCs w:val="24"/>
        </w:rPr>
        <w:t>Duquesne Light Company</w:t>
      </w:r>
      <w:r w:rsidRPr="00B42058">
        <w:rPr>
          <w:sz w:val="24"/>
          <w:szCs w:val="24"/>
        </w:rPr>
        <w:t xml:space="preserve"> in the </w:t>
      </w:r>
      <w:r w:rsidR="00C21C8A" w:rsidRPr="002B7DB0">
        <w:rPr>
          <w:sz w:val="24"/>
          <w:szCs w:val="24"/>
        </w:rPr>
        <w:t xml:space="preserve">complaint of </w:t>
      </w:r>
      <w:r w:rsidR="00512840">
        <w:rPr>
          <w:sz w:val="24"/>
          <w:szCs w:val="24"/>
        </w:rPr>
        <w:t>Gary Bottoms</w:t>
      </w:r>
      <w:r w:rsidR="00C21C8A" w:rsidRPr="002B7DB0">
        <w:rPr>
          <w:sz w:val="24"/>
          <w:szCs w:val="24"/>
        </w:rPr>
        <w:t xml:space="preserve"> against </w:t>
      </w:r>
      <w:r w:rsidR="00512840">
        <w:rPr>
          <w:sz w:val="24"/>
          <w:szCs w:val="24"/>
        </w:rPr>
        <w:t>Duquesne Light Company</w:t>
      </w:r>
      <w:r w:rsidR="00C21C8A" w:rsidRPr="002B7DB0">
        <w:rPr>
          <w:sz w:val="24"/>
          <w:szCs w:val="24"/>
        </w:rPr>
        <w:t xml:space="preserve"> at Docket No. </w:t>
      </w:r>
      <w:r w:rsidR="00512840">
        <w:rPr>
          <w:sz w:val="24"/>
          <w:szCs w:val="24"/>
        </w:rPr>
        <w:t>F-2017-2634988</w:t>
      </w:r>
      <w:r w:rsidRPr="00B42058">
        <w:rPr>
          <w:sz w:val="24"/>
          <w:szCs w:val="24"/>
        </w:rPr>
        <w:t xml:space="preserve"> </w:t>
      </w:r>
      <w:r w:rsidR="00804BA9">
        <w:rPr>
          <w:sz w:val="24"/>
          <w:szCs w:val="24"/>
        </w:rPr>
        <w:t xml:space="preserve">are </w:t>
      </w:r>
      <w:r w:rsidR="00C21C8A">
        <w:rPr>
          <w:sz w:val="24"/>
          <w:szCs w:val="24"/>
        </w:rPr>
        <w:t>denied</w:t>
      </w:r>
      <w:r w:rsidRPr="00B42058">
        <w:rPr>
          <w:sz w:val="24"/>
          <w:szCs w:val="24"/>
        </w:rPr>
        <w:t>.</w:t>
      </w:r>
    </w:p>
    <w:p w:rsidR="00C21C8A" w:rsidRDefault="00C21C8A" w:rsidP="00921D8C">
      <w:pPr>
        <w:spacing w:line="360" w:lineRule="auto"/>
        <w:ind w:firstLine="1440"/>
        <w:rPr>
          <w:sz w:val="24"/>
          <w:szCs w:val="24"/>
        </w:rPr>
      </w:pPr>
    </w:p>
    <w:p w:rsidR="00921D8C" w:rsidRPr="002B7DB0" w:rsidRDefault="00C21C8A" w:rsidP="00921D8C">
      <w:pPr>
        <w:spacing w:line="360" w:lineRule="auto"/>
        <w:ind w:firstLine="1440"/>
        <w:rPr>
          <w:sz w:val="24"/>
          <w:szCs w:val="24"/>
        </w:rPr>
      </w:pPr>
      <w:r>
        <w:rPr>
          <w:sz w:val="24"/>
          <w:szCs w:val="24"/>
        </w:rPr>
        <w:t xml:space="preserve">2. </w:t>
      </w:r>
      <w:r>
        <w:rPr>
          <w:sz w:val="24"/>
          <w:szCs w:val="24"/>
        </w:rPr>
        <w:tab/>
      </w:r>
      <w:r w:rsidRPr="00C21C8A">
        <w:rPr>
          <w:sz w:val="24"/>
          <w:szCs w:val="24"/>
        </w:rPr>
        <w:t xml:space="preserve">That </w:t>
      </w:r>
      <w:r w:rsidR="003C35EF" w:rsidRPr="002B7DB0">
        <w:rPr>
          <w:sz w:val="24"/>
          <w:szCs w:val="24"/>
        </w:rPr>
        <w:t xml:space="preserve">the complaint of </w:t>
      </w:r>
      <w:r w:rsidR="00512840">
        <w:rPr>
          <w:sz w:val="24"/>
          <w:szCs w:val="24"/>
        </w:rPr>
        <w:t>Gary Bottoms</w:t>
      </w:r>
      <w:r w:rsidR="003C35EF" w:rsidRPr="002B7DB0">
        <w:rPr>
          <w:sz w:val="24"/>
          <w:szCs w:val="24"/>
        </w:rPr>
        <w:t xml:space="preserve"> against </w:t>
      </w:r>
      <w:r w:rsidR="00512840">
        <w:rPr>
          <w:sz w:val="24"/>
          <w:szCs w:val="24"/>
        </w:rPr>
        <w:t>Duquesne Light Company</w:t>
      </w:r>
      <w:r w:rsidR="003C35EF" w:rsidRPr="002B7DB0">
        <w:rPr>
          <w:sz w:val="24"/>
          <w:szCs w:val="24"/>
        </w:rPr>
        <w:t xml:space="preserve"> </w:t>
      </w:r>
      <w:r>
        <w:rPr>
          <w:sz w:val="24"/>
          <w:szCs w:val="24"/>
        </w:rPr>
        <w:t xml:space="preserve">in </w:t>
      </w:r>
      <w:r w:rsidR="00E5005B">
        <w:rPr>
          <w:sz w:val="24"/>
          <w:szCs w:val="24"/>
        </w:rPr>
        <w:t>his</w:t>
      </w:r>
      <w:r>
        <w:rPr>
          <w:sz w:val="24"/>
          <w:szCs w:val="24"/>
        </w:rPr>
        <w:t xml:space="preserve"> </w:t>
      </w:r>
      <w:r w:rsidRPr="002B7DB0">
        <w:rPr>
          <w:sz w:val="24"/>
          <w:szCs w:val="24"/>
        </w:rPr>
        <w:t xml:space="preserve">complaint </w:t>
      </w:r>
      <w:r w:rsidR="003C35EF" w:rsidRPr="002B7DB0">
        <w:rPr>
          <w:sz w:val="24"/>
          <w:szCs w:val="24"/>
        </w:rPr>
        <w:t xml:space="preserve">at Docket No. </w:t>
      </w:r>
      <w:r w:rsidR="00512840">
        <w:rPr>
          <w:sz w:val="24"/>
          <w:szCs w:val="24"/>
        </w:rPr>
        <w:t>F-2017-2634988</w:t>
      </w:r>
      <w:r w:rsidR="003C35EF" w:rsidRPr="002B7DB0">
        <w:rPr>
          <w:sz w:val="24"/>
          <w:szCs w:val="24"/>
        </w:rPr>
        <w:t xml:space="preserve"> </w:t>
      </w:r>
      <w:r>
        <w:rPr>
          <w:sz w:val="24"/>
          <w:szCs w:val="24"/>
        </w:rPr>
        <w:t>will p</w:t>
      </w:r>
      <w:r w:rsidR="002D5998">
        <w:rPr>
          <w:sz w:val="24"/>
          <w:szCs w:val="24"/>
        </w:rPr>
        <w:t>roceed to an initial hearing on</w:t>
      </w:r>
      <w:proofErr w:type="gramStart"/>
      <w:r w:rsidR="002D5998">
        <w:rPr>
          <w:sz w:val="24"/>
          <w:szCs w:val="24"/>
        </w:rPr>
        <w:t>:</w:t>
      </w:r>
      <w:r w:rsidR="006A23EB">
        <w:rPr>
          <w:sz w:val="24"/>
          <w:szCs w:val="24"/>
        </w:rPr>
        <w:t xml:space="preserve"> </w:t>
      </w:r>
      <w:r w:rsidR="002D5998">
        <w:rPr>
          <w:sz w:val="24"/>
          <w:szCs w:val="24"/>
        </w:rPr>
        <w:t xml:space="preserve"> (</w:t>
      </w:r>
      <w:proofErr w:type="gramEnd"/>
      <w:r w:rsidR="002D5998">
        <w:rPr>
          <w:sz w:val="24"/>
          <w:szCs w:val="24"/>
        </w:rPr>
        <w:t xml:space="preserve">1) whether Complainant is entitled to a new payment arrangement; and (2) </w:t>
      </w:r>
      <w:r w:rsidR="00D74221" w:rsidRPr="00BB5653">
        <w:rPr>
          <w:sz w:val="24"/>
          <w:szCs w:val="24"/>
        </w:rPr>
        <w:t>whether Mr. Bottoms was an adult resident at the service address when the unpaid electric service charges accrued</w:t>
      </w:r>
      <w:r w:rsidR="003C35EF" w:rsidRPr="002B7DB0">
        <w:rPr>
          <w:sz w:val="24"/>
          <w:szCs w:val="24"/>
        </w:rPr>
        <w:t>.</w:t>
      </w:r>
      <w:r w:rsidR="00804BA9" w:rsidRPr="002B7DB0">
        <w:rPr>
          <w:sz w:val="24"/>
          <w:szCs w:val="24"/>
        </w:rPr>
        <w:t xml:space="preserve">  </w:t>
      </w:r>
    </w:p>
    <w:p w:rsidR="00D34F31" w:rsidRPr="002B7DB0" w:rsidRDefault="00D34F31" w:rsidP="00921D8C">
      <w:pPr>
        <w:spacing w:line="360" w:lineRule="auto"/>
        <w:ind w:firstLine="1440"/>
        <w:rPr>
          <w:sz w:val="24"/>
          <w:szCs w:val="24"/>
        </w:rPr>
      </w:pPr>
      <w:r w:rsidRPr="002B7DB0">
        <w:rPr>
          <w:sz w:val="24"/>
          <w:szCs w:val="24"/>
        </w:rPr>
        <w:t xml:space="preserve">  </w:t>
      </w:r>
    </w:p>
    <w:p w:rsidR="005E192D" w:rsidRPr="002B7DB0" w:rsidRDefault="005E192D">
      <w:pPr>
        <w:spacing w:line="360" w:lineRule="auto"/>
        <w:ind w:firstLine="1440"/>
        <w:rPr>
          <w:sz w:val="24"/>
          <w:szCs w:val="24"/>
        </w:rPr>
      </w:pPr>
    </w:p>
    <w:p w:rsidR="00027891" w:rsidRDefault="00027891">
      <w:pPr>
        <w:spacing w:line="360" w:lineRule="auto"/>
        <w:ind w:firstLine="1440"/>
        <w:rPr>
          <w:sz w:val="24"/>
          <w:szCs w:val="24"/>
        </w:rPr>
      </w:pPr>
    </w:p>
    <w:p w:rsidR="005E192D" w:rsidRPr="003205B0" w:rsidRDefault="005E192D">
      <w:pPr>
        <w:rPr>
          <w:sz w:val="24"/>
          <w:szCs w:val="24"/>
          <w:u w:val="single"/>
        </w:rPr>
      </w:pPr>
      <w:r w:rsidRPr="00B42058">
        <w:rPr>
          <w:sz w:val="24"/>
          <w:szCs w:val="24"/>
        </w:rPr>
        <w:t xml:space="preserve">Date: </w:t>
      </w:r>
      <w:r w:rsidR="00742EF6">
        <w:rPr>
          <w:sz w:val="24"/>
          <w:szCs w:val="24"/>
        </w:rPr>
        <w:t xml:space="preserve"> </w:t>
      </w:r>
      <w:r w:rsidR="00E5005B">
        <w:rPr>
          <w:sz w:val="24"/>
          <w:szCs w:val="24"/>
          <w:u w:val="single"/>
        </w:rPr>
        <w:t xml:space="preserve">February </w:t>
      </w:r>
      <w:r w:rsidR="005115EB">
        <w:rPr>
          <w:sz w:val="24"/>
          <w:szCs w:val="24"/>
          <w:u w:val="single"/>
        </w:rPr>
        <w:t>6</w:t>
      </w:r>
      <w:r w:rsidR="00E5005B">
        <w:rPr>
          <w:sz w:val="24"/>
          <w:szCs w:val="24"/>
          <w:u w:val="single"/>
        </w:rPr>
        <w:t>, 2018</w:t>
      </w:r>
      <w:r w:rsidR="009428B0" w:rsidRPr="00B42058">
        <w:rPr>
          <w:sz w:val="24"/>
          <w:szCs w:val="24"/>
        </w:rPr>
        <w:tab/>
      </w:r>
      <w:r w:rsidR="00742EF6">
        <w:rPr>
          <w:sz w:val="24"/>
          <w:szCs w:val="24"/>
        </w:rPr>
        <w:tab/>
      </w:r>
      <w:r w:rsidR="00EE08DE">
        <w:rPr>
          <w:sz w:val="24"/>
          <w:szCs w:val="24"/>
        </w:rPr>
        <w:tab/>
      </w:r>
      <w:r w:rsidR="00E619D8">
        <w:rPr>
          <w:sz w:val="24"/>
          <w:szCs w:val="24"/>
        </w:rPr>
        <w:tab/>
      </w:r>
      <w:r w:rsidR="003205B0">
        <w:rPr>
          <w:u w:val="single"/>
        </w:rPr>
        <w:tab/>
      </w:r>
      <w:r w:rsidR="003205B0">
        <w:rPr>
          <w:u w:val="single"/>
        </w:rPr>
        <w:tab/>
      </w:r>
      <w:r w:rsidR="00F95AB1">
        <w:rPr>
          <w:u w:val="single"/>
        </w:rPr>
        <w:tab/>
      </w:r>
      <w:r w:rsidR="00F95AB1">
        <w:rPr>
          <w:u w:val="single"/>
        </w:rPr>
        <w:tab/>
      </w:r>
      <w:r w:rsidR="00F95AB1">
        <w:rPr>
          <w:u w:val="single"/>
        </w:rPr>
        <w:tab/>
      </w:r>
      <w:r w:rsidR="00F95AB1">
        <w:rPr>
          <w:u w:val="single"/>
        </w:rPr>
        <w:tab/>
      </w:r>
      <w:r w:rsidR="009428B0" w:rsidRPr="003205B0">
        <w:rPr>
          <w:sz w:val="24"/>
          <w:szCs w:val="24"/>
        </w:rPr>
        <w:tab/>
      </w:r>
      <w:r w:rsidR="00B611F0" w:rsidRPr="003205B0">
        <w:rPr>
          <w:sz w:val="24"/>
          <w:szCs w:val="24"/>
        </w:rPr>
        <w:tab/>
      </w:r>
      <w:r w:rsidR="00B611F0" w:rsidRPr="003205B0">
        <w:rPr>
          <w:sz w:val="24"/>
          <w:szCs w:val="24"/>
        </w:rPr>
        <w:tab/>
      </w:r>
      <w:r w:rsidR="00B611F0" w:rsidRPr="003205B0">
        <w:rPr>
          <w:sz w:val="24"/>
          <w:szCs w:val="24"/>
        </w:rPr>
        <w:tab/>
      </w:r>
      <w:r w:rsidR="00B611F0" w:rsidRPr="003205B0">
        <w:rPr>
          <w:sz w:val="24"/>
          <w:szCs w:val="24"/>
        </w:rPr>
        <w:tab/>
      </w:r>
      <w:r w:rsidR="00742EF6" w:rsidRPr="003205B0">
        <w:rPr>
          <w:sz w:val="24"/>
          <w:szCs w:val="24"/>
        </w:rPr>
        <w:tab/>
      </w:r>
      <w:r w:rsidR="00742EF6" w:rsidRPr="003205B0">
        <w:rPr>
          <w:sz w:val="24"/>
          <w:szCs w:val="24"/>
        </w:rPr>
        <w:tab/>
      </w:r>
      <w:r w:rsidR="00727882" w:rsidRPr="003205B0">
        <w:rPr>
          <w:sz w:val="24"/>
          <w:szCs w:val="24"/>
        </w:rPr>
        <w:t>Katrina L. Dunderdale</w:t>
      </w:r>
    </w:p>
    <w:p w:rsidR="00814C19" w:rsidRDefault="009428B0">
      <w:pPr>
        <w:rPr>
          <w:sz w:val="24"/>
          <w:szCs w:val="24"/>
        </w:rPr>
      </w:pPr>
      <w:r w:rsidRPr="00B42058">
        <w:rPr>
          <w:sz w:val="24"/>
          <w:szCs w:val="24"/>
        </w:rPr>
        <w:tab/>
      </w:r>
      <w:r w:rsidR="005E192D" w:rsidRPr="00B42058">
        <w:rPr>
          <w:sz w:val="24"/>
          <w:szCs w:val="24"/>
        </w:rPr>
        <w:tab/>
      </w:r>
      <w:r w:rsidR="005E192D" w:rsidRPr="00B42058">
        <w:rPr>
          <w:sz w:val="24"/>
          <w:szCs w:val="24"/>
        </w:rPr>
        <w:tab/>
      </w:r>
      <w:r w:rsidR="005E192D" w:rsidRPr="00B42058">
        <w:rPr>
          <w:sz w:val="24"/>
          <w:szCs w:val="24"/>
        </w:rPr>
        <w:tab/>
      </w:r>
      <w:r w:rsidR="005E192D" w:rsidRPr="00B42058">
        <w:rPr>
          <w:sz w:val="24"/>
          <w:szCs w:val="24"/>
        </w:rPr>
        <w:tab/>
      </w:r>
      <w:r w:rsidR="00742EF6">
        <w:rPr>
          <w:sz w:val="24"/>
          <w:szCs w:val="24"/>
        </w:rPr>
        <w:tab/>
      </w:r>
      <w:r w:rsidR="00742EF6">
        <w:rPr>
          <w:sz w:val="24"/>
          <w:szCs w:val="24"/>
        </w:rPr>
        <w:tab/>
      </w:r>
      <w:r w:rsidR="005E192D" w:rsidRPr="00B42058">
        <w:rPr>
          <w:sz w:val="24"/>
          <w:szCs w:val="24"/>
        </w:rPr>
        <w:t>Administrative Law Judge</w:t>
      </w:r>
    </w:p>
    <w:p w:rsidR="004E7F6B" w:rsidRDefault="004E7F6B">
      <w:pPr>
        <w:autoSpaceDE/>
        <w:autoSpaceDN/>
        <w:rPr>
          <w:sz w:val="24"/>
          <w:szCs w:val="24"/>
        </w:rPr>
      </w:pPr>
      <w:r>
        <w:rPr>
          <w:sz w:val="24"/>
          <w:szCs w:val="24"/>
        </w:rPr>
        <w:br w:type="page"/>
      </w:r>
    </w:p>
    <w:p w:rsidR="004E7F6B" w:rsidRDefault="004E7F6B" w:rsidP="004E7F6B">
      <w:pPr>
        <w:contextualSpacing/>
        <w:rPr>
          <w:rFonts w:ascii="Microsoft Sans Serif"/>
          <w:b/>
          <w:sz w:val="24"/>
          <w:u w:val="single"/>
        </w:rPr>
        <w:sectPr w:rsidR="004E7F6B" w:rsidSect="00B82D84">
          <w:footerReference w:type="even" r:id="rId8"/>
          <w:footerReference w:type="default" r:id="rId9"/>
          <w:pgSz w:w="12240" w:h="15840" w:code="1"/>
          <w:pgMar w:top="1440" w:right="1440" w:bottom="1440" w:left="1440" w:header="0" w:footer="720" w:gutter="0"/>
          <w:cols w:space="720"/>
          <w:titlePg/>
          <w:docGrid w:linePitch="272"/>
        </w:sectPr>
      </w:pPr>
    </w:p>
    <w:p w:rsidR="004E7F6B" w:rsidRDefault="004E7F6B" w:rsidP="004E7F6B">
      <w:pPr>
        <w:contextualSpacing/>
        <w:rPr>
          <w:rFonts w:ascii="Microsoft Sans Serif"/>
          <w:sz w:val="24"/>
        </w:rPr>
      </w:pPr>
      <w:r>
        <w:rPr>
          <w:rFonts w:ascii="Microsoft Sans Serif"/>
          <w:b/>
          <w:sz w:val="24"/>
          <w:u w:val="single"/>
        </w:rPr>
        <w:t>F-2017-2634988 - GARY BOTTOMS v. DUQUESNE LIGHT COMPANY</w:t>
      </w:r>
      <w:r>
        <w:rPr>
          <w:rFonts w:ascii="Microsoft Sans Serif"/>
          <w:b/>
          <w:sz w:val="24"/>
          <w:u w:val="single"/>
        </w:rPr>
        <w:cr/>
      </w:r>
      <w:r>
        <w:rPr>
          <w:rFonts w:ascii="Microsoft Sans Serif"/>
          <w:b/>
          <w:sz w:val="24"/>
          <w:u w:val="single"/>
        </w:rPr>
        <w:cr/>
      </w:r>
      <w:r>
        <w:rPr>
          <w:rFonts w:ascii="Microsoft Sans Serif"/>
          <w:sz w:val="24"/>
        </w:rPr>
        <w:t>GARY BOTTOMS</w:t>
      </w:r>
      <w:r>
        <w:rPr>
          <w:rFonts w:ascii="Microsoft Sans Serif"/>
          <w:sz w:val="24"/>
        </w:rPr>
        <w:cr/>
        <w:t>1425 ELM STREET</w:t>
      </w:r>
      <w:r>
        <w:rPr>
          <w:rFonts w:ascii="Microsoft Sans Serif"/>
          <w:sz w:val="24"/>
        </w:rPr>
        <w:cr/>
        <w:t>PITTSBURGH PA  15221</w:t>
      </w:r>
      <w:r>
        <w:rPr>
          <w:rFonts w:ascii="Microsoft Sans Serif"/>
          <w:sz w:val="24"/>
        </w:rPr>
        <w:cr/>
        <w:t>412-969-5185</w:t>
      </w:r>
      <w:r>
        <w:rPr>
          <w:rFonts w:ascii="Microsoft Sans Serif"/>
          <w:sz w:val="24"/>
        </w:rPr>
        <w:cr/>
      </w:r>
      <w:r>
        <w:rPr>
          <w:rFonts w:ascii="Microsoft Sans Serif"/>
          <w:sz w:val="24"/>
        </w:rPr>
        <w:cr/>
        <w:t>PAUL SHANE MILLER ESQUIRE</w:t>
      </w:r>
      <w:r>
        <w:rPr>
          <w:rFonts w:ascii="Microsoft Sans Serif"/>
          <w:sz w:val="24"/>
        </w:rPr>
        <w:cr/>
        <w:t>JEREMY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412.594.5503</w:t>
      </w:r>
      <w:r>
        <w:rPr>
          <w:rFonts w:ascii="Microsoft Sans Serif"/>
          <w:sz w:val="24"/>
        </w:rPr>
        <w:cr/>
        <w:t>412.594.3938</w:t>
      </w:r>
      <w:r>
        <w:rPr>
          <w:rFonts w:ascii="Microsoft Sans Serif"/>
          <w:sz w:val="24"/>
        </w:rPr>
        <w:cr/>
        <w:t>Accepts E-service</w:t>
      </w:r>
    </w:p>
    <w:p w:rsidR="004E7F6B" w:rsidRDefault="004E7F6B" w:rsidP="004E7F6B">
      <w:pPr>
        <w:contextualSpacing/>
      </w:pPr>
      <w:r>
        <w:rPr>
          <w:rFonts w:ascii="Microsoft Sans Serif"/>
          <w:sz w:val="24"/>
        </w:rPr>
        <w:t xml:space="preserve">Representing </w:t>
      </w:r>
      <w:r w:rsidRPr="00D06D11">
        <w:rPr>
          <w:rFonts w:ascii="Microsoft Sans Serif"/>
          <w:sz w:val="24"/>
        </w:rPr>
        <w:t>Duquesne Light Company</w:t>
      </w:r>
      <w:r>
        <w:rPr>
          <w:rFonts w:ascii="Microsoft Sans Serif"/>
          <w:sz w:val="24"/>
        </w:rPr>
        <w:cr/>
      </w:r>
    </w:p>
    <w:p w:rsidR="00B82D84" w:rsidRPr="00BA7EDA" w:rsidRDefault="00B82D84">
      <w:pPr>
        <w:rPr>
          <w:sz w:val="24"/>
          <w:szCs w:val="24"/>
        </w:rPr>
      </w:pPr>
    </w:p>
    <w:sectPr w:rsidR="00B82D84" w:rsidRPr="00BA7EDA" w:rsidSect="00B82D84">
      <w:pgSz w:w="12240" w:h="15840" w:code="1"/>
      <w:pgMar w:top="1440" w:right="1440" w:bottom="1440" w:left="1440" w:header="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7E9" w:rsidRDefault="004677E9">
      <w:r>
        <w:separator/>
      </w:r>
    </w:p>
  </w:endnote>
  <w:endnote w:type="continuationSeparator" w:id="0">
    <w:p w:rsidR="004677E9" w:rsidRDefault="0046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347" w:rsidRDefault="00644347" w:rsidP="00C638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4347" w:rsidRDefault="00644347">
    <w:pPr>
      <w:pStyle w:val="Footer"/>
    </w:pPr>
  </w:p>
  <w:p w:rsidR="00C60074" w:rsidRDefault="00C60074"/>
  <w:p w:rsidR="00C60074" w:rsidRDefault="00C600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347" w:rsidRDefault="00644347" w:rsidP="00290A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34C9">
      <w:rPr>
        <w:rStyle w:val="PageNumber"/>
        <w:noProof/>
      </w:rPr>
      <w:t>8</w:t>
    </w:r>
    <w:r>
      <w:rPr>
        <w:rStyle w:val="PageNumber"/>
      </w:rPr>
      <w:fldChar w:fldCharType="end"/>
    </w:r>
  </w:p>
  <w:p w:rsidR="00644347" w:rsidRDefault="00644347">
    <w:pPr>
      <w:pStyle w:val="Footer"/>
    </w:pPr>
  </w:p>
  <w:p w:rsidR="00C60074" w:rsidRDefault="00C60074"/>
  <w:p w:rsidR="00C60074" w:rsidRDefault="00C600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7E9" w:rsidRDefault="004677E9">
      <w:r>
        <w:separator/>
      </w:r>
    </w:p>
  </w:footnote>
  <w:footnote w:type="continuationSeparator" w:id="0">
    <w:p w:rsidR="004677E9" w:rsidRDefault="004677E9">
      <w:r>
        <w:continuationSeparator/>
      </w:r>
    </w:p>
  </w:footnote>
  <w:footnote w:id="1">
    <w:p w:rsidR="00D26B0F" w:rsidRDefault="00D26B0F" w:rsidP="00F22C6D">
      <w:pPr>
        <w:pStyle w:val="FootnoteText"/>
      </w:pPr>
      <w:r>
        <w:rPr>
          <w:rStyle w:val="FootnoteReference"/>
        </w:rPr>
        <w:footnoteRef/>
      </w:r>
      <w:r>
        <w:t xml:space="preserve"> </w:t>
      </w:r>
      <w:r>
        <w:tab/>
        <w:t>See PA Rule of Civil Procedure Rule 1030.</w:t>
      </w:r>
    </w:p>
  </w:footnote>
  <w:footnote w:id="2">
    <w:p w:rsidR="002D0108" w:rsidRDefault="002D0108" w:rsidP="00F22C6D">
      <w:pPr>
        <w:pStyle w:val="FootnoteText"/>
      </w:pPr>
      <w:r w:rsidRPr="002D0108">
        <w:rPr>
          <w:rStyle w:val="FootnoteReference"/>
        </w:rPr>
        <w:footnoteRef/>
      </w:r>
      <w:r w:rsidRPr="002D0108">
        <w:t xml:space="preserve"> </w:t>
      </w:r>
      <w:r w:rsidRPr="002D0108">
        <w:tab/>
      </w:r>
      <w:r w:rsidRPr="002D0108">
        <w:rPr>
          <w:u w:val="single"/>
        </w:rPr>
        <w:t xml:space="preserve">County of Allegheny v. </w:t>
      </w:r>
      <w:proofErr w:type="spellStart"/>
      <w:r w:rsidRPr="002D0108">
        <w:rPr>
          <w:u w:val="single"/>
        </w:rPr>
        <w:t>Cmwlth</w:t>
      </w:r>
      <w:proofErr w:type="spellEnd"/>
      <w:r w:rsidRPr="002D0108">
        <w:rPr>
          <w:u w:val="single"/>
        </w:rPr>
        <w:t>. of Pa.</w:t>
      </w:r>
      <w:r w:rsidRPr="002D0108">
        <w:t xml:space="preserve">, 490 A.2d 402 (Pa. 1985).  </w:t>
      </w:r>
    </w:p>
    <w:p w:rsidR="00665C80" w:rsidRPr="002D0108" w:rsidRDefault="00665C80" w:rsidP="00F22C6D">
      <w:pPr>
        <w:pStyle w:val="FootnoteText"/>
      </w:pPr>
    </w:p>
  </w:footnote>
  <w:footnote w:id="3">
    <w:p w:rsidR="002D0108" w:rsidRPr="002D0108" w:rsidRDefault="002D0108" w:rsidP="00F22C6D">
      <w:pPr>
        <w:pStyle w:val="FootnoteText"/>
      </w:pPr>
      <w:r w:rsidRPr="002D0108">
        <w:rPr>
          <w:rStyle w:val="FootnoteReference"/>
        </w:rPr>
        <w:footnoteRef/>
      </w:r>
      <w:r w:rsidRPr="002D0108">
        <w:t xml:space="preserve"> </w:t>
      </w:r>
      <w:r w:rsidRPr="002D0108">
        <w:tab/>
      </w:r>
      <w:r w:rsidRPr="002D0108">
        <w:rPr>
          <w:u w:val="single"/>
        </w:rPr>
        <w:t>Id</w:t>
      </w:r>
      <w:r w:rsidRPr="002D0108">
        <w:t xml:space="preserve">.  </w:t>
      </w:r>
    </w:p>
    <w:p w:rsidR="002D0108" w:rsidRPr="002D0108" w:rsidRDefault="002D0108" w:rsidP="00F22C6D">
      <w:pPr>
        <w:pStyle w:val="FootnoteText"/>
      </w:pPr>
    </w:p>
  </w:footnote>
  <w:footnote w:id="4">
    <w:p w:rsidR="002D0108" w:rsidRPr="002D0108" w:rsidRDefault="002D0108" w:rsidP="00F22C6D">
      <w:pPr>
        <w:pStyle w:val="FootnoteText"/>
      </w:pPr>
      <w:r w:rsidRPr="002D0108">
        <w:rPr>
          <w:rStyle w:val="FootnoteReference"/>
        </w:rPr>
        <w:footnoteRef/>
      </w:r>
      <w:r w:rsidRPr="002D0108">
        <w:t xml:space="preserve"> </w:t>
      </w:r>
      <w:r w:rsidRPr="002D0108">
        <w:tab/>
      </w:r>
      <w:r w:rsidRPr="002D0108">
        <w:rPr>
          <w:u w:val="single"/>
        </w:rPr>
        <w:t>Roc v. Flaherty</w:t>
      </w:r>
      <w:r w:rsidRPr="002D0108">
        <w:t>, 527 A.2d 211 (</w:t>
      </w:r>
      <w:proofErr w:type="spellStart"/>
      <w:proofErr w:type="gramStart"/>
      <w:r w:rsidRPr="002D0108">
        <w:t>Pa.Cmwlth</w:t>
      </w:r>
      <w:proofErr w:type="spellEnd"/>
      <w:proofErr w:type="gramEnd"/>
      <w:r w:rsidRPr="002D0108">
        <w:t xml:space="preserve">. 1985).  </w:t>
      </w:r>
    </w:p>
    <w:p w:rsidR="002D0108" w:rsidRPr="002D0108" w:rsidRDefault="002D0108" w:rsidP="00F22C6D">
      <w:pPr>
        <w:pStyle w:val="FootnoteText"/>
      </w:pPr>
    </w:p>
  </w:footnote>
  <w:footnote w:id="5">
    <w:p w:rsidR="002D0108" w:rsidRPr="002D0108" w:rsidRDefault="002D0108" w:rsidP="00F22C6D">
      <w:pPr>
        <w:pStyle w:val="FootnoteText"/>
      </w:pPr>
      <w:r w:rsidRPr="002D0108">
        <w:rPr>
          <w:rStyle w:val="FootnoteReference"/>
        </w:rPr>
        <w:footnoteRef/>
      </w:r>
      <w:r w:rsidRPr="002D0108">
        <w:t xml:space="preserve"> </w:t>
      </w:r>
      <w:r w:rsidRPr="002D0108">
        <w:tab/>
      </w:r>
      <w:r w:rsidRPr="002D0108">
        <w:rPr>
          <w:u w:val="single"/>
        </w:rPr>
        <w:t>Dept. of Auditor General, et al. v. State Employees’ Retirement System, et al.</w:t>
      </w:r>
      <w:r w:rsidRPr="002D0108">
        <w:t xml:space="preserve">, 836 A.2d 1053, 1064 (Pa. </w:t>
      </w:r>
      <w:proofErr w:type="spellStart"/>
      <w:r w:rsidRPr="002D0108">
        <w:t>Cmwlth</w:t>
      </w:r>
      <w:proofErr w:type="spellEnd"/>
      <w:r w:rsidRPr="002D0108">
        <w:t>. 2003) (</w:t>
      </w:r>
      <w:r w:rsidRPr="002D0108">
        <w:rPr>
          <w:u w:val="single"/>
        </w:rPr>
        <w:t>citing</w:t>
      </w:r>
      <w:r w:rsidRPr="002D0108">
        <w:t xml:space="preserve">, </w:t>
      </w:r>
      <w:r w:rsidRPr="002D0108">
        <w:rPr>
          <w:u w:val="single"/>
        </w:rPr>
        <w:t>Boyd v. Ward</w:t>
      </w:r>
      <w:r w:rsidRPr="002D0108">
        <w:t>, 802 A.2d 705 (</w:t>
      </w:r>
      <w:proofErr w:type="spellStart"/>
      <w:proofErr w:type="gramStart"/>
      <w:r w:rsidRPr="002D0108">
        <w:t>Pa.Cmwlth</w:t>
      </w:r>
      <w:proofErr w:type="spellEnd"/>
      <w:proofErr w:type="gramEnd"/>
      <w:r w:rsidRPr="002D0108">
        <w:t>. 2002).</w:t>
      </w:r>
    </w:p>
    <w:p w:rsidR="002D0108" w:rsidRPr="002D0108" w:rsidRDefault="002D0108" w:rsidP="00F22C6D">
      <w:pPr>
        <w:pStyle w:val="FootnoteText"/>
      </w:pPr>
    </w:p>
  </w:footnote>
  <w:footnote w:id="6">
    <w:p w:rsidR="00FB4DC9" w:rsidRPr="002D0108" w:rsidRDefault="00FB4DC9" w:rsidP="00F22C6D">
      <w:pPr>
        <w:pStyle w:val="FootnoteText"/>
      </w:pPr>
      <w:r w:rsidRPr="002D0108">
        <w:rPr>
          <w:rStyle w:val="FootnoteReference"/>
        </w:rPr>
        <w:footnoteRef/>
      </w:r>
      <w:r w:rsidRPr="002D0108">
        <w:t xml:space="preserve"> </w:t>
      </w:r>
      <w:r w:rsidRPr="002D0108">
        <w:tab/>
        <w:t xml:space="preserve">66 </w:t>
      </w:r>
      <w:proofErr w:type="spellStart"/>
      <w:r w:rsidRPr="002D0108">
        <w:t>Pa.C.S.A</w:t>
      </w:r>
      <w:proofErr w:type="spellEnd"/>
      <w:r w:rsidRPr="002D0108">
        <w:t xml:space="preserve">. § 703(b).  </w:t>
      </w:r>
      <w:r w:rsidR="00C94618">
        <w:t xml:space="preserve">See also 52 </w:t>
      </w:r>
      <w:proofErr w:type="spellStart"/>
      <w:proofErr w:type="gramStart"/>
      <w:r w:rsidR="00C94618">
        <w:t>Pa.</w:t>
      </w:r>
      <w:r w:rsidR="00D54B7B" w:rsidRPr="002D0108">
        <w:t>Code</w:t>
      </w:r>
      <w:proofErr w:type="spellEnd"/>
      <w:proofErr w:type="gramEnd"/>
      <w:r w:rsidR="00D54B7B" w:rsidRPr="002D0108">
        <w:t xml:space="preserve"> § 5.21(d).  </w:t>
      </w:r>
    </w:p>
    <w:p w:rsidR="00FB4DC9" w:rsidRPr="002D0108" w:rsidRDefault="00FB4DC9" w:rsidP="00F22C6D">
      <w:pPr>
        <w:pStyle w:val="FootnoteText"/>
      </w:pPr>
    </w:p>
  </w:footnote>
  <w:footnote w:id="7">
    <w:p w:rsidR="008E10A2" w:rsidRPr="00FB4DC9" w:rsidRDefault="008E10A2" w:rsidP="00F22C6D">
      <w:pPr>
        <w:pStyle w:val="FootnoteText"/>
      </w:pPr>
      <w:r w:rsidRPr="00FB4DC9">
        <w:rPr>
          <w:rStyle w:val="FootnoteReference"/>
        </w:rPr>
        <w:footnoteRef/>
      </w:r>
      <w:r w:rsidRPr="00FB4DC9">
        <w:t xml:space="preserve"> </w:t>
      </w:r>
      <w:r w:rsidRPr="00FB4DC9">
        <w:tab/>
      </w:r>
      <w:r w:rsidRPr="00FB4DC9">
        <w:rPr>
          <w:u w:val="single"/>
        </w:rPr>
        <w:t>Lehigh Valley Power Committee v. P</w:t>
      </w:r>
      <w:r w:rsidR="002E4030" w:rsidRPr="00FB4DC9">
        <w:rPr>
          <w:u w:val="single"/>
        </w:rPr>
        <w:t>a. Pub. Util. Comm’n</w:t>
      </w:r>
      <w:r w:rsidRPr="00FB4DC9">
        <w:t xml:space="preserve">, 128 </w:t>
      </w:r>
      <w:proofErr w:type="spellStart"/>
      <w:proofErr w:type="gramStart"/>
      <w:r w:rsidRPr="00FB4DC9">
        <w:t>Pa.C</w:t>
      </w:r>
      <w:r w:rsidR="002E4030" w:rsidRPr="00FB4DC9">
        <w:t>mwlth</w:t>
      </w:r>
      <w:proofErr w:type="spellEnd"/>
      <w:proofErr w:type="gramEnd"/>
      <w:r w:rsidRPr="00FB4DC9">
        <w:t xml:space="preserve">. 259, 563 A.2d 548 (1989).  Also </w:t>
      </w:r>
      <w:r w:rsidRPr="00FB4DC9">
        <w:rPr>
          <w:u w:val="single"/>
        </w:rPr>
        <w:t>Edan Transportation Corp. v. P</w:t>
      </w:r>
      <w:r w:rsidR="002E4030" w:rsidRPr="00FB4DC9">
        <w:rPr>
          <w:u w:val="single"/>
        </w:rPr>
        <w:t>a. Pub. Util. Comm’n</w:t>
      </w:r>
      <w:r w:rsidRPr="00FB4DC9">
        <w:t xml:space="preserve">, 154 </w:t>
      </w:r>
      <w:proofErr w:type="spellStart"/>
      <w:proofErr w:type="gramStart"/>
      <w:r w:rsidRPr="00FB4DC9">
        <w:t>Pa.C</w:t>
      </w:r>
      <w:r w:rsidR="002E4030" w:rsidRPr="00FB4DC9">
        <w:t>mwlth</w:t>
      </w:r>
      <w:proofErr w:type="spellEnd"/>
      <w:proofErr w:type="gramEnd"/>
      <w:r w:rsidRPr="00FB4DC9">
        <w:t>. 21, 623 A.2d 6 (1993).</w:t>
      </w:r>
    </w:p>
    <w:p w:rsidR="008E10A2" w:rsidRPr="0026091C" w:rsidRDefault="008E10A2" w:rsidP="00F22C6D">
      <w:pPr>
        <w:pStyle w:val="FootnoteText"/>
      </w:pPr>
    </w:p>
  </w:footnote>
  <w:footnote w:id="8">
    <w:p w:rsidR="00D54B7B" w:rsidRDefault="00D54B7B" w:rsidP="00F22C6D">
      <w:pPr>
        <w:pStyle w:val="FootnoteText"/>
      </w:pPr>
      <w:r>
        <w:rPr>
          <w:rStyle w:val="FootnoteReference"/>
        </w:rPr>
        <w:footnoteRef/>
      </w:r>
      <w:r>
        <w:t xml:space="preserve"> </w:t>
      </w:r>
      <w:r>
        <w:tab/>
      </w:r>
      <w:proofErr w:type="spellStart"/>
      <w:r w:rsidRPr="003E639D">
        <w:rPr>
          <w:u w:val="single"/>
        </w:rPr>
        <w:t>Musisko</w:t>
      </w:r>
      <w:proofErr w:type="spellEnd"/>
      <w:r w:rsidRPr="003E639D">
        <w:rPr>
          <w:u w:val="single"/>
        </w:rPr>
        <w:t xml:space="preserve"> v</w:t>
      </w:r>
      <w:r w:rsidR="003E639D">
        <w:rPr>
          <w:u w:val="single"/>
        </w:rPr>
        <w:t>.</w:t>
      </w:r>
      <w:r w:rsidRPr="003E639D">
        <w:rPr>
          <w:u w:val="single"/>
        </w:rPr>
        <w:t xml:space="preserve"> Pennsylvania American Water Company</w:t>
      </w:r>
      <w:r>
        <w:t>, Docket No. C-2008-2061663 (Final Order entered May 13, 2009).</w:t>
      </w:r>
    </w:p>
    <w:p w:rsidR="00D54B7B" w:rsidRDefault="00D54B7B" w:rsidP="00F22C6D">
      <w:pPr>
        <w:pStyle w:val="FootnoteText"/>
      </w:pPr>
    </w:p>
  </w:footnote>
  <w:footnote w:id="9">
    <w:p w:rsidR="00255B3E" w:rsidRDefault="00255B3E" w:rsidP="00F22C6D">
      <w:pPr>
        <w:pStyle w:val="FootnoteText"/>
      </w:pPr>
      <w:r>
        <w:rPr>
          <w:rStyle w:val="FootnoteReference"/>
        </w:rPr>
        <w:footnoteRef/>
      </w:r>
      <w:r>
        <w:t xml:space="preserve"> </w:t>
      </w:r>
      <w:r>
        <w:tab/>
        <w:t xml:space="preserve">Pursuant to 52 </w:t>
      </w:r>
      <w:proofErr w:type="spellStart"/>
      <w:proofErr w:type="gramStart"/>
      <w:r>
        <w:t>Pa.Code</w:t>
      </w:r>
      <w:proofErr w:type="spellEnd"/>
      <w:proofErr w:type="gramEnd"/>
      <w:r>
        <w:t xml:space="preserve"> §</w:t>
      </w:r>
      <w:r w:rsidR="00E416FA">
        <w:t xml:space="preserve"> </w:t>
      </w:r>
      <w:r>
        <w:t>5.101(a)(3)</w:t>
      </w:r>
      <w:r w:rsidR="006E1D49">
        <w:t xml:space="preserve"> and §</w:t>
      </w:r>
      <w:r w:rsidR="00E416FA">
        <w:t xml:space="preserve"> </w:t>
      </w:r>
      <w:r w:rsidR="006E1D49">
        <w:t>5.101(a)(4)</w:t>
      </w:r>
      <w:r>
        <w:t>, preliminary objections are available and may be granted due to “insufficient specificity of a pleading”</w:t>
      </w:r>
      <w:r w:rsidR="00C744FB">
        <w:t xml:space="preserve"> or “legal insufficiency of a pleading.”</w:t>
      </w:r>
      <w:r>
        <w:t xml:space="preserve">  </w:t>
      </w:r>
    </w:p>
    <w:p w:rsidR="00255B3E" w:rsidRDefault="00255B3E" w:rsidP="00255B3E">
      <w:pPr>
        <w:pStyle w:val="FootnoteText"/>
        <w:ind w:firstLine="720"/>
      </w:pPr>
    </w:p>
  </w:footnote>
  <w:footnote w:id="10">
    <w:p w:rsidR="00A22C5D" w:rsidRDefault="00A22C5D" w:rsidP="00A22C5D">
      <w:pPr>
        <w:pStyle w:val="FootnoteText"/>
      </w:pPr>
      <w:r>
        <w:rPr>
          <w:rStyle w:val="FootnoteReference"/>
        </w:rPr>
        <w:footnoteRef/>
      </w:r>
      <w:r>
        <w:t xml:space="preserve"> </w:t>
      </w:r>
      <w:r>
        <w:tab/>
        <w:t xml:space="preserve">See 52 </w:t>
      </w:r>
      <w:proofErr w:type="spellStart"/>
      <w:proofErr w:type="gramStart"/>
      <w:r>
        <w:t>Pa.Code</w:t>
      </w:r>
      <w:proofErr w:type="spellEnd"/>
      <w:proofErr w:type="gramEnd"/>
      <w:r>
        <w:t xml:space="preserve"> § 5.101(a); 66 </w:t>
      </w:r>
      <w:proofErr w:type="spellStart"/>
      <w:r>
        <w:t>Pa.C.S.A</w:t>
      </w:r>
      <w:proofErr w:type="spellEnd"/>
      <w:r>
        <w:t xml:space="preserve">. § 703(a); </w:t>
      </w:r>
      <w:proofErr w:type="spellStart"/>
      <w:r w:rsidRPr="0052371C">
        <w:rPr>
          <w:u w:val="single"/>
        </w:rPr>
        <w:t>Mulzet</w:t>
      </w:r>
      <w:proofErr w:type="spellEnd"/>
      <w:r w:rsidRPr="0052371C">
        <w:rPr>
          <w:u w:val="single"/>
        </w:rPr>
        <w:t xml:space="preserve"> v. PPL Electric Utilities Corp.</w:t>
      </w:r>
      <w:r>
        <w:t>, Docket No. C</w:t>
      </w:r>
      <w:r>
        <w:noBreakHyphen/>
        <w:t>2013-2367132 (Initial Decision dated July 22, 2013).</w:t>
      </w:r>
    </w:p>
    <w:p w:rsidR="00A22C5D" w:rsidRDefault="00A22C5D" w:rsidP="00A22C5D">
      <w:pPr>
        <w:pStyle w:val="FootnoteText"/>
      </w:pPr>
    </w:p>
  </w:footnote>
  <w:footnote w:id="11">
    <w:p w:rsidR="00F019BA" w:rsidRDefault="00F019BA" w:rsidP="00F019BA">
      <w:pPr>
        <w:pStyle w:val="FootnoteText"/>
      </w:pPr>
      <w:r>
        <w:rPr>
          <w:rStyle w:val="FootnoteReference"/>
        </w:rPr>
        <w:footnoteRef/>
      </w:r>
      <w:r>
        <w:t xml:space="preserve"> </w:t>
      </w:r>
      <w:r>
        <w:tab/>
        <w:t xml:space="preserve">See 52 </w:t>
      </w:r>
      <w:proofErr w:type="spellStart"/>
      <w:proofErr w:type="gramStart"/>
      <w:r>
        <w:t>Pa.Code</w:t>
      </w:r>
      <w:proofErr w:type="spellEnd"/>
      <w:proofErr w:type="gramEnd"/>
      <w:r>
        <w:t xml:space="preserve"> § 5.101(a); 66 </w:t>
      </w:r>
      <w:proofErr w:type="spellStart"/>
      <w:r>
        <w:t>Pa.C.S.A</w:t>
      </w:r>
      <w:proofErr w:type="spellEnd"/>
      <w:r>
        <w:t xml:space="preserve">. § 703(a); </w:t>
      </w:r>
      <w:proofErr w:type="spellStart"/>
      <w:r w:rsidRPr="0052371C">
        <w:rPr>
          <w:u w:val="single"/>
        </w:rPr>
        <w:t>Mulzet</w:t>
      </w:r>
      <w:proofErr w:type="spellEnd"/>
      <w:r w:rsidRPr="0052371C">
        <w:rPr>
          <w:u w:val="single"/>
        </w:rPr>
        <w:t xml:space="preserve"> v. PPL Electric Utilities Corp.</w:t>
      </w:r>
      <w:r>
        <w:t>, Docket No. C</w:t>
      </w:r>
      <w:r>
        <w:noBreakHyphen/>
        <w:t>2013-2367132 (Initial Decision dated July 22, 2013).</w:t>
      </w:r>
    </w:p>
    <w:p w:rsidR="00F019BA" w:rsidRDefault="00F019BA" w:rsidP="00F019BA">
      <w:pPr>
        <w:pStyle w:val="FootnoteText"/>
      </w:pPr>
    </w:p>
  </w:footnote>
  <w:footnote w:id="12">
    <w:p w:rsidR="00F019BA" w:rsidRPr="00FB4DC9" w:rsidRDefault="00F019BA" w:rsidP="009B6C03">
      <w:pPr>
        <w:pStyle w:val="FootnoteText"/>
      </w:pPr>
      <w:r w:rsidRPr="00FB4DC9">
        <w:rPr>
          <w:rStyle w:val="FootnoteReference"/>
        </w:rPr>
        <w:footnoteRef/>
      </w:r>
      <w:r w:rsidRPr="00FB4DC9">
        <w:t xml:space="preserve"> </w:t>
      </w:r>
      <w:r w:rsidRPr="00FB4DC9">
        <w:tab/>
        <w:t xml:space="preserve">See 52 </w:t>
      </w:r>
      <w:proofErr w:type="spellStart"/>
      <w:proofErr w:type="gramStart"/>
      <w:r w:rsidRPr="00FB4DC9">
        <w:t>Pa.Code</w:t>
      </w:r>
      <w:proofErr w:type="spellEnd"/>
      <w:proofErr w:type="gramEnd"/>
      <w:r w:rsidRPr="00FB4DC9">
        <w:t xml:space="preserve"> §</w:t>
      </w:r>
      <w:r w:rsidR="002046E4">
        <w:t xml:space="preserve"> </w:t>
      </w:r>
      <w:r w:rsidRPr="00FB4DC9">
        <w:t xml:space="preserve">5.21(a); 66 </w:t>
      </w:r>
      <w:proofErr w:type="spellStart"/>
      <w:r w:rsidRPr="00FB4DC9">
        <w:t>Pa.C.S.A</w:t>
      </w:r>
      <w:proofErr w:type="spellEnd"/>
      <w:r w:rsidRPr="00FB4DC9">
        <w:t>. §</w:t>
      </w:r>
      <w:r w:rsidR="002046E4">
        <w:t xml:space="preserve"> </w:t>
      </w:r>
      <w:r w:rsidRPr="00FB4DC9">
        <w:t>701.</w:t>
      </w:r>
    </w:p>
    <w:p w:rsidR="00F019BA" w:rsidRPr="00FB4DC9" w:rsidRDefault="00F019BA" w:rsidP="00F019BA">
      <w:pPr>
        <w:pStyle w:val="FootnoteText"/>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67EC0"/>
    <w:multiLevelType w:val="hybridMultilevel"/>
    <w:tmpl w:val="B47CA454"/>
    <w:lvl w:ilvl="0" w:tplc="BA3C0BD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2B82C7A"/>
    <w:multiLevelType w:val="hybridMultilevel"/>
    <w:tmpl w:val="D30299A8"/>
    <w:lvl w:ilvl="0" w:tplc="3BBE59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2D"/>
    <w:rsid w:val="000115C6"/>
    <w:rsid w:val="000133C2"/>
    <w:rsid w:val="000140B2"/>
    <w:rsid w:val="0001627D"/>
    <w:rsid w:val="00017B90"/>
    <w:rsid w:val="000202CD"/>
    <w:rsid w:val="00027891"/>
    <w:rsid w:val="00033C00"/>
    <w:rsid w:val="00034A51"/>
    <w:rsid w:val="000414AB"/>
    <w:rsid w:val="0004550B"/>
    <w:rsid w:val="00045D50"/>
    <w:rsid w:val="00050B64"/>
    <w:rsid w:val="00050C7A"/>
    <w:rsid w:val="00051F15"/>
    <w:rsid w:val="00056BB7"/>
    <w:rsid w:val="0006422B"/>
    <w:rsid w:val="000653E2"/>
    <w:rsid w:val="00066968"/>
    <w:rsid w:val="00074DC4"/>
    <w:rsid w:val="00085B08"/>
    <w:rsid w:val="000915B2"/>
    <w:rsid w:val="000A3EDB"/>
    <w:rsid w:val="000C7067"/>
    <w:rsid w:val="000C7AD8"/>
    <w:rsid w:val="000D3F9E"/>
    <w:rsid w:val="000E04AA"/>
    <w:rsid w:val="00104350"/>
    <w:rsid w:val="00114D47"/>
    <w:rsid w:val="00122702"/>
    <w:rsid w:val="001236E5"/>
    <w:rsid w:val="00131A6A"/>
    <w:rsid w:val="00132CFA"/>
    <w:rsid w:val="00135C3C"/>
    <w:rsid w:val="0014072B"/>
    <w:rsid w:val="001501CC"/>
    <w:rsid w:val="00151B1A"/>
    <w:rsid w:val="00157663"/>
    <w:rsid w:val="001634A6"/>
    <w:rsid w:val="00163537"/>
    <w:rsid w:val="001648F6"/>
    <w:rsid w:val="00175EBC"/>
    <w:rsid w:val="001A144E"/>
    <w:rsid w:val="001A3790"/>
    <w:rsid w:val="001A3798"/>
    <w:rsid w:val="001A5175"/>
    <w:rsid w:val="001B2509"/>
    <w:rsid w:val="001B71C9"/>
    <w:rsid w:val="001D0688"/>
    <w:rsid w:val="001D2723"/>
    <w:rsid w:val="001D65FC"/>
    <w:rsid w:val="001E441D"/>
    <w:rsid w:val="001E49F9"/>
    <w:rsid w:val="001F0055"/>
    <w:rsid w:val="001F1010"/>
    <w:rsid w:val="002046E4"/>
    <w:rsid w:val="0021130D"/>
    <w:rsid w:val="00214F5B"/>
    <w:rsid w:val="00217ACF"/>
    <w:rsid w:val="00221C86"/>
    <w:rsid w:val="00226F81"/>
    <w:rsid w:val="00234A4C"/>
    <w:rsid w:val="002530E5"/>
    <w:rsid w:val="00255B3E"/>
    <w:rsid w:val="00267ACE"/>
    <w:rsid w:val="00282477"/>
    <w:rsid w:val="002825A7"/>
    <w:rsid w:val="00286096"/>
    <w:rsid w:val="00286713"/>
    <w:rsid w:val="00290A5A"/>
    <w:rsid w:val="0029474F"/>
    <w:rsid w:val="002A67F1"/>
    <w:rsid w:val="002A788B"/>
    <w:rsid w:val="002A7E4E"/>
    <w:rsid w:val="002B37DB"/>
    <w:rsid w:val="002B4C55"/>
    <w:rsid w:val="002B7DB0"/>
    <w:rsid w:val="002D0108"/>
    <w:rsid w:val="002D5998"/>
    <w:rsid w:val="002D75EB"/>
    <w:rsid w:val="002E4030"/>
    <w:rsid w:val="002E7B13"/>
    <w:rsid w:val="002F6C9B"/>
    <w:rsid w:val="00303EEF"/>
    <w:rsid w:val="00305D4F"/>
    <w:rsid w:val="003113DA"/>
    <w:rsid w:val="00311F84"/>
    <w:rsid w:val="003121E7"/>
    <w:rsid w:val="0032003A"/>
    <w:rsid w:val="003205B0"/>
    <w:rsid w:val="00325818"/>
    <w:rsid w:val="003268DC"/>
    <w:rsid w:val="00336989"/>
    <w:rsid w:val="00345BE2"/>
    <w:rsid w:val="00346EE4"/>
    <w:rsid w:val="00350CEB"/>
    <w:rsid w:val="003534C9"/>
    <w:rsid w:val="00357831"/>
    <w:rsid w:val="00357DF5"/>
    <w:rsid w:val="0037083D"/>
    <w:rsid w:val="00373793"/>
    <w:rsid w:val="003750D6"/>
    <w:rsid w:val="00375201"/>
    <w:rsid w:val="00381896"/>
    <w:rsid w:val="00386FC9"/>
    <w:rsid w:val="003B3420"/>
    <w:rsid w:val="003B4B80"/>
    <w:rsid w:val="003B6723"/>
    <w:rsid w:val="003C35EF"/>
    <w:rsid w:val="003C3B91"/>
    <w:rsid w:val="003D2245"/>
    <w:rsid w:val="003E639D"/>
    <w:rsid w:val="00402F29"/>
    <w:rsid w:val="00406555"/>
    <w:rsid w:val="00411A87"/>
    <w:rsid w:val="00435064"/>
    <w:rsid w:val="004523A0"/>
    <w:rsid w:val="004677E9"/>
    <w:rsid w:val="00471C26"/>
    <w:rsid w:val="00491E3B"/>
    <w:rsid w:val="004927A3"/>
    <w:rsid w:val="0049417A"/>
    <w:rsid w:val="004A0DC9"/>
    <w:rsid w:val="004A2D46"/>
    <w:rsid w:val="004B1EFF"/>
    <w:rsid w:val="004D608E"/>
    <w:rsid w:val="004E2104"/>
    <w:rsid w:val="004E7F6B"/>
    <w:rsid w:val="004F319B"/>
    <w:rsid w:val="00502F3D"/>
    <w:rsid w:val="00503094"/>
    <w:rsid w:val="00503BA8"/>
    <w:rsid w:val="005115EB"/>
    <w:rsid w:val="00512840"/>
    <w:rsid w:val="00512ACE"/>
    <w:rsid w:val="00517B11"/>
    <w:rsid w:val="0052371C"/>
    <w:rsid w:val="005268BE"/>
    <w:rsid w:val="00545E7A"/>
    <w:rsid w:val="00545FC6"/>
    <w:rsid w:val="00554246"/>
    <w:rsid w:val="00564C48"/>
    <w:rsid w:val="005706DE"/>
    <w:rsid w:val="005B0840"/>
    <w:rsid w:val="005C575D"/>
    <w:rsid w:val="005D1108"/>
    <w:rsid w:val="005D3A87"/>
    <w:rsid w:val="005D5A51"/>
    <w:rsid w:val="005E192D"/>
    <w:rsid w:val="005F03C9"/>
    <w:rsid w:val="00600A5B"/>
    <w:rsid w:val="00610829"/>
    <w:rsid w:val="006204F5"/>
    <w:rsid w:val="006414BE"/>
    <w:rsid w:val="00643573"/>
    <w:rsid w:val="00644347"/>
    <w:rsid w:val="00645EEC"/>
    <w:rsid w:val="00665C80"/>
    <w:rsid w:val="00666383"/>
    <w:rsid w:val="0067181D"/>
    <w:rsid w:val="00691397"/>
    <w:rsid w:val="00695ABB"/>
    <w:rsid w:val="00696FF8"/>
    <w:rsid w:val="006A23EB"/>
    <w:rsid w:val="006A4C17"/>
    <w:rsid w:val="006D11C7"/>
    <w:rsid w:val="006D612D"/>
    <w:rsid w:val="006D6EA3"/>
    <w:rsid w:val="006E1D49"/>
    <w:rsid w:val="007059B5"/>
    <w:rsid w:val="00716D0B"/>
    <w:rsid w:val="00727882"/>
    <w:rsid w:val="007300A0"/>
    <w:rsid w:val="00734198"/>
    <w:rsid w:val="00734334"/>
    <w:rsid w:val="007369E5"/>
    <w:rsid w:val="00742EF6"/>
    <w:rsid w:val="007547C1"/>
    <w:rsid w:val="00761782"/>
    <w:rsid w:val="007705D7"/>
    <w:rsid w:val="007734AD"/>
    <w:rsid w:val="00780F67"/>
    <w:rsid w:val="00787CBA"/>
    <w:rsid w:val="007902B0"/>
    <w:rsid w:val="007A25B9"/>
    <w:rsid w:val="007A2BC0"/>
    <w:rsid w:val="007A4444"/>
    <w:rsid w:val="007B758B"/>
    <w:rsid w:val="007D7F10"/>
    <w:rsid w:val="00804BA9"/>
    <w:rsid w:val="00814C19"/>
    <w:rsid w:val="00845DB3"/>
    <w:rsid w:val="008475EB"/>
    <w:rsid w:val="00861AC7"/>
    <w:rsid w:val="008644A6"/>
    <w:rsid w:val="00865726"/>
    <w:rsid w:val="00875414"/>
    <w:rsid w:val="00891DD7"/>
    <w:rsid w:val="008A241E"/>
    <w:rsid w:val="008B4A66"/>
    <w:rsid w:val="008B6626"/>
    <w:rsid w:val="008C1B09"/>
    <w:rsid w:val="008C772F"/>
    <w:rsid w:val="008D2C45"/>
    <w:rsid w:val="008D2CCF"/>
    <w:rsid w:val="008E10A2"/>
    <w:rsid w:val="008E4BBE"/>
    <w:rsid w:val="008E7DBC"/>
    <w:rsid w:val="008F523C"/>
    <w:rsid w:val="008F6854"/>
    <w:rsid w:val="00915EA6"/>
    <w:rsid w:val="00921D8C"/>
    <w:rsid w:val="00925439"/>
    <w:rsid w:val="0093009B"/>
    <w:rsid w:val="009428B0"/>
    <w:rsid w:val="00963263"/>
    <w:rsid w:val="00964560"/>
    <w:rsid w:val="00975B24"/>
    <w:rsid w:val="00985F9F"/>
    <w:rsid w:val="0099279E"/>
    <w:rsid w:val="00997D89"/>
    <w:rsid w:val="009A19D4"/>
    <w:rsid w:val="009B6C03"/>
    <w:rsid w:val="009C0EC8"/>
    <w:rsid w:val="009C5159"/>
    <w:rsid w:val="009E656C"/>
    <w:rsid w:val="00A0355E"/>
    <w:rsid w:val="00A15B8E"/>
    <w:rsid w:val="00A20AB2"/>
    <w:rsid w:val="00A22C5D"/>
    <w:rsid w:val="00A441D0"/>
    <w:rsid w:val="00A45DB0"/>
    <w:rsid w:val="00A50259"/>
    <w:rsid w:val="00A51F52"/>
    <w:rsid w:val="00A55098"/>
    <w:rsid w:val="00A56672"/>
    <w:rsid w:val="00A6442A"/>
    <w:rsid w:val="00A6592E"/>
    <w:rsid w:val="00A67131"/>
    <w:rsid w:val="00A72295"/>
    <w:rsid w:val="00A72C5F"/>
    <w:rsid w:val="00A757AE"/>
    <w:rsid w:val="00A80302"/>
    <w:rsid w:val="00A8199E"/>
    <w:rsid w:val="00A90C27"/>
    <w:rsid w:val="00A92BAC"/>
    <w:rsid w:val="00A958E4"/>
    <w:rsid w:val="00A95915"/>
    <w:rsid w:val="00AA0C06"/>
    <w:rsid w:val="00AB161E"/>
    <w:rsid w:val="00AB5CFB"/>
    <w:rsid w:val="00AC088B"/>
    <w:rsid w:val="00AC0FB3"/>
    <w:rsid w:val="00AC752D"/>
    <w:rsid w:val="00AD1D92"/>
    <w:rsid w:val="00AE00D5"/>
    <w:rsid w:val="00AF1B06"/>
    <w:rsid w:val="00AF6F81"/>
    <w:rsid w:val="00B1184A"/>
    <w:rsid w:val="00B12495"/>
    <w:rsid w:val="00B31E9F"/>
    <w:rsid w:val="00B42058"/>
    <w:rsid w:val="00B45982"/>
    <w:rsid w:val="00B47FC3"/>
    <w:rsid w:val="00B611F0"/>
    <w:rsid w:val="00B618A2"/>
    <w:rsid w:val="00B66329"/>
    <w:rsid w:val="00B73C36"/>
    <w:rsid w:val="00B7505E"/>
    <w:rsid w:val="00B82D84"/>
    <w:rsid w:val="00BA7E78"/>
    <w:rsid w:val="00BA7EDA"/>
    <w:rsid w:val="00BB3303"/>
    <w:rsid w:val="00BB5653"/>
    <w:rsid w:val="00BB75A5"/>
    <w:rsid w:val="00BC2D6D"/>
    <w:rsid w:val="00BC326C"/>
    <w:rsid w:val="00BD22B8"/>
    <w:rsid w:val="00BD2995"/>
    <w:rsid w:val="00BE0807"/>
    <w:rsid w:val="00C00FB2"/>
    <w:rsid w:val="00C0371E"/>
    <w:rsid w:val="00C115B5"/>
    <w:rsid w:val="00C21C8A"/>
    <w:rsid w:val="00C355BF"/>
    <w:rsid w:val="00C60074"/>
    <w:rsid w:val="00C60B6F"/>
    <w:rsid w:val="00C620D8"/>
    <w:rsid w:val="00C6388D"/>
    <w:rsid w:val="00C7017F"/>
    <w:rsid w:val="00C719D4"/>
    <w:rsid w:val="00C744FB"/>
    <w:rsid w:val="00C76678"/>
    <w:rsid w:val="00C857E6"/>
    <w:rsid w:val="00C94618"/>
    <w:rsid w:val="00CA21AE"/>
    <w:rsid w:val="00CB1287"/>
    <w:rsid w:val="00CC04B4"/>
    <w:rsid w:val="00CD0792"/>
    <w:rsid w:val="00CD7AE8"/>
    <w:rsid w:val="00CE6985"/>
    <w:rsid w:val="00CF0238"/>
    <w:rsid w:val="00CF0D52"/>
    <w:rsid w:val="00D0518D"/>
    <w:rsid w:val="00D13550"/>
    <w:rsid w:val="00D247F9"/>
    <w:rsid w:val="00D26B0F"/>
    <w:rsid w:val="00D336A3"/>
    <w:rsid w:val="00D34F31"/>
    <w:rsid w:val="00D54B7B"/>
    <w:rsid w:val="00D54E4D"/>
    <w:rsid w:val="00D62958"/>
    <w:rsid w:val="00D65F60"/>
    <w:rsid w:val="00D74221"/>
    <w:rsid w:val="00D77B22"/>
    <w:rsid w:val="00D92FCF"/>
    <w:rsid w:val="00D9344F"/>
    <w:rsid w:val="00DA26D2"/>
    <w:rsid w:val="00DA3E4C"/>
    <w:rsid w:val="00DA5906"/>
    <w:rsid w:val="00DB0CE2"/>
    <w:rsid w:val="00DB20AB"/>
    <w:rsid w:val="00DB2B10"/>
    <w:rsid w:val="00DC42AA"/>
    <w:rsid w:val="00DD0CA3"/>
    <w:rsid w:val="00DE5D97"/>
    <w:rsid w:val="00E07D75"/>
    <w:rsid w:val="00E10A70"/>
    <w:rsid w:val="00E11B3F"/>
    <w:rsid w:val="00E24EB0"/>
    <w:rsid w:val="00E269BB"/>
    <w:rsid w:val="00E37ADC"/>
    <w:rsid w:val="00E416FA"/>
    <w:rsid w:val="00E427D5"/>
    <w:rsid w:val="00E44CE9"/>
    <w:rsid w:val="00E5005B"/>
    <w:rsid w:val="00E56BF6"/>
    <w:rsid w:val="00E619D8"/>
    <w:rsid w:val="00E750D8"/>
    <w:rsid w:val="00E757CB"/>
    <w:rsid w:val="00E86C92"/>
    <w:rsid w:val="00E9055A"/>
    <w:rsid w:val="00E937EB"/>
    <w:rsid w:val="00EA4E98"/>
    <w:rsid w:val="00EB358E"/>
    <w:rsid w:val="00EB4112"/>
    <w:rsid w:val="00EC1CE5"/>
    <w:rsid w:val="00EC320B"/>
    <w:rsid w:val="00ED0351"/>
    <w:rsid w:val="00EE08DE"/>
    <w:rsid w:val="00EE7283"/>
    <w:rsid w:val="00EF1175"/>
    <w:rsid w:val="00EF322E"/>
    <w:rsid w:val="00F019BA"/>
    <w:rsid w:val="00F01CA4"/>
    <w:rsid w:val="00F06D27"/>
    <w:rsid w:val="00F22C6D"/>
    <w:rsid w:val="00F274CE"/>
    <w:rsid w:val="00F306C1"/>
    <w:rsid w:val="00F619ED"/>
    <w:rsid w:val="00F65B3F"/>
    <w:rsid w:val="00F67645"/>
    <w:rsid w:val="00F719F8"/>
    <w:rsid w:val="00F8364A"/>
    <w:rsid w:val="00F85A24"/>
    <w:rsid w:val="00F95AB1"/>
    <w:rsid w:val="00FA39D8"/>
    <w:rsid w:val="00FA43BA"/>
    <w:rsid w:val="00FB4DC9"/>
    <w:rsid w:val="00FB77FA"/>
    <w:rsid w:val="00FC49B9"/>
    <w:rsid w:val="00FD4409"/>
    <w:rsid w:val="00FE0CD5"/>
    <w:rsid w:val="00FE5D90"/>
    <w:rsid w:val="00FF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ECC6EC"/>
  <w15:docId w15:val="{3D3AAC1A-3884-4133-94F4-982294D5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tabs>
        <w:tab w:val="center" w:pos="4680"/>
      </w:tabs>
      <w:suppressAutoHyphens/>
      <w:jc w:val="both"/>
      <w:outlineLvl w:val="0"/>
    </w:pPr>
    <w:rPr>
      <w:b/>
      <w:bCs/>
    </w:rPr>
  </w:style>
  <w:style w:type="paragraph" w:styleId="Heading2">
    <w:name w:val="heading 2"/>
    <w:basedOn w:val="Normal"/>
    <w:next w:val="Normal"/>
    <w:qFormat/>
    <w:pPr>
      <w:keepNext/>
      <w:spacing w:line="360" w:lineRule="auto"/>
      <w:jc w:val="center"/>
      <w:outlineLvl w:val="1"/>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semiHidden/>
  </w:style>
  <w:style w:type="character" w:styleId="FootnoteReference">
    <w:name w:val="footnote reference"/>
    <w:basedOn w:val="DefaultParagraphFont"/>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customStyle="1" w:styleId="TxBrp8">
    <w:name w:val="TxBr_p8"/>
    <w:basedOn w:val="Normal"/>
    <w:rsid w:val="00F306C1"/>
    <w:pPr>
      <w:widowControl w:val="0"/>
      <w:tabs>
        <w:tab w:val="left" w:pos="1468"/>
      </w:tabs>
      <w:adjustRightInd w:val="0"/>
      <w:spacing w:line="464" w:lineRule="atLeast"/>
      <w:ind w:firstLine="1468"/>
    </w:pPr>
    <w:rPr>
      <w:sz w:val="24"/>
      <w:szCs w:val="24"/>
    </w:rPr>
  </w:style>
  <w:style w:type="paragraph" w:styleId="PlainText">
    <w:name w:val="Plain Text"/>
    <w:basedOn w:val="Normal"/>
    <w:rsid w:val="00E10A70"/>
    <w:pPr>
      <w:autoSpaceDE/>
      <w:autoSpaceDN/>
      <w:spacing w:line="360" w:lineRule="auto"/>
      <w:ind w:firstLine="1440"/>
    </w:pPr>
    <w:rPr>
      <w:sz w:val="24"/>
      <w:szCs w:val="24"/>
    </w:rPr>
  </w:style>
  <w:style w:type="paragraph" w:styleId="BalloonText">
    <w:name w:val="Balloon Text"/>
    <w:basedOn w:val="Normal"/>
    <w:link w:val="BalloonTextChar"/>
    <w:rsid w:val="00131A6A"/>
    <w:rPr>
      <w:rFonts w:ascii="Tahoma" w:hAnsi="Tahoma" w:cs="Tahoma"/>
      <w:sz w:val="16"/>
      <w:szCs w:val="16"/>
    </w:rPr>
  </w:style>
  <w:style w:type="character" w:customStyle="1" w:styleId="BalloonTextChar">
    <w:name w:val="Balloon Text Char"/>
    <w:basedOn w:val="DefaultParagraphFont"/>
    <w:link w:val="BalloonText"/>
    <w:rsid w:val="00131A6A"/>
    <w:rPr>
      <w:rFonts w:ascii="Tahoma" w:hAnsi="Tahoma" w:cs="Tahoma"/>
      <w:sz w:val="16"/>
      <w:szCs w:val="16"/>
    </w:rPr>
  </w:style>
  <w:style w:type="paragraph" w:styleId="ListParagraph">
    <w:name w:val="List Paragraph"/>
    <w:basedOn w:val="Normal"/>
    <w:uiPriority w:val="34"/>
    <w:qFormat/>
    <w:rsid w:val="00D34F31"/>
    <w:pPr>
      <w:ind w:left="720"/>
      <w:contextualSpacing/>
    </w:pPr>
  </w:style>
  <w:style w:type="paragraph" w:styleId="EndnoteText">
    <w:name w:val="endnote text"/>
    <w:basedOn w:val="Normal"/>
    <w:link w:val="EndnoteTextChar"/>
    <w:rsid w:val="00D9344F"/>
  </w:style>
  <w:style w:type="character" w:customStyle="1" w:styleId="EndnoteTextChar">
    <w:name w:val="Endnote Text Char"/>
    <w:basedOn w:val="DefaultParagraphFont"/>
    <w:link w:val="EndnoteText"/>
    <w:rsid w:val="00D9344F"/>
  </w:style>
  <w:style w:type="character" w:styleId="EndnoteReference">
    <w:name w:val="endnote reference"/>
    <w:basedOn w:val="DefaultParagraphFont"/>
    <w:rsid w:val="00D9344F"/>
    <w:rPr>
      <w:vertAlign w:val="superscript"/>
    </w:rPr>
  </w:style>
  <w:style w:type="paragraph" w:styleId="NormalWeb">
    <w:name w:val="Normal (Web)"/>
    <w:basedOn w:val="Normal"/>
    <w:unhideWhenUsed/>
    <w:rsid w:val="00A92BAC"/>
    <w:pPr>
      <w:autoSpaceDE/>
      <w:autoSpaceDN/>
      <w:spacing w:before="100" w:beforeAutospacing="1" w:after="100" w:afterAutospacing="1"/>
    </w:pPr>
    <w:rPr>
      <w:sz w:val="24"/>
      <w:szCs w:val="24"/>
    </w:rPr>
  </w:style>
  <w:style w:type="paragraph" w:customStyle="1" w:styleId="Style0">
    <w:name w:val="Style0"/>
    <w:rsid w:val="00A92BAC"/>
    <w:rPr>
      <w:rFonts w:ascii="Arial" w:hAnsi="Arial"/>
      <w:snapToGrid w:val="0"/>
      <w:sz w:val="24"/>
    </w:rPr>
  </w:style>
  <w:style w:type="character" w:customStyle="1" w:styleId="FootnoteTextChar">
    <w:name w:val="Footnote Text Char"/>
    <w:basedOn w:val="DefaultParagraphFont"/>
    <w:link w:val="FootnoteText"/>
    <w:semiHidden/>
    <w:rsid w:val="00A9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53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3DB45-8CD6-414B-BB31-374EA26C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2047</Words>
  <Characters>11049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PA PUC</dc:creator>
  <cp:lastModifiedBy>Oldynski, Sandra</cp:lastModifiedBy>
  <cp:revision>10</cp:revision>
  <cp:lastPrinted>2018-02-05T19:25:00Z</cp:lastPrinted>
  <dcterms:created xsi:type="dcterms:W3CDTF">2018-02-05T19:23:00Z</dcterms:created>
  <dcterms:modified xsi:type="dcterms:W3CDTF">2018-02-06T13:18:00Z</dcterms:modified>
</cp:coreProperties>
</file>