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820" w:rsidRPr="00B92820" w:rsidRDefault="00B92820" w:rsidP="00B92820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r w:rsidRPr="00B92820">
        <w:rPr>
          <w:rFonts w:eastAsia="Times New Roman"/>
          <w:b/>
        </w:rPr>
        <w:t>BEFORE THE</w:t>
      </w:r>
    </w:p>
    <w:p w:rsidR="00B92820" w:rsidRPr="00B92820" w:rsidRDefault="00B92820" w:rsidP="00B92820">
      <w:pPr>
        <w:tabs>
          <w:tab w:val="left" w:pos="0"/>
        </w:tabs>
        <w:spacing w:line="233" w:lineRule="auto"/>
        <w:jc w:val="center"/>
        <w:rPr>
          <w:rFonts w:eastAsia="Times New Roman"/>
          <w:b/>
        </w:rPr>
      </w:pPr>
      <w:smartTag w:uri="urn:schemas-microsoft-com:office:smarttags" w:element="place">
        <w:smartTag w:uri="urn:schemas-microsoft-com:office:smarttags" w:element="State">
          <w:r w:rsidRPr="00B92820">
            <w:rPr>
              <w:rFonts w:eastAsia="Times New Roman"/>
              <w:b/>
            </w:rPr>
            <w:t>PENNSYLVANIA</w:t>
          </w:r>
        </w:smartTag>
      </w:smartTag>
      <w:r w:rsidRPr="00B92820">
        <w:rPr>
          <w:rFonts w:eastAsia="Times New Roman"/>
          <w:b/>
        </w:rPr>
        <w:t xml:space="preserve"> PUBLIC UTILITY COMMISSION</w:t>
      </w: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  <w:b/>
        </w:rPr>
      </w:pPr>
      <w:r w:rsidRPr="00B92820">
        <w:rPr>
          <w:rFonts w:eastAsia="Times New Roman"/>
        </w:rPr>
        <w:t>James Frey and Sandra Mireles</w:t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  <w:t>:</w:t>
      </w: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</w:rPr>
        <w:t>:</w:t>
      </w: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B92820">
        <w:rPr>
          <w:rFonts w:eastAsia="Times New Roman"/>
        </w:rPr>
        <w:tab/>
        <w:t>v.</w:t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  <w:t>:</w:t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  <w:b/>
        </w:rPr>
        <w:tab/>
      </w:r>
      <w:r w:rsidRPr="00B92820">
        <w:rPr>
          <w:rFonts w:eastAsia="Times New Roman"/>
        </w:rPr>
        <w:t>C-2017-2629947</w:t>
      </w: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  <w:t>:</w:t>
      </w:r>
    </w:p>
    <w:p w:rsidR="00B92820" w:rsidRPr="00B92820" w:rsidRDefault="00B92820" w:rsidP="00B92820">
      <w:pPr>
        <w:tabs>
          <w:tab w:val="left" w:pos="0"/>
        </w:tabs>
        <w:spacing w:line="233" w:lineRule="auto"/>
        <w:jc w:val="both"/>
        <w:rPr>
          <w:rFonts w:eastAsia="Times New Roman"/>
        </w:rPr>
      </w:pPr>
      <w:r w:rsidRPr="00B92820">
        <w:rPr>
          <w:rFonts w:eastAsia="Times New Roman"/>
        </w:rPr>
        <w:t>PPL Electric Utilities Corporation</w:t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</w:r>
      <w:r w:rsidRPr="00B92820">
        <w:rPr>
          <w:rFonts w:eastAsia="Times New Roman"/>
        </w:rPr>
        <w:tab/>
        <w:t>:</w:t>
      </w:r>
    </w:p>
    <w:p w:rsidR="00792796" w:rsidRDefault="00792796" w:rsidP="00B92820">
      <w:pPr>
        <w:spacing w:line="240" w:lineRule="auto"/>
      </w:pPr>
    </w:p>
    <w:p w:rsidR="0075192A" w:rsidRDefault="0075192A" w:rsidP="00B92820">
      <w:pPr>
        <w:spacing w:line="240" w:lineRule="auto"/>
      </w:pPr>
    </w:p>
    <w:p w:rsidR="00B92820" w:rsidRDefault="00B92820" w:rsidP="00B92820">
      <w:pPr>
        <w:spacing w:line="240" w:lineRule="auto"/>
      </w:pPr>
    </w:p>
    <w:p w:rsidR="00B92820" w:rsidRDefault="00B92820" w:rsidP="0049572D">
      <w:pPr>
        <w:spacing w:line="240" w:lineRule="auto"/>
        <w:jc w:val="center"/>
        <w:rPr>
          <w:b/>
        </w:rPr>
      </w:pPr>
      <w:r>
        <w:rPr>
          <w:b/>
        </w:rPr>
        <w:t>INTERIM ORDER</w:t>
      </w:r>
    </w:p>
    <w:p w:rsidR="0075192A" w:rsidRPr="0049572D" w:rsidRDefault="0075192A" w:rsidP="0049572D">
      <w:pPr>
        <w:spacing w:line="240" w:lineRule="auto"/>
        <w:jc w:val="center"/>
        <w:rPr>
          <w:b/>
          <w:u w:val="single"/>
        </w:rPr>
      </w:pPr>
      <w:r w:rsidRPr="00B92820">
        <w:rPr>
          <w:b/>
          <w:u w:val="single"/>
        </w:rPr>
        <w:t>ON</w:t>
      </w:r>
      <w:r w:rsidR="00B92820" w:rsidRPr="00B92820">
        <w:rPr>
          <w:b/>
          <w:u w:val="single"/>
        </w:rPr>
        <w:t xml:space="preserve"> </w:t>
      </w:r>
      <w:r w:rsidR="0049572D">
        <w:rPr>
          <w:b/>
          <w:u w:val="single"/>
        </w:rPr>
        <w:t>FURTHER PROCEEDINGS</w:t>
      </w:r>
    </w:p>
    <w:p w:rsidR="0075192A" w:rsidRDefault="0075192A"/>
    <w:p w:rsidR="0075192A" w:rsidRDefault="0075192A">
      <w:r>
        <w:tab/>
      </w:r>
      <w:r w:rsidR="00595500">
        <w:tab/>
      </w:r>
      <w:r>
        <w:t xml:space="preserve">On October 20, 2017, James Frey and Sandra Mireles (Complainants) filed a formal complaint against PPL Electric Utilities Corporation (PPL), alleging that PPL was threatening to terminate service and other customer service-related issues.  PPL filed a timely answer.  </w:t>
      </w:r>
    </w:p>
    <w:p w:rsidR="0075192A" w:rsidRDefault="0075192A"/>
    <w:p w:rsidR="0075192A" w:rsidRDefault="0075192A">
      <w:r>
        <w:tab/>
      </w:r>
      <w:r w:rsidR="00F84F53">
        <w:tab/>
      </w:r>
      <w:r>
        <w:t xml:space="preserve">By </w:t>
      </w:r>
      <w:r w:rsidR="00FE07E2">
        <w:t xml:space="preserve">corrected </w:t>
      </w:r>
      <w:r>
        <w:t>hearing notice dated</w:t>
      </w:r>
      <w:r w:rsidR="00FE07E2">
        <w:t xml:space="preserve"> January 2, 2018</w:t>
      </w:r>
      <w:r>
        <w:t xml:space="preserve">, the case was assigned to me and scheduled for a telephonic hearing on Wednesday, February </w:t>
      </w:r>
      <w:r w:rsidR="00FE07E2">
        <w:t>7</w:t>
      </w:r>
      <w:r>
        <w:t xml:space="preserve">, 2018.  Due to a winter storm, the Pittsburgh Office of the Commission was closed.  By email dated February </w:t>
      </w:r>
      <w:r w:rsidR="00FE07E2">
        <w:t>6</w:t>
      </w:r>
      <w:bookmarkStart w:id="0" w:name="_GoBack"/>
      <w:bookmarkEnd w:id="0"/>
      <w:r>
        <w:t>, 2018, I informed the parties that the hearing was cancelled and would be rescheduled to another date.</w:t>
      </w:r>
    </w:p>
    <w:p w:rsidR="0075192A" w:rsidRDefault="0075192A"/>
    <w:p w:rsidR="0075192A" w:rsidRDefault="0075192A" w:rsidP="00B92820">
      <w:pPr>
        <w:ind w:left="720" w:firstLine="720"/>
      </w:pPr>
      <w:r>
        <w:t>THEREFORE,</w:t>
      </w:r>
    </w:p>
    <w:p w:rsidR="0075192A" w:rsidRDefault="0075192A"/>
    <w:p w:rsidR="0075192A" w:rsidRDefault="0075192A" w:rsidP="00B92820">
      <w:pPr>
        <w:ind w:left="720" w:firstLine="720"/>
      </w:pPr>
      <w:r>
        <w:t>IT IS ORDERED:</w:t>
      </w:r>
    </w:p>
    <w:p w:rsidR="0075192A" w:rsidRDefault="0075192A"/>
    <w:p w:rsidR="0075192A" w:rsidRDefault="0075192A">
      <w:r>
        <w:tab/>
      </w:r>
      <w:r w:rsidR="00B92820">
        <w:tab/>
      </w:r>
      <w:r>
        <w:t>1.</w:t>
      </w:r>
      <w:r>
        <w:tab/>
        <w:t xml:space="preserve">That the parties shall confer and on or before </w:t>
      </w:r>
      <w:r w:rsidRPr="00F4256B">
        <w:rPr>
          <w:b/>
          <w:u w:val="single"/>
        </w:rPr>
        <w:t>February 16, 2018</w:t>
      </w:r>
      <w:r>
        <w:t>, jointly provide me with at least three agreed-upon alternate hearing dates when they and their witnesses are available.</w:t>
      </w:r>
    </w:p>
    <w:p w:rsidR="0075192A" w:rsidRDefault="0075192A"/>
    <w:p w:rsidR="0075192A" w:rsidRDefault="0075192A">
      <w:r>
        <w:tab/>
      </w:r>
      <w:r w:rsidR="00B92820">
        <w:tab/>
      </w:r>
      <w:r>
        <w:t>2.</w:t>
      </w:r>
      <w:r>
        <w:tab/>
        <w:t>That the parties are reminded that Commission policy favors settlement.  In the event that the parties are able to resolve their dispute, no further hearing will be scheduled.</w:t>
      </w:r>
    </w:p>
    <w:p w:rsidR="0075192A" w:rsidRDefault="0075192A">
      <w:r>
        <w:lastRenderedPageBreak/>
        <w:tab/>
      </w:r>
      <w:r w:rsidR="00B92820">
        <w:tab/>
      </w:r>
      <w:r>
        <w:t>3.</w:t>
      </w:r>
      <w:r>
        <w:tab/>
        <w:t>That the parties are granted leave to serve updated proposed exhibits if a hearing is necessary.</w:t>
      </w:r>
    </w:p>
    <w:p w:rsidR="0075192A" w:rsidRDefault="0075192A"/>
    <w:p w:rsidR="0075192A" w:rsidRDefault="0075192A">
      <w:r>
        <w:tab/>
      </w:r>
      <w:r w:rsidR="00B92820">
        <w:tab/>
      </w:r>
      <w:r>
        <w:t>4.</w:t>
      </w:r>
      <w:r>
        <w:tab/>
        <w:t>That all other provisions of the December 28, 2017 Prehearing Order remain in effect.</w:t>
      </w:r>
    </w:p>
    <w:p w:rsidR="00B92820" w:rsidRDefault="00B92820"/>
    <w:p w:rsidR="00B92820" w:rsidRDefault="00B92820"/>
    <w:p w:rsidR="00B92820" w:rsidRPr="00B92820" w:rsidRDefault="00B92820" w:rsidP="00B92820">
      <w:pPr>
        <w:spacing w:line="240" w:lineRule="auto"/>
        <w:rPr>
          <w:rFonts w:eastAsia="Times New Roman"/>
          <w:szCs w:val="24"/>
        </w:rPr>
      </w:pPr>
      <w:r w:rsidRPr="00B92820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February 8, 2018</w:t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  <w:u w:val="single"/>
        </w:rPr>
        <w:tab/>
      </w:r>
      <w:r w:rsidRPr="00B92820">
        <w:rPr>
          <w:rFonts w:eastAsia="Times New Roman"/>
          <w:szCs w:val="24"/>
          <w:u w:val="single"/>
        </w:rPr>
        <w:tab/>
        <w:t>/s/</w:t>
      </w:r>
      <w:r w:rsidRPr="00B92820">
        <w:rPr>
          <w:rFonts w:eastAsia="Times New Roman"/>
          <w:szCs w:val="24"/>
          <w:u w:val="single"/>
        </w:rPr>
        <w:tab/>
      </w:r>
      <w:r w:rsidRPr="00B92820">
        <w:rPr>
          <w:rFonts w:eastAsia="Times New Roman"/>
          <w:szCs w:val="24"/>
          <w:u w:val="single"/>
        </w:rPr>
        <w:tab/>
      </w:r>
      <w:r w:rsidRPr="00B92820">
        <w:rPr>
          <w:rFonts w:eastAsia="Times New Roman"/>
          <w:szCs w:val="24"/>
          <w:u w:val="single"/>
        </w:rPr>
        <w:tab/>
      </w:r>
      <w:r w:rsidRPr="00B92820">
        <w:rPr>
          <w:rFonts w:eastAsia="Times New Roman"/>
          <w:szCs w:val="24"/>
          <w:u w:val="single"/>
        </w:rPr>
        <w:tab/>
      </w:r>
    </w:p>
    <w:p w:rsidR="00B92820" w:rsidRPr="00B92820" w:rsidRDefault="00B92820" w:rsidP="00B92820">
      <w:pPr>
        <w:spacing w:line="240" w:lineRule="auto"/>
        <w:rPr>
          <w:rFonts w:eastAsia="Times New Roman"/>
          <w:szCs w:val="24"/>
        </w:rPr>
      </w:pP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  <w:t>Mary D. Long</w:t>
      </w:r>
    </w:p>
    <w:p w:rsidR="00B92820" w:rsidRPr="00B92820" w:rsidRDefault="00B92820" w:rsidP="00B92820">
      <w:pPr>
        <w:spacing w:line="240" w:lineRule="auto"/>
        <w:rPr>
          <w:rFonts w:eastAsia="Times New Roman"/>
          <w:szCs w:val="24"/>
        </w:rPr>
      </w:pP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</w:r>
      <w:r w:rsidRPr="00B92820">
        <w:rPr>
          <w:rFonts w:eastAsia="Times New Roman"/>
          <w:szCs w:val="24"/>
        </w:rPr>
        <w:tab/>
        <w:t>Administrative Law Judge</w:t>
      </w:r>
    </w:p>
    <w:p w:rsidR="00B92820" w:rsidRDefault="00B92820"/>
    <w:p w:rsidR="00B92820" w:rsidRDefault="00B92820">
      <w:pPr>
        <w:sectPr w:rsidR="00B92820" w:rsidSect="00B9282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92820" w:rsidRDefault="00B92820" w:rsidP="00B92820">
      <w:pPr>
        <w:spacing w:line="240" w:lineRule="auto"/>
        <w:contextualSpacing/>
        <w:rPr>
          <w:rFonts w:ascii="Microsoft Sans Serif" w:eastAsia="Times New Roman" w:hAnsi="Calibri"/>
          <w:szCs w:val="22"/>
        </w:rPr>
      </w:pPr>
      <w:r w:rsidRPr="00B92820">
        <w:rPr>
          <w:rFonts w:ascii="Microsoft Sans Serif" w:eastAsia="Times New Roman" w:hAnsi="Calibri"/>
          <w:b/>
          <w:szCs w:val="22"/>
          <w:u w:val="single"/>
        </w:rPr>
        <w:lastRenderedPageBreak/>
        <w:t>C-2017-2629947 - JAMES FREY &amp; SANDRA MIRELES v. PPL ELECTRIC UTILITIES CORPORATION</w:t>
      </w:r>
      <w:r w:rsidRPr="00B92820">
        <w:rPr>
          <w:rFonts w:ascii="Microsoft Sans Serif" w:eastAsia="Times New Roman" w:hAnsi="Calibri"/>
          <w:b/>
          <w:szCs w:val="22"/>
          <w:u w:val="single"/>
        </w:rPr>
        <w:cr/>
      </w:r>
      <w:r w:rsidRPr="00B92820">
        <w:rPr>
          <w:rFonts w:ascii="Microsoft Sans Serif" w:eastAsia="Times New Roman" w:hAnsi="Calibri"/>
          <w:b/>
          <w:szCs w:val="22"/>
          <w:u w:val="single"/>
        </w:rPr>
        <w:cr/>
      </w:r>
      <w:bookmarkStart w:id="1" w:name="_Hlk505846106"/>
      <w:r w:rsidRPr="00B92820">
        <w:rPr>
          <w:rFonts w:ascii="Microsoft Sans Serif" w:eastAsia="Times New Roman" w:hAnsi="Calibri"/>
          <w:szCs w:val="22"/>
        </w:rPr>
        <w:t xml:space="preserve"> </w:t>
      </w:r>
      <w:r w:rsidRPr="00B92820">
        <w:rPr>
          <w:rFonts w:ascii="Microsoft Sans Serif" w:eastAsia="Times New Roman" w:hAnsi="Calibri"/>
          <w:i/>
          <w:szCs w:val="22"/>
        </w:rPr>
        <w:t>Revised 2/8/18</w:t>
      </w:r>
    </w:p>
    <w:p w:rsidR="00FF4469" w:rsidRDefault="00B92820" w:rsidP="00B92820">
      <w:pPr>
        <w:spacing w:line="240" w:lineRule="auto"/>
        <w:contextualSpacing/>
        <w:rPr>
          <w:rFonts w:ascii="Microsoft Sans Serif" w:eastAsia="Times New Roman" w:hAnsi="Calibri"/>
          <w:szCs w:val="22"/>
        </w:rPr>
      </w:pPr>
      <w:r w:rsidRPr="00B92820">
        <w:rPr>
          <w:rFonts w:ascii="Microsoft Sans Serif" w:eastAsia="Times New Roman" w:hAnsi="Calibri"/>
          <w:szCs w:val="22"/>
        </w:rPr>
        <w:cr/>
      </w:r>
      <w:bookmarkStart w:id="2" w:name="_Hlk505845777"/>
      <w:r w:rsidR="00FF4469">
        <w:rPr>
          <w:rFonts w:ascii="Microsoft Sans Serif" w:eastAsia="Times New Roman" w:hAnsi="Calibri"/>
          <w:szCs w:val="22"/>
        </w:rPr>
        <w:t>*</w:t>
      </w:r>
      <w:r w:rsidRPr="00B92820">
        <w:rPr>
          <w:rFonts w:ascii="Microsoft Sans Serif" w:eastAsia="Times New Roman" w:hAnsi="Calibri"/>
          <w:szCs w:val="22"/>
        </w:rPr>
        <w:t>JAMES FREY</w:t>
      </w:r>
    </w:p>
    <w:p w:rsidR="00FF4469" w:rsidRDefault="00B92820" w:rsidP="00B92820">
      <w:pPr>
        <w:spacing w:line="240" w:lineRule="auto"/>
        <w:contextualSpacing/>
        <w:rPr>
          <w:rFonts w:ascii="Microsoft Sans Serif" w:eastAsia="Times New Roman" w:hAnsi="Calibri"/>
          <w:szCs w:val="22"/>
        </w:rPr>
      </w:pPr>
      <w:r w:rsidRPr="00B92820">
        <w:rPr>
          <w:rFonts w:ascii="Microsoft Sans Serif" w:eastAsia="Times New Roman" w:hAnsi="Calibri"/>
          <w:szCs w:val="22"/>
        </w:rPr>
        <w:t>SANDRA MIRELES</w:t>
      </w:r>
      <w:r w:rsidRPr="00B92820">
        <w:rPr>
          <w:rFonts w:ascii="Microsoft Sans Serif" w:eastAsia="Times New Roman" w:hAnsi="Calibri"/>
          <w:szCs w:val="22"/>
        </w:rPr>
        <w:cr/>
        <w:t>137 LONGWOOD DR</w:t>
      </w:r>
      <w:r w:rsidRPr="00B92820">
        <w:rPr>
          <w:rFonts w:ascii="Microsoft Sans Serif" w:eastAsia="Times New Roman" w:hAnsi="Calibri"/>
          <w:szCs w:val="22"/>
        </w:rPr>
        <w:cr/>
        <w:t>SAYLORSBURG PA  18353</w:t>
      </w:r>
      <w:r w:rsidRPr="00B92820">
        <w:rPr>
          <w:rFonts w:ascii="Microsoft Sans Serif" w:eastAsia="Times New Roman" w:hAnsi="Calibri"/>
          <w:szCs w:val="22"/>
        </w:rPr>
        <w:cr/>
      </w:r>
      <w:bookmarkEnd w:id="2"/>
      <w:r w:rsidR="00FF4469" w:rsidRPr="00FF4469">
        <w:rPr>
          <w:rFonts w:ascii="Microsoft Sans Serif" w:eastAsia="Times New Roman" w:hAnsi="Calibri"/>
          <w:i/>
          <w:szCs w:val="22"/>
        </w:rPr>
        <w:t>* Accepts E-service</w:t>
      </w:r>
    </w:p>
    <w:p w:rsidR="00B92820" w:rsidRPr="00B92820" w:rsidRDefault="00B92820" w:rsidP="00B92820">
      <w:pPr>
        <w:spacing w:line="240" w:lineRule="auto"/>
        <w:contextualSpacing/>
        <w:rPr>
          <w:rFonts w:ascii="Calibri" w:eastAsia="Times New Roman" w:hAnsi="Calibri"/>
          <w:sz w:val="22"/>
          <w:szCs w:val="22"/>
        </w:rPr>
      </w:pPr>
      <w:r w:rsidRPr="00B92820">
        <w:rPr>
          <w:rFonts w:ascii="Microsoft Sans Serif" w:eastAsia="Times New Roman" w:hAnsi="Calibri"/>
          <w:szCs w:val="22"/>
        </w:rPr>
        <w:t>570.801.5765</w:t>
      </w:r>
      <w:r w:rsidRPr="00B92820">
        <w:rPr>
          <w:rFonts w:ascii="Microsoft Sans Serif" w:eastAsia="Times New Roman" w:hAnsi="Calibri"/>
          <w:szCs w:val="22"/>
        </w:rPr>
        <w:cr/>
      </w:r>
      <w:bookmarkEnd w:id="1"/>
      <w:r w:rsidRPr="00B92820">
        <w:rPr>
          <w:rFonts w:ascii="Microsoft Sans Serif" w:eastAsia="Times New Roman" w:hAnsi="Calibri"/>
          <w:szCs w:val="22"/>
        </w:rPr>
        <w:cr/>
        <w:t>GRAIG M SCHULTZ ESQUIRE</w:t>
      </w:r>
      <w:r w:rsidRPr="00B92820">
        <w:rPr>
          <w:rFonts w:ascii="Microsoft Sans Serif" w:eastAsia="Times New Roman" w:hAnsi="Calibri"/>
          <w:szCs w:val="22"/>
        </w:rPr>
        <w:cr/>
        <w:t>GROSS MCGINLEY LLP</w:t>
      </w:r>
      <w:r w:rsidRPr="00B92820">
        <w:rPr>
          <w:rFonts w:ascii="Microsoft Sans Serif" w:eastAsia="Times New Roman" w:hAnsi="Calibri"/>
          <w:szCs w:val="22"/>
        </w:rPr>
        <w:cr/>
        <w:t>33 SOUTH SEVENTH STREET</w:t>
      </w:r>
      <w:r w:rsidRPr="00B92820">
        <w:rPr>
          <w:rFonts w:ascii="Microsoft Sans Serif" w:eastAsia="Times New Roman" w:hAnsi="Calibri"/>
          <w:szCs w:val="22"/>
        </w:rPr>
        <w:cr/>
        <w:t>P O BOX 4060</w:t>
      </w:r>
      <w:r w:rsidRPr="00B92820">
        <w:rPr>
          <w:rFonts w:ascii="Microsoft Sans Serif" w:eastAsia="Times New Roman" w:hAnsi="Calibri"/>
          <w:szCs w:val="22"/>
        </w:rPr>
        <w:cr/>
        <w:t>ALLENTOWN PA  18105-4060</w:t>
      </w:r>
      <w:r w:rsidRPr="00B92820">
        <w:rPr>
          <w:rFonts w:ascii="Microsoft Sans Serif" w:eastAsia="Times New Roman" w:hAnsi="Calibri"/>
          <w:szCs w:val="22"/>
        </w:rPr>
        <w:cr/>
        <w:t>610.820.5450</w:t>
      </w:r>
      <w:r w:rsidRPr="00B92820">
        <w:rPr>
          <w:rFonts w:ascii="Microsoft Sans Serif" w:eastAsia="Times New Roman" w:hAnsi="Calibri"/>
          <w:szCs w:val="22"/>
        </w:rPr>
        <w:cr/>
      </w:r>
    </w:p>
    <w:p w:rsidR="00B92820" w:rsidRDefault="00B92820"/>
    <w:sectPr w:rsidR="00B92820" w:rsidSect="00B9282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B3" w:rsidRDefault="005C62B3" w:rsidP="00B92820">
      <w:pPr>
        <w:spacing w:line="240" w:lineRule="auto"/>
      </w:pPr>
      <w:r>
        <w:separator/>
      </w:r>
    </w:p>
  </w:endnote>
  <w:endnote w:type="continuationSeparator" w:id="0">
    <w:p w:rsidR="005C62B3" w:rsidRDefault="005C62B3" w:rsidP="00B92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477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820" w:rsidRDefault="00B92820">
        <w:pPr>
          <w:pStyle w:val="Footer"/>
          <w:jc w:val="center"/>
        </w:pPr>
        <w:r w:rsidRPr="00B92820">
          <w:rPr>
            <w:sz w:val="20"/>
          </w:rPr>
          <w:fldChar w:fldCharType="begin"/>
        </w:r>
        <w:r w:rsidRPr="00B92820">
          <w:rPr>
            <w:sz w:val="20"/>
          </w:rPr>
          <w:instrText xml:space="preserve"> PAGE   \* MERGEFORMAT </w:instrText>
        </w:r>
        <w:r w:rsidRPr="00B92820">
          <w:rPr>
            <w:sz w:val="20"/>
          </w:rPr>
          <w:fldChar w:fldCharType="separate"/>
        </w:r>
        <w:r w:rsidR="00FE07E2">
          <w:rPr>
            <w:noProof/>
            <w:sz w:val="20"/>
          </w:rPr>
          <w:t>2</w:t>
        </w:r>
        <w:r w:rsidRPr="00B92820">
          <w:rPr>
            <w:noProof/>
            <w:sz w:val="20"/>
          </w:rPr>
          <w:fldChar w:fldCharType="end"/>
        </w:r>
      </w:p>
    </w:sdtContent>
  </w:sdt>
  <w:p w:rsidR="00B92820" w:rsidRDefault="00B92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B3" w:rsidRDefault="005C62B3" w:rsidP="00B92820">
      <w:pPr>
        <w:spacing w:line="240" w:lineRule="auto"/>
      </w:pPr>
      <w:r>
        <w:separator/>
      </w:r>
    </w:p>
  </w:footnote>
  <w:footnote w:type="continuationSeparator" w:id="0">
    <w:p w:rsidR="005C62B3" w:rsidRDefault="005C62B3" w:rsidP="00B928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6"/>
  </w:num>
  <w:num w:numId="5">
    <w:abstractNumId w:val="9"/>
  </w:num>
  <w:num w:numId="6">
    <w:abstractNumId w:val="6"/>
  </w:num>
  <w:num w:numId="7">
    <w:abstractNumId w:val="4"/>
  </w:num>
  <w:num w:numId="8">
    <w:abstractNumId w:val="25"/>
  </w:num>
  <w:num w:numId="9">
    <w:abstractNumId w:val="2"/>
  </w:num>
  <w:num w:numId="10">
    <w:abstractNumId w:val="18"/>
  </w:num>
  <w:num w:numId="11">
    <w:abstractNumId w:val="21"/>
  </w:num>
  <w:num w:numId="12">
    <w:abstractNumId w:val="13"/>
  </w:num>
  <w:num w:numId="13">
    <w:abstractNumId w:val="19"/>
  </w:num>
  <w:num w:numId="14">
    <w:abstractNumId w:val="23"/>
  </w:num>
  <w:num w:numId="15">
    <w:abstractNumId w:val="0"/>
  </w:num>
  <w:num w:numId="16">
    <w:abstractNumId w:val="17"/>
  </w:num>
  <w:num w:numId="17">
    <w:abstractNumId w:val="17"/>
  </w:num>
  <w:num w:numId="18">
    <w:abstractNumId w:val="8"/>
  </w:num>
  <w:num w:numId="19">
    <w:abstractNumId w:val="14"/>
  </w:num>
  <w:num w:numId="20">
    <w:abstractNumId w:val="27"/>
  </w:num>
  <w:num w:numId="21">
    <w:abstractNumId w:val="11"/>
  </w:num>
  <w:num w:numId="22">
    <w:abstractNumId w:val="3"/>
  </w:num>
  <w:num w:numId="23">
    <w:abstractNumId w:val="12"/>
  </w:num>
  <w:num w:numId="24">
    <w:abstractNumId w:val="29"/>
  </w:num>
  <w:num w:numId="25">
    <w:abstractNumId w:val="1"/>
  </w:num>
  <w:num w:numId="26">
    <w:abstractNumId w:val="5"/>
  </w:num>
  <w:num w:numId="27">
    <w:abstractNumId w:val="20"/>
  </w:num>
  <w:num w:numId="28">
    <w:abstractNumId w:val="10"/>
  </w:num>
  <w:num w:numId="29">
    <w:abstractNumId w:val="7"/>
  </w:num>
  <w:num w:numId="30">
    <w:abstractNumId w:val="1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2A"/>
    <w:rsid w:val="00004C37"/>
    <w:rsid w:val="00066D87"/>
    <w:rsid w:val="000E3EDE"/>
    <w:rsid w:val="00107E82"/>
    <w:rsid w:val="001A21B6"/>
    <w:rsid w:val="001B1CBA"/>
    <w:rsid w:val="001D2AF7"/>
    <w:rsid w:val="00207743"/>
    <w:rsid w:val="00213167"/>
    <w:rsid w:val="002512F9"/>
    <w:rsid w:val="003145FA"/>
    <w:rsid w:val="00367A41"/>
    <w:rsid w:val="00393C92"/>
    <w:rsid w:val="003A3E09"/>
    <w:rsid w:val="0049572D"/>
    <w:rsid w:val="004D523C"/>
    <w:rsid w:val="00595500"/>
    <w:rsid w:val="005A1C17"/>
    <w:rsid w:val="005A2ABA"/>
    <w:rsid w:val="005C62B3"/>
    <w:rsid w:val="005D180A"/>
    <w:rsid w:val="005E7B69"/>
    <w:rsid w:val="0061775F"/>
    <w:rsid w:val="00696C0D"/>
    <w:rsid w:val="006F0329"/>
    <w:rsid w:val="00700807"/>
    <w:rsid w:val="00712E58"/>
    <w:rsid w:val="007407AC"/>
    <w:rsid w:val="0075192A"/>
    <w:rsid w:val="00755D72"/>
    <w:rsid w:val="00792796"/>
    <w:rsid w:val="00796B64"/>
    <w:rsid w:val="007E6779"/>
    <w:rsid w:val="00820B4C"/>
    <w:rsid w:val="0083239D"/>
    <w:rsid w:val="008529D2"/>
    <w:rsid w:val="0088105E"/>
    <w:rsid w:val="00917DCA"/>
    <w:rsid w:val="00A47096"/>
    <w:rsid w:val="00A6482D"/>
    <w:rsid w:val="00AA2EC5"/>
    <w:rsid w:val="00AB4C73"/>
    <w:rsid w:val="00AE6F47"/>
    <w:rsid w:val="00B91E47"/>
    <w:rsid w:val="00B92820"/>
    <w:rsid w:val="00BC6B21"/>
    <w:rsid w:val="00BD7EB8"/>
    <w:rsid w:val="00C87E57"/>
    <w:rsid w:val="00CF6143"/>
    <w:rsid w:val="00DD5C37"/>
    <w:rsid w:val="00E4239A"/>
    <w:rsid w:val="00EB027A"/>
    <w:rsid w:val="00EC1CBA"/>
    <w:rsid w:val="00EE7801"/>
    <w:rsid w:val="00F11A19"/>
    <w:rsid w:val="00F16554"/>
    <w:rsid w:val="00F4256B"/>
    <w:rsid w:val="00F544E1"/>
    <w:rsid w:val="00F84F53"/>
    <w:rsid w:val="00FD5C10"/>
    <w:rsid w:val="00FE07E2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D9D7EDD"/>
  <w15:chartTrackingRefBased/>
  <w15:docId w15:val="{1C7D8D71-60FF-49C1-85CE-AB59FE70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55D72"/>
    <w:pPr>
      <w:ind w:left="1440" w:firstLine="720"/>
    </w:pPr>
  </w:style>
  <w:style w:type="paragraph" w:styleId="FootnoteText">
    <w:name w:val="footnote text"/>
    <w:link w:val="FootnoteTextChar"/>
    <w:autoRedefine/>
    <w:uiPriority w:val="99"/>
    <w:semiHidden/>
    <w:unhideWhenUsed/>
    <w:qFormat/>
    <w:rsid w:val="003A3E09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E09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B928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20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B928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20"/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F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53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3</cp:revision>
  <cp:lastPrinted>2018-02-08T15:17:00Z</cp:lastPrinted>
  <dcterms:created xsi:type="dcterms:W3CDTF">2018-02-08T14:44:00Z</dcterms:created>
  <dcterms:modified xsi:type="dcterms:W3CDTF">2018-02-08T15:31:00Z</dcterms:modified>
</cp:coreProperties>
</file>