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13A" w:rsidRPr="002A5D4B" w:rsidRDefault="00B4613A" w:rsidP="00B4613A">
      <w:pPr>
        <w:spacing w:line="240" w:lineRule="auto"/>
        <w:ind w:firstLine="0"/>
        <w:rPr>
          <w:b/>
          <w:sz w:val="26"/>
          <w:szCs w:val="26"/>
        </w:rPr>
      </w:pPr>
      <w:r w:rsidRPr="002A5D4B">
        <w:rPr>
          <w:b/>
          <w:sz w:val="26"/>
          <w:szCs w:val="26"/>
        </w:rPr>
        <w:t>PENNSYLVANIA</w:t>
      </w:r>
    </w:p>
    <w:p w:rsidR="00B4613A" w:rsidRPr="002A5D4B" w:rsidRDefault="00B4613A" w:rsidP="00B4613A">
      <w:pPr>
        <w:spacing w:line="240" w:lineRule="auto"/>
        <w:ind w:firstLine="0"/>
        <w:rPr>
          <w:b/>
          <w:sz w:val="26"/>
          <w:szCs w:val="26"/>
        </w:rPr>
      </w:pPr>
      <w:r w:rsidRPr="002A5D4B">
        <w:rPr>
          <w:b/>
          <w:sz w:val="26"/>
          <w:szCs w:val="26"/>
        </w:rPr>
        <w:t>PUBLIC UTILITY COMMISSION</w:t>
      </w:r>
    </w:p>
    <w:p w:rsidR="00B4613A" w:rsidRDefault="00B4613A" w:rsidP="00B4613A">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B4613A" w:rsidRPr="00BA66A4" w:rsidRDefault="00B4613A" w:rsidP="00B4613A">
      <w:pPr>
        <w:spacing w:line="240" w:lineRule="auto"/>
        <w:ind w:firstLine="0"/>
        <w:jc w:val="left"/>
        <w:rPr>
          <w:sz w:val="26"/>
          <w:szCs w:val="26"/>
        </w:rPr>
      </w:pPr>
    </w:p>
    <w:p w:rsidR="00B4613A" w:rsidRPr="002A5D4B" w:rsidRDefault="00B4613A" w:rsidP="00B4613A">
      <w:pPr>
        <w:ind w:firstLine="0"/>
        <w:jc w:val="right"/>
        <w:rPr>
          <w:sz w:val="26"/>
          <w:szCs w:val="26"/>
        </w:rPr>
      </w:pPr>
      <w:r>
        <w:rPr>
          <w:sz w:val="26"/>
          <w:szCs w:val="26"/>
        </w:rPr>
        <w:t>P</w:t>
      </w:r>
      <w:r w:rsidRPr="002A5D4B">
        <w:rPr>
          <w:sz w:val="26"/>
          <w:szCs w:val="26"/>
        </w:rPr>
        <w:t xml:space="preserve">ublic Meeting held </w:t>
      </w:r>
      <w:r w:rsidR="005B0B7B">
        <w:rPr>
          <w:sz w:val="26"/>
          <w:szCs w:val="26"/>
        </w:rPr>
        <w:t>Febr</w:t>
      </w:r>
      <w:r w:rsidR="005C041B">
        <w:rPr>
          <w:sz w:val="26"/>
          <w:szCs w:val="26"/>
        </w:rPr>
        <w:t>uary</w:t>
      </w:r>
      <w:r>
        <w:rPr>
          <w:sz w:val="26"/>
          <w:szCs w:val="26"/>
        </w:rPr>
        <w:t xml:space="preserve"> </w:t>
      </w:r>
      <w:r w:rsidR="005C041B">
        <w:rPr>
          <w:sz w:val="26"/>
          <w:szCs w:val="26"/>
        </w:rPr>
        <w:t>8</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rsidR="00B4613A" w:rsidRPr="002A5D4B" w:rsidRDefault="00B4613A" w:rsidP="00B4613A">
      <w:pPr>
        <w:spacing w:line="240" w:lineRule="auto"/>
        <w:ind w:firstLine="0"/>
        <w:jc w:val="left"/>
        <w:rPr>
          <w:sz w:val="26"/>
          <w:szCs w:val="26"/>
        </w:rPr>
      </w:pPr>
    </w:p>
    <w:p w:rsidR="00B4613A" w:rsidRPr="002A5D4B" w:rsidRDefault="00B4613A" w:rsidP="00B4613A">
      <w:pPr>
        <w:spacing w:line="240" w:lineRule="auto"/>
        <w:ind w:firstLine="0"/>
        <w:jc w:val="left"/>
        <w:rPr>
          <w:sz w:val="26"/>
          <w:szCs w:val="26"/>
        </w:rPr>
      </w:pPr>
      <w:r w:rsidRPr="002A5D4B">
        <w:rPr>
          <w:sz w:val="26"/>
          <w:szCs w:val="26"/>
        </w:rPr>
        <w:t>Commissioners Present:</w:t>
      </w:r>
    </w:p>
    <w:p w:rsidR="00B4613A" w:rsidRPr="002A5D4B" w:rsidRDefault="00B4613A" w:rsidP="00B4613A">
      <w:pPr>
        <w:spacing w:line="240" w:lineRule="auto"/>
        <w:ind w:firstLine="0"/>
        <w:jc w:val="left"/>
        <w:rPr>
          <w:sz w:val="26"/>
          <w:szCs w:val="26"/>
        </w:rPr>
      </w:pPr>
    </w:p>
    <w:p w:rsidR="00B4613A" w:rsidRPr="002A5D4B" w:rsidRDefault="00B4613A" w:rsidP="00B4613A">
      <w:pPr>
        <w:spacing w:line="240" w:lineRule="auto"/>
        <w:ind w:firstLine="0"/>
        <w:jc w:val="left"/>
        <w:rPr>
          <w:sz w:val="26"/>
          <w:szCs w:val="26"/>
        </w:rPr>
      </w:pPr>
      <w:r>
        <w:rPr>
          <w:sz w:val="26"/>
          <w:szCs w:val="26"/>
        </w:rPr>
        <w:tab/>
        <w:t>Gladys M. Brown</w:t>
      </w:r>
      <w:r w:rsidRPr="002A5D4B">
        <w:rPr>
          <w:sz w:val="26"/>
          <w:szCs w:val="26"/>
        </w:rPr>
        <w:t>, Chairman</w:t>
      </w:r>
    </w:p>
    <w:p w:rsidR="00B4613A" w:rsidRDefault="00B4613A" w:rsidP="00B4613A">
      <w:pPr>
        <w:spacing w:line="240" w:lineRule="auto"/>
        <w:ind w:firstLine="0"/>
        <w:jc w:val="left"/>
        <w:rPr>
          <w:sz w:val="26"/>
          <w:szCs w:val="26"/>
        </w:rPr>
      </w:pPr>
      <w:r>
        <w:rPr>
          <w:sz w:val="26"/>
          <w:szCs w:val="26"/>
        </w:rPr>
        <w:tab/>
        <w:t>Andrew G. Place</w:t>
      </w:r>
      <w:r w:rsidRPr="002A5D4B">
        <w:rPr>
          <w:sz w:val="26"/>
          <w:szCs w:val="26"/>
        </w:rPr>
        <w:t>, Vice Chairman</w:t>
      </w:r>
    </w:p>
    <w:p w:rsidR="00B4613A" w:rsidRDefault="00B4613A" w:rsidP="00B4613A">
      <w:pPr>
        <w:spacing w:line="240" w:lineRule="auto"/>
        <w:ind w:firstLine="0"/>
        <w:jc w:val="left"/>
        <w:rPr>
          <w:sz w:val="26"/>
          <w:szCs w:val="26"/>
        </w:rPr>
      </w:pPr>
      <w:r>
        <w:rPr>
          <w:sz w:val="26"/>
          <w:szCs w:val="26"/>
        </w:rPr>
        <w:tab/>
        <w:t>Norman J. Kennard</w:t>
      </w:r>
    </w:p>
    <w:p w:rsidR="00B4613A" w:rsidRDefault="00B4613A" w:rsidP="00B4613A">
      <w:pPr>
        <w:spacing w:line="240" w:lineRule="auto"/>
        <w:jc w:val="left"/>
        <w:rPr>
          <w:sz w:val="26"/>
          <w:szCs w:val="26"/>
        </w:rPr>
      </w:pPr>
      <w:r>
        <w:rPr>
          <w:sz w:val="26"/>
          <w:szCs w:val="26"/>
        </w:rPr>
        <w:t>David W. Sweet</w:t>
      </w:r>
    </w:p>
    <w:p w:rsidR="00B4613A" w:rsidRPr="002A5D4B" w:rsidRDefault="00B4613A" w:rsidP="00B4613A">
      <w:pPr>
        <w:spacing w:line="240" w:lineRule="auto"/>
        <w:jc w:val="left"/>
        <w:rPr>
          <w:sz w:val="26"/>
          <w:szCs w:val="26"/>
        </w:rPr>
      </w:pPr>
      <w:r>
        <w:rPr>
          <w:sz w:val="26"/>
          <w:szCs w:val="26"/>
        </w:rPr>
        <w:t>John F. Coleman, Jr.</w:t>
      </w:r>
    </w:p>
    <w:p w:rsidR="00B4613A" w:rsidRPr="002A5D4B" w:rsidRDefault="00B4613A" w:rsidP="00B4613A">
      <w:pPr>
        <w:spacing w:line="240" w:lineRule="auto"/>
        <w:ind w:firstLine="0"/>
        <w:jc w:val="left"/>
        <w:rPr>
          <w:sz w:val="26"/>
          <w:szCs w:val="26"/>
        </w:rPr>
      </w:pPr>
      <w:r w:rsidRPr="002A5D4B">
        <w:rPr>
          <w:sz w:val="26"/>
          <w:szCs w:val="26"/>
        </w:rPr>
        <w:tab/>
      </w:r>
    </w:p>
    <w:p w:rsidR="00B4613A" w:rsidRPr="007F73BF" w:rsidRDefault="00B4613A" w:rsidP="00B4613A">
      <w:pPr>
        <w:spacing w:line="240" w:lineRule="auto"/>
        <w:ind w:firstLine="0"/>
        <w:rPr>
          <w:sz w:val="26"/>
          <w:szCs w:val="26"/>
        </w:rPr>
      </w:pPr>
    </w:p>
    <w:p w:rsidR="00B4613A" w:rsidRPr="007F73BF" w:rsidRDefault="00B4613A" w:rsidP="00B4613A">
      <w:pPr>
        <w:spacing w:line="240" w:lineRule="auto"/>
        <w:ind w:firstLine="0"/>
        <w:rPr>
          <w:sz w:val="26"/>
          <w:szCs w:val="26"/>
        </w:rPr>
      </w:pPr>
    </w:p>
    <w:p w:rsidR="00B4613A" w:rsidRDefault="00B4613A" w:rsidP="00B4613A">
      <w:pPr>
        <w:tabs>
          <w:tab w:val="left" w:pos="-720"/>
          <w:tab w:val="left" w:pos="0"/>
        </w:tabs>
        <w:suppressAutoHyphens/>
        <w:spacing w:line="240" w:lineRule="auto"/>
        <w:ind w:firstLine="0"/>
        <w:jc w:val="left"/>
        <w:rPr>
          <w:sz w:val="26"/>
          <w:szCs w:val="26"/>
        </w:rPr>
      </w:pPr>
      <w:r>
        <w:rPr>
          <w:sz w:val="26"/>
          <w:szCs w:val="26"/>
        </w:rPr>
        <w:t xml:space="preserve">One Ten Associates, LLC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C-2015-2507068</w:t>
      </w:r>
    </w:p>
    <w:p w:rsidR="00B4613A" w:rsidRDefault="00B4613A" w:rsidP="00B4613A">
      <w:pPr>
        <w:tabs>
          <w:tab w:val="left" w:pos="-720"/>
          <w:tab w:val="left" w:pos="0"/>
        </w:tabs>
        <w:suppressAutoHyphens/>
        <w:spacing w:line="240" w:lineRule="auto"/>
        <w:ind w:firstLine="0"/>
        <w:jc w:val="left"/>
        <w:rPr>
          <w:b/>
          <w:sz w:val="26"/>
          <w:szCs w:val="26"/>
        </w:rPr>
      </w:pPr>
    </w:p>
    <w:p w:rsidR="00B4613A" w:rsidRDefault="00B4613A" w:rsidP="00B4613A">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B4613A" w:rsidRDefault="00B4613A" w:rsidP="00B4613A">
      <w:pPr>
        <w:tabs>
          <w:tab w:val="left" w:pos="-720"/>
          <w:tab w:val="left" w:pos="0"/>
        </w:tabs>
        <w:suppressAutoHyphens/>
        <w:spacing w:line="240" w:lineRule="auto"/>
        <w:ind w:firstLine="0"/>
        <w:jc w:val="left"/>
        <w:rPr>
          <w:sz w:val="26"/>
          <w:szCs w:val="26"/>
        </w:rPr>
      </w:pPr>
    </w:p>
    <w:p w:rsidR="00B4613A" w:rsidRDefault="00B4613A" w:rsidP="00B4613A">
      <w:pPr>
        <w:tabs>
          <w:tab w:val="left" w:pos="-720"/>
          <w:tab w:val="left" w:pos="0"/>
        </w:tabs>
        <w:suppressAutoHyphens/>
        <w:spacing w:line="240" w:lineRule="auto"/>
        <w:ind w:firstLine="0"/>
        <w:jc w:val="left"/>
        <w:rPr>
          <w:sz w:val="26"/>
          <w:szCs w:val="26"/>
        </w:rPr>
      </w:pPr>
      <w:r>
        <w:rPr>
          <w:sz w:val="26"/>
          <w:szCs w:val="26"/>
        </w:rPr>
        <w:t>Duquesne Light Company</w:t>
      </w:r>
    </w:p>
    <w:p w:rsidR="00B4613A" w:rsidRPr="001E0694" w:rsidRDefault="00B4613A" w:rsidP="00B4613A">
      <w:pPr>
        <w:tabs>
          <w:tab w:val="left" w:pos="-720"/>
          <w:tab w:val="left" w:pos="0"/>
        </w:tabs>
        <w:suppressAutoHyphens/>
        <w:spacing w:line="240" w:lineRule="auto"/>
        <w:ind w:firstLine="0"/>
        <w:jc w:val="left"/>
        <w:rPr>
          <w:sz w:val="26"/>
          <w:szCs w:val="26"/>
        </w:rPr>
      </w:pPr>
    </w:p>
    <w:p w:rsidR="00B4613A" w:rsidRDefault="00B4613A" w:rsidP="00B4613A">
      <w:pPr>
        <w:tabs>
          <w:tab w:val="left" w:pos="-720"/>
        </w:tabs>
        <w:suppressAutoHyphens/>
        <w:ind w:firstLine="0"/>
        <w:jc w:val="left"/>
        <w:rPr>
          <w:sz w:val="26"/>
        </w:rPr>
      </w:pPr>
    </w:p>
    <w:p w:rsidR="00B4613A" w:rsidRDefault="00B4613A" w:rsidP="00B4613A">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B4613A" w:rsidRDefault="00B4613A" w:rsidP="00B4613A">
      <w:pPr>
        <w:suppressAutoHyphens/>
        <w:ind w:firstLine="0"/>
        <w:rPr>
          <w:b/>
          <w:sz w:val="26"/>
          <w:szCs w:val="26"/>
        </w:rPr>
      </w:pPr>
    </w:p>
    <w:p w:rsidR="00B4613A" w:rsidRDefault="00B4613A" w:rsidP="00B4613A">
      <w:pPr>
        <w:tabs>
          <w:tab w:val="left" w:pos="-720"/>
        </w:tabs>
        <w:suppressAutoHyphens/>
        <w:ind w:firstLine="0"/>
        <w:jc w:val="left"/>
        <w:rPr>
          <w:sz w:val="26"/>
        </w:rPr>
      </w:pPr>
      <w:r w:rsidRPr="00624B80">
        <w:rPr>
          <w:b/>
          <w:sz w:val="26"/>
        </w:rPr>
        <w:t>BY THE COMMISSION:</w:t>
      </w:r>
    </w:p>
    <w:p w:rsidR="00B4613A" w:rsidRDefault="00B4613A" w:rsidP="00B4613A">
      <w:pPr>
        <w:ind w:firstLine="0"/>
        <w:jc w:val="left"/>
        <w:rPr>
          <w:sz w:val="26"/>
          <w:szCs w:val="26"/>
        </w:rPr>
      </w:pPr>
    </w:p>
    <w:p w:rsidR="00A11E3C" w:rsidRDefault="00B4613A" w:rsidP="00B4613A">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and disposition are the Exceptions of One Ten Associates, LLC (Complainant</w:t>
      </w:r>
      <w:r w:rsidR="006101F6">
        <w:rPr>
          <w:sz w:val="26"/>
          <w:szCs w:val="26"/>
        </w:rPr>
        <w:t xml:space="preserve"> or One Ten</w:t>
      </w:r>
      <w:r>
        <w:rPr>
          <w:sz w:val="26"/>
          <w:szCs w:val="26"/>
        </w:rPr>
        <w:t>) filed on October 14, 2016, to the Initial Decision (I.D.) of Administrative Law Judge (ALJ) Steven K. Haas, issued on September 26, 2016, relative to the above-captioned proceeding.  Replies to Exceptions were filed by Duquesne Light Company (Duquesne or the Company) on October 21, 2016.</w:t>
      </w:r>
      <w:r w:rsidR="0057189A">
        <w:rPr>
          <w:sz w:val="26"/>
          <w:szCs w:val="26"/>
        </w:rPr>
        <w:t xml:space="preserve">  For the reasons stated below, we shall </w:t>
      </w:r>
      <w:r w:rsidR="001F2D58">
        <w:rPr>
          <w:sz w:val="26"/>
          <w:szCs w:val="26"/>
        </w:rPr>
        <w:t xml:space="preserve">deny the Complainant’s Exceptions and </w:t>
      </w:r>
      <w:r w:rsidR="0057189A">
        <w:rPr>
          <w:sz w:val="26"/>
          <w:szCs w:val="26"/>
        </w:rPr>
        <w:t>adopt the ALJ’s Initial Decision</w:t>
      </w:r>
      <w:r w:rsidR="001F2D58">
        <w:rPr>
          <w:sz w:val="26"/>
          <w:szCs w:val="26"/>
        </w:rPr>
        <w:t>.</w:t>
      </w:r>
    </w:p>
    <w:p w:rsidR="004A44D1" w:rsidRDefault="004A44D1">
      <w:pPr>
        <w:spacing w:after="200" w:line="276" w:lineRule="auto"/>
        <w:ind w:firstLine="0"/>
        <w:jc w:val="left"/>
        <w:rPr>
          <w:sz w:val="26"/>
          <w:szCs w:val="26"/>
        </w:rPr>
      </w:pPr>
    </w:p>
    <w:p w:rsidR="00B4613A" w:rsidRDefault="00B4613A" w:rsidP="001F2D58">
      <w:pPr>
        <w:pStyle w:val="ListParagraph"/>
        <w:keepNext/>
        <w:keepLines/>
        <w:numPr>
          <w:ilvl w:val="0"/>
          <w:numId w:val="1"/>
        </w:numPr>
        <w:ind w:left="0" w:firstLine="0"/>
        <w:rPr>
          <w:b/>
          <w:sz w:val="26"/>
          <w:szCs w:val="26"/>
        </w:rPr>
      </w:pPr>
      <w:r w:rsidRPr="00D46080">
        <w:rPr>
          <w:b/>
          <w:sz w:val="26"/>
          <w:szCs w:val="26"/>
        </w:rPr>
        <w:lastRenderedPageBreak/>
        <w:t>History of the Proceeding</w:t>
      </w:r>
    </w:p>
    <w:p w:rsidR="00D46080" w:rsidRDefault="00D46080" w:rsidP="001F2D58">
      <w:pPr>
        <w:pStyle w:val="ListParagraph"/>
        <w:keepNext/>
        <w:keepLines/>
        <w:ind w:left="0" w:firstLine="0"/>
        <w:jc w:val="both"/>
        <w:rPr>
          <w:b/>
          <w:sz w:val="26"/>
          <w:szCs w:val="26"/>
        </w:rPr>
      </w:pPr>
    </w:p>
    <w:p w:rsidR="00D46080" w:rsidRDefault="00D46080" w:rsidP="006101F6">
      <w:pPr>
        <w:pStyle w:val="Default"/>
        <w:spacing w:line="360" w:lineRule="auto"/>
        <w:ind w:firstLine="1440"/>
        <w:rPr>
          <w:color w:val="auto"/>
          <w:sz w:val="26"/>
          <w:szCs w:val="26"/>
        </w:rPr>
      </w:pPr>
      <w:r w:rsidRPr="00D46080">
        <w:rPr>
          <w:sz w:val="26"/>
          <w:szCs w:val="26"/>
        </w:rPr>
        <w:t xml:space="preserve">On September 29, 2015, a </w:t>
      </w:r>
      <w:r>
        <w:rPr>
          <w:sz w:val="26"/>
          <w:szCs w:val="26"/>
        </w:rPr>
        <w:t>F</w:t>
      </w:r>
      <w:r w:rsidRPr="00D46080">
        <w:rPr>
          <w:sz w:val="26"/>
          <w:szCs w:val="26"/>
        </w:rPr>
        <w:t xml:space="preserve">ormal </w:t>
      </w:r>
      <w:r>
        <w:rPr>
          <w:sz w:val="26"/>
          <w:szCs w:val="26"/>
        </w:rPr>
        <w:t>C</w:t>
      </w:r>
      <w:r w:rsidRPr="00D46080">
        <w:rPr>
          <w:sz w:val="26"/>
          <w:szCs w:val="26"/>
        </w:rPr>
        <w:t xml:space="preserve">omplaint </w:t>
      </w:r>
      <w:r w:rsidR="00E436FB">
        <w:rPr>
          <w:sz w:val="26"/>
          <w:szCs w:val="26"/>
        </w:rPr>
        <w:t xml:space="preserve">(Complaint) </w:t>
      </w:r>
      <w:r w:rsidRPr="00D46080">
        <w:rPr>
          <w:sz w:val="26"/>
          <w:szCs w:val="26"/>
        </w:rPr>
        <w:t xml:space="preserve">was filed against Duquesne wherein the Complainant was identified as John Lee, UtiliSave, LLC (UtiliSave). </w:t>
      </w:r>
      <w:r>
        <w:rPr>
          <w:sz w:val="26"/>
          <w:szCs w:val="26"/>
        </w:rPr>
        <w:t xml:space="preserve"> </w:t>
      </w:r>
      <w:r w:rsidR="006101F6">
        <w:rPr>
          <w:sz w:val="26"/>
          <w:szCs w:val="26"/>
        </w:rPr>
        <w:t xml:space="preserve">The Complaint identified </w:t>
      </w:r>
      <w:r w:rsidRPr="00D46080">
        <w:rPr>
          <w:sz w:val="26"/>
          <w:szCs w:val="26"/>
        </w:rPr>
        <w:t xml:space="preserve">the account </w:t>
      </w:r>
      <w:r w:rsidR="006101F6">
        <w:rPr>
          <w:sz w:val="26"/>
          <w:szCs w:val="26"/>
        </w:rPr>
        <w:t xml:space="preserve">holder </w:t>
      </w:r>
      <w:r w:rsidRPr="00D46080">
        <w:rPr>
          <w:sz w:val="26"/>
          <w:szCs w:val="26"/>
        </w:rPr>
        <w:t>and the service address as One Ten Associates, 435 7th Avenue, Pittsburgh, PA 15219</w:t>
      </w:r>
      <w:r w:rsidR="006101F6">
        <w:rPr>
          <w:sz w:val="26"/>
          <w:szCs w:val="26"/>
        </w:rPr>
        <w:t xml:space="preserve">, but was </w:t>
      </w:r>
      <w:r w:rsidRPr="00D46080">
        <w:rPr>
          <w:sz w:val="26"/>
          <w:szCs w:val="26"/>
        </w:rPr>
        <w:t xml:space="preserve">signed by John Lee, Business Analyst Auditor. </w:t>
      </w:r>
      <w:r w:rsidR="006101F6">
        <w:rPr>
          <w:sz w:val="26"/>
          <w:szCs w:val="26"/>
        </w:rPr>
        <w:t xml:space="preserve"> </w:t>
      </w:r>
      <w:r w:rsidRPr="00D46080">
        <w:rPr>
          <w:sz w:val="26"/>
          <w:szCs w:val="26"/>
        </w:rPr>
        <w:t xml:space="preserve">In the </w:t>
      </w:r>
      <w:r w:rsidR="006101F6">
        <w:rPr>
          <w:sz w:val="26"/>
          <w:szCs w:val="26"/>
        </w:rPr>
        <w:t>C</w:t>
      </w:r>
      <w:r w:rsidRPr="00D46080">
        <w:rPr>
          <w:sz w:val="26"/>
          <w:szCs w:val="26"/>
        </w:rPr>
        <w:t xml:space="preserve">omplaint, it was noted that Draxxhall Management Corporation retained UtiliSave to audit its utility bills. </w:t>
      </w:r>
      <w:r w:rsidR="006101F6">
        <w:rPr>
          <w:sz w:val="26"/>
          <w:szCs w:val="26"/>
        </w:rPr>
        <w:t xml:space="preserve"> </w:t>
      </w:r>
      <w:r w:rsidRPr="00D46080">
        <w:rPr>
          <w:sz w:val="26"/>
          <w:szCs w:val="26"/>
        </w:rPr>
        <w:t xml:space="preserve">The </w:t>
      </w:r>
      <w:r w:rsidR="006101F6">
        <w:rPr>
          <w:sz w:val="26"/>
          <w:szCs w:val="26"/>
        </w:rPr>
        <w:t>C</w:t>
      </w:r>
      <w:r w:rsidRPr="00D46080">
        <w:rPr>
          <w:sz w:val="26"/>
          <w:szCs w:val="26"/>
        </w:rPr>
        <w:t xml:space="preserve">omplaint alleged that Duquesne is incorrectly calculating the customer’s electric bills, based on a misapplication of applicable provisions of Duquesne’s </w:t>
      </w:r>
      <w:r w:rsidR="006101F6">
        <w:rPr>
          <w:sz w:val="26"/>
          <w:szCs w:val="26"/>
        </w:rPr>
        <w:t>T</w:t>
      </w:r>
      <w:r w:rsidRPr="00D46080">
        <w:rPr>
          <w:sz w:val="26"/>
          <w:szCs w:val="26"/>
        </w:rPr>
        <w:t xml:space="preserve">ariff. </w:t>
      </w:r>
      <w:r w:rsidR="006101F6">
        <w:rPr>
          <w:sz w:val="26"/>
          <w:szCs w:val="26"/>
        </w:rPr>
        <w:t xml:space="preserve"> As</w:t>
      </w:r>
      <w:r w:rsidRPr="00D46080">
        <w:rPr>
          <w:sz w:val="26"/>
          <w:szCs w:val="26"/>
        </w:rPr>
        <w:t xml:space="preserve"> relief, </w:t>
      </w:r>
      <w:r w:rsidR="006101F6">
        <w:rPr>
          <w:sz w:val="26"/>
          <w:szCs w:val="26"/>
        </w:rPr>
        <w:t xml:space="preserve">the </w:t>
      </w:r>
      <w:r w:rsidRPr="00D46080">
        <w:rPr>
          <w:sz w:val="26"/>
          <w:szCs w:val="26"/>
        </w:rPr>
        <w:t xml:space="preserve">Complainant requested that </w:t>
      </w:r>
      <w:r w:rsidRPr="00D46080">
        <w:rPr>
          <w:color w:val="auto"/>
          <w:sz w:val="26"/>
          <w:szCs w:val="26"/>
        </w:rPr>
        <w:t xml:space="preserve">Duquesne be required to recalculate the customer’s bills and, if the recalculation reveals overbilling, refund the overpayments directly to its consultant, UtiliSave. </w:t>
      </w:r>
      <w:r w:rsidR="006101F6">
        <w:rPr>
          <w:color w:val="auto"/>
          <w:sz w:val="26"/>
          <w:szCs w:val="26"/>
        </w:rPr>
        <w:t xml:space="preserve"> Complaint at 1-3.</w:t>
      </w:r>
    </w:p>
    <w:p w:rsidR="006101F6" w:rsidRPr="00D46080" w:rsidRDefault="006101F6" w:rsidP="006101F6">
      <w:pPr>
        <w:pStyle w:val="Default"/>
        <w:spacing w:line="360" w:lineRule="auto"/>
        <w:ind w:firstLine="1440"/>
        <w:rPr>
          <w:color w:val="auto"/>
          <w:sz w:val="26"/>
          <w:szCs w:val="26"/>
        </w:rPr>
      </w:pPr>
    </w:p>
    <w:p w:rsidR="00F47463" w:rsidRDefault="00D46080" w:rsidP="006101F6">
      <w:pPr>
        <w:pStyle w:val="Default"/>
        <w:spacing w:line="360" w:lineRule="auto"/>
        <w:ind w:firstLine="1440"/>
        <w:rPr>
          <w:color w:val="auto"/>
          <w:sz w:val="26"/>
          <w:szCs w:val="26"/>
        </w:rPr>
      </w:pPr>
      <w:r w:rsidRPr="00D46080">
        <w:rPr>
          <w:color w:val="auto"/>
          <w:sz w:val="26"/>
          <w:szCs w:val="26"/>
        </w:rPr>
        <w:t xml:space="preserve">On October 25, 2015, Duquesne filed an </w:t>
      </w:r>
      <w:r w:rsidR="001D698E">
        <w:rPr>
          <w:color w:val="auto"/>
          <w:sz w:val="26"/>
          <w:szCs w:val="26"/>
        </w:rPr>
        <w:t>A</w:t>
      </w:r>
      <w:r w:rsidRPr="00D46080">
        <w:rPr>
          <w:color w:val="auto"/>
          <w:sz w:val="26"/>
          <w:szCs w:val="26"/>
        </w:rPr>
        <w:t>nswer</w:t>
      </w:r>
      <w:r w:rsidR="001D698E">
        <w:rPr>
          <w:color w:val="auto"/>
          <w:sz w:val="26"/>
          <w:szCs w:val="26"/>
        </w:rPr>
        <w:t xml:space="preserve"> and N</w:t>
      </w:r>
      <w:r w:rsidRPr="00D46080">
        <w:rPr>
          <w:color w:val="auto"/>
          <w:sz w:val="26"/>
          <w:szCs w:val="26"/>
        </w:rPr>
        <w:t xml:space="preserve">ew </w:t>
      </w:r>
      <w:r w:rsidR="001D698E">
        <w:rPr>
          <w:color w:val="auto"/>
          <w:sz w:val="26"/>
          <w:szCs w:val="26"/>
        </w:rPr>
        <w:t>M</w:t>
      </w:r>
      <w:r w:rsidRPr="00D46080">
        <w:rPr>
          <w:color w:val="auto"/>
          <w:sz w:val="26"/>
          <w:szCs w:val="26"/>
        </w:rPr>
        <w:t>atter</w:t>
      </w:r>
      <w:r w:rsidR="001D698E">
        <w:rPr>
          <w:color w:val="auto"/>
          <w:sz w:val="26"/>
          <w:szCs w:val="26"/>
        </w:rPr>
        <w:t>, as well as</w:t>
      </w:r>
      <w:r w:rsidRPr="00D46080">
        <w:rPr>
          <w:color w:val="auto"/>
          <w:sz w:val="26"/>
          <w:szCs w:val="26"/>
        </w:rPr>
        <w:t xml:space="preserve"> </w:t>
      </w:r>
      <w:r w:rsidR="001D698E">
        <w:rPr>
          <w:color w:val="auto"/>
          <w:sz w:val="26"/>
          <w:szCs w:val="26"/>
        </w:rPr>
        <w:t>P</w:t>
      </w:r>
      <w:r w:rsidRPr="00D46080">
        <w:rPr>
          <w:color w:val="auto"/>
          <w:sz w:val="26"/>
          <w:szCs w:val="26"/>
        </w:rPr>
        <w:t xml:space="preserve">reliminary </w:t>
      </w:r>
      <w:r w:rsidR="001D698E">
        <w:rPr>
          <w:color w:val="auto"/>
          <w:sz w:val="26"/>
          <w:szCs w:val="26"/>
        </w:rPr>
        <w:t>O</w:t>
      </w:r>
      <w:r w:rsidRPr="00D46080">
        <w:rPr>
          <w:color w:val="auto"/>
          <w:sz w:val="26"/>
          <w:szCs w:val="26"/>
        </w:rPr>
        <w:t xml:space="preserve">bjections to the </w:t>
      </w:r>
      <w:r w:rsidR="001D698E">
        <w:rPr>
          <w:color w:val="auto"/>
          <w:sz w:val="26"/>
          <w:szCs w:val="26"/>
        </w:rPr>
        <w:t>C</w:t>
      </w:r>
      <w:r w:rsidRPr="00D46080">
        <w:rPr>
          <w:color w:val="auto"/>
          <w:sz w:val="26"/>
          <w:szCs w:val="26"/>
        </w:rPr>
        <w:t xml:space="preserve">omplaint. </w:t>
      </w:r>
      <w:r w:rsidR="001D698E">
        <w:rPr>
          <w:color w:val="auto"/>
          <w:sz w:val="26"/>
          <w:szCs w:val="26"/>
        </w:rPr>
        <w:t xml:space="preserve"> </w:t>
      </w:r>
      <w:r w:rsidRPr="00D46080">
        <w:rPr>
          <w:color w:val="auto"/>
          <w:sz w:val="26"/>
          <w:szCs w:val="26"/>
        </w:rPr>
        <w:t xml:space="preserve">In its </w:t>
      </w:r>
      <w:r w:rsidR="001D698E">
        <w:rPr>
          <w:color w:val="auto"/>
          <w:sz w:val="26"/>
          <w:szCs w:val="26"/>
        </w:rPr>
        <w:t>A</w:t>
      </w:r>
      <w:r w:rsidRPr="00D46080">
        <w:rPr>
          <w:color w:val="auto"/>
          <w:sz w:val="26"/>
          <w:szCs w:val="26"/>
        </w:rPr>
        <w:t xml:space="preserve">nswer, Duquesne denied the material allegations in the </w:t>
      </w:r>
      <w:r w:rsidR="001D698E">
        <w:rPr>
          <w:color w:val="auto"/>
          <w:sz w:val="26"/>
          <w:szCs w:val="26"/>
        </w:rPr>
        <w:t>C</w:t>
      </w:r>
      <w:r w:rsidRPr="00D46080">
        <w:rPr>
          <w:color w:val="auto"/>
          <w:sz w:val="26"/>
          <w:szCs w:val="26"/>
        </w:rPr>
        <w:t xml:space="preserve">omplaint. </w:t>
      </w:r>
      <w:r w:rsidR="001D698E">
        <w:rPr>
          <w:color w:val="auto"/>
          <w:sz w:val="26"/>
          <w:szCs w:val="26"/>
        </w:rPr>
        <w:t xml:space="preserve"> The Company</w:t>
      </w:r>
      <w:r w:rsidRPr="00D46080">
        <w:rPr>
          <w:color w:val="auto"/>
          <w:sz w:val="26"/>
          <w:szCs w:val="26"/>
        </w:rPr>
        <w:t xml:space="preserve"> further argued that the individual who signed the </w:t>
      </w:r>
      <w:r w:rsidR="008B5AAA">
        <w:rPr>
          <w:color w:val="auto"/>
          <w:sz w:val="26"/>
          <w:szCs w:val="26"/>
        </w:rPr>
        <w:t>C</w:t>
      </w:r>
      <w:r w:rsidRPr="00D46080">
        <w:rPr>
          <w:color w:val="auto"/>
          <w:sz w:val="26"/>
          <w:szCs w:val="26"/>
        </w:rPr>
        <w:t xml:space="preserve">omplaint, John Lee, lacked standing to bring this </w:t>
      </w:r>
      <w:r w:rsidR="008B5AAA">
        <w:rPr>
          <w:color w:val="auto"/>
          <w:sz w:val="26"/>
          <w:szCs w:val="26"/>
        </w:rPr>
        <w:t>C</w:t>
      </w:r>
      <w:r w:rsidRPr="00D46080">
        <w:rPr>
          <w:color w:val="auto"/>
          <w:sz w:val="26"/>
          <w:szCs w:val="26"/>
        </w:rPr>
        <w:t>omplaint since neither he nor UtiliSave are customers of Duquesne</w:t>
      </w:r>
      <w:r w:rsidR="00BD21D2">
        <w:rPr>
          <w:color w:val="auto"/>
          <w:sz w:val="26"/>
          <w:szCs w:val="26"/>
        </w:rPr>
        <w:t>;</w:t>
      </w:r>
      <w:r w:rsidRPr="00D46080">
        <w:rPr>
          <w:color w:val="auto"/>
          <w:sz w:val="26"/>
          <w:szCs w:val="26"/>
        </w:rPr>
        <w:t xml:space="preserve"> nor is Mr. Lee an attorney licensed to practice in Pennsylvania. </w:t>
      </w:r>
      <w:r w:rsidR="008B5AAA">
        <w:rPr>
          <w:color w:val="auto"/>
          <w:sz w:val="26"/>
          <w:szCs w:val="26"/>
        </w:rPr>
        <w:t xml:space="preserve"> </w:t>
      </w:r>
      <w:r w:rsidRPr="00D46080">
        <w:rPr>
          <w:color w:val="auto"/>
          <w:sz w:val="26"/>
          <w:szCs w:val="26"/>
        </w:rPr>
        <w:t xml:space="preserve">Duquesne made similar averments about standing and representation in its </w:t>
      </w:r>
      <w:r w:rsidR="008B5AAA">
        <w:rPr>
          <w:color w:val="auto"/>
          <w:sz w:val="26"/>
          <w:szCs w:val="26"/>
        </w:rPr>
        <w:t>N</w:t>
      </w:r>
      <w:r w:rsidRPr="00D46080">
        <w:rPr>
          <w:color w:val="auto"/>
          <w:sz w:val="26"/>
          <w:szCs w:val="26"/>
        </w:rPr>
        <w:t xml:space="preserve">ew </w:t>
      </w:r>
      <w:r w:rsidR="008B5AAA">
        <w:rPr>
          <w:color w:val="auto"/>
          <w:sz w:val="26"/>
          <w:szCs w:val="26"/>
        </w:rPr>
        <w:t>M</w:t>
      </w:r>
      <w:r w:rsidRPr="00D46080">
        <w:rPr>
          <w:color w:val="auto"/>
          <w:sz w:val="26"/>
          <w:szCs w:val="26"/>
        </w:rPr>
        <w:t xml:space="preserve">atter and requested that the </w:t>
      </w:r>
      <w:r w:rsidR="008B5AAA">
        <w:rPr>
          <w:color w:val="auto"/>
          <w:sz w:val="26"/>
          <w:szCs w:val="26"/>
        </w:rPr>
        <w:t>C</w:t>
      </w:r>
      <w:r w:rsidRPr="00D46080">
        <w:rPr>
          <w:color w:val="auto"/>
          <w:sz w:val="26"/>
          <w:szCs w:val="26"/>
        </w:rPr>
        <w:t xml:space="preserve">omplaint be dismissed unless an attorney licensed to practice in Pennsylvania entered an appearance on behalf of the customer prior to the hearing. </w:t>
      </w:r>
      <w:r w:rsidR="008B5AAA">
        <w:rPr>
          <w:color w:val="auto"/>
          <w:sz w:val="26"/>
          <w:szCs w:val="26"/>
        </w:rPr>
        <w:t xml:space="preserve"> </w:t>
      </w:r>
      <w:r w:rsidR="00F47463">
        <w:rPr>
          <w:color w:val="auto"/>
          <w:sz w:val="26"/>
          <w:szCs w:val="26"/>
        </w:rPr>
        <w:t xml:space="preserve">Answer at </w:t>
      </w:r>
      <w:r w:rsidR="00FA6932">
        <w:rPr>
          <w:color w:val="auto"/>
          <w:sz w:val="26"/>
          <w:szCs w:val="26"/>
        </w:rPr>
        <w:t>1-5.</w:t>
      </w:r>
    </w:p>
    <w:p w:rsidR="00F47463" w:rsidRDefault="00F47463" w:rsidP="006101F6">
      <w:pPr>
        <w:pStyle w:val="Default"/>
        <w:spacing w:line="360" w:lineRule="auto"/>
        <w:ind w:firstLine="1440"/>
        <w:rPr>
          <w:color w:val="auto"/>
          <w:sz w:val="26"/>
          <w:szCs w:val="26"/>
        </w:rPr>
      </w:pPr>
    </w:p>
    <w:p w:rsidR="00A92891" w:rsidRDefault="00D46080" w:rsidP="006101F6">
      <w:pPr>
        <w:pStyle w:val="Default"/>
        <w:spacing w:line="360" w:lineRule="auto"/>
        <w:ind w:firstLine="1440"/>
        <w:rPr>
          <w:color w:val="auto"/>
          <w:sz w:val="26"/>
          <w:szCs w:val="26"/>
        </w:rPr>
      </w:pPr>
      <w:r w:rsidRPr="00D46080">
        <w:rPr>
          <w:color w:val="auto"/>
          <w:sz w:val="26"/>
          <w:szCs w:val="26"/>
        </w:rPr>
        <w:t>In its P</w:t>
      </w:r>
      <w:r w:rsidR="008B5AAA">
        <w:rPr>
          <w:color w:val="auto"/>
          <w:sz w:val="26"/>
          <w:szCs w:val="26"/>
        </w:rPr>
        <w:t>reliminary Objection</w:t>
      </w:r>
      <w:r w:rsidRPr="00D46080">
        <w:rPr>
          <w:color w:val="auto"/>
          <w:sz w:val="26"/>
          <w:szCs w:val="26"/>
        </w:rPr>
        <w:t xml:space="preserve">, Duquesne sought dismissal of the </w:t>
      </w:r>
      <w:r w:rsidR="006F1468">
        <w:rPr>
          <w:color w:val="auto"/>
          <w:sz w:val="26"/>
          <w:szCs w:val="26"/>
        </w:rPr>
        <w:t>C</w:t>
      </w:r>
      <w:r w:rsidRPr="00D46080">
        <w:rPr>
          <w:color w:val="auto"/>
          <w:sz w:val="26"/>
          <w:szCs w:val="26"/>
        </w:rPr>
        <w:t>omplaint on similar grounds.</w:t>
      </w:r>
      <w:r w:rsidR="006F1468">
        <w:rPr>
          <w:color w:val="auto"/>
          <w:sz w:val="26"/>
          <w:szCs w:val="26"/>
        </w:rPr>
        <w:t xml:space="preserve">  Preliminary Objections at 1-6.</w:t>
      </w:r>
    </w:p>
    <w:p w:rsidR="00D46080" w:rsidRPr="00D46080" w:rsidRDefault="00D46080" w:rsidP="006101F6">
      <w:pPr>
        <w:pStyle w:val="Default"/>
        <w:spacing w:line="360" w:lineRule="auto"/>
        <w:ind w:firstLine="1440"/>
        <w:rPr>
          <w:color w:val="auto"/>
          <w:sz w:val="26"/>
          <w:szCs w:val="26"/>
        </w:rPr>
      </w:pPr>
      <w:r w:rsidRPr="00D46080">
        <w:rPr>
          <w:color w:val="auto"/>
          <w:sz w:val="26"/>
          <w:szCs w:val="26"/>
        </w:rPr>
        <w:t xml:space="preserve"> </w:t>
      </w:r>
    </w:p>
    <w:p w:rsidR="00286FD1" w:rsidRDefault="00D46080" w:rsidP="00F06D90">
      <w:pPr>
        <w:pStyle w:val="Default"/>
        <w:spacing w:line="360" w:lineRule="auto"/>
        <w:ind w:firstLine="1440"/>
        <w:rPr>
          <w:color w:val="auto"/>
          <w:sz w:val="26"/>
          <w:szCs w:val="26"/>
        </w:rPr>
      </w:pPr>
      <w:r w:rsidRPr="00D46080">
        <w:rPr>
          <w:color w:val="auto"/>
          <w:sz w:val="26"/>
          <w:szCs w:val="26"/>
        </w:rPr>
        <w:t xml:space="preserve">On November 11, 2015, a letter purporting to be a Notice of Entry of Appearance was filed by John G. Harris, Esquire, on behalf of the </w:t>
      </w:r>
      <w:r w:rsidR="00F06D90">
        <w:rPr>
          <w:color w:val="auto"/>
          <w:sz w:val="26"/>
          <w:szCs w:val="26"/>
        </w:rPr>
        <w:t>Complainant</w:t>
      </w:r>
      <w:r w:rsidRPr="00D46080">
        <w:rPr>
          <w:color w:val="auto"/>
          <w:sz w:val="26"/>
          <w:szCs w:val="26"/>
        </w:rPr>
        <w:t xml:space="preserve"> in this </w:t>
      </w:r>
      <w:r w:rsidRPr="00D46080">
        <w:rPr>
          <w:color w:val="auto"/>
          <w:sz w:val="26"/>
          <w:szCs w:val="26"/>
        </w:rPr>
        <w:lastRenderedPageBreak/>
        <w:t xml:space="preserve">matter. </w:t>
      </w:r>
      <w:r w:rsidR="00B662FF">
        <w:rPr>
          <w:color w:val="auto"/>
          <w:sz w:val="26"/>
          <w:szCs w:val="26"/>
        </w:rPr>
        <w:t xml:space="preserve"> </w:t>
      </w:r>
      <w:r w:rsidRPr="00D46080">
        <w:rPr>
          <w:color w:val="auto"/>
          <w:sz w:val="26"/>
          <w:szCs w:val="26"/>
        </w:rPr>
        <w:t xml:space="preserve">Attached to the Notice of Appearance was a document authorizing UtiliSave and </w:t>
      </w:r>
      <w:r w:rsidR="00250E79">
        <w:rPr>
          <w:color w:val="auto"/>
          <w:sz w:val="26"/>
          <w:szCs w:val="26"/>
        </w:rPr>
        <w:t>A</w:t>
      </w:r>
      <w:r w:rsidRPr="00D46080">
        <w:rPr>
          <w:color w:val="auto"/>
          <w:sz w:val="26"/>
          <w:szCs w:val="26"/>
        </w:rPr>
        <w:t>ttorney Harris to represent One Ten (among other entities) in proceedings involving complaints submitted to the Commission.</w:t>
      </w:r>
      <w:r w:rsidR="00F06D90">
        <w:rPr>
          <w:color w:val="auto"/>
          <w:sz w:val="26"/>
          <w:szCs w:val="26"/>
        </w:rPr>
        <w:t xml:space="preserve">  </w:t>
      </w:r>
      <w:r w:rsidRPr="00D46080">
        <w:rPr>
          <w:color w:val="auto"/>
          <w:sz w:val="26"/>
          <w:szCs w:val="26"/>
        </w:rPr>
        <w:t xml:space="preserve">Subsequently, on November 12, 2015, Attorney Harris submitted an </w:t>
      </w:r>
      <w:r w:rsidR="00F06D90">
        <w:rPr>
          <w:color w:val="auto"/>
          <w:sz w:val="26"/>
          <w:szCs w:val="26"/>
        </w:rPr>
        <w:t>A</w:t>
      </w:r>
      <w:r w:rsidRPr="00D46080">
        <w:rPr>
          <w:color w:val="auto"/>
          <w:sz w:val="26"/>
          <w:szCs w:val="26"/>
        </w:rPr>
        <w:t xml:space="preserve">mended </w:t>
      </w:r>
      <w:r w:rsidR="00F06D90">
        <w:rPr>
          <w:color w:val="auto"/>
          <w:sz w:val="26"/>
          <w:szCs w:val="26"/>
        </w:rPr>
        <w:t>C</w:t>
      </w:r>
      <w:r w:rsidRPr="00D46080">
        <w:rPr>
          <w:color w:val="auto"/>
          <w:sz w:val="26"/>
          <w:szCs w:val="26"/>
        </w:rPr>
        <w:t xml:space="preserve">omplaint against Duquesne in which he identified the customer (Complainant) as, “John G. Harris, Esquire (UtiliSave, LLC) on behalf of One Ten Associates (Draxxhall Management).” </w:t>
      </w:r>
      <w:r w:rsidR="00F06D90">
        <w:rPr>
          <w:color w:val="auto"/>
          <w:sz w:val="26"/>
          <w:szCs w:val="26"/>
        </w:rPr>
        <w:t xml:space="preserve"> </w:t>
      </w:r>
      <w:r w:rsidRPr="00D46080">
        <w:rPr>
          <w:color w:val="auto"/>
          <w:sz w:val="26"/>
          <w:szCs w:val="26"/>
        </w:rPr>
        <w:t xml:space="preserve">The </w:t>
      </w:r>
      <w:r w:rsidR="00286FD1">
        <w:rPr>
          <w:color w:val="auto"/>
          <w:sz w:val="26"/>
          <w:szCs w:val="26"/>
        </w:rPr>
        <w:t>A</w:t>
      </w:r>
      <w:r w:rsidRPr="00D46080">
        <w:rPr>
          <w:color w:val="auto"/>
          <w:sz w:val="26"/>
          <w:szCs w:val="26"/>
        </w:rPr>
        <w:t xml:space="preserve">mended </w:t>
      </w:r>
      <w:r w:rsidR="00286FD1">
        <w:rPr>
          <w:color w:val="auto"/>
          <w:sz w:val="26"/>
          <w:szCs w:val="26"/>
        </w:rPr>
        <w:t>C</w:t>
      </w:r>
      <w:r w:rsidRPr="00D46080">
        <w:rPr>
          <w:color w:val="auto"/>
          <w:sz w:val="26"/>
          <w:szCs w:val="26"/>
        </w:rPr>
        <w:t>omplaint listed the service address at issue as 435 7th Avenue, Pittsburgh, PA 15219, and One Ten as the name on the service</w:t>
      </w:r>
      <w:r w:rsidR="005F2F01">
        <w:rPr>
          <w:color w:val="auto"/>
          <w:sz w:val="26"/>
          <w:szCs w:val="26"/>
        </w:rPr>
        <w:t xml:space="preserve"> </w:t>
      </w:r>
      <w:r w:rsidR="00712CF9">
        <w:rPr>
          <w:color w:val="auto"/>
          <w:sz w:val="26"/>
          <w:szCs w:val="26"/>
        </w:rPr>
        <w:t>account</w:t>
      </w:r>
      <w:r w:rsidRPr="00D46080">
        <w:rPr>
          <w:color w:val="auto"/>
          <w:sz w:val="26"/>
          <w:szCs w:val="26"/>
        </w:rPr>
        <w:t xml:space="preserve">. </w:t>
      </w:r>
      <w:r w:rsidR="009C18C5">
        <w:rPr>
          <w:color w:val="auto"/>
          <w:sz w:val="26"/>
          <w:szCs w:val="26"/>
        </w:rPr>
        <w:t xml:space="preserve"> </w:t>
      </w:r>
      <w:r w:rsidRPr="00D46080">
        <w:rPr>
          <w:color w:val="auto"/>
          <w:sz w:val="26"/>
          <w:szCs w:val="26"/>
        </w:rPr>
        <w:t xml:space="preserve">A copy of the document authorizing UtiliSave and </w:t>
      </w:r>
      <w:r w:rsidR="00250E79">
        <w:rPr>
          <w:color w:val="auto"/>
          <w:sz w:val="26"/>
          <w:szCs w:val="26"/>
        </w:rPr>
        <w:t>A</w:t>
      </w:r>
      <w:r w:rsidRPr="00D46080">
        <w:rPr>
          <w:color w:val="auto"/>
          <w:sz w:val="26"/>
          <w:szCs w:val="26"/>
        </w:rPr>
        <w:t xml:space="preserve">ttorney Harris to represent One Ten in complaints before the Commission was attached to the </w:t>
      </w:r>
      <w:r w:rsidR="00286FD1">
        <w:rPr>
          <w:color w:val="auto"/>
          <w:sz w:val="26"/>
          <w:szCs w:val="26"/>
        </w:rPr>
        <w:t>A</w:t>
      </w:r>
      <w:r w:rsidRPr="00D46080">
        <w:rPr>
          <w:color w:val="auto"/>
          <w:sz w:val="26"/>
          <w:szCs w:val="26"/>
        </w:rPr>
        <w:t xml:space="preserve">mended </w:t>
      </w:r>
      <w:r w:rsidR="00286FD1">
        <w:rPr>
          <w:color w:val="auto"/>
          <w:sz w:val="26"/>
          <w:szCs w:val="26"/>
        </w:rPr>
        <w:t>C</w:t>
      </w:r>
      <w:r w:rsidRPr="00D46080">
        <w:rPr>
          <w:color w:val="auto"/>
          <w:sz w:val="26"/>
          <w:szCs w:val="26"/>
        </w:rPr>
        <w:t xml:space="preserve">omplaint. </w:t>
      </w:r>
      <w:r w:rsidR="00286FD1">
        <w:rPr>
          <w:color w:val="auto"/>
          <w:sz w:val="26"/>
          <w:szCs w:val="26"/>
        </w:rPr>
        <w:t xml:space="preserve"> </w:t>
      </w:r>
      <w:r w:rsidRPr="00D46080">
        <w:rPr>
          <w:color w:val="auto"/>
          <w:sz w:val="26"/>
          <w:szCs w:val="26"/>
        </w:rPr>
        <w:t xml:space="preserve">The allegations and requests for relief in the </w:t>
      </w:r>
      <w:r w:rsidR="00286FD1">
        <w:rPr>
          <w:color w:val="auto"/>
          <w:sz w:val="26"/>
          <w:szCs w:val="26"/>
        </w:rPr>
        <w:t>A</w:t>
      </w:r>
      <w:r w:rsidRPr="00D46080">
        <w:rPr>
          <w:color w:val="auto"/>
          <w:sz w:val="26"/>
          <w:szCs w:val="26"/>
        </w:rPr>
        <w:t xml:space="preserve">mended </w:t>
      </w:r>
      <w:r w:rsidR="00286FD1">
        <w:rPr>
          <w:color w:val="auto"/>
          <w:sz w:val="26"/>
          <w:szCs w:val="26"/>
        </w:rPr>
        <w:t>C</w:t>
      </w:r>
      <w:r w:rsidRPr="00D46080">
        <w:rPr>
          <w:color w:val="auto"/>
          <w:sz w:val="26"/>
          <w:szCs w:val="26"/>
        </w:rPr>
        <w:t xml:space="preserve">omplaint are identical to those contained in the original </w:t>
      </w:r>
      <w:r w:rsidR="00286FD1">
        <w:rPr>
          <w:color w:val="auto"/>
          <w:sz w:val="26"/>
          <w:szCs w:val="26"/>
        </w:rPr>
        <w:t>C</w:t>
      </w:r>
      <w:r w:rsidRPr="00D46080">
        <w:rPr>
          <w:color w:val="auto"/>
          <w:sz w:val="26"/>
          <w:szCs w:val="26"/>
        </w:rPr>
        <w:t>omplaint.</w:t>
      </w:r>
    </w:p>
    <w:p w:rsidR="00D46080" w:rsidRPr="00D46080" w:rsidRDefault="00D46080" w:rsidP="00F06D90">
      <w:pPr>
        <w:pStyle w:val="Default"/>
        <w:spacing w:line="360" w:lineRule="auto"/>
        <w:ind w:firstLine="1440"/>
        <w:rPr>
          <w:color w:val="auto"/>
          <w:sz w:val="26"/>
          <w:szCs w:val="26"/>
        </w:rPr>
      </w:pPr>
    </w:p>
    <w:p w:rsidR="009F3CA9" w:rsidRDefault="00D46080" w:rsidP="009F3CA9">
      <w:pPr>
        <w:pStyle w:val="Default"/>
        <w:spacing w:line="360" w:lineRule="auto"/>
        <w:ind w:firstLine="1440"/>
        <w:rPr>
          <w:color w:val="auto"/>
          <w:sz w:val="26"/>
          <w:szCs w:val="26"/>
        </w:rPr>
      </w:pPr>
      <w:r w:rsidRPr="00D46080">
        <w:rPr>
          <w:color w:val="auto"/>
          <w:sz w:val="26"/>
          <w:szCs w:val="26"/>
        </w:rPr>
        <w:t xml:space="preserve">On December 1, 2015, Duquesne filed an </w:t>
      </w:r>
      <w:r w:rsidR="009F3CA9">
        <w:rPr>
          <w:color w:val="auto"/>
          <w:sz w:val="26"/>
          <w:szCs w:val="26"/>
        </w:rPr>
        <w:t>A</w:t>
      </w:r>
      <w:r w:rsidRPr="00D46080">
        <w:rPr>
          <w:color w:val="auto"/>
          <w:sz w:val="26"/>
          <w:szCs w:val="26"/>
        </w:rPr>
        <w:t>nswer</w:t>
      </w:r>
      <w:r w:rsidR="009F3CA9">
        <w:rPr>
          <w:color w:val="auto"/>
          <w:sz w:val="26"/>
          <w:szCs w:val="26"/>
        </w:rPr>
        <w:t xml:space="preserve"> and</w:t>
      </w:r>
      <w:r w:rsidRPr="00D46080">
        <w:rPr>
          <w:color w:val="auto"/>
          <w:sz w:val="26"/>
          <w:szCs w:val="26"/>
        </w:rPr>
        <w:t xml:space="preserve"> </w:t>
      </w:r>
      <w:r w:rsidR="009F3CA9">
        <w:rPr>
          <w:color w:val="auto"/>
          <w:sz w:val="26"/>
          <w:szCs w:val="26"/>
        </w:rPr>
        <w:t>N</w:t>
      </w:r>
      <w:r w:rsidRPr="00D46080">
        <w:rPr>
          <w:color w:val="auto"/>
          <w:sz w:val="26"/>
          <w:szCs w:val="26"/>
        </w:rPr>
        <w:t xml:space="preserve">ew </w:t>
      </w:r>
      <w:r w:rsidR="009F3CA9">
        <w:rPr>
          <w:color w:val="auto"/>
          <w:sz w:val="26"/>
          <w:szCs w:val="26"/>
        </w:rPr>
        <w:t>M</w:t>
      </w:r>
      <w:r w:rsidRPr="00D46080">
        <w:rPr>
          <w:color w:val="auto"/>
          <w:sz w:val="26"/>
          <w:szCs w:val="26"/>
        </w:rPr>
        <w:t>atter</w:t>
      </w:r>
      <w:r w:rsidR="009F3CA9">
        <w:rPr>
          <w:color w:val="auto"/>
          <w:sz w:val="26"/>
          <w:szCs w:val="26"/>
        </w:rPr>
        <w:t xml:space="preserve">, as well as Preliminary Objections </w:t>
      </w:r>
      <w:r w:rsidRPr="00D46080">
        <w:rPr>
          <w:color w:val="auto"/>
          <w:sz w:val="26"/>
          <w:szCs w:val="26"/>
        </w:rPr>
        <w:t xml:space="preserve">to the </w:t>
      </w:r>
      <w:r w:rsidR="009F3CA9">
        <w:rPr>
          <w:color w:val="auto"/>
          <w:sz w:val="26"/>
          <w:szCs w:val="26"/>
        </w:rPr>
        <w:t>A</w:t>
      </w:r>
      <w:r w:rsidRPr="00D46080">
        <w:rPr>
          <w:color w:val="auto"/>
          <w:sz w:val="26"/>
          <w:szCs w:val="26"/>
        </w:rPr>
        <w:t xml:space="preserve">mended </w:t>
      </w:r>
      <w:r w:rsidR="009F3CA9">
        <w:rPr>
          <w:color w:val="auto"/>
          <w:sz w:val="26"/>
          <w:szCs w:val="26"/>
        </w:rPr>
        <w:t>C</w:t>
      </w:r>
      <w:r w:rsidRPr="00D46080">
        <w:rPr>
          <w:color w:val="auto"/>
          <w:sz w:val="26"/>
          <w:szCs w:val="26"/>
        </w:rPr>
        <w:t xml:space="preserve">omplaint. </w:t>
      </w:r>
      <w:r w:rsidR="009F3CA9">
        <w:rPr>
          <w:color w:val="auto"/>
          <w:sz w:val="26"/>
          <w:szCs w:val="26"/>
        </w:rPr>
        <w:t xml:space="preserve"> </w:t>
      </w:r>
      <w:r w:rsidRPr="00D46080">
        <w:rPr>
          <w:color w:val="auto"/>
          <w:sz w:val="26"/>
          <w:szCs w:val="26"/>
        </w:rPr>
        <w:t xml:space="preserve">In its </w:t>
      </w:r>
      <w:r w:rsidR="009F3CA9">
        <w:rPr>
          <w:color w:val="auto"/>
          <w:sz w:val="26"/>
          <w:szCs w:val="26"/>
        </w:rPr>
        <w:t>A</w:t>
      </w:r>
      <w:r w:rsidRPr="00D46080">
        <w:rPr>
          <w:color w:val="auto"/>
          <w:sz w:val="26"/>
          <w:szCs w:val="26"/>
        </w:rPr>
        <w:t xml:space="preserve">nswer and </w:t>
      </w:r>
      <w:r w:rsidR="009F3CA9">
        <w:rPr>
          <w:color w:val="auto"/>
          <w:sz w:val="26"/>
          <w:szCs w:val="26"/>
        </w:rPr>
        <w:t>N</w:t>
      </w:r>
      <w:r w:rsidRPr="00D46080">
        <w:rPr>
          <w:color w:val="auto"/>
          <w:sz w:val="26"/>
          <w:szCs w:val="26"/>
        </w:rPr>
        <w:t xml:space="preserve">ew </w:t>
      </w:r>
      <w:r w:rsidR="009F3CA9">
        <w:rPr>
          <w:color w:val="auto"/>
          <w:sz w:val="26"/>
          <w:szCs w:val="26"/>
        </w:rPr>
        <w:t>M</w:t>
      </w:r>
      <w:r w:rsidRPr="00D46080">
        <w:rPr>
          <w:color w:val="auto"/>
          <w:sz w:val="26"/>
          <w:szCs w:val="26"/>
        </w:rPr>
        <w:t xml:space="preserve">atter, Duquesne again challenged the standing of either Attorney Harris or UtiliSave to represent One Ten in this proceeding. </w:t>
      </w:r>
      <w:r w:rsidR="009F3CA9">
        <w:rPr>
          <w:color w:val="auto"/>
          <w:sz w:val="26"/>
          <w:szCs w:val="26"/>
        </w:rPr>
        <w:t xml:space="preserve"> Duquesne</w:t>
      </w:r>
      <w:r w:rsidRPr="00D46080">
        <w:rPr>
          <w:color w:val="auto"/>
          <w:sz w:val="26"/>
          <w:szCs w:val="26"/>
        </w:rPr>
        <w:t xml:space="preserve"> argued that the</w:t>
      </w:r>
      <w:r w:rsidR="009F3CA9">
        <w:rPr>
          <w:color w:val="auto"/>
          <w:sz w:val="26"/>
          <w:szCs w:val="26"/>
        </w:rPr>
        <w:t xml:space="preserve"> A</w:t>
      </w:r>
      <w:r w:rsidRPr="00D46080">
        <w:rPr>
          <w:color w:val="auto"/>
          <w:sz w:val="26"/>
          <w:szCs w:val="26"/>
        </w:rPr>
        <w:t xml:space="preserve">mended </w:t>
      </w:r>
      <w:r w:rsidR="009F3CA9">
        <w:rPr>
          <w:color w:val="auto"/>
          <w:sz w:val="26"/>
          <w:szCs w:val="26"/>
        </w:rPr>
        <w:t>C</w:t>
      </w:r>
      <w:r w:rsidRPr="00D46080">
        <w:rPr>
          <w:color w:val="auto"/>
          <w:sz w:val="26"/>
          <w:szCs w:val="26"/>
        </w:rPr>
        <w:t xml:space="preserve">omplaint was filed by Attorney Harris on behalf of UtiliSave, rather than One Ten, and that since UtiliSave is not a customer of Duquesne, it does not have standing to represent One Ten. </w:t>
      </w:r>
      <w:r w:rsidR="009F3CA9">
        <w:rPr>
          <w:color w:val="auto"/>
          <w:sz w:val="26"/>
          <w:szCs w:val="26"/>
        </w:rPr>
        <w:t xml:space="preserve"> The Company</w:t>
      </w:r>
      <w:r w:rsidRPr="00D46080">
        <w:rPr>
          <w:color w:val="auto"/>
          <w:sz w:val="26"/>
          <w:szCs w:val="26"/>
        </w:rPr>
        <w:t xml:space="preserve"> then denied the allegations about incorrect billing set forth in the </w:t>
      </w:r>
      <w:r w:rsidR="009F3CA9">
        <w:rPr>
          <w:color w:val="auto"/>
          <w:sz w:val="26"/>
          <w:szCs w:val="26"/>
        </w:rPr>
        <w:t>A</w:t>
      </w:r>
      <w:r w:rsidRPr="00D46080">
        <w:rPr>
          <w:color w:val="auto"/>
          <w:sz w:val="26"/>
          <w:szCs w:val="26"/>
        </w:rPr>
        <w:t xml:space="preserve">mended </w:t>
      </w:r>
      <w:r w:rsidR="009F3CA9">
        <w:rPr>
          <w:color w:val="auto"/>
          <w:sz w:val="26"/>
          <w:szCs w:val="26"/>
        </w:rPr>
        <w:t>C</w:t>
      </w:r>
      <w:r w:rsidRPr="00D46080">
        <w:rPr>
          <w:color w:val="auto"/>
          <w:sz w:val="26"/>
          <w:szCs w:val="26"/>
        </w:rPr>
        <w:t>omplaint.</w:t>
      </w:r>
      <w:r w:rsidR="009F3CA9">
        <w:rPr>
          <w:color w:val="auto"/>
          <w:sz w:val="26"/>
          <w:szCs w:val="26"/>
        </w:rPr>
        <w:t xml:space="preserve"> </w:t>
      </w:r>
      <w:r w:rsidRPr="00D46080">
        <w:rPr>
          <w:color w:val="auto"/>
          <w:sz w:val="26"/>
          <w:szCs w:val="26"/>
        </w:rPr>
        <w:t xml:space="preserve"> In its P</w:t>
      </w:r>
      <w:r w:rsidR="009F3CA9">
        <w:rPr>
          <w:color w:val="auto"/>
          <w:sz w:val="26"/>
          <w:szCs w:val="26"/>
        </w:rPr>
        <w:t>reliminary Objections</w:t>
      </w:r>
      <w:r w:rsidRPr="00D46080">
        <w:rPr>
          <w:color w:val="auto"/>
          <w:sz w:val="26"/>
          <w:szCs w:val="26"/>
        </w:rPr>
        <w:t xml:space="preserve">, Duquesne argued that the </w:t>
      </w:r>
      <w:r w:rsidR="009F3CA9">
        <w:rPr>
          <w:color w:val="auto"/>
          <w:sz w:val="26"/>
          <w:szCs w:val="26"/>
        </w:rPr>
        <w:t>A</w:t>
      </w:r>
      <w:r w:rsidRPr="00D46080">
        <w:rPr>
          <w:color w:val="auto"/>
          <w:sz w:val="26"/>
          <w:szCs w:val="26"/>
        </w:rPr>
        <w:t xml:space="preserve">mended </w:t>
      </w:r>
      <w:r w:rsidR="009F3CA9">
        <w:rPr>
          <w:color w:val="auto"/>
          <w:sz w:val="26"/>
          <w:szCs w:val="26"/>
        </w:rPr>
        <w:t>C</w:t>
      </w:r>
      <w:r w:rsidRPr="00D46080">
        <w:rPr>
          <w:color w:val="auto"/>
          <w:sz w:val="26"/>
          <w:szCs w:val="26"/>
        </w:rPr>
        <w:t>omplaint should be dismissed because UtiliSave does not have standing to represent One Ten.</w:t>
      </w:r>
    </w:p>
    <w:p w:rsidR="00A63DE8" w:rsidRDefault="00A63DE8" w:rsidP="009F3CA9">
      <w:pPr>
        <w:pStyle w:val="Default"/>
        <w:spacing w:line="360" w:lineRule="auto"/>
        <w:ind w:firstLine="1440"/>
        <w:rPr>
          <w:color w:val="auto"/>
          <w:sz w:val="26"/>
          <w:szCs w:val="26"/>
        </w:rPr>
      </w:pPr>
    </w:p>
    <w:p w:rsidR="00A63DE8" w:rsidRDefault="00A63DE8" w:rsidP="009F3CA9">
      <w:pPr>
        <w:pStyle w:val="Default"/>
        <w:spacing w:line="360" w:lineRule="auto"/>
        <w:ind w:firstLine="1440"/>
        <w:rPr>
          <w:color w:val="auto"/>
          <w:sz w:val="26"/>
          <w:szCs w:val="26"/>
        </w:rPr>
      </w:pPr>
      <w:r>
        <w:rPr>
          <w:color w:val="auto"/>
          <w:sz w:val="26"/>
          <w:szCs w:val="26"/>
        </w:rPr>
        <w:t xml:space="preserve">On December 18, 2015, One Ten filed a Second Amended Complaint stating that Draxxhall Management Corporation had authorized Attorney Harris to file and prosecute the Complaint on behalf of One Ten, the account holder and an affiliate of Draxxhall </w:t>
      </w:r>
      <w:r w:rsidR="001821BC">
        <w:rPr>
          <w:color w:val="auto"/>
          <w:sz w:val="26"/>
          <w:szCs w:val="26"/>
        </w:rPr>
        <w:t>M</w:t>
      </w:r>
      <w:r>
        <w:rPr>
          <w:color w:val="auto"/>
          <w:sz w:val="26"/>
          <w:szCs w:val="26"/>
        </w:rPr>
        <w:t>anagement Corporation</w:t>
      </w:r>
      <w:r w:rsidR="001821BC">
        <w:rPr>
          <w:color w:val="auto"/>
          <w:sz w:val="26"/>
          <w:szCs w:val="26"/>
        </w:rPr>
        <w:t>.  On January 11, 201</w:t>
      </w:r>
      <w:r w:rsidR="00250E79">
        <w:rPr>
          <w:color w:val="auto"/>
          <w:sz w:val="26"/>
          <w:szCs w:val="26"/>
        </w:rPr>
        <w:t>6</w:t>
      </w:r>
      <w:r w:rsidR="001821BC">
        <w:rPr>
          <w:color w:val="auto"/>
          <w:sz w:val="26"/>
          <w:szCs w:val="26"/>
        </w:rPr>
        <w:t>, Duquesne filed an Answer and New Matter to the Complainant’s Second Amended Complaint.</w:t>
      </w:r>
    </w:p>
    <w:p w:rsidR="00D46080" w:rsidRPr="00D46080" w:rsidRDefault="00D46080" w:rsidP="009F3CA9">
      <w:pPr>
        <w:pStyle w:val="Default"/>
        <w:spacing w:line="360" w:lineRule="auto"/>
        <w:ind w:firstLine="1440"/>
        <w:rPr>
          <w:color w:val="auto"/>
          <w:sz w:val="26"/>
          <w:szCs w:val="26"/>
        </w:rPr>
      </w:pPr>
    </w:p>
    <w:p w:rsidR="00D46080" w:rsidRDefault="00D46080" w:rsidP="009F3CA9">
      <w:pPr>
        <w:pStyle w:val="Default"/>
        <w:spacing w:line="360" w:lineRule="auto"/>
        <w:ind w:firstLine="1440"/>
        <w:rPr>
          <w:color w:val="auto"/>
          <w:sz w:val="26"/>
          <w:szCs w:val="26"/>
        </w:rPr>
      </w:pPr>
      <w:r w:rsidRPr="00D46080">
        <w:rPr>
          <w:color w:val="auto"/>
          <w:sz w:val="26"/>
          <w:szCs w:val="26"/>
        </w:rPr>
        <w:lastRenderedPageBreak/>
        <w:t xml:space="preserve">By order dated January 21, 2016, </w:t>
      </w:r>
      <w:r w:rsidR="001821BC">
        <w:rPr>
          <w:color w:val="auto"/>
          <w:sz w:val="26"/>
          <w:szCs w:val="26"/>
        </w:rPr>
        <w:t xml:space="preserve">the ALJ </w:t>
      </w:r>
      <w:r w:rsidRPr="00D46080">
        <w:rPr>
          <w:color w:val="auto"/>
          <w:sz w:val="26"/>
          <w:szCs w:val="26"/>
        </w:rPr>
        <w:t>denied Duquesne’s P</w:t>
      </w:r>
      <w:r w:rsidR="001821BC">
        <w:rPr>
          <w:color w:val="auto"/>
          <w:sz w:val="26"/>
          <w:szCs w:val="26"/>
        </w:rPr>
        <w:t>reliminary Objections</w:t>
      </w:r>
      <w:r w:rsidRPr="00D46080">
        <w:rPr>
          <w:color w:val="auto"/>
          <w:sz w:val="26"/>
          <w:szCs w:val="26"/>
        </w:rPr>
        <w:t xml:space="preserve"> and directed that a hearing be scheduled on the billing issues.</w:t>
      </w:r>
      <w:r w:rsidR="00D00E4C">
        <w:rPr>
          <w:color w:val="auto"/>
          <w:sz w:val="26"/>
          <w:szCs w:val="26"/>
        </w:rPr>
        <w:t xml:space="preserve">  </w:t>
      </w:r>
      <w:r w:rsidR="00D00E4C">
        <w:rPr>
          <w:i/>
          <w:color w:val="auto"/>
          <w:sz w:val="26"/>
          <w:szCs w:val="26"/>
        </w:rPr>
        <w:t xml:space="preserve">See </w:t>
      </w:r>
      <w:r w:rsidR="00D00E4C">
        <w:rPr>
          <w:color w:val="auto"/>
          <w:sz w:val="26"/>
          <w:szCs w:val="26"/>
        </w:rPr>
        <w:t>I.D. at 3.</w:t>
      </w:r>
      <w:r w:rsidRPr="00D46080">
        <w:rPr>
          <w:color w:val="auto"/>
          <w:sz w:val="26"/>
          <w:szCs w:val="26"/>
        </w:rPr>
        <w:t xml:space="preserve"> </w:t>
      </w:r>
      <w:r w:rsidR="001821BC">
        <w:rPr>
          <w:color w:val="auto"/>
          <w:sz w:val="26"/>
          <w:szCs w:val="26"/>
        </w:rPr>
        <w:t xml:space="preserve"> The ALJ stated </w:t>
      </w:r>
      <w:r w:rsidRPr="00D46080">
        <w:rPr>
          <w:color w:val="auto"/>
          <w:sz w:val="26"/>
          <w:szCs w:val="26"/>
        </w:rPr>
        <w:t xml:space="preserve">that </w:t>
      </w:r>
      <w:r w:rsidR="00250E79">
        <w:rPr>
          <w:color w:val="auto"/>
          <w:sz w:val="26"/>
          <w:szCs w:val="26"/>
        </w:rPr>
        <w:t>A</w:t>
      </w:r>
      <w:r w:rsidRPr="00D46080">
        <w:rPr>
          <w:color w:val="auto"/>
          <w:sz w:val="26"/>
          <w:szCs w:val="26"/>
        </w:rPr>
        <w:t xml:space="preserve">ttorney Harris entered his appearance on behalf of One Ten and that the authorization attached to the </w:t>
      </w:r>
      <w:r w:rsidR="001821BC">
        <w:rPr>
          <w:color w:val="auto"/>
          <w:sz w:val="26"/>
          <w:szCs w:val="26"/>
        </w:rPr>
        <w:t>A</w:t>
      </w:r>
      <w:r w:rsidRPr="00D46080">
        <w:rPr>
          <w:color w:val="auto"/>
          <w:sz w:val="26"/>
          <w:szCs w:val="26"/>
        </w:rPr>
        <w:t xml:space="preserve">mended </w:t>
      </w:r>
      <w:r w:rsidR="001821BC">
        <w:rPr>
          <w:color w:val="auto"/>
          <w:sz w:val="26"/>
          <w:szCs w:val="26"/>
        </w:rPr>
        <w:t>C</w:t>
      </w:r>
      <w:r w:rsidRPr="00D46080">
        <w:rPr>
          <w:color w:val="auto"/>
          <w:sz w:val="26"/>
          <w:szCs w:val="26"/>
        </w:rPr>
        <w:t xml:space="preserve">omplaint authorized him to represent One Ten in this proceeding. </w:t>
      </w:r>
      <w:r w:rsidR="001821BC">
        <w:rPr>
          <w:color w:val="auto"/>
          <w:sz w:val="26"/>
          <w:szCs w:val="26"/>
        </w:rPr>
        <w:t xml:space="preserve"> The ALJ </w:t>
      </w:r>
      <w:r w:rsidRPr="00D46080">
        <w:rPr>
          <w:color w:val="auto"/>
          <w:sz w:val="26"/>
          <w:szCs w:val="26"/>
        </w:rPr>
        <w:t xml:space="preserve">determined that the </w:t>
      </w:r>
      <w:r w:rsidR="001821BC">
        <w:rPr>
          <w:color w:val="auto"/>
          <w:sz w:val="26"/>
          <w:szCs w:val="26"/>
        </w:rPr>
        <w:t>A</w:t>
      </w:r>
      <w:r w:rsidRPr="00D46080">
        <w:rPr>
          <w:color w:val="auto"/>
          <w:sz w:val="26"/>
          <w:szCs w:val="26"/>
        </w:rPr>
        <w:t xml:space="preserve">mended </w:t>
      </w:r>
      <w:r w:rsidR="001821BC">
        <w:rPr>
          <w:color w:val="auto"/>
          <w:sz w:val="26"/>
          <w:szCs w:val="26"/>
        </w:rPr>
        <w:t>C</w:t>
      </w:r>
      <w:r w:rsidRPr="00D46080">
        <w:rPr>
          <w:color w:val="auto"/>
          <w:sz w:val="26"/>
          <w:szCs w:val="26"/>
        </w:rPr>
        <w:t>omplaint and authorization form sufficiently identified the Customer/Complainant as One Ten and its attorney as John G. Harris, a licensed Pennsylvania attorney, to overcome Duquesne’s P</w:t>
      </w:r>
      <w:r w:rsidR="001821BC">
        <w:rPr>
          <w:color w:val="auto"/>
          <w:sz w:val="26"/>
          <w:szCs w:val="26"/>
        </w:rPr>
        <w:t xml:space="preserve">reliminary </w:t>
      </w:r>
      <w:r w:rsidRPr="00D46080">
        <w:rPr>
          <w:color w:val="auto"/>
          <w:sz w:val="26"/>
          <w:szCs w:val="26"/>
        </w:rPr>
        <w:t>O</w:t>
      </w:r>
      <w:r w:rsidR="001821BC">
        <w:rPr>
          <w:color w:val="auto"/>
          <w:sz w:val="26"/>
          <w:szCs w:val="26"/>
        </w:rPr>
        <w:t>bjection</w:t>
      </w:r>
      <w:r w:rsidRPr="00D46080">
        <w:rPr>
          <w:color w:val="auto"/>
          <w:sz w:val="26"/>
          <w:szCs w:val="26"/>
        </w:rPr>
        <w:t>s on the basis of lack of standing and improper representation.</w:t>
      </w:r>
    </w:p>
    <w:p w:rsidR="009F3CA9" w:rsidRPr="00D46080" w:rsidRDefault="009F3CA9" w:rsidP="009F3CA9">
      <w:pPr>
        <w:pStyle w:val="Default"/>
        <w:spacing w:line="360" w:lineRule="auto"/>
        <w:ind w:firstLine="1440"/>
        <w:rPr>
          <w:color w:val="auto"/>
          <w:sz w:val="26"/>
          <w:szCs w:val="26"/>
        </w:rPr>
      </w:pPr>
    </w:p>
    <w:p w:rsidR="00137C8F" w:rsidRDefault="00D46080" w:rsidP="00D94EF2">
      <w:pPr>
        <w:pStyle w:val="ListParagraph"/>
        <w:ind w:left="0" w:firstLine="1440"/>
        <w:jc w:val="left"/>
        <w:rPr>
          <w:sz w:val="26"/>
          <w:szCs w:val="26"/>
        </w:rPr>
      </w:pPr>
      <w:r w:rsidRPr="00D46080">
        <w:rPr>
          <w:sz w:val="26"/>
          <w:szCs w:val="26"/>
        </w:rPr>
        <w:t xml:space="preserve">By Telephone Hearing Notice dated February 10, 2016, an initial telephonic hearing was scheduled for Monday, April 11, 2016. </w:t>
      </w:r>
      <w:r w:rsidR="00D94EF2">
        <w:rPr>
          <w:sz w:val="26"/>
          <w:szCs w:val="26"/>
        </w:rPr>
        <w:t xml:space="preserve"> </w:t>
      </w:r>
      <w:r w:rsidRPr="00D46080">
        <w:rPr>
          <w:sz w:val="26"/>
          <w:szCs w:val="26"/>
        </w:rPr>
        <w:t>The initial hearing was held as scheduled</w:t>
      </w:r>
      <w:r w:rsidR="001821BC">
        <w:rPr>
          <w:sz w:val="26"/>
          <w:szCs w:val="26"/>
        </w:rPr>
        <w:t xml:space="preserve"> on April 11, 2016.  T</w:t>
      </w:r>
      <w:r w:rsidRPr="00D46080">
        <w:rPr>
          <w:sz w:val="26"/>
          <w:szCs w:val="26"/>
        </w:rPr>
        <w:t xml:space="preserve">he Complainant </w:t>
      </w:r>
      <w:r w:rsidR="001821BC">
        <w:rPr>
          <w:sz w:val="26"/>
          <w:szCs w:val="26"/>
        </w:rPr>
        <w:t xml:space="preserve">was represented by counsel, </w:t>
      </w:r>
      <w:r w:rsidRPr="00D46080">
        <w:rPr>
          <w:sz w:val="26"/>
          <w:szCs w:val="26"/>
        </w:rPr>
        <w:t>presented the testimony of two witnesses</w:t>
      </w:r>
      <w:r w:rsidR="001821BC">
        <w:rPr>
          <w:sz w:val="26"/>
          <w:szCs w:val="26"/>
        </w:rPr>
        <w:t xml:space="preserve"> and offered t</w:t>
      </w:r>
      <w:r w:rsidRPr="00D46080">
        <w:rPr>
          <w:sz w:val="26"/>
          <w:szCs w:val="26"/>
        </w:rPr>
        <w:t>hree exhibits into the record</w:t>
      </w:r>
      <w:r w:rsidR="001821BC">
        <w:rPr>
          <w:sz w:val="26"/>
          <w:szCs w:val="26"/>
        </w:rPr>
        <w:t>.</w:t>
      </w:r>
      <w:r w:rsidRPr="00D46080">
        <w:rPr>
          <w:sz w:val="26"/>
          <w:szCs w:val="26"/>
        </w:rPr>
        <w:t xml:space="preserve"> </w:t>
      </w:r>
      <w:r w:rsidR="001821BC">
        <w:rPr>
          <w:sz w:val="26"/>
          <w:szCs w:val="26"/>
        </w:rPr>
        <w:t xml:space="preserve">Duquesne was represented by counsel, </w:t>
      </w:r>
      <w:r w:rsidRPr="00D46080">
        <w:rPr>
          <w:sz w:val="26"/>
          <w:szCs w:val="26"/>
        </w:rPr>
        <w:t>presented the testimony of three witnesses</w:t>
      </w:r>
      <w:r w:rsidR="001821BC">
        <w:rPr>
          <w:sz w:val="26"/>
          <w:szCs w:val="26"/>
        </w:rPr>
        <w:t xml:space="preserve"> and offered</w:t>
      </w:r>
      <w:r w:rsidRPr="00D46080">
        <w:rPr>
          <w:sz w:val="26"/>
          <w:szCs w:val="26"/>
        </w:rPr>
        <w:t xml:space="preserve"> </w:t>
      </w:r>
      <w:r w:rsidR="001821BC">
        <w:rPr>
          <w:sz w:val="26"/>
          <w:szCs w:val="26"/>
        </w:rPr>
        <w:t>t</w:t>
      </w:r>
      <w:r w:rsidRPr="00D46080">
        <w:rPr>
          <w:sz w:val="26"/>
          <w:szCs w:val="26"/>
        </w:rPr>
        <w:t>hirteen exhibits into the record.</w:t>
      </w:r>
      <w:r w:rsidR="003D6FC9">
        <w:rPr>
          <w:sz w:val="26"/>
          <w:szCs w:val="26"/>
        </w:rPr>
        <w:t xml:space="preserve"> </w:t>
      </w:r>
      <w:r w:rsidRPr="00D46080">
        <w:rPr>
          <w:sz w:val="26"/>
          <w:szCs w:val="26"/>
        </w:rPr>
        <w:t xml:space="preserve"> </w:t>
      </w:r>
      <w:r w:rsidR="001821BC">
        <w:rPr>
          <w:sz w:val="26"/>
          <w:szCs w:val="26"/>
        </w:rPr>
        <w:t>All of the Exhibits were admitted into the record</w:t>
      </w:r>
      <w:r w:rsidR="00137C8F">
        <w:rPr>
          <w:sz w:val="26"/>
          <w:szCs w:val="26"/>
        </w:rPr>
        <w:t>.</w:t>
      </w:r>
    </w:p>
    <w:p w:rsidR="00137C8F" w:rsidRDefault="00137C8F" w:rsidP="009F3CA9">
      <w:pPr>
        <w:pStyle w:val="ListParagraph"/>
        <w:ind w:left="0" w:firstLine="1440"/>
        <w:jc w:val="both"/>
        <w:rPr>
          <w:sz w:val="26"/>
          <w:szCs w:val="26"/>
        </w:rPr>
      </w:pPr>
    </w:p>
    <w:p w:rsidR="00D46080" w:rsidRDefault="00137C8F" w:rsidP="009F3CA9">
      <w:pPr>
        <w:pStyle w:val="ListParagraph"/>
        <w:ind w:left="0" w:firstLine="1440"/>
        <w:jc w:val="both"/>
        <w:rPr>
          <w:sz w:val="26"/>
          <w:szCs w:val="26"/>
        </w:rPr>
      </w:pPr>
      <w:r>
        <w:rPr>
          <w:sz w:val="26"/>
          <w:szCs w:val="26"/>
        </w:rPr>
        <w:t>On June 3</w:t>
      </w:r>
      <w:r w:rsidR="00FE6E73">
        <w:rPr>
          <w:sz w:val="26"/>
          <w:szCs w:val="26"/>
        </w:rPr>
        <w:t>,</w:t>
      </w:r>
      <w:r>
        <w:rPr>
          <w:sz w:val="26"/>
          <w:szCs w:val="26"/>
        </w:rPr>
        <w:t xml:space="preserve"> 2016, Duquesne filed a Main Brief.  On June 7, 2016, One Ten filed a Main Brief.  On June 20, 2016, One Ten filed a Reply Brief.  Duquesne filed a Reply Brief on June 21, 2016</w:t>
      </w:r>
      <w:r w:rsidR="00D46080" w:rsidRPr="00D46080">
        <w:rPr>
          <w:sz w:val="26"/>
          <w:szCs w:val="26"/>
        </w:rPr>
        <w:t>.</w:t>
      </w:r>
      <w:r>
        <w:rPr>
          <w:sz w:val="26"/>
          <w:szCs w:val="26"/>
        </w:rPr>
        <w:t xml:space="preserve"> </w:t>
      </w:r>
      <w:r w:rsidR="00D46080" w:rsidRPr="00D46080">
        <w:rPr>
          <w:sz w:val="26"/>
          <w:szCs w:val="26"/>
        </w:rPr>
        <w:t xml:space="preserve"> The record in this proceeding closed on June 23, 2016, upon</w:t>
      </w:r>
      <w:r>
        <w:rPr>
          <w:sz w:val="26"/>
          <w:szCs w:val="26"/>
        </w:rPr>
        <w:t xml:space="preserve"> </w:t>
      </w:r>
      <w:r w:rsidR="00D46080" w:rsidRPr="00D46080">
        <w:rPr>
          <w:sz w:val="26"/>
          <w:szCs w:val="26"/>
        </w:rPr>
        <w:t xml:space="preserve">receipt of the </w:t>
      </w:r>
      <w:r>
        <w:rPr>
          <w:sz w:val="26"/>
          <w:szCs w:val="26"/>
        </w:rPr>
        <w:t>R</w:t>
      </w:r>
      <w:r w:rsidR="00D46080" w:rsidRPr="00D46080">
        <w:rPr>
          <w:sz w:val="26"/>
          <w:szCs w:val="26"/>
        </w:rPr>
        <w:t xml:space="preserve">eply </w:t>
      </w:r>
      <w:r>
        <w:rPr>
          <w:sz w:val="26"/>
          <w:szCs w:val="26"/>
        </w:rPr>
        <w:t>B</w:t>
      </w:r>
      <w:r w:rsidR="00D46080" w:rsidRPr="00D46080">
        <w:rPr>
          <w:sz w:val="26"/>
          <w:szCs w:val="26"/>
        </w:rPr>
        <w:t xml:space="preserve">riefs. </w:t>
      </w:r>
      <w:r>
        <w:rPr>
          <w:sz w:val="26"/>
          <w:szCs w:val="26"/>
        </w:rPr>
        <w:t xml:space="preserve"> </w:t>
      </w:r>
      <w:r w:rsidR="00D46080" w:rsidRPr="00D46080">
        <w:rPr>
          <w:sz w:val="26"/>
          <w:szCs w:val="26"/>
        </w:rPr>
        <w:t>The record consists of a transcript of 172 pages and sixteen exhibits.</w:t>
      </w:r>
    </w:p>
    <w:p w:rsidR="00137C8F" w:rsidRDefault="00137C8F" w:rsidP="009F3CA9">
      <w:pPr>
        <w:pStyle w:val="ListParagraph"/>
        <w:ind w:left="0" w:firstLine="1440"/>
        <w:jc w:val="both"/>
        <w:rPr>
          <w:b/>
          <w:sz w:val="26"/>
          <w:szCs w:val="26"/>
        </w:rPr>
      </w:pPr>
    </w:p>
    <w:p w:rsidR="00137C8F" w:rsidRDefault="0088484F" w:rsidP="009F3CA9">
      <w:pPr>
        <w:pStyle w:val="ListParagraph"/>
        <w:ind w:left="0" w:firstLine="1440"/>
        <w:jc w:val="both"/>
        <w:rPr>
          <w:sz w:val="26"/>
          <w:szCs w:val="26"/>
        </w:rPr>
      </w:pPr>
      <w:r>
        <w:rPr>
          <w:sz w:val="26"/>
          <w:szCs w:val="26"/>
        </w:rPr>
        <w:t xml:space="preserve">In an Initial Decision issued on September 26, 2016, ALJ Haas dismissed the </w:t>
      </w:r>
      <w:r w:rsidR="003D6FC9">
        <w:rPr>
          <w:sz w:val="26"/>
          <w:szCs w:val="26"/>
        </w:rPr>
        <w:t>F</w:t>
      </w:r>
      <w:r>
        <w:rPr>
          <w:sz w:val="26"/>
          <w:szCs w:val="26"/>
        </w:rPr>
        <w:t>ormal Complaint for the failure of One Ten to meet the burden of proof.</w:t>
      </w:r>
    </w:p>
    <w:p w:rsidR="0088484F" w:rsidRDefault="0088484F" w:rsidP="009F3CA9">
      <w:pPr>
        <w:pStyle w:val="ListParagraph"/>
        <w:ind w:left="0" w:firstLine="1440"/>
        <w:jc w:val="both"/>
        <w:rPr>
          <w:sz w:val="26"/>
          <w:szCs w:val="26"/>
        </w:rPr>
      </w:pPr>
    </w:p>
    <w:p w:rsidR="0088484F" w:rsidRDefault="004A44D1" w:rsidP="009F3CA9">
      <w:pPr>
        <w:pStyle w:val="ListParagraph"/>
        <w:ind w:left="0" w:firstLine="1440"/>
        <w:jc w:val="both"/>
        <w:rPr>
          <w:sz w:val="26"/>
          <w:szCs w:val="26"/>
        </w:rPr>
      </w:pPr>
      <w:r>
        <w:rPr>
          <w:sz w:val="26"/>
          <w:szCs w:val="26"/>
        </w:rPr>
        <w:t>As previously noted, o</w:t>
      </w:r>
      <w:r w:rsidR="0088484F">
        <w:rPr>
          <w:sz w:val="26"/>
          <w:szCs w:val="26"/>
        </w:rPr>
        <w:t>n October 14, 2016, One Ten filed Exceptions to the Initial Decision.  Duquesne filed Replies to Exceptions on October 21, 2016.</w:t>
      </w:r>
    </w:p>
    <w:p w:rsidR="00D00E4C" w:rsidRDefault="00D00E4C" w:rsidP="009F3CA9">
      <w:pPr>
        <w:pStyle w:val="ListParagraph"/>
        <w:ind w:left="0" w:firstLine="1440"/>
        <w:jc w:val="both"/>
        <w:rPr>
          <w:sz w:val="26"/>
          <w:szCs w:val="26"/>
        </w:rPr>
      </w:pPr>
    </w:p>
    <w:p w:rsidR="00001CD3" w:rsidRPr="004A44D1" w:rsidRDefault="004A44D1" w:rsidP="00D94EF2">
      <w:pPr>
        <w:keepNext/>
        <w:keepLines/>
        <w:ind w:firstLine="0"/>
        <w:rPr>
          <w:b/>
          <w:sz w:val="26"/>
          <w:szCs w:val="26"/>
        </w:rPr>
      </w:pPr>
      <w:r w:rsidRPr="004A44D1">
        <w:rPr>
          <w:b/>
          <w:sz w:val="26"/>
          <w:szCs w:val="26"/>
        </w:rPr>
        <w:lastRenderedPageBreak/>
        <w:t>II.</w:t>
      </w:r>
      <w:r>
        <w:rPr>
          <w:b/>
          <w:sz w:val="26"/>
          <w:szCs w:val="26"/>
        </w:rPr>
        <w:tab/>
      </w:r>
      <w:r w:rsidR="00001CD3" w:rsidRPr="004A44D1">
        <w:rPr>
          <w:b/>
          <w:sz w:val="26"/>
          <w:szCs w:val="26"/>
        </w:rPr>
        <w:t>Discussion</w:t>
      </w:r>
    </w:p>
    <w:p w:rsidR="004A44D1" w:rsidRDefault="004A44D1" w:rsidP="00D94EF2">
      <w:pPr>
        <w:keepNext/>
        <w:keepLines/>
        <w:ind w:firstLine="0"/>
        <w:jc w:val="left"/>
      </w:pPr>
    </w:p>
    <w:p w:rsidR="004A44D1" w:rsidRDefault="004A44D1" w:rsidP="00D94EF2">
      <w:pPr>
        <w:keepNext/>
        <w:keepLines/>
        <w:autoSpaceDE w:val="0"/>
        <w:autoSpaceDN w:val="0"/>
        <w:adjustRightInd w:val="0"/>
        <w:ind w:firstLine="0"/>
        <w:jc w:val="left"/>
        <w:rPr>
          <w:rFonts w:eastAsiaTheme="minorHAnsi"/>
          <w:color w:val="000000"/>
          <w:sz w:val="26"/>
          <w:szCs w:val="26"/>
        </w:rPr>
      </w:pPr>
      <w:r>
        <w:rPr>
          <w:rFonts w:eastAsiaTheme="minorHAnsi"/>
          <w:b/>
          <w:color w:val="000000"/>
          <w:sz w:val="26"/>
          <w:szCs w:val="26"/>
        </w:rPr>
        <w:t>Legal Standards</w:t>
      </w:r>
    </w:p>
    <w:p w:rsidR="004A44D1" w:rsidRDefault="004A44D1" w:rsidP="00D94EF2">
      <w:pPr>
        <w:keepNext/>
        <w:keepLines/>
        <w:autoSpaceDE w:val="0"/>
        <w:autoSpaceDN w:val="0"/>
        <w:adjustRightInd w:val="0"/>
        <w:ind w:firstLine="0"/>
        <w:jc w:val="left"/>
        <w:rPr>
          <w:rFonts w:eastAsiaTheme="minorHAnsi"/>
          <w:color w:val="000000"/>
          <w:sz w:val="26"/>
          <w:szCs w:val="26"/>
        </w:rPr>
      </w:pPr>
    </w:p>
    <w:p w:rsidR="004A44D1" w:rsidRPr="00D64605" w:rsidRDefault="004A44D1" w:rsidP="004A44D1">
      <w:pPr>
        <w:ind w:firstLine="1440"/>
        <w:jc w:val="left"/>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w:t>
      </w:r>
      <w:r w:rsidR="00712CF9">
        <w:rPr>
          <w:sz w:val="26"/>
          <w:szCs w:val="26"/>
        </w:rPr>
        <w:t>r</w:t>
      </w:r>
      <w:r w:rsidRPr="00D64605">
        <w:rPr>
          <w:sz w:val="26"/>
          <w:szCs w:val="26"/>
        </w:rPr>
        <w:t xml:space="preserve">espondent </w:t>
      </w:r>
      <w:r w:rsidR="00712CF9">
        <w:rPr>
          <w:sz w:val="26"/>
          <w:szCs w:val="26"/>
        </w:rPr>
        <w:t xml:space="preserve">utility, Duquesne, </w:t>
      </w:r>
      <w:r w:rsidRPr="00D64605">
        <w:rPr>
          <w:sz w:val="26"/>
          <w:szCs w:val="26"/>
        </w:rPr>
        <w:t xml:space="preserve">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w:t>
      </w:r>
      <w:r w:rsidR="00712CF9">
        <w:rPr>
          <w:sz w:val="26"/>
          <w:szCs w:val="26"/>
        </w:rPr>
        <w:t>r</w:t>
      </w:r>
      <w:r w:rsidRPr="00D64605">
        <w:rPr>
          <w:sz w:val="26"/>
          <w:szCs w:val="26"/>
        </w:rPr>
        <w:t xml:space="preserve">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4A44D1" w:rsidRPr="00D64605" w:rsidRDefault="004A44D1" w:rsidP="004A44D1">
      <w:pPr>
        <w:jc w:val="left"/>
        <w:rPr>
          <w:sz w:val="26"/>
          <w:szCs w:val="26"/>
        </w:rPr>
      </w:pPr>
    </w:p>
    <w:p w:rsidR="004A44D1" w:rsidRDefault="004A44D1" w:rsidP="004A44D1">
      <w:pPr>
        <w:autoSpaceDE w:val="0"/>
        <w:autoSpaceDN w:val="0"/>
        <w:adjustRightInd w:val="0"/>
        <w:ind w:firstLine="1440"/>
        <w:jc w:val="left"/>
        <w:rPr>
          <w:sz w:val="26"/>
        </w:rPr>
      </w:pPr>
      <w:r>
        <w:rPr>
          <w:sz w:val="26"/>
        </w:rPr>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omplainant now has to provide some additional</w:t>
      </w:r>
      <w:r>
        <w:rPr>
          <w:sz w:val="26"/>
        </w:rPr>
        <w:t xml:space="preserve"> evidence to rebut that of the r</w:t>
      </w:r>
      <w:r w:rsidRPr="00D64605">
        <w:rPr>
          <w:sz w:val="26"/>
        </w:rPr>
        <w:t xml:space="preserve">espondent. </w:t>
      </w:r>
      <w:r w:rsidRPr="00D64605">
        <w:rPr>
          <w:iCs/>
          <w:sz w:val="26"/>
        </w:rPr>
        <w:t xml:space="preserve"> </w:t>
      </w:r>
      <w:hyperlink r:id="rId8" w:history="1">
        <w:r w:rsidRPr="004A44D1">
          <w:rPr>
            <w:rStyle w:val="Hyperlink"/>
            <w:rFonts w:ascii="Times New (W1)" w:hAnsi="Times New (W1)"/>
            <w:i/>
            <w:iCs/>
            <w:color w:val="auto"/>
            <w:sz w:val="26"/>
            <w:u w:val="none"/>
          </w:rPr>
          <w:t>Burleson v. Pa. PUC,</w:t>
        </w:r>
        <w:r w:rsidRPr="004A44D1">
          <w:rPr>
            <w:rStyle w:val="Hyperlink"/>
            <w:rFonts w:ascii="Times New (W1)" w:hAnsi="Times New (W1)"/>
            <w:iCs/>
            <w:color w:val="auto"/>
            <w:sz w:val="26"/>
            <w:u w:val="none"/>
          </w:rPr>
          <w:t xml:space="preserve"> 443 A.2d 1373 (Pa. Cmwlth. 1982), </w:t>
        </w:r>
        <w:r w:rsidRPr="004A44D1">
          <w:rPr>
            <w:rStyle w:val="Hyperlink"/>
            <w:rFonts w:ascii="Times New (W1)" w:hAnsi="Times New (W1)"/>
            <w:i/>
            <w:iCs/>
            <w:color w:val="auto"/>
            <w:sz w:val="26"/>
            <w:u w:val="none"/>
          </w:rPr>
          <w:t>aff’d,</w:t>
        </w:r>
        <w:r w:rsidRPr="004A44D1">
          <w:rPr>
            <w:rStyle w:val="Hyperlink"/>
            <w:rFonts w:ascii="Times New (W1)" w:hAnsi="Times New (W1)"/>
            <w:iCs/>
            <w:color w:val="auto"/>
            <w:sz w:val="26"/>
            <w:u w:val="none"/>
          </w:rPr>
          <w:t xml:space="preserve"> 501 Pa. 433, 461 A.2d 1234 (1983).</w:t>
        </w:r>
      </w:hyperlink>
      <w:r w:rsidRPr="004A44D1">
        <w:rPr>
          <w:rStyle w:val="Hyperlink"/>
          <w:rFonts w:ascii="Times New (W1)" w:hAnsi="Times New (W1)"/>
          <w:iCs/>
          <w:color w:val="auto"/>
          <w:sz w:val="26"/>
          <w:u w:val="none"/>
        </w:rPr>
        <w:t xml:space="preserve">  </w:t>
      </w:r>
      <w:r w:rsidRPr="00D64605">
        <w:rPr>
          <w:sz w:val="26"/>
        </w:rPr>
        <w:t xml:space="preserve">While the burden of persuasion may </w:t>
      </w:r>
      <w:r w:rsidRPr="004A44D1">
        <w:rPr>
          <w:rStyle w:val="term1"/>
          <w:b w:val="0"/>
          <w:sz w:val="26"/>
        </w:rPr>
        <w:t>shift</w:t>
      </w:r>
      <w:r w:rsidRPr="004A44D1">
        <w:rPr>
          <w:b/>
          <w:sz w:val="26"/>
        </w:rPr>
        <w:t xml:space="preserve"> </w:t>
      </w:r>
      <w:r w:rsidRPr="00D64605">
        <w:rPr>
          <w:sz w:val="26"/>
        </w:rPr>
        <w:t xml:space="preserve">back and forth during a proceeding, the </w:t>
      </w:r>
      <w:r w:rsidRPr="004A44D1">
        <w:rPr>
          <w:rStyle w:val="term1"/>
          <w:b w:val="0"/>
          <w:sz w:val="26"/>
        </w:rPr>
        <w:t>burden of proof</w:t>
      </w:r>
      <w:r w:rsidRPr="00D64605">
        <w:rPr>
          <w:sz w:val="26"/>
        </w:rPr>
        <w:t xml:space="preserve"> never </w:t>
      </w:r>
      <w:r w:rsidRPr="00BA6A74">
        <w:rPr>
          <w:rStyle w:val="term1"/>
          <w:b w:val="0"/>
          <w:sz w:val="26"/>
        </w:rPr>
        <w:t>s</w:t>
      </w:r>
      <w:r w:rsidRPr="004A44D1">
        <w:rPr>
          <w:rStyle w:val="term1"/>
          <w:b w:val="0"/>
          <w:sz w:val="26"/>
        </w:rPr>
        <w:t>hift</w:t>
      </w:r>
      <w:r w:rsidRPr="00BA6A74">
        <w:rPr>
          <w:rStyle w:val="term1"/>
          <w:b w:val="0"/>
          <w:sz w:val="26"/>
        </w:rPr>
        <w:t>s.</w:t>
      </w:r>
      <w:r w:rsidRPr="007F1186">
        <w:rPr>
          <w:rStyle w:val="term1"/>
          <w:sz w:val="26"/>
        </w:rPr>
        <w:t xml:space="preserve">  </w:t>
      </w:r>
      <w:r w:rsidRPr="004A44D1">
        <w:rPr>
          <w:rStyle w:val="term1"/>
          <w:b w:val="0"/>
          <w:sz w:val="26"/>
        </w:rPr>
        <w:t>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4A44D1" w:rsidRDefault="004A44D1" w:rsidP="004A44D1">
      <w:pPr>
        <w:autoSpaceDE w:val="0"/>
        <w:autoSpaceDN w:val="0"/>
        <w:adjustRightInd w:val="0"/>
        <w:ind w:firstLine="1440"/>
        <w:jc w:val="left"/>
        <w:rPr>
          <w:rStyle w:val="Hyperlink"/>
          <w:color w:val="000000"/>
          <w:sz w:val="26"/>
          <w:szCs w:val="26"/>
        </w:rPr>
      </w:pPr>
      <w:r w:rsidRPr="00D64605">
        <w:rPr>
          <w:sz w:val="26"/>
          <w:szCs w:val="26"/>
        </w:rPr>
        <w:lastRenderedPageBreak/>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PUC, </w:t>
        </w:r>
        <w:r w:rsidRPr="003F2108">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7F1186">
          <w:rPr>
            <w:rStyle w:val="Emphasis"/>
            <w:color w:val="000000"/>
            <w:sz w:val="26"/>
            <w:szCs w:val="26"/>
          </w:rPr>
          <w:t>University of Pennsylvania v. Pa. PUC</w:t>
        </w:r>
        <w:r w:rsidRPr="007F1186">
          <w:rPr>
            <w:rStyle w:val="Hyperlink"/>
            <w:color w:val="000000"/>
            <w:sz w:val="26"/>
            <w:szCs w:val="26"/>
          </w:rPr>
          <w:t>,</w:t>
        </w:r>
        <w:r w:rsidRPr="003F2108">
          <w:rPr>
            <w:rStyle w:val="Hyperlink"/>
            <w:color w:val="000000"/>
            <w:sz w:val="26"/>
            <w:szCs w:val="26"/>
            <w:u w:val="none"/>
          </w:rPr>
          <w:t xml:space="preserve"> 485 A.2d 1217 (Pa. Cmwlth. 1984).</w:t>
        </w:r>
      </w:hyperlink>
    </w:p>
    <w:p w:rsidR="005C6092" w:rsidRDefault="005C6092" w:rsidP="005C6092">
      <w:pPr>
        <w:autoSpaceDE w:val="0"/>
        <w:autoSpaceDN w:val="0"/>
        <w:adjustRightInd w:val="0"/>
        <w:ind w:firstLine="0"/>
        <w:jc w:val="left"/>
        <w:rPr>
          <w:rStyle w:val="Hyperlink"/>
          <w:color w:val="000000"/>
          <w:sz w:val="26"/>
          <w:szCs w:val="26"/>
        </w:rPr>
      </w:pPr>
    </w:p>
    <w:p w:rsidR="005C6092" w:rsidRPr="005C6092" w:rsidRDefault="005C6092" w:rsidP="00BA6A74">
      <w:pPr>
        <w:keepNext/>
        <w:keepLines/>
        <w:autoSpaceDE w:val="0"/>
        <w:autoSpaceDN w:val="0"/>
        <w:adjustRightInd w:val="0"/>
        <w:ind w:firstLine="0"/>
        <w:jc w:val="left"/>
        <w:rPr>
          <w:rStyle w:val="Hyperlink"/>
          <w:b/>
          <w:color w:val="000000"/>
          <w:sz w:val="26"/>
          <w:szCs w:val="26"/>
          <w:u w:val="none"/>
        </w:rPr>
      </w:pPr>
      <w:r>
        <w:rPr>
          <w:rStyle w:val="Hyperlink"/>
          <w:b/>
          <w:color w:val="000000"/>
          <w:sz w:val="26"/>
          <w:szCs w:val="26"/>
          <w:u w:val="none"/>
        </w:rPr>
        <w:t>Background</w:t>
      </w:r>
    </w:p>
    <w:p w:rsidR="004A44D1" w:rsidRDefault="004A44D1" w:rsidP="00BA6A74">
      <w:pPr>
        <w:keepNext/>
        <w:keepLines/>
        <w:autoSpaceDE w:val="0"/>
        <w:autoSpaceDN w:val="0"/>
        <w:adjustRightInd w:val="0"/>
        <w:ind w:firstLine="0"/>
        <w:jc w:val="left"/>
        <w:rPr>
          <w:rStyle w:val="Hyperlink"/>
          <w:color w:val="000000"/>
          <w:sz w:val="26"/>
          <w:szCs w:val="26"/>
        </w:rPr>
      </w:pPr>
    </w:p>
    <w:p w:rsidR="005C6092" w:rsidRDefault="005C6092" w:rsidP="005C6092">
      <w:pPr>
        <w:pStyle w:val="Default"/>
        <w:spacing w:line="360" w:lineRule="auto"/>
        <w:ind w:firstLine="1440"/>
        <w:rPr>
          <w:color w:val="auto"/>
          <w:sz w:val="26"/>
          <w:szCs w:val="26"/>
        </w:rPr>
      </w:pPr>
      <w:r>
        <w:rPr>
          <w:sz w:val="26"/>
          <w:szCs w:val="26"/>
        </w:rPr>
        <w:t>The pertinent factual background of this dispute may be summarized as follows:</w:t>
      </w:r>
      <w:r w:rsidRPr="003C7869">
        <w:rPr>
          <w:color w:val="auto"/>
          <w:sz w:val="26"/>
          <w:szCs w:val="26"/>
        </w:rPr>
        <w:t xml:space="preserve"> </w:t>
      </w:r>
      <w:r>
        <w:rPr>
          <w:color w:val="auto"/>
          <w:sz w:val="26"/>
          <w:szCs w:val="26"/>
        </w:rPr>
        <w:t>t</w:t>
      </w:r>
      <w:r w:rsidRPr="00F465C7">
        <w:rPr>
          <w:color w:val="auto"/>
          <w:sz w:val="26"/>
          <w:szCs w:val="26"/>
        </w:rPr>
        <w:t xml:space="preserve">he building that is the subject of the dispute, where the charges in question were incurred, is 435 Seventh Avenue, Pittsburgh, PA. </w:t>
      </w:r>
      <w:r>
        <w:rPr>
          <w:color w:val="auto"/>
          <w:sz w:val="26"/>
          <w:szCs w:val="26"/>
        </w:rPr>
        <w:t xml:space="preserve"> </w:t>
      </w:r>
      <w:r w:rsidRPr="00F465C7">
        <w:rPr>
          <w:color w:val="auto"/>
          <w:sz w:val="26"/>
          <w:szCs w:val="26"/>
        </w:rPr>
        <w:t xml:space="preserve">This building is commonly known as and referred to </w:t>
      </w:r>
      <w:r>
        <w:rPr>
          <w:color w:val="auto"/>
          <w:sz w:val="26"/>
          <w:szCs w:val="26"/>
        </w:rPr>
        <w:t xml:space="preserve">in this Complaint </w:t>
      </w:r>
      <w:r w:rsidRPr="00F465C7">
        <w:rPr>
          <w:color w:val="auto"/>
          <w:sz w:val="26"/>
          <w:szCs w:val="26"/>
        </w:rPr>
        <w:t>as</w:t>
      </w:r>
      <w:r>
        <w:rPr>
          <w:color w:val="auto"/>
          <w:sz w:val="26"/>
          <w:szCs w:val="26"/>
        </w:rPr>
        <w:t xml:space="preserve"> </w:t>
      </w:r>
      <w:r w:rsidRPr="00F465C7">
        <w:rPr>
          <w:color w:val="auto"/>
          <w:sz w:val="26"/>
          <w:szCs w:val="26"/>
        </w:rPr>
        <w:t>the Gulf Tower.</w:t>
      </w:r>
      <w:r>
        <w:rPr>
          <w:color w:val="auto"/>
          <w:sz w:val="26"/>
          <w:szCs w:val="26"/>
        </w:rPr>
        <w:t xml:space="preserve">  </w:t>
      </w:r>
      <w:r>
        <w:rPr>
          <w:i/>
          <w:color w:val="auto"/>
          <w:sz w:val="26"/>
          <w:szCs w:val="26"/>
        </w:rPr>
        <w:t>See</w:t>
      </w:r>
      <w:r>
        <w:rPr>
          <w:color w:val="auto"/>
          <w:sz w:val="26"/>
          <w:szCs w:val="26"/>
        </w:rPr>
        <w:t xml:space="preserve"> Findings of Fact (FOF) Nos.</w:t>
      </w:r>
      <w:r w:rsidR="00E0520F">
        <w:rPr>
          <w:color w:val="auto"/>
          <w:sz w:val="26"/>
          <w:szCs w:val="26"/>
        </w:rPr>
        <w:t> </w:t>
      </w:r>
      <w:r>
        <w:rPr>
          <w:color w:val="auto"/>
          <w:sz w:val="26"/>
          <w:szCs w:val="26"/>
        </w:rPr>
        <w:t xml:space="preserve">3 and 4.  </w:t>
      </w:r>
      <w:r w:rsidRPr="00B65E6B">
        <w:rPr>
          <w:color w:val="auto"/>
          <w:sz w:val="26"/>
          <w:szCs w:val="26"/>
        </w:rPr>
        <w:t xml:space="preserve">Duquesne’s Rate GL – General Service Large is the rate schedule applicable to the service provided to One Ten. </w:t>
      </w:r>
      <w:r>
        <w:rPr>
          <w:color w:val="auto"/>
          <w:sz w:val="26"/>
          <w:szCs w:val="26"/>
        </w:rPr>
        <w:t xml:space="preserve"> FOF No. 39</w:t>
      </w:r>
      <w:r w:rsidRPr="00B65E6B">
        <w:rPr>
          <w:color w:val="auto"/>
          <w:sz w:val="26"/>
          <w:szCs w:val="26"/>
        </w:rPr>
        <w:t>; Duquesne Ex</w:t>
      </w:r>
      <w:r>
        <w:rPr>
          <w:color w:val="auto"/>
          <w:sz w:val="26"/>
          <w:szCs w:val="26"/>
        </w:rPr>
        <w:t>h</w:t>
      </w:r>
      <w:r w:rsidRPr="00B65E6B">
        <w:rPr>
          <w:color w:val="auto"/>
          <w:sz w:val="26"/>
          <w:szCs w:val="26"/>
        </w:rPr>
        <w:t>. B.</w:t>
      </w:r>
    </w:p>
    <w:p w:rsidR="005C6092" w:rsidRPr="00F465C7" w:rsidRDefault="005C6092" w:rsidP="005C6092">
      <w:pPr>
        <w:pStyle w:val="Default"/>
        <w:spacing w:line="360" w:lineRule="auto"/>
        <w:ind w:firstLine="1440"/>
        <w:rPr>
          <w:color w:val="auto"/>
          <w:sz w:val="26"/>
          <w:szCs w:val="26"/>
        </w:rPr>
      </w:pPr>
    </w:p>
    <w:p w:rsidR="005C6092" w:rsidRDefault="005C6092" w:rsidP="005C6092">
      <w:pPr>
        <w:pStyle w:val="Default"/>
        <w:spacing w:line="360" w:lineRule="auto"/>
        <w:ind w:firstLine="1440"/>
        <w:rPr>
          <w:color w:val="auto"/>
          <w:sz w:val="26"/>
          <w:szCs w:val="26"/>
        </w:rPr>
      </w:pPr>
      <w:r w:rsidRPr="00F465C7">
        <w:rPr>
          <w:color w:val="auto"/>
          <w:sz w:val="26"/>
          <w:szCs w:val="26"/>
        </w:rPr>
        <w:t xml:space="preserve">UtiliSave is an energy consulting company that reviews utility data for its clients to determine if they have been paying more for energy than they should or have been using more energy than they need. </w:t>
      </w:r>
      <w:r>
        <w:rPr>
          <w:color w:val="auto"/>
          <w:sz w:val="26"/>
          <w:szCs w:val="26"/>
        </w:rPr>
        <w:t xml:space="preserve"> FOF No. 5.</w:t>
      </w:r>
      <w:r w:rsidRPr="00F465C7">
        <w:rPr>
          <w:color w:val="auto"/>
          <w:sz w:val="26"/>
          <w:szCs w:val="26"/>
        </w:rPr>
        <w:t xml:space="preserve"> </w:t>
      </w:r>
      <w:r>
        <w:rPr>
          <w:color w:val="auto"/>
          <w:sz w:val="26"/>
          <w:szCs w:val="26"/>
        </w:rPr>
        <w:t xml:space="preserve"> </w:t>
      </w:r>
      <w:r w:rsidRPr="00F465C7">
        <w:rPr>
          <w:color w:val="auto"/>
          <w:sz w:val="26"/>
          <w:szCs w:val="26"/>
        </w:rPr>
        <w:t>UtiliSave was engaged by One Ten to conduct energy audits of properties owned by One Ten, including the Gulf Tower.</w:t>
      </w:r>
      <w:r>
        <w:rPr>
          <w:color w:val="auto"/>
          <w:sz w:val="26"/>
          <w:szCs w:val="26"/>
        </w:rPr>
        <w:t xml:space="preserve">  FOF No. 6.</w:t>
      </w:r>
    </w:p>
    <w:p w:rsidR="005C6092" w:rsidRPr="00B65E6B" w:rsidRDefault="005C6092" w:rsidP="005C6092">
      <w:pPr>
        <w:pStyle w:val="Default"/>
        <w:spacing w:line="360" w:lineRule="auto"/>
        <w:rPr>
          <w:color w:val="auto"/>
          <w:sz w:val="26"/>
          <w:szCs w:val="26"/>
        </w:rPr>
      </w:pPr>
    </w:p>
    <w:p w:rsidR="005C6092" w:rsidRPr="00B65E6B" w:rsidRDefault="005C6092" w:rsidP="005C6092">
      <w:pPr>
        <w:pStyle w:val="Default"/>
        <w:spacing w:line="360" w:lineRule="auto"/>
        <w:ind w:firstLine="1440"/>
        <w:rPr>
          <w:color w:val="auto"/>
          <w:sz w:val="26"/>
          <w:szCs w:val="26"/>
        </w:rPr>
      </w:pPr>
      <w:r w:rsidRPr="00B65E6B">
        <w:rPr>
          <w:color w:val="auto"/>
          <w:sz w:val="26"/>
          <w:szCs w:val="26"/>
        </w:rPr>
        <w:t>One Ten has been the ratepayer of record for the Gulf Tower since 1986.</w:t>
      </w:r>
      <w:r>
        <w:rPr>
          <w:color w:val="auto"/>
          <w:sz w:val="26"/>
          <w:szCs w:val="26"/>
        </w:rPr>
        <w:t xml:space="preserve">  FOF No. 31.</w:t>
      </w:r>
      <w:r w:rsidRPr="00B65E6B">
        <w:rPr>
          <w:color w:val="auto"/>
          <w:sz w:val="26"/>
          <w:szCs w:val="26"/>
        </w:rPr>
        <w:t xml:space="preserve"> </w:t>
      </w:r>
      <w:r>
        <w:rPr>
          <w:color w:val="auto"/>
          <w:sz w:val="26"/>
          <w:szCs w:val="26"/>
        </w:rPr>
        <w:t xml:space="preserve"> </w:t>
      </w:r>
      <w:r w:rsidRPr="00B65E6B">
        <w:rPr>
          <w:color w:val="auto"/>
          <w:sz w:val="26"/>
          <w:szCs w:val="26"/>
        </w:rPr>
        <w:t>Service from Duquesne is provided to the Gulf Tower through two separate meters</w:t>
      </w:r>
      <w:r>
        <w:rPr>
          <w:color w:val="auto"/>
          <w:sz w:val="26"/>
          <w:szCs w:val="26"/>
        </w:rPr>
        <w:t>.</w:t>
      </w:r>
      <w:r>
        <w:rPr>
          <w:rStyle w:val="FootnoteReference"/>
          <w:color w:val="auto"/>
          <w:sz w:val="26"/>
          <w:szCs w:val="26"/>
        </w:rPr>
        <w:footnoteReference w:id="1"/>
      </w:r>
      <w:r w:rsidRPr="00B65E6B">
        <w:rPr>
          <w:color w:val="auto"/>
          <w:sz w:val="26"/>
          <w:szCs w:val="26"/>
        </w:rPr>
        <w:t xml:space="preserve"> one provides 120/208 volt service and the second provides 277/480 volt service. </w:t>
      </w:r>
      <w:r>
        <w:rPr>
          <w:color w:val="auto"/>
          <w:sz w:val="26"/>
          <w:szCs w:val="26"/>
        </w:rPr>
        <w:lastRenderedPageBreak/>
        <w:t>FOF No. 32;</w:t>
      </w:r>
      <w:r w:rsidRPr="00B65E6B">
        <w:rPr>
          <w:color w:val="auto"/>
          <w:sz w:val="26"/>
          <w:szCs w:val="26"/>
        </w:rPr>
        <w:t xml:space="preserve"> Duquesne Ex</w:t>
      </w:r>
      <w:r>
        <w:rPr>
          <w:color w:val="auto"/>
          <w:sz w:val="26"/>
          <w:szCs w:val="26"/>
        </w:rPr>
        <w:t>h</w:t>
      </w:r>
      <w:r w:rsidRPr="00B65E6B">
        <w:rPr>
          <w:color w:val="auto"/>
          <w:sz w:val="26"/>
          <w:szCs w:val="26"/>
        </w:rPr>
        <w:t xml:space="preserve">. H. </w:t>
      </w:r>
      <w:r>
        <w:rPr>
          <w:color w:val="auto"/>
          <w:sz w:val="26"/>
          <w:szCs w:val="26"/>
        </w:rPr>
        <w:t xml:space="preserve"> </w:t>
      </w:r>
      <w:r w:rsidRPr="00B65E6B">
        <w:rPr>
          <w:color w:val="auto"/>
          <w:sz w:val="26"/>
          <w:szCs w:val="26"/>
        </w:rPr>
        <w:t>The 277/480 volt service was installed after the 120/208 service was installed.</w:t>
      </w:r>
      <w:r>
        <w:rPr>
          <w:color w:val="auto"/>
          <w:sz w:val="26"/>
          <w:szCs w:val="26"/>
        </w:rPr>
        <w:t xml:space="preserve">  FOF No. 33.</w:t>
      </w:r>
    </w:p>
    <w:p w:rsidR="005C6092" w:rsidRPr="00B65E6B" w:rsidRDefault="005C6092" w:rsidP="005C6092">
      <w:pPr>
        <w:pStyle w:val="Default"/>
        <w:spacing w:line="360" w:lineRule="auto"/>
        <w:ind w:firstLine="1440"/>
        <w:rPr>
          <w:color w:val="auto"/>
          <w:sz w:val="26"/>
          <w:szCs w:val="26"/>
        </w:rPr>
      </w:pPr>
    </w:p>
    <w:p w:rsidR="005C6092" w:rsidRDefault="005C6092" w:rsidP="005C6092">
      <w:pPr>
        <w:autoSpaceDE w:val="0"/>
        <w:autoSpaceDN w:val="0"/>
        <w:adjustRightInd w:val="0"/>
        <w:ind w:firstLine="1440"/>
        <w:jc w:val="left"/>
        <w:rPr>
          <w:sz w:val="26"/>
          <w:szCs w:val="26"/>
        </w:rPr>
      </w:pPr>
      <w:r w:rsidRPr="00B65E6B">
        <w:rPr>
          <w:sz w:val="26"/>
          <w:szCs w:val="26"/>
        </w:rPr>
        <w:t>Typically, 120/208 volt service feeds light loads, such as for lighting, and 277/480 volt service feeds heavier, commercial loads, such as larger motors, chillers or large power equipment.</w:t>
      </w:r>
      <w:r>
        <w:rPr>
          <w:sz w:val="26"/>
          <w:szCs w:val="26"/>
        </w:rPr>
        <w:t xml:space="preserve">  FOF No. 34.</w:t>
      </w:r>
      <w:r w:rsidRPr="00B65E6B">
        <w:rPr>
          <w:sz w:val="26"/>
          <w:szCs w:val="26"/>
        </w:rPr>
        <w:t xml:space="preserve"> </w:t>
      </w:r>
      <w:r>
        <w:rPr>
          <w:sz w:val="26"/>
          <w:szCs w:val="26"/>
        </w:rPr>
        <w:t xml:space="preserve"> </w:t>
      </w:r>
      <w:r w:rsidRPr="00B65E6B">
        <w:rPr>
          <w:sz w:val="26"/>
          <w:szCs w:val="26"/>
        </w:rPr>
        <w:t xml:space="preserve">The 277/480 volt service at the Gulf Tower was installed </w:t>
      </w:r>
      <w:r w:rsidR="00786714" w:rsidRPr="00B65E6B">
        <w:rPr>
          <w:sz w:val="26"/>
          <w:szCs w:val="26"/>
        </w:rPr>
        <w:t>to</w:t>
      </w:r>
      <w:r w:rsidRPr="00B65E6B">
        <w:rPr>
          <w:sz w:val="26"/>
          <w:szCs w:val="26"/>
        </w:rPr>
        <w:t xml:space="preserve"> service a central HVAC system in the building.</w:t>
      </w:r>
      <w:r>
        <w:rPr>
          <w:sz w:val="26"/>
          <w:szCs w:val="26"/>
        </w:rPr>
        <w:t xml:space="preserve">  FOF No. 35.</w:t>
      </w:r>
      <w:r w:rsidRPr="00B65E6B">
        <w:rPr>
          <w:sz w:val="26"/>
          <w:szCs w:val="26"/>
        </w:rPr>
        <w:t xml:space="preserve">  The two services are connected to different sets of transformers and network protectors. </w:t>
      </w:r>
      <w:r>
        <w:rPr>
          <w:sz w:val="26"/>
          <w:szCs w:val="26"/>
        </w:rPr>
        <w:t xml:space="preserve"> FOF No.</w:t>
      </w:r>
      <w:r w:rsidR="004B171F">
        <w:rPr>
          <w:sz w:val="26"/>
          <w:szCs w:val="26"/>
        </w:rPr>
        <w:t> </w:t>
      </w:r>
      <w:r>
        <w:rPr>
          <w:sz w:val="26"/>
          <w:szCs w:val="26"/>
        </w:rPr>
        <w:t>6;</w:t>
      </w:r>
      <w:r w:rsidRPr="00B65E6B">
        <w:rPr>
          <w:sz w:val="26"/>
          <w:szCs w:val="26"/>
        </w:rPr>
        <w:t xml:space="preserve"> Duquesne Ex</w:t>
      </w:r>
      <w:r>
        <w:rPr>
          <w:sz w:val="26"/>
          <w:szCs w:val="26"/>
        </w:rPr>
        <w:t>h</w:t>
      </w:r>
      <w:r w:rsidRPr="00B65E6B">
        <w:rPr>
          <w:sz w:val="26"/>
          <w:szCs w:val="26"/>
        </w:rPr>
        <w:t>s. C</w:t>
      </w:r>
      <w:r>
        <w:rPr>
          <w:sz w:val="26"/>
          <w:szCs w:val="26"/>
        </w:rPr>
        <w:t xml:space="preserve"> and</w:t>
      </w:r>
      <w:r w:rsidRPr="00B65E6B">
        <w:rPr>
          <w:sz w:val="26"/>
          <w:szCs w:val="26"/>
        </w:rPr>
        <w:t xml:space="preserve"> F. </w:t>
      </w:r>
      <w:r>
        <w:rPr>
          <w:sz w:val="26"/>
          <w:szCs w:val="26"/>
        </w:rPr>
        <w:t xml:space="preserve"> </w:t>
      </w:r>
      <w:r w:rsidRPr="00B65E6B">
        <w:rPr>
          <w:sz w:val="26"/>
          <w:szCs w:val="26"/>
        </w:rPr>
        <w:t xml:space="preserve">The two services are connected to separate circuits and are fed by separate substations and cables. </w:t>
      </w:r>
      <w:r>
        <w:rPr>
          <w:sz w:val="26"/>
          <w:szCs w:val="26"/>
        </w:rPr>
        <w:t xml:space="preserve"> FOF No. </w:t>
      </w:r>
      <w:r w:rsidRPr="00B65E6B">
        <w:rPr>
          <w:sz w:val="26"/>
          <w:szCs w:val="26"/>
        </w:rPr>
        <w:t>3</w:t>
      </w:r>
      <w:r>
        <w:rPr>
          <w:sz w:val="26"/>
          <w:szCs w:val="26"/>
        </w:rPr>
        <w:t>7</w:t>
      </w:r>
      <w:r w:rsidRPr="00B65E6B">
        <w:rPr>
          <w:sz w:val="26"/>
          <w:szCs w:val="26"/>
        </w:rPr>
        <w:t>; Duquesne Ex</w:t>
      </w:r>
      <w:r>
        <w:rPr>
          <w:sz w:val="26"/>
          <w:szCs w:val="26"/>
        </w:rPr>
        <w:t>h</w:t>
      </w:r>
      <w:r w:rsidRPr="00B65E6B">
        <w:rPr>
          <w:sz w:val="26"/>
          <w:szCs w:val="26"/>
        </w:rPr>
        <w:t>s. C</w:t>
      </w:r>
      <w:r>
        <w:rPr>
          <w:sz w:val="26"/>
          <w:szCs w:val="26"/>
        </w:rPr>
        <w:t xml:space="preserve"> and</w:t>
      </w:r>
      <w:r w:rsidRPr="00B65E6B">
        <w:rPr>
          <w:sz w:val="26"/>
          <w:szCs w:val="26"/>
        </w:rPr>
        <w:t xml:space="preserve"> F. </w:t>
      </w:r>
      <w:r>
        <w:rPr>
          <w:sz w:val="26"/>
          <w:szCs w:val="26"/>
        </w:rPr>
        <w:t xml:space="preserve"> </w:t>
      </w:r>
      <w:r w:rsidRPr="00B65E6B">
        <w:rPr>
          <w:sz w:val="26"/>
          <w:szCs w:val="26"/>
        </w:rPr>
        <w:t xml:space="preserve">The two services provided to the Gulf Tower are separate, independent services. </w:t>
      </w:r>
      <w:r>
        <w:rPr>
          <w:sz w:val="26"/>
          <w:szCs w:val="26"/>
        </w:rPr>
        <w:t xml:space="preserve"> FOF No. 38; </w:t>
      </w:r>
      <w:r w:rsidRPr="00B65E6B">
        <w:rPr>
          <w:sz w:val="26"/>
          <w:szCs w:val="26"/>
        </w:rPr>
        <w:t>Duquesne Ex</w:t>
      </w:r>
      <w:r>
        <w:rPr>
          <w:sz w:val="26"/>
          <w:szCs w:val="26"/>
        </w:rPr>
        <w:t>h</w:t>
      </w:r>
      <w:r w:rsidRPr="00B65E6B">
        <w:rPr>
          <w:sz w:val="26"/>
          <w:szCs w:val="26"/>
        </w:rPr>
        <w:t>s. C</w:t>
      </w:r>
      <w:r>
        <w:rPr>
          <w:sz w:val="26"/>
          <w:szCs w:val="26"/>
        </w:rPr>
        <w:t xml:space="preserve"> and</w:t>
      </w:r>
      <w:r w:rsidRPr="00B65E6B">
        <w:rPr>
          <w:sz w:val="26"/>
          <w:szCs w:val="26"/>
        </w:rPr>
        <w:t xml:space="preserve"> F.</w:t>
      </w:r>
    </w:p>
    <w:p w:rsidR="005C6092" w:rsidRDefault="005C6092" w:rsidP="005C6092">
      <w:pPr>
        <w:autoSpaceDE w:val="0"/>
        <w:autoSpaceDN w:val="0"/>
        <w:adjustRightInd w:val="0"/>
        <w:ind w:firstLine="1440"/>
        <w:jc w:val="left"/>
        <w:rPr>
          <w:rStyle w:val="Hyperlink"/>
          <w:color w:val="000000"/>
          <w:sz w:val="26"/>
          <w:szCs w:val="26"/>
        </w:rPr>
      </w:pPr>
    </w:p>
    <w:p w:rsidR="004A44D1" w:rsidRPr="00D64605" w:rsidRDefault="004A44D1" w:rsidP="004A44D1">
      <w:pPr>
        <w:keepNext/>
        <w:ind w:firstLine="0"/>
        <w:jc w:val="left"/>
        <w:rPr>
          <w:b/>
          <w:color w:val="000000"/>
          <w:sz w:val="26"/>
          <w:szCs w:val="26"/>
        </w:rPr>
      </w:pPr>
      <w:r>
        <w:rPr>
          <w:b/>
          <w:color w:val="000000"/>
          <w:sz w:val="26"/>
          <w:szCs w:val="26"/>
        </w:rPr>
        <w:t>ALJ</w:t>
      </w:r>
      <w:r w:rsidRPr="00D64605">
        <w:rPr>
          <w:b/>
          <w:color w:val="000000"/>
          <w:sz w:val="26"/>
          <w:szCs w:val="26"/>
        </w:rPr>
        <w:t>’s Initial Decision</w:t>
      </w:r>
    </w:p>
    <w:p w:rsidR="004A44D1" w:rsidRPr="00D64605" w:rsidRDefault="004A44D1" w:rsidP="004A44D1">
      <w:pPr>
        <w:keepNext/>
        <w:ind w:firstLine="1440"/>
        <w:jc w:val="left"/>
        <w:rPr>
          <w:rStyle w:val="Hyperlink"/>
          <w:color w:val="000000"/>
          <w:sz w:val="26"/>
          <w:szCs w:val="26"/>
        </w:rPr>
      </w:pPr>
    </w:p>
    <w:p w:rsidR="004A44D1" w:rsidRDefault="004A44D1" w:rsidP="004A44D1">
      <w:pPr>
        <w:autoSpaceDE w:val="0"/>
        <w:autoSpaceDN w:val="0"/>
        <w:adjustRightInd w:val="0"/>
        <w:ind w:firstLine="1440"/>
        <w:jc w:val="left"/>
        <w:rPr>
          <w:sz w:val="26"/>
          <w:szCs w:val="26"/>
        </w:rPr>
      </w:pPr>
      <w:r>
        <w:rPr>
          <w:sz w:val="26"/>
          <w:szCs w:val="26"/>
        </w:rPr>
        <w:t xml:space="preserve">In his Initial Decision, ALJ </w:t>
      </w:r>
      <w:r w:rsidR="00FE6E73">
        <w:rPr>
          <w:sz w:val="26"/>
          <w:szCs w:val="26"/>
        </w:rPr>
        <w:t>Haas</w:t>
      </w:r>
      <w:r>
        <w:rPr>
          <w:sz w:val="26"/>
          <w:szCs w:val="26"/>
        </w:rPr>
        <w:t xml:space="preserve"> made </w:t>
      </w:r>
      <w:r w:rsidR="00A11E3C">
        <w:rPr>
          <w:sz w:val="26"/>
          <w:szCs w:val="26"/>
        </w:rPr>
        <w:t>fifty</w:t>
      </w:r>
      <w:r w:rsidRPr="00D64605">
        <w:rPr>
          <w:sz w:val="26"/>
          <w:szCs w:val="26"/>
        </w:rPr>
        <w:t xml:space="preserve"> </w:t>
      </w:r>
      <w:r>
        <w:rPr>
          <w:sz w:val="26"/>
          <w:szCs w:val="26"/>
        </w:rPr>
        <w:t xml:space="preserve">Findings of Fact and reached </w:t>
      </w:r>
      <w:r w:rsidR="00A11E3C">
        <w:rPr>
          <w:sz w:val="26"/>
          <w:szCs w:val="26"/>
        </w:rPr>
        <w:t>thirteen</w:t>
      </w:r>
      <w:r w:rsidRPr="00D64605">
        <w:rPr>
          <w:sz w:val="26"/>
          <w:szCs w:val="26"/>
        </w:rPr>
        <w:t xml:space="preserve"> Conclus</w:t>
      </w:r>
      <w:r>
        <w:rPr>
          <w:sz w:val="26"/>
          <w:szCs w:val="26"/>
        </w:rPr>
        <w:t xml:space="preserve">ions of Law.  I.D. at </w:t>
      </w:r>
      <w:r w:rsidR="00A11E3C">
        <w:rPr>
          <w:sz w:val="26"/>
          <w:szCs w:val="26"/>
        </w:rPr>
        <w:t>3</w:t>
      </w:r>
      <w:r>
        <w:rPr>
          <w:sz w:val="26"/>
          <w:szCs w:val="26"/>
        </w:rPr>
        <w:t>-</w:t>
      </w:r>
      <w:r w:rsidR="00A11E3C">
        <w:rPr>
          <w:sz w:val="26"/>
          <w:szCs w:val="26"/>
        </w:rPr>
        <w:t>9</w:t>
      </w:r>
      <w:r>
        <w:rPr>
          <w:sz w:val="26"/>
          <w:szCs w:val="26"/>
        </w:rPr>
        <w:t xml:space="preserve">, </w:t>
      </w:r>
      <w:r w:rsidR="00A11E3C">
        <w:rPr>
          <w:sz w:val="26"/>
          <w:szCs w:val="26"/>
        </w:rPr>
        <w:t>16</w:t>
      </w:r>
      <w:r>
        <w:rPr>
          <w:sz w:val="26"/>
          <w:szCs w:val="26"/>
        </w:rPr>
        <w:t>-1</w:t>
      </w:r>
      <w:r w:rsidR="00A11E3C">
        <w:rPr>
          <w:sz w:val="26"/>
          <w:szCs w:val="26"/>
        </w:rPr>
        <w:t>8</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3C7869" w:rsidRDefault="003C7869" w:rsidP="004A44D1">
      <w:pPr>
        <w:autoSpaceDE w:val="0"/>
        <w:autoSpaceDN w:val="0"/>
        <w:adjustRightInd w:val="0"/>
        <w:ind w:firstLine="1440"/>
        <w:jc w:val="left"/>
        <w:rPr>
          <w:sz w:val="26"/>
          <w:szCs w:val="26"/>
        </w:rPr>
      </w:pPr>
    </w:p>
    <w:p w:rsidR="003806D2" w:rsidRDefault="00124C49" w:rsidP="004A44D1">
      <w:pPr>
        <w:autoSpaceDE w:val="0"/>
        <w:autoSpaceDN w:val="0"/>
        <w:adjustRightInd w:val="0"/>
        <w:ind w:firstLine="1440"/>
        <w:jc w:val="left"/>
        <w:rPr>
          <w:sz w:val="26"/>
          <w:szCs w:val="26"/>
        </w:rPr>
      </w:pPr>
      <w:r>
        <w:rPr>
          <w:sz w:val="26"/>
          <w:szCs w:val="26"/>
        </w:rPr>
        <w:t>T</w:t>
      </w:r>
      <w:r w:rsidR="00A11E3C">
        <w:rPr>
          <w:sz w:val="26"/>
          <w:szCs w:val="26"/>
        </w:rPr>
        <w:t>he ALJ explained that the Complainant</w:t>
      </w:r>
      <w:r w:rsidR="000A3ED6">
        <w:rPr>
          <w:sz w:val="26"/>
          <w:szCs w:val="26"/>
        </w:rPr>
        <w:t>, One Ten,</w:t>
      </w:r>
      <w:r w:rsidR="00A11E3C">
        <w:rPr>
          <w:sz w:val="26"/>
          <w:szCs w:val="26"/>
        </w:rPr>
        <w:t xml:space="preserve"> </w:t>
      </w:r>
      <w:r w:rsidR="000A3ED6">
        <w:rPr>
          <w:sz w:val="26"/>
          <w:szCs w:val="26"/>
        </w:rPr>
        <w:t>argued</w:t>
      </w:r>
      <w:r w:rsidR="00A11E3C">
        <w:rPr>
          <w:sz w:val="26"/>
          <w:szCs w:val="26"/>
        </w:rPr>
        <w:t xml:space="preserve"> that Duquesne should be calculating and billing the demand from the two meters through which the utility provides service to the </w:t>
      </w:r>
      <w:r w:rsidR="003D6FC9">
        <w:rPr>
          <w:sz w:val="26"/>
          <w:szCs w:val="26"/>
        </w:rPr>
        <w:t>G</w:t>
      </w:r>
      <w:r w:rsidR="00A11E3C">
        <w:rPr>
          <w:sz w:val="26"/>
          <w:szCs w:val="26"/>
        </w:rPr>
        <w:t>ulf Tower building in Pittsburgh</w:t>
      </w:r>
      <w:r w:rsidR="00FE6E73">
        <w:rPr>
          <w:sz w:val="26"/>
          <w:szCs w:val="26"/>
        </w:rPr>
        <w:t xml:space="preserve">, </w:t>
      </w:r>
      <w:r w:rsidR="00A11E3C">
        <w:rPr>
          <w:sz w:val="26"/>
          <w:szCs w:val="26"/>
        </w:rPr>
        <w:t>on a coincident basis</w:t>
      </w:r>
      <w:r w:rsidR="000A3ED6">
        <w:rPr>
          <w:sz w:val="26"/>
          <w:szCs w:val="26"/>
        </w:rPr>
        <w:t>.  Pursuant to this position,</w:t>
      </w:r>
      <w:r w:rsidR="00A11E3C">
        <w:rPr>
          <w:sz w:val="26"/>
          <w:szCs w:val="26"/>
        </w:rPr>
        <w:t xml:space="preserve"> demand from the two meters during the same time period within a billing cycle would be added together for billing purposes.</w:t>
      </w:r>
      <w:r w:rsidR="000A3ED6">
        <w:rPr>
          <w:sz w:val="26"/>
          <w:szCs w:val="26"/>
        </w:rPr>
        <w:t xml:space="preserve">  I.D. at 9.</w:t>
      </w:r>
    </w:p>
    <w:p w:rsidR="003806D2" w:rsidRDefault="003806D2" w:rsidP="004A44D1">
      <w:pPr>
        <w:autoSpaceDE w:val="0"/>
        <w:autoSpaceDN w:val="0"/>
        <w:adjustRightInd w:val="0"/>
        <w:ind w:firstLine="1440"/>
        <w:jc w:val="left"/>
        <w:rPr>
          <w:sz w:val="26"/>
          <w:szCs w:val="26"/>
        </w:rPr>
      </w:pPr>
    </w:p>
    <w:p w:rsidR="003806D2" w:rsidRPr="003806D2" w:rsidRDefault="003806D2" w:rsidP="009573C0">
      <w:pPr>
        <w:keepNext/>
        <w:keepLines/>
        <w:autoSpaceDE w:val="0"/>
        <w:autoSpaceDN w:val="0"/>
        <w:adjustRightInd w:val="0"/>
        <w:ind w:firstLine="1440"/>
        <w:jc w:val="left"/>
        <w:rPr>
          <w:sz w:val="26"/>
          <w:szCs w:val="26"/>
        </w:rPr>
      </w:pPr>
      <w:r w:rsidRPr="005C6092">
        <w:rPr>
          <w:sz w:val="26"/>
          <w:szCs w:val="26"/>
        </w:rPr>
        <w:lastRenderedPageBreak/>
        <w:t>One Ten</w:t>
      </w:r>
      <w:r>
        <w:rPr>
          <w:sz w:val="26"/>
          <w:szCs w:val="26"/>
        </w:rPr>
        <w:t xml:space="preserve"> took the position</w:t>
      </w:r>
      <w:r w:rsidRPr="005C6092">
        <w:rPr>
          <w:sz w:val="26"/>
          <w:szCs w:val="26"/>
        </w:rPr>
        <w:t xml:space="preserve"> that Duquesne is misapplying its tariff and that demand for billing purposes should be calculated on a coincidental basis, whereby the demand from the two meters during the same fifteen minute time period within a billing cycle would be added together for billing purposes.</w:t>
      </w:r>
      <w:r>
        <w:rPr>
          <w:sz w:val="26"/>
          <w:szCs w:val="26"/>
        </w:rPr>
        <w:t xml:space="preserve">  I.D. at 11.  </w:t>
      </w:r>
      <w:r w:rsidRPr="005C6092">
        <w:rPr>
          <w:sz w:val="26"/>
          <w:szCs w:val="26"/>
        </w:rPr>
        <w:t>One Ten argues that the two meters at the Gulf Tower should be considered as part of one service being provided to the building and, as a result, coincidental billing is appropriate.</w:t>
      </w:r>
      <w:r>
        <w:rPr>
          <w:sz w:val="26"/>
          <w:szCs w:val="26"/>
        </w:rPr>
        <w:t xml:space="preserve">  </w:t>
      </w:r>
      <w:r>
        <w:rPr>
          <w:i/>
          <w:sz w:val="26"/>
          <w:szCs w:val="26"/>
        </w:rPr>
        <w:t>Id</w:t>
      </w:r>
      <w:r>
        <w:rPr>
          <w:sz w:val="26"/>
          <w:szCs w:val="26"/>
        </w:rPr>
        <w:t>.</w:t>
      </w:r>
    </w:p>
    <w:p w:rsidR="003806D2" w:rsidRDefault="003806D2" w:rsidP="004A44D1">
      <w:pPr>
        <w:autoSpaceDE w:val="0"/>
        <w:autoSpaceDN w:val="0"/>
        <w:adjustRightInd w:val="0"/>
        <w:ind w:firstLine="1440"/>
        <w:jc w:val="left"/>
        <w:rPr>
          <w:sz w:val="26"/>
          <w:szCs w:val="26"/>
        </w:rPr>
      </w:pPr>
    </w:p>
    <w:p w:rsidR="00A11E3C" w:rsidRDefault="003806D2" w:rsidP="004A44D1">
      <w:pPr>
        <w:autoSpaceDE w:val="0"/>
        <w:autoSpaceDN w:val="0"/>
        <w:adjustRightInd w:val="0"/>
        <w:ind w:firstLine="1440"/>
        <w:jc w:val="left"/>
        <w:rPr>
          <w:sz w:val="26"/>
          <w:szCs w:val="26"/>
        </w:rPr>
      </w:pPr>
      <w:r w:rsidRPr="00AD2A0D">
        <w:rPr>
          <w:sz w:val="26"/>
          <w:szCs w:val="26"/>
        </w:rPr>
        <w:t>Pursuant to th</w:t>
      </w:r>
      <w:r>
        <w:rPr>
          <w:sz w:val="26"/>
          <w:szCs w:val="26"/>
        </w:rPr>
        <w:t>e applicable</w:t>
      </w:r>
      <w:r w:rsidRPr="00AD2A0D">
        <w:rPr>
          <w:sz w:val="26"/>
          <w:szCs w:val="26"/>
        </w:rPr>
        <w:t xml:space="preserve"> tariff provision, Duquesne calculate</w:t>
      </w:r>
      <w:r>
        <w:rPr>
          <w:sz w:val="26"/>
          <w:szCs w:val="26"/>
        </w:rPr>
        <w:t>d</w:t>
      </w:r>
      <w:r w:rsidRPr="00AD2A0D">
        <w:rPr>
          <w:sz w:val="26"/>
          <w:szCs w:val="26"/>
        </w:rPr>
        <w:t xml:space="preserve"> One Ten’s demand for billing purposes by adding the highest demand amount for any fifteen minute time period during a billing cycle from meter </w:t>
      </w:r>
      <w:r w:rsidR="005C6092">
        <w:rPr>
          <w:sz w:val="26"/>
          <w:szCs w:val="26"/>
        </w:rPr>
        <w:t>one</w:t>
      </w:r>
      <w:r w:rsidRPr="00AD2A0D">
        <w:rPr>
          <w:sz w:val="26"/>
          <w:szCs w:val="26"/>
        </w:rPr>
        <w:t xml:space="preserve"> to the highest demand amount for any fifteen minute time period during the same billing cycle from meter </w:t>
      </w:r>
      <w:r w:rsidR="005C6092">
        <w:rPr>
          <w:sz w:val="26"/>
          <w:szCs w:val="26"/>
        </w:rPr>
        <w:t>two</w:t>
      </w:r>
      <w:r w:rsidRPr="00AD2A0D">
        <w:rPr>
          <w:sz w:val="26"/>
          <w:szCs w:val="26"/>
        </w:rPr>
        <w:t>.</w:t>
      </w:r>
      <w:r>
        <w:rPr>
          <w:sz w:val="26"/>
          <w:szCs w:val="26"/>
        </w:rPr>
        <w:t xml:space="preserve">  I.D. at 11. </w:t>
      </w:r>
      <w:r w:rsidRPr="00AD2A0D">
        <w:rPr>
          <w:sz w:val="26"/>
          <w:szCs w:val="26"/>
        </w:rPr>
        <w:t xml:space="preserve"> It </w:t>
      </w:r>
      <w:r w:rsidR="003E527A">
        <w:rPr>
          <w:sz w:val="26"/>
          <w:szCs w:val="26"/>
        </w:rPr>
        <w:t>is D</w:t>
      </w:r>
      <w:r w:rsidRPr="00AD2A0D">
        <w:rPr>
          <w:sz w:val="26"/>
          <w:szCs w:val="26"/>
        </w:rPr>
        <w:t>uquesne’s position that the two meters through which service to the Gulf Tower is provided constitute two separate services and, accordingly, billing on a non-coincidental basis under its tariff is appropriate.</w:t>
      </w:r>
      <w:r>
        <w:rPr>
          <w:sz w:val="26"/>
          <w:szCs w:val="26"/>
        </w:rPr>
        <w:t xml:space="preserve">  </w:t>
      </w:r>
      <w:r>
        <w:rPr>
          <w:i/>
          <w:sz w:val="26"/>
          <w:szCs w:val="26"/>
        </w:rPr>
        <w:t>Id</w:t>
      </w:r>
      <w:r>
        <w:rPr>
          <w:sz w:val="26"/>
          <w:szCs w:val="26"/>
        </w:rPr>
        <w:t>.</w:t>
      </w:r>
      <w:r>
        <w:rPr>
          <w:i/>
          <w:sz w:val="26"/>
          <w:szCs w:val="26"/>
        </w:rPr>
        <w:t xml:space="preserve"> </w:t>
      </w:r>
      <w:r w:rsidRPr="00AD2A0D">
        <w:rPr>
          <w:sz w:val="26"/>
          <w:szCs w:val="26"/>
        </w:rPr>
        <w:t xml:space="preserve"> </w:t>
      </w:r>
      <w:r w:rsidR="00A11E3C">
        <w:rPr>
          <w:sz w:val="26"/>
          <w:szCs w:val="26"/>
        </w:rPr>
        <w:t>The ALJ noted that non-coincident billing may result in higher bills than coincidental billing.  I.D. at 10.</w:t>
      </w:r>
    </w:p>
    <w:p w:rsidR="00A11E3C" w:rsidRDefault="00A11E3C" w:rsidP="004A44D1">
      <w:pPr>
        <w:autoSpaceDE w:val="0"/>
        <w:autoSpaceDN w:val="0"/>
        <w:adjustRightInd w:val="0"/>
        <w:ind w:firstLine="1440"/>
        <w:jc w:val="left"/>
        <w:rPr>
          <w:sz w:val="26"/>
          <w:szCs w:val="26"/>
        </w:rPr>
      </w:pPr>
    </w:p>
    <w:p w:rsidR="00A11E3C" w:rsidRDefault="00AD2A0D" w:rsidP="004A44D1">
      <w:pPr>
        <w:autoSpaceDE w:val="0"/>
        <w:autoSpaceDN w:val="0"/>
        <w:adjustRightInd w:val="0"/>
        <w:ind w:firstLine="1440"/>
        <w:jc w:val="left"/>
        <w:rPr>
          <w:sz w:val="26"/>
          <w:szCs w:val="26"/>
        </w:rPr>
      </w:pPr>
      <w:r>
        <w:rPr>
          <w:sz w:val="26"/>
          <w:szCs w:val="26"/>
        </w:rPr>
        <w:t>Next, the ALJ referenced t</w:t>
      </w:r>
      <w:r w:rsidR="00434C01">
        <w:rPr>
          <w:sz w:val="26"/>
          <w:szCs w:val="26"/>
        </w:rPr>
        <w:t xml:space="preserve">he Duquesne </w:t>
      </w:r>
      <w:r w:rsidR="003D6FC9">
        <w:rPr>
          <w:sz w:val="26"/>
          <w:szCs w:val="26"/>
        </w:rPr>
        <w:t>T</w:t>
      </w:r>
      <w:r w:rsidR="00434C01">
        <w:rPr>
          <w:sz w:val="26"/>
          <w:szCs w:val="26"/>
        </w:rPr>
        <w:t xml:space="preserve">ariff provision at issue in this proceeding </w:t>
      </w:r>
      <w:r>
        <w:rPr>
          <w:sz w:val="26"/>
          <w:szCs w:val="26"/>
        </w:rPr>
        <w:t xml:space="preserve">which </w:t>
      </w:r>
      <w:r w:rsidR="00434C01">
        <w:rPr>
          <w:sz w:val="26"/>
          <w:szCs w:val="26"/>
        </w:rPr>
        <w:t>provides, in relevant part, as follows:</w:t>
      </w:r>
    </w:p>
    <w:p w:rsidR="00434C01" w:rsidRDefault="00434C01" w:rsidP="004A44D1">
      <w:pPr>
        <w:autoSpaceDE w:val="0"/>
        <w:autoSpaceDN w:val="0"/>
        <w:adjustRightInd w:val="0"/>
        <w:ind w:firstLine="1440"/>
        <w:jc w:val="left"/>
        <w:rPr>
          <w:sz w:val="26"/>
          <w:szCs w:val="26"/>
        </w:rPr>
      </w:pPr>
    </w:p>
    <w:p w:rsidR="00434C01" w:rsidRDefault="00434C01" w:rsidP="00434C01">
      <w:pPr>
        <w:autoSpaceDE w:val="0"/>
        <w:autoSpaceDN w:val="0"/>
        <w:adjustRightInd w:val="0"/>
        <w:spacing w:line="240" w:lineRule="auto"/>
        <w:ind w:left="1440" w:right="1260" w:firstLine="0"/>
        <w:jc w:val="left"/>
        <w:rPr>
          <w:b/>
          <w:sz w:val="26"/>
          <w:szCs w:val="26"/>
        </w:rPr>
      </w:pPr>
      <w:r>
        <w:rPr>
          <w:b/>
          <w:sz w:val="26"/>
          <w:szCs w:val="26"/>
        </w:rPr>
        <w:t>DETERMINATION OF DEMAND FOR DISTRIBUTION</w:t>
      </w:r>
    </w:p>
    <w:p w:rsidR="00434C01" w:rsidRDefault="00434C01" w:rsidP="00434C01">
      <w:pPr>
        <w:autoSpaceDE w:val="0"/>
        <w:autoSpaceDN w:val="0"/>
        <w:adjustRightInd w:val="0"/>
        <w:spacing w:line="240" w:lineRule="auto"/>
        <w:ind w:left="1440" w:right="1260" w:firstLine="0"/>
        <w:jc w:val="left"/>
        <w:rPr>
          <w:b/>
          <w:sz w:val="26"/>
          <w:szCs w:val="26"/>
        </w:rPr>
      </w:pPr>
    </w:p>
    <w:p w:rsidR="00434C01" w:rsidRDefault="00434C01" w:rsidP="00434C01">
      <w:pPr>
        <w:autoSpaceDE w:val="0"/>
        <w:autoSpaceDN w:val="0"/>
        <w:adjustRightInd w:val="0"/>
        <w:spacing w:line="240" w:lineRule="auto"/>
        <w:ind w:left="1440" w:right="1260" w:firstLine="0"/>
        <w:jc w:val="left"/>
        <w:rPr>
          <w:sz w:val="26"/>
          <w:szCs w:val="26"/>
        </w:rPr>
      </w:pPr>
      <w:r>
        <w:rPr>
          <w:sz w:val="26"/>
          <w:szCs w:val="26"/>
        </w:rPr>
        <w:t>Individual demand, except in unusual cases, will be determined by measurement of the average kilowatts during the fifteen-minute period of greatest kilowatt-hour use during the billing period.</w:t>
      </w:r>
    </w:p>
    <w:p w:rsidR="00434C01" w:rsidRDefault="00434C01" w:rsidP="00434C01">
      <w:pPr>
        <w:autoSpaceDE w:val="0"/>
        <w:autoSpaceDN w:val="0"/>
        <w:adjustRightInd w:val="0"/>
        <w:spacing w:line="240" w:lineRule="auto"/>
        <w:ind w:left="1440" w:right="1260" w:firstLine="0"/>
        <w:jc w:val="left"/>
        <w:rPr>
          <w:sz w:val="26"/>
          <w:szCs w:val="26"/>
        </w:rPr>
      </w:pPr>
    </w:p>
    <w:p w:rsidR="00434C01" w:rsidRDefault="00434C01" w:rsidP="003A305E">
      <w:pPr>
        <w:autoSpaceDE w:val="0"/>
        <w:autoSpaceDN w:val="0"/>
        <w:adjustRightInd w:val="0"/>
        <w:spacing w:line="240" w:lineRule="auto"/>
        <w:ind w:left="1440" w:right="1260" w:firstLine="0"/>
        <w:jc w:val="left"/>
        <w:rPr>
          <w:sz w:val="26"/>
          <w:szCs w:val="26"/>
        </w:rPr>
      </w:pPr>
      <w:r>
        <w:rPr>
          <w:sz w:val="26"/>
          <w:szCs w:val="26"/>
        </w:rPr>
        <w:t>The Billing Demand will be the sum of the individual demands of each metered service</w:t>
      </w:r>
      <w:r w:rsidR="003A305E">
        <w:rPr>
          <w:sz w:val="26"/>
          <w:szCs w:val="26"/>
        </w:rPr>
        <w:t xml:space="preserve"> . . . </w:t>
      </w:r>
    </w:p>
    <w:p w:rsidR="003A305E" w:rsidRDefault="003A305E" w:rsidP="003A305E">
      <w:pPr>
        <w:autoSpaceDE w:val="0"/>
        <w:autoSpaceDN w:val="0"/>
        <w:adjustRightInd w:val="0"/>
        <w:spacing w:line="240" w:lineRule="auto"/>
        <w:ind w:left="1440" w:right="1260" w:firstLine="0"/>
        <w:jc w:val="left"/>
        <w:rPr>
          <w:sz w:val="26"/>
          <w:szCs w:val="26"/>
        </w:rPr>
      </w:pPr>
    </w:p>
    <w:p w:rsidR="003A305E" w:rsidRDefault="003A305E" w:rsidP="003A305E">
      <w:pPr>
        <w:autoSpaceDE w:val="0"/>
        <w:autoSpaceDN w:val="0"/>
        <w:adjustRightInd w:val="0"/>
        <w:spacing w:line="240" w:lineRule="auto"/>
        <w:ind w:left="1440" w:right="1260" w:firstLine="0"/>
        <w:jc w:val="left"/>
        <w:rPr>
          <w:sz w:val="26"/>
          <w:szCs w:val="26"/>
        </w:rPr>
      </w:pPr>
    </w:p>
    <w:p w:rsidR="00434C01" w:rsidRDefault="00434C01" w:rsidP="00434C01">
      <w:pPr>
        <w:autoSpaceDE w:val="0"/>
        <w:autoSpaceDN w:val="0"/>
        <w:adjustRightInd w:val="0"/>
        <w:ind w:firstLine="0"/>
        <w:jc w:val="left"/>
        <w:rPr>
          <w:sz w:val="26"/>
          <w:szCs w:val="26"/>
        </w:rPr>
      </w:pPr>
      <w:r>
        <w:rPr>
          <w:sz w:val="26"/>
          <w:szCs w:val="26"/>
        </w:rPr>
        <w:t>I.D. at 11 citing Duquesne Exh. B.</w:t>
      </w:r>
    </w:p>
    <w:p w:rsidR="00F07EBD" w:rsidRDefault="00F07EBD" w:rsidP="00434C01">
      <w:pPr>
        <w:autoSpaceDE w:val="0"/>
        <w:autoSpaceDN w:val="0"/>
        <w:adjustRightInd w:val="0"/>
        <w:ind w:firstLine="0"/>
        <w:jc w:val="left"/>
        <w:rPr>
          <w:sz w:val="26"/>
          <w:szCs w:val="26"/>
        </w:rPr>
      </w:pPr>
    </w:p>
    <w:p w:rsidR="003806D2" w:rsidRDefault="00F07EBD" w:rsidP="00434C01">
      <w:pPr>
        <w:autoSpaceDE w:val="0"/>
        <w:autoSpaceDN w:val="0"/>
        <w:adjustRightInd w:val="0"/>
        <w:ind w:firstLine="0"/>
        <w:jc w:val="left"/>
        <w:rPr>
          <w:sz w:val="26"/>
          <w:szCs w:val="26"/>
        </w:rPr>
      </w:pPr>
      <w:r>
        <w:rPr>
          <w:sz w:val="26"/>
          <w:szCs w:val="26"/>
        </w:rPr>
        <w:lastRenderedPageBreak/>
        <w:tab/>
      </w:r>
      <w:r>
        <w:rPr>
          <w:sz w:val="26"/>
          <w:szCs w:val="26"/>
        </w:rPr>
        <w:tab/>
      </w:r>
      <w:r w:rsidR="003806D2">
        <w:rPr>
          <w:sz w:val="26"/>
          <w:szCs w:val="26"/>
        </w:rPr>
        <w:t>T</w:t>
      </w:r>
      <w:r>
        <w:rPr>
          <w:sz w:val="26"/>
          <w:szCs w:val="26"/>
        </w:rPr>
        <w:t>he ALJ reviewed the evidence presented by the Parties on the issue of the number of services being provided to the Gulf Tower.</w:t>
      </w:r>
      <w:r w:rsidR="00E469F2">
        <w:rPr>
          <w:sz w:val="26"/>
          <w:szCs w:val="26"/>
        </w:rPr>
        <w:t xml:space="preserve">  The ALJ found that Duquesne presented much more convincing evidence on this issue than One Ten.</w:t>
      </w:r>
      <w:r w:rsidR="003806D2">
        <w:rPr>
          <w:sz w:val="26"/>
          <w:szCs w:val="26"/>
        </w:rPr>
        <w:t xml:space="preserve">  The ALJ was persuaded by the testimony of Duquesne witness Kovach, whose testimony was summarized, in pertinent part, as follows:</w:t>
      </w:r>
    </w:p>
    <w:p w:rsidR="003806D2" w:rsidRPr="003806D2" w:rsidRDefault="003806D2" w:rsidP="00AD2A0D">
      <w:pPr>
        <w:autoSpaceDE w:val="0"/>
        <w:autoSpaceDN w:val="0"/>
        <w:adjustRightInd w:val="0"/>
        <w:spacing w:line="240" w:lineRule="auto"/>
        <w:ind w:left="1440" w:right="1440" w:firstLine="0"/>
        <w:jc w:val="left"/>
        <w:rPr>
          <w:sz w:val="26"/>
          <w:szCs w:val="26"/>
        </w:rPr>
      </w:pPr>
    </w:p>
    <w:p w:rsidR="003806D2" w:rsidRDefault="003806D2" w:rsidP="00AD2A0D">
      <w:pPr>
        <w:autoSpaceDE w:val="0"/>
        <w:autoSpaceDN w:val="0"/>
        <w:adjustRightInd w:val="0"/>
        <w:spacing w:line="240" w:lineRule="auto"/>
        <w:ind w:left="1440" w:right="1440"/>
        <w:jc w:val="left"/>
        <w:rPr>
          <w:sz w:val="26"/>
          <w:szCs w:val="26"/>
        </w:rPr>
      </w:pPr>
      <w:r w:rsidRPr="00AD2A0D">
        <w:rPr>
          <w:sz w:val="26"/>
          <w:szCs w:val="26"/>
        </w:rPr>
        <w:t xml:space="preserve">Mr. Kovach testified about the various electrical equipment and facilities associated with the two meters and services in the building. </w:t>
      </w:r>
      <w:r w:rsidR="000A3ED6">
        <w:rPr>
          <w:sz w:val="26"/>
          <w:szCs w:val="26"/>
        </w:rPr>
        <w:t xml:space="preserve"> </w:t>
      </w:r>
      <w:r w:rsidRPr="00AD2A0D">
        <w:rPr>
          <w:sz w:val="26"/>
          <w:szCs w:val="26"/>
        </w:rPr>
        <w:t>He explained that each of the two meters is served by different and independent equipment. Each has separate transformers and network protectors. (Tr.</w:t>
      </w:r>
      <w:r w:rsidR="003A305E">
        <w:rPr>
          <w:sz w:val="26"/>
          <w:szCs w:val="26"/>
        </w:rPr>
        <w:t> </w:t>
      </w:r>
      <w:r w:rsidRPr="00AD2A0D">
        <w:rPr>
          <w:sz w:val="26"/>
          <w:szCs w:val="26"/>
        </w:rPr>
        <w:t xml:space="preserve">62). </w:t>
      </w:r>
      <w:r w:rsidR="000A3ED6">
        <w:rPr>
          <w:sz w:val="26"/>
          <w:szCs w:val="26"/>
        </w:rPr>
        <w:t xml:space="preserve"> </w:t>
      </w:r>
      <w:r w:rsidRPr="00AD2A0D">
        <w:rPr>
          <w:sz w:val="26"/>
          <w:szCs w:val="26"/>
        </w:rPr>
        <w:t xml:space="preserve">He testified that the meters are served by different primary cables. (Tr. 63). </w:t>
      </w:r>
      <w:r w:rsidR="000A3ED6">
        <w:rPr>
          <w:sz w:val="26"/>
          <w:szCs w:val="26"/>
        </w:rPr>
        <w:t xml:space="preserve"> </w:t>
      </w:r>
      <w:r w:rsidRPr="00AD2A0D">
        <w:rPr>
          <w:sz w:val="26"/>
          <w:szCs w:val="26"/>
        </w:rPr>
        <w:t xml:space="preserve">Mr. Kovach stated that the two meters, with their respective related equipment, constitute two separate services. (Tr. 64). </w:t>
      </w:r>
      <w:r w:rsidR="000A3ED6">
        <w:rPr>
          <w:sz w:val="26"/>
          <w:szCs w:val="26"/>
        </w:rPr>
        <w:t xml:space="preserve"> </w:t>
      </w:r>
      <w:r w:rsidRPr="00AD2A0D">
        <w:rPr>
          <w:sz w:val="26"/>
          <w:szCs w:val="26"/>
        </w:rPr>
        <w:t xml:space="preserve">He stated, “[t]hey are different service voltages. </w:t>
      </w:r>
      <w:r w:rsidR="000A3ED6">
        <w:rPr>
          <w:sz w:val="26"/>
          <w:szCs w:val="26"/>
        </w:rPr>
        <w:t xml:space="preserve"> </w:t>
      </w:r>
      <w:r w:rsidRPr="00AD2A0D">
        <w:rPr>
          <w:sz w:val="26"/>
          <w:szCs w:val="26"/>
        </w:rPr>
        <w:t>Though, the equipment feeding each service could not be combined to feed one service, they operate independently of one another and they require separate equipment and separate installations to provide.” (Tr. 64).</w:t>
      </w:r>
    </w:p>
    <w:p w:rsidR="003A305E" w:rsidRDefault="003A305E" w:rsidP="00AD2A0D">
      <w:pPr>
        <w:autoSpaceDE w:val="0"/>
        <w:autoSpaceDN w:val="0"/>
        <w:adjustRightInd w:val="0"/>
        <w:spacing w:line="240" w:lineRule="auto"/>
        <w:ind w:left="1440" w:right="1440"/>
        <w:jc w:val="left"/>
        <w:rPr>
          <w:sz w:val="26"/>
          <w:szCs w:val="26"/>
        </w:rPr>
      </w:pPr>
    </w:p>
    <w:p w:rsidR="003A305E" w:rsidRPr="003806D2" w:rsidRDefault="003A305E" w:rsidP="00AD2A0D">
      <w:pPr>
        <w:autoSpaceDE w:val="0"/>
        <w:autoSpaceDN w:val="0"/>
        <w:adjustRightInd w:val="0"/>
        <w:spacing w:line="240" w:lineRule="auto"/>
        <w:ind w:left="1440" w:right="1440"/>
        <w:jc w:val="left"/>
        <w:rPr>
          <w:sz w:val="26"/>
          <w:szCs w:val="26"/>
        </w:rPr>
      </w:pPr>
    </w:p>
    <w:p w:rsidR="003806D2" w:rsidRDefault="003806D2" w:rsidP="00434C01">
      <w:pPr>
        <w:autoSpaceDE w:val="0"/>
        <w:autoSpaceDN w:val="0"/>
        <w:adjustRightInd w:val="0"/>
        <w:ind w:firstLine="0"/>
        <w:jc w:val="left"/>
        <w:rPr>
          <w:sz w:val="26"/>
          <w:szCs w:val="26"/>
        </w:rPr>
      </w:pPr>
      <w:r>
        <w:rPr>
          <w:sz w:val="26"/>
          <w:szCs w:val="26"/>
        </w:rPr>
        <w:t>I.D. at 12.</w:t>
      </w:r>
    </w:p>
    <w:p w:rsidR="003806D2" w:rsidRDefault="003806D2" w:rsidP="00434C01">
      <w:pPr>
        <w:autoSpaceDE w:val="0"/>
        <w:autoSpaceDN w:val="0"/>
        <w:adjustRightInd w:val="0"/>
        <w:ind w:firstLine="0"/>
        <w:jc w:val="left"/>
        <w:rPr>
          <w:sz w:val="26"/>
          <w:szCs w:val="26"/>
        </w:rPr>
      </w:pPr>
    </w:p>
    <w:p w:rsidR="002E03FB" w:rsidRDefault="00E469F2" w:rsidP="00AD2A0D">
      <w:pPr>
        <w:autoSpaceDE w:val="0"/>
        <w:autoSpaceDN w:val="0"/>
        <w:adjustRightInd w:val="0"/>
        <w:ind w:firstLine="1440"/>
        <w:jc w:val="left"/>
        <w:rPr>
          <w:sz w:val="26"/>
          <w:szCs w:val="26"/>
        </w:rPr>
      </w:pPr>
      <w:r>
        <w:rPr>
          <w:sz w:val="26"/>
          <w:szCs w:val="26"/>
        </w:rPr>
        <w:t xml:space="preserve">The ALJ </w:t>
      </w:r>
      <w:r w:rsidR="003806D2">
        <w:rPr>
          <w:sz w:val="26"/>
          <w:szCs w:val="26"/>
        </w:rPr>
        <w:t xml:space="preserve">relied, in substantial part, on </w:t>
      </w:r>
      <w:r>
        <w:rPr>
          <w:sz w:val="26"/>
          <w:szCs w:val="26"/>
        </w:rPr>
        <w:t xml:space="preserve">the Duquesne testimony about the facilities and equipment that make up the two services in this building </w:t>
      </w:r>
      <w:r w:rsidR="003806D2">
        <w:rPr>
          <w:sz w:val="26"/>
          <w:szCs w:val="26"/>
        </w:rPr>
        <w:t xml:space="preserve">to conclude that </w:t>
      </w:r>
      <w:r>
        <w:rPr>
          <w:sz w:val="26"/>
          <w:szCs w:val="26"/>
        </w:rPr>
        <w:t xml:space="preserve">there are two meters through which services of different voltages are provided.  The ALJ noted that each meter is connected to and served by completely separate electrical equipment, including transformers, network protectors, substations and cables.  I.D. at 14 citing Tr. at 57-63, 133.  Additionally, the ALJ </w:t>
      </w:r>
      <w:r w:rsidR="000A3ED6">
        <w:rPr>
          <w:sz w:val="26"/>
          <w:szCs w:val="26"/>
        </w:rPr>
        <w:t xml:space="preserve">observed </w:t>
      </w:r>
      <w:r>
        <w:rPr>
          <w:sz w:val="26"/>
          <w:szCs w:val="26"/>
        </w:rPr>
        <w:t xml:space="preserve">that the voltages being provided to the two meters are intended for different purposes, with the 120/208 volt service used for lighter loads, such as lighting, and the 277/480 volt service intended for heavier, commercial loads, such as chillers and large power equipment.  </w:t>
      </w:r>
      <w:r>
        <w:rPr>
          <w:i/>
          <w:sz w:val="26"/>
          <w:szCs w:val="26"/>
        </w:rPr>
        <w:t>Id</w:t>
      </w:r>
      <w:r>
        <w:rPr>
          <w:sz w:val="26"/>
          <w:szCs w:val="26"/>
        </w:rPr>
        <w:t>. citing Tr. at 132.</w:t>
      </w:r>
    </w:p>
    <w:p w:rsidR="002E03FB" w:rsidRDefault="002E03FB" w:rsidP="00434C01">
      <w:pPr>
        <w:autoSpaceDE w:val="0"/>
        <w:autoSpaceDN w:val="0"/>
        <w:adjustRightInd w:val="0"/>
        <w:ind w:firstLine="0"/>
        <w:jc w:val="left"/>
        <w:rPr>
          <w:sz w:val="26"/>
          <w:szCs w:val="26"/>
        </w:rPr>
      </w:pPr>
    </w:p>
    <w:p w:rsidR="00B265D7" w:rsidRDefault="002E03FB" w:rsidP="00434C01">
      <w:pPr>
        <w:autoSpaceDE w:val="0"/>
        <w:autoSpaceDN w:val="0"/>
        <w:adjustRightInd w:val="0"/>
        <w:ind w:firstLine="0"/>
        <w:jc w:val="left"/>
        <w:rPr>
          <w:sz w:val="26"/>
          <w:szCs w:val="26"/>
        </w:rPr>
      </w:pPr>
      <w:r>
        <w:rPr>
          <w:sz w:val="26"/>
          <w:szCs w:val="26"/>
        </w:rPr>
        <w:lastRenderedPageBreak/>
        <w:tab/>
      </w:r>
      <w:r>
        <w:rPr>
          <w:sz w:val="26"/>
          <w:szCs w:val="26"/>
        </w:rPr>
        <w:tab/>
        <w:t>Next, the ALJ</w:t>
      </w:r>
      <w:r w:rsidR="006F454B">
        <w:rPr>
          <w:sz w:val="26"/>
          <w:szCs w:val="26"/>
        </w:rPr>
        <w:t xml:space="preserve"> </w:t>
      </w:r>
      <w:r w:rsidR="00136811">
        <w:rPr>
          <w:sz w:val="26"/>
          <w:szCs w:val="26"/>
        </w:rPr>
        <w:t xml:space="preserve">found that One Ten’s argument that the use of the singular form of the word “service” in the electric service contract </w:t>
      </w:r>
      <w:r w:rsidR="000A3ED6">
        <w:rPr>
          <w:sz w:val="26"/>
          <w:szCs w:val="26"/>
        </w:rPr>
        <w:t xml:space="preserve">was </w:t>
      </w:r>
      <w:r w:rsidR="00712F91">
        <w:rPr>
          <w:sz w:val="26"/>
          <w:szCs w:val="26"/>
        </w:rPr>
        <w:t xml:space="preserve">not </w:t>
      </w:r>
      <w:r w:rsidR="00136811">
        <w:rPr>
          <w:sz w:val="26"/>
          <w:szCs w:val="26"/>
        </w:rPr>
        <w:t>convincing on this issue.  Instead, the ALJ stated that he was more convinced by the fact that the two services are listed separately in the contract, which shows the two having different voltages and on peak and off peak demand estimates.  The ALJ stated his agreement with Duquesne that the specific language identifying the two services is controlling over the general language contained in the introductory passages of the contract.  As such, the ALJ concluded that the evidence support</w:t>
      </w:r>
      <w:r w:rsidR="002E2FF7">
        <w:rPr>
          <w:sz w:val="26"/>
          <w:szCs w:val="26"/>
        </w:rPr>
        <w:t>ed</w:t>
      </w:r>
      <w:r w:rsidR="00136811">
        <w:rPr>
          <w:sz w:val="26"/>
          <w:szCs w:val="26"/>
        </w:rPr>
        <w:t xml:space="preserve"> a determination that Duquesne is providing two separate services to the Gulf Tower.  I.D. at 14.</w:t>
      </w:r>
    </w:p>
    <w:p w:rsidR="00B265D7" w:rsidRDefault="00B265D7" w:rsidP="00434C01">
      <w:pPr>
        <w:autoSpaceDE w:val="0"/>
        <w:autoSpaceDN w:val="0"/>
        <w:adjustRightInd w:val="0"/>
        <w:ind w:firstLine="0"/>
        <w:jc w:val="left"/>
        <w:rPr>
          <w:sz w:val="26"/>
          <w:szCs w:val="26"/>
        </w:rPr>
      </w:pPr>
    </w:p>
    <w:p w:rsidR="002E2FF7" w:rsidRDefault="00B265D7" w:rsidP="00434C01">
      <w:pPr>
        <w:autoSpaceDE w:val="0"/>
        <w:autoSpaceDN w:val="0"/>
        <w:adjustRightInd w:val="0"/>
        <w:ind w:firstLine="0"/>
        <w:jc w:val="left"/>
        <w:rPr>
          <w:sz w:val="26"/>
          <w:szCs w:val="26"/>
        </w:rPr>
      </w:pPr>
      <w:r>
        <w:rPr>
          <w:sz w:val="26"/>
          <w:szCs w:val="26"/>
        </w:rPr>
        <w:tab/>
      </w:r>
      <w:r>
        <w:rPr>
          <w:sz w:val="26"/>
          <w:szCs w:val="26"/>
        </w:rPr>
        <w:tab/>
      </w:r>
      <w:r w:rsidR="003806D2">
        <w:rPr>
          <w:sz w:val="26"/>
          <w:szCs w:val="26"/>
        </w:rPr>
        <w:t>Based on the foregoing</w:t>
      </w:r>
      <w:r>
        <w:rPr>
          <w:sz w:val="26"/>
          <w:szCs w:val="26"/>
        </w:rPr>
        <w:t xml:space="preserve">, the ALJ found that Duquesne’s non-coincidental billing procedure fully complies with its </w:t>
      </w:r>
      <w:r w:rsidR="00712F91">
        <w:rPr>
          <w:sz w:val="26"/>
          <w:szCs w:val="26"/>
        </w:rPr>
        <w:t>T</w:t>
      </w:r>
      <w:r>
        <w:rPr>
          <w:sz w:val="26"/>
          <w:szCs w:val="26"/>
        </w:rPr>
        <w:t>ariff provision</w:t>
      </w:r>
      <w:r w:rsidR="004C0C3A">
        <w:rPr>
          <w:sz w:val="26"/>
          <w:szCs w:val="26"/>
        </w:rPr>
        <w:t xml:space="preserve"> as Duquesne </w:t>
      </w:r>
      <w:r w:rsidR="00205C67">
        <w:rPr>
          <w:sz w:val="26"/>
          <w:szCs w:val="26"/>
        </w:rPr>
        <w:t>provides two separate services to the Gulf Tower.  The ALJ found that under its Tariff, the billing demand will be the sum of the peak individual demands of each metered service.  While One Ten argues that there is ambiguity in Duquesne’s Tariff language, the ALJ disagreed</w:t>
      </w:r>
      <w:r w:rsidR="002E2FF7">
        <w:rPr>
          <w:sz w:val="26"/>
          <w:szCs w:val="26"/>
        </w:rPr>
        <w:t>.</w:t>
      </w:r>
      <w:r w:rsidR="00205C67">
        <w:rPr>
          <w:sz w:val="26"/>
          <w:szCs w:val="26"/>
        </w:rPr>
        <w:t xml:space="preserve"> </w:t>
      </w:r>
      <w:r w:rsidR="002E2FF7">
        <w:rPr>
          <w:sz w:val="26"/>
          <w:szCs w:val="26"/>
        </w:rPr>
        <w:t xml:space="preserve"> The ALJ found</w:t>
      </w:r>
      <w:r w:rsidR="00205C67">
        <w:rPr>
          <w:sz w:val="26"/>
          <w:szCs w:val="26"/>
        </w:rPr>
        <w:t xml:space="preserve"> that the Tariff provides that once the peak demand for each metered service is determined, those amounts are added together to determine total billing demand.  The ALJ </w:t>
      </w:r>
      <w:r w:rsidR="002E2FF7">
        <w:rPr>
          <w:sz w:val="26"/>
          <w:szCs w:val="26"/>
        </w:rPr>
        <w:t>concluded</w:t>
      </w:r>
      <w:r w:rsidR="00205C67">
        <w:rPr>
          <w:sz w:val="26"/>
          <w:szCs w:val="26"/>
        </w:rPr>
        <w:t xml:space="preserve"> that Duquesne is correct to add the two amounts together, on a non-coincidental basis, to determine total billing demand.  The ALJ further </w:t>
      </w:r>
      <w:r w:rsidR="002E2FF7">
        <w:rPr>
          <w:sz w:val="26"/>
          <w:szCs w:val="26"/>
        </w:rPr>
        <w:t>concluded</w:t>
      </w:r>
      <w:r w:rsidR="00205C67">
        <w:rPr>
          <w:sz w:val="26"/>
          <w:szCs w:val="26"/>
        </w:rPr>
        <w:t xml:space="preserve"> that Duquesne is calculating demand at the Gulf Tower in full compliance with its Tariff.  </w:t>
      </w:r>
    </w:p>
    <w:p w:rsidR="002E2FF7" w:rsidRDefault="002E2FF7" w:rsidP="00434C01">
      <w:pPr>
        <w:autoSpaceDE w:val="0"/>
        <w:autoSpaceDN w:val="0"/>
        <w:adjustRightInd w:val="0"/>
        <w:ind w:firstLine="0"/>
        <w:jc w:val="left"/>
        <w:rPr>
          <w:sz w:val="26"/>
          <w:szCs w:val="26"/>
        </w:rPr>
      </w:pPr>
    </w:p>
    <w:p w:rsidR="00205C67" w:rsidRDefault="002E2FF7" w:rsidP="00AD2A0D">
      <w:pPr>
        <w:autoSpaceDE w:val="0"/>
        <w:autoSpaceDN w:val="0"/>
        <w:adjustRightInd w:val="0"/>
        <w:ind w:firstLine="1440"/>
        <w:jc w:val="left"/>
        <w:rPr>
          <w:sz w:val="26"/>
          <w:szCs w:val="26"/>
        </w:rPr>
      </w:pPr>
      <w:r>
        <w:rPr>
          <w:sz w:val="26"/>
          <w:szCs w:val="26"/>
        </w:rPr>
        <w:t>Based on the foregoing</w:t>
      </w:r>
      <w:r w:rsidR="00205C67">
        <w:rPr>
          <w:sz w:val="26"/>
          <w:szCs w:val="26"/>
        </w:rPr>
        <w:t xml:space="preserve">, the ALJ concluded that One Ten failed to prove by a preponderance of the evidence that Duquesne </w:t>
      </w:r>
      <w:r>
        <w:rPr>
          <w:sz w:val="26"/>
          <w:szCs w:val="26"/>
        </w:rPr>
        <w:t>violated</w:t>
      </w:r>
      <w:r w:rsidR="00205C67">
        <w:rPr>
          <w:sz w:val="26"/>
          <w:szCs w:val="26"/>
        </w:rPr>
        <w:t xml:space="preserve"> its </w:t>
      </w:r>
      <w:r w:rsidR="00712F91">
        <w:rPr>
          <w:sz w:val="26"/>
          <w:szCs w:val="26"/>
        </w:rPr>
        <w:t>T</w:t>
      </w:r>
      <w:r w:rsidR="00205C67">
        <w:rPr>
          <w:sz w:val="26"/>
          <w:szCs w:val="26"/>
        </w:rPr>
        <w:t>ariff in billing One Ten for the service provided to the Gulf Tower on a non-coincident basis</w:t>
      </w:r>
      <w:r>
        <w:rPr>
          <w:sz w:val="26"/>
          <w:szCs w:val="26"/>
        </w:rPr>
        <w:t xml:space="preserve">.  </w:t>
      </w:r>
      <w:r w:rsidR="00AD2A0D">
        <w:rPr>
          <w:sz w:val="26"/>
          <w:szCs w:val="26"/>
        </w:rPr>
        <w:t xml:space="preserve">The ALJ further concluded that </w:t>
      </w:r>
      <w:r>
        <w:rPr>
          <w:sz w:val="26"/>
          <w:szCs w:val="26"/>
        </w:rPr>
        <w:t>One Ten,</w:t>
      </w:r>
      <w:r w:rsidR="00205C67">
        <w:rPr>
          <w:sz w:val="26"/>
          <w:szCs w:val="26"/>
        </w:rPr>
        <w:t xml:space="preserve"> </w:t>
      </w:r>
      <w:r>
        <w:rPr>
          <w:sz w:val="26"/>
          <w:szCs w:val="26"/>
        </w:rPr>
        <w:t>t</w:t>
      </w:r>
      <w:r w:rsidR="00205C67">
        <w:rPr>
          <w:sz w:val="26"/>
          <w:szCs w:val="26"/>
        </w:rPr>
        <w:t>herefore</w:t>
      </w:r>
      <w:r>
        <w:rPr>
          <w:sz w:val="26"/>
          <w:szCs w:val="26"/>
        </w:rPr>
        <w:t>, was</w:t>
      </w:r>
      <w:r w:rsidR="00205C67">
        <w:rPr>
          <w:sz w:val="26"/>
          <w:szCs w:val="26"/>
        </w:rPr>
        <w:t xml:space="preserve"> not entitled to any refunds.  I.D. at 15-16.</w:t>
      </w:r>
    </w:p>
    <w:p w:rsidR="00205C67" w:rsidRDefault="00205C67" w:rsidP="00434C01">
      <w:pPr>
        <w:autoSpaceDE w:val="0"/>
        <w:autoSpaceDN w:val="0"/>
        <w:adjustRightInd w:val="0"/>
        <w:ind w:firstLine="0"/>
        <w:jc w:val="left"/>
        <w:rPr>
          <w:sz w:val="26"/>
          <w:szCs w:val="26"/>
        </w:rPr>
      </w:pPr>
    </w:p>
    <w:p w:rsidR="00205C67" w:rsidRDefault="00205C67" w:rsidP="009573C0">
      <w:pPr>
        <w:keepNext/>
        <w:keepLines/>
        <w:autoSpaceDE w:val="0"/>
        <w:autoSpaceDN w:val="0"/>
        <w:adjustRightInd w:val="0"/>
        <w:ind w:firstLine="0"/>
        <w:jc w:val="left"/>
        <w:rPr>
          <w:b/>
          <w:sz w:val="26"/>
          <w:szCs w:val="26"/>
        </w:rPr>
      </w:pPr>
      <w:r>
        <w:rPr>
          <w:b/>
          <w:sz w:val="26"/>
          <w:szCs w:val="26"/>
        </w:rPr>
        <w:lastRenderedPageBreak/>
        <w:t>Exceptions and Replies</w:t>
      </w:r>
    </w:p>
    <w:p w:rsidR="00205C67" w:rsidRDefault="00205C67" w:rsidP="009573C0">
      <w:pPr>
        <w:keepNext/>
        <w:keepLines/>
        <w:autoSpaceDE w:val="0"/>
        <w:autoSpaceDN w:val="0"/>
        <w:adjustRightInd w:val="0"/>
        <w:ind w:firstLine="0"/>
        <w:jc w:val="left"/>
        <w:rPr>
          <w:sz w:val="26"/>
          <w:szCs w:val="26"/>
        </w:rPr>
      </w:pPr>
    </w:p>
    <w:p w:rsidR="00B776E7" w:rsidRDefault="00205C67" w:rsidP="00621755">
      <w:pPr>
        <w:autoSpaceDE w:val="0"/>
        <w:autoSpaceDN w:val="0"/>
        <w:adjustRightInd w:val="0"/>
        <w:ind w:firstLine="1440"/>
        <w:jc w:val="left"/>
        <w:rPr>
          <w:sz w:val="26"/>
          <w:szCs w:val="26"/>
        </w:rPr>
      </w:pPr>
      <w:r>
        <w:rPr>
          <w:sz w:val="26"/>
          <w:szCs w:val="26"/>
        </w:rPr>
        <w:t>In its Exception</w:t>
      </w:r>
      <w:r w:rsidR="00F40EA5">
        <w:rPr>
          <w:sz w:val="26"/>
          <w:szCs w:val="26"/>
        </w:rPr>
        <w:t xml:space="preserve"> No. 1, One Ten </w:t>
      </w:r>
      <w:r w:rsidR="002E2FF7">
        <w:rPr>
          <w:sz w:val="26"/>
          <w:szCs w:val="26"/>
        </w:rPr>
        <w:t>argues</w:t>
      </w:r>
      <w:r w:rsidR="00F40EA5">
        <w:rPr>
          <w:sz w:val="26"/>
          <w:szCs w:val="26"/>
        </w:rPr>
        <w:t xml:space="preserve"> that </w:t>
      </w:r>
      <w:r w:rsidR="00F44A79">
        <w:rPr>
          <w:sz w:val="26"/>
          <w:szCs w:val="26"/>
        </w:rPr>
        <w:t>the ALJ erroneously interpreted the meaning of “service” as that term applies to meter</w:t>
      </w:r>
      <w:r w:rsidR="00B14EF6">
        <w:rPr>
          <w:sz w:val="26"/>
          <w:szCs w:val="26"/>
        </w:rPr>
        <w:t xml:space="preserve">s of different voltages.  </w:t>
      </w:r>
      <w:r w:rsidR="00BF3EBC">
        <w:rPr>
          <w:sz w:val="26"/>
          <w:szCs w:val="26"/>
        </w:rPr>
        <w:t xml:space="preserve">One Ten asserts that the word “service” is used in the introductory paragraph of the service contract, it is not used in the specific language below the introductory paragraph which itemizes meter types by voltage.  One Ten opines that </w:t>
      </w:r>
      <w:r w:rsidR="009C3C42">
        <w:rPr>
          <w:sz w:val="26"/>
          <w:szCs w:val="26"/>
        </w:rPr>
        <w:t>different voltages do not constitute different services and that Duquesne’s practice of using separate voltages as a basis for billing non-coincident demand, finds no textual support in its Tariff or in the Commission’s Regulations.</w:t>
      </w:r>
      <w:r w:rsidR="00AC2E04">
        <w:rPr>
          <w:sz w:val="26"/>
          <w:szCs w:val="26"/>
        </w:rPr>
        <w:t xml:space="preserve">  One Ten posits that the meters </w:t>
      </w:r>
      <w:r w:rsidR="00712F91">
        <w:rPr>
          <w:sz w:val="26"/>
          <w:szCs w:val="26"/>
        </w:rPr>
        <w:t>being</w:t>
      </w:r>
      <w:r w:rsidR="00AC2E04">
        <w:rPr>
          <w:sz w:val="26"/>
          <w:szCs w:val="26"/>
        </w:rPr>
        <w:t xml:space="preserve"> fed by separate and independent equipment is irrelevant since meters served by separate equipment under the same voltage would still be considered one service by Duquesne’s interpretation of the Tariff.  Additionally, One Ten claims that demand on a 120/208 volt </w:t>
      </w:r>
      <w:r w:rsidR="00B471E4">
        <w:rPr>
          <w:sz w:val="26"/>
          <w:szCs w:val="26"/>
        </w:rPr>
        <w:t>m</w:t>
      </w:r>
      <w:r w:rsidR="00AC2E04">
        <w:rPr>
          <w:sz w:val="26"/>
          <w:szCs w:val="26"/>
        </w:rPr>
        <w:t>eter is identical to the demand on a 277/480 volt meter, represents the same stress on the utilities system and should not be treated or billed differently than demands recorded on meters of the same voltage.  Exc. at 4-5.</w:t>
      </w:r>
    </w:p>
    <w:p w:rsidR="001C2ED3" w:rsidRDefault="001C2ED3" w:rsidP="00434C01">
      <w:pPr>
        <w:autoSpaceDE w:val="0"/>
        <w:autoSpaceDN w:val="0"/>
        <w:adjustRightInd w:val="0"/>
        <w:ind w:firstLine="0"/>
        <w:jc w:val="left"/>
        <w:rPr>
          <w:sz w:val="26"/>
          <w:szCs w:val="26"/>
        </w:rPr>
      </w:pPr>
    </w:p>
    <w:p w:rsidR="001C2ED3" w:rsidRDefault="001C2ED3" w:rsidP="00434C01">
      <w:pPr>
        <w:autoSpaceDE w:val="0"/>
        <w:autoSpaceDN w:val="0"/>
        <w:adjustRightInd w:val="0"/>
        <w:ind w:firstLine="0"/>
        <w:jc w:val="left"/>
        <w:rPr>
          <w:sz w:val="26"/>
          <w:szCs w:val="26"/>
        </w:rPr>
      </w:pPr>
      <w:r>
        <w:rPr>
          <w:sz w:val="26"/>
          <w:szCs w:val="26"/>
        </w:rPr>
        <w:tab/>
      </w:r>
      <w:r>
        <w:rPr>
          <w:sz w:val="26"/>
          <w:szCs w:val="26"/>
        </w:rPr>
        <w:tab/>
        <w:t xml:space="preserve">In its Exception No. 2, </w:t>
      </w:r>
      <w:r w:rsidR="00C931D8">
        <w:rPr>
          <w:sz w:val="26"/>
          <w:szCs w:val="26"/>
        </w:rPr>
        <w:t xml:space="preserve">One Ten </w:t>
      </w:r>
      <w:r w:rsidR="00B471E4">
        <w:rPr>
          <w:sz w:val="26"/>
          <w:szCs w:val="26"/>
        </w:rPr>
        <w:t xml:space="preserve">states that the ALJ erroneously concluded that the controlling Tariff Rate GL for determining demand is unambiguous for purposes of the instant case.  One Ten asserts that this finding is in error because the pertinent language of the </w:t>
      </w:r>
      <w:r w:rsidR="00712F91">
        <w:rPr>
          <w:sz w:val="26"/>
          <w:szCs w:val="26"/>
        </w:rPr>
        <w:t>T</w:t>
      </w:r>
      <w:r w:rsidR="00B471E4">
        <w:rPr>
          <w:sz w:val="26"/>
          <w:szCs w:val="26"/>
        </w:rPr>
        <w:t>ariff does not explicitly distinguish between an individual meter or building total.  According to One Ten, the language in Rate GL does not identify whether the greatest kilowatt-hour use occurs per meter, per service or per building</w:t>
      </w:r>
      <w:r w:rsidR="009A0F2F">
        <w:rPr>
          <w:sz w:val="26"/>
          <w:szCs w:val="26"/>
        </w:rPr>
        <w:t>;</w:t>
      </w:r>
      <w:r w:rsidR="00B471E4">
        <w:rPr>
          <w:sz w:val="26"/>
          <w:szCs w:val="26"/>
        </w:rPr>
        <w:t xml:space="preserve"> nor does it explicitly define the word service.  Despite this language, </w:t>
      </w:r>
      <w:r w:rsidR="002769E5">
        <w:rPr>
          <w:sz w:val="26"/>
          <w:szCs w:val="26"/>
        </w:rPr>
        <w:t xml:space="preserve">One Ten believes </w:t>
      </w:r>
      <w:r w:rsidR="00B471E4">
        <w:rPr>
          <w:sz w:val="26"/>
          <w:szCs w:val="26"/>
        </w:rPr>
        <w:t>the ALJ improperly concluded that the provision is unambiguous.  Exc. at 5-6.</w:t>
      </w:r>
    </w:p>
    <w:p w:rsidR="00B471E4" w:rsidRDefault="00B471E4" w:rsidP="00434C01">
      <w:pPr>
        <w:autoSpaceDE w:val="0"/>
        <w:autoSpaceDN w:val="0"/>
        <w:adjustRightInd w:val="0"/>
        <w:ind w:firstLine="0"/>
        <w:jc w:val="left"/>
        <w:rPr>
          <w:sz w:val="26"/>
          <w:szCs w:val="26"/>
        </w:rPr>
      </w:pPr>
    </w:p>
    <w:p w:rsidR="00B471E4" w:rsidRDefault="00B471E4" w:rsidP="00434C01">
      <w:pPr>
        <w:autoSpaceDE w:val="0"/>
        <w:autoSpaceDN w:val="0"/>
        <w:adjustRightInd w:val="0"/>
        <w:ind w:firstLine="0"/>
        <w:jc w:val="left"/>
        <w:rPr>
          <w:sz w:val="26"/>
          <w:szCs w:val="26"/>
        </w:rPr>
      </w:pPr>
      <w:r>
        <w:rPr>
          <w:sz w:val="26"/>
          <w:szCs w:val="26"/>
        </w:rPr>
        <w:tab/>
      </w:r>
      <w:r>
        <w:rPr>
          <w:sz w:val="26"/>
          <w:szCs w:val="26"/>
        </w:rPr>
        <w:tab/>
        <w:t xml:space="preserve">In its Exception No. 3, One Ten asserts that the Initial </w:t>
      </w:r>
      <w:r w:rsidR="008D4612">
        <w:rPr>
          <w:sz w:val="26"/>
          <w:szCs w:val="26"/>
        </w:rPr>
        <w:t>D</w:t>
      </w:r>
      <w:r>
        <w:rPr>
          <w:sz w:val="26"/>
          <w:szCs w:val="26"/>
        </w:rPr>
        <w:t>ecision is premised on key findings of fact that are not supported by record evidence.</w:t>
      </w:r>
      <w:r w:rsidR="00436688">
        <w:rPr>
          <w:sz w:val="26"/>
          <w:szCs w:val="26"/>
        </w:rPr>
        <w:t xml:space="preserve">  </w:t>
      </w:r>
      <w:r w:rsidR="006701AA">
        <w:rPr>
          <w:sz w:val="26"/>
          <w:szCs w:val="26"/>
        </w:rPr>
        <w:t xml:space="preserve">One Ten avers that its proof consists of expert testimony regarding the definition of service as it relates to </w:t>
      </w:r>
      <w:r w:rsidR="006701AA">
        <w:rPr>
          <w:sz w:val="26"/>
          <w:szCs w:val="26"/>
        </w:rPr>
        <w:lastRenderedPageBreak/>
        <w:t>voltage, supported by a statement that the customer’s meters are capable of being billed on a coincident demand basis.  One Ten opines that Duquesne provided conflicting testimony that separate equipment feeding the Complainant’s meters supports the definition of separate service, which contradicts the Company’s own definition of the word “service” insofar as separate equipment serving meters of the same voltage would constitute same service.  One Ten points out that the ALJ also concluded that the applicable provision in Duquesne’s tariff is unambiguous, but notes that the controlling language in the tariff is silent on whether individual demand occurs per meter, per service or per building.  Therefore, One Ten opines that the language in the Tariff is ambiguous and open to reasonable interpretation, and this ambiguity should be resolved in favor of the customer.  Exc. at 6.</w:t>
      </w:r>
    </w:p>
    <w:p w:rsidR="005671E6" w:rsidRDefault="005671E6" w:rsidP="00434C01">
      <w:pPr>
        <w:autoSpaceDE w:val="0"/>
        <w:autoSpaceDN w:val="0"/>
        <w:adjustRightInd w:val="0"/>
        <w:ind w:firstLine="0"/>
        <w:jc w:val="left"/>
        <w:rPr>
          <w:sz w:val="26"/>
          <w:szCs w:val="26"/>
        </w:rPr>
      </w:pPr>
    </w:p>
    <w:p w:rsidR="005671E6" w:rsidRDefault="00CD3AC9" w:rsidP="00434C01">
      <w:pPr>
        <w:autoSpaceDE w:val="0"/>
        <w:autoSpaceDN w:val="0"/>
        <w:adjustRightInd w:val="0"/>
        <w:ind w:firstLine="0"/>
        <w:jc w:val="left"/>
        <w:rPr>
          <w:sz w:val="26"/>
          <w:szCs w:val="26"/>
        </w:rPr>
      </w:pPr>
      <w:r>
        <w:rPr>
          <w:sz w:val="26"/>
          <w:szCs w:val="26"/>
        </w:rPr>
        <w:tab/>
      </w:r>
      <w:r>
        <w:rPr>
          <w:sz w:val="26"/>
          <w:szCs w:val="26"/>
        </w:rPr>
        <w:tab/>
        <w:t xml:space="preserve">In its Replies to Exceptions, Duquesne </w:t>
      </w:r>
      <w:r w:rsidR="00BB7E2A">
        <w:rPr>
          <w:sz w:val="26"/>
          <w:szCs w:val="26"/>
        </w:rPr>
        <w:t>explains that the core dispute between the Parties is whether the Complainant’s billing demand is to be calculated by: (1)</w:t>
      </w:r>
      <w:r w:rsidR="002769E5">
        <w:rPr>
          <w:sz w:val="26"/>
          <w:szCs w:val="26"/>
        </w:rPr>
        <w:t> </w:t>
      </w:r>
      <w:r w:rsidR="00BB7E2A">
        <w:rPr>
          <w:sz w:val="26"/>
          <w:szCs w:val="26"/>
        </w:rPr>
        <w:t>taking the greatest demands on each separate service and then adding those two figures together (non-coincidental billing)</w:t>
      </w:r>
      <w:r w:rsidR="009377BD">
        <w:rPr>
          <w:sz w:val="26"/>
          <w:szCs w:val="26"/>
        </w:rPr>
        <w:t xml:space="preserve">; or (2) combining the two services and taking the highest simultaneous demand (coincidental billing).  Duquesne asserts that since its </w:t>
      </w:r>
      <w:r w:rsidR="00712F91">
        <w:rPr>
          <w:sz w:val="26"/>
          <w:szCs w:val="26"/>
        </w:rPr>
        <w:t>T</w:t>
      </w:r>
      <w:r w:rsidR="009377BD">
        <w:rPr>
          <w:sz w:val="26"/>
          <w:szCs w:val="26"/>
        </w:rPr>
        <w:t xml:space="preserve">ariff explicitly provides that billing demand is the sum of the individual demands of each metered service, it is clear that the </w:t>
      </w:r>
      <w:r w:rsidR="00712F91">
        <w:rPr>
          <w:sz w:val="26"/>
          <w:szCs w:val="26"/>
        </w:rPr>
        <w:t>T</w:t>
      </w:r>
      <w:r w:rsidR="009377BD">
        <w:rPr>
          <w:sz w:val="26"/>
          <w:szCs w:val="26"/>
        </w:rPr>
        <w:t xml:space="preserve">ariff requires non-coincidental billing.  According to Duquesne, since the </w:t>
      </w:r>
      <w:r w:rsidR="00712F91">
        <w:rPr>
          <w:sz w:val="26"/>
          <w:szCs w:val="26"/>
        </w:rPr>
        <w:t>C</w:t>
      </w:r>
      <w:r w:rsidR="009377BD">
        <w:rPr>
          <w:sz w:val="26"/>
          <w:szCs w:val="26"/>
        </w:rPr>
        <w:t>ompany’s method of calculating the Complainant’s billing demand is reasonable and complies with its Tariff, the ALJ correctly dismissed the Complaint.  R. Exc. at 2-3.</w:t>
      </w:r>
    </w:p>
    <w:p w:rsidR="009377BD" w:rsidRDefault="009377BD" w:rsidP="00434C01">
      <w:pPr>
        <w:autoSpaceDE w:val="0"/>
        <w:autoSpaceDN w:val="0"/>
        <w:adjustRightInd w:val="0"/>
        <w:ind w:firstLine="0"/>
        <w:jc w:val="left"/>
        <w:rPr>
          <w:sz w:val="26"/>
          <w:szCs w:val="26"/>
        </w:rPr>
      </w:pPr>
    </w:p>
    <w:p w:rsidR="009377BD" w:rsidRDefault="009377BD" w:rsidP="00434C01">
      <w:pPr>
        <w:autoSpaceDE w:val="0"/>
        <w:autoSpaceDN w:val="0"/>
        <w:adjustRightInd w:val="0"/>
        <w:ind w:firstLine="0"/>
        <w:jc w:val="left"/>
        <w:rPr>
          <w:sz w:val="26"/>
          <w:szCs w:val="26"/>
        </w:rPr>
      </w:pPr>
      <w:r>
        <w:rPr>
          <w:sz w:val="26"/>
          <w:szCs w:val="26"/>
        </w:rPr>
        <w:tab/>
      </w:r>
      <w:r>
        <w:rPr>
          <w:sz w:val="26"/>
          <w:szCs w:val="26"/>
        </w:rPr>
        <w:tab/>
      </w:r>
      <w:r w:rsidR="005B3F8B">
        <w:rPr>
          <w:sz w:val="26"/>
          <w:szCs w:val="26"/>
        </w:rPr>
        <w:t>Next, Duquesne asserts that the evidence is clear that there are two separate metered services at the Gulf Tower</w:t>
      </w:r>
      <w:r w:rsidR="00D07E78">
        <w:rPr>
          <w:sz w:val="26"/>
          <w:szCs w:val="26"/>
        </w:rPr>
        <w:t xml:space="preserve">: (1) a 120/208 volt lighting service; and (2) a 277/480 volt power service.  Duquesne notes that 120/208 volt services typically feed lighting type loads whereas 277/480 volt services feed larger motor type loads, such as commercial chillers and large commercial power equipment.  Also, Duquesne noted that the 277/480 power service was installed at the customer’s request.  Duquesne states that </w:t>
      </w:r>
      <w:r w:rsidR="00D07E78">
        <w:rPr>
          <w:sz w:val="26"/>
          <w:szCs w:val="26"/>
        </w:rPr>
        <w:lastRenderedPageBreak/>
        <w:t xml:space="preserve">these two services utilize different equipment, operate independently of one another and cannot be tied together.  Duquesne further states that none of the equipment that Duquesne uses to provide the 120/208 lighting service is used to provide the 277/480 power service, and vice versa, as they were installed at different times, are different voltages and could not be combined to feed one service.  </w:t>
      </w:r>
      <w:r w:rsidR="00BB3846">
        <w:rPr>
          <w:sz w:val="26"/>
          <w:szCs w:val="26"/>
        </w:rPr>
        <w:t xml:space="preserve">As such, Duquesne points out that the two services have different peak demand requirements which is important from an engineering perspective because the Company must ensure that its system maintains the capacity to meet that peak demand.  </w:t>
      </w:r>
      <w:r w:rsidR="00D07E78">
        <w:rPr>
          <w:sz w:val="26"/>
          <w:szCs w:val="26"/>
        </w:rPr>
        <w:t>R. Exc. at 5-6.</w:t>
      </w:r>
    </w:p>
    <w:p w:rsidR="004B24A1" w:rsidRDefault="004B24A1" w:rsidP="00434C01">
      <w:pPr>
        <w:autoSpaceDE w:val="0"/>
        <w:autoSpaceDN w:val="0"/>
        <w:adjustRightInd w:val="0"/>
        <w:ind w:firstLine="0"/>
        <w:jc w:val="left"/>
        <w:rPr>
          <w:sz w:val="26"/>
          <w:szCs w:val="26"/>
        </w:rPr>
      </w:pPr>
    </w:p>
    <w:p w:rsidR="00604522" w:rsidRDefault="00604522" w:rsidP="00434C01">
      <w:pPr>
        <w:autoSpaceDE w:val="0"/>
        <w:autoSpaceDN w:val="0"/>
        <w:adjustRightInd w:val="0"/>
        <w:ind w:firstLine="0"/>
        <w:jc w:val="left"/>
        <w:rPr>
          <w:sz w:val="26"/>
          <w:szCs w:val="26"/>
        </w:rPr>
      </w:pPr>
      <w:r>
        <w:rPr>
          <w:sz w:val="26"/>
          <w:szCs w:val="26"/>
        </w:rPr>
        <w:tab/>
      </w:r>
      <w:r>
        <w:rPr>
          <w:sz w:val="26"/>
          <w:szCs w:val="26"/>
        </w:rPr>
        <w:tab/>
        <w:t xml:space="preserve">Next, Duquesne asserts that not only does its method of calculating the Complainant’s billing demand strictly adhere to the formula established by its </w:t>
      </w:r>
      <w:r w:rsidR="00712F91">
        <w:rPr>
          <w:sz w:val="26"/>
          <w:szCs w:val="26"/>
        </w:rPr>
        <w:t>T</w:t>
      </w:r>
      <w:r>
        <w:rPr>
          <w:sz w:val="26"/>
          <w:szCs w:val="26"/>
        </w:rPr>
        <w:t xml:space="preserve">ariff, which has been filed </w:t>
      </w:r>
      <w:r w:rsidR="009D2BFE">
        <w:rPr>
          <w:sz w:val="26"/>
          <w:szCs w:val="26"/>
        </w:rPr>
        <w:t xml:space="preserve">with </w:t>
      </w:r>
      <w:r>
        <w:rPr>
          <w:sz w:val="26"/>
          <w:szCs w:val="26"/>
        </w:rPr>
        <w:t xml:space="preserve">and approved by the Commission, but it also is a fair and equitable way to calculate the Complainant’s billing demand.  Duquesne explains that the Company has an obligation to provide enough capacity to meet the peak demands for the </w:t>
      </w:r>
      <w:r w:rsidR="00712F91">
        <w:rPr>
          <w:sz w:val="26"/>
          <w:szCs w:val="26"/>
        </w:rPr>
        <w:t>C</w:t>
      </w:r>
      <w:r>
        <w:rPr>
          <w:sz w:val="26"/>
          <w:szCs w:val="26"/>
        </w:rPr>
        <w:t xml:space="preserve">omplainant’s lighting service and power service so that the capacity is available when the Complainant needs it or chooses to use it or the Company could not guarantee reliable service.  According to Duquesne, when and how the Complainant chooses to use the electricity the Company provides is </w:t>
      </w:r>
      <w:r w:rsidR="00854CD7">
        <w:rPr>
          <w:sz w:val="26"/>
          <w:szCs w:val="26"/>
        </w:rPr>
        <w:t>within the Complainant’s</w:t>
      </w:r>
      <w:r>
        <w:rPr>
          <w:sz w:val="26"/>
          <w:szCs w:val="26"/>
        </w:rPr>
        <w:t xml:space="preserve"> discretion, but Duquesne is required to give the Complainant the capacity to use its peak demand on each separate service whenever they choose to use it.  R. Exc. at 7-8.</w:t>
      </w:r>
    </w:p>
    <w:p w:rsidR="00AA5F56" w:rsidRDefault="00AA5F56" w:rsidP="00434C01">
      <w:pPr>
        <w:autoSpaceDE w:val="0"/>
        <w:autoSpaceDN w:val="0"/>
        <w:adjustRightInd w:val="0"/>
        <w:ind w:firstLine="0"/>
        <w:jc w:val="left"/>
        <w:rPr>
          <w:sz w:val="26"/>
          <w:szCs w:val="26"/>
        </w:rPr>
      </w:pPr>
    </w:p>
    <w:p w:rsidR="00AA5F56" w:rsidRDefault="00AA5F56" w:rsidP="00434C01">
      <w:pPr>
        <w:autoSpaceDE w:val="0"/>
        <w:autoSpaceDN w:val="0"/>
        <w:adjustRightInd w:val="0"/>
        <w:ind w:firstLine="0"/>
        <w:jc w:val="left"/>
        <w:rPr>
          <w:sz w:val="26"/>
          <w:szCs w:val="26"/>
        </w:rPr>
      </w:pPr>
      <w:r>
        <w:rPr>
          <w:sz w:val="26"/>
          <w:szCs w:val="26"/>
        </w:rPr>
        <w:tab/>
      </w:r>
      <w:r>
        <w:rPr>
          <w:sz w:val="26"/>
          <w:szCs w:val="26"/>
        </w:rPr>
        <w:tab/>
        <w:t xml:space="preserve">Next, Duquesne asserts that by utilizing two different services, the Complainant is essentially using the equipment, and demanding the capacity, of two separate customers.  Duquesne explains that merely placing two separate services under a single roof or bill does not in any way alter or minimize the Company’s regulatory or electric delivery obligations.  According to Duquesne, the lighting service and the power service are still two separate services that place their own distinct demand on the Company’s system and, as such, Duquesne must provide the capacity to meet those demands.  Duquesne opines that non-coincidental billing helps it to more accurately and </w:t>
      </w:r>
      <w:r>
        <w:rPr>
          <w:sz w:val="26"/>
          <w:szCs w:val="26"/>
        </w:rPr>
        <w:lastRenderedPageBreak/>
        <w:t>fairly recover the costs it incurs in providing service to the Complainant.  Duquesne notes that it must have extra meters, transformers and other equipment to operate each of the services and that means that there are extra maintenance, labor and other costs the Company must incur to keep all that equipment operable</w:t>
      </w:r>
      <w:r w:rsidR="00C676D4">
        <w:rPr>
          <w:sz w:val="26"/>
          <w:szCs w:val="26"/>
        </w:rPr>
        <w:t>.  Also, Duquesne explains that non-coincidental demand billing is fair to the Company’s other customers as it is consistent with how Duquesne bills those customers when it comes to demand.  R. Exc. at 8</w:t>
      </w:r>
      <w:r w:rsidR="005E0012">
        <w:rPr>
          <w:sz w:val="26"/>
          <w:szCs w:val="26"/>
        </w:rPr>
        <w:t> </w:t>
      </w:r>
      <w:r w:rsidR="00C676D4">
        <w:rPr>
          <w:sz w:val="26"/>
          <w:szCs w:val="26"/>
        </w:rPr>
        <w:t>citing Tr. at 111-112.</w:t>
      </w:r>
    </w:p>
    <w:p w:rsidR="00875128" w:rsidRDefault="00875128" w:rsidP="00434C01">
      <w:pPr>
        <w:autoSpaceDE w:val="0"/>
        <w:autoSpaceDN w:val="0"/>
        <w:adjustRightInd w:val="0"/>
        <w:ind w:firstLine="0"/>
        <w:jc w:val="left"/>
        <w:rPr>
          <w:sz w:val="26"/>
          <w:szCs w:val="26"/>
        </w:rPr>
      </w:pPr>
    </w:p>
    <w:p w:rsidR="001D541C" w:rsidRDefault="00875128" w:rsidP="00434C01">
      <w:pPr>
        <w:autoSpaceDE w:val="0"/>
        <w:autoSpaceDN w:val="0"/>
        <w:adjustRightInd w:val="0"/>
        <w:ind w:firstLine="0"/>
        <w:jc w:val="left"/>
        <w:rPr>
          <w:sz w:val="26"/>
          <w:szCs w:val="26"/>
        </w:rPr>
      </w:pPr>
      <w:r>
        <w:rPr>
          <w:sz w:val="26"/>
          <w:szCs w:val="26"/>
        </w:rPr>
        <w:tab/>
      </w:r>
      <w:r>
        <w:rPr>
          <w:sz w:val="26"/>
          <w:szCs w:val="26"/>
        </w:rPr>
        <w:tab/>
      </w:r>
      <w:r w:rsidR="00BD39A6">
        <w:rPr>
          <w:sz w:val="26"/>
          <w:szCs w:val="26"/>
        </w:rPr>
        <w:t xml:space="preserve">Next, Duquesne reiterates that </w:t>
      </w:r>
      <w:r w:rsidR="00946BBA">
        <w:rPr>
          <w:sz w:val="26"/>
          <w:szCs w:val="26"/>
        </w:rPr>
        <w:t>it p</w:t>
      </w:r>
      <w:r w:rsidR="00BD39A6">
        <w:rPr>
          <w:sz w:val="26"/>
          <w:szCs w:val="26"/>
        </w:rPr>
        <w:t xml:space="preserve">rovides two separate services to the Gulf Tower as the lighting service and power service are separate and distinct because they operate independently of one another and are fed from different substations on different circuits of different voltages.  Duquesne claims that </w:t>
      </w:r>
      <w:r w:rsidR="00946BBA">
        <w:rPr>
          <w:sz w:val="26"/>
          <w:szCs w:val="26"/>
        </w:rPr>
        <w:t xml:space="preserve">it is </w:t>
      </w:r>
      <w:r w:rsidR="00BD39A6">
        <w:rPr>
          <w:sz w:val="26"/>
          <w:szCs w:val="26"/>
        </w:rPr>
        <w:t>significant</w:t>
      </w:r>
      <w:r w:rsidR="00946BBA">
        <w:rPr>
          <w:sz w:val="26"/>
          <w:szCs w:val="26"/>
        </w:rPr>
        <w:t xml:space="preserve"> that </w:t>
      </w:r>
      <w:r w:rsidR="00BD39A6">
        <w:rPr>
          <w:sz w:val="26"/>
          <w:szCs w:val="26"/>
        </w:rPr>
        <w:t xml:space="preserve">the Complainant does not dispute </w:t>
      </w:r>
      <w:r w:rsidR="004B5117">
        <w:rPr>
          <w:sz w:val="26"/>
          <w:szCs w:val="26"/>
        </w:rPr>
        <w:t xml:space="preserve">that the meters are fed by separate and independent equipment </w:t>
      </w:r>
      <w:r w:rsidR="00BD39A6">
        <w:rPr>
          <w:sz w:val="26"/>
          <w:szCs w:val="26"/>
        </w:rPr>
        <w:t xml:space="preserve">and did not offer any evidence suggesting that the two services are somehow tied together into a single service.  Instead, Duquesne notes that the Complainant argued that there is only one service at the Gulf Tower because: (1) the parties’ contract says “service” (and not “services) in its general introductory paragraph; and (2) “different voltages do not constitute different services.”  According to Duquesne, those arguments are meritless and the ALJ properly rejected them.  </w:t>
      </w:r>
      <w:r w:rsidR="001D541C">
        <w:rPr>
          <w:sz w:val="26"/>
          <w:szCs w:val="26"/>
        </w:rPr>
        <w:t>Duquesne opines that the generic use of the word “service” in the contract’s introductory paragraph does not constitute evidence in the Complainant’s favor</w:t>
      </w:r>
      <w:r w:rsidR="003D78CD">
        <w:rPr>
          <w:sz w:val="26"/>
          <w:szCs w:val="26"/>
        </w:rPr>
        <w:t xml:space="preserve">; </w:t>
      </w:r>
      <w:r w:rsidR="001D541C">
        <w:rPr>
          <w:sz w:val="26"/>
          <w:szCs w:val="26"/>
        </w:rPr>
        <w:t>nor does it create a conflict or ambiguity in the contract, because the contract explicitly states that service is described below and then goes on to explicitly provide that there are two services at the Gulf Tower.  R. Exc. at 9-10.</w:t>
      </w:r>
    </w:p>
    <w:p w:rsidR="001D541C" w:rsidRDefault="001D541C" w:rsidP="00434C01">
      <w:pPr>
        <w:autoSpaceDE w:val="0"/>
        <w:autoSpaceDN w:val="0"/>
        <w:adjustRightInd w:val="0"/>
        <w:ind w:firstLine="0"/>
        <w:jc w:val="left"/>
        <w:rPr>
          <w:sz w:val="26"/>
          <w:szCs w:val="26"/>
        </w:rPr>
      </w:pPr>
    </w:p>
    <w:p w:rsidR="003F3876" w:rsidRDefault="001D541C" w:rsidP="001D541C">
      <w:pPr>
        <w:autoSpaceDE w:val="0"/>
        <w:autoSpaceDN w:val="0"/>
        <w:adjustRightInd w:val="0"/>
        <w:ind w:firstLine="1440"/>
        <w:jc w:val="left"/>
        <w:rPr>
          <w:sz w:val="26"/>
          <w:szCs w:val="26"/>
        </w:rPr>
      </w:pPr>
      <w:r>
        <w:rPr>
          <w:sz w:val="26"/>
          <w:szCs w:val="26"/>
        </w:rPr>
        <w:t xml:space="preserve">Duquesne further opines that the Complainant’s argument also fails under the basic rule of contract interpretation that specific language controls general language.  Duquesne asserts that as the Commonwealth Court has explained: “When interpreting contract language, specific provisions ordinarily will be regarded as qualifying the meaning of broad general terms in relation to a particular subject.  Thus, where specific </w:t>
      </w:r>
      <w:r>
        <w:rPr>
          <w:sz w:val="26"/>
          <w:szCs w:val="26"/>
        </w:rPr>
        <w:lastRenderedPageBreak/>
        <w:t xml:space="preserve">or exact terms seem to conflict with broader or more general terms, the former is more likely to express the meaning of the parties with respect to the situation than the general language.”  Citing </w:t>
      </w:r>
      <w:r>
        <w:rPr>
          <w:i/>
          <w:sz w:val="26"/>
          <w:szCs w:val="26"/>
        </w:rPr>
        <w:t>A.G. Cullen Construction, Inc. v. State System of Higher Education</w:t>
      </w:r>
      <w:r w:rsidR="003F3876">
        <w:rPr>
          <w:sz w:val="26"/>
          <w:szCs w:val="26"/>
        </w:rPr>
        <w:t>, 898A.2d 1145, 1168 (</w:t>
      </w:r>
      <w:r w:rsidR="004B24A1">
        <w:rPr>
          <w:sz w:val="26"/>
          <w:szCs w:val="26"/>
        </w:rPr>
        <w:t xml:space="preserve">Pa. </w:t>
      </w:r>
      <w:r w:rsidR="003F3876">
        <w:rPr>
          <w:sz w:val="26"/>
          <w:szCs w:val="26"/>
        </w:rPr>
        <w:t>Cm</w:t>
      </w:r>
      <w:r w:rsidR="004B24A1">
        <w:rPr>
          <w:sz w:val="26"/>
          <w:szCs w:val="26"/>
        </w:rPr>
        <w:t>w</w:t>
      </w:r>
      <w:r w:rsidR="003F3876">
        <w:rPr>
          <w:sz w:val="26"/>
          <w:szCs w:val="26"/>
        </w:rPr>
        <w:t>lth 2006).  As such, Duquesne asserts that the contract’s specific description of the two services that it provides to the Complainant is controlling over the generic language in the contract’s introductory paragraph.  R. Exc. at 10-11.</w:t>
      </w:r>
    </w:p>
    <w:p w:rsidR="003F3876" w:rsidRPr="003F3876" w:rsidRDefault="003F3876" w:rsidP="001D541C">
      <w:pPr>
        <w:autoSpaceDE w:val="0"/>
        <w:autoSpaceDN w:val="0"/>
        <w:adjustRightInd w:val="0"/>
        <w:ind w:firstLine="1440"/>
        <w:jc w:val="left"/>
        <w:rPr>
          <w:sz w:val="26"/>
          <w:szCs w:val="26"/>
        </w:rPr>
      </w:pPr>
    </w:p>
    <w:p w:rsidR="00247EAC" w:rsidRDefault="003F3876" w:rsidP="001D541C">
      <w:pPr>
        <w:autoSpaceDE w:val="0"/>
        <w:autoSpaceDN w:val="0"/>
        <w:adjustRightInd w:val="0"/>
        <w:ind w:firstLine="1440"/>
        <w:jc w:val="left"/>
        <w:rPr>
          <w:sz w:val="26"/>
          <w:szCs w:val="26"/>
        </w:rPr>
      </w:pPr>
      <w:r>
        <w:rPr>
          <w:sz w:val="26"/>
          <w:szCs w:val="26"/>
        </w:rPr>
        <w:t>Next, Duquesne asserts that the Complainant’s reliance on the testimony of its witness that “different voltages do not constitute different services” is equally unconvincing.  Duquesne points out that it does not contend that it provides two separate services to the Gulf Tower solely because the lighting service and power service are different voltages</w:t>
      </w:r>
      <w:r w:rsidR="008A247A">
        <w:rPr>
          <w:sz w:val="26"/>
          <w:szCs w:val="26"/>
        </w:rPr>
        <w:t xml:space="preserve">.  Duquesne explains that the reason why the lighting service and power service do not constitute the same service is because they operate completely separately and independently of one another.  Duquesne opines that the Complainant’s argument is abstract, theoretical and irrelevant to the disposition of this case as this issue is whether the Gulf Tower has one or two services.  Duquesne posits that the Complainant has offered no actual, affirmative evidence that there is only one service at the Gulf Tower as all it has offered is a strained, unreasonable interpretation of the Parties’ contract and theoretical commentary by a witness who did not even claim to have been to the </w:t>
      </w:r>
      <w:r w:rsidR="00712F91">
        <w:rPr>
          <w:sz w:val="26"/>
          <w:szCs w:val="26"/>
        </w:rPr>
        <w:t>G</w:t>
      </w:r>
      <w:r w:rsidR="008A247A">
        <w:rPr>
          <w:sz w:val="26"/>
          <w:szCs w:val="26"/>
        </w:rPr>
        <w:t xml:space="preserve">ulf Tower, which does not undermine the evidence presented by the </w:t>
      </w:r>
      <w:r w:rsidR="00712F91">
        <w:rPr>
          <w:sz w:val="26"/>
          <w:szCs w:val="26"/>
        </w:rPr>
        <w:t>C</w:t>
      </w:r>
      <w:r w:rsidR="008A247A">
        <w:rPr>
          <w:sz w:val="26"/>
          <w:szCs w:val="26"/>
        </w:rPr>
        <w:t>ompany and falls woefully short of the Complainant’s burden of proof.  R. Exc. at 11-12.</w:t>
      </w:r>
    </w:p>
    <w:p w:rsidR="00404695" w:rsidRDefault="00404695" w:rsidP="001D541C">
      <w:pPr>
        <w:autoSpaceDE w:val="0"/>
        <w:autoSpaceDN w:val="0"/>
        <w:adjustRightInd w:val="0"/>
        <w:ind w:firstLine="1440"/>
        <w:jc w:val="left"/>
        <w:rPr>
          <w:sz w:val="26"/>
          <w:szCs w:val="26"/>
        </w:rPr>
      </w:pPr>
    </w:p>
    <w:p w:rsidR="00BB3846" w:rsidRDefault="00404695" w:rsidP="001D541C">
      <w:pPr>
        <w:autoSpaceDE w:val="0"/>
        <w:autoSpaceDN w:val="0"/>
        <w:adjustRightInd w:val="0"/>
        <w:ind w:firstLine="1440"/>
        <w:jc w:val="left"/>
        <w:rPr>
          <w:sz w:val="26"/>
          <w:szCs w:val="26"/>
        </w:rPr>
      </w:pPr>
      <w:r>
        <w:rPr>
          <w:sz w:val="26"/>
          <w:szCs w:val="26"/>
        </w:rPr>
        <w:t xml:space="preserve">Duquesne </w:t>
      </w:r>
      <w:r w:rsidR="00A73A65">
        <w:rPr>
          <w:sz w:val="26"/>
          <w:szCs w:val="26"/>
        </w:rPr>
        <w:t xml:space="preserve">also </w:t>
      </w:r>
      <w:r>
        <w:rPr>
          <w:sz w:val="26"/>
          <w:szCs w:val="26"/>
        </w:rPr>
        <w:t xml:space="preserve">points out that the section in its </w:t>
      </w:r>
      <w:r w:rsidR="00712F91">
        <w:rPr>
          <w:sz w:val="26"/>
          <w:szCs w:val="26"/>
        </w:rPr>
        <w:t>T</w:t>
      </w:r>
      <w:r>
        <w:rPr>
          <w:sz w:val="26"/>
          <w:szCs w:val="26"/>
        </w:rPr>
        <w:t>ariff titled “Determination of Demand for Distribution” contains a clear and unambiguous formula for calculating billing demand which states that the billing demand “</w:t>
      </w:r>
      <w:r w:rsidR="00DC7EF7">
        <w:rPr>
          <w:sz w:val="26"/>
          <w:szCs w:val="26"/>
        </w:rPr>
        <w:t xml:space="preserve">. . . </w:t>
      </w:r>
      <w:r>
        <w:rPr>
          <w:sz w:val="26"/>
          <w:szCs w:val="26"/>
        </w:rPr>
        <w:t>will be the sum of the individual demands of each metered service</w:t>
      </w:r>
      <w:r w:rsidR="00DC7EF7">
        <w:rPr>
          <w:sz w:val="26"/>
          <w:szCs w:val="26"/>
        </w:rPr>
        <w:t xml:space="preserve"> . . . .</w:t>
      </w:r>
      <w:r>
        <w:rPr>
          <w:sz w:val="26"/>
          <w:szCs w:val="26"/>
        </w:rPr>
        <w:t>”  Duquesne opines that the methodology for calculating billing demand established by the Tariff is simple and straightforward: (1)</w:t>
      </w:r>
      <w:r w:rsidR="00DC7EF7">
        <w:rPr>
          <w:sz w:val="26"/>
          <w:szCs w:val="26"/>
        </w:rPr>
        <w:t> </w:t>
      </w:r>
      <w:r>
        <w:rPr>
          <w:sz w:val="26"/>
          <w:szCs w:val="26"/>
        </w:rPr>
        <w:t xml:space="preserve">determine how many metered services exist at the service address; (2) determine the individual demand of each of those metered services; and (3) add those figures together.  </w:t>
      </w:r>
      <w:r>
        <w:rPr>
          <w:sz w:val="26"/>
          <w:szCs w:val="26"/>
        </w:rPr>
        <w:lastRenderedPageBreak/>
        <w:t xml:space="preserve">Duquesne avers that the Complainant unconvincingly argues that the Tariff is ambiguous because it does not </w:t>
      </w:r>
      <w:r w:rsidR="00005B07">
        <w:rPr>
          <w:sz w:val="26"/>
          <w:szCs w:val="26"/>
        </w:rPr>
        <w:t>“</w:t>
      </w:r>
      <w:r>
        <w:rPr>
          <w:sz w:val="26"/>
          <w:szCs w:val="26"/>
        </w:rPr>
        <w:t>identify whether the greatest kilowatt-hour use occurs per meter, per service or per building</w:t>
      </w:r>
      <w:r w:rsidR="00005B07">
        <w:rPr>
          <w:sz w:val="26"/>
          <w:szCs w:val="26"/>
        </w:rPr>
        <w:t>.”  Citing One Ten Exceptions at 5-6.  Duquesne states that this argument ignores the plain language of the Tariff as the phrase “greatest kilowatt hour use” is a component of the definition of “individual demand.”  Duquesne claims that the “billing demand” is calculated by taking the “individual demands of each metered service,” so the language highlighted by the Complainant clearly occurs per metered service, not per meter or per building.  As such, Duquesne asserts that the alleged ambiguity proposed by the Complainant does not exist.  R. Exc. at 12-13.</w:t>
      </w:r>
    </w:p>
    <w:p w:rsidR="000537F4" w:rsidRPr="00DC7EF7" w:rsidRDefault="000537F4" w:rsidP="005C3713">
      <w:pPr>
        <w:autoSpaceDE w:val="0"/>
        <w:autoSpaceDN w:val="0"/>
        <w:adjustRightInd w:val="0"/>
        <w:spacing w:line="240" w:lineRule="auto"/>
        <w:ind w:right="1440" w:firstLine="0"/>
        <w:jc w:val="left"/>
        <w:rPr>
          <w:sz w:val="26"/>
          <w:szCs w:val="26"/>
        </w:rPr>
      </w:pPr>
    </w:p>
    <w:p w:rsidR="00B776E7" w:rsidRPr="00BB0A6E" w:rsidRDefault="003C58D6" w:rsidP="009573C0">
      <w:pPr>
        <w:keepNext/>
        <w:keepLines/>
        <w:autoSpaceDE w:val="0"/>
        <w:autoSpaceDN w:val="0"/>
        <w:adjustRightInd w:val="0"/>
        <w:ind w:firstLine="0"/>
        <w:jc w:val="left"/>
        <w:rPr>
          <w:b/>
          <w:sz w:val="26"/>
          <w:szCs w:val="26"/>
        </w:rPr>
      </w:pPr>
      <w:r w:rsidRPr="00BB0A6E">
        <w:rPr>
          <w:b/>
          <w:sz w:val="26"/>
          <w:szCs w:val="26"/>
        </w:rPr>
        <w:t>Disposition</w:t>
      </w:r>
    </w:p>
    <w:p w:rsidR="00FB110C" w:rsidRPr="00DC7EF7" w:rsidRDefault="00FB110C" w:rsidP="009573C0">
      <w:pPr>
        <w:keepNext/>
        <w:keepLines/>
        <w:autoSpaceDE w:val="0"/>
        <w:autoSpaceDN w:val="0"/>
        <w:adjustRightInd w:val="0"/>
        <w:spacing w:line="240" w:lineRule="auto"/>
        <w:ind w:right="1440" w:firstLine="0"/>
        <w:jc w:val="left"/>
        <w:rPr>
          <w:sz w:val="26"/>
          <w:szCs w:val="26"/>
        </w:rPr>
      </w:pPr>
    </w:p>
    <w:p w:rsidR="005C3713" w:rsidRDefault="00FB110C" w:rsidP="00434C01">
      <w:pPr>
        <w:autoSpaceDE w:val="0"/>
        <w:autoSpaceDN w:val="0"/>
        <w:adjustRightInd w:val="0"/>
        <w:ind w:firstLine="0"/>
        <w:jc w:val="left"/>
        <w:rPr>
          <w:sz w:val="26"/>
          <w:szCs w:val="26"/>
        </w:rPr>
      </w:pPr>
      <w:r w:rsidRPr="00BB0A6E">
        <w:rPr>
          <w:b/>
          <w:sz w:val="26"/>
          <w:szCs w:val="26"/>
        </w:rPr>
        <w:tab/>
      </w:r>
      <w:r w:rsidRPr="00BB0A6E">
        <w:rPr>
          <w:b/>
          <w:sz w:val="26"/>
          <w:szCs w:val="26"/>
        </w:rPr>
        <w:tab/>
      </w:r>
      <w:r w:rsidRPr="00BB0A6E">
        <w:rPr>
          <w:sz w:val="26"/>
          <w:szCs w:val="26"/>
        </w:rPr>
        <w:t xml:space="preserve">Based upon our review of the record evidence, </w:t>
      </w:r>
      <w:r w:rsidR="00B27449" w:rsidRPr="00BB0A6E">
        <w:rPr>
          <w:sz w:val="26"/>
          <w:szCs w:val="26"/>
        </w:rPr>
        <w:t xml:space="preserve">we agree with the ALJ </w:t>
      </w:r>
      <w:r w:rsidR="00137AB2" w:rsidRPr="00BB0A6E">
        <w:rPr>
          <w:sz w:val="26"/>
          <w:szCs w:val="26"/>
        </w:rPr>
        <w:t>that the evidence presented in this proceeding supports a determination that Duquesne is providing two separate metered services to One Ten’s building, the Gulf Tower in Pittsburgh.  It is clear that Duquesne provides two separate services comprised of separate electrical equipment of different voltages that operate independently of one another.  It is also clear that the utilization of non-coincidental billing is appropriate under these circumstances and fully complies with Duquesne’s Tariff which states that the billing demand will be the sum of the peak individual demands of each metered service</w:t>
      </w:r>
      <w:r w:rsidR="003E3481" w:rsidRPr="00BB0A6E">
        <w:rPr>
          <w:sz w:val="26"/>
          <w:szCs w:val="26"/>
        </w:rPr>
        <w:t>.</w:t>
      </w:r>
    </w:p>
    <w:p w:rsidR="005C3713" w:rsidRDefault="005C3713" w:rsidP="00434C01">
      <w:pPr>
        <w:autoSpaceDE w:val="0"/>
        <w:autoSpaceDN w:val="0"/>
        <w:adjustRightInd w:val="0"/>
        <w:ind w:firstLine="0"/>
        <w:jc w:val="left"/>
        <w:rPr>
          <w:sz w:val="26"/>
          <w:szCs w:val="26"/>
        </w:rPr>
      </w:pPr>
    </w:p>
    <w:p w:rsidR="005C3713" w:rsidRPr="00AA6B7C" w:rsidRDefault="005C3713" w:rsidP="005C3713">
      <w:pPr>
        <w:pStyle w:val="Default"/>
        <w:spacing w:line="360" w:lineRule="auto"/>
        <w:ind w:firstLine="1440"/>
        <w:rPr>
          <w:color w:val="auto"/>
          <w:sz w:val="26"/>
          <w:szCs w:val="26"/>
        </w:rPr>
      </w:pPr>
      <w:r w:rsidRPr="00AA6B7C">
        <w:rPr>
          <w:color w:val="auto"/>
          <w:sz w:val="26"/>
          <w:szCs w:val="26"/>
        </w:rPr>
        <w:t xml:space="preserve">It is important to note that a utility compiles its policies, rules, and regulations governing service to customers into its </w:t>
      </w:r>
      <w:r w:rsidR="00AA6B7C" w:rsidRPr="00AA6B7C">
        <w:rPr>
          <w:color w:val="auto"/>
          <w:sz w:val="26"/>
          <w:szCs w:val="26"/>
        </w:rPr>
        <w:t>T</w:t>
      </w:r>
      <w:r w:rsidRPr="00AA6B7C">
        <w:rPr>
          <w:color w:val="auto"/>
          <w:sz w:val="26"/>
          <w:szCs w:val="26"/>
        </w:rPr>
        <w:t xml:space="preserve">ariff, which it submits to the Commission for review.  </w:t>
      </w:r>
      <w:r w:rsidRPr="00AA6B7C">
        <w:rPr>
          <w:i/>
          <w:color w:val="auto"/>
          <w:sz w:val="26"/>
          <w:szCs w:val="26"/>
        </w:rPr>
        <w:t xml:space="preserve">See Koosman v. Pa. PUC, </w:t>
      </w:r>
      <w:r w:rsidRPr="00AA6B7C">
        <w:rPr>
          <w:color w:val="auto"/>
          <w:sz w:val="26"/>
          <w:szCs w:val="26"/>
        </w:rPr>
        <w:t xml:space="preserve">694 A.2d 1147 (Pa. Cmwlth. 1997), citing  </w:t>
      </w:r>
      <w:hyperlink r:id="rId11" w:history="1">
        <w:r w:rsidRPr="00AA6B7C">
          <w:rPr>
            <w:rStyle w:val="Hyperlink"/>
            <w:i/>
            <w:iCs/>
            <w:color w:val="auto"/>
            <w:sz w:val="26"/>
            <w:szCs w:val="26"/>
            <w:u w:val="none"/>
          </w:rPr>
          <w:t>Brockway Glass Co. v. Pa. PUC</w:t>
        </w:r>
        <w:r w:rsidRPr="00AA6B7C">
          <w:rPr>
            <w:rStyle w:val="Hyperlink"/>
            <w:color w:val="auto"/>
            <w:sz w:val="26"/>
            <w:szCs w:val="26"/>
            <w:u w:val="none"/>
          </w:rPr>
          <w:t>, 437 A.2d 1067, 1070 (Pa.  Cmwlth. 1981)</w:t>
        </w:r>
      </w:hyperlink>
      <w:r w:rsidRPr="00AA6B7C">
        <w:rPr>
          <w:color w:val="auto"/>
          <w:sz w:val="26"/>
          <w:szCs w:val="26"/>
        </w:rPr>
        <w:t xml:space="preserve">.  Once approved, the </w:t>
      </w:r>
      <w:r w:rsidR="00AA6B7C" w:rsidRPr="00AA6B7C">
        <w:rPr>
          <w:rStyle w:val="term1"/>
          <w:b w:val="0"/>
          <w:color w:val="auto"/>
          <w:sz w:val="26"/>
          <w:szCs w:val="26"/>
        </w:rPr>
        <w:t>T</w:t>
      </w:r>
      <w:r w:rsidRPr="00AA6B7C">
        <w:rPr>
          <w:rStyle w:val="term1"/>
          <w:b w:val="0"/>
          <w:color w:val="auto"/>
          <w:sz w:val="26"/>
          <w:szCs w:val="26"/>
        </w:rPr>
        <w:t>ariff</w:t>
      </w:r>
      <w:r w:rsidRPr="00AA6B7C">
        <w:rPr>
          <w:b/>
          <w:color w:val="auto"/>
          <w:sz w:val="26"/>
          <w:szCs w:val="26"/>
        </w:rPr>
        <w:t xml:space="preserve"> </w:t>
      </w:r>
      <w:r w:rsidRPr="00AA6B7C">
        <w:rPr>
          <w:color w:val="auto"/>
          <w:sz w:val="26"/>
          <w:szCs w:val="26"/>
        </w:rPr>
        <w:t xml:space="preserve">provisions are legally </w:t>
      </w:r>
      <w:r w:rsidRPr="00AA6B7C">
        <w:rPr>
          <w:rStyle w:val="term1"/>
          <w:b w:val="0"/>
          <w:color w:val="auto"/>
          <w:sz w:val="26"/>
          <w:szCs w:val="26"/>
        </w:rPr>
        <w:t>binding</w:t>
      </w:r>
      <w:r w:rsidRPr="00AA6B7C">
        <w:rPr>
          <w:b/>
          <w:color w:val="auto"/>
          <w:sz w:val="26"/>
          <w:szCs w:val="26"/>
        </w:rPr>
        <w:t xml:space="preserve"> </w:t>
      </w:r>
      <w:r w:rsidRPr="00AA6B7C">
        <w:rPr>
          <w:color w:val="auto"/>
          <w:sz w:val="26"/>
          <w:szCs w:val="26"/>
        </w:rPr>
        <w:t xml:space="preserve">on both the utility and its customers. </w:t>
      </w:r>
      <w:r w:rsidRPr="00AA6B7C">
        <w:rPr>
          <w:i/>
          <w:iCs/>
          <w:color w:val="auto"/>
          <w:sz w:val="26"/>
          <w:szCs w:val="26"/>
        </w:rPr>
        <w:t>Id.</w:t>
      </w:r>
      <w:r w:rsidRPr="00AA6B7C">
        <w:rPr>
          <w:color w:val="auto"/>
          <w:sz w:val="26"/>
          <w:szCs w:val="26"/>
        </w:rPr>
        <w:t xml:space="preserve">  </w:t>
      </w:r>
    </w:p>
    <w:p w:rsidR="005C3713" w:rsidRPr="00AA6B7C" w:rsidRDefault="005C3713" w:rsidP="005C3713">
      <w:pPr>
        <w:pStyle w:val="Default"/>
        <w:spacing w:line="360" w:lineRule="auto"/>
        <w:ind w:firstLine="1440"/>
        <w:rPr>
          <w:color w:val="auto"/>
          <w:sz w:val="26"/>
          <w:szCs w:val="26"/>
        </w:rPr>
      </w:pPr>
    </w:p>
    <w:p w:rsidR="005C3713" w:rsidRDefault="00AA6B7C" w:rsidP="005C3713">
      <w:pPr>
        <w:pStyle w:val="Default"/>
        <w:spacing w:line="360" w:lineRule="auto"/>
        <w:ind w:firstLine="1440"/>
        <w:rPr>
          <w:color w:val="auto"/>
          <w:sz w:val="26"/>
          <w:szCs w:val="26"/>
        </w:rPr>
      </w:pPr>
      <w:r w:rsidRPr="00AA6B7C">
        <w:rPr>
          <w:color w:val="auto"/>
          <w:sz w:val="26"/>
          <w:szCs w:val="26"/>
        </w:rPr>
        <w:lastRenderedPageBreak/>
        <w:t>We find that t</w:t>
      </w:r>
      <w:r w:rsidR="005C3713" w:rsidRPr="00AA6B7C">
        <w:rPr>
          <w:color w:val="auto"/>
          <w:sz w:val="26"/>
          <w:szCs w:val="26"/>
        </w:rPr>
        <w:t xml:space="preserve">he pertinent language in the </w:t>
      </w:r>
      <w:r w:rsidRPr="00AA6B7C">
        <w:rPr>
          <w:color w:val="auto"/>
          <w:sz w:val="26"/>
          <w:szCs w:val="26"/>
        </w:rPr>
        <w:t>T</w:t>
      </w:r>
      <w:r w:rsidR="005C3713" w:rsidRPr="00AA6B7C">
        <w:rPr>
          <w:color w:val="auto"/>
          <w:sz w:val="26"/>
          <w:szCs w:val="26"/>
        </w:rPr>
        <w:t xml:space="preserve">ariff, summarized at </w:t>
      </w:r>
      <w:r w:rsidRPr="00AA6B7C">
        <w:rPr>
          <w:color w:val="auto"/>
          <w:sz w:val="26"/>
          <w:szCs w:val="26"/>
        </w:rPr>
        <w:t xml:space="preserve">Finding of </w:t>
      </w:r>
      <w:r w:rsidR="005C3713" w:rsidRPr="00AA6B7C">
        <w:rPr>
          <w:color w:val="auto"/>
          <w:sz w:val="26"/>
          <w:szCs w:val="26"/>
        </w:rPr>
        <w:t xml:space="preserve">Fact </w:t>
      </w:r>
      <w:r w:rsidRPr="00AA6B7C">
        <w:rPr>
          <w:color w:val="auto"/>
          <w:sz w:val="26"/>
          <w:szCs w:val="26"/>
        </w:rPr>
        <w:t xml:space="preserve">No. </w:t>
      </w:r>
      <w:r w:rsidR="005C3713" w:rsidRPr="00AA6B7C">
        <w:rPr>
          <w:color w:val="auto"/>
          <w:sz w:val="26"/>
          <w:szCs w:val="26"/>
        </w:rPr>
        <w:t>40, fully supports Duquesne’s position regarding the proper computation of demand to One Ten:</w:t>
      </w:r>
    </w:p>
    <w:p w:rsidR="00B34BEE" w:rsidRPr="00AA6B7C" w:rsidRDefault="00B34BEE" w:rsidP="005C3713">
      <w:pPr>
        <w:pStyle w:val="Default"/>
        <w:spacing w:line="360" w:lineRule="auto"/>
        <w:ind w:firstLine="1440"/>
        <w:rPr>
          <w:color w:val="auto"/>
          <w:sz w:val="26"/>
          <w:szCs w:val="26"/>
        </w:rPr>
      </w:pPr>
    </w:p>
    <w:p w:rsidR="005C3713" w:rsidRDefault="005C3713" w:rsidP="005C3713">
      <w:pPr>
        <w:autoSpaceDE w:val="0"/>
        <w:autoSpaceDN w:val="0"/>
        <w:adjustRightInd w:val="0"/>
        <w:spacing w:line="240" w:lineRule="auto"/>
        <w:ind w:left="1440" w:right="1440" w:firstLine="0"/>
        <w:jc w:val="left"/>
        <w:rPr>
          <w:rFonts w:eastAsiaTheme="minorHAnsi"/>
          <w:sz w:val="26"/>
          <w:szCs w:val="26"/>
        </w:rPr>
      </w:pPr>
      <w:r w:rsidRPr="00AA6B7C">
        <w:rPr>
          <w:rFonts w:eastAsiaTheme="minorHAnsi"/>
          <w:sz w:val="26"/>
          <w:szCs w:val="26"/>
        </w:rPr>
        <w:t xml:space="preserve">40. With respect to the determination of demand for customers served under Duquesne’s Rate GL – General Service Large rate schedule, the tariff provides, in relevant part, “[i]ndividual demand . . . will be determined by measurement of the average kilowatts during the fifteen-minute period of greatest kilowatt-hour use during the billing period . . . . The billing demand will be the sum of the individual demands of each metered service . . . . (Duquesne Ex. </w:t>
      </w:r>
      <w:r w:rsidRPr="00B34BEE">
        <w:rPr>
          <w:rFonts w:eastAsiaTheme="minorHAnsi"/>
          <w:sz w:val="26"/>
          <w:szCs w:val="26"/>
        </w:rPr>
        <w:t>B).</w:t>
      </w:r>
    </w:p>
    <w:p w:rsidR="00B34BEE" w:rsidRDefault="00B34BEE" w:rsidP="005C3713">
      <w:pPr>
        <w:autoSpaceDE w:val="0"/>
        <w:autoSpaceDN w:val="0"/>
        <w:adjustRightInd w:val="0"/>
        <w:spacing w:line="240" w:lineRule="auto"/>
        <w:ind w:left="1440" w:right="1440" w:firstLine="0"/>
        <w:jc w:val="left"/>
        <w:rPr>
          <w:rFonts w:eastAsiaTheme="minorHAnsi"/>
          <w:sz w:val="26"/>
          <w:szCs w:val="26"/>
        </w:rPr>
      </w:pPr>
    </w:p>
    <w:p w:rsidR="00B34BEE" w:rsidRPr="00B34BEE" w:rsidRDefault="00B34BEE" w:rsidP="005C3713">
      <w:pPr>
        <w:autoSpaceDE w:val="0"/>
        <w:autoSpaceDN w:val="0"/>
        <w:adjustRightInd w:val="0"/>
        <w:spacing w:line="240" w:lineRule="auto"/>
        <w:ind w:left="1440" w:right="1440" w:firstLine="0"/>
        <w:jc w:val="left"/>
        <w:rPr>
          <w:rFonts w:eastAsiaTheme="minorHAnsi"/>
          <w:sz w:val="26"/>
          <w:szCs w:val="26"/>
        </w:rPr>
      </w:pPr>
    </w:p>
    <w:p w:rsidR="005C3713" w:rsidRDefault="005C3713" w:rsidP="00AA6B7C">
      <w:pPr>
        <w:autoSpaceDE w:val="0"/>
        <w:autoSpaceDN w:val="0"/>
        <w:adjustRightInd w:val="0"/>
        <w:ind w:firstLine="1440"/>
        <w:jc w:val="left"/>
        <w:rPr>
          <w:sz w:val="26"/>
          <w:szCs w:val="26"/>
        </w:rPr>
      </w:pPr>
      <w:r w:rsidRPr="00BB0A6E">
        <w:rPr>
          <w:sz w:val="26"/>
          <w:szCs w:val="26"/>
        </w:rPr>
        <w:t xml:space="preserve">We note that Duquesne’s Tariff was approved by this Commission and has the force of law and is binding on both the public utility and its customers.  As explained by the Company, non-coincidental billing is reasonable as the two services provided to One Ten have different peak demand requirements and it is incumbent on the Company to ensure that its system is designed </w:t>
      </w:r>
      <w:r w:rsidR="00D66AEE" w:rsidRPr="00BB0A6E">
        <w:rPr>
          <w:sz w:val="26"/>
          <w:szCs w:val="26"/>
        </w:rPr>
        <w:t>to</w:t>
      </w:r>
      <w:r w:rsidRPr="00BB0A6E">
        <w:rPr>
          <w:sz w:val="26"/>
          <w:szCs w:val="26"/>
        </w:rPr>
        <w:t xml:space="preserve"> meet that peak demand.  As the system must be designed to meet the non-coincident demand of its system it is both reasonable and appropriate to bill its customers based upon non-coincidental peak demand.  As such, we also agree with the ALJ’s determination that Duquesne is correct to use non-coincidental billing of the two services at the Gulf Tower.</w:t>
      </w:r>
    </w:p>
    <w:p w:rsidR="005C3713" w:rsidRPr="00BB0A6E" w:rsidRDefault="005C3713" w:rsidP="00434C01">
      <w:pPr>
        <w:autoSpaceDE w:val="0"/>
        <w:autoSpaceDN w:val="0"/>
        <w:adjustRightInd w:val="0"/>
        <w:ind w:firstLine="0"/>
        <w:jc w:val="left"/>
        <w:rPr>
          <w:sz w:val="26"/>
          <w:szCs w:val="26"/>
        </w:rPr>
      </w:pPr>
    </w:p>
    <w:p w:rsidR="00FB110C" w:rsidRPr="00BB0A6E" w:rsidRDefault="0077091B" w:rsidP="00434C01">
      <w:pPr>
        <w:autoSpaceDE w:val="0"/>
        <w:autoSpaceDN w:val="0"/>
        <w:adjustRightInd w:val="0"/>
        <w:ind w:firstLine="0"/>
        <w:jc w:val="left"/>
        <w:rPr>
          <w:sz w:val="26"/>
          <w:szCs w:val="26"/>
        </w:rPr>
      </w:pPr>
      <w:r w:rsidRPr="00BB0A6E">
        <w:rPr>
          <w:sz w:val="26"/>
          <w:szCs w:val="26"/>
        </w:rPr>
        <w:tab/>
      </w:r>
      <w:r w:rsidRPr="00BB0A6E">
        <w:rPr>
          <w:sz w:val="26"/>
          <w:szCs w:val="26"/>
        </w:rPr>
        <w:tab/>
        <w:t xml:space="preserve">We are not convinced by the arguments offered by One Ten </w:t>
      </w:r>
      <w:r w:rsidR="00D66AEE" w:rsidRPr="00BB0A6E">
        <w:rPr>
          <w:sz w:val="26"/>
          <w:szCs w:val="26"/>
        </w:rPr>
        <w:t>regarding</w:t>
      </w:r>
      <w:r w:rsidRPr="00BB0A6E">
        <w:rPr>
          <w:sz w:val="26"/>
          <w:szCs w:val="26"/>
        </w:rPr>
        <w:t xml:space="preserve"> the use of the singular form of the word “service</w:t>
      </w:r>
      <w:r w:rsidR="00345330" w:rsidRPr="00BB0A6E">
        <w:rPr>
          <w:sz w:val="26"/>
          <w:szCs w:val="26"/>
        </w:rPr>
        <w:t>” in the introductory language of Duquesne’s Tariff, or that Duquesne’s Tariff is ambiguous.  Neither of these arguments have merit upon a review of the plain language of Duquesne’s Tariff and the evidence presented by Duquesne in response to this Complaint.  As such, we agree with the ALJ that One Ten</w:t>
      </w:r>
      <w:r w:rsidR="009573C0">
        <w:rPr>
          <w:sz w:val="26"/>
          <w:szCs w:val="26"/>
        </w:rPr>
        <w:t>’</w:t>
      </w:r>
      <w:r w:rsidR="00345330" w:rsidRPr="00BB0A6E">
        <w:rPr>
          <w:sz w:val="26"/>
          <w:szCs w:val="26"/>
        </w:rPr>
        <w:t xml:space="preserve">s Complaint should be dismissed due to the Complainant’s failure to prove, by a </w:t>
      </w:r>
      <w:r w:rsidR="00345330" w:rsidRPr="00BB0A6E">
        <w:rPr>
          <w:sz w:val="26"/>
          <w:szCs w:val="26"/>
        </w:rPr>
        <w:lastRenderedPageBreak/>
        <w:t xml:space="preserve">preponderance of the evidence, that Duquesne violated any applicable statute, </w:t>
      </w:r>
      <w:r w:rsidR="00104F93" w:rsidRPr="00BB0A6E">
        <w:rPr>
          <w:sz w:val="26"/>
          <w:szCs w:val="26"/>
        </w:rPr>
        <w:t>R</w:t>
      </w:r>
      <w:r w:rsidR="00345330" w:rsidRPr="00BB0A6E">
        <w:rPr>
          <w:sz w:val="26"/>
          <w:szCs w:val="26"/>
        </w:rPr>
        <w:t>egulation</w:t>
      </w:r>
      <w:r w:rsidR="00104F93" w:rsidRPr="00BB0A6E">
        <w:rPr>
          <w:sz w:val="26"/>
          <w:szCs w:val="26"/>
        </w:rPr>
        <w:t>,</w:t>
      </w:r>
      <w:r w:rsidR="00345330" w:rsidRPr="00BB0A6E">
        <w:rPr>
          <w:sz w:val="26"/>
          <w:szCs w:val="26"/>
        </w:rPr>
        <w:t xml:space="preserve"> Commission Order or its Tarif</w:t>
      </w:r>
      <w:r w:rsidR="00B34BEE">
        <w:rPr>
          <w:sz w:val="26"/>
          <w:szCs w:val="26"/>
        </w:rPr>
        <w:t>f.</w:t>
      </w:r>
    </w:p>
    <w:p w:rsidR="00FB110C" w:rsidRPr="00BB0A6E" w:rsidRDefault="00FB110C" w:rsidP="00434C01">
      <w:pPr>
        <w:autoSpaceDE w:val="0"/>
        <w:autoSpaceDN w:val="0"/>
        <w:adjustRightInd w:val="0"/>
        <w:ind w:firstLine="0"/>
        <w:jc w:val="left"/>
        <w:rPr>
          <w:b/>
          <w:sz w:val="26"/>
          <w:szCs w:val="26"/>
        </w:rPr>
      </w:pPr>
    </w:p>
    <w:p w:rsidR="00B776E7" w:rsidRPr="00BB0A6E" w:rsidRDefault="00B776E7" w:rsidP="009573C0">
      <w:pPr>
        <w:keepNext/>
        <w:keepLines/>
        <w:autoSpaceDE w:val="0"/>
        <w:autoSpaceDN w:val="0"/>
        <w:adjustRightInd w:val="0"/>
        <w:ind w:firstLine="1440"/>
        <w:jc w:val="left"/>
        <w:rPr>
          <w:sz w:val="26"/>
          <w:szCs w:val="26"/>
        </w:rPr>
      </w:pPr>
      <w:r w:rsidRPr="00BB0A6E">
        <w:rPr>
          <w:sz w:val="26"/>
          <w:szCs w:val="26"/>
        </w:rPr>
        <w:t>Accordingly, we shall deny the Exceptions of the Complainant</w:t>
      </w:r>
      <w:r w:rsidR="00104F93" w:rsidRPr="00BB0A6E">
        <w:rPr>
          <w:sz w:val="26"/>
          <w:szCs w:val="26"/>
        </w:rPr>
        <w:t>, adopt the ALJ’s Initial Decision and dismiss the Complaint of One Ten.</w:t>
      </w:r>
      <w:r w:rsidRPr="00BB0A6E">
        <w:rPr>
          <w:sz w:val="26"/>
          <w:szCs w:val="26"/>
        </w:rPr>
        <w:t xml:space="preserve"> </w:t>
      </w:r>
      <w:r w:rsidR="00104F93" w:rsidRPr="00BB0A6E">
        <w:rPr>
          <w:sz w:val="26"/>
          <w:szCs w:val="26"/>
        </w:rPr>
        <w:t xml:space="preserve"> We</w:t>
      </w:r>
      <w:r w:rsidRPr="00BB0A6E">
        <w:rPr>
          <w:sz w:val="26"/>
          <w:szCs w:val="26"/>
        </w:rPr>
        <w:t xml:space="preserve"> conclude that the Complainant failed to meet </w:t>
      </w:r>
      <w:r w:rsidR="0077091B" w:rsidRPr="00BB0A6E">
        <w:rPr>
          <w:sz w:val="26"/>
          <w:szCs w:val="26"/>
        </w:rPr>
        <w:t>its</w:t>
      </w:r>
      <w:r w:rsidRPr="00BB0A6E">
        <w:rPr>
          <w:sz w:val="26"/>
          <w:szCs w:val="26"/>
        </w:rPr>
        <w:t xml:space="preserve"> burden of proof that </w:t>
      </w:r>
      <w:r w:rsidR="009B3959" w:rsidRPr="00BB0A6E">
        <w:rPr>
          <w:sz w:val="26"/>
          <w:szCs w:val="26"/>
        </w:rPr>
        <w:t>Duquesne</w:t>
      </w:r>
      <w:r w:rsidRPr="00BB0A6E">
        <w:rPr>
          <w:sz w:val="26"/>
          <w:szCs w:val="26"/>
        </w:rPr>
        <w:t xml:space="preserve"> </w:t>
      </w:r>
      <w:r w:rsidR="009B3959" w:rsidRPr="00BB0A6E">
        <w:rPr>
          <w:sz w:val="26"/>
          <w:szCs w:val="26"/>
        </w:rPr>
        <w:t xml:space="preserve">incorrectly </w:t>
      </w:r>
      <w:r w:rsidR="00A92FE3" w:rsidRPr="00BB0A6E">
        <w:rPr>
          <w:sz w:val="26"/>
          <w:szCs w:val="26"/>
        </w:rPr>
        <w:t xml:space="preserve">calculated </w:t>
      </w:r>
      <w:r w:rsidR="009B3959" w:rsidRPr="00BB0A6E">
        <w:rPr>
          <w:sz w:val="26"/>
          <w:szCs w:val="26"/>
        </w:rPr>
        <w:t>it</w:t>
      </w:r>
      <w:r w:rsidR="00A92FE3" w:rsidRPr="00BB0A6E">
        <w:rPr>
          <w:sz w:val="26"/>
          <w:szCs w:val="26"/>
        </w:rPr>
        <w:t>s</w:t>
      </w:r>
      <w:r w:rsidR="009B3959" w:rsidRPr="00BB0A6E">
        <w:rPr>
          <w:sz w:val="26"/>
          <w:szCs w:val="26"/>
        </w:rPr>
        <w:t xml:space="preserve"> </w:t>
      </w:r>
      <w:r w:rsidRPr="00BB0A6E">
        <w:rPr>
          <w:sz w:val="26"/>
          <w:szCs w:val="26"/>
        </w:rPr>
        <w:t>electric</w:t>
      </w:r>
      <w:r w:rsidR="00A92FE3" w:rsidRPr="00BB0A6E">
        <w:rPr>
          <w:sz w:val="26"/>
          <w:szCs w:val="26"/>
        </w:rPr>
        <w:t xml:space="preserve"> bills in violation of its Tariff</w:t>
      </w:r>
      <w:r w:rsidR="002D251D" w:rsidRPr="00BB0A6E">
        <w:rPr>
          <w:sz w:val="26"/>
          <w:szCs w:val="26"/>
        </w:rPr>
        <w:t xml:space="preserve"> and is not entitled to a refund.</w:t>
      </w:r>
      <w:r w:rsidR="00104F93" w:rsidRPr="00BB0A6E">
        <w:rPr>
          <w:sz w:val="26"/>
          <w:szCs w:val="26"/>
        </w:rPr>
        <w:t xml:space="preserve"> </w:t>
      </w:r>
    </w:p>
    <w:p w:rsidR="00B776E7" w:rsidRDefault="00B776E7" w:rsidP="000A2650">
      <w:pPr>
        <w:autoSpaceDE w:val="0"/>
        <w:autoSpaceDN w:val="0"/>
        <w:adjustRightInd w:val="0"/>
        <w:jc w:val="left"/>
        <w:rPr>
          <w:sz w:val="26"/>
          <w:szCs w:val="26"/>
        </w:rPr>
      </w:pPr>
    </w:p>
    <w:p w:rsidR="00B776E7" w:rsidRPr="00815973" w:rsidRDefault="00815973" w:rsidP="009573C0">
      <w:pPr>
        <w:keepNext/>
        <w:keepLines/>
        <w:autoSpaceDE w:val="0"/>
        <w:autoSpaceDN w:val="0"/>
        <w:adjustRightInd w:val="0"/>
        <w:ind w:firstLine="0"/>
        <w:rPr>
          <w:sz w:val="26"/>
          <w:szCs w:val="26"/>
        </w:rPr>
      </w:pPr>
      <w:r w:rsidRPr="00815973">
        <w:rPr>
          <w:b/>
          <w:sz w:val="26"/>
          <w:szCs w:val="26"/>
        </w:rPr>
        <w:t>III.</w:t>
      </w:r>
      <w:r>
        <w:rPr>
          <w:b/>
          <w:sz w:val="26"/>
          <w:szCs w:val="26"/>
        </w:rPr>
        <w:tab/>
      </w:r>
      <w:r w:rsidR="00B776E7" w:rsidRPr="00815973">
        <w:rPr>
          <w:b/>
          <w:sz w:val="26"/>
          <w:szCs w:val="26"/>
        </w:rPr>
        <w:t>Conclusion</w:t>
      </w:r>
    </w:p>
    <w:p w:rsidR="00B776E7" w:rsidRDefault="00B776E7" w:rsidP="009573C0">
      <w:pPr>
        <w:keepNext/>
        <w:keepLines/>
        <w:autoSpaceDE w:val="0"/>
        <w:autoSpaceDN w:val="0"/>
        <w:adjustRightInd w:val="0"/>
        <w:jc w:val="left"/>
        <w:rPr>
          <w:sz w:val="26"/>
          <w:szCs w:val="26"/>
        </w:rPr>
      </w:pPr>
    </w:p>
    <w:p w:rsidR="00B776E7" w:rsidRDefault="00B776E7" w:rsidP="000A2650">
      <w:pPr>
        <w:autoSpaceDE w:val="0"/>
        <w:autoSpaceDN w:val="0"/>
        <w:adjustRightInd w:val="0"/>
        <w:jc w:val="left"/>
        <w:rPr>
          <w:sz w:val="26"/>
          <w:szCs w:val="26"/>
        </w:rPr>
      </w:pPr>
      <w:r>
        <w:rPr>
          <w:sz w:val="26"/>
          <w:szCs w:val="26"/>
        </w:rPr>
        <w:tab/>
        <w:t xml:space="preserve">Based on the foregoing discussion, we shall deny the Complainant’s Exceptions, adopt the ALJ’s Initial Decision, and dismiss the Complaint, consistent with this Opinion and Order; </w:t>
      </w:r>
      <w:r>
        <w:rPr>
          <w:b/>
          <w:sz w:val="26"/>
          <w:szCs w:val="26"/>
        </w:rPr>
        <w:t>THEREFORE</w:t>
      </w:r>
      <w:r>
        <w:rPr>
          <w:sz w:val="26"/>
          <w:szCs w:val="26"/>
        </w:rPr>
        <w:t>,</w:t>
      </w:r>
    </w:p>
    <w:p w:rsidR="00B776E7" w:rsidRDefault="00B776E7" w:rsidP="000A2650">
      <w:pPr>
        <w:autoSpaceDE w:val="0"/>
        <w:autoSpaceDN w:val="0"/>
        <w:adjustRightInd w:val="0"/>
        <w:jc w:val="left"/>
        <w:rPr>
          <w:sz w:val="26"/>
          <w:szCs w:val="26"/>
        </w:rPr>
      </w:pPr>
    </w:p>
    <w:p w:rsidR="00B776E7" w:rsidRDefault="00B776E7" w:rsidP="000A2650">
      <w:pPr>
        <w:keepNext/>
        <w:keepLines/>
        <w:jc w:val="left"/>
        <w:rPr>
          <w:b/>
          <w:sz w:val="26"/>
          <w:szCs w:val="26"/>
        </w:rPr>
      </w:pPr>
      <w:r>
        <w:rPr>
          <w:sz w:val="26"/>
          <w:szCs w:val="26"/>
        </w:rPr>
        <w:tab/>
      </w:r>
      <w:r w:rsidRPr="000D6043">
        <w:rPr>
          <w:b/>
          <w:sz w:val="26"/>
          <w:szCs w:val="26"/>
        </w:rPr>
        <w:t>IT IS ORDERED:</w:t>
      </w:r>
    </w:p>
    <w:p w:rsidR="00B776E7" w:rsidRDefault="00B776E7" w:rsidP="000A2650">
      <w:pPr>
        <w:keepNext/>
        <w:keepLines/>
        <w:jc w:val="left"/>
        <w:rPr>
          <w:b/>
          <w:sz w:val="26"/>
          <w:szCs w:val="26"/>
        </w:rPr>
      </w:pPr>
    </w:p>
    <w:p w:rsidR="00B776E7" w:rsidRDefault="00B776E7" w:rsidP="000A2650">
      <w:pPr>
        <w:jc w:val="left"/>
        <w:rPr>
          <w:sz w:val="26"/>
          <w:szCs w:val="26"/>
        </w:rPr>
      </w:pPr>
      <w:r>
        <w:rPr>
          <w:b/>
          <w:sz w:val="26"/>
          <w:szCs w:val="26"/>
        </w:rPr>
        <w:tab/>
      </w:r>
      <w:r>
        <w:rPr>
          <w:sz w:val="26"/>
          <w:szCs w:val="26"/>
        </w:rPr>
        <w:t>1.</w:t>
      </w:r>
      <w:r>
        <w:rPr>
          <w:sz w:val="26"/>
          <w:szCs w:val="26"/>
        </w:rPr>
        <w:tab/>
        <w:t xml:space="preserve">That the Exceptions filed by </w:t>
      </w:r>
      <w:r w:rsidR="000A2650">
        <w:rPr>
          <w:sz w:val="26"/>
          <w:szCs w:val="26"/>
        </w:rPr>
        <w:t>One Ten Associates, LLC</w:t>
      </w:r>
      <w:r>
        <w:rPr>
          <w:sz w:val="26"/>
          <w:szCs w:val="26"/>
        </w:rPr>
        <w:t xml:space="preserve"> on </w:t>
      </w:r>
      <w:r w:rsidR="000A2650">
        <w:rPr>
          <w:sz w:val="26"/>
          <w:szCs w:val="26"/>
        </w:rPr>
        <w:t>October</w:t>
      </w:r>
      <w:r w:rsidR="009573C0">
        <w:rPr>
          <w:sz w:val="26"/>
          <w:szCs w:val="26"/>
        </w:rPr>
        <w:t> </w:t>
      </w:r>
      <w:r>
        <w:rPr>
          <w:sz w:val="26"/>
          <w:szCs w:val="26"/>
        </w:rPr>
        <w:t>1</w:t>
      </w:r>
      <w:r w:rsidR="000A2650">
        <w:rPr>
          <w:sz w:val="26"/>
          <w:szCs w:val="26"/>
        </w:rPr>
        <w:t>4</w:t>
      </w:r>
      <w:r>
        <w:rPr>
          <w:sz w:val="26"/>
          <w:szCs w:val="26"/>
        </w:rPr>
        <w:t xml:space="preserve">, 2016, to the Initial Decision of Administrative Law Judge </w:t>
      </w:r>
      <w:r w:rsidR="000A2650">
        <w:rPr>
          <w:sz w:val="26"/>
          <w:szCs w:val="26"/>
        </w:rPr>
        <w:t>Steven K. Haas</w:t>
      </w:r>
      <w:r>
        <w:rPr>
          <w:sz w:val="26"/>
          <w:szCs w:val="26"/>
        </w:rPr>
        <w:t xml:space="preserve">, issued on </w:t>
      </w:r>
      <w:r w:rsidR="000A2650">
        <w:rPr>
          <w:sz w:val="26"/>
          <w:szCs w:val="26"/>
        </w:rPr>
        <w:t>September</w:t>
      </w:r>
      <w:r>
        <w:rPr>
          <w:sz w:val="26"/>
          <w:szCs w:val="26"/>
        </w:rPr>
        <w:t xml:space="preserve"> 2</w:t>
      </w:r>
      <w:r w:rsidR="000A2650">
        <w:rPr>
          <w:sz w:val="26"/>
          <w:szCs w:val="26"/>
        </w:rPr>
        <w:t>6</w:t>
      </w:r>
      <w:r>
        <w:rPr>
          <w:sz w:val="26"/>
          <w:szCs w:val="26"/>
        </w:rPr>
        <w:t>, 2016, are denied, consistent with this Opinion and Order.</w:t>
      </w:r>
    </w:p>
    <w:p w:rsidR="00B776E7" w:rsidRDefault="00B776E7" w:rsidP="000A2650">
      <w:pPr>
        <w:jc w:val="left"/>
        <w:rPr>
          <w:sz w:val="26"/>
          <w:szCs w:val="26"/>
        </w:rPr>
      </w:pPr>
    </w:p>
    <w:p w:rsidR="00B776E7" w:rsidRDefault="00B776E7" w:rsidP="000A2650">
      <w:pPr>
        <w:ind w:firstLine="1440"/>
        <w:jc w:val="left"/>
        <w:rPr>
          <w:sz w:val="26"/>
          <w:szCs w:val="26"/>
        </w:rPr>
      </w:pPr>
      <w:r>
        <w:rPr>
          <w:sz w:val="26"/>
          <w:szCs w:val="26"/>
        </w:rPr>
        <w:t>2.</w:t>
      </w:r>
      <w:r>
        <w:rPr>
          <w:sz w:val="26"/>
          <w:szCs w:val="26"/>
        </w:rPr>
        <w:tab/>
        <w:t xml:space="preserve">That the Initial Decision of Administrative Law Judge </w:t>
      </w:r>
      <w:r w:rsidR="000A2650">
        <w:rPr>
          <w:sz w:val="26"/>
          <w:szCs w:val="26"/>
        </w:rPr>
        <w:t>Steven</w:t>
      </w:r>
      <w:r w:rsidR="009573C0">
        <w:rPr>
          <w:sz w:val="26"/>
          <w:szCs w:val="26"/>
        </w:rPr>
        <w:t> </w:t>
      </w:r>
      <w:r w:rsidR="000A2650">
        <w:rPr>
          <w:sz w:val="26"/>
          <w:szCs w:val="26"/>
        </w:rPr>
        <w:t>K.</w:t>
      </w:r>
      <w:r w:rsidR="009573C0">
        <w:rPr>
          <w:sz w:val="26"/>
          <w:szCs w:val="26"/>
        </w:rPr>
        <w:t> </w:t>
      </w:r>
      <w:r w:rsidR="000A2650">
        <w:rPr>
          <w:sz w:val="26"/>
          <w:szCs w:val="26"/>
        </w:rPr>
        <w:t>Haas</w:t>
      </w:r>
      <w:r>
        <w:rPr>
          <w:sz w:val="26"/>
          <w:szCs w:val="26"/>
        </w:rPr>
        <w:t>, issued on</w:t>
      </w:r>
      <w:r w:rsidR="000A2650">
        <w:rPr>
          <w:sz w:val="26"/>
          <w:szCs w:val="26"/>
        </w:rPr>
        <w:t xml:space="preserve"> September</w:t>
      </w:r>
      <w:r>
        <w:rPr>
          <w:sz w:val="26"/>
          <w:szCs w:val="26"/>
        </w:rPr>
        <w:t xml:space="preserve"> 2</w:t>
      </w:r>
      <w:r w:rsidR="000A2650">
        <w:rPr>
          <w:sz w:val="26"/>
          <w:szCs w:val="26"/>
        </w:rPr>
        <w:t>6</w:t>
      </w:r>
      <w:r>
        <w:rPr>
          <w:sz w:val="26"/>
          <w:szCs w:val="26"/>
        </w:rPr>
        <w:t>, 2016, is adopted, consistent with this Opinion and Order.</w:t>
      </w:r>
    </w:p>
    <w:p w:rsidR="00B776E7" w:rsidRDefault="00B776E7" w:rsidP="000A2650">
      <w:pPr>
        <w:ind w:firstLine="1440"/>
        <w:jc w:val="left"/>
        <w:rPr>
          <w:sz w:val="26"/>
          <w:szCs w:val="26"/>
        </w:rPr>
      </w:pPr>
    </w:p>
    <w:p w:rsidR="000A2650" w:rsidRDefault="00B776E7" w:rsidP="000A2650">
      <w:pPr>
        <w:ind w:firstLine="1440"/>
        <w:jc w:val="left"/>
        <w:rPr>
          <w:sz w:val="26"/>
          <w:szCs w:val="26"/>
        </w:rPr>
      </w:pPr>
      <w:r>
        <w:rPr>
          <w:sz w:val="26"/>
          <w:szCs w:val="26"/>
        </w:rPr>
        <w:t>3.</w:t>
      </w:r>
      <w:r>
        <w:rPr>
          <w:sz w:val="26"/>
          <w:szCs w:val="26"/>
        </w:rPr>
        <w:tab/>
        <w:t xml:space="preserve">That the Formal Complaint filed on </w:t>
      </w:r>
      <w:r w:rsidR="000A2650">
        <w:rPr>
          <w:sz w:val="26"/>
          <w:szCs w:val="26"/>
        </w:rPr>
        <w:t>September</w:t>
      </w:r>
      <w:r>
        <w:rPr>
          <w:sz w:val="26"/>
          <w:szCs w:val="26"/>
        </w:rPr>
        <w:t xml:space="preserve"> </w:t>
      </w:r>
      <w:r w:rsidR="000A2650">
        <w:rPr>
          <w:sz w:val="26"/>
          <w:szCs w:val="26"/>
        </w:rPr>
        <w:t>29</w:t>
      </w:r>
      <w:r>
        <w:rPr>
          <w:sz w:val="26"/>
          <w:szCs w:val="26"/>
        </w:rPr>
        <w:t xml:space="preserve">, 2015, by </w:t>
      </w:r>
      <w:r w:rsidR="000A2650">
        <w:rPr>
          <w:sz w:val="26"/>
          <w:szCs w:val="26"/>
        </w:rPr>
        <w:t>One Ten Associates, LLC</w:t>
      </w:r>
      <w:r>
        <w:rPr>
          <w:sz w:val="26"/>
          <w:szCs w:val="26"/>
        </w:rPr>
        <w:t xml:space="preserve"> against </w:t>
      </w:r>
      <w:r w:rsidR="000A2650">
        <w:rPr>
          <w:sz w:val="26"/>
          <w:szCs w:val="26"/>
        </w:rPr>
        <w:t>Duquesne Light Company</w:t>
      </w:r>
      <w:r>
        <w:rPr>
          <w:sz w:val="26"/>
          <w:szCs w:val="26"/>
        </w:rPr>
        <w:t>, is dismissed.</w:t>
      </w:r>
    </w:p>
    <w:p w:rsidR="00815973" w:rsidRDefault="00815973" w:rsidP="000A2650">
      <w:pPr>
        <w:ind w:firstLine="1440"/>
        <w:jc w:val="left"/>
        <w:rPr>
          <w:sz w:val="26"/>
          <w:szCs w:val="26"/>
        </w:rPr>
      </w:pPr>
    </w:p>
    <w:p w:rsidR="000A2650" w:rsidRDefault="00B776E7" w:rsidP="009573C0">
      <w:pPr>
        <w:keepNext/>
        <w:keepLines/>
        <w:ind w:firstLine="1440"/>
        <w:jc w:val="left"/>
        <w:rPr>
          <w:sz w:val="26"/>
          <w:szCs w:val="26"/>
        </w:rPr>
      </w:pPr>
      <w:r>
        <w:rPr>
          <w:sz w:val="26"/>
          <w:szCs w:val="26"/>
        </w:rPr>
        <w:lastRenderedPageBreak/>
        <w:t>4.</w:t>
      </w:r>
      <w:r>
        <w:rPr>
          <w:sz w:val="26"/>
          <w:szCs w:val="26"/>
        </w:rPr>
        <w:tab/>
        <w:t>That the proceeding at this docket be marked closed.</w:t>
      </w:r>
    </w:p>
    <w:p w:rsidR="000A2650" w:rsidRDefault="000A2650" w:rsidP="009573C0">
      <w:pPr>
        <w:keepNext/>
        <w:keepLines/>
        <w:ind w:firstLine="1440"/>
        <w:jc w:val="left"/>
        <w:rPr>
          <w:b/>
          <w:sz w:val="26"/>
          <w:szCs w:val="26"/>
        </w:rPr>
      </w:pPr>
    </w:p>
    <w:p w:rsidR="00B776E7" w:rsidRPr="000D6043" w:rsidRDefault="00B64F0E" w:rsidP="009573C0">
      <w:pPr>
        <w:keepNext/>
        <w:keepLines/>
        <w:spacing w:line="240" w:lineRule="auto"/>
        <w:ind w:left="4320" w:firstLine="1440"/>
        <w:jc w:val="left"/>
        <w:rPr>
          <w:b/>
          <w:sz w:val="26"/>
          <w:szCs w:val="26"/>
        </w:rPr>
      </w:pPr>
      <w:r>
        <w:rPr>
          <w:noProof/>
        </w:rPr>
        <w:drawing>
          <wp:anchor distT="0" distB="0" distL="114300" distR="114300" simplePos="0" relativeHeight="251659264" behindDoc="1" locked="0" layoutInCell="1" allowOverlap="1" wp14:anchorId="586F2552" wp14:editId="3AF79F6B">
            <wp:simplePos x="0" y="0"/>
            <wp:positionH relativeFrom="column">
              <wp:posOffset>3667125</wp:posOffset>
            </wp:positionH>
            <wp:positionV relativeFrom="paragraph">
              <wp:posOffset>142240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6E7" w:rsidRPr="000D6043">
        <w:rPr>
          <w:b/>
          <w:sz w:val="26"/>
          <w:szCs w:val="26"/>
        </w:rPr>
        <w:t>BY THE COMMISSION,</w:t>
      </w:r>
    </w:p>
    <w:p w:rsidR="00B776E7" w:rsidRDefault="00B776E7" w:rsidP="009573C0">
      <w:pPr>
        <w:keepNext/>
        <w:keepLines/>
        <w:spacing w:line="240" w:lineRule="auto"/>
        <w:jc w:val="left"/>
        <w:rPr>
          <w:sz w:val="26"/>
          <w:szCs w:val="26"/>
        </w:rPr>
      </w:pPr>
      <w:bookmarkStart w:id="0" w:name="_GoBack"/>
      <w:bookmarkEnd w:id="0"/>
    </w:p>
    <w:p w:rsidR="00B776E7" w:rsidRDefault="00B776E7" w:rsidP="009573C0">
      <w:pPr>
        <w:keepNext/>
        <w:keepLines/>
        <w:spacing w:line="240" w:lineRule="auto"/>
        <w:jc w:val="left"/>
        <w:rPr>
          <w:sz w:val="26"/>
          <w:szCs w:val="26"/>
        </w:rPr>
      </w:pPr>
    </w:p>
    <w:p w:rsidR="009573C0" w:rsidRDefault="009573C0" w:rsidP="009573C0">
      <w:pPr>
        <w:keepNext/>
        <w:keepLines/>
        <w:spacing w:line="240" w:lineRule="auto"/>
        <w:jc w:val="left"/>
        <w:rPr>
          <w:sz w:val="26"/>
          <w:szCs w:val="26"/>
        </w:rPr>
      </w:pPr>
    </w:p>
    <w:p w:rsidR="009573C0" w:rsidRDefault="009573C0" w:rsidP="009573C0">
      <w:pPr>
        <w:keepNext/>
        <w:keepLines/>
        <w:spacing w:line="240" w:lineRule="auto"/>
        <w:jc w:val="left"/>
        <w:rPr>
          <w:sz w:val="26"/>
          <w:szCs w:val="26"/>
        </w:rPr>
      </w:pPr>
    </w:p>
    <w:p w:rsidR="00B776E7" w:rsidRPr="000D6043" w:rsidRDefault="00B776E7" w:rsidP="009573C0">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B776E7" w:rsidRDefault="00B776E7" w:rsidP="009573C0">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B776E7" w:rsidRDefault="00B776E7" w:rsidP="009573C0">
      <w:pPr>
        <w:keepNext/>
        <w:keepLines/>
        <w:tabs>
          <w:tab w:val="left" w:pos="-720"/>
        </w:tabs>
        <w:suppressAutoHyphens/>
        <w:spacing w:line="240" w:lineRule="auto"/>
        <w:jc w:val="left"/>
        <w:rPr>
          <w:sz w:val="26"/>
          <w:szCs w:val="26"/>
        </w:rPr>
      </w:pPr>
    </w:p>
    <w:p w:rsidR="00B776E7" w:rsidRDefault="00B776E7" w:rsidP="009573C0">
      <w:pPr>
        <w:keepNext/>
        <w:keepLines/>
        <w:tabs>
          <w:tab w:val="left" w:pos="-720"/>
        </w:tabs>
        <w:suppressAutoHyphens/>
        <w:spacing w:line="240" w:lineRule="auto"/>
        <w:jc w:val="left"/>
        <w:rPr>
          <w:sz w:val="26"/>
          <w:szCs w:val="26"/>
        </w:rPr>
      </w:pPr>
    </w:p>
    <w:p w:rsidR="00B776E7" w:rsidRDefault="00B776E7" w:rsidP="009573C0">
      <w:pPr>
        <w:keepNext/>
        <w:keepLines/>
        <w:tabs>
          <w:tab w:val="left" w:pos="-720"/>
        </w:tabs>
        <w:suppressAutoHyphens/>
        <w:spacing w:line="240" w:lineRule="auto"/>
        <w:jc w:val="left"/>
        <w:rPr>
          <w:sz w:val="26"/>
          <w:szCs w:val="26"/>
        </w:rPr>
      </w:pPr>
      <w:r w:rsidRPr="00AD292A">
        <w:rPr>
          <w:sz w:val="26"/>
          <w:szCs w:val="26"/>
        </w:rPr>
        <w:t>(SEAL)</w:t>
      </w:r>
    </w:p>
    <w:p w:rsidR="009573C0" w:rsidRPr="001B2BFB" w:rsidRDefault="009573C0" w:rsidP="009573C0">
      <w:pPr>
        <w:keepNext/>
        <w:keepLines/>
        <w:tabs>
          <w:tab w:val="left" w:pos="-720"/>
        </w:tabs>
        <w:suppressAutoHyphens/>
        <w:spacing w:line="240" w:lineRule="auto"/>
        <w:jc w:val="left"/>
        <w:rPr>
          <w:sz w:val="26"/>
          <w:szCs w:val="26"/>
        </w:rPr>
      </w:pPr>
    </w:p>
    <w:p w:rsidR="00B776E7" w:rsidRDefault="00B776E7" w:rsidP="009573C0">
      <w:pPr>
        <w:keepNext/>
        <w:keepLines/>
        <w:tabs>
          <w:tab w:val="left" w:pos="-720"/>
        </w:tabs>
        <w:suppressAutoHyphens/>
        <w:spacing w:line="240" w:lineRule="auto"/>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815973">
        <w:rPr>
          <w:sz w:val="26"/>
          <w:szCs w:val="26"/>
        </w:rPr>
        <w:t>Febr</w:t>
      </w:r>
      <w:r w:rsidR="005B43BA">
        <w:rPr>
          <w:sz w:val="26"/>
          <w:szCs w:val="26"/>
        </w:rPr>
        <w:t>uary</w:t>
      </w:r>
      <w:r>
        <w:rPr>
          <w:sz w:val="26"/>
          <w:szCs w:val="26"/>
        </w:rPr>
        <w:t xml:space="preserve"> </w:t>
      </w:r>
      <w:r w:rsidR="005B43BA">
        <w:rPr>
          <w:sz w:val="26"/>
          <w:szCs w:val="26"/>
        </w:rPr>
        <w:t>8</w:t>
      </w:r>
      <w:r>
        <w:rPr>
          <w:sz w:val="26"/>
          <w:szCs w:val="26"/>
        </w:rPr>
        <w:t>, 201</w:t>
      </w:r>
      <w:r w:rsidR="005B43BA">
        <w:rPr>
          <w:sz w:val="26"/>
          <w:szCs w:val="26"/>
        </w:rPr>
        <w:t>8</w:t>
      </w:r>
    </w:p>
    <w:p w:rsidR="009573C0" w:rsidRDefault="009573C0" w:rsidP="009573C0">
      <w:pPr>
        <w:keepNext/>
        <w:keepLines/>
        <w:tabs>
          <w:tab w:val="left" w:pos="-720"/>
        </w:tabs>
        <w:suppressAutoHyphens/>
        <w:spacing w:line="240" w:lineRule="auto"/>
        <w:jc w:val="left"/>
        <w:rPr>
          <w:sz w:val="26"/>
          <w:szCs w:val="26"/>
        </w:rPr>
      </w:pPr>
    </w:p>
    <w:p w:rsidR="000544CF" w:rsidRPr="000544CF" w:rsidRDefault="00B776E7" w:rsidP="009573C0">
      <w:pPr>
        <w:keepNext/>
        <w:keepLines/>
        <w:tabs>
          <w:tab w:val="left" w:pos="-720"/>
        </w:tabs>
        <w:suppressAutoHyphens/>
        <w:spacing w:line="240" w:lineRule="auto"/>
        <w:jc w:val="left"/>
        <w:rPr>
          <w:sz w:val="26"/>
          <w:szCs w:val="26"/>
        </w:rPr>
      </w:pPr>
      <w:r w:rsidRPr="00507493">
        <w:rPr>
          <w:sz w:val="26"/>
          <w:szCs w:val="26"/>
        </w:rPr>
        <w:t xml:space="preserve">ORDER ENTERED: </w:t>
      </w:r>
      <w:r>
        <w:rPr>
          <w:sz w:val="26"/>
          <w:szCs w:val="26"/>
        </w:rPr>
        <w:t xml:space="preserve"> </w:t>
      </w:r>
      <w:r w:rsidR="00B64F0E">
        <w:rPr>
          <w:sz w:val="26"/>
          <w:szCs w:val="26"/>
        </w:rPr>
        <w:t>February 8, 2018</w:t>
      </w:r>
    </w:p>
    <w:sectPr w:rsidR="000544CF" w:rsidRPr="000544CF" w:rsidSect="00181C10">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96D" w:rsidRDefault="0013696D" w:rsidP="00181C10">
      <w:pPr>
        <w:spacing w:line="240" w:lineRule="auto"/>
      </w:pPr>
      <w:r>
        <w:separator/>
      </w:r>
    </w:p>
  </w:endnote>
  <w:endnote w:type="continuationSeparator" w:id="0">
    <w:p w:rsidR="0013696D" w:rsidRDefault="0013696D"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rsidR="00590162" w:rsidRDefault="00590162">
        <w:pPr>
          <w:pStyle w:val="Footer"/>
        </w:pPr>
        <w:r>
          <w:fldChar w:fldCharType="begin"/>
        </w:r>
        <w:r>
          <w:instrText xml:space="preserve"> PAGE   \* MERGEFORMAT </w:instrText>
        </w:r>
        <w:r>
          <w:fldChar w:fldCharType="separate"/>
        </w:r>
        <w:r w:rsidR="00B64F0E">
          <w:rPr>
            <w:noProof/>
          </w:rPr>
          <w:t>18</w:t>
        </w:r>
        <w:r>
          <w:rPr>
            <w:noProof/>
          </w:rPr>
          <w:fldChar w:fldCharType="end"/>
        </w:r>
      </w:p>
    </w:sdtContent>
  </w:sdt>
  <w:p w:rsidR="00590162" w:rsidRDefault="0059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96D" w:rsidRDefault="0013696D" w:rsidP="00E0520F">
      <w:pPr>
        <w:spacing w:line="240" w:lineRule="auto"/>
        <w:ind w:firstLine="0"/>
        <w:jc w:val="left"/>
      </w:pPr>
      <w:r>
        <w:separator/>
      </w:r>
    </w:p>
  </w:footnote>
  <w:footnote w:type="continuationSeparator" w:id="0">
    <w:p w:rsidR="0013696D" w:rsidRDefault="0013696D" w:rsidP="00181C10">
      <w:pPr>
        <w:spacing w:line="240" w:lineRule="auto"/>
      </w:pPr>
      <w:r>
        <w:continuationSeparator/>
      </w:r>
    </w:p>
  </w:footnote>
  <w:footnote w:id="1">
    <w:p w:rsidR="005C6092" w:rsidRPr="000A3ED6" w:rsidRDefault="005C6092" w:rsidP="00E0520F">
      <w:pPr>
        <w:pStyle w:val="FootnoteText"/>
        <w:keepNext/>
        <w:keepLines/>
        <w:jc w:val="left"/>
      </w:pPr>
      <w:r>
        <w:rPr>
          <w:rStyle w:val="FootnoteReference"/>
        </w:rPr>
        <w:footnoteRef/>
      </w:r>
      <w:r>
        <w:tab/>
      </w:r>
      <w:r w:rsidRPr="00442763">
        <w:rPr>
          <w:sz w:val="26"/>
          <w:szCs w:val="26"/>
        </w:rPr>
        <w:t xml:space="preserve">One Ten notes that three meters are associated with the service property, but the third meter </w:t>
      </w:r>
      <w:r>
        <w:rPr>
          <w:sz w:val="26"/>
          <w:szCs w:val="26"/>
        </w:rPr>
        <w:t>has</w:t>
      </w:r>
      <w:r w:rsidRPr="00442763">
        <w:rPr>
          <w:sz w:val="26"/>
          <w:szCs w:val="26"/>
        </w:rPr>
        <w:t xml:space="preserve"> not register</w:t>
      </w:r>
      <w:r>
        <w:rPr>
          <w:sz w:val="26"/>
          <w:szCs w:val="26"/>
        </w:rPr>
        <w:t>ed</w:t>
      </w:r>
      <w:r w:rsidRPr="00442763">
        <w:rPr>
          <w:sz w:val="26"/>
          <w:szCs w:val="26"/>
        </w:rPr>
        <w:t xml:space="preserve"> any consumption</w:t>
      </w:r>
      <w:r>
        <w:rPr>
          <w:sz w:val="26"/>
          <w:szCs w:val="26"/>
        </w:rPr>
        <w:t xml:space="preserve"> since December of 2014</w:t>
      </w:r>
      <w:r w:rsidRPr="00442763">
        <w:rPr>
          <w:sz w:val="26"/>
          <w:szCs w:val="26"/>
        </w:rPr>
        <w:t>.</w:t>
      </w:r>
      <w:r>
        <w:rPr>
          <w:sz w:val="26"/>
          <w:szCs w:val="26"/>
        </w:rPr>
        <w:t xml:space="preserve">  </w:t>
      </w:r>
      <w:r>
        <w:rPr>
          <w:i/>
          <w:sz w:val="26"/>
          <w:szCs w:val="26"/>
        </w:rPr>
        <w:t>See</w:t>
      </w:r>
      <w:r>
        <w:rPr>
          <w:sz w:val="26"/>
          <w:szCs w:val="26"/>
        </w:rPr>
        <w:t xml:space="preserve"> One Ten M.B. at 3, citing Duquesne Answer.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3A"/>
    <w:rsid w:val="00001CD3"/>
    <w:rsid w:val="00005B07"/>
    <w:rsid w:val="000537F4"/>
    <w:rsid w:val="000544CF"/>
    <w:rsid w:val="00060C3A"/>
    <w:rsid w:val="00064B5B"/>
    <w:rsid w:val="00090342"/>
    <w:rsid w:val="000A2650"/>
    <w:rsid w:val="000A3ED6"/>
    <w:rsid w:val="000C734A"/>
    <w:rsid w:val="00104F93"/>
    <w:rsid w:val="00124C49"/>
    <w:rsid w:val="00136811"/>
    <w:rsid w:val="0013696D"/>
    <w:rsid w:val="00137AB2"/>
    <w:rsid w:val="00137C8F"/>
    <w:rsid w:val="00181C10"/>
    <w:rsid w:val="001821BC"/>
    <w:rsid w:val="001C2ED3"/>
    <w:rsid w:val="001D541C"/>
    <w:rsid w:val="001D698E"/>
    <w:rsid w:val="001F2D58"/>
    <w:rsid w:val="00205C67"/>
    <w:rsid w:val="00247EAC"/>
    <w:rsid w:val="00250E79"/>
    <w:rsid w:val="002769E5"/>
    <w:rsid w:val="00286FD1"/>
    <w:rsid w:val="002B7EBA"/>
    <w:rsid w:val="002D251D"/>
    <w:rsid w:val="002E03FB"/>
    <w:rsid w:val="002E2FF7"/>
    <w:rsid w:val="00345330"/>
    <w:rsid w:val="003806D2"/>
    <w:rsid w:val="003A305E"/>
    <w:rsid w:val="003B68C2"/>
    <w:rsid w:val="003C58D6"/>
    <w:rsid w:val="003C6B93"/>
    <w:rsid w:val="003C7869"/>
    <w:rsid w:val="003D6FC9"/>
    <w:rsid w:val="003D78CD"/>
    <w:rsid w:val="003E3481"/>
    <w:rsid w:val="003E527A"/>
    <w:rsid w:val="003F2108"/>
    <w:rsid w:val="003F3876"/>
    <w:rsid w:val="00404695"/>
    <w:rsid w:val="00434C01"/>
    <w:rsid w:val="00436688"/>
    <w:rsid w:val="00462357"/>
    <w:rsid w:val="0047256F"/>
    <w:rsid w:val="004A44D1"/>
    <w:rsid w:val="004B0779"/>
    <w:rsid w:val="004B171F"/>
    <w:rsid w:val="004B24A1"/>
    <w:rsid w:val="004B5117"/>
    <w:rsid w:val="004C0C3A"/>
    <w:rsid w:val="005671E6"/>
    <w:rsid w:val="0057189A"/>
    <w:rsid w:val="00590162"/>
    <w:rsid w:val="005B0B7B"/>
    <w:rsid w:val="005B3F8B"/>
    <w:rsid w:val="005B43BA"/>
    <w:rsid w:val="005C041B"/>
    <w:rsid w:val="005C3713"/>
    <w:rsid w:val="005C6092"/>
    <w:rsid w:val="005D3456"/>
    <w:rsid w:val="005D7D0D"/>
    <w:rsid w:val="005E0012"/>
    <w:rsid w:val="005E7403"/>
    <w:rsid w:val="005F2F01"/>
    <w:rsid w:val="00604522"/>
    <w:rsid w:val="006101F6"/>
    <w:rsid w:val="00621755"/>
    <w:rsid w:val="006701AA"/>
    <w:rsid w:val="00673AD1"/>
    <w:rsid w:val="006917A2"/>
    <w:rsid w:val="006F1468"/>
    <w:rsid w:val="006F454B"/>
    <w:rsid w:val="007032B0"/>
    <w:rsid w:val="00712CF9"/>
    <w:rsid w:val="00712F91"/>
    <w:rsid w:val="007163D4"/>
    <w:rsid w:val="00722546"/>
    <w:rsid w:val="0075548F"/>
    <w:rsid w:val="0077091B"/>
    <w:rsid w:val="0078288F"/>
    <w:rsid w:val="00786714"/>
    <w:rsid w:val="007A5795"/>
    <w:rsid w:val="008120E5"/>
    <w:rsid w:val="00815973"/>
    <w:rsid w:val="008242A5"/>
    <w:rsid w:val="00854CD7"/>
    <w:rsid w:val="00875128"/>
    <w:rsid w:val="0088484F"/>
    <w:rsid w:val="008A247A"/>
    <w:rsid w:val="008A2651"/>
    <w:rsid w:val="008B5AAA"/>
    <w:rsid w:val="008D01EE"/>
    <w:rsid w:val="008D4612"/>
    <w:rsid w:val="008E50DE"/>
    <w:rsid w:val="009377BD"/>
    <w:rsid w:val="00946BBA"/>
    <w:rsid w:val="009573C0"/>
    <w:rsid w:val="0097291A"/>
    <w:rsid w:val="009926EB"/>
    <w:rsid w:val="009A0F2F"/>
    <w:rsid w:val="009B3959"/>
    <w:rsid w:val="009C18C5"/>
    <w:rsid w:val="009C3C42"/>
    <w:rsid w:val="009D2BFE"/>
    <w:rsid w:val="009F3CA9"/>
    <w:rsid w:val="00A11E3C"/>
    <w:rsid w:val="00A60CA9"/>
    <w:rsid w:val="00A63DE8"/>
    <w:rsid w:val="00A73A65"/>
    <w:rsid w:val="00A805E3"/>
    <w:rsid w:val="00A92891"/>
    <w:rsid w:val="00A92FE3"/>
    <w:rsid w:val="00AA5F56"/>
    <w:rsid w:val="00AA6B7C"/>
    <w:rsid w:val="00AC2E04"/>
    <w:rsid w:val="00AD2A0D"/>
    <w:rsid w:val="00B14EF6"/>
    <w:rsid w:val="00B17A1A"/>
    <w:rsid w:val="00B265D7"/>
    <w:rsid w:val="00B27449"/>
    <w:rsid w:val="00B34BEE"/>
    <w:rsid w:val="00B4613A"/>
    <w:rsid w:val="00B471E4"/>
    <w:rsid w:val="00B513AF"/>
    <w:rsid w:val="00B64F0E"/>
    <w:rsid w:val="00B662FF"/>
    <w:rsid w:val="00B776E7"/>
    <w:rsid w:val="00BA6A74"/>
    <w:rsid w:val="00BB0A6E"/>
    <w:rsid w:val="00BB3846"/>
    <w:rsid w:val="00BB5ED3"/>
    <w:rsid w:val="00BB7E2A"/>
    <w:rsid w:val="00BD21D2"/>
    <w:rsid w:val="00BD39A6"/>
    <w:rsid w:val="00BF3EBC"/>
    <w:rsid w:val="00C110F6"/>
    <w:rsid w:val="00C676D4"/>
    <w:rsid w:val="00C84813"/>
    <w:rsid w:val="00C931D8"/>
    <w:rsid w:val="00CB0217"/>
    <w:rsid w:val="00CD3AC9"/>
    <w:rsid w:val="00D00E4C"/>
    <w:rsid w:val="00D044E2"/>
    <w:rsid w:val="00D07E78"/>
    <w:rsid w:val="00D25AD2"/>
    <w:rsid w:val="00D46080"/>
    <w:rsid w:val="00D66AEE"/>
    <w:rsid w:val="00D94EF2"/>
    <w:rsid w:val="00DC7EF7"/>
    <w:rsid w:val="00E0520F"/>
    <w:rsid w:val="00E436FB"/>
    <w:rsid w:val="00E4459F"/>
    <w:rsid w:val="00E469F2"/>
    <w:rsid w:val="00ED35F9"/>
    <w:rsid w:val="00F06D90"/>
    <w:rsid w:val="00F07EBD"/>
    <w:rsid w:val="00F23CA7"/>
    <w:rsid w:val="00F40EA5"/>
    <w:rsid w:val="00F44A79"/>
    <w:rsid w:val="00F47463"/>
    <w:rsid w:val="00F957B4"/>
    <w:rsid w:val="00FA6932"/>
    <w:rsid w:val="00FB110C"/>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0E43ADF6"/>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0A3ED6"/>
    <w:pPr>
      <w:spacing w:line="240" w:lineRule="auto"/>
    </w:pPr>
    <w:rPr>
      <w:sz w:val="20"/>
      <w:szCs w:val="20"/>
    </w:rPr>
  </w:style>
  <w:style w:type="character" w:customStyle="1" w:styleId="EndnoteTextChar">
    <w:name w:val="Endnote Text Char"/>
    <w:basedOn w:val="DefaultParagraphFont"/>
    <w:link w:val="EndnoteText"/>
    <w:uiPriority w:val="99"/>
    <w:semiHidden/>
    <w:rsid w:val="000A3ED6"/>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0A3ED6"/>
    <w:rPr>
      <w:vertAlign w:val="superscript"/>
    </w:rPr>
  </w:style>
  <w:style w:type="paragraph" w:styleId="FootnoteText">
    <w:name w:val="footnote text"/>
    <w:basedOn w:val="Normal"/>
    <w:link w:val="FootnoteTextChar"/>
    <w:uiPriority w:val="99"/>
    <w:semiHidden/>
    <w:unhideWhenUsed/>
    <w:rsid w:val="000A3ED6"/>
    <w:pPr>
      <w:spacing w:line="240" w:lineRule="auto"/>
    </w:pPr>
    <w:rPr>
      <w:sz w:val="20"/>
      <w:szCs w:val="20"/>
    </w:rPr>
  </w:style>
  <w:style w:type="character" w:customStyle="1" w:styleId="FootnoteTextChar">
    <w:name w:val="Footnote Text Char"/>
    <w:basedOn w:val="DefaultParagraphFont"/>
    <w:link w:val="FootnoteText"/>
    <w:uiPriority w:val="99"/>
    <w:semiHidden/>
    <w:rsid w:val="000A3ED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A3ED6"/>
    <w:rPr>
      <w:vertAlign w:val="superscript"/>
    </w:rPr>
  </w:style>
  <w:style w:type="paragraph" w:styleId="BalloonText">
    <w:name w:val="Balloon Text"/>
    <w:basedOn w:val="Normal"/>
    <w:link w:val="BalloonTextChar"/>
    <w:uiPriority w:val="99"/>
    <w:semiHidden/>
    <w:unhideWhenUsed/>
    <w:rsid w:val="001F2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d9ffc78cb910bb16ae240234ee3e597a&amp;_xfercite=%3ccite%20cc%3d%22USA%22%3e%3c%21%5bCDATA%5b694%20A.2d%201147%5d%5d%3e%3c%2fcite%3e&amp;_butType=3&amp;_butStat=2&amp;_butNum=22&amp;_butInline=1&amp;_butinfo=%3ccite%20cc%3d%22USA%22%3e%3c%21%5bCDATA%5b437%20A.2d%201067%2c%201070%5d%5d%3e%3c%2fcite%3e&amp;_fmtstr=FULL&amp;docnum=4&amp;_startdoc=1&amp;wchp=dGLbVzt-zSkAz&amp;_md5=36b5e21d9227630f79a9aa3f79de42b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9DE2-EF06-4665-ADEC-5A4959A1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2018-01-26T02:06:00Z</cp:lastPrinted>
  <dcterms:created xsi:type="dcterms:W3CDTF">2018-01-29T21:10:00Z</dcterms:created>
  <dcterms:modified xsi:type="dcterms:W3CDTF">2018-02-08T15:43:00Z</dcterms:modified>
</cp:coreProperties>
</file>