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404" w:rsidRPr="00321FE6" w:rsidRDefault="00A77404" w:rsidP="00A77404">
      <w:pPr>
        <w:tabs>
          <w:tab w:val="left" w:pos="0"/>
        </w:tabs>
        <w:spacing w:line="233" w:lineRule="auto"/>
        <w:jc w:val="center"/>
        <w:rPr>
          <w:rFonts w:eastAsia="Times New Roman"/>
          <w:b/>
        </w:rPr>
      </w:pPr>
      <w:bookmarkStart w:id="0" w:name="_Hlk505846206"/>
      <w:r w:rsidRPr="00321FE6">
        <w:rPr>
          <w:rFonts w:eastAsia="Times New Roman"/>
          <w:b/>
        </w:rPr>
        <w:t>BEFORE THE</w:t>
      </w:r>
    </w:p>
    <w:p w:rsidR="00A77404" w:rsidRPr="00321FE6" w:rsidRDefault="00A77404" w:rsidP="00A77404">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321FE6">
            <w:rPr>
              <w:rFonts w:eastAsia="Times New Roman"/>
              <w:b/>
            </w:rPr>
            <w:t>PENNSYLVANIA</w:t>
          </w:r>
        </w:smartTag>
      </w:smartTag>
      <w:r w:rsidRPr="00321FE6">
        <w:rPr>
          <w:rFonts w:eastAsia="Times New Roman"/>
          <w:b/>
        </w:rPr>
        <w:t xml:space="preserve"> PUBLIC UTILITY COMMISSION</w:t>
      </w:r>
    </w:p>
    <w:p w:rsidR="00A77404" w:rsidRPr="00321FE6" w:rsidRDefault="00A77404" w:rsidP="00A77404">
      <w:pPr>
        <w:tabs>
          <w:tab w:val="left" w:pos="0"/>
        </w:tabs>
        <w:spacing w:line="240" w:lineRule="auto"/>
        <w:jc w:val="both"/>
        <w:rPr>
          <w:rFonts w:eastAsia="Times New Roman"/>
          <w:b/>
        </w:rPr>
      </w:pPr>
    </w:p>
    <w:p w:rsidR="00A77404" w:rsidRPr="00321FE6" w:rsidRDefault="00A77404" w:rsidP="00A77404">
      <w:pPr>
        <w:tabs>
          <w:tab w:val="left" w:pos="0"/>
        </w:tabs>
        <w:spacing w:line="240" w:lineRule="auto"/>
        <w:jc w:val="both"/>
        <w:rPr>
          <w:rFonts w:eastAsia="Times New Roman"/>
          <w:b/>
        </w:rPr>
      </w:pPr>
    </w:p>
    <w:p w:rsidR="00A77404" w:rsidRPr="00321FE6" w:rsidRDefault="00A77404" w:rsidP="00A77404">
      <w:pPr>
        <w:tabs>
          <w:tab w:val="left" w:pos="0"/>
        </w:tabs>
        <w:spacing w:line="240" w:lineRule="auto"/>
        <w:jc w:val="both"/>
        <w:rPr>
          <w:rFonts w:eastAsia="Times New Roman"/>
          <w:b/>
        </w:rPr>
      </w:pPr>
    </w:p>
    <w:p w:rsidR="00A77404" w:rsidRPr="00321FE6" w:rsidRDefault="00A77404" w:rsidP="00A77404">
      <w:pPr>
        <w:tabs>
          <w:tab w:val="left" w:pos="0"/>
        </w:tabs>
        <w:spacing w:line="240" w:lineRule="auto"/>
        <w:jc w:val="both"/>
        <w:rPr>
          <w:rFonts w:eastAsia="Times New Roman"/>
          <w:b/>
        </w:rPr>
      </w:pPr>
      <w:r>
        <w:t>Jack Mowry</w:t>
      </w:r>
      <w:r>
        <w:tab/>
      </w:r>
      <w:r w:rsidRPr="00321FE6">
        <w:rPr>
          <w:rFonts w:eastAsia="Times New Roman"/>
        </w:rPr>
        <w:tab/>
      </w:r>
      <w:r>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A77404" w:rsidRPr="00321FE6" w:rsidRDefault="00A77404" w:rsidP="00A77404">
      <w:pPr>
        <w:tabs>
          <w:tab w:val="left" w:pos="0"/>
        </w:tabs>
        <w:spacing w:line="240" w:lineRule="auto"/>
        <w:jc w:val="both"/>
        <w:rPr>
          <w:rFonts w:eastAsia="Times New Roman"/>
        </w:rPr>
      </w:pP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b/>
        </w:rPr>
        <w:tab/>
      </w:r>
      <w:r w:rsidRPr="00321FE6">
        <w:rPr>
          <w:rFonts w:eastAsia="Times New Roman"/>
        </w:rPr>
        <w:t>:</w:t>
      </w:r>
    </w:p>
    <w:p w:rsidR="00A77404" w:rsidRPr="00321FE6" w:rsidRDefault="00A77404" w:rsidP="00A77404">
      <w:pPr>
        <w:tabs>
          <w:tab w:val="left" w:pos="0"/>
        </w:tabs>
        <w:spacing w:line="240" w:lineRule="auto"/>
        <w:jc w:val="both"/>
        <w:rPr>
          <w:rFonts w:eastAsia="Times New Roman"/>
        </w:rPr>
      </w:pPr>
      <w:r w:rsidRPr="00321FE6">
        <w:rPr>
          <w:rFonts w:eastAsia="Times New Roman"/>
        </w:rPr>
        <w:tab/>
        <w:t>v.</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r w:rsidRPr="00321FE6">
        <w:rPr>
          <w:rFonts w:eastAsia="Times New Roman"/>
          <w:b/>
        </w:rPr>
        <w:tab/>
      </w:r>
      <w:r w:rsidRPr="00321FE6">
        <w:rPr>
          <w:rFonts w:eastAsia="Times New Roman"/>
          <w:b/>
        </w:rPr>
        <w:tab/>
      </w:r>
      <w:r w:rsidRPr="00A77404">
        <w:rPr>
          <w:rFonts w:eastAsia="Times New Roman"/>
        </w:rPr>
        <w:t>C-2017-2634646</w:t>
      </w:r>
    </w:p>
    <w:p w:rsidR="00A77404" w:rsidRPr="00321FE6" w:rsidRDefault="00A77404" w:rsidP="00A77404">
      <w:pPr>
        <w:tabs>
          <w:tab w:val="left" w:pos="0"/>
        </w:tabs>
        <w:spacing w:line="240" w:lineRule="auto"/>
        <w:jc w:val="both"/>
        <w:rPr>
          <w:rFonts w:eastAsia="Times New Roman"/>
        </w:rPr>
      </w:pP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A77404" w:rsidRPr="00321FE6" w:rsidRDefault="00A77404" w:rsidP="00A77404">
      <w:pPr>
        <w:tabs>
          <w:tab w:val="left" w:pos="0"/>
        </w:tabs>
        <w:spacing w:line="240" w:lineRule="auto"/>
        <w:jc w:val="both"/>
        <w:rPr>
          <w:rFonts w:eastAsia="Times New Roman"/>
        </w:rPr>
      </w:pPr>
      <w:r w:rsidRPr="00321FE6">
        <w:rPr>
          <w:rFonts w:eastAsia="Times New Roman"/>
        </w:rPr>
        <w:t>West Penn Power Company</w:t>
      </w:r>
      <w:r w:rsidRPr="00321FE6">
        <w:rPr>
          <w:rFonts w:eastAsia="Times New Roman"/>
        </w:rPr>
        <w:tab/>
      </w:r>
      <w:r w:rsidRPr="00321FE6">
        <w:rPr>
          <w:rFonts w:eastAsia="Times New Roman"/>
        </w:rPr>
        <w:tab/>
      </w:r>
      <w:r w:rsidRPr="00321FE6">
        <w:rPr>
          <w:rFonts w:eastAsia="Times New Roman"/>
        </w:rPr>
        <w:tab/>
      </w:r>
      <w:r w:rsidRPr="00321FE6">
        <w:rPr>
          <w:rFonts w:eastAsia="Times New Roman"/>
        </w:rPr>
        <w:tab/>
        <w:t>:</w:t>
      </w:r>
    </w:p>
    <w:p w:rsidR="00A77404" w:rsidRDefault="00A77404" w:rsidP="00A77404">
      <w:pPr>
        <w:spacing w:line="240" w:lineRule="auto"/>
      </w:pPr>
    </w:p>
    <w:p w:rsidR="00A77404" w:rsidRDefault="00A77404" w:rsidP="00A77404">
      <w:pPr>
        <w:spacing w:line="240" w:lineRule="auto"/>
      </w:pPr>
    </w:p>
    <w:p w:rsidR="00A77404" w:rsidRDefault="00A77404" w:rsidP="00A77404">
      <w:pPr>
        <w:spacing w:line="240" w:lineRule="auto"/>
      </w:pPr>
    </w:p>
    <w:p w:rsidR="00A77404" w:rsidRDefault="00A77404" w:rsidP="00A77404">
      <w:pPr>
        <w:spacing w:line="240" w:lineRule="auto"/>
        <w:jc w:val="center"/>
        <w:rPr>
          <w:b/>
        </w:rPr>
      </w:pPr>
      <w:r w:rsidRPr="00574909">
        <w:rPr>
          <w:b/>
        </w:rPr>
        <w:t>INTERIM ORDER</w:t>
      </w:r>
      <w:r>
        <w:rPr>
          <w:b/>
        </w:rPr>
        <w:t xml:space="preserve"> ON</w:t>
      </w:r>
    </w:p>
    <w:p w:rsidR="00A77404" w:rsidRPr="00574909" w:rsidRDefault="00A77404" w:rsidP="00A77404">
      <w:pPr>
        <w:spacing w:line="240" w:lineRule="auto"/>
        <w:jc w:val="center"/>
        <w:rPr>
          <w:b/>
        </w:rPr>
      </w:pPr>
      <w:r>
        <w:rPr>
          <w:b/>
        </w:rPr>
        <w:t>PRELIMINARY OBJECTIONS AND</w:t>
      </w:r>
    </w:p>
    <w:p w:rsidR="00574909" w:rsidRPr="00574909" w:rsidRDefault="00A77404" w:rsidP="00A77404">
      <w:pPr>
        <w:spacing w:line="240" w:lineRule="auto"/>
        <w:jc w:val="center"/>
        <w:rPr>
          <w:b/>
          <w:u w:val="single"/>
        </w:rPr>
      </w:pPr>
      <w:r w:rsidRPr="00574909">
        <w:rPr>
          <w:b/>
          <w:u w:val="single"/>
        </w:rPr>
        <w:t>REFERRING PROCEEDING TO MEDIATION REVIEW</w:t>
      </w:r>
    </w:p>
    <w:bookmarkEnd w:id="0"/>
    <w:p w:rsidR="00AE4DE9" w:rsidRDefault="00AE4DE9"/>
    <w:p w:rsidR="00AE4DE9" w:rsidRDefault="00AE4DE9">
      <w:r>
        <w:tab/>
      </w:r>
      <w:r w:rsidR="00735722">
        <w:tab/>
      </w:r>
      <w:r>
        <w:t xml:space="preserve">On November 13, 2017, </w:t>
      </w:r>
      <w:r w:rsidR="008D7657">
        <w:t>Jack Mowry</w:t>
      </w:r>
      <w:r>
        <w:t xml:space="preserve"> (Complainant) filed a formal complaint against West Penn Power Company</w:t>
      </w:r>
      <w:r w:rsidR="000533CE">
        <w:t xml:space="preserve"> (West Penn)</w:t>
      </w:r>
      <w:r>
        <w:t xml:space="preserve">.  The Complainant alleges that a power surge occurred on September 11, 2017, and damaged appliances.  As </w:t>
      </w:r>
      <w:r w:rsidR="001E08D8">
        <w:t>relief,</w:t>
      </w:r>
      <w:r>
        <w:t xml:space="preserve"> the Complainant </w:t>
      </w:r>
      <w:proofErr w:type="gramStart"/>
      <w:r>
        <w:t>requests</w:t>
      </w:r>
      <w:proofErr w:type="gramEnd"/>
      <w:r>
        <w:t xml:space="preserve"> West Penn reimburse him for the damaged appliances.</w:t>
      </w:r>
    </w:p>
    <w:p w:rsidR="00AE4DE9" w:rsidRDefault="00AE4DE9"/>
    <w:p w:rsidR="00A536BA" w:rsidRDefault="00AE4DE9" w:rsidP="004B0E40">
      <w:r>
        <w:tab/>
      </w:r>
      <w:r w:rsidR="004B0E40">
        <w:tab/>
      </w:r>
      <w:r>
        <w:t xml:space="preserve">West Penn filed an answer on December </w:t>
      </w:r>
      <w:r w:rsidR="008D7657">
        <w:t>11</w:t>
      </w:r>
      <w:r>
        <w:t>, 2017.  West Penn admits that an outage occurred on September 11, 2017, but denies the complaint in all other material respects.  West Penn also filed prel</w:t>
      </w:r>
      <w:r w:rsidR="008D7657">
        <w:t>iminary objections on December 11</w:t>
      </w:r>
      <w:r>
        <w:t>, 2017, which included a notice to plead.  The basis for the preliminary objections is that the Commission does not have jurisdiction to award monetary damages, therefore the complaint should be dismissed</w:t>
      </w:r>
      <w:r w:rsidR="00F93BB5">
        <w:t>.</w:t>
      </w:r>
      <w:r w:rsidR="004B0E40">
        <w:t xml:space="preserve"> </w:t>
      </w:r>
      <w:r w:rsidR="00A536BA">
        <w:t xml:space="preserve">  The Complainant did not file a response to the preliminary objection</w:t>
      </w:r>
      <w:bookmarkStart w:id="1" w:name="_Hlk505609875"/>
      <w:r w:rsidR="00A536BA">
        <w:t>.</w:t>
      </w:r>
      <w:r w:rsidR="00ED5A03">
        <w:rPr>
          <w:rStyle w:val="FootnoteReference"/>
        </w:rPr>
        <w:footnoteReference w:id="1"/>
      </w:r>
      <w:bookmarkEnd w:id="1"/>
    </w:p>
    <w:p w:rsidR="00A536BA" w:rsidRDefault="00A536BA" w:rsidP="004B0E40">
      <w:bookmarkStart w:id="2" w:name="_Hlk505846389"/>
    </w:p>
    <w:p w:rsidR="00AF55AF" w:rsidRDefault="00433857" w:rsidP="00574909">
      <w:pPr>
        <w:rPr>
          <w:szCs w:val="24"/>
        </w:rPr>
      </w:pPr>
      <w:bookmarkStart w:id="3" w:name="_Hlk505846268"/>
      <w:r>
        <w:rPr>
          <w:szCs w:val="24"/>
        </w:rPr>
        <w:tab/>
      </w:r>
      <w:r>
        <w:rPr>
          <w:szCs w:val="24"/>
        </w:rPr>
        <w:tab/>
        <w:t xml:space="preserve">This complaint is one of many which involve an outage on West Penn’s facilities on September 11, 2017.  Some of the complaints include more details than others.  Several also raise reliability concerns beyond the September 11, 2017 outage and others raise concerns </w:t>
      </w:r>
    </w:p>
    <w:p w:rsidR="00AF55AF" w:rsidRDefault="00AF55AF" w:rsidP="00574909">
      <w:pPr>
        <w:rPr>
          <w:szCs w:val="24"/>
        </w:rPr>
      </w:pPr>
    </w:p>
    <w:p w:rsidR="00AF55AF" w:rsidRDefault="00AF55AF" w:rsidP="00574909">
      <w:pPr>
        <w:rPr>
          <w:szCs w:val="24"/>
        </w:rPr>
      </w:pPr>
    </w:p>
    <w:p w:rsidR="00433857" w:rsidRDefault="00433857" w:rsidP="00574909">
      <w:pPr>
        <w:rPr>
          <w:szCs w:val="24"/>
        </w:rPr>
      </w:pPr>
      <w:r>
        <w:rPr>
          <w:szCs w:val="24"/>
        </w:rPr>
        <w:lastRenderedPageBreak/>
        <w:t>regarding the customer service provided by West Penn in response to the outage.  All of the complainants are self-represented.  The Commission has recognized that:</w:t>
      </w:r>
    </w:p>
    <w:p w:rsidR="00433857" w:rsidRDefault="00433857" w:rsidP="00574909">
      <w:pPr>
        <w:rPr>
          <w:szCs w:val="24"/>
        </w:rPr>
      </w:pPr>
    </w:p>
    <w:p w:rsidR="00433857" w:rsidRDefault="00433857" w:rsidP="00433857">
      <w:pPr>
        <w:spacing w:line="240" w:lineRule="auto"/>
        <w:ind w:left="1440" w:right="2160"/>
      </w:pPr>
      <w:r w:rsidRPr="00F10BCC">
        <w:t xml:space="preserve">in the normal course, we would not dismiss a </w:t>
      </w:r>
      <w:r w:rsidRPr="00F10BCC">
        <w:rPr>
          <w:i/>
        </w:rPr>
        <w:t>pro se</w:t>
      </w:r>
      <w:r w:rsidRPr="00F10BCC">
        <w:t xml:space="preserve"> complaint without first providing a hearing during which </w:t>
      </w:r>
      <w:r w:rsidRPr="00F10BCC">
        <w:rPr>
          <w:i/>
        </w:rPr>
        <w:t>pro se</w:t>
      </w:r>
      <w:r w:rsidRPr="00F10BCC">
        <w:t xml:space="preserve"> complainants could further explain their position and the factual basis for their complaint.  The concern was expressed that, in general, </w:t>
      </w:r>
      <w:r w:rsidRPr="00F10BCC">
        <w:rPr>
          <w:i/>
        </w:rPr>
        <w:t>pro se</w:t>
      </w:r>
      <w:r w:rsidRPr="00F10BCC">
        <w:t xml:space="preserve"> complainants may find it difficult to navigate through pre-hearing motions and should be given the chance to orally describe their basic issue and supporting facts.</w:t>
      </w:r>
      <w:r w:rsidR="007074A5">
        <w:rPr>
          <w:rStyle w:val="FootnoteReference"/>
        </w:rPr>
        <w:footnoteReference w:id="2"/>
      </w:r>
      <w:r w:rsidRPr="00F10BCC">
        <w:t xml:space="preserve">  </w:t>
      </w:r>
    </w:p>
    <w:p w:rsidR="007074A5" w:rsidRDefault="007074A5" w:rsidP="00433857">
      <w:pPr>
        <w:spacing w:line="240" w:lineRule="auto"/>
        <w:ind w:left="1440" w:right="2160"/>
      </w:pPr>
    </w:p>
    <w:p w:rsidR="00127E0D" w:rsidRPr="005B379F" w:rsidRDefault="00127E0D" w:rsidP="00433857">
      <w:pPr>
        <w:spacing w:line="240" w:lineRule="auto"/>
        <w:ind w:left="1440" w:right="2160"/>
        <w:rPr>
          <w:szCs w:val="24"/>
        </w:rPr>
      </w:pPr>
    </w:p>
    <w:p w:rsidR="00127E0D" w:rsidRDefault="00574909" w:rsidP="00574909">
      <w:pPr>
        <w:rPr>
          <w:spacing w:val="-3"/>
          <w:szCs w:val="24"/>
        </w:rPr>
      </w:pPr>
      <w:r>
        <w:rPr>
          <w:szCs w:val="24"/>
        </w:rPr>
        <w:tab/>
      </w:r>
      <w:r>
        <w:rPr>
          <w:szCs w:val="24"/>
        </w:rPr>
        <w:tab/>
      </w:r>
      <w:r w:rsidRPr="007E6AB2">
        <w:rPr>
          <w:spacing w:val="-3"/>
          <w:szCs w:val="24"/>
        </w:rPr>
        <w:t xml:space="preserve">It is the policy of the Commission to encourage settlements.  52 Pa.Code § 5.231.  </w:t>
      </w:r>
      <w:r w:rsidR="001E08D8" w:rsidRPr="007E6AB2">
        <w:rPr>
          <w:spacing w:val="-3"/>
          <w:szCs w:val="24"/>
        </w:rPr>
        <w:t>Also,</w:t>
      </w:r>
      <w:r w:rsidRPr="007E6AB2">
        <w:rPr>
          <w:spacing w:val="-3"/>
          <w:szCs w:val="24"/>
        </w:rPr>
        <w:t xml:space="preserve"> it is Commission policy to encourage mediation during which the parties may attempt to resolve the case with the aid of a mediator.  52 Pa.Code §§ 69.391– 69.397.  The mediator, a neutral staff member within the Mediation Unit of the Commission’s Office of Administrative Law Judge, does not give advice, represent any party, evaluate or make a decision.  Instead, the mediator assists the parties in their efforts to come to an agreement thereby avoiding the time, expense and uncertainty of litigation. </w:t>
      </w:r>
      <w:r w:rsidR="00127E0D">
        <w:rPr>
          <w:spacing w:val="-3"/>
          <w:szCs w:val="24"/>
        </w:rPr>
        <w:t xml:space="preserve">  Mediation is an informal process where the parties can discuss a full range of settlement options beyond those which can be ordered by the Commission in the formal adjudication process.</w:t>
      </w:r>
    </w:p>
    <w:p w:rsidR="00127E0D" w:rsidRDefault="00127E0D" w:rsidP="00574909">
      <w:pPr>
        <w:rPr>
          <w:spacing w:val="-3"/>
          <w:szCs w:val="24"/>
        </w:rPr>
      </w:pPr>
    </w:p>
    <w:p w:rsidR="00574909" w:rsidRDefault="00127E0D" w:rsidP="00574909">
      <w:pPr>
        <w:rPr>
          <w:szCs w:val="24"/>
          <w:u w:val="single"/>
        </w:rPr>
      </w:pPr>
      <w:r>
        <w:rPr>
          <w:spacing w:val="-3"/>
          <w:szCs w:val="24"/>
        </w:rPr>
        <w:tab/>
      </w:r>
      <w:r w:rsidR="00FA3333">
        <w:rPr>
          <w:spacing w:val="-3"/>
          <w:szCs w:val="24"/>
        </w:rPr>
        <w:tab/>
      </w:r>
      <w:r>
        <w:rPr>
          <w:spacing w:val="-3"/>
          <w:szCs w:val="24"/>
        </w:rPr>
        <w:t xml:space="preserve">West Penn has requested mediation review of these complaints in an effort to resolve the disputes informally.  </w:t>
      </w:r>
      <w:r w:rsidR="00E81ABD">
        <w:rPr>
          <w:spacing w:val="-3"/>
          <w:szCs w:val="24"/>
        </w:rPr>
        <w:t xml:space="preserve">I agree that this case appears to be appropriate for mediation.  </w:t>
      </w:r>
      <w:r w:rsidR="00574909" w:rsidRPr="007E6AB2">
        <w:rPr>
          <w:spacing w:val="-3"/>
          <w:szCs w:val="24"/>
        </w:rPr>
        <w:t xml:space="preserve">Accordingly, the </w:t>
      </w:r>
      <w:r w:rsidR="00574909">
        <w:rPr>
          <w:spacing w:val="-3"/>
          <w:szCs w:val="24"/>
        </w:rPr>
        <w:t>case will be referred to the Commission’s Mediation Unit for mediation review.</w:t>
      </w:r>
      <w:r>
        <w:rPr>
          <w:spacing w:val="-3"/>
          <w:szCs w:val="24"/>
        </w:rPr>
        <w:t xml:space="preserve">  In the event that the mediation process does not resolve in a settlement, the Complainant will be provided with an opportunity to respond to West Penn’s preliminary objection</w:t>
      </w:r>
      <w:r w:rsidR="00E81ABD">
        <w:rPr>
          <w:spacing w:val="-3"/>
          <w:szCs w:val="24"/>
        </w:rPr>
        <w:t>.  The preliminary objections do not raise a novel issue of law.  Holding a ruling on the preliminary objections in abeyance will not hamper mediation discussions.</w:t>
      </w:r>
    </w:p>
    <w:p w:rsidR="00574909" w:rsidRDefault="00574909" w:rsidP="00ED5A03"/>
    <w:p w:rsidR="000168C2" w:rsidRDefault="000168C2" w:rsidP="00ED5A03"/>
    <w:p w:rsidR="00ED5A03" w:rsidRDefault="00ED5A03" w:rsidP="000168C2">
      <w:pPr>
        <w:ind w:left="720" w:firstLine="720"/>
      </w:pPr>
      <w:bookmarkStart w:id="4" w:name="_GoBack"/>
      <w:bookmarkEnd w:id="4"/>
      <w:r>
        <w:lastRenderedPageBreak/>
        <w:t>THEREFORE,</w:t>
      </w:r>
    </w:p>
    <w:p w:rsidR="00ED5A03" w:rsidRDefault="00ED5A03" w:rsidP="00ED5A03"/>
    <w:p w:rsidR="00ED5A03" w:rsidRDefault="00ED5A03" w:rsidP="00ED5A03">
      <w:r>
        <w:tab/>
      </w:r>
      <w:r w:rsidR="000168C2">
        <w:tab/>
      </w:r>
      <w:r>
        <w:t>IT IS ORDERED:</w:t>
      </w:r>
    </w:p>
    <w:p w:rsidR="00ED5A03" w:rsidRDefault="00ED5A03" w:rsidP="00ED5A03"/>
    <w:p w:rsidR="00ED5A03" w:rsidRDefault="00ED5A03" w:rsidP="00ED5A03">
      <w:r>
        <w:tab/>
      </w:r>
      <w:r w:rsidR="00574909">
        <w:tab/>
      </w:r>
      <w:r>
        <w:t>1.</w:t>
      </w:r>
      <w:r>
        <w:tab/>
        <w:t xml:space="preserve">That the preliminary objection of West Penn Power Company seeking dismissal of the </w:t>
      </w:r>
      <w:r w:rsidR="00333136">
        <w:t>complaint will be held in abeyance until a formal hearing, should a hearing become necessary</w:t>
      </w:r>
      <w:r>
        <w:t>.</w:t>
      </w:r>
    </w:p>
    <w:p w:rsidR="00ED5A03" w:rsidRDefault="00ED5A03" w:rsidP="00ED5A03"/>
    <w:p w:rsidR="00574909" w:rsidRPr="00D921AE" w:rsidRDefault="00ED5A03" w:rsidP="00333136">
      <w:pPr>
        <w:rPr>
          <w:spacing w:val="-3"/>
          <w:szCs w:val="24"/>
        </w:rPr>
      </w:pPr>
      <w:r>
        <w:tab/>
      </w:r>
      <w:r w:rsidR="00574909">
        <w:tab/>
      </w:r>
      <w:r>
        <w:t>2.</w:t>
      </w:r>
      <w:r>
        <w:tab/>
      </w:r>
      <w:r w:rsidR="00574909" w:rsidRPr="00D921AE">
        <w:rPr>
          <w:spacing w:val="-3"/>
          <w:szCs w:val="24"/>
        </w:rPr>
        <w:t xml:space="preserve">That the </w:t>
      </w:r>
      <w:r w:rsidR="00574909">
        <w:rPr>
          <w:spacing w:val="-3"/>
          <w:szCs w:val="24"/>
        </w:rPr>
        <w:t xml:space="preserve">case </w:t>
      </w:r>
      <w:r w:rsidR="00574909" w:rsidRPr="00D921AE">
        <w:rPr>
          <w:spacing w:val="-3"/>
          <w:szCs w:val="24"/>
        </w:rPr>
        <w:t>be and is hereby referred to the Commission’s Mediation Unit for the Commission’s mediation review process.</w:t>
      </w:r>
    </w:p>
    <w:p w:rsidR="00574909" w:rsidRPr="00D921AE" w:rsidRDefault="00574909" w:rsidP="00574909">
      <w:pPr>
        <w:ind w:firstLine="1440"/>
        <w:rPr>
          <w:spacing w:val="-3"/>
          <w:szCs w:val="24"/>
        </w:rPr>
      </w:pPr>
    </w:p>
    <w:p w:rsidR="00574909" w:rsidRDefault="00574909" w:rsidP="00574909">
      <w:pPr>
        <w:tabs>
          <w:tab w:val="left" w:pos="1440"/>
          <w:tab w:val="left" w:pos="2160"/>
          <w:tab w:val="left" w:pos="2880"/>
        </w:tabs>
        <w:jc w:val="both"/>
        <w:rPr>
          <w:spacing w:val="-3"/>
          <w:szCs w:val="24"/>
        </w:rPr>
      </w:pPr>
      <w:r w:rsidRPr="00D921AE">
        <w:rPr>
          <w:spacing w:val="-3"/>
          <w:szCs w:val="24"/>
        </w:rPr>
        <w:tab/>
      </w:r>
      <w:r w:rsidR="00333136">
        <w:rPr>
          <w:spacing w:val="-3"/>
          <w:szCs w:val="24"/>
        </w:rPr>
        <w:t>3</w:t>
      </w:r>
      <w:r w:rsidRPr="00D921AE">
        <w:rPr>
          <w:spacing w:val="-3"/>
          <w:szCs w:val="24"/>
        </w:rPr>
        <w:t>.</w:t>
      </w:r>
      <w:r w:rsidRPr="00D921AE">
        <w:rPr>
          <w:spacing w:val="-3"/>
          <w:szCs w:val="24"/>
        </w:rPr>
        <w:tab/>
      </w:r>
      <w:r>
        <w:rPr>
          <w:spacing w:val="-3"/>
          <w:szCs w:val="24"/>
        </w:rPr>
        <w:t>That i</w:t>
      </w:r>
      <w:r w:rsidRPr="00D921AE">
        <w:rPr>
          <w:spacing w:val="-3"/>
          <w:szCs w:val="24"/>
        </w:rPr>
        <w:t xml:space="preserve">n the event the parties are unable to resolve this matter with the assistance of the mediator, the case shall be </w:t>
      </w:r>
      <w:r>
        <w:rPr>
          <w:spacing w:val="-3"/>
          <w:szCs w:val="24"/>
        </w:rPr>
        <w:t>scheduled for a formal hearing before the undersigned presiding officer.</w:t>
      </w:r>
    </w:p>
    <w:p w:rsidR="006C0339" w:rsidRDefault="006C0339" w:rsidP="00574909">
      <w:pPr>
        <w:tabs>
          <w:tab w:val="left" w:pos="1440"/>
          <w:tab w:val="left" w:pos="2160"/>
          <w:tab w:val="left" w:pos="2880"/>
        </w:tabs>
        <w:jc w:val="both"/>
        <w:rPr>
          <w:spacing w:val="-3"/>
          <w:szCs w:val="24"/>
        </w:rPr>
      </w:pPr>
    </w:p>
    <w:p w:rsidR="006C0339" w:rsidRDefault="006C0339" w:rsidP="00574909">
      <w:pPr>
        <w:tabs>
          <w:tab w:val="left" w:pos="1440"/>
          <w:tab w:val="left" w:pos="2160"/>
          <w:tab w:val="left" w:pos="2880"/>
        </w:tabs>
        <w:jc w:val="both"/>
        <w:rPr>
          <w:spacing w:val="-3"/>
          <w:szCs w:val="24"/>
        </w:rPr>
      </w:pPr>
    </w:p>
    <w:p w:rsidR="006C0339" w:rsidRPr="00D934FB" w:rsidRDefault="006C0339" w:rsidP="006C0339">
      <w:pPr>
        <w:spacing w:line="240" w:lineRule="auto"/>
        <w:rPr>
          <w:rFonts w:eastAsia="Times New Roman"/>
          <w:szCs w:val="24"/>
        </w:rPr>
      </w:pPr>
      <w:r w:rsidRPr="00D934FB">
        <w:rPr>
          <w:rFonts w:eastAsia="Times New Roman"/>
          <w:szCs w:val="24"/>
        </w:rPr>
        <w:t xml:space="preserve">Date:  </w:t>
      </w:r>
      <w:r w:rsidRPr="00D934FB">
        <w:rPr>
          <w:rFonts w:eastAsia="Times New Roman"/>
          <w:szCs w:val="24"/>
          <w:u w:val="single"/>
        </w:rPr>
        <w:t xml:space="preserve">February </w:t>
      </w:r>
      <w:r>
        <w:rPr>
          <w:rFonts w:eastAsia="Times New Roman"/>
          <w:szCs w:val="24"/>
          <w:u w:val="single"/>
        </w:rPr>
        <w:t>9</w:t>
      </w:r>
      <w:r w:rsidRPr="00D934FB">
        <w:rPr>
          <w:rFonts w:eastAsia="Times New Roman"/>
          <w:szCs w:val="24"/>
          <w:u w:val="single"/>
        </w:rPr>
        <w:t>, 2018</w:t>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u w:val="single"/>
        </w:rPr>
        <w:tab/>
      </w:r>
      <w:r w:rsidRPr="00D934FB">
        <w:rPr>
          <w:rFonts w:eastAsia="Times New Roman"/>
          <w:szCs w:val="24"/>
          <w:u w:val="single"/>
        </w:rPr>
        <w:tab/>
        <w:t>/s/</w:t>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r w:rsidRPr="00D934FB">
        <w:rPr>
          <w:rFonts w:eastAsia="Times New Roman"/>
          <w:szCs w:val="24"/>
          <w:u w:val="single"/>
        </w:rPr>
        <w:tab/>
      </w:r>
    </w:p>
    <w:p w:rsidR="006C0339" w:rsidRPr="00D934FB" w:rsidRDefault="006C0339" w:rsidP="006C0339">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Mary D. Long</w:t>
      </w:r>
    </w:p>
    <w:p w:rsidR="006C0339" w:rsidRPr="00D934FB" w:rsidRDefault="006C0339" w:rsidP="006C0339">
      <w:pPr>
        <w:spacing w:line="240" w:lineRule="auto"/>
        <w:rPr>
          <w:rFonts w:eastAsia="Times New Roman"/>
          <w:szCs w:val="24"/>
        </w:rPr>
      </w:pP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r>
      <w:r w:rsidRPr="00D934FB">
        <w:rPr>
          <w:rFonts w:eastAsia="Times New Roman"/>
          <w:szCs w:val="24"/>
        </w:rPr>
        <w:tab/>
        <w:t>Administrative Law Judge</w:t>
      </w:r>
    </w:p>
    <w:p w:rsidR="006C0339" w:rsidRPr="00D921AE" w:rsidRDefault="006C0339" w:rsidP="00574909">
      <w:pPr>
        <w:tabs>
          <w:tab w:val="left" w:pos="1440"/>
          <w:tab w:val="left" w:pos="2160"/>
          <w:tab w:val="left" w:pos="2880"/>
        </w:tabs>
        <w:jc w:val="both"/>
        <w:rPr>
          <w:spacing w:val="-3"/>
          <w:szCs w:val="24"/>
        </w:rPr>
      </w:pPr>
    </w:p>
    <w:bookmarkEnd w:id="2"/>
    <w:bookmarkEnd w:id="3"/>
    <w:p w:rsidR="000168C2" w:rsidRDefault="000168C2" w:rsidP="00ED5A03">
      <w:pPr>
        <w:sectPr w:rsidR="000168C2" w:rsidSect="000168C2">
          <w:footerReference w:type="default" r:id="rId7"/>
          <w:pgSz w:w="12240" w:h="15840"/>
          <w:pgMar w:top="1440" w:right="1440" w:bottom="1440" w:left="1440" w:header="720" w:footer="720" w:gutter="0"/>
          <w:cols w:space="720"/>
          <w:titlePg/>
          <w:docGrid w:linePitch="360"/>
        </w:sectPr>
      </w:pPr>
    </w:p>
    <w:p w:rsidR="000168C2" w:rsidRPr="000168C2" w:rsidRDefault="000168C2" w:rsidP="000168C2">
      <w:pPr>
        <w:spacing w:after="160" w:line="259" w:lineRule="auto"/>
        <w:rPr>
          <w:rFonts w:ascii="Calibri" w:eastAsia="Times New Roman" w:hAnsi="Calibri"/>
          <w:sz w:val="22"/>
          <w:szCs w:val="22"/>
        </w:rPr>
      </w:pPr>
      <w:r w:rsidRPr="000168C2">
        <w:rPr>
          <w:rFonts w:ascii="Microsoft Sans Serif" w:eastAsia="Times New Roman" w:hAnsi="Calibri"/>
          <w:b/>
          <w:szCs w:val="22"/>
          <w:u w:val="single"/>
        </w:rPr>
        <w:lastRenderedPageBreak/>
        <w:t>C-2017-2634646 - JACK MOWRY v. WEST PENN POWER COMPANY</w:t>
      </w:r>
      <w:r w:rsidRPr="000168C2">
        <w:rPr>
          <w:rFonts w:ascii="Microsoft Sans Serif" w:eastAsia="Times New Roman" w:hAnsi="Calibri"/>
          <w:b/>
          <w:szCs w:val="22"/>
          <w:u w:val="single"/>
        </w:rPr>
        <w:br/>
      </w:r>
      <w:r w:rsidRPr="000168C2">
        <w:rPr>
          <w:rFonts w:ascii="Microsoft Sans Serif" w:eastAsia="Times New Roman" w:hAnsi="Calibri"/>
          <w:b/>
          <w:szCs w:val="22"/>
          <w:u w:val="single"/>
        </w:rPr>
        <w:cr/>
      </w:r>
      <w:r w:rsidRPr="000168C2">
        <w:rPr>
          <w:rFonts w:ascii="Microsoft Sans Serif" w:eastAsia="Times New Roman" w:hAnsi="Calibri"/>
          <w:szCs w:val="22"/>
        </w:rPr>
        <w:t>JACK MOWRY</w:t>
      </w:r>
      <w:r w:rsidRPr="000168C2">
        <w:rPr>
          <w:rFonts w:ascii="Microsoft Sans Serif" w:eastAsia="Times New Roman" w:hAnsi="Calibri"/>
          <w:szCs w:val="22"/>
        </w:rPr>
        <w:cr/>
        <w:t>30 MAPLE GLENN ROAD</w:t>
      </w:r>
      <w:r w:rsidRPr="000168C2">
        <w:rPr>
          <w:rFonts w:ascii="Microsoft Sans Serif" w:eastAsia="Times New Roman" w:hAnsi="Calibri"/>
          <w:szCs w:val="22"/>
        </w:rPr>
        <w:cr/>
        <w:t>BROWNSVILLE PA  15417</w:t>
      </w:r>
      <w:r w:rsidRPr="000168C2">
        <w:rPr>
          <w:rFonts w:ascii="Microsoft Sans Serif" w:eastAsia="Times New Roman" w:hAnsi="Calibri"/>
          <w:szCs w:val="22"/>
        </w:rPr>
        <w:cr/>
      </w:r>
      <w:r w:rsidRPr="000168C2">
        <w:rPr>
          <w:rFonts w:ascii="Microsoft Sans Serif" w:eastAsia="Times New Roman" w:hAnsi="Calibri"/>
          <w:b/>
          <w:szCs w:val="22"/>
        </w:rPr>
        <w:t>724.785.3393</w:t>
      </w:r>
      <w:r w:rsidRPr="000168C2">
        <w:rPr>
          <w:rFonts w:ascii="Microsoft Sans Serif" w:eastAsia="Times New Roman" w:hAnsi="Calibri"/>
          <w:szCs w:val="22"/>
        </w:rPr>
        <w:cr/>
      </w:r>
      <w:r w:rsidRPr="000168C2">
        <w:rPr>
          <w:rFonts w:ascii="Microsoft Sans Serif" w:eastAsia="Times New Roman" w:hAnsi="Calibri"/>
          <w:szCs w:val="22"/>
        </w:rPr>
        <w:cr/>
        <w:t xml:space="preserve">TORI L </w:t>
      </w:r>
      <w:proofErr w:type="spellStart"/>
      <w:r w:rsidRPr="000168C2">
        <w:rPr>
          <w:rFonts w:ascii="Microsoft Sans Serif" w:eastAsia="Times New Roman" w:hAnsi="Calibri"/>
          <w:szCs w:val="22"/>
        </w:rPr>
        <w:t>GIESLER</w:t>
      </w:r>
      <w:proofErr w:type="spellEnd"/>
      <w:r w:rsidRPr="000168C2">
        <w:rPr>
          <w:rFonts w:ascii="Microsoft Sans Serif" w:eastAsia="Times New Roman" w:hAnsi="Calibri"/>
          <w:szCs w:val="22"/>
        </w:rPr>
        <w:t xml:space="preserve"> ESQUIRE</w:t>
      </w:r>
      <w:r w:rsidRPr="000168C2">
        <w:rPr>
          <w:rFonts w:ascii="Microsoft Sans Serif" w:eastAsia="Times New Roman" w:hAnsi="Calibri"/>
          <w:szCs w:val="22"/>
        </w:rPr>
        <w:cr/>
        <w:t>FIRSTENERGY</w:t>
      </w:r>
      <w:r w:rsidRPr="000168C2">
        <w:rPr>
          <w:rFonts w:ascii="Microsoft Sans Serif" w:eastAsia="Times New Roman" w:hAnsi="Calibri"/>
          <w:szCs w:val="22"/>
        </w:rPr>
        <w:cr/>
        <w:t>2800 POTTSVILLE PIKE</w:t>
      </w:r>
      <w:r w:rsidRPr="000168C2">
        <w:rPr>
          <w:rFonts w:ascii="Microsoft Sans Serif" w:eastAsia="Times New Roman" w:hAnsi="Calibri"/>
          <w:szCs w:val="22"/>
        </w:rPr>
        <w:cr/>
        <w:t>PO BOX 16001</w:t>
      </w:r>
      <w:r w:rsidRPr="000168C2">
        <w:rPr>
          <w:rFonts w:ascii="Microsoft Sans Serif" w:eastAsia="Times New Roman" w:hAnsi="Calibri"/>
          <w:szCs w:val="22"/>
        </w:rPr>
        <w:cr/>
        <w:t>READING PA  19612-6001</w:t>
      </w:r>
      <w:r w:rsidRPr="000168C2">
        <w:rPr>
          <w:rFonts w:ascii="Microsoft Sans Serif" w:eastAsia="Times New Roman" w:hAnsi="Calibri"/>
          <w:szCs w:val="22"/>
        </w:rPr>
        <w:cr/>
      </w:r>
      <w:r w:rsidRPr="000168C2">
        <w:rPr>
          <w:rFonts w:ascii="Microsoft Sans Serif" w:eastAsia="Times New Roman" w:hAnsi="Calibri"/>
          <w:b/>
          <w:szCs w:val="22"/>
        </w:rPr>
        <w:t>610.921.6658</w:t>
      </w:r>
      <w:r w:rsidRPr="000168C2">
        <w:rPr>
          <w:rFonts w:ascii="Microsoft Sans Serif" w:eastAsia="Times New Roman" w:hAnsi="Calibri"/>
          <w:szCs w:val="22"/>
        </w:rPr>
        <w:cr/>
      </w:r>
      <w:r w:rsidRPr="000168C2">
        <w:rPr>
          <w:rFonts w:ascii="Microsoft Sans Serif" w:eastAsia="Times New Roman" w:hAnsi="Calibri"/>
          <w:b/>
          <w:i/>
          <w:szCs w:val="22"/>
          <w:u w:val="single"/>
        </w:rPr>
        <w:t>E-SERVICE</w:t>
      </w:r>
    </w:p>
    <w:p w:rsidR="00574909" w:rsidRDefault="00574909" w:rsidP="00ED5A03"/>
    <w:sectPr w:rsidR="00574909" w:rsidSect="000168C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1BC" w:rsidRDefault="00C131BC" w:rsidP="002958EA">
      <w:pPr>
        <w:spacing w:line="240" w:lineRule="auto"/>
      </w:pPr>
      <w:r>
        <w:separator/>
      </w:r>
    </w:p>
  </w:endnote>
  <w:endnote w:type="continuationSeparator" w:id="0">
    <w:p w:rsidR="00C131BC" w:rsidRDefault="00C131BC" w:rsidP="002958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33669"/>
      <w:docPartObj>
        <w:docPartGallery w:val="Page Numbers (Bottom of Page)"/>
        <w:docPartUnique/>
      </w:docPartObj>
    </w:sdtPr>
    <w:sdtEndPr>
      <w:rPr>
        <w:noProof/>
      </w:rPr>
    </w:sdtEndPr>
    <w:sdtContent>
      <w:p w:rsidR="000168C2" w:rsidRDefault="000168C2">
        <w:pPr>
          <w:pStyle w:val="Footer"/>
          <w:jc w:val="center"/>
        </w:pPr>
        <w:r w:rsidRPr="000168C2">
          <w:rPr>
            <w:sz w:val="20"/>
          </w:rPr>
          <w:fldChar w:fldCharType="begin"/>
        </w:r>
        <w:r w:rsidRPr="000168C2">
          <w:rPr>
            <w:sz w:val="20"/>
          </w:rPr>
          <w:instrText xml:space="preserve"> PAGE   \* MERGEFORMAT </w:instrText>
        </w:r>
        <w:r w:rsidRPr="000168C2">
          <w:rPr>
            <w:sz w:val="20"/>
          </w:rPr>
          <w:fldChar w:fldCharType="separate"/>
        </w:r>
        <w:r w:rsidR="00AF55AF">
          <w:rPr>
            <w:noProof/>
            <w:sz w:val="20"/>
          </w:rPr>
          <w:t>3</w:t>
        </w:r>
        <w:r w:rsidRPr="000168C2">
          <w:rPr>
            <w:noProof/>
            <w:sz w:val="20"/>
          </w:rPr>
          <w:fldChar w:fldCharType="end"/>
        </w:r>
      </w:p>
    </w:sdtContent>
  </w:sdt>
  <w:p w:rsidR="000168C2" w:rsidRDefault="00016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1BC" w:rsidRDefault="00C131BC" w:rsidP="002958EA">
      <w:pPr>
        <w:spacing w:line="240" w:lineRule="auto"/>
      </w:pPr>
      <w:r>
        <w:separator/>
      </w:r>
    </w:p>
  </w:footnote>
  <w:footnote w:type="continuationSeparator" w:id="0">
    <w:p w:rsidR="00C131BC" w:rsidRDefault="00C131BC" w:rsidP="002958EA">
      <w:pPr>
        <w:spacing w:line="240" w:lineRule="auto"/>
      </w:pPr>
      <w:r>
        <w:continuationSeparator/>
      </w:r>
    </w:p>
  </w:footnote>
  <w:footnote w:id="1">
    <w:p w:rsidR="00ED5A03" w:rsidRDefault="00ED5A03">
      <w:pPr>
        <w:pStyle w:val="FootnoteText"/>
      </w:pPr>
      <w:r>
        <w:rPr>
          <w:rStyle w:val="FootnoteReference"/>
        </w:rPr>
        <w:footnoteRef/>
      </w:r>
      <w:r>
        <w:t xml:space="preserve">  </w:t>
      </w:r>
      <w:r>
        <w:tab/>
        <w:t>The preliminary objection was assigned to me as a motions judge on January 26, 2018.</w:t>
      </w:r>
    </w:p>
  </w:footnote>
  <w:footnote w:id="2">
    <w:p w:rsidR="007074A5" w:rsidRPr="007074A5" w:rsidRDefault="007074A5">
      <w:pPr>
        <w:pStyle w:val="FootnoteText"/>
      </w:pPr>
      <w:r>
        <w:rPr>
          <w:rStyle w:val="FootnoteReference"/>
        </w:rPr>
        <w:footnoteRef/>
      </w:r>
      <w:r>
        <w:t xml:space="preserve">  </w:t>
      </w:r>
      <w:r>
        <w:tab/>
      </w:r>
      <w:r>
        <w:rPr>
          <w:i/>
        </w:rPr>
        <w:t>Richmond v. PECO Energy Company,</w:t>
      </w:r>
      <w:r>
        <w:t xml:space="preserve"> Docket F-2010-2187305 (Opinion and Order entered December 7, 2011 (citing </w:t>
      </w:r>
      <w:r w:rsidRPr="007074A5">
        <w:rPr>
          <w:i/>
        </w:rPr>
        <w:t>Carlock v. The United Telephone Company of Pennsylvania</w:t>
      </w:r>
      <w:r w:rsidRPr="007074A5">
        <w:t>, Docket No. F</w:t>
      </w:r>
      <w:r w:rsidRPr="007074A5">
        <w:noBreakHyphen/>
        <w:t>0016361</w:t>
      </w:r>
      <w:r>
        <w:t>7 (Order entered July 14, 1993)).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E9"/>
    <w:rsid w:val="00004C37"/>
    <w:rsid w:val="000168C2"/>
    <w:rsid w:val="000533CE"/>
    <w:rsid w:val="000561BC"/>
    <w:rsid w:val="00066D87"/>
    <w:rsid w:val="000E3EDE"/>
    <w:rsid w:val="000E478C"/>
    <w:rsid w:val="00107E82"/>
    <w:rsid w:val="00127E0D"/>
    <w:rsid w:val="001A21B6"/>
    <w:rsid w:val="001B1CBA"/>
    <w:rsid w:val="001C751F"/>
    <w:rsid w:val="001D2AF7"/>
    <w:rsid w:val="001E08D8"/>
    <w:rsid w:val="00207743"/>
    <w:rsid w:val="00213167"/>
    <w:rsid w:val="002512F9"/>
    <w:rsid w:val="002958EA"/>
    <w:rsid w:val="002A6DFA"/>
    <w:rsid w:val="003145FA"/>
    <w:rsid w:val="00333136"/>
    <w:rsid w:val="00367A41"/>
    <w:rsid w:val="00393C92"/>
    <w:rsid w:val="003A3E09"/>
    <w:rsid w:val="00433857"/>
    <w:rsid w:val="00481D91"/>
    <w:rsid w:val="004B0E40"/>
    <w:rsid w:val="004D523C"/>
    <w:rsid w:val="00574909"/>
    <w:rsid w:val="005A1C17"/>
    <w:rsid w:val="005A2ABA"/>
    <w:rsid w:val="005A3103"/>
    <w:rsid w:val="005D180A"/>
    <w:rsid w:val="005E7B69"/>
    <w:rsid w:val="0061174F"/>
    <w:rsid w:val="0061775F"/>
    <w:rsid w:val="0067224F"/>
    <w:rsid w:val="00696C0D"/>
    <w:rsid w:val="006C0339"/>
    <w:rsid w:val="006F0329"/>
    <w:rsid w:val="00700807"/>
    <w:rsid w:val="007074A5"/>
    <w:rsid w:val="00712E58"/>
    <w:rsid w:val="00735722"/>
    <w:rsid w:val="007407AC"/>
    <w:rsid w:val="00755D72"/>
    <w:rsid w:val="00792796"/>
    <w:rsid w:val="00796B64"/>
    <w:rsid w:val="007E6779"/>
    <w:rsid w:val="00820B4C"/>
    <w:rsid w:val="0083239D"/>
    <w:rsid w:val="008529D2"/>
    <w:rsid w:val="0088105E"/>
    <w:rsid w:val="008C778F"/>
    <w:rsid w:val="008D7657"/>
    <w:rsid w:val="00917DCA"/>
    <w:rsid w:val="009E1699"/>
    <w:rsid w:val="009F2875"/>
    <w:rsid w:val="00A47096"/>
    <w:rsid w:val="00A536BA"/>
    <w:rsid w:val="00A77404"/>
    <w:rsid w:val="00AA2EC5"/>
    <w:rsid w:val="00AB4C73"/>
    <w:rsid w:val="00AE4DE9"/>
    <w:rsid w:val="00AE6F47"/>
    <w:rsid w:val="00AF55AF"/>
    <w:rsid w:val="00B91E47"/>
    <w:rsid w:val="00BC6B21"/>
    <w:rsid w:val="00C131BC"/>
    <w:rsid w:val="00C87E57"/>
    <w:rsid w:val="00CC4CC2"/>
    <w:rsid w:val="00CF6143"/>
    <w:rsid w:val="00DD5C37"/>
    <w:rsid w:val="00E4239A"/>
    <w:rsid w:val="00E4428C"/>
    <w:rsid w:val="00E50F40"/>
    <w:rsid w:val="00E81ABD"/>
    <w:rsid w:val="00EB027A"/>
    <w:rsid w:val="00EC1CBA"/>
    <w:rsid w:val="00ED5A03"/>
    <w:rsid w:val="00EE7801"/>
    <w:rsid w:val="00F11A19"/>
    <w:rsid w:val="00F16554"/>
    <w:rsid w:val="00F41871"/>
    <w:rsid w:val="00F544E1"/>
    <w:rsid w:val="00F93BB5"/>
    <w:rsid w:val="00FA3333"/>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5C0E6E5"/>
  <w15:chartTrackingRefBased/>
  <w15:docId w15:val="{81E9B17E-0AA9-41F3-AA54-E6666B27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unhideWhenUsed/>
    <w:rsid w:val="002958EA"/>
    <w:rPr>
      <w:rFonts w:ascii="Times New Roman" w:hAnsi="Times New Roman"/>
      <w:vertAlign w:val="superscript"/>
    </w:rPr>
  </w:style>
  <w:style w:type="paragraph" w:styleId="BalloonText">
    <w:name w:val="Balloon Text"/>
    <w:basedOn w:val="Normal"/>
    <w:link w:val="BalloonTextChar"/>
    <w:uiPriority w:val="99"/>
    <w:semiHidden/>
    <w:unhideWhenUsed/>
    <w:rsid w:val="00ED5A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A03"/>
    <w:rPr>
      <w:rFonts w:ascii="Segoe UI" w:eastAsia="SimSun" w:hAnsi="Segoe UI" w:cs="Segoe UI"/>
      <w:sz w:val="18"/>
      <w:szCs w:val="18"/>
    </w:rPr>
  </w:style>
  <w:style w:type="paragraph" w:styleId="Header">
    <w:name w:val="header"/>
    <w:basedOn w:val="Normal"/>
    <w:link w:val="HeaderChar"/>
    <w:uiPriority w:val="99"/>
    <w:unhideWhenUsed/>
    <w:rsid w:val="000168C2"/>
    <w:pPr>
      <w:tabs>
        <w:tab w:val="center" w:pos="4680"/>
        <w:tab w:val="right" w:pos="9360"/>
      </w:tabs>
      <w:spacing w:line="240" w:lineRule="auto"/>
    </w:pPr>
  </w:style>
  <w:style w:type="character" w:customStyle="1" w:styleId="HeaderChar">
    <w:name w:val="Header Char"/>
    <w:basedOn w:val="DefaultParagraphFont"/>
    <w:link w:val="Header"/>
    <w:uiPriority w:val="99"/>
    <w:rsid w:val="000168C2"/>
    <w:rPr>
      <w:rFonts w:eastAsia="SimSun"/>
    </w:rPr>
  </w:style>
  <w:style w:type="paragraph" w:styleId="Footer">
    <w:name w:val="footer"/>
    <w:basedOn w:val="Normal"/>
    <w:link w:val="FooterChar"/>
    <w:uiPriority w:val="99"/>
    <w:unhideWhenUsed/>
    <w:rsid w:val="000168C2"/>
    <w:pPr>
      <w:tabs>
        <w:tab w:val="center" w:pos="4680"/>
        <w:tab w:val="right" w:pos="9360"/>
      </w:tabs>
      <w:spacing w:line="240" w:lineRule="auto"/>
    </w:pPr>
  </w:style>
  <w:style w:type="character" w:customStyle="1" w:styleId="FooterChar">
    <w:name w:val="Footer Char"/>
    <w:basedOn w:val="DefaultParagraphFont"/>
    <w:link w:val="Footer"/>
    <w:uiPriority w:val="99"/>
    <w:rsid w:val="000168C2"/>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4</cp:revision>
  <cp:lastPrinted>2018-02-08T14:38:00Z</cp:lastPrinted>
  <dcterms:created xsi:type="dcterms:W3CDTF">2018-02-08T20:24:00Z</dcterms:created>
  <dcterms:modified xsi:type="dcterms:W3CDTF">2018-02-09T16:40:00Z</dcterms:modified>
</cp:coreProperties>
</file>