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85E03" w14:textId="77777777" w:rsidR="006D33B5" w:rsidRPr="00550B34" w:rsidRDefault="006D33B5" w:rsidP="00E22703">
      <w:pPr>
        <w:jc w:val="center"/>
        <w:rPr>
          <w:b/>
          <w:bCs/>
        </w:rPr>
      </w:pPr>
      <w:r w:rsidRPr="00550B34">
        <w:rPr>
          <w:b/>
          <w:bCs/>
        </w:rPr>
        <w:t>BEFORE THE</w:t>
      </w:r>
    </w:p>
    <w:p w14:paraId="12AB78C7" w14:textId="77777777" w:rsidR="006D33B5" w:rsidRPr="00550B34" w:rsidRDefault="006D33B5" w:rsidP="00E22703">
      <w:pPr>
        <w:jc w:val="center"/>
        <w:rPr>
          <w:b/>
          <w:bCs/>
        </w:rPr>
      </w:pPr>
      <w:r w:rsidRPr="00550B34">
        <w:rPr>
          <w:b/>
          <w:bCs/>
        </w:rPr>
        <w:t>PENNSYLVANIA PUBLIC UTILITY COMMISSION</w:t>
      </w:r>
    </w:p>
    <w:p w14:paraId="57451C0B" w14:textId="77777777" w:rsidR="00E22703" w:rsidRPr="00550B34" w:rsidRDefault="00E22703" w:rsidP="00555AB2">
      <w:pPr>
        <w:rPr>
          <w:bCs/>
        </w:rPr>
      </w:pPr>
    </w:p>
    <w:p w14:paraId="1151C337" w14:textId="77777777" w:rsidR="00ED5028" w:rsidRPr="00555AB2" w:rsidRDefault="00ED5028" w:rsidP="00ED5028">
      <w:pPr>
        <w:rPr>
          <w:bCs/>
        </w:rPr>
      </w:pPr>
    </w:p>
    <w:p w14:paraId="17D8EB87" w14:textId="77777777" w:rsidR="00A20DDE" w:rsidRDefault="00A20DDE" w:rsidP="00A20DDE"/>
    <w:p w14:paraId="77D0486C" w14:textId="77777777" w:rsidR="00A20DDE" w:rsidRPr="00AD62CA" w:rsidRDefault="00A20DDE" w:rsidP="00A20DDE">
      <w:r>
        <w:t>Ultimate Sports Company, Inc.</w:t>
      </w:r>
      <w:r>
        <w:tab/>
      </w:r>
      <w:r>
        <w:tab/>
      </w:r>
      <w:r w:rsidRPr="00AD62CA">
        <w:tab/>
        <w:t>:</w:t>
      </w:r>
      <w:r w:rsidRPr="00AD62CA">
        <w:tab/>
      </w:r>
    </w:p>
    <w:p w14:paraId="56237AE2" w14:textId="77777777" w:rsidR="00A20DDE" w:rsidRPr="00AD62CA" w:rsidRDefault="00A20DDE" w:rsidP="00A20DDE">
      <w:r>
        <w:tab/>
      </w:r>
      <w:r>
        <w:tab/>
      </w:r>
      <w:r>
        <w:tab/>
      </w:r>
      <w:r>
        <w:tab/>
      </w:r>
      <w:r>
        <w:tab/>
      </w:r>
      <w:r>
        <w:tab/>
      </w:r>
      <w:r>
        <w:tab/>
        <w:t>:</w:t>
      </w:r>
    </w:p>
    <w:p w14:paraId="2A2E1927" w14:textId="26C8B8B8" w:rsidR="00A20DDE" w:rsidRPr="00AD62CA" w:rsidRDefault="00A20DDE" w:rsidP="00A20DDE">
      <w:r w:rsidRPr="00AD62CA">
        <w:tab/>
        <w:t>v.</w:t>
      </w:r>
      <w:r w:rsidRPr="00AD62CA">
        <w:tab/>
      </w:r>
      <w:r w:rsidRPr="00AD62CA">
        <w:tab/>
      </w:r>
      <w:r w:rsidRPr="00AD62CA">
        <w:tab/>
      </w:r>
      <w:r w:rsidRPr="00AD62CA">
        <w:tab/>
      </w:r>
      <w:r w:rsidRPr="00AD62CA">
        <w:tab/>
      </w:r>
      <w:r w:rsidRPr="00AD62CA">
        <w:tab/>
        <w:t>:</w:t>
      </w:r>
      <w:r w:rsidRPr="00AD62CA">
        <w:tab/>
      </w:r>
      <w:r w:rsidR="00410F3B">
        <w:tab/>
      </w:r>
      <w:r>
        <w:t>C</w:t>
      </w:r>
      <w:r w:rsidRPr="00AD62CA">
        <w:t>-201</w:t>
      </w:r>
      <w:r>
        <w:t>6</w:t>
      </w:r>
      <w:r w:rsidRPr="00AD62CA">
        <w:t>-</w:t>
      </w:r>
      <w:r>
        <w:t>2633651</w:t>
      </w:r>
    </w:p>
    <w:p w14:paraId="4587B9F8" w14:textId="77777777" w:rsidR="00A20DDE" w:rsidRDefault="00A20DDE" w:rsidP="00A20DDE">
      <w:r w:rsidRPr="00AD62CA">
        <w:tab/>
      </w:r>
      <w:r w:rsidRPr="00AD62CA">
        <w:tab/>
      </w:r>
      <w:r w:rsidRPr="00AD62CA">
        <w:tab/>
      </w:r>
      <w:r w:rsidRPr="00AD62CA">
        <w:tab/>
      </w:r>
      <w:r w:rsidRPr="00AD62CA">
        <w:tab/>
      </w:r>
      <w:r w:rsidRPr="00AD62CA">
        <w:tab/>
      </w:r>
      <w:r w:rsidRPr="00AD62CA">
        <w:tab/>
        <w:t>:</w:t>
      </w:r>
    </w:p>
    <w:p w14:paraId="3BFE4E78" w14:textId="77777777" w:rsidR="00A20DDE" w:rsidRPr="00AD62CA" w:rsidRDefault="00A20DDE" w:rsidP="00A20DDE">
      <w:r>
        <w:t>PPL Electric Utilities Corporation</w:t>
      </w:r>
      <w:r>
        <w:tab/>
      </w:r>
      <w:r>
        <w:tab/>
      </w:r>
      <w:r w:rsidRPr="00AD62CA">
        <w:tab/>
        <w:t>:</w:t>
      </w:r>
    </w:p>
    <w:p w14:paraId="26152B5D" w14:textId="77777777" w:rsidR="00A20DDE" w:rsidRPr="00AD62CA" w:rsidRDefault="00A20DDE" w:rsidP="00A20DDE"/>
    <w:p w14:paraId="08BADA11" w14:textId="5B19A50B" w:rsidR="00ED5028" w:rsidRDefault="00ED5028" w:rsidP="00ED5028">
      <w:pPr>
        <w:rPr>
          <w:bCs/>
        </w:rPr>
      </w:pPr>
    </w:p>
    <w:p w14:paraId="01DD6DC4" w14:textId="77777777" w:rsidR="00410F3B" w:rsidRPr="00555AB2" w:rsidRDefault="00410F3B" w:rsidP="00ED5028">
      <w:pPr>
        <w:rPr>
          <w:bCs/>
        </w:rPr>
      </w:pPr>
    </w:p>
    <w:p w14:paraId="355DF036" w14:textId="77777777" w:rsidR="00583D20" w:rsidRDefault="00583D20" w:rsidP="00583D20">
      <w:pPr>
        <w:tabs>
          <w:tab w:val="center" w:pos="4680"/>
        </w:tabs>
        <w:suppressAutoHyphens/>
        <w:jc w:val="center"/>
        <w:rPr>
          <w:b/>
          <w:bCs/>
          <w:color w:val="000000"/>
          <w:u w:val="single"/>
        </w:rPr>
      </w:pPr>
      <w:r>
        <w:rPr>
          <w:b/>
          <w:bCs/>
          <w:spacing w:val="-3"/>
          <w:u w:val="single"/>
        </w:rPr>
        <w:t>PROCEDURAL ORDER</w:t>
      </w:r>
    </w:p>
    <w:p w14:paraId="6FD52859" w14:textId="77777777" w:rsidR="00583D20" w:rsidRPr="00A82D94" w:rsidRDefault="00583D20" w:rsidP="00583D20">
      <w:pPr>
        <w:widowControl w:val="0"/>
        <w:adjustRightInd w:val="0"/>
        <w:jc w:val="center"/>
        <w:rPr>
          <w:b/>
          <w:bCs/>
          <w:color w:val="000000"/>
          <w:u w:val="single"/>
        </w:rPr>
      </w:pPr>
    </w:p>
    <w:p w14:paraId="5F79CB47" w14:textId="77777777" w:rsidR="00583D20" w:rsidRDefault="00583D20" w:rsidP="00583D20">
      <w:pPr>
        <w:widowControl w:val="0"/>
        <w:adjustRightInd w:val="0"/>
        <w:jc w:val="center"/>
        <w:rPr>
          <w:b/>
          <w:bCs/>
          <w:spacing w:val="-3"/>
          <w:u w:val="single"/>
        </w:rPr>
      </w:pPr>
    </w:p>
    <w:p w14:paraId="472DF6B4" w14:textId="645BB6D5" w:rsidR="00251B9E" w:rsidRDefault="00F8343A" w:rsidP="001240FD">
      <w:pPr>
        <w:pStyle w:val="ParaTab1"/>
        <w:tabs>
          <w:tab w:val="left" w:pos="2070"/>
        </w:tabs>
        <w:spacing w:line="360" w:lineRule="auto"/>
      </w:pPr>
      <w:r>
        <w:t xml:space="preserve">On </w:t>
      </w:r>
      <w:r w:rsidR="00251B9E">
        <w:t>February 13, 2018</w:t>
      </w:r>
      <w:r>
        <w:t xml:space="preserve">, </w:t>
      </w:r>
      <w:r w:rsidR="001240FD">
        <w:t xml:space="preserve">a prehearing conference was held in the above-captioned matter.  Appearing for </w:t>
      </w:r>
      <w:r w:rsidR="004545F7">
        <w:t xml:space="preserve">the Complainant, </w:t>
      </w:r>
      <w:r w:rsidR="00251B9E">
        <w:t>Ultimate Sports Co., Inc.</w:t>
      </w:r>
      <w:r w:rsidR="004545F7">
        <w:t>,</w:t>
      </w:r>
      <w:r w:rsidR="00251B9E">
        <w:t xml:space="preserve"> was Thomas E. </w:t>
      </w:r>
      <w:proofErr w:type="spellStart"/>
      <w:r w:rsidR="00251B9E">
        <w:t>Groshens</w:t>
      </w:r>
      <w:proofErr w:type="spellEnd"/>
      <w:r w:rsidR="00251B9E">
        <w:t xml:space="preserve">, Esquire.  Appearing for the </w:t>
      </w:r>
      <w:r w:rsidR="004545F7">
        <w:t xml:space="preserve">Intervenor, </w:t>
      </w:r>
      <w:r w:rsidR="00251B9E">
        <w:t>Office of Small Business Advocate</w:t>
      </w:r>
      <w:r w:rsidR="004545F7">
        <w:t>,</w:t>
      </w:r>
      <w:r w:rsidR="00251B9E">
        <w:t xml:space="preserve"> was Steve Gray, Esquire.  Appearing for </w:t>
      </w:r>
      <w:r w:rsidR="004545F7">
        <w:t xml:space="preserve">the Respondent, </w:t>
      </w:r>
      <w:r w:rsidR="00251B9E">
        <w:t>PPL Electric Utilities Corporation</w:t>
      </w:r>
      <w:r w:rsidR="004545F7">
        <w:t>,</w:t>
      </w:r>
      <w:r w:rsidR="00251B9E">
        <w:t xml:space="preserve"> was Kimberly Krupka, Esquire.  </w:t>
      </w:r>
    </w:p>
    <w:p w14:paraId="3C96817D" w14:textId="77777777" w:rsidR="00251B9E" w:rsidRDefault="00251B9E" w:rsidP="001240FD">
      <w:pPr>
        <w:pStyle w:val="ParaTab1"/>
        <w:tabs>
          <w:tab w:val="left" w:pos="2070"/>
        </w:tabs>
        <w:spacing w:line="360" w:lineRule="auto"/>
      </w:pPr>
    </w:p>
    <w:p w14:paraId="5E7840D4" w14:textId="2D820610" w:rsidR="00583D20" w:rsidRDefault="001240FD" w:rsidP="001240FD">
      <w:pPr>
        <w:pStyle w:val="ParaTab1"/>
        <w:tabs>
          <w:tab w:val="left" w:pos="2070"/>
        </w:tabs>
        <w:spacing w:line="360" w:lineRule="auto"/>
      </w:pPr>
      <w:r>
        <w:t xml:space="preserve">This order sets forth the procedural matters addressed at the prehearing conference. </w:t>
      </w:r>
    </w:p>
    <w:p w14:paraId="465BDD48" w14:textId="77777777" w:rsidR="001240FD" w:rsidRDefault="001240FD" w:rsidP="001240FD">
      <w:pPr>
        <w:pStyle w:val="ParaTab1"/>
        <w:tabs>
          <w:tab w:val="left" w:pos="2070"/>
        </w:tabs>
        <w:spacing w:line="360" w:lineRule="auto"/>
      </w:pPr>
    </w:p>
    <w:p w14:paraId="4D44EBF2" w14:textId="77777777" w:rsidR="001240FD" w:rsidRDefault="001240FD" w:rsidP="001240FD">
      <w:pPr>
        <w:pStyle w:val="ParaTab1"/>
        <w:tabs>
          <w:tab w:val="left" w:pos="2070"/>
        </w:tabs>
        <w:spacing w:line="360" w:lineRule="auto"/>
      </w:pPr>
      <w:r>
        <w:t>THEREFORE,</w:t>
      </w:r>
    </w:p>
    <w:p w14:paraId="681C861E" w14:textId="77777777" w:rsidR="001240FD" w:rsidRDefault="001240FD" w:rsidP="001240FD">
      <w:pPr>
        <w:pStyle w:val="ParaTab1"/>
        <w:tabs>
          <w:tab w:val="left" w:pos="2070"/>
        </w:tabs>
        <w:spacing w:line="360" w:lineRule="auto"/>
      </w:pPr>
    </w:p>
    <w:p w14:paraId="2952199F" w14:textId="77777777" w:rsidR="001240FD" w:rsidRDefault="001240FD" w:rsidP="001240FD">
      <w:pPr>
        <w:pStyle w:val="ParaTab1"/>
        <w:tabs>
          <w:tab w:val="left" w:pos="2070"/>
        </w:tabs>
        <w:spacing w:line="360" w:lineRule="auto"/>
      </w:pPr>
      <w:r>
        <w:t>IT IS ORDERED:</w:t>
      </w:r>
    </w:p>
    <w:p w14:paraId="4DADB1BE" w14:textId="77777777" w:rsidR="001240FD" w:rsidRDefault="001240FD" w:rsidP="001240FD">
      <w:pPr>
        <w:pStyle w:val="ParaTab1"/>
        <w:tabs>
          <w:tab w:val="left" w:pos="2070"/>
        </w:tabs>
        <w:spacing w:line="360" w:lineRule="auto"/>
      </w:pPr>
    </w:p>
    <w:p w14:paraId="1B889CB8" w14:textId="77777777" w:rsidR="00BC67A4" w:rsidRDefault="001240FD" w:rsidP="00BC67A4">
      <w:pPr>
        <w:pStyle w:val="ParaTab1"/>
        <w:tabs>
          <w:tab w:val="left" w:pos="2070"/>
        </w:tabs>
        <w:spacing w:line="360" w:lineRule="auto"/>
      </w:pPr>
      <w:r>
        <w:t>1.</w:t>
      </w:r>
      <w:r>
        <w:tab/>
        <w:t xml:space="preserve">That </w:t>
      </w:r>
      <w:r w:rsidR="00BC67A4">
        <w:t xml:space="preserve">pursuant to 52 Pa. Code §1.55, the service list is </w:t>
      </w:r>
      <w:r w:rsidR="00CE1635">
        <w:t xml:space="preserve">as </w:t>
      </w:r>
      <w:r w:rsidR="00BC67A4">
        <w:t>attached to this order.</w:t>
      </w:r>
    </w:p>
    <w:p w14:paraId="62F0F863" w14:textId="77777777" w:rsidR="00BC67A4" w:rsidRDefault="00BC67A4" w:rsidP="00BC67A4">
      <w:pPr>
        <w:pStyle w:val="ParaTab1"/>
        <w:tabs>
          <w:tab w:val="left" w:pos="2070"/>
        </w:tabs>
        <w:spacing w:line="360" w:lineRule="auto"/>
      </w:pPr>
    </w:p>
    <w:p w14:paraId="5175DAFC" w14:textId="77777777" w:rsidR="00BC67A4" w:rsidRDefault="00CA0791" w:rsidP="00BC67A4">
      <w:pPr>
        <w:pStyle w:val="ParaTab1"/>
        <w:tabs>
          <w:tab w:val="left" w:pos="2070"/>
        </w:tabs>
        <w:spacing w:line="360" w:lineRule="auto"/>
      </w:pPr>
      <w:r>
        <w:t>2</w:t>
      </w:r>
      <w:r w:rsidR="00BC67A4">
        <w:t>.</w:t>
      </w:r>
      <w:r w:rsidR="00BC67A4">
        <w:tab/>
        <w:t>That the following procedural schedule is adopted.</w:t>
      </w:r>
    </w:p>
    <w:p w14:paraId="0B136AEF" w14:textId="77777777" w:rsidR="00307A29" w:rsidRDefault="00307A29" w:rsidP="00A85435">
      <w:pPr>
        <w:spacing w:line="360" w:lineRule="auto"/>
        <w:ind w:firstLine="1440"/>
        <w:sectPr w:rsidR="00307A29">
          <w:footerReference w:type="default" r:id="rId8"/>
          <w:pgSz w:w="12240" w:h="15840"/>
          <w:pgMar w:top="1440" w:right="1440" w:bottom="1440" w:left="1440" w:header="720" w:footer="720" w:gutter="0"/>
          <w:cols w:space="720"/>
          <w:docGrid w:linePitch="360"/>
        </w:sectPr>
      </w:pPr>
    </w:p>
    <w:p w14:paraId="4F956EEC" w14:textId="1526C2FF" w:rsidR="000964EE" w:rsidRPr="000964EE" w:rsidRDefault="000964EE" w:rsidP="00A85435">
      <w:pPr>
        <w:spacing w:line="360" w:lineRule="auto"/>
        <w:ind w:firstLine="1440"/>
      </w:pPr>
    </w:p>
    <w:tbl>
      <w:tblPr>
        <w:tblStyle w:val="TableGrid1"/>
        <w:tblW w:w="0" w:type="auto"/>
        <w:tblInd w:w="1008" w:type="dxa"/>
        <w:tblLook w:val="04A0" w:firstRow="1" w:lastRow="0" w:firstColumn="1" w:lastColumn="0" w:noHBand="0" w:noVBand="1"/>
      </w:tblPr>
      <w:tblGrid>
        <w:gridCol w:w="3690"/>
        <w:gridCol w:w="3150"/>
      </w:tblGrid>
      <w:tr w:rsidR="000964EE" w:rsidRPr="000964EE" w14:paraId="5677AE57" w14:textId="77777777" w:rsidTr="00583D20">
        <w:tc>
          <w:tcPr>
            <w:tcW w:w="3690" w:type="dxa"/>
          </w:tcPr>
          <w:p w14:paraId="1EED67A1" w14:textId="7BA0C97C" w:rsidR="000964EE" w:rsidRPr="000964EE" w:rsidRDefault="004545F7" w:rsidP="007811D1">
            <w:pPr>
              <w:spacing w:line="360" w:lineRule="auto"/>
            </w:pPr>
            <w:r>
              <w:t>Written Dir</w:t>
            </w:r>
            <w:r w:rsidR="000964EE" w:rsidRPr="000964EE">
              <w:t>ect Testimony</w:t>
            </w:r>
          </w:p>
        </w:tc>
        <w:tc>
          <w:tcPr>
            <w:tcW w:w="3150" w:type="dxa"/>
          </w:tcPr>
          <w:p w14:paraId="14AD4689" w14:textId="6715805C" w:rsidR="000964EE" w:rsidRPr="000964EE" w:rsidRDefault="004545F7" w:rsidP="00583D20">
            <w:pPr>
              <w:spacing w:line="360" w:lineRule="auto"/>
            </w:pPr>
            <w:r>
              <w:t>March 27, 2018</w:t>
            </w:r>
          </w:p>
        </w:tc>
      </w:tr>
      <w:tr w:rsidR="000964EE" w:rsidRPr="000964EE" w14:paraId="55EF0F9E" w14:textId="77777777" w:rsidTr="00583D20">
        <w:tc>
          <w:tcPr>
            <w:tcW w:w="3690" w:type="dxa"/>
          </w:tcPr>
          <w:p w14:paraId="48681EC4" w14:textId="20B7312C" w:rsidR="000964EE" w:rsidRPr="000964EE" w:rsidRDefault="004545F7" w:rsidP="007811D1">
            <w:pPr>
              <w:spacing w:line="360" w:lineRule="auto"/>
            </w:pPr>
            <w:r>
              <w:t xml:space="preserve">Written Rebuttal </w:t>
            </w:r>
            <w:r w:rsidR="00CC5229">
              <w:t>Testimony</w:t>
            </w:r>
            <w:r>
              <w:t xml:space="preserve"> (all)</w:t>
            </w:r>
          </w:p>
        </w:tc>
        <w:tc>
          <w:tcPr>
            <w:tcW w:w="3150" w:type="dxa"/>
          </w:tcPr>
          <w:p w14:paraId="5D7112E7" w14:textId="36015025" w:rsidR="000964EE" w:rsidRPr="000964EE" w:rsidRDefault="00A024C2" w:rsidP="00583D20">
            <w:pPr>
              <w:spacing w:line="360" w:lineRule="auto"/>
            </w:pPr>
            <w:r>
              <w:t>April 27, 2018</w:t>
            </w:r>
          </w:p>
        </w:tc>
      </w:tr>
      <w:tr w:rsidR="000964EE" w:rsidRPr="000964EE" w14:paraId="3560B0C4" w14:textId="77777777" w:rsidTr="00583D20">
        <w:tc>
          <w:tcPr>
            <w:tcW w:w="3690" w:type="dxa"/>
          </w:tcPr>
          <w:p w14:paraId="05A56F59" w14:textId="77777777" w:rsidR="000964EE" w:rsidRPr="000964EE" w:rsidRDefault="00CC5229" w:rsidP="00BC67A4">
            <w:pPr>
              <w:spacing w:line="360" w:lineRule="auto"/>
            </w:pPr>
            <w:r>
              <w:t>Surrebuttal</w:t>
            </w:r>
            <w:r w:rsidR="007D2D9D">
              <w:t xml:space="preserve"> Testimony</w:t>
            </w:r>
          </w:p>
        </w:tc>
        <w:tc>
          <w:tcPr>
            <w:tcW w:w="3150" w:type="dxa"/>
          </w:tcPr>
          <w:p w14:paraId="36AD674C" w14:textId="27E05C97" w:rsidR="000964EE" w:rsidRPr="000964EE" w:rsidRDefault="00A024C2" w:rsidP="00583D20">
            <w:pPr>
              <w:spacing w:line="360" w:lineRule="auto"/>
            </w:pPr>
            <w:r>
              <w:t>May 22, 2018</w:t>
            </w:r>
          </w:p>
        </w:tc>
      </w:tr>
      <w:tr w:rsidR="007D2D9D" w:rsidRPr="000964EE" w14:paraId="0D8A245B" w14:textId="77777777" w:rsidTr="00583D20">
        <w:tc>
          <w:tcPr>
            <w:tcW w:w="3690" w:type="dxa"/>
          </w:tcPr>
          <w:p w14:paraId="596A2718" w14:textId="77777777" w:rsidR="007D2D9D" w:rsidRDefault="007D2D9D" w:rsidP="000964EE">
            <w:pPr>
              <w:spacing w:line="360" w:lineRule="auto"/>
            </w:pPr>
            <w:r>
              <w:t>Oral Rejoinder and Hearing</w:t>
            </w:r>
          </w:p>
        </w:tc>
        <w:tc>
          <w:tcPr>
            <w:tcW w:w="3150" w:type="dxa"/>
          </w:tcPr>
          <w:p w14:paraId="586AA007" w14:textId="6620A962" w:rsidR="007D2D9D" w:rsidRDefault="00A024C2" w:rsidP="00BC67A4">
            <w:pPr>
              <w:spacing w:line="360" w:lineRule="auto"/>
            </w:pPr>
            <w:r>
              <w:t>May 31, 2018</w:t>
            </w:r>
          </w:p>
        </w:tc>
      </w:tr>
      <w:tr w:rsidR="00583D20" w:rsidRPr="000964EE" w14:paraId="70DF3C9E" w14:textId="77777777" w:rsidTr="00583D20">
        <w:tc>
          <w:tcPr>
            <w:tcW w:w="3690" w:type="dxa"/>
          </w:tcPr>
          <w:p w14:paraId="07A17B8C" w14:textId="77777777" w:rsidR="00583D20" w:rsidRPr="000964EE" w:rsidRDefault="00583D20" w:rsidP="000964EE">
            <w:pPr>
              <w:spacing w:line="360" w:lineRule="auto"/>
            </w:pPr>
            <w:r>
              <w:t>Main Briefs</w:t>
            </w:r>
          </w:p>
        </w:tc>
        <w:tc>
          <w:tcPr>
            <w:tcW w:w="3150" w:type="dxa"/>
          </w:tcPr>
          <w:p w14:paraId="590D5E15" w14:textId="5FBEA55F" w:rsidR="00583D20" w:rsidRDefault="00A024C2" w:rsidP="00BC67A4">
            <w:pPr>
              <w:spacing w:line="360" w:lineRule="auto"/>
            </w:pPr>
            <w:r>
              <w:t>June 22,</w:t>
            </w:r>
            <w:r w:rsidR="007D2D9D">
              <w:t xml:space="preserve"> 2018</w:t>
            </w:r>
          </w:p>
        </w:tc>
      </w:tr>
      <w:tr w:rsidR="00583D20" w:rsidRPr="000964EE" w14:paraId="5CD66578" w14:textId="77777777" w:rsidTr="00583D20">
        <w:tc>
          <w:tcPr>
            <w:tcW w:w="3690" w:type="dxa"/>
          </w:tcPr>
          <w:p w14:paraId="3F25764E" w14:textId="77777777" w:rsidR="00583D20" w:rsidRDefault="00583D20" w:rsidP="000964EE">
            <w:pPr>
              <w:spacing w:line="360" w:lineRule="auto"/>
            </w:pPr>
            <w:r>
              <w:t>Reply Briefs</w:t>
            </w:r>
          </w:p>
        </w:tc>
        <w:tc>
          <w:tcPr>
            <w:tcW w:w="3150" w:type="dxa"/>
          </w:tcPr>
          <w:p w14:paraId="1B386063" w14:textId="52E61393" w:rsidR="00583D20" w:rsidRDefault="00A024C2" w:rsidP="00BC67A4">
            <w:pPr>
              <w:spacing w:line="360" w:lineRule="auto"/>
            </w:pPr>
            <w:r>
              <w:t>July 6</w:t>
            </w:r>
            <w:r w:rsidR="00BC67A4">
              <w:t>, 201</w:t>
            </w:r>
            <w:r w:rsidR="007D2D9D">
              <w:t>8</w:t>
            </w:r>
          </w:p>
        </w:tc>
      </w:tr>
    </w:tbl>
    <w:p w14:paraId="27FF8C94" w14:textId="77777777" w:rsidR="000964EE" w:rsidRPr="000964EE" w:rsidRDefault="000964EE" w:rsidP="000964EE">
      <w:pPr>
        <w:spacing w:line="360" w:lineRule="auto"/>
      </w:pPr>
    </w:p>
    <w:p w14:paraId="11C0D765" w14:textId="77777777" w:rsidR="00BC67A4" w:rsidRDefault="00BC67A4" w:rsidP="000964EE">
      <w:pPr>
        <w:spacing w:line="360" w:lineRule="auto"/>
      </w:pPr>
    </w:p>
    <w:p w14:paraId="2E13F810" w14:textId="393EA6B9" w:rsidR="000964EE" w:rsidRPr="000964EE" w:rsidRDefault="00BC67A4" w:rsidP="000964EE">
      <w:pPr>
        <w:spacing w:line="360" w:lineRule="auto"/>
      </w:pPr>
      <w:r>
        <w:tab/>
      </w:r>
      <w:r>
        <w:tab/>
      </w:r>
      <w:r w:rsidR="00CA0791">
        <w:t>3</w:t>
      </w:r>
      <w:r>
        <w:t>.</w:t>
      </w:r>
      <w:r>
        <w:tab/>
        <w:t>That t</w:t>
      </w:r>
      <w:r w:rsidR="007811D1">
        <w:t xml:space="preserve">he </w:t>
      </w:r>
      <w:r w:rsidR="00CE1635">
        <w:t xml:space="preserve">evidentiary </w:t>
      </w:r>
      <w:r w:rsidR="007811D1">
        <w:t>h</w:t>
      </w:r>
      <w:r w:rsidR="000964EE" w:rsidRPr="000964EE">
        <w:t>earing will be held in Harrisburg in a</w:t>
      </w:r>
      <w:r w:rsidR="00425D65">
        <w:t>n available</w:t>
      </w:r>
      <w:r w:rsidR="000964EE" w:rsidRPr="000964EE">
        <w:t xml:space="preserve"> hearing room in the Commonwealth Keystone Building and will begin at 10:00 a.m. </w:t>
      </w:r>
      <w:r w:rsidR="00E15AFD">
        <w:t xml:space="preserve">on </w:t>
      </w:r>
      <w:r w:rsidR="00A024C2">
        <w:t>May 31</w:t>
      </w:r>
      <w:r w:rsidR="00CC5229">
        <w:t>, 2018</w:t>
      </w:r>
      <w:r w:rsidR="00E15AFD">
        <w:t>.</w:t>
      </w:r>
    </w:p>
    <w:p w14:paraId="4F204465" w14:textId="77777777" w:rsidR="000964EE" w:rsidRDefault="000964EE" w:rsidP="000964EE">
      <w:pPr>
        <w:spacing w:line="360" w:lineRule="auto"/>
      </w:pPr>
    </w:p>
    <w:p w14:paraId="23ECB494" w14:textId="77777777" w:rsidR="003860F7" w:rsidRDefault="00BC67A4" w:rsidP="000964EE">
      <w:pPr>
        <w:spacing w:line="360" w:lineRule="auto"/>
      </w:pPr>
      <w:r>
        <w:tab/>
      </w:r>
      <w:r>
        <w:tab/>
      </w:r>
      <w:r w:rsidR="00CA0791">
        <w:t>4</w:t>
      </w:r>
      <w:r>
        <w:t>.</w:t>
      </w:r>
      <w:r>
        <w:tab/>
      </w:r>
      <w:r w:rsidR="003860F7">
        <w:t xml:space="preserve">That the transcript turnaround </w:t>
      </w:r>
      <w:r w:rsidR="00CE1635">
        <w:t xml:space="preserve">time </w:t>
      </w:r>
      <w:r w:rsidR="003860F7">
        <w:t xml:space="preserve">for the evidentiary hearing shall be </w:t>
      </w:r>
      <w:r w:rsidR="00CC5229">
        <w:t>five</w:t>
      </w:r>
      <w:r w:rsidR="007D2D9D">
        <w:t xml:space="preserve"> (</w:t>
      </w:r>
      <w:r w:rsidR="00CC5229">
        <w:t>5</w:t>
      </w:r>
      <w:r w:rsidR="007D2D9D">
        <w:t>)</w:t>
      </w:r>
      <w:r w:rsidR="003860F7">
        <w:t xml:space="preserve"> days. </w:t>
      </w:r>
    </w:p>
    <w:p w14:paraId="4AD85C18" w14:textId="77777777" w:rsidR="003860F7" w:rsidRDefault="003860F7" w:rsidP="000964EE">
      <w:pPr>
        <w:spacing w:line="360" w:lineRule="auto"/>
      </w:pPr>
    </w:p>
    <w:p w14:paraId="6951E5C0" w14:textId="6E8AA157" w:rsidR="00BC67A4" w:rsidRDefault="003860F7" w:rsidP="000964EE">
      <w:pPr>
        <w:spacing w:line="360" w:lineRule="auto"/>
      </w:pPr>
      <w:r>
        <w:tab/>
      </w:r>
      <w:r>
        <w:tab/>
      </w:r>
      <w:r w:rsidR="00CA0791">
        <w:t>5</w:t>
      </w:r>
      <w:r>
        <w:t>.</w:t>
      </w:r>
      <w:r>
        <w:tab/>
      </w:r>
      <w:r w:rsidR="00BC67A4">
        <w:t xml:space="preserve">That </w:t>
      </w:r>
      <w:r>
        <w:t xml:space="preserve">the parties are encouraged to discuss settlement negotiations and </w:t>
      </w:r>
      <w:r w:rsidR="007D2D9D">
        <w:t>if</w:t>
      </w:r>
      <w:r w:rsidR="00BC67A4">
        <w:t xml:space="preserve"> an amicable agreement </w:t>
      </w:r>
      <w:r>
        <w:t xml:space="preserve">is reached </w:t>
      </w:r>
      <w:r w:rsidR="00BC67A4">
        <w:t xml:space="preserve">prior to </w:t>
      </w:r>
      <w:r w:rsidR="00D469B7">
        <w:t>the hearing</w:t>
      </w:r>
      <w:r w:rsidR="00BC67A4">
        <w:t xml:space="preserve">, </w:t>
      </w:r>
      <w:r w:rsidR="00A024C2">
        <w:t xml:space="preserve">either a Certificate of Satisfaction or </w:t>
      </w:r>
      <w:r w:rsidR="007D2D9D">
        <w:t>a Joint Petition for Settlement with Statements in Support should be filed</w:t>
      </w:r>
      <w:r w:rsidR="00BC67A4">
        <w:t>.</w:t>
      </w:r>
    </w:p>
    <w:p w14:paraId="05E7D936" w14:textId="77777777" w:rsidR="003860F7" w:rsidRDefault="003860F7" w:rsidP="000964EE">
      <w:pPr>
        <w:spacing w:line="360" w:lineRule="auto"/>
      </w:pPr>
    </w:p>
    <w:p w14:paraId="2A8493A8" w14:textId="138DA69F" w:rsidR="00E15AFD" w:rsidRDefault="003860F7" w:rsidP="00E15AFD">
      <w:pPr>
        <w:spacing w:line="360" w:lineRule="auto"/>
      </w:pPr>
      <w:r>
        <w:tab/>
      </w:r>
      <w:r>
        <w:tab/>
      </w:r>
      <w:r w:rsidR="00CA0791">
        <w:t>6</w:t>
      </w:r>
      <w:r>
        <w:t>.</w:t>
      </w:r>
      <w:r>
        <w:tab/>
        <w:t xml:space="preserve">That counsel for </w:t>
      </w:r>
      <w:r w:rsidR="00A024C2">
        <w:t>PPL Electric Utilities Corporation</w:t>
      </w:r>
      <w:r w:rsidR="007D2D9D">
        <w:t xml:space="preserve"> </w:t>
      </w:r>
      <w:r>
        <w:t xml:space="preserve">shall coordinate the order of witnesses and </w:t>
      </w:r>
      <w:r w:rsidR="00E15AFD">
        <w:t xml:space="preserve">estimated time for cross-examination by each </w:t>
      </w:r>
      <w:r w:rsidR="00A024C2">
        <w:t>party and</w:t>
      </w:r>
      <w:r w:rsidR="00E15AFD">
        <w:t xml:space="preserve"> will supply a copy of the witness order to </w:t>
      </w:r>
      <w:r>
        <w:t xml:space="preserve">the presiding officer </w:t>
      </w:r>
      <w:r w:rsidR="007D2D9D">
        <w:t xml:space="preserve">by </w:t>
      </w:r>
      <w:r w:rsidR="00A024C2">
        <w:t>May 30, 2018</w:t>
      </w:r>
      <w:r w:rsidR="00E15AFD">
        <w:t xml:space="preserve">.  </w:t>
      </w:r>
    </w:p>
    <w:p w14:paraId="3B215FDC" w14:textId="77777777" w:rsidR="00E15AFD" w:rsidRDefault="00E15AFD" w:rsidP="00E15AFD">
      <w:pPr>
        <w:spacing w:line="360" w:lineRule="auto"/>
        <w:rPr>
          <w:u w:val="single"/>
        </w:rPr>
      </w:pPr>
    </w:p>
    <w:p w14:paraId="0A674DDF" w14:textId="4AC98988" w:rsidR="00E15AFD" w:rsidRDefault="003860F7" w:rsidP="00E15AFD">
      <w:pPr>
        <w:spacing w:line="360" w:lineRule="auto"/>
      </w:pPr>
      <w:r>
        <w:tab/>
      </w:r>
      <w:r>
        <w:tab/>
      </w:r>
      <w:r w:rsidR="00CA0791">
        <w:t>7</w:t>
      </w:r>
      <w:r>
        <w:t>.</w:t>
      </w:r>
      <w:r>
        <w:tab/>
        <w:t>That m</w:t>
      </w:r>
      <w:r w:rsidR="00E15AFD">
        <w:t xml:space="preserve">otions or objections with respect to written testimony must be presented in writing and provided to the parties and the presiding officer no later than close of business on </w:t>
      </w:r>
      <w:r w:rsidR="00A024C2">
        <w:t>May 25</w:t>
      </w:r>
      <w:r w:rsidR="00CC5229">
        <w:t>, 2018</w:t>
      </w:r>
      <w:r w:rsidR="00E15AFD">
        <w:t xml:space="preserve">.   </w:t>
      </w:r>
    </w:p>
    <w:p w14:paraId="38231A69" w14:textId="77777777" w:rsidR="00CE1635" w:rsidRDefault="00CE1635" w:rsidP="00E15AFD">
      <w:pPr>
        <w:spacing w:line="360" w:lineRule="auto"/>
      </w:pPr>
    </w:p>
    <w:p w14:paraId="1AF99AB4" w14:textId="77777777" w:rsidR="00307A29" w:rsidRDefault="00CE1635" w:rsidP="00CE1635">
      <w:pPr>
        <w:spacing w:line="360" w:lineRule="auto"/>
        <w:rPr>
          <w:spacing w:val="-3"/>
        </w:rPr>
        <w:sectPr w:rsidR="00307A29">
          <w:footerReference w:type="default" r:id="rId9"/>
          <w:pgSz w:w="12240" w:h="15840"/>
          <w:pgMar w:top="1440" w:right="1440" w:bottom="1440" w:left="1440" w:header="720" w:footer="720" w:gutter="0"/>
          <w:cols w:space="720"/>
          <w:docGrid w:linePitch="360"/>
        </w:sectPr>
      </w:pPr>
      <w:r>
        <w:tab/>
      </w:r>
      <w:r>
        <w:tab/>
      </w:r>
      <w:r w:rsidR="00CA0791">
        <w:t>8</w:t>
      </w:r>
      <w:r>
        <w:t>.</w:t>
      </w:r>
      <w:r>
        <w:tab/>
      </w:r>
      <w:r w:rsidR="000964EE" w:rsidRPr="000964EE">
        <w:t>That the parties shall conduct discovery, attend hearings, or present or cross-examine witnesses, as appropriate.  T</w:t>
      </w:r>
      <w:r w:rsidR="000964EE" w:rsidRPr="000964EE">
        <w:rPr>
          <w:spacing w:val="-3"/>
        </w:rPr>
        <w:t>he parties shall serve the documents listed above so that the documents are received in-hand by the parties and presiding officer no later than 4:</w:t>
      </w:r>
      <w:r w:rsidR="003860F7">
        <w:rPr>
          <w:spacing w:val="-3"/>
        </w:rPr>
        <w:t>3</w:t>
      </w:r>
      <w:r w:rsidR="000964EE" w:rsidRPr="000964EE">
        <w:rPr>
          <w:spacing w:val="-3"/>
        </w:rPr>
        <w:t xml:space="preserve">0 p.m. on </w:t>
      </w:r>
    </w:p>
    <w:p w14:paraId="35B9030A" w14:textId="34CC4180" w:rsidR="00CE1635" w:rsidRDefault="000964EE" w:rsidP="00CE1635">
      <w:pPr>
        <w:spacing w:line="360" w:lineRule="auto"/>
      </w:pPr>
      <w:r w:rsidRPr="000964EE">
        <w:rPr>
          <w:spacing w:val="-3"/>
        </w:rPr>
        <w:t xml:space="preserve">the dates listed, unless otherwise indicated.  Parties may serve the documents listed </w:t>
      </w:r>
      <w:r w:rsidR="00D469B7">
        <w:rPr>
          <w:spacing w:val="-3"/>
        </w:rPr>
        <w:t xml:space="preserve">in Ordering Paragraph No. </w:t>
      </w:r>
      <w:r w:rsidR="00CA0791">
        <w:rPr>
          <w:spacing w:val="-3"/>
        </w:rPr>
        <w:t>2</w:t>
      </w:r>
      <w:r w:rsidRPr="000964EE">
        <w:rPr>
          <w:spacing w:val="-3"/>
        </w:rPr>
        <w:t xml:space="preserve"> via e-mail to meet this requirement, with hard copy to follow by regular first class mail, so long as the electronic version is Microsoft Word compatible.  Parties shall not file testimony with the Commission, but shall file a certificate of service.  </w:t>
      </w:r>
    </w:p>
    <w:p w14:paraId="15B668C2" w14:textId="77777777" w:rsidR="00CE1635" w:rsidRDefault="00CE1635" w:rsidP="00CE1635">
      <w:pPr>
        <w:spacing w:line="360" w:lineRule="auto"/>
      </w:pPr>
    </w:p>
    <w:p w14:paraId="11DD90F4" w14:textId="77777777" w:rsidR="00CE1635" w:rsidRDefault="00CE1635" w:rsidP="00CE1635">
      <w:pPr>
        <w:spacing w:line="360" w:lineRule="auto"/>
      </w:pPr>
      <w:r>
        <w:tab/>
      </w:r>
      <w:r>
        <w:tab/>
      </w:r>
      <w:r w:rsidR="00CA0791">
        <w:t>9</w:t>
      </w:r>
      <w:r>
        <w:t>.</w:t>
      </w:r>
      <w:r>
        <w:tab/>
      </w:r>
      <w:r w:rsidR="000964EE" w:rsidRPr="000964EE">
        <w:t xml:space="preserve">That written testimony shall comply with the requirements of 52 </w:t>
      </w:r>
      <w:proofErr w:type="gramStart"/>
      <w:r w:rsidR="000964EE" w:rsidRPr="000964EE">
        <w:t>Pa.Code</w:t>
      </w:r>
      <w:proofErr w:type="gramEnd"/>
      <w:r w:rsidR="000964EE" w:rsidRPr="000964EE">
        <w:t xml:space="preserve"> § 5.412 and shall be marked with numerical, sequential statement numbers.  Parties serving pre-served testimony pursuant to 52 Pa.Code § 5.412(f) are required, within thirty (30) days after the final hearing, to either eFile with or provide to the Secretary’s Bureau a Compact Disc (CD) containing all testimony furnished to the court reporter during the proceeding, consistent with the Commission’s Implementation Order, dated January 10, 2013, at Docket No. M-2012-2331973.</w:t>
      </w:r>
    </w:p>
    <w:p w14:paraId="7C0E9623" w14:textId="77777777" w:rsidR="00CE1635" w:rsidRDefault="00CE1635" w:rsidP="00CE1635">
      <w:pPr>
        <w:spacing w:line="360" w:lineRule="auto"/>
      </w:pPr>
    </w:p>
    <w:p w14:paraId="56A2B114" w14:textId="77777777" w:rsidR="00CE1635" w:rsidRDefault="00CE1635" w:rsidP="00CE1635">
      <w:pPr>
        <w:spacing w:line="360" w:lineRule="auto"/>
      </w:pPr>
      <w:r>
        <w:tab/>
      </w:r>
      <w:r>
        <w:tab/>
        <w:t>1</w:t>
      </w:r>
      <w:r w:rsidR="00CA0791">
        <w:t>0</w:t>
      </w:r>
      <w:r>
        <w:t>.</w:t>
      </w:r>
      <w:r>
        <w:tab/>
      </w:r>
      <w:r w:rsidR="000964EE" w:rsidRPr="000964EE">
        <w:t xml:space="preserve">That all parties shall comply with the provisions of 52 </w:t>
      </w:r>
      <w:proofErr w:type="gramStart"/>
      <w:r w:rsidR="000964EE" w:rsidRPr="000964EE">
        <w:t>Pa.Code</w:t>
      </w:r>
      <w:proofErr w:type="gramEnd"/>
      <w:r w:rsidR="000964EE" w:rsidRPr="000964EE">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3A70298D" w14:textId="77777777" w:rsidR="00CE1635" w:rsidRDefault="00CE1635" w:rsidP="00CE1635">
      <w:pPr>
        <w:spacing w:line="360" w:lineRule="auto"/>
      </w:pPr>
    </w:p>
    <w:p w14:paraId="7BF6E587" w14:textId="6C988997" w:rsidR="009A4733" w:rsidRDefault="00CE1635" w:rsidP="00CC5229">
      <w:pPr>
        <w:spacing w:line="360" w:lineRule="auto"/>
      </w:pPr>
      <w:r>
        <w:tab/>
      </w:r>
      <w:r>
        <w:tab/>
        <w:t>1</w:t>
      </w:r>
      <w:r w:rsidR="00CA0791">
        <w:t>1</w:t>
      </w:r>
      <w:r>
        <w:t>.</w:t>
      </w:r>
      <w:r>
        <w:tab/>
      </w:r>
      <w:r w:rsidR="000964EE" w:rsidRPr="000964EE">
        <w:t xml:space="preserve">That the parties shall conduct discovery pursuant to 52 </w:t>
      </w:r>
      <w:proofErr w:type="spellStart"/>
      <w:proofErr w:type="gramStart"/>
      <w:r w:rsidR="000964EE" w:rsidRPr="000964EE">
        <w:t>Pa.Code</w:t>
      </w:r>
      <w:proofErr w:type="spellEnd"/>
      <w:proofErr w:type="gramEnd"/>
      <w:r w:rsidR="000964EE" w:rsidRPr="000964EE">
        <w:t xml:space="preserve"> §§5.321-5.373</w:t>
      </w:r>
      <w:r w:rsidR="00A024C2">
        <w:t xml:space="preserve"> subject to the following modifications</w:t>
      </w:r>
      <w:r w:rsidR="009A4733">
        <w:t>.</w:t>
      </w:r>
    </w:p>
    <w:p w14:paraId="32E34FCE" w14:textId="6AF96C3D" w:rsidR="00A024C2" w:rsidRDefault="00A024C2" w:rsidP="00CC5229">
      <w:pPr>
        <w:spacing w:line="360" w:lineRule="auto"/>
      </w:pPr>
      <w:r>
        <w:tab/>
      </w:r>
      <w:r>
        <w:tab/>
      </w:r>
      <w:r>
        <w:tab/>
        <w:t>a.</w:t>
      </w:r>
      <w:r>
        <w:tab/>
      </w:r>
      <w:r w:rsidR="00043CA7">
        <w:t>A</w:t>
      </w:r>
      <w:r>
        <w:t xml:space="preserve">ll responsive documents in the form of email </w:t>
      </w:r>
      <w:r w:rsidR="00043CA7">
        <w:t>exchanges</w:t>
      </w:r>
      <w:r>
        <w:t xml:space="preserve">, if extent, be produced to or by Ultimate Sports Company, Inc. </w:t>
      </w:r>
      <w:r w:rsidR="00043CA7">
        <w:t xml:space="preserve">shall be </w:t>
      </w:r>
      <w:r>
        <w:t>in native file format, i.e. as .</w:t>
      </w:r>
      <w:proofErr w:type="spellStart"/>
      <w:r>
        <w:t>msg</w:t>
      </w:r>
      <w:proofErr w:type="spellEnd"/>
      <w:r>
        <w:t xml:space="preserve"> or .</w:t>
      </w:r>
      <w:proofErr w:type="spellStart"/>
      <w:r>
        <w:t>pst</w:t>
      </w:r>
      <w:proofErr w:type="spellEnd"/>
      <w:r>
        <w:t xml:space="preserve"> files with all metadata preserved.</w:t>
      </w:r>
    </w:p>
    <w:p w14:paraId="37279A4F" w14:textId="32CD3C43" w:rsidR="00A024C2" w:rsidRDefault="00043CA7" w:rsidP="00CC5229">
      <w:pPr>
        <w:spacing w:line="360" w:lineRule="auto"/>
      </w:pPr>
      <w:r>
        <w:tab/>
      </w:r>
      <w:r>
        <w:tab/>
      </w:r>
      <w:r>
        <w:tab/>
        <w:t>b.</w:t>
      </w:r>
      <w:r>
        <w:tab/>
        <w:t>Answers to written interrogatories shall be served in-hand within ten</w:t>
      </w:r>
      <w:r w:rsidR="00BE1644">
        <w:t xml:space="preserve"> </w:t>
      </w:r>
      <w:r>
        <w:t>(10) calendar days of service.  Discovery requests received after Noon on a Friday will be deemed as served on the following Monday.</w:t>
      </w:r>
    </w:p>
    <w:p w14:paraId="56FB1DCC" w14:textId="1C273532" w:rsidR="00043CA7" w:rsidRDefault="00043CA7" w:rsidP="00CC5229">
      <w:pPr>
        <w:spacing w:line="360" w:lineRule="auto"/>
      </w:pPr>
      <w:r>
        <w:tab/>
      </w:r>
      <w:r>
        <w:tab/>
      </w:r>
      <w:r>
        <w:tab/>
        <w:t>c.</w:t>
      </w:r>
      <w:r>
        <w:tab/>
        <w:t>Objections to interrogatories shall be communicated orally within five (5) calendar days of service of the interrogatories.</w:t>
      </w:r>
    </w:p>
    <w:p w14:paraId="27306DD9" w14:textId="7DBA3F17" w:rsidR="00043CA7" w:rsidRDefault="00043CA7" w:rsidP="00CC5229">
      <w:pPr>
        <w:spacing w:line="360" w:lineRule="auto"/>
      </w:pPr>
      <w:r>
        <w:tab/>
      </w:r>
      <w:r>
        <w:tab/>
      </w:r>
      <w:r>
        <w:tab/>
        <w:t>d.</w:t>
      </w:r>
      <w:r>
        <w:tab/>
        <w:t xml:space="preserve">Motions to dismiss objections and/or direct the answering of interrogatories shall be filed within three calendar days of communication of the objections. </w:t>
      </w:r>
    </w:p>
    <w:p w14:paraId="6D135AF3" w14:textId="523886D5" w:rsidR="00043CA7" w:rsidRDefault="00043CA7" w:rsidP="00CC5229">
      <w:pPr>
        <w:spacing w:line="360" w:lineRule="auto"/>
      </w:pPr>
      <w:r>
        <w:tab/>
      </w:r>
      <w:r>
        <w:tab/>
      </w:r>
      <w:r>
        <w:tab/>
        <w:t>e.</w:t>
      </w:r>
      <w:r>
        <w:tab/>
        <w:t>Answers to motions to dismiss objections and/or answering of interrogatories shall be filed within three (3) calendar days of service of such motions.</w:t>
      </w:r>
    </w:p>
    <w:p w14:paraId="5D997ADC" w14:textId="3BC8A5AB" w:rsidR="00043CA7" w:rsidRDefault="00043CA7" w:rsidP="00CC5229">
      <w:pPr>
        <w:spacing w:line="360" w:lineRule="auto"/>
      </w:pPr>
      <w:r>
        <w:tab/>
      </w:r>
      <w:r>
        <w:tab/>
      </w:r>
      <w:r>
        <w:tab/>
        <w:t>f.</w:t>
      </w:r>
      <w:r>
        <w:tab/>
        <w:t xml:space="preserve">Responses to requests for document production, entry for inspection, or other </w:t>
      </w:r>
      <w:proofErr w:type="spellStart"/>
      <w:r>
        <w:t>pusposes</w:t>
      </w:r>
      <w:proofErr w:type="spellEnd"/>
      <w:r>
        <w:t xml:space="preserve"> must be served in-hand within ten (10) calendar days of service.</w:t>
      </w:r>
    </w:p>
    <w:p w14:paraId="1B886904" w14:textId="095B4DE8" w:rsidR="00043CA7" w:rsidRDefault="00043CA7" w:rsidP="00CC5229">
      <w:pPr>
        <w:spacing w:line="360" w:lineRule="auto"/>
      </w:pPr>
      <w:r>
        <w:tab/>
      </w:r>
      <w:r>
        <w:tab/>
      </w:r>
      <w:r>
        <w:tab/>
        <w:t>g.</w:t>
      </w:r>
      <w:r>
        <w:tab/>
        <w:t xml:space="preserve">Requests for admission will be deemed admitted unless answered within ten (10) calendar days or objected to within ten (10) calendar days of service. </w:t>
      </w:r>
    </w:p>
    <w:p w14:paraId="7AD71462" w14:textId="0267B642" w:rsidR="00043CA7" w:rsidRDefault="00043CA7" w:rsidP="00CC5229">
      <w:pPr>
        <w:spacing w:line="360" w:lineRule="auto"/>
      </w:pPr>
      <w:r>
        <w:tab/>
      </w:r>
      <w:r>
        <w:tab/>
      </w:r>
      <w:r>
        <w:tab/>
        <w:t>j.</w:t>
      </w:r>
      <w:r>
        <w:tab/>
        <w:t>Answers to on-the-record data requests shall be served in-hand within seven (7) calendar days of the requests.</w:t>
      </w:r>
    </w:p>
    <w:p w14:paraId="671C2EFF" w14:textId="62779C25" w:rsidR="00043CA7" w:rsidRDefault="00043CA7" w:rsidP="00CC5229">
      <w:pPr>
        <w:spacing w:line="360" w:lineRule="auto"/>
      </w:pPr>
      <w:r>
        <w:tab/>
      </w:r>
      <w:r>
        <w:tab/>
      </w:r>
      <w:r>
        <w:tab/>
      </w:r>
    </w:p>
    <w:p w14:paraId="5C1A7B87" w14:textId="77777777" w:rsidR="00CE1635" w:rsidRDefault="00CE1635" w:rsidP="00CE1635">
      <w:pPr>
        <w:spacing w:line="360" w:lineRule="auto"/>
      </w:pPr>
      <w:r>
        <w:tab/>
      </w:r>
      <w:r>
        <w:tab/>
        <w:t>1</w:t>
      </w:r>
      <w:r w:rsidR="00CA0791">
        <w:t>2</w:t>
      </w:r>
      <w:r>
        <w:t>.</w:t>
      </w:r>
      <w:r>
        <w:tab/>
      </w:r>
      <w:r w:rsidR="000964EE" w:rsidRPr="000964EE">
        <w:t xml:space="preserve">That the parties shall stipulate to any matters they reasonably can to expedite this proceeding, lessen the burden of time and expenses in litigation on all parties and conserve administrative hearing resources.  52 Pa.Code §§ 5.232 and 5.234.  </w:t>
      </w:r>
    </w:p>
    <w:p w14:paraId="7F01DA95" w14:textId="77777777" w:rsidR="00CE1635" w:rsidRDefault="00CE1635" w:rsidP="00CE1635">
      <w:pPr>
        <w:spacing w:line="360" w:lineRule="auto"/>
      </w:pPr>
    </w:p>
    <w:p w14:paraId="052B7F97" w14:textId="77777777" w:rsidR="00CE1635" w:rsidRDefault="00CE1635" w:rsidP="00CE1635">
      <w:pPr>
        <w:spacing w:line="360" w:lineRule="auto"/>
      </w:pPr>
      <w:r>
        <w:tab/>
      </w:r>
      <w:r>
        <w:tab/>
      </w:r>
      <w:r w:rsidR="00CA0791">
        <w:t>13</w:t>
      </w:r>
      <w:r>
        <w:t>.</w:t>
      </w:r>
      <w:r>
        <w:tab/>
      </w:r>
      <w:r w:rsidR="000964EE" w:rsidRPr="000964EE">
        <w:t>That the evidentiary hearings in this matter constitute a formal legal proceeding and will be conducted in accordance with the Commission’s Rules of Administrative Practice and Procedure, as well as the rules of evidence as applied to administrative hearings.</w:t>
      </w:r>
    </w:p>
    <w:p w14:paraId="70CA8843" w14:textId="77777777" w:rsidR="00CE1635" w:rsidRDefault="00CE1635" w:rsidP="00CE1635">
      <w:pPr>
        <w:spacing w:line="360" w:lineRule="auto"/>
      </w:pPr>
    </w:p>
    <w:p w14:paraId="6A7A7AE6" w14:textId="2D6EE540" w:rsidR="000964EE" w:rsidRPr="000964EE" w:rsidRDefault="00CE1635" w:rsidP="00043CA7">
      <w:pPr>
        <w:spacing w:line="360" w:lineRule="auto"/>
      </w:pPr>
      <w:r>
        <w:tab/>
      </w:r>
      <w:r w:rsidR="00043CA7">
        <w:tab/>
      </w:r>
      <w:r>
        <w:t>1</w:t>
      </w:r>
      <w:r w:rsidR="00CA0791">
        <w:t>4</w:t>
      </w:r>
      <w:r>
        <w:t>.</w:t>
      </w:r>
      <w:r>
        <w:tab/>
      </w:r>
      <w:r w:rsidR="000964EE" w:rsidRPr="000964EE">
        <w:t xml:space="preserve">That any provision of this Order may be modified upon motion and good cause shown by any party in interest in accordance with 52 </w:t>
      </w:r>
      <w:proofErr w:type="gramStart"/>
      <w:r w:rsidR="000964EE" w:rsidRPr="000964EE">
        <w:t>Pa.Code</w:t>
      </w:r>
      <w:proofErr w:type="gramEnd"/>
      <w:r w:rsidR="000964EE" w:rsidRPr="000964EE">
        <w:t xml:space="preserve"> § 5.223(a).</w:t>
      </w:r>
    </w:p>
    <w:p w14:paraId="77C9C615" w14:textId="77777777" w:rsidR="00860410" w:rsidRPr="00E63021" w:rsidRDefault="00860410" w:rsidP="00A85435">
      <w:pPr>
        <w:pStyle w:val="ListParagraph"/>
        <w:spacing w:line="360" w:lineRule="auto"/>
        <w:ind w:left="0"/>
      </w:pPr>
    </w:p>
    <w:p w14:paraId="12C10F7D" w14:textId="77777777" w:rsidR="00C773A3" w:rsidRDefault="00C773A3" w:rsidP="00A85435">
      <w:pPr>
        <w:spacing w:line="360" w:lineRule="auto"/>
      </w:pPr>
    </w:p>
    <w:p w14:paraId="137BEBA1" w14:textId="79A2F996" w:rsidR="00897507" w:rsidRPr="00AD5D5B" w:rsidRDefault="00444E27" w:rsidP="00897507">
      <w:pPr>
        <w:rPr>
          <w:u w:val="single"/>
        </w:rPr>
      </w:pPr>
      <w:r w:rsidRPr="00550B34">
        <w:t xml:space="preserve">Date: </w:t>
      </w:r>
      <w:r w:rsidR="00043CA7">
        <w:rPr>
          <w:u w:val="single"/>
        </w:rPr>
        <w:t>February 13, 2018</w:t>
      </w:r>
      <w:r w:rsidR="008D343A">
        <w:rPr>
          <w:u w:val="single"/>
        </w:rPr>
        <w:tab/>
      </w:r>
      <w:r w:rsidRPr="00550B34">
        <w:tab/>
      </w:r>
      <w:r w:rsidR="00CD604F">
        <w:tab/>
      </w:r>
      <w:r w:rsidR="002A5872">
        <w:tab/>
      </w:r>
      <w:r w:rsidR="00AD5D5B">
        <w:rPr>
          <w:u w:val="single"/>
        </w:rPr>
        <w:tab/>
      </w:r>
      <w:r w:rsidR="00043CA7">
        <w:rPr>
          <w:u w:val="single"/>
        </w:rPr>
        <w:t>/s/</w:t>
      </w:r>
      <w:r w:rsidR="00AD5D5B">
        <w:rPr>
          <w:u w:val="single"/>
        </w:rPr>
        <w:tab/>
      </w:r>
      <w:r w:rsidR="00AD5D5B">
        <w:rPr>
          <w:u w:val="single"/>
        </w:rPr>
        <w:tab/>
      </w:r>
      <w:r w:rsidR="00AD5D5B">
        <w:rPr>
          <w:u w:val="single"/>
        </w:rPr>
        <w:tab/>
      </w:r>
      <w:r w:rsidR="00AD5D5B">
        <w:rPr>
          <w:u w:val="single"/>
        </w:rPr>
        <w:tab/>
      </w:r>
    </w:p>
    <w:p w14:paraId="140B4254" w14:textId="77777777" w:rsidR="00444E27" w:rsidRPr="00550B34" w:rsidRDefault="00897507" w:rsidP="00444E27">
      <w:r w:rsidRPr="00550B34">
        <w:tab/>
      </w:r>
      <w:r w:rsidRPr="00550B34">
        <w:tab/>
      </w:r>
      <w:r w:rsidRPr="00550B34">
        <w:tab/>
      </w:r>
      <w:r w:rsidRPr="00550B34">
        <w:tab/>
      </w:r>
      <w:r w:rsidRPr="00550B34">
        <w:tab/>
      </w:r>
      <w:r w:rsidR="002A5872">
        <w:tab/>
      </w:r>
      <w:r w:rsidR="00AD5D5B">
        <w:tab/>
      </w:r>
      <w:r w:rsidR="008D343A">
        <w:t>Elizabeth H. Barnes</w:t>
      </w:r>
    </w:p>
    <w:p w14:paraId="0EFC44E5" w14:textId="3605F6EE" w:rsidR="00444E27" w:rsidRDefault="00444E27" w:rsidP="008D343A">
      <w:r w:rsidRPr="00550B34">
        <w:tab/>
      </w:r>
      <w:r w:rsidRPr="00550B34">
        <w:tab/>
      </w:r>
      <w:r w:rsidRPr="00550B34">
        <w:tab/>
      </w:r>
      <w:r w:rsidRPr="00550B34">
        <w:tab/>
      </w:r>
      <w:r w:rsidRPr="00550B34">
        <w:tab/>
      </w:r>
      <w:r w:rsidR="002A5872">
        <w:tab/>
      </w:r>
      <w:r w:rsidR="00AD5D5B">
        <w:tab/>
      </w:r>
      <w:r w:rsidR="00F07C2D">
        <w:t>Administrative Law Judge</w:t>
      </w:r>
    </w:p>
    <w:p w14:paraId="1DDEE3F3" w14:textId="4903C24E" w:rsidR="00307A29" w:rsidRDefault="00307A29" w:rsidP="008D343A"/>
    <w:p w14:paraId="5C2CDB0C" w14:textId="77777777" w:rsidR="00307A29" w:rsidRDefault="00307A29" w:rsidP="008D343A">
      <w:pPr>
        <w:sectPr w:rsidR="00307A29">
          <w:pgSz w:w="12240" w:h="15840"/>
          <w:pgMar w:top="1440" w:right="1440" w:bottom="1440" w:left="1440" w:header="720" w:footer="720" w:gutter="0"/>
          <w:cols w:space="720"/>
          <w:docGrid w:linePitch="360"/>
        </w:sectPr>
      </w:pPr>
    </w:p>
    <w:p w14:paraId="3EF947F6" w14:textId="77777777" w:rsidR="00307A29" w:rsidRPr="002A068D" w:rsidRDefault="00307A29" w:rsidP="00307A29">
      <w:pPr>
        <w:contextualSpacing/>
        <w:rPr>
          <w:rFonts w:ascii="Microsoft Sans Serif"/>
          <w:b/>
        </w:rPr>
      </w:pPr>
      <w:r>
        <w:rPr>
          <w:rFonts w:ascii="Microsoft Sans Serif"/>
          <w:b/>
          <w:u w:val="single"/>
        </w:rPr>
        <w:t>C-2017-2633651 - ULTIMATE SPORTS COMPANY INC   v. PPL ELECTRIC UTILITIES CORP</w:t>
      </w:r>
      <w:r>
        <w:rPr>
          <w:rFonts w:ascii="Microsoft Sans Serif"/>
          <w:b/>
          <w:u w:val="single"/>
        </w:rPr>
        <w:cr/>
      </w:r>
      <w:r>
        <w:rPr>
          <w:rFonts w:ascii="Microsoft Sans Serif"/>
          <w:b/>
          <w:u w:val="single"/>
        </w:rPr>
        <w:cr/>
      </w:r>
      <w:bookmarkStart w:id="0" w:name="_Hlk506364746"/>
      <w:r>
        <w:rPr>
          <w:rFonts w:ascii="Microsoft Sans Serif"/>
        </w:rPr>
        <w:t>RICHARD A MCGRATH PRESIDENT</w:t>
      </w:r>
      <w:r>
        <w:rPr>
          <w:rFonts w:ascii="Microsoft Sans Serif"/>
        </w:rPr>
        <w:cr/>
        <w:t>531 &amp; 539 NORTH FOURTH STREET</w:t>
      </w:r>
      <w:r>
        <w:rPr>
          <w:rFonts w:ascii="Microsoft Sans Serif"/>
        </w:rPr>
        <w:cr/>
        <w:t>PO BOX 286</w:t>
      </w:r>
      <w:r>
        <w:rPr>
          <w:rFonts w:ascii="Microsoft Sans Serif"/>
        </w:rPr>
        <w:cr/>
        <w:t>DENVER PA  17517</w:t>
      </w:r>
      <w:r>
        <w:rPr>
          <w:rFonts w:ascii="Microsoft Sans Serif"/>
        </w:rPr>
        <w:cr/>
      </w:r>
      <w:bookmarkEnd w:id="0"/>
      <w:r w:rsidRPr="002A068D">
        <w:rPr>
          <w:rFonts w:ascii="Microsoft Sans Serif"/>
          <w:b/>
        </w:rPr>
        <w:t>215.327.5785</w:t>
      </w:r>
    </w:p>
    <w:p w14:paraId="7C4A8919" w14:textId="77777777" w:rsidR="00307A29" w:rsidRDefault="00307A29" w:rsidP="00307A29">
      <w:pPr>
        <w:contextualSpacing/>
      </w:pPr>
      <w:r>
        <w:rPr>
          <w:rFonts w:ascii="Microsoft Sans Serif"/>
        </w:rPr>
        <w:t xml:space="preserve"> </w:t>
      </w:r>
      <w:r>
        <w:rPr>
          <w:rFonts w:ascii="Microsoft Sans Serif"/>
        </w:rPr>
        <w:cr/>
        <w:t>THOMAS E GROSHENS ESQUIRE</w:t>
      </w:r>
      <w:r>
        <w:rPr>
          <w:rFonts w:ascii="Microsoft Sans Serif"/>
        </w:rPr>
        <w:cr/>
        <w:t>GROSHENS LAW ASSOCIATES</w:t>
      </w:r>
      <w:r>
        <w:rPr>
          <w:rFonts w:ascii="Microsoft Sans Serif"/>
        </w:rPr>
        <w:cr/>
        <w:t>233 SOUTH 24TH STREET</w:t>
      </w:r>
      <w:r>
        <w:rPr>
          <w:rFonts w:ascii="Microsoft Sans Serif"/>
        </w:rPr>
        <w:cr/>
        <w:t>PHILADELPHIA PA  19103</w:t>
      </w:r>
      <w:r>
        <w:rPr>
          <w:rFonts w:ascii="Microsoft Sans Serif"/>
        </w:rPr>
        <w:cr/>
      </w:r>
      <w:r w:rsidRPr="002A068D">
        <w:rPr>
          <w:rFonts w:ascii="Microsoft Sans Serif"/>
          <w:b/>
        </w:rPr>
        <w:t>215.913.5569</w:t>
      </w:r>
      <w:r>
        <w:rPr>
          <w:rFonts w:ascii="Microsoft Sans Serif"/>
        </w:rPr>
        <w:cr/>
      </w:r>
      <w:r>
        <w:rPr>
          <w:rFonts w:ascii="Microsoft Sans Serif"/>
          <w:b/>
          <w:i/>
          <w:u w:val="single"/>
        </w:rPr>
        <w:t>-E-SERVE-</w:t>
      </w:r>
      <w:r>
        <w:rPr>
          <w:rFonts w:ascii="Microsoft Sans Serif"/>
        </w:rPr>
        <w:cr/>
        <w:t xml:space="preserve"> </w:t>
      </w:r>
      <w:r>
        <w:rPr>
          <w:rFonts w:ascii="Microsoft Sans Serif"/>
        </w:rPr>
        <w:cr/>
      </w:r>
      <w:bookmarkStart w:id="1" w:name="_Hlk506364779"/>
      <w:r>
        <w:rPr>
          <w:rFonts w:ascii="Microsoft Sans Serif"/>
        </w:rPr>
        <w:t>STEVEN C GRAY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bookmarkEnd w:id="1"/>
      <w:r w:rsidRPr="002A068D">
        <w:rPr>
          <w:rFonts w:ascii="Microsoft Sans Serif"/>
          <w:b/>
        </w:rPr>
        <w:t>717.783.2525</w:t>
      </w:r>
      <w:r>
        <w:rPr>
          <w:rFonts w:ascii="Microsoft Sans Serif"/>
        </w:rPr>
        <w:cr/>
      </w:r>
    </w:p>
    <w:p w14:paraId="527A7107" w14:textId="77777777" w:rsidR="00307A29" w:rsidRDefault="00307A29" w:rsidP="00307A29">
      <w:pPr>
        <w:contextualSpacing/>
      </w:pPr>
      <w:bookmarkStart w:id="2" w:name="_Hlk506364795"/>
      <w:r>
        <w:rPr>
          <w:rFonts w:ascii="Microsoft Sans Serif"/>
        </w:rPr>
        <w:t>KIMBERLY KRUPKA ESQUIRE</w:t>
      </w:r>
      <w:r>
        <w:rPr>
          <w:rFonts w:ascii="Microsoft Sans Serif"/>
        </w:rPr>
        <w:cr/>
        <w:t>GROSS MCGINLEY LLP</w:t>
      </w:r>
      <w:r>
        <w:rPr>
          <w:rFonts w:ascii="Microsoft Sans Serif"/>
        </w:rPr>
        <w:cr/>
        <w:t>33 SOUTH SEVENTH STREET PO BOX 4060</w:t>
      </w:r>
      <w:r>
        <w:rPr>
          <w:rFonts w:ascii="Microsoft Sans Serif"/>
        </w:rPr>
        <w:cr/>
        <w:t>ALLENTOWN PA  18105-4060</w:t>
      </w:r>
      <w:r>
        <w:rPr>
          <w:rFonts w:ascii="Microsoft Sans Serif"/>
        </w:rPr>
        <w:cr/>
      </w:r>
      <w:bookmarkEnd w:id="2"/>
      <w:r w:rsidRPr="002A068D">
        <w:rPr>
          <w:rFonts w:ascii="Microsoft Sans Serif"/>
          <w:b/>
        </w:rPr>
        <w:t>610.820.5450</w:t>
      </w:r>
      <w:r>
        <w:rPr>
          <w:rFonts w:ascii="Microsoft Sans Serif"/>
        </w:rPr>
        <w:cr/>
      </w:r>
    </w:p>
    <w:p w14:paraId="30421509" w14:textId="002D128A" w:rsidR="00307A29" w:rsidRPr="00550B34" w:rsidRDefault="00307A29" w:rsidP="008D343A">
      <w:bookmarkStart w:id="3" w:name="_GoBack"/>
      <w:bookmarkEnd w:id="3"/>
    </w:p>
    <w:sectPr w:rsidR="00307A29"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098DB" w14:textId="77777777" w:rsidR="00A9014E" w:rsidRDefault="00A9014E">
      <w:r>
        <w:separator/>
      </w:r>
    </w:p>
  </w:endnote>
  <w:endnote w:type="continuationSeparator" w:id="0">
    <w:p w14:paraId="408F1874" w14:textId="77777777" w:rsidR="00A9014E" w:rsidRDefault="00A9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D77C" w14:textId="39D5B516" w:rsidR="00307A29" w:rsidRPr="00307A29" w:rsidRDefault="00307A29">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835878"/>
      <w:docPartObj>
        <w:docPartGallery w:val="Page Numbers (Bottom of Page)"/>
        <w:docPartUnique/>
      </w:docPartObj>
    </w:sdtPr>
    <w:sdtEndPr>
      <w:rPr>
        <w:noProof/>
        <w:sz w:val="20"/>
        <w:szCs w:val="20"/>
      </w:rPr>
    </w:sdtEndPr>
    <w:sdtContent>
      <w:p w14:paraId="35CD23FB" w14:textId="78D72B55" w:rsidR="00307A29" w:rsidRPr="00307A29" w:rsidRDefault="00307A29">
        <w:pPr>
          <w:pStyle w:val="Footer"/>
          <w:jc w:val="center"/>
          <w:rPr>
            <w:sz w:val="20"/>
            <w:szCs w:val="20"/>
          </w:rPr>
        </w:pPr>
        <w:r w:rsidRPr="00307A29">
          <w:rPr>
            <w:sz w:val="20"/>
            <w:szCs w:val="20"/>
          </w:rPr>
          <w:fldChar w:fldCharType="begin"/>
        </w:r>
        <w:r w:rsidRPr="00307A29">
          <w:rPr>
            <w:sz w:val="20"/>
            <w:szCs w:val="20"/>
          </w:rPr>
          <w:instrText xml:space="preserve"> PAGE   \* MERGEFORMAT </w:instrText>
        </w:r>
        <w:r w:rsidRPr="00307A29">
          <w:rPr>
            <w:sz w:val="20"/>
            <w:szCs w:val="20"/>
          </w:rPr>
          <w:fldChar w:fldCharType="separate"/>
        </w:r>
        <w:r>
          <w:rPr>
            <w:noProof/>
            <w:sz w:val="20"/>
            <w:szCs w:val="20"/>
          </w:rPr>
          <w:t>4</w:t>
        </w:r>
        <w:r w:rsidRPr="00307A29">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2BCE" w14:textId="66434D6F" w:rsidR="00307A29" w:rsidRPr="00307A29" w:rsidRDefault="00307A2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A9F5" w14:textId="77777777" w:rsidR="00A9014E" w:rsidRDefault="00A9014E">
      <w:r>
        <w:separator/>
      </w:r>
    </w:p>
  </w:footnote>
  <w:footnote w:type="continuationSeparator" w:id="0">
    <w:p w14:paraId="66C8F835" w14:textId="77777777" w:rsidR="00A9014E" w:rsidRDefault="00A90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3CA7"/>
    <w:rsid w:val="000447F9"/>
    <w:rsid w:val="00045479"/>
    <w:rsid w:val="00050489"/>
    <w:rsid w:val="00050AF1"/>
    <w:rsid w:val="000515DA"/>
    <w:rsid w:val="00054540"/>
    <w:rsid w:val="00054A10"/>
    <w:rsid w:val="00055FCB"/>
    <w:rsid w:val="000576DF"/>
    <w:rsid w:val="00060BB1"/>
    <w:rsid w:val="00061E29"/>
    <w:rsid w:val="000629B2"/>
    <w:rsid w:val="00063F87"/>
    <w:rsid w:val="00064CC4"/>
    <w:rsid w:val="00067986"/>
    <w:rsid w:val="00071CA9"/>
    <w:rsid w:val="00073240"/>
    <w:rsid w:val="00080E54"/>
    <w:rsid w:val="00081A6A"/>
    <w:rsid w:val="0008210E"/>
    <w:rsid w:val="000851FC"/>
    <w:rsid w:val="00086BE3"/>
    <w:rsid w:val="000878EC"/>
    <w:rsid w:val="00092274"/>
    <w:rsid w:val="0009371E"/>
    <w:rsid w:val="000964EE"/>
    <w:rsid w:val="000A1610"/>
    <w:rsid w:val="000A1D7C"/>
    <w:rsid w:val="000A248E"/>
    <w:rsid w:val="000A5977"/>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40FD"/>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1B9E"/>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B77A7"/>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38D5"/>
    <w:rsid w:val="00304A73"/>
    <w:rsid w:val="00307A29"/>
    <w:rsid w:val="003123AF"/>
    <w:rsid w:val="00312F22"/>
    <w:rsid w:val="00316851"/>
    <w:rsid w:val="00316B8A"/>
    <w:rsid w:val="00317051"/>
    <w:rsid w:val="00321207"/>
    <w:rsid w:val="003234C9"/>
    <w:rsid w:val="00324740"/>
    <w:rsid w:val="00325C82"/>
    <w:rsid w:val="00326FA4"/>
    <w:rsid w:val="0033012B"/>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0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0F3B"/>
    <w:rsid w:val="00413065"/>
    <w:rsid w:val="00415EAE"/>
    <w:rsid w:val="00421C2E"/>
    <w:rsid w:val="00423069"/>
    <w:rsid w:val="00425D65"/>
    <w:rsid w:val="00427BB1"/>
    <w:rsid w:val="004327EC"/>
    <w:rsid w:val="00436D29"/>
    <w:rsid w:val="0044078D"/>
    <w:rsid w:val="004417F1"/>
    <w:rsid w:val="00444026"/>
    <w:rsid w:val="004441EB"/>
    <w:rsid w:val="00444E27"/>
    <w:rsid w:val="00446AEA"/>
    <w:rsid w:val="004509B5"/>
    <w:rsid w:val="00451DD1"/>
    <w:rsid w:val="004545F7"/>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23C7"/>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0F6E"/>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D20"/>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3189"/>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04F5"/>
    <w:rsid w:val="006816B8"/>
    <w:rsid w:val="00684075"/>
    <w:rsid w:val="006849B4"/>
    <w:rsid w:val="006854A1"/>
    <w:rsid w:val="006860ED"/>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54C7"/>
    <w:rsid w:val="00746EC7"/>
    <w:rsid w:val="00752614"/>
    <w:rsid w:val="00755A22"/>
    <w:rsid w:val="0075751F"/>
    <w:rsid w:val="00757D11"/>
    <w:rsid w:val="00761AAA"/>
    <w:rsid w:val="00763DA0"/>
    <w:rsid w:val="007653FA"/>
    <w:rsid w:val="00771158"/>
    <w:rsid w:val="00771201"/>
    <w:rsid w:val="00773E3C"/>
    <w:rsid w:val="00774975"/>
    <w:rsid w:val="00780958"/>
    <w:rsid w:val="007811D1"/>
    <w:rsid w:val="00783F05"/>
    <w:rsid w:val="007840A2"/>
    <w:rsid w:val="00784AE9"/>
    <w:rsid w:val="007853DD"/>
    <w:rsid w:val="007876C7"/>
    <w:rsid w:val="00787F5D"/>
    <w:rsid w:val="007945B3"/>
    <w:rsid w:val="007A68A4"/>
    <w:rsid w:val="007A6F35"/>
    <w:rsid w:val="007B135C"/>
    <w:rsid w:val="007B19DA"/>
    <w:rsid w:val="007B2C93"/>
    <w:rsid w:val="007B76C4"/>
    <w:rsid w:val="007B77F4"/>
    <w:rsid w:val="007C63F8"/>
    <w:rsid w:val="007C6559"/>
    <w:rsid w:val="007D2D9D"/>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19F1"/>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4C69"/>
    <w:rsid w:val="008B7C8A"/>
    <w:rsid w:val="008C0504"/>
    <w:rsid w:val="008C17E3"/>
    <w:rsid w:val="008C2266"/>
    <w:rsid w:val="008C2B8B"/>
    <w:rsid w:val="008C53F0"/>
    <w:rsid w:val="008C6629"/>
    <w:rsid w:val="008C690A"/>
    <w:rsid w:val="008C6C08"/>
    <w:rsid w:val="008C7929"/>
    <w:rsid w:val="008D27F4"/>
    <w:rsid w:val="008D2A90"/>
    <w:rsid w:val="008D343A"/>
    <w:rsid w:val="008D34B8"/>
    <w:rsid w:val="008D59A2"/>
    <w:rsid w:val="008D71F8"/>
    <w:rsid w:val="008E2C10"/>
    <w:rsid w:val="008E6D84"/>
    <w:rsid w:val="008E79BF"/>
    <w:rsid w:val="008F755E"/>
    <w:rsid w:val="009011DC"/>
    <w:rsid w:val="00906107"/>
    <w:rsid w:val="009065DB"/>
    <w:rsid w:val="00907551"/>
    <w:rsid w:val="009077F7"/>
    <w:rsid w:val="00907E93"/>
    <w:rsid w:val="0091132C"/>
    <w:rsid w:val="00916FE1"/>
    <w:rsid w:val="00922597"/>
    <w:rsid w:val="0092382E"/>
    <w:rsid w:val="00923D4F"/>
    <w:rsid w:val="009242C7"/>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A4733"/>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24C2"/>
    <w:rsid w:val="00A050EC"/>
    <w:rsid w:val="00A06973"/>
    <w:rsid w:val="00A07A16"/>
    <w:rsid w:val="00A10AFA"/>
    <w:rsid w:val="00A17814"/>
    <w:rsid w:val="00A20DDE"/>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5435"/>
    <w:rsid w:val="00A8749E"/>
    <w:rsid w:val="00A9014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5112"/>
    <w:rsid w:val="00AE5887"/>
    <w:rsid w:val="00AE62D7"/>
    <w:rsid w:val="00AE7C1B"/>
    <w:rsid w:val="00AF43A3"/>
    <w:rsid w:val="00AF4DD8"/>
    <w:rsid w:val="00AF5EBD"/>
    <w:rsid w:val="00AF6655"/>
    <w:rsid w:val="00AF754F"/>
    <w:rsid w:val="00B01228"/>
    <w:rsid w:val="00B01460"/>
    <w:rsid w:val="00B0292A"/>
    <w:rsid w:val="00B04A94"/>
    <w:rsid w:val="00B04E1F"/>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0D2F"/>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7A4"/>
    <w:rsid w:val="00BC689D"/>
    <w:rsid w:val="00BD080F"/>
    <w:rsid w:val="00BD2783"/>
    <w:rsid w:val="00BD6458"/>
    <w:rsid w:val="00BD6EF7"/>
    <w:rsid w:val="00BE0854"/>
    <w:rsid w:val="00BE1644"/>
    <w:rsid w:val="00BE1ED2"/>
    <w:rsid w:val="00BE2FE3"/>
    <w:rsid w:val="00BE41B8"/>
    <w:rsid w:val="00BE66DD"/>
    <w:rsid w:val="00BE726C"/>
    <w:rsid w:val="00BF25F0"/>
    <w:rsid w:val="00BF2A02"/>
    <w:rsid w:val="00BF3079"/>
    <w:rsid w:val="00BF341D"/>
    <w:rsid w:val="00BF3473"/>
    <w:rsid w:val="00BF4848"/>
    <w:rsid w:val="00BF56BD"/>
    <w:rsid w:val="00BF5D32"/>
    <w:rsid w:val="00BF6876"/>
    <w:rsid w:val="00BF718F"/>
    <w:rsid w:val="00C0065E"/>
    <w:rsid w:val="00C04F0F"/>
    <w:rsid w:val="00C0641C"/>
    <w:rsid w:val="00C12AD7"/>
    <w:rsid w:val="00C13C5A"/>
    <w:rsid w:val="00C160EF"/>
    <w:rsid w:val="00C16397"/>
    <w:rsid w:val="00C16A65"/>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0C95"/>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492C"/>
    <w:rsid w:val="00C86D82"/>
    <w:rsid w:val="00C90325"/>
    <w:rsid w:val="00C90EDA"/>
    <w:rsid w:val="00C91C93"/>
    <w:rsid w:val="00C92C0C"/>
    <w:rsid w:val="00C95186"/>
    <w:rsid w:val="00C97272"/>
    <w:rsid w:val="00CA0791"/>
    <w:rsid w:val="00CA22A8"/>
    <w:rsid w:val="00CA2D56"/>
    <w:rsid w:val="00CA31F1"/>
    <w:rsid w:val="00CA3396"/>
    <w:rsid w:val="00CA3B90"/>
    <w:rsid w:val="00CA4020"/>
    <w:rsid w:val="00CA666C"/>
    <w:rsid w:val="00CA6AF6"/>
    <w:rsid w:val="00CA73E2"/>
    <w:rsid w:val="00CB1772"/>
    <w:rsid w:val="00CB18E0"/>
    <w:rsid w:val="00CB4220"/>
    <w:rsid w:val="00CB42AB"/>
    <w:rsid w:val="00CB4DB1"/>
    <w:rsid w:val="00CB731C"/>
    <w:rsid w:val="00CB748F"/>
    <w:rsid w:val="00CC3542"/>
    <w:rsid w:val="00CC3879"/>
    <w:rsid w:val="00CC5229"/>
    <w:rsid w:val="00CD3D18"/>
    <w:rsid w:val="00CD604F"/>
    <w:rsid w:val="00CD68CE"/>
    <w:rsid w:val="00CE08CE"/>
    <w:rsid w:val="00CE1635"/>
    <w:rsid w:val="00CE20E9"/>
    <w:rsid w:val="00CE3773"/>
    <w:rsid w:val="00CE61D5"/>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3C91"/>
    <w:rsid w:val="00D44B05"/>
    <w:rsid w:val="00D44FF7"/>
    <w:rsid w:val="00D45A5C"/>
    <w:rsid w:val="00D469B7"/>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39E0"/>
    <w:rsid w:val="00D84B3D"/>
    <w:rsid w:val="00D92151"/>
    <w:rsid w:val="00D94D3A"/>
    <w:rsid w:val="00D95385"/>
    <w:rsid w:val="00D96C3F"/>
    <w:rsid w:val="00DA0323"/>
    <w:rsid w:val="00DA0C66"/>
    <w:rsid w:val="00DA3FF9"/>
    <w:rsid w:val="00DA4A2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1BF4"/>
    <w:rsid w:val="00DF252A"/>
    <w:rsid w:val="00DF2742"/>
    <w:rsid w:val="00DF2FE7"/>
    <w:rsid w:val="00DF3A9C"/>
    <w:rsid w:val="00DF448C"/>
    <w:rsid w:val="00DF71A5"/>
    <w:rsid w:val="00E01345"/>
    <w:rsid w:val="00E061D8"/>
    <w:rsid w:val="00E07EE4"/>
    <w:rsid w:val="00E14245"/>
    <w:rsid w:val="00E14396"/>
    <w:rsid w:val="00E15AFD"/>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671"/>
    <w:rsid w:val="00E5593B"/>
    <w:rsid w:val="00E56ACE"/>
    <w:rsid w:val="00E576D6"/>
    <w:rsid w:val="00E63021"/>
    <w:rsid w:val="00E63742"/>
    <w:rsid w:val="00E63F24"/>
    <w:rsid w:val="00E67635"/>
    <w:rsid w:val="00E70A61"/>
    <w:rsid w:val="00E74E8C"/>
    <w:rsid w:val="00E75057"/>
    <w:rsid w:val="00E77251"/>
    <w:rsid w:val="00E817EE"/>
    <w:rsid w:val="00E818B6"/>
    <w:rsid w:val="00E81B85"/>
    <w:rsid w:val="00E83487"/>
    <w:rsid w:val="00E8614E"/>
    <w:rsid w:val="00E86513"/>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D5028"/>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104A"/>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43A"/>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B65DE"/>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25B6F9"/>
  <w15:docId w15:val="{4E3AD6EF-8867-4C2B-A6EC-F9C0D1B2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table" w:customStyle="1" w:styleId="TableGrid1">
    <w:name w:val="Table Grid1"/>
    <w:basedOn w:val="TableNormal"/>
    <w:next w:val="TableGrid"/>
    <w:rsid w:val="00096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15A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018802">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3AF3-6F8E-4558-BA67-D208D9F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2015-12-02T19:50:00Z</cp:lastPrinted>
  <dcterms:created xsi:type="dcterms:W3CDTF">2018-02-14T14:55:00Z</dcterms:created>
  <dcterms:modified xsi:type="dcterms:W3CDTF">2018-02-14T14:55:00Z</dcterms:modified>
</cp:coreProperties>
</file>