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2C710" w14:textId="77777777" w:rsidR="0069027E"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BEFORE THE</w:t>
      </w:r>
    </w:p>
    <w:p w14:paraId="156B78AC" w14:textId="77777777" w:rsidR="00145D7C"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PENNSYLVANIA PUBLIC UTILITY COMMISSION</w:t>
      </w:r>
    </w:p>
    <w:p w14:paraId="57011960" w14:textId="77777777" w:rsidR="00145D7C" w:rsidRDefault="00145D7C" w:rsidP="00FB3415">
      <w:pPr>
        <w:pStyle w:val="NoSpacing"/>
        <w:jc w:val="center"/>
        <w:rPr>
          <w:rFonts w:ascii="Times New Roman" w:hAnsi="Times New Roman" w:cs="Times New Roman"/>
          <w:b/>
          <w:sz w:val="24"/>
          <w:szCs w:val="24"/>
        </w:rPr>
      </w:pPr>
    </w:p>
    <w:p w14:paraId="60376F3C" w14:textId="4D70B2EA" w:rsidR="00FB3415" w:rsidRDefault="00FB3415" w:rsidP="00FB3415">
      <w:pPr>
        <w:pStyle w:val="NoSpacing"/>
        <w:jc w:val="center"/>
        <w:rPr>
          <w:rFonts w:ascii="Times New Roman" w:hAnsi="Times New Roman" w:cs="Times New Roman"/>
          <w:b/>
          <w:sz w:val="24"/>
          <w:szCs w:val="24"/>
        </w:rPr>
      </w:pPr>
    </w:p>
    <w:p w14:paraId="778CAAA6" w14:textId="77777777" w:rsidR="008232E3" w:rsidRDefault="008232E3" w:rsidP="00FB3415">
      <w:pPr>
        <w:pStyle w:val="NoSpacing"/>
        <w:jc w:val="center"/>
        <w:rPr>
          <w:rFonts w:ascii="Times New Roman" w:hAnsi="Times New Roman" w:cs="Times New Roman"/>
          <w:b/>
          <w:sz w:val="24"/>
          <w:szCs w:val="24"/>
        </w:rPr>
      </w:pPr>
    </w:p>
    <w:p w14:paraId="49B33833" w14:textId="417225C1" w:rsidR="00D1225B" w:rsidRDefault="00DF2218" w:rsidP="00D1225B">
      <w:pPr>
        <w:pStyle w:val="NoSpacing"/>
        <w:rPr>
          <w:rFonts w:ascii="Times New Roman" w:hAnsi="Times New Roman" w:cs="Times New Roman"/>
          <w:sz w:val="24"/>
          <w:szCs w:val="24"/>
        </w:rPr>
      </w:pPr>
      <w:r>
        <w:rPr>
          <w:rFonts w:ascii="Times New Roman" w:hAnsi="Times New Roman" w:cs="Times New Roman"/>
          <w:sz w:val="24"/>
          <w:szCs w:val="24"/>
        </w:rPr>
        <w:t xml:space="preserve">Chalmers </w:t>
      </w:r>
      <w:r w:rsidR="00FD6471">
        <w:rPr>
          <w:rFonts w:ascii="Times New Roman" w:hAnsi="Times New Roman" w:cs="Times New Roman"/>
          <w:sz w:val="24"/>
          <w:szCs w:val="24"/>
        </w:rPr>
        <w:t>A</w:t>
      </w:r>
      <w:r>
        <w:rPr>
          <w:rFonts w:ascii="Times New Roman" w:hAnsi="Times New Roman" w:cs="Times New Roman"/>
          <w:sz w:val="24"/>
          <w:szCs w:val="24"/>
        </w:rPr>
        <w:t>. Simpson, Jr.</w:t>
      </w:r>
      <w:r w:rsidR="006E48ED">
        <w:rPr>
          <w:rFonts w:ascii="Times New Roman" w:hAnsi="Times New Roman" w:cs="Times New Roman"/>
          <w:sz w:val="24"/>
          <w:szCs w:val="24"/>
        </w:rPr>
        <w:tab/>
      </w:r>
      <w:r w:rsidR="006E48ED">
        <w:rPr>
          <w:rFonts w:ascii="Times New Roman" w:hAnsi="Times New Roman" w:cs="Times New Roman"/>
          <w:sz w:val="24"/>
          <w:szCs w:val="24"/>
        </w:rPr>
        <w:tab/>
      </w:r>
      <w:r w:rsidR="00D1225B" w:rsidRPr="00C52ADD">
        <w:rPr>
          <w:rFonts w:ascii="Times New Roman" w:hAnsi="Times New Roman" w:cs="Times New Roman"/>
          <w:sz w:val="24"/>
          <w:szCs w:val="24"/>
        </w:rPr>
        <w:tab/>
      </w:r>
      <w:r w:rsidR="008232E3">
        <w:rPr>
          <w:rFonts w:ascii="Times New Roman" w:hAnsi="Times New Roman" w:cs="Times New Roman"/>
          <w:sz w:val="24"/>
          <w:szCs w:val="24"/>
        </w:rPr>
        <w:tab/>
      </w:r>
      <w:r w:rsidR="00D1225B">
        <w:rPr>
          <w:rFonts w:ascii="Times New Roman" w:hAnsi="Times New Roman" w:cs="Times New Roman"/>
          <w:sz w:val="24"/>
          <w:szCs w:val="24"/>
        </w:rPr>
        <w:t>:</w:t>
      </w:r>
    </w:p>
    <w:p w14:paraId="7B7FC97A" w14:textId="531F2DBC" w:rsidR="006E48ED" w:rsidRPr="00C52ADD" w:rsidRDefault="006E48ED"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232E3">
        <w:rPr>
          <w:rFonts w:ascii="Times New Roman" w:hAnsi="Times New Roman" w:cs="Times New Roman"/>
          <w:sz w:val="24"/>
          <w:szCs w:val="24"/>
        </w:rPr>
        <w:tab/>
      </w:r>
      <w:r>
        <w:rPr>
          <w:rFonts w:ascii="Times New Roman" w:hAnsi="Times New Roman" w:cs="Times New Roman"/>
          <w:sz w:val="24"/>
          <w:szCs w:val="24"/>
        </w:rPr>
        <w:t>:</w:t>
      </w:r>
    </w:p>
    <w:p w14:paraId="70613C10" w14:textId="5BD97BE0" w:rsidR="00D1225B" w:rsidRPr="00C52ADD" w:rsidRDefault="00D1225B" w:rsidP="00D1225B">
      <w:pPr>
        <w:pStyle w:val="NoSpacing"/>
        <w:rPr>
          <w:rFonts w:ascii="Times New Roman" w:hAnsi="Times New Roman" w:cs="Times New Roman"/>
          <w:sz w:val="24"/>
          <w:szCs w:val="24"/>
        </w:rPr>
      </w:pPr>
      <w:r w:rsidRPr="00C52ADD">
        <w:rPr>
          <w:rFonts w:ascii="Times New Roman" w:hAnsi="Times New Roman" w:cs="Times New Roman"/>
          <w:sz w:val="24"/>
          <w:szCs w:val="24"/>
        </w:rPr>
        <w:tab/>
        <w:t>v.</w:t>
      </w: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r>
      <w:r w:rsidR="008232E3">
        <w:rPr>
          <w:rFonts w:ascii="Times New Roman" w:hAnsi="Times New Roman" w:cs="Times New Roman"/>
          <w:sz w:val="24"/>
          <w:szCs w:val="24"/>
        </w:rPr>
        <w:tab/>
      </w:r>
      <w:r w:rsidR="008232E3">
        <w:rPr>
          <w:rFonts w:ascii="Times New Roman" w:hAnsi="Times New Roman" w:cs="Times New Roman"/>
          <w:sz w:val="24"/>
          <w:szCs w:val="24"/>
        </w:rPr>
        <w:tab/>
      </w:r>
      <w:r w:rsidR="008232E3">
        <w:rPr>
          <w:rFonts w:ascii="Times New Roman" w:hAnsi="Times New Roman" w:cs="Times New Roman"/>
          <w:sz w:val="24"/>
          <w:szCs w:val="24"/>
        </w:rPr>
        <w:tab/>
      </w:r>
      <w:r>
        <w:rPr>
          <w:rFonts w:ascii="Times New Roman" w:hAnsi="Times New Roman" w:cs="Times New Roman"/>
          <w:sz w:val="24"/>
          <w:szCs w:val="24"/>
        </w:rPr>
        <w:t>:</w:t>
      </w:r>
      <w:r w:rsidRPr="00C52ADD">
        <w:rPr>
          <w:rFonts w:ascii="Times New Roman" w:hAnsi="Times New Roman" w:cs="Times New Roman"/>
          <w:sz w:val="24"/>
          <w:szCs w:val="24"/>
        </w:rPr>
        <w:tab/>
      </w:r>
      <w:r w:rsidR="008232E3">
        <w:rPr>
          <w:rFonts w:ascii="Times New Roman" w:hAnsi="Times New Roman" w:cs="Times New Roman"/>
          <w:sz w:val="24"/>
          <w:szCs w:val="24"/>
        </w:rPr>
        <w:tab/>
      </w:r>
      <w:r w:rsidR="00DF2218">
        <w:rPr>
          <w:rFonts w:ascii="Times New Roman" w:hAnsi="Times New Roman" w:cs="Times New Roman"/>
          <w:sz w:val="24"/>
          <w:szCs w:val="24"/>
        </w:rPr>
        <w:t>C-2017-2605855</w:t>
      </w:r>
    </w:p>
    <w:p w14:paraId="5D4A1DA2" w14:textId="6E2A7038" w:rsidR="00D1225B" w:rsidRPr="00C52ADD" w:rsidRDefault="00D1225B"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232E3">
        <w:rPr>
          <w:rFonts w:ascii="Times New Roman" w:hAnsi="Times New Roman" w:cs="Times New Roman"/>
          <w:sz w:val="24"/>
          <w:szCs w:val="24"/>
        </w:rPr>
        <w:tab/>
      </w:r>
      <w:r>
        <w:rPr>
          <w:rFonts w:ascii="Times New Roman" w:hAnsi="Times New Roman" w:cs="Times New Roman"/>
          <w:sz w:val="24"/>
          <w:szCs w:val="24"/>
        </w:rPr>
        <w:t>:</w:t>
      </w:r>
      <w:r w:rsidR="0073113B">
        <w:rPr>
          <w:rFonts w:ascii="Times New Roman" w:hAnsi="Times New Roman" w:cs="Times New Roman"/>
          <w:sz w:val="24"/>
          <w:szCs w:val="24"/>
        </w:rPr>
        <w:tab/>
      </w:r>
    </w:p>
    <w:p w14:paraId="7F5FB85F" w14:textId="6D1FF5E6" w:rsidR="00D1225B" w:rsidRPr="00C52ADD" w:rsidRDefault="006E48ED" w:rsidP="00D1225B">
      <w:pPr>
        <w:pStyle w:val="NoSpacing"/>
        <w:rPr>
          <w:rFonts w:ascii="Times New Roman" w:hAnsi="Times New Roman" w:cs="Times New Roman"/>
          <w:sz w:val="24"/>
          <w:szCs w:val="24"/>
        </w:rPr>
      </w:pPr>
      <w:bookmarkStart w:id="0" w:name="_Hlk504034507"/>
      <w:r>
        <w:rPr>
          <w:rFonts w:ascii="Times New Roman" w:hAnsi="Times New Roman" w:cs="Times New Roman"/>
          <w:sz w:val="24"/>
          <w:szCs w:val="24"/>
        </w:rPr>
        <w:t>P</w:t>
      </w:r>
      <w:r w:rsidR="00FD6471">
        <w:rPr>
          <w:rFonts w:ascii="Times New Roman" w:hAnsi="Times New Roman" w:cs="Times New Roman"/>
          <w:sz w:val="24"/>
          <w:szCs w:val="24"/>
        </w:rPr>
        <w:t>PL Electric Utilities Corporation</w:t>
      </w:r>
      <w:bookmarkEnd w:id="0"/>
      <w:r w:rsidR="00D1225B">
        <w:rPr>
          <w:rFonts w:ascii="Times New Roman" w:hAnsi="Times New Roman" w:cs="Times New Roman"/>
          <w:sz w:val="24"/>
          <w:szCs w:val="24"/>
        </w:rPr>
        <w:tab/>
      </w:r>
      <w:r w:rsidR="00D1225B">
        <w:rPr>
          <w:rFonts w:ascii="Times New Roman" w:hAnsi="Times New Roman" w:cs="Times New Roman"/>
          <w:sz w:val="24"/>
          <w:szCs w:val="24"/>
        </w:rPr>
        <w:tab/>
      </w:r>
      <w:r w:rsidR="008232E3">
        <w:rPr>
          <w:rFonts w:ascii="Times New Roman" w:hAnsi="Times New Roman" w:cs="Times New Roman"/>
          <w:sz w:val="24"/>
          <w:szCs w:val="24"/>
        </w:rPr>
        <w:tab/>
      </w:r>
      <w:r w:rsidR="00D1225B">
        <w:rPr>
          <w:rFonts w:ascii="Times New Roman" w:hAnsi="Times New Roman" w:cs="Times New Roman"/>
          <w:sz w:val="24"/>
          <w:szCs w:val="24"/>
        </w:rPr>
        <w:t>:</w:t>
      </w:r>
    </w:p>
    <w:p w14:paraId="163123A1" w14:textId="77777777" w:rsidR="00D1225B" w:rsidRDefault="00D1225B" w:rsidP="00D1225B">
      <w:pPr>
        <w:pStyle w:val="NoSpacing"/>
        <w:rPr>
          <w:rFonts w:ascii="Times New Roman" w:hAnsi="Times New Roman" w:cs="Times New Roman"/>
          <w:sz w:val="24"/>
          <w:szCs w:val="24"/>
        </w:rPr>
      </w:pPr>
    </w:p>
    <w:p w14:paraId="76308890" w14:textId="77777777" w:rsidR="00B43108" w:rsidRDefault="00B43108" w:rsidP="00D1225B">
      <w:pPr>
        <w:pStyle w:val="NoSpacing"/>
        <w:rPr>
          <w:rFonts w:ascii="Times New Roman" w:hAnsi="Times New Roman" w:cs="Times New Roman"/>
          <w:sz w:val="24"/>
          <w:szCs w:val="24"/>
        </w:rPr>
      </w:pPr>
    </w:p>
    <w:p w14:paraId="3EF3FB8B" w14:textId="77777777" w:rsidR="00EF60EC" w:rsidRDefault="00EF60EC" w:rsidP="00FB3415">
      <w:pPr>
        <w:pStyle w:val="NoSpacing"/>
        <w:rPr>
          <w:rFonts w:ascii="Times New Roman" w:hAnsi="Times New Roman" w:cs="Times New Roman"/>
          <w:sz w:val="24"/>
          <w:szCs w:val="24"/>
        </w:rPr>
      </w:pPr>
    </w:p>
    <w:p w14:paraId="3105C775" w14:textId="05FF0FA7" w:rsidR="00770F10" w:rsidRPr="005A0C0F" w:rsidRDefault="001B71CD" w:rsidP="00770F10">
      <w:pPr>
        <w:pStyle w:val="Heading1"/>
        <w:rPr>
          <w:rFonts w:ascii="Times New Roman" w:hAnsi="Times New Roman"/>
          <w:szCs w:val="24"/>
        </w:rPr>
      </w:pPr>
      <w:r>
        <w:rPr>
          <w:rFonts w:ascii="Times New Roman" w:hAnsi="Times New Roman"/>
          <w:szCs w:val="24"/>
        </w:rPr>
        <w:t xml:space="preserve">ORDER </w:t>
      </w:r>
      <w:r w:rsidR="00BB7143">
        <w:rPr>
          <w:rFonts w:ascii="Times New Roman" w:hAnsi="Times New Roman"/>
          <w:szCs w:val="24"/>
        </w:rPr>
        <w:t xml:space="preserve">DENYING </w:t>
      </w:r>
      <w:r>
        <w:rPr>
          <w:rFonts w:ascii="Times New Roman" w:hAnsi="Times New Roman"/>
          <w:szCs w:val="24"/>
        </w:rPr>
        <w:t xml:space="preserve">APPLICATION FOR </w:t>
      </w:r>
      <w:r w:rsidR="004A0F8F">
        <w:rPr>
          <w:rFonts w:ascii="Times New Roman" w:hAnsi="Times New Roman"/>
          <w:szCs w:val="24"/>
        </w:rPr>
        <w:t xml:space="preserve">ISSUANCE OF </w:t>
      </w:r>
      <w:r>
        <w:rPr>
          <w:rFonts w:ascii="Times New Roman" w:hAnsi="Times New Roman"/>
          <w:szCs w:val="24"/>
        </w:rPr>
        <w:t>SUBPOENA</w:t>
      </w:r>
      <w:r w:rsidR="00BB7143">
        <w:rPr>
          <w:rFonts w:ascii="Times New Roman" w:hAnsi="Times New Roman"/>
          <w:szCs w:val="24"/>
        </w:rPr>
        <w:t>S</w:t>
      </w:r>
    </w:p>
    <w:p w14:paraId="45C1A3AD" w14:textId="77777777" w:rsidR="00770F10" w:rsidRDefault="00770F10" w:rsidP="001B71CD">
      <w:pPr>
        <w:rPr>
          <w:sz w:val="24"/>
          <w:szCs w:val="24"/>
        </w:rPr>
      </w:pPr>
    </w:p>
    <w:p w14:paraId="30B10B53" w14:textId="77777777" w:rsidR="001B71CD" w:rsidRDefault="001B71CD" w:rsidP="001B71CD">
      <w:pPr>
        <w:rPr>
          <w:sz w:val="24"/>
          <w:szCs w:val="24"/>
        </w:rPr>
      </w:pPr>
    </w:p>
    <w:p w14:paraId="6ABF35A6" w14:textId="053C38FA" w:rsidR="00D71E9A" w:rsidRDefault="001B71CD" w:rsidP="001B71CD">
      <w:pPr>
        <w:spacing w:line="360" w:lineRule="auto"/>
        <w:rPr>
          <w:sz w:val="24"/>
          <w:szCs w:val="24"/>
        </w:rPr>
      </w:pPr>
      <w:r>
        <w:rPr>
          <w:sz w:val="24"/>
          <w:szCs w:val="24"/>
        </w:rPr>
        <w:tab/>
      </w:r>
      <w:r>
        <w:rPr>
          <w:sz w:val="24"/>
          <w:szCs w:val="24"/>
        </w:rPr>
        <w:tab/>
      </w:r>
      <w:r w:rsidR="00D71E9A">
        <w:rPr>
          <w:sz w:val="24"/>
          <w:szCs w:val="24"/>
        </w:rPr>
        <w:t xml:space="preserve">This Order is issued consistent with the Rules of Administrative Practice and Procedure of the Pennsylvania Public Utility Commission at 52 Pa. Code § </w:t>
      </w:r>
      <w:r w:rsidR="00AB4B7C">
        <w:rPr>
          <w:sz w:val="24"/>
          <w:szCs w:val="24"/>
        </w:rPr>
        <w:t>5.421</w:t>
      </w:r>
      <w:r w:rsidR="00BB7143">
        <w:rPr>
          <w:sz w:val="24"/>
          <w:szCs w:val="24"/>
        </w:rPr>
        <w:t xml:space="preserve"> and § 5.483</w:t>
      </w:r>
      <w:r w:rsidR="00AB4B7C">
        <w:rPr>
          <w:sz w:val="24"/>
          <w:szCs w:val="24"/>
        </w:rPr>
        <w:t>.</w:t>
      </w:r>
      <w:r w:rsidR="00031484">
        <w:rPr>
          <w:sz w:val="24"/>
          <w:szCs w:val="24"/>
        </w:rPr>
        <w:t xml:space="preserve">  The Order </w:t>
      </w:r>
      <w:r w:rsidR="00C364B9">
        <w:rPr>
          <w:sz w:val="24"/>
          <w:szCs w:val="24"/>
        </w:rPr>
        <w:t xml:space="preserve">denies the Application for </w:t>
      </w:r>
      <w:r w:rsidR="0066588B">
        <w:rPr>
          <w:sz w:val="24"/>
          <w:szCs w:val="24"/>
        </w:rPr>
        <w:t xml:space="preserve">Issuance of </w:t>
      </w:r>
      <w:r w:rsidR="00C364B9">
        <w:rPr>
          <w:sz w:val="24"/>
          <w:szCs w:val="24"/>
        </w:rPr>
        <w:t>Subpoena</w:t>
      </w:r>
      <w:r w:rsidR="00393588">
        <w:rPr>
          <w:sz w:val="24"/>
          <w:szCs w:val="24"/>
        </w:rPr>
        <w:t>s</w:t>
      </w:r>
      <w:r w:rsidR="00C364B9">
        <w:rPr>
          <w:sz w:val="24"/>
          <w:szCs w:val="24"/>
        </w:rPr>
        <w:t xml:space="preserve"> </w:t>
      </w:r>
      <w:r w:rsidR="00927404">
        <w:rPr>
          <w:sz w:val="24"/>
          <w:szCs w:val="24"/>
        </w:rPr>
        <w:t>upon</w:t>
      </w:r>
      <w:r w:rsidR="00AF2D22">
        <w:rPr>
          <w:sz w:val="24"/>
          <w:szCs w:val="24"/>
        </w:rPr>
        <w:t xml:space="preserve"> </w:t>
      </w:r>
      <w:r w:rsidR="00AF2D22" w:rsidRPr="00AF2D22">
        <w:rPr>
          <w:sz w:val="24"/>
          <w:szCs w:val="24"/>
        </w:rPr>
        <w:t>PPL Electric Utilities Corporation (PPL or Respondent)</w:t>
      </w:r>
      <w:r w:rsidR="00AF2D22">
        <w:rPr>
          <w:sz w:val="24"/>
          <w:szCs w:val="24"/>
        </w:rPr>
        <w:t xml:space="preserve"> and </w:t>
      </w:r>
      <w:r w:rsidR="00927404">
        <w:rPr>
          <w:sz w:val="24"/>
          <w:szCs w:val="24"/>
        </w:rPr>
        <w:t xml:space="preserve">upon </w:t>
      </w:r>
      <w:r w:rsidR="00AF2D22">
        <w:rPr>
          <w:sz w:val="24"/>
          <w:szCs w:val="24"/>
        </w:rPr>
        <w:t xml:space="preserve">Mr. Elias </w:t>
      </w:r>
      <w:proofErr w:type="spellStart"/>
      <w:r w:rsidR="00AF2D22">
        <w:rPr>
          <w:sz w:val="24"/>
          <w:szCs w:val="24"/>
        </w:rPr>
        <w:t>Harbilas</w:t>
      </w:r>
      <w:proofErr w:type="spellEnd"/>
      <w:r w:rsidR="00AF2D22">
        <w:rPr>
          <w:sz w:val="24"/>
          <w:szCs w:val="24"/>
        </w:rPr>
        <w:t xml:space="preserve"> </w:t>
      </w:r>
      <w:r w:rsidR="00C364B9">
        <w:rPr>
          <w:sz w:val="24"/>
          <w:szCs w:val="24"/>
        </w:rPr>
        <w:t xml:space="preserve">filed </w:t>
      </w:r>
      <w:r w:rsidR="00AF2D22">
        <w:rPr>
          <w:sz w:val="24"/>
          <w:szCs w:val="24"/>
        </w:rPr>
        <w:t xml:space="preserve">at this docket on February 15, 2018, </w:t>
      </w:r>
      <w:r w:rsidR="00C364B9">
        <w:rPr>
          <w:sz w:val="24"/>
          <w:szCs w:val="24"/>
        </w:rPr>
        <w:t>by Chalmers A. Simpson, Jr.</w:t>
      </w:r>
      <w:r w:rsidR="00020936">
        <w:rPr>
          <w:sz w:val="24"/>
          <w:szCs w:val="24"/>
        </w:rPr>
        <w:t xml:space="preserve"> (Complainant)</w:t>
      </w:r>
      <w:r w:rsidR="00C63BCB">
        <w:rPr>
          <w:sz w:val="24"/>
          <w:szCs w:val="24"/>
        </w:rPr>
        <w:t>.</w:t>
      </w:r>
    </w:p>
    <w:p w14:paraId="5B7FC5B3" w14:textId="6F73A918" w:rsidR="002931D5" w:rsidRDefault="002931D5" w:rsidP="001B71CD">
      <w:pPr>
        <w:spacing w:line="360" w:lineRule="auto"/>
        <w:rPr>
          <w:sz w:val="24"/>
          <w:szCs w:val="24"/>
        </w:rPr>
      </w:pPr>
    </w:p>
    <w:p w14:paraId="432ADFBA" w14:textId="11B1E069" w:rsidR="002931D5" w:rsidRPr="002931D5" w:rsidRDefault="002931D5" w:rsidP="002931D5">
      <w:pPr>
        <w:spacing w:line="360" w:lineRule="auto"/>
        <w:jc w:val="center"/>
        <w:rPr>
          <w:sz w:val="24"/>
          <w:szCs w:val="24"/>
          <w:u w:val="single"/>
        </w:rPr>
      </w:pPr>
      <w:r>
        <w:rPr>
          <w:sz w:val="24"/>
          <w:szCs w:val="24"/>
          <w:u w:val="single"/>
        </w:rPr>
        <w:t>HISTORY</w:t>
      </w:r>
    </w:p>
    <w:p w14:paraId="1C980793" w14:textId="77777777" w:rsidR="00D71E9A" w:rsidRDefault="00D71E9A" w:rsidP="001B71CD">
      <w:pPr>
        <w:spacing w:line="360" w:lineRule="auto"/>
        <w:rPr>
          <w:sz w:val="24"/>
          <w:szCs w:val="24"/>
        </w:rPr>
      </w:pPr>
    </w:p>
    <w:p w14:paraId="2E7E420D" w14:textId="5FD8270D" w:rsidR="00C17D14" w:rsidRDefault="00D71E9A" w:rsidP="001B71CD">
      <w:pPr>
        <w:spacing w:line="360" w:lineRule="auto"/>
        <w:rPr>
          <w:sz w:val="24"/>
          <w:szCs w:val="24"/>
        </w:rPr>
      </w:pPr>
      <w:r>
        <w:rPr>
          <w:sz w:val="24"/>
          <w:szCs w:val="24"/>
        </w:rPr>
        <w:tab/>
      </w:r>
      <w:r>
        <w:rPr>
          <w:sz w:val="24"/>
          <w:szCs w:val="24"/>
        </w:rPr>
        <w:tab/>
      </w:r>
      <w:r w:rsidR="00C17D14">
        <w:rPr>
          <w:sz w:val="24"/>
          <w:szCs w:val="24"/>
        </w:rPr>
        <w:t xml:space="preserve">On May 24, 2017, Complainant filed a formal Complaint with the Pennsylvania Public Utility Commission alleging that he had been misbilled by </w:t>
      </w:r>
      <w:r w:rsidR="002666B3">
        <w:rPr>
          <w:sz w:val="24"/>
          <w:szCs w:val="24"/>
        </w:rPr>
        <w:t>PPL.</w:t>
      </w:r>
    </w:p>
    <w:p w14:paraId="136E1E69" w14:textId="507A394E" w:rsidR="004470A2" w:rsidRDefault="004470A2" w:rsidP="001B71CD">
      <w:pPr>
        <w:spacing w:line="360" w:lineRule="auto"/>
        <w:rPr>
          <w:sz w:val="24"/>
          <w:szCs w:val="24"/>
        </w:rPr>
      </w:pPr>
    </w:p>
    <w:p w14:paraId="7BF54DC8" w14:textId="69ACAA93" w:rsidR="004470A2" w:rsidRDefault="004470A2" w:rsidP="001B71CD">
      <w:pPr>
        <w:spacing w:line="360" w:lineRule="auto"/>
        <w:rPr>
          <w:sz w:val="24"/>
          <w:szCs w:val="24"/>
        </w:rPr>
      </w:pPr>
      <w:r>
        <w:rPr>
          <w:sz w:val="24"/>
          <w:szCs w:val="24"/>
        </w:rPr>
        <w:tab/>
      </w:r>
      <w:r>
        <w:rPr>
          <w:sz w:val="24"/>
          <w:szCs w:val="24"/>
        </w:rPr>
        <w:tab/>
        <w:t>On June 13, 2017, PPL filed an Answer to the Complaint denying Complainant’s a</w:t>
      </w:r>
      <w:r w:rsidR="00020936">
        <w:rPr>
          <w:sz w:val="24"/>
          <w:szCs w:val="24"/>
        </w:rPr>
        <w:t>llegation</w:t>
      </w:r>
      <w:r>
        <w:rPr>
          <w:sz w:val="24"/>
          <w:szCs w:val="24"/>
        </w:rPr>
        <w:t xml:space="preserve"> and any violation of the Pennsylvania Public Utility Code or the regulations of the Commission.</w:t>
      </w:r>
      <w:r w:rsidR="00020936">
        <w:rPr>
          <w:rStyle w:val="FootnoteReference"/>
          <w:sz w:val="24"/>
          <w:szCs w:val="24"/>
        </w:rPr>
        <w:footnoteReference w:id="1"/>
      </w:r>
    </w:p>
    <w:p w14:paraId="2018C663" w14:textId="5E16044E" w:rsidR="00927404" w:rsidRDefault="00927404" w:rsidP="001B71CD">
      <w:pPr>
        <w:spacing w:line="360" w:lineRule="auto"/>
        <w:rPr>
          <w:sz w:val="24"/>
          <w:szCs w:val="24"/>
        </w:rPr>
      </w:pPr>
    </w:p>
    <w:p w14:paraId="75D49ACD" w14:textId="77777777" w:rsidR="00DB6E71" w:rsidRDefault="00927404" w:rsidP="001B71CD">
      <w:pPr>
        <w:spacing w:line="360" w:lineRule="auto"/>
        <w:rPr>
          <w:sz w:val="24"/>
          <w:szCs w:val="24"/>
        </w:rPr>
        <w:sectPr w:rsidR="00DB6E71" w:rsidSect="00270184">
          <w:footerReference w:type="default" r:id="rId8"/>
          <w:pgSz w:w="12240" w:h="15840"/>
          <w:pgMar w:top="1440" w:right="1440" w:bottom="1440" w:left="1440" w:header="720" w:footer="720" w:gutter="0"/>
          <w:cols w:space="720"/>
          <w:docGrid w:linePitch="360"/>
        </w:sectPr>
      </w:pPr>
      <w:r>
        <w:rPr>
          <w:sz w:val="24"/>
          <w:szCs w:val="24"/>
        </w:rPr>
        <w:tab/>
      </w:r>
      <w:r>
        <w:rPr>
          <w:sz w:val="24"/>
          <w:szCs w:val="24"/>
        </w:rPr>
        <w:tab/>
        <w:t xml:space="preserve">On January 7, 2018, Complainant made Application </w:t>
      </w:r>
      <w:r w:rsidR="006A69E1">
        <w:rPr>
          <w:sz w:val="24"/>
          <w:szCs w:val="24"/>
        </w:rPr>
        <w:t xml:space="preserve">for Issuance of Subpoenas on PPL, Mr. </w:t>
      </w:r>
      <w:proofErr w:type="spellStart"/>
      <w:r w:rsidR="006A69E1">
        <w:rPr>
          <w:sz w:val="24"/>
          <w:szCs w:val="24"/>
        </w:rPr>
        <w:t>Harbilas</w:t>
      </w:r>
      <w:proofErr w:type="spellEnd"/>
      <w:r w:rsidR="006A69E1">
        <w:rPr>
          <w:sz w:val="24"/>
          <w:szCs w:val="24"/>
        </w:rPr>
        <w:t>, and an entity k</w:t>
      </w:r>
      <w:r w:rsidR="006A69E1" w:rsidRPr="006A69E1">
        <w:rPr>
          <w:sz w:val="24"/>
          <w:szCs w:val="24"/>
        </w:rPr>
        <w:t>nown as the Capital Region Water Company</w:t>
      </w:r>
      <w:r w:rsidR="006A69E1">
        <w:rPr>
          <w:sz w:val="24"/>
          <w:szCs w:val="24"/>
        </w:rPr>
        <w:t xml:space="preserve">.  </w:t>
      </w:r>
      <w:r w:rsidR="0066588B">
        <w:rPr>
          <w:sz w:val="24"/>
          <w:szCs w:val="24"/>
        </w:rPr>
        <w:t>A</w:t>
      </w:r>
      <w:r w:rsidR="006A69E1">
        <w:rPr>
          <w:sz w:val="24"/>
          <w:szCs w:val="24"/>
        </w:rPr>
        <w:t xml:space="preserve"> </w:t>
      </w:r>
      <w:r w:rsidR="006A69E1" w:rsidRPr="006A69E1">
        <w:rPr>
          <w:sz w:val="24"/>
          <w:szCs w:val="24"/>
        </w:rPr>
        <w:t xml:space="preserve">subpoena of Mr. </w:t>
      </w:r>
      <w:proofErr w:type="spellStart"/>
      <w:r w:rsidR="006A69E1" w:rsidRPr="006A69E1">
        <w:rPr>
          <w:sz w:val="24"/>
          <w:szCs w:val="24"/>
        </w:rPr>
        <w:t>Harbilas</w:t>
      </w:r>
      <w:proofErr w:type="spellEnd"/>
      <w:r w:rsidR="006A69E1" w:rsidRPr="006A69E1">
        <w:rPr>
          <w:sz w:val="24"/>
          <w:szCs w:val="24"/>
        </w:rPr>
        <w:t xml:space="preserve"> was </w:t>
      </w:r>
      <w:r w:rsidR="006A69E1">
        <w:rPr>
          <w:sz w:val="24"/>
          <w:szCs w:val="24"/>
        </w:rPr>
        <w:t xml:space="preserve">issued </w:t>
      </w:r>
      <w:r w:rsidR="00C63BCB">
        <w:rPr>
          <w:sz w:val="24"/>
          <w:szCs w:val="24"/>
        </w:rPr>
        <w:t xml:space="preserve">on January 22, 2018, </w:t>
      </w:r>
      <w:r w:rsidR="006A69E1">
        <w:rPr>
          <w:sz w:val="24"/>
          <w:szCs w:val="24"/>
        </w:rPr>
        <w:t xml:space="preserve">but </w:t>
      </w:r>
      <w:r w:rsidR="00C63BCB">
        <w:rPr>
          <w:sz w:val="24"/>
          <w:szCs w:val="24"/>
        </w:rPr>
        <w:t xml:space="preserve">was </w:t>
      </w:r>
      <w:r w:rsidR="006A69E1">
        <w:rPr>
          <w:sz w:val="24"/>
          <w:szCs w:val="24"/>
        </w:rPr>
        <w:t xml:space="preserve">then </w:t>
      </w:r>
      <w:r w:rsidR="006A69E1" w:rsidRPr="006A69E1">
        <w:rPr>
          <w:sz w:val="24"/>
          <w:szCs w:val="24"/>
        </w:rPr>
        <w:t xml:space="preserve">quashed by Order </w:t>
      </w:r>
      <w:r w:rsidR="006A69E1">
        <w:rPr>
          <w:sz w:val="24"/>
          <w:szCs w:val="24"/>
        </w:rPr>
        <w:t>dated</w:t>
      </w:r>
      <w:r w:rsidR="006A69E1" w:rsidRPr="006A69E1">
        <w:rPr>
          <w:sz w:val="24"/>
          <w:szCs w:val="24"/>
        </w:rPr>
        <w:t xml:space="preserve"> January 23, 2018, after it was made known to me that counsel for Mr. </w:t>
      </w:r>
      <w:proofErr w:type="spellStart"/>
      <w:r w:rsidR="006A69E1" w:rsidRPr="006A69E1">
        <w:rPr>
          <w:sz w:val="24"/>
          <w:szCs w:val="24"/>
        </w:rPr>
        <w:t>Harbilas</w:t>
      </w:r>
      <w:proofErr w:type="spellEnd"/>
      <w:r w:rsidR="006A69E1" w:rsidRPr="006A69E1">
        <w:rPr>
          <w:sz w:val="24"/>
          <w:szCs w:val="24"/>
        </w:rPr>
        <w:t xml:space="preserve"> had not been served with the </w:t>
      </w:r>
    </w:p>
    <w:p w14:paraId="0DB00226" w14:textId="03A541A9" w:rsidR="00927404" w:rsidRDefault="006A69E1" w:rsidP="001B71CD">
      <w:pPr>
        <w:spacing w:line="360" w:lineRule="auto"/>
        <w:rPr>
          <w:sz w:val="24"/>
          <w:szCs w:val="24"/>
        </w:rPr>
      </w:pPr>
      <w:r w:rsidRPr="006A69E1">
        <w:rPr>
          <w:sz w:val="24"/>
          <w:szCs w:val="24"/>
        </w:rPr>
        <w:lastRenderedPageBreak/>
        <w:t xml:space="preserve">Application for Subpoena, a Certificate of Service attached to that earlier Application notwithstanding.  Further, it has become clear that the subpoena of Mr. </w:t>
      </w:r>
      <w:proofErr w:type="spellStart"/>
      <w:r w:rsidRPr="006A69E1">
        <w:rPr>
          <w:sz w:val="24"/>
          <w:szCs w:val="24"/>
        </w:rPr>
        <w:t>Harbilas</w:t>
      </w:r>
      <w:proofErr w:type="spellEnd"/>
      <w:r w:rsidRPr="006A69E1">
        <w:rPr>
          <w:sz w:val="24"/>
          <w:szCs w:val="24"/>
        </w:rPr>
        <w:t xml:space="preserve"> is related to collateral litigation by the Complainant in the Dauphin County Court of Common Pleas, as will be discussed in this Order.  Finally, the Order of January 23, 2018 also denied the </w:t>
      </w:r>
      <w:r w:rsidR="004A0F8F">
        <w:rPr>
          <w:sz w:val="24"/>
          <w:szCs w:val="24"/>
        </w:rPr>
        <w:t>January 7, 2018</w:t>
      </w:r>
      <w:r w:rsidRPr="006A69E1">
        <w:rPr>
          <w:sz w:val="24"/>
          <w:szCs w:val="24"/>
        </w:rPr>
        <w:t xml:space="preserve"> Application </w:t>
      </w:r>
      <w:bookmarkStart w:id="1" w:name="_Hlk507149755"/>
      <w:r w:rsidRPr="006A69E1">
        <w:rPr>
          <w:sz w:val="24"/>
          <w:szCs w:val="24"/>
        </w:rPr>
        <w:t>for Issuance of Subpoena</w:t>
      </w:r>
      <w:r>
        <w:rPr>
          <w:sz w:val="24"/>
          <w:szCs w:val="24"/>
        </w:rPr>
        <w:t>s</w:t>
      </w:r>
      <w:r w:rsidRPr="006A69E1">
        <w:rPr>
          <w:sz w:val="24"/>
          <w:szCs w:val="24"/>
        </w:rPr>
        <w:t xml:space="preserve"> on PPL and Capital Region Water Company </w:t>
      </w:r>
      <w:bookmarkEnd w:id="1"/>
      <w:r w:rsidRPr="006A69E1">
        <w:rPr>
          <w:sz w:val="24"/>
          <w:szCs w:val="24"/>
        </w:rPr>
        <w:t xml:space="preserve">due to </w:t>
      </w:r>
      <w:r w:rsidR="00C63BCB">
        <w:rPr>
          <w:sz w:val="24"/>
          <w:szCs w:val="24"/>
        </w:rPr>
        <w:t xml:space="preserve">the </w:t>
      </w:r>
      <w:r w:rsidRPr="006A69E1">
        <w:rPr>
          <w:sz w:val="24"/>
          <w:szCs w:val="24"/>
        </w:rPr>
        <w:t>defective service of that Application.</w:t>
      </w:r>
    </w:p>
    <w:p w14:paraId="03B7A5D0" w14:textId="77777777" w:rsidR="00C17D14" w:rsidRDefault="00C17D14" w:rsidP="001B71CD">
      <w:pPr>
        <w:spacing w:line="360" w:lineRule="auto"/>
        <w:rPr>
          <w:sz w:val="24"/>
          <w:szCs w:val="24"/>
        </w:rPr>
      </w:pPr>
    </w:p>
    <w:p w14:paraId="2DA73739" w14:textId="6803850E" w:rsidR="00C364B9" w:rsidRDefault="00C17D14" w:rsidP="001B71CD">
      <w:pPr>
        <w:spacing w:line="360" w:lineRule="auto"/>
        <w:rPr>
          <w:sz w:val="24"/>
          <w:szCs w:val="24"/>
        </w:rPr>
      </w:pPr>
      <w:r>
        <w:rPr>
          <w:sz w:val="24"/>
          <w:szCs w:val="24"/>
        </w:rPr>
        <w:tab/>
      </w:r>
      <w:r>
        <w:rPr>
          <w:sz w:val="24"/>
          <w:szCs w:val="24"/>
        </w:rPr>
        <w:tab/>
      </w:r>
      <w:r w:rsidR="001B71CD">
        <w:rPr>
          <w:sz w:val="24"/>
          <w:szCs w:val="24"/>
        </w:rPr>
        <w:t xml:space="preserve">On </w:t>
      </w:r>
      <w:r w:rsidR="00C364B9">
        <w:rPr>
          <w:sz w:val="24"/>
          <w:szCs w:val="24"/>
        </w:rPr>
        <w:t xml:space="preserve">February 15, 2018, </w:t>
      </w:r>
      <w:r w:rsidR="00BB7143">
        <w:rPr>
          <w:sz w:val="24"/>
          <w:szCs w:val="24"/>
        </w:rPr>
        <w:t>Complainant</w:t>
      </w:r>
      <w:r w:rsidR="001B71CD">
        <w:rPr>
          <w:sz w:val="24"/>
          <w:szCs w:val="24"/>
        </w:rPr>
        <w:t xml:space="preserve"> </w:t>
      </w:r>
      <w:r w:rsidR="00927404">
        <w:rPr>
          <w:sz w:val="24"/>
          <w:szCs w:val="24"/>
        </w:rPr>
        <w:t xml:space="preserve">again </w:t>
      </w:r>
      <w:r w:rsidR="001B71CD">
        <w:rPr>
          <w:sz w:val="24"/>
          <w:szCs w:val="24"/>
        </w:rPr>
        <w:t xml:space="preserve">made </w:t>
      </w:r>
      <w:r>
        <w:rPr>
          <w:sz w:val="24"/>
          <w:szCs w:val="24"/>
        </w:rPr>
        <w:t>A</w:t>
      </w:r>
      <w:r w:rsidR="001B71CD">
        <w:rPr>
          <w:sz w:val="24"/>
          <w:szCs w:val="24"/>
        </w:rPr>
        <w:t xml:space="preserve">pplication for the </w:t>
      </w:r>
      <w:r w:rsidR="006A69E1">
        <w:rPr>
          <w:sz w:val="24"/>
          <w:szCs w:val="24"/>
        </w:rPr>
        <w:t>I</w:t>
      </w:r>
      <w:r w:rsidR="001B71CD">
        <w:rPr>
          <w:sz w:val="24"/>
          <w:szCs w:val="24"/>
        </w:rPr>
        <w:t xml:space="preserve">ssuance of </w:t>
      </w:r>
      <w:r w:rsidR="006A69E1">
        <w:rPr>
          <w:sz w:val="24"/>
          <w:szCs w:val="24"/>
        </w:rPr>
        <w:t>S</w:t>
      </w:r>
      <w:r w:rsidR="001B71CD">
        <w:rPr>
          <w:sz w:val="24"/>
          <w:szCs w:val="24"/>
        </w:rPr>
        <w:t>ubpoena</w:t>
      </w:r>
      <w:r w:rsidR="00927404">
        <w:rPr>
          <w:sz w:val="24"/>
          <w:szCs w:val="24"/>
        </w:rPr>
        <w:t>s</w:t>
      </w:r>
      <w:r w:rsidR="001B71CD">
        <w:rPr>
          <w:sz w:val="24"/>
          <w:szCs w:val="24"/>
        </w:rPr>
        <w:t xml:space="preserve"> </w:t>
      </w:r>
      <w:bookmarkStart w:id="2" w:name="_Hlk504482300"/>
      <w:r w:rsidR="001B71CD">
        <w:rPr>
          <w:sz w:val="24"/>
          <w:szCs w:val="24"/>
        </w:rPr>
        <w:t xml:space="preserve">on </w:t>
      </w:r>
      <w:bookmarkStart w:id="3" w:name="_Hlk504480963"/>
      <w:r w:rsidR="00C364B9" w:rsidRPr="00C364B9">
        <w:rPr>
          <w:sz w:val="24"/>
          <w:szCs w:val="24"/>
        </w:rPr>
        <w:t xml:space="preserve">PPL </w:t>
      </w:r>
      <w:r w:rsidR="00C364B9">
        <w:rPr>
          <w:sz w:val="24"/>
          <w:szCs w:val="24"/>
        </w:rPr>
        <w:t xml:space="preserve">and </w:t>
      </w:r>
      <w:r w:rsidR="00DF2218">
        <w:rPr>
          <w:sz w:val="24"/>
          <w:szCs w:val="24"/>
        </w:rPr>
        <w:t xml:space="preserve">Elias </w:t>
      </w:r>
      <w:proofErr w:type="spellStart"/>
      <w:r w:rsidR="00DF2218">
        <w:rPr>
          <w:sz w:val="24"/>
          <w:szCs w:val="24"/>
        </w:rPr>
        <w:t>Harbilas</w:t>
      </w:r>
      <w:proofErr w:type="spellEnd"/>
      <w:r w:rsidR="00C364B9">
        <w:rPr>
          <w:sz w:val="24"/>
          <w:szCs w:val="24"/>
        </w:rPr>
        <w:t>.</w:t>
      </w:r>
      <w:r w:rsidR="002931D5">
        <w:rPr>
          <w:sz w:val="24"/>
          <w:szCs w:val="24"/>
        </w:rPr>
        <w:t xml:space="preserve">  </w:t>
      </w:r>
    </w:p>
    <w:p w14:paraId="73E91E6B" w14:textId="77777777" w:rsidR="00C364B9" w:rsidRDefault="00C364B9" w:rsidP="001B71CD">
      <w:pPr>
        <w:spacing w:line="360" w:lineRule="auto"/>
        <w:rPr>
          <w:sz w:val="24"/>
          <w:szCs w:val="24"/>
        </w:rPr>
      </w:pPr>
    </w:p>
    <w:p w14:paraId="14CA571B" w14:textId="5833FE3B" w:rsidR="00C706A3" w:rsidRDefault="00C364B9" w:rsidP="00695B16">
      <w:pPr>
        <w:spacing w:line="360" w:lineRule="auto"/>
        <w:rPr>
          <w:sz w:val="24"/>
          <w:szCs w:val="24"/>
        </w:rPr>
      </w:pPr>
      <w:r>
        <w:rPr>
          <w:sz w:val="24"/>
          <w:szCs w:val="24"/>
        </w:rPr>
        <w:tab/>
      </w:r>
      <w:r>
        <w:rPr>
          <w:sz w:val="24"/>
          <w:szCs w:val="24"/>
        </w:rPr>
        <w:tab/>
        <w:t>On February 22, 2018, counsel for PPL filed an Objection to the Application</w:t>
      </w:r>
      <w:r w:rsidR="00C706A3">
        <w:rPr>
          <w:sz w:val="24"/>
          <w:szCs w:val="24"/>
        </w:rPr>
        <w:t xml:space="preserve"> arguing that t</w:t>
      </w:r>
      <w:r w:rsidR="00C706A3" w:rsidRPr="00C706A3">
        <w:rPr>
          <w:sz w:val="24"/>
          <w:szCs w:val="24"/>
        </w:rPr>
        <w:t>he</w:t>
      </w:r>
      <w:r w:rsidR="004A0F8F">
        <w:rPr>
          <w:sz w:val="24"/>
          <w:szCs w:val="24"/>
        </w:rPr>
        <w:t xml:space="preserve"> sole</w:t>
      </w:r>
      <w:r w:rsidR="00C706A3" w:rsidRPr="00C706A3">
        <w:rPr>
          <w:sz w:val="24"/>
          <w:szCs w:val="24"/>
        </w:rPr>
        <w:t xml:space="preserve"> issue </w:t>
      </w:r>
      <w:r w:rsidR="00C706A3">
        <w:rPr>
          <w:sz w:val="24"/>
          <w:szCs w:val="24"/>
        </w:rPr>
        <w:t>in this proceeding</w:t>
      </w:r>
      <w:r w:rsidR="00C706A3" w:rsidRPr="00C706A3">
        <w:rPr>
          <w:sz w:val="24"/>
          <w:szCs w:val="24"/>
        </w:rPr>
        <w:t xml:space="preserve"> is whether PPL acted improperly by transferring what PPL maintains is an unpaid balance for an account servicing a previous </w:t>
      </w:r>
      <w:r w:rsidR="00C706A3">
        <w:rPr>
          <w:sz w:val="24"/>
          <w:szCs w:val="24"/>
        </w:rPr>
        <w:t xml:space="preserve">address </w:t>
      </w:r>
      <w:r w:rsidR="00C706A3" w:rsidRPr="00C706A3">
        <w:rPr>
          <w:sz w:val="24"/>
          <w:szCs w:val="24"/>
        </w:rPr>
        <w:t>to Complainant’s current account</w:t>
      </w:r>
      <w:r>
        <w:rPr>
          <w:sz w:val="24"/>
          <w:szCs w:val="24"/>
        </w:rPr>
        <w:t>.</w:t>
      </w:r>
      <w:r w:rsidR="00695B16">
        <w:rPr>
          <w:sz w:val="24"/>
          <w:szCs w:val="24"/>
        </w:rPr>
        <w:t xml:space="preserve"> </w:t>
      </w:r>
      <w:r w:rsidR="00927404">
        <w:rPr>
          <w:sz w:val="24"/>
          <w:szCs w:val="24"/>
        </w:rPr>
        <w:t xml:space="preserve"> PPL also objects to the Application on the basis that data sought by the Complainant has already been provided, that portions of the request are irrelevant to the issue at hand, that </w:t>
      </w:r>
      <w:r w:rsidR="006A69E1">
        <w:rPr>
          <w:sz w:val="24"/>
          <w:szCs w:val="24"/>
        </w:rPr>
        <w:t xml:space="preserve">complying with </w:t>
      </w:r>
      <w:r w:rsidR="00927404">
        <w:rPr>
          <w:sz w:val="24"/>
          <w:szCs w:val="24"/>
        </w:rPr>
        <w:t xml:space="preserve">the request would be unduly burdensome, and that the subpoena, if issued, may put PPL in the position of potentially violating the privacy rights of other ratepayers. </w:t>
      </w:r>
      <w:r w:rsidR="00695B16">
        <w:rPr>
          <w:sz w:val="24"/>
          <w:szCs w:val="24"/>
        </w:rPr>
        <w:t xml:space="preserve"> </w:t>
      </w:r>
    </w:p>
    <w:p w14:paraId="7580A8C3" w14:textId="77777777" w:rsidR="00C706A3" w:rsidRDefault="00C706A3" w:rsidP="00695B16">
      <w:pPr>
        <w:spacing w:line="360" w:lineRule="auto"/>
        <w:rPr>
          <w:sz w:val="24"/>
          <w:szCs w:val="24"/>
        </w:rPr>
      </w:pPr>
    </w:p>
    <w:p w14:paraId="2A194F2F" w14:textId="728F68E7" w:rsidR="00695B16" w:rsidRDefault="00C706A3" w:rsidP="00695B16">
      <w:pPr>
        <w:spacing w:line="360" w:lineRule="auto"/>
        <w:rPr>
          <w:sz w:val="24"/>
          <w:szCs w:val="24"/>
        </w:rPr>
      </w:pPr>
      <w:r>
        <w:rPr>
          <w:sz w:val="24"/>
          <w:szCs w:val="24"/>
        </w:rPr>
        <w:tab/>
      </w:r>
      <w:r>
        <w:rPr>
          <w:sz w:val="24"/>
          <w:szCs w:val="24"/>
        </w:rPr>
        <w:tab/>
      </w:r>
      <w:r w:rsidR="00695B16" w:rsidRPr="00695B16">
        <w:rPr>
          <w:sz w:val="24"/>
          <w:szCs w:val="24"/>
        </w:rPr>
        <w:t xml:space="preserve">Pursuant to 52 Pa. Code § 5.421(f), a decision with respect to the Application and Objection is due no later than </w:t>
      </w:r>
      <w:r w:rsidR="00695B16">
        <w:rPr>
          <w:sz w:val="24"/>
          <w:szCs w:val="24"/>
        </w:rPr>
        <w:t>March 5</w:t>
      </w:r>
      <w:r w:rsidR="00695B16" w:rsidRPr="00695B16">
        <w:rPr>
          <w:sz w:val="24"/>
          <w:szCs w:val="24"/>
        </w:rPr>
        <w:t>, 201</w:t>
      </w:r>
      <w:r w:rsidR="00695B16">
        <w:rPr>
          <w:sz w:val="24"/>
          <w:szCs w:val="24"/>
        </w:rPr>
        <w:t>8</w:t>
      </w:r>
      <w:r w:rsidR="00695B16" w:rsidRPr="00695B16">
        <w:rPr>
          <w:sz w:val="24"/>
          <w:szCs w:val="24"/>
        </w:rPr>
        <w:t>.</w:t>
      </w:r>
    </w:p>
    <w:p w14:paraId="2F19D62F" w14:textId="77777777" w:rsidR="006A69E1" w:rsidRDefault="006A69E1" w:rsidP="00695B16">
      <w:pPr>
        <w:spacing w:line="360" w:lineRule="auto"/>
        <w:rPr>
          <w:sz w:val="24"/>
          <w:szCs w:val="24"/>
        </w:rPr>
      </w:pPr>
    </w:p>
    <w:p w14:paraId="09B565DA" w14:textId="45B705D3" w:rsidR="002931D5" w:rsidRPr="002931D5" w:rsidRDefault="002931D5" w:rsidP="002931D5">
      <w:pPr>
        <w:spacing w:line="360" w:lineRule="auto"/>
        <w:jc w:val="center"/>
        <w:rPr>
          <w:sz w:val="24"/>
          <w:szCs w:val="24"/>
          <w:u w:val="single"/>
        </w:rPr>
      </w:pPr>
      <w:r w:rsidRPr="002931D5">
        <w:rPr>
          <w:sz w:val="24"/>
          <w:szCs w:val="24"/>
          <w:u w:val="single"/>
        </w:rPr>
        <w:t>DISCUSSION</w:t>
      </w:r>
    </w:p>
    <w:p w14:paraId="071CE322" w14:textId="5BF798D3" w:rsidR="00C364B9" w:rsidRDefault="00C364B9" w:rsidP="001B71CD">
      <w:pPr>
        <w:spacing w:line="360" w:lineRule="auto"/>
        <w:rPr>
          <w:sz w:val="24"/>
          <w:szCs w:val="24"/>
        </w:rPr>
      </w:pPr>
    </w:p>
    <w:p w14:paraId="44AECC71" w14:textId="2CA562B1" w:rsidR="00C17D14" w:rsidRPr="00C17D14" w:rsidRDefault="00C17D14" w:rsidP="001B71CD">
      <w:pPr>
        <w:spacing w:line="360" w:lineRule="auto"/>
        <w:rPr>
          <w:sz w:val="24"/>
          <w:szCs w:val="24"/>
          <w:u w:val="single"/>
        </w:rPr>
      </w:pPr>
      <w:r w:rsidRPr="00C17D14">
        <w:rPr>
          <w:sz w:val="24"/>
          <w:szCs w:val="24"/>
          <w:u w:val="single"/>
        </w:rPr>
        <w:t>Applicable Law</w:t>
      </w:r>
    </w:p>
    <w:bookmarkEnd w:id="2"/>
    <w:bookmarkEnd w:id="3"/>
    <w:p w14:paraId="5B5C279E" w14:textId="77777777" w:rsidR="00A77704" w:rsidRDefault="00BB7143" w:rsidP="002931D5">
      <w:pPr>
        <w:spacing w:line="360" w:lineRule="auto"/>
        <w:rPr>
          <w:sz w:val="24"/>
          <w:szCs w:val="24"/>
        </w:rPr>
      </w:pPr>
      <w:r>
        <w:rPr>
          <w:sz w:val="24"/>
          <w:szCs w:val="24"/>
        </w:rPr>
        <w:tab/>
      </w:r>
      <w:r>
        <w:rPr>
          <w:sz w:val="24"/>
          <w:szCs w:val="24"/>
        </w:rPr>
        <w:tab/>
      </w:r>
    </w:p>
    <w:p w14:paraId="6CD50F0A" w14:textId="13D5B1DB" w:rsidR="002931D5" w:rsidRPr="002931D5" w:rsidRDefault="00A77704" w:rsidP="002931D5">
      <w:pPr>
        <w:spacing w:line="360" w:lineRule="auto"/>
        <w:rPr>
          <w:rFonts w:eastAsiaTheme="minorHAnsi"/>
          <w:color w:val="auto"/>
          <w:sz w:val="24"/>
          <w:szCs w:val="24"/>
        </w:rPr>
      </w:pPr>
      <w:r>
        <w:rPr>
          <w:sz w:val="24"/>
          <w:szCs w:val="24"/>
        </w:rPr>
        <w:tab/>
      </w:r>
      <w:r>
        <w:rPr>
          <w:sz w:val="24"/>
          <w:szCs w:val="24"/>
        </w:rPr>
        <w:tab/>
      </w:r>
      <w:r w:rsidR="00BB7143">
        <w:rPr>
          <w:sz w:val="24"/>
          <w:szCs w:val="24"/>
        </w:rPr>
        <w:t xml:space="preserve">The Commission’s procedural rules and regulations with respect to the issuance of subpoenas are set forth at 52 Pa. Code </w:t>
      </w:r>
      <w:r w:rsidR="00697DA0">
        <w:rPr>
          <w:sz w:val="24"/>
          <w:szCs w:val="24"/>
        </w:rPr>
        <w:t>§ 5.421.</w:t>
      </w:r>
      <w:r>
        <w:rPr>
          <w:rStyle w:val="FootnoteReference"/>
          <w:sz w:val="24"/>
          <w:szCs w:val="24"/>
        </w:rPr>
        <w:footnoteReference w:id="2"/>
      </w:r>
      <w:r w:rsidR="00697DA0">
        <w:rPr>
          <w:sz w:val="24"/>
          <w:szCs w:val="24"/>
        </w:rPr>
        <w:t xml:space="preserve">  </w:t>
      </w:r>
      <w:r w:rsidR="002931D5" w:rsidRPr="002931D5">
        <w:rPr>
          <w:rFonts w:eastAsiaTheme="minorHAnsi"/>
          <w:color w:val="auto"/>
          <w:sz w:val="24"/>
          <w:szCs w:val="24"/>
        </w:rPr>
        <w:t>The Commission’s regulation at 52 Pa. Code § 5.421(b)(1) states that an Application for Subpoena:</w:t>
      </w:r>
    </w:p>
    <w:p w14:paraId="44AEE1E7" w14:textId="77777777" w:rsidR="002931D5" w:rsidRPr="002931D5" w:rsidRDefault="002931D5" w:rsidP="002931D5">
      <w:pPr>
        <w:spacing w:line="360" w:lineRule="auto"/>
        <w:rPr>
          <w:rFonts w:eastAsiaTheme="minorHAnsi"/>
          <w:color w:val="auto"/>
          <w:sz w:val="24"/>
          <w:szCs w:val="24"/>
        </w:rPr>
      </w:pPr>
    </w:p>
    <w:p w14:paraId="041D2AB8" w14:textId="34C2BC7D" w:rsidR="002931D5" w:rsidRPr="002931D5" w:rsidRDefault="002931D5" w:rsidP="002931D5">
      <w:pPr>
        <w:ind w:left="1440" w:right="810"/>
        <w:rPr>
          <w:rFonts w:eastAsiaTheme="minorHAnsi"/>
          <w:color w:val="auto"/>
          <w:sz w:val="24"/>
          <w:szCs w:val="24"/>
        </w:rPr>
      </w:pPr>
      <w:bookmarkStart w:id="4" w:name="5.421."/>
      <w:r w:rsidRPr="002931D5">
        <w:rPr>
          <w:rFonts w:eastAsiaTheme="minorHAnsi"/>
          <w:color w:val="auto"/>
          <w:sz w:val="24"/>
          <w:szCs w:val="24"/>
        </w:rPr>
        <w:t xml:space="preserve">(1)  </w:t>
      </w:r>
      <w:r w:rsidRPr="002931D5">
        <w:rPr>
          <w:rFonts w:eastAsiaTheme="minorHAnsi"/>
          <w:color w:val="auto"/>
          <w:sz w:val="24"/>
          <w:szCs w:val="24"/>
          <w:u w:val="single"/>
        </w:rPr>
        <w:t>Must specify as nearly as possible the general relevance, materiality and scope of the testimony</w:t>
      </w:r>
      <w:r w:rsidRPr="002931D5">
        <w:rPr>
          <w:rFonts w:eastAsiaTheme="minorHAnsi"/>
          <w:color w:val="auto"/>
          <w:sz w:val="24"/>
          <w:szCs w:val="24"/>
        </w:rPr>
        <w:t xml:space="preserve"> or documentary evidence sought, including, as to documentary evidence, specification as nearly as possible of the documents desired. </w:t>
      </w:r>
      <w:r w:rsidR="00C706A3">
        <w:rPr>
          <w:rFonts w:eastAsiaTheme="minorHAnsi"/>
          <w:color w:val="auto"/>
          <w:sz w:val="24"/>
          <w:szCs w:val="24"/>
        </w:rPr>
        <w:t>(emphasis added)</w:t>
      </w:r>
    </w:p>
    <w:p w14:paraId="6DFC997A" w14:textId="77777777" w:rsidR="002931D5" w:rsidRPr="002931D5" w:rsidRDefault="002931D5" w:rsidP="002931D5">
      <w:pPr>
        <w:ind w:left="1440" w:right="810"/>
        <w:rPr>
          <w:rFonts w:eastAsiaTheme="minorHAnsi"/>
          <w:color w:val="auto"/>
          <w:sz w:val="24"/>
          <w:szCs w:val="24"/>
        </w:rPr>
      </w:pPr>
      <w:r w:rsidRPr="002931D5">
        <w:rPr>
          <w:rFonts w:eastAsiaTheme="minorHAnsi"/>
          <w:color w:val="auto"/>
          <w:sz w:val="24"/>
          <w:szCs w:val="24"/>
        </w:rPr>
        <w:t xml:space="preserve"> </w:t>
      </w:r>
    </w:p>
    <w:bookmarkEnd w:id="4"/>
    <w:p w14:paraId="7332BFFA" w14:textId="1B557E74" w:rsidR="00C706A3" w:rsidRDefault="00031484" w:rsidP="00697DA0">
      <w:pPr>
        <w:spacing w:line="360" w:lineRule="auto"/>
        <w:rPr>
          <w:sz w:val="24"/>
          <w:szCs w:val="24"/>
        </w:rPr>
      </w:pPr>
      <w:r>
        <w:rPr>
          <w:sz w:val="24"/>
          <w:szCs w:val="24"/>
        </w:rPr>
        <w:tab/>
      </w:r>
      <w:r w:rsidR="002666B3">
        <w:rPr>
          <w:sz w:val="24"/>
          <w:szCs w:val="24"/>
        </w:rPr>
        <w:tab/>
      </w:r>
      <w:r w:rsidR="00697DA0">
        <w:rPr>
          <w:sz w:val="24"/>
          <w:szCs w:val="24"/>
        </w:rPr>
        <w:t xml:space="preserve">Under the Commission’s procedural rules and regulations at </w:t>
      </w:r>
      <w:bookmarkStart w:id="5" w:name="_Hlk504478746"/>
      <w:r w:rsidR="00697DA0" w:rsidRPr="00697DA0">
        <w:rPr>
          <w:sz w:val="24"/>
          <w:szCs w:val="24"/>
        </w:rPr>
        <w:t xml:space="preserve">52 Pa. Code </w:t>
      </w:r>
    </w:p>
    <w:p w14:paraId="2E1E0A4F" w14:textId="3F13BC7C" w:rsidR="00697DA0" w:rsidRDefault="00697DA0" w:rsidP="00697DA0">
      <w:pPr>
        <w:spacing w:line="360" w:lineRule="auto"/>
        <w:rPr>
          <w:sz w:val="24"/>
          <w:szCs w:val="24"/>
        </w:rPr>
      </w:pPr>
      <w:r w:rsidRPr="00697DA0">
        <w:rPr>
          <w:sz w:val="24"/>
          <w:szCs w:val="24"/>
        </w:rPr>
        <w:t>§</w:t>
      </w:r>
      <w:r>
        <w:rPr>
          <w:sz w:val="24"/>
          <w:szCs w:val="24"/>
        </w:rPr>
        <w:t xml:space="preserve"> 5.483</w:t>
      </w:r>
      <w:r w:rsidRPr="00697DA0">
        <w:rPr>
          <w:sz w:val="24"/>
          <w:szCs w:val="24"/>
        </w:rPr>
        <w:t>(a)</w:t>
      </w:r>
      <w:bookmarkEnd w:id="5"/>
      <w:r>
        <w:rPr>
          <w:sz w:val="24"/>
          <w:szCs w:val="24"/>
        </w:rPr>
        <w:t>:</w:t>
      </w:r>
    </w:p>
    <w:p w14:paraId="1D7840CB" w14:textId="77777777" w:rsidR="00697DA0" w:rsidRDefault="00697DA0" w:rsidP="00697DA0">
      <w:pPr>
        <w:spacing w:line="360" w:lineRule="auto"/>
        <w:rPr>
          <w:sz w:val="24"/>
          <w:szCs w:val="24"/>
        </w:rPr>
      </w:pPr>
      <w:r>
        <w:rPr>
          <w:sz w:val="24"/>
          <w:szCs w:val="24"/>
        </w:rPr>
        <w:tab/>
      </w:r>
    </w:p>
    <w:p w14:paraId="57653AD4" w14:textId="1E4B7517" w:rsidR="00697DA0" w:rsidRDefault="00697DA0" w:rsidP="00697DA0">
      <w:pPr>
        <w:ind w:left="1440" w:right="1440"/>
        <w:rPr>
          <w:sz w:val="24"/>
          <w:szCs w:val="24"/>
        </w:rPr>
      </w:pPr>
      <w:r w:rsidRPr="00697DA0">
        <w:rPr>
          <w:sz w:val="24"/>
          <w:szCs w:val="24"/>
        </w:rPr>
        <w:t xml:space="preserve">The presiding officer will have the authority specified in the act, subject to this title. This authority includes, but is not limited to, the power to exclude irrelevant, immaterial or unduly repetitive evidence, to prevent excessive examination of witnesses, </w:t>
      </w:r>
      <w:r w:rsidRPr="00697DA0">
        <w:rPr>
          <w:sz w:val="24"/>
          <w:szCs w:val="24"/>
          <w:u w:val="single"/>
        </w:rPr>
        <w:t>to schedule and impose reasonable limitations on discovery and to otherwise regulate the course of the proceeding</w:t>
      </w:r>
      <w:r w:rsidRPr="00697DA0">
        <w:rPr>
          <w:sz w:val="24"/>
          <w:szCs w:val="24"/>
        </w:rPr>
        <w:t>.</w:t>
      </w:r>
      <w:r w:rsidR="00C706A3">
        <w:rPr>
          <w:sz w:val="24"/>
          <w:szCs w:val="24"/>
        </w:rPr>
        <w:t xml:space="preserve"> (emphasis added)</w:t>
      </w:r>
    </w:p>
    <w:p w14:paraId="404671E8" w14:textId="698C9BFC" w:rsidR="00697DA0" w:rsidRDefault="00697DA0" w:rsidP="00697DA0">
      <w:pPr>
        <w:ind w:left="1440" w:right="1440"/>
        <w:rPr>
          <w:sz w:val="24"/>
          <w:szCs w:val="24"/>
        </w:rPr>
      </w:pPr>
    </w:p>
    <w:p w14:paraId="4F7B9D72" w14:textId="4F1EDF79" w:rsidR="002931D5" w:rsidRDefault="002931D5" w:rsidP="00697DA0">
      <w:pPr>
        <w:spacing w:line="360" w:lineRule="auto"/>
        <w:ind w:right="1440"/>
        <w:rPr>
          <w:sz w:val="24"/>
          <w:szCs w:val="24"/>
        </w:rPr>
      </w:pPr>
    </w:p>
    <w:p w14:paraId="50D30A46" w14:textId="2D9F18BF" w:rsidR="001468F9" w:rsidRDefault="00697DA0" w:rsidP="001468F9">
      <w:pPr>
        <w:pStyle w:val="BodyTextIndent"/>
        <w:ind w:firstLine="0"/>
        <w:rPr>
          <w:rFonts w:ascii="CG Times" w:hAnsi="CG Times" w:cs="CG Times"/>
          <w:sz w:val="24"/>
          <w:szCs w:val="24"/>
        </w:rPr>
      </w:pPr>
      <w:r>
        <w:rPr>
          <w:sz w:val="24"/>
          <w:szCs w:val="24"/>
        </w:rPr>
        <w:tab/>
      </w:r>
      <w:r>
        <w:rPr>
          <w:sz w:val="24"/>
          <w:szCs w:val="24"/>
        </w:rPr>
        <w:tab/>
      </w:r>
      <w:r w:rsidR="001468F9" w:rsidRPr="001468F9">
        <w:rPr>
          <w:sz w:val="24"/>
          <w:szCs w:val="24"/>
        </w:rPr>
        <w:t xml:space="preserve">Consistently, the Commission has allowed participants wide latitude in discovery matters.  </w:t>
      </w:r>
      <w:r w:rsidR="001468F9" w:rsidRPr="001468F9">
        <w:rPr>
          <w:i/>
          <w:sz w:val="24"/>
          <w:szCs w:val="24"/>
        </w:rPr>
        <w:t>Pa. P.U.C. v. The Peoples Natural Gas Company</w:t>
      </w:r>
      <w:r w:rsidR="001468F9" w:rsidRPr="001468F9">
        <w:rPr>
          <w:sz w:val="24"/>
          <w:szCs w:val="24"/>
        </w:rPr>
        <w:t xml:space="preserve">, 62 Pa. P.U.C. 56 (August 26, 1986); </w:t>
      </w:r>
      <w:r w:rsidR="001468F9" w:rsidRPr="001468F9">
        <w:rPr>
          <w:i/>
          <w:sz w:val="24"/>
          <w:szCs w:val="24"/>
        </w:rPr>
        <w:t>Pa. P.U.C. v. Equitable Gas Company</w:t>
      </w:r>
      <w:r w:rsidR="001468F9" w:rsidRPr="001468F9">
        <w:rPr>
          <w:sz w:val="24"/>
          <w:szCs w:val="24"/>
        </w:rPr>
        <w:t>, 61 Pa. P.U.C. 468 (May 16, 1986).</w:t>
      </w:r>
      <w:r w:rsidR="001468F9">
        <w:rPr>
          <w:sz w:val="24"/>
          <w:szCs w:val="24"/>
        </w:rPr>
        <w:t xml:space="preserve">  </w:t>
      </w:r>
      <w:r w:rsidR="001468F9" w:rsidRPr="001468F9">
        <w:rPr>
          <w:rFonts w:ascii="CG Times" w:hAnsi="CG Times" w:cs="CG Times"/>
          <w:sz w:val="24"/>
          <w:szCs w:val="24"/>
        </w:rPr>
        <w:t xml:space="preserve"> </w:t>
      </w:r>
      <w:r w:rsidR="00C17D14">
        <w:rPr>
          <w:rFonts w:ascii="CG Times" w:hAnsi="CG Times" w:cs="CG Times"/>
          <w:sz w:val="24"/>
          <w:szCs w:val="24"/>
        </w:rPr>
        <w:t xml:space="preserve">However, evidence sought must be relevant and material to the </w:t>
      </w:r>
      <w:r w:rsidR="00C706A3">
        <w:rPr>
          <w:rFonts w:ascii="CG Times" w:hAnsi="CG Times" w:cs="CG Times"/>
          <w:sz w:val="24"/>
          <w:szCs w:val="24"/>
        </w:rPr>
        <w:t xml:space="preserve">issue in the </w:t>
      </w:r>
      <w:r w:rsidR="00C17D14">
        <w:rPr>
          <w:rFonts w:ascii="CG Times" w:hAnsi="CG Times" w:cs="CG Times"/>
          <w:sz w:val="24"/>
          <w:szCs w:val="24"/>
        </w:rPr>
        <w:t>proceeding.</w:t>
      </w:r>
    </w:p>
    <w:p w14:paraId="01C39F6B" w14:textId="1B51980F" w:rsidR="00C17D14" w:rsidRDefault="00C17D14" w:rsidP="001468F9">
      <w:pPr>
        <w:pStyle w:val="BodyTextIndent"/>
        <w:ind w:firstLine="0"/>
        <w:rPr>
          <w:rFonts w:ascii="CG Times" w:hAnsi="CG Times" w:cs="CG Times"/>
          <w:sz w:val="24"/>
          <w:szCs w:val="24"/>
        </w:rPr>
      </w:pPr>
    </w:p>
    <w:p w14:paraId="24433E55" w14:textId="305BB745" w:rsidR="00C17D14" w:rsidRPr="00C17D14" w:rsidRDefault="0066588B" w:rsidP="001468F9">
      <w:pPr>
        <w:pStyle w:val="BodyTextIndent"/>
        <w:ind w:firstLine="0"/>
        <w:rPr>
          <w:rFonts w:ascii="CG Times" w:hAnsi="CG Times" w:cs="CG Times"/>
          <w:sz w:val="24"/>
          <w:szCs w:val="24"/>
          <w:u w:val="single"/>
        </w:rPr>
      </w:pPr>
      <w:r>
        <w:rPr>
          <w:rFonts w:ascii="CG Times" w:hAnsi="CG Times" w:cs="CG Times"/>
          <w:sz w:val="24"/>
          <w:szCs w:val="24"/>
          <w:u w:val="single"/>
        </w:rPr>
        <w:t xml:space="preserve">Limited </w:t>
      </w:r>
      <w:r w:rsidR="00C17D14" w:rsidRPr="00C17D14">
        <w:rPr>
          <w:rFonts w:ascii="CG Times" w:hAnsi="CG Times" w:cs="CG Times"/>
          <w:sz w:val="24"/>
          <w:szCs w:val="24"/>
          <w:u w:val="single"/>
        </w:rPr>
        <w:t>Scope of this Proceeding</w:t>
      </w:r>
    </w:p>
    <w:p w14:paraId="31E73717" w14:textId="4E9B5867" w:rsidR="00C17D14" w:rsidRDefault="00C17D14" w:rsidP="001468F9">
      <w:pPr>
        <w:pStyle w:val="BodyTextIndent"/>
        <w:ind w:firstLine="0"/>
        <w:rPr>
          <w:sz w:val="24"/>
          <w:szCs w:val="24"/>
        </w:rPr>
      </w:pPr>
    </w:p>
    <w:p w14:paraId="4A856C5F" w14:textId="1D0F8136" w:rsidR="00FF626C" w:rsidRDefault="00C17D14" w:rsidP="001468F9">
      <w:pPr>
        <w:pStyle w:val="BodyTextIndent"/>
        <w:ind w:firstLine="0"/>
        <w:rPr>
          <w:sz w:val="24"/>
          <w:szCs w:val="24"/>
        </w:rPr>
      </w:pPr>
      <w:r>
        <w:rPr>
          <w:sz w:val="24"/>
          <w:szCs w:val="24"/>
        </w:rPr>
        <w:tab/>
      </w:r>
      <w:r>
        <w:rPr>
          <w:sz w:val="24"/>
          <w:szCs w:val="24"/>
        </w:rPr>
        <w:tab/>
      </w:r>
      <w:r w:rsidRPr="00C17D14">
        <w:rPr>
          <w:sz w:val="24"/>
          <w:szCs w:val="24"/>
        </w:rPr>
        <w:t>Complainant filed a formal Complaint with the Pennsylvania Public Utility Commission alleging that he had been misbilled by PPL.  This is a clear and concise statement of the act or omission being complained of</w:t>
      </w:r>
      <w:r>
        <w:rPr>
          <w:sz w:val="24"/>
          <w:szCs w:val="24"/>
        </w:rPr>
        <w:t xml:space="preserve">, but it also </w:t>
      </w:r>
      <w:r w:rsidR="00FF626C">
        <w:rPr>
          <w:sz w:val="24"/>
          <w:szCs w:val="24"/>
        </w:rPr>
        <w:t xml:space="preserve">limits the issue to be considered to that misbilling.  </w:t>
      </w:r>
      <w:r w:rsidR="00FF626C" w:rsidRPr="009363F4">
        <w:rPr>
          <w:sz w:val="24"/>
          <w:szCs w:val="24"/>
          <w:u w:val="single"/>
        </w:rPr>
        <w:t xml:space="preserve">The sole issue raised by the Complaint is whether PPL acted improperly by transferring what PPL maintains is an unpaid balance for an account servicing a previous </w:t>
      </w:r>
      <w:r w:rsidR="00C706A3">
        <w:rPr>
          <w:sz w:val="24"/>
          <w:szCs w:val="24"/>
          <w:u w:val="single"/>
        </w:rPr>
        <w:t xml:space="preserve">address </w:t>
      </w:r>
      <w:r w:rsidR="00FF626C" w:rsidRPr="009363F4">
        <w:rPr>
          <w:sz w:val="24"/>
          <w:szCs w:val="24"/>
          <w:u w:val="single"/>
        </w:rPr>
        <w:t>to Complainant’s current account</w:t>
      </w:r>
      <w:r w:rsidR="00FF626C">
        <w:rPr>
          <w:sz w:val="24"/>
          <w:szCs w:val="24"/>
        </w:rPr>
        <w:t>.</w:t>
      </w:r>
    </w:p>
    <w:p w14:paraId="574B6FB1" w14:textId="77777777" w:rsidR="00FF626C" w:rsidRDefault="00FF626C" w:rsidP="001468F9">
      <w:pPr>
        <w:pStyle w:val="BodyTextIndent"/>
        <w:ind w:firstLine="0"/>
        <w:rPr>
          <w:sz w:val="24"/>
          <w:szCs w:val="24"/>
        </w:rPr>
      </w:pPr>
    </w:p>
    <w:p w14:paraId="389B3DA9" w14:textId="16E88A82" w:rsidR="00C17D14" w:rsidRDefault="00FF626C" w:rsidP="001468F9">
      <w:pPr>
        <w:pStyle w:val="BodyTextIndent"/>
        <w:ind w:firstLine="0"/>
        <w:rPr>
          <w:sz w:val="24"/>
          <w:szCs w:val="24"/>
        </w:rPr>
      </w:pPr>
      <w:r>
        <w:rPr>
          <w:sz w:val="24"/>
          <w:szCs w:val="24"/>
        </w:rPr>
        <w:tab/>
      </w:r>
      <w:r>
        <w:rPr>
          <w:sz w:val="24"/>
          <w:szCs w:val="24"/>
        </w:rPr>
        <w:tab/>
      </w:r>
      <w:r w:rsidRPr="00FF626C">
        <w:rPr>
          <w:sz w:val="24"/>
          <w:szCs w:val="24"/>
        </w:rPr>
        <w:t xml:space="preserve">The </w:t>
      </w:r>
      <w:r>
        <w:rPr>
          <w:sz w:val="24"/>
          <w:szCs w:val="24"/>
        </w:rPr>
        <w:t xml:space="preserve">Public Utility Code </w:t>
      </w:r>
      <w:r w:rsidRPr="00FF626C">
        <w:rPr>
          <w:sz w:val="24"/>
          <w:szCs w:val="24"/>
        </w:rPr>
        <w:t xml:space="preserve">at 66 Pa. C.S. §1501 governs any allegations of unreasonable or inadequate service.  Pursuant to 66 Pa. C.S. §1501, the Commission has original jurisdiction over the reasonableness and adequacy of public utility service.  </w:t>
      </w:r>
      <w:r w:rsidRPr="00FF626C">
        <w:rPr>
          <w:i/>
          <w:sz w:val="24"/>
          <w:szCs w:val="24"/>
        </w:rPr>
        <w:t>Elkin v. Bell Telephone Co.</w:t>
      </w:r>
      <w:r w:rsidRPr="00FF626C">
        <w:rPr>
          <w:sz w:val="24"/>
          <w:szCs w:val="24"/>
        </w:rPr>
        <w:t xml:space="preserve">, 372 A.2d 1203 (Pa. Super. 1977) </w:t>
      </w:r>
      <w:r w:rsidRPr="00FF626C">
        <w:rPr>
          <w:i/>
          <w:sz w:val="24"/>
          <w:szCs w:val="24"/>
        </w:rPr>
        <w:t>aff’d</w:t>
      </w:r>
      <w:r w:rsidRPr="00FF626C">
        <w:rPr>
          <w:sz w:val="24"/>
          <w:szCs w:val="24"/>
        </w:rPr>
        <w:t xml:space="preserve"> 420 A.2d 371 (Pa. 1977); </w:t>
      </w:r>
      <w:r w:rsidRPr="00FF626C">
        <w:rPr>
          <w:i/>
          <w:sz w:val="24"/>
          <w:szCs w:val="24"/>
        </w:rPr>
        <w:t>Behrend v. Bell Telephone Co.</w:t>
      </w:r>
      <w:r w:rsidRPr="00FF626C">
        <w:rPr>
          <w:sz w:val="24"/>
          <w:szCs w:val="24"/>
        </w:rPr>
        <w:t xml:space="preserve">, 243 A.2d 346 (Pa. 1968).  The Public Utility Code at 66 Pa. C.S. §1501 does not require perfect service or the best possible service but does require public utilities to provide reasonable and adequate service.  </w:t>
      </w:r>
      <w:r w:rsidRPr="00FF626C">
        <w:rPr>
          <w:i/>
          <w:sz w:val="24"/>
          <w:szCs w:val="24"/>
        </w:rPr>
        <w:t>Analytical Laboratory Services, Inc. v. Metropolitan Edison Co.</w:t>
      </w:r>
      <w:r w:rsidRPr="00FF626C">
        <w:rPr>
          <w:sz w:val="24"/>
          <w:szCs w:val="24"/>
        </w:rPr>
        <w:t xml:space="preserve">, Docket No. C-2006608 (Order entered December 21, 2007); </w:t>
      </w:r>
      <w:r w:rsidRPr="00FF626C">
        <w:rPr>
          <w:i/>
          <w:sz w:val="24"/>
          <w:szCs w:val="24"/>
        </w:rPr>
        <w:t>Emerald Art Glass v. Duquesne Light Co.</w:t>
      </w:r>
      <w:r w:rsidRPr="00FF626C">
        <w:rPr>
          <w:sz w:val="24"/>
          <w:szCs w:val="24"/>
        </w:rPr>
        <w:t xml:space="preserve">, Docket No. C-00015494 (Order entered June 14, 2002); </w:t>
      </w:r>
      <w:r w:rsidRPr="00FF626C">
        <w:rPr>
          <w:i/>
          <w:sz w:val="24"/>
          <w:szCs w:val="24"/>
        </w:rPr>
        <w:t>Re: Metropolitan Edison Co.</w:t>
      </w:r>
      <w:r w:rsidRPr="00FF626C">
        <w:rPr>
          <w:sz w:val="24"/>
          <w:szCs w:val="24"/>
        </w:rPr>
        <w:t>, 80 Pa. PUC 662 (1993).</w:t>
      </w:r>
    </w:p>
    <w:p w14:paraId="2691B8D7" w14:textId="77777777" w:rsidR="00C17D14" w:rsidRDefault="00C17D14" w:rsidP="001468F9">
      <w:pPr>
        <w:pStyle w:val="BodyTextIndent"/>
        <w:ind w:firstLine="0"/>
        <w:rPr>
          <w:sz w:val="24"/>
          <w:szCs w:val="24"/>
        </w:rPr>
      </w:pPr>
    </w:p>
    <w:p w14:paraId="5A209F4C" w14:textId="1B7108E8" w:rsidR="00C17D14" w:rsidRPr="00C17D14" w:rsidRDefault="00C17D14" w:rsidP="001468F9">
      <w:pPr>
        <w:pStyle w:val="BodyTextIndent"/>
        <w:ind w:firstLine="0"/>
        <w:rPr>
          <w:sz w:val="24"/>
          <w:szCs w:val="24"/>
          <w:u w:val="single"/>
        </w:rPr>
      </w:pPr>
      <w:r w:rsidRPr="00C17D14">
        <w:rPr>
          <w:sz w:val="24"/>
          <w:szCs w:val="24"/>
          <w:u w:val="single"/>
        </w:rPr>
        <w:t xml:space="preserve">Complainant’s </w:t>
      </w:r>
      <w:r w:rsidR="00C63BCB">
        <w:rPr>
          <w:sz w:val="24"/>
          <w:szCs w:val="24"/>
          <w:u w:val="single"/>
        </w:rPr>
        <w:t xml:space="preserve">Current </w:t>
      </w:r>
      <w:r w:rsidRPr="00C17D14">
        <w:rPr>
          <w:sz w:val="24"/>
          <w:szCs w:val="24"/>
          <w:u w:val="single"/>
        </w:rPr>
        <w:t>Application</w:t>
      </w:r>
      <w:r w:rsidR="00C63BCB">
        <w:rPr>
          <w:sz w:val="24"/>
          <w:szCs w:val="24"/>
          <w:u w:val="single"/>
        </w:rPr>
        <w:t xml:space="preserve"> for Issuance of Subpoenas</w:t>
      </w:r>
    </w:p>
    <w:p w14:paraId="2DD296A3" w14:textId="30FB4630" w:rsidR="00C17D14" w:rsidRDefault="00C17D14" w:rsidP="001468F9">
      <w:pPr>
        <w:pStyle w:val="BodyTextIndent"/>
        <w:ind w:firstLine="0"/>
        <w:rPr>
          <w:sz w:val="24"/>
          <w:szCs w:val="24"/>
        </w:rPr>
      </w:pPr>
    </w:p>
    <w:p w14:paraId="752D01CD" w14:textId="37A48DFA" w:rsidR="009363F4" w:rsidRDefault="00FF626C" w:rsidP="00FF626C">
      <w:pPr>
        <w:pStyle w:val="BodyTextIndent"/>
        <w:rPr>
          <w:sz w:val="24"/>
          <w:szCs w:val="24"/>
        </w:rPr>
      </w:pPr>
      <w:r>
        <w:rPr>
          <w:sz w:val="24"/>
          <w:szCs w:val="24"/>
        </w:rPr>
        <w:t xml:space="preserve">Complainant’s current Application for the Issuance of Subpoena </w:t>
      </w:r>
      <w:r w:rsidR="00A77704">
        <w:rPr>
          <w:sz w:val="24"/>
          <w:szCs w:val="24"/>
        </w:rPr>
        <w:t xml:space="preserve">mirrors </w:t>
      </w:r>
      <w:r w:rsidR="006A69E1">
        <w:rPr>
          <w:sz w:val="24"/>
          <w:szCs w:val="24"/>
        </w:rPr>
        <w:t>the</w:t>
      </w:r>
      <w:r w:rsidR="00A77704">
        <w:rPr>
          <w:sz w:val="24"/>
          <w:szCs w:val="24"/>
        </w:rPr>
        <w:t xml:space="preserve"> earlier </w:t>
      </w:r>
      <w:r w:rsidR="006A69E1">
        <w:rPr>
          <w:sz w:val="24"/>
          <w:szCs w:val="24"/>
        </w:rPr>
        <w:t xml:space="preserve">January 7, 2018 </w:t>
      </w:r>
      <w:r w:rsidR="00A77704">
        <w:rPr>
          <w:sz w:val="24"/>
          <w:szCs w:val="24"/>
        </w:rPr>
        <w:t>Application with respect to the persons and documents Complainant is seeking to subpoena, but the</w:t>
      </w:r>
      <w:r w:rsidR="0066588B">
        <w:rPr>
          <w:sz w:val="24"/>
          <w:szCs w:val="24"/>
        </w:rPr>
        <w:t xml:space="preserve"> current</w:t>
      </w:r>
      <w:r w:rsidR="00A77704">
        <w:rPr>
          <w:sz w:val="24"/>
          <w:szCs w:val="24"/>
        </w:rPr>
        <w:t xml:space="preserve"> Application </w:t>
      </w:r>
      <w:r>
        <w:rPr>
          <w:sz w:val="24"/>
          <w:szCs w:val="24"/>
        </w:rPr>
        <w:t xml:space="preserve">fails to state with specificity </w:t>
      </w:r>
      <w:r w:rsidRPr="00FF626C">
        <w:rPr>
          <w:sz w:val="24"/>
          <w:szCs w:val="24"/>
        </w:rPr>
        <w:t>the general relevanc</w:t>
      </w:r>
      <w:r w:rsidR="004A0F8F">
        <w:rPr>
          <w:sz w:val="24"/>
          <w:szCs w:val="24"/>
        </w:rPr>
        <w:t>y</w:t>
      </w:r>
      <w:r w:rsidRPr="00FF626C">
        <w:rPr>
          <w:sz w:val="24"/>
          <w:szCs w:val="24"/>
        </w:rPr>
        <w:t xml:space="preserve">, materiality and scope of the testimony or documentary evidence sought. </w:t>
      </w:r>
      <w:r>
        <w:rPr>
          <w:sz w:val="24"/>
          <w:szCs w:val="24"/>
        </w:rPr>
        <w:t xml:space="preserve"> The Application does not </w:t>
      </w:r>
      <w:r w:rsidR="00A77704">
        <w:rPr>
          <w:sz w:val="24"/>
          <w:szCs w:val="24"/>
        </w:rPr>
        <w:t>posit</w:t>
      </w:r>
      <w:r w:rsidRPr="00FF626C">
        <w:rPr>
          <w:sz w:val="24"/>
          <w:szCs w:val="24"/>
        </w:rPr>
        <w:t xml:space="preserve"> the facts to be proved by the documents in sufficient detail to indicate the necessity of </w:t>
      </w:r>
      <w:r w:rsidR="00AF2D22">
        <w:rPr>
          <w:sz w:val="24"/>
          <w:szCs w:val="24"/>
        </w:rPr>
        <w:t xml:space="preserve">obtaining </w:t>
      </w:r>
      <w:r w:rsidRPr="00FF626C">
        <w:rPr>
          <w:sz w:val="24"/>
          <w:szCs w:val="24"/>
        </w:rPr>
        <w:t>the documents.</w:t>
      </w:r>
      <w:r>
        <w:rPr>
          <w:sz w:val="24"/>
          <w:szCs w:val="24"/>
        </w:rPr>
        <w:t xml:space="preserve">  </w:t>
      </w:r>
      <w:r w:rsidR="00E86436">
        <w:rPr>
          <w:sz w:val="24"/>
          <w:szCs w:val="24"/>
        </w:rPr>
        <w:t xml:space="preserve">The Application also requests </w:t>
      </w:r>
      <w:r w:rsidR="006A69E1">
        <w:rPr>
          <w:sz w:val="24"/>
          <w:szCs w:val="24"/>
        </w:rPr>
        <w:t xml:space="preserve">(in large part) </w:t>
      </w:r>
      <w:r w:rsidR="00E86436">
        <w:rPr>
          <w:sz w:val="24"/>
          <w:szCs w:val="24"/>
        </w:rPr>
        <w:t xml:space="preserve">information </w:t>
      </w:r>
      <w:r w:rsidR="006A69E1">
        <w:rPr>
          <w:sz w:val="24"/>
          <w:szCs w:val="24"/>
        </w:rPr>
        <w:t xml:space="preserve">that has </w:t>
      </w:r>
      <w:r w:rsidR="00E86436">
        <w:rPr>
          <w:sz w:val="24"/>
          <w:szCs w:val="24"/>
        </w:rPr>
        <w:t xml:space="preserve">already provided to Complainant by PPL and seeks to subpoena an individual (Elias </w:t>
      </w:r>
      <w:proofErr w:type="spellStart"/>
      <w:r w:rsidR="00E86436">
        <w:rPr>
          <w:sz w:val="24"/>
          <w:szCs w:val="24"/>
        </w:rPr>
        <w:t>Harbilas</w:t>
      </w:r>
      <w:proofErr w:type="spellEnd"/>
      <w:r w:rsidR="00E86436">
        <w:rPr>
          <w:sz w:val="24"/>
          <w:szCs w:val="24"/>
        </w:rPr>
        <w:t>) with whom Complainant appears to be in a landlord/tenant dispute</w:t>
      </w:r>
      <w:r w:rsidR="006A69E1">
        <w:rPr>
          <w:sz w:val="24"/>
          <w:szCs w:val="24"/>
        </w:rPr>
        <w:t xml:space="preserve"> in another forum</w:t>
      </w:r>
      <w:r w:rsidR="00C63BCB">
        <w:rPr>
          <w:sz w:val="24"/>
          <w:szCs w:val="24"/>
        </w:rPr>
        <w:t>, a dispute which is irrelevant to the issue in this case</w:t>
      </w:r>
      <w:r w:rsidR="00E86436">
        <w:rPr>
          <w:sz w:val="24"/>
          <w:szCs w:val="24"/>
        </w:rPr>
        <w:t>.</w:t>
      </w:r>
    </w:p>
    <w:p w14:paraId="7D6CBB58" w14:textId="77777777" w:rsidR="009363F4" w:rsidRDefault="009363F4" w:rsidP="00FF626C">
      <w:pPr>
        <w:pStyle w:val="BodyTextIndent"/>
        <w:rPr>
          <w:sz w:val="24"/>
          <w:szCs w:val="24"/>
        </w:rPr>
      </w:pPr>
    </w:p>
    <w:p w14:paraId="5394B345" w14:textId="20693B8C" w:rsidR="009363F4" w:rsidRDefault="00DC28FC" w:rsidP="00FF626C">
      <w:pPr>
        <w:pStyle w:val="BodyTextIndent"/>
        <w:rPr>
          <w:sz w:val="24"/>
          <w:szCs w:val="24"/>
        </w:rPr>
      </w:pPr>
      <w:r>
        <w:rPr>
          <w:sz w:val="24"/>
          <w:szCs w:val="24"/>
        </w:rPr>
        <w:t>To the extent that Complainant is requesting the disclosure by PPL of billing records relevant to his Complaint, I note that PPL already provided those records in its pre-hearing filing of February 8, 2018</w:t>
      </w:r>
      <w:r w:rsidR="00C706A3">
        <w:rPr>
          <w:sz w:val="24"/>
          <w:szCs w:val="24"/>
        </w:rPr>
        <w:t>,</w:t>
      </w:r>
      <w:r>
        <w:rPr>
          <w:sz w:val="24"/>
          <w:szCs w:val="24"/>
        </w:rPr>
        <w:t xml:space="preserve"> comprising thirteen (13) separate records relative to Complainant’s accounts.  PPL’s proposed Exhibits </w:t>
      </w:r>
      <w:r w:rsidR="00C706A3">
        <w:rPr>
          <w:sz w:val="24"/>
          <w:szCs w:val="24"/>
        </w:rPr>
        <w:t>1</w:t>
      </w:r>
      <w:r>
        <w:rPr>
          <w:sz w:val="24"/>
          <w:szCs w:val="24"/>
        </w:rPr>
        <w:t xml:space="preserve">-4 are Account Activity Statements that set forth transactions </w:t>
      </w:r>
      <w:r w:rsidR="009363F4">
        <w:rPr>
          <w:sz w:val="24"/>
          <w:szCs w:val="24"/>
        </w:rPr>
        <w:t xml:space="preserve">for a </w:t>
      </w:r>
      <w:proofErr w:type="gramStart"/>
      <w:r w:rsidR="009363F4">
        <w:rPr>
          <w:sz w:val="24"/>
          <w:szCs w:val="24"/>
        </w:rPr>
        <w:t>four year</w:t>
      </w:r>
      <w:proofErr w:type="gramEnd"/>
      <w:r w:rsidR="009363F4">
        <w:rPr>
          <w:sz w:val="24"/>
          <w:szCs w:val="24"/>
        </w:rPr>
        <w:t xml:space="preserve"> period </w:t>
      </w:r>
      <w:r>
        <w:rPr>
          <w:sz w:val="24"/>
          <w:szCs w:val="24"/>
        </w:rPr>
        <w:t>from 2014 to 2018.  Complainant has, therefore, already been provided with the records he has requested from PPL</w:t>
      </w:r>
      <w:r w:rsidR="00C706A3">
        <w:rPr>
          <w:sz w:val="24"/>
          <w:szCs w:val="24"/>
        </w:rPr>
        <w:t>, though perhaps not in the form he desires</w:t>
      </w:r>
      <w:r>
        <w:rPr>
          <w:sz w:val="24"/>
          <w:szCs w:val="24"/>
        </w:rPr>
        <w:t xml:space="preserve">.  </w:t>
      </w:r>
      <w:r w:rsidR="009363F4">
        <w:rPr>
          <w:sz w:val="24"/>
          <w:szCs w:val="24"/>
        </w:rPr>
        <w:t xml:space="preserve">Respondent is not required to do more.  </w:t>
      </w:r>
      <w:r>
        <w:rPr>
          <w:sz w:val="24"/>
          <w:szCs w:val="24"/>
        </w:rPr>
        <w:t>The records are in the form consistently presented by public utilities in compliance with the Prehearing Order</w:t>
      </w:r>
      <w:r w:rsidR="009363F4">
        <w:rPr>
          <w:sz w:val="24"/>
          <w:szCs w:val="24"/>
        </w:rPr>
        <w:t xml:space="preserve">s issued by </w:t>
      </w:r>
      <w:r w:rsidR="0066588B">
        <w:rPr>
          <w:sz w:val="24"/>
          <w:szCs w:val="24"/>
        </w:rPr>
        <w:t xml:space="preserve">the Commission’s </w:t>
      </w:r>
      <w:r w:rsidR="009363F4">
        <w:rPr>
          <w:sz w:val="24"/>
          <w:szCs w:val="24"/>
        </w:rPr>
        <w:t>presiding officers.  In this case, PPL’s filing satisfies the directive set forth in Paragraph 5 of the Prehearing Order issued in this matter on August 1, 2017</w:t>
      </w:r>
      <w:r w:rsidR="00C706A3">
        <w:rPr>
          <w:sz w:val="24"/>
          <w:szCs w:val="24"/>
        </w:rPr>
        <w:t>,</w:t>
      </w:r>
      <w:r w:rsidR="009363F4">
        <w:rPr>
          <w:sz w:val="24"/>
          <w:szCs w:val="24"/>
        </w:rPr>
        <w:t xml:space="preserve"> and </w:t>
      </w:r>
      <w:r w:rsidR="00C63BCB">
        <w:rPr>
          <w:sz w:val="24"/>
          <w:szCs w:val="24"/>
        </w:rPr>
        <w:t xml:space="preserve">those documents </w:t>
      </w:r>
      <w:r w:rsidR="009363F4">
        <w:rPr>
          <w:sz w:val="24"/>
          <w:szCs w:val="24"/>
        </w:rPr>
        <w:t>provide Complainant with the information necessary to prosecute his case.</w:t>
      </w:r>
      <w:r w:rsidR="00784E24">
        <w:rPr>
          <w:sz w:val="24"/>
          <w:szCs w:val="24"/>
        </w:rPr>
        <w:t xml:space="preserve">  PPL has </w:t>
      </w:r>
      <w:r w:rsidR="00E86436">
        <w:rPr>
          <w:sz w:val="24"/>
          <w:szCs w:val="24"/>
        </w:rPr>
        <w:t>c</w:t>
      </w:r>
      <w:r w:rsidR="00784E24">
        <w:rPr>
          <w:sz w:val="24"/>
          <w:szCs w:val="24"/>
        </w:rPr>
        <w:t>ompl</w:t>
      </w:r>
      <w:r w:rsidR="00E86436">
        <w:rPr>
          <w:sz w:val="24"/>
          <w:szCs w:val="24"/>
        </w:rPr>
        <w:t>ied</w:t>
      </w:r>
      <w:r w:rsidR="00784E24">
        <w:rPr>
          <w:sz w:val="24"/>
          <w:szCs w:val="24"/>
        </w:rPr>
        <w:t xml:space="preserve"> with the Commission’s discovery rules</w:t>
      </w:r>
      <w:r w:rsidR="00E86436">
        <w:rPr>
          <w:sz w:val="24"/>
          <w:szCs w:val="24"/>
        </w:rPr>
        <w:t xml:space="preserve">.  </w:t>
      </w:r>
      <w:r w:rsidR="00784E24">
        <w:rPr>
          <w:sz w:val="24"/>
          <w:szCs w:val="24"/>
        </w:rPr>
        <w:t xml:space="preserve">PPL </w:t>
      </w:r>
      <w:r w:rsidR="00E86436">
        <w:rPr>
          <w:sz w:val="24"/>
          <w:szCs w:val="24"/>
        </w:rPr>
        <w:t xml:space="preserve">has not </w:t>
      </w:r>
      <w:r w:rsidR="00784E24">
        <w:rPr>
          <w:sz w:val="24"/>
          <w:szCs w:val="24"/>
        </w:rPr>
        <w:t>delayed this case.</w:t>
      </w:r>
    </w:p>
    <w:p w14:paraId="3AF31C7E" w14:textId="77777777" w:rsidR="009363F4" w:rsidRDefault="009363F4" w:rsidP="00FF626C">
      <w:pPr>
        <w:pStyle w:val="BodyTextIndent"/>
        <w:rPr>
          <w:sz w:val="24"/>
          <w:szCs w:val="24"/>
        </w:rPr>
      </w:pPr>
    </w:p>
    <w:p w14:paraId="0A0BBBA9" w14:textId="4902A167" w:rsidR="00AF2D22" w:rsidRDefault="009363F4" w:rsidP="009363F4">
      <w:pPr>
        <w:pStyle w:val="BodyTextIndent"/>
        <w:rPr>
          <w:sz w:val="24"/>
          <w:szCs w:val="24"/>
        </w:rPr>
      </w:pPr>
      <w:r>
        <w:rPr>
          <w:sz w:val="24"/>
          <w:szCs w:val="24"/>
        </w:rPr>
        <w:t xml:space="preserve">With respect to Elias </w:t>
      </w:r>
      <w:proofErr w:type="spellStart"/>
      <w:r>
        <w:rPr>
          <w:sz w:val="24"/>
          <w:szCs w:val="24"/>
        </w:rPr>
        <w:t>Harbilas</w:t>
      </w:r>
      <w:proofErr w:type="spellEnd"/>
      <w:r>
        <w:rPr>
          <w:sz w:val="24"/>
          <w:szCs w:val="24"/>
        </w:rPr>
        <w:t xml:space="preserve">, Complainant has failed to establish how his dealings with Mr. </w:t>
      </w:r>
      <w:proofErr w:type="spellStart"/>
      <w:r>
        <w:rPr>
          <w:sz w:val="24"/>
          <w:szCs w:val="24"/>
        </w:rPr>
        <w:t>Harbilas</w:t>
      </w:r>
      <w:proofErr w:type="spellEnd"/>
      <w:r>
        <w:rPr>
          <w:sz w:val="24"/>
          <w:szCs w:val="24"/>
        </w:rPr>
        <w:t xml:space="preserve"> are relevant to this case.  I note here as I did in my January 23, 2018 Order </w:t>
      </w:r>
      <w:r w:rsidR="00E86436">
        <w:rPr>
          <w:sz w:val="24"/>
          <w:szCs w:val="24"/>
        </w:rPr>
        <w:t>q</w:t>
      </w:r>
      <w:r>
        <w:rPr>
          <w:sz w:val="24"/>
          <w:szCs w:val="24"/>
        </w:rPr>
        <w:t xml:space="preserve">uashing an earlier subpoena on </w:t>
      </w:r>
      <w:r w:rsidR="00C63BCB">
        <w:rPr>
          <w:sz w:val="24"/>
          <w:szCs w:val="24"/>
        </w:rPr>
        <w:t xml:space="preserve">Mr. </w:t>
      </w:r>
      <w:proofErr w:type="spellStart"/>
      <w:r w:rsidR="00C63BCB">
        <w:rPr>
          <w:sz w:val="24"/>
          <w:szCs w:val="24"/>
        </w:rPr>
        <w:t>Harbilas</w:t>
      </w:r>
      <w:proofErr w:type="spellEnd"/>
      <w:r>
        <w:rPr>
          <w:sz w:val="24"/>
          <w:szCs w:val="24"/>
        </w:rPr>
        <w:t xml:space="preserve"> </w:t>
      </w:r>
      <w:r w:rsidR="00C706A3">
        <w:rPr>
          <w:sz w:val="24"/>
          <w:szCs w:val="24"/>
        </w:rPr>
        <w:t xml:space="preserve">that Complainant is prosecuting a case, </w:t>
      </w:r>
      <w:r w:rsidRPr="009363F4">
        <w:rPr>
          <w:i/>
          <w:sz w:val="24"/>
          <w:szCs w:val="24"/>
        </w:rPr>
        <w:t xml:space="preserve">Chalmers A. Simpson, Jr. v. Elias </w:t>
      </w:r>
      <w:proofErr w:type="spellStart"/>
      <w:r w:rsidRPr="009363F4">
        <w:rPr>
          <w:i/>
          <w:sz w:val="24"/>
          <w:szCs w:val="24"/>
        </w:rPr>
        <w:t>Harbilas</w:t>
      </w:r>
      <w:proofErr w:type="spellEnd"/>
      <w:r w:rsidRPr="009363F4">
        <w:rPr>
          <w:sz w:val="24"/>
          <w:szCs w:val="24"/>
        </w:rPr>
        <w:t xml:space="preserve">, </w:t>
      </w:r>
      <w:r w:rsidR="00C706A3">
        <w:rPr>
          <w:sz w:val="24"/>
          <w:szCs w:val="24"/>
        </w:rPr>
        <w:t xml:space="preserve">at </w:t>
      </w:r>
      <w:r w:rsidRPr="009363F4">
        <w:rPr>
          <w:sz w:val="24"/>
          <w:szCs w:val="24"/>
        </w:rPr>
        <w:t xml:space="preserve">No. 2017 CV 04201, </w:t>
      </w:r>
      <w:r w:rsidR="00C706A3">
        <w:rPr>
          <w:sz w:val="24"/>
          <w:szCs w:val="24"/>
        </w:rPr>
        <w:t xml:space="preserve">before the </w:t>
      </w:r>
      <w:r w:rsidRPr="009363F4">
        <w:rPr>
          <w:sz w:val="24"/>
          <w:szCs w:val="24"/>
        </w:rPr>
        <w:t>Dauphin County Court of Common Pleas.</w:t>
      </w:r>
      <w:r w:rsidR="00C706A3">
        <w:rPr>
          <w:sz w:val="24"/>
          <w:szCs w:val="24"/>
        </w:rPr>
        <w:t xml:space="preserve">  </w:t>
      </w:r>
      <w:r w:rsidR="00AF2D22">
        <w:rPr>
          <w:sz w:val="24"/>
          <w:szCs w:val="24"/>
        </w:rPr>
        <w:t xml:space="preserve">This appears to be a landlord/tenant case over which the Commission does not have jurisdiction.  </w:t>
      </w:r>
      <w:r w:rsidR="0045640C">
        <w:rPr>
          <w:sz w:val="24"/>
          <w:szCs w:val="24"/>
        </w:rPr>
        <w:t xml:space="preserve">Whether or not Complainant’s electric bills were higher or lower based on the alleged action or inaction of Mr. </w:t>
      </w:r>
      <w:proofErr w:type="spellStart"/>
      <w:r w:rsidR="0045640C">
        <w:rPr>
          <w:sz w:val="24"/>
          <w:szCs w:val="24"/>
        </w:rPr>
        <w:t>Harbilas</w:t>
      </w:r>
      <w:proofErr w:type="spellEnd"/>
      <w:r w:rsidR="0045640C">
        <w:rPr>
          <w:sz w:val="24"/>
          <w:szCs w:val="24"/>
        </w:rPr>
        <w:t xml:space="preserve"> is not a matter properly before the Commission.  </w:t>
      </w:r>
      <w:r w:rsidR="00C706A3">
        <w:rPr>
          <w:sz w:val="24"/>
          <w:szCs w:val="24"/>
        </w:rPr>
        <w:t>Once again, t</w:t>
      </w:r>
      <w:r w:rsidR="00C706A3" w:rsidRPr="00C706A3">
        <w:rPr>
          <w:sz w:val="24"/>
          <w:szCs w:val="24"/>
        </w:rPr>
        <w:t xml:space="preserve">he sole issue raised by the Complaint </w:t>
      </w:r>
      <w:r w:rsidR="0066588B">
        <w:rPr>
          <w:sz w:val="24"/>
          <w:szCs w:val="24"/>
        </w:rPr>
        <w:t xml:space="preserve">at this docket </w:t>
      </w:r>
      <w:r w:rsidR="00C706A3" w:rsidRPr="00C706A3">
        <w:rPr>
          <w:sz w:val="24"/>
          <w:szCs w:val="24"/>
        </w:rPr>
        <w:t xml:space="preserve">is whether PPL acted improperly by transferring what PPL maintains is an unpaid balance for an account servicing a previous </w:t>
      </w:r>
      <w:r w:rsidR="0045640C">
        <w:rPr>
          <w:sz w:val="24"/>
          <w:szCs w:val="24"/>
        </w:rPr>
        <w:t xml:space="preserve">address </w:t>
      </w:r>
      <w:r w:rsidR="00C706A3" w:rsidRPr="00C706A3">
        <w:rPr>
          <w:sz w:val="24"/>
          <w:szCs w:val="24"/>
        </w:rPr>
        <w:t>to Complainant’s current account</w:t>
      </w:r>
      <w:r w:rsidR="00C706A3">
        <w:rPr>
          <w:sz w:val="24"/>
          <w:szCs w:val="24"/>
        </w:rPr>
        <w:t xml:space="preserve">, not how Mr. </w:t>
      </w:r>
      <w:proofErr w:type="spellStart"/>
      <w:r w:rsidR="00C706A3">
        <w:rPr>
          <w:sz w:val="24"/>
          <w:szCs w:val="24"/>
        </w:rPr>
        <w:t>Harbilas</w:t>
      </w:r>
      <w:proofErr w:type="spellEnd"/>
      <w:r w:rsidR="00C706A3">
        <w:rPr>
          <w:sz w:val="24"/>
          <w:szCs w:val="24"/>
        </w:rPr>
        <w:t xml:space="preserve"> has acted in his dealings with Complainant.</w:t>
      </w:r>
      <w:r w:rsidR="00BB6DF8">
        <w:rPr>
          <w:sz w:val="24"/>
          <w:szCs w:val="24"/>
        </w:rPr>
        <w:t xml:space="preserve">  That matter is </w:t>
      </w:r>
      <w:r w:rsidR="0066588B">
        <w:rPr>
          <w:sz w:val="24"/>
          <w:szCs w:val="24"/>
        </w:rPr>
        <w:t xml:space="preserve">properly </w:t>
      </w:r>
      <w:r w:rsidR="00BB6DF8">
        <w:rPr>
          <w:sz w:val="24"/>
          <w:szCs w:val="24"/>
        </w:rPr>
        <w:t xml:space="preserve">before the </w:t>
      </w:r>
      <w:r w:rsidR="00BB6DF8" w:rsidRPr="00BB6DF8">
        <w:rPr>
          <w:sz w:val="24"/>
          <w:szCs w:val="24"/>
        </w:rPr>
        <w:t>Dauphin County Court of Common Pleas.</w:t>
      </w:r>
    </w:p>
    <w:p w14:paraId="326F2772" w14:textId="4196DF5F" w:rsidR="00EB6DF0" w:rsidRDefault="00EB6DF0" w:rsidP="009363F4">
      <w:pPr>
        <w:pStyle w:val="BodyTextIndent"/>
        <w:rPr>
          <w:sz w:val="24"/>
          <w:szCs w:val="24"/>
        </w:rPr>
      </w:pPr>
    </w:p>
    <w:p w14:paraId="54041FDE" w14:textId="195AF8E3" w:rsidR="00EB6DF0" w:rsidRDefault="00EB6DF0" w:rsidP="009363F4">
      <w:pPr>
        <w:pStyle w:val="BodyTextIndent"/>
        <w:rPr>
          <w:sz w:val="24"/>
          <w:szCs w:val="24"/>
        </w:rPr>
      </w:pPr>
      <w:r>
        <w:rPr>
          <w:sz w:val="24"/>
          <w:szCs w:val="24"/>
        </w:rPr>
        <w:t xml:space="preserve">Finally, </w:t>
      </w:r>
      <w:r w:rsidRPr="00EB6DF0">
        <w:rPr>
          <w:sz w:val="24"/>
          <w:szCs w:val="24"/>
        </w:rPr>
        <w:t xml:space="preserve">Complainant refers </w:t>
      </w:r>
      <w:r>
        <w:rPr>
          <w:sz w:val="24"/>
          <w:szCs w:val="24"/>
        </w:rPr>
        <w:t xml:space="preserve">in his Application </w:t>
      </w:r>
      <w:r w:rsidRPr="00EB6DF0">
        <w:rPr>
          <w:sz w:val="24"/>
          <w:szCs w:val="24"/>
        </w:rPr>
        <w:t>to Angeline M. Daniels whom Complainant states is co-responsible for bills</w:t>
      </w:r>
      <w:r w:rsidR="00BA28E3">
        <w:rPr>
          <w:sz w:val="24"/>
          <w:szCs w:val="24"/>
        </w:rPr>
        <w:t>,</w:t>
      </w:r>
      <w:r>
        <w:rPr>
          <w:sz w:val="24"/>
          <w:szCs w:val="24"/>
        </w:rPr>
        <w:t xml:space="preserve"> and </w:t>
      </w:r>
      <w:r w:rsidR="00BA28E3">
        <w:rPr>
          <w:sz w:val="24"/>
          <w:szCs w:val="24"/>
        </w:rPr>
        <w:t xml:space="preserve">he </w:t>
      </w:r>
      <w:r>
        <w:rPr>
          <w:sz w:val="24"/>
          <w:szCs w:val="24"/>
        </w:rPr>
        <w:t>would have PPL conduct a records search with respect to Ms. Daniels</w:t>
      </w:r>
      <w:r w:rsidRPr="00EB6DF0">
        <w:rPr>
          <w:sz w:val="24"/>
          <w:szCs w:val="24"/>
        </w:rPr>
        <w:t xml:space="preserve">.  </w:t>
      </w:r>
      <w:r>
        <w:rPr>
          <w:sz w:val="24"/>
          <w:szCs w:val="24"/>
        </w:rPr>
        <w:t xml:space="preserve">It is not necessary to address PPL’s privacy argument in this respect as </w:t>
      </w:r>
      <w:r w:rsidRPr="00EB6DF0">
        <w:rPr>
          <w:sz w:val="24"/>
          <w:szCs w:val="24"/>
        </w:rPr>
        <w:t>the issue in this case is whether PPL has misbilled Complainant</w:t>
      </w:r>
      <w:r>
        <w:rPr>
          <w:sz w:val="24"/>
          <w:szCs w:val="24"/>
        </w:rPr>
        <w:t>.  I</w:t>
      </w:r>
      <w:r w:rsidRPr="00EB6DF0">
        <w:rPr>
          <w:sz w:val="24"/>
          <w:szCs w:val="24"/>
        </w:rPr>
        <w:t>t is not a proceeding to apportion responsibility for those</w:t>
      </w:r>
      <w:r>
        <w:rPr>
          <w:sz w:val="24"/>
          <w:szCs w:val="24"/>
        </w:rPr>
        <w:t xml:space="preserve"> charges.</w:t>
      </w:r>
    </w:p>
    <w:p w14:paraId="147AE0E5" w14:textId="3E15FB27" w:rsidR="00E86436" w:rsidRDefault="00E86436" w:rsidP="009363F4">
      <w:pPr>
        <w:pStyle w:val="BodyTextIndent"/>
        <w:rPr>
          <w:sz w:val="24"/>
          <w:szCs w:val="24"/>
        </w:rPr>
      </w:pPr>
    </w:p>
    <w:p w14:paraId="6C50D744" w14:textId="1931EAD2" w:rsidR="00E86436" w:rsidRDefault="00D0005D" w:rsidP="009363F4">
      <w:pPr>
        <w:pStyle w:val="BodyTextIndent"/>
        <w:rPr>
          <w:sz w:val="24"/>
          <w:szCs w:val="24"/>
        </w:rPr>
      </w:pPr>
      <w:r>
        <w:rPr>
          <w:sz w:val="24"/>
          <w:szCs w:val="24"/>
        </w:rPr>
        <w:t>For the foregoing reasons, t</w:t>
      </w:r>
      <w:r w:rsidR="00E86436">
        <w:rPr>
          <w:sz w:val="24"/>
          <w:szCs w:val="24"/>
        </w:rPr>
        <w:t>he Application for Issuance of Subpoena is denied in its entirety.</w:t>
      </w:r>
    </w:p>
    <w:p w14:paraId="1027457D" w14:textId="10BACE9D" w:rsidR="00FF626C" w:rsidRDefault="00AF2D22" w:rsidP="00E954F9">
      <w:pPr>
        <w:pStyle w:val="BodyTextIndent"/>
        <w:rPr>
          <w:sz w:val="24"/>
          <w:szCs w:val="24"/>
        </w:rPr>
      </w:pPr>
      <w:r>
        <w:rPr>
          <w:sz w:val="24"/>
          <w:szCs w:val="24"/>
        </w:rPr>
        <w:t xml:space="preserve"> </w:t>
      </w:r>
      <w:r w:rsidR="00E954F9">
        <w:rPr>
          <w:sz w:val="24"/>
          <w:szCs w:val="24"/>
        </w:rPr>
        <w:t xml:space="preserve"> </w:t>
      </w:r>
    </w:p>
    <w:p w14:paraId="0DA8A6FA" w14:textId="77777777" w:rsidR="00AD4B6F" w:rsidRDefault="005061C2" w:rsidP="001B71CD">
      <w:pPr>
        <w:spacing w:line="360" w:lineRule="auto"/>
        <w:rPr>
          <w:sz w:val="24"/>
          <w:szCs w:val="24"/>
        </w:rPr>
      </w:pPr>
      <w:r>
        <w:rPr>
          <w:sz w:val="24"/>
          <w:szCs w:val="24"/>
        </w:rPr>
        <w:tab/>
      </w:r>
      <w:r>
        <w:rPr>
          <w:sz w:val="24"/>
          <w:szCs w:val="24"/>
        </w:rPr>
        <w:tab/>
        <w:t>THERFORE:</w:t>
      </w:r>
    </w:p>
    <w:p w14:paraId="0577596D" w14:textId="77777777" w:rsidR="00AD4B6F" w:rsidRDefault="00AD4B6F" w:rsidP="001B71CD">
      <w:pPr>
        <w:spacing w:line="360" w:lineRule="auto"/>
        <w:rPr>
          <w:sz w:val="24"/>
          <w:szCs w:val="24"/>
        </w:rPr>
      </w:pPr>
    </w:p>
    <w:p w14:paraId="01D7A1EB" w14:textId="0DB7387C" w:rsidR="001B71CD" w:rsidRDefault="00AD4B6F" w:rsidP="001B71CD">
      <w:pPr>
        <w:spacing w:line="360" w:lineRule="auto"/>
        <w:rPr>
          <w:sz w:val="24"/>
          <w:szCs w:val="24"/>
        </w:rPr>
      </w:pPr>
      <w:r>
        <w:rPr>
          <w:sz w:val="24"/>
          <w:szCs w:val="24"/>
        </w:rPr>
        <w:tab/>
      </w:r>
      <w:r>
        <w:rPr>
          <w:sz w:val="24"/>
          <w:szCs w:val="24"/>
        </w:rPr>
        <w:tab/>
        <w:t>IT IS ORDERED;</w:t>
      </w:r>
      <w:r w:rsidR="001B71CD">
        <w:rPr>
          <w:sz w:val="24"/>
          <w:szCs w:val="24"/>
        </w:rPr>
        <w:tab/>
      </w:r>
    </w:p>
    <w:p w14:paraId="486B6A8B" w14:textId="77777777" w:rsidR="001B71CD" w:rsidRDefault="001B71CD" w:rsidP="001B71CD">
      <w:pPr>
        <w:spacing w:line="360" w:lineRule="auto"/>
        <w:rPr>
          <w:sz w:val="24"/>
          <w:szCs w:val="24"/>
        </w:rPr>
      </w:pPr>
    </w:p>
    <w:p w14:paraId="4C9C68C6" w14:textId="60C76A20" w:rsidR="00AD4B6F" w:rsidRDefault="005061C2" w:rsidP="00813C5F">
      <w:pPr>
        <w:spacing w:line="360" w:lineRule="auto"/>
        <w:rPr>
          <w:sz w:val="24"/>
          <w:szCs w:val="24"/>
        </w:rPr>
      </w:pPr>
      <w:bookmarkStart w:id="6" w:name="5.344."/>
      <w:r>
        <w:rPr>
          <w:sz w:val="24"/>
          <w:szCs w:val="24"/>
        </w:rPr>
        <w:tab/>
      </w:r>
      <w:r>
        <w:rPr>
          <w:sz w:val="24"/>
          <w:szCs w:val="24"/>
        </w:rPr>
        <w:tab/>
      </w:r>
      <w:r w:rsidR="00D71E9A">
        <w:rPr>
          <w:sz w:val="24"/>
          <w:szCs w:val="24"/>
        </w:rPr>
        <w:t>1.</w:t>
      </w:r>
      <w:r w:rsidR="00D71E9A">
        <w:rPr>
          <w:sz w:val="24"/>
          <w:szCs w:val="24"/>
        </w:rPr>
        <w:tab/>
      </w:r>
      <w:r>
        <w:rPr>
          <w:sz w:val="24"/>
          <w:szCs w:val="24"/>
        </w:rPr>
        <w:t>T</w:t>
      </w:r>
      <w:r w:rsidR="00AD4B6F">
        <w:rPr>
          <w:sz w:val="24"/>
          <w:szCs w:val="24"/>
        </w:rPr>
        <w:t xml:space="preserve">hat the </w:t>
      </w:r>
      <w:r w:rsidR="00784E24">
        <w:rPr>
          <w:sz w:val="24"/>
          <w:szCs w:val="24"/>
        </w:rPr>
        <w:t>Application for Issuance of S</w:t>
      </w:r>
      <w:r w:rsidR="00AD4B6F">
        <w:rPr>
          <w:sz w:val="24"/>
          <w:szCs w:val="24"/>
        </w:rPr>
        <w:t>ubpoena</w:t>
      </w:r>
      <w:r w:rsidR="0045640C">
        <w:rPr>
          <w:sz w:val="24"/>
          <w:szCs w:val="24"/>
        </w:rPr>
        <w:t>s</w:t>
      </w:r>
      <w:r w:rsidR="00AD4B6F">
        <w:rPr>
          <w:sz w:val="24"/>
          <w:szCs w:val="24"/>
        </w:rPr>
        <w:t xml:space="preserve"> </w:t>
      </w:r>
      <w:r w:rsidR="00784E24">
        <w:rPr>
          <w:sz w:val="24"/>
          <w:szCs w:val="24"/>
        </w:rPr>
        <w:t xml:space="preserve">filed by Chalmers A. Simpson, Jr., </w:t>
      </w:r>
      <w:r w:rsidR="00AD4B6F">
        <w:rPr>
          <w:sz w:val="24"/>
          <w:szCs w:val="24"/>
        </w:rPr>
        <w:t xml:space="preserve">on </w:t>
      </w:r>
      <w:r w:rsidR="00784E24">
        <w:rPr>
          <w:sz w:val="24"/>
          <w:szCs w:val="24"/>
        </w:rPr>
        <w:t>February 15, 2018</w:t>
      </w:r>
      <w:r w:rsidR="00AD4B6F">
        <w:rPr>
          <w:sz w:val="24"/>
          <w:szCs w:val="24"/>
        </w:rPr>
        <w:t xml:space="preserve">, is hereby </w:t>
      </w:r>
      <w:r w:rsidR="00784E24">
        <w:rPr>
          <w:sz w:val="24"/>
          <w:szCs w:val="24"/>
        </w:rPr>
        <w:t>denied</w:t>
      </w:r>
      <w:r w:rsidR="0045640C">
        <w:rPr>
          <w:sz w:val="24"/>
          <w:szCs w:val="24"/>
        </w:rPr>
        <w:t xml:space="preserve"> in its entirety</w:t>
      </w:r>
      <w:r w:rsidR="00AD4B6F">
        <w:rPr>
          <w:sz w:val="24"/>
          <w:szCs w:val="24"/>
        </w:rPr>
        <w:t>.</w:t>
      </w:r>
    </w:p>
    <w:p w14:paraId="03A7F0F2" w14:textId="77777777" w:rsidR="00AD4B6F" w:rsidRDefault="00AD4B6F" w:rsidP="00813C5F">
      <w:pPr>
        <w:spacing w:line="360" w:lineRule="auto"/>
        <w:rPr>
          <w:sz w:val="24"/>
          <w:szCs w:val="24"/>
        </w:rPr>
      </w:pPr>
    </w:p>
    <w:p w14:paraId="5BE33CD9" w14:textId="565B5979" w:rsidR="005061C2" w:rsidRDefault="00AD4B6F" w:rsidP="00813C5F">
      <w:pPr>
        <w:spacing w:line="360" w:lineRule="auto"/>
        <w:rPr>
          <w:sz w:val="24"/>
          <w:szCs w:val="24"/>
        </w:rPr>
      </w:pPr>
      <w:r>
        <w:rPr>
          <w:sz w:val="24"/>
          <w:szCs w:val="24"/>
        </w:rPr>
        <w:tab/>
      </w:r>
      <w:r>
        <w:rPr>
          <w:sz w:val="24"/>
          <w:szCs w:val="24"/>
        </w:rPr>
        <w:tab/>
        <w:t>2.</w:t>
      </w:r>
      <w:r>
        <w:rPr>
          <w:sz w:val="24"/>
          <w:szCs w:val="24"/>
        </w:rPr>
        <w:tab/>
        <w:t xml:space="preserve">That the </w:t>
      </w:r>
      <w:r w:rsidR="00784E24">
        <w:rPr>
          <w:sz w:val="24"/>
          <w:szCs w:val="24"/>
        </w:rPr>
        <w:t xml:space="preserve">Objection of PPL Electric Utilities Corporation to </w:t>
      </w:r>
      <w:r w:rsidR="00784E24" w:rsidRPr="00784E24">
        <w:rPr>
          <w:sz w:val="24"/>
          <w:szCs w:val="24"/>
        </w:rPr>
        <w:t>the Application for Issuance of Subpoena</w:t>
      </w:r>
      <w:r w:rsidR="001C0C95">
        <w:rPr>
          <w:sz w:val="24"/>
          <w:szCs w:val="24"/>
        </w:rPr>
        <w:t>s</w:t>
      </w:r>
      <w:r w:rsidR="00784E24">
        <w:rPr>
          <w:sz w:val="24"/>
          <w:szCs w:val="24"/>
        </w:rPr>
        <w:t xml:space="preserve"> is sustained</w:t>
      </w:r>
      <w:r>
        <w:rPr>
          <w:sz w:val="24"/>
          <w:szCs w:val="24"/>
        </w:rPr>
        <w:t>.</w:t>
      </w:r>
      <w:r w:rsidR="001B71CD" w:rsidRPr="001B71CD">
        <w:rPr>
          <w:sz w:val="24"/>
          <w:szCs w:val="24"/>
        </w:rPr>
        <w:t xml:space="preserve"> </w:t>
      </w:r>
    </w:p>
    <w:p w14:paraId="5A48F8E7" w14:textId="77777777" w:rsidR="008232E3" w:rsidRDefault="008232E3" w:rsidP="001B71CD">
      <w:pPr>
        <w:rPr>
          <w:sz w:val="24"/>
          <w:szCs w:val="24"/>
        </w:rPr>
      </w:pPr>
    </w:p>
    <w:p w14:paraId="67708A6F" w14:textId="28AEF064" w:rsidR="001B71CD" w:rsidRPr="001B71CD" w:rsidRDefault="005061C2" w:rsidP="001B71CD">
      <w:pPr>
        <w:rPr>
          <w:sz w:val="24"/>
          <w:szCs w:val="24"/>
        </w:rPr>
      </w:pPr>
      <w:r>
        <w:rPr>
          <w:sz w:val="24"/>
          <w:szCs w:val="24"/>
        </w:rPr>
        <w:tab/>
      </w:r>
      <w:r>
        <w:rPr>
          <w:sz w:val="24"/>
          <w:szCs w:val="24"/>
        </w:rPr>
        <w:tab/>
      </w:r>
    </w:p>
    <w:bookmarkEnd w:id="6"/>
    <w:p w14:paraId="637BAB93" w14:textId="77777777" w:rsidR="00855AFE" w:rsidRDefault="00855AFE" w:rsidP="00855AFE">
      <w:pPr>
        <w:spacing w:line="360" w:lineRule="auto"/>
        <w:rPr>
          <w:sz w:val="24"/>
          <w:szCs w:val="24"/>
        </w:rPr>
      </w:pPr>
    </w:p>
    <w:p w14:paraId="243AC848" w14:textId="73CEFEE5" w:rsidR="00855AFE" w:rsidRPr="00EF4F90" w:rsidRDefault="00784E24" w:rsidP="00855AFE">
      <w:pPr>
        <w:widowControl w:val="0"/>
        <w:rPr>
          <w:sz w:val="24"/>
          <w:szCs w:val="24"/>
        </w:rPr>
      </w:pPr>
      <w:r>
        <w:rPr>
          <w:sz w:val="24"/>
          <w:szCs w:val="24"/>
        </w:rPr>
        <w:t xml:space="preserve">DATE:  </w:t>
      </w:r>
      <w:r>
        <w:rPr>
          <w:sz w:val="24"/>
          <w:szCs w:val="24"/>
          <w:u w:val="single"/>
        </w:rPr>
        <w:t>Febru</w:t>
      </w:r>
      <w:r w:rsidR="00AD4B6F" w:rsidRPr="00AD4B6F">
        <w:rPr>
          <w:sz w:val="24"/>
          <w:szCs w:val="24"/>
          <w:u w:val="single"/>
        </w:rPr>
        <w:t>ary 23, 2018</w:t>
      </w:r>
      <w:r w:rsidR="00855AFE" w:rsidRPr="00EF4F90">
        <w:rPr>
          <w:sz w:val="24"/>
          <w:szCs w:val="24"/>
        </w:rPr>
        <w:tab/>
      </w:r>
      <w:r w:rsidR="00EF4F90" w:rsidRPr="00EF4F90">
        <w:rPr>
          <w:sz w:val="24"/>
          <w:szCs w:val="24"/>
        </w:rPr>
        <w:tab/>
      </w:r>
      <w:r w:rsidR="005061C2">
        <w:rPr>
          <w:sz w:val="24"/>
          <w:szCs w:val="24"/>
        </w:rPr>
        <w:tab/>
      </w:r>
      <w:r w:rsidR="005061C2">
        <w:rPr>
          <w:sz w:val="24"/>
          <w:szCs w:val="24"/>
        </w:rPr>
        <w:tab/>
      </w:r>
      <w:r w:rsidR="00DB6E71">
        <w:rPr>
          <w:sz w:val="24"/>
          <w:szCs w:val="24"/>
          <w:u w:val="single"/>
        </w:rPr>
        <w:tab/>
      </w:r>
      <w:r w:rsidR="00DB6E71">
        <w:rPr>
          <w:sz w:val="24"/>
          <w:szCs w:val="24"/>
          <w:u w:val="single"/>
        </w:rPr>
        <w:tab/>
        <w:t>/s/</w:t>
      </w:r>
      <w:r w:rsidR="00DB6E71">
        <w:rPr>
          <w:sz w:val="24"/>
          <w:szCs w:val="24"/>
          <w:u w:val="single"/>
        </w:rPr>
        <w:tab/>
      </w:r>
      <w:r w:rsidR="00DB6E71">
        <w:rPr>
          <w:sz w:val="24"/>
          <w:szCs w:val="24"/>
          <w:u w:val="single"/>
        </w:rPr>
        <w:tab/>
      </w:r>
      <w:r>
        <w:rPr>
          <w:sz w:val="24"/>
          <w:szCs w:val="24"/>
        </w:rPr>
        <w:t xml:space="preserve"> </w:t>
      </w:r>
    </w:p>
    <w:p w14:paraId="7E2236B6" w14:textId="77777777" w:rsidR="00855AFE" w:rsidRPr="00EF4F90" w:rsidRDefault="00855AFE" w:rsidP="00855AFE">
      <w:pPr>
        <w:widowControl w:val="0"/>
        <w:rPr>
          <w:sz w:val="24"/>
          <w:szCs w:val="24"/>
        </w:rPr>
      </w:pPr>
      <w:r w:rsidRPr="00EF4F90">
        <w:rPr>
          <w:sz w:val="24"/>
          <w:szCs w:val="24"/>
        </w:rPr>
        <w:tab/>
      </w:r>
      <w:r w:rsidRPr="00EF4F90">
        <w:rPr>
          <w:sz w:val="24"/>
          <w:szCs w:val="24"/>
        </w:rPr>
        <w:tab/>
      </w:r>
      <w:r w:rsidRPr="00EF4F90">
        <w:rPr>
          <w:sz w:val="24"/>
          <w:szCs w:val="24"/>
        </w:rPr>
        <w:tab/>
      </w:r>
      <w:r w:rsidRPr="00EF4F90">
        <w:rPr>
          <w:sz w:val="24"/>
          <w:szCs w:val="24"/>
        </w:rPr>
        <w:tab/>
      </w:r>
      <w:r w:rsidRPr="00EF4F90">
        <w:rPr>
          <w:sz w:val="24"/>
          <w:szCs w:val="24"/>
        </w:rPr>
        <w:tab/>
      </w:r>
      <w:r w:rsidRPr="00EF4F90">
        <w:rPr>
          <w:sz w:val="24"/>
          <w:szCs w:val="24"/>
        </w:rPr>
        <w:tab/>
      </w:r>
      <w:r w:rsidR="00EF4F90" w:rsidRPr="00EF4F90">
        <w:rPr>
          <w:sz w:val="24"/>
          <w:szCs w:val="24"/>
        </w:rPr>
        <w:tab/>
      </w:r>
      <w:r w:rsidRPr="00EF4F90">
        <w:rPr>
          <w:sz w:val="24"/>
          <w:szCs w:val="24"/>
        </w:rPr>
        <w:t>Dennis J. Buckley</w:t>
      </w:r>
    </w:p>
    <w:p w14:paraId="06C1B5BE" w14:textId="2AE02C16" w:rsidR="00855AFE" w:rsidRDefault="00855AFE" w:rsidP="00750F0E">
      <w:pPr>
        <w:widowControl w:val="0"/>
        <w:rPr>
          <w:sz w:val="24"/>
          <w:szCs w:val="24"/>
        </w:rPr>
      </w:pPr>
      <w:r w:rsidRPr="00EF4F90">
        <w:rPr>
          <w:sz w:val="24"/>
          <w:szCs w:val="24"/>
        </w:rPr>
        <w:tab/>
      </w:r>
      <w:r w:rsidRPr="00EF4F90">
        <w:rPr>
          <w:sz w:val="24"/>
          <w:szCs w:val="24"/>
        </w:rPr>
        <w:tab/>
      </w:r>
      <w:r w:rsidRPr="00EF4F90">
        <w:rPr>
          <w:sz w:val="24"/>
          <w:szCs w:val="24"/>
        </w:rPr>
        <w:tab/>
      </w:r>
      <w:r w:rsidRPr="00EF4F90">
        <w:rPr>
          <w:sz w:val="24"/>
          <w:szCs w:val="24"/>
        </w:rPr>
        <w:tab/>
      </w:r>
      <w:r w:rsidRPr="00EF4F90">
        <w:rPr>
          <w:sz w:val="24"/>
          <w:szCs w:val="24"/>
        </w:rPr>
        <w:tab/>
      </w:r>
      <w:r w:rsidRPr="00EF4F90">
        <w:rPr>
          <w:sz w:val="24"/>
          <w:szCs w:val="24"/>
        </w:rPr>
        <w:tab/>
      </w:r>
      <w:r w:rsidR="00EF4F90" w:rsidRPr="00EF4F90">
        <w:rPr>
          <w:sz w:val="24"/>
          <w:szCs w:val="24"/>
        </w:rPr>
        <w:tab/>
      </w:r>
      <w:r w:rsidRPr="00EF4F90">
        <w:rPr>
          <w:sz w:val="24"/>
          <w:szCs w:val="24"/>
        </w:rPr>
        <w:t>Administrative Law Judge</w:t>
      </w:r>
      <w:r w:rsidR="008232E3">
        <w:rPr>
          <w:sz w:val="24"/>
          <w:szCs w:val="24"/>
        </w:rPr>
        <w:t xml:space="preserve">  </w:t>
      </w:r>
    </w:p>
    <w:p w14:paraId="3B2A6BBE" w14:textId="77777777" w:rsidR="008232E3" w:rsidRDefault="008232E3" w:rsidP="00750F0E">
      <w:pPr>
        <w:widowControl w:val="0"/>
        <w:rPr>
          <w:sz w:val="24"/>
          <w:szCs w:val="24"/>
        </w:rPr>
        <w:sectPr w:rsidR="008232E3" w:rsidSect="00270184">
          <w:footerReference w:type="default" r:id="rId9"/>
          <w:pgSz w:w="12240" w:h="15840"/>
          <w:pgMar w:top="1440" w:right="1440" w:bottom="1440" w:left="1440" w:header="720" w:footer="720" w:gutter="0"/>
          <w:cols w:space="720"/>
          <w:docGrid w:linePitch="360"/>
        </w:sectPr>
      </w:pPr>
    </w:p>
    <w:p w14:paraId="0096925D" w14:textId="77777777" w:rsidR="00DB6E71" w:rsidRDefault="008232E3" w:rsidP="008232E3">
      <w:pPr>
        <w:contextualSpacing/>
        <w:rPr>
          <w:rFonts w:ascii="Microsoft Sans Serif"/>
          <w:b/>
          <w:sz w:val="24"/>
          <w:u w:val="single"/>
        </w:rPr>
      </w:pPr>
      <w:r>
        <w:rPr>
          <w:rFonts w:ascii="Microsoft Sans Serif"/>
          <w:b/>
          <w:sz w:val="24"/>
          <w:u w:val="single"/>
        </w:rPr>
        <w:t>C-2017-2605855 - CHALMERS A SIMPSON JR v. PPL ELECTRIC UTILITIES CORPORATION</w:t>
      </w:r>
      <w:r>
        <w:rPr>
          <w:rFonts w:ascii="Microsoft Sans Serif"/>
          <w:b/>
          <w:sz w:val="24"/>
          <w:u w:val="single"/>
        </w:rPr>
        <w:cr/>
      </w:r>
    </w:p>
    <w:p w14:paraId="6B1AC2CC" w14:textId="1B009666" w:rsidR="008232E3" w:rsidRDefault="008232E3" w:rsidP="008232E3">
      <w:pPr>
        <w:contextualSpacing/>
      </w:pPr>
      <w:bookmarkStart w:id="7" w:name="_GoBack"/>
      <w:bookmarkEnd w:id="7"/>
      <w:r>
        <w:rPr>
          <w:rFonts w:ascii="Microsoft Sans Serif"/>
          <w:b/>
          <w:sz w:val="24"/>
          <w:u w:val="single"/>
        </w:rPr>
        <w:cr/>
      </w:r>
      <w:bookmarkStart w:id="8" w:name="_Hlk504566665"/>
      <w:r>
        <w:rPr>
          <w:rFonts w:ascii="Microsoft Sans Serif"/>
          <w:sz w:val="24"/>
        </w:rPr>
        <w:t>CHALMERS A SIMPSON JR</w:t>
      </w:r>
      <w:r>
        <w:rPr>
          <w:rFonts w:ascii="Microsoft Sans Serif"/>
          <w:sz w:val="24"/>
        </w:rPr>
        <w:cr/>
        <w:t>PO BOX 5533</w:t>
      </w:r>
      <w:r>
        <w:rPr>
          <w:rFonts w:ascii="Microsoft Sans Serif"/>
          <w:sz w:val="24"/>
        </w:rPr>
        <w:cr/>
        <w:t>HARRISBURG PA  17110</w:t>
      </w:r>
      <w:r>
        <w:rPr>
          <w:rFonts w:ascii="Microsoft Sans Serif"/>
          <w:sz w:val="24"/>
        </w:rPr>
        <w:cr/>
      </w:r>
      <w:bookmarkEnd w:id="8"/>
      <w:r w:rsidRPr="008149AF">
        <w:rPr>
          <w:rFonts w:ascii="Microsoft Sans Serif"/>
          <w:b/>
          <w:sz w:val="24"/>
        </w:rPr>
        <w:t>717.317.4587</w:t>
      </w:r>
      <w:r>
        <w:rPr>
          <w:rFonts w:ascii="Microsoft Sans Serif"/>
          <w:sz w:val="24"/>
        </w:rPr>
        <w:cr/>
      </w:r>
      <w:r>
        <w:rPr>
          <w:rFonts w:ascii="Microsoft Sans Serif"/>
          <w:sz w:val="24"/>
        </w:rPr>
        <w:cr/>
      </w:r>
      <w:bookmarkStart w:id="9" w:name="_Hlk504566692"/>
      <w:r>
        <w:rPr>
          <w:rFonts w:ascii="Microsoft Sans Serif"/>
          <w:sz w:val="24"/>
        </w:rPr>
        <w:t>KIMBERLY G KRUPKA ESQUIRE</w:t>
      </w:r>
      <w:r>
        <w:rPr>
          <w:rFonts w:ascii="Microsoft Sans Serif"/>
          <w:sz w:val="24"/>
        </w:rPr>
        <w:cr/>
        <w:t>GROSS MCGINLEY LLP</w:t>
      </w:r>
      <w:r>
        <w:rPr>
          <w:rFonts w:ascii="Microsoft Sans Serif"/>
          <w:sz w:val="24"/>
        </w:rPr>
        <w:cr/>
        <w:t>33 SOUTH SEVENTH STREET PO BOX 4060</w:t>
      </w:r>
      <w:r>
        <w:rPr>
          <w:rFonts w:ascii="Microsoft Sans Serif"/>
          <w:sz w:val="24"/>
        </w:rPr>
        <w:cr/>
        <w:t>ALLENTOWN PA  18105-4060</w:t>
      </w:r>
      <w:r>
        <w:rPr>
          <w:rFonts w:ascii="Microsoft Sans Serif"/>
          <w:sz w:val="24"/>
        </w:rPr>
        <w:cr/>
      </w:r>
      <w:bookmarkEnd w:id="9"/>
      <w:r w:rsidRPr="008149AF">
        <w:rPr>
          <w:rFonts w:ascii="Microsoft Sans Serif"/>
          <w:b/>
          <w:sz w:val="24"/>
        </w:rPr>
        <w:t>610.820.5450</w:t>
      </w:r>
      <w:r>
        <w:rPr>
          <w:rFonts w:ascii="Microsoft Sans Serif"/>
          <w:sz w:val="24"/>
        </w:rPr>
        <w:cr/>
      </w:r>
    </w:p>
    <w:p w14:paraId="7CB007AA" w14:textId="77777777" w:rsidR="008232E3" w:rsidRDefault="008232E3" w:rsidP="008232E3">
      <w:pPr>
        <w:contextualSpacing/>
      </w:pPr>
    </w:p>
    <w:p w14:paraId="75080DF9" w14:textId="1B3E2BFE" w:rsidR="008232E3" w:rsidRPr="00EF4F90" w:rsidRDefault="008232E3" w:rsidP="00750F0E">
      <w:pPr>
        <w:widowControl w:val="0"/>
        <w:rPr>
          <w:sz w:val="24"/>
          <w:szCs w:val="24"/>
        </w:rPr>
      </w:pPr>
    </w:p>
    <w:sectPr w:rsidR="008232E3" w:rsidRPr="00EF4F9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8ACC2" w14:textId="77777777" w:rsidR="001F7156" w:rsidRDefault="001F7156" w:rsidP="005140E0">
      <w:r>
        <w:separator/>
      </w:r>
    </w:p>
  </w:endnote>
  <w:endnote w:type="continuationSeparator" w:id="0">
    <w:p w14:paraId="1CADEDBA" w14:textId="77777777" w:rsidR="001F7156" w:rsidRDefault="001F7156" w:rsidP="0051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D04F" w14:textId="60D88A49" w:rsidR="00C63BCB" w:rsidRPr="008232E3" w:rsidRDefault="00C63BCB">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12006"/>
      <w:docPartObj>
        <w:docPartGallery w:val="Page Numbers (Bottom of Page)"/>
        <w:docPartUnique/>
      </w:docPartObj>
    </w:sdtPr>
    <w:sdtEndPr>
      <w:rPr>
        <w:noProof/>
        <w:sz w:val="20"/>
      </w:rPr>
    </w:sdtEndPr>
    <w:sdtContent>
      <w:p w14:paraId="7741A6A2" w14:textId="21653AC6" w:rsidR="00DB6E71" w:rsidRPr="008232E3" w:rsidRDefault="00DB6E71">
        <w:pPr>
          <w:pStyle w:val="Footer"/>
          <w:jc w:val="center"/>
          <w:rPr>
            <w:sz w:val="20"/>
          </w:rPr>
        </w:pPr>
        <w:r w:rsidRPr="008232E3">
          <w:rPr>
            <w:sz w:val="20"/>
          </w:rPr>
          <w:fldChar w:fldCharType="begin"/>
        </w:r>
        <w:r w:rsidRPr="008232E3">
          <w:rPr>
            <w:sz w:val="20"/>
          </w:rPr>
          <w:instrText xml:space="preserve"> PAGE   \* MERGEFORMAT </w:instrText>
        </w:r>
        <w:r w:rsidRPr="008232E3">
          <w:rPr>
            <w:sz w:val="20"/>
          </w:rPr>
          <w:fldChar w:fldCharType="separate"/>
        </w:r>
        <w:r>
          <w:rPr>
            <w:noProof/>
            <w:sz w:val="20"/>
          </w:rPr>
          <w:t>6</w:t>
        </w:r>
        <w:r w:rsidRPr="008232E3">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BDA16" w14:textId="5038C4F2" w:rsidR="00C63BCB" w:rsidRPr="008232E3" w:rsidRDefault="00C63BCB">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50315" w14:textId="77777777" w:rsidR="001F7156" w:rsidRDefault="001F7156" w:rsidP="005140E0">
      <w:r>
        <w:separator/>
      </w:r>
    </w:p>
  </w:footnote>
  <w:footnote w:type="continuationSeparator" w:id="0">
    <w:p w14:paraId="2DCA4AC0" w14:textId="77777777" w:rsidR="001F7156" w:rsidRDefault="001F7156" w:rsidP="005140E0">
      <w:r>
        <w:continuationSeparator/>
      </w:r>
    </w:p>
  </w:footnote>
  <w:footnote w:id="1">
    <w:p w14:paraId="71FC8589" w14:textId="6ABA8B34" w:rsidR="00C63BCB" w:rsidRDefault="00C63BCB">
      <w:pPr>
        <w:pStyle w:val="FootnoteText"/>
      </w:pPr>
      <w:r>
        <w:rPr>
          <w:rStyle w:val="FootnoteReference"/>
        </w:rPr>
        <w:footnoteRef/>
      </w:r>
      <w:r>
        <w:t xml:space="preserve"> </w:t>
      </w:r>
      <w:r>
        <w:tab/>
        <w:t xml:space="preserve">This case was originally scheduled to by heard on August 9, 2017, but it has been continued several times.  </w:t>
      </w:r>
    </w:p>
  </w:footnote>
  <w:footnote w:id="2">
    <w:p w14:paraId="0814E080" w14:textId="5E5A1528" w:rsidR="00C63BCB" w:rsidRDefault="00C63BCB">
      <w:pPr>
        <w:pStyle w:val="FootnoteText"/>
      </w:pPr>
      <w:r>
        <w:rPr>
          <w:rStyle w:val="FootnoteReference"/>
        </w:rPr>
        <w:footnoteRef/>
      </w:r>
      <w:r>
        <w:t xml:space="preserve"> </w:t>
      </w:r>
      <w:r>
        <w:tab/>
        <w:t xml:space="preserve">In his Application, Complainant cites as authority the Federal Rules of Civil Procedure.  The Federal Rules apply to proceedings before the federal courts, not to proceedings before the Pennsylvania Public Utility Commission.  The Commission’s procedural rules with respect to formal proceedings, including discovery and the issuance of subpoenas, are set forth at 52 Pa. Code §§ 5.1 </w:t>
      </w:r>
      <w:r w:rsidRPr="00A77704">
        <w:rPr>
          <w:i/>
        </w:rPr>
        <w:t>et seq</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7C"/>
    <w:rsid w:val="00000B68"/>
    <w:rsid w:val="0001301A"/>
    <w:rsid w:val="00020936"/>
    <w:rsid w:val="00020ACF"/>
    <w:rsid w:val="0002390F"/>
    <w:rsid w:val="00031484"/>
    <w:rsid w:val="000361C6"/>
    <w:rsid w:val="000453F0"/>
    <w:rsid w:val="00065E2A"/>
    <w:rsid w:val="00071466"/>
    <w:rsid w:val="00077CBB"/>
    <w:rsid w:val="000805AC"/>
    <w:rsid w:val="00083DF6"/>
    <w:rsid w:val="00086142"/>
    <w:rsid w:val="0009315C"/>
    <w:rsid w:val="000A12B8"/>
    <w:rsid w:val="000B615A"/>
    <w:rsid w:val="000B7C4C"/>
    <w:rsid w:val="000D5A3D"/>
    <w:rsid w:val="000E3437"/>
    <w:rsid w:val="000E4B75"/>
    <w:rsid w:val="000F2491"/>
    <w:rsid w:val="0011388A"/>
    <w:rsid w:val="0013260C"/>
    <w:rsid w:val="00132676"/>
    <w:rsid w:val="00145D7C"/>
    <w:rsid w:val="001468F9"/>
    <w:rsid w:val="00155B2B"/>
    <w:rsid w:val="00156549"/>
    <w:rsid w:val="001647A3"/>
    <w:rsid w:val="00170D92"/>
    <w:rsid w:val="00172CCF"/>
    <w:rsid w:val="00172EB1"/>
    <w:rsid w:val="00184718"/>
    <w:rsid w:val="001937E9"/>
    <w:rsid w:val="001A3B11"/>
    <w:rsid w:val="001A4593"/>
    <w:rsid w:val="001B13A4"/>
    <w:rsid w:val="001B5D6E"/>
    <w:rsid w:val="001B71CD"/>
    <w:rsid w:val="001C0C95"/>
    <w:rsid w:val="001D3624"/>
    <w:rsid w:val="001F3FEC"/>
    <w:rsid w:val="001F7156"/>
    <w:rsid w:val="00203174"/>
    <w:rsid w:val="002226E1"/>
    <w:rsid w:val="002254EA"/>
    <w:rsid w:val="00230D85"/>
    <w:rsid w:val="00235F06"/>
    <w:rsid w:val="00241F98"/>
    <w:rsid w:val="00243B5A"/>
    <w:rsid w:val="002509CA"/>
    <w:rsid w:val="00253546"/>
    <w:rsid w:val="002666B3"/>
    <w:rsid w:val="00270184"/>
    <w:rsid w:val="002870A9"/>
    <w:rsid w:val="00287328"/>
    <w:rsid w:val="002931D5"/>
    <w:rsid w:val="002A38DB"/>
    <w:rsid w:val="002A3CF4"/>
    <w:rsid w:val="002B1C21"/>
    <w:rsid w:val="002B2EE6"/>
    <w:rsid w:val="002B42FA"/>
    <w:rsid w:val="002B780B"/>
    <w:rsid w:val="002C7BFD"/>
    <w:rsid w:val="002D0820"/>
    <w:rsid w:val="002D12EC"/>
    <w:rsid w:val="002D6A4C"/>
    <w:rsid w:val="002F06EE"/>
    <w:rsid w:val="002F5243"/>
    <w:rsid w:val="002F52AF"/>
    <w:rsid w:val="00311460"/>
    <w:rsid w:val="00312033"/>
    <w:rsid w:val="003245E8"/>
    <w:rsid w:val="00331361"/>
    <w:rsid w:val="00343410"/>
    <w:rsid w:val="00351AD2"/>
    <w:rsid w:val="003627CB"/>
    <w:rsid w:val="0036596E"/>
    <w:rsid w:val="00366A60"/>
    <w:rsid w:val="0037107E"/>
    <w:rsid w:val="00375267"/>
    <w:rsid w:val="00383897"/>
    <w:rsid w:val="00384FE3"/>
    <w:rsid w:val="00393588"/>
    <w:rsid w:val="003A15DB"/>
    <w:rsid w:val="003A3EEB"/>
    <w:rsid w:val="003B28F4"/>
    <w:rsid w:val="003B48F6"/>
    <w:rsid w:val="003B5F87"/>
    <w:rsid w:val="003C341D"/>
    <w:rsid w:val="003E12A9"/>
    <w:rsid w:val="003E24C1"/>
    <w:rsid w:val="003F480E"/>
    <w:rsid w:val="003F604A"/>
    <w:rsid w:val="00402FD8"/>
    <w:rsid w:val="004116D3"/>
    <w:rsid w:val="004161DA"/>
    <w:rsid w:val="0042367A"/>
    <w:rsid w:val="004470A2"/>
    <w:rsid w:val="00452DC3"/>
    <w:rsid w:val="0045640C"/>
    <w:rsid w:val="004575DD"/>
    <w:rsid w:val="00461BE2"/>
    <w:rsid w:val="004629D8"/>
    <w:rsid w:val="00466412"/>
    <w:rsid w:val="00472390"/>
    <w:rsid w:val="00476AA5"/>
    <w:rsid w:val="004973BF"/>
    <w:rsid w:val="004A0F8F"/>
    <w:rsid w:val="004A4A92"/>
    <w:rsid w:val="004B3B38"/>
    <w:rsid w:val="004B4CB7"/>
    <w:rsid w:val="004B5C54"/>
    <w:rsid w:val="004D4447"/>
    <w:rsid w:val="004E133C"/>
    <w:rsid w:val="004E1A8C"/>
    <w:rsid w:val="004E4202"/>
    <w:rsid w:val="004F3E7F"/>
    <w:rsid w:val="004F51B0"/>
    <w:rsid w:val="005028FF"/>
    <w:rsid w:val="00504287"/>
    <w:rsid w:val="005061C2"/>
    <w:rsid w:val="005074C3"/>
    <w:rsid w:val="005140E0"/>
    <w:rsid w:val="00514110"/>
    <w:rsid w:val="00523C09"/>
    <w:rsid w:val="005352D3"/>
    <w:rsid w:val="00540ACE"/>
    <w:rsid w:val="005475EC"/>
    <w:rsid w:val="00552D9B"/>
    <w:rsid w:val="00564484"/>
    <w:rsid w:val="00567509"/>
    <w:rsid w:val="00582CD8"/>
    <w:rsid w:val="0059506A"/>
    <w:rsid w:val="00595440"/>
    <w:rsid w:val="0059788C"/>
    <w:rsid w:val="005A426C"/>
    <w:rsid w:val="005B4379"/>
    <w:rsid w:val="005C0261"/>
    <w:rsid w:val="005E4D00"/>
    <w:rsid w:val="005F0C32"/>
    <w:rsid w:val="005F659B"/>
    <w:rsid w:val="005F6F2D"/>
    <w:rsid w:val="00621A9F"/>
    <w:rsid w:val="006422D5"/>
    <w:rsid w:val="00650AF2"/>
    <w:rsid w:val="00655B19"/>
    <w:rsid w:val="00657803"/>
    <w:rsid w:val="0066588B"/>
    <w:rsid w:val="00672D17"/>
    <w:rsid w:val="00674502"/>
    <w:rsid w:val="00676751"/>
    <w:rsid w:val="00676817"/>
    <w:rsid w:val="006826C5"/>
    <w:rsid w:val="0069027E"/>
    <w:rsid w:val="00690843"/>
    <w:rsid w:val="00692368"/>
    <w:rsid w:val="00693C6C"/>
    <w:rsid w:val="00695B16"/>
    <w:rsid w:val="00697DA0"/>
    <w:rsid w:val="006A69E1"/>
    <w:rsid w:val="006B4F76"/>
    <w:rsid w:val="006B6B2F"/>
    <w:rsid w:val="006D05F2"/>
    <w:rsid w:val="006D2615"/>
    <w:rsid w:val="006D4B2A"/>
    <w:rsid w:val="006E48ED"/>
    <w:rsid w:val="006F79B1"/>
    <w:rsid w:val="006F7F52"/>
    <w:rsid w:val="00700A03"/>
    <w:rsid w:val="007244D1"/>
    <w:rsid w:val="00727658"/>
    <w:rsid w:val="0073113B"/>
    <w:rsid w:val="007403C2"/>
    <w:rsid w:val="00746E27"/>
    <w:rsid w:val="00750F0E"/>
    <w:rsid w:val="00770F10"/>
    <w:rsid w:val="00784E24"/>
    <w:rsid w:val="00793DB4"/>
    <w:rsid w:val="007B0837"/>
    <w:rsid w:val="007B0DBB"/>
    <w:rsid w:val="007B49D8"/>
    <w:rsid w:val="007B69CE"/>
    <w:rsid w:val="007C6B1F"/>
    <w:rsid w:val="007E2D1F"/>
    <w:rsid w:val="007F0C9F"/>
    <w:rsid w:val="007F1EAC"/>
    <w:rsid w:val="007F4FF9"/>
    <w:rsid w:val="007F5EE7"/>
    <w:rsid w:val="007F6F94"/>
    <w:rsid w:val="00802919"/>
    <w:rsid w:val="00813C5F"/>
    <w:rsid w:val="00821A92"/>
    <w:rsid w:val="008232E3"/>
    <w:rsid w:val="00826EAF"/>
    <w:rsid w:val="00844AFD"/>
    <w:rsid w:val="00855AFE"/>
    <w:rsid w:val="008605CF"/>
    <w:rsid w:val="00876810"/>
    <w:rsid w:val="00882CF9"/>
    <w:rsid w:val="00883BB5"/>
    <w:rsid w:val="00890339"/>
    <w:rsid w:val="0089738C"/>
    <w:rsid w:val="008B15E9"/>
    <w:rsid w:val="008B65EE"/>
    <w:rsid w:val="008C0782"/>
    <w:rsid w:val="008C22D3"/>
    <w:rsid w:val="008C258A"/>
    <w:rsid w:val="008C6F9E"/>
    <w:rsid w:val="008D041F"/>
    <w:rsid w:val="008D6FD4"/>
    <w:rsid w:val="008E077F"/>
    <w:rsid w:val="008F03F5"/>
    <w:rsid w:val="008F633F"/>
    <w:rsid w:val="009062E7"/>
    <w:rsid w:val="00927404"/>
    <w:rsid w:val="00930862"/>
    <w:rsid w:val="009356A3"/>
    <w:rsid w:val="009363F4"/>
    <w:rsid w:val="00946E14"/>
    <w:rsid w:val="00955515"/>
    <w:rsid w:val="0096711C"/>
    <w:rsid w:val="00982D5E"/>
    <w:rsid w:val="009A3A50"/>
    <w:rsid w:val="009B2CC6"/>
    <w:rsid w:val="009D3354"/>
    <w:rsid w:val="009E434D"/>
    <w:rsid w:val="009F1830"/>
    <w:rsid w:val="009F1C4B"/>
    <w:rsid w:val="009F72A1"/>
    <w:rsid w:val="00A00DC5"/>
    <w:rsid w:val="00A07865"/>
    <w:rsid w:val="00A07B60"/>
    <w:rsid w:val="00A07DDD"/>
    <w:rsid w:val="00A10BD9"/>
    <w:rsid w:val="00A14AF3"/>
    <w:rsid w:val="00A22D9C"/>
    <w:rsid w:val="00A23F46"/>
    <w:rsid w:val="00A37544"/>
    <w:rsid w:val="00A37E71"/>
    <w:rsid w:val="00A402ED"/>
    <w:rsid w:val="00A41CC8"/>
    <w:rsid w:val="00A427AC"/>
    <w:rsid w:val="00A44D00"/>
    <w:rsid w:val="00A46561"/>
    <w:rsid w:val="00A50404"/>
    <w:rsid w:val="00A56232"/>
    <w:rsid w:val="00A77704"/>
    <w:rsid w:val="00A97DFF"/>
    <w:rsid w:val="00AB19F1"/>
    <w:rsid w:val="00AB43D7"/>
    <w:rsid w:val="00AB4B7C"/>
    <w:rsid w:val="00AD0B06"/>
    <w:rsid w:val="00AD4B6F"/>
    <w:rsid w:val="00AD74B1"/>
    <w:rsid w:val="00AE0270"/>
    <w:rsid w:val="00AE7003"/>
    <w:rsid w:val="00AF2D22"/>
    <w:rsid w:val="00B207AC"/>
    <w:rsid w:val="00B228F1"/>
    <w:rsid w:val="00B231B1"/>
    <w:rsid w:val="00B24540"/>
    <w:rsid w:val="00B25B93"/>
    <w:rsid w:val="00B321B4"/>
    <w:rsid w:val="00B43108"/>
    <w:rsid w:val="00B50E38"/>
    <w:rsid w:val="00B56159"/>
    <w:rsid w:val="00B60B06"/>
    <w:rsid w:val="00B73D2C"/>
    <w:rsid w:val="00B80C4A"/>
    <w:rsid w:val="00B83072"/>
    <w:rsid w:val="00B84A4F"/>
    <w:rsid w:val="00B94237"/>
    <w:rsid w:val="00BA0462"/>
    <w:rsid w:val="00BA2207"/>
    <w:rsid w:val="00BA284C"/>
    <w:rsid w:val="00BA28E3"/>
    <w:rsid w:val="00BA40F5"/>
    <w:rsid w:val="00BA51EE"/>
    <w:rsid w:val="00BB0E58"/>
    <w:rsid w:val="00BB6DF8"/>
    <w:rsid w:val="00BB7143"/>
    <w:rsid w:val="00BD58D1"/>
    <w:rsid w:val="00BE0B88"/>
    <w:rsid w:val="00BE2CA6"/>
    <w:rsid w:val="00BF07E7"/>
    <w:rsid w:val="00BF48D5"/>
    <w:rsid w:val="00C0579B"/>
    <w:rsid w:val="00C07FAC"/>
    <w:rsid w:val="00C14F0F"/>
    <w:rsid w:val="00C17D14"/>
    <w:rsid w:val="00C27268"/>
    <w:rsid w:val="00C364B9"/>
    <w:rsid w:val="00C372F6"/>
    <w:rsid w:val="00C52ADD"/>
    <w:rsid w:val="00C63BCB"/>
    <w:rsid w:val="00C706A3"/>
    <w:rsid w:val="00C72B24"/>
    <w:rsid w:val="00CA0EFC"/>
    <w:rsid w:val="00CA2B11"/>
    <w:rsid w:val="00CA2EE0"/>
    <w:rsid w:val="00CA663B"/>
    <w:rsid w:val="00CA6E2E"/>
    <w:rsid w:val="00CB17FD"/>
    <w:rsid w:val="00CB22AF"/>
    <w:rsid w:val="00CB327A"/>
    <w:rsid w:val="00CB7129"/>
    <w:rsid w:val="00CC1741"/>
    <w:rsid w:val="00CC4531"/>
    <w:rsid w:val="00CE348B"/>
    <w:rsid w:val="00CE4F5D"/>
    <w:rsid w:val="00CF258C"/>
    <w:rsid w:val="00CF2898"/>
    <w:rsid w:val="00CF4F5C"/>
    <w:rsid w:val="00D0005D"/>
    <w:rsid w:val="00D022E5"/>
    <w:rsid w:val="00D02371"/>
    <w:rsid w:val="00D1225B"/>
    <w:rsid w:val="00D1374D"/>
    <w:rsid w:val="00D22CE8"/>
    <w:rsid w:val="00D23841"/>
    <w:rsid w:val="00D26522"/>
    <w:rsid w:val="00D2744A"/>
    <w:rsid w:val="00D44521"/>
    <w:rsid w:val="00D45968"/>
    <w:rsid w:val="00D466F1"/>
    <w:rsid w:val="00D71E9A"/>
    <w:rsid w:val="00D823D4"/>
    <w:rsid w:val="00DA0A68"/>
    <w:rsid w:val="00DA4ACE"/>
    <w:rsid w:val="00DA576C"/>
    <w:rsid w:val="00DB2D57"/>
    <w:rsid w:val="00DB3CBF"/>
    <w:rsid w:val="00DB4299"/>
    <w:rsid w:val="00DB44A1"/>
    <w:rsid w:val="00DB59FE"/>
    <w:rsid w:val="00DB61DB"/>
    <w:rsid w:val="00DB6E71"/>
    <w:rsid w:val="00DB7570"/>
    <w:rsid w:val="00DC28FC"/>
    <w:rsid w:val="00DC7849"/>
    <w:rsid w:val="00DE5D97"/>
    <w:rsid w:val="00DE7AF5"/>
    <w:rsid w:val="00DF163B"/>
    <w:rsid w:val="00DF2218"/>
    <w:rsid w:val="00E04D6D"/>
    <w:rsid w:val="00E1129D"/>
    <w:rsid w:val="00E13121"/>
    <w:rsid w:val="00E35445"/>
    <w:rsid w:val="00E41A48"/>
    <w:rsid w:val="00E42181"/>
    <w:rsid w:val="00E51F3B"/>
    <w:rsid w:val="00E5493C"/>
    <w:rsid w:val="00E54F9C"/>
    <w:rsid w:val="00E80B4A"/>
    <w:rsid w:val="00E82D2D"/>
    <w:rsid w:val="00E86436"/>
    <w:rsid w:val="00E87367"/>
    <w:rsid w:val="00E90795"/>
    <w:rsid w:val="00E926E2"/>
    <w:rsid w:val="00E94B13"/>
    <w:rsid w:val="00E954F9"/>
    <w:rsid w:val="00E97739"/>
    <w:rsid w:val="00EA70CC"/>
    <w:rsid w:val="00EA7F7A"/>
    <w:rsid w:val="00EB6DF0"/>
    <w:rsid w:val="00EE7AC4"/>
    <w:rsid w:val="00EF4F90"/>
    <w:rsid w:val="00EF60EC"/>
    <w:rsid w:val="00EF6D5D"/>
    <w:rsid w:val="00F009D8"/>
    <w:rsid w:val="00F014A2"/>
    <w:rsid w:val="00F06B35"/>
    <w:rsid w:val="00F07896"/>
    <w:rsid w:val="00F1060F"/>
    <w:rsid w:val="00F1568B"/>
    <w:rsid w:val="00F16E63"/>
    <w:rsid w:val="00F20565"/>
    <w:rsid w:val="00F20E7B"/>
    <w:rsid w:val="00F25D5E"/>
    <w:rsid w:val="00F314D3"/>
    <w:rsid w:val="00F32EA2"/>
    <w:rsid w:val="00F3603B"/>
    <w:rsid w:val="00F36206"/>
    <w:rsid w:val="00F45E3C"/>
    <w:rsid w:val="00F56F9A"/>
    <w:rsid w:val="00F73FC4"/>
    <w:rsid w:val="00F77F48"/>
    <w:rsid w:val="00F85F87"/>
    <w:rsid w:val="00F91381"/>
    <w:rsid w:val="00F9221D"/>
    <w:rsid w:val="00F956D6"/>
    <w:rsid w:val="00F9579B"/>
    <w:rsid w:val="00F959F7"/>
    <w:rsid w:val="00F961C5"/>
    <w:rsid w:val="00FA03E2"/>
    <w:rsid w:val="00FA2790"/>
    <w:rsid w:val="00FA5806"/>
    <w:rsid w:val="00FB1DBA"/>
    <w:rsid w:val="00FB27C5"/>
    <w:rsid w:val="00FB3415"/>
    <w:rsid w:val="00FB508C"/>
    <w:rsid w:val="00FC3AA9"/>
    <w:rsid w:val="00FC4372"/>
    <w:rsid w:val="00FC4664"/>
    <w:rsid w:val="00FD6471"/>
    <w:rsid w:val="00FE493B"/>
    <w:rsid w:val="00FE7AC8"/>
    <w:rsid w:val="00FF2CB8"/>
    <w:rsid w:val="00FF323A"/>
    <w:rsid w:val="00FF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9B39"/>
  <w15:docId w15:val="{8C0F7175-7260-4077-A9D4-CAA5796F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D7C"/>
    <w:pPr>
      <w:spacing w:after="0" w:line="240" w:lineRule="auto"/>
    </w:pPr>
    <w:rPr>
      <w:rFonts w:ascii="Times New Roman" w:eastAsia="Times New Roman" w:hAnsi="Times New Roman" w:cs="Times New Roman"/>
      <w:color w:val="000000"/>
      <w:sz w:val="26"/>
      <w:szCs w:val="20"/>
    </w:rPr>
  </w:style>
  <w:style w:type="paragraph" w:styleId="Heading1">
    <w:name w:val="heading 1"/>
    <w:basedOn w:val="Normal"/>
    <w:next w:val="Normal"/>
    <w:link w:val="Heading1Char"/>
    <w:qFormat/>
    <w:rsid w:val="00770F10"/>
    <w:pPr>
      <w:keepNext/>
      <w:jc w:val="center"/>
      <w:outlineLvl w:val="0"/>
    </w:pPr>
    <w:rPr>
      <w:rFonts w:ascii="Courier" w:hAnsi="Courier"/>
      <w:b/>
      <w:color w:val="auto"/>
      <w:sz w:val="24"/>
      <w:u w:val="single"/>
    </w:rPr>
  </w:style>
  <w:style w:type="paragraph" w:styleId="Heading2">
    <w:name w:val="heading 2"/>
    <w:basedOn w:val="Normal"/>
    <w:next w:val="Normal"/>
    <w:link w:val="Heading2Char"/>
    <w:qFormat/>
    <w:rsid w:val="00770F10"/>
    <w:pPr>
      <w:keepNext/>
      <w:jc w:val="center"/>
      <w:outlineLvl w:val="1"/>
    </w:pPr>
    <w:rPr>
      <w:rFonts w:ascii="Courier" w:hAnsi="Courier"/>
      <w:b/>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D7C"/>
    <w:pPr>
      <w:spacing w:after="0" w:line="240" w:lineRule="auto"/>
    </w:pPr>
  </w:style>
  <w:style w:type="character" w:styleId="PlaceholderText">
    <w:name w:val="Placeholder Text"/>
    <w:basedOn w:val="DefaultParagraphFont"/>
    <w:uiPriority w:val="99"/>
    <w:semiHidden/>
    <w:rsid w:val="003C341D"/>
    <w:rPr>
      <w:color w:val="808080"/>
    </w:rPr>
  </w:style>
  <w:style w:type="paragraph" w:styleId="BalloonText">
    <w:name w:val="Balloon Text"/>
    <w:basedOn w:val="Normal"/>
    <w:link w:val="BalloonTextChar"/>
    <w:uiPriority w:val="99"/>
    <w:semiHidden/>
    <w:unhideWhenUsed/>
    <w:rsid w:val="003C341D"/>
    <w:rPr>
      <w:rFonts w:ascii="Tahoma" w:hAnsi="Tahoma" w:cs="Tahoma"/>
      <w:sz w:val="16"/>
      <w:szCs w:val="16"/>
    </w:rPr>
  </w:style>
  <w:style w:type="character" w:customStyle="1" w:styleId="BalloonTextChar">
    <w:name w:val="Balloon Text Char"/>
    <w:basedOn w:val="DefaultParagraphFont"/>
    <w:link w:val="BalloonText"/>
    <w:uiPriority w:val="99"/>
    <w:semiHidden/>
    <w:rsid w:val="003C341D"/>
    <w:rPr>
      <w:rFonts w:ascii="Tahoma" w:eastAsia="Times New Roman" w:hAnsi="Tahoma" w:cs="Tahoma"/>
      <w:color w:val="000000"/>
      <w:sz w:val="16"/>
      <w:szCs w:val="16"/>
    </w:rPr>
  </w:style>
  <w:style w:type="paragraph" w:customStyle="1" w:styleId="Style">
    <w:name w:val="Style"/>
    <w:rsid w:val="006745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40E0"/>
    <w:pPr>
      <w:tabs>
        <w:tab w:val="center" w:pos="4680"/>
        <w:tab w:val="right" w:pos="9360"/>
      </w:tabs>
    </w:pPr>
  </w:style>
  <w:style w:type="character" w:customStyle="1" w:styleId="HeaderChar">
    <w:name w:val="Header Char"/>
    <w:basedOn w:val="DefaultParagraphFont"/>
    <w:link w:val="Header"/>
    <w:uiPriority w:val="99"/>
    <w:rsid w:val="005140E0"/>
    <w:rPr>
      <w:rFonts w:ascii="Times New Roman" w:eastAsia="Times New Roman" w:hAnsi="Times New Roman" w:cs="Times New Roman"/>
      <w:color w:val="000000"/>
      <w:sz w:val="26"/>
      <w:szCs w:val="20"/>
    </w:rPr>
  </w:style>
  <w:style w:type="paragraph" w:styleId="Footer">
    <w:name w:val="footer"/>
    <w:basedOn w:val="Normal"/>
    <w:link w:val="FooterChar"/>
    <w:uiPriority w:val="99"/>
    <w:unhideWhenUsed/>
    <w:rsid w:val="005140E0"/>
    <w:pPr>
      <w:tabs>
        <w:tab w:val="center" w:pos="4680"/>
        <w:tab w:val="right" w:pos="9360"/>
      </w:tabs>
    </w:pPr>
  </w:style>
  <w:style w:type="character" w:customStyle="1" w:styleId="FooterChar">
    <w:name w:val="Footer Char"/>
    <w:basedOn w:val="DefaultParagraphFont"/>
    <w:link w:val="Footer"/>
    <w:uiPriority w:val="99"/>
    <w:rsid w:val="005140E0"/>
    <w:rPr>
      <w:rFonts w:ascii="Times New Roman" w:eastAsia="Times New Roman" w:hAnsi="Times New Roman" w:cs="Times New Roman"/>
      <w:color w:val="000000"/>
      <w:sz w:val="26"/>
      <w:szCs w:val="20"/>
    </w:rPr>
  </w:style>
  <w:style w:type="paragraph" w:styleId="FootnoteText">
    <w:name w:val="footnote text"/>
    <w:basedOn w:val="Normal"/>
    <w:link w:val="FootnoteTextChar"/>
    <w:uiPriority w:val="99"/>
    <w:semiHidden/>
    <w:unhideWhenUsed/>
    <w:rsid w:val="006B6B2F"/>
    <w:rPr>
      <w:sz w:val="20"/>
    </w:rPr>
  </w:style>
  <w:style w:type="character" w:customStyle="1" w:styleId="FootnoteTextChar">
    <w:name w:val="Footnote Text Char"/>
    <w:basedOn w:val="DefaultParagraphFont"/>
    <w:link w:val="FootnoteText"/>
    <w:uiPriority w:val="99"/>
    <w:semiHidden/>
    <w:rsid w:val="006B6B2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6B6B2F"/>
    <w:rPr>
      <w:vertAlign w:val="superscript"/>
    </w:rPr>
  </w:style>
  <w:style w:type="paragraph" w:styleId="BodyTextIndent">
    <w:name w:val="Body Text Indent"/>
    <w:basedOn w:val="Normal"/>
    <w:link w:val="BodyTextIndentChar"/>
    <w:rsid w:val="00E97739"/>
    <w:pPr>
      <w:widowControl w:val="0"/>
      <w:autoSpaceDE w:val="0"/>
      <w:autoSpaceDN w:val="0"/>
      <w:spacing w:line="360" w:lineRule="auto"/>
      <w:ind w:firstLine="1440"/>
    </w:pPr>
    <w:rPr>
      <w:color w:val="auto"/>
      <w:szCs w:val="26"/>
    </w:rPr>
  </w:style>
  <w:style w:type="character" w:customStyle="1" w:styleId="BodyTextIndentChar">
    <w:name w:val="Body Text Indent Char"/>
    <w:basedOn w:val="DefaultParagraphFont"/>
    <w:link w:val="BodyTextIndent"/>
    <w:rsid w:val="00E97739"/>
    <w:rPr>
      <w:rFonts w:ascii="Times New Roman" w:eastAsia="Times New Roman" w:hAnsi="Times New Roman" w:cs="Times New Roman"/>
      <w:sz w:val="26"/>
      <w:szCs w:val="26"/>
    </w:rPr>
  </w:style>
  <w:style w:type="paragraph" w:styleId="BodyTextIndent3">
    <w:name w:val="Body Text Indent 3"/>
    <w:basedOn w:val="Normal"/>
    <w:link w:val="BodyTextIndent3Char"/>
    <w:rsid w:val="00E97739"/>
    <w:pPr>
      <w:widowControl w:val="0"/>
      <w:autoSpaceDE w:val="0"/>
      <w:autoSpaceDN w:val="0"/>
      <w:spacing w:line="480" w:lineRule="atLeast"/>
      <w:ind w:firstLine="720"/>
      <w:jc w:val="both"/>
    </w:pPr>
    <w:rPr>
      <w:color w:val="auto"/>
      <w:szCs w:val="26"/>
    </w:rPr>
  </w:style>
  <w:style w:type="character" w:customStyle="1" w:styleId="BodyTextIndent3Char">
    <w:name w:val="Body Text Indent 3 Char"/>
    <w:basedOn w:val="DefaultParagraphFont"/>
    <w:link w:val="BodyTextIndent3"/>
    <w:rsid w:val="00E97739"/>
    <w:rPr>
      <w:rFonts w:ascii="Times New Roman" w:eastAsia="Times New Roman" w:hAnsi="Times New Roman" w:cs="Times New Roman"/>
      <w:sz w:val="26"/>
      <w:szCs w:val="26"/>
    </w:rPr>
  </w:style>
  <w:style w:type="paragraph" w:customStyle="1" w:styleId="ParaTab1">
    <w:name w:val="ParaTab 1"/>
    <w:rsid w:val="00E9773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rsid w:val="00E97739"/>
    <w:rPr>
      <w:color w:val="0000FF"/>
      <w:u w:val="single"/>
    </w:rPr>
  </w:style>
  <w:style w:type="character" w:customStyle="1" w:styleId="Heading1Char">
    <w:name w:val="Heading 1 Char"/>
    <w:basedOn w:val="DefaultParagraphFont"/>
    <w:link w:val="Heading1"/>
    <w:rsid w:val="00770F10"/>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770F10"/>
    <w:rPr>
      <w:rFonts w:ascii="Courier" w:eastAsia="Times New Roman" w:hAnsi="Courier"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025094">
      <w:bodyDiv w:val="1"/>
      <w:marLeft w:val="0"/>
      <w:marRight w:val="0"/>
      <w:marTop w:val="0"/>
      <w:marBottom w:val="0"/>
      <w:divBdr>
        <w:top w:val="none" w:sz="0" w:space="0" w:color="auto"/>
        <w:left w:val="none" w:sz="0" w:space="0" w:color="auto"/>
        <w:bottom w:val="none" w:sz="0" w:space="0" w:color="auto"/>
        <w:right w:val="none" w:sz="0" w:space="0" w:color="auto"/>
      </w:divBdr>
      <w:divsChild>
        <w:div w:id="45629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032339">
      <w:bodyDiv w:val="1"/>
      <w:marLeft w:val="0"/>
      <w:marRight w:val="0"/>
      <w:marTop w:val="0"/>
      <w:marBottom w:val="0"/>
      <w:divBdr>
        <w:top w:val="none" w:sz="0" w:space="0" w:color="auto"/>
        <w:left w:val="none" w:sz="0" w:space="0" w:color="auto"/>
        <w:bottom w:val="none" w:sz="0" w:space="0" w:color="auto"/>
        <w:right w:val="none" w:sz="0" w:space="0" w:color="auto"/>
      </w:divBdr>
      <w:divsChild>
        <w:div w:id="448549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440395">
      <w:bodyDiv w:val="1"/>
      <w:marLeft w:val="0"/>
      <w:marRight w:val="0"/>
      <w:marTop w:val="0"/>
      <w:marBottom w:val="0"/>
      <w:divBdr>
        <w:top w:val="none" w:sz="0" w:space="0" w:color="auto"/>
        <w:left w:val="none" w:sz="0" w:space="0" w:color="auto"/>
        <w:bottom w:val="none" w:sz="0" w:space="0" w:color="auto"/>
        <w:right w:val="none" w:sz="0" w:space="0" w:color="auto"/>
      </w:divBdr>
      <w:divsChild>
        <w:div w:id="2017533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674962">
      <w:bodyDiv w:val="1"/>
      <w:marLeft w:val="0"/>
      <w:marRight w:val="0"/>
      <w:marTop w:val="0"/>
      <w:marBottom w:val="0"/>
      <w:divBdr>
        <w:top w:val="none" w:sz="0" w:space="0" w:color="auto"/>
        <w:left w:val="none" w:sz="0" w:space="0" w:color="auto"/>
        <w:bottom w:val="none" w:sz="0" w:space="0" w:color="auto"/>
        <w:right w:val="none" w:sz="0" w:space="0" w:color="auto"/>
      </w:divBdr>
      <w:divsChild>
        <w:div w:id="899443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5F35E-1417-4AE1-AE03-86FE8D58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Williams, Bobbie Jo</cp:lastModifiedBy>
  <cp:revision>2</cp:revision>
  <cp:lastPrinted>2018-02-26T16:19:00Z</cp:lastPrinted>
  <dcterms:created xsi:type="dcterms:W3CDTF">2018-02-26T16:19:00Z</dcterms:created>
  <dcterms:modified xsi:type="dcterms:W3CDTF">2018-02-26T16:19:00Z</dcterms:modified>
</cp:coreProperties>
</file>