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559" w:rsidRPr="00496081" w:rsidRDefault="00FB1559" w:rsidP="00496081">
      <w:pPr>
        <w:tabs>
          <w:tab w:val="center" w:pos="4680"/>
        </w:tabs>
        <w:suppressAutoHyphens/>
        <w:spacing w:after="0" w:line="240" w:lineRule="auto"/>
        <w:contextualSpacing/>
        <w:jc w:val="center"/>
        <w:outlineLvl w:val="0"/>
        <w:rPr>
          <w:rFonts w:ascii="Times New Roman" w:eastAsia="Times New Roman" w:hAnsi="Times New Roman" w:cs="Times New Roman"/>
          <w:b/>
          <w:sz w:val="26"/>
          <w:szCs w:val="26"/>
        </w:rPr>
      </w:pPr>
      <w:r w:rsidRPr="00496081">
        <w:rPr>
          <w:rFonts w:ascii="Times New Roman" w:eastAsia="Times New Roman" w:hAnsi="Times New Roman" w:cs="Times New Roman"/>
          <w:b/>
          <w:sz w:val="26"/>
          <w:szCs w:val="26"/>
        </w:rPr>
        <w:t>PENNSYLVANIA</w:t>
      </w:r>
    </w:p>
    <w:p w:rsidR="00FB1559" w:rsidRPr="00496081" w:rsidRDefault="00FB1559" w:rsidP="00496081">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496081">
        <w:rPr>
          <w:rFonts w:ascii="Times New Roman" w:eastAsia="Times New Roman" w:hAnsi="Times New Roman" w:cs="Times New Roman"/>
          <w:b/>
          <w:sz w:val="26"/>
          <w:szCs w:val="26"/>
        </w:rPr>
        <w:t>PUBLIC UTILITY COMMISSION</w:t>
      </w:r>
    </w:p>
    <w:p w:rsidR="00FB1559" w:rsidRPr="00496081" w:rsidRDefault="00FB1559" w:rsidP="00496081">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496081">
        <w:rPr>
          <w:rFonts w:ascii="Times New Roman" w:eastAsia="Times New Roman" w:hAnsi="Times New Roman" w:cs="Times New Roman"/>
          <w:b/>
          <w:sz w:val="26"/>
          <w:szCs w:val="26"/>
        </w:rPr>
        <w:t>Harrisburg, PA  17105-3265</w:t>
      </w:r>
    </w:p>
    <w:p w:rsidR="00FB1559" w:rsidRPr="00496081" w:rsidRDefault="00FB1559" w:rsidP="00496081">
      <w:pPr>
        <w:tabs>
          <w:tab w:val="left" w:pos="-720"/>
        </w:tabs>
        <w:suppressAutoHyphens/>
        <w:spacing w:after="0" w:line="240" w:lineRule="auto"/>
        <w:contextualSpacing/>
        <w:rPr>
          <w:rFonts w:ascii="Times New Roman" w:eastAsia="Times New Roman" w:hAnsi="Times New Roman" w:cs="Times New Roman"/>
          <w:sz w:val="26"/>
          <w:szCs w:val="26"/>
        </w:rPr>
      </w:pPr>
    </w:p>
    <w:p w:rsidR="00FB1559" w:rsidRPr="00496081" w:rsidRDefault="00FB1559" w:rsidP="00496081">
      <w:pPr>
        <w:tabs>
          <w:tab w:val="right" w:pos="9360"/>
        </w:tabs>
        <w:suppressAutoHyphens/>
        <w:spacing w:after="0" w:line="240" w:lineRule="auto"/>
        <w:contextualSpacing/>
        <w:jc w:val="right"/>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Public Meeting held March 1, 2018</w:t>
      </w:r>
    </w:p>
    <w:p w:rsidR="00FB1559" w:rsidRPr="00496081" w:rsidRDefault="00FB1559" w:rsidP="00496081">
      <w:pPr>
        <w:tabs>
          <w:tab w:val="left" w:pos="-720"/>
        </w:tabs>
        <w:suppressAutoHyphens/>
        <w:spacing w:after="0" w:line="240" w:lineRule="auto"/>
        <w:contextualSpacing/>
        <w:rPr>
          <w:rFonts w:ascii="Times New Roman" w:eastAsia="Times New Roman" w:hAnsi="Times New Roman" w:cs="Times New Roman"/>
          <w:sz w:val="26"/>
          <w:szCs w:val="26"/>
        </w:rPr>
      </w:pPr>
    </w:p>
    <w:p w:rsidR="00FB1559" w:rsidRPr="00496081" w:rsidRDefault="00FB1559" w:rsidP="00496081">
      <w:pPr>
        <w:tabs>
          <w:tab w:val="left" w:pos="-720"/>
        </w:tabs>
        <w:suppressAutoHyphens/>
        <w:spacing w:after="0" w:line="240" w:lineRule="auto"/>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Commissioners Present:</w:t>
      </w:r>
    </w:p>
    <w:p w:rsidR="00FB1559" w:rsidRPr="00496081" w:rsidRDefault="00FB1559" w:rsidP="00496081">
      <w:pPr>
        <w:tabs>
          <w:tab w:val="left" w:pos="-720"/>
        </w:tabs>
        <w:suppressAutoHyphens/>
        <w:spacing w:after="0" w:line="240" w:lineRule="auto"/>
        <w:contextualSpacing/>
        <w:rPr>
          <w:rFonts w:ascii="Times New Roman" w:eastAsia="Times New Roman" w:hAnsi="Times New Roman" w:cs="Times New Roman"/>
          <w:sz w:val="26"/>
          <w:szCs w:val="26"/>
        </w:rPr>
      </w:pPr>
    </w:p>
    <w:p w:rsidR="00FB1559" w:rsidRPr="00496081" w:rsidRDefault="00FB1559" w:rsidP="00496081">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Gladys M. Brown, Chairman</w:t>
      </w:r>
    </w:p>
    <w:p w:rsidR="00FB1559" w:rsidRPr="00496081" w:rsidRDefault="00FB1559" w:rsidP="00496081">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Andrew G. Place, Vice Chairman</w:t>
      </w:r>
      <w:r w:rsidR="008310E0" w:rsidRPr="00496081">
        <w:rPr>
          <w:rFonts w:ascii="Times New Roman" w:eastAsia="Times New Roman" w:hAnsi="Times New Roman" w:cs="Times New Roman"/>
          <w:sz w:val="26"/>
          <w:szCs w:val="26"/>
        </w:rPr>
        <w:t xml:space="preserve"> </w:t>
      </w:r>
    </w:p>
    <w:p w:rsidR="00FB1559" w:rsidRPr="00496081" w:rsidRDefault="00FB1559" w:rsidP="00496081">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Norman J. Kennard</w:t>
      </w:r>
      <w:r w:rsidR="004A2596">
        <w:rPr>
          <w:rFonts w:ascii="Times New Roman" w:eastAsia="Times New Roman" w:hAnsi="Times New Roman" w:cs="Times New Roman"/>
          <w:sz w:val="26"/>
          <w:szCs w:val="26"/>
        </w:rPr>
        <w:t>, Statement</w:t>
      </w:r>
      <w:bookmarkStart w:id="0" w:name="_GoBack"/>
      <w:bookmarkEnd w:id="0"/>
    </w:p>
    <w:p w:rsidR="00FB1559" w:rsidRPr="00496081" w:rsidRDefault="00FB1559" w:rsidP="00496081">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David W. Sweet </w:t>
      </w:r>
    </w:p>
    <w:p w:rsidR="00FB1559" w:rsidRPr="00496081" w:rsidRDefault="00FB1559" w:rsidP="00496081">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John F. Coleman, Jr.</w:t>
      </w:r>
    </w:p>
    <w:p w:rsidR="0003121C" w:rsidRPr="00496081" w:rsidRDefault="0003121C" w:rsidP="00496081">
      <w:pPr>
        <w:spacing w:after="0" w:line="240" w:lineRule="auto"/>
        <w:contextualSpacing/>
        <w:rPr>
          <w:rFonts w:ascii="Times New Roman" w:eastAsia="Times New Roman" w:hAnsi="Times New Roman" w:cs="Times New Roman"/>
          <w:sz w:val="26"/>
          <w:szCs w:val="26"/>
        </w:rPr>
      </w:pPr>
    </w:p>
    <w:p w:rsidR="003F2D69" w:rsidRPr="00496081" w:rsidRDefault="003F2D69" w:rsidP="00496081">
      <w:pPr>
        <w:spacing w:line="240" w:lineRule="auto"/>
        <w:contextualSpacing/>
        <w:rPr>
          <w:rFonts w:ascii="Times New Roman" w:hAnsi="Times New Roman" w:cs="Times New Roman"/>
          <w:sz w:val="26"/>
          <w:szCs w:val="26"/>
        </w:rPr>
      </w:pPr>
      <w:r w:rsidRPr="00496081">
        <w:rPr>
          <w:rFonts w:ascii="Times New Roman" w:hAnsi="Times New Roman" w:cs="Times New Roman"/>
          <w:sz w:val="26"/>
          <w:szCs w:val="26"/>
        </w:rPr>
        <w:t>Pennsylvania Public Utility Commission</w:t>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t>R-2017-</w:t>
      </w:r>
      <w:r w:rsidR="00A063B3" w:rsidRPr="00496081">
        <w:rPr>
          <w:rFonts w:ascii="Times New Roman" w:hAnsi="Times New Roman" w:cs="Times New Roman"/>
          <w:sz w:val="26"/>
          <w:szCs w:val="26"/>
        </w:rPr>
        <w:t>2598203</w:t>
      </w:r>
    </w:p>
    <w:p w:rsidR="003F2D69" w:rsidRPr="00496081" w:rsidRDefault="003F2D69" w:rsidP="00496081">
      <w:pPr>
        <w:spacing w:line="240" w:lineRule="auto"/>
        <w:contextualSpacing/>
        <w:rPr>
          <w:rFonts w:ascii="Times New Roman" w:hAnsi="Times New Roman" w:cs="Times New Roman"/>
          <w:sz w:val="26"/>
          <w:szCs w:val="26"/>
        </w:rPr>
      </w:pPr>
      <w:r w:rsidRPr="00496081">
        <w:rPr>
          <w:rFonts w:ascii="Times New Roman" w:hAnsi="Times New Roman" w:cs="Times New Roman"/>
          <w:sz w:val="26"/>
          <w:szCs w:val="26"/>
        </w:rPr>
        <w:t>Office of Consumer Advocate</w:t>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t>C-2017-</w:t>
      </w:r>
      <w:r w:rsidR="00A063B3" w:rsidRPr="00496081">
        <w:rPr>
          <w:rFonts w:ascii="Times New Roman" w:hAnsi="Times New Roman" w:cs="Times New Roman"/>
          <w:sz w:val="26"/>
          <w:szCs w:val="26"/>
        </w:rPr>
        <w:t>2614985</w:t>
      </w:r>
    </w:p>
    <w:p w:rsidR="003F2D69" w:rsidRPr="00496081" w:rsidRDefault="00A063B3" w:rsidP="00496081">
      <w:pPr>
        <w:spacing w:line="240" w:lineRule="auto"/>
        <w:contextualSpacing/>
        <w:rPr>
          <w:rFonts w:ascii="Times New Roman" w:hAnsi="Times New Roman" w:cs="Times New Roman"/>
          <w:sz w:val="26"/>
          <w:szCs w:val="26"/>
        </w:rPr>
      </w:pPr>
      <w:r w:rsidRPr="00496081">
        <w:rPr>
          <w:rFonts w:ascii="Times New Roman" w:hAnsi="Times New Roman" w:cs="Times New Roman"/>
          <w:sz w:val="26"/>
          <w:szCs w:val="26"/>
        </w:rPr>
        <w:t>Office of Small Business Advocate</w:t>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t>C-2017-2615248</w:t>
      </w:r>
    </w:p>
    <w:p w:rsidR="00A063B3" w:rsidRPr="00496081" w:rsidRDefault="00A063B3" w:rsidP="00496081">
      <w:pPr>
        <w:spacing w:line="240" w:lineRule="auto"/>
        <w:contextualSpacing/>
        <w:rPr>
          <w:rFonts w:ascii="Times New Roman" w:hAnsi="Times New Roman" w:cs="Times New Roman"/>
          <w:sz w:val="26"/>
          <w:szCs w:val="26"/>
        </w:rPr>
      </w:pPr>
      <w:r w:rsidRPr="00496081">
        <w:rPr>
          <w:rFonts w:ascii="Times New Roman" w:hAnsi="Times New Roman" w:cs="Times New Roman"/>
          <w:sz w:val="26"/>
          <w:szCs w:val="26"/>
        </w:rPr>
        <w:t>Donna Hess</w:t>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t>C-2017-2614724</w:t>
      </w:r>
    </w:p>
    <w:p w:rsidR="00A063B3" w:rsidRPr="00496081" w:rsidRDefault="00A063B3" w:rsidP="00496081">
      <w:pPr>
        <w:spacing w:line="240" w:lineRule="auto"/>
        <w:contextualSpacing/>
        <w:rPr>
          <w:rFonts w:ascii="Times New Roman" w:hAnsi="Times New Roman" w:cs="Times New Roman"/>
          <w:sz w:val="26"/>
          <w:szCs w:val="26"/>
        </w:rPr>
      </w:pPr>
      <w:r w:rsidRPr="00496081">
        <w:rPr>
          <w:rFonts w:ascii="Times New Roman" w:hAnsi="Times New Roman" w:cs="Times New Roman"/>
          <w:sz w:val="26"/>
          <w:szCs w:val="26"/>
        </w:rPr>
        <w:t>Vincent Collier III</w:t>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t>C-2017-2620842</w:t>
      </w:r>
    </w:p>
    <w:p w:rsidR="00A063B3" w:rsidRPr="00496081" w:rsidRDefault="00A063B3" w:rsidP="00496081">
      <w:pPr>
        <w:spacing w:line="240" w:lineRule="auto"/>
        <w:contextualSpacing/>
        <w:rPr>
          <w:rFonts w:ascii="Times New Roman" w:hAnsi="Times New Roman" w:cs="Times New Roman"/>
          <w:sz w:val="26"/>
          <w:szCs w:val="26"/>
        </w:rPr>
      </w:pPr>
      <w:r w:rsidRPr="00496081">
        <w:rPr>
          <w:rFonts w:ascii="Times New Roman" w:hAnsi="Times New Roman" w:cs="Times New Roman"/>
          <w:sz w:val="26"/>
          <w:szCs w:val="26"/>
        </w:rPr>
        <w:t>Sandra Shaub</w:t>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t>C-2017-2622123</w:t>
      </w:r>
    </w:p>
    <w:p w:rsidR="00A063B3" w:rsidRPr="00496081" w:rsidRDefault="00A063B3" w:rsidP="00496081">
      <w:pPr>
        <w:spacing w:line="240" w:lineRule="auto"/>
        <w:contextualSpacing/>
        <w:rPr>
          <w:rFonts w:ascii="Times New Roman" w:hAnsi="Times New Roman" w:cs="Times New Roman"/>
          <w:sz w:val="26"/>
          <w:szCs w:val="26"/>
        </w:rPr>
      </w:pPr>
      <w:r w:rsidRPr="00496081">
        <w:rPr>
          <w:rFonts w:ascii="Times New Roman" w:hAnsi="Times New Roman" w:cs="Times New Roman"/>
          <w:sz w:val="26"/>
          <w:szCs w:val="26"/>
        </w:rPr>
        <w:t>Joseph Kramer</w:t>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r>
      <w:r w:rsidRPr="00496081">
        <w:rPr>
          <w:rFonts w:ascii="Times New Roman" w:hAnsi="Times New Roman" w:cs="Times New Roman"/>
          <w:sz w:val="26"/>
          <w:szCs w:val="26"/>
        </w:rPr>
        <w:tab/>
        <w:t>C-2017-2623109</w:t>
      </w:r>
    </w:p>
    <w:p w:rsidR="00A063B3" w:rsidRPr="00496081" w:rsidRDefault="00A063B3" w:rsidP="00496081">
      <w:pPr>
        <w:spacing w:line="240" w:lineRule="auto"/>
        <w:contextualSpacing/>
        <w:rPr>
          <w:rFonts w:ascii="Times New Roman" w:hAnsi="Times New Roman" w:cs="Times New Roman"/>
          <w:sz w:val="26"/>
          <w:szCs w:val="26"/>
        </w:rPr>
      </w:pPr>
    </w:p>
    <w:p w:rsidR="003F2D69" w:rsidRPr="00496081" w:rsidRDefault="003F2D69" w:rsidP="00496081">
      <w:pPr>
        <w:spacing w:line="240" w:lineRule="auto"/>
        <w:contextualSpacing/>
        <w:rPr>
          <w:rFonts w:ascii="Times New Roman" w:hAnsi="Times New Roman" w:cs="Times New Roman"/>
          <w:sz w:val="26"/>
          <w:szCs w:val="26"/>
        </w:rPr>
      </w:pPr>
      <w:r w:rsidRPr="00496081">
        <w:rPr>
          <w:rFonts w:ascii="Times New Roman" w:hAnsi="Times New Roman" w:cs="Times New Roman"/>
          <w:sz w:val="26"/>
          <w:szCs w:val="26"/>
        </w:rPr>
        <w:tab/>
      </w:r>
      <w:r w:rsidRPr="00496081">
        <w:rPr>
          <w:rFonts w:ascii="Times New Roman" w:hAnsi="Times New Roman" w:cs="Times New Roman"/>
          <w:sz w:val="26"/>
          <w:szCs w:val="26"/>
        </w:rPr>
        <w:tab/>
        <w:t>v.</w:t>
      </w:r>
    </w:p>
    <w:p w:rsidR="003F2D69" w:rsidRPr="00496081" w:rsidRDefault="003F2D69" w:rsidP="00496081">
      <w:pPr>
        <w:spacing w:line="240" w:lineRule="auto"/>
        <w:contextualSpacing/>
        <w:rPr>
          <w:rFonts w:ascii="Times New Roman" w:hAnsi="Times New Roman" w:cs="Times New Roman"/>
          <w:sz w:val="26"/>
          <w:szCs w:val="26"/>
        </w:rPr>
      </w:pPr>
    </w:p>
    <w:p w:rsidR="003F2D69" w:rsidRPr="00496081" w:rsidRDefault="00A063B3" w:rsidP="00496081">
      <w:pPr>
        <w:spacing w:line="240" w:lineRule="auto"/>
        <w:contextualSpacing/>
        <w:rPr>
          <w:rFonts w:ascii="Times New Roman" w:hAnsi="Times New Roman" w:cs="Times New Roman"/>
          <w:sz w:val="26"/>
          <w:szCs w:val="26"/>
        </w:rPr>
      </w:pPr>
      <w:r w:rsidRPr="00496081">
        <w:rPr>
          <w:rFonts w:ascii="Times New Roman" w:hAnsi="Times New Roman" w:cs="Times New Roman"/>
          <w:sz w:val="26"/>
          <w:szCs w:val="26"/>
        </w:rPr>
        <w:t>Columbia</w:t>
      </w:r>
      <w:r w:rsidR="003F2D69" w:rsidRPr="00496081">
        <w:rPr>
          <w:rFonts w:ascii="Times New Roman" w:hAnsi="Times New Roman" w:cs="Times New Roman"/>
          <w:sz w:val="26"/>
          <w:szCs w:val="26"/>
        </w:rPr>
        <w:t xml:space="preserve"> Water Company</w:t>
      </w:r>
    </w:p>
    <w:p w:rsidR="003F2D69" w:rsidRPr="00496081" w:rsidRDefault="003F2D69" w:rsidP="00496081">
      <w:pPr>
        <w:spacing w:line="240" w:lineRule="auto"/>
        <w:contextualSpacing/>
        <w:rPr>
          <w:rFonts w:ascii="Times New Roman" w:hAnsi="Times New Roman" w:cs="Times New Roman"/>
          <w:sz w:val="26"/>
          <w:szCs w:val="26"/>
        </w:rPr>
      </w:pPr>
    </w:p>
    <w:p w:rsidR="00A063B3" w:rsidRPr="00496081" w:rsidRDefault="00A063B3" w:rsidP="00496081">
      <w:pPr>
        <w:spacing w:line="240" w:lineRule="auto"/>
        <w:contextualSpacing/>
        <w:rPr>
          <w:rFonts w:ascii="Times New Roman" w:hAnsi="Times New Roman" w:cs="Times New Roman"/>
          <w:sz w:val="26"/>
          <w:szCs w:val="26"/>
        </w:rPr>
      </w:pPr>
    </w:p>
    <w:p w:rsidR="00840676" w:rsidRPr="00496081" w:rsidRDefault="00840676" w:rsidP="00496081">
      <w:pPr>
        <w:spacing w:after="0" w:line="240" w:lineRule="auto"/>
        <w:contextualSpacing/>
        <w:jc w:val="center"/>
        <w:rPr>
          <w:rFonts w:ascii="Times New Roman" w:eastAsia="Times New Roman" w:hAnsi="Times New Roman" w:cs="Times New Roman"/>
          <w:b/>
          <w:sz w:val="26"/>
          <w:szCs w:val="26"/>
        </w:rPr>
      </w:pPr>
      <w:r w:rsidRPr="00496081">
        <w:rPr>
          <w:rFonts w:ascii="Times New Roman" w:eastAsia="Times New Roman" w:hAnsi="Times New Roman" w:cs="Times New Roman"/>
          <w:b/>
          <w:sz w:val="26"/>
          <w:szCs w:val="26"/>
        </w:rPr>
        <w:t xml:space="preserve">OPINION </w:t>
      </w:r>
      <w:smartTag w:uri="urn:schemas-microsoft-com:office:smarttags" w:element="stockticker">
        <w:r w:rsidRPr="00496081">
          <w:rPr>
            <w:rFonts w:ascii="Times New Roman" w:eastAsia="Times New Roman" w:hAnsi="Times New Roman" w:cs="Times New Roman"/>
            <w:b/>
            <w:sz w:val="26"/>
            <w:szCs w:val="26"/>
          </w:rPr>
          <w:t>AND</w:t>
        </w:r>
      </w:smartTag>
      <w:r w:rsidRPr="00496081">
        <w:rPr>
          <w:rFonts w:ascii="Times New Roman" w:eastAsia="Times New Roman" w:hAnsi="Times New Roman" w:cs="Times New Roman"/>
          <w:b/>
          <w:sz w:val="26"/>
          <w:szCs w:val="26"/>
        </w:rPr>
        <w:t xml:space="preserve"> ORDER</w:t>
      </w:r>
    </w:p>
    <w:p w:rsidR="00EF699A" w:rsidRDefault="00EF699A" w:rsidP="00496081">
      <w:pPr>
        <w:contextualSpacing/>
        <w:rPr>
          <w:rFonts w:ascii="Times New Roman" w:eastAsia="Times New Roman" w:hAnsi="Times New Roman" w:cs="Times New Roman"/>
          <w:b/>
          <w:sz w:val="26"/>
          <w:szCs w:val="26"/>
        </w:rPr>
      </w:pPr>
    </w:p>
    <w:p w:rsidR="006226BC" w:rsidRPr="00496081" w:rsidRDefault="006226BC" w:rsidP="00496081">
      <w:pPr>
        <w:contextualSpacing/>
        <w:rPr>
          <w:rFonts w:ascii="Times New Roman" w:eastAsia="Times New Roman" w:hAnsi="Times New Roman" w:cs="Times New Roman"/>
          <w:b/>
          <w:sz w:val="26"/>
          <w:szCs w:val="26"/>
        </w:rPr>
      </w:pPr>
    </w:p>
    <w:p w:rsidR="00840676" w:rsidRPr="00496081" w:rsidRDefault="00840676" w:rsidP="00496081">
      <w:pPr>
        <w:keepNext/>
        <w:keepLines/>
        <w:spacing w:after="0" w:line="360" w:lineRule="auto"/>
        <w:contextualSpacing/>
        <w:rPr>
          <w:rFonts w:ascii="Times New Roman" w:eastAsia="Times New Roman" w:hAnsi="Times New Roman" w:cs="Times New Roman"/>
          <w:b/>
          <w:sz w:val="26"/>
          <w:szCs w:val="26"/>
        </w:rPr>
      </w:pPr>
      <w:r w:rsidRPr="00496081">
        <w:rPr>
          <w:rFonts w:ascii="Times New Roman" w:eastAsia="Times New Roman" w:hAnsi="Times New Roman" w:cs="Times New Roman"/>
          <w:b/>
          <w:sz w:val="26"/>
          <w:szCs w:val="26"/>
        </w:rPr>
        <w:t>BY THE COMMISSION:</w:t>
      </w:r>
    </w:p>
    <w:p w:rsidR="00840676" w:rsidRPr="00496081" w:rsidRDefault="00840676" w:rsidP="00496081">
      <w:pPr>
        <w:keepNext/>
        <w:keepLines/>
        <w:spacing w:after="0" w:line="360" w:lineRule="auto"/>
        <w:contextualSpacing/>
        <w:rPr>
          <w:rFonts w:ascii="Times New Roman" w:eastAsia="Times New Roman" w:hAnsi="Times New Roman" w:cs="Times New Roman"/>
          <w:sz w:val="26"/>
          <w:szCs w:val="26"/>
        </w:rPr>
      </w:pPr>
    </w:p>
    <w:p w:rsidR="00840676" w:rsidRPr="00496081" w:rsidRDefault="00840676"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Before the Pennsylvania Public Utility Commission (Commission) for</w:t>
      </w:r>
      <w:r w:rsidR="00A258F4" w:rsidRPr="00496081">
        <w:rPr>
          <w:rFonts w:ascii="Times New Roman" w:eastAsia="Times New Roman" w:hAnsi="Times New Roman" w:cs="Times New Roman"/>
          <w:sz w:val="26"/>
          <w:szCs w:val="26"/>
        </w:rPr>
        <w:t xml:space="preserve"> consideration and disposition</w:t>
      </w:r>
      <w:r w:rsidR="00D13DEF" w:rsidRPr="00496081">
        <w:rPr>
          <w:rFonts w:ascii="Times New Roman" w:eastAsia="Times New Roman" w:hAnsi="Times New Roman" w:cs="Times New Roman"/>
          <w:sz w:val="26"/>
          <w:szCs w:val="26"/>
        </w:rPr>
        <w:t xml:space="preserve"> are the following matters:</w:t>
      </w:r>
      <w:r w:rsidR="00A258F4" w:rsidRPr="00496081">
        <w:rPr>
          <w:rFonts w:ascii="Times New Roman" w:eastAsia="Times New Roman" w:hAnsi="Times New Roman" w:cs="Times New Roman"/>
          <w:sz w:val="26"/>
          <w:szCs w:val="26"/>
        </w:rPr>
        <w:t xml:space="preserve"> </w:t>
      </w:r>
      <w:r w:rsidR="00D13DEF" w:rsidRPr="00496081">
        <w:rPr>
          <w:rFonts w:ascii="Times New Roman" w:eastAsia="Times New Roman" w:hAnsi="Times New Roman" w:cs="Times New Roman"/>
          <w:sz w:val="26"/>
          <w:szCs w:val="26"/>
        </w:rPr>
        <w:t>(1)</w:t>
      </w:r>
      <w:r w:rsidR="00A258F4" w:rsidRPr="00496081">
        <w:rPr>
          <w:rFonts w:ascii="Times New Roman" w:eastAsia="Times New Roman" w:hAnsi="Times New Roman" w:cs="Times New Roman"/>
          <w:sz w:val="26"/>
          <w:szCs w:val="26"/>
        </w:rPr>
        <w:t xml:space="preserve"> the Joint Petition for </w:t>
      </w:r>
      <w:r w:rsidR="00900A91" w:rsidRPr="00496081">
        <w:rPr>
          <w:rFonts w:ascii="Times New Roman" w:eastAsia="Times New Roman" w:hAnsi="Times New Roman" w:cs="Times New Roman"/>
          <w:sz w:val="26"/>
          <w:szCs w:val="26"/>
        </w:rPr>
        <w:t>F</w:t>
      </w:r>
      <w:r w:rsidR="005506BB" w:rsidRPr="00496081">
        <w:rPr>
          <w:rFonts w:ascii="Times New Roman" w:eastAsia="Times New Roman" w:hAnsi="Times New Roman" w:cs="Times New Roman"/>
          <w:sz w:val="26"/>
          <w:szCs w:val="26"/>
        </w:rPr>
        <w:t xml:space="preserve">ull </w:t>
      </w:r>
      <w:r w:rsidR="00A258F4" w:rsidRPr="00496081">
        <w:rPr>
          <w:rFonts w:ascii="Times New Roman" w:eastAsia="Times New Roman" w:hAnsi="Times New Roman" w:cs="Times New Roman"/>
          <w:sz w:val="26"/>
          <w:szCs w:val="26"/>
        </w:rPr>
        <w:t xml:space="preserve">Settlement </w:t>
      </w:r>
      <w:r w:rsidR="005506BB" w:rsidRPr="00496081">
        <w:rPr>
          <w:rFonts w:ascii="Times New Roman" w:eastAsia="Times New Roman" w:hAnsi="Times New Roman" w:cs="Times New Roman"/>
          <w:sz w:val="26"/>
          <w:szCs w:val="26"/>
        </w:rPr>
        <w:t xml:space="preserve">of Rate Proceeding </w:t>
      </w:r>
      <w:r w:rsidR="00A258F4" w:rsidRPr="00496081">
        <w:rPr>
          <w:rFonts w:ascii="Times New Roman" w:eastAsia="Times New Roman" w:hAnsi="Times New Roman" w:cs="Times New Roman"/>
          <w:sz w:val="26"/>
          <w:szCs w:val="26"/>
        </w:rPr>
        <w:t>(Joint Petition</w:t>
      </w:r>
      <w:r w:rsidR="00732BCB" w:rsidRPr="00496081">
        <w:rPr>
          <w:rFonts w:ascii="Times New Roman" w:eastAsia="Times New Roman" w:hAnsi="Times New Roman" w:cs="Times New Roman"/>
          <w:sz w:val="26"/>
          <w:szCs w:val="26"/>
        </w:rPr>
        <w:t xml:space="preserve"> or Settlement</w:t>
      </w:r>
      <w:r w:rsidR="00A258F4" w:rsidRPr="00496081">
        <w:rPr>
          <w:rFonts w:ascii="Times New Roman" w:eastAsia="Times New Roman" w:hAnsi="Times New Roman" w:cs="Times New Roman"/>
          <w:sz w:val="26"/>
          <w:szCs w:val="26"/>
        </w:rPr>
        <w:t xml:space="preserve">), filed on </w:t>
      </w:r>
      <w:r w:rsidR="005506BB" w:rsidRPr="00496081">
        <w:rPr>
          <w:rFonts w:ascii="Times New Roman" w:eastAsia="Times New Roman" w:hAnsi="Times New Roman" w:cs="Times New Roman"/>
          <w:sz w:val="26"/>
          <w:szCs w:val="26"/>
        </w:rPr>
        <w:t>December 12</w:t>
      </w:r>
      <w:r w:rsidR="00A258F4" w:rsidRPr="00496081">
        <w:rPr>
          <w:rFonts w:ascii="Times New Roman" w:eastAsia="Times New Roman" w:hAnsi="Times New Roman" w:cs="Times New Roman"/>
          <w:sz w:val="26"/>
          <w:szCs w:val="26"/>
        </w:rPr>
        <w:t xml:space="preserve">, 2017, by </w:t>
      </w:r>
      <w:r w:rsidR="005506BB" w:rsidRPr="00496081">
        <w:rPr>
          <w:rFonts w:ascii="Times New Roman" w:eastAsia="Times New Roman" w:hAnsi="Times New Roman" w:cs="Times New Roman"/>
          <w:sz w:val="26"/>
          <w:szCs w:val="26"/>
        </w:rPr>
        <w:t>the Columbia Water Company (Columbia Water), the Office of Consumer Advocate (OCA), the Office of Small Business Advocate (OSBA), and the Bureau of Investigation and Enforcement (I&amp;E) (</w:t>
      </w:r>
      <w:r w:rsidR="00A258F4" w:rsidRPr="00496081">
        <w:rPr>
          <w:rFonts w:ascii="Times New Roman" w:eastAsia="Times New Roman" w:hAnsi="Times New Roman" w:cs="Times New Roman"/>
          <w:sz w:val="26"/>
          <w:szCs w:val="26"/>
        </w:rPr>
        <w:t>collectively, the Joint Petitioners)</w:t>
      </w:r>
      <w:r w:rsidR="00D13DEF" w:rsidRPr="00496081">
        <w:rPr>
          <w:rFonts w:ascii="Times New Roman" w:eastAsia="Times New Roman" w:hAnsi="Times New Roman" w:cs="Times New Roman"/>
          <w:sz w:val="26"/>
          <w:szCs w:val="26"/>
        </w:rPr>
        <w:t>; (2)</w:t>
      </w:r>
      <w:r w:rsidR="00A258F4" w:rsidRPr="00496081">
        <w:rPr>
          <w:rFonts w:ascii="Times New Roman" w:eastAsia="Times New Roman" w:hAnsi="Times New Roman" w:cs="Times New Roman"/>
          <w:sz w:val="26"/>
          <w:szCs w:val="26"/>
        </w:rPr>
        <w:t xml:space="preserve"> </w:t>
      </w:r>
      <w:r w:rsidR="008537FA" w:rsidRPr="00496081">
        <w:rPr>
          <w:rFonts w:ascii="Times New Roman" w:eastAsia="Times New Roman" w:hAnsi="Times New Roman" w:cs="Times New Roman"/>
          <w:sz w:val="26"/>
          <w:szCs w:val="26"/>
        </w:rPr>
        <w:t>the</w:t>
      </w:r>
      <w:r w:rsidR="00D84F67" w:rsidRPr="00496081">
        <w:rPr>
          <w:rFonts w:ascii="Times New Roman" w:eastAsia="Times New Roman" w:hAnsi="Times New Roman" w:cs="Times New Roman"/>
          <w:sz w:val="26"/>
          <w:szCs w:val="26"/>
        </w:rPr>
        <w:t xml:space="preserve"> Recommended Decision (R.D.) </w:t>
      </w:r>
      <w:r w:rsidR="00452DF8" w:rsidRPr="00496081">
        <w:rPr>
          <w:rFonts w:ascii="Times New Roman" w:eastAsia="Times New Roman" w:hAnsi="Times New Roman" w:cs="Times New Roman"/>
          <w:sz w:val="26"/>
          <w:szCs w:val="26"/>
        </w:rPr>
        <w:t xml:space="preserve">of </w:t>
      </w:r>
      <w:r w:rsidR="005506BB" w:rsidRPr="00496081">
        <w:rPr>
          <w:rFonts w:ascii="Times New Roman" w:eastAsia="Times New Roman" w:hAnsi="Times New Roman" w:cs="Times New Roman"/>
          <w:sz w:val="26"/>
          <w:szCs w:val="26"/>
        </w:rPr>
        <w:t xml:space="preserve">Deputy Chief Administrative Law Judge </w:t>
      </w:r>
      <w:r w:rsidR="00D84F67" w:rsidRPr="00496081">
        <w:rPr>
          <w:rFonts w:ascii="Times New Roman" w:eastAsia="Times New Roman" w:hAnsi="Times New Roman" w:cs="Times New Roman"/>
          <w:sz w:val="26"/>
          <w:szCs w:val="26"/>
        </w:rPr>
        <w:t xml:space="preserve">Joel H. Cheskis and </w:t>
      </w:r>
      <w:r w:rsidR="005506BB" w:rsidRPr="00496081">
        <w:rPr>
          <w:rFonts w:ascii="Times New Roman" w:eastAsia="Times New Roman" w:hAnsi="Times New Roman" w:cs="Times New Roman"/>
          <w:sz w:val="26"/>
          <w:szCs w:val="26"/>
        </w:rPr>
        <w:lastRenderedPageBreak/>
        <w:t xml:space="preserve">Administrative Law Judge </w:t>
      </w:r>
      <w:r w:rsidR="00D84F67" w:rsidRPr="00496081">
        <w:rPr>
          <w:rFonts w:ascii="Times New Roman" w:eastAsia="Times New Roman" w:hAnsi="Times New Roman" w:cs="Times New Roman"/>
          <w:sz w:val="26"/>
          <w:szCs w:val="26"/>
        </w:rPr>
        <w:t>Andrew M. Calvelli</w:t>
      </w:r>
      <w:r w:rsidR="005506BB" w:rsidRPr="00496081">
        <w:rPr>
          <w:rFonts w:ascii="Times New Roman" w:eastAsia="Times New Roman" w:hAnsi="Times New Roman" w:cs="Times New Roman"/>
          <w:sz w:val="26"/>
          <w:szCs w:val="26"/>
        </w:rPr>
        <w:t xml:space="preserve"> (collectively, the ALJs)</w:t>
      </w:r>
      <w:r w:rsidR="00D84F67" w:rsidRPr="00496081">
        <w:rPr>
          <w:rFonts w:ascii="Times New Roman" w:eastAsia="Times New Roman" w:hAnsi="Times New Roman" w:cs="Times New Roman"/>
          <w:sz w:val="26"/>
          <w:szCs w:val="26"/>
        </w:rPr>
        <w:t xml:space="preserve">, which was issued on </w:t>
      </w:r>
      <w:r w:rsidR="005506BB" w:rsidRPr="00496081">
        <w:rPr>
          <w:rFonts w:ascii="Times New Roman" w:eastAsia="Times New Roman" w:hAnsi="Times New Roman" w:cs="Times New Roman"/>
          <w:sz w:val="26"/>
          <w:szCs w:val="26"/>
        </w:rPr>
        <w:t>January 12, 2018</w:t>
      </w:r>
      <w:r w:rsidR="00D84F67" w:rsidRPr="00496081">
        <w:rPr>
          <w:rFonts w:ascii="Times New Roman" w:eastAsia="Times New Roman" w:hAnsi="Times New Roman" w:cs="Times New Roman"/>
          <w:sz w:val="26"/>
          <w:szCs w:val="26"/>
        </w:rPr>
        <w:t xml:space="preserve">, related to the above-captioned general rate increase proceeding; </w:t>
      </w:r>
      <w:r w:rsidR="00D13DEF" w:rsidRPr="00496081">
        <w:rPr>
          <w:rFonts w:ascii="Times New Roman" w:eastAsia="Times New Roman" w:hAnsi="Times New Roman" w:cs="Times New Roman"/>
          <w:sz w:val="26"/>
          <w:szCs w:val="26"/>
        </w:rPr>
        <w:t>and</w:t>
      </w:r>
      <w:r w:rsidR="00AB464C" w:rsidRPr="00496081">
        <w:rPr>
          <w:rFonts w:ascii="Times New Roman" w:eastAsia="Times New Roman" w:hAnsi="Times New Roman" w:cs="Times New Roman"/>
          <w:sz w:val="26"/>
          <w:szCs w:val="26"/>
        </w:rPr>
        <w:t xml:space="preserve"> (</w:t>
      </w:r>
      <w:r w:rsidR="005506BB" w:rsidRPr="00496081">
        <w:rPr>
          <w:rFonts w:ascii="Times New Roman" w:eastAsia="Times New Roman" w:hAnsi="Times New Roman" w:cs="Times New Roman"/>
          <w:sz w:val="26"/>
          <w:szCs w:val="26"/>
        </w:rPr>
        <w:t>3</w:t>
      </w:r>
      <w:r w:rsidR="00AB464C" w:rsidRPr="00496081">
        <w:rPr>
          <w:rFonts w:ascii="Times New Roman" w:eastAsia="Times New Roman" w:hAnsi="Times New Roman" w:cs="Times New Roman"/>
          <w:sz w:val="26"/>
          <w:szCs w:val="26"/>
        </w:rPr>
        <w:t>)</w:t>
      </w:r>
      <w:r w:rsidR="00D13DEF" w:rsidRPr="00496081">
        <w:rPr>
          <w:rFonts w:ascii="Times New Roman" w:eastAsia="Times New Roman" w:hAnsi="Times New Roman" w:cs="Times New Roman"/>
          <w:sz w:val="26"/>
          <w:szCs w:val="26"/>
        </w:rPr>
        <w:t xml:space="preserve"> </w:t>
      </w:r>
      <w:r w:rsidR="00A258F4" w:rsidRPr="00496081">
        <w:rPr>
          <w:rFonts w:ascii="Times New Roman" w:eastAsia="Times New Roman" w:hAnsi="Times New Roman" w:cs="Times New Roman"/>
          <w:sz w:val="26"/>
          <w:szCs w:val="26"/>
        </w:rPr>
        <w:t xml:space="preserve">the </w:t>
      </w:r>
      <w:r w:rsidR="00D13DEF" w:rsidRPr="00496081">
        <w:rPr>
          <w:rFonts w:ascii="Times New Roman" w:eastAsia="Times New Roman" w:hAnsi="Times New Roman" w:cs="Times New Roman"/>
          <w:sz w:val="26"/>
          <w:szCs w:val="26"/>
        </w:rPr>
        <w:t xml:space="preserve">Exceptions </w:t>
      </w:r>
      <w:r w:rsidR="005506BB" w:rsidRPr="00496081">
        <w:rPr>
          <w:rFonts w:ascii="Times New Roman" w:eastAsia="Times New Roman" w:hAnsi="Times New Roman" w:cs="Times New Roman"/>
          <w:sz w:val="26"/>
          <w:szCs w:val="26"/>
        </w:rPr>
        <w:t>of Columbia Water</w:t>
      </w:r>
      <w:r w:rsidR="00D13DEF" w:rsidRPr="00496081">
        <w:rPr>
          <w:rFonts w:ascii="Times New Roman" w:eastAsia="Times New Roman" w:hAnsi="Times New Roman" w:cs="Times New Roman"/>
          <w:sz w:val="26"/>
          <w:szCs w:val="26"/>
        </w:rPr>
        <w:t xml:space="preserve">, filed on </w:t>
      </w:r>
      <w:r w:rsidR="005506BB" w:rsidRPr="00496081">
        <w:rPr>
          <w:rFonts w:ascii="Times New Roman" w:eastAsia="Times New Roman" w:hAnsi="Times New Roman" w:cs="Times New Roman"/>
          <w:sz w:val="26"/>
          <w:szCs w:val="26"/>
        </w:rPr>
        <w:t>January 22, 2018</w:t>
      </w:r>
      <w:r w:rsidR="00D84F67" w:rsidRPr="00496081">
        <w:rPr>
          <w:rFonts w:ascii="Times New Roman" w:eastAsia="Times New Roman" w:hAnsi="Times New Roman" w:cs="Times New Roman"/>
          <w:sz w:val="26"/>
          <w:szCs w:val="26"/>
        </w:rPr>
        <w:t xml:space="preserve">, </w:t>
      </w:r>
      <w:r w:rsidR="00504C01" w:rsidRPr="00496081">
        <w:rPr>
          <w:rFonts w:ascii="Times New Roman" w:eastAsia="Times New Roman" w:hAnsi="Times New Roman" w:cs="Times New Roman"/>
          <w:sz w:val="26"/>
          <w:szCs w:val="26"/>
        </w:rPr>
        <w:t>with respect</w:t>
      </w:r>
      <w:r w:rsidR="00D84F67" w:rsidRPr="00496081">
        <w:rPr>
          <w:rFonts w:ascii="Times New Roman" w:eastAsia="Times New Roman" w:hAnsi="Times New Roman" w:cs="Times New Roman"/>
          <w:sz w:val="26"/>
          <w:szCs w:val="26"/>
        </w:rPr>
        <w:t xml:space="preserve"> </w:t>
      </w:r>
      <w:r w:rsidR="005B6850" w:rsidRPr="00496081">
        <w:rPr>
          <w:rFonts w:ascii="Times New Roman" w:eastAsia="Times New Roman" w:hAnsi="Times New Roman" w:cs="Times New Roman"/>
          <w:sz w:val="26"/>
          <w:szCs w:val="26"/>
        </w:rPr>
        <w:t>to the Recommended Decision</w:t>
      </w:r>
      <w:r w:rsidR="00D84F67" w:rsidRPr="00496081">
        <w:rPr>
          <w:rFonts w:ascii="Times New Roman" w:eastAsia="Times New Roman" w:hAnsi="Times New Roman" w:cs="Times New Roman"/>
          <w:sz w:val="26"/>
          <w:szCs w:val="26"/>
        </w:rPr>
        <w:t xml:space="preserve">. </w:t>
      </w:r>
      <w:r w:rsidR="0022280E" w:rsidRPr="00496081">
        <w:rPr>
          <w:rFonts w:ascii="Times New Roman" w:eastAsia="Times New Roman" w:hAnsi="Times New Roman" w:cs="Times New Roman"/>
          <w:sz w:val="26"/>
          <w:szCs w:val="26"/>
        </w:rPr>
        <w:t xml:space="preserve"> </w:t>
      </w:r>
      <w:r w:rsidR="005506BB" w:rsidRPr="00496081">
        <w:rPr>
          <w:rFonts w:ascii="Times New Roman" w:eastAsia="Times New Roman" w:hAnsi="Times New Roman" w:cs="Times New Roman"/>
          <w:sz w:val="26"/>
          <w:szCs w:val="26"/>
        </w:rPr>
        <w:t xml:space="preserve">I&amp;E filed </w:t>
      </w:r>
      <w:r w:rsidR="0022280E" w:rsidRPr="00496081">
        <w:rPr>
          <w:rFonts w:ascii="Times New Roman" w:eastAsia="Times New Roman" w:hAnsi="Times New Roman" w:cs="Times New Roman"/>
          <w:sz w:val="26"/>
          <w:szCs w:val="26"/>
        </w:rPr>
        <w:t xml:space="preserve">Replies to Exceptions </w:t>
      </w:r>
      <w:r w:rsidR="005506BB" w:rsidRPr="00496081">
        <w:rPr>
          <w:rFonts w:ascii="Times New Roman" w:eastAsia="Times New Roman" w:hAnsi="Times New Roman" w:cs="Times New Roman"/>
          <w:sz w:val="26"/>
          <w:szCs w:val="26"/>
        </w:rPr>
        <w:t>on January 29, 2018</w:t>
      </w:r>
      <w:r w:rsidR="0022280E" w:rsidRPr="00496081">
        <w:rPr>
          <w:rFonts w:ascii="Times New Roman" w:eastAsia="Times New Roman" w:hAnsi="Times New Roman" w:cs="Times New Roman"/>
          <w:sz w:val="26"/>
          <w:szCs w:val="26"/>
        </w:rPr>
        <w:t>.</w:t>
      </w:r>
    </w:p>
    <w:p w:rsidR="005B6850" w:rsidRPr="00496081" w:rsidRDefault="005B6850" w:rsidP="00496081">
      <w:pPr>
        <w:spacing w:line="360" w:lineRule="auto"/>
        <w:ind w:firstLine="1440"/>
        <w:contextualSpacing/>
        <w:rPr>
          <w:rFonts w:ascii="Times New Roman" w:eastAsia="Times New Roman" w:hAnsi="Times New Roman" w:cs="Times New Roman"/>
          <w:sz w:val="26"/>
          <w:szCs w:val="26"/>
        </w:rPr>
      </w:pPr>
    </w:p>
    <w:p w:rsidR="005B6850" w:rsidRPr="00496081" w:rsidRDefault="005B6850"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For the reasons stated, </w:t>
      </w:r>
      <w:r w:rsidRPr="00496081">
        <w:rPr>
          <w:rFonts w:ascii="Times New Roman" w:eastAsia="Times New Roman" w:hAnsi="Times New Roman" w:cs="Times New Roman"/>
          <w:i/>
          <w:sz w:val="26"/>
          <w:szCs w:val="26"/>
        </w:rPr>
        <w:t>infra,</w:t>
      </w:r>
      <w:r w:rsidR="00F34505" w:rsidRPr="00496081">
        <w:rPr>
          <w:rFonts w:ascii="Times New Roman" w:eastAsia="Times New Roman" w:hAnsi="Times New Roman" w:cs="Times New Roman"/>
          <w:sz w:val="26"/>
          <w:szCs w:val="26"/>
        </w:rPr>
        <w:t xml:space="preserve"> we shall</w:t>
      </w:r>
      <w:r w:rsidRPr="00496081">
        <w:rPr>
          <w:rFonts w:ascii="Times New Roman" w:eastAsia="Times New Roman" w:hAnsi="Times New Roman" w:cs="Times New Roman"/>
          <w:sz w:val="26"/>
          <w:szCs w:val="26"/>
        </w:rPr>
        <w:t xml:space="preserve"> </w:t>
      </w:r>
      <w:r w:rsidR="005506BB" w:rsidRPr="00496081">
        <w:rPr>
          <w:rFonts w:ascii="Times New Roman" w:eastAsia="Times New Roman" w:hAnsi="Times New Roman" w:cs="Times New Roman"/>
          <w:sz w:val="26"/>
          <w:szCs w:val="26"/>
        </w:rPr>
        <w:t>grant the Exceptions of Columbia Water</w:t>
      </w:r>
      <w:r w:rsidR="00884C9E"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sz w:val="26"/>
          <w:szCs w:val="26"/>
        </w:rPr>
        <w:t xml:space="preserve">adopt the Recommended Decision, as modified, consistent with this Opinion and Order, </w:t>
      </w:r>
      <w:r w:rsidR="005506BB" w:rsidRPr="00496081">
        <w:rPr>
          <w:rFonts w:ascii="Times New Roman" w:eastAsia="Times New Roman" w:hAnsi="Times New Roman" w:cs="Times New Roman"/>
          <w:sz w:val="26"/>
          <w:szCs w:val="26"/>
        </w:rPr>
        <w:t xml:space="preserve">and </w:t>
      </w:r>
      <w:r w:rsidRPr="00496081">
        <w:rPr>
          <w:rFonts w:ascii="Times New Roman" w:eastAsia="Times New Roman" w:hAnsi="Times New Roman" w:cs="Times New Roman"/>
          <w:sz w:val="26"/>
          <w:szCs w:val="26"/>
        </w:rPr>
        <w:t>approve the Joint Petition</w:t>
      </w:r>
      <w:r w:rsidR="00CC49CD" w:rsidRPr="00496081">
        <w:rPr>
          <w:rFonts w:ascii="Times New Roman" w:eastAsia="Times New Roman" w:hAnsi="Times New Roman" w:cs="Times New Roman"/>
          <w:sz w:val="26"/>
          <w:szCs w:val="26"/>
        </w:rPr>
        <w:t xml:space="preserve"> for Settlement</w:t>
      </w:r>
      <w:r w:rsidR="00AA42A4" w:rsidRPr="00496081">
        <w:rPr>
          <w:rFonts w:ascii="Times New Roman" w:eastAsia="Times New Roman" w:hAnsi="Times New Roman" w:cs="Times New Roman"/>
          <w:sz w:val="26"/>
          <w:szCs w:val="26"/>
        </w:rPr>
        <w:t>, without modification</w:t>
      </w:r>
      <w:r w:rsidRPr="00496081">
        <w:rPr>
          <w:rFonts w:ascii="Times New Roman" w:eastAsia="Times New Roman" w:hAnsi="Times New Roman" w:cs="Times New Roman"/>
          <w:sz w:val="26"/>
          <w:szCs w:val="26"/>
        </w:rPr>
        <w:t>.</w:t>
      </w:r>
    </w:p>
    <w:p w:rsidR="009E1F23" w:rsidRPr="00496081" w:rsidRDefault="009E1F23" w:rsidP="00496081">
      <w:pPr>
        <w:pStyle w:val="ListParagraph"/>
        <w:spacing w:line="360" w:lineRule="auto"/>
        <w:ind w:left="0"/>
        <w:contextualSpacing/>
        <w:rPr>
          <w:sz w:val="26"/>
          <w:szCs w:val="26"/>
        </w:rPr>
      </w:pPr>
    </w:p>
    <w:p w:rsidR="009E1F23" w:rsidRPr="00496081" w:rsidRDefault="009E1F23" w:rsidP="00496081">
      <w:pPr>
        <w:pStyle w:val="ListParagraph"/>
        <w:keepNext/>
        <w:keepLines/>
        <w:spacing w:line="360" w:lineRule="auto"/>
        <w:ind w:left="0"/>
        <w:contextualSpacing/>
        <w:jc w:val="center"/>
        <w:rPr>
          <w:b/>
          <w:sz w:val="26"/>
          <w:szCs w:val="26"/>
        </w:rPr>
      </w:pPr>
      <w:r w:rsidRPr="00496081">
        <w:rPr>
          <w:b/>
          <w:sz w:val="26"/>
          <w:szCs w:val="26"/>
        </w:rPr>
        <w:t>I.</w:t>
      </w:r>
      <w:r w:rsidRPr="00496081">
        <w:rPr>
          <w:b/>
          <w:sz w:val="26"/>
          <w:szCs w:val="26"/>
        </w:rPr>
        <w:tab/>
      </w:r>
      <w:r w:rsidR="007D6BF0" w:rsidRPr="00496081">
        <w:rPr>
          <w:b/>
          <w:sz w:val="26"/>
          <w:szCs w:val="26"/>
        </w:rPr>
        <w:t>History of the Proceeding</w:t>
      </w:r>
    </w:p>
    <w:p w:rsidR="007D6BF0" w:rsidRPr="00496081" w:rsidRDefault="007D6BF0" w:rsidP="00496081">
      <w:pPr>
        <w:pStyle w:val="ListParagraph"/>
        <w:keepNext/>
        <w:keepLines/>
        <w:spacing w:line="360" w:lineRule="auto"/>
        <w:ind w:left="0"/>
        <w:contextualSpacing/>
        <w:jc w:val="center"/>
        <w:rPr>
          <w:sz w:val="26"/>
          <w:szCs w:val="26"/>
          <w:u w:val="single"/>
        </w:rPr>
      </w:pPr>
    </w:p>
    <w:p w:rsidR="00B04411" w:rsidRPr="00496081" w:rsidRDefault="00B04411"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On June 27, 2017, Columbia Water filed Supplement No. 86 </w:t>
      </w:r>
      <w:r w:rsidR="00FA419B" w:rsidRPr="00496081">
        <w:rPr>
          <w:rFonts w:ascii="Times New Roman" w:eastAsia="Times New Roman" w:hAnsi="Times New Roman" w:cs="Times New Roman"/>
          <w:sz w:val="26"/>
          <w:szCs w:val="26"/>
        </w:rPr>
        <w:t>t</w:t>
      </w:r>
      <w:r w:rsidRPr="00496081">
        <w:rPr>
          <w:rFonts w:ascii="Times New Roman" w:eastAsia="Times New Roman" w:hAnsi="Times New Roman" w:cs="Times New Roman"/>
          <w:sz w:val="26"/>
          <w:szCs w:val="26"/>
        </w:rPr>
        <w:t>o Tariff</w:t>
      </w:r>
      <w:r w:rsidRPr="00496081">
        <w:rPr>
          <w:rFonts w:ascii="Times New Roman" w:eastAsia="Times New Roman" w:hAnsi="Times New Roman" w:cs="Times New Roman"/>
          <w:sz w:val="26"/>
          <w:szCs w:val="26"/>
        </w:rPr>
        <w:noBreakHyphen/>
      </w:r>
      <w:r w:rsidR="00FA419B" w:rsidRPr="00496081">
        <w:rPr>
          <w:rFonts w:ascii="Times New Roman" w:eastAsia="Times New Roman" w:hAnsi="Times New Roman" w:cs="Times New Roman"/>
          <w:sz w:val="26"/>
          <w:szCs w:val="26"/>
        </w:rPr>
        <w:noBreakHyphen/>
      </w:r>
      <w:r w:rsidRPr="00496081">
        <w:rPr>
          <w:rFonts w:ascii="Times New Roman" w:eastAsia="Times New Roman" w:hAnsi="Times New Roman" w:cs="Times New Roman"/>
          <w:sz w:val="26"/>
          <w:szCs w:val="26"/>
        </w:rPr>
        <w:t xml:space="preserve">Water Pa. P.U.C. No. 7 </w:t>
      </w:r>
      <w:r w:rsidR="0093780B" w:rsidRPr="00496081">
        <w:rPr>
          <w:rFonts w:ascii="Times New Roman" w:eastAsia="Times New Roman" w:hAnsi="Times New Roman" w:cs="Times New Roman"/>
          <w:sz w:val="26"/>
          <w:szCs w:val="26"/>
        </w:rPr>
        <w:t xml:space="preserve">(Tariff Supplement No. 86) </w:t>
      </w:r>
      <w:r w:rsidRPr="00496081">
        <w:rPr>
          <w:rFonts w:ascii="Times New Roman" w:eastAsia="Times New Roman" w:hAnsi="Times New Roman" w:cs="Times New Roman"/>
          <w:sz w:val="26"/>
          <w:szCs w:val="26"/>
        </w:rPr>
        <w:t>to become effective August</w:t>
      </w:r>
      <w:r w:rsidR="00CB030E">
        <w:rPr>
          <w:rFonts w:ascii="Times New Roman" w:eastAsia="Times New Roman" w:hAnsi="Times New Roman" w:cs="Times New Roman"/>
          <w:sz w:val="26"/>
          <w:szCs w:val="26"/>
        </w:rPr>
        <w:t> </w:t>
      </w:r>
      <w:r w:rsidRPr="00496081">
        <w:rPr>
          <w:rFonts w:ascii="Times New Roman" w:eastAsia="Times New Roman" w:hAnsi="Times New Roman" w:cs="Times New Roman"/>
          <w:sz w:val="26"/>
          <w:szCs w:val="26"/>
        </w:rPr>
        <w:t>29, 2017</w:t>
      </w:r>
      <w:r w:rsidR="00C3289E">
        <w:rPr>
          <w:rFonts w:ascii="Times New Roman" w:eastAsia="Times New Roman" w:hAnsi="Times New Roman" w:cs="Times New Roman"/>
          <w:sz w:val="26"/>
          <w:szCs w:val="26"/>
        </w:rPr>
        <w:t>, but subsequently suspended until March 29, 201</w:t>
      </w:r>
      <w:r w:rsidR="00B02DD8">
        <w:rPr>
          <w:rFonts w:ascii="Times New Roman" w:eastAsia="Times New Roman" w:hAnsi="Times New Roman" w:cs="Times New Roman"/>
          <w:sz w:val="26"/>
          <w:szCs w:val="26"/>
        </w:rPr>
        <w:t>8</w:t>
      </w:r>
      <w:r w:rsidRPr="00496081">
        <w:rPr>
          <w:rFonts w:ascii="Times New Roman" w:eastAsia="Times New Roman" w:hAnsi="Times New Roman" w:cs="Times New Roman"/>
          <w:sz w:val="26"/>
          <w:szCs w:val="26"/>
        </w:rPr>
        <w:t xml:space="preserve">. </w:t>
      </w:r>
      <w:r w:rsidR="0093780B" w:rsidRPr="00496081">
        <w:rPr>
          <w:rFonts w:ascii="Times New Roman" w:eastAsia="Times New Roman" w:hAnsi="Times New Roman" w:cs="Times New Roman"/>
          <w:sz w:val="26"/>
          <w:szCs w:val="26"/>
        </w:rPr>
        <w:t xml:space="preserve"> Tariff Supplement No. 86 contained a proposed increase to </w:t>
      </w:r>
      <w:r w:rsidRPr="00496081">
        <w:rPr>
          <w:rFonts w:ascii="Times New Roman" w:eastAsia="Times New Roman" w:hAnsi="Times New Roman" w:cs="Times New Roman"/>
          <w:sz w:val="26"/>
          <w:szCs w:val="26"/>
        </w:rPr>
        <w:t xml:space="preserve">Columbia Water’s total annual operating revenues </w:t>
      </w:r>
      <w:r w:rsidR="0093780B" w:rsidRPr="00496081">
        <w:rPr>
          <w:rFonts w:ascii="Times New Roman" w:eastAsia="Times New Roman" w:hAnsi="Times New Roman" w:cs="Times New Roman"/>
          <w:sz w:val="26"/>
          <w:szCs w:val="26"/>
        </w:rPr>
        <w:t>of</w:t>
      </w:r>
      <w:r w:rsidRPr="00496081">
        <w:rPr>
          <w:rFonts w:ascii="Times New Roman" w:eastAsia="Times New Roman" w:hAnsi="Times New Roman" w:cs="Times New Roman"/>
          <w:sz w:val="26"/>
          <w:szCs w:val="26"/>
        </w:rPr>
        <w:t xml:space="preserve"> approximately $923,668, or 17.8%, above the level of </w:t>
      </w:r>
      <w:r w:rsidRPr="00CB030E">
        <w:rPr>
          <w:rFonts w:ascii="Times New Roman" w:eastAsia="Times New Roman" w:hAnsi="Times New Roman" w:cs="Times New Roman"/>
          <w:i/>
          <w:sz w:val="26"/>
          <w:szCs w:val="26"/>
        </w:rPr>
        <w:t>pro forma</w:t>
      </w:r>
      <w:r w:rsidRPr="00496081">
        <w:rPr>
          <w:rFonts w:ascii="Times New Roman" w:eastAsia="Times New Roman" w:hAnsi="Times New Roman" w:cs="Times New Roman"/>
          <w:sz w:val="26"/>
          <w:szCs w:val="26"/>
        </w:rPr>
        <w:t xml:space="preserve"> revenues for the future test year ending December 31, 2017. </w:t>
      </w:r>
      <w:r w:rsidR="0093780B" w:rsidRPr="00496081">
        <w:rPr>
          <w:rFonts w:ascii="Times New Roman" w:eastAsia="Times New Roman" w:hAnsi="Times New Roman" w:cs="Times New Roman"/>
          <w:sz w:val="26"/>
          <w:szCs w:val="26"/>
        </w:rPr>
        <w:t xml:space="preserve"> Additionally, under Tariff Supplement No. 86, Columbia Water proposed the consolidation </w:t>
      </w:r>
      <w:r w:rsidR="0019782A" w:rsidRPr="00496081">
        <w:rPr>
          <w:rFonts w:ascii="Times New Roman" w:eastAsia="Times New Roman" w:hAnsi="Times New Roman" w:cs="Times New Roman"/>
          <w:sz w:val="26"/>
          <w:szCs w:val="26"/>
        </w:rPr>
        <w:t>of Columbia</w:t>
      </w:r>
      <w:r w:rsidRPr="00496081">
        <w:rPr>
          <w:rFonts w:ascii="Times New Roman" w:eastAsia="Times New Roman" w:hAnsi="Times New Roman" w:cs="Times New Roman"/>
          <w:sz w:val="26"/>
          <w:szCs w:val="26"/>
        </w:rPr>
        <w:t xml:space="preserve"> Water’s two </w:t>
      </w:r>
      <w:r w:rsidR="00FA419B" w:rsidRPr="00496081">
        <w:rPr>
          <w:rFonts w:ascii="Times New Roman" w:eastAsia="Times New Roman" w:hAnsi="Times New Roman" w:cs="Times New Roman"/>
          <w:sz w:val="26"/>
          <w:szCs w:val="26"/>
        </w:rPr>
        <w:t xml:space="preserve">rate </w:t>
      </w:r>
      <w:r w:rsidR="00AA42A4" w:rsidRPr="00496081">
        <w:rPr>
          <w:rFonts w:ascii="Times New Roman" w:eastAsia="Times New Roman" w:hAnsi="Times New Roman" w:cs="Times New Roman"/>
          <w:sz w:val="26"/>
          <w:szCs w:val="26"/>
        </w:rPr>
        <w:t>districts</w:t>
      </w:r>
      <w:r w:rsidRPr="00496081">
        <w:rPr>
          <w:rFonts w:ascii="Times New Roman" w:eastAsia="Times New Roman" w:hAnsi="Times New Roman" w:cs="Times New Roman"/>
          <w:sz w:val="26"/>
          <w:szCs w:val="26"/>
        </w:rPr>
        <w:t xml:space="preserve">, the Columbia and Marietta </w:t>
      </w:r>
      <w:r w:rsidR="00AA42A4" w:rsidRPr="00496081">
        <w:rPr>
          <w:rFonts w:ascii="Times New Roman" w:eastAsia="Times New Roman" w:hAnsi="Times New Roman" w:cs="Times New Roman"/>
          <w:sz w:val="26"/>
          <w:szCs w:val="26"/>
        </w:rPr>
        <w:t>Districts</w:t>
      </w:r>
      <w:r w:rsidRPr="00496081">
        <w:rPr>
          <w:rFonts w:ascii="Times New Roman" w:eastAsia="Times New Roman" w:hAnsi="Times New Roman" w:cs="Times New Roman"/>
          <w:sz w:val="26"/>
          <w:szCs w:val="26"/>
        </w:rPr>
        <w:t xml:space="preserve">, into one </w:t>
      </w:r>
      <w:r w:rsidR="00AA42A4" w:rsidRPr="00496081">
        <w:rPr>
          <w:rFonts w:ascii="Times New Roman" w:eastAsia="Times New Roman" w:hAnsi="Times New Roman" w:cs="Times New Roman"/>
          <w:sz w:val="26"/>
          <w:szCs w:val="26"/>
        </w:rPr>
        <w:t>rate district</w:t>
      </w:r>
      <w:r w:rsidRPr="00496081">
        <w:rPr>
          <w:rFonts w:ascii="Times New Roman" w:eastAsia="Times New Roman" w:hAnsi="Times New Roman" w:cs="Times New Roman"/>
          <w:sz w:val="26"/>
          <w:szCs w:val="26"/>
        </w:rPr>
        <w:t xml:space="preserve">, and </w:t>
      </w:r>
      <w:r w:rsidR="0093780B" w:rsidRPr="00496081">
        <w:rPr>
          <w:rFonts w:ascii="Times New Roman" w:eastAsia="Times New Roman" w:hAnsi="Times New Roman" w:cs="Times New Roman"/>
          <w:sz w:val="26"/>
          <w:szCs w:val="26"/>
        </w:rPr>
        <w:t>proposed</w:t>
      </w:r>
      <w:r w:rsidRPr="00496081">
        <w:rPr>
          <w:rFonts w:ascii="Times New Roman" w:eastAsia="Times New Roman" w:hAnsi="Times New Roman" w:cs="Times New Roman"/>
          <w:sz w:val="26"/>
          <w:szCs w:val="26"/>
        </w:rPr>
        <w:t xml:space="preserve"> other changes to existing rules and regulations.</w:t>
      </w:r>
    </w:p>
    <w:p w:rsidR="0093780B" w:rsidRPr="00496081" w:rsidRDefault="0093780B" w:rsidP="00496081">
      <w:pPr>
        <w:spacing w:line="360" w:lineRule="auto"/>
        <w:ind w:firstLine="1440"/>
        <w:contextualSpacing/>
        <w:rPr>
          <w:rFonts w:ascii="Times New Roman" w:eastAsia="Times New Roman" w:hAnsi="Times New Roman" w:cs="Times New Roman"/>
          <w:sz w:val="26"/>
          <w:szCs w:val="26"/>
        </w:rPr>
      </w:pPr>
    </w:p>
    <w:p w:rsidR="008F3579" w:rsidRPr="00496081" w:rsidRDefault="008F357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On July 17, 2017, I&amp;E filed a Notice of Intervention in this proceeding.</w:t>
      </w:r>
    </w:p>
    <w:p w:rsidR="008F3579" w:rsidRPr="00496081" w:rsidRDefault="008F3579" w:rsidP="00496081">
      <w:pPr>
        <w:spacing w:line="360" w:lineRule="auto"/>
        <w:ind w:firstLine="1440"/>
        <w:contextualSpacing/>
        <w:rPr>
          <w:rFonts w:ascii="Times New Roman" w:eastAsia="Times New Roman" w:hAnsi="Times New Roman" w:cs="Times New Roman"/>
          <w:sz w:val="26"/>
          <w:szCs w:val="26"/>
        </w:rPr>
      </w:pPr>
    </w:p>
    <w:p w:rsidR="008F3579" w:rsidRPr="00496081" w:rsidRDefault="00B04411"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On July 19, 2017, the OCA</w:t>
      </w:r>
      <w:r w:rsidR="0093780B"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sz w:val="26"/>
          <w:szCs w:val="26"/>
        </w:rPr>
        <w:t>filed a Formal Complaint against the filing at Docket No. C-2017-2614985 and the OSBA filed a Formal Complaint at Docket No. C</w:t>
      </w:r>
      <w:r w:rsidR="0093780B" w:rsidRPr="00496081">
        <w:rPr>
          <w:rFonts w:ascii="Times New Roman" w:eastAsia="Times New Roman" w:hAnsi="Times New Roman" w:cs="Times New Roman"/>
          <w:sz w:val="26"/>
          <w:szCs w:val="26"/>
        </w:rPr>
        <w:noBreakHyphen/>
      </w:r>
      <w:r w:rsidRPr="00496081">
        <w:rPr>
          <w:rFonts w:ascii="Times New Roman" w:eastAsia="Times New Roman" w:hAnsi="Times New Roman" w:cs="Times New Roman"/>
          <w:sz w:val="26"/>
          <w:szCs w:val="26"/>
        </w:rPr>
        <w:t>2017</w:t>
      </w:r>
      <w:r w:rsidR="0093780B" w:rsidRPr="00496081">
        <w:rPr>
          <w:rFonts w:ascii="Times New Roman" w:eastAsia="Times New Roman" w:hAnsi="Times New Roman" w:cs="Times New Roman"/>
          <w:sz w:val="26"/>
          <w:szCs w:val="26"/>
        </w:rPr>
        <w:noBreakHyphen/>
      </w:r>
      <w:r w:rsidRPr="00496081">
        <w:rPr>
          <w:rFonts w:ascii="Times New Roman" w:eastAsia="Times New Roman" w:hAnsi="Times New Roman" w:cs="Times New Roman"/>
          <w:sz w:val="26"/>
          <w:szCs w:val="26"/>
        </w:rPr>
        <w:t xml:space="preserve">2615248. </w:t>
      </w:r>
      <w:r w:rsidR="0093780B"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sz w:val="26"/>
          <w:szCs w:val="26"/>
        </w:rPr>
        <w:t xml:space="preserve">Other </w:t>
      </w:r>
      <w:r w:rsidR="0093780B" w:rsidRPr="00496081">
        <w:rPr>
          <w:rFonts w:ascii="Times New Roman" w:eastAsia="Times New Roman" w:hAnsi="Times New Roman" w:cs="Times New Roman"/>
          <w:sz w:val="26"/>
          <w:szCs w:val="26"/>
        </w:rPr>
        <w:t>Formal Complaints</w:t>
      </w:r>
      <w:r w:rsidRPr="00496081">
        <w:rPr>
          <w:rFonts w:ascii="Times New Roman" w:eastAsia="Times New Roman" w:hAnsi="Times New Roman" w:cs="Times New Roman"/>
          <w:sz w:val="26"/>
          <w:szCs w:val="26"/>
        </w:rPr>
        <w:t xml:space="preserve"> were also filed by Columbia customers</w:t>
      </w:r>
      <w:r w:rsidR="00C22F7C" w:rsidRPr="00496081">
        <w:rPr>
          <w:rFonts w:ascii="Times New Roman" w:eastAsia="Times New Roman" w:hAnsi="Times New Roman" w:cs="Times New Roman"/>
          <w:sz w:val="26"/>
          <w:szCs w:val="26"/>
        </w:rPr>
        <w:t xml:space="preserve"> (</w:t>
      </w:r>
      <w:r w:rsidR="00C22F7C" w:rsidRPr="00496081">
        <w:rPr>
          <w:rFonts w:ascii="Times New Roman" w:eastAsia="Times New Roman" w:hAnsi="Times New Roman" w:cs="Times New Roman"/>
          <w:i/>
          <w:sz w:val="26"/>
          <w:szCs w:val="26"/>
        </w:rPr>
        <w:t xml:space="preserve">pro </w:t>
      </w:r>
      <w:r w:rsidR="00C22F7C" w:rsidRPr="00496081">
        <w:rPr>
          <w:rFonts w:ascii="Times New Roman" w:eastAsia="Times New Roman" w:hAnsi="Times New Roman" w:cs="Times New Roman"/>
          <w:i/>
          <w:sz w:val="26"/>
          <w:szCs w:val="26"/>
        </w:rPr>
        <w:lastRenderedPageBreak/>
        <w:t xml:space="preserve">se </w:t>
      </w:r>
      <w:r w:rsidR="00C22F7C" w:rsidRPr="00496081">
        <w:rPr>
          <w:rFonts w:ascii="Times New Roman" w:eastAsia="Times New Roman" w:hAnsi="Times New Roman" w:cs="Times New Roman"/>
          <w:sz w:val="26"/>
          <w:szCs w:val="26"/>
        </w:rPr>
        <w:t>Complainants)</w:t>
      </w:r>
      <w:r w:rsidRPr="00496081">
        <w:rPr>
          <w:rFonts w:ascii="Times New Roman" w:eastAsia="Times New Roman" w:hAnsi="Times New Roman" w:cs="Times New Roman"/>
          <w:sz w:val="26"/>
          <w:szCs w:val="26"/>
        </w:rPr>
        <w:t xml:space="preserve"> at Docket Nos. C-2017-2614724, C-2017-2620842, C-2017-2622123 and C-2017-2623109. </w:t>
      </w:r>
    </w:p>
    <w:p w:rsidR="008F3579" w:rsidRPr="00496081" w:rsidRDefault="008F3579" w:rsidP="00496081">
      <w:pPr>
        <w:spacing w:line="360" w:lineRule="auto"/>
        <w:ind w:firstLine="1440"/>
        <w:contextualSpacing/>
        <w:rPr>
          <w:rFonts w:ascii="Times New Roman" w:eastAsia="Times New Roman" w:hAnsi="Times New Roman" w:cs="Times New Roman"/>
          <w:sz w:val="26"/>
          <w:szCs w:val="26"/>
        </w:rPr>
      </w:pPr>
    </w:p>
    <w:p w:rsidR="008D7B19" w:rsidRPr="00496081" w:rsidRDefault="00B04411"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Pursuant to the Public Utility Code</w:t>
      </w:r>
      <w:r w:rsidR="00FA419B" w:rsidRPr="00496081">
        <w:rPr>
          <w:rFonts w:ascii="Times New Roman" w:eastAsia="Times New Roman" w:hAnsi="Times New Roman" w:cs="Times New Roman"/>
          <w:sz w:val="26"/>
          <w:szCs w:val="26"/>
        </w:rPr>
        <w:t xml:space="preserve"> (Code)</w:t>
      </w:r>
      <w:r w:rsidRPr="00496081">
        <w:rPr>
          <w:rFonts w:ascii="Times New Roman" w:eastAsia="Times New Roman" w:hAnsi="Times New Roman" w:cs="Times New Roman"/>
          <w:sz w:val="26"/>
          <w:szCs w:val="26"/>
        </w:rPr>
        <w:t xml:space="preserve">, 66 Pa. C.S. § 1308(d), </w:t>
      </w:r>
      <w:r w:rsidR="008F3579" w:rsidRPr="00496081">
        <w:rPr>
          <w:rFonts w:ascii="Times New Roman" w:eastAsia="Times New Roman" w:hAnsi="Times New Roman" w:cs="Times New Roman"/>
          <w:sz w:val="26"/>
          <w:szCs w:val="26"/>
        </w:rPr>
        <w:t>Tariff Supplement No. 86 was</w:t>
      </w:r>
      <w:r w:rsidRPr="00496081">
        <w:rPr>
          <w:rFonts w:ascii="Times New Roman" w:eastAsia="Times New Roman" w:hAnsi="Times New Roman" w:cs="Times New Roman"/>
          <w:sz w:val="26"/>
          <w:szCs w:val="26"/>
        </w:rPr>
        <w:t xml:space="preserve"> suspended by Commission Order dated August 3, 2017</w:t>
      </w:r>
      <w:r w:rsidR="008F3579" w:rsidRPr="00496081">
        <w:rPr>
          <w:rFonts w:ascii="Times New Roman" w:eastAsia="Times New Roman" w:hAnsi="Times New Roman" w:cs="Times New Roman"/>
          <w:sz w:val="26"/>
          <w:szCs w:val="26"/>
        </w:rPr>
        <w:t xml:space="preserve"> (August 2017 Order)</w:t>
      </w:r>
      <w:r w:rsidRPr="00496081">
        <w:rPr>
          <w:rFonts w:ascii="Times New Roman" w:eastAsia="Times New Roman" w:hAnsi="Times New Roman" w:cs="Times New Roman"/>
          <w:sz w:val="26"/>
          <w:szCs w:val="26"/>
        </w:rPr>
        <w:t xml:space="preserve">, until March 29, 2018, unless permitted by Commission Order to become effective at an earlier date. </w:t>
      </w:r>
      <w:r w:rsidR="008F3579"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sz w:val="26"/>
          <w:szCs w:val="26"/>
        </w:rPr>
        <w:t xml:space="preserve">In the </w:t>
      </w:r>
      <w:r w:rsidR="008F3579" w:rsidRPr="00496081">
        <w:rPr>
          <w:rFonts w:ascii="Times New Roman" w:eastAsia="Times New Roman" w:hAnsi="Times New Roman" w:cs="Times New Roman"/>
          <w:sz w:val="26"/>
          <w:szCs w:val="26"/>
        </w:rPr>
        <w:t xml:space="preserve">August 2017 </w:t>
      </w:r>
      <w:r w:rsidRPr="00496081">
        <w:rPr>
          <w:rFonts w:ascii="Times New Roman" w:eastAsia="Times New Roman" w:hAnsi="Times New Roman" w:cs="Times New Roman"/>
          <w:sz w:val="26"/>
          <w:szCs w:val="26"/>
        </w:rPr>
        <w:t xml:space="preserve">Order, </w:t>
      </w:r>
      <w:r w:rsidR="008F3579" w:rsidRPr="00496081">
        <w:rPr>
          <w:rFonts w:ascii="Times New Roman" w:eastAsia="Times New Roman" w:hAnsi="Times New Roman" w:cs="Times New Roman"/>
          <w:sz w:val="26"/>
          <w:szCs w:val="26"/>
        </w:rPr>
        <w:t>we</w:t>
      </w:r>
      <w:r w:rsidRPr="00496081">
        <w:rPr>
          <w:rFonts w:ascii="Times New Roman" w:eastAsia="Times New Roman" w:hAnsi="Times New Roman" w:cs="Times New Roman"/>
          <w:sz w:val="26"/>
          <w:szCs w:val="26"/>
        </w:rPr>
        <w:t xml:space="preserve"> concluded that investigation and analysis of the proposed tariff filings and the supporting data indicated that the proposed changes in rates, rules, and regulations may be unlawful, unjust, unreasonable, and contrary to </w:t>
      </w:r>
      <w:r w:rsidR="00FA419B" w:rsidRPr="00496081">
        <w:rPr>
          <w:rFonts w:ascii="Times New Roman" w:eastAsia="Times New Roman" w:hAnsi="Times New Roman" w:cs="Times New Roman"/>
          <w:sz w:val="26"/>
          <w:szCs w:val="26"/>
        </w:rPr>
        <w:t xml:space="preserve">the </w:t>
      </w:r>
      <w:r w:rsidRPr="00496081">
        <w:rPr>
          <w:rFonts w:ascii="Times New Roman" w:eastAsia="Times New Roman" w:hAnsi="Times New Roman" w:cs="Times New Roman"/>
          <w:sz w:val="26"/>
          <w:szCs w:val="26"/>
        </w:rPr>
        <w:t xml:space="preserve">public interest. </w:t>
      </w:r>
      <w:r w:rsidR="008F3579"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sz w:val="26"/>
          <w:szCs w:val="26"/>
        </w:rPr>
        <w:t>Accordingly</w:t>
      </w:r>
      <w:r w:rsidR="007339B5" w:rsidRPr="00496081">
        <w:rPr>
          <w:rFonts w:ascii="Times New Roman" w:eastAsia="Times New Roman" w:hAnsi="Times New Roman" w:cs="Times New Roman"/>
          <w:sz w:val="26"/>
          <w:szCs w:val="26"/>
        </w:rPr>
        <w:t>,</w:t>
      </w:r>
      <w:r w:rsidR="008F3579" w:rsidRPr="00496081">
        <w:rPr>
          <w:rFonts w:ascii="Times New Roman" w:eastAsia="Times New Roman" w:hAnsi="Times New Roman" w:cs="Times New Roman"/>
          <w:sz w:val="26"/>
          <w:szCs w:val="26"/>
        </w:rPr>
        <w:t xml:space="preserve"> we</w:t>
      </w:r>
      <w:r w:rsidRPr="00496081">
        <w:rPr>
          <w:rFonts w:ascii="Times New Roman" w:eastAsia="Times New Roman" w:hAnsi="Times New Roman" w:cs="Times New Roman"/>
          <w:sz w:val="26"/>
          <w:szCs w:val="26"/>
        </w:rPr>
        <w:t xml:space="preserve"> ordered that this matter be assigned to the Office of Administrative Law Judge</w:t>
      </w:r>
      <w:r w:rsidR="008F3579" w:rsidRPr="00496081">
        <w:rPr>
          <w:rFonts w:ascii="Times New Roman" w:eastAsia="Times New Roman" w:hAnsi="Times New Roman" w:cs="Times New Roman"/>
          <w:sz w:val="26"/>
          <w:szCs w:val="26"/>
        </w:rPr>
        <w:t xml:space="preserve"> (OALJ)</w:t>
      </w:r>
      <w:r w:rsidRPr="00496081">
        <w:rPr>
          <w:rFonts w:ascii="Times New Roman" w:eastAsia="Times New Roman" w:hAnsi="Times New Roman" w:cs="Times New Roman"/>
          <w:sz w:val="26"/>
          <w:szCs w:val="26"/>
        </w:rPr>
        <w:t xml:space="preserve"> for the prompt scheduling of such hearings as may be necessary in order to issue a Recommended Decision to the Commission, giving consideration to the reasonableness of Columbia</w:t>
      </w:r>
      <w:r w:rsidR="008F3579" w:rsidRPr="00496081">
        <w:rPr>
          <w:rFonts w:ascii="Times New Roman" w:eastAsia="Times New Roman" w:hAnsi="Times New Roman" w:cs="Times New Roman"/>
          <w:sz w:val="26"/>
          <w:szCs w:val="26"/>
        </w:rPr>
        <w:t xml:space="preserve"> Water</w:t>
      </w:r>
      <w:r w:rsidRPr="00496081">
        <w:rPr>
          <w:rFonts w:ascii="Times New Roman" w:eastAsia="Times New Roman" w:hAnsi="Times New Roman" w:cs="Times New Roman"/>
          <w:sz w:val="26"/>
          <w:szCs w:val="26"/>
        </w:rPr>
        <w:t>’s existing rates, rules, and regulations.</w:t>
      </w:r>
    </w:p>
    <w:p w:rsidR="008D7B19" w:rsidRPr="00496081" w:rsidRDefault="008D7B19" w:rsidP="00496081">
      <w:pPr>
        <w:spacing w:line="360" w:lineRule="auto"/>
        <w:ind w:firstLine="1440"/>
        <w:contextualSpacing/>
        <w:rPr>
          <w:rFonts w:ascii="Times New Roman" w:eastAsia="Times New Roman" w:hAnsi="Times New Roman" w:cs="Times New Roman"/>
          <w:sz w:val="26"/>
          <w:szCs w:val="26"/>
        </w:rPr>
      </w:pPr>
    </w:p>
    <w:p w:rsidR="00A21CDE" w:rsidRPr="00496081" w:rsidRDefault="007339B5"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On August 25, 2017, an Initial Prehearing Conference was held, with Columbia Water, the OCA, the OSBA, </w:t>
      </w:r>
      <w:r w:rsidR="00FA419B" w:rsidRPr="00496081">
        <w:rPr>
          <w:rFonts w:ascii="Times New Roman" w:eastAsia="Times New Roman" w:hAnsi="Times New Roman" w:cs="Times New Roman"/>
          <w:sz w:val="26"/>
          <w:szCs w:val="26"/>
        </w:rPr>
        <w:t xml:space="preserve">and </w:t>
      </w:r>
      <w:r w:rsidRPr="00496081">
        <w:rPr>
          <w:rFonts w:ascii="Times New Roman" w:eastAsia="Times New Roman" w:hAnsi="Times New Roman" w:cs="Times New Roman"/>
          <w:sz w:val="26"/>
          <w:szCs w:val="26"/>
        </w:rPr>
        <w:t xml:space="preserve">I&amp;E appearing through their legal </w:t>
      </w:r>
      <w:r w:rsidR="00A21CDE" w:rsidRPr="00496081">
        <w:rPr>
          <w:rFonts w:ascii="Times New Roman" w:eastAsia="Times New Roman" w:hAnsi="Times New Roman" w:cs="Times New Roman"/>
          <w:sz w:val="26"/>
          <w:szCs w:val="26"/>
        </w:rPr>
        <w:t>counsel</w:t>
      </w:r>
      <w:r w:rsidRPr="00496081">
        <w:rPr>
          <w:rFonts w:ascii="Times New Roman" w:eastAsia="Times New Roman" w:hAnsi="Times New Roman" w:cs="Times New Roman"/>
          <w:sz w:val="26"/>
          <w:szCs w:val="26"/>
        </w:rPr>
        <w:t xml:space="preserve">.  </w:t>
      </w:r>
      <w:r w:rsidR="00A21CDE" w:rsidRPr="00496081">
        <w:rPr>
          <w:rFonts w:ascii="Times New Roman" w:eastAsia="Times New Roman" w:hAnsi="Times New Roman" w:cs="Times New Roman"/>
          <w:sz w:val="26"/>
          <w:szCs w:val="26"/>
        </w:rPr>
        <w:t xml:space="preserve">Columbia Water’s rate filing and the associated Formal </w:t>
      </w:r>
      <w:r w:rsidR="00FA419B" w:rsidRPr="00496081">
        <w:rPr>
          <w:rFonts w:ascii="Times New Roman" w:eastAsia="Times New Roman" w:hAnsi="Times New Roman" w:cs="Times New Roman"/>
          <w:sz w:val="26"/>
          <w:szCs w:val="26"/>
        </w:rPr>
        <w:t>Complaints</w:t>
      </w:r>
      <w:r w:rsidR="00A21CDE" w:rsidRPr="00496081">
        <w:rPr>
          <w:rFonts w:ascii="Times New Roman" w:eastAsia="Times New Roman" w:hAnsi="Times New Roman" w:cs="Times New Roman"/>
          <w:sz w:val="26"/>
          <w:szCs w:val="26"/>
        </w:rPr>
        <w:t xml:space="preserve"> were formally consolidated for purposes of hearing and decision and a procedural schedule was agreed upon as memorialized in a </w:t>
      </w:r>
      <w:r w:rsidR="00213F5D" w:rsidRPr="00496081">
        <w:rPr>
          <w:rFonts w:ascii="Times New Roman" w:eastAsia="Times New Roman" w:hAnsi="Times New Roman" w:cs="Times New Roman"/>
          <w:sz w:val="26"/>
          <w:szCs w:val="26"/>
        </w:rPr>
        <w:t>s</w:t>
      </w:r>
      <w:r w:rsidR="00A21CDE" w:rsidRPr="00496081">
        <w:rPr>
          <w:rFonts w:ascii="Times New Roman" w:eastAsia="Times New Roman" w:hAnsi="Times New Roman" w:cs="Times New Roman"/>
          <w:sz w:val="26"/>
          <w:szCs w:val="26"/>
        </w:rPr>
        <w:t xml:space="preserve">cheduling </w:t>
      </w:r>
      <w:r w:rsidR="00213F5D" w:rsidRPr="00496081">
        <w:rPr>
          <w:rFonts w:ascii="Times New Roman" w:eastAsia="Times New Roman" w:hAnsi="Times New Roman" w:cs="Times New Roman"/>
          <w:sz w:val="26"/>
          <w:szCs w:val="26"/>
        </w:rPr>
        <w:t>o</w:t>
      </w:r>
      <w:r w:rsidR="00A21CDE" w:rsidRPr="00496081">
        <w:rPr>
          <w:rFonts w:ascii="Times New Roman" w:eastAsia="Times New Roman" w:hAnsi="Times New Roman" w:cs="Times New Roman"/>
          <w:sz w:val="26"/>
          <w:szCs w:val="26"/>
        </w:rPr>
        <w:t xml:space="preserve">rder served by the </w:t>
      </w:r>
      <w:r w:rsidR="00213F5D" w:rsidRPr="00496081">
        <w:rPr>
          <w:rFonts w:ascii="Times New Roman" w:eastAsia="Times New Roman" w:hAnsi="Times New Roman" w:cs="Times New Roman"/>
          <w:sz w:val="26"/>
          <w:szCs w:val="26"/>
        </w:rPr>
        <w:t>ALJs</w:t>
      </w:r>
      <w:r w:rsidR="00A21CDE" w:rsidRPr="00496081">
        <w:rPr>
          <w:rFonts w:ascii="Times New Roman" w:eastAsia="Times New Roman" w:hAnsi="Times New Roman" w:cs="Times New Roman"/>
          <w:sz w:val="26"/>
          <w:szCs w:val="26"/>
        </w:rPr>
        <w:t xml:space="preserve"> on August 28, 2017, with evidentiary hearings scheduled for November 3, 2017 and November 6, 2017. </w:t>
      </w:r>
    </w:p>
    <w:p w:rsidR="00213F5D" w:rsidRPr="00496081" w:rsidRDefault="00213F5D" w:rsidP="00496081">
      <w:pPr>
        <w:spacing w:line="360" w:lineRule="auto"/>
        <w:ind w:firstLine="1440"/>
        <w:contextualSpacing/>
        <w:rPr>
          <w:rFonts w:ascii="Times New Roman" w:eastAsia="Times New Roman" w:hAnsi="Times New Roman" w:cs="Times New Roman"/>
          <w:sz w:val="26"/>
          <w:szCs w:val="26"/>
        </w:rPr>
      </w:pPr>
    </w:p>
    <w:p w:rsidR="007339B5" w:rsidRPr="00496081" w:rsidRDefault="00A21CDE"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Two public input hearings were held in Marietta, Pennsylvania on September 27, 2017 at 2:00 p.m. and 6:00 p.m. for the purpose of receiving input from Columbia Water’s customers.  In the first hearing, five customers provided testimony on the record.  In the second hearing, one customer provided testimony on the record.</w:t>
      </w:r>
    </w:p>
    <w:p w:rsidR="00A21CDE" w:rsidRPr="00496081" w:rsidRDefault="00A21CDE" w:rsidP="00496081">
      <w:pPr>
        <w:spacing w:line="360" w:lineRule="auto"/>
        <w:ind w:firstLine="1440"/>
        <w:contextualSpacing/>
        <w:rPr>
          <w:rFonts w:ascii="Times New Roman" w:eastAsia="Times New Roman" w:hAnsi="Times New Roman" w:cs="Times New Roman"/>
          <w:sz w:val="26"/>
          <w:szCs w:val="26"/>
        </w:rPr>
      </w:pPr>
    </w:p>
    <w:p w:rsidR="00A21CDE" w:rsidRPr="00496081" w:rsidRDefault="00A21CDE"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Pursuant to the litigation schedule, Columbia Water provided direct testimony on September 8, </w:t>
      </w:r>
      <w:r w:rsidR="0019782A" w:rsidRPr="00496081">
        <w:rPr>
          <w:rFonts w:ascii="Times New Roman" w:eastAsia="Times New Roman" w:hAnsi="Times New Roman" w:cs="Times New Roman"/>
          <w:sz w:val="26"/>
          <w:szCs w:val="26"/>
        </w:rPr>
        <w:t>2017; I</w:t>
      </w:r>
      <w:r w:rsidRPr="00496081">
        <w:rPr>
          <w:rFonts w:ascii="Times New Roman" w:eastAsia="Times New Roman" w:hAnsi="Times New Roman" w:cs="Times New Roman"/>
          <w:sz w:val="26"/>
          <w:szCs w:val="26"/>
        </w:rPr>
        <w:t xml:space="preserve">&amp;E, the OCA and the OSBA provided direct testimony </w:t>
      </w:r>
      <w:r w:rsidRPr="00496081">
        <w:rPr>
          <w:rFonts w:ascii="Times New Roman" w:eastAsia="Times New Roman" w:hAnsi="Times New Roman" w:cs="Times New Roman"/>
          <w:sz w:val="26"/>
          <w:szCs w:val="26"/>
        </w:rPr>
        <w:lastRenderedPageBreak/>
        <w:t xml:space="preserve">on October 6, </w:t>
      </w:r>
      <w:r w:rsidR="0019782A" w:rsidRPr="00496081">
        <w:rPr>
          <w:rFonts w:ascii="Times New Roman" w:eastAsia="Times New Roman" w:hAnsi="Times New Roman" w:cs="Times New Roman"/>
          <w:sz w:val="26"/>
          <w:szCs w:val="26"/>
        </w:rPr>
        <w:t>2017; Columbia</w:t>
      </w:r>
      <w:r w:rsidRPr="00496081">
        <w:rPr>
          <w:rFonts w:ascii="Times New Roman" w:eastAsia="Times New Roman" w:hAnsi="Times New Roman" w:cs="Times New Roman"/>
          <w:sz w:val="26"/>
          <w:szCs w:val="26"/>
        </w:rPr>
        <w:t xml:space="preserve"> Water and the OSBA provided rebuttal testimony on October 20, 2017; and I&amp;E, the OCA and the OSBA provided surrebuttal testimony on October 30, 2017.  In addition, Columbia Water provided an oral rejoinder outline on November 1, 2017.</w:t>
      </w:r>
    </w:p>
    <w:p w:rsidR="00A21CDE" w:rsidRPr="00496081" w:rsidRDefault="00A21CDE" w:rsidP="00496081">
      <w:pPr>
        <w:spacing w:line="360" w:lineRule="auto"/>
        <w:ind w:firstLine="1440"/>
        <w:contextualSpacing/>
        <w:rPr>
          <w:rFonts w:ascii="Times New Roman" w:eastAsia="Times New Roman" w:hAnsi="Times New Roman" w:cs="Times New Roman"/>
          <w:sz w:val="26"/>
          <w:szCs w:val="26"/>
        </w:rPr>
      </w:pPr>
    </w:p>
    <w:p w:rsidR="00A21CDE" w:rsidRPr="00496081" w:rsidRDefault="00A21CDE"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In the week prior to the scheduled hearing dates, the Parties had various discussions concerning possible settlement of the case. </w:t>
      </w:r>
      <w:r w:rsidR="008310E0"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sz w:val="26"/>
          <w:szCs w:val="26"/>
        </w:rPr>
        <w:t>Given that the parties were actively attempting to settle the case, on November 2, 2017</w:t>
      </w:r>
      <w:r w:rsidR="0030709E">
        <w:rPr>
          <w:rFonts w:ascii="Times New Roman" w:eastAsia="Times New Roman" w:hAnsi="Times New Roman" w:cs="Times New Roman"/>
          <w:sz w:val="26"/>
          <w:szCs w:val="26"/>
        </w:rPr>
        <w:t>,</w:t>
      </w:r>
      <w:r w:rsidRPr="00496081">
        <w:rPr>
          <w:rFonts w:ascii="Times New Roman" w:eastAsia="Times New Roman" w:hAnsi="Times New Roman" w:cs="Times New Roman"/>
          <w:sz w:val="26"/>
          <w:szCs w:val="26"/>
        </w:rPr>
        <w:t xml:space="preserve"> the ALJs conducted a telephone conference.</w:t>
      </w:r>
    </w:p>
    <w:p w:rsidR="00A21CDE" w:rsidRPr="00496081" w:rsidRDefault="00A21CDE" w:rsidP="00496081">
      <w:pPr>
        <w:spacing w:line="360" w:lineRule="auto"/>
        <w:ind w:firstLine="1440"/>
        <w:contextualSpacing/>
        <w:rPr>
          <w:rFonts w:ascii="Times New Roman" w:eastAsia="Times New Roman" w:hAnsi="Times New Roman" w:cs="Times New Roman"/>
          <w:sz w:val="26"/>
          <w:szCs w:val="26"/>
        </w:rPr>
      </w:pPr>
    </w:p>
    <w:p w:rsidR="00A21CDE" w:rsidRPr="00496081" w:rsidRDefault="00A21CDE"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On November 3, 2017, the </w:t>
      </w:r>
      <w:r w:rsidR="00FA419B" w:rsidRPr="00496081">
        <w:rPr>
          <w:rFonts w:ascii="Times New Roman" w:eastAsia="Times New Roman" w:hAnsi="Times New Roman" w:cs="Times New Roman"/>
          <w:sz w:val="26"/>
          <w:szCs w:val="26"/>
        </w:rPr>
        <w:t>ALJs</w:t>
      </w:r>
      <w:r w:rsidRPr="00496081">
        <w:rPr>
          <w:rFonts w:ascii="Times New Roman" w:eastAsia="Times New Roman" w:hAnsi="Times New Roman" w:cs="Times New Roman"/>
          <w:sz w:val="26"/>
          <w:szCs w:val="26"/>
        </w:rPr>
        <w:t xml:space="preserve"> </w:t>
      </w:r>
      <w:r w:rsidR="00213F5D" w:rsidRPr="00496081">
        <w:rPr>
          <w:rFonts w:ascii="Times New Roman" w:eastAsia="Times New Roman" w:hAnsi="Times New Roman" w:cs="Times New Roman"/>
          <w:sz w:val="26"/>
          <w:szCs w:val="26"/>
        </w:rPr>
        <w:t>conducted</w:t>
      </w:r>
      <w:r w:rsidRPr="00496081">
        <w:rPr>
          <w:rFonts w:ascii="Times New Roman" w:eastAsia="Times New Roman" w:hAnsi="Times New Roman" w:cs="Times New Roman"/>
          <w:sz w:val="26"/>
          <w:szCs w:val="26"/>
        </w:rPr>
        <w:t xml:space="preserve"> a second telephone conference</w:t>
      </w:r>
      <w:r w:rsidR="00FA419B" w:rsidRPr="00496081">
        <w:rPr>
          <w:rFonts w:ascii="Times New Roman" w:eastAsia="Times New Roman" w:hAnsi="Times New Roman" w:cs="Times New Roman"/>
          <w:sz w:val="26"/>
          <w:szCs w:val="26"/>
        </w:rPr>
        <w:t>,</w:t>
      </w:r>
      <w:r w:rsidRPr="00496081">
        <w:rPr>
          <w:rFonts w:ascii="Times New Roman" w:eastAsia="Times New Roman" w:hAnsi="Times New Roman" w:cs="Times New Roman"/>
          <w:sz w:val="26"/>
          <w:szCs w:val="26"/>
        </w:rPr>
        <w:t xml:space="preserve"> during which the Parties advised the ALJs that a full settlement of all issues in the case had been reached.  The Parties also advised that the evidentiary hearings would only be necessary to admit pre-served testimony into the record via stipulation.</w:t>
      </w:r>
    </w:p>
    <w:p w:rsidR="00A21CDE" w:rsidRPr="00496081" w:rsidRDefault="00A21CDE" w:rsidP="00496081">
      <w:pPr>
        <w:spacing w:line="360" w:lineRule="auto"/>
        <w:ind w:firstLine="1440"/>
        <w:contextualSpacing/>
        <w:rPr>
          <w:rFonts w:ascii="Times New Roman" w:eastAsia="Times New Roman" w:hAnsi="Times New Roman" w:cs="Times New Roman"/>
          <w:sz w:val="26"/>
          <w:szCs w:val="26"/>
        </w:rPr>
      </w:pPr>
    </w:p>
    <w:p w:rsidR="00A21CDE" w:rsidRPr="00496081" w:rsidRDefault="00A21CDE"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Also on November 3, 2017, </w:t>
      </w:r>
      <w:r w:rsidR="00FE445D" w:rsidRPr="00496081">
        <w:rPr>
          <w:rFonts w:ascii="Times New Roman" w:eastAsia="Times New Roman" w:hAnsi="Times New Roman" w:cs="Times New Roman"/>
          <w:sz w:val="26"/>
          <w:szCs w:val="26"/>
        </w:rPr>
        <w:t>an</w:t>
      </w:r>
      <w:r w:rsidRPr="00496081">
        <w:rPr>
          <w:rFonts w:ascii="Times New Roman" w:eastAsia="Times New Roman" w:hAnsi="Times New Roman" w:cs="Times New Roman"/>
          <w:sz w:val="26"/>
          <w:szCs w:val="26"/>
        </w:rPr>
        <w:t xml:space="preserve"> evidentiary hearing was held.  Columbia Water, the OCA, the OSBA, and I&amp;E </w:t>
      </w:r>
      <w:r w:rsidR="00FE445D" w:rsidRPr="00496081">
        <w:rPr>
          <w:rFonts w:ascii="Times New Roman" w:eastAsia="Times New Roman" w:hAnsi="Times New Roman" w:cs="Times New Roman"/>
          <w:sz w:val="26"/>
          <w:szCs w:val="26"/>
        </w:rPr>
        <w:t>were each represented by counsel</w:t>
      </w:r>
      <w:r w:rsidRPr="00496081">
        <w:rPr>
          <w:rFonts w:ascii="Times New Roman" w:eastAsia="Times New Roman" w:hAnsi="Times New Roman" w:cs="Times New Roman"/>
          <w:sz w:val="26"/>
          <w:szCs w:val="26"/>
        </w:rPr>
        <w:t xml:space="preserve">.  Additionally, </w:t>
      </w:r>
      <w:r w:rsidR="00E64EE9" w:rsidRPr="00496081">
        <w:rPr>
          <w:rFonts w:ascii="Times New Roman" w:eastAsia="Times New Roman" w:hAnsi="Times New Roman" w:cs="Times New Roman"/>
          <w:sz w:val="26"/>
          <w:szCs w:val="26"/>
        </w:rPr>
        <w:t>Columbia Water presented the oral rejoinder testimony of two witnesses</w:t>
      </w:r>
      <w:r w:rsidR="0030709E">
        <w:rPr>
          <w:rFonts w:ascii="Times New Roman" w:eastAsia="Times New Roman" w:hAnsi="Times New Roman" w:cs="Times New Roman"/>
          <w:sz w:val="26"/>
          <w:szCs w:val="26"/>
        </w:rPr>
        <w:t>,</w:t>
      </w:r>
      <w:r w:rsidR="00E64EE9" w:rsidRPr="00496081">
        <w:rPr>
          <w:rFonts w:ascii="Times New Roman" w:eastAsia="Times New Roman" w:hAnsi="Times New Roman" w:cs="Times New Roman"/>
          <w:sz w:val="26"/>
          <w:szCs w:val="26"/>
        </w:rPr>
        <w:t xml:space="preserve"> and the OCA, the OSBA, and I&amp;E waived cross-examination.  Following the witness presentations, pre</w:t>
      </w:r>
      <w:r w:rsidR="00FE445D" w:rsidRPr="00496081">
        <w:rPr>
          <w:rFonts w:ascii="Times New Roman" w:eastAsia="Times New Roman" w:hAnsi="Times New Roman" w:cs="Times New Roman"/>
          <w:sz w:val="26"/>
          <w:szCs w:val="26"/>
        </w:rPr>
        <w:noBreakHyphen/>
      </w:r>
      <w:r w:rsidR="00E64EE9" w:rsidRPr="00496081">
        <w:rPr>
          <w:rFonts w:ascii="Times New Roman" w:eastAsia="Times New Roman" w:hAnsi="Times New Roman" w:cs="Times New Roman"/>
          <w:sz w:val="26"/>
          <w:szCs w:val="26"/>
        </w:rPr>
        <w:t>served testimony was admitted into the record with accompanying verifications</w:t>
      </w:r>
      <w:r w:rsidR="00AE3473" w:rsidRPr="00496081">
        <w:rPr>
          <w:rFonts w:ascii="Times New Roman" w:eastAsia="Times New Roman" w:hAnsi="Times New Roman" w:cs="Times New Roman"/>
          <w:sz w:val="26"/>
          <w:szCs w:val="26"/>
        </w:rPr>
        <w:t>,</w:t>
      </w:r>
      <w:r w:rsidR="00E64EE9" w:rsidRPr="00496081">
        <w:rPr>
          <w:rFonts w:ascii="Times New Roman" w:eastAsia="Times New Roman" w:hAnsi="Times New Roman" w:cs="Times New Roman"/>
          <w:sz w:val="26"/>
          <w:szCs w:val="26"/>
        </w:rPr>
        <w:t xml:space="preserve"> without objection, as follows:</w:t>
      </w:r>
      <w:r w:rsidR="00E64EE9" w:rsidRPr="00496081">
        <w:rPr>
          <w:rStyle w:val="FootnoteReference"/>
          <w:rFonts w:ascii="Times New Roman" w:eastAsia="Times New Roman" w:hAnsi="Times New Roman" w:cs="Times New Roman"/>
          <w:sz w:val="26"/>
          <w:szCs w:val="26"/>
        </w:rPr>
        <w:footnoteReference w:id="1"/>
      </w:r>
    </w:p>
    <w:p w:rsidR="007339B5" w:rsidRPr="00496081" w:rsidRDefault="007339B5" w:rsidP="00496081">
      <w:pPr>
        <w:spacing w:line="360" w:lineRule="auto"/>
        <w:ind w:firstLine="1440"/>
        <w:contextualSpacing/>
        <w:rPr>
          <w:rFonts w:ascii="Times New Roman" w:eastAsia="Times New Roman" w:hAnsi="Times New Roman" w:cs="Times New Roman"/>
          <w:sz w:val="26"/>
          <w:szCs w:val="26"/>
        </w:rPr>
      </w:pPr>
    </w:p>
    <w:p w:rsidR="00E64EE9" w:rsidRPr="00496081" w:rsidRDefault="00E64EE9" w:rsidP="00496081">
      <w:pPr>
        <w:spacing w:line="360" w:lineRule="auto"/>
        <w:ind w:firstLine="1440"/>
        <w:contextualSpacing/>
        <w:rPr>
          <w:rFonts w:ascii="Times New Roman" w:eastAsia="Times New Roman" w:hAnsi="Times New Roman" w:cs="Times New Roman"/>
          <w:sz w:val="26"/>
          <w:szCs w:val="26"/>
          <w:u w:val="single"/>
        </w:rPr>
      </w:pPr>
      <w:r w:rsidRPr="00496081">
        <w:rPr>
          <w:rFonts w:ascii="Times New Roman" w:eastAsia="Times New Roman" w:hAnsi="Times New Roman" w:cs="Times New Roman"/>
          <w:sz w:val="26"/>
          <w:szCs w:val="26"/>
          <w:u w:val="single"/>
        </w:rPr>
        <w:t>Columbia Water</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Direct Testimony of David T. Lewis (CWC Statement No. 1)</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Direct Testimony of Gary D. Shambaugh (CWC Statement No. 2)</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lastRenderedPageBreak/>
        <w:t>• Direct Testimony of Dylan W. D’Ascendis (CWC Statement No. 3)</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Rebuttal Testimony of David T. Lewis (CWC Statement No. 1-R)</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Rebuttal Testimony of Gary D. Shambaugh (CWC Statement No. 2-R)</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Rebuttal Testimony of Dylan W. D’Ascendis (CWC Statement No. 3-R)</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p>
    <w:p w:rsidR="00E64EE9" w:rsidRPr="00496081" w:rsidRDefault="00E64EE9" w:rsidP="00496081">
      <w:pPr>
        <w:spacing w:line="360" w:lineRule="auto"/>
        <w:ind w:firstLine="1440"/>
        <w:contextualSpacing/>
        <w:rPr>
          <w:rFonts w:ascii="Times New Roman" w:eastAsia="Times New Roman" w:hAnsi="Times New Roman" w:cs="Times New Roman"/>
          <w:sz w:val="26"/>
          <w:szCs w:val="26"/>
          <w:u w:val="single"/>
        </w:rPr>
      </w:pPr>
      <w:r w:rsidRPr="00496081">
        <w:rPr>
          <w:rFonts w:ascii="Times New Roman" w:eastAsia="Times New Roman" w:hAnsi="Times New Roman" w:cs="Times New Roman"/>
          <w:sz w:val="26"/>
          <w:szCs w:val="26"/>
          <w:u w:val="single"/>
        </w:rPr>
        <w:t>OCA</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Direct Testimony of Ashley E. Everette (OCA Statement No. 1)</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Direct Testimony of David Parcell (OCA Statement No. 2)</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Direct Testimony of Terry Fought (OCA Statement No. 3)</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Surrebuttal Testimony of Ashley E. Everette (OCA Statement No. 1-S)</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Surrebuttal Testimony of David Parcell (OCA Statement No. 2-S)</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Surrebuttal Testimony of Terry Fought (OCA Statement No. 3-S)</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p>
    <w:p w:rsidR="00E64EE9" w:rsidRPr="00496081" w:rsidRDefault="00E64EE9" w:rsidP="00496081">
      <w:pPr>
        <w:spacing w:line="360" w:lineRule="auto"/>
        <w:ind w:firstLine="1440"/>
        <w:contextualSpacing/>
        <w:rPr>
          <w:rFonts w:ascii="Times New Roman" w:eastAsia="Times New Roman" w:hAnsi="Times New Roman" w:cs="Times New Roman"/>
          <w:sz w:val="26"/>
          <w:szCs w:val="26"/>
          <w:u w:val="single"/>
        </w:rPr>
      </w:pPr>
      <w:r w:rsidRPr="00496081">
        <w:rPr>
          <w:rFonts w:ascii="Times New Roman" w:eastAsia="Times New Roman" w:hAnsi="Times New Roman" w:cs="Times New Roman"/>
          <w:sz w:val="26"/>
          <w:szCs w:val="26"/>
          <w:u w:val="single"/>
        </w:rPr>
        <w:t>I&amp;E</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Direct Testimony of Brenton Grab (I&amp;E Statement No. 1)</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Direct Testimony of Rachel Maurer (I&amp;E Statement No. 2)</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Direct Testimony of Jeremy Hubert (I&amp;E Statement No. 3)</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Surrebuttal Testimony of Brenton Grab (I&amp;E Statement No. 1-SR)</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Surrebuttal Testimony of Rachel Maurer (I&amp;E Statement No. 2-SR)</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Surrebuttal Testimony of Jeremy Hubert (I&amp;E Statement No. 3-SR)</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p>
    <w:p w:rsidR="00E64EE9" w:rsidRPr="00496081" w:rsidRDefault="00E64EE9" w:rsidP="00496081">
      <w:pPr>
        <w:spacing w:line="360" w:lineRule="auto"/>
        <w:ind w:firstLine="1440"/>
        <w:contextualSpacing/>
        <w:rPr>
          <w:rFonts w:ascii="Times New Roman" w:eastAsia="Times New Roman" w:hAnsi="Times New Roman" w:cs="Times New Roman"/>
          <w:sz w:val="26"/>
          <w:szCs w:val="26"/>
          <w:u w:val="single"/>
        </w:rPr>
      </w:pPr>
      <w:r w:rsidRPr="00496081">
        <w:rPr>
          <w:rFonts w:ascii="Times New Roman" w:eastAsia="Times New Roman" w:hAnsi="Times New Roman" w:cs="Times New Roman"/>
          <w:sz w:val="26"/>
          <w:szCs w:val="26"/>
          <w:u w:val="single"/>
        </w:rPr>
        <w:t>OSBA</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Direct Testimony of Brian Kalcic (OSBA Statement No. 1)</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Rebuttal Testimony of Brian Kalcic (OSBA Statement No. 1-R)</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Surrebuttal Testimony of Brian Kalcic (OSBA Statement No. 1-S)</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In addition to the witness presentations and the admission of pre-served testimony into the record, the Parties were reminded that the settlement materials were due by December 8, 2017, the date originally set for the submission of reply briefs.  </w:t>
      </w:r>
      <w:r w:rsidRPr="00496081">
        <w:rPr>
          <w:rFonts w:ascii="Times New Roman" w:eastAsia="Times New Roman" w:hAnsi="Times New Roman" w:cs="Times New Roman"/>
          <w:sz w:val="26"/>
          <w:szCs w:val="26"/>
        </w:rPr>
        <w:lastRenderedPageBreak/>
        <w:t>Pursuant to a request from the Parties via a telephone conference</w:t>
      </w:r>
      <w:r w:rsidR="002F2BF6" w:rsidRPr="00496081">
        <w:rPr>
          <w:rFonts w:ascii="Times New Roman" w:eastAsia="Times New Roman" w:hAnsi="Times New Roman" w:cs="Times New Roman"/>
          <w:sz w:val="26"/>
          <w:szCs w:val="26"/>
        </w:rPr>
        <w:t xml:space="preserve"> held</w:t>
      </w:r>
      <w:r w:rsidRPr="00496081">
        <w:rPr>
          <w:rFonts w:ascii="Times New Roman" w:eastAsia="Times New Roman" w:hAnsi="Times New Roman" w:cs="Times New Roman"/>
          <w:sz w:val="26"/>
          <w:szCs w:val="26"/>
        </w:rPr>
        <w:t xml:space="preserve"> on December 7, 2017, the deadline for submitting the settlement materials was extended until December</w:t>
      </w:r>
      <w:r w:rsidR="0090192F">
        <w:rPr>
          <w:rFonts w:ascii="Times New Roman" w:eastAsia="Times New Roman" w:hAnsi="Times New Roman" w:cs="Times New Roman"/>
          <w:sz w:val="26"/>
          <w:szCs w:val="26"/>
        </w:rPr>
        <w:t> </w:t>
      </w:r>
      <w:r w:rsidRPr="00496081">
        <w:rPr>
          <w:rFonts w:ascii="Times New Roman" w:eastAsia="Times New Roman" w:hAnsi="Times New Roman" w:cs="Times New Roman"/>
          <w:sz w:val="26"/>
          <w:szCs w:val="26"/>
        </w:rPr>
        <w:t>12, 2017.</w:t>
      </w:r>
    </w:p>
    <w:p w:rsidR="00E64EE9" w:rsidRPr="00496081" w:rsidRDefault="00E64EE9" w:rsidP="00496081">
      <w:pPr>
        <w:spacing w:line="360" w:lineRule="auto"/>
        <w:ind w:firstLine="1440"/>
        <w:contextualSpacing/>
        <w:rPr>
          <w:rFonts w:ascii="Times New Roman" w:eastAsia="Times New Roman" w:hAnsi="Times New Roman" w:cs="Times New Roman"/>
          <w:sz w:val="26"/>
          <w:szCs w:val="26"/>
        </w:rPr>
      </w:pPr>
    </w:p>
    <w:p w:rsidR="00E64EE9" w:rsidRPr="00496081" w:rsidRDefault="0045790D"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On December 12, 2017, Columbia Water, the OCA, the OSBA, and I&amp;E filed the Joint Petition along with Statements in Support</w:t>
      </w:r>
      <w:r w:rsidR="00C22F7C" w:rsidRPr="00496081">
        <w:rPr>
          <w:rFonts w:ascii="Times New Roman" w:eastAsia="Times New Roman" w:hAnsi="Times New Roman" w:cs="Times New Roman"/>
          <w:sz w:val="26"/>
          <w:szCs w:val="26"/>
        </w:rPr>
        <w:t xml:space="preserve"> and the record was closed</w:t>
      </w:r>
      <w:r w:rsidRPr="00496081">
        <w:rPr>
          <w:rFonts w:ascii="Times New Roman" w:eastAsia="Times New Roman" w:hAnsi="Times New Roman" w:cs="Times New Roman"/>
          <w:sz w:val="26"/>
          <w:szCs w:val="26"/>
        </w:rPr>
        <w:t xml:space="preserve">.  Additionally, </w:t>
      </w:r>
      <w:r w:rsidR="00C22F7C" w:rsidRPr="00496081">
        <w:rPr>
          <w:rFonts w:ascii="Times New Roman" w:eastAsia="Times New Roman" w:hAnsi="Times New Roman" w:cs="Times New Roman"/>
          <w:sz w:val="26"/>
          <w:szCs w:val="26"/>
        </w:rPr>
        <w:t xml:space="preserve">the OCA filed a certificate of service indicating that it served </w:t>
      </w:r>
      <w:r w:rsidR="0019782A" w:rsidRPr="00496081">
        <w:rPr>
          <w:rFonts w:ascii="Times New Roman" w:eastAsia="Times New Roman" w:hAnsi="Times New Roman" w:cs="Times New Roman"/>
          <w:sz w:val="26"/>
          <w:szCs w:val="26"/>
        </w:rPr>
        <w:t>a</w:t>
      </w:r>
      <w:r w:rsidR="00C22F7C" w:rsidRPr="00496081">
        <w:rPr>
          <w:rFonts w:ascii="Times New Roman" w:eastAsia="Times New Roman" w:hAnsi="Times New Roman" w:cs="Times New Roman"/>
          <w:sz w:val="26"/>
          <w:szCs w:val="26"/>
        </w:rPr>
        <w:t xml:space="preserve"> copy of the Settlement on each of the </w:t>
      </w:r>
      <w:r w:rsidR="00C22F7C" w:rsidRPr="00496081">
        <w:rPr>
          <w:rFonts w:ascii="Times New Roman" w:eastAsia="Times New Roman" w:hAnsi="Times New Roman" w:cs="Times New Roman"/>
          <w:i/>
          <w:sz w:val="26"/>
          <w:szCs w:val="26"/>
        </w:rPr>
        <w:t>pro se</w:t>
      </w:r>
      <w:r w:rsidR="00C22F7C" w:rsidRPr="00496081">
        <w:rPr>
          <w:rFonts w:ascii="Times New Roman" w:eastAsia="Times New Roman" w:hAnsi="Times New Roman" w:cs="Times New Roman"/>
          <w:sz w:val="26"/>
          <w:szCs w:val="26"/>
        </w:rPr>
        <w:t xml:space="preserve"> Complainants.  The </w:t>
      </w:r>
      <w:r w:rsidR="00C22F7C" w:rsidRPr="00496081">
        <w:rPr>
          <w:rFonts w:ascii="Times New Roman" w:eastAsia="Times New Roman" w:hAnsi="Times New Roman" w:cs="Times New Roman"/>
          <w:i/>
          <w:sz w:val="26"/>
          <w:szCs w:val="26"/>
        </w:rPr>
        <w:t xml:space="preserve">pro se </w:t>
      </w:r>
      <w:r w:rsidR="00C22F7C" w:rsidRPr="00496081">
        <w:rPr>
          <w:rFonts w:ascii="Times New Roman" w:eastAsia="Times New Roman" w:hAnsi="Times New Roman" w:cs="Times New Roman"/>
          <w:sz w:val="26"/>
          <w:szCs w:val="26"/>
        </w:rPr>
        <w:t>Complainants were given an opportunity to object to the Settlement by December 22, 2017 or be deemed to not oppose the Settlement.  No objections were received.</w:t>
      </w:r>
    </w:p>
    <w:p w:rsidR="00D30B7F" w:rsidRPr="00496081" w:rsidRDefault="00D30B7F" w:rsidP="00496081">
      <w:pPr>
        <w:spacing w:line="360" w:lineRule="auto"/>
        <w:ind w:firstLine="1440"/>
        <w:contextualSpacing/>
        <w:rPr>
          <w:rFonts w:ascii="Times New Roman" w:eastAsia="Times New Roman" w:hAnsi="Times New Roman" w:cs="Times New Roman"/>
          <w:sz w:val="26"/>
          <w:szCs w:val="26"/>
        </w:rPr>
      </w:pPr>
    </w:p>
    <w:p w:rsidR="00D30B7F" w:rsidRPr="00496081" w:rsidRDefault="00D30B7F"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In </w:t>
      </w:r>
      <w:r w:rsidR="00EF0F75" w:rsidRPr="00496081">
        <w:rPr>
          <w:rFonts w:ascii="Times New Roman" w:eastAsia="Times New Roman" w:hAnsi="Times New Roman" w:cs="Times New Roman"/>
          <w:sz w:val="26"/>
          <w:szCs w:val="26"/>
        </w:rPr>
        <w:t>the</w:t>
      </w:r>
      <w:r w:rsidRPr="00496081">
        <w:rPr>
          <w:rFonts w:ascii="Times New Roman" w:eastAsia="Times New Roman" w:hAnsi="Times New Roman" w:cs="Times New Roman"/>
          <w:sz w:val="26"/>
          <w:szCs w:val="26"/>
        </w:rPr>
        <w:t xml:space="preserve"> Recommended Decision, issued on </w:t>
      </w:r>
      <w:r w:rsidR="004A491C" w:rsidRPr="00496081">
        <w:rPr>
          <w:rFonts w:ascii="Times New Roman" w:eastAsia="Times New Roman" w:hAnsi="Times New Roman" w:cs="Times New Roman"/>
          <w:sz w:val="26"/>
          <w:szCs w:val="26"/>
        </w:rPr>
        <w:t>January 12, 2018</w:t>
      </w:r>
      <w:r w:rsidRPr="00496081">
        <w:rPr>
          <w:rFonts w:ascii="Times New Roman" w:eastAsia="Times New Roman" w:hAnsi="Times New Roman" w:cs="Times New Roman"/>
          <w:sz w:val="26"/>
          <w:szCs w:val="26"/>
        </w:rPr>
        <w:t xml:space="preserve">, the ALJs recommended </w:t>
      </w:r>
      <w:r w:rsidR="00F10F53" w:rsidRPr="00496081">
        <w:rPr>
          <w:rFonts w:ascii="Times New Roman" w:eastAsia="Times New Roman" w:hAnsi="Times New Roman" w:cs="Times New Roman"/>
          <w:sz w:val="26"/>
          <w:szCs w:val="26"/>
        </w:rPr>
        <w:t>that the Commission approve</w:t>
      </w:r>
      <w:r w:rsidRPr="00496081">
        <w:rPr>
          <w:rFonts w:ascii="Times New Roman" w:eastAsia="Times New Roman" w:hAnsi="Times New Roman" w:cs="Times New Roman"/>
          <w:sz w:val="26"/>
          <w:szCs w:val="26"/>
        </w:rPr>
        <w:t xml:space="preserve"> the Joint Petition without modification</w:t>
      </w:r>
      <w:r w:rsidR="00F10F53" w:rsidRPr="00496081">
        <w:rPr>
          <w:rFonts w:ascii="Times New Roman" w:eastAsia="Times New Roman" w:hAnsi="Times New Roman" w:cs="Times New Roman"/>
          <w:sz w:val="26"/>
          <w:szCs w:val="26"/>
        </w:rPr>
        <w:t xml:space="preserve">, as being in the public </w:t>
      </w:r>
      <w:r w:rsidR="004A491C" w:rsidRPr="00496081">
        <w:rPr>
          <w:rFonts w:ascii="Times New Roman" w:eastAsia="Times New Roman" w:hAnsi="Times New Roman" w:cs="Times New Roman"/>
          <w:sz w:val="26"/>
          <w:szCs w:val="26"/>
        </w:rPr>
        <w:t>interest</w:t>
      </w:r>
      <w:r w:rsidRPr="00496081">
        <w:rPr>
          <w:rFonts w:ascii="Times New Roman" w:eastAsia="Times New Roman" w:hAnsi="Times New Roman" w:cs="Times New Roman"/>
          <w:sz w:val="26"/>
          <w:szCs w:val="26"/>
        </w:rPr>
        <w:t>.</w:t>
      </w:r>
      <w:r w:rsidR="00BC2903" w:rsidRPr="00496081">
        <w:rPr>
          <w:rFonts w:ascii="Times New Roman" w:eastAsia="Times New Roman" w:hAnsi="Times New Roman" w:cs="Times New Roman"/>
          <w:sz w:val="26"/>
          <w:szCs w:val="26"/>
        </w:rPr>
        <w:t xml:space="preserve">  </w:t>
      </w:r>
    </w:p>
    <w:p w:rsidR="00B156EF" w:rsidRPr="00496081" w:rsidRDefault="00B156EF" w:rsidP="00496081">
      <w:pPr>
        <w:spacing w:line="360" w:lineRule="auto"/>
        <w:ind w:firstLine="1440"/>
        <w:contextualSpacing/>
        <w:rPr>
          <w:rFonts w:ascii="Times New Roman" w:eastAsia="Times New Roman" w:hAnsi="Times New Roman" w:cs="Times New Roman"/>
          <w:sz w:val="26"/>
          <w:szCs w:val="26"/>
        </w:rPr>
      </w:pPr>
    </w:p>
    <w:p w:rsidR="00987FEF" w:rsidRPr="00496081" w:rsidRDefault="00BC2903"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As previously noted, </w:t>
      </w:r>
      <w:r w:rsidR="004A491C" w:rsidRPr="00496081">
        <w:rPr>
          <w:rFonts w:ascii="Times New Roman" w:eastAsia="Times New Roman" w:hAnsi="Times New Roman" w:cs="Times New Roman"/>
          <w:sz w:val="26"/>
          <w:szCs w:val="26"/>
        </w:rPr>
        <w:t>Columbia Water filed Exceptions to the Recommended Decision on January 22, 2018.  I&amp;E filed Replies to Exceptions on January 29, 2018.</w:t>
      </w:r>
    </w:p>
    <w:p w:rsidR="003637DD" w:rsidRPr="00496081" w:rsidRDefault="003637DD" w:rsidP="00496081">
      <w:pPr>
        <w:spacing w:line="360" w:lineRule="auto"/>
        <w:contextualSpacing/>
        <w:rPr>
          <w:rFonts w:ascii="Times New Roman" w:eastAsia="Times New Roman" w:hAnsi="Times New Roman" w:cs="Times New Roman"/>
          <w:sz w:val="26"/>
          <w:szCs w:val="26"/>
        </w:rPr>
      </w:pPr>
    </w:p>
    <w:p w:rsidR="009E1F23" w:rsidRPr="00496081" w:rsidRDefault="009E1F23" w:rsidP="00496081">
      <w:pPr>
        <w:keepNext/>
        <w:keepLines/>
        <w:spacing w:line="360" w:lineRule="auto"/>
        <w:contextualSpacing/>
        <w:jc w:val="center"/>
        <w:rPr>
          <w:rFonts w:ascii="Times New Roman" w:eastAsia="Times New Roman" w:hAnsi="Times New Roman" w:cs="Times New Roman"/>
          <w:b/>
          <w:sz w:val="26"/>
          <w:szCs w:val="26"/>
        </w:rPr>
      </w:pPr>
      <w:r w:rsidRPr="00496081">
        <w:rPr>
          <w:rFonts w:ascii="Times New Roman" w:eastAsia="Times New Roman" w:hAnsi="Times New Roman" w:cs="Times New Roman"/>
          <w:b/>
          <w:sz w:val="26"/>
          <w:szCs w:val="26"/>
        </w:rPr>
        <w:t>II.</w:t>
      </w:r>
      <w:r w:rsidRPr="00496081">
        <w:rPr>
          <w:rFonts w:ascii="Times New Roman" w:eastAsia="Times New Roman" w:hAnsi="Times New Roman" w:cs="Times New Roman"/>
          <w:b/>
          <w:sz w:val="26"/>
          <w:szCs w:val="26"/>
        </w:rPr>
        <w:tab/>
        <w:t>Description of the Compan</w:t>
      </w:r>
      <w:r w:rsidR="003D3763" w:rsidRPr="00496081">
        <w:rPr>
          <w:rFonts w:ascii="Times New Roman" w:eastAsia="Times New Roman" w:hAnsi="Times New Roman" w:cs="Times New Roman"/>
          <w:b/>
          <w:sz w:val="26"/>
          <w:szCs w:val="26"/>
        </w:rPr>
        <w:t>y</w:t>
      </w:r>
    </w:p>
    <w:p w:rsidR="009E1F23" w:rsidRPr="00496081" w:rsidRDefault="009E1F23" w:rsidP="00496081">
      <w:pPr>
        <w:keepNext/>
        <w:keepLines/>
        <w:spacing w:line="360" w:lineRule="auto"/>
        <w:ind w:firstLine="1440"/>
        <w:contextualSpacing/>
        <w:rPr>
          <w:rFonts w:ascii="Times New Roman" w:eastAsia="Times New Roman" w:hAnsi="Times New Roman" w:cs="Times New Roman"/>
          <w:sz w:val="26"/>
          <w:szCs w:val="26"/>
        </w:rPr>
      </w:pPr>
    </w:p>
    <w:p w:rsidR="00BF596E" w:rsidRPr="00496081" w:rsidRDefault="00BF596E" w:rsidP="00BF6C77">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Columbia Water furnishes water service to customers</w:t>
      </w:r>
      <w:r w:rsidR="00983A5B" w:rsidRPr="00496081">
        <w:rPr>
          <w:rFonts w:ascii="Times New Roman" w:eastAsia="Times New Roman" w:hAnsi="Times New Roman" w:cs="Times New Roman"/>
          <w:sz w:val="26"/>
          <w:szCs w:val="26"/>
        </w:rPr>
        <w:t xml:space="preserve"> </w:t>
      </w:r>
      <w:r w:rsidR="00FE445D" w:rsidRPr="00496081">
        <w:rPr>
          <w:rFonts w:ascii="Times New Roman" w:eastAsia="Times New Roman" w:hAnsi="Times New Roman" w:cs="Times New Roman"/>
          <w:sz w:val="26"/>
          <w:szCs w:val="26"/>
        </w:rPr>
        <w:t xml:space="preserve">in </w:t>
      </w:r>
      <w:r w:rsidR="00983A5B" w:rsidRPr="00496081">
        <w:rPr>
          <w:rFonts w:ascii="Times New Roman" w:eastAsia="Times New Roman" w:hAnsi="Times New Roman" w:cs="Times New Roman"/>
          <w:sz w:val="26"/>
          <w:szCs w:val="26"/>
        </w:rPr>
        <w:t xml:space="preserve">two rate districts.  The Marietta Rate District covers water service provided in </w:t>
      </w:r>
      <w:r w:rsidR="002F2BF6" w:rsidRPr="00496081">
        <w:rPr>
          <w:rFonts w:ascii="Times New Roman" w:eastAsia="Times New Roman" w:hAnsi="Times New Roman" w:cs="Times New Roman"/>
          <w:sz w:val="26"/>
          <w:szCs w:val="26"/>
        </w:rPr>
        <w:t xml:space="preserve">the </w:t>
      </w:r>
      <w:r w:rsidR="00983A5B" w:rsidRPr="00496081">
        <w:rPr>
          <w:rFonts w:ascii="Times New Roman" w:eastAsia="Times New Roman" w:hAnsi="Times New Roman" w:cs="Times New Roman"/>
          <w:sz w:val="26"/>
          <w:szCs w:val="26"/>
        </w:rPr>
        <w:t>Marietta Borough and East Donegal Township in Lancaster County and in Hellam Township in York County.  The Columbia Rate District covers water service provided in the Boroughs of Columbia and Mountville and</w:t>
      </w:r>
      <w:r w:rsidRPr="00496081">
        <w:rPr>
          <w:rFonts w:ascii="Times New Roman" w:eastAsia="Times New Roman" w:hAnsi="Times New Roman" w:cs="Times New Roman"/>
          <w:sz w:val="26"/>
          <w:szCs w:val="26"/>
        </w:rPr>
        <w:t xml:space="preserve"> in the Townships of West Hempfield</w:t>
      </w:r>
      <w:r w:rsidR="00983A5B"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sz w:val="26"/>
          <w:szCs w:val="26"/>
        </w:rPr>
        <w:t>East Donegal, and Manor</w:t>
      </w:r>
      <w:r w:rsidR="00983A5B" w:rsidRPr="00496081">
        <w:rPr>
          <w:rFonts w:ascii="Times New Roman" w:eastAsia="Times New Roman" w:hAnsi="Times New Roman" w:cs="Times New Roman"/>
          <w:sz w:val="26"/>
          <w:szCs w:val="26"/>
        </w:rPr>
        <w:t xml:space="preserve">, all located in Lancaster County.  Columbia Water’s customers’ average daily water demand is 2.3 million gallons per day (MGD) and peak flows reach 2.9 MGD.  Additionally, Columbia Water’s recently-upgraded water treatment plant has a permitted capacity of </w:t>
      </w:r>
      <w:r w:rsidR="00983A5B" w:rsidRPr="00496081">
        <w:rPr>
          <w:rFonts w:ascii="Times New Roman" w:eastAsia="Times New Roman" w:hAnsi="Times New Roman" w:cs="Times New Roman"/>
          <w:sz w:val="26"/>
          <w:szCs w:val="26"/>
        </w:rPr>
        <w:lastRenderedPageBreak/>
        <w:t xml:space="preserve">4.0 MGD, and its Chickies and Dugan wells have an additional permitted capacity of 1.2 MGD.  As of June 30, 2018, Columbia Water served a total of </w:t>
      </w:r>
      <w:r w:rsidRPr="00496081">
        <w:rPr>
          <w:rFonts w:ascii="Times New Roman" w:eastAsia="Times New Roman" w:hAnsi="Times New Roman" w:cs="Times New Roman"/>
          <w:sz w:val="26"/>
          <w:szCs w:val="26"/>
        </w:rPr>
        <w:t xml:space="preserve">10,223 customers, including 9,537 residential customers.  Columbia Water Statement in Support at </w:t>
      </w:r>
      <w:r w:rsidR="00983A5B" w:rsidRPr="00496081">
        <w:rPr>
          <w:rFonts w:ascii="Times New Roman" w:eastAsia="Times New Roman" w:hAnsi="Times New Roman" w:cs="Times New Roman"/>
          <w:sz w:val="26"/>
          <w:szCs w:val="26"/>
        </w:rPr>
        <w:t>3; OCA Statement in Support at 2.</w:t>
      </w:r>
    </w:p>
    <w:p w:rsidR="009E1F23" w:rsidRPr="00496081" w:rsidRDefault="009E1F23" w:rsidP="00496081">
      <w:pPr>
        <w:spacing w:line="360" w:lineRule="auto"/>
        <w:ind w:firstLine="1440"/>
        <w:contextualSpacing/>
        <w:rPr>
          <w:rFonts w:ascii="Times New Roman" w:eastAsia="Times New Roman" w:hAnsi="Times New Roman" w:cs="Times New Roman"/>
          <w:sz w:val="26"/>
          <w:szCs w:val="26"/>
        </w:rPr>
      </w:pPr>
    </w:p>
    <w:p w:rsidR="009E1F23" w:rsidRPr="00496081" w:rsidRDefault="009E1F23" w:rsidP="00496081">
      <w:pPr>
        <w:keepNext/>
        <w:keepLines/>
        <w:spacing w:line="360" w:lineRule="auto"/>
        <w:contextualSpacing/>
        <w:jc w:val="center"/>
        <w:rPr>
          <w:rFonts w:ascii="Times New Roman" w:eastAsia="Times New Roman" w:hAnsi="Times New Roman" w:cs="Times New Roman"/>
          <w:b/>
          <w:sz w:val="26"/>
          <w:szCs w:val="26"/>
        </w:rPr>
      </w:pPr>
      <w:r w:rsidRPr="00496081">
        <w:rPr>
          <w:rFonts w:ascii="Times New Roman" w:eastAsia="Times New Roman" w:hAnsi="Times New Roman" w:cs="Times New Roman"/>
          <w:b/>
          <w:sz w:val="26"/>
          <w:szCs w:val="26"/>
        </w:rPr>
        <w:t>III.</w:t>
      </w:r>
      <w:r w:rsidRPr="00496081">
        <w:rPr>
          <w:rFonts w:ascii="Times New Roman" w:eastAsia="Times New Roman" w:hAnsi="Times New Roman" w:cs="Times New Roman"/>
          <w:b/>
          <w:sz w:val="26"/>
          <w:szCs w:val="26"/>
        </w:rPr>
        <w:tab/>
        <w:t>Discussion</w:t>
      </w:r>
    </w:p>
    <w:p w:rsidR="009E1F23" w:rsidRPr="00496081" w:rsidRDefault="009E1F23" w:rsidP="00496081">
      <w:pPr>
        <w:keepNext/>
        <w:keepLines/>
        <w:spacing w:line="360" w:lineRule="auto"/>
        <w:contextualSpacing/>
        <w:rPr>
          <w:rFonts w:ascii="Times New Roman" w:eastAsia="Times New Roman" w:hAnsi="Times New Roman" w:cs="Times New Roman"/>
          <w:sz w:val="26"/>
          <w:szCs w:val="26"/>
        </w:rPr>
      </w:pPr>
    </w:p>
    <w:p w:rsidR="00334263" w:rsidRPr="00496081" w:rsidRDefault="00334263"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As a preliminary matter, we note that any issue or exception that we do not specifically delineate shall be deemed to have been duly considered and denied without further discussion.  We are not required to consider expressly or at length each contention or argument raised by the parties.  </w:t>
      </w:r>
      <w:r w:rsidRPr="00496081">
        <w:rPr>
          <w:rFonts w:ascii="Times New Roman" w:eastAsia="Times New Roman" w:hAnsi="Times New Roman" w:cs="Times New Roman"/>
          <w:i/>
          <w:sz w:val="26"/>
          <w:szCs w:val="26"/>
        </w:rPr>
        <w:t>Consolidated Rail Corp. v. Pa. PUC</w:t>
      </w:r>
      <w:r w:rsidRPr="00496081">
        <w:rPr>
          <w:rFonts w:ascii="Times New Roman" w:eastAsia="Times New Roman" w:hAnsi="Times New Roman" w:cs="Times New Roman"/>
          <w:sz w:val="26"/>
          <w:szCs w:val="26"/>
        </w:rPr>
        <w:t xml:space="preserve">, 625 A.2d 741 (Pa. Cmwlth. 1993); </w:t>
      </w:r>
      <w:r w:rsidRPr="00496081">
        <w:rPr>
          <w:rFonts w:ascii="Times New Roman" w:eastAsia="Times New Roman" w:hAnsi="Times New Roman" w:cs="Times New Roman"/>
          <w:i/>
          <w:sz w:val="26"/>
          <w:szCs w:val="26"/>
        </w:rPr>
        <w:t>also see,</w:t>
      </w:r>
      <w:r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i/>
          <w:sz w:val="26"/>
          <w:szCs w:val="26"/>
        </w:rPr>
        <w:t>generally</w:t>
      </w:r>
      <w:r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i/>
          <w:sz w:val="26"/>
          <w:szCs w:val="26"/>
        </w:rPr>
        <w:t>University of Pennsylvania v. Pa. PUC</w:t>
      </w:r>
      <w:r w:rsidRPr="00496081">
        <w:rPr>
          <w:rFonts w:ascii="Times New Roman" w:eastAsia="Times New Roman" w:hAnsi="Times New Roman" w:cs="Times New Roman"/>
          <w:sz w:val="26"/>
          <w:szCs w:val="26"/>
        </w:rPr>
        <w:t>, 485 A.2d 1217 (Pa. Cmwlth. 1984).</w:t>
      </w:r>
    </w:p>
    <w:p w:rsidR="00334263" w:rsidRPr="00496081" w:rsidRDefault="00334263" w:rsidP="00496081">
      <w:pPr>
        <w:spacing w:line="360" w:lineRule="auto"/>
        <w:contextualSpacing/>
        <w:rPr>
          <w:rFonts w:ascii="Times New Roman" w:eastAsia="Times New Roman" w:hAnsi="Times New Roman" w:cs="Times New Roman"/>
          <w:sz w:val="26"/>
          <w:szCs w:val="26"/>
        </w:rPr>
      </w:pPr>
    </w:p>
    <w:p w:rsidR="009E1F23" w:rsidRPr="00496081" w:rsidRDefault="009E1F23" w:rsidP="00496081">
      <w:pPr>
        <w:keepNext/>
        <w:keepLines/>
        <w:spacing w:line="360" w:lineRule="auto"/>
        <w:contextualSpacing/>
        <w:rPr>
          <w:rFonts w:ascii="Times New Roman" w:hAnsi="Times New Roman" w:cs="Times New Roman"/>
          <w:b/>
          <w:sz w:val="26"/>
          <w:szCs w:val="26"/>
        </w:rPr>
      </w:pPr>
      <w:r w:rsidRPr="00496081">
        <w:rPr>
          <w:rFonts w:ascii="Times New Roman" w:eastAsia="Times New Roman" w:hAnsi="Times New Roman" w:cs="Times New Roman"/>
          <w:b/>
          <w:sz w:val="26"/>
          <w:szCs w:val="26"/>
        </w:rPr>
        <w:t>A.</w:t>
      </w:r>
      <w:r w:rsidR="00E148D8" w:rsidRPr="00496081">
        <w:rPr>
          <w:rFonts w:ascii="Times New Roman" w:hAnsi="Times New Roman" w:cs="Times New Roman"/>
          <w:b/>
          <w:sz w:val="26"/>
          <w:szCs w:val="26"/>
        </w:rPr>
        <w:tab/>
        <w:t>Legal Standard</w:t>
      </w:r>
      <w:r w:rsidR="006A6F2E" w:rsidRPr="00496081">
        <w:rPr>
          <w:rFonts w:ascii="Times New Roman" w:hAnsi="Times New Roman" w:cs="Times New Roman"/>
          <w:b/>
          <w:sz w:val="26"/>
          <w:szCs w:val="26"/>
        </w:rPr>
        <w:t>s</w:t>
      </w:r>
    </w:p>
    <w:p w:rsidR="009E1F23" w:rsidRPr="00496081" w:rsidRDefault="009E1F23" w:rsidP="00496081">
      <w:pPr>
        <w:keepNext/>
        <w:keepLines/>
        <w:spacing w:line="360" w:lineRule="auto"/>
        <w:ind w:firstLine="1440"/>
        <w:contextualSpacing/>
        <w:rPr>
          <w:rFonts w:ascii="Times New Roman" w:hAnsi="Times New Roman" w:cs="Times New Roman"/>
          <w:sz w:val="26"/>
          <w:szCs w:val="26"/>
        </w:rPr>
      </w:pPr>
    </w:p>
    <w:p w:rsidR="00880B79" w:rsidRPr="00496081" w:rsidRDefault="00880B79" w:rsidP="00496081">
      <w:pPr>
        <w:spacing w:after="0"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The purpose of this investigation is to establish rates for </w:t>
      </w:r>
      <w:r w:rsidR="00983A5B" w:rsidRPr="00496081">
        <w:rPr>
          <w:rFonts w:ascii="Times New Roman" w:eastAsia="Times New Roman" w:hAnsi="Times New Roman" w:cs="Times New Roman"/>
          <w:sz w:val="26"/>
          <w:szCs w:val="26"/>
        </w:rPr>
        <w:t xml:space="preserve">Columbia </w:t>
      </w:r>
      <w:r w:rsidRPr="00496081">
        <w:rPr>
          <w:rFonts w:ascii="Times New Roman" w:eastAsia="Times New Roman" w:hAnsi="Times New Roman" w:cs="Times New Roman"/>
          <w:sz w:val="26"/>
          <w:szCs w:val="26"/>
        </w:rPr>
        <w:t xml:space="preserve">Water’s customers that are “just and reasonable” pursuant to Section 1301 of the Public Utility Code (Code), 66 Pa. C.S. § 1301.  </w:t>
      </w:r>
    </w:p>
    <w:p w:rsidR="00880B79" w:rsidRPr="00496081" w:rsidRDefault="00880B79" w:rsidP="00496081">
      <w:pPr>
        <w:spacing w:after="0" w:line="360" w:lineRule="auto"/>
        <w:ind w:firstLine="1440"/>
        <w:contextualSpacing/>
        <w:rPr>
          <w:rFonts w:ascii="Times New Roman" w:eastAsia="Times New Roman" w:hAnsi="Times New Roman" w:cs="Times New Roman"/>
          <w:sz w:val="26"/>
          <w:szCs w:val="26"/>
        </w:rPr>
      </w:pPr>
    </w:p>
    <w:p w:rsidR="00880B79" w:rsidRPr="00496081" w:rsidRDefault="00880B79" w:rsidP="00496081">
      <w:pPr>
        <w:spacing w:after="0"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The Commission applies certain principles in deciding any general rate increase case brought under Section 1308(d) of the Code, 66 Pa. C.S. § 1308(d).  A</w:t>
      </w:r>
      <w:r w:rsidR="00BF6C77">
        <w:rPr>
          <w:rFonts w:ascii="Times New Roman" w:eastAsia="Times New Roman" w:hAnsi="Times New Roman" w:cs="Times New Roman"/>
          <w:sz w:val="26"/>
          <w:szCs w:val="26"/>
        </w:rPr>
        <w:t> </w:t>
      </w:r>
      <w:r w:rsidRPr="00496081">
        <w:rPr>
          <w:rFonts w:ascii="Times New Roman" w:eastAsia="Times New Roman" w:hAnsi="Times New Roman" w:cs="Times New Roman"/>
          <w:sz w:val="26"/>
          <w:szCs w:val="26"/>
        </w:rPr>
        <w:t xml:space="preserve">public utility seeking a general rate increase is entitled to an opportunity to earn a fair rate of return on the value of the property dedicated to public service.  </w:t>
      </w:r>
      <w:r w:rsidRPr="00496081">
        <w:rPr>
          <w:rFonts w:ascii="Times New Roman" w:eastAsia="Times New Roman" w:hAnsi="Times New Roman" w:cs="Times New Roman"/>
          <w:i/>
          <w:sz w:val="26"/>
          <w:szCs w:val="26"/>
        </w:rPr>
        <w:t>Bluefield Water Works and Improvement Co. v. Public Service Comm’n of West Virginia,</w:t>
      </w:r>
      <w:r w:rsidRPr="00496081">
        <w:rPr>
          <w:rFonts w:ascii="Times New Roman" w:eastAsia="Times New Roman" w:hAnsi="Times New Roman" w:cs="Times New Roman"/>
          <w:sz w:val="26"/>
          <w:szCs w:val="26"/>
        </w:rPr>
        <w:t xml:space="preserve"> 262 U.S. 679 (1923) (</w:t>
      </w:r>
      <w:r w:rsidRPr="00496081">
        <w:rPr>
          <w:rFonts w:ascii="Times New Roman" w:eastAsia="Times New Roman" w:hAnsi="Times New Roman" w:cs="Times New Roman"/>
          <w:i/>
          <w:sz w:val="26"/>
          <w:szCs w:val="26"/>
        </w:rPr>
        <w:t>Bluefield</w:t>
      </w:r>
      <w:r w:rsidRPr="00496081">
        <w:rPr>
          <w:rFonts w:ascii="Times New Roman" w:eastAsia="Times New Roman" w:hAnsi="Times New Roman" w:cs="Times New Roman"/>
          <w:sz w:val="26"/>
          <w:szCs w:val="26"/>
        </w:rPr>
        <w:t xml:space="preserve">).  In determining what constitutes a fair rate of return, the Commission is guided by the criteria set forth in </w:t>
      </w:r>
      <w:r w:rsidRPr="00496081">
        <w:rPr>
          <w:rFonts w:ascii="Times New Roman" w:eastAsia="Times New Roman" w:hAnsi="Times New Roman" w:cs="Times New Roman"/>
          <w:i/>
          <w:sz w:val="26"/>
          <w:szCs w:val="26"/>
        </w:rPr>
        <w:t xml:space="preserve">Bluefield, supra, </w:t>
      </w:r>
      <w:r w:rsidRPr="00496081">
        <w:rPr>
          <w:rFonts w:ascii="Times New Roman" w:eastAsia="Times New Roman" w:hAnsi="Times New Roman" w:cs="Times New Roman"/>
          <w:sz w:val="26"/>
          <w:szCs w:val="26"/>
        </w:rPr>
        <w:t xml:space="preserve">and </w:t>
      </w:r>
      <w:r w:rsidRPr="00496081">
        <w:rPr>
          <w:rFonts w:ascii="Times New Roman" w:eastAsia="Times New Roman" w:hAnsi="Times New Roman" w:cs="Times New Roman"/>
          <w:i/>
          <w:sz w:val="26"/>
          <w:szCs w:val="26"/>
        </w:rPr>
        <w:t>Federal Power Comm’n v. Hope Natural Gas Co.</w:t>
      </w:r>
      <w:r w:rsidRPr="00496081">
        <w:rPr>
          <w:rFonts w:ascii="Times New Roman" w:eastAsia="Times New Roman" w:hAnsi="Times New Roman" w:cs="Times New Roman"/>
          <w:sz w:val="26"/>
          <w:szCs w:val="26"/>
        </w:rPr>
        <w:t xml:space="preserve">, 320 U.S. 591 (1944).  In </w:t>
      </w:r>
      <w:r w:rsidRPr="00496081">
        <w:rPr>
          <w:rFonts w:ascii="Times New Roman" w:eastAsia="Times New Roman" w:hAnsi="Times New Roman" w:cs="Times New Roman"/>
          <w:i/>
          <w:sz w:val="26"/>
          <w:szCs w:val="26"/>
        </w:rPr>
        <w:t>Bluefield</w:t>
      </w:r>
      <w:r w:rsidRPr="00496081">
        <w:rPr>
          <w:rFonts w:ascii="Times New Roman" w:eastAsia="Times New Roman" w:hAnsi="Times New Roman" w:cs="Times New Roman"/>
          <w:sz w:val="26"/>
          <w:szCs w:val="26"/>
        </w:rPr>
        <w:t>, the United States Supreme Court stated:</w:t>
      </w:r>
    </w:p>
    <w:p w:rsidR="00880B79" w:rsidRPr="00496081" w:rsidRDefault="00880B79" w:rsidP="00496081">
      <w:pPr>
        <w:spacing w:after="0" w:line="360" w:lineRule="auto"/>
        <w:ind w:firstLine="1440"/>
        <w:contextualSpacing/>
        <w:rPr>
          <w:rFonts w:ascii="Times New Roman" w:eastAsia="Times New Roman" w:hAnsi="Times New Roman" w:cs="Times New Roman"/>
          <w:sz w:val="26"/>
          <w:szCs w:val="26"/>
        </w:rPr>
      </w:pPr>
    </w:p>
    <w:p w:rsidR="00880B79" w:rsidRPr="00496081" w:rsidRDefault="00880B79" w:rsidP="00496081">
      <w:pPr>
        <w:spacing w:after="0" w:line="240" w:lineRule="auto"/>
        <w:ind w:left="1440" w:right="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w:t>
      </w:r>
    </w:p>
    <w:p w:rsidR="00880B79" w:rsidRPr="00496081" w:rsidRDefault="00880B79" w:rsidP="00496081">
      <w:pPr>
        <w:spacing w:after="0" w:line="240" w:lineRule="auto"/>
        <w:ind w:left="1440" w:right="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A rate of return may be too high or too low by changes affecting opportunities for investment, the money market and business conditions generally.</w:t>
      </w:r>
    </w:p>
    <w:p w:rsidR="006A0BF3" w:rsidRPr="00496081" w:rsidRDefault="006A0BF3" w:rsidP="00496081">
      <w:pPr>
        <w:spacing w:after="0" w:line="240" w:lineRule="auto"/>
        <w:ind w:left="1440" w:right="1440"/>
        <w:contextualSpacing/>
        <w:rPr>
          <w:rFonts w:ascii="Times New Roman" w:eastAsia="Times New Roman" w:hAnsi="Times New Roman" w:cs="Times New Roman"/>
          <w:sz w:val="26"/>
          <w:szCs w:val="26"/>
        </w:rPr>
      </w:pPr>
    </w:p>
    <w:p w:rsidR="006A0BF3" w:rsidRPr="00496081" w:rsidRDefault="006A0BF3" w:rsidP="00496081">
      <w:pPr>
        <w:spacing w:after="0" w:line="240" w:lineRule="auto"/>
        <w:ind w:left="1440" w:right="1440"/>
        <w:contextualSpacing/>
        <w:rPr>
          <w:rFonts w:ascii="Times New Roman" w:eastAsia="Times New Roman" w:hAnsi="Times New Roman" w:cs="Times New Roman"/>
          <w:sz w:val="26"/>
          <w:szCs w:val="26"/>
        </w:rPr>
      </w:pPr>
    </w:p>
    <w:p w:rsidR="00880B79" w:rsidRPr="00496081" w:rsidRDefault="00880B79" w:rsidP="00496081">
      <w:pPr>
        <w:spacing w:after="0" w:line="360" w:lineRule="auto"/>
        <w:contextualSpacing/>
        <w:rPr>
          <w:rFonts w:ascii="Times New Roman" w:hAnsi="Times New Roman" w:cs="Times New Roman"/>
          <w:sz w:val="26"/>
          <w:szCs w:val="26"/>
        </w:rPr>
      </w:pPr>
      <w:r w:rsidRPr="00496081">
        <w:rPr>
          <w:rFonts w:ascii="Times New Roman" w:hAnsi="Times New Roman" w:cs="Times New Roman"/>
          <w:i/>
          <w:sz w:val="26"/>
          <w:szCs w:val="26"/>
        </w:rPr>
        <w:t xml:space="preserve">Bluefield, </w:t>
      </w:r>
      <w:r w:rsidR="00893BCA" w:rsidRPr="00496081">
        <w:rPr>
          <w:rFonts w:ascii="Times New Roman" w:hAnsi="Times New Roman" w:cs="Times New Roman"/>
          <w:sz w:val="26"/>
          <w:szCs w:val="26"/>
        </w:rPr>
        <w:t>262 U.S. at 692-</w:t>
      </w:r>
      <w:r w:rsidRPr="00496081">
        <w:rPr>
          <w:rFonts w:ascii="Times New Roman" w:hAnsi="Times New Roman" w:cs="Times New Roman"/>
          <w:sz w:val="26"/>
          <w:szCs w:val="26"/>
        </w:rPr>
        <w:t>3.</w:t>
      </w:r>
    </w:p>
    <w:p w:rsidR="00880B79" w:rsidRPr="00496081" w:rsidRDefault="00880B79" w:rsidP="00496081">
      <w:pPr>
        <w:spacing w:after="0" w:line="360" w:lineRule="auto"/>
        <w:ind w:firstLine="1440"/>
        <w:contextualSpacing/>
        <w:rPr>
          <w:rFonts w:ascii="Times New Roman" w:eastAsia="Times New Roman" w:hAnsi="Times New Roman" w:cs="Times New Roman"/>
          <w:sz w:val="26"/>
          <w:szCs w:val="26"/>
        </w:rPr>
      </w:pPr>
    </w:p>
    <w:p w:rsidR="00880B79" w:rsidRPr="00496081" w:rsidDel="00906BF1" w:rsidRDefault="00880B79" w:rsidP="00496081">
      <w:pPr>
        <w:spacing w:after="0"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The public utility seeking a Section 1308(d) general rate increase has the burden of proof to establish the justness and reasonableness of every element of the rate increase request.  Regarding the</w:t>
      </w:r>
      <w:r w:rsidRPr="00496081" w:rsidDel="00906BF1">
        <w:rPr>
          <w:rFonts w:ascii="Times New Roman" w:eastAsia="Times New Roman" w:hAnsi="Times New Roman" w:cs="Times New Roman"/>
          <w:sz w:val="26"/>
          <w:szCs w:val="26"/>
        </w:rPr>
        <w:t xml:space="preserve"> burden of proof</w:t>
      </w:r>
      <w:r w:rsidRPr="00496081">
        <w:rPr>
          <w:rFonts w:ascii="Times New Roman" w:eastAsia="Times New Roman" w:hAnsi="Times New Roman" w:cs="Times New Roman"/>
          <w:sz w:val="26"/>
          <w:szCs w:val="26"/>
        </w:rPr>
        <w:t xml:space="preserve"> in a proceeding involving a proposed increase in rates by a public utility</w:t>
      </w:r>
      <w:r w:rsidRPr="00496081" w:rsidDel="00906BF1">
        <w:rPr>
          <w:rFonts w:ascii="Times New Roman" w:eastAsia="Times New Roman" w:hAnsi="Times New Roman" w:cs="Times New Roman"/>
          <w:sz w:val="26"/>
          <w:szCs w:val="26"/>
        </w:rPr>
        <w:t>, Section 315(a) of the Code provides:</w:t>
      </w:r>
    </w:p>
    <w:p w:rsidR="00880B79" w:rsidRPr="00496081" w:rsidDel="00906BF1" w:rsidRDefault="00880B79" w:rsidP="00496081">
      <w:pPr>
        <w:spacing w:after="0" w:line="360" w:lineRule="auto"/>
        <w:ind w:firstLine="1440"/>
        <w:contextualSpacing/>
        <w:rPr>
          <w:rFonts w:ascii="Times New Roman" w:eastAsia="Times New Roman" w:hAnsi="Times New Roman" w:cs="Times New Roman"/>
          <w:sz w:val="26"/>
          <w:szCs w:val="26"/>
        </w:rPr>
      </w:pPr>
    </w:p>
    <w:p w:rsidR="002D0362" w:rsidRPr="00496081" w:rsidRDefault="00880B79" w:rsidP="00496081">
      <w:pPr>
        <w:numPr>
          <w:ilvl w:val="0"/>
          <w:numId w:val="2"/>
        </w:numPr>
        <w:spacing w:after="0" w:line="240" w:lineRule="auto"/>
        <w:ind w:left="1440" w:right="1440" w:firstLine="360"/>
        <w:contextualSpacing/>
        <w:rPr>
          <w:rFonts w:ascii="Times New Roman" w:eastAsia="Times New Roman" w:hAnsi="Times New Roman" w:cs="Times New Roman"/>
          <w:sz w:val="26"/>
          <w:szCs w:val="26"/>
        </w:rPr>
      </w:pPr>
      <w:r w:rsidRPr="00496081" w:rsidDel="00906BF1">
        <w:rPr>
          <w:rFonts w:ascii="Times New Roman" w:eastAsia="Times New Roman" w:hAnsi="Times New Roman" w:cs="Times New Roman"/>
          <w:b/>
          <w:sz w:val="26"/>
          <w:szCs w:val="26"/>
        </w:rPr>
        <w:t>Reasonableness of rates.—</w:t>
      </w:r>
      <w:r w:rsidRPr="00496081" w:rsidDel="00906BF1">
        <w:rPr>
          <w:rFonts w:ascii="Times New Roman" w:eastAsia="Times New Roman" w:hAnsi="Times New Roman" w:cs="Times New Roman"/>
          <w:sz w:val="26"/>
          <w:szCs w:val="26"/>
        </w:rPr>
        <w:t xml:space="preserve">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The commission </w:t>
      </w:r>
    </w:p>
    <w:p w:rsidR="00880B79" w:rsidRPr="00496081" w:rsidRDefault="00880B79" w:rsidP="00496081">
      <w:pPr>
        <w:keepNext/>
        <w:keepLines/>
        <w:spacing w:after="0" w:line="240" w:lineRule="auto"/>
        <w:ind w:left="1440" w:right="1440"/>
        <w:contextualSpacing/>
        <w:rPr>
          <w:rFonts w:ascii="Times New Roman" w:eastAsia="Times New Roman" w:hAnsi="Times New Roman" w:cs="Times New Roman"/>
          <w:sz w:val="26"/>
          <w:szCs w:val="26"/>
        </w:rPr>
      </w:pPr>
      <w:r w:rsidRPr="00496081" w:rsidDel="00906BF1">
        <w:rPr>
          <w:rFonts w:ascii="Times New Roman" w:eastAsia="Times New Roman" w:hAnsi="Times New Roman" w:cs="Times New Roman"/>
          <w:sz w:val="26"/>
          <w:szCs w:val="26"/>
        </w:rPr>
        <w:t>shall give to the hearing and decision of any such proceeding preference over all other proceedings, and decide the same as speedily as possible.</w:t>
      </w:r>
    </w:p>
    <w:p w:rsidR="002D0362" w:rsidRPr="00496081" w:rsidRDefault="002D0362" w:rsidP="00496081">
      <w:pPr>
        <w:keepNext/>
        <w:keepLines/>
        <w:spacing w:after="0" w:line="240" w:lineRule="auto"/>
        <w:ind w:left="1440" w:right="1440"/>
        <w:contextualSpacing/>
        <w:rPr>
          <w:rFonts w:ascii="Times New Roman" w:eastAsia="Times New Roman" w:hAnsi="Times New Roman" w:cs="Times New Roman"/>
          <w:sz w:val="26"/>
          <w:szCs w:val="26"/>
        </w:rPr>
      </w:pPr>
    </w:p>
    <w:p w:rsidR="002D0362" w:rsidRPr="00496081" w:rsidDel="00906BF1" w:rsidRDefault="002D0362" w:rsidP="00496081">
      <w:pPr>
        <w:keepNext/>
        <w:keepLines/>
        <w:spacing w:after="0" w:line="240" w:lineRule="auto"/>
        <w:ind w:left="1440" w:right="1440"/>
        <w:contextualSpacing/>
        <w:rPr>
          <w:rFonts w:ascii="Times New Roman" w:eastAsia="Times New Roman" w:hAnsi="Times New Roman" w:cs="Times New Roman"/>
          <w:sz w:val="26"/>
          <w:szCs w:val="26"/>
        </w:rPr>
      </w:pPr>
    </w:p>
    <w:p w:rsidR="00880B79" w:rsidRPr="00496081" w:rsidRDefault="00880B79" w:rsidP="00496081">
      <w:pPr>
        <w:spacing w:after="0" w:line="360" w:lineRule="auto"/>
        <w:contextualSpacing/>
        <w:rPr>
          <w:rFonts w:ascii="Times New Roman" w:eastAsia="Times New Roman" w:hAnsi="Times New Roman" w:cs="Times New Roman"/>
          <w:b/>
          <w:sz w:val="26"/>
          <w:szCs w:val="26"/>
        </w:rPr>
      </w:pPr>
      <w:r w:rsidRPr="00496081" w:rsidDel="00906BF1">
        <w:rPr>
          <w:rFonts w:ascii="Times New Roman" w:eastAsia="Times New Roman" w:hAnsi="Times New Roman" w:cs="Times New Roman"/>
          <w:sz w:val="26"/>
          <w:szCs w:val="26"/>
        </w:rPr>
        <w:t xml:space="preserve">66 Pa. C.S. § 315(a).  </w:t>
      </w:r>
    </w:p>
    <w:p w:rsidR="00880B79" w:rsidRPr="00496081" w:rsidRDefault="00880B79" w:rsidP="00496081">
      <w:pPr>
        <w:spacing w:after="0" w:line="360" w:lineRule="auto"/>
        <w:ind w:firstLine="1440"/>
        <w:contextualSpacing/>
        <w:rPr>
          <w:rFonts w:ascii="Times New Roman" w:eastAsia="Times New Roman" w:hAnsi="Times New Roman" w:cs="Times New Roman"/>
          <w:sz w:val="26"/>
          <w:szCs w:val="26"/>
        </w:rPr>
      </w:pPr>
    </w:p>
    <w:p w:rsidR="00880B79" w:rsidRPr="00496081" w:rsidRDefault="00880B79" w:rsidP="00496081">
      <w:pPr>
        <w:spacing w:after="0"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In the instant proceeding, the Joint Petitioners have reached an unopposed accord on all the issues and claims that arose in this proceeding and submitted the Settlement for the Commission’s review</w:t>
      </w:r>
      <w:r w:rsidR="00393B7C" w:rsidRPr="00496081">
        <w:rPr>
          <w:rFonts w:ascii="Times New Roman" w:eastAsia="Times New Roman" w:hAnsi="Times New Roman" w:cs="Times New Roman"/>
          <w:sz w:val="26"/>
          <w:szCs w:val="26"/>
        </w:rPr>
        <w:t xml:space="preserve"> and approval</w:t>
      </w:r>
      <w:r w:rsidRPr="00496081">
        <w:rPr>
          <w:rFonts w:ascii="Times New Roman" w:eastAsia="Times New Roman" w:hAnsi="Times New Roman" w:cs="Times New Roman"/>
          <w:sz w:val="26"/>
          <w:szCs w:val="26"/>
        </w:rPr>
        <w:t xml:space="preserve">.  The Commission has expressed a policy of encouraging settlements.  </w:t>
      </w:r>
      <w:r w:rsidRPr="00496081">
        <w:rPr>
          <w:rFonts w:ascii="Times New Roman" w:eastAsia="Times New Roman" w:hAnsi="Times New Roman" w:cs="Times New Roman"/>
          <w:i/>
          <w:sz w:val="26"/>
          <w:szCs w:val="26"/>
        </w:rPr>
        <w:t>See</w:t>
      </w:r>
      <w:r w:rsidRPr="00496081">
        <w:rPr>
          <w:rFonts w:ascii="Times New Roman" w:eastAsia="Times New Roman" w:hAnsi="Times New Roman" w:cs="Times New Roman"/>
          <w:sz w:val="26"/>
          <w:szCs w:val="26"/>
        </w:rPr>
        <w:t xml:space="preserve"> 52 Pa. Code §§ 5.231, 69.401.  The Commission has stated that settlement results are often preferable to those achieved after a fully litigated proceeding.  52 Pa. Code </w:t>
      </w:r>
      <w:r w:rsidR="0030709E">
        <w:rPr>
          <w:rFonts w:ascii="Times New Roman" w:eastAsia="Times New Roman" w:hAnsi="Times New Roman" w:cs="Times New Roman"/>
          <w:sz w:val="26"/>
          <w:szCs w:val="26"/>
        </w:rPr>
        <w:t xml:space="preserve">§ </w:t>
      </w:r>
      <w:r w:rsidRPr="00496081">
        <w:rPr>
          <w:rFonts w:ascii="Times New Roman" w:eastAsia="Times New Roman" w:hAnsi="Times New Roman" w:cs="Times New Roman"/>
          <w:sz w:val="26"/>
          <w:szCs w:val="26"/>
        </w:rPr>
        <w:t>69.401.  A settlement in a proceeding may reduce or eliminate the substantial time, effort, and expense that otherwise may be used or incurred in litigating a proceeding.</w:t>
      </w:r>
      <w:r w:rsidRPr="00496081">
        <w:rPr>
          <w:rFonts w:ascii="Times New Roman" w:eastAsia="Times New Roman" w:hAnsi="Times New Roman" w:cs="Times New Roman"/>
          <w:sz w:val="26"/>
          <w:szCs w:val="26"/>
          <w:vertAlign w:val="superscript"/>
        </w:rPr>
        <w:footnoteReference w:id="2"/>
      </w:r>
      <w:r w:rsidRPr="00496081">
        <w:rPr>
          <w:rFonts w:ascii="Times New Roman" w:eastAsia="Times New Roman" w:hAnsi="Times New Roman" w:cs="Times New Roman"/>
          <w:sz w:val="26"/>
          <w:szCs w:val="26"/>
        </w:rPr>
        <w:t xml:space="preserve"> </w:t>
      </w:r>
      <w:r w:rsidR="00884C9E"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sz w:val="26"/>
          <w:szCs w:val="26"/>
        </w:rPr>
        <w:t>Rate cases, in general, are expensive to litigate and the reasonable costs of such litigation is an operating expense recovered in the rates approved by the Commission.  This means that a settlement, which allows the parties to avoid or minimize the substantial costs of litigation, may yield potential savings for the company’s customers.  Thus, a settlement, whether full or partial, may directly benefit the named parties as well as indirectly benefit the customers of the public utility involved in the case.  For this and other sound reasons, settlements are encouraged by long</w:t>
      </w:r>
      <w:r w:rsidRPr="00496081">
        <w:rPr>
          <w:rFonts w:ascii="Times New Roman" w:eastAsia="Times New Roman" w:hAnsi="Times New Roman" w:cs="Times New Roman"/>
          <w:sz w:val="26"/>
          <w:szCs w:val="26"/>
        </w:rPr>
        <w:noBreakHyphen/>
        <w:t>standing Commission policy.</w:t>
      </w:r>
    </w:p>
    <w:p w:rsidR="00880B79" w:rsidRPr="00496081" w:rsidRDefault="00880B79" w:rsidP="00496081">
      <w:pPr>
        <w:spacing w:after="0" w:line="360" w:lineRule="auto"/>
        <w:ind w:firstLine="1440"/>
        <w:contextualSpacing/>
        <w:rPr>
          <w:rFonts w:ascii="Times New Roman" w:eastAsia="Times New Roman" w:hAnsi="Times New Roman" w:cs="Times New Roman"/>
          <w:sz w:val="26"/>
          <w:szCs w:val="26"/>
        </w:rPr>
      </w:pPr>
    </w:p>
    <w:p w:rsidR="00734968" w:rsidRPr="00496081" w:rsidRDefault="00880B79" w:rsidP="00496081">
      <w:pPr>
        <w:spacing w:line="360" w:lineRule="auto"/>
        <w:ind w:firstLine="144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In order to accept a settlement, the Commission must determine that the proposed terms and conditions of the settlement are in the public interest.  </w:t>
      </w:r>
      <w:r w:rsidRPr="00496081">
        <w:rPr>
          <w:rFonts w:ascii="Times New Roman" w:eastAsia="Times New Roman" w:hAnsi="Times New Roman" w:cs="Times New Roman"/>
          <w:i/>
          <w:sz w:val="26"/>
          <w:szCs w:val="26"/>
        </w:rPr>
        <w:t>Pa. PUC v. York Water Co.</w:t>
      </w:r>
      <w:r w:rsidRPr="00496081">
        <w:rPr>
          <w:rFonts w:ascii="Times New Roman" w:eastAsia="Times New Roman" w:hAnsi="Times New Roman" w:cs="Times New Roman"/>
          <w:sz w:val="26"/>
          <w:szCs w:val="26"/>
        </w:rPr>
        <w:t>, Docket No. R</w:t>
      </w:r>
      <w:r w:rsidRPr="00496081">
        <w:rPr>
          <w:rFonts w:ascii="Times New Roman" w:eastAsia="Times New Roman" w:hAnsi="Times New Roman" w:cs="Times New Roman"/>
          <w:sz w:val="26"/>
          <w:szCs w:val="26"/>
        </w:rPr>
        <w:noBreakHyphen/>
        <w:t xml:space="preserve">00049165 (Order entered October 4, 2004); </w:t>
      </w:r>
      <w:r w:rsidRPr="00496081">
        <w:rPr>
          <w:rFonts w:ascii="Times New Roman" w:eastAsia="Times New Roman" w:hAnsi="Times New Roman" w:cs="Times New Roman"/>
          <w:i/>
          <w:sz w:val="26"/>
          <w:szCs w:val="26"/>
        </w:rPr>
        <w:t>see generally</w:t>
      </w:r>
      <w:r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i/>
          <w:sz w:val="26"/>
          <w:szCs w:val="26"/>
        </w:rPr>
        <w:t>Pa. PUC v. C. S. Water and Sewer Assoc.</w:t>
      </w:r>
      <w:r w:rsidRPr="00496081">
        <w:rPr>
          <w:rFonts w:ascii="Times New Roman" w:eastAsia="Times New Roman" w:hAnsi="Times New Roman" w:cs="Times New Roman"/>
          <w:sz w:val="26"/>
          <w:szCs w:val="26"/>
        </w:rPr>
        <w:t>, Docket Nos. R-881147</w:t>
      </w:r>
      <w:r w:rsidR="0030709E">
        <w:rPr>
          <w:rFonts w:ascii="Times New Roman" w:eastAsia="Times New Roman" w:hAnsi="Times New Roman" w:cs="Times New Roman"/>
          <w:sz w:val="26"/>
          <w:szCs w:val="26"/>
        </w:rPr>
        <w:t>,</w:t>
      </w:r>
      <w:r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i/>
          <w:sz w:val="26"/>
          <w:szCs w:val="26"/>
        </w:rPr>
        <w:t>et al</w:t>
      </w:r>
      <w:r w:rsidRPr="00496081">
        <w:rPr>
          <w:rFonts w:ascii="Times New Roman" w:eastAsia="Times New Roman" w:hAnsi="Times New Roman" w:cs="Times New Roman"/>
          <w:sz w:val="26"/>
          <w:szCs w:val="26"/>
        </w:rPr>
        <w:t>., 74 Pa. P.U.C. 767 (Order entered July 22, 1991) (</w:t>
      </w:r>
      <w:r w:rsidRPr="00496081">
        <w:rPr>
          <w:rFonts w:ascii="Times New Roman" w:eastAsia="Times New Roman" w:hAnsi="Times New Roman" w:cs="Times New Roman"/>
          <w:i/>
          <w:sz w:val="26"/>
          <w:szCs w:val="26"/>
        </w:rPr>
        <w:t>CS Water and Sewer</w:t>
      </w:r>
      <w:r w:rsidRPr="00496081">
        <w:rPr>
          <w:rFonts w:ascii="Times New Roman" w:eastAsia="Times New Roman" w:hAnsi="Times New Roman" w:cs="Times New Roman"/>
          <w:sz w:val="26"/>
          <w:szCs w:val="26"/>
        </w:rPr>
        <w:t xml:space="preserve">).  The focus of the inquiry for determining whether a proposed settlement should be approved is whether the proposed terms and conditions foster, promote </w:t>
      </w:r>
      <w:r w:rsidR="00884C9E" w:rsidRPr="00496081">
        <w:rPr>
          <w:rFonts w:ascii="Times New Roman" w:eastAsia="Times New Roman" w:hAnsi="Times New Roman" w:cs="Times New Roman"/>
          <w:sz w:val="26"/>
          <w:szCs w:val="26"/>
        </w:rPr>
        <w:t xml:space="preserve">and serve the public interest.  </w:t>
      </w:r>
      <w:r w:rsidR="00884C9E" w:rsidRPr="00496081">
        <w:rPr>
          <w:rFonts w:ascii="Times New Roman" w:eastAsia="Times New Roman" w:hAnsi="Times New Roman" w:cs="Times New Roman"/>
          <w:i/>
          <w:sz w:val="26"/>
          <w:szCs w:val="26"/>
        </w:rPr>
        <w:t xml:space="preserve">See </w:t>
      </w:r>
      <w:r w:rsidR="00734968" w:rsidRPr="00496081">
        <w:rPr>
          <w:rFonts w:ascii="Times New Roman" w:eastAsia="Times New Roman" w:hAnsi="Times New Roman" w:cs="Times New Roman"/>
          <w:i/>
          <w:sz w:val="26"/>
          <w:szCs w:val="26"/>
        </w:rPr>
        <w:t xml:space="preserve">Pa. PUC, et al. v. </w:t>
      </w:r>
      <w:r w:rsidR="00734968" w:rsidRPr="00496081">
        <w:rPr>
          <w:rFonts w:ascii="Times New Roman" w:eastAsia="Times New Roman" w:hAnsi="Times New Roman" w:cs="Times New Roman"/>
          <w:i/>
          <w:sz w:val="26"/>
          <w:szCs w:val="26"/>
        </w:rPr>
        <w:lastRenderedPageBreak/>
        <w:t>City of Lancaster – Bureau of Water</w:t>
      </w:r>
      <w:r w:rsidR="00734968" w:rsidRPr="00496081">
        <w:rPr>
          <w:rFonts w:ascii="Times New Roman" w:eastAsia="Times New Roman" w:hAnsi="Times New Roman" w:cs="Times New Roman"/>
          <w:sz w:val="26"/>
          <w:szCs w:val="26"/>
        </w:rPr>
        <w:t xml:space="preserve">, Docket Nos. R-2010-2179103, </w:t>
      </w:r>
      <w:r w:rsidR="00734968" w:rsidRPr="00496081">
        <w:rPr>
          <w:rFonts w:ascii="Times New Roman" w:eastAsia="Times New Roman" w:hAnsi="Times New Roman" w:cs="Times New Roman"/>
          <w:i/>
          <w:sz w:val="26"/>
          <w:szCs w:val="26"/>
        </w:rPr>
        <w:t>et al</w:t>
      </w:r>
      <w:r w:rsidR="00734968" w:rsidRPr="00496081">
        <w:rPr>
          <w:rFonts w:ascii="Times New Roman" w:eastAsia="Times New Roman" w:hAnsi="Times New Roman" w:cs="Times New Roman"/>
          <w:sz w:val="26"/>
          <w:szCs w:val="26"/>
        </w:rPr>
        <w:t>. (Order entered July 14, 2011)</w:t>
      </w:r>
      <w:r w:rsidR="00884C9E" w:rsidRPr="00496081">
        <w:rPr>
          <w:rFonts w:ascii="Times New Roman" w:eastAsia="Times New Roman" w:hAnsi="Times New Roman" w:cs="Times New Roman"/>
          <w:sz w:val="26"/>
          <w:szCs w:val="26"/>
        </w:rPr>
        <w:t>,</w:t>
      </w:r>
      <w:r w:rsidR="00734968" w:rsidRPr="00496081">
        <w:rPr>
          <w:rFonts w:ascii="Times New Roman" w:eastAsia="Times New Roman" w:hAnsi="Times New Roman" w:cs="Times New Roman"/>
          <w:sz w:val="26"/>
          <w:szCs w:val="26"/>
        </w:rPr>
        <w:t xml:space="preserve"> </w:t>
      </w:r>
      <w:r w:rsidRPr="00496081">
        <w:rPr>
          <w:rFonts w:ascii="Times New Roman" w:eastAsia="Times New Roman" w:hAnsi="Times New Roman" w:cs="Times New Roman"/>
          <w:sz w:val="26"/>
          <w:szCs w:val="26"/>
        </w:rPr>
        <w:t xml:space="preserve">citing </w:t>
      </w:r>
      <w:r w:rsidRPr="00496081">
        <w:rPr>
          <w:rFonts w:ascii="Times New Roman" w:eastAsia="Times New Roman" w:hAnsi="Times New Roman" w:cs="Times New Roman"/>
          <w:i/>
          <w:sz w:val="26"/>
          <w:szCs w:val="26"/>
        </w:rPr>
        <w:t>Warner v. GTE North, Inc</w:t>
      </w:r>
      <w:r w:rsidRPr="00496081">
        <w:rPr>
          <w:rFonts w:ascii="Times New Roman" w:eastAsia="Times New Roman" w:hAnsi="Times New Roman" w:cs="Times New Roman"/>
          <w:sz w:val="26"/>
          <w:szCs w:val="26"/>
        </w:rPr>
        <w:t xml:space="preserve">., Docket No. C-00902815 (Order entered April 1, 1996) and </w:t>
      </w:r>
      <w:r w:rsidRPr="00496081">
        <w:rPr>
          <w:rFonts w:ascii="Times New Roman" w:eastAsia="Times New Roman" w:hAnsi="Times New Roman" w:cs="Times New Roman"/>
          <w:i/>
          <w:sz w:val="26"/>
          <w:szCs w:val="26"/>
        </w:rPr>
        <w:t>CS Water and Sewer</w:t>
      </w:r>
      <w:r w:rsidR="00E938EB" w:rsidRPr="00496081">
        <w:rPr>
          <w:rFonts w:ascii="Times New Roman" w:eastAsia="Times New Roman" w:hAnsi="Times New Roman" w:cs="Times New Roman"/>
          <w:i/>
          <w:sz w:val="26"/>
          <w:szCs w:val="26"/>
        </w:rPr>
        <w:t>.</w:t>
      </w:r>
      <w:r w:rsidR="00734968" w:rsidRPr="00496081">
        <w:rPr>
          <w:rFonts w:ascii="Times New Roman" w:eastAsia="Times New Roman" w:hAnsi="Times New Roman" w:cs="Times New Roman"/>
          <w:sz w:val="26"/>
          <w:szCs w:val="26"/>
        </w:rPr>
        <w:t xml:space="preserve"> </w:t>
      </w:r>
      <w:r w:rsidR="00E15089" w:rsidRPr="00496081">
        <w:rPr>
          <w:rFonts w:ascii="Times New Roman" w:eastAsia="Times New Roman" w:hAnsi="Times New Roman" w:cs="Times New Roman"/>
          <w:sz w:val="26"/>
          <w:szCs w:val="26"/>
        </w:rPr>
        <w:t xml:space="preserve"> Moreover, </w:t>
      </w:r>
      <w:r w:rsidR="00734968" w:rsidRPr="00496081">
        <w:rPr>
          <w:rFonts w:ascii="Times New Roman" w:eastAsia="Calibri" w:hAnsi="Times New Roman" w:cs="Times New Roman"/>
          <w:snapToGrid w:val="0"/>
          <w:sz w:val="26"/>
          <w:szCs w:val="26"/>
        </w:rPr>
        <w:t xml:space="preserve">Section 332(a) of the Code, 66 Pa. C.S. § 332(a), provides that the party seeking a rule or order from the Commission has the burden of proof in that proceeding.  </w:t>
      </w:r>
      <w:r w:rsidR="00734968" w:rsidRPr="00496081">
        <w:rPr>
          <w:rFonts w:ascii="Times New Roman" w:eastAsia="Times New Roman" w:hAnsi="Times New Roman" w:cs="Times New Roman"/>
          <w:sz w:val="26"/>
          <w:szCs w:val="26"/>
        </w:rPr>
        <w:t xml:space="preserve">Consequently, in this proceeding, </w:t>
      </w:r>
      <w:r w:rsidR="00734968" w:rsidRPr="00496081">
        <w:rPr>
          <w:rFonts w:ascii="Times New Roman" w:eastAsia="Times New Roman" w:hAnsi="Times New Roman" w:cs="Times New Roman"/>
          <w:bCs/>
          <w:sz w:val="26"/>
          <w:szCs w:val="26"/>
        </w:rPr>
        <w:t>the Joint Petitioners have</w:t>
      </w:r>
      <w:r w:rsidR="00734968" w:rsidRPr="00496081">
        <w:rPr>
          <w:rFonts w:ascii="Times New Roman" w:eastAsia="Times New Roman" w:hAnsi="Times New Roman" w:cs="Times New Roman"/>
          <w:sz w:val="26"/>
          <w:szCs w:val="26"/>
        </w:rPr>
        <w:t xml:space="preserve"> the burden of showing that the terms and conditions of the Settlement are in the public interest. </w:t>
      </w:r>
    </w:p>
    <w:p w:rsidR="00880B79" w:rsidRPr="00496081" w:rsidRDefault="00880B79" w:rsidP="00496081">
      <w:pPr>
        <w:spacing w:after="0" w:line="360" w:lineRule="auto"/>
        <w:contextualSpacing/>
        <w:rPr>
          <w:rFonts w:ascii="Times New Roman" w:eastAsia="Times New Roman" w:hAnsi="Times New Roman" w:cs="Times New Roman"/>
          <w:sz w:val="26"/>
          <w:szCs w:val="26"/>
        </w:rPr>
      </w:pPr>
    </w:p>
    <w:p w:rsidR="00880B79" w:rsidRPr="00496081" w:rsidRDefault="00880B79" w:rsidP="007E127D">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The withdrawal of pleadings in a contested proceeding is governed by our regulations at 52 Pa. Code Section 5.94, which provides as follows:</w:t>
      </w:r>
    </w:p>
    <w:p w:rsidR="00880B79" w:rsidRPr="00496081" w:rsidRDefault="00880B79" w:rsidP="00496081">
      <w:pPr>
        <w:spacing w:line="360" w:lineRule="auto"/>
        <w:ind w:firstLine="1440"/>
        <w:contextualSpacing/>
        <w:rPr>
          <w:rFonts w:ascii="Times New Roman" w:hAnsi="Times New Roman" w:cs="Times New Roman"/>
          <w:sz w:val="26"/>
          <w:szCs w:val="26"/>
        </w:rPr>
      </w:pPr>
    </w:p>
    <w:p w:rsidR="00880B79" w:rsidRPr="00496081" w:rsidRDefault="00880B79" w:rsidP="00496081">
      <w:pPr>
        <w:spacing w:line="240" w:lineRule="auto"/>
        <w:ind w:left="1440" w:right="1440"/>
        <w:contextualSpacing/>
        <w:rPr>
          <w:rFonts w:ascii="Times New Roman" w:hAnsi="Times New Roman" w:cs="Times New Roman"/>
          <w:sz w:val="26"/>
          <w:szCs w:val="26"/>
        </w:rPr>
      </w:pPr>
      <w:r w:rsidRPr="00496081">
        <w:rPr>
          <w:rFonts w:ascii="Times New Roman" w:hAnsi="Times New Roman" w:cs="Times New Roman"/>
          <w:sz w:val="26"/>
          <w:szCs w:val="26"/>
        </w:rPr>
        <w:t xml:space="preserve">(a) Except as provided in subsection (b), a party desiring to withdraw a pleading in a contested proceeding may file a petition for leave to withdraw the appropriate document with the Commission and serve it upon the other parties.  The </w:t>
      </w:r>
      <w:r w:rsidR="0030709E">
        <w:rPr>
          <w:rFonts w:ascii="Times New Roman" w:hAnsi="Times New Roman" w:cs="Times New Roman"/>
          <w:sz w:val="26"/>
          <w:szCs w:val="26"/>
        </w:rPr>
        <w:t>p</w:t>
      </w:r>
      <w:r w:rsidRPr="00496081">
        <w:rPr>
          <w:rFonts w:ascii="Times New Roman" w:hAnsi="Times New Roman" w:cs="Times New Roman"/>
          <w:sz w:val="26"/>
          <w:szCs w:val="26"/>
        </w:rPr>
        <w:t>etition must set forth the reasons for the withdrawal.  A party may object to the petition within 20 days of service.  After considering the petition, any objection thereto and the public interest, the presiding officer or the Commission will determine whether the withdrawal will be permitted.</w:t>
      </w:r>
    </w:p>
    <w:p w:rsidR="00E938EB" w:rsidRPr="00496081" w:rsidRDefault="00E938EB" w:rsidP="00496081">
      <w:pPr>
        <w:spacing w:line="240" w:lineRule="auto"/>
        <w:ind w:left="1440" w:right="1440"/>
        <w:contextualSpacing/>
        <w:rPr>
          <w:rFonts w:ascii="Times New Roman" w:hAnsi="Times New Roman" w:cs="Times New Roman"/>
          <w:sz w:val="26"/>
          <w:szCs w:val="26"/>
        </w:rPr>
      </w:pPr>
    </w:p>
    <w:p w:rsidR="00E938EB" w:rsidRPr="00496081" w:rsidRDefault="00E938EB" w:rsidP="00496081">
      <w:pPr>
        <w:spacing w:line="240" w:lineRule="auto"/>
        <w:ind w:left="1440" w:right="1440"/>
        <w:contextualSpacing/>
        <w:rPr>
          <w:rFonts w:ascii="Times New Roman" w:hAnsi="Times New Roman" w:cs="Times New Roman"/>
          <w:sz w:val="26"/>
          <w:szCs w:val="26"/>
        </w:rPr>
      </w:pPr>
    </w:p>
    <w:p w:rsidR="00880B79" w:rsidRPr="00496081" w:rsidRDefault="00880B79" w:rsidP="00496081">
      <w:pPr>
        <w:spacing w:line="360" w:lineRule="auto"/>
        <w:contextualSpacing/>
        <w:rPr>
          <w:rFonts w:ascii="Times New Roman" w:hAnsi="Times New Roman" w:cs="Times New Roman"/>
          <w:sz w:val="26"/>
          <w:szCs w:val="26"/>
        </w:rPr>
      </w:pPr>
      <w:r w:rsidRPr="00496081">
        <w:rPr>
          <w:rFonts w:ascii="Times New Roman" w:hAnsi="Times New Roman" w:cs="Times New Roman"/>
          <w:sz w:val="26"/>
          <w:szCs w:val="26"/>
        </w:rPr>
        <w:t>52 Pa. Code § 5.94(a).</w:t>
      </w:r>
    </w:p>
    <w:p w:rsidR="00880B79" w:rsidRPr="00496081" w:rsidRDefault="00880B79" w:rsidP="00496081">
      <w:pPr>
        <w:spacing w:after="0" w:line="360" w:lineRule="auto"/>
        <w:ind w:firstLine="1440"/>
        <w:contextualSpacing/>
        <w:rPr>
          <w:rFonts w:ascii="Times New Roman" w:hAnsi="Times New Roman" w:cs="Times New Roman"/>
          <w:sz w:val="26"/>
          <w:szCs w:val="26"/>
        </w:rPr>
      </w:pPr>
    </w:p>
    <w:p w:rsidR="00DB1F26" w:rsidRPr="00496081" w:rsidRDefault="00880B79" w:rsidP="00496081">
      <w:pPr>
        <w:spacing w:after="0" w:line="360" w:lineRule="auto"/>
        <w:ind w:firstLine="1440"/>
        <w:contextualSpacing/>
        <w:rPr>
          <w:rFonts w:ascii="Times New Roman" w:eastAsia="Times New Roman" w:hAnsi="Times New Roman" w:cs="Times New Roman"/>
          <w:sz w:val="26"/>
          <w:szCs w:val="26"/>
        </w:rPr>
      </w:pPr>
      <w:r w:rsidRPr="00496081">
        <w:rPr>
          <w:rFonts w:ascii="Times New Roman" w:hAnsi="Times New Roman" w:cs="Times New Roman"/>
          <w:sz w:val="26"/>
          <w:szCs w:val="26"/>
        </w:rPr>
        <w:t xml:space="preserve">Finally, a Commission decision must be supported by substantial evidence in the record.  “Substantial evidence” is such relevant evidence that a reasonable mind might accept as adequate to support a conclusion.  More is required than a mere trace of evidence or a suspicion of the existence of a fact sought to be established.  </w:t>
      </w:r>
      <w:r w:rsidRPr="00496081">
        <w:rPr>
          <w:rFonts w:ascii="Times New Roman" w:hAnsi="Times New Roman" w:cs="Times New Roman"/>
          <w:i/>
          <w:sz w:val="26"/>
          <w:szCs w:val="26"/>
        </w:rPr>
        <w:t xml:space="preserve">Norfolk &amp; Western Ry. Co. v. Pa. PUC, </w:t>
      </w:r>
      <w:r w:rsidRPr="00496081">
        <w:rPr>
          <w:rFonts w:ascii="Times New Roman" w:hAnsi="Times New Roman" w:cs="Times New Roman"/>
          <w:sz w:val="26"/>
          <w:szCs w:val="26"/>
        </w:rPr>
        <w:t xml:space="preserve">489 Pa. 109, 413 A.2d 1037 (1980); </w:t>
      </w:r>
      <w:r w:rsidRPr="00496081">
        <w:rPr>
          <w:rFonts w:ascii="Times New Roman" w:hAnsi="Times New Roman" w:cs="Times New Roman"/>
          <w:i/>
          <w:sz w:val="26"/>
          <w:szCs w:val="26"/>
        </w:rPr>
        <w:t>Erie Resistor Corp. v. Unemployment Comp. Bd. of Review</w:t>
      </w:r>
      <w:r w:rsidRPr="00496081">
        <w:rPr>
          <w:rFonts w:ascii="Times New Roman" w:hAnsi="Times New Roman" w:cs="Times New Roman"/>
          <w:sz w:val="26"/>
          <w:szCs w:val="26"/>
        </w:rPr>
        <w:t xml:space="preserve">, 166 A.2d 96 (Pa. Super. 1961); </w:t>
      </w:r>
      <w:r w:rsidRPr="00496081">
        <w:rPr>
          <w:rFonts w:ascii="Times New Roman" w:hAnsi="Times New Roman" w:cs="Times New Roman"/>
          <w:i/>
          <w:sz w:val="26"/>
          <w:szCs w:val="26"/>
        </w:rPr>
        <w:t>Murphy v. Comm. Dept. of Public Welfare, White Haven Center</w:t>
      </w:r>
      <w:r w:rsidRPr="00496081">
        <w:rPr>
          <w:rFonts w:ascii="Times New Roman" w:hAnsi="Times New Roman" w:cs="Times New Roman"/>
          <w:sz w:val="26"/>
          <w:szCs w:val="26"/>
        </w:rPr>
        <w:t>, 480 A.2d 382 (Pa. Cmwlth. 1984).</w:t>
      </w:r>
    </w:p>
    <w:p w:rsidR="009E1F23" w:rsidRPr="00496081" w:rsidRDefault="009E1F23" w:rsidP="00496081">
      <w:pPr>
        <w:spacing w:line="360" w:lineRule="auto"/>
        <w:ind w:firstLine="1440"/>
        <w:contextualSpacing/>
        <w:rPr>
          <w:rFonts w:ascii="Times New Roman" w:hAnsi="Times New Roman" w:cs="Times New Roman"/>
          <w:sz w:val="26"/>
          <w:szCs w:val="26"/>
        </w:rPr>
      </w:pPr>
    </w:p>
    <w:p w:rsidR="009E1F23" w:rsidRPr="00496081" w:rsidRDefault="009E1F23" w:rsidP="00496081">
      <w:pPr>
        <w:keepNext/>
        <w:keepLines/>
        <w:spacing w:line="360" w:lineRule="auto"/>
        <w:contextualSpacing/>
        <w:rPr>
          <w:rFonts w:ascii="Times New Roman" w:hAnsi="Times New Roman" w:cs="Times New Roman"/>
          <w:sz w:val="26"/>
          <w:szCs w:val="26"/>
        </w:rPr>
      </w:pPr>
      <w:r w:rsidRPr="00496081">
        <w:rPr>
          <w:rFonts w:ascii="Times New Roman" w:hAnsi="Times New Roman" w:cs="Times New Roman"/>
          <w:b/>
          <w:sz w:val="26"/>
          <w:szCs w:val="26"/>
        </w:rPr>
        <w:lastRenderedPageBreak/>
        <w:t>B.</w:t>
      </w:r>
      <w:r w:rsidRPr="00496081">
        <w:rPr>
          <w:rFonts w:ascii="Times New Roman" w:hAnsi="Times New Roman" w:cs="Times New Roman"/>
          <w:b/>
          <w:sz w:val="26"/>
          <w:szCs w:val="26"/>
        </w:rPr>
        <w:tab/>
        <w:t xml:space="preserve">Joint </w:t>
      </w:r>
      <w:r w:rsidR="007C6C52" w:rsidRPr="00496081">
        <w:rPr>
          <w:rFonts w:ascii="Times New Roman" w:hAnsi="Times New Roman" w:cs="Times New Roman"/>
          <w:b/>
          <w:sz w:val="26"/>
          <w:szCs w:val="26"/>
        </w:rPr>
        <w:t xml:space="preserve">Petition for </w:t>
      </w:r>
      <w:r w:rsidRPr="00496081">
        <w:rPr>
          <w:rFonts w:ascii="Times New Roman" w:hAnsi="Times New Roman" w:cs="Times New Roman"/>
          <w:b/>
          <w:sz w:val="26"/>
          <w:szCs w:val="26"/>
        </w:rPr>
        <w:t>Settlement</w:t>
      </w:r>
    </w:p>
    <w:p w:rsidR="009E1F23" w:rsidRPr="00496081" w:rsidRDefault="009E1F23" w:rsidP="00496081">
      <w:pPr>
        <w:keepNext/>
        <w:keepLines/>
        <w:spacing w:line="360" w:lineRule="auto"/>
        <w:contextualSpacing/>
        <w:rPr>
          <w:rFonts w:ascii="Times New Roman" w:hAnsi="Times New Roman" w:cs="Times New Roman"/>
          <w:sz w:val="26"/>
          <w:szCs w:val="26"/>
        </w:rPr>
      </w:pPr>
    </w:p>
    <w:p w:rsidR="00366F56" w:rsidRPr="00496081" w:rsidRDefault="007C6C52" w:rsidP="00496081">
      <w:pPr>
        <w:keepNext/>
        <w:keepLines/>
        <w:spacing w:line="360" w:lineRule="auto"/>
        <w:ind w:left="1440" w:hanging="720"/>
        <w:contextualSpacing/>
        <w:rPr>
          <w:rFonts w:ascii="Times New Roman" w:hAnsi="Times New Roman" w:cs="Times New Roman"/>
          <w:sz w:val="26"/>
          <w:szCs w:val="26"/>
        </w:rPr>
      </w:pPr>
      <w:r w:rsidRPr="00496081">
        <w:rPr>
          <w:rFonts w:ascii="Times New Roman" w:hAnsi="Times New Roman" w:cs="Times New Roman"/>
          <w:b/>
          <w:sz w:val="26"/>
          <w:szCs w:val="26"/>
        </w:rPr>
        <w:t>1.</w:t>
      </w:r>
      <w:r w:rsidRPr="00496081">
        <w:rPr>
          <w:rFonts w:ascii="Times New Roman" w:hAnsi="Times New Roman" w:cs="Times New Roman"/>
          <w:b/>
          <w:sz w:val="26"/>
          <w:szCs w:val="26"/>
        </w:rPr>
        <w:tab/>
        <w:t xml:space="preserve">Terms and Conditions of the </w:t>
      </w:r>
      <w:r w:rsidR="00B43A4E" w:rsidRPr="00496081">
        <w:rPr>
          <w:rFonts w:ascii="Times New Roman" w:hAnsi="Times New Roman" w:cs="Times New Roman"/>
          <w:b/>
          <w:sz w:val="26"/>
          <w:szCs w:val="26"/>
        </w:rPr>
        <w:t>Settlement</w:t>
      </w:r>
    </w:p>
    <w:p w:rsidR="00B43A4E" w:rsidRPr="00496081" w:rsidRDefault="00B43A4E" w:rsidP="00496081">
      <w:pPr>
        <w:keepNext/>
        <w:keepLines/>
        <w:spacing w:line="360" w:lineRule="auto"/>
        <w:contextualSpacing/>
        <w:rPr>
          <w:rFonts w:ascii="Times New Roman" w:hAnsi="Times New Roman" w:cs="Times New Roman"/>
          <w:sz w:val="26"/>
          <w:szCs w:val="26"/>
        </w:rPr>
      </w:pPr>
    </w:p>
    <w:p w:rsidR="003C7942" w:rsidRPr="00496081" w:rsidRDefault="00893BCA" w:rsidP="00496081">
      <w:pPr>
        <w:spacing w:line="360" w:lineRule="auto"/>
        <w:ind w:firstLine="1440"/>
        <w:contextualSpacing/>
        <w:rPr>
          <w:rFonts w:ascii="Times New Roman" w:hAnsi="Times New Roman" w:cs="Times New Roman"/>
          <w:bCs/>
          <w:sz w:val="26"/>
          <w:szCs w:val="26"/>
        </w:rPr>
      </w:pPr>
      <w:r w:rsidRPr="00496081">
        <w:rPr>
          <w:rFonts w:ascii="Times New Roman" w:hAnsi="Times New Roman" w:cs="Times New Roman"/>
          <w:sz w:val="26"/>
          <w:szCs w:val="26"/>
        </w:rPr>
        <w:t>After extensive informal and formal discovery by the OCA, the OSBA, and I&amp;E</w:t>
      </w:r>
      <w:r w:rsidR="004436C1" w:rsidRPr="00496081">
        <w:rPr>
          <w:rFonts w:ascii="Times New Roman" w:hAnsi="Times New Roman" w:cs="Times New Roman"/>
          <w:sz w:val="26"/>
          <w:szCs w:val="26"/>
        </w:rPr>
        <w:t xml:space="preserve"> and the service of direct and rebuttal testimony by all active Parties, the Joint Petitioners engaged in numerous settlement discussions.  As a result, the Joint Petitioners agreed to the Settlement covering all issues.  Settlement ¶ 19 at 5.  The Joint Petition consists of terms and conditions of the Settlement, which are embodied within the Joint Petition, and Appendices A through F, which are attached to the Joint Petition.</w:t>
      </w:r>
      <w:r w:rsidR="00FF6937" w:rsidRPr="00496081">
        <w:rPr>
          <w:rFonts w:ascii="Times New Roman" w:hAnsi="Times New Roman" w:cs="Times New Roman"/>
          <w:sz w:val="26"/>
          <w:szCs w:val="26"/>
        </w:rPr>
        <w:t xml:space="preserve">  Appendix A sets out the proposed Settlement tariff supplement</w:t>
      </w:r>
      <w:r w:rsidR="003304C3" w:rsidRPr="00496081">
        <w:rPr>
          <w:rFonts w:ascii="Times New Roman" w:hAnsi="Times New Roman" w:cs="Times New Roman"/>
          <w:sz w:val="26"/>
          <w:szCs w:val="26"/>
        </w:rPr>
        <w:t xml:space="preserve"> </w:t>
      </w:r>
      <w:r w:rsidR="00FF6937" w:rsidRPr="00496081">
        <w:rPr>
          <w:rFonts w:ascii="Times New Roman" w:hAnsi="Times New Roman" w:cs="Times New Roman"/>
          <w:sz w:val="26"/>
          <w:szCs w:val="26"/>
        </w:rPr>
        <w:t xml:space="preserve">to be filed and to become effective in accordance with the Settlement.  Appendix B contains a Proof of Revenue, showing Columbia Water’s revenues at the existing rates and at the rates proposed under the Settlement.  </w:t>
      </w:r>
      <w:r w:rsidR="000F7CA3" w:rsidRPr="00496081">
        <w:rPr>
          <w:rFonts w:ascii="Times New Roman" w:hAnsi="Times New Roman" w:cs="Times New Roman"/>
          <w:bCs/>
          <w:sz w:val="26"/>
          <w:szCs w:val="26"/>
        </w:rPr>
        <w:t xml:space="preserve">Appendix C represents the Statement in Support of the Joint Settlement filed by </w:t>
      </w:r>
      <w:r w:rsidR="00FF6937" w:rsidRPr="00496081">
        <w:rPr>
          <w:rFonts w:ascii="Times New Roman" w:hAnsi="Times New Roman" w:cs="Times New Roman"/>
          <w:bCs/>
          <w:sz w:val="26"/>
          <w:szCs w:val="26"/>
        </w:rPr>
        <w:t>Columbia Water (Columbia Water</w:t>
      </w:r>
      <w:r w:rsidR="000F7CA3" w:rsidRPr="00496081">
        <w:rPr>
          <w:rFonts w:ascii="Times New Roman" w:hAnsi="Times New Roman" w:cs="Times New Roman"/>
          <w:bCs/>
          <w:sz w:val="26"/>
          <w:szCs w:val="26"/>
        </w:rPr>
        <w:t xml:space="preserve"> Statement).  </w:t>
      </w:r>
      <w:r w:rsidR="00FF6937" w:rsidRPr="00496081">
        <w:rPr>
          <w:rFonts w:ascii="Times New Roman" w:hAnsi="Times New Roman" w:cs="Times New Roman"/>
          <w:bCs/>
          <w:sz w:val="26"/>
          <w:szCs w:val="26"/>
        </w:rPr>
        <w:t xml:space="preserve">Appendix D represents the Statement in Support of the Joint Settlement filed by I&amp;E (I&amp;E Statement).  </w:t>
      </w:r>
      <w:r w:rsidR="000F7CA3" w:rsidRPr="00496081">
        <w:rPr>
          <w:rFonts w:ascii="Times New Roman" w:hAnsi="Times New Roman" w:cs="Times New Roman"/>
          <w:bCs/>
          <w:sz w:val="26"/>
          <w:szCs w:val="26"/>
        </w:rPr>
        <w:t xml:space="preserve">Appendix </w:t>
      </w:r>
      <w:r w:rsidR="00FF6937" w:rsidRPr="00496081">
        <w:rPr>
          <w:rFonts w:ascii="Times New Roman" w:hAnsi="Times New Roman" w:cs="Times New Roman"/>
          <w:bCs/>
          <w:sz w:val="26"/>
          <w:szCs w:val="26"/>
        </w:rPr>
        <w:t>E</w:t>
      </w:r>
      <w:r w:rsidR="000F7CA3" w:rsidRPr="00496081">
        <w:rPr>
          <w:rFonts w:ascii="Times New Roman" w:hAnsi="Times New Roman" w:cs="Times New Roman"/>
          <w:bCs/>
          <w:sz w:val="26"/>
          <w:szCs w:val="26"/>
        </w:rPr>
        <w:t xml:space="preserve"> </w:t>
      </w:r>
      <w:r w:rsidR="002F0822" w:rsidRPr="00496081">
        <w:rPr>
          <w:rFonts w:ascii="Times New Roman" w:hAnsi="Times New Roman" w:cs="Times New Roman"/>
          <w:bCs/>
          <w:sz w:val="26"/>
          <w:szCs w:val="26"/>
        </w:rPr>
        <w:t>represent</w:t>
      </w:r>
      <w:r w:rsidR="000F7CA3" w:rsidRPr="00496081">
        <w:rPr>
          <w:rFonts w:ascii="Times New Roman" w:hAnsi="Times New Roman" w:cs="Times New Roman"/>
          <w:bCs/>
          <w:sz w:val="26"/>
          <w:szCs w:val="26"/>
        </w:rPr>
        <w:t>s</w:t>
      </w:r>
      <w:r w:rsidR="0045244B" w:rsidRPr="00496081">
        <w:rPr>
          <w:rFonts w:ascii="Times New Roman" w:hAnsi="Times New Roman" w:cs="Times New Roman"/>
          <w:bCs/>
          <w:sz w:val="26"/>
          <w:szCs w:val="26"/>
        </w:rPr>
        <w:t xml:space="preserve"> the Statement</w:t>
      </w:r>
      <w:r w:rsidR="002F0822" w:rsidRPr="00496081">
        <w:rPr>
          <w:rFonts w:ascii="Times New Roman" w:hAnsi="Times New Roman" w:cs="Times New Roman"/>
          <w:bCs/>
          <w:sz w:val="26"/>
          <w:szCs w:val="26"/>
        </w:rPr>
        <w:t xml:space="preserve"> in Support </w:t>
      </w:r>
      <w:r w:rsidR="000F7CA3" w:rsidRPr="00496081">
        <w:rPr>
          <w:rFonts w:ascii="Times New Roman" w:hAnsi="Times New Roman" w:cs="Times New Roman"/>
          <w:bCs/>
          <w:sz w:val="26"/>
          <w:szCs w:val="26"/>
        </w:rPr>
        <w:t xml:space="preserve">of the Joint Settlement </w:t>
      </w:r>
      <w:r w:rsidR="002F0822" w:rsidRPr="00496081">
        <w:rPr>
          <w:rFonts w:ascii="Times New Roman" w:hAnsi="Times New Roman" w:cs="Times New Roman"/>
          <w:bCs/>
          <w:sz w:val="26"/>
          <w:szCs w:val="26"/>
        </w:rPr>
        <w:t xml:space="preserve">filed by </w:t>
      </w:r>
      <w:r w:rsidR="008213BC" w:rsidRPr="00496081">
        <w:rPr>
          <w:rFonts w:ascii="Times New Roman" w:hAnsi="Times New Roman" w:cs="Times New Roman"/>
          <w:bCs/>
          <w:sz w:val="26"/>
          <w:szCs w:val="26"/>
        </w:rPr>
        <w:t xml:space="preserve">the </w:t>
      </w:r>
      <w:r w:rsidR="002F0822" w:rsidRPr="00496081">
        <w:rPr>
          <w:rFonts w:ascii="Times New Roman" w:hAnsi="Times New Roman" w:cs="Times New Roman"/>
          <w:bCs/>
          <w:sz w:val="26"/>
          <w:szCs w:val="26"/>
        </w:rPr>
        <w:t>OCA</w:t>
      </w:r>
      <w:r w:rsidR="000F7CA3" w:rsidRPr="00496081">
        <w:rPr>
          <w:rFonts w:ascii="Times New Roman" w:hAnsi="Times New Roman" w:cs="Times New Roman"/>
          <w:bCs/>
          <w:sz w:val="26"/>
          <w:szCs w:val="26"/>
        </w:rPr>
        <w:t xml:space="preserve"> (OCA Statement)</w:t>
      </w:r>
      <w:r w:rsidR="002F0822" w:rsidRPr="00496081">
        <w:rPr>
          <w:rFonts w:ascii="Times New Roman" w:hAnsi="Times New Roman" w:cs="Times New Roman"/>
          <w:bCs/>
          <w:sz w:val="26"/>
          <w:szCs w:val="26"/>
        </w:rPr>
        <w:t>.</w:t>
      </w:r>
      <w:r w:rsidR="0083542A" w:rsidRPr="00496081">
        <w:rPr>
          <w:rFonts w:ascii="Times New Roman" w:hAnsi="Times New Roman" w:cs="Times New Roman"/>
          <w:bCs/>
          <w:sz w:val="26"/>
          <w:szCs w:val="26"/>
        </w:rPr>
        <w:t xml:space="preserve">  </w:t>
      </w:r>
      <w:r w:rsidR="00FF6937" w:rsidRPr="00496081">
        <w:rPr>
          <w:rFonts w:ascii="Times New Roman" w:hAnsi="Times New Roman" w:cs="Times New Roman"/>
          <w:bCs/>
          <w:sz w:val="26"/>
          <w:szCs w:val="26"/>
        </w:rPr>
        <w:t xml:space="preserve">Appendix F represents the Statement in Support of the Joint Settlement filed by the OSBA (OSBA Statement). </w:t>
      </w:r>
      <w:r w:rsidR="0083542A" w:rsidRPr="00496081">
        <w:rPr>
          <w:rFonts w:ascii="Times New Roman" w:hAnsi="Times New Roman" w:cs="Times New Roman"/>
          <w:bCs/>
          <w:i/>
          <w:sz w:val="26"/>
          <w:szCs w:val="26"/>
        </w:rPr>
        <w:t xml:space="preserve">See generally </w:t>
      </w:r>
      <w:r w:rsidR="0083542A" w:rsidRPr="00496081">
        <w:rPr>
          <w:rFonts w:ascii="Times New Roman" w:hAnsi="Times New Roman" w:cs="Times New Roman"/>
          <w:bCs/>
          <w:sz w:val="26"/>
          <w:szCs w:val="26"/>
        </w:rPr>
        <w:t xml:space="preserve">Joint Petition </w:t>
      </w:r>
      <w:r w:rsidR="0083542A" w:rsidRPr="00496081">
        <w:rPr>
          <w:rFonts w:ascii="Times New Roman" w:hAnsi="Times New Roman" w:cs="Times New Roman"/>
          <w:sz w:val="26"/>
          <w:szCs w:val="26"/>
        </w:rPr>
        <w:t>¶ </w:t>
      </w:r>
      <w:r w:rsidR="00FF6937" w:rsidRPr="00496081">
        <w:rPr>
          <w:rFonts w:ascii="Times New Roman" w:hAnsi="Times New Roman" w:cs="Times New Roman"/>
          <w:sz w:val="26"/>
          <w:szCs w:val="26"/>
        </w:rPr>
        <w:t>28</w:t>
      </w:r>
      <w:r w:rsidR="0083542A" w:rsidRPr="00496081">
        <w:rPr>
          <w:rFonts w:ascii="Times New Roman" w:hAnsi="Times New Roman" w:cs="Times New Roman"/>
          <w:sz w:val="26"/>
          <w:szCs w:val="26"/>
        </w:rPr>
        <w:t xml:space="preserve"> at </w:t>
      </w:r>
      <w:r w:rsidR="00FF6937" w:rsidRPr="00496081">
        <w:rPr>
          <w:rFonts w:ascii="Times New Roman" w:hAnsi="Times New Roman" w:cs="Times New Roman"/>
          <w:sz w:val="26"/>
          <w:szCs w:val="26"/>
        </w:rPr>
        <w:t>9</w:t>
      </w:r>
      <w:r w:rsidR="0083542A" w:rsidRPr="00496081">
        <w:rPr>
          <w:rFonts w:ascii="Times New Roman" w:hAnsi="Times New Roman" w:cs="Times New Roman"/>
          <w:sz w:val="26"/>
          <w:szCs w:val="26"/>
        </w:rPr>
        <w:t>.</w:t>
      </w:r>
    </w:p>
    <w:p w:rsidR="002F0822" w:rsidRPr="00496081" w:rsidRDefault="002F0822" w:rsidP="00496081">
      <w:pPr>
        <w:spacing w:line="360" w:lineRule="auto"/>
        <w:ind w:firstLine="1440"/>
        <w:contextualSpacing/>
        <w:rPr>
          <w:rFonts w:ascii="Times New Roman" w:hAnsi="Times New Roman" w:cs="Times New Roman"/>
          <w:bCs/>
          <w:sz w:val="26"/>
          <w:szCs w:val="26"/>
        </w:rPr>
      </w:pPr>
    </w:p>
    <w:p w:rsidR="002442A2" w:rsidRPr="00496081" w:rsidRDefault="002442A2" w:rsidP="00496081">
      <w:pPr>
        <w:spacing w:line="360" w:lineRule="auto"/>
        <w:ind w:firstLine="1440"/>
        <w:contextualSpacing/>
        <w:rPr>
          <w:rFonts w:ascii="Times New Roman" w:hAnsi="Times New Roman" w:cs="Times New Roman"/>
          <w:bCs/>
          <w:sz w:val="26"/>
          <w:szCs w:val="26"/>
        </w:rPr>
      </w:pPr>
      <w:r w:rsidRPr="00496081">
        <w:rPr>
          <w:rFonts w:ascii="Times New Roman" w:hAnsi="Times New Roman" w:cs="Times New Roman"/>
          <w:bCs/>
          <w:sz w:val="26"/>
          <w:szCs w:val="26"/>
        </w:rPr>
        <w:t>The essential terms of the Settlement a</w:t>
      </w:r>
      <w:r w:rsidR="00992095" w:rsidRPr="00496081">
        <w:rPr>
          <w:rFonts w:ascii="Times New Roman" w:hAnsi="Times New Roman" w:cs="Times New Roman"/>
          <w:bCs/>
          <w:sz w:val="26"/>
          <w:szCs w:val="26"/>
        </w:rPr>
        <w:t xml:space="preserve">re set forth in </w:t>
      </w:r>
      <w:r w:rsidR="008E23D1" w:rsidRPr="00496081">
        <w:rPr>
          <w:rFonts w:ascii="Times New Roman" w:hAnsi="Times New Roman" w:cs="Times New Roman"/>
          <w:bCs/>
          <w:sz w:val="26"/>
          <w:szCs w:val="26"/>
        </w:rPr>
        <w:t>Paragraph 20</w:t>
      </w:r>
      <w:r w:rsidRPr="00496081">
        <w:rPr>
          <w:rFonts w:ascii="Times New Roman" w:hAnsi="Times New Roman" w:cs="Times New Roman"/>
          <w:bCs/>
          <w:sz w:val="26"/>
          <w:szCs w:val="26"/>
        </w:rPr>
        <w:t xml:space="preserve"> of the Joint Petition</w:t>
      </w:r>
      <w:r w:rsidR="0083542A" w:rsidRPr="00496081">
        <w:rPr>
          <w:rFonts w:ascii="Times New Roman" w:hAnsi="Times New Roman" w:cs="Times New Roman"/>
          <w:bCs/>
          <w:sz w:val="26"/>
          <w:szCs w:val="26"/>
        </w:rPr>
        <w:t xml:space="preserve">, which </w:t>
      </w:r>
      <w:r w:rsidR="008E23D1" w:rsidRPr="00496081">
        <w:rPr>
          <w:rFonts w:ascii="Times New Roman" w:hAnsi="Times New Roman" w:cs="Times New Roman"/>
          <w:bCs/>
          <w:sz w:val="26"/>
          <w:szCs w:val="26"/>
        </w:rPr>
        <w:t>is shown below in full as it</w:t>
      </w:r>
      <w:r w:rsidR="0083542A" w:rsidRPr="00496081">
        <w:rPr>
          <w:rFonts w:ascii="Times New Roman" w:hAnsi="Times New Roman" w:cs="Times New Roman"/>
          <w:bCs/>
          <w:sz w:val="26"/>
          <w:szCs w:val="26"/>
        </w:rPr>
        <w:t xml:space="preserve"> appear</w:t>
      </w:r>
      <w:r w:rsidR="008E23D1" w:rsidRPr="00496081">
        <w:rPr>
          <w:rFonts w:ascii="Times New Roman" w:hAnsi="Times New Roman" w:cs="Times New Roman"/>
          <w:bCs/>
          <w:sz w:val="26"/>
          <w:szCs w:val="26"/>
        </w:rPr>
        <w:t>s</w:t>
      </w:r>
      <w:r w:rsidR="0083542A" w:rsidRPr="00496081">
        <w:rPr>
          <w:rFonts w:ascii="Times New Roman" w:hAnsi="Times New Roman" w:cs="Times New Roman"/>
          <w:bCs/>
          <w:sz w:val="26"/>
          <w:szCs w:val="26"/>
        </w:rPr>
        <w:t xml:space="preserve"> in the Joint Petition:</w:t>
      </w:r>
    </w:p>
    <w:p w:rsidR="002F0822" w:rsidRPr="00496081" w:rsidRDefault="002F0822" w:rsidP="00496081">
      <w:pPr>
        <w:spacing w:line="360" w:lineRule="auto"/>
        <w:ind w:firstLine="1440"/>
        <w:contextualSpacing/>
        <w:rPr>
          <w:rFonts w:ascii="Times New Roman" w:hAnsi="Times New Roman" w:cs="Times New Roman"/>
          <w:bCs/>
          <w:sz w:val="26"/>
          <w:szCs w:val="26"/>
        </w:rPr>
      </w:pPr>
    </w:p>
    <w:p w:rsidR="007843A8" w:rsidRPr="00496081" w:rsidRDefault="007843A8" w:rsidP="00496081">
      <w:pPr>
        <w:autoSpaceDE w:val="0"/>
        <w:autoSpaceDN w:val="0"/>
        <w:adjustRightInd w:val="0"/>
        <w:spacing w:after="0" w:line="240" w:lineRule="auto"/>
        <w:ind w:left="1440" w:right="1440"/>
        <w:contextualSpacing/>
        <w:rPr>
          <w:rFonts w:ascii="Times New Roman" w:hAnsi="Times New Roman" w:cs="Times New Roman"/>
          <w:sz w:val="26"/>
          <w:szCs w:val="26"/>
        </w:rPr>
      </w:pPr>
      <w:r w:rsidRPr="00496081">
        <w:rPr>
          <w:rFonts w:ascii="Times New Roman" w:hAnsi="Times New Roman" w:cs="Times New Roman"/>
          <w:sz w:val="26"/>
          <w:szCs w:val="26"/>
        </w:rPr>
        <w:t>20. The Settlement consists of the following terms and conditions:</w:t>
      </w:r>
    </w:p>
    <w:p w:rsidR="007843A8" w:rsidRPr="00496081" w:rsidRDefault="007843A8" w:rsidP="00496081">
      <w:pPr>
        <w:spacing w:line="360" w:lineRule="auto"/>
        <w:ind w:firstLine="1440"/>
        <w:contextualSpacing/>
        <w:rPr>
          <w:rFonts w:ascii="Times New Roman" w:hAnsi="Times New Roman" w:cs="Times New Roman"/>
          <w:sz w:val="26"/>
          <w:szCs w:val="26"/>
        </w:rPr>
      </w:pPr>
    </w:p>
    <w:p w:rsidR="002D2959" w:rsidRPr="00496081" w:rsidRDefault="002D2959" w:rsidP="00496081">
      <w:pPr>
        <w:autoSpaceDE w:val="0"/>
        <w:autoSpaceDN w:val="0"/>
        <w:adjustRightInd w:val="0"/>
        <w:spacing w:after="0" w:line="240" w:lineRule="auto"/>
        <w:ind w:left="1440" w:right="1440"/>
        <w:contextualSpacing/>
        <w:rPr>
          <w:rFonts w:ascii="Times New Roman" w:hAnsi="Times New Roman" w:cs="Times New Roman"/>
          <w:b/>
          <w:sz w:val="26"/>
          <w:szCs w:val="26"/>
        </w:rPr>
      </w:pPr>
      <w:r w:rsidRPr="00496081">
        <w:rPr>
          <w:rFonts w:ascii="Times New Roman" w:hAnsi="Times New Roman" w:cs="Times New Roman"/>
          <w:sz w:val="26"/>
          <w:szCs w:val="26"/>
        </w:rPr>
        <w:t>(a)</w:t>
      </w:r>
      <w:r w:rsidRPr="00496081">
        <w:rPr>
          <w:rFonts w:ascii="Times New Roman" w:hAnsi="Times New Roman" w:cs="Times New Roman"/>
          <w:sz w:val="26"/>
          <w:szCs w:val="26"/>
        </w:rPr>
        <w:tab/>
        <w:t xml:space="preserve">Upon entry of the final order by the Commission approving this Settlement, the Company will be permitted to charge the rates for water service set forth in the proposed tariff supplement, attached hereto as </w:t>
      </w:r>
      <w:r w:rsidRPr="00496081">
        <w:rPr>
          <w:rFonts w:ascii="Times New Roman" w:hAnsi="Times New Roman" w:cs="Times New Roman"/>
          <w:b/>
          <w:sz w:val="26"/>
          <w:szCs w:val="26"/>
        </w:rPr>
        <w:t>Appendix A</w:t>
      </w:r>
      <w:r w:rsidRPr="00496081">
        <w:rPr>
          <w:rFonts w:ascii="Times New Roman" w:hAnsi="Times New Roman" w:cs="Times New Roman"/>
          <w:sz w:val="26"/>
          <w:szCs w:val="26"/>
        </w:rPr>
        <w:t xml:space="preserve"> (“Settlement Rates”), to become effective upon one day’s </w:t>
      </w:r>
      <w:r w:rsidRPr="00496081">
        <w:rPr>
          <w:rFonts w:ascii="Times New Roman" w:hAnsi="Times New Roman" w:cs="Times New Roman"/>
          <w:sz w:val="26"/>
          <w:szCs w:val="26"/>
        </w:rPr>
        <w:lastRenderedPageBreak/>
        <w:t xml:space="preserve">notice.  Instead of the $923,668 (17.8%) increase requested in the filing, the Settlement Rates are designed to produce an increase of annual operating revenue of $635,000 (12.4%), as shown in greater detail on the Proof of Revenues attached hereto as </w:t>
      </w:r>
      <w:r w:rsidRPr="00496081">
        <w:rPr>
          <w:rFonts w:ascii="Times New Roman" w:hAnsi="Times New Roman" w:cs="Times New Roman"/>
          <w:b/>
          <w:sz w:val="26"/>
          <w:szCs w:val="26"/>
        </w:rPr>
        <w:t>Appendix B.</w:t>
      </w:r>
    </w:p>
    <w:p w:rsidR="002D2959" w:rsidRPr="00496081" w:rsidRDefault="002D2959" w:rsidP="00496081">
      <w:pPr>
        <w:autoSpaceDE w:val="0"/>
        <w:autoSpaceDN w:val="0"/>
        <w:adjustRightInd w:val="0"/>
        <w:spacing w:after="0" w:line="240" w:lineRule="auto"/>
        <w:ind w:left="1440" w:right="1440"/>
        <w:contextualSpacing/>
        <w:rPr>
          <w:rFonts w:ascii="Times New Roman" w:hAnsi="Times New Roman" w:cs="Times New Roman"/>
          <w:sz w:val="26"/>
          <w:szCs w:val="26"/>
        </w:rPr>
      </w:pPr>
    </w:p>
    <w:p w:rsidR="002D2959" w:rsidRPr="00496081" w:rsidRDefault="002D2959" w:rsidP="00496081">
      <w:pPr>
        <w:autoSpaceDE w:val="0"/>
        <w:autoSpaceDN w:val="0"/>
        <w:adjustRightInd w:val="0"/>
        <w:spacing w:after="0" w:line="240" w:lineRule="auto"/>
        <w:ind w:left="1440" w:right="1440"/>
        <w:contextualSpacing/>
        <w:rPr>
          <w:rFonts w:ascii="Times New Roman" w:hAnsi="Times New Roman" w:cs="Times New Roman"/>
          <w:sz w:val="26"/>
          <w:szCs w:val="26"/>
        </w:rPr>
      </w:pPr>
      <w:r w:rsidRPr="00496081">
        <w:rPr>
          <w:rFonts w:ascii="Times New Roman" w:hAnsi="Times New Roman" w:cs="Times New Roman"/>
          <w:sz w:val="26"/>
          <w:szCs w:val="26"/>
        </w:rPr>
        <w:t>(b)</w:t>
      </w:r>
      <w:r w:rsidRPr="00496081">
        <w:rPr>
          <w:rFonts w:ascii="Times New Roman" w:hAnsi="Times New Roman" w:cs="Times New Roman"/>
          <w:sz w:val="26"/>
          <w:szCs w:val="26"/>
        </w:rPr>
        <w:tab/>
        <w:t>Columbia agrees that it will file a cost of service study in the next general rate case if the Company proposes full consolidation of its Marietta and Columbia Rate Districts</w:t>
      </w:r>
      <w:r w:rsidRPr="00496081">
        <w:rPr>
          <w:rStyle w:val="FootnoteReference"/>
          <w:rFonts w:ascii="Times New Roman" w:hAnsi="Times New Roman" w:cs="Times New Roman"/>
          <w:sz w:val="26"/>
          <w:szCs w:val="26"/>
        </w:rPr>
        <w:footnoteReference w:id="3"/>
      </w:r>
      <w:r w:rsidRPr="00496081">
        <w:rPr>
          <w:rFonts w:ascii="Times New Roman" w:hAnsi="Times New Roman" w:cs="Times New Roman"/>
          <w:sz w:val="26"/>
          <w:szCs w:val="26"/>
        </w:rPr>
        <w:t xml:space="preserve"> rates.  The Company may seek consolidation of rates in any subsequent rate case; however, I&amp;E, OCA and OSBA reserve the right to challenge any such proposed rates.</w:t>
      </w:r>
    </w:p>
    <w:p w:rsidR="00C24E54" w:rsidRPr="00496081" w:rsidRDefault="00C24E54" w:rsidP="00496081">
      <w:pPr>
        <w:autoSpaceDE w:val="0"/>
        <w:autoSpaceDN w:val="0"/>
        <w:adjustRightInd w:val="0"/>
        <w:spacing w:after="0" w:line="240" w:lineRule="auto"/>
        <w:ind w:left="1440" w:right="1440"/>
        <w:contextualSpacing/>
        <w:rPr>
          <w:rFonts w:ascii="Times New Roman" w:hAnsi="Times New Roman" w:cs="Times New Roman"/>
          <w:sz w:val="26"/>
          <w:szCs w:val="26"/>
        </w:rPr>
      </w:pPr>
    </w:p>
    <w:p w:rsidR="00C24E54" w:rsidRPr="00496081" w:rsidRDefault="00262D96" w:rsidP="00496081">
      <w:pPr>
        <w:autoSpaceDE w:val="0"/>
        <w:autoSpaceDN w:val="0"/>
        <w:adjustRightInd w:val="0"/>
        <w:spacing w:after="0" w:line="240" w:lineRule="auto"/>
        <w:ind w:left="1440" w:right="1440"/>
        <w:contextualSpacing/>
        <w:rPr>
          <w:rFonts w:ascii="Times New Roman" w:hAnsi="Times New Roman" w:cs="Times New Roman"/>
          <w:sz w:val="26"/>
          <w:szCs w:val="26"/>
        </w:rPr>
      </w:pPr>
      <w:r w:rsidRPr="00496081">
        <w:rPr>
          <w:rFonts w:ascii="Times New Roman" w:hAnsi="Times New Roman" w:cs="Times New Roman"/>
          <w:sz w:val="26"/>
          <w:szCs w:val="26"/>
        </w:rPr>
        <w:t>(c)</w:t>
      </w:r>
      <w:r w:rsidRPr="00496081">
        <w:rPr>
          <w:rFonts w:ascii="Times New Roman" w:hAnsi="Times New Roman" w:cs="Times New Roman"/>
          <w:sz w:val="26"/>
          <w:szCs w:val="26"/>
        </w:rPr>
        <w:tab/>
      </w:r>
      <w:r w:rsidR="00C24E54" w:rsidRPr="00496081">
        <w:rPr>
          <w:rFonts w:ascii="Times New Roman" w:hAnsi="Times New Roman" w:cs="Times New Roman"/>
          <w:sz w:val="26"/>
          <w:szCs w:val="26"/>
        </w:rPr>
        <w:t xml:space="preserve">Upon approval and implementation of the Settlement Rates, the Company will not file for another general rate increase for its Columbia or Marietta Rate Districts under Section 1308(d) of the Public Utility Code, 66 Pa. C.S. §101 </w:t>
      </w:r>
      <w:r w:rsidR="00C24E54" w:rsidRPr="00496081">
        <w:rPr>
          <w:rFonts w:ascii="Times New Roman" w:hAnsi="Times New Roman" w:cs="Times New Roman"/>
          <w:i/>
          <w:sz w:val="26"/>
          <w:szCs w:val="26"/>
        </w:rPr>
        <w:t>et seq</w:t>
      </w:r>
      <w:r w:rsidR="00C24E54" w:rsidRPr="00496081">
        <w:rPr>
          <w:rFonts w:ascii="Times New Roman" w:hAnsi="Times New Roman" w:cs="Times New Roman"/>
          <w:sz w:val="26"/>
          <w:szCs w:val="26"/>
        </w:rPr>
        <w:t>., prior to thirty-three (33) months from the entry date of the Commission’s final order approving this Settlement in full without revision.</w:t>
      </w:r>
      <w:r w:rsidRPr="00496081">
        <w:rPr>
          <w:rFonts w:ascii="Times New Roman" w:hAnsi="Times New Roman" w:cs="Times New Roman"/>
          <w:sz w:val="26"/>
          <w:szCs w:val="26"/>
        </w:rPr>
        <w:t xml:space="preserve"> </w:t>
      </w:r>
      <w:r w:rsidR="00C24E54" w:rsidRPr="00496081">
        <w:rPr>
          <w:rFonts w:ascii="Times New Roman" w:hAnsi="Times New Roman" w:cs="Times New Roman"/>
          <w:sz w:val="26"/>
          <w:szCs w:val="26"/>
        </w:rPr>
        <w:t xml:space="preserve"> However, if a legislative body, a court, or an administrative agency, including</w:t>
      </w:r>
      <w:r w:rsidRPr="00496081">
        <w:rPr>
          <w:rFonts w:ascii="Times New Roman" w:hAnsi="Times New Roman" w:cs="Times New Roman"/>
          <w:sz w:val="26"/>
          <w:szCs w:val="26"/>
        </w:rPr>
        <w:t xml:space="preserve"> </w:t>
      </w:r>
      <w:r w:rsidR="00C24E54" w:rsidRPr="00496081">
        <w:rPr>
          <w:rFonts w:ascii="Times New Roman" w:hAnsi="Times New Roman" w:cs="Times New Roman"/>
          <w:sz w:val="26"/>
          <w:szCs w:val="26"/>
        </w:rPr>
        <w:t>the Commission, enacts or orders any fundamental changes in policy, regulations or statutes that</w:t>
      </w:r>
      <w:r w:rsidRPr="00496081">
        <w:rPr>
          <w:rFonts w:ascii="Times New Roman" w:hAnsi="Times New Roman" w:cs="Times New Roman"/>
          <w:sz w:val="26"/>
          <w:szCs w:val="26"/>
        </w:rPr>
        <w:t xml:space="preserve"> </w:t>
      </w:r>
      <w:r w:rsidR="00C24E54" w:rsidRPr="00496081">
        <w:rPr>
          <w:rFonts w:ascii="Times New Roman" w:hAnsi="Times New Roman" w:cs="Times New Roman"/>
          <w:sz w:val="26"/>
          <w:szCs w:val="26"/>
        </w:rPr>
        <w:t>directly and substantially affect the Company’s cost of service, the Settlement shall not prevent the</w:t>
      </w:r>
      <w:r w:rsidRPr="00496081">
        <w:rPr>
          <w:rFonts w:ascii="Times New Roman" w:hAnsi="Times New Roman" w:cs="Times New Roman"/>
          <w:sz w:val="26"/>
          <w:szCs w:val="26"/>
        </w:rPr>
        <w:t xml:space="preserve"> </w:t>
      </w:r>
      <w:r w:rsidR="00C24E54" w:rsidRPr="00496081">
        <w:rPr>
          <w:rFonts w:ascii="Times New Roman" w:hAnsi="Times New Roman" w:cs="Times New Roman"/>
          <w:sz w:val="26"/>
          <w:szCs w:val="26"/>
        </w:rPr>
        <w:t xml:space="preserve">Company from filing a tariff or tariff supplement to the extent necessitated due to such action. </w:t>
      </w:r>
      <w:r w:rsidRPr="00496081">
        <w:rPr>
          <w:rFonts w:ascii="Times New Roman" w:hAnsi="Times New Roman" w:cs="Times New Roman"/>
          <w:sz w:val="26"/>
          <w:szCs w:val="26"/>
        </w:rPr>
        <w:t xml:space="preserve"> </w:t>
      </w:r>
      <w:r w:rsidR="00C24E54" w:rsidRPr="00496081">
        <w:rPr>
          <w:rFonts w:ascii="Times New Roman" w:hAnsi="Times New Roman" w:cs="Times New Roman"/>
          <w:sz w:val="26"/>
          <w:szCs w:val="26"/>
        </w:rPr>
        <w:t>In</w:t>
      </w:r>
      <w:r w:rsidRPr="00496081">
        <w:rPr>
          <w:rFonts w:ascii="Times New Roman" w:hAnsi="Times New Roman" w:cs="Times New Roman"/>
          <w:sz w:val="26"/>
          <w:szCs w:val="26"/>
        </w:rPr>
        <w:t xml:space="preserve"> </w:t>
      </w:r>
      <w:r w:rsidR="00C24E54" w:rsidRPr="00496081">
        <w:rPr>
          <w:rFonts w:ascii="Times New Roman" w:hAnsi="Times New Roman" w:cs="Times New Roman"/>
          <w:sz w:val="26"/>
          <w:szCs w:val="26"/>
        </w:rPr>
        <w:t>addition, this provision shall not preclude the Company from seeking extraordinary rate relief</w:t>
      </w:r>
      <w:r w:rsidRPr="00496081">
        <w:rPr>
          <w:rFonts w:ascii="Times New Roman" w:hAnsi="Times New Roman" w:cs="Times New Roman"/>
          <w:sz w:val="26"/>
          <w:szCs w:val="26"/>
        </w:rPr>
        <w:t xml:space="preserve"> </w:t>
      </w:r>
      <w:r w:rsidR="00C24E54" w:rsidRPr="00496081">
        <w:rPr>
          <w:rFonts w:ascii="Times New Roman" w:hAnsi="Times New Roman" w:cs="Times New Roman"/>
          <w:sz w:val="26"/>
          <w:szCs w:val="26"/>
        </w:rPr>
        <w:t>under Section 1308(e) of the Public Utility Code, 66 Pa. C.S. § 1308(e).</w:t>
      </w:r>
    </w:p>
    <w:p w:rsidR="00262D96" w:rsidRPr="00496081" w:rsidRDefault="00262D96" w:rsidP="00496081">
      <w:pPr>
        <w:autoSpaceDE w:val="0"/>
        <w:autoSpaceDN w:val="0"/>
        <w:adjustRightInd w:val="0"/>
        <w:spacing w:after="0" w:line="240" w:lineRule="auto"/>
        <w:ind w:left="1440" w:right="1440"/>
        <w:contextualSpacing/>
        <w:rPr>
          <w:rFonts w:ascii="Times New Roman" w:hAnsi="Times New Roman" w:cs="Times New Roman"/>
          <w:sz w:val="26"/>
          <w:szCs w:val="26"/>
        </w:rPr>
      </w:pPr>
    </w:p>
    <w:p w:rsidR="00262D96" w:rsidRPr="00496081" w:rsidRDefault="00262D96" w:rsidP="00496081">
      <w:pPr>
        <w:autoSpaceDE w:val="0"/>
        <w:autoSpaceDN w:val="0"/>
        <w:adjustRightInd w:val="0"/>
        <w:spacing w:after="0" w:line="240" w:lineRule="auto"/>
        <w:ind w:left="1440" w:right="1440"/>
        <w:contextualSpacing/>
        <w:rPr>
          <w:rFonts w:ascii="Times New Roman" w:hAnsi="Times New Roman" w:cs="Times New Roman"/>
          <w:sz w:val="26"/>
          <w:szCs w:val="26"/>
        </w:rPr>
      </w:pPr>
      <w:r w:rsidRPr="00496081">
        <w:rPr>
          <w:rFonts w:ascii="Times New Roman" w:hAnsi="Times New Roman" w:cs="Times New Roman"/>
          <w:sz w:val="26"/>
          <w:szCs w:val="26"/>
        </w:rPr>
        <w:t>(d)</w:t>
      </w:r>
      <w:r w:rsidRPr="00496081">
        <w:rPr>
          <w:rFonts w:ascii="Times New Roman" w:hAnsi="Times New Roman" w:cs="Times New Roman"/>
          <w:sz w:val="26"/>
          <w:szCs w:val="26"/>
        </w:rPr>
        <w:tab/>
        <w:t>The Parties agree that the Settlement is not premised upon inclusion in rate base of any Marietta Rate District PennVest-funded plant.</w:t>
      </w:r>
    </w:p>
    <w:p w:rsidR="001E76DD" w:rsidRPr="00496081" w:rsidRDefault="001E76DD" w:rsidP="00496081">
      <w:pPr>
        <w:autoSpaceDE w:val="0"/>
        <w:autoSpaceDN w:val="0"/>
        <w:adjustRightInd w:val="0"/>
        <w:spacing w:after="0" w:line="240" w:lineRule="auto"/>
        <w:ind w:left="1440" w:right="1440"/>
        <w:contextualSpacing/>
        <w:rPr>
          <w:rFonts w:ascii="Times New Roman" w:hAnsi="Times New Roman" w:cs="Times New Roman"/>
          <w:sz w:val="26"/>
          <w:szCs w:val="26"/>
        </w:rPr>
      </w:pPr>
    </w:p>
    <w:p w:rsidR="001E76DD" w:rsidRPr="00496081" w:rsidRDefault="001E76DD" w:rsidP="00496081">
      <w:pPr>
        <w:autoSpaceDE w:val="0"/>
        <w:autoSpaceDN w:val="0"/>
        <w:adjustRightInd w:val="0"/>
        <w:spacing w:after="0" w:line="240" w:lineRule="auto"/>
        <w:ind w:left="1440" w:right="1440"/>
        <w:contextualSpacing/>
        <w:rPr>
          <w:rFonts w:ascii="Times New Roman" w:hAnsi="Times New Roman" w:cs="Times New Roman"/>
          <w:sz w:val="26"/>
          <w:szCs w:val="26"/>
        </w:rPr>
      </w:pPr>
      <w:r w:rsidRPr="00496081">
        <w:rPr>
          <w:rFonts w:ascii="Times New Roman" w:hAnsi="Times New Roman" w:cs="Times New Roman"/>
          <w:sz w:val="26"/>
          <w:szCs w:val="26"/>
        </w:rPr>
        <w:t>(e)</w:t>
      </w:r>
      <w:r w:rsidRPr="00496081">
        <w:rPr>
          <w:rFonts w:ascii="Times New Roman" w:hAnsi="Times New Roman" w:cs="Times New Roman"/>
          <w:sz w:val="26"/>
          <w:szCs w:val="26"/>
        </w:rPr>
        <w:tab/>
        <w:t>The Parties agree that the Company will not make a claim in any future rate case to recover costs, claimed in this case as Franchises &amp; Consents, related to the acquisitions of the Marietta Gravity Water Company and Mountville Water Company.</w:t>
      </w:r>
    </w:p>
    <w:p w:rsidR="001E76DD" w:rsidRPr="00496081" w:rsidRDefault="001E76DD" w:rsidP="00496081">
      <w:pPr>
        <w:autoSpaceDE w:val="0"/>
        <w:autoSpaceDN w:val="0"/>
        <w:adjustRightInd w:val="0"/>
        <w:spacing w:after="0" w:line="240" w:lineRule="auto"/>
        <w:ind w:left="1440" w:right="1440"/>
        <w:contextualSpacing/>
        <w:rPr>
          <w:rFonts w:ascii="Times New Roman" w:hAnsi="Times New Roman" w:cs="Times New Roman"/>
          <w:sz w:val="26"/>
          <w:szCs w:val="26"/>
        </w:rPr>
      </w:pPr>
    </w:p>
    <w:p w:rsidR="001E76DD" w:rsidRDefault="001E76DD" w:rsidP="00496081">
      <w:pPr>
        <w:autoSpaceDE w:val="0"/>
        <w:autoSpaceDN w:val="0"/>
        <w:adjustRightInd w:val="0"/>
        <w:spacing w:after="0" w:line="240" w:lineRule="auto"/>
        <w:ind w:left="1440" w:right="1440"/>
        <w:contextualSpacing/>
        <w:rPr>
          <w:rFonts w:ascii="Times New Roman" w:hAnsi="Times New Roman" w:cs="Times New Roman"/>
          <w:sz w:val="26"/>
          <w:szCs w:val="26"/>
        </w:rPr>
      </w:pPr>
      <w:r w:rsidRPr="00496081">
        <w:rPr>
          <w:rFonts w:ascii="Times New Roman" w:hAnsi="Times New Roman" w:cs="Times New Roman"/>
          <w:sz w:val="26"/>
          <w:szCs w:val="26"/>
        </w:rPr>
        <w:t>(f)</w:t>
      </w:r>
      <w:r w:rsidRPr="00496081">
        <w:rPr>
          <w:rFonts w:ascii="Times New Roman" w:hAnsi="Times New Roman" w:cs="Times New Roman"/>
          <w:sz w:val="26"/>
          <w:szCs w:val="26"/>
        </w:rPr>
        <w:tab/>
        <w:t xml:space="preserve">Columbia will do annual reporting regarding the Company’s present isolation valve exercising which includes critical valve exercising per the Commission’s 2014 Management Audit at Docket No. D-2014-2405415. </w:t>
      </w:r>
      <w:r w:rsidR="002043EF" w:rsidRPr="00496081">
        <w:rPr>
          <w:rFonts w:ascii="Times New Roman" w:hAnsi="Times New Roman" w:cs="Times New Roman"/>
          <w:sz w:val="26"/>
          <w:szCs w:val="26"/>
        </w:rPr>
        <w:t xml:space="preserve"> </w:t>
      </w:r>
      <w:r w:rsidRPr="00496081">
        <w:rPr>
          <w:rFonts w:ascii="Times New Roman" w:hAnsi="Times New Roman" w:cs="Times New Roman"/>
          <w:sz w:val="26"/>
          <w:szCs w:val="26"/>
        </w:rPr>
        <w:t>This reporting requirement terminates when the Company’s next general rate case is decided by final Commission order.</w:t>
      </w:r>
    </w:p>
    <w:p w:rsidR="00EE0E54" w:rsidRPr="00496081" w:rsidRDefault="00EE0E54" w:rsidP="00496081">
      <w:pPr>
        <w:autoSpaceDE w:val="0"/>
        <w:autoSpaceDN w:val="0"/>
        <w:adjustRightInd w:val="0"/>
        <w:spacing w:after="0" w:line="240" w:lineRule="auto"/>
        <w:ind w:left="1440" w:right="1440"/>
        <w:contextualSpacing/>
        <w:rPr>
          <w:rFonts w:ascii="Times New Roman" w:hAnsi="Times New Roman" w:cs="Times New Roman"/>
          <w:bCs/>
          <w:sz w:val="26"/>
          <w:szCs w:val="26"/>
        </w:rPr>
      </w:pPr>
    </w:p>
    <w:p w:rsidR="00462EEF" w:rsidRPr="00496081" w:rsidRDefault="00462EEF" w:rsidP="00496081">
      <w:pPr>
        <w:spacing w:line="240" w:lineRule="auto"/>
        <w:ind w:left="1440" w:right="1440"/>
        <w:contextualSpacing/>
        <w:rPr>
          <w:rFonts w:ascii="Times New Roman" w:hAnsi="Times New Roman" w:cs="Times New Roman"/>
          <w:sz w:val="26"/>
          <w:szCs w:val="26"/>
        </w:rPr>
      </w:pPr>
    </w:p>
    <w:p w:rsidR="00276AA1" w:rsidRPr="00496081" w:rsidRDefault="003065A8" w:rsidP="00496081">
      <w:pPr>
        <w:spacing w:line="360" w:lineRule="auto"/>
        <w:contextualSpacing/>
        <w:rPr>
          <w:rFonts w:ascii="Times New Roman" w:hAnsi="Times New Roman" w:cs="Times New Roman"/>
          <w:sz w:val="26"/>
          <w:szCs w:val="26"/>
        </w:rPr>
      </w:pPr>
      <w:r w:rsidRPr="00496081">
        <w:rPr>
          <w:rFonts w:ascii="Times New Roman" w:hAnsi="Times New Roman" w:cs="Times New Roman"/>
          <w:sz w:val="26"/>
          <w:szCs w:val="26"/>
        </w:rPr>
        <w:t xml:space="preserve">Settlement at </w:t>
      </w:r>
      <w:r w:rsidR="001E76DD" w:rsidRPr="00496081">
        <w:rPr>
          <w:rFonts w:ascii="Times New Roman" w:hAnsi="Times New Roman" w:cs="Times New Roman"/>
          <w:sz w:val="26"/>
          <w:szCs w:val="26"/>
        </w:rPr>
        <w:t>5-7</w:t>
      </w:r>
      <w:r w:rsidR="00276AA1" w:rsidRPr="00496081">
        <w:rPr>
          <w:rFonts w:ascii="Times New Roman" w:hAnsi="Times New Roman" w:cs="Times New Roman"/>
          <w:sz w:val="26"/>
          <w:szCs w:val="26"/>
        </w:rPr>
        <w:t>.</w:t>
      </w:r>
    </w:p>
    <w:p w:rsidR="00276AA1" w:rsidRPr="00496081" w:rsidRDefault="00276AA1" w:rsidP="00496081">
      <w:pPr>
        <w:spacing w:line="360" w:lineRule="auto"/>
        <w:contextualSpacing/>
        <w:rPr>
          <w:rFonts w:ascii="Times New Roman" w:hAnsi="Times New Roman" w:cs="Times New Roman"/>
          <w:sz w:val="26"/>
          <w:szCs w:val="26"/>
        </w:rPr>
      </w:pPr>
    </w:p>
    <w:p w:rsidR="001418F8" w:rsidRPr="00496081" w:rsidRDefault="001418F8"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The Joint Petitioners noted that the monthly customer charge for a standard residential customer with a </w:t>
      </w:r>
      <w:r w:rsidR="0019782A" w:rsidRPr="00496081">
        <w:rPr>
          <w:rFonts w:ascii="Times New Roman" w:hAnsi="Times New Roman" w:cs="Times New Roman"/>
          <w:sz w:val="26"/>
          <w:szCs w:val="26"/>
        </w:rPr>
        <w:t>5/8-inch</w:t>
      </w:r>
      <w:r w:rsidRPr="00496081">
        <w:rPr>
          <w:rFonts w:ascii="Times New Roman" w:hAnsi="Times New Roman" w:cs="Times New Roman"/>
          <w:sz w:val="26"/>
          <w:szCs w:val="26"/>
        </w:rPr>
        <w:t xml:space="preserve"> meter for the Columbia Rate District will be $10.31</w:t>
      </w:r>
      <w:r w:rsidR="0030709E">
        <w:rPr>
          <w:rFonts w:ascii="Times New Roman" w:hAnsi="Times New Roman" w:cs="Times New Roman"/>
          <w:sz w:val="26"/>
          <w:szCs w:val="26"/>
        </w:rPr>
        <w:t>,</w:t>
      </w:r>
      <w:r w:rsidRPr="00496081">
        <w:rPr>
          <w:rFonts w:ascii="Times New Roman" w:hAnsi="Times New Roman" w:cs="Times New Roman"/>
          <w:sz w:val="26"/>
          <w:szCs w:val="26"/>
        </w:rPr>
        <w:t xml:space="preserve"> compared to Columbia Water’s originally filed rate request of $10.59</w:t>
      </w:r>
      <w:r w:rsidR="0030709E">
        <w:rPr>
          <w:rFonts w:ascii="Times New Roman" w:hAnsi="Times New Roman" w:cs="Times New Roman"/>
          <w:sz w:val="26"/>
          <w:szCs w:val="26"/>
        </w:rPr>
        <w:t>,</w:t>
      </w:r>
      <w:r w:rsidRPr="00496081">
        <w:rPr>
          <w:rFonts w:ascii="Times New Roman" w:hAnsi="Times New Roman" w:cs="Times New Roman"/>
          <w:sz w:val="26"/>
          <w:szCs w:val="26"/>
        </w:rPr>
        <w:t xml:space="preserve"> and that this same charge for a customer in the Marietta Rate District will be $8.20</w:t>
      </w:r>
      <w:r w:rsidR="0030709E">
        <w:rPr>
          <w:rFonts w:ascii="Times New Roman" w:hAnsi="Times New Roman" w:cs="Times New Roman"/>
          <w:sz w:val="26"/>
          <w:szCs w:val="26"/>
        </w:rPr>
        <w:t>,</w:t>
      </w:r>
      <w:r w:rsidRPr="00496081">
        <w:rPr>
          <w:rFonts w:ascii="Times New Roman" w:hAnsi="Times New Roman" w:cs="Times New Roman"/>
          <w:sz w:val="26"/>
          <w:szCs w:val="26"/>
        </w:rPr>
        <w:t xml:space="preserve"> compared to Columbia Water’s originally filed rate request of $10.59.  The Joint Petitioners provided a comparison of an average monthly water bill of a </w:t>
      </w:r>
      <w:r w:rsidR="00CE34F4" w:rsidRPr="00496081">
        <w:rPr>
          <w:rFonts w:ascii="Times New Roman" w:hAnsi="Times New Roman" w:cs="Times New Roman"/>
          <w:sz w:val="26"/>
          <w:szCs w:val="26"/>
        </w:rPr>
        <w:t>residential</w:t>
      </w:r>
      <w:r w:rsidRPr="00496081">
        <w:rPr>
          <w:rFonts w:ascii="Times New Roman" w:hAnsi="Times New Roman" w:cs="Times New Roman"/>
          <w:sz w:val="26"/>
          <w:szCs w:val="26"/>
        </w:rPr>
        <w:t xml:space="preserve"> customer under current rates, the rates initially proposed by Columbia Water, and under the Settlement rates, as follows:</w:t>
      </w:r>
      <w:r w:rsidRPr="00496081">
        <w:rPr>
          <w:rStyle w:val="FootnoteReference"/>
          <w:rFonts w:ascii="Times New Roman" w:hAnsi="Times New Roman" w:cs="Times New Roman"/>
          <w:sz w:val="26"/>
          <w:szCs w:val="26"/>
        </w:rPr>
        <w:footnoteReference w:id="4"/>
      </w:r>
    </w:p>
    <w:p w:rsidR="001418F8" w:rsidRPr="00496081" w:rsidRDefault="001418F8" w:rsidP="00496081">
      <w:pPr>
        <w:spacing w:line="360" w:lineRule="auto"/>
        <w:contextualSpacing/>
        <w:rPr>
          <w:rFonts w:ascii="Times New Roman" w:hAnsi="Times New Roman" w:cs="Times New Roman"/>
          <w:sz w:val="26"/>
          <w:szCs w:val="26"/>
        </w:rPr>
      </w:pPr>
    </w:p>
    <w:tbl>
      <w:tblPr>
        <w:tblW w:w="6601" w:type="dxa"/>
        <w:jc w:val="center"/>
        <w:tblLook w:val="04A0" w:firstRow="1" w:lastRow="0" w:firstColumn="1" w:lastColumn="0" w:noHBand="0" w:noVBand="1"/>
      </w:tblPr>
      <w:tblGrid>
        <w:gridCol w:w="1951"/>
        <w:gridCol w:w="2211"/>
        <w:gridCol w:w="2439"/>
      </w:tblGrid>
      <w:tr w:rsidR="002F5332" w:rsidRPr="00496081" w:rsidTr="00CE34F4">
        <w:trPr>
          <w:trHeight w:val="300"/>
          <w:jc w:val="center"/>
        </w:trPr>
        <w:tc>
          <w:tcPr>
            <w:tcW w:w="6601" w:type="dxa"/>
            <w:gridSpan w:val="3"/>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u w:val="single"/>
              </w:rPr>
            </w:pPr>
            <w:r w:rsidRPr="00496081">
              <w:rPr>
                <w:rFonts w:ascii="Times New Roman" w:eastAsia="Times New Roman" w:hAnsi="Times New Roman" w:cs="Times New Roman"/>
                <w:b/>
                <w:bCs/>
                <w:color w:val="000000"/>
                <w:sz w:val="26"/>
                <w:szCs w:val="26"/>
                <w:u w:val="single"/>
              </w:rPr>
              <w:t>Columbia Rate District</w:t>
            </w:r>
          </w:p>
        </w:tc>
      </w:tr>
      <w:tr w:rsidR="002F5332" w:rsidRPr="00496081" w:rsidTr="00CE34F4">
        <w:trPr>
          <w:trHeight w:val="300"/>
          <w:jc w:val="center"/>
        </w:trPr>
        <w:tc>
          <w:tcPr>
            <w:tcW w:w="1951"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u w:val="single"/>
              </w:rPr>
            </w:pPr>
            <w:r w:rsidRPr="00496081">
              <w:rPr>
                <w:rFonts w:ascii="Times New Roman" w:eastAsia="Times New Roman" w:hAnsi="Times New Roman" w:cs="Times New Roman"/>
                <w:b/>
                <w:bCs/>
                <w:color w:val="000000"/>
                <w:sz w:val="26"/>
                <w:szCs w:val="26"/>
                <w:u w:val="single"/>
              </w:rPr>
              <w:t>Current Rates</w:t>
            </w:r>
          </w:p>
        </w:tc>
        <w:tc>
          <w:tcPr>
            <w:tcW w:w="2211"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u w:val="single"/>
              </w:rPr>
            </w:pPr>
            <w:r w:rsidRPr="00496081">
              <w:rPr>
                <w:rFonts w:ascii="Times New Roman" w:eastAsia="Times New Roman" w:hAnsi="Times New Roman" w:cs="Times New Roman"/>
                <w:b/>
                <w:bCs/>
                <w:color w:val="000000"/>
                <w:sz w:val="26"/>
                <w:szCs w:val="26"/>
                <w:u w:val="single"/>
              </w:rPr>
              <w:t>Proposed Rates</w:t>
            </w:r>
          </w:p>
        </w:tc>
        <w:tc>
          <w:tcPr>
            <w:tcW w:w="2439"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u w:val="single"/>
              </w:rPr>
            </w:pPr>
            <w:r w:rsidRPr="00496081">
              <w:rPr>
                <w:rFonts w:ascii="Times New Roman" w:eastAsia="Times New Roman" w:hAnsi="Times New Roman" w:cs="Times New Roman"/>
                <w:b/>
                <w:bCs/>
                <w:color w:val="000000"/>
                <w:sz w:val="26"/>
                <w:szCs w:val="26"/>
                <w:u w:val="single"/>
              </w:rPr>
              <w:t>Settlement Rates</w:t>
            </w:r>
          </w:p>
        </w:tc>
      </w:tr>
      <w:tr w:rsidR="002F5332" w:rsidRPr="00496081" w:rsidTr="00CE34F4">
        <w:trPr>
          <w:trHeight w:val="300"/>
          <w:jc w:val="center"/>
        </w:trPr>
        <w:tc>
          <w:tcPr>
            <w:tcW w:w="1951"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rPr>
            </w:pPr>
            <w:r w:rsidRPr="00496081">
              <w:rPr>
                <w:rFonts w:ascii="Times New Roman" w:eastAsia="Times New Roman" w:hAnsi="Times New Roman" w:cs="Times New Roman"/>
                <w:b/>
                <w:bCs/>
                <w:color w:val="000000"/>
                <w:sz w:val="26"/>
                <w:szCs w:val="26"/>
              </w:rPr>
              <w:t xml:space="preserve">$36.66 </w:t>
            </w:r>
          </w:p>
        </w:tc>
        <w:tc>
          <w:tcPr>
            <w:tcW w:w="2211"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rPr>
            </w:pPr>
            <w:r w:rsidRPr="00496081">
              <w:rPr>
                <w:rFonts w:ascii="Times New Roman" w:eastAsia="Times New Roman" w:hAnsi="Times New Roman" w:cs="Times New Roman"/>
                <w:b/>
                <w:bCs/>
                <w:color w:val="000000"/>
                <w:sz w:val="26"/>
                <w:szCs w:val="26"/>
              </w:rPr>
              <w:t xml:space="preserve">$39.50 </w:t>
            </w:r>
          </w:p>
        </w:tc>
        <w:tc>
          <w:tcPr>
            <w:tcW w:w="2439"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rPr>
            </w:pPr>
            <w:r w:rsidRPr="00496081">
              <w:rPr>
                <w:rFonts w:ascii="Times New Roman" w:eastAsia="Times New Roman" w:hAnsi="Times New Roman" w:cs="Times New Roman"/>
                <w:b/>
                <w:bCs/>
                <w:color w:val="000000"/>
                <w:sz w:val="26"/>
                <w:szCs w:val="26"/>
              </w:rPr>
              <w:t xml:space="preserve">$39.81 </w:t>
            </w:r>
          </w:p>
        </w:tc>
      </w:tr>
      <w:tr w:rsidR="002F5332" w:rsidRPr="00496081" w:rsidTr="00CE34F4">
        <w:trPr>
          <w:trHeight w:val="300"/>
          <w:jc w:val="center"/>
        </w:trPr>
        <w:tc>
          <w:tcPr>
            <w:tcW w:w="1951"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rPr>
            </w:pPr>
          </w:p>
        </w:tc>
        <w:tc>
          <w:tcPr>
            <w:tcW w:w="2211"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sz w:val="26"/>
                <w:szCs w:val="26"/>
              </w:rPr>
            </w:pPr>
          </w:p>
        </w:tc>
        <w:tc>
          <w:tcPr>
            <w:tcW w:w="2439"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sz w:val="26"/>
                <w:szCs w:val="26"/>
              </w:rPr>
            </w:pPr>
          </w:p>
        </w:tc>
      </w:tr>
      <w:tr w:rsidR="002F5332" w:rsidRPr="00496081" w:rsidTr="00CE34F4">
        <w:trPr>
          <w:trHeight w:val="300"/>
          <w:jc w:val="center"/>
        </w:trPr>
        <w:tc>
          <w:tcPr>
            <w:tcW w:w="6601" w:type="dxa"/>
            <w:gridSpan w:val="3"/>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u w:val="single"/>
              </w:rPr>
            </w:pPr>
            <w:r w:rsidRPr="00496081">
              <w:rPr>
                <w:rFonts w:ascii="Times New Roman" w:eastAsia="Times New Roman" w:hAnsi="Times New Roman" w:cs="Times New Roman"/>
                <w:b/>
                <w:bCs/>
                <w:color w:val="000000"/>
                <w:sz w:val="26"/>
                <w:szCs w:val="26"/>
                <w:u w:val="single"/>
              </w:rPr>
              <w:t>Marietta Rate District</w:t>
            </w:r>
          </w:p>
        </w:tc>
      </w:tr>
      <w:tr w:rsidR="002F5332" w:rsidRPr="00496081" w:rsidTr="00CE34F4">
        <w:trPr>
          <w:trHeight w:val="300"/>
          <w:jc w:val="center"/>
        </w:trPr>
        <w:tc>
          <w:tcPr>
            <w:tcW w:w="1951"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u w:val="single"/>
              </w:rPr>
            </w:pPr>
            <w:r w:rsidRPr="00496081">
              <w:rPr>
                <w:rFonts w:ascii="Times New Roman" w:eastAsia="Times New Roman" w:hAnsi="Times New Roman" w:cs="Times New Roman"/>
                <w:b/>
                <w:bCs/>
                <w:color w:val="000000"/>
                <w:sz w:val="26"/>
                <w:szCs w:val="26"/>
                <w:u w:val="single"/>
              </w:rPr>
              <w:t>Current Rates</w:t>
            </w:r>
          </w:p>
        </w:tc>
        <w:tc>
          <w:tcPr>
            <w:tcW w:w="2211"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u w:val="single"/>
              </w:rPr>
            </w:pPr>
            <w:r w:rsidRPr="00496081">
              <w:rPr>
                <w:rFonts w:ascii="Times New Roman" w:eastAsia="Times New Roman" w:hAnsi="Times New Roman" w:cs="Times New Roman"/>
                <w:b/>
                <w:bCs/>
                <w:color w:val="000000"/>
                <w:sz w:val="26"/>
                <w:szCs w:val="26"/>
                <w:u w:val="single"/>
              </w:rPr>
              <w:t>Proposed Rates</w:t>
            </w:r>
          </w:p>
        </w:tc>
        <w:tc>
          <w:tcPr>
            <w:tcW w:w="2439"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u w:val="single"/>
              </w:rPr>
            </w:pPr>
            <w:r w:rsidRPr="00496081">
              <w:rPr>
                <w:rFonts w:ascii="Times New Roman" w:eastAsia="Times New Roman" w:hAnsi="Times New Roman" w:cs="Times New Roman"/>
                <w:b/>
                <w:bCs/>
                <w:color w:val="000000"/>
                <w:sz w:val="26"/>
                <w:szCs w:val="26"/>
                <w:u w:val="single"/>
              </w:rPr>
              <w:t>Settlement Rates</w:t>
            </w:r>
          </w:p>
        </w:tc>
      </w:tr>
      <w:tr w:rsidR="002F5332" w:rsidRPr="00496081" w:rsidTr="00CE34F4">
        <w:trPr>
          <w:trHeight w:val="300"/>
          <w:jc w:val="center"/>
        </w:trPr>
        <w:tc>
          <w:tcPr>
            <w:tcW w:w="1951"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rPr>
            </w:pPr>
            <w:r w:rsidRPr="00496081">
              <w:rPr>
                <w:rFonts w:ascii="Times New Roman" w:eastAsia="Times New Roman" w:hAnsi="Times New Roman" w:cs="Times New Roman"/>
                <w:b/>
                <w:bCs/>
                <w:color w:val="000000"/>
                <w:sz w:val="26"/>
                <w:szCs w:val="26"/>
              </w:rPr>
              <w:t xml:space="preserve">$23.33 </w:t>
            </w:r>
          </w:p>
        </w:tc>
        <w:tc>
          <w:tcPr>
            <w:tcW w:w="2211"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rPr>
            </w:pPr>
            <w:r w:rsidRPr="00496081">
              <w:rPr>
                <w:rFonts w:ascii="Times New Roman" w:eastAsia="Times New Roman" w:hAnsi="Times New Roman" w:cs="Times New Roman"/>
                <w:b/>
                <w:bCs/>
                <w:color w:val="000000"/>
                <w:sz w:val="26"/>
                <w:szCs w:val="26"/>
              </w:rPr>
              <w:t xml:space="preserve">$39.50 </w:t>
            </w:r>
          </w:p>
        </w:tc>
        <w:tc>
          <w:tcPr>
            <w:tcW w:w="2439" w:type="dxa"/>
            <w:tcBorders>
              <w:top w:val="nil"/>
              <w:left w:val="nil"/>
              <w:bottom w:val="nil"/>
              <w:right w:val="nil"/>
            </w:tcBorders>
            <w:shd w:val="clear" w:color="auto" w:fill="auto"/>
            <w:noWrap/>
            <w:vAlign w:val="bottom"/>
            <w:hideMark/>
          </w:tcPr>
          <w:p w:rsidR="002F5332" w:rsidRPr="00496081" w:rsidRDefault="002F5332" w:rsidP="00CE1532">
            <w:pPr>
              <w:keepNext/>
              <w:keepLines/>
              <w:spacing w:after="0" w:line="240" w:lineRule="auto"/>
              <w:contextualSpacing/>
              <w:rPr>
                <w:rFonts w:ascii="Times New Roman" w:eastAsia="Times New Roman" w:hAnsi="Times New Roman" w:cs="Times New Roman"/>
                <w:b/>
                <w:bCs/>
                <w:color w:val="000000"/>
                <w:sz w:val="26"/>
                <w:szCs w:val="26"/>
              </w:rPr>
            </w:pPr>
            <w:r w:rsidRPr="00496081">
              <w:rPr>
                <w:rFonts w:ascii="Times New Roman" w:eastAsia="Times New Roman" w:hAnsi="Times New Roman" w:cs="Times New Roman"/>
                <w:b/>
                <w:bCs/>
                <w:color w:val="000000"/>
                <w:sz w:val="26"/>
                <w:szCs w:val="26"/>
              </w:rPr>
              <w:t xml:space="preserve">$28.14 </w:t>
            </w:r>
          </w:p>
        </w:tc>
      </w:tr>
    </w:tbl>
    <w:p w:rsidR="001418F8" w:rsidRPr="00496081" w:rsidRDefault="001418F8" w:rsidP="00CE1532">
      <w:pPr>
        <w:keepNext/>
        <w:keepLines/>
        <w:spacing w:line="360" w:lineRule="auto"/>
        <w:contextualSpacing/>
        <w:rPr>
          <w:rFonts w:ascii="Times New Roman" w:hAnsi="Times New Roman" w:cs="Times New Roman"/>
          <w:sz w:val="26"/>
          <w:szCs w:val="26"/>
        </w:rPr>
      </w:pPr>
    </w:p>
    <w:p w:rsidR="001418F8" w:rsidRPr="00496081" w:rsidRDefault="001418F8" w:rsidP="00CE1532">
      <w:pPr>
        <w:keepNext/>
        <w:keepLines/>
        <w:spacing w:line="360" w:lineRule="auto"/>
        <w:contextualSpacing/>
        <w:rPr>
          <w:rFonts w:ascii="Times New Roman" w:hAnsi="Times New Roman" w:cs="Times New Roman"/>
          <w:sz w:val="26"/>
          <w:szCs w:val="26"/>
        </w:rPr>
      </w:pPr>
      <w:r w:rsidRPr="00496081">
        <w:rPr>
          <w:rFonts w:ascii="Times New Roman" w:hAnsi="Times New Roman" w:cs="Times New Roman"/>
          <w:sz w:val="26"/>
          <w:szCs w:val="26"/>
        </w:rPr>
        <w:t>Settlement at 10.</w:t>
      </w:r>
    </w:p>
    <w:p w:rsidR="001418F8" w:rsidRPr="00496081" w:rsidRDefault="001418F8" w:rsidP="00496081">
      <w:pPr>
        <w:spacing w:line="360" w:lineRule="auto"/>
        <w:contextualSpacing/>
        <w:rPr>
          <w:rFonts w:ascii="Times New Roman" w:hAnsi="Times New Roman" w:cs="Times New Roman"/>
          <w:sz w:val="26"/>
          <w:szCs w:val="26"/>
        </w:rPr>
      </w:pPr>
    </w:p>
    <w:p w:rsidR="0096688B" w:rsidRPr="00496081" w:rsidRDefault="00732BCB"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lastRenderedPageBreak/>
        <w:t xml:space="preserve">In addition to the specific terms to which the Joint Petitioners have agreed, the Settlement contains </w:t>
      </w:r>
      <w:r w:rsidR="0083542A" w:rsidRPr="00496081">
        <w:rPr>
          <w:rFonts w:ascii="Times New Roman" w:hAnsi="Times New Roman" w:cs="Times New Roman"/>
          <w:sz w:val="26"/>
          <w:szCs w:val="26"/>
        </w:rPr>
        <w:t>other general terms and conditions typically found in settlements submitted to the Commission</w:t>
      </w:r>
      <w:r w:rsidRPr="00496081">
        <w:rPr>
          <w:rFonts w:ascii="Times New Roman" w:hAnsi="Times New Roman" w:cs="Times New Roman"/>
          <w:sz w:val="26"/>
          <w:szCs w:val="26"/>
        </w:rPr>
        <w:t xml:space="preserve">.  </w:t>
      </w:r>
      <w:r w:rsidR="0083542A" w:rsidRPr="00496081">
        <w:rPr>
          <w:rFonts w:ascii="Times New Roman" w:hAnsi="Times New Roman" w:cs="Times New Roman"/>
          <w:sz w:val="26"/>
          <w:szCs w:val="26"/>
        </w:rPr>
        <w:t>Specifically, the Joint Petitioners</w:t>
      </w:r>
      <w:r w:rsidRPr="00496081">
        <w:rPr>
          <w:rFonts w:ascii="Times New Roman" w:hAnsi="Times New Roman" w:cs="Times New Roman"/>
          <w:sz w:val="26"/>
          <w:szCs w:val="26"/>
        </w:rPr>
        <w:t xml:space="preserve"> </w:t>
      </w:r>
      <w:r w:rsidR="0083542A" w:rsidRPr="00496081">
        <w:rPr>
          <w:rFonts w:ascii="Times New Roman" w:hAnsi="Times New Roman" w:cs="Times New Roman"/>
          <w:sz w:val="26"/>
          <w:szCs w:val="26"/>
        </w:rPr>
        <w:t xml:space="preserve">agreed that the </w:t>
      </w:r>
      <w:r w:rsidRPr="00496081">
        <w:rPr>
          <w:rFonts w:ascii="Times New Roman" w:hAnsi="Times New Roman" w:cs="Times New Roman"/>
          <w:sz w:val="26"/>
          <w:szCs w:val="26"/>
        </w:rPr>
        <w:t xml:space="preserve">Settlement is conditioned upon the Commission’s approval of all the terms and conditions contained therein without modification.  The </w:t>
      </w:r>
      <w:r w:rsidR="0083542A" w:rsidRPr="00496081">
        <w:rPr>
          <w:rFonts w:ascii="Times New Roman" w:hAnsi="Times New Roman" w:cs="Times New Roman"/>
          <w:sz w:val="26"/>
          <w:szCs w:val="26"/>
        </w:rPr>
        <w:t>Joint Petition</w:t>
      </w:r>
      <w:r w:rsidRPr="00496081">
        <w:rPr>
          <w:rFonts w:ascii="Times New Roman" w:hAnsi="Times New Roman" w:cs="Times New Roman"/>
          <w:sz w:val="26"/>
          <w:szCs w:val="26"/>
        </w:rPr>
        <w:t xml:space="preserve"> establishes the procedure by which any of the Joint Petitioners may withdraw from the Settlement and proceed to litigate this case, if the Commission should act to modify </w:t>
      </w:r>
      <w:r w:rsidR="00D86764" w:rsidRPr="00496081">
        <w:rPr>
          <w:rFonts w:ascii="Times New Roman" w:hAnsi="Times New Roman" w:cs="Times New Roman"/>
          <w:sz w:val="26"/>
          <w:szCs w:val="26"/>
        </w:rPr>
        <w:t xml:space="preserve">or reject </w:t>
      </w:r>
      <w:r w:rsidRPr="00496081">
        <w:rPr>
          <w:rFonts w:ascii="Times New Roman" w:hAnsi="Times New Roman" w:cs="Times New Roman"/>
          <w:sz w:val="26"/>
          <w:szCs w:val="26"/>
        </w:rPr>
        <w:t xml:space="preserve">the </w:t>
      </w:r>
      <w:r w:rsidR="00D86764" w:rsidRPr="00496081">
        <w:rPr>
          <w:rFonts w:ascii="Times New Roman" w:hAnsi="Times New Roman" w:cs="Times New Roman"/>
          <w:sz w:val="26"/>
          <w:szCs w:val="26"/>
        </w:rPr>
        <w:t xml:space="preserve">Settlement.  In addition, </w:t>
      </w:r>
      <w:r w:rsidR="0096688B" w:rsidRPr="00496081">
        <w:rPr>
          <w:rFonts w:ascii="Times New Roman" w:hAnsi="Times New Roman" w:cs="Times New Roman"/>
          <w:sz w:val="26"/>
          <w:szCs w:val="26"/>
        </w:rPr>
        <w:t xml:space="preserve">the </w:t>
      </w:r>
      <w:r w:rsidR="00D86764" w:rsidRPr="00496081">
        <w:rPr>
          <w:rFonts w:ascii="Times New Roman" w:hAnsi="Times New Roman" w:cs="Times New Roman"/>
          <w:sz w:val="26"/>
          <w:szCs w:val="26"/>
        </w:rPr>
        <w:t>Joint Petitioners assert</w:t>
      </w:r>
      <w:r w:rsidR="0096688B" w:rsidRPr="00496081">
        <w:rPr>
          <w:rFonts w:ascii="Times New Roman" w:hAnsi="Times New Roman" w:cs="Times New Roman"/>
          <w:sz w:val="26"/>
          <w:szCs w:val="26"/>
        </w:rPr>
        <w:t>ed</w:t>
      </w:r>
      <w:r w:rsidR="00D86764" w:rsidRPr="00496081">
        <w:rPr>
          <w:rFonts w:ascii="Times New Roman" w:hAnsi="Times New Roman" w:cs="Times New Roman"/>
          <w:sz w:val="26"/>
          <w:szCs w:val="26"/>
        </w:rPr>
        <w:t xml:space="preserve"> that alth</w:t>
      </w:r>
      <w:r w:rsidR="007D2F7B" w:rsidRPr="00496081">
        <w:rPr>
          <w:rFonts w:ascii="Times New Roman" w:hAnsi="Times New Roman" w:cs="Times New Roman"/>
          <w:sz w:val="26"/>
          <w:szCs w:val="26"/>
        </w:rPr>
        <w:t xml:space="preserve">ough the Settlement is proffered </w:t>
      </w:r>
      <w:r w:rsidR="006F76E2" w:rsidRPr="00496081">
        <w:rPr>
          <w:rFonts w:ascii="Times New Roman" w:hAnsi="Times New Roman" w:cs="Times New Roman"/>
          <w:sz w:val="26"/>
          <w:szCs w:val="26"/>
        </w:rPr>
        <w:t xml:space="preserve">to </w:t>
      </w:r>
      <w:r w:rsidR="007D2F7B" w:rsidRPr="00496081">
        <w:rPr>
          <w:rFonts w:ascii="Times New Roman" w:hAnsi="Times New Roman" w:cs="Times New Roman"/>
          <w:sz w:val="26"/>
          <w:szCs w:val="26"/>
        </w:rPr>
        <w:t>settl</w:t>
      </w:r>
      <w:r w:rsidR="006F76E2" w:rsidRPr="00496081">
        <w:rPr>
          <w:rFonts w:ascii="Times New Roman" w:hAnsi="Times New Roman" w:cs="Times New Roman"/>
          <w:sz w:val="26"/>
          <w:szCs w:val="26"/>
        </w:rPr>
        <w:t>e</w:t>
      </w:r>
      <w:r w:rsidR="00D86764" w:rsidRPr="00496081">
        <w:rPr>
          <w:rFonts w:ascii="Times New Roman" w:hAnsi="Times New Roman" w:cs="Times New Roman"/>
          <w:sz w:val="26"/>
          <w:szCs w:val="26"/>
        </w:rPr>
        <w:t xml:space="preserve"> the instant case, </w:t>
      </w:r>
      <w:r w:rsidR="00D24D21" w:rsidRPr="00496081">
        <w:rPr>
          <w:rFonts w:ascii="Times New Roman" w:hAnsi="Times New Roman" w:cs="Times New Roman"/>
          <w:sz w:val="26"/>
          <w:szCs w:val="26"/>
        </w:rPr>
        <w:t>it may not be cited as precedent in any future proceeding, except to the extent required to implement any term specifically agreed to by the Joint Petitioners.  Further, the Joint Petitioners submit</w:t>
      </w:r>
      <w:r w:rsidR="00CE34F4" w:rsidRPr="00496081">
        <w:rPr>
          <w:rFonts w:ascii="Times New Roman" w:hAnsi="Times New Roman" w:cs="Times New Roman"/>
          <w:sz w:val="26"/>
          <w:szCs w:val="26"/>
        </w:rPr>
        <w:t>ted</w:t>
      </w:r>
      <w:r w:rsidR="00D24D21" w:rsidRPr="00496081">
        <w:rPr>
          <w:rFonts w:ascii="Times New Roman" w:hAnsi="Times New Roman" w:cs="Times New Roman"/>
          <w:sz w:val="26"/>
          <w:szCs w:val="26"/>
        </w:rPr>
        <w:t xml:space="preserve"> that the Settlement is made without</w:t>
      </w:r>
      <w:r w:rsidR="00D86764" w:rsidRPr="00496081">
        <w:rPr>
          <w:rFonts w:ascii="Times New Roman" w:hAnsi="Times New Roman" w:cs="Times New Roman"/>
          <w:sz w:val="26"/>
          <w:szCs w:val="26"/>
        </w:rPr>
        <w:t xml:space="preserve"> any </w:t>
      </w:r>
      <w:r w:rsidR="0096688B" w:rsidRPr="00496081">
        <w:rPr>
          <w:rFonts w:ascii="Times New Roman" w:hAnsi="Times New Roman" w:cs="Times New Roman"/>
          <w:sz w:val="26"/>
          <w:szCs w:val="26"/>
        </w:rPr>
        <w:t>admission</w:t>
      </w:r>
      <w:r w:rsidR="00D86764" w:rsidRPr="00496081">
        <w:rPr>
          <w:rFonts w:ascii="Times New Roman" w:hAnsi="Times New Roman" w:cs="Times New Roman"/>
          <w:sz w:val="26"/>
          <w:szCs w:val="26"/>
        </w:rPr>
        <w:t xml:space="preserve"> against, or prejudice to, any position which any of the Joint Petitioners</w:t>
      </w:r>
      <w:r w:rsidR="00D24D21" w:rsidRPr="00496081">
        <w:rPr>
          <w:rFonts w:ascii="Times New Roman" w:hAnsi="Times New Roman" w:cs="Times New Roman"/>
          <w:sz w:val="26"/>
          <w:szCs w:val="26"/>
        </w:rPr>
        <w:t xml:space="preserve"> might adopt in future proceedings, </w:t>
      </w:r>
      <w:r w:rsidR="001246FB" w:rsidRPr="00496081">
        <w:rPr>
          <w:rFonts w:ascii="Times New Roman" w:hAnsi="Times New Roman" w:cs="Times New Roman"/>
          <w:sz w:val="26"/>
          <w:szCs w:val="26"/>
        </w:rPr>
        <w:t>except to the extent necessary to effectuate or enforce any term specifically agreed to in the Settlement before us</w:t>
      </w:r>
      <w:r w:rsidR="00D86764" w:rsidRPr="00496081">
        <w:rPr>
          <w:rFonts w:ascii="Times New Roman" w:hAnsi="Times New Roman" w:cs="Times New Roman"/>
          <w:sz w:val="26"/>
          <w:szCs w:val="26"/>
        </w:rPr>
        <w:t xml:space="preserve">.  Settlement </w:t>
      </w:r>
      <w:r w:rsidR="00CA25B4" w:rsidRPr="00496081">
        <w:rPr>
          <w:rFonts w:ascii="Times New Roman" w:hAnsi="Times New Roman" w:cs="Times New Roman"/>
          <w:sz w:val="26"/>
          <w:szCs w:val="26"/>
        </w:rPr>
        <w:t>¶¶</w:t>
      </w:r>
      <w:r w:rsidR="00D86764" w:rsidRPr="00496081">
        <w:rPr>
          <w:rFonts w:ascii="Times New Roman" w:hAnsi="Times New Roman" w:cs="Times New Roman"/>
          <w:sz w:val="26"/>
          <w:szCs w:val="26"/>
        </w:rPr>
        <w:t> </w:t>
      </w:r>
      <w:r w:rsidR="00CA25B4" w:rsidRPr="00496081">
        <w:rPr>
          <w:rFonts w:ascii="Times New Roman" w:hAnsi="Times New Roman" w:cs="Times New Roman"/>
          <w:sz w:val="26"/>
          <w:szCs w:val="26"/>
        </w:rPr>
        <w:t>21</w:t>
      </w:r>
      <w:r w:rsidR="0030709E">
        <w:rPr>
          <w:rFonts w:ascii="Times New Roman" w:hAnsi="Times New Roman" w:cs="Times New Roman"/>
          <w:sz w:val="26"/>
          <w:szCs w:val="26"/>
        </w:rPr>
        <w:noBreakHyphen/>
      </w:r>
      <w:r w:rsidR="00CA25B4" w:rsidRPr="00496081">
        <w:rPr>
          <w:rFonts w:ascii="Times New Roman" w:hAnsi="Times New Roman" w:cs="Times New Roman"/>
          <w:sz w:val="26"/>
          <w:szCs w:val="26"/>
        </w:rPr>
        <w:t>23</w:t>
      </w:r>
      <w:r w:rsidR="00D86764" w:rsidRPr="00496081">
        <w:rPr>
          <w:rFonts w:ascii="Times New Roman" w:hAnsi="Times New Roman" w:cs="Times New Roman"/>
          <w:sz w:val="26"/>
          <w:szCs w:val="26"/>
        </w:rPr>
        <w:t xml:space="preserve"> at </w:t>
      </w:r>
      <w:r w:rsidR="00CA25B4" w:rsidRPr="00496081">
        <w:rPr>
          <w:rFonts w:ascii="Times New Roman" w:hAnsi="Times New Roman" w:cs="Times New Roman"/>
          <w:sz w:val="26"/>
          <w:szCs w:val="26"/>
        </w:rPr>
        <w:t>7-8</w:t>
      </w:r>
      <w:r w:rsidR="00D86764" w:rsidRPr="00496081">
        <w:rPr>
          <w:rFonts w:ascii="Times New Roman" w:hAnsi="Times New Roman" w:cs="Times New Roman"/>
          <w:sz w:val="26"/>
          <w:szCs w:val="26"/>
        </w:rPr>
        <w:t>.</w:t>
      </w:r>
      <w:r w:rsidR="0096688B" w:rsidRPr="00496081">
        <w:rPr>
          <w:rFonts w:ascii="Times New Roman" w:hAnsi="Times New Roman" w:cs="Times New Roman"/>
          <w:sz w:val="26"/>
          <w:szCs w:val="26"/>
        </w:rPr>
        <w:t xml:space="preserve">  </w:t>
      </w:r>
      <w:r w:rsidR="00955321" w:rsidRPr="00496081">
        <w:rPr>
          <w:rFonts w:ascii="Times New Roman" w:hAnsi="Times New Roman" w:cs="Times New Roman"/>
          <w:sz w:val="26"/>
          <w:szCs w:val="26"/>
        </w:rPr>
        <w:t>Moreover</w:t>
      </w:r>
      <w:r w:rsidR="0096688B" w:rsidRPr="00496081">
        <w:rPr>
          <w:rFonts w:ascii="Times New Roman" w:hAnsi="Times New Roman" w:cs="Times New Roman"/>
          <w:sz w:val="26"/>
          <w:szCs w:val="26"/>
        </w:rPr>
        <w:t xml:space="preserve">, </w:t>
      </w:r>
      <w:r w:rsidR="0083542A" w:rsidRPr="00496081">
        <w:rPr>
          <w:rFonts w:ascii="Times New Roman" w:hAnsi="Times New Roman" w:cs="Times New Roman"/>
          <w:sz w:val="26"/>
          <w:szCs w:val="26"/>
        </w:rPr>
        <w:t xml:space="preserve">the Joint Petitioners waived their right to file Exceptions in this case </w:t>
      </w:r>
      <w:r w:rsidR="006F76E2" w:rsidRPr="00496081">
        <w:rPr>
          <w:rFonts w:ascii="Times New Roman" w:hAnsi="Times New Roman" w:cs="Times New Roman"/>
          <w:sz w:val="26"/>
          <w:szCs w:val="26"/>
        </w:rPr>
        <w:t>i</w:t>
      </w:r>
      <w:r w:rsidR="0083542A" w:rsidRPr="00496081">
        <w:rPr>
          <w:rFonts w:ascii="Times New Roman" w:hAnsi="Times New Roman" w:cs="Times New Roman"/>
          <w:sz w:val="26"/>
          <w:szCs w:val="26"/>
        </w:rPr>
        <w:t xml:space="preserve">f the ALJs, in their Recommended Decision, recommended the Commission adopt the Settlement in full.  However, </w:t>
      </w:r>
      <w:r w:rsidR="0096688B" w:rsidRPr="00496081">
        <w:rPr>
          <w:rFonts w:ascii="Times New Roman" w:hAnsi="Times New Roman" w:cs="Times New Roman"/>
          <w:sz w:val="26"/>
          <w:szCs w:val="26"/>
        </w:rPr>
        <w:t xml:space="preserve">the Joint Petitioners </w:t>
      </w:r>
      <w:r w:rsidR="0083542A" w:rsidRPr="00496081">
        <w:rPr>
          <w:rFonts w:ascii="Times New Roman" w:hAnsi="Times New Roman" w:cs="Times New Roman"/>
          <w:sz w:val="26"/>
          <w:szCs w:val="26"/>
        </w:rPr>
        <w:t xml:space="preserve">expressly </w:t>
      </w:r>
      <w:r w:rsidR="0096688B" w:rsidRPr="00496081">
        <w:rPr>
          <w:rFonts w:ascii="Times New Roman" w:hAnsi="Times New Roman" w:cs="Times New Roman"/>
          <w:sz w:val="26"/>
          <w:szCs w:val="26"/>
        </w:rPr>
        <w:t>submitted that they did not waive their rights to file Exceptions to any modifications by the ALJs to the terms and conditions of the Settlement or to any additional matters proposed by the ALJs in their Recommended Decision</w:t>
      </w:r>
      <w:r w:rsidR="00031374" w:rsidRPr="00496081">
        <w:rPr>
          <w:rFonts w:ascii="Times New Roman" w:hAnsi="Times New Roman" w:cs="Times New Roman"/>
          <w:sz w:val="26"/>
          <w:szCs w:val="26"/>
        </w:rPr>
        <w:t>.  Similarly, the Joint Petitioners reserved their rights to file Replies to Exceptions</w:t>
      </w:r>
      <w:r w:rsidR="00955321" w:rsidRPr="00496081">
        <w:rPr>
          <w:rFonts w:ascii="Times New Roman" w:hAnsi="Times New Roman" w:cs="Times New Roman"/>
          <w:sz w:val="26"/>
          <w:szCs w:val="26"/>
        </w:rPr>
        <w:t>, as long as such Replies support the Settlement.</w:t>
      </w:r>
      <w:r w:rsidR="0096688B" w:rsidRPr="00496081">
        <w:rPr>
          <w:rFonts w:ascii="Times New Roman" w:hAnsi="Times New Roman" w:cs="Times New Roman"/>
          <w:sz w:val="26"/>
          <w:szCs w:val="26"/>
        </w:rPr>
        <w:t xml:space="preserve">  </w:t>
      </w:r>
      <w:r w:rsidR="0096688B" w:rsidRPr="00496081">
        <w:rPr>
          <w:rFonts w:ascii="Times New Roman" w:hAnsi="Times New Roman" w:cs="Times New Roman"/>
          <w:i/>
          <w:sz w:val="26"/>
          <w:szCs w:val="26"/>
        </w:rPr>
        <w:t>Id.</w:t>
      </w:r>
      <w:r w:rsidR="0096688B" w:rsidRPr="00496081">
        <w:rPr>
          <w:rFonts w:ascii="Times New Roman" w:hAnsi="Times New Roman" w:cs="Times New Roman"/>
          <w:sz w:val="26"/>
          <w:szCs w:val="26"/>
        </w:rPr>
        <w:t xml:space="preserve"> at ¶ </w:t>
      </w:r>
      <w:r w:rsidR="00955321" w:rsidRPr="00496081">
        <w:rPr>
          <w:rFonts w:ascii="Times New Roman" w:hAnsi="Times New Roman" w:cs="Times New Roman"/>
          <w:sz w:val="26"/>
          <w:szCs w:val="26"/>
        </w:rPr>
        <w:t>24</w:t>
      </w:r>
      <w:r w:rsidR="0096688B" w:rsidRPr="00496081">
        <w:rPr>
          <w:rFonts w:ascii="Times New Roman" w:hAnsi="Times New Roman" w:cs="Times New Roman"/>
          <w:sz w:val="26"/>
          <w:szCs w:val="26"/>
        </w:rPr>
        <w:t xml:space="preserve"> at </w:t>
      </w:r>
      <w:r w:rsidR="00955321" w:rsidRPr="00496081">
        <w:rPr>
          <w:rFonts w:ascii="Times New Roman" w:hAnsi="Times New Roman" w:cs="Times New Roman"/>
          <w:sz w:val="26"/>
          <w:szCs w:val="26"/>
        </w:rPr>
        <w:t>8</w:t>
      </w:r>
      <w:r w:rsidR="0096688B" w:rsidRPr="00496081">
        <w:rPr>
          <w:rFonts w:ascii="Times New Roman" w:hAnsi="Times New Roman" w:cs="Times New Roman"/>
          <w:sz w:val="26"/>
          <w:szCs w:val="26"/>
        </w:rPr>
        <w:t>.</w:t>
      </w:r>
    </w:p>
    <w:p w:rsidR="00B43A4E" w:rsidRPr="00496081" w:rsidRDefault="00B43A4E" w:rsidP="00496081">
      <w:pPr>
        <w:spacing w:line="360" w:lineRule="auto"/>
        <w:ind w:firstLine="1440"/>
        <w:contextualSpacing/>
        <w:rPr>
          <w:rFonts w:ascii="Times New Roman" w:hAnsi="Times New Roman" w:cs="Times New Roman"/>
          <w:sz w:val="26"/>
          <w:szCs w:val="26"/>
        </w:rPr>
      </w:pPr>
    </w:p>
    <w:p w:rsidR="00B43A4E" w:rsidRPr="00496081" w:rsidRDefault="00B43A4E" w:rsidP="00496081">
      <w:pPr>
        <w:keepNext/>
        <w:keepLines/>
        <w:spacing w:line="360" w:lineRule="auto"/>
        <w:ind w:left="1440" w:hanging="720"/>
        <w:contextualSpacing/>
        <w:rPr>
          <w:rFonts w:ascii="Times New Roman" w:hAnsi="Times New Roman" w:cs="Times New Roman"/>
          <w:sz w:val="26"/>
          <w:szCs w:val="26"/>
        </w:rPr>
      </w:pPr>
      <w:r w:rsidRPr="00496081">
        <w:rPr>
          <w:rFonts w:ascii="Times New Roman" w:hAnsi="Times New Roman" w:cs="Times New Roman"/>
          <w:b/>
          <w:sz w:val="26"/>
          <w:szCs w:val="26"/>
        </w:rPr>
        <w:t>2.</w:t>
      </w:r>
      <w:r w:rsidRPr="00496081">
        <w:rPr>
          <w:rFonts w:ascii="Times New Roman" w:hAnsi="Times New Roman" w:cs="Times New Roman"/>
          <w:b/>
          <w:sz w:val="26"/>
          <w:szCs w:val="26"/>
        </w:rPr>
        <w:tab/>
        <w:t>Statements of the Parties in Support</w:t>
      </w:r>
      <w:r w:rsidR="007B042C" w:rsidRPr="00496081">
        <w:rPr>
          <w:rFonts w:ascii="Times New Roman" w:hAnsi="Times New Roman" w:cs="Times New Roman"/>
          <w:b/>
          <w:sz w:val="26"/>
          <w:szCs w:val="26"/>
        </w:rPr>
        <w:t xml:space="preserve"> of the Settlement</w:t>
      </w:r>
    </w:p>
    <w:p w:rsidR="00B43A4E" w:rsidRPr="00496081" w:rsidRDefault="00B43A4E" w:rsidP="00496081">
      <w:pPr>
        <w:keepNext/>
        <w:keepLines/>
        <w:spacing w:line="360" w:lineRule="auto"/>
        <w:contextualSpacing/>
        <w:rPr>
          <w:rFonts w:ascii="Times New Roman" w:hAnsi="Times New Roman" w:cs="Times New Roman"/>
          <w:sz w:val="26"/>
          <w:szCs w:val="26"/>
        </w:rPr>
      </w:pPr>
    </w:p>
    <w:p w:rsidR="00B43A4E" w:rsidRPr="00496081" w:rsidRDefault="00B43A4E" w:rsidP="00496081">
      <w:pPr>
        <w:keepNext/>
        <w:keepLines/>
        <w:spacing w:line="360" w:lineRule="auto"/>
        <w:ind w:left="2160" w:hanging="720"/>
        <w:contextualSpacing/>
        <w:rPr>
          <w:rFonts w:ascii="Times New Roman" w:hAnsi="Times New Roman" w:cs="Times New Roman"/>
          <w:b/>
          <w:sz w:val="26"/>
          <w:szCs w:val="26"/>
        </w:rPr>
      </w:pPr>
      <w:r w:rsidRPr="00496081">
        <w:rPr>
          <w:rFonts w:ascii="Times New Roman" w:hAnsi="Times New Roman" w:cs="Times New Roman"/>
          <w:b/>
          <w:sz w:val="26"/>
          <w:szCs w:val="26"/>
        </w:rPr>
        <w:t>a.</w:t>
      </w:r>
      <w:r w:rsidRPr="00496081">
        <w:rPr>
          <w:rFonts w:ascii="Times New Roman" w:hAnsi="Times New Roman" w:cs="Times New Roman"/>
          <w:b/>
          <w:sz w:val="26"/>
          <w:szCs w:val="26"/>
        </w:rPr>
        <w:tab/>
      </w:r>
      <w:r w:rsidR="00BC0723" w:rsidRPr="00496081">
        <w:rPr>
          <w:rFonts w:ascii="Times New Roman" w:hAnsi="Times New Roman" w:cs="Times New Roman"/>
          <w:b/>
          <w:sz w:val="26"/>
          <w:szCs w:val="26"/>
        </w:rPr>
        <w:t>Columbia</w:t>
      </w:r>
      <w:r w:rsidRPr="00496081">
        <w:rPr>
          <w:rFonts w:ascii="Times New Roman" w:hAnsi="Times New Roman" w:cs="Times New Roman"/>
          <w:b/>
          <w:sz w:val="26"/>
          <w:szCs w:val="26"/>
        </w:rPr>
        <w:t xml:space="preserve"> Water</w:t>
      </w:r>
    </w:p>
    <w:p w:rsidR="00B43A4E" w:rsidRPr="00496081" w:rsidRDefault="00B43A4E" w:rsidP="00741783">
      <w:pPr>
        <w:spacing w:line="360" w:lineRule="auto"/>
        <w:ind w:firstLine="1440"/>
        <w:contextualSpacing/>
        <w:rPr>
          <w:rFonts w:ascii="Times New Roman" w:hAnsi="Times New Roman" w:cs="Times New Roman"/>
          <w:sz w:val="26"/>
          <w:szCs w:val="26"/>
        </w:rPr>
      </w:pPr>
    </w:p>
    <w:p w:rsidR="009E14EC" w:rsidRPr="00496081" w:rsidRDefault="009E14EC" w:rsidP="00741783">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In its </w:t>
      </w:r>
      <w:r w:rsidR="00CE34F4" w:rsidRPr="00496081">
        <w:rPr>
          <w:rFonts w:ascii="Times New Roman" w:hAnsi="Times New Roman" w:cs="Times New Roman"/>
          <w:sz w:val="26"/>
          <w:szCs w:val="26"/>
        </w:rPr>
        <w:t>S</w:t>
      </w:r>
      <w:r w:rsidRPr="00496081">
        <w:rPr>
          <w:rFonts w:ascii="Times New Roman" w:hAnsi="Times New Roman" w:cs="Times New Roman"/>
          <w:sz w:val="26"/>
          <w:szCs w:val="26"/>
        </w:rPr>
        <w:t xml:space="preserve">tatement, Columbia Water submitted that the Settlement establishes rates which are just and reasonable and will economically benefit its customers by setting lower rates than Columbia Water originally requested.  According to Columbia Water, </w:t>
      </w:r>
      <w:r w:rsidRPr="00496081">
        <w:rPr>
          <w:rFonts w:ascii="Times New Roman" w:hAnsi="Times New Roman" w:cs="Times New Roman"/>
          <w:sz w:val="26"/>
          <w:szCs w:val="26"/>
        </w:rPr>
        <w:lastRenderedPageBreak/>
        <w:t xml:space="preserve">although the Settlement’s proposed annual revenue increase of $635,000, or 12.4%, is less than the increase Columbia Water originally requested of $923,668, or 17.8%, Columbia Water will, nonetheless, be able to cover its expenses and continue to invest in facilities that will allow it to continually provide a high quality of service and water to its customers and to respond to the ever-increasing regulatory demands of the Pennsylvania Department of Environmental Protection.  Columbia Water Statement at 13-14, 15.  Columbia Water also argued that the Settlement benefits ratepayers by reducing Columbia Water’s rate case </w:t>
      </w:r>
      <w:r w:rsidR="00CE34F4" w:rsidRPr="00496081">
        <w:rPr>
          <w:rFonts w:ascii="Times New Roman" w:hAnsi="Times New Roman" w:cs="Times New Roman"/>
          <w:sz w:val="26"/>
          <w:szCs w:val="26"/>
        </w:rPr>
        <w:t>expenses</w:t>
      </w:r>
      <w:r w:rsidRPr="00496081">
        <w:rPr>
          <w:rFonts w:ascii="Times New Roman" w:hAnsi="Times New Roman" w:cs="Times New Roman"/>
          <w:sz w:val="26"/>
          <w:szCs w:val="26"/>
        </w:rPr>
        <w:t xml:space="preserve">, which are permitted by the Commission and are ultimately borne by the ratepayers of the Company. </w:t>
      </w:r>
      <w:r w:rsidRPr="00496081">
        <w:rPr>
          <w:rFonts w:ascii="Times New Roman" w:hAnsi="Times New Roman" w:cs="Times New Roman"/>
          <w:i/>
          <w:sz w:val="26"/>
          <w:szCs w:val="26"/>
        </w:rPr>
        <w:t xml:space="preserve">Id. </w:t>
      </w:r>
      <w:r w:rsidRPr="00496081">
        <w:rPr>
          <w:rFonts w:ascii="Times New Roman" w:hAnsi="Times New Roman" w:cs="Times New Roman"/>
          <w:sz w:val="26"/>
          <w:szCs w:val="26"/>
        </w:rPr>
        <w:t>at 15, n.9.</w:t>
      </w:r>
    </w:p>
    <w:p w:rsidR="009E14EC" w:rsidRPr="00496081" w:rsidRDefault="009E14EC" w:rsidP="00496081">
      <w:pPr>
        <w:spacing w:line="360" w:lineRule="auto"/>
        <w:ind w:firstLine="1440"/>
        <w:contextualSpacing/>
        <w:rPr>
          <w:rFonts w:ascii="Times New Roman" w:hAnsi="Times New Roman" w:cs="Times New Roman"/>
          <w:sz w:val="26"/>
          <w:szCs w:val="26"/>
        </w:rPr>
      </w:pPr>
    </w:p>
    <w:p w:rsidR="009E14EC" w:rsidRPr="00496081" w:rsidRDefault="009E14E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Columbia Water opined that although the Settlement does not permit full consolidation of its Columbia and Marietta Rate Districts, as Columbia Water originally requested, the Settlement takes a reasonable step towards such unitization of rates between the districts.  Columbia further pointed out that it is not precluded under the Settlement from pursuing further or complete consolidation</w:t>
      </w:r>
      <w:r w:rsidR="00D0230A" w:rsidRPr="00496081">
        <w:rPr>
          <w:rFonts w:ascii="Times New Roman" w:hAnsi="Times New Roman" w:cs="Times New Roman"/>
          <w:sz w:val="26"/>
          <w:szCs w:val="26"/>
        </w:rPr>
        <w:t xml:space="preserve"> of its rate districts</w:t>
      </w:r>
      <w:r w:rsidRPr="00496081">
        <w:rPr>
          <w:rFonts w:ascii="Times New Roman" w:hAnsi="Times New Roman" w:cs="Times New Roman"/>
          <w:sz w:val="26"/>
          <w:szCs w:val="26"/>
        </w:rPr>
        <w:t xml:space="preserve"> in a future rate proceeding or proceedings, nor are I&amp;E and the OCA precluded from challenging any such rate changes.  Columbia Water Statement at 10-11, 15-16.</w:t>
      </w:r>
    </w:p>
    <w:p w:rsidR="009E14EC" w:rsidRPr="00496081" w:rsidRDefault="009E14EC" w:rsidP="00496081">
      <w:pPr>
        <w:spacing w:line="360" w:lineRule="auto"/>
        <w:ind w:firstLine="1440"/>
        <w:contextualSpacing/>
        <w:rPr>
          <w:rFonts w:ascii="Times New Roman" w:hAnsi="Times New Roman" w:cs="Times New Roman"/>
          <w:sz w:val="26"/>
          <w:szCs w:val="26"/>
        </w:rPr>
      </w:pPr>
    </w:p>
    <w:p w:rsidR="009E14EC" w:rsidRPr="00496081" w:rsidRDefault="009E14E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Additionally, Columbia Water highlighted the stay-out provision contained in the Settlement.  Columbia Water submitted that it agreed to this provision in return for avoiding the additional costs that it would have incurred </w:t>
      </w:r>
      <w:r w:rsidR="00CE34F4" w:rsidRPr="00496081">
        <w:rPr>
          <w:rFonts w:ascii="Times New Roman" w:hAnsi="Times New Roman" w:cs="Times New Roman"/>
          <w:sz w:val="26"/>
          <w:szCs w:val="26"/>
        </w:rPr>
        <w:t>by continuing to pursue litigation of the</w:t>
      </w:r>
      <w:r w:rsidRPr="00496081">
        <w:rPr>
          <w:rFonts w:ascii="Times New Roman" w:hAnsi="Times New Roman" w:cs="Times New Roman"/>
          <w:sz w:val="26"/>
          <w:szCs w:val="26"/>
        </w:rPr>
        <w:t xml:space="preserve"> issues in this proceeding.  Columbia Water Statement at 14, 16.</w:t>
      </w:r>
    </w:p>
    <w:p w:rsidR="009E14EC" w:rsidRPr="00496081" w:rsidRDefault="009E14EC" w:rsidP="00496081">
      <w:pPr>
        <w:spacing w:line="360" w:lineRule="auto"/>
        <w:ind w:firstLine="1440"/>
        <w:contextualSpacing/>
        <w:rPr>
          <w:rFonts w:ascii="Times New Roman" w:hAnsi="Times New Roman" w:cs="Times New Roman"/>
          <w:sz w:val="26"/>
          <w:szCs w:val="26"/>
        </w:rPr>
      </w:pPr>
    </w:p>
    <w:p w:rsidR="009E14EC" w:rsidRPr="00496081" w:rsidRDefault="009E14E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Moreover, Columbia Water submitted that the Settlement is in the public interest because it amicably and promptly resolves a number of important and potentially contentious issues, which would have been very expensive and time-consuming to litigate, and which would likely have resulted in expensive and time-consuming appeals.  Among these issues, Columbia Water highlights that the Settlement resolves the positions taken by Columbia Water and the OCA regarding isolation valve exercising in a manner </w:t>
      </w:r>
      <w:r w:rsidRPr="00496081">
        <w:rPr>
          <w:rFonts w:ascii="Times New Roman" w:hAnsi="Times New Roman" w:cs="Times New Roman"/>
          <w:sz w:val="26"/>
          <w:szCs w:val="26"/>
        </w:rPr>
        <w:lastRenderedPageBreak/>
        <w:t>consistent with the most recent Commission management audit of Columbia Water.  Columbia Water Statement at 16.</w:t>
      </w:r>
    </w:p>
    <w:p w:rsidR="00B43A4E" w:rsidRPr="00496081" w:rsidRDefault="00B43A4E" w:rsidP="00496081">
      <w:pPr>
        <w:spacing w:line="360" w:lineRule="auto"/>
        <w:ind w:firstLine="1440"/>
        <w:contextualSpacing/>
        <w:rPr>
          <w:rFonts w:ascii="Times New Roman" w:hAnsi="Times New Roman" w:cs="Times New Roman"/>
          <w:sz w:val="26"/>
          <w:szCs w:val="26"/>
        </w:rPr>
      </w:pPr>
    </w:p>
    <w:p w:rsidR="00BC0723" w:rsidRPr="00496081" w:rsidRDefault="00BC0723" w:rsidP="00496081">
      <w:pPr>
        <w:keepNext/>
        <w:keepLines/>
        <w:spacing w:line="360" w:lineRule="auto"/>
        <w:ind w:left="2160" w:hanging="720"/>
        <w:contextualSpacing/>
        <w:rPr>
          <w:rFonts w:ascii="Times New Roman" w:hAnsi="Times New Roman" w:cs="Times New Roman"/>
          <w:b/>
          <w:sz w:val="26"/>
          <w:szCs w:val="26"/>
        </w:rPr>
      </w:pPr>
      <w:r w:rsidRPr="00496081">
        <w:rPr>
          <w:rFonts w:ascii="Times New Roman" w:hAnsi="Times New Roman" w:cs="Times New Roman"/>
          <w:b/>
          <w:sz w:val="26"/>
          <w:szCs w:val="26"/>
        </w:rPr>
        <w:t>b.</w:t>
      </w:r>
      <w:r w:rsidRPr="00496081">
        <w:rPr>
          <w:rFonts w:ascii="Times New Roman" w:hAnsi="Times New Roman" w:cs="Times New Roman"/>
          <w:b/>
          <w:sz w:val="26"/>
          <w:szCs w:val="26"/>
        </w:rPr>
        <w:tab/>
        <w:t>I&amp;E</w:t>
      </w:r>
    </w:p>
    <w:p w:rsidR="00BC0723" w:rsidRPr="00496081" w:rsidRDefault="00BC0723" w:rsidP="00496081">
      <w:pPr>
        <w:keepNext/>
        <w:keepLines/>
        <w:spacing w:line="360" w:lineRule="auto"/>
        <w:ind w:left="2160" w:hanging="720"/>
        <w:contextualSpacing/>
        <w:rPr>
          <w:rFonts w:ascii="Times New Roman" w:hAnsi="Times New Roman" w:cs="Times New Roman"/>
          <w:sz w:val="26"/>
          <w:szCs w:val="26"/>
          <w:highlight w:val="yellow"/>
        </w:rPr>
      </w:pPr>
    </w:p>
    <w:p w:rsidR="00F9415C" w:rsidRPr="00496081" w:rsidRDefault="00F9415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In its Statement, I&amp;E opined that the Settlement balances the interests of Columbia Water, its customers, and the Joint Petitioners in a fair and equitable manner.  I&amp;E stated that it supports the negotiated revenue increase of $635,000 in lieu of Columbia Water’s originally proposed revenue increase of $923,668.  I&amp;E emphasized that the overall revenue levels are within the levels advanced in the evidentiary record and represent a black box compromise.  I&amp;E Statement at 7-8.</w:t>
      </w:r>
    </w:p>
    <w:p w:rsidR="00F9415C" w:rsidRPr="00496081" w:rsidRDefault="00F9415C" w:rsidP="00496081">
      <w:pPr>
        <w:spacing w:line="360" w:lineRule="auto"/>
        <w:ind w:firstLine="1440"/>
        <w:contextualSpacing/>
        <w:rPr>
          <w:rFonts w:ascii="Times New Roman" w:hAnsi="Times New Roman" w:cs="Times New Roman"/>
          <w:sz w:val="26"/>
          <w:szCs w:val="26"/>
        </w:rPr>
      </w:pPr>
    </w:p>
    <w:p w:rsidR="00F9415C" w:rsidRPr="00496081" w:rsidRDefault="00F9415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I&amp;E pointed out that Columbia Water’s chief objective in its original filing was to consolidate its two rate districts, </w:t>
      </w:r>
      <w:r w:rsidRPr="00496081">
        <w:rPr>
          <w:rFonts w:ascii="Times New Roman" w:hAnsi="Times New Roman" w:cs="Times New Roman"/>
          <w:i/>
          <w:sz w:val="26"/>
          <w:szCs w:val="26"/>
        </w:rPr>
        <w:t>i.e.</w:t>
      </w:r>
      <w:r w:rsidRPr="00496081">
        <w:rPr>
          <w:rFonts w:ascii="Times New Roman" w:hAnsi="Times New Roman" w:cs="Times New Roman"/>
          <w:sz w:val="26"/>
          <w:szCs w:val="26"/>
        </w:rPr>
        <w:t xml:space="preserve"> the Columbia Rate District and the Marietta Rate District.  I&amp;E noted the concerns I&amp;E and the OCA raised during this proceeding regarding the adverse impact that full consolidation would have on customers in the Marietta Rate District.  For example, I&amp;E pointed out that the monthly customer charge of $10.50 that Columbia Water proposed for all customers in the original filing would have resulted in an increase of 54.4 percent for customers in the Marietta Rate District</w:t>
      </w:r>
      <w:r w:rsidR="00226CFE" w:rsidRPr="00496081">
        <w:rPr>
          <w:rFonts w:ascii="Times New Roman" w:hAnsi="Times New Roman" w:cs="Times New Roman"/>
          <w:sz w:val="26"/>
          <w:szCs w:val="26"/>
        </w:rPr>
        <w:t>,</w:t>
      </w:r>
      <w:r w:rsidRPr="00496081">
        <w:rPr>
          <w:rFonts w:ascii="Times New Roman" w:hAnsi="Times New Roman" w:cs="Times New Roman"/>
          <w:sz w:val="26"/>
          <w:szCs w:val="26"/>
        </w:rPr>
        <w:t xml:space="preserve"> as opposed to an increase of 12.3 percent for customers located in the Columbia District.  Therefore, I&amp;E submitted that the rates agreed upon in the Settlement, which permit a partial consolidation of rate</w:t>
      </w:r>
      <w:r w:rsidR="000D278E" w:rsidRPr="00496081">
        <w:rPr>
          <w:rFonts w:ascii="Times New Roman" w:hAnsi="Times New Roman" w:cs="Times New Roman"/>
          <w:sz w:val="26"/>
          <w:szCs w:val="26"/>
        </w:rPr>
        <w:t xml:space="preserve"> districts</w:t>
      </w:r>
      <w:r w:rsidRPr="00496081">
        <w:rPr>
          <w:rFonts w:ascii="Times New Roman" w:hAnsi="Times New Roman" w:cs="Times New Roman"/>
          <w:sz w:val="26"/>
          <w:szCs w:val="26"/>
        </w:rPr>
        <w:t>, in lieu of the</w:t>
      </w:r>
      <w:r w:rsidR="000D278E" w:rsidRPr="00496081">
        <w:rPr>
          <w:rFonts w:ascii="Times New Roman" w:hAnsi="Times New Roman" w:cs="Times New Roman"/>
          <w:sz w:val="26"/>
          <w:szCs w:val="26"/>
        </w:rPr>
        <w:t xml:space="preserve"> originally proposed</w:t>
      </w:r>
      <w:r w:rsidRPr="00496081">
        <w:rPr>
          <w:rFonts w:ascii="Times New Roman" w:hAnsi="Times New Roman" w:cs="Times New Roman"/>
          <w:sz w:val="26"/>
          <w:szCs w:val="26"/>
        </w:rPr>
        <w:t xml:space="preserve"> full consolidatio</w:t>
      </w:r>
      <w:r w:rsidR="000D278E" w:rsidRPr="00496081">
        <w:rPr>
          <w:rFonts w:ascii="Times New Roman" w:hAnsi="Times New Roman" w:cs="Times New Roman"/>
          <w:sz w:val="26"/>
          <w:szCs w:val="26"/>
        </w:rPr>
        <w:t>n</w:t>
      </w:r>
      <w:r w:rsidRPr="00496081">
        <w:rPr>
          <w:rFonts w:ascii="Times New Roman" w:hAnsi="Times New Roman" w:cs="Times New Roman"/>
          <w:sz w:val="26"/>
          <w:szCs w:val="26"/>
        </w:rPr>
        <w:t>, mitigates the concerns raised by the parties to this procee</w:t>
      </w:r>
      <w:r w:rsidR="000D278E" w:rsidRPr="00496081">
        <w:rPr>
          <w:rFonts w:ascii="Times New Roman" w:hAnsi="Times New Roman" w:cs="Times New Roman"/>
          <w:sz w:val="26"/>
          <w:szCs w:val="26"/>
        </w:rPr>
        <w:t>ding</w:t>
      </w:r>
      <w:r w:rsidR="00226CFE" w:rsidRPr="00496081">
        <w:rPr>
          <w:rFonts w:ascii="Times New Roman" w:hAnsi="Times New Roman" w:cs="Times New Roman"/>
          <w:sz w:val="26"/>
          <w:szCs w:val="26"/>
        </w:rPr>
        <w:t>,</w:t>
      </w:r>
      <w:r w:rsidR="0012528B" w:rsidRPr="00496081">
        <w:rPr>
          <w:rFonts w:ascii="Times New Roman" w:hAnsi="Times New Roman" w:cs="Times New Roman"/>
          <w:sz w:val="26"/>
          <w:szCs w:val="26"/>
        </w:rPr>
        <w:t xml:space="preserve"> represents a fair compromise, and </w:t>
      </w:r>
      <w:r w:rsidRPr="00496081">
        <w:rPr>
          <w:rFonts w:ascii="Times New Roman" w:hAnsi="Times New Roman" w:cs="Times New Roman"/>
          <w:sz w:val="26"/>
          <w:szCs w:val="26"/>
        </w:rPr>
        <w:t>protects all customers from rate volatility.  Additionally, I&amp;E submitted that the Settlement provision that would require Columbia Water to file a cost of service study if it seeks full consolidation of rates in its next rate case is reasonable and in the public interest.  I&amp;E Statement at 8-13, 16-17.</w:t>
      </w:r>
    </w:p>
    <w:p w:rsidR="00F9415C" w:rsidRPr="00496081" w:rsidRDefault="00F9415C" w:rsidP="00496081">
      <w:pPr>
        <w:spacing w:line="360" w:lineRule="auto"/>
        <w:ind w:firstLine="1440"/>
        <w:contextualSpacing/>
        <w:rPr>
          <w:rFonts w:ascii="Times New Roman" w:hAnsi="Times New Roman" w:cs="Times New Roman"/>
          <w:sz w:val="26"/>
          <w:szCs w:val="26"/>
        </w:rPr>
      </w:pPr>
    </w:p>
    <w:p w:rsidR="00EB4343" w:rsidRPr="00496081" w:rsidRDefault="00EB4343"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lastRenderedPageBreak/>
        <w:t>I&amp;E also noted that as part of its original proposal to fully consolidate its rate districts, Columbia Water proposed to begin proportionally applying a PENNVEST surcharge currently levied only on customers in the Columbia Rate District to customers located in both the Columbia Rate District and the Marietta Rate District.  I&amp;E explained that this surcharge is related to PENNVEST loan 80180 and was incurred to pay for plant that serves only customers located in the Columbia Rate District.  Therefore, I&amp;E supported the agreement reached by the Joint Petitioners that this PENNVEST surcharge will continue to be applied only to customers in the Columbia Rate District.  I&amp;E Statement at 13-16.</w:t>
      </w:r>
    </w:p>
    <w:p w:rsidR="00BC0723" w:rsidRPr="00496081" w:rsidRDefault="00BC0723" w:rsidP="00496081">
      <w:pPr>
        <w:spacing w:line="360" w:lineRule="auto"/>
        <w:ind w:firstLine="1440"/>
        <w:contextualSpacing/>
        <w:rPr>
          <w:rFonts w:ascii="Times New Roman" w:hAnsi="Times New Roman" w:cs="Times New Roman"/>
          <w:sz w:val="26"/>
          <w:szCs w:val="26"/>
        </w:rPr>
      </w:pPr>
    </w:p>
    <w:p w:rsidR="00025079" w:rsidRPr="00496081" w:rsidRDefault="00CA01A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Additionally, I&amp;E expressed its </w:t>
      </w:r>
      <w:r w:rsidR="00025079" w:rsidRPr="00496081">
        <w:rPr>
          <w:rFonts w:ascii="Times New Roman" w:hAnsi="Times New Roman" w:cs="Times New Roman"/>
          <w:sz w:val="26"/>
          <w:szCs w:val="26"/>
        </w:rPr>
        <w:t xml:space="preserve">concurrence with </w:t>
      </w:r>
      <w:r w:rsidR="00B11CD2" w:rsidRPr="00496081">
        <w:rPr>
          <w:rFonts w:ascii="Times New Roman" w:hAnsi="Times New Roman" w:cs="Times New Roman"/>
          <w:sz w:val="26"/>
          <w:szCs w:val="26"/>
        </w:rPr>
        <w:t>paragraph 20(d) of the Settlement, which states</w:t>
      </w:r>
      <w:r w:rsidR="00025079" w:rsidRPr="00496081">
        <w:rPr>
          <w:rFonts w:ascii="Times New Roman" w:hAnsi="Times New Roman" w:cs="Times New Roman"/>
          <w:sz w:val="26"/>
          <w:szCs w:val="26"/>
        </w:rPr>
        <w:t xml:space="preserve"> that the Settlement is not premised upon the inclusion of the PENNVEST financed plant, purchased and installed by the former Marietta Gravity Water Company</w:t>
      </w:r>
      <w:r w:rsidR="00C25777" w:rsidRPr="00496081">
        <w:rPr>
          <w:rFonts w:ascii="Times New Roman" w:hAnsi="Times New Roman" w:cs="Times New Roman"/>
          <w:sz w:val="26"/>
          <w:szCs w:val="26"/>
        </w:rPr>
        <w:t xml:space="preserve"> (MGWC)</w:t>
      </w:r>
      <w:r w:rsidR="00025079" w:rsidRPr="00496081">
        <w:rPr>
          <w:rFonts w:ascii="Times New Roman" w:hAnsi="Times New Roman" w:cs="Times New Roman"/>
          <w:sz w:val="26"/>
          <w:szCs w:val="26"/>
        </w:rPr>
        <w:t xml:space="preserve"> and recovered through the Marietta PENNVEST surcharge, in Columbia Water’s rate base.  As background, I&amp;E </w:t>
      </w:r>
      <w:r w:rsidR="007C6584" w:rsidRPr="00496081">
        <w:rPr>
          <w:rFonts w:ascii="Times New Roman" w:hAnsi="Times New Roman" w:cs="Times New Roman"/>
          <w:sz w:val="26"/>
          <w:szCs w:val="26"/>
        </w:rPr>
        <w:t xml:space="preserve">explained that prior to being purchased by Columbia Water, MGWC secured </w:t>
      </w:r>
      <w:r w:rsidR="000164BE" w:rsidRPr="00496081">
        <w:rPr>
          <w:rFonts w:ascii="Times New Roman" w:hAnsi="Times New Roman" w:cs="Times New Roman"/>
          <w:sz w:val="26"/>
          <w:szCs w:val="26"/>
        </w:rPr>
        <w:t>a Co-Bank loan and a PENNVEST loan</w:t>
      </w:r>
      <w:r w:rsidR="007C6584" w:rsidRPr="00496081">
        <w:rPr>
          <w:rFonts w:ascii="Times New Roman" w:hAnsi="Times New Roman" w:cs="Times New Roman"/>
          <w:sz w:val="26"/>
          <w:szCs w:val="26"/>
        </w:rPr>
        <w:t xml:space="preserve"> to purchase and install various plant and equipment and assessed a surcharged on its customers for repayment of these loans.  These loans were subsumed by Columbia </w:t>
      </w:r>
      <w:r w:rsidR="00CB4754" w:rsidRPr="00496081">
        <w:rPr>
          <w:rFonts w:ascii="Times New Roman" w:hAnsi="Times New Roman" w:cs="Times New Roman"/>
          <w:sz w:val="26"/>
          <w:szCs w:val="26"/>
        </w:rPr>
        <w:t xml:space="preserve">Water </w:t>
      </w:r>
      <w:r w:rsidR="007C6584" w:rsidRPr="00496081">
        <w:rPr>
          <w:rFonts w:ascii="Times New Roman" w:hAnsi="Times New Roman" w:cs="Times New Roman"/>
          <w:sz w:val="26"/>
          <w:szCs w:val="26"/>
        </w:rPr>
        <w:t>when it purchased MGWC and the associated surcharge continued after the acquisition but remained isolated and applied only to customers in the Marietta Rate District</w:t>
      </w:r>
      <w:r w:rsidR="00CB4754" w:rsidRPr="00496081">
        <w:rPr>
          <w:rFonts w:ascii="Times New Roman" w:hAnsi="Times New Roman" w:cs="Times New Roman"/>
          <w:sz w:val="26"/>
          <w:szCs w:val="26"/>
        </w:rPr>
        <w:t xml:space="preserve"> until the loans were repaid in full in May 2015 and February 2016</w:t>
      </w:r>
      <w:r w:rsidR="007C6584" w:rsidRPr="00496081">
        <w:rPr>
          <w:rFonts w:ascii="Times New Roman" w:hAnsi="Times New Roman" w:cs="Times New Roman"/>
          <w:sz w:val="26"/>
          <w:szCs w:val="26"/>
        </w:rPr>
        <w:t xml:space="preserve">.  </w:t>
      </w:r>
      <w:r w:rsidR="000D7E6B" w:rsidRPr="00496081">
        <w:rPr>
          <w:rFonts w:ascii="Times New Roman" w:hAnsi="Times New Roman" w:cs="Times New Roman"/>
          <w:sz w:val="26"/>
          <w:szCs w:val="26"/>
        </w:rPr>
        <w:t>I&amp;E</w:t>
      </w:r>
      <w:r w:rsidR="007C6584" w:rsidRPr="00496081">
        <w:rPr>
          <w:rFonts w:ascii="Times New Roman" w:hAnsi="Times New Roman" w:cs="Times New Roman"/>
          <w:sz w:val="26"/>
          <w:szCs w:val="26"/>
        </w:rPr>
        <w:t xml:space="preserve"> </w:t>
      </w:r>
      <w:r w:rsidR="00B11CD2" w:rsidRPr="00496081">
        <w:rPr>
          <w:rFonts w:ascii="Times New Roman" w:hAnsi="Times New Roman" w:cs="Times New Roman"/>
          <w:sz w:val="26"/>
          <w:szCs w:val="26"/>
        </w:rPr>
        <w:t>noted that in its original filing, Columbia Water proposed to include this plant in its rate base</w:t>
      </w:r>
      <w:r w:rsidR="000164BE" w:rsidRPr="00496081">
        <w:rPr>
          <w:rFonts w:ascii="Times New Roman" w:hAnsi="Times New Roman" w:cs="Times New Roman"/>
          <w:sz w:val="26"/>
          <w:szCs w:val="26"/>
        </w:rPr>
        <w:t>.  On the other hand, the</w:t>
      </w:r>
      <w:r w:rsidR="00B11CD2" w:rsidRPr="00496081">
        <w:rPr>
          <w:rFonts w:ascii="Times New Roman" w:hAnsi="Times New Roman" w:cs="Times New Roman"/>
          <w:sz w:val="26"/>
          <w:szCs w:val="26"/>
        </w:rPr>
        <w:t xml:space="preserve"> OCA opined that such inclusion </w:t>
      </w:r>
      <w:r w:rsidR="000164BE" w:rsidRPr="00496081">
        <w:rPr>
          <w:rFonts w:ascii="Times New Roman" w:hAnsi="Times New Roman" w:cs="Times New Roman"/>
          <w:sz w:val="26"/>
          <w:szCs w:val="26"/>
        </w:rPr>
        <w:t>was</w:t>
      </w:r>
      <w:r w:rsidR="00B11CD2" w:rsidRPr="00496081">
        <w:rPr>
          <w:rFonts w:ascii="Times New Roman" w:hAnsi="Times New Roman" w:cs="Times New Roman"/>
          <w:sz w:val="26"/>
          <w:szCs w:val="26"/>
        </w:rPr>
        <w:t xml:space="preserve"> not proper </w:t>
      </w:r>
      <w:r w:rsidR="000164BE" w:rsidRPr="00496081">
        <w:rPr>
          <w:rFonts w:ascii="Times New Roman" w:hAnsi="Times New Roman" w:cs="Times New Roman"/>
          <w:sz w:val="26"/>
          <w:szCs w:val="26"/>
        </w:rPr>
        <w:t xml:space="preserve">because Columbia Water was already compensated for the debt and has </w:t>
      </w:r>
      <w:r w:rsidR="00226CFE" w:rsidRPr="00496081">
        <w:rPr>
          <w:rFonts w:ascii="Times New Roman" w:hAnsi="Times New Roman" w:cs="Times New Roman"/>
          <w:sz w:val="26"/>
          <w:szCs w:val="26"/>
        </w:rPr>
        <w:t>satisfied</w:t>
      </w:r>
      <w:r w:rsidR="000164BE" w:rsidRPr="00496081">
        <w:rPr>
          <w:rFonts w:ascii="Times New Roman" w:hAnsi="Times New Roman" w:cs="Times New Roman"/>
          <w:sz w:val="26"/>
          <w:szCs w:val="26"/>
        </w:rPr>
        <w:t xml:space="preserve"> its obligation to PENNVEST.  I&amp;E explained that in lieu of litigating this issue, the Joint Petitioners agreed to the above Settlement provision.</w:t>
      </w:r>
      <w:r w:rsidR="00025079" w:rsidRPr="00496081">
        <w:rPr>
          <w:rFonts w:ascii="Times New Roman" w:hAnsi="Times New Roman" w:cs="Times New Roman"/>
          <w:sz w:val="26"/>
          <w:szCs w:val="26"/>
        </w:rPr>
        <w:t xml:space="preserve">  I&amp;E submitted that although it did not file testimony regarding this issue, the final negotiated treatment of the PENNVEST financed Marietta plant is within the positions advanced on the evidentiary record and reflects a full and fair compromise of al</w:t>
      </w:r>
      <w:r w:rsidR="000164BE" w:rsidRPr="00496081">
        <w:rPr>
          <w:rFonts w:ascii="Times New Roman" w:hAnsi="Times New Roman" w:cs="Times New Roman"/>
          <w:sz w:val="26"/>
          <w:szCs w:val="26"/>
        </w:rPr>
        <w:t>l</w:t>
      </w:r>
      <w:r w:rsidR="00025079" w:rsidRPr="00496081">
        <w:rPr>
          <w:rFonts w:ascii="Times New Roman" w:hAnsi="Times New Roman" w:cs="Times New Roman"/>
          <w:sz w:val="26"/>
          <w:szCs w:val="26"/>
        </w:rPr>
        <w:t xml:space="preserve"> concerns and issues raised by the Parties.  </w:t>
      </w:r>
      <w:r w:rsidR="000164BE" w:rsidRPr="00496081">
        <w:rPr>
          <w:rFonts w:ascii="Times New Roman" w:hAnsi="Times New Roman" w:cs="Times New Roman"/>
          <w:sz w:val="26"/>
          <w:szCs w:val="26"/>
        </w:rPr>
        <w:t xml:space="preserve">I&amp;E Statement at </w:t>
      </w:r>
      <w:r w:rsidR="00025079" w:rsidRPr="00496081">
        <w:rPr>
          <w:rFonts w:ascii="Times New Roman" w:hAnsi="Times New Roman" w:cs="Times New Roman"/>
          <w:sz w:val="26"/>
          <w:szCs w:val="26"/>
        </w:rPr>
        <w:t>17-20</w:t>
      </w:r>
      <w:r w:rsidR="000164BE" w:rsidRPr="00496081">
        <w:rPr>
          <w:rFonts w:ascii="Times New Roman" w:hAnsi="Times New Roman" w:cs="Times New Roman"/>
          <w:sz w:val="26"/>
          <w:szCs w:val="26"/>
        </w:rPr>
        <w:t>.</w:t>
      </w:r>
    </w:p>
    <w:p w:rsidR="000929CF" w:rsidRPr="00496081" w:rsidRDefault="000929CF" w:rsidP="00496081">
      <w:pPr>
        <w:spacing w:line="360" w:lineRule="auto"/>
        <w:ind w:firstLine="1440"/>
        <w:contextualSpacing/>
        <w:rPr>
          <w:rFonts w:ascii="Times New Roman" w:hAnsi="Times New Roman" w:cs="Times New Roman"/>
          <w:sz w:val="26"/>
          <w:szCs w:val="26"/>
        </w:rPr>
      </w:pPr>
    </w:p>
    <w:p w:rsidR="000929CF" w:rsidRPr="00496081" w:rsidRDefault="000929CF"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Further, I&amp;E noted that it did not submit testimony regarding (1) a stay-out provision, (2) the cost recovery related to Columbia Water’s acquisitions of MGWC and Mountville Water Company (MWC), or (3) Columbia Water’s isolation valve exercising.  Nonetheless, I&amp;E supported the Settlement terms that Columbia Water will: (1) agree to a thirty-three month stay-out prior to filing its next request for a base rate increase; (2) agree not to claim its acquisition costs of MGWC and MWC as “Franchises” in any future rate case; and (3) agree to the annual reporting regarding its present isolation valve exercising, including its critical valve exercising in accordance with the Commission’s most recent management audit.  In I&amp;E’s view, each of these terms are reasonable, maintain the proper balance of the interests of all parties</w:t>
      </w:r>
      <w:r w:rsidR="00226CFE" w:rsidRPr="00496081">
        <w:rPr>
          <w:rFonts w:ascii="Times New Roman" w:hAnsi="Times New Roman" w:cs="Times New Roman"/>
          <w:sz w:val="26"/>
          <w:szCs w:val="26"/>
        </w:rPr>
        <w:t>,</w:t>
      </w:r>
      <w:r w:rsidRPr="00496081">
        <w:rPr>
          <w:rFonts w:ascii="Times New Roman" w:hAnsi="Times New Roman" w:cs="Times New Roman"/>
          <w:sz w:val="26"/>
          <w:szCs w:val="26"/>
        </w:rPr>
        <w:t xml:space="preserve"> and are in the public interest.  I&amp;E Statement at 17, 20-23.</w:t>
      </w:r>
    </w:p>
    <w:p w:rsidR="000929CF" w:rsidRPr="00496081" w:rsidRDefault="000929CF" w:rsidP="00496081">
      <w:pPr>
        <w:spacing w:line="360" w:lineRule="auto"/>
        <w:ind w:firstLine="1440"/>
        <w:contextualSpacing/>
        <w:rPr>
          <w:rFonts w:ascii="Times New Roman" w:hAnsi="Times New Roman" w:cs="Times New Roman"/>
          <w:sz w:val="26"/>
          <w:szCs w:val="26"/>
        </w:rPr>
      </w:pPr>
    </w:p>
    <w:p w:rsidR="00B43A4E" w:rsidRPr="00496081" w:rsidRDefault="00BC0723" w:rsidP="00496081">
      <w:pPr>
        <w:keepNext/>
        <w:keepLines/>
        <w:spacing w:line="360" w:lineRule="auto"/>
        <w:ind w:left="2160" w:hanging="720"/>
        <w:contextualSpacing/>
        <w:rPr>
          <w:rFonts w:ascii="Times New Roman" w:hAnsi="Times New Roman" w:cs="Times New Roman"/>
          <w:b/>
          <w:sz w:val="26"/>
          <w:szCs w:val="26"/>
        </w:rPr>
      </w:pPr>
      <w:r w:rsidRPr="00496081">
        <w:rPr>
          <w:rFonts w:ascii="Times New Roman" w:hAnsi="Times New Roman" w:cs="Times New Roman"/>
          <w:b/>
          <w:sz w:val="26"/>
          <w:szCs w:val="26"/>
        </w:rPr>
        <w:t>c</w:t>
      </w:r>
      <w:r w:rsidR="00B43A4E" w:rsidRPr="00496081">
        <w:rPr>
          <w:rFonts w:ascii="Times New Roman" w:hAnsi="Times New Roman" w:cs="Times New Roman"/>
          <w:b/>
          <w:sz w:val="26"/>
          <w:szCs w:val="26"/>
        </w:rPr>
        <w:t>.</w:t>
      </w:r>
      <w:r w:rsidR="00B43A4E" w:rsidRPr="00496081">
        <w:rPr>
          <w:rFonts w:ascii="Times New Roman" w:hAnsi="Times New Roman" w:cs="Times New Roman"/>
          <w:b/>
          <w:sz w:val="26"/>
          <w:szCs w:val="26"/>
        </w:rPr>
        <w:tab/>
        <w:t>OCA</w:t>
      </w:r>
    </w:p>
    <w:p w:rsidR="00B43A4E" w:rsidRPr="00496081" w:rsidRDefault="00B43A4E" w:rsidP="00496081">
      <w:pPr>
        <w:keepNext/>
        <w:keepLines/>
        <w:spacing w:line="360" w:lineRule="auto"/>
        <w:ind w:firstLine="1440"/>
        <w:contextualSpacing/>
        <w:rPr>
          <w:rFonts w:ascii="Times New Roman" w:hAnsi="Times New Roman" w:cs="Times New Roman"/>
          <w:sz w:val="26"/>
          <w:szCs w:val="26"/>
        </w:rPr>
      </w:pPr>
    </w:p>
    <w:p w:rsidR="003F1C7C" w:rsidRPr="00496081" w:rsidRDefault="003F1C7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In its Statement, the OCA pointed out that the Settlement produces an overall annual revenue increase for Columbia Water of $635,000, which is $168,943 less than the amount Columbia Water originally requested.  In the OCA’s view, the increase produced by the Settlement represents an amount that would be within the range of the likely incomes in the event that th</w:t>
      </w:r>
      <w:r w:rsidR="00D0230A" w:rsidRPr="00496081">
        <w:rPr>
          <w:rFonts w:ascii="Times New Roman" w:hAnsi="Times New Roman" w:cs="Times New Roman"/>
          <w:sz w:val="26"/>
          <w:szCs w:val="26"/>
        </w:rPr>
        <w:t>is</w:t>
      </w:r>
      <w:r w:rsidRPr="00496081">
        <w:rPr>
          <w:rFonts w:ascii="Times New Roman" w:hAnsi="Times New Roman" w:cs="Times New Roman"/>
          <w:sz w:val="26"/>
          <w:szCs w:val="26"/>
        </w:rPr>
        <w:t xml:space="preserve"> case was fully litigated.  Further, the OCA contended that the rates produced under the settlement represent a reasonable compromise, while recognizing the need for gradualism in rate increases.  The OCA also emphasized the rate stability that would result from the thirty-three month stay-out provision contained in the Settlement.  In this regard, the OCA pointed out that under this provision, new rates could not go into effect for at least three years.  Thus, the OCA contended that the stay-out provision is in the public interest and in the interest of Columbia Water’s customers.  OCA Statement at 4-5.</w:t>
      </w:r>
    </w:p>
    <w:p w:rsidR="003F1C7C" w:rsidRPr="00496081" w:rsidRDefault="003F1C7C" w:rsidP="00496081">
      <w:pPr>
        <w:spacing w:line="360" w:lineRule="auto"/>
        <w:ind w:firstLine="1440"/>
        <w:contextualSpacing/>
        <w:rPr>
          <w:rFonts w:ascii="Times New Roman" w:hAnsi="Times New Roman" w:cs="Times New Roman"/>
          <w:sz w:val="26"/>
          <w:szCs w:val="26"/>
        </w:rPr>
      </w:pPr>
    </w:p>
    <w:p w:rsidR="003F1C7C" w:rsidRPr="00496081" w:rsidRDefault="003F1C7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lastRenderedPageBreak/>
        <w:t xml:space="preserve">The OCA opined that Columbia Water’s agreement to file a cost of service study in its next rate case in the event it proposes to </w:t>
      </w:r>
      <w:r w:rsidR="00E802E6" w:rsidRPr="00496081">
        <w:rPr>
          <w:rFonts w:ascii="Times New Roman" w:hAnsi="Times New Roman" w:cs="Times New Roman"/>
          <w:sz w:val="26"/>
          <w:szCs w:val="26"/>
        </w:rPr>
        <w:t xml:space="preserve">fully </w:t>
      </w:r>
      <w:r w:rsidRPr="00496081">
        <w:rPr>
          <w:rFonts w:ascii="Times New Roman" w:hAnsi="Times New Roman" w:cs="Times New Roman"/>
          <w:sz w:val="26"/>
          <w:szCs w:val="26"/>
        </w:rPr>
        <w:t>consolidate its Marietta Division rates with its Columbia Division rates is in the public interest because it will afford all parties the opportunity to review the proposed consolidation in order to determine the extent to which revenues derived from each service area and customer classification are aligned with the cost of serving that classification.  The OCA further pointed out that in the present proceeding, the Settlement provides Columbia Water with an initial step toward consolidation.  OCA Statement at 5.</w:t>
      </w:r>
    </w:p>
    <w:p w:rsidR="003F1C7C" w:rsidRPr="00496081" w:rsidRDefault="003F1C7C" w:rsidP="00496081">
      <w:pPr>
        <w:spacing w:line="360" w:lineRule="auto"/>
        <w:ind w:firstLine="1440"/>
        <w:contextualSpacing/>
        <w:rPr>
          <w:rFonts w:ascii="Times New Roman" w:hAnsi="Times New Roman" w:cs="Times New Roman"/>
          <w:sz w:val="26"/>
          <w:szCs w:val="26"/>
        </w:rPr>
      </w:pPr>
    </w:p>
    <w:p w:rsidR="003F1C7C" w:rsidRPr="00496081" w:rsidRDefault="003F1C7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The OCA also highlighted that under the Settlement, the </w:t>
      </w:r>
      <w:r w:rsidR="00E01C6E" w:rsidRPr="00496081">
        <w:rPr>
          <w:rFonts w:ascii="Times New Roman" w:hAnsi="Times New Roman" w:cs="Times New Roman"/>
          <w:sz w:val="26"/>
          <w:szCs w:val="26"/>
        </w:rPr>
        <w:t>PENNVEST</w:t>
      </w:r>
      <w:r w:rsidRPr="00496081">
        <w:rPr>
          <w:rFonts w:ascii="Times New Roman" w:hAnsi="Times New Roman" w:cs="Times New Roman"/>
          <w:sz w:val="26"/>
          <w:szCs w:val="26"/>
        </w:rPr>
        <w:t xml:space="preserve"> surcharge levied upon Columbia Water’s Columbia </w:t>
      </w:r>
      <w:r w:rsidR="00E01C6E" w:rsidRPr="00496081">
        <w:rPr>
          <w:rFonts w:ascii="Times New Roman" w:hAnsi="Times New Roman" w:cs="Times New Roman"/>
          <w:sz w:val="26"/>
          <w:szCs w:val="26"/>
        </w:rPr>
        <w:t xml:space="preserve">Rate </w:t>
      </w:r>
      <w:r w:rsidRPr="00496081">
        <w:rPr>
          <w:rFonts w:ascii="Times New Roman" w:hAnsi="Times New Roman" w:cs="Times New Roman"/>
          <w:sz w:val="26"/>
          <w:szCs w:val="26"/>
        </w:rPr>
        <w:t xml:space="preserve">Division customers remains the same and that the </w:t>
      </w:r>
      <w:r w:rsidR="00E01C6E" w:rsidRPr="00496081">
        <w:rPr>
          <w:rFonts w:ascii="Times New Roman" w:hAnsi="Times New Roman" w:cs="Times New Roman"/>
          <w:sz w:val="26"/>
          <w:szCs w:val="26"/>
        </w:rPr>
        <w:t>PENNVEST</w:t>
      </w:r>
      <w:r w:rsidRPr="00496081">
        <w:rPr>
          <w:rFonts w:ascii="Times New Roman" w:hAnsi="Times New Roman" w:cs="Times New Roman"/>
          <w:sz w:val="26"/>
          <w:szCs w:val="26"/>
        </w:rPr>
        <w:t xml:space="preserve"> surcharge for the Columbia </w:t>
      </w:r>
      <w:r w:rsidR="00E01C6E" w:rsidRPr="00496081">
        <w:rPr>
          <w:rFonts w:ascii="Times New Roman" w:hAnsi="Times New Roman" w:cs="Times New Roman"/>
          <w:sz w:val="26"/>
          <w:szCs w:val="26"/>
        </w:rPr>
        <w:t xml:space="preserve">Rate </w:t>
      </w:r>
      <w:r w:rsidRPr="00496081">
        <w:rPr>
          <w:rFonts w:ascii="Times New Roman" w:hAnsi="Times New Roman" w:cs="Times New Roman"/>
          <w:sz w:val="26"/>
          <w:szCs w:val="26"/>
        </w:rPr>
        <w:t xml:space="preserve">Division water treatment plant will not be charged to the Marietta </w:t>
      </w:r>
      <w:r w:rsidR="00E01C6E" w:rsidRPr="00496081">
        <w:rPr>
          <w:rFonts w:ascii="Times New Roman" w:hAnsi="Times New Roman" w:cs="Times New Roman"/>
          <w:sz w:val="26"/>
          <w:szCs w:val="26"/>
        </w:rPr>
        <w:t xml:space="preserve">Rate </w:t>
      </w:r>
      <w:r w:rsidRPr="00496081">
        <w:rPr>
          <w:rFonts w:ascii="Times New Roman" w:hAnsi="Times New Roman" w:cs="Times New Roman"/>
          <w:sz w:val="26"/>
          <w:szCs w:val="26"/>
        </w:rPr>
        <w:t xml:space="preserve">Division customers.  The OCA noted that the Marietta </w:t>
      </w:r>
      <w:r w:rsidR="00E01C6E" w:rsidRPr="00496081">
        <w:rPr>
          <w:rFonts w:ascii="Times New Roman" w:hAnsi="Times New Roman" w:cs="Times New Roman"/>
          <w:sz w:val="26"/>
          <w:szCs w:val="26"/>
        </w:rPr>
        <w:t xml:space="preserve">Rate </w:t>
      </w:r>
      <w:r w:rsidRPr="00496081">
        <w:rPr>
          <w:rFonts w:ascii="Times New Roman" w:hAnsi="Times New Roman" w:cs="Times New Roman"/>
          <w:sz w:val="26"/>
          <w:szCs w:val="26"/>
        </w:rPr>
        <w:t>Division customers are served by wells and not by the Columbia Division’s water treatment plant.  As such, the OCA argued that this provision is in the public interest.  OCA Statement at 5-6.</w:t>
      </w:r>
    </w:p>
    <w:p w:rsidR="003F1C7C" w:rsidRPr="00496081" w:rsidRDefault="003F1C7C" w:rsidP="00496081">
      <w:pPr>
        <w:spacing w:line="360" w:lineRule="auto"/>
        <w:ind w:firstLine="1440"/>
        <w:contextualSpacing/>
        <w:rPr>
          <w:rFonts w:ascii="Times New Roman" w:hAnsi="Times New Roman" w:cs="Times New Roman"/>
          <w:sz w:val="26"/>
          <w:szCs w:val="26"/>
        </w:rPr>
      </w:pPr>
    </w:p>
    <w:p w:rsidR="003F1C7C" w:rsidRPr="00496081" w:rsidRDefault="003F1C7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Additionally, the OCA submitted that the Settlement provision in which Columbia Water will provide annual reports regarding its present isolation valve exercising, including its critical valve exercising</w:t>
      </w:r>
      <w:r w:rsidR="00A23D78" w:rsidRPr="00496081">
        <w:rPr>
          <w:rFonts w:ascii="Times New Roman" w:hAnsi="Times New Roman" w:cs="Times New Roman"/>
          <w:sz w:val="26"/>
          <w:szCs w:val="26"/>
        </w:rPr>
        <w:t>,</w:t>
      </w:r>
      <w:r w:rsidRPr="00496081">
        <w:rPr>
          <w:rFonts w:ascii="Times New Roman" w:hAnsi="Times New Roman" w:cs="Times New Roman"/>
          <w:sz w:val="26"/>
          <w:szCs w:val="26"/>
        </w:rPr>
        <w:t xml:space="preserve"> is in the public interest and should be adopted.  In this regard, the OCA opined that an isolation valve that cannot be fully closed will increase the water loss during a water main break and will increase the number of customers affected.  </w:t>
      </w:r>
      <w:r w:rsidR="00114DFC" w:rsidRPr="00496081">
        <w:rPr>
          <w:rFonts w:ascii="Times New Roman" w:hAnsi="Times New Roman" w:cs="Times New Roman"/>
          <w:sz w:val="26"/>
          <w:szCs w:val="26"/>
        </w:rPr>
        <w:t xml:space="preserve">According to the OCA, </w:t>
      </w:r>
      <w:r w:rsidRPr="00496081">
        <w:rPr>
          <w:rFonts w:ascii="Times New Roman" w:hAnsi="Times New Roman" w:cs="Times New Roman"/>
          <w:sz w:val="26"/>
          <w:szCs w:val="26"/>
        </w:rPr>
        <w:t>it is always more expensive to repair or replace an isolation valve than it is to exercise it.  In the OCA’s view, annually reporting the exercising of isolation valves</w:t>
      </w:r>
      <w:r w:rsidR="00114DFC" w:rsidRPr="00496081">
        <w:rPr>
          <w:rFonts w:ascii="Times New Roman" w:hAnsi="Times New Roman" w:cs="Times New Roman"/>
          <w:sz w:val="26"/>
          <w:szCs w:val="26"/>
        </w:rPr>
        <w:t xml:space="preserve"> will enable</w:t>
      </w:r>
      <w:r w:rsidRPr="00496081">
        <w:rPr>
          <w:rFonts w:ascii="Times New Roman" w:hAnsi="Times New Roman" w:cs="Times New Roman"/>
          <w:sz w:val="26"/>
          <w:szCs w:val="26"/>
        </w:rPr>
        <w:t xml:space="preserve"> Columbia </w:t>
      </w:r>
      <w:r w:rsidR="00114DFC" w:rsidRPr="00496081">
        <w:rPr>
          <w:rFonts w:ascii="Times New Roman" w:hAnsi="Times New Roman" w:cs="Times New Roman"/>
          <w:sz w:val="26"/>
          <w:szCs w:val="26"/>
        </w:rPr>
        <w:t>W</w:t>
      </w:r>
      <w:r w:rsidRPr="00496081">
        <w:rPr>
          <w:rFonts w:ascii="Times New Roman" w:hAnsi="Times New Roman" w:cs="Times New Roman"/>
          <w:sz w:val="26"/>
          <w:szCs w:val="26"/>
        </w:rPr>
        <w:t>ater</w:t>
      </w:r>
      <w:r w:rsidR="00114DFC" w:rsidRPr="00496081">
        <w:rPr>
          <w:rFonts w:ascii="Times New Roman" w:hAnsi="Times New Roman" w:cs="Times New Roman"/>
          <w:sz w:val="26"/>
          <w:szCs w:val="26"/>
        </w:rPr>
        <w:t xml:space="preserve"> to</w:t>
      </w:r>
      <w:r w:rsidRPr="00496081">
        <w:rPr>
          <w:rFonts w:ascii="Times New Roman" w:hAnsi="Times New Roman" w:cs="Times New Roman"/>
          <w:sz w:val="26"/>
          <w:szCs w:val="26"/>
        </w:rPr>
        <w:t xml:space="preserve"> develop a reasonable schedule for exercising such valves in the future.  OCA Statement at 6-7.</w:t>
      </w:r>
    </w:p>
    <w:p w:rsidR="00114DFC" w:rsidRPr="00496081" w:rsidRDefault="00114DFC" w:rsidP="00496081">
      <w:pPr>
        <w:spacing w:line="360" w:lineRule="auto"/>
        <w:ind w:firstLine="1440"/>
        <w:contextualSpacing/>
        <w:rPr>
          <w:rFonts w:ascii="Times New Roman" w:hAnsi="Times New Roman" w:cs="Times New Roman"/>
          <w:sz w:val="26"/>
          <w:szCs w:val="26"/>
        </w:rPr>
      </w:pPr>
    </w:p>
    <w:p w:rsidR="00114DFC" w:rsidRPr="00496081" w:rsidRDefault="00114DF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Further, the OCA explained that in its original filing, Columbia Water sought to add a claim of $349,631 for “franchises” related to </w:t>
      </w:r>
      <w:r w:rsidR="003D4718" w:rsidRPr="00496081">
        <w:rPr>
          <w:rFonts w:ascii="Times New Roman" w:hAnsi="Times New Roman" w:cs="Times New Roman"/>
          <w:sz w:val="26"/>
          <w:szCs w:val="26"/>
        </w:rPr>
        <w:t xml:space="preserve">its acquisitions of the </w:t>
      </w:r>
      <w:r w:rsidR="00A23D78" w:rsidRPr="00496081">
        <w:rPr>
          <w:rFonts w:ascii="Times New Roman" w:hAnsi="Times New Roman" w:cs="Times New Roman"/>
          <w:sz w:val="26"/>
          <w:szCs w:val="26"/>
        </w:rPr>
        <w:lastRenderedPageBreak/>
        <w:t>MGWC and MWC</w:t>
      </w:r>
      <w:r w:rsidR="003D4718" w:rsidRPr="00496081">
        <w:rPr>
          <w:rFonts w:ascii="Times New Roman" w:hAnsi="Times New Roman" w:cs="Times New Roman"/>
          <w:sz w:val="26"/>
          <w:szCs w:val="26"/>
        </w:rPr>
        <w:t xml:space="preserve"> to its rate base.  </w:t>
      </w:r>
      <w:r w:rsidR="00B95AFC" w:rsidRPr="00496081">
        <w:rPr>
          <w:rFonts w:ascii="Times New Roman" w:hAnsi="Times New Roman" w:cs="Times New Roman"/>
          <w:sz w:val="26"/>
          <w:szCs w:val="26"/>
        </w:rPr>
        <w:t>The OCA noted that in filing testimony in this proceeding</w:t>
      </w:r>
      <w:r w:rsidR="003D4718" w:rsidRPr="00496081">
        <w:rPr>
          <w:rFonts w:ascii="Times New Roman" w:hAnsi="Times New Roman" w:cs="Times New Roman"/>
          <w:sz w:val="26"/>
          <w:szCs w:val="26"/>
        </w:rPr>
        <w:t xml:space="preserve">, </w:t>
      </w:r>
      <w:r w:rsidR="00B95AFC" w:rsidRPr="00496081">
        <w:rPr>
          <w:rFonts w:ascii="Times New Roman" w:hAnsi="Times New Roman" w:cs="Times New Roman"/>
          <w:sz w:val="26"/>
          <w:szCs w:val="26"/>
        </w:rPr>
        <w:t xml:space="preserve">it took the position that </w:t>
      </w:r>
      <w:r w:rsidR="003D4718" w:rsidRPr="00496081">
        <w:rPr>
          <w:rFonts w:ascii="Times New Roman" w:hAnsi="Times New Roman" w:cs="Times New Roman"/>
          <w:sz w:val="26"/>
          <w:szCs w:val="26"/>
        </w:rPr>
        <w:t>such acquisition costs are untimely and inappropriate because Columbia Water never provided support that such costs are recoverable from ratepayers as franchises.  Thus, the OCA submit</w:t>
      </w:r>
      <w:r w:rsidR="00EF542E" w:rsidRPr="00496081">
        <w:rPr>
          <w:rFonts w:ascii="Times New Roman" w:hAnsi="Times New Roman" w:cs="Times New Roman"/>
          <w:sz w:val="26"/>
          <w:szCs w:val="26"/>
        </w:rPr>
        <w:t>ted</w:t>
      </w:r>
      <w:r w:rsidR="003D4718" w:rsidRPr="00496081">
        <w:rPr>
          <w:rFonts w:ascii="Times New Roman" w:hAnsi="Times New Roman" w:cs="Times New Roman"/>
          <w:sz w:val="26"/>
          <w:szCs w:val="26"/>
        </w:rPr>
        <w:t xml:space="preserve"> that the Joint Parties’ agreement that Columbia Water will not make a claim in any future rate case to recover such costs as franchises is in the public interest.</w:t>
      </w:r>
    </w:p>
    <w:p w:rsidR="003F1C7C" w:rsidRPr="00496081" w:rsidRDefault="003F1C7C" w:rsidP="00496081">
      <w:pPr>
        <w:spacing w:line="360" w:lineRule="auto"/>
        <w:ind w:firstLine="1440"/>
        <w:contextualSpacing/>
        <w:rPr>
          <w:rFonts w:ascii="Times New Roman" w:hAnsi="Times New Roman" w:cs="Times New Roman"/>
          <w:sz w:val="26"/>
          <w:szCs w:val="26"/>
        </w:rPr>
      </w:pPr>
    </w:p>
    <w:p w:rsidR="003F1C7C" w:rsidRPr="00496081" w:rsidRDefault="003F1C7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F</w:t>
      </w:r>
      <w:r w:rsidR="00114DFC" w:rsidRPr="00496081">
        <w:rPr>
          <w:rFonts w:ascii="Times New Roman" w:hAnsi="Times New Roman" w:cs="Times New Roman"/>
          <w:sz w:val="26"/>
          <w:szCs w:val="26"/>
        </w:rPr>
        <w:t>inally</w:t>
      </w:r>
      <w:r w:rsidRPr="00496081">
        <w:rPr>
          <w:rFonts w:ascii="Times New Roman" w:hAnsi="Times New Roman" w:cs="Times New Roman"/>
          <w:sz w:val="26"/>
          <w:szCs w:val="26"/>
        </w:rPr>
        <w:t xml:space="preserve">, the OCA touted the provision that the Settlement is not premised upon the inclusion in rate base of any Marietta Division </w:t>
      </w:r>
      <w:r w:rsidR="00B11279" w:rsidRPr="00496081">
        <w:rPr>
          <w:rFonts w:ascii="Times New Roman" w:hAnsi="Times New Roman" w:cs="Times New Roman"/>
          <w:sz w:val="26"/>
          <w:szCs w:val="26"/>
        </w:rPr>
        <w:t>PENNVEST</w:t>
      </w:r>
      <w:r w:rsidRPr="00496081">
        <w:rPr>
          <w:rFonts w:ascii="Times New Roman" w:hAnsi="Times New Roman" w:cs="Times New Roman"/>
          <w:sz w:val="26"/>
          <w:szCs w:val="26"/>
        </w:rPr>
        <w:t>-financed plant.  The OCA reasoned that</w:t>
      </w:r>
      <w:r w:rsidR="00B95AFC" w:rsidRPr="00496081">
        <w:rPr>
          <w:rFonts w:ascii="Times New Roman" w:hAnsi="Times New Roman" w:cs="Times New Roman"/>
          <w:sz w:val="26"/>
          <w:szCs w:val="26"/>
        </w:rPr>
        <w:t xml:space="preserve"> the Joint Petitioners’ agreement aligns with its own view</w:t>
      </w:r>
      <w:r w:rsidRPr="00496081">
        <w:rPr>
          <w:rFonts w:ascii="Times New Roman" w:hAnsi="Times New Roman" w:cs="Times New Roman"/>
          <w:sz w:val="26"/>
          <w:szCs w:val="26"/>
        </w:rPr>
        <w:t xml:space="preserve"> the Marietta plant, which was funded by a </w:t>
      </w:r>
      <w:r w:rsidR="00B11279" w:rsidRPr="00496081">
        <w:rPr>
          <w:rFonts w:ascii="Times New Roman" w:hAnsi="Times New Roman" w:cs="Times New Roman"/>
          <w:sz w:val="26"/>
          <w:szCs w:val="26"/>
        </w:rPr>
        <w:t>PENNVEST</w:t>
      </w:r>
      <w:r w:rsidRPr="00496081">
        <w:rPr>
          <w:rFonts w:ascii="Times New Roman" w:hAnsi="Times New Roman" w:cs="Times New Roman"/>
          <w:sz w:val="26"/>
          <w:szCs w:val="26"/>
        </w:rPr>
        <w:t xml:space="preserve"> loan and collected via a </w:t>
      </w:r>
      <w:r w:rsidR="0019782A" w:rsidRPr="00496081">
        <w:rPr>
          <w:rFonts w:ascii="Times New Roman" w:hAnsi="Times New Roman" w:cs="Times New Roman"/>
          <w:sz w:val="26"/>
          <w:szCs w:val="26"/>
        </w:rPr>
        <w:t>twenty-year</w:t>
      </w:r>
      <w:r w:rsidRPr="00496081">
        <w:rPr>
          <w:rFonts w:ascii="Times New Roman" w:hAnsi="Times New Roman" w:cs="Times New Roman"/>
          <w:sz w:val="26"/>
          <w:szCs w:val="26"/>
        </w:rPr>
        <w:t xml:space="preserve"> </w:t>
      </w:r>
      <w:r w:rsidR="00B11279" w:rsidRPr="00496081">
        <w:rPr>
          <w:rFonts w:ascii="Times New Roman" w:hAnsi="Times New Roman" w:cs="Times New Roman"/>
          <w:sz w:val="26"/>
          <w:szCs w:val="26"/>
        </w:rPr>
        <w:t>PENNVEST</w:t>
      </w:r>
      <w:r w:rsidRPr="00496081">
        <w:rPr>
          <w:rFonts w:ascii="Times New Roman" w:hAnsi="Times New Roman" w:cs="Times New Roman"/>
          <w:sz w:val="26"/>
          <w:szCs w:val="26"/>
        </w:rPr>
        <w:t xml:space="preserve"> surcharge that ended in 2016, should not also be collected in base rates.  OCA Statement at 8.</w:t>
      </w:r>
    </w:p>
    <w:p w:rsidR="00B43A4E" w:rsidRPr="00496081" w:rsidRDefault="00B43A4E" w:rsidP="00496081">
      <w:pPr>
        <w:spacing w:line="360" w:lineRule="auto"/>
        <w:ind w:firstLine="1440"/>
        <w:contextualSpacing/>
        <w:rPr>
          <w:rFonts w:ascii="Times New Roman" w:hAnsi="Times New Roman" w:cs="Times New Roman"/>
          <w:sz w:val="26"/>
          <w:szCs w:val="26"/>
        </w:rPr>
      </w:pPr>
    </w:p>
    <w:p w:rsidR="00E111BA" w:rsidRPr="00496081" w:rsidRDefault="00E111BA" w:rsidP="00585F3F">
      <w:pPr>
        <w:keepNext/>
        <w:keepLines/>
        <w:spacing w:line="360" w:lineRule="auto"/>
        <w:ind w:firstLine="1440"/>
        <w:contextualSpacing/>
        <w:rPr>
          <w:rFonts w:ascii="Times New Roman" w:hAnsi="Times New Roman" w:cs="Times New Roman"/>
          <w:b/>
          <w:sz w:val="26"/>
          <w:szCs w:val="26"/>
        </w:rPr>
      </w:pPr>
      <w:r w:rsidRPr="00496081">
        <w:rPr>
          <w:rFonts w:ascii="Times New Roman" w:hAnsi="Times New Roman" w:cs="Times New Roman"/>
          <w:b/>
          <w:sz w:val="26"/>
          <w:szCs w:val="26"/>
        </w:rPr>
        <w:t>d.</w:t>
      </w:r>
      <w:r w:rsidRPr="00496081">
        <w:rPr>
          <w:rFonts w:ascii="Times New Roman" w:hAnsi="Times New Roman" w:cs="Times New Roman"/>
          <w:b/>
          <w:sz w:val="26"/>
          <w:szCs w:val="26"/>
        </w:rPr>
        <w:tab/>
        <w:t>OSBA</w:t>
      </w:r>
    </w:p>
    <w:p w:rsidR="00E111BA" w:rsidRPr="00496081" w:rsidRDefault="00E111BA" w:rsidP="00585F3F">
      <w:pPr>
        <w:keepNext/>
        <w:keepLines/>
        <w:spacing w:line="360" w:lineRule="auto"/>
        <w:ind w:firstLine="1440"/>
        <w:contextualSpacing/>
        <w:rPr>
          <w:rFonts w:ascii="Times New Roman" w:hAnsi="Times New Roman" w:cs="Times New Roman"/>
          <w:sz w:val="26"/>
          <w:szCs w:val="26"/>
        </w:rPr>
      </w:pPr>
    </w:p>
    <w:p w:rsidR="0033132B" w:rsidRPr="00496081" w:rsidRDefault="0033132B"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In its Statement, the OSBA championed the compromise the </w:t>
      </w:r>
      <w:r w:rsidR="00AA58D2" w:rsidRPr="00496081">
        <w:rPr>
          <w:rFonts w:ascii="Times New Roman" w:hAnsi="Times New Roman" w:cs="Times New Roman"/>
          <w:sz w:val="26"/>
          <w:szCs w:val="26"/>
        </w:rPr>
        <w:t>Joint Petitioners</w:t>
      </w:r>
      <w:r w:rsidRPr="00496081">
        <w:rPr>
          <w:rFonts w:ascii="Times New Roman" w:hAnsi="Times New Roman" w:cs="Times New Roman"/>
          <w:sz w:val="26"/>
          <w:szCs w:val="26"/>
        </w:rPr>
        <w:t xml:space="preserve"> reached in negotiating a rate design that moves the rates of the Marietta Division closer to the rates of the Columbia Division.  The OSBA highlighted that although the rate design and revenue allocation does not completely consolidate the two divisions in one rate proceeding, as Columbia Water originally requested, it does make progress toward this goal while protecting customers in the Marietta Division from rate shock.  OSBA Statement at 2-4.</w:t>
      </w:r>
    </w:p>
    <w:p w:rsidR="00E111BA" w:rsidRPr="00496081" w:rsidRDefault="00E111BA" w:rsidP="00496081">
      <w:pPr>
        <w:spacing w:line="360" w:lineRule="auto"/>
        <w:ind w:firstLine="1440"/>
        <w:contextualSpacing/>
        <w:rPr>
          <w:rFonts w:ascii="Times New Roman" w:hAnsi="Times New Roman" w:cs="Times New Roman"/>
          <w:sz w:val="26"/>
          <w:szCs w:val="26"/>
        </w:rPr>
      </w:pPr>
    </w:p>
    <w:p w:rsidR="00B43A4E" w:rsidRPr="00496081" w:rsidRDefault="00B43A4E" w:rsidP="00496081">
      <w:pPr>
        <w:keepNext/>
        <w:keepLines/>
        <w:spacing w:line="360" w:lineRule="auto"/>
        <w:ind w:left="1440" w:hanging="720"/>
        <w:contextualSpacing/>
        <w:rPr>
          <w:rFonts w:ascii="Times New Roman" w:hAnsi="Times New Roman" w:cs="Times New Roman"/>
          <w:sz w:val="26"/>
          <w:szCs w:val="26"/>
        </w:rPr>
      </w:pPr>
      <w:r w:rsidRPr="00496081">
        <w:rPr>
          <w:rFonts w:ascii="Times New Roman" w:hAnsi="Times New Roman" w:cs="Times New Roman"/>
          <w:b/>
          <w:sz w:val="26"/>
          <w:szCs w:val="26"/>
        </w:rPr>
        <w:t>3.</w:t>
      </w:r>
      <w:r w:rsidRPr="00496081">
        <w:rPr>
          <w:rFonts w:ascii="Times New Roman" w:hAnsi="Times New Roman" w:cs="Times New Roman"/>
          <w:b/>
          <w:sz w:val="26"/>
          <w:szCs w:val="26"/>
        </w:rPr>
        <w:tab/>
        <w:t>ALJs’ Recommendation</w:t>
      </w:r>
    </w:p>
    <w:p w:rsidR="00EB792F" w:rsidRPr="00496081" w:rsidRDefault="00EB792F" w:rsidP="00496081">
      <w:pPr>
        <w:keepNext/>
        <w:keepLines/>
        <w:spacing w:line="360" w:lineRule="auto"/>
        <w:contextualSpacing/>
        <w:rPr>
          <w:rFonts w:ascii="Times New Roman" w:hAnsi="Times New Roman" w:cs="Times New Roman"/>
          <w:sz w:val="26"/>
          <w:szCs w:val="26"/>
        </w:rPr>
      </w:pPr>
    </w:p>
    <w:p w:rsidR="00EB792F" w:rsidRPr="00496081" w:rsidRDefault="00EB792F"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In their Recommended Decision, the ALJs first summarized each of the provisions of the Settlement and the Parties’ Statements thereto.  </w:t>
      </w:r>
      <w:r w:rsidR="00B665C3" w:rsidRPr="00496081">
        <w:rPr>
          <w:rFonts w:ascii="Times New Roman" w:hAnsi="Times New Roman" w:cs="Times New Roman"/>
          <w:sz w:val="26"/>
          <w:szCs w:val="26"/>
        </w:rPr>
        <w:t>R</w:t>
      </w:r>
      <w:r w:rsidRPr="00496081">
        <w:rPr>
          <w:rFonts w:ascii="Times New Roman" w:hAnsi="Times New Roman" w:cs="Times New Roman"/>
          <w:sz w:val="26"/>
          <w:szCs w:val="26"/>
        </w:rPr>
        <w:t xml:space="preserve">.D. at 8-16.  The ALJs </w:t>
      </w:r>
      <w:r w:rsidR="0030709E">
        <w:rPr>
          <w:rFonts w:ascii="Times New Roman" w:hAnsi="Times New Roman" w:cs="Times New Roman"/>
          <w:sz w:val="26"/>
          <w:szCs w:val="26"/>
        </w:rPr>
        <w:t>foun</w:t>
      </w:r>
      <w:r w:rsidRPr="00496081">
        <w:rPr>
          <w:rFonts w:ascii="Times New Roman" w:hAnsi="Times New Roman" w:cs="Times New Roman"/>
          <w:sz w:val="26"/>
          <w:szCs w:val="26"/>
        </w:rPr>
        <w:t xml:space="preserve">d that the Settlement permits Columbia Water to raise additional revenue to meet </w:t>
      </w:r>
      <w:r w:rsidRPr="00496081">
        <w:rPr>
          <w:rFonts w:ascii="Times New Roman" w:hAnsi="Times New Roman" w:cs="Times New Roman"/>
          <w:sz w:val="26"/>
          <w:szCs w:val="26"/>
        </w:rPr>
        <w:lastRenderedPageBreak/>
        <w:t xml:space="preserve">operating expenses and to fund infrastructural improvement and also permits Columbia Water to earn a reasonable rate of return.  At the same time, the ALJs </w:t>
      </w:r>
      <w:r w:rsidR="00BC43A3" w:rsidRPr="00496081">
        <w:rPr>
          <w:rFonts w:ascii="Times New Roman" w:hAnsi="Times New Roman" w:cs="Times New Roman"/>
          <w:sz w:val="26"/>
          <w:szCs w:val="26"/>
        </w:rPr>
        <w:t>noted that the Settlement</w:t>
      </w:r>
      <w:r w:rsidRPr="00496081">
        <w:rPr>
          <w:rFonts w:ascii="Times New Roman" w:hAnsi="Times New Roman" w:cs="Times New Roman"/>
          <w:sz w:val="26"/>
          <w:szCs w:val="26"/>
        </w:rPr>
        <w:t xml:space="preserve"> produces an annual revenue increase of $635,000, or 12.4%, which is less than Columbia Water’s originally requested </w:t>
      </w:r>
      <w:r w:rsidR="00BC43A3" w:rsidRPr="00496081">
        <w:rPr>
          <w:rFonts w:ascii="Times New Roman" w:hAnsi="Times New Roman" w:cs="Times New Roman"/>
          <w:sz w:val="26"/>
          <w:szCs w:val="26"/>
        </w:rPr>
        <w:t>increase</w:t>
      </w:r>
      <w:r w:rsidRPr="00496081">
        <w:rPr>
          <w:rFonts w:ascii="Times New Roman" w:hAnsi="Times New Roman" w:cs="Times New Roman"/>
          <w:sz w:val="26"/>
          <w:szCs w:val="26"/>
        </w:rPr>
        <w:t xml:space="preserve"> of $923,668, or 17.8%.  </w:t>
      </w:r>
      <w:r w:rsidR="00BC43A3" w:rsidRPr="00496081">
        <w:rPr>
          <w:rFonts w:ascii="Times New Roman" w:hAnsi="Times New Roman" w:cs="Times New Roman"/>
          <w:sz w:val="26"/>
          <w:szCs w:val="26"/>
        </w:rPr>
        <w:t xml:space="preserve">The ALJs </w:t>
      </w:r>
      <w:r w:rsidR="0030709E">
        <w:rPr>
          <w:rFonts w:ascii="Times New Roman" w:hAnsi="Times New Roman" w:cs="Times New Roman"/>
          <w:sz w:val="26"/>
          <w:szCs w:val="26"/>
        </w:rPr>
        <w:t>determ</w:t>
      </w:r>
      <w:r w:rsidR="00BC43A3" w:rsidRPr="00496081">
        <w:rPr>
          <w:rFonts w:ascii="Times New Roman" w:hAnsi="Times New Roman" w:cs="Times New Roman"/>
          <w:sz w:val="26"/>
          <w:szCs w:val="26"/>
        </w:rPr>
        <w:t xml:space="preserve">ined that this agreed upon revenue increase represents a reasonable compromise and is in the public interest.  </w:t>
      </w:r>
      <w:r w:rsidR="00B665C3" w:rsidRPr="00496081">
        <w:rPr>
          <w:rFonts w:ascii="Times New Roman" w:hAnsi="Times New Roman" w:cs="Times New Roman"/>
          <w:i/>
          <w:sz w:val="26"/>
          <w:szCs w:val="26"/>
        </w:rPr>
        <w:t>Id</w:t>
      </w:r>
      <w:r w:rsidRPr="00496081">
        <w:rPr>
          <w:rFonts w:ascii="Times New Roman" w:hAnsi="Times New Roman" w:cs="Times New Roman"/>
          <w:sz w:val="26"/>
          <w:szCs w:val="26"/>
        </w:rPr>
        <w:t xml:space="preserve">. at 16. </w:t>
      </w:r>
    </w:p>
    <w:p w:rsidR="00EB792F" w:rsidRPr="00496081" w:rsidRDefault="00EB792F" w:rsidP="00496081">
      <w:pPr>
        <w:spacing w:line="360" w:lineRule="auto"/>
        <w:ind w:firstLine="1440"/>
        <w:contextualSpacing/>
        <w:rPr>
          <w:rFonts w:ascii="Times New Roman" w:hAnsi="Times New Roman" w:cs="Times New Roman"/>
          <w:sz w:val="26"/>
          <w:szCs w:val="26"/>
        </w:rPr>
      </w:pPr>
    </w:p>
    <w:p w:rsidR="00EB792F" w:rsidRPr="00496081" w:rsidRDefault="00EB792F" w:rsidP="00496081">
      <w:pPr>
        <w:spacing w:line="360" w:lineRule="auto"/>
        <w:ind w:firstLine="1440"/>
        <w:contextualSpacing/>
        <w:rPr>
          <w:rFonts w:ascii="Times New Roman" w:hAnsi="Times New Roman" w:cs="Times New Roman"/>
          <w:sz w:val="26"/>
          <w:szCs w:val="26"/>
        </w:rPr>
      </w:pPr>
      <w:bookmarkStart w:id="1" w:name="_Hlk506273362"/>
      <w:r w:rsidRPr="00496081">
        <w:rPr>
          <w:rFonts w:ascii="Times New Roman" w:hAnsi="Times New Roman" w:cs="Times New Roman"/>
          <w:sz w:val="26"/>
          <w:szCs w:val="26"/>
        </w:rPr>
        <w:t xml:space="preserve">The ALJs next explained that in the instant case, the Parties have reached a black box settlement in which the Settlement provides for an increase in Columbia Water’s revenues but does not indicate the specifics of how this increase was calculated.  Citing to </w:t>
      </w:r>
      <w:r w:rsidRPr="0030709E">
        <w:rPr>
          <w:rFonts w:ascii="Times New Roman" w:hAnsi="Times New Roman" w:cs="Times New Roman"/>
          <w:i/>
          <w:sz w:val="26"/>
          <w:szCs w:val="26"/>
        </w:rPr>
        <w:t xml:space="preserve">Pa. </w:t>
      </w:r>
      <w:r w:rsidR="0030709E" w:rsidRPr="0030709E">
        <w:rPr>
          <w:rFonts w:ascii="Times New Roman" w:hAnsi="Times New Roman" w:cs="Times New Roman"/>
          <w:i/>
          <w:sz w:val="26"/>
          <w:szCs w:val="26"/>
        </w:rPr>
        <w:t>PUC</w:t>
      </w:r>
      <w:r w:rsidRPr="0030709E">
        <w:rPr>
          <w:rFonts w:ascii="Times New Roman" w:hAnsi="Times New Roman" w:cs="Times New Roman"/>
          <w:i/>
          <w:sz w:val="26"/>
          <w:szCs w:val="26"/>
        </w:rPr>
        <w:t xml:space="preserve"> v. Peoples TWP LLC</w:t>
      </w:r>
      <w:r w:rsidRPr="00496081">
        <w:rPr>
          <w:rFonts w:ascii="Times New Roman" w:hAnsi="Times New Roman" w:cs="Times New Roman"/>
          <w:sz w:val="26"/>
          <w:szCs w:val="26"/>
        </w:rPr>
        <w:t>, Docket No. R-2013-2355886 (Order entered December 19, 2013), the ALJs noted that the Commission has observed that determining a utility’s revenue requirement is a calculation that involves many complex and interrelated adjustments which affect expenses, depreciation, rate base, taxes, and the utility’s cost of capital, and which makes it difficult for the parties to a proceeding to reach an agreement on each component.  As such, the ALJs found that the submission of a black box settlement in this case is reasonable</w:t>
      </w:r>
      <w:r w:rsidR="001E3E4D">
        <w:rPr>
          <w:rFonts w:ascii="Times New Roman" w:hAnsi="Times New Roman" w:cs="Times New Roman"/>
          <w:sz w:val="26"/>
          <w:szCs w:val="26"/>
        </w:rPr>
        <w:t xml:space="preserve">. </w:t>
      </w:r>
      <w:r w:rsidRPr="00496081">
        <w:rPr>
          <w:rFonts w:ascii="Times New Roman" w:hAnsi="Times New Roman" w:cs="Times New Roman"/>
          <w:sz w:val="26"/>
          <w:szCs w:val="26"/>
        </w:rPr>
        <w:t xml:space="preserve"> R.D. at 16-17.</w:t>
      </w:r>
    </w:p>
    <w:bookmarkEnd w:id="1"/>
    <w:p w:rsidR="00EB792F" w:rsidRPr="00496081" w:rsidRDefault="00EB792F" w:rsidP="00496081">
      <w:pPr>
        <w:spacing w:line="360" w:lineRule="auto"/>
        <w:ind w:firstLine="1440"/>
        <w:contextualSpacing/>
        <w:rPr>
          <w:rFonts w:ascii="Times New Roman" w:hAnsi="Times New Roman" w:cs="Times New Roman"/>
          <w:sz w:val="26"/>
          <w:szCs w:val="26"/>
        </w:rPr>
      </w:pPr>
    </w:p>
    <w:p w:rsidR="00EB792F" w:rsidRPr="00496081" w:rsidRDefault="00EB792F"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The ALJs also concluded that the Settlement is in the public interest because it ensures that Columbia Water’s customers will continue to receive safe and reliable service at reasonable rates, while minimizing the rate impact on customers in the Marietta</w:t>
      </w:r>
      <w:r w:rsidR="002042BE" w:rsidRPr="00496081">
        <w:rPr>
          <w:rFonts w:ascii="Times New Roman" w:hAnsi="Times New Roman" w:cs="Times New Roman"/>
          <w:sz w:val="26"/>
          <w:szCs w:val="26"/>
        </w:rPr>
        <w:t xml:space="preserve"> Rate</w:t>
      </w:r>
      <w:r w:rsidRPr="00496081">
        <w:rPr>
          <w:rFonts w:ascii="Times New Roman" w:hAnsi="Times New Roman" w:cs="Times New Roman"/>
          <w:sz w:val="26"/>
          <w:szCs w:val="26"/>
        </w:rPr>
        <w:t xml:space="preserve"> Division.  The ALJs pointed out that the rate impact to these customers is significantly lower than it would have been under Columbia Water’s originally proposed rates.  In a similar fashion, the ALJs noted that the Settlement provides rate stability to all of Columbia Water’s customers because Columbia Water has agreed to refrain from filing another base rate case for a period of thirty-three months following the entry of a final Commission order in the instant proceeding.  Moreover, the ALJs </w:t>
      </w:r>
      <w:r w:rsidR="002042BE" w:rsidRPr="00496081">
        <w:rPr>
          <w:rFonts w:ascii="Times New Roman" w:hAnsi="Times New Roman" w:cs="Times New Roman"/>
          <w:sz w:val="26"/>
          <w:szCs w:val="26"/>
        </w:rPr>
        <w:t xml:space="preserve">noted </w:t>
      </w:r>
      <w:r w:rsidR="0019782A" w:rsidRPr="00496081">
        <w:rPr>
          <w:rFonts w:ascii="Times New Roman" w:hAnsi="Times New Roman" w:cs="Times New Roman"/>
          <w:sz w:val="26"/>
          <w:szCs w:val="26"/>
        </w:rPr>
        <w:t>that</w:t>
      </w:r>
      <w:r w:rsidRPr="00496081">
        <w:rPr>
          <w:rFonts w:ascii="Times New Roman" w:hAnsi="Times New Roman" w:cs="Times New Roman"/>
          <w:sz w:val="26"/>
          <w:szCs w:val="26"/>
        </w:rPr>
        <w:t xml:space="preserve"> the Settlement </w:t>
      </w:r>
      <w:r w:rsidR="002042BE" w:rsidRPr="00496081">
        <w:rPr>
          <w:rFonts w:ascii="Times New Roman" w:hAnsi="Times New Roman" w:cs="Times New Roman"/>
          <w:sz w:val="26"/>
          <w:szCs w:val="26"/>
        </w:rPr>
        <w:t>ensures that</w:t>
      </w:r>
      <w:r w:rsidRPr="00496081">
        <w:rPr>
          <w:rFonts w:ascii="Times New Roman" w:hAnsi="Times New Roman" w:cs="Times New Roman"/>
          <w:sz w:val="26"/>
          <w:szCs w:val="26"/>
        </w:rPr>
        <w:t xml:space="preserve"> discrete </w:t>
      </w:r>
      <w:r w:rsidR="00B11279" w:rsidRPr="00496081">
        <w:rPr>
          <w:rFonts w:ascii="Times New Roman" w:hAnsi="Times New Roman" w:cs="Times New Roman"/>
          <w:sz w:val="26"/>
          <w:szCs w:val="26"/>
        </w:rPr>
        <w:t>PENNVEST</w:t>
      </w:r>
      <w:r w:rsidRPr="00496081">
        <w:rPr>
          <w:rFonts w:ascii="Times New Roman" w:hAnsi="Times New Roman" w:cs="Times New Roman"/>
          <w:sz w:val="26"/>
          <w:szCs w:val="26"/>
        </w:rPr>
        <w:t xml:space="preserve"> charges and costs relating only to </w:t>
      </w:r>
      <w:r w:rsidR="002042BE" w:rsidRPr="00496081">
        <w:rPr>
          <w:rFonts w:ascii="Times New Roman" w:hAnsi="Times New Roman" w:cs="Times New Roman"/>
          <w:sz w:val="26"/>
          <w:szCs w:val="26"/>
        </w:rPr>
        <w:t>customers in the Columbia Rate District</w:t>
      </w:r>
      <w:r w:rsidRPr="00496081">
        <w:rPr>
          <w:rFonts w:ascii="Times New Roman" w:hAnsi="Times New Roman" w:cs="Times New Roman"/>
          <w:sz w:val="26"/>
          <w:szCs w:val="26"/>
        </w:rPr>
        <w:t xml:space="preserve"> will remain with those customers, while discrete </w:t>
      </w:r>
      <w:r w:rsidR="00B11279" w:rsidRPr="00496081">
        <w:rPr>
          <w:rFonts w:ascii="Times New Roman" w:hAnsi="Times New Roman" w:cs="Times New Roman"/>
          <w:sz w:val="26"/>
          <w:szCs w:val="26"/>
        </w:rPr>
        <w:lastRenderedPageBreak/>
        <w:t>PENNVEST</w:t>
      </w:r>
      <w:r w:rsidRPr="00496081">
        <w:rPr>
          <w:rFonts w:ascii="Times New Roman" w:hAnsi="Times New Roman" w:cs="Times New Roman"/>
          <w:sz w:val="26"/>
          <w:szCs w:val="26"/>
        </w:rPr>
        <w:t xml:space="preserve"> charges and costs related only to </w:t>
      </w:r>
      <w:r w:rsidR="002042BE" w:rsidRPr="00496081">
        <w:rPr>
          <w:rFonts w:ascii="Times New Roman" w:hAnsi="Times New Roman" w:cs="Times New Roman"/>
          <w:sz w:val="26"/>
          <w:szCs w:val="26"/>
        </w:rPr>
        <w:t>customers in the Marietta Rate District</w:t>
      </w:r>
      <w:r w:rsidRPr="00496081">
        <w:rPr>
          <w:rFonts w:ascii="Times New Roman" w:hAnsi="Times New Roman" w:cs="Times New Roman"/>
          <w:sz w:val="26"/>
          <w:szCs w:val="26"/>
        </w:rPr>
        <w:t xml:space="preserve"> will remain with those customers</w:t>
      </w:r>
      <w:r w:rsidR="002042BE" w:rsidRPr="00496081">
        <w:rPr>
          <w:rFonts w:ascii="Times New Roman" w:hAnsi="Times New Roman" w:cs="Times New Roman"/>
          <w:sz w:val="26"/>
          <w:szCs w:val="26"/>
        </w:rPr>
        <w:t>.  In the ALJs’ view, this</w:t>
      </w:r>
      <w:r w:rsidRPr="00496081">
        <w:rPr>
          <w:rFonts w:ascii="Times New Roman" w:hAnsi="Times New Roman" w:cs="Times New Roman"/>
          <w:sz w:val="26"/>
          <w:szCs w:val="26"/>
        </w:rPr>
        <w:t xml:space="preserve"> represents an allocation that is fair and reasonable to both classes of customers.  R.D. at 17-18</w:t>
      </w:r>
    </w:p>
    <w:p w:rsidR="00EB792F" w:rsidRPr="00496081" w:rsidRDefault="00EB792F" w:rsidP="00496081">
      <w:pPr>
        <w:spacing w:line="360" w:lineRule="auto"/>
        <w:ind w:firstLine="1440"/>
        <w:contextualSpacing/>
        <w:rPr>
          <w:rFonts w:ascii="Times New Roman" w:hAnsi="Times New Roman" w:cs="Times New Roman"/>
          <w:sz w:val="26"/>
          <w:szCs w:val="26"/>
        </w:rPr>
      </w:pPr>
    </w:p>
    <w:p w:rsidR="00EB792F" w:rsidRPr="00496081" w:rsidRDefault="00EB792F" w:rsidP="00496081">
      <w:pPr>
        <w:spacing w:line="360" w:lineRule="auto"/>
        <w:ind w:firstLine="1440"/>
        <w:contextualSpacing/>
        <w:rPr>
          <w:rFonts w:ascii="Times New Roman" w:hAnsi="Times New Roman" w:cs="Times New Roman"/>
          <w:sz w:val="26"/>
          <w:szCs w:val="26"/>
        </w:rPr>
      </w:pPr>
      <w:bookmarkStart w:id="2" w:name="_Hlk506273947"/>
      <w:r w:rsidRPr="00496081">
        <w:rPr>
          <w:rFonts w:ascii="Times New Roman" w:hAnsi="Times New Roman" w:cs="Times New Roman"/>
          <w:sz w:val="26"/>
          <w:szCs w:val="26"/>
        </w:rPr>
        <w:t>Additionally, the ALJs found that Columbia Water’s agreement to make annual reports to the Commission regarding its isolation valves represents a reasonable balance of the interest</w:t>
      </w:r>
      <w:r w:rsidR="00360923" w:rsidRPr="00496081">
        <w:rPr>
          <w:rFonts w:ascii="Times New Roman" w:hAnsi="Times New Roman" w:cs="Times New Roman"/>
          <w:sz w:val="26"/>
          <w:szCs w:val="26"/>
        </w:rPr>
        <w:t>s</w:t>
      </w:r>
      <w:r w:rsidRPr="00496081">
        <w:rPr>
          <w:rFonts w:ascii="Times New Roman" w:hAnsi="Times New Roman" w:cs="Times New Roman"/>
          <w:sz w:val="26"/>
          <w:szCs w:val="26"/>
        </w:rPr>
        <w:t xml:space="preserve"> of various parties and helps to ensure the continued provision of safe and reliable service to Columbia Water’s customers.  However, the ALJs pointed out that none of the Joint Petitioners specified how such reports will be submitted, what time period the reports will cover, or who will be provided with a copy of the report.  Although the ALJs concluded that this deficiency does not constitute a reason to reject or modify the Settlement, the ALJs directed the Parties to clarify these issues as part of the compliance phase of this proceeding.  R.D. at 18.</w:t>
      </w:r>
    </w:p>
    <w:p w:rsidR="00EB792F" w:rsidRPr="00496081" w:rsidRDefault="00EB792F" w:rsidP="00496081">
      <w:pPr>
        <w:spacing w:line="360" w:lineRule="auto"/>
        <w:ind w:firstLine="1440"/>
        <w:contextualSpacing/>
        <w:rPr>
          <w:rFonts w:ascii="Times New Roman" w:hAnsi="Times New Roman" w:cs="Times New Roman"/>
          <w:sz w:val="26"/>
          <w:szCs w:val="26"/>
        </w:rPr>
      </w:pPr>
      <w:bookmarkStart w:id="3" w:name="_Hlk506274022"/>
      <w:bookmarkEnd w:id="2"/>
    </w:p>
    <w:p w:rsidR="00EB792F" w:rsidRPr="00496081" w:rsidRDefault="00EB792F"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Further, the ALJs noted that the Settlement resolves the Formal Complaints filed by the </w:t>
      </w:r>
      <w:r w:rsidRPr="00496081">
        <w:rPr>
          <w:rFonts w:ascii="Times New Roman" w:hAnsi="Times New Roman" w:cs="Times New Roman"/>
          <w:i/>
          <w:sz w:val="26"/>
          <w:szCs w:val="26"/>
        </w:rPr>
        <w:t xml:space="preserve">pro se </w:t>
      </w:r>
      <w:r w:rsidRPr="00496081">
        <w:rPr>
          <w:rFonts w:ascii="Times New Roman" w:hAnsi="Times New Roman" w:cs="Times New Roman"/>
          <w:sz w:val="26"/>
          <w:szCs w:val="26"/>
        </w:rPr>
        <w:t xml:space="preserve">Complainants.  The ALJs pointed out that each </w:t>
      </w:r>
      <w:r w:rsidRPr="00496081">
        <w:rPr>
          <w:rFonts w:ascii="Times New Roman" w:hAnsi="Times New Roman" w:cs="Times New Roman"/>
          <w:i/>
          <w:sz w:val="26"/>
          <w:szCs w:val="26"/>
        </w:rPr>
        <w:t xml:space="preserve">pro se </w:t>
      </w:r>
      <w:r w:rsidRPr="00496081">
        <w:rPr>
          <w:rFonts w:ascii="Times New Roman" w:hAnsi="Times New Roman" w:cs="Times New Roman"/>
          <w:sz w:val="26"/>
          <w:szCs w:val="26"/>
        </w:rPr>
        <w:t xml:space="preserve">Complainant was provided with a copy of the Settlement but that no objections to the Settlement were received.  As such, the ALJs found that the </w:t>
      </w:r>
      <w:r w:rsidRPr="00496081">
        <w:rPr>
          <w:rFonts w:ascii="Times New Roman" w:hAnsi="Times New Roman" w:cs="Times New Roman"/>
          <w:i/>
          <w:sz w:val="26"/>
          <w:szCs w:val="26"/>
        </w:rPr>
        <w:t xml:space="preserve">pro se </w:t>
      </w:r>
      <w:r w:rsidRPr="00496081">
        <w:rPr>
          <w:rFonts w:ascii="Times New Roman" w:hAnsi="Times New Roman" w:cs="Times New Roman"/>
          <w:sz w:val="26"/>
          <w:szCs w:val="26"/>
        </w:rPr>
        <w:t>Complaints should be marked closed.  R.D. at 19</w:t>
      </w:r>
    </w:p>
    <w:bookmarkEnd w:id="3"/>
    <w:p w:rsidR="00EB792F" w:rsidRPr="00496081" w:rsidRDefault="00EB792F" w:rsidP="00496081">
      <w:pPr>
        <w:spacing w:line="360" w:lineRule="auto"/>
        <w:ind w:firstLine="1440"/>
        <w:contextualSpacing/>
        <w:rPr>
          <w:rFonts w:ascii="Times New Roman" w:hAnsi="Times New Roman" w:cs="Times New Roman"/>
          <w:sz w:val="26"/>
          <w:szCs w:val="26"/>
        </w:rPr>
      </w:pPr>
    </w:p>
    <w:p w:rsidR="00EB792F" w:rsidRPr="00496081" w:rsidRDefault="00EB792F"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Finally, the ALJs concluded that resolution of this proceeding by negotiated settlement removes the uncertainties of litigation.  In this regard, the ALJs pointed out that all Parties benefit by the reduction in rate case expense and the conservation of resources made possible by adoption of the proposed Settlement in lieu of litigation.  Further, the ALJs highlighted that acceptance of the Settlement will negate the need for the filing of additional testimony by all Parties, participation at in-person hearings, the filing of main and reply briefs, exceptions and reply exceptions, and potential appeals.  According to the ALJs, this will yield significant expense savings for Columbia Water’s customers.  R.D. at 18-19.</w:t>
      </w:r>
    </w:p>
    <w:p w:rsidR="00EB792F" w:rsidRPr="00496081" w:rsidRDefault="00EB792F" w:rsidP="00496081">
      <w:pPr>
        <w:spacing w:line="360" w:lineRule="auto"/>
        <w:ind w:firstLine="1440"/>
        <w:contextualSpacing/>
        <w:rPr>
          <w:rFonts w:ascii="Times New Roman" w:hAnsi="Times New Roman" w:cs="Times New Roman"/>
          <w:sz w:val="26"/>
          <w:szCs w:val="26"/>
        </w:rPr>
      </w:pPr>
    </w:p>
    <w:p w:rsidR="00EB792F" w:rsidRPr="00496081" w:rsidRDefault="00EB792F"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Based on the above factors, the ALJs found the Settlement embodied in the Joint Petition to be just and reasonable and in the public interest.  As a result, the ALJs recommended that the Commission approve the Settlement in its entirety without modification.  R.D. at 19.</w:t>
      </w:r>
    </w:p>
    <w:p w:rsidR="00B43A4E" w:rsidRPr="00496081" w:rsidRDefault="00B43A4E" w:rsidP="00496081">
      <w:pPr>
        <w:spacing w:line="360" w:lineRule="auto"/>
        <w:ind w:firstLine="1440"/>
        <w:contextualSpacing/>
        <w:rPr>
          <w:rFonts w:ascii="Times New Roman" w:hAnsi="Times New Roman" w:cs="Times New Roman"/>
          <w:sz w:val="26"/>
          <w:szCs w:val="26"/>
        </w:rPr>
      </w:pPr>
    </w:p>
    <w:p w:rsidR="00B43A4E" w:rsidRPr="00496081" w:rsidRDefault="00B43A4E" w:rsidP="00496081">
      <w:pPr>
        <w:keepNext/>
        <w:keepLines/>
        <w:spacing w:line="360" w:lineRule="auto"/>
        <w:ind w:left="1440" w:hanging="720"/>
        <w:contextualSpacing/>
        <w:rPr>
          <w:rFonts w:ascii="Times New Roman" w:hAnsi="Times New Roman" w:cs="Times New Roman"/>
          <w:sz w:val="26"/>
          <w:szCs w:val="26"/>
        </w:rPr>
      </w:pPr>
      <w:bookmarkStart w:id="4" w:name="_Hlk506204845"/>
      <w:r w:rsidRPr="00496081">
        <w:rPr>
          <w:rFonts w:ascii="Times New Roman" w:hAnsi="Times New Roman" w:cs="Times New Roman"/>
          <w:b/>
          <w:sz w:val="26"/>
          <w:szCs w:val="26"/>
        </w:rPr>
        <w:t>4.</w:t>
      </w:r>
      <w:r w:rsidRPr="00496081">
        <w:rPr>
          <w:rFonts w:ascii="Times New Roman" w:hAnsi="Times New Roman" w:cs="Times New Roman"/>
          <w:b/>
          <w:sz w:val="26"/>
          <w:szCs w:val="26"/>
        </w:rPr>
        <w:tab/>
      </w:r>
      <w:r w:rsidR="00E111BA" w:rsidRPr="00496081">
        <w:rPr>
          <w:rFonts w:ascii="Times New Roman" w:hAnsi="Times New Roman" w:cs="Times New Roman"/>
          <w:b/>
          <w:sz w:val="26"/>
          <w:szCs w:val="26"/>
        </w:rPr>
        <w:t>Columbia Water’s Exceptions</w:t>
      </w:r>
    </w:p>
    <w:p w:rsidR="00B43A4E" w:rsidRPr="00496081" w:rsidRDefault="00B43A4E" w:rsidP="00496081">
      <w:pPr>
        <w:keepNext/>
        <w:keepLines/>
        <w:spacing w:line="360" w:lineRule="auto"/>
        <w:ind w:firstLine="1440"/>
        <w:contextualSpacing/>
        <w:rPr>
          <w:rFonts w:ascii="Times New Roman" w:hAnsi="Times New Roman" w:cs="Times New Roman"/>
          <w:sz w:val="26"/>
          <w:szCs w:val="26"/>
        </w:rPr>
      </w:pPr>
    </w:p>
    <w:p w:rsidR="006C00B2" w:rsidRPr="00496081" w:rsidRDefault="006C00B2"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In its Exceptions, Columbia Water </w:t>
      </w:r>
      <w:r w:rsidR="00952413" w:rsidRPr="00496081">
        <w:rPr>
          <w:rFonts w:ascii="Times New Roman" w:hAnsi="Times New Roman" w:cs="Times New Roman"/>
          <w:sz w:val="26"/>
          <w:szCs w:val="26"/>
        </w:rPr>
        <w:t xml:space="preserve">agrees with the ALJs’ finding that the Settlement is in the public interest and with their recommendation that the Settlement be approved in its entirety, without modification.  However, Columbia Water </w:t>
      </w:r>
      <w:r w:rsidRPr="00496081">
        <w:rPr>
          <w:rFonts w:ascii="Times New Roman" w:hAnsi="Times New Roman" w:cs="Times New Roman"/>
          <w:sz w:val="26"/>
          <w:szCs w:val="26"/>
        </w:rPr>
        <w:t>submits that the ALJs also made characterizations, interpretations, or conclusions in the discussion section of the</w:t>
      </w:r>
      <w:r w:rsidR="00B11279" w:rsidRPr="00496081">
        <w:rPr>
          <w:rFonts w:ascii="Times New Roman" w:hAnsi="Times New Roman" w:cs="Times New Roman"/>
          <w:sz w:val="26"/>
          <w:szCs w:val="26"/>
        </w:rPr>
        <w:t>ir</w:t>
      </w:r>
      <w:r w:rsidRPr="00496081">
        <w:rPr>
          <w:rFonts w:ascii="Times New Roman" w:hAnsi="Times New Roman" w:cs="Times New Roman"/>
          <w:sz w:val="26"/>
          <w:szCs w:val="26"/>
        </w:rPr>
        <w:t xml:space="preserve"> Recommended Decision that deviate from the specific language of the Settlement.  </w:t>
      </w:r>
      <w:r w:rsidR="00952413" w:rsidRPr="00496081">
        <w:rPr>
          <w:rFonts w:ascii="Times New Roman" w:hAnsi="Times New Roman" w:cs="Times New Roman"/>
          <w:sz w:val="26"/>
          <w:szCs w:val="26"/>
        </w:rPr>
        <w:t>More s</w:t>
      </w:r>
      <w:r w:rsidRPr="00496081">
        <w:rPr>
          <w:rFonts w:ascii="Times New Roman" w:hAnsi="Times New Roman" w:cs="Times New Roman"/>
          <w:sz w:val="26"/>
          <w:szCs w:val="26"/>
        </w:rPr>
        <w:t xml:space="preserve">pecifically, Columbia Water finds fault with the ALJs’ discussion of Paragraph 20(d) of the Settlement and the associated Statements of the Joint Petitioners.  As background, Columbia Water explains that one of the contested issues in this proceeding was whether the undepreciated amount of used and useful plant funded by </w:t>
      </w:r>
      <w:r w:rsidR="00B11279" w:rsidRPr="00496081">
        <w:rPr>
          <w:rFonts w:ascii="Times New Roman" w:hAnsi="Times New Roman" w:cs="Times New Roman"/>
          <w:sz w:val="26"/>
          <w:szCs w:val="26"/>
        </w:rPr>
        <w:t>PENNVEST</w:t>
      </w:r>
      <w:r w:rsidRPr="00496081">
        <w:rPr>
          <w:rFonts w:ascii="Times New Roman" w:hAnsi="Times New Roman" w:cs="Times New Roman"/>
          <w:sz w:val="26"/>
          <w:szCs w:val="26"/>
        </w:rPr>
        <w:t xml:space="preserve"> and CoBank loans (</w:t>
      </w:r>
      <w:r w:rsidR="00B11279" w:rsidRPr="00496081">
        <w:rPr>
          <w:rFonts w:ascii="Times New Roman" w:hAnsi="Times New Roman" w:cs="Times New Roman"/>
          <w:sz w:val="26"/>
          <w:szCs w:val="26"/>
        </w:rPr>
        <w:t>PENNVEST</w:t>
      </w:r>
      <w:r w:rsidRPr="00496081">
        <w:rPr>
          <w:rFonts w:ascii="Times New Roman" w:hAnsi="Times New Roman" w:cs="Times New Roman"/>
          <w:sz w:val="26"/>
          <w:szCs w:val="26"/>
        </w:rPr>
        <w:t xml:space="preserve"> Funded Plant) should be included in Columbia Water’s rate base.  Columbia Water notes that because the OCA opposed this inclusion, the Joint Petitioners agreed that this issue would not be resolved in this proceeding and would be deferred to a future proceeding.  As a result, Columbia Water emphasizes that Paragraph 20(d) of the Settlement states that “the Settlement is not premised upon inclusion in rate base of any Marietta Rate District </w:t>
      </w:r>
      <w:r w:rsidR="00B11279" w:rsidRPr="00496081">
        <w:rPr>
          <w:rFonts w:ascii="Times New Roman" w:hAnsi="Times New Roman" w:cs="Times New Roman"/>
          <w:sz w:val="26"/>
          <w:szCs w:val="26"/>
        </w:rPr>
        <w:t>PENNVEST</w:t>
      </w:r>
      <w:r w:rsidRPr="00496081">
        <w:rPr>
          <w:rFonts w:ascii="Times New Roman" w:hAnsi="Times New Roman" w:cs="Times New Roman"/>
          <w:sz w:val="26"/>
          <w:szCs w:val="26"/>
        </w:rPr>
        <w:t>-funded plant.”  Columbia Water Exc. at 2.</w:t>
      </w:r>
    </w:p>
    <w:p w:rsidR="006C00B2" w:rsidRPr="00496081" w:rsidRDefault="006C00B2" w:rsidP="00496081">
      <w:pPr>
        <w:spacing w:line="360" w:lineRule="auto"/>
        <w:ind w:firstLine="1440"/>
        <w:contextualSpacing/>
        <w:rPr>
          <w:rFonts w:ascii="Times New Roman" w:hAnsi="Times New Roman" w:cs="Times New Roman"/>
          <w:sz w:val="26"/>
          <w:szCs w:val="26"/>
        </w:rPr>
      </w:pPr>
    </w:p>
    <w:p w:rsidR="006C00B2" w:rsidRPr="00496081" w:rsidRDefault="00952413"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However, </w:t>
      </w:r>
      <w:r w:rsidR="006C00B2" w:rsidRPr="00496081">
        <w:rPr>
          <w:rFonts w:ascii="Times New Roman" w:hAnsi="Times New Roman" w:cs="Times New Roman"/>
          <w:sz w:val="26"/>
          <w:szCs w:val="26"/>
        </w:rPr>
        <w:t xml:space="preserve">Columbia Water </w:t>
      </w:r>
      <w:r w:rsidRPr="00496081">
        <w:rPr>
          <w:rFonts w:ascii="Times New Roman" w:hAnsi="Times New Roman" w:cs="Times New Roman"/>
          <w:sz w:val="26"/>
          <w:szCs w:val="26"/>
        </w:rPr>
        <w:t>opines</w:t>
      </w:r>
      <w:r w:rsidR="006C00B2" w:rsidRPr="00496081">
        <w:rPr>
          <w:rFonts w:ascii="Times New Roman" w:hAnsi="Times New Roman" w:cs="Times New Roman"/>
          <w:sz w:val="26"/>
          <w:szCs w:val="26"/>
        </w:rPr>
        <w:t xml:space="preserve"> that although the ALJs accurately quoted this provision in summarizing the conditions of the Settlement, they erroneously characterized this provision in their discussion of the Joint Petitioners’ Statements.  Columbia Water Exc. at 2-3.  Namely, Columbia Water argues that in citing to </w:t>
      </w:r>
      <w:r w:rsidR="006C00B2" w:rsidRPr="00496081">
        <w:rPr>
          <w:rFonts w:ascii="Times New Roman" w:hAnsi="Times New Roman" w:cs="Times New Roman"/>
          <w:sz w:val="26"/>
          <w:szCs w:val="26"/>
        </w:rPr>
        <w:lastRenderedPageBreak/>
        <w:t>pages</w:t>
      </w:r>
      <w:r w:rsidR="0086795B">
        <w:rPr>
          <w:rFonts w:ascii="Times New Roman" w:hAnsi="Times New Roman" w:cs="Times New Roman"/>
          <w:sz w:val="26"/>
          <w:szCs w:val="26"/>
        </w:rPr>
        <w:t> </w:t>
      </w:r>
      <w:r w:rsidR="006C00B2" w:rsidRPr="00496081">
        <w:rPr>
          <w:rFonts w:ascii="Times New Roman" w:hAnsi="Times New Roman" w:cs="Times New Roman"/>
          <w:sz w:val="26"/>
          <w:szCs w:val="26"/>
        </w:rPr>
        <w:t>17</w:t>
      </w:r>
      <w:r w:rsidR="0086795B">
        <w:rPr>
          <w:rFonts w:ascii="Times New Roman" w:hAnsi="Times New Roman" w:cs="Times New Roman"/>
          <w:sz w:val="26"/>
          <w:szCs w:val="26"/>
        </w:rPr>
        <w:t> </w:t>
      </w:r>
      <w:r w:rsidR="006C00B2" w:rsidRPr="00496081">
        <w:rPr>
          <w:rFonts w:ascii="Times New Roman" w:hAnsi="Times New Roman" w:cs="Times New Roman"/>
          <w:sz w:val="26"/>
          <w:szCs w:val="26"/>
        </w:rPr>
        <w:t xml:space="preserve">and 18 of I&amp;E’s Statement, the ALJs incorrectly stated that as part of the Settlement, Columbia Water </w:t>
      </w:r>
      <w:r w:rsidRPr="00496081">
        <w:rPr>
          <w:rFonts w:ascii="Times New Roman" w:hAnsi="Times New Roman" w:cs="Times New Roman"/>
          <w:sz w:val="26"/>
          <w:szCs w:val="26"/>
        </w:rPr>
        <w:t xml:space="preserve">has </w:t>
      </w:r>
      <w:r w:rsidR="006C00B2" w:rsidRPr="00496081">
        <w:rPr>
          <w:rFonts w:ascii="Times New Roman" w:hAnsi="Times New Roman" w:cs="Times New Roman"/>
          <w:sz w:val="26"/>
          <w:szCs w:val="26"/>
        </w:rPr>
        <w:t xml:space="preserve">agreed not to include </w:t>
      </w:r>
      <w:r w:rsidR="00B11279" w:rsidRPr="00496081">
        <w:rPr>
          <w:rFonts w:ascii="Times New Roman" w:hAnsi="Times New Roman" w:cs="Times New Roman"/>
          <w:sz w:val="26"/>
          <w:szCs w:val="26"/>
        </w:rPr>
        <w:t>PENNVEST</w:t>
      </w:r>
      <w:r w:rsidR="006C00B2" w:rsidRPr="00496081">
        <w:rPr>
          <w:rFonts w:ascii="Times New Roman" w:hAnsi="Times New Roman" w:cs="Times New Roman"/>
          <w:sz w:val="26"/>
          <w:szCs w:val="26"/>
        </w:rPr>
        <w:t xml:space="preserve"> Funded Plant in its rate base.  </w:t>
      </w:r>
      <w:r w:rsidR="006C00B2" w:rsidRPr="00496081">
        <w:rPr>
          <w:rFonts w:ascii="Times New Roman" w:hAnsi="Times New Roman" w:cs="Times New Roman"/>
          <w:i/>
          <w:sz w:val="26"/>
          <w:szCs w:val="26"/>
        </w:rPr>
        <w:t>Id.</w:t>
      </w:r>
      <w:r w:rsidR="006C00B2" w:rsidRPr="00496081">
        <w:rPr>
          <w:rFonts w:ascii="Times New Roman" w:hAnsi="Times New Roman" w:cs="Times New Roman"/>
          <w:sz w:val="26"/>
          <w:szCs w:val="26"/>
        </w:rPr>
        <w:t xml:space="preserve"> at 3, citing R.D. at 14.  In contrast, Columbia Water points out </w:t>
      </w:r>
      <w:r w:rsidR="00B11279" w:rsidRPr="00496081">
        <w:rPr>
          <w:rFonts w:ascii="Times New Roman" w:hAnsi="Times New Roman" w:cs="Times New Roman"/>
          <w:sz w:val="26"/>
          <w:szCs w:val="26"/>
        </w:rPr>
        <w:t xml:space="preserve">that </w:t>
      </w:r>
      <w:r w:rsidR="006C00B2" w:rsidRPr="00496081">
        <w:rPr>
          <w:rFonts w:ascii="Times New Roman" w:hAnsi="Times New Roman" w:cs="Times New Roman"/>
          <w:sz w:val="26"/>
          <w:szCs w:val="26"/>
        </w:rPr>
        <w:t xml:space="preserve">in its Statement, I&amp;E correctly stated that the Joint Petitioners agreed </w:t>
      </w:r>
      <w:r w:rsidRPr="00496081">
        <w:rPr>
          <w:rFonts w:ascii="Times New Roman" w:hAnsi="Times New Roman" w:cs="Times New Roman"/>
          <w:sz w:val="26"/>
          <w:szCs w:val="26"/>
        </w:rPr>
        <w:t xml:space="preserve">only </w:t>
      </w:r>
      <w:r w:rsidR="006C00B2" w:rsidRPr="00496081">
        <w:rPr>
          <w:rFonts w:ascii="Times New Roman" w:hAnsi="Times New Roman" w:cs="Times New Roman"/>
          <w:sz w:val="26"/>
          <w:szCs w:val="26"/>
        </w:rPr>
        <w:t xml:space="preserve">that the Settlement is not premised upon the inclusion of the </w:t>
      </w:r>
      <w:r w:rsidR="00B11279" w:rsidRPr="00496081">
        <w:rPr>
          <w:rFonts w:ascii="Times New Roman" w:hAnsi="Times New Roman" w:cs="Times New Roman"/>
          <w:sz w:val="26"/>
          <w:szCs w:val="26"/>
        </w:rPr>
        <w:t>PENNVEST</w:t>
      </w:r>
      <w:r w:rsidR="006C00B2" w:rsidRPr="00496081">
        <w:rPr>
          <w:rFonts w:ascii="Times New Roman" w:hAnsi="Times New Roman" w:cs="Times New Roman"/>
          <w:sz w:val="26"/>
          <w:szCs w:val="26"/>
        </w:rPr>
        <w:t xml:space="preserve"> Funded plant.  </w:t>
      </w:r>
      <w:r w:rsidRPr="00496081">
        <w:rPr>
          <w:rFonts w:ascii="Times New Roman" w:hAnsi="Times New Roman" w:cs="Times New Roman"/>
          <w:sz w:val="26"/>
          <w:szCs w:val="26"/>
        </w:rPr>
        <w:t xml:space="preserve">Thus, Columbia Water argues that the Commission should correct the above error by deleting the ALJs’ characterization and should clarify that for the purposes of this Settlement only, the Parties have agreed that the Settlement is not premised upon inclusion in Columbia Water’s rate base of any Marietta Rate District PENNVEST-Funded Plant.  </w:t>
      </w:r>
      <w:bookmarkStart w:id="5" w:name="_Hlk506274469"/>
      <w:r w:rsidRPr="00496081">
        <w:rPr>
          <w:rFonts w:ascii="Times New Roman" w:hAnsi="Times New Roman" w:cs="Times New Roman"/>
          <w:sz w:val="26"/>
          <w:szCs w:val="26"/>
        </w:rPr>
        <w:t>Further, Columbia Water requests that the Commission clarify that Columbia has not agreed that the inclusion of this plant is improper or would be improper in any subsequent rate case.</w:t>
      </w:r>
      <w:bookmarkEnd w:id="5"/>
      <w:r w:rsidRPr="00496081">
        <w:rPr>
          <w:rFonts w:ascii="Times New Roman" w:hAnsi="Times New Roman" w:cs="Times New Roman"/>
          <w:sz w:val="26"/>
          <w:szCs w:val="26"/>
        </w:rPr>
        <w:t xml:space="preserve">  </w:t>
      </w:r>
      <w:r w:rsidR="006C00B2" w:rsidRPr="00496081">
        <w:rPr>
          <w:rFonts w:ascii="Times New Roman" w:hAnsi="Times New Roman" w:cs="Times New Roman"/>
          <w:sz w:val="26"/>
          <w:szCs w:val="26"/>
        </w:rPr>
        <w:t>Columbia Water Exc. at 3.</w:t>
      </w:r>
    </w:p>
    <w:p w:rsidR="00952413" w:rsidRPr="00496081" w:rsidRDefault="00952413" w:rsidP="00496081">
      <w:pPr>
        <w:spacing w:line="360" w:lineRule="auto"/>
        <w:ind w:firstLine="1440"/>
        <w:contextualSpacing/>
        <w:rPr>
          <w:rFonts w:ascii="Times New Roman" w:hAnsi="Times New Roman" w:cs="Times New Roman"/>
          <w:sz w:val="26"/>
          <w:szCs w:val="26"/>
        </w:rPr>
      </w:pPr>
    </w:p>
    <w:p w:rsidR="006C00B2" w:rsidRPr="00496081" w:rsidRDefault="006C00B2"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According to Columbia Water, the ALJs’ discussion of the </w:t>
      </w:r>
      <w:r w:rsidR="00B11279" w:rsidRPr="00496081">
        <w:rPr>
          <w:rFonts w:ascii="Times New Roman" w:hAnsi="Times New Roman" w:cs="Times New Roman"/>
          <w:sz w:val="26"/>
          <w:szCs w:val="26"/>
        </w:rPr>
        <w:t>PENNVEST</w:t>
      </w:r>
      <w:r w:rsidRPr="00496081">
        <w:rPr>
          <w:rFonts w:ascii="Times New Roman" w:hAnsi="Times New Roman" w:cs="Times New Roman"/>
          <w:sz w:val="26"/>
          <w:szCs w:val="26"/>
        </w:rPr>
        <w:t xml:space="preserve"> rate</w:t>
      </w:r>
      <w:r w:rsidR="00B11279" w:rsidRPr="00496081">
        <w:rPr>
          <w:rFonts w:ascii="Times New Roman" w:hAnsi="Times New Roman" w:cs="Times New Roman"/>
          <w:sz w:val="26"/>
          <w:szCs w:val="26"/>
        </w:rPr>
        <w:t xml:space="preserve"> </w:t>
      </w:r>
      <w:r w:rsidRPr="00496081">
        <w:rPr>
          <w:rFonts w:ascii="Times New Roman" w:hAnsi="Times New Roman" w:cs="Times New Roman"/>
          <w:sz w:val="26"/>
          <w:szCs w:val="26"/>
        </w:rPr>
        <w:t xml:space="preserve">base issue breaches the Commission’s policy of promoting black box settlements.  Columbia Water Exc. at 3.  In this regard, Columbia Water Company cites to our recent decision in </w:t>
      </w:r>
      <w:r w:rsidRPr="001E3E4D">
        <w:rPr>
          <w:rFonts w:ascii="Times New Roman" w:hAnsi="Times New Roman" w:cs="Times New Roman"/>
          <w:i/>
          <w:sz w:val="26"/>
          <w:szCs w:val="26"/>
        </w:rPr>
        <w:t>P</w:t>
      </w:r>
      <w:r w:rsidR="001E3E4D" w:rsidRPr="001E3E4D">
        <w:rPr>
          <w:rFonts w:ascii="Times New Roman" w:hAnsi="Times New Roman" w:cs="Times New Roman"/>
          <w:i/>
          <w:sz w:val="26"/>
          <w:szCs w:val="26"/>
        </w:rPr>
        <w:t>a.</w:t>
      </w:r>
      <w:r w:rsidRPr="001E3E4D">
        <w:rPr>
          <w:rFonts w:ascii="Times New Roman" w:hAnsi="Times New Roman" w:cs="Times New Roman"/>
          <w:i/>
          <w:sz w:val="26"/>
          <w:szCs w:val="26"/>
        </w:rPr>
        <w:t xml:space="preserve"> PUC v. Manwalamink Water Company</w:t>
      </w:r>
      <w:r w:rsidRPr="00496081">
        <w:rPr>
          <w:rFonts w:ascii="Times New Roman" w:hAnsi="Times New Roman" w:cs="Times New Roman"/>
          <w:sz w:val="26"/>
          <w:szCs w:val="26"/>
        </w:rPr>
        <w:t xml:space="preserve"> </w:t>
      </w:r>
      <w:r w:rsidRPr="00496081">
        <w:rPr>
          <w:rFonts w:ascii="Times New Roman" w:hAnsi="Times New Roman" w:cs="Times New Roman"/>
          <w:i/>
          <w:sz w:val="26"/>
          <w:szCs w:val="26"/>
        </w:rPr>
        <w:t>et al.</w:t>
      </w:r>
      <w:r w:rsidRPr="00496081">
        <w:rPr>
          <w:rFonts w:ascii="Times New Roman" w:hAnsi="Times New Roman" w:cs="Times New Roman"/>
          <w:sz w:val="26"/>
          <w:szCs w:val="26"/>
        </w:rPr>
        <w:t>, Docket No. R</w:t>
      </w:r>
      <w:r w:rsidRPr="00496081">
        <w:rPr>
          <w:rFonts w:ascii="Times New Roman" w:hAnsi="Times New Roman" w:cs="Times New Roman"/>
          <w:sz w:val="26"/>
          <w:szCs w:val="26"/>
        </w:rPr>
        <w:noBreakHyphen/>
        <w:t>2017</w:t>
      </w:r>
      <w:r w:rsidR="00496081">
        <w:rPr>
          <w:rFonts w:ascii="Times New Roman" w:hAnsi="Times New Roman" w:cs="Times New Roman"/>
          <w:sz w:val="26"/>
          <w:szCs w:val="26"/>
        </w:rPr>
        <w:noBreakHyphen/>
      </w:r>
      <w:r w:rsidRPr="00496081">
        <w:rPr>
          <w:rFonts w:ascii="Times New Roman" w:hAnsi="Times New Roman" w:cs="Times New Roman"/>
          <w:sz w:val="26"/>
          <w:szCs w:val="26"/>
        </w:rPr>
        <w:t>2603026 (Order entered November 8, 2017) (</w:t>
      </w:r>
      <w:r w:rsidRPr="00496081">
        <w:rPr>
          <w:rFonts w:ascii="Times New Roman" w:hAnsi="Times New Roman" w:cs="Times New Roman"/>
          <w:i/>
          <w:sz w:val="26"/>
          <w:szCs w:val="26"/>
        </w:rPr>
        <w:t>Manwalamink</w:t>
      </w:r>
      <w:r w:rsidRPr="00496081">
        <w:rPr>
          <w:rFonts w:ascii="Times New Roman" w:hAnsi="Times New Roman" w:cs="Times New Roman"/>
          <w:sz w:val="26"/>
          <w:szCs w:val="26"/>
        </w:rPr>
        <w:t xml:space="preserve">), wherein we stated that making a finding regarding the reasonableness of a specific element of a black box settlement is both improper and unnecessary to evaluate such a settlement.  </w:t>
      </w:r>
      <w:r w:rsidRPr="00496081">
        <w:rPr>
          <w:rFonts w:ascii="Times New Roman" w:hAnsi="Times New Roman" w:cs="Times New Roman"/>
          <w:i/>
          <w:sz w:val="26"/>
          <w:szCs w:val="26"/>
        </w:rPr>
        <w:t>Id.</w:t>
      </w:r>
      <w:r w:rsidRPr="00496081">
        <w:rPr>
          <w:rFonts w:ascii="Times New Roman" w:hAnsi="Times New Roman" w:cs="Times New Roman"/>
          <w:sz w:val="26"/>
          <w:szCs w:val="26"/>
        </w:rPr>
        <w:t xml:space="preserve"> at 3, citing </w:t>
      </w:r>
      <w:r w:rsidRPr="00496081">
        <w:rPr>
          <w:rFonts w:ascii="Times New Roman" w:hAnsi="Times New Roman" w:cs="Times New Roman"/>
          <w:i/>
          <w:sz w:val="26"/>
          <w:szCs w:val="26"/>
        </w:rPr>
        <w:t xml:space="preserve">Manwalamink </w:t>
      </w:r>
      <w:r w:rsidRPr="00496081">
        <w:rPr>
          <w:rFonts w:ascii="Times New Roman" w:hAnsi="Times New Roman" w:cs="Times New Roman"/>
          <w:sz w:val="26"/>
          <w:szCs w:val="26"/>
        </w:rPr>
        <w:t xml:space="preserve">at 17.  Columbia Water argues that in the instant case, as in </w:t>
      </w:r>
      <w:r w:rsidRPr="00496081">
        <w:rPr>
          <w:rFonts w:ascii="Times New Roman" w:hAnsi="Times New Roman" w:cs="Times New Roman"/>
          <w:i/>
          <w:sz w:val="26"/>
          <w:szCs w:val="26"/>
        </w:rPr>
        <w:t>Manwalamink</w:t>
      </w:r>
      <w:r w:rsidR="00897861" w:rsidRPr="00496081">
        <w:rPr>
          <w:rFonts w:ascii="Times New Roman" w:hAnsi="Times New Roman" w:cs="Times New Roman"/>
          <w:i/>
          <w:sz w:val="26"/>
          <w:szCs w:val="26"/>
        </w:rPr>
        <w:t xml:space="preserve">, </w:t>
      </w:r>
      <w:r w:rsidRPr="00496081">
        <w:rPr>
          <w:rFonts w:ascii="Times New Roman" w:hAnsi="Times New Roman" w:cs="Times New Roman"/>
          <w:sz w:val="26"/>
          <w:szCs w:val="26"/>
        </w:rPr>
        <w:t xml:space="preserve">the Settlement speaks for itself and the ALJs’ characterization of what this black box settlement term does or does not do is both improper and unnecessary.  Accordingly, Columbia </w:t>
      </w:r>
      <w:r w:rsidR="00952413" w:rsidRPr="00496081">
        <w:rPr>
          <w:rFonts w:ascii="Times New Roman" w:hAnsi="Times New Roman" w:cs="Times New Roman"/>
          <w:sz w:val="26"/>
          <w:szCs w:val="26"/>
        </w:rPr>
        <w:t>W</w:t>
      </w:r>
      <w:r w:rsidRPr="00496081">
        <w:rPr>
          <w:rFonts w:ascii="Times New Roman" w:hAnsi="Times New Roman" w:cs="Times New Roman"/>
          <w:sz w:val="26"/>
          <w:szCs w:val="26"/>
        </w:rPr>
        <w:t xml:space="preserve">ater submits that </w:t>
      </w:r>
      <w:r w:rsidR="00496081">
        <w:rPr>
          <w:rFonts w:ascii="Times New Roman" w:hAnsi="Times New Roman" w:cs="Times New Roman"/>
          <w:sz w:val="26"/>
          <w:szCs w:val="26"/>
        </w:rPr>
        <w:t>we</w:t>
      </w:r>
      <w:r w:rsidRPr="00496081">
        <w:rPr>
          <w:rFonts w:ascii="Times New Roman" w:hAnsi="Times New Roman" w:cs="Times New Roman"/>
          <w:sz w:val="26"/>
          <w:szCs w:val="26"/>
        </w:rPr>
        <w:t xml:space="preserve"> should approve the Settlement</w:t>
      </w:r>
      <w:r w:rsidR="00496081">
        <w:rPr>
          <w:rFonts w:ascii="Times New Roman" w:hAnsi="Times New Roman" w:cs="Times New Roman"/>
          <w:sz w:val="26"/>
          <w:szCs w:val="26"/>
        </w:rPr>
        <w:t>,</w:t>
      </w:r>
      <w:r w:rsidRPr="00496081">
        <w:rPr>
          <w:rFonts w:ascii="Times New Roman" w:hAnsi="Times New Roman" w:cs="Times New Roman"/>
          <w:sz w:val="26"/>
          <w:szCs w:val="26"/>
        </w:rPr>
        <w:t xml:space="preserve"> without modification</w:t>
      </w:r>
      <w:r w:rsidR="00496081">
        <w:rPr>
          <w:rFonts w:ascii="Times New Roman" w:hAnsi="Times New Roman" w:cs="Times New Roman"/>
          <w:sz w:val="26"/>
          <w:szCs w:val="26"/>
        </w:rPr>
        <w:t>,</w:t>
      </w:r>
      <w:r w:rsidRPr="00496081">
        <w:rPr>
          <w:rFonts w:ascii="Times New Roman" w:hAnsi="Times New Roman" w:cs="Times New Roman"/>
          <w:sz w:val="26"/>
          <w:szCs w:val="26"/>
        </w:rPr>
        <w:t xml:space="preserve"> based only on the express terms of the Settlement.  Columbia Water Exc. at 3-4.</w:t>
      </w:r>
    </w:p>
    <w:p w:rsidR="006C00B2" w:rsidRPr="00496081" w:rsidRDefault="006C00B2" w:rsidP="00496081">
      <w:pPr>
        <w:spacing w:line="360" w:lineRule="auto"/>
        <w:ind w:firstLine="1440"/>
        <w:contextualSpacing/>
        <w:rPr>
          <w:rFonts w:ascii="Times New Roman" w:hAnsi="Times New Roman" w:cs="Times New Roman"/>
          <w:sz w:val="26"/>
          <w:szCs w:val="26"/>
        </w:rPr>
      </w:pPr>
    </w:p>
    <w:p w:rsidR="00E111BA" w:rsidRPr="00496081" w:rsidRDefault="00E111BA" w:rsidP="00496081">
      <w:pPr>
        <w:keepNext/>
        <w:keepLines/>
        <w:spacing w:line="360" w:lineRule="auto"/>
        <w:ind w:left="1440" w:hanging="720"/>
        <w:contextualSpacing/>
        <w:rPr>
          <w:rFonts w:ascii="Times New Roman" w:hAnsi="Times New Roman" w:cs="Times New Roman"/>
          <w:b/>
          <w:sz w:val="26"/>
          <w:szCs w:val="26"/>
        </w:rPr>
      </w:pPr>
      <w:r w:rsidRPr="00496081">
        <w:rPr>
          <w:rFonts w:ascii="Times New Roman" w:hAnsi="Times New Roman" w:cs="Times New Roman"/>
          <w:b/>
          <w:sz w:val="26"/>
          <w:szCs w:val="26"/>
        </w:rPr>
        <w:lastRenderedPageBreak/>
        <w:t>5.</w:t>
      </w:r>
      <w:r w:rsidRPr="00496081">
        <w:rPr>
          <w:rFonts w:ascii="Times New Roman" w:hAnsi="Times New Roman" w:cs="Times New Roman"/>
          <w:b/>
          <w:sz w:val="26"/>
          <w:szCs w:val="26"/>
        </w:rPr>
        <w:tab/>
        <w:t>I&amp;E’s Repl</w:t>
      </w:r>
      <w:r w:rsidR="001E3E4D">
        <w:rPr>
          <w:rFonts w:ascii="Times New Roman" w:hAnsi="Times New Roman" w:cs="Times New Roman"/>
          <w:b/>
          <w:sz w:val="26"/>
          <w:szCs w:val="26"/>
        </w:rPr>
        <w:t>ies</w:t>
      </w:r>
      <w:r w:rsidRPr="00496081">
        <w:rPr>
          <w:rFonts w:ascii="Times New Roman" w:hAnsi="Times New Roman" w:cs="Times New Roman"/>
          <w:b/>
          <w:sz w:val="26"/>
          <w:szCs w:val="26"/>
        </w:rPr>
        <w:t xml:space="preserve"> Exceptions</w:t>
      </w:r>
    </w:p>
    <w:p w:rsidR="00E111BA" w:rsidRPr="00496081" w:rsidRDefault="00E111BA" w:rsidP="00496081">
      <w:pPr>
        <w:keepNext/>
        <w:keepLines/>
        <w:spacing w:line="360" w:lineRule="auto"/>
        <w:ind w:firstLine="1440"/>
        <w:contextualSpacing/>
        <w:rPr>
          <w:rFonts w:ascii="Times New Roman" w:hAnsi="Times New Roman" w:cs="Times New Roman"/>
          <w:sz w:val="26"/>
          <w:szCs w:val="26"/>
        </w:rPr>
      </w:pPr>
    </w:p>
    <w:p w:rsidR="009A40AE" w:rsidRPr="00496081" w:rsidRDefault="009A40AE" w:rsidP="00496081">
      <w:pPr>
        <w:keepNext/>
        <w:keepLines/>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In its Replies to Exceptions, I&amp;E states that because the ALJs cited to portions of I&amp;E’s Statement, it feels obligated to help clarify this Statement.  I&amp;E explains that in its Statement, it first provided background information regarding the </w:t>
      </w:r>
      <w:r w:rsidR="00E43250">
        <w:rPr>
          <w:rFonts w:ascii="Times New Roman" w:hAnsi="Times New Roman" w:cs="Times New Roman"/>
          <w:sz w:val="26"/>
          <w:szCs w:val="26"/>
        </w:rPr>
        <w:t>MGWC</w:t>
      </w:r>
      <w:r w:rsidRPr="00496081">
        <w:rPr>
          <w:rFonts w:ascii="Times New Roman" w:hAnsi="Times New Roman" w:cs="Times New Roman"/>
          <w:sz w:val="26"/>
          <w:szCs w:val="26"/>
        </w:rPr>
        <w:t xml:space="preserve"> </w:t>
      </w:r>
      <w:r w:rsidR="00B11279" w:rsidRPr="00496081">
        <w:rPr>
          <w:rFonts w:ascii="Times New Roman" w:hAnsi="Times New Roman" w:cs="Times New Roman"/>
          <w:sz w:val="26"/>
          <w:szCs w:val="26"/>
        </w:rPr>
        <w:t>PENNVEST</w:t>
      </w:r>
      <w:r w:rsidRPr="00496081">
        <w:rPr>
          <w:rFonts w:ascii="Times New Roman" w:hAnsi="Times New Roman" w:cs="Times New Roman"/>
          <w:sz w:val="26"/>
          <w:szCs w:val="26"/>
        </w:rPr>
        <w:t xml:space="preserve"> loans in order to add some context to the discussion of this issue.  I&amp;E points out that it summarized its understanding of the competing arguments</w:t>
      </w:r>
      <w:r w:rsidR="00D70FA3" w:rsidRPr="00496081">
        <w:rPr>
          <w:rFonts w:ascii="Times New Roman" w:hAnsi="Times New Roman" w:cs="Times New Roman"/>
          <w:sz w:val="26"/>
          <w:szCs w:val="26"/>
        </w:rPr>
        <w:t xml:space="preserve"> advanced by Columbia Water and the OCA</w:t>
      </w:r>
      <w:r w:rsidRPr="00496081">
        <w:rPr>
          <w:rFonts w:ascii="Times New Roman" w:hAnsi="Times New Roman" w:cs="Times New Roman"/>
          <w:sz w:val="26"/>
          <w:szCs w:val="26"/>
        </w:rPr>
        <w:t xml:space="preserve"> </w:t>
      </w:r>
      <w:r w:rsidR="00D70FA3" w:rsidRPr="00496081">
        <w:rPr>
          <w:rFonts w:ascii="Times New Roman" w:hAnsi="Times New Roman" w:cs="Times New Roman"/>
          <w:sz w:val="26"/>
          <w:szCs w:val="26"/>
        </w:rPr>
        <w:t>during the litigation phase of this proceeding.</w:t>
      </w:r>
      <w:r w:rsidRPr="00496081">
        <w:rPr>
          <w:rFonts w:ascii="Times New Roman" w:hAnsi="Times New Roman" w:cs="Times New Roman"/>
          <w:sz w:val="26"/>
          <w:szCs w:val="26"/>
        </w:rPr>
        <w:t xml:space="preserve">  I&amp;E further explains that it then recognized that in lieu of litigating this issue, the Parties agreed that the Settlement was not premised upon</w:t>
      </w:r>
      <w:r w:rsidR="00D70FA3" w:rsidRPr="00496081">
        <w:rPr>
          <w:rFonts w:ascii="Times New Roman" w:hAnsi="Times New Roman" w:cs="Times New Roman"/>
          <w:sz w:val="26"/>
          <w:szCs w:val="26"/>
        </w:rPr>
        <w:t xml:space="preserve"> the</w:t>
      </w:r>
      <w:r w:rsidRPr="00496081">
        <w:rPr>
          <w:rFonts w:ascii="Times New Roman" w:hAnsi="Times New Roman" w:cs="Times New Roman"/>
          <w:sz w:val="26"/>
          <w:szCs w:val="26"/>
        </w:rPr>
        <w:t xml:space="preserve"> inclusion in</w:t>
      </w:r>
      <w:r w:rsidR="00D70FA3" w:rsidRPr="00496081">
        <w:rPr>
          <w:rFonts w:ascii="Times New Roman" w:hAnsi="Times New Roman" w:cs="Times New Roman"/>
          <w:sz w:val="26"/>
          <w:szCs w:val="26"/>
        </w:rPr>
        <w:t xml:space="preserve"> Columbia Water’s</w:t>
      </w:r>
      <w:r w:rsidRPr="00496081">
        <w:rPr>
          <w:rFonts w:ascii="Times New Roman" w:hAnsi="Times New Roman" w:cs="Times New Roman"/>
          <w:sz w:val="26"/>
          <w:szCs w:val="26"/>
        </w:rPr>
        <w:t xml:space="preserve"> rate base of any Marietta Rate District </w:t>
      </w:r>
      <w:r w:rsidR="00B11279" w:rsidRPr="00496081">
        <w:rPr>
          <w:rFonts w:ascii="Times New Roman" w:hAnsi="Times New Roman" w:cs="Times New Roman"/>
          <w:sz w:val="26"/>
          <w:szCs w:val="26"/>
        </w:rPr>
        <w:t>PENNVEST</w:t>
      </w:r>
      <w:r w:rsidRPr="00496081">
        <w:rPr>
          <w:rFonts w:ascii="Times New Roman" w:hAnsi="Times New Roman" w:cs="Times New Roman"/>
          <w:sz w:val="26"/>
          <w:szCs w:val="26"/>
        </w:rPr>
        <w:t xml:space="preserve">-funded plant.  Therefore, I&amp;E submits that it concurs with the argument </w:t>
      </w:r>
      <w:r w:rsidR="00B06B7B" w:rsidRPr="00496081">
        <w:rPr>
          <w:rFonts w:ascii="Times New Roman" w:hAnsi="Times New Roman" w:cs="Times New Roman"/>
          <w:sz w:val="26"/>
          <w:szCs w:val="26"/>
        </w:rPr>
        <w:t>set forth</w:t>
      </w:r>
      <w:r w:rsidRPr="00496081">
        <w:rPr>
          <w:rFonts w:ascii="Times New Roman" w:hAnsi="Times New Roman" w:cs="Times New Roman"/>
          <w:sz w:val="26"/>
          <w:szCs w:val="26"/>
        </w:rPr>
        <w:t xml:space="preserve"> by Columbia Water </w:t>
      </w:r>
      <w:r w:rsidR="00B06B7B" w:rsidRPr="00496081">
        <w:rPr>
          <w:rFonts w:ascii="Times New Roman" w:hAnsi="Times New Roman" w:cs="Times New Roman"/>
          <w:sz w:val="26"/>
          <w:szCs w:val="26"/>
        </w:rPr>
        <w:t xml:space="preserve">in its Exceptions </w:t>
      </w:r>
      <w:r w:rsidRPr="00496081">
        <w:rPr>
          <w:rFonts w:ascii="Times New Roman" w:hAnsi="Times New Roman" w:cs="Times New Roman"/>
          <w:sz w:val="26"/>
          <w:szCs w:val="26"/>
        </w:rPr>
        <w:t>that the Commission should approve the Settlement without modification and should also modify the ALJs’ discussion on page 14 of the Recommended Decision to reflect the language set forth in Paragraph 20(d) of the Settlement.  I&amp;E R. Exc. at 3.</w:t>
      </w:r>
    </w:p>
    <w:bookmarkEnd w:id="4"/>
    <w:p w:rsidR="00E111BA" w:rsidRPr="00496081" w:rsidRDefault="00E111BA" w:rsidP="00496081">
      <w:pPr>
        <w:spacing w:line="360" w:lineRule="auto"/>
        <w:ind w:firstLine="1440"/>
        <w:contextualSpacing/>
        <w:rPr>
          <w:rFonts w:ascii="Times New Roman" w:hAnsi="Times New Roman" w:cs="Times New Roman"/>
          <w:sz w:val="26"/>
          <w:szCs w:val="26"/>
        </w:rPr>
      </w:pPr>
    </w:p>
    <w:p w:rsidR="00B43A4E" w:rsidRPr="00496081" w:rsidRDefault="00807ADD" w:rsidP="00496081">
      <w:pPr>
        <w:keepNext/>
        <w:keepLines/>
        <w:spacing w:line="360" w:lineRule="auto"/>
        <w:ind w:left="1440" w:hanging="720"/>
        <w:contextualSpacing/>
        <w:rPr>
          <w:rFonts w:ascii="Times New Roman" w:hAnsi="Times New Roman" w:cs="Times New Roman"/>
          <w:sz w:val="26"/>
          <w:szCs w:val="26"/>
        </w:rPr>
      </w:pPr>
      <w:r w:rsidRPr="00496081">
        <w:rPr>
          <w:rFonts w:ascii="Times New Roman" w:hAnsi="Times New Roman" w:cs="Times New Roman"/>
          <w:b/>
          <w:sz w:val="26"/>
          <w:szCs w:val="26"/>
        </w:rPr>
        <w:t>6</w:t>
      </w:r>
      <w:r w:rsidR="00B43A4E" w:rsidRPr="00496081">
        <w:rPr>
          <w:rFonts w:ascii="Times New Roman" w:hAnsi="Times New Roman" w:cs="Times New Roman"/>
          <w:b/>
          <w:sz w:val="26"/>
          <w:szCs w:val="26"/>
        </w:rPr>
        <w:t>.</w:t>
      </w:r>
      <w:r w:rsidR="00B43A4E" w:rsidRPr="00496081">
        <w:rPr>
          <w:rFonts w:ascii="Times New Roman" w:hAnsi="Times New Roman" w:cs="Times New Roman"/>
          <w:b/>
          <w:sz w:val="26"/>
          <w:szCs w:val="26"/>
        </w:rPr>
        <w:tab/>
        <w:t>Disposition</w:t>
      </w:r>
    </w:p>
    <w:p w:rsidR="00B43A4E" w:rsidRPr="00496081" w:rsidRDefault="00B43A4E" w:rsidP="00496081">
      <w:pPr>
        <w:keepNext/>
        <w:keepLines/>
        <w:spacing w:line="360" w:lineRule="auto"/>
        <w:ind w:firstLine="1440"/>
        <w:contextualSpacing/>
        <w:rPr>
          <w:rFonts w:ascii="Times New Roman" w:hAnsi="Times New Roman" w:cs="Times New Roman"/>
          <w:sz w:val="26"/>
          <w:szCs w:val="26"/>
        </w:rPr>
      </w:pPr>
    </w:p>
    <w:p w:rsidR="00EA0670" w:rsidRPr="00496081" w:rsidRDefault="00D27FA7"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We are of the opinion that the proposed Settlement balances the concerns of all Parties involved</w:t>
      </w:r>
      <w:r w:rsidR="00C67FCD" w:rsidRPr="00496081">
        <w:rPr>
          <w:rFonts w:ascii="Times New Roman" w:hAnsi="Times New Roman" w:cs="Times New Roman"/>
          <w:sz w:val="26"/>
          <w:szCs w:val="26"/>
        </w:rPr>
        <w:t>,</w:t>
      </w:r>
      <w:r w:rsidRPr="00496081">
        <w:rPr>
          <w:rFonts w:ascii="Times New Roman" w:hAnsi="Times New Roman" w:cs="Times New Roman"/>
          <w:sz w:val="26"/>
          <w:szCs w:val="26"/>
        </w:rPr>
        <w:t xml:space="preserve"> is in the public interest</w:t>
      </w:r>
      <w:r w:rsidR="0059556B" w:rsidRPr="00496081">
        <w:rPr>
          <w:rFonts w:ascii="Times New Roman" w:hAnsi="Times New Roman" w:cs="Times New Roman"/>
          <w:sz w:val="26"/>
          <w:szCs w:val="26"/>
        </w:rPr>
        <w:t>,</w:t>
      </w:r>
      <w:r w:rsidR="0050164E" w:rsidRPr="00496081">
        <w:rPr>
          <w:rFonts w:ascii="Times New Roman" w:hAnsi="Times New Roman" w:cs="Times New Roman"/>
          <w:sz w:val="26"/>
          <w:szCs w:val="26"/>
        </w:rPr>
        <w:t xml:space="preserve"> and should be approved</w:t>
      </w:r>
      <w:r w:rsidR="00DE6E9F" w:rsidRPr="00496081">
        <w:rPr>
          <w:rFonts w:ascii="Times New Roman" w:hAnsi="Times New Roman" w:cs="Times New Roman"/>
          <w:sz w:val="26"/>
          <w:szCs w:val="26"/>
        </w:rPr>
        <w:t xml:space="preserve"> without modification</w:t>
      </w:r>
      <w:r w:rsidR="0050164E" w:rsidRPr="00496081">
        <w:rPr>
          <w:rFonts w:ascii="Times New Roman" w:hAnsi="Times New Roman" w:cs="Times New Roman"/>
          <w:sz w:val="26"/>
          <w:szCs w:val="26"/>
        </w:rPr>
        <w:t xml:space="preserve">.  We </w:t>
      </w:r>
      <w:r w:rsidR="006D79C0" w:rsidRPr="00496081">
        <w:rPr>
          <w:rFonts w:ascii="Times New Roman" w:hAnsi="Times New Roman" w:cs="Times New Roman"/>
          <w:sz w:val="26"/>
          <w:szCs w:val="26"/>
        </w:rPr>
        <w:t>echo the Joint Petitioners and the ALJs that there are a</w:t>
      </w:r>
      <w:r w:rsidR="0050164E" w:rsidRPr="00496081">
        <w:rPr>
          <w:rFonts w:ascii="Times New Roman" w:hAnsi="Times New Roman" w:cs="Times New Roman"/>
          <w:sz w:val="26"/>
          <w:szCs w:val="26"/>
        </w:rPr>
        <w:t xml:space="preserve"> number of settled issues within the Settlement that are beneficial to customers.  Among those provisions are:</w:t>
      </w:r>
      <w:r w:rsidR="006D79C0" w:rsidRPr="00496081">
        <w:rPr>
          <w:rFonts w:ascii="Times New Roman" w:hAnsi="Times New Roman" w:cs="Times New Roman"/>
          <w:sz w:val="26"/>
          <w:szCs w:val="26"/>
        </w:rPr>
        <w:t xml:space="preserve"> (1) the reduced rate increases of about </w:t>
      </w:r>
      <w:r w:rsidR="00262B66" w:rsidRPr="00496081">
        <w:rPr>
          <w:rFonts w:ascii="Times New Roman" w:hAnsi="Times New Roman" w:cs="Times New Roman"/>
          <w:sz w:val="26"/>
          <w:szCs w:val="26"/>
        </w:rPr>
        <w:t>sixty-nine</w:t>
      </w:r>
      <w:r w:rsidR="006D79C0" w:rsidRPr="00496081">
        <w:rPr>
          <w:rFonts w:ascii="Times New Roman" w:hAnsi="Times New Roman" w:cs="Times New Roman"/>
          <w:sz w:val="26"/>
          <w:szCs w:val="26"/>
        </w:rPr>
        <w:t xml:space="preserve"> percent of the originally proposed increase in rates; (2) the provision for the </w:t>
      </w:r>
      <w:r w:rsidR="00A870AA" w:rsidRPr="00496081">
        <w:rPr>
          <w:rFonts w:ascii="Times New Roman" w:hAnsi="Times New Roman" w:cs="Times New Roman"/>
          <w:sz w:val="26"/>
          <w:szCs w:val="26"/>
        </w:rPr>
        <w:t xml:space="preserve">continued </w:t>
      </w:r>
      <w:r w:rsidR="006D79C0" w:rsidRPr="00496081">
        <w:rPr>
          <w:rFonts w:ascii="Times New Roman" w:hAnsi="Times New Roman" w:cs="Times New Roman"/>
          <w:sz w:val="26"/>
          <w:szCs w:val="26"/>
        </w:rPr>
        <w:t xml:space="preserve">maintenance of safe and adequate service; (3) the </w:t>
      </w:r>
      <w:r w:rsidR="00A870AA" w:rsidRPr="00496081">
        <w:rPr>
          <w:rFonts w:ascii="Times New Roman" w:hAnsi="Times New Roman" w:cs="Times New Roman"/>
          <w:sz w:val="26"/>
          <w:szCs w:val="26"/>
        </w:rPr>
        <w:t xml:space="preserve">rate stability that will result from the </w:t>
      </w:r>
      <w:r w:rsidR="00262B66" w:rsidRPr="00496081">
        <w:rPr>
          <w:rFonts w:ascii="Times New Roman" w:hAnsi="Times New Roman" w:cs="Times New Roman"/>
          <w:sz w:val="26"/>
          <w:szCs w:val="26"/>
        </w:rPr>
        <w:t>thirty-thre</w:t>
      </w:r>
      <w:r w:rsidR="00837CCB" w:rsidRPr="00496081">
        <w:rPr>
          <w:rFonts w:ascii="Times New Roman" w:hAnsi="Times New Roman" w:cs="Times New Roman"/>
          <w:sz w:val="26"/>
          <w:szCs w:val="26"/>
        </w:rPr>
        <w:t>e month stay-out provision</w:t>
      </w:r>
      <w:r w:rsidR="00EA0670" w:rsidRPr="00496081">
        <w:rPr>
          <w:rFonts w:ascii="Times New Roman" w:hAnsi="Times New Roman" w:cs="Times New Roman"/>
          <w:sz w:val="26"/>
          <w:szCs w:val="26"/>
        </w:rPr>
        <w:t xml:space="preserve">; (4) the agreement that Columbia Water will take only an initial step toward the rate consolidation of its Columbia and Marietta Rate Districts, while recognizing the need for gradualism in rate increases; (5) the agreement that if Columbia Water seeks full consolidation of its Columbia and Marietta Rate Districts in its next general rate case, it </w:t>
      </w:r>
      <w:r w:rsidR="00EA0670" w:rsidRPr="00496081">
        <w:rPr>
          <w:rFonts w:ascii="Times New Roman" w:hAnsi="Times New Roman" w:cs="Times New Roman"/>
          <w:sz w:val="26"/>
          <w:szCs w:val="26"/>
        </w:rPr>
        <w:lastRenderedPageBreak/>
        <w:t xml:space="preserve">will file a cost of service study which all parties will have the opportunity to review; </w:t>
      </w:r>
      <w:bookmarkStart w:id="6" w:name="_Hlk506272714"/>
      <w:r w:rsidR="00EA0670" w:rsidRPr="00496081">
        <w:rPr>
          <w:rFonts w:ascii="Times New Roman" w:hAnsi="Times New Roman" w:cs="Times New Roman"/>
          <w:sz w:val="26"/>
          <w:szCs w:val="26"/>
        </w:rPr>
        <w:t>(6)</w:t>
      </w:r>
      <w:r w:rsidR="00AF60E5">
        <w:rPr>
          <w:rFonts w:ascii="Times New Roman" w:hAnsi="Times New Roman" w:cs="Times New Roman"/>
          <w:sz w:val="26"/>
          <w:szCs w:val="26"/>
        </w:rPr>
        <w:t> </w:t>
      </w:r>
      <w:r w:rsidR="00EA0670" w:rsidRPr="00496081">
        <w:rPr>
          <w:rFonts w:ascii="Times New Roman" w:hAnsi="Times New Roman" w:cs="Times New Roman"/>
          <w:sz w:val="26"/>
          <w:szCs w:val="26"/>
        </w:rPr>
        <w:t xml:space="preserve">the agreement that the PENNVEST Surcharge applied to Columbia Rate Division customers for Columbia Rate Division plant will remain unchanged and will be not be proportionally applied to </w:t>
      </w:r>
      <w:r w:rsidR="00E43250">
        <w:rPr>
          <w:rFonts w:ascii="Times New Roman" w:hAnsi="Times New Roman" w:cs="Times New Roman"/>
          <w:sz w:val="26"/>
          <w:szCs w:val="26"/>
        </w:rPr>
        <w:t xml:space="preserve">customers in </w:t>
      </w:r>
      <w:r w:rsidR="00EA0670" w:rsidRPr="00496081">
        <w:rPr>
          <w:rFonts w:ascii="Times New Roman" w:hAnsi="Times New Roman" w:cs="Times New Roman"/>
          <w:sz w:val="26"/>
          <w:szCs w:val="26"/>
        </w:rPr>
        <w:t xml:space="preserve">the Marietta </w:t>
      </w:r>
      <w:r w:rsidR="00600AEF" w:rsidRPr="00496081">
        <w:rPr>
          <w:rFonts w:ascii="Times New Roman" w:hAnsi="Times New Roman" w:cs="Times New Roman"/>
          <w:sz w:val="26"/>
          <w:szCs w:val="26"/>
        </w:rPr>
        <w:t xml:space="preserve">Rate </w:t>
      </w:r>
      <w:r w:rsidR="00EA0670" w:rsidRPr="00496081">
        <w:rPr>
          <w:rFonts w:ascii="Times New Roman" w:hAnsi="Times New Roman" w:cs="Times New Roman"/>
          <w:sz w:val="26"/>
          <w:szCs w:val="26"/>
        </w:rPr>
        <w:t>Division</w:t>
      </w:r>
      <w:r w:rsidR="00304004" w:rsidRPr="00496081">
        <w:rPr>
          <w:rFonts w:ascii="Times New Roman" w:hAnsi="Times New Roman" w:cs="Times New Roman"/>
          <w:sz w:val="26"/>
          <w:szCs w:val="26"/>
        </w:rPr>
        <w:t>;</w:t>
      </w:r>
      <w:r w:rsidR="00EA0670" w:rsidRPr="00496081">
        <w:rPr>
          <w:rFonts w:ascii="Times New Roman" w:hAnsi="Times New Roman" w:cs="Times New Roman"/>
          <w:sz w:val="26"/>
          <w:szCs w:val="26"/>
        </w:rPr>
        <w:t xml:space="preserve"> </w:t>
      </w:r>
      <w:bookmarkEnd w:id="6"/>
      <w:r w:rsidR="00EA0670" w:rsidRPr="00496081">
        <w:rPr>
          <w:rFonts w:ascii="Times New Roman" w:hAnsi="Times New Roman" w:cs="Times New Roman"/>
          <w:sz w:val="26"/>
          <w:szCs w:val="26"/>
        </w:rPr>
        <w:t xml:space="preserve">(7) the agreement that the acquisition costs of </w:t>
      </w:r>
      <w:r w:rsidR="00E43250">
        <w:rPr>
          <w:rFonts w:ascii="Times New Roman" w:hAnsi="Times New Roman" w:cs="Times New Roman"/>
          <w:sz w:val="26"/>
          <w:szCs w:val="26"/>
        </w:rPr>
        <w:t>MGWC</w:t>
      </w:r>
      <w:r w:rsidR="00EA0670" w:rsidRPr="00496081">
        <w:rPr>
          <w:rFonts w:ascii="Times New Roman" w:hAnsi="Times New Roman" w:cs="Times New Roman"/>
          <w:sz w:val="26"/>
          <w:szCs w:val="26"/>
        </w:rPr>
        <w:t xml:space="preserve"> and </w:t>
      </w:r>
      <w:r w:rsidR="00E43250">
        <w:rPr>
          <w:rFonts w:ascii="Times New Roman" w:hAnsi="Times New Roman" w:cs="Times New Roman"/>
          <w:sz w:val="26"/>
          <w:szCs w:val="26"/>
        </w:rPr>
        <w:t>MWC</w:t>
      </w:r>
      <w:r w:rsidR="00EA0670" w:rsidRPr="00496081">
        <w:rPr>
          <w:rFonts w:ascii="Times New Roman" w:hAnsi="Times New Roman" w:cs="Times New Roman"/>
          <w:sz w:val="26"/>
          <w:szCs w:val="26"/>
        </w:rPr>
        <w:t xml:space="preserve"> will not be added to Columbia Water’s rate base as “</w:t>
      </w:r>
      <w:r w:rsidR="00E43250">
        <w:rPr>
          <w:rFonts w:ascii="Times New Roman" w:hAnsi="Times New Roman" w:cs="Times New Roman"/>
          <w:sz w:val="26"/>
          <w:szCs w:val="26"/>
        </w:rPr>
        <w:t>f</w:t>
      </w:r>
      <w:r w:rsidR="00EA0670" w:rsidRPr="00496081">
        <w:rPr>
          <w:rFonts w:ascii="Times New Roman" w:hAnsi="Times New Roman" w:cs="Times New Roman"/>
          <w:sz w:val="26"/>
          <w:szCs w:val="26"/>
        </w:rPr>
        <w:t xml:space="preserve">ranchises” in future rate cases; </w:t>
      </w:r>
      <w:r w:rsidR="00B06B7B" w:rsidRPr="00496081">
        <w:rPr>
          <w:rFonts w:ascii="Times New Roman" w:hAnsi="Times New Roman" w:cs="Times New Roman"/>
          <w:sz w:val="26"/>
          <w:szCs w:val="26"/>
        </w:rPr>
        <w:t xml:space="preserve">(8) the resolution of the Formal Complaints filed by the </w:t>
      </w:r>
      <w:r w:rsidR="00B06B7B" w:rsidRPr="00496081">
        <w:rPr>
          <w:rFonts w:ascii="Times New Roman" w:hAnsi="Times New Roman" w:cs="Times New Roman"/>
          <w:i/>
          <w:sz w:val="26"/>
          <w:szCs w:val="26"/>
        </w:rPr>
        <w:t xml:space="preserve">pro se </w:t>
      </w:r>
      <w:r w:rsidR="00B06B7B" w:rsidRPr="00496081">
        <w:rPr>
          <w:rFonts w:ascii="Times New Roman" w:hAnsi="Times New Roman" w:cs="Times New Roman"/>
          <w:sz w:val="26"/>
          <w:szCs w:val="26"/>
        </w:rPr>
        <w:t xml:space="preserve">Complainants; </w:t>
      </w:r>
      <w:r w:rsidR="00EA0670" w:rsidRPr="00496081">
        <w:rPr>
          <w:rFonts w:ascii="Times New Roman" w:hAnsi="Times New Roman" w:cs="Times New Roman"/>
          <w:sz w:val="26"/>
          <w:szCs w:val="26"/>
        </w:rPr>
        <w:t>and (</w:t>
      </w:r>
      <w:r w:rsidR="00B06B7B" w:rsidRPr="00496081">
        <w:rPr>
          <w:rFonts w:ascii="Times New Roman" w:hAnsi="Times New Roman" w:cs="Times New Roman"/>
          <w:sz w:val="26"/>
          <w:szCs w:val="26"/>
        </w:rPr>
        <w:t>9</w:t>
      </w:r>
      <w:r w:rsidR="00EA0670" w:rsidRPr="00496081">
        <w:rPr>
          <w:rFonts w:ascii="Times New Roman" w:hAnsi="Times New Roman" w:cs="Times New Roman"/>
          <w:sz w:val="26"/>
          <w:szCs w:val="26"/>
        </w:rPr>
        <w:t>) the agreement that Columbia Water will provide annual reports regarding its present isolation valve exercising, including its critical valve exercising.</w:t>
      </w:r>
    </w:p>
    <w:p w:rsidR="00837CCB" w:rsidRPr="00496081" w:rsidRDefault="00837CCB" w:rsidP="00496081">
      <w:pPr>
        <w:spacing w:line="360" w:lineRule="auto"/>
        <w:ind w:firstLine="1440"/>
        <w:contextualSpacing/>
        <w:rPr>
          <w:rFonts w:ascii="Times New Roman" w:hAnsi="Times New Roman" w:cs="Times New Roman"/>
          <w:sz w:val="26"/>
          <w:szCs w:val="26"/>
        </w:rPr>
      </w:pPr>
    </w:p>
    <w:p w:rsidR="00D27FA7" w:rsidRPr="00496081" w:rsidRDefault="00837CCB"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 xml:space="preserve">Additionally, we find that the Settlement will result in significant savings of time and expenses for all Parties involved by avoiding the necessity of further administrative proceedings, as well as possible appellate court proceedings, </w:t>
      </w:r>
      <w:r w:rsidR="00C67FCD" w:rsidRPr="00496081">
        <w:rPr>
          <w:rFonts w:ascii="Times New Roman" w:hAnsi="Times New Roman" w:cs="Times New Roman"/>
          <w:sz w:val="26"/>
          <w:szCs w:val="26"/>
        </w:rPr>
        <w:t xml:space="preserve">thereby </w:t>
      </w:r>
      <w:r w:rsidRPr="00496081">
        <w:rPr>
          <w:rFonts w:ascii="Times New Roman" w:hAnsi="Times New Roman" w:cs="Times New Roman"/>
          <w:sz w:val="26"/>
          <w:szCs w:val="26"/>
        </w:rPr>
        <w:t xml:space="preserve">conserving precious administrative resources.  </w:t>
      </w:r>
      <w:r w:rsidR="00B06B7B" w:rsidRPr="00496081">
        <w:rPr>
          <w:rFonts w:ascii="Times New Roman" w:hAnsi="Times New Roman" w:cs="Times New Roman"/>
          <w:sz w:val="26"/>
          <w:szCs w:val="26"/>
        </w:rPr>
        <w:t>Further</w:t>
      </w:r>
      <w:r w:rsidRPr="00496081">
        <w:rPr>
          <w:rFonts w:ascii="Times New Roman" w:hAnsi="Times New Roman" w:cs="Times New Roman"/>
          <w:sz w:val="26"/>
          <w:szCs w:val="26"/>
        </w:rPr>
        <w:t xml:space="preserve">, the Settlement provides regulatory certainty with respect to the disposition of issues which benefits all </w:t>
      </w:r>
      <w:r w:rsidR="00C67FCD" w:rsidRPr="00496081">
        <w:rPr>
          <w:rFonts w:ascii="Times New Roman" w:hAnsi="Times New Roman" w:cs="Times New Roman"/>
          <w:sz w:val="26"/>
          <w:szCs w:val="26"/>
        </w:rPr>
        <w:t>P</w:t>
      </w:r>
      <w:r w:rsidRPr="00496081">
        <w:rPr>
          <w:rFonts w:ascii="Times New Roman" w:hAnsi="Times New Roman" w:cs="Times New Roman"/>
          <w:sz w:val="26"/>
          <w:szCs w:val="26"/>
        </w:rPr>
        <w:t xml:space="preserve">arties.  For the reasons stated herein and in the </w:t>
      </w:r>
      <w:r w:rsidR="001F0465">
        <w:rPr>
          <w:rFonts w:ascii="Times New Roman" w:hAnsi="Times New Roman" w:cs="Times New Roman"/>
          <w:sz w:val="26"/>
          <w:szCs w:val="26"/>
        </w:rPr>
        <w:t>Joint Petitioners</w:t>
      </w:r>
      <w:r w:rsidR="00C76127" w:rsidRPr="00496081">
        <w:rPr>
          <w:rFonts w:ascii="Times New Roman" w:hAnsi="Times New Roman" w:cs="Times New Roman"/>
          <w:sz w:val="26"/>
          <w:szCs w:val="26"/>
        </w:rPr>
        <w:t>’ Statements in Support, we concur</w:t>
      </w:r>
      <w:r w:rsidRPr="00496081">
        <w:rPr>
          <w:rFonts w:ascii="Times New Roman" w:hAnsi="Times New Roman" w:cs="Times New Roman"/>
          <w:sz w:val="26"/>
          <w:szCs w:val="26"/>
        </w:rPr>
        <w:t xml:space="preserve"> with the ALJs</w:t>
      </w:r>
      <w:r w:rsidR="00C76127" w:rsidRPr="00496081">
        <w:rPr>
          <w:rFonts w:ascii="Times New Roman" w:hAnsi="Times New Roman" w:cs="Times New Roman"/>
          <w:sz w:val="26"/>
          <w:szCs w:val="26"/>
        </w:rPr>
        <w:t>’</w:t>
      </w:r>
      <w:r w:rsidRPr="00496081">
        <w:rPr>
          <w:rFonts w:ascii="Times New Roman" w:hAnsi="Times New Roman" w:cs="Times New Roman"/>
          <w:sz w:val="26"/>
          <w:szCs w:val="26"/>
        </w:rPr>
        <w:t xml:space="preserve"> conclusion that the </w:t>
      </w:r>
      <w:r w:rsidR="00AB464C" w:rsidRPr="00496081">
        <w:rPr>
          <w:rFonts w:ascii="Times New Roman" w:hAnsi="Times New Roman" w:cs="Times New Roman"/>
          <w:sz w:val="26"/>
          <w:szCs w:val="26"/>
        </w:rPr>
        <w:t>Settlement</w:t>
      </w:r>
      <w:r w:rsidRPr="00496081">
        <w:rPr>
          <w:rFonts w:ascii="Times New Roman" w:hAnsi="Times New Roman" w:cs="Times New Roman"/>
          <w:sz w:val="26"/>
          <w:szCs w:val="26"/>
        </w:rPr>
        <w:t xml:space="preserve"> is in the public interest.  </w:t>
      </w:r>
      <w:r w:rsidR="00B06B7B" w:rsidRPr="00496081">
        <w:rPr>
          <w:rFonts w:ascii="Times New Roman" w:hAnsi="Times New Roman" w:cs="Times New Roman"/>
          <w:sz w:val="26"/>
          <w:szCs w:val="26"/>
        </w:rPr>
        <w:t xml:space="preserve">Moreover, we concur with the observation of </w:t>
      </w:r>
      <w:r w:rsidR="001E3E4D">
        <w:rPr>
          <w:rFonts w:ascii="Times New Roman" w:hAnsi="Times New Roman" w:cs="Times New Roman"/>
          <w:sz w:val="26"/>
          <w:szCs w:val="26"/>
        </w:rPr>
        <w:t xml:space="preserve">the </w:t>
      </w:r>
      <w:r w:rsidR="00B06B7B" w:rsidRPr="00496081">
        <w:rPr>
          <w:rFonts w:ascii="Times New Roman" w:hAnsi="Times New Roman" w:cs="Times New Roman"/>
          <w:sz w:val="26"/>
          <w:szCs w:val="26"/>
        </w:rPr>
        <w:t xml:space="preserve">ALJs that although Columbia Water has committed to </w:t>
      </w:r>
      <w:r w:rsidR="00AD16A4" w:rsidRPr="00496081">
        <w:rPr>
          <w:rFonts w:ascii="Times New Roman" w:hAnsi="Times New Roman" w:cs="Times New Roman"/>
          <w:sz w:val="26"/>
          <w:szCs w:val="26"/>
        </w:rPr>
        <w:t>file annual reports with</w:t>
      </w:r>
      <w:r w:rsidR="00B06B7B" w:rsidRPr="00496081">
        <w:rPr>
          <w:rFonts w:ascii="Times New Roman" w:hAnsi="Times New Roman" w:cs="Times New Roman"/>
          <w:sz w:val="26"/>
          <w:szCs w:val="26"/>
        </w:rPr>
        <w:t xml:space="preserve"> the Commission regarding its isolation valves, none of the Joint Petitioners </w:t>
      </w:r>
      <w:r w:rsidR="00AD16A4" w:rsidRPr="00496081">
        <w:rPr>
          <w:rFonts w:ascii="Times New Roman" w:hAnsi="Times New Roman" w:cs="Times New Roman"/>
          <w:sz w:val="26"/>
          <w:szCs w:val="26"/>
        </w:rPr>
        <w:t xml:space="preserve">have </w:t>
      </w:r>
      <w:r w:rsidR="00B06B7B" w:rsidRPr="00496081">
        <w:rPr>
          <w:rFonts w:ascii="Times New Roman" w:hAnsi="Times New Roman" w:cs="Times New Roman"/>
          <w:sz w:val="26"/>
          <w:szCs w:val="26"/>
        </w:rPr>
        <w:t>specified any detail regarding these reports.  Therefore, we shall adopt the ALJs</w:t>
      </w:r>
      <w:r w:rsidR="001E3E4D">
        <w:rPr>
          <w:rFonts w:ascii="Times New Roman" w:hAnsi="Times New Roman" w:cs="Times New Roman"/>
          <w:sz w:val="26"/>
          <w:szCs w:val="26"/>
        </w:rPr>
        <w:t>’</w:t>
      </w:r>
      <w:r w:rsidR="00B06B7B" w:rsidRPr="00496081">
        <w:rPr>
          <w:rFonts w:ascii="Times New Roman" w:hAnsi="Times New Roman" w:cs="Times New Roman"/>
          <w:sz w:val="26"/>
          <w:szCs w:val="26"/>
        </w:rPr>
        <w:t xml:space="preserve"> recommendation that when it makes its compliance filing in this proceeding, Columbia Water shall specify </w:t>
      </w:r>
      <w:r w:rsidR="001F0465">
        <w:rPr>
          <w:rFonts w:ascii="Times New Roman" w:hAnsi="Times New Roman" w:cs="Times New Roman"/>
          <w:sz w:val="26"/>
          <w:szCs w:val="26"/>
        </w:rPr>
        <w:t>to whom and when these annual reports are to be submitted and what time periods the reports will cover.</w:t>
      </w:r>
    </w:p>
    <w:p w:rsidR="00C76127" w:rsidRPr="00496081" w:rsidRDefault="00C76127" w:rsidP="00496081">
      <w:pPr>
        <w:spacing w:line="360" w:lineRule="auto"/>
        <w:ind w:firstLine="1440"/>
        <w:contextualSpacing/>
        <w:rPr>
          <w:rFonts w:ascii="Times New Roman" w:hAnsi="Times New Roman" w:cs="Times New Roman"/>
          <w:sz w:val="26"/>
          <w:szCs w:val="26"/>
        </w:rPr>
      </w:pPr>
    </w:p>
    <w:p w:rsidR="004D7863" w:rsidRPr="00496081" w:rsidRDefault="00C76127"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N</w:t>
      </w:r>
      <w:r w:rsidR="00531E69" w:rsidRPr="00496081">
        <w:rPr>
          <w:rFonts w:ascii="Times New Roman" w:hAnsi="Times New Roman" w:cs="Times New Roman"/>
          <w:sz w:val="26"/>
          <w:szCs w:val="26"/>
        </w:rPr>
        <w:t>otwithstanding the above, we</w:t>
      </w:r>
      <w:r w:rsidRPr="00496081">
        <w:rPr>
          <w:rFonts w:ascii="Times New Roman" w:hAnsi="Times New Roman" w:cs="Times New Roman"/>
          <w:sz w:val="26"/>
          <w:szCs w:val="26"/>
        </w:rPr>
        <w:t xml:space="preserve"> also</w:t>
      </w:r>
      <w:r w:rsidR="00531E69" w:rsidRPr="00496081">
        <w:rPr>
          <w:rFonts w:ascii="Times New Roman" w:hAnsi="Times New Roman" w:cs="Times New Roman"/>
          <w:sz w:val="26"/>
          <w:szCs w:val="26"/>
        </w:rPr>
        <w:t xml:space="preserve"> find that</w:t>
      </w:r>
      <w:r w:rsidR="00CE0308" w:rsidRPr="00496081">
        <w:rPr>
          <w:rFonts w:ascii="Times New Roman" w:hAnsi="Times New Roman" w:cs="Times New Roman"/>
          <w:sz w:val="26"/>
          <w:szCs w:val="26"/>
        </w:rPr>
        <w:t xml:space="preserve"> the</w:t>
      </w:r>
      <w:r w:rsidR="0059556B" w:rsidRPr="00496081">
        <w:rPr>
          <w:rFonts w:ascii="Times New Roman" w:hAnsi="Times New Roman" w:cs="Times New Roman"/>
          <w:sz w:val="26"/>
          <w:szCs w:val="26"/>
        </w:rPr>
        <w:t xml:space="preserve"> arguments Columbia Water sets forth in its Exceptions have merit.  </w:t>
      </w:r>
      <w:r w:rsidR="00A73341" w:rsidRPr="00496081">
        <w:rPr>
          <w:rFonts w:ascii="Times New Roman" w:hAnsi="Times New Roman" w:cs="Times New Roman"/>
          <w:sz w:val="26"/>
          <w:szCs w:val="26"/>
        </w:rPr>
        <w:t>In this regard</w:t>
      </w:r>
      <w:r w:rsidR="0059556B" w:rsidRPr="00496081">
        <w:rPr>
          <w:rFonts w:ascii="Times New Roman" w:hAnsi="Times New Roman" w:cs="Times New Roman"/>
          <w:sz w:val="26"/>
          <w:szCs w:val="26"/>
        </w:rPr>
        <w:t>, our review of the</w:t>
      </w:r>
      <w:r w:rsidR="00A73341" w:rsidRPr="00496081">
        <w:rPr>
          <w:rFonts w:ascii="Times New Roman" w:hAnsi="Times New Roman" w:cs="Times New Roman"/>
          <w:sz w:val="26"/>
          <w:szCs w:val="26"/>
        </w:rPr>
        <w:t xml:space="preserve"> language contained in</w:t>
      </w:r>
      <w:r w:rsidR="0059556B" w:rsidRPr="00496081">
        <w:rPr>
          <w:rFonts w:ascii="Times New Roman" w:hAnsi="Times New Roman" w:cs="Times New Roman"/>
          <w:sz w:val="26"/>
          <w:szCs w:val="26"/>
        </w:rPr>
        <w:t xml:space="preserve"> </w:t>
      </w:r>
      <w:r w:rsidR="001E3E4D">
        <w:rPr>
          <w:rFonts w:ascii="Times New Roman" w:hAnsi="Times New Roman" w:cs="Times New Roman"/>
          <w:sz w:val="26"/>
          <w:szCs w:val="26"/>
        </w:rPr>
        <w:t xml:space="preserve">the </w:t>
      </w:r>
      <w:r w:rsidR="0059556B" w:rsidRPr="00496081">
        <w:rPr>
          <w:rFonts w:ascii="Times New Roman" w:hAnsi="Times New Roman" w:cs="Times New Roman"/>
          <w:sz w:val="26"/>
          <w:szCs w:val="26"/>
        </w:rPr>
        <w:t xml:space="preserve">Settlement </w:t>
      </w:r>
      <w:r w:rsidR="00A73341" w:rsidRPr="00496081">
        <w:rPr>
          <w:rFonts w:ascii="Times New Roman" w:hAnsi="Times New Roman" w:cs="Times New Roman"/>
          <w:sz w:val="26"/>
          <w:szCs w:val="26"/>
        </w:rPr>
        <w:t>and in the Joint Petitioners’ Statements</w:t>
      </w:r>
      <w:r w:rsidR="0059556B" w:rsidRPr="00496081">
        <w:rPr>
          <w:rFonts w:ascii="Times New Roman" w:hAnsi="Times New Roman" w:cs="Times New Roman"/>
          <w:sz w:val="26"/>
          <w:szCs w:val="26"/>
        </w:rPr>
        <w:t xml:space="preserve"> corroborates Columbia Water’s assertion that the ALJs </w:t>
      </w:r>
      <w:r w:rsidR="00A73341" w:rsidRPr="00496081">
        <w:rPr>
          <w:rFonts w:ascii="Times New Roman" w:hAnsi="Times New Roman" w:cs="Times New Roman"/>
          <w:sz w:val="26"/>
          <w:szCs w:val="26"/>
        </w:rPr>
        <w:t xml:space="preserve">mischaracterized the </w:t>
      </w:r>
      <w:r w:rsidR="00300516" w:rsidRPr="00496081">
        <w:rPr>
          <w:rFonts w:ascii="Times New Roman" w:hAnsi="Times New Roman" w:cs="Times New Roman"/>
          <w:sz w:val="26"/>
          <w:szCs w:val="26"/>
        </w:rPr>
        <w:t>Settlement</w:t>
      </w:r>
      <w:r w:rsidR="00776FB3">
        <w:rPr>
          <w:rFonts w:ascii="Times New Roman" w:hAnsi="Times New Roman" w:cs="Times New Roman"/>
          <w:sz w:val="26"/>
          <w:szCs w:val="26"/>
        </w:rPr>
        <w:t>’s</w:t>
      </w:r>
      <w:r w:rsidR="00300516" w:rsidRPr="00496081">
        <w:rPr>
          <w:rFonts w:ascii="Times New Roman" w:hAnsi="Times New Roman" w:cs="Times New Roman"/>
          <w:sz w:val="26"/>
          <w:szCs w:val="26"/>
        </w:rPr>
        <w:t xml:space="preserve"> term</w:t>
      </w:r>
      <w:r w:rsidR="00A73341" w:rsidRPr="00496081">
        <w:rPr>
          <w:rFonts w:ascii="Times New Roman" w:hAnsi="Times New Roman" w:cs="Times New Roman"/>
          <w:sz w:val="26"/>
          <w:szCs w:val="26"/>
        </w:rPr>
        <w:t xml:space="preserve"> outlined in Paragraph 20(d) of the Settlement.  Namely, </w:t>
      </w:r>
      <w:r w:rsidR="005375B0" w:rsidRPr="00496081">
        <w:rPr>
          <w:rFonts w:ascii="Times New Roman" w:hAnsi="Times New Roman" w:cs="Times New Roman"/>
          <w:sz w:val="26"/>
          <w:szCs w:val="26"/>
        </w:rPr>
        <w:t xml:space="preserve">as Columbia Water </w:t>
      </w:r>
      <w:r w:rsidR="00B11A79">
        <w:rPr>
          <w:rFonts w:ascii="Times New Roman" w:hAnsi="Times New Roman" w:cs="Times New Roman"/>
          <w:sz w:val="26"/>
          <w:szCs w:val="26"/>
        </w:rPr>
        <w:t>points out</w:t>
      </w:r>
      <w:r w:rsidR="005375B0" w:rsidRPr="00496081">
        <w:rPr>
          <w:rFonts w:ascii="Times New Roman" w:hAnsi="Times New Roman" w:cs="Times New Roman"/>
          <w:sz w:val="26"/>
          <w:szCs w:val="26"/>
        </w:rPr>
        <w:t xml:space="preserve">, in </w:t>
      </w:r>
      <w:r w:rsidR="005375B0" w:rsidRPr="00496081">
        <w:rPr>
          <w:rFonts w:ascii="Times New Roman" w:hAnsi="Times New Roman" w:cs="Times New Roman"/>
          <w:sz w:val="26"/>
          <w:szCs w:val="26"/>
        </w:rPr>
        <w:lastRenderedPageBreak/>
        <w:t xml:space="preserve">discussing </w:t>
      </w:r>
      <w:r w:rsidR="00820C34" w:rsidRPr="00496081">
        <w:rPr>
          <w:rFonts w:ascii="Times New Roman" w:hAnsi="Times New Roman" w:cs="Times New Roman"/>
          <w:sz w:val="26"/>
          <w:szCs w:val="26"/>
        </w:rPr>
        <w:t>P</w:t>
      </w:r>
      <w:r w:rsidR="005375B0" w:rsidRPr="00496081">
        <w:rPr>
          <w:rFonts w:ascii="Times New Roman" w:hAnsi="Times New Roman" w:cs="Times New Roman"/>
          <w:sz w:val="26"/>
          <w:szCs w:val="26"/>
        </w:rPr>
        <w:t xml:space="preserve">aragraph 20(d) of the Settlement, the ALJs state as follows: “[a]s part of the Settlement, Columbia has agreed </w:t>
      </w:r>
      <w:r w:rsidR="004D7863" w:rsidRPr="00496081">
        <w:rPr>
          <w:rFonts w:ascii="Times New Roman" w:hAnsi="Times New Roman" w:cs="Times New Roman"/>
          <w:sz w:val="26"/>
          <w:szCs w:val="26"/>
        </w:rPr>
        <w:t xml:space="preserve">not </w:t>
      </w:r>
      <w:r w:rsidR="005375B0" w:rsidRPr="00496081">
        <w:rPr>
          <w:rFonts w:ascii="Times New Roman" w:hAnsi="Times New Roman" w:cs="Times New Roman"/>
          <w:sz w:val="26"/>
          <w:szCs w:val="26"/>
        </w:rPr>
        <w:t xml:space="preserve">to include a PENNVEST financed plant, purchased and installed by Marietta Gravity Water Company and recovered through the Marietta PENNVEST surcharge, in the base rate.”  </w:t>
      </w:r>
      <w:r w:rsidR="00B665C3" w:rsidRPr="00496081">
        <w:rPr>
          <w:rFonts w:ascii="Times New Roman" w:hAnsi="Times New Roman" w:cs="Times New Roman"/>
          <w:sz w:val="26"/>
          <w:szCs w:val="26"/>
        </w:rPr>
        <w:t>R</w:t>
      </w:r>
      <w:r w:rsidR="005375B0" w:rsidRPr="00496081">
        <w:rPr>
          <w:rFonts w:ascii="Times New Roman" w:hAnsi="Times New Roman" w:cs="Times New Roman"/>
          <w:sz w:val="26"/>
          <w:szCs w:val="26"/>
        </w:rPr>
        <w:t xml:space="preserve">.D. at 14, citing I&amp;E Statement at 17-18.  We agree with Columbia Water that, as written, this description of this term of the Settlement could be construed to mean that Columbia Water has agreed never to include Marietta Rate District PENNVEST-funded plant in its rate base. </w:t>
      </w:r>
    </w:p>
    <w:p w:rsidR="004D7863" w:rsidRPr="00496081" w:rsidRDefault="004D7863" w:rsidP="00496081">
      <w:pPr>
        <w:spacing w:line="360" w:lineRule="auto"/>
        <w:ind w:firstLine="1440"/>
        <w:contextualSpacing/>
        <w:rPr>
          <w:rFonts w:ascii="Times New Roman" w:hAnsi="Times New Roman" w:cs="Times New Roman"/>
          <w:sz w:val="26"/>
          <w:szCs w:val="26"/>
        </w:rPr>
      </w:pPr>
    </w:p>
    <w:p w:rsidR="0059556B" w:rsidRPr="00496081" w:rsidRDefault="00694502"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We</w:t>
      </w:r>
      <w:r w:rsidR="004D7863" w:rsidRPr="00496081">
        <w:rPr>
          <w:rFonts w:ascii="Times New Roman" w:hAnsi="Times New Roman" w:cs="Times New Roman"/>
          <w:sz w:val="26"/>
          <w:szCs w:val="26"/>
        </w:rPr>
        <w:t xml:space="preserve"> further agree with both Columbia</w:t>
      </w:r>
      <w:r w:rsidR="00C82D1F" w:rsidRPr="00496081">
        <w:rPr>
          <w:rFonts w:ascii="Times New Roman" w:hAnsi="Times New Roman" w:cs="Times New Roman"/>
          <w:sz w:val="26"/>
          <w:szCs w:val="26"/>
        </w:rPr>
        <w:t xml:space="preserve"> Water</w:t>
      </w:r>
      <w:r w:rsidR="004D7863" w:rsidRPr="00496081">
        <w:rPr>
          <w:rFonts w:ascii="Times New Roman" w:hAnsi="Times New Roman" w:cs="Times New Roman"/>
          <w:sz w:val="26"/>
          <w:szCs w:val="26"/>
        </w:rPr>
        <w:t xml:space="preserve"> and I&amp;E that the ALJs erroneously cited to I&amp;E’s Statement as support in describing this portion of the Settlement.  </w:t>
      </w:r>
      <w:r w:rsidR="00E23211">
        <w:rPr>
          <w:rFonts w:ascii="Times New Roman" w:hAnsi="Times New Roman" w:cs="Times New Roman"/>
          <w:sz w:val="26"/>
          <w:szCs w:val="26"/>
        </w:rPr>
        <w:t>O</w:t>
      </w:r>
      <w:r w:rsidR="00820C34" w:rsidRPr="00496081">
        <w:rPr>
          <w:rFonts w:ascii="Times New Roman" w:hAnsi="Times New Roman" w:cs="Times New Roman"/>
          <w:sz w:val="26"/>
          <w:szCs w:val="26"/>
        </w:rPr>
        <w:t>ur review</w:t>
      </w:r>
      <w:r w:rsidR="00A65CBA" w:rsidRPr="00496081">
        <w:rPr>
          <w:rFonts w:ascii="Times New Roman" w:hAnsi="Times New Roman" w:cs="Times New Roman"/>
          <w:sz w:val="26"/>
          <w:szCs w:val="26"/>
        </w:rPr>
        <w:t xml:space="preserve"> of I&amp;E’s Statement </w:t>
      </w:r>
      <w:r w:rsidR="004D7863" w:rsidRPr="00496081">
        <w:rPr>
          <w:rFonts w:ascii="Times New Roman" w:hAnsi="Times New Roman" w:cs="Times New Roman"/>
          <w:sz w:val="26"/>
          <w:szCs w:val="26"/>
        </w:rPr>
        <w:t xml:space="preserve">indicates that </w:t>
      </w:r>
      <w:r w:rsidR="00E23211">
        <w:rPr>
          <w:rFonts w:ascii="Times New Roman" w:hAnsi="Times New Roman" w:cs="Times New Roman"/>
          <w:sz w:val="26"/>
          <w:szCs w:val="26"/>
        </w:rPr>
        <w:t xml:space="preserve">the language in the </w:t>
      </w:r>
      <w:r w:rsidR="009A35ED">
        <w:rPr>
          <w:rFonts w:ascii="Times New Roman" w:hAnsi="Times New Roman" w:cs="Times New Roman"/>
          <w:sz w:val="26"/>
          <w:szCs w:val="26"/>
        </w:rPr>
        <w:t>ALJs</w:t>
      </w:r>
      <w:r w:rsidR="00B02DD8">
        <w:rPr>
          <w:rFonts w:ascii="Times New Roman" w:hAnsi="Times New Roman" w:cs="Times New Roman"/>
          <w:sz w:val="26"/>
          <w:szCs w:val="26"/>
        </w:rPr>
        <w:t>’</w:t>
      </w:r>
      <w:r w:rsidR="009A35ED">
        <w:rPr>
          <w:rFonts w:ascii="Times New Roman" w:hAnsi="Times New Roman" w:cs="Times New Roman"/>
          <w:sz w:val="26"/>
          <w:szCs w:val="26"/>
        </w:rPr>
        <w:t xml:space="preserve"> </w:t>
      </w:r>
      <w:r w:rsidR="00E23211">
        <w:rPr>
          <w:rFonts w:ascii="Times New Roman" w:hAnsi="Times New Roman" w:cs="Times New Roman"/>
          <w:sz w:val="26"/>
          <w:szCs w:val="26"/>
        </w:rPr>
        <w:t xml:space="preserve">Recommended Decision </w:t>
      </w:r>
      <w:r w:rsidR="004D7863" w:rsidRPr="00496081">
        <w:rPr>
          <w:rFonts w:ascii="Times New Roman" w:hAnsi="Times New Roman" w:cs="Times New Roman"/>
          <w:sz w:val="26"/>
          <w:szCs w:val="26"/>
        </w:rPr>
        <w:t>describing this portion of the Settlement</w:t>
      </w:r>
      <w:r w:rsidR="00E23211">
        <w:rPr>
          <w:rFonts w:ascii="Times New Roman" w:hAnsi="Times New Roman" w:cs="Times New Roman"/>
          <w:sz w:val="26"/>
          <w:szCs w:val="26"/>
        </w:rPr>
        <w:t xml:space="preserve"> is contrary to I&amp;E’s actual language</w:t>
      </w:r>
      <w:r w:rsidR="004D7863" w:rsidRPr="00496081">
        <w:rPr>
          <w:rFonts w:ascii="Times New Roman" w:hAnsi="Times New Roman" w:cs="Times New Roman"/>
          <w:sz w:val="26"/>
          <w:szCs w:val="26"/>
        </w:rPr>
        <w:t xml:space="preserve">, </w:t>
      </w:r>
      <w:r w:rsidR="009A35ED">
        <w:rPr>
          <w:rFonts w:ascii="Times New Roman" w:hAnsi="Times New Roman" w:cs="Times New Roman"/>
          <w:sz w:val="26"/>
          <w:szCs w:val="26"/>
        </w:rPr>
        <w:t>which is stated below:</w:t>
      </w:r>
    </w:p>
    <w:p w:rsidR="004D7863" w:rsidRPr="00496081" w:rsidRDefault="004D7863" w:rsidP="00496081">
      <w:pPr>
        <w:spacing w:line="360" w:lineRule="auto"/>
        <w:ind w:firstLine="1440"/>
        <w:contextualSpacing/>
        <w:rPr>
          <w:rFonts w:ascii="Times New Roman" w:hAnsi="Times New Roman" w:cs="Times New Roman"/>
          <w:sz w:val="26"/>
          <w:szCs w:val="26"/>
        </w:rPr>
      </w:pPr>
    </w:p>
    <w:p w:rsidR="004D7863" w:rsidRDefault="004D7863" w:rsidP="00496081">
      <w:pPr>
        <w:spacing w:line="240" w:lineRule="auto"/>
        <w:ind w:left="1440" w:right="1440"/>
        <w:contextualSpacing/>
        <w:rPr>
          <w:rFonts w:ascii="Times New Roman" w:hAnsi="Times New Roman" w:cs="Times New Roman"/>
          <w:sz w:val="26"/>
          <w:szCs w:val="26"/>
        </w:rPr>
      </w:pPr>
      <w:r w:rsidRPr="00496081">
        <w:rPr>
          <w:rFonts w:ascii="Times New Roman" w:hAnsi="Times New Roman" w:cs="Times New Roman"/>
          <w:sz w:val="26"/>
          <w:szCs w:val="26"/>
        </w:rPr>
        <w:t>the Joint Petitioners agree that the Settlement is not premised upon inclusion of the PENNVEST financed plant, purchased and installed by the former Marietta Gravity Water Company (‘MGWC’) and recovered through the Marietta PENNVEST surcharge, in rate base.</w:t>
      </w:r>
    </w:p>
    <w:p w:rsidR="009A35ED" w:rsidRPr="00496081" w:rsidRDefault="009A35ED" w:rsidP="00496081">
      <w:pPr>
        <w:spacing w:line="240" w:lineRule="auto"/>
        <w:ind w:left="1440" w:right="1440"/>
        <w:contextualSpacing/>
        <w:rPr>
          <w:rFonts w:ascii="Times New Roman" w:hAnsi="Times New Roman" w:cs="Times New Roman"/>
          <w:sz w:val="26"/>
          <w:szCs w:val="26"/>
        </w:rPr>
      </w:pPr>
    </w:p>
    <w:p w:rsidR="004D7863" w:rsidRPr="00496081" w:rsidRDefault="004D7863" w:rsidP="00496081">
      <w:pPr>
        <w:spacing w:line="360" w:lineRule="auto"/>
        <w:ind w:firstLine="1440"/>
        <w:contextualSpacing/>
        <w:rPr>
          <w:rFonts w:ascii="Times New Roman" w:hAnsi="Times New Roman" w:cs="Times New Roman"/>
          <w:sz w:val="26"/>
          <w:szCs w:val="26"/>
        </w:rPr>
      </w:pPr>
    </w:p>
    <w:p w:rsidR="0059556B" w:rsidRPr="00496081" w:rsidRDefault="004D7863" w:rsidP="00496081">
      <w:pPr>
        <w:spacing w:line="360" w:lineRule="auto"/>
        <w:contextualSpacing/>
        <w:rPr>
          <w:rFonts w:ascii="Times New Roman" w:hAnsi="Times New Roman" w:cs="Times New Roman"/>
          <w:sz w:val="26"/>
          <w:szCs w:val="26"/>
        </w:rPr>
      </w:pPr>
      <w:r w:rsidRPr="00496081">
        <w:rPr>
          <w:rFonts w:ascii="Times New Roman" w:hAnsi="Times New Roman" w:cs="Times New Roman"/>
          <w:sz w:val="26"/>
          <w:szCs w:val="26"/>
        </w:rPr>
        <w:t xml:space="preserve">I&amp;E Statement at 17-18.  Thus, it is clear from both the Settlement and the Parties’ Statements thereto that the Joint Petitioners </w:t>
      </w:r>
      <w:r w:rsidR="0011639A" w:rsidRPr="00496081">
        <w:rPr>
          <w:rFonts w:ascii="Times New Roman" w:hAnsi="Times New Roman" w:cs="Times New Roman"/>
          <w:sz w:val="26"/>
          <w:szCs w:val="26"/>
        </w:rPr>
        <w:t xml:space="preserve">have </w:t>
      </w:r>
      <w:r w:rsidRPr="00496081">
        <w:rPr>
          <w:rFonts w:ascii="Times New Roman" w:hAnsi="Times New Roman" w:cs="Times New Roman"/>
          <w:sz w:val="26"/>
          <w:szCs w:val="26"/>
        </w:rPr>
        <w:t>agreed</w:t>
      </w:r>
      <w:r w:rsidR="009A35ED">
        <w:rPr>
          <w:rFonts w:ascii="Times New Roman" w:hAnsi="Times New Roman" w:cs="Times New Roman"/>
          <w:sz w:val="26"/>
          <w:szCs w:val="26"/>
        </w:rPr>
        <w:t>,</w:t>
      </w:r>
      <w:r w:rsidRPr="00496081">
        <w:rPr>
          <w:rFonts w:ascii="Times New Roman" w:hAnsi="Times New Roman" w:cs="Times New Roman"/>
          <w:sz w:val="26"/>
          <w:szCs w:val="26"/>
        </w:rPr>
        <w:t xml:space="preserve"> for the purposes of </w:t>
      </w:r>
      <w:r w:rsidRPr="00496081">
        <w:rPr>
          <w:rFonts w:ascii="Times New Roman" w:hAnsi="Times New Roman" w:cs="Times New Roman"/>
          <w:b/>
          <w:sz w:val="26"/>
          <w:szCs w:val="26"/>
        </w:rPr>
        <w:t>this Settlement only</w:t>
      </w:r>
      <w:r w:rsidRPr="00496081">
        <w:rPr>
          <w:rFonts w:ascii="Times New Roman" w:hAnsi="Times New Roman" w:cs="Times New Roman"/>
          <w:sz w:val="26"/>
          <w:szCs w:val="26"/>
        </w:rPr>
        <w:t xml:space="preserve">, </w:t>
      </w:r>
      <w:r w:rsidR="009A35ED">
        <w:rPr>
          <w:rFonts w:ascii="Times New Roman" w:hAnsi="Times New Roman" w:cs="Times New Roman"/>
          <w:sz w:val="26"/>
          <w:szCs w:val="26"/>
        </w:rPr>
        <w:t xml:space="preserve">that </w:t>
      </w:r>
      <w:r w:rsidRPr="00496081">
        <w:rPr>
          <w:rFonts w:ascii="Times New Roman" w:hAnsi="Times New Roman" w:cs="Times New Roman"/>
          <w:sz w:val="26"/>
          <w:szCs w:val="26"/>
        </w:rPr>
        <w:t xml:space="preserve">the Settlement is not premised upon the inclusion in Columbia Water’s rate base of any </w:t>
      </w:r>
      <w:r w:rsidR="00116211" w:rsidRPr="00496081">
        <w:rPr>
          <w:rFonts w:ascii="Times New Roman" w:hAnsi="Times New Roman" w:cs="Times New Roman"/>
          <w:sz w:val="26"/>
          <w:szCs w:val="26"/>
        </w:rPr>
        <w:t>Marietta</w:t>
      </w:r>
      <w:r w:rsidRPr="00496081">
        <w:rPr>
          <w:rFonts w:ascii="Times New Roman" w:hAnsi="Times New Roman" w:cs="Times New Roman"/>
          <w:sz w:val="26"/>
          <w:szCs w:val="26"/>
        </w:rPr>
        <w:t xml:space="preserve"> Rate District PENNVEST-funded plant</w:t>
      </w:r>
      <w:r w:rsidR="00964BAE" w:rsidRPr="00496081">
        <w:rPr>
          <w:rFonts w:ascii="Times New Roman" w:hAnsi="Times New Roman" w:cs="Times New Roman"/>
          <w:sz w:val="26"/>
          <w:szCs w:val="26"/>
        </w:rPr>
        <w:t xml:space="preserve">, nor has Columbia Water </w:t>
      </w:r>
      <w:r w:rsidR="0011639A" w:rsidRPr="00496081">
        <w:rPr>
          <w:rFonts w:ascii="Times New Roman" w:hAnsi="Times New Roman" w:cs="Times New Roman"/>
          <w:sz w:val="26"/>
          <w:szCs w:val="26"/>
        </w:rPr>
        <w:t xml:space="preserve">conceded </w:t>
      </w:r>
      <w:r w:rsidR="00964BAE" w:rsidRPr="00496081">
        <w:rPr>
          <w:rFonts w:ascii="Times New Roman" w:hAnsi="Times New Roman" w:cs="Times New Roman"/>
          <w:sz w:val="26"/>
          <w:szCs w:val="26"/>
        </w:rPr>
        <w:t>that such inclusion would be improper</w:t>
      </w:r>
      <w:r w:rsidRPr="00496081">
        <w:rPr>
          <w:rFonts w:ascii="Times New Roman" w:hAnsi="Times New Roman" w:cs="Times New Roman"/>
          <w:sz w:val="26"/>
          <w:szCs w:val="26"/>
        </w:rPr>
        <w:t xml:space="preserve">.  </w:t>
      </w:r>
      <w:r w:rsidR="00B025B7" w:rsidRPr="00496081">
        <w:rPr>
          <w:rFonts w:ascii="Times New Roman" w:hAnsi="Times New Roman" w:cs="Times New Roman"/>
          <w:sz w:val="26"/>
          <w:szCs w:val="26"/>
        </w:rPr>
        <w:t xml:space="preserve">The Settlement before us today does not preclude Columbia Water from seeking to include such plant in its rate base in future rate proceedings.  Accordingly, we shall grant Columbia’s Exceptions and modify the first sentence on </w:t>
      </w:r>
      <w:r w:rsidR="000F5449">
        <w:rPr>
          <w:rFonts w:ascii="Times New Roman" w:hAnsi="Times New Roman" w:cs="Times New Roman"/>
          <w:sz w:val="26"/>
          <w:szCs w:val="26"/>
        </w:rPr>
        <w:t>p</w:t>
      </w:r>
      <w:r w:rsidR="00B025B7" w:rsidRPr="00496081">
        <w:rPr>
          <w:rFonts w:ascii="Times New Roman" w:hAnsi="Times New Roman" w:cs="Times New Roman"/>
          <w:sz w:val="26"/>
          <w:szCs w:val="26"/>
        </w:rPr>
        <w:t xml:space="preserve">age 14 of the Recommended </w:t>
      </w:r>
      <w:r w:rsidR="001A35E4" w:rsidRPr="00496081">
        <w:rPr>
          <w:rFonts w:ascii="Times New Roman" w:hAnsi="Times New Roman" w:cs="Times New Roman"/>
          <w:sz w:val="26"/>
          <w:szCs w:val="26"/>
        </w:rPr>
        <w:t>D</w:t>
      </w:r>
      <w:r w:rsidR="00B025B7" w:rsidRPr="00496081">
        <w:rPr>
          <w:rFonts w:ascii="Times New Roman" w:hAnsi="Times New Roman" w:cs="Times New Roman"/>
          <w:sz w:val="26"/>
          <w:szCs w:val="26"/>
        </w:rPr>
        <w:t>ecision to read as follows:</w:t>
      </w:r>
    </w:p>
    <w:p w:rsidR="00B025B7" w:rsidRPr="00496081" w:rsidRDefault="00B025B7" w:rsidP="00496081">
      <w:pPr>
        <w:spacing w:line="360" w:lineRule="auto"/>
        <w:contextualSpacing/>
        <w:rPr>
          <w:rFonts w:ascii="Times New Roman" w:hAnsi="Times New Roman" w:cs="Times New Roman"/>
          <w:sz w:val="26"/>
          <w:szCs w:val="26"/>
        </w:rPr>
      </w:pPr>
    </w:p>
    <w:p w:rsidR="00B025B7" w:rsidRDefault="00B025B7" w:rsidP="00496081">
      <w:pPr>
        <w:spacing w:line="240" w:lineRule="auto"/>
        <w:ind w:left="1440" w:right="1440"/>
        <w:contextualSpacing/>
        <w:rPr>
          <w:rFonts w:ascii="Times New Roman" w:hAnsi="Times New Roman" w:cs="Times New Roman"/>
          <w:sz w:val="26"/>
          <w:szCs w:val="26"/>
        </w:rPr>
      </w:pPr>
      <w:r w:rsidRPr="00496081">
        <w:rPr>
          <w:rFonts w:ascii="Times New Roman" w:hAnsi="Times New Roman" w:cs="Times New Roman"/>
          <w:sz w:val="26"/>
          <w:szCs w:val="26"/>
        </w:rPr>
        <w:lastRenderedPageBreak/>
        <w:t>As part of the Settlement, the Parties have agreed that the Settlement shall not be premised upon the inclusion of a PENNVEST financed plant, purchased and installed by Marietta Gravity Water company and recovered through the Marietta PENNVEST surcharge in Columbia Water’s rate base.</w:t>
      </w:r>
    </w:p>
    <w:p w:rsidR="000F5449" w:rsidRDefault="000F5449" w:rsidP="00496081">
      <w:pPr>
        <w:spacing w:line="240" w:lineRule="auto"/>
        <w:ind w:left="1440" w:right="1440"/>
        <w:contextualSpacing/>
        <w:rPr>
          <w:rFonts w:ascii="Times New Roman" w:hAnsi="Times New Roman" w:cs="Times New Roman"/>
          <w:sz w:val="26"/>
          <w:szCs w:val="26"/>
        </w:rPr>
      </w:pPr>
    </w:p>
    <w:p w:rsidR="000F5449" w:rsidRPr="00496081" w:rsidRDefault="000F5449" w:rsidP="00496081">
      <w:pPr>
        <w:spacing w:line="240" w:lineRule="auto"/>
        <w:ind w:left="1440" w:right="1440"/>
        <w:contextualSpacing/>
        <w:rPr>
          <w:rFonts w:ascii="Times New Roman" w:hAnsi="Times New Roman" w:cs="Times New Roman"/>
          <w:sz w:val="26"/>
          <w:szCs w:val="26"/>
        </w:rPr>
      </w:pPr>
    </w:p>
    <w:p w:rsidR="00600AEF" w:rsidRPr="00496081" w:rsidRDefault="008E4ACF"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Before concluding this section, we also note that as the ALJs observed in their Recommended Decision, the Settlement before us is a black box settlement in which the Settlement provides for an increase in</w:t>
      </w:r>
      <w:r w:rsidR="007A2D52" w:rsidRPr="00496081">
        <w:rPr>
          <w:rFonts w:ascii="Times New Roman" w:hAnsi="Times New Roman" w:cs="Times New Roman"/>
          <w:sz w:val="26"/>
          <w:szCs w:val="26"/>
        </w:rPr>
        <w:t xml:space="preserve"> Columbia Water’s revenues but does not indicate </w:t>
      </w:r>
      <w:r w:rsidR="00FB5300" w:rsidRPr="00496081">
        <w:rPr>
          <w:rFonts w:ascii="Times New Roman" w:hAnsi="Times New Roman" w:cs="Times New Roman"/>
          <w:sz w:val="26"/>
          <w:szCs w:val="26"/>
        </w:rPr>
        <w:t xml:space="preserve">the details of how the parties calculated this increase.  Thus, in considering the Settlement, we are evaluating </w:t>
      </w:r>
      <w:r w:rsidR="009763EE" w:rsidRPr="00496081">
        <w:rPr>
          <w:rFonts w:ascii="Times New Roman" w:hAnsi="Times New Roman" w:cs="Times New Roman"/>
          <w:sz w:val="26"/>
          <w:szCs w:val="26"/>
        </w:rPr>
        <w:t xml:space="preserve">only </w:t>
      </w:r>
      <w:r w:rsidR="00FB5300" w:rsidRPr="00496081">
        <w:rPr>
          <w:rFonts w:ascii="Times New Roman" w:hAnsi="Times New Roman" w:cs="Times New Roman"/>
          <w:sz w:val="26"/>
          <w:szCs w:val="26"/>
        </w:rPr>
        <w:t xml:space="preserve">whether the revenue increase arrived at in the Settlement is in the public interest.  However, as noted, </w:t>
      </w:r>
      <w:r w:rsidR="00FB5300" w:rsidRPr="00496081">
        <w:rPr>
          <w:rFonts w:ascii="Times New Roman" w:hAnsi="Times New Roman" w:cs="Times New Roman"/>
          <w:i/>
          <w:sz w:val="26"/>
          <w:szCs w:val="26"/>
        </w:rPr>
        <w:t xml:space="preserve">supra, </w:t>
      </w:r>
      <w:r w:rsidR="00FB5300" w:rsidRPr="00496081">
        <w:rPr>
          <w:rFonts w:ascii="Times New Roman" w:hAnsi="Times New Roman" w:cs="Times New Roman"/>
          <w:sz w:val="26"/>
          <w:szCs w:val="26"/>
        </w:rPr>
        <w:t xml:space="preserve">the ALJs concluded, </w:t>
      </w:r>
      <w:r w:rsidR="00FB5300" w:rsidRPr="00496081">
        <w:rPr>
          <w:rFonts w:ascii="Times New Roman" w:hAnsi="Times New Roman" w:cs="Times New Roman"/>
          <w:i/>
          <w:sz w:val="26"/>
          <w:szCs w:val="26"/>
        </w:rPr>
        <w:t>inter alia,</w:t>
      </w:r>
      <w:r w:rsidR="00FB5300" w:rsidRPr="00496081">
        <w:rPr>
          <w:rFonts w:ascii="Times New Roman" w:hAnsi="Times New Roman" w:cs="Times New Roman"/>
          <w:sz w:val="26"/>
          <w:szCs w:val="26"/>
        </w:rPr>
        <w:t xml:space="preserve"> that the Settlement will permit Columbia Water to earn a reasonable rate of return.  We will not adopt this portion of the Recommended Decision.  As Columbia Water points out in its Exceptions, we </w:t>
      </w:r>
      <w:r w:rsidR="009763EE" w:rsidRPr="00496081">
        <w:rPr>
          <w:rFonts w:ascii="Times New Roman" w:hAnsi="Times New Roman" w:cs="Times New Roman"/>
          <w:sz w:val="26"/>
          <w:szCs w:val="26"/>
        </w:rPr>
        <w:t xml:space="preserve">recently determined in </w:t>
      </w:r>
      <w:r w:rsidR="009763EE" w:rsidRPr="00496081">
        <w:rPr>
          <w:rFonts w:ascii="Times New Roman" w:hAnsi="Times New Roman" w:cs="Times New Roman"/>
          <w:i/>
          <w:sz w:val="26"/>
          <w:szCs w:val="26"/>
        </w:rPr>
        <w:t>Manwalamink</w:t>
      </w:r>
      <w:r w:rsidR="009763EE" w:rsidRPr="00496081">
        <w:rPr>
          <w:rFonts w:ascii="Times New Roman" w:hAnsi="Times New Roman" w:cs="Times New Roman"/>
          <w:sz w:val="26"/>
          <w:szCs w:val="26"/>
        </w:rPr>
        <w:t xml:space="preserve"> that it would be improper in a proceeding involving a settlement to make a finding concerning the reasonableness of a specific rate of return, absent information concerning the specific components of the revenue requirement.  </w:t>
      </w:r>
      <w:r w:rsidR="009763EE" w:rsidRPr="00496081">
        <w:rPr>
          <w:rFonts w:ascii="Times New Roman" w:hAnsi="Times New Roman" w:cs="Times New Roman"/>
          <w:i/>
          <w:sz w:val="26"/>
          <w:szCs w:val="26"/>
        </w:rPr>
        <w:t xml:space="preserve">Manwalamink </w:t>
      </w:r>
      <w:r w:rsidR="009763EE" w:rsidRPr="00496081">
        <w:rPr>
          <w:rFonts w:ascii="Times New Roman" w:hAnsi="Times New Roman" w:cs="Times New Roman"/>
          <w:sz w:val="26"/>
          <w:szCs w:val="26"/>
        </w:rPr>
        <w:t xml:space="preserve">at 17; </w:t>
      </w:r>
      <w:r w:rsidR="009763EE" w:rsidRPr="00496081">
        <w:rPr>
          <w:rFonts w:ascii="Times New Roman" w:hAnsi="Times New Roman" w:cs="Times New Roman"/>
          <w:i/>
          <w:sz w:val="26"/>
          <w:szCs w:val="26"/>
        </w:rPr>
        <w:t>see also Pa. PUC v</w:t>
      </w:r>
      <w:r w:rsidR="001E3E4D">
        <w:rPr>
          <w:rFonts w:ascii="Times New Roman" w:hAnsi="Times New Roman" w:cs="Times New Roman"/>
          <w:i/>
          <w:sz w:val="26"/>
          <w:szCs w:val="26"/>
        </w:rPr>
        <w:t>.</w:t>
      </w:r>
      <w:r w:rsidR="009763EE" w:rsidRPr="00496081">
        <w:rPr>
          <w:rFonts w:ascii="Times New Roman" w:hAnsi="Times New Roman" w:cs="Times New Roman"/>
          <w:i/>
          <w:sz w:val="26"/>
          <w:szCs w:val="26"/>
        </w:rPr>
        <w:t xml:space="preserve"> Aqua Pennsylvania, Inc.</w:t>
      </w:r>
      <w:r w:rsidR="009763EE" w:rsidRPr="00496081">
        <w:rPr>
          <w:rFonts w:ascii="Times New Roman" w:hAnsi="Times New Roman" w:cs="Times New Roman"/>
          <w:sz w:val="26"/>
          <w:szCs w:val="26"/>
        </w:rPr>
        <w:t>,</w:t>
      </w:r>
      <w:r w:rsidR="009763EE" w:rsidRPr="00496081">
        <w:rPr>
          <w:rFonts w:ascii="Times New Roman" w:hAnsi="Times New Roman" w:cs="Times New Roman"/>
          <w:i/>
          <w:sz w:val="26"/>
          <w:szCs w:val="26"/>
        </w:rPr>
        <w:t xml:space="preserve"> </w:t>
      </w:r>
      <w:r w:rsidR="009763EE" w:rsidRPr="00496081">
        <w:rPr>
          <w:rFonts w:ascii="Times New Roman" w:hAnsi="Times New Roman" w:cs="Times New Roman"/>
          <w:sz w:val="26"/>
          <w:szCs w:val="26"/>
        </w:rPr>
        <w:t>Docket No. R</w:t>
      </w:r>
      <w:r w:rsidR="009763EE" w:rsidRPr="00496081">
        <w:rPr>
          <w:rFonts w:ascii="Times New Roman" w:hAnsi="Times New Roman" w:cs="Times New Roman"/>
          <w:sz w:val="26"/>
          <w:szCs w:val="26"/>
        </w:rPr>
        <w:noBreakHyphen/>
        <w:t>2009</w:t>
      </w:r>
      <w:r w:rsidR="009763EE" w:rsidRPr="00496081">
        <w:rPr>
          <w:rFonts w:ascii="Times New Roman" w:hAnsi="Times New Roman" w:cs="Times New Roman"/>
          <w:sz w:val="26"/>
          <w:szCs w:val="26"/>
        </w:rPr>
        <w:noBreakHyphen/>
        <w:t xml:space="preserve">2132019, </w:t>
      </w:r>
      <w:r w:rsidR="009763EE" w:rsidRPr="00496081">
        <w:rPr>
          <w:rFonts w:ascii="Times New Roman" w:hAnsi="Times New Roman" w:cs="Times New Roman"/>
          <w:i/>
          <w:sz w:val="26"/>
          <w:szCs w:val="26"/>
        </w:rPr>
        <w:t>slip op.</w:t>
      </w:r>
      <w:r w:rsidR="009763EE" w:rsidRPr="00496081">
        <w:rPr>
          <w:rFonts w:ascii="Times New Roman" w:hAnsi="Times New Roman" w:cs="Times New Roman"/>
          <w:sz w:val="26"/>
          <w:szCs w:val="26"/>
        </w:rPr>
        <w:t xml:space="preserve"> at 27 (Order entered June 16, 2010).  </w:t>
      </w:r>
      <w:r w:rsidR="006F71E4" w:rsidRPr="00496081">
        <w:rPr>
          <w:rFonts w:ascii="Times New Roman" w:hAnsi="Times New Roman" w:cs="Times New Roman"/>
          <w:sz w:val="26"/>
          <w:szCs w:val="26"/>
        </w:rPr>
        <w:t xml:space="preserve">We apply this same finding to the matter before us today.  Accordingly, we shall </w:t>
      </w:r>
      <w:r w:rsidR="00600AEF" w:rsidRPr="00496081">
        <w:rPr>
          <w:rFonts w:ascii="Times New Roman" w:hAnsi="Times New Roman" w:cs="Times New Roman"/>
          <w:sz w:val="26"/>
          <w:szCs w:val="26"/>
        </w:rPr>
        <w:t xml:space="preserve">amend the second sentence under the Disposition section on page 16 of the Recommended Decision to read as follows: “The Settlement allows Columbia to raise additional revenue for operating expenses and infrastructural improvements </w:t>
      </w:r>
      <w:r w:rsidR="00600AEF" w:rsidRPr="00496081">
        <w:rPr>
          <w:rFonts w:ascii="Times New Roman" w:hAnsi="Times New Roman" w:cs="Times New Roman"/>
          <w:strike/>
          <w:sz w:val="26"/>
          <w:szCs w:val="26"/>
        </w:rPr>
        <w:t>while allowing the Company to earn a reasonable rate of return</w:t>
      </w:r>
      <w:r w:rsidR="00600AEF" w:rsidRPr="00496081">
        <w:rPr>
          <w:rFonts w:ascii="Times New Roman" w:hAnsi="Times New Roman" w:cs="Times New Roman"/>
          <w:sz w:val="26"/>
          <w:szCs w:val="26"/>
        </w:rPr>
        <w:t>.”</w:t>
      </w:r>
    </w:p>
    <w:p w:rsidR="00531E69" w:rsidRPr="00496081" w:rsidRDefault="00531E69" w:rsidP="00496081">
      <w:pPr>
        <w:spacing w:line="360" w:lineRule="auto"/>
        <w:ind w:firstLine="1440"/>
        <w:contextualSpacing/>
        <w:rPr>
          <w:rFonts w:ascii="Times New Roman" w:hAnsi="Times New Roman" w:cs="Times New Roman"/>
          <w:sz w:val="26"/>
          <w:szCs w:val="26"/>
        </w:rPr>
      </w:pPr>
    </w:p>
    <w:p w:rsidR="003870D4" w:rsidRPr="00496081" w:rsidRDefault="00531E69" w:rsidP="00496081">
      <w:pPr>
        <w:spacing w:line="360" w:lineRule="auto"/>
        <w:ind w:firstLine="1440"/>
        <w:contextualSpacing/>
        <w:rPr>
          <w:rFonts w:ascii="Times New Roman" w:hAnsi="Times New Roman" w:cs="Times New Roman"/>
          <w:i/>
          <w:sz w:val="26"/>
          <w:szCs w:val="26"/>
        </w:rPr>
      </w:pPr>
      <w:r w:rsidRPr="00496081">
        <w:rPr>
          <w:rFonts w:ascii="Times New Roman" w:hAnsi="Times New Roman" w:cs="Times New Roman"/>
          <w:sz w:val="26"/>
          <w:szCs w:val="26"/>
        </w:rPr>
        <w:t xml:space="preserve">Based on the forgoing, we shall adopt the ALJs’ recommendation </w:t>
      </w:r>
      <w:r w:rsidR="00C76127" w:rsidRPr="00496081">
        <w:rPr>
          <w:rFonts w:ascii="Times New Roman" w:hAnsi="Times New Roman" w:cs="Times New Roman"/>
          <w:sz w:val="26"/>
          <w:szCs w:val="26"/>
        </w:rPr>
        <w:t xml:space="preserve">to grant the Joint Petition and </w:t>
      </w:r>
      <w:r w:rsidR="0079489F" w:rsidRPr="00496081">
        <w:rPr>
          <w:rFonts w:ascii="Times New Roman" w:hAnsi="Times New Roman" w:cs="Times New Roman"/>
          <w:sz w:val="26"/>
          <w:szCs w:val="26"/>
        </w:rPr>
        <w:t>a</w:t>
      </w:r>
      <w:r w:rsidR="007D2F7B" w:rsidRPr="00496081">
        <w:rPr>
          <w:rFonts w:ascii="Times New Roman" w:hAnsi="Times New Roman" w:cs="Times New Roman"/>
          <w:sz w:val="26"/>
          <w:szCs w:val="26"/>
        </w:rPr>
        <w:t>dopt</w:t>
      </w:r>
      <w:r w:rsidR="0079489F" w:rsidRPr="00496081">
        <w:rPr>
          <w:rFonts w:ascii="Times New Roman" w:hAnsi="Times New Roman" w:cs="Times New Roman"/>
          <w:sz w:val="26"/>
          <w:szCs w:val="26"/>
        </w:rPr>
        <w:t xml:space="preserve"> the Settlement</w:t>
      </w:r>
      <w:r w:rsidR="00C76127" w:rsidRPr="00496081">
        <w:rPr>
          <w:rFonts w:ascii="Times New Roman" w:hAnsi="Times New Roman" w:cs="Times New Roman"/>
          <w:sz w:val="26"/>
          <w:szCs w:val="26"/>
        </w:rPr>
        <w:t>, without modification</w:t>
      </w:r>
      <w:r w:rsidRPr="00496081">
        <w:rPr>
          <w:rFonts w:ascii="Times New Roman" w:hAnsi="Times New Roman" w:cs="Times New Roman"/>
          <w:sz w:val="26"/>
          <w:szCs w:val="26"/>
        </w:rPr>
        <w:t>.</w:t>
      </w:r>
      <w:r w:rsidR="00B025B7" w:rsidRPr="00496081">
        <w:rPr>
          <w:rFonts w:ascii="Times New Roman" w:hAnsi="Times New Roman" w:cs="Times New Roman"/>
          <w:sz w:val="26"/>
          <w:szCs w:val="26"/>
        </w:rPr>
        <w:t xml:space="preserve">  However, we shall also modify the ALJs’ Recommended </w:t>
      </w:r>
      <w:r w:rsidR="006B6335">
        <w:rPr>
          <w:rFonts w:ascii="Times New Roman" w:hAnsi="Times New Roman" w:cs="Times New Roman"/>
          <w:sz w:val="26"/>
          <w:szCs w:val="26"/>
        </w:rPr>
        <w:t>D</w:t>
      </w:r>
      <w:r w:rsidR="00B025B7" w:rsidRPr="00496081">
        <w:rPr>
          <w:rFonts w:ascii="Times New Roman" w:hAnsi="Times New Roman" w:cs="Times New Roman"/>
          <w:sz w:val="26"/>
          <w:szCs w:val="26"/>
        </w:rPr>
        <w:t>ecision as suggested by Columbia Water in its Exceptions and as</w:t>
      </w:r>
      <w:r w:rsidR="001A35E4" w:rsidRPr="00496081">
        <w:rPr>
          <w:rFonts w:ascii="Times New Roman" w:hAnsi="Times New Roman" w:cs="Times New Roman"/>
          <w:sz w:val="26"/>
          <w:szCs w:val="26"/>
        </w:rPr>
        <w:t xml:space="preserve"> further</w:t>
      </w:r>
      <w:r w:rsidR="00B025B7" w:rsidRPr="00496081">
        <w:rPr>
          <w:rFonts w:ascii="Times New Roman" w:hAnsi="Times New Roman" w:cs="Times New Roman"/>
          <w:sz w:val="26"/>
          <w:szCs w:val="26"/>
        </w:rPr>
        <w:t xml:space="preserve"> discussed, </w:t>
      </w:r>
      <w:r w:rsidR="00B025B7" w:rsidRPr="00496081">
        <w:rPr>
          <w:rFonts w:ascii="Times New Roman" w:hAnsi="Times New Roman" w:cs="Times New Roman"/>
          <w:i/>
          <w:sz w:val="26"/>
          <w:szCs w:val="26"/>
        </w:rPr>
        <w:t>supra.</w:t>
      </w:r>
    </w:p>
    <w:p w:rsidR="00B025B7" w:rsidRPr="00496081" w:rsidRDefault="00B025B7" w:rsidP="00496081">
      <w:pPr>
        <w:spacing w:line="360" w:lineRule="auto"/>
        <w:ind w:firstLine="1440"/>
        <w:contextualSpacing/>
        <w:rPr>
          <w:rFonts w:ascii="Times New Roman" w:eastAsia="Times New Roman" w:hAnsi="Times New Roman" w:cs="Times New Roman"/>
          <w:sz w:val="26"/>
          <w:szCs w:val="26"/>
        </w:rPr>
      </w:pPr>
    </w:p>
    <w:p w:rsidR="003870D4" w:rsidRPr="00496081" w:rsidRDefault="003870D4" w:rsidP="00496081">
      <w:pPr>
        <w:keepNext/>
        <w:keepLines/>
        <w:spacing w:line="360" w:lineRule="auto"/>
        <w:contextualSpacing/>
        <w:jc w:val="center"/>
        <w:rPr>
          <w:rFonts w:ascii="Times New Roman" w:eastAsia="Times New Roman" w:hAnsi="Times New Roman" w:cs="Times New Roman"/>
          <w:b/>
          <w:sz w:val="26"/>
          <w:szCs w:val="26"/>
        </w:rPr>
      </w:pPr>
      <w:r w:rsidRPr="00496081">
        <w:rPr>
          <w:rFonts w:ascii="Times New Roman" w:eastAsia="Times New Roman" w:hAnsi="Times New Roman" w:cs="Times New Roman"/>
          <w:b/>
          <w:sz w:val="26"/>
          <w:szCs w:val="26"/>
        </w:rPr>
        <w:t>IV.</w:t>
      </w:r>
      <w:r w:rsidRPr="00496081">
        <w:rPr>
          <w:rFonts w:ascii="Times New Roman" w:eastAsia="Times New Roman" w:hAnsi="Times New Roman" w:cs="Times New Roman"/>
          <w:b/>
          <w:sz w:val="26"/>
          <w:szCs w:val="26"/>
        </w:rPr>
        <w:tab/>
        <w:t>Conclusion</w:t>
      </w:r>
    </w:p>
    <w:p w:rsidR="003870D4" w:rsidRPr="00496081" w:rsidRDefault="003870D4" w:rsidP="00496081">
      <w:pPr>
        <w:keepNext/>
        <w:keepLines/>
        <w:spacing w:line="360" w:lineRule="auto"/>
        <w:contextualSpacing/>
        <w:rPr>
          <w:rFonts w:ascii="Times New Roman" w:eastAsia="Times New Roman" w:hAnsi="Times New Roman" w:cs="Times New Roman"/>
          <w:sz w:val="26"/>
          <w:szCs w:val="26"/>
        </w:rPr>
      </w:pPr>
    </w:p>
    <w:p w:rsidR="0073752C" w:rsidRPr="00496081" w:rsidRDefault="00A964A6" w:rsidP="00496081">
      <w:pPr>
        <w:tabs>
          <w:tab w:val="left" w:pos="-720"/>
        </w:tabs>
        <w:suppressAutoHyphens/>
        <w:spacing w:line="360" w:lineRule="auto"/>
        <w:ind w:firstLine="1440"/>
        <w:contextualSpacing/>
        <w:rPr>
          <w:rFonts w:ascii="Times New Roman" w:eastAsia="Calibri" w:hAnsi="Times New Roman" w:cs="Times New Roman"/>
          <w:spacing w:val="-3"/>
          <w:sz w:val="26"/>
          <w:szCs w:val="26"/>
        </w:rPr>
      </w:pPr>
      <w:r w:rsidRPr="00496081">
        <w:rPr>
          <w:rFonts w:ascii="Times New Roman" w:eastAsia="Calibri" w:hAnsi="Times New Roman" w:cs="Times New Roman"/>
          <w:spacing w:val="-3"/>
          <w:sz w:val="26"/>
          <w:szCs w:val="26"/>
        </w:rPr>
        <w:t xml:space="preserve">It is the Commission’s policy to promote settlements.  52 Pa. Code § 5.231.  </w:t>
      </w:r>
      <w:r w:rsidR="00E25AC4" w:rsidRPr="00496081">
        <w:rPr>
          <w:rFonts w:ascii="Times New Roman" w:eastAsia="Calibri" w:hAnsi="Times New Roman" w:cs="Times New Roman"/>
          <w:spacing w:val="-3"/>
          <w:sz w:val="26"/>
          <w:szCs w:val="26"/>
        </w:rPr>
        <w:t>In our view,</w:t>
      </w:r>
      <w:r w:rsidR="00663FC3" w:rsidRPr="00496081">
        <w:rPr>
          <w:rFonts w:ascii="Times New Roman" w:eastAsia="Calibri" w:hAnsi="Times New Roman" w:cs="Times New Roman"/>
          <w:spacing w:val="-3"/>
          <w:sz w:val="26"/>
          <w:szCs w:val="26"/>
        </w:rPr>
        <w:t xml:space="preserve"> t</w:t>
      </w:r>
      <w:r w:rsidRPr="00496081">
        <w:rPr>
          <w:rFonts w:ascii="Times New Roman" w:eastAsia="Calibri" w:hAnsi="Times New Roman" w:cs="Times New Roman"/>
          <w:spacing w:val="-3"/>
          <w:sz w:val="26"/>
          <w:szCs w:val="26"/>
        </w:rPr>
        <w:t xml:space="preserve">he Parties herein have provided the Commission with sufficient information upon which to thoroughly consider the terms of the proposed Joint Petition for Settlement.  Based on our review of the record </w:t>
      </w:r>
      <w:r w:rsidR="00663FC3" w:rsidRPr="00496081">
        <w:rPr>
          <w:rFonts w:ascii="Times New Roman" w:eastAsia="Calibri" w:hAnsi="Times New Roman" w:cs="Times New Roman"/>
          <w:spacing w:val="-3"/>
          <w:sz w:val="26"/>
          <w:szCs w:val="26"/>
        </w:rPr>
        <w:t xml:space="preserve">evidence </w:t>
      </w:r>
      <w:r w:rsidRPr="00496081">
        <w:rPr>
          <w:rFonts w:ascii="Times New Roman" w:eastAsia="Calibri" w:hAnsi="Times New Roman" w:cs="Times New Roman"/>
          <w:spacing w:val="-3"/>
          <w:sz w:val="26"/>
          <w:szCs w:val="26"/>
        </w:rPr>
        <w:t>in this case, including the Joint Petition for Settlement and the Statements in Support thereof, we find that the proposed Joint Petition for Settlement between</w:t>
      </w:r>
      <w:r w:rsidR="00370D54" w:rsidRPr="00496081">
        <w:rPr>
          <w:rFonts w:ascii="Times New Roman" w:eastAsia="Calibri" w:hAnsi="Times New Roman" w:cs="Times New Roman"/>
          <w:spacing w:val="-3"/>
          <w:sz w:val="26"/>
          <w:szCs w:val="26"/>
        </w:rPr>
        <w:t xml:space="preserve"> </w:t>
      </w:r>
      <w:r w:rsidR="00764FBA" w:rsidRPr="00496081">
        <w:rPr>
          <w:rFonts w:ascii="Times New Roman" w:eastAsia="Calibri" w:hAnsi="Times New Roman" w:cs="Times New Roman"/>
          <w:spacing w:val="-3"/>
          <w:sz w:val="26"/>
          <w:szCs w:val="26"/>
        </w:rPr>
        <w:t>Columbia Water, the OCA, the OSBA, and I&amp;E</w:t>
      </w:r>
      <w:r w:rsidR="00370D54" w:rsidRPr="00496081">
        <w:rPr>
          <w:rFonts w:ascii="Times New Roman" w:eastAsia="Calibri" w:hAnsi="Times New Roman" w:cs="Times New Roman"/>
          <w:spacing w:val="-3"/>
          <w:sz w:val="26"/>
          <w:szCs w:val="26"/>
        </w:rPr>
        <w:t xml:space="preserve"> is in the public interest.</w:t>
      </w:r>
    </w:p>
    <w:p w:rsidR="00BC1CB2" w:rsidRPr="00496081" w:rsidRDefault="00BC1CB2" w:rsidP="00496081">
      <w:pPr>
        <w:tabs>
          <w:tab w:val="left" w:pos="-720"/>
        </w:tabs>
        <w:suppressAutoHyphens/>
        <w:spacing w:line="360" w:lineRule="auto"/>
        <w:ind w:firstLine="1440"/>
        <w:contextualSpacing/>
        <w:rPr>
          <w:rFonts w:ascii="Times New Roman" w:eastAsia="Calibri" w:hAnsi="Times New Roman" w:cs="Times New Roman"/>
          <w:spacing w:val="-3"/>
          <w:sz w:val="26"/>
          <w:szCs w:val="26"/>
        </w:rPr>
      </w:pPr>
    </w:p>
    <w:p w:rsidR="00EF699A" w:rsidRPr="00496081" w:rsidRDefault="00370D54" w:rsidP="00496081">
      <w:pPr>
        <w:tabs>
          <w:tab w:val="left" w:pos="-720"/>
        </w:tabs>
        <w:suppressAutoHyphens/>
        <w:spacing w:line="360" w:lineRule="auto"/>
        <w:ind w:firstLine="1440"/>
        <w:contextualSpacing/>
        <w:rPr>
          <w:rFonts w:ascii="Times New Roman" w:eastAsia="Calibri" w:hAnsi="Times New Roman" w:cs="Times New Roman"/>
          <w:spacing w:val="-3"/>
          <w:sz w:val="26"/>
          <w:szCs w:val="26"/>
        </w:rPr>
      </w:pPr>
      <w:r w:rsidRPr="00496081">
        <w:rPr>
          <w:rFonts w:ascii="Times New Roman" w:eastAsia="Calibri" w:hAnsi="Times New Roman" w:cs="Times New Roman"/>
          <w:spacing w:val="-3"/>
          <w:sz w:val="26"/>
          <w:szCs w:val="26"/>
        </w:rPr>
        <w:t xml:space="preserve">Accordingly, we shall </w:t>
      </w:r>
      <w:r w:rsidR="008E4ACF" w:rsidRPr="00496081">
        <w:rPr>
          <w:rFonts w:ascii="Times New Roman" w:eastAsia="Calibri" w:hAnsi="Times New Roman" w:cs="Times New Roman"/>
          <w:spacing w:val="-3"/>
          <w:sz w:val="26"/>
          <w:szCs w:val="26"/>
        </w:rPr>
        <w:t>grant the Exceptions of Columbia Water</w:t>
      </w:r>
      <w:r w:rsidR="0073752C" w:rsidRPr="00496081">
        <w:rPr>
          <w:rFonts w:ascii="Times New Roman" w:eastAsia="Calibri" w:hAnsi="Times New Roman" w:cs="Times New Roman"/>
          <w:spacing w:val="-3"/>
          <w:sz w:val="26"/>
          <w:szCs w:val="26"/>
        </w:rPr>
        <w:t xml:space="preserve">, </w:t>
      </w:r>
      <w:r w:rsidR="00A33E1D" w:rsidRPr="00496081">
        <w:rPr>
          <w:rFonts w:ascii="Times New Roman" w:eastAsia="Calibri" w:hAnsi="Times New Roman" w:cs="Times New Roman"/>
          <w:spacing w:val="-3"/>
          <w:sz w:val="26"/>
          <w:szCs w:val="26"/>
        </w:rPr>
        <w:t xml:space="preserve">adopt the </w:t>
      </w:r>
      <w:r w:rsidRPr="00496081">
        <w:rPr>
          <w:rFonts w:ascii="Times New Roman" w:eastAsia="Calibri" w:hAnsi="Times New Roman" w:cs="Times New Roman"/>
          <w:spacing w:val="-3"/>
          <w:sz w:val="26"/>
          <w:szCs w:val="26"/>
        </w:rPr>
        <w:t>Recommended Decision, as modified, consistent with this Opinion and Order, and grant the Joint Petition for Settlement</w:t>
      </w:r>
      <w:r w:rsidR="00C43327" w:rsidRPr="00496081">
        <w:rPr>
          <w:rFonts w:ascii="Times New Roman" w:eastAsia="Calibri" w:hAnsi="Times New Roman" w:cs="Times New Roman"/>
          <w:spacing w:val="-3"/>
          <w:sz w:val="26"/>
          <w:szCs w:val="26"/>
        </w:rPr>
        <w:t xml:space="preserve">.  </w:t>
      </w:r>
      <w:r w:rsidR="00EF699A" w:rsidRPr="00496081">
        <w:rPr>
          <w:rFonts w:ascii="Times New Roman" w:eastAsia="Calibri" w:hAnsi="Times New Roman" w:cs="Times New Roman"/>
          <w:b/>
          <w:spacing w:val="-3"/>
          <w:sz w:val="26"/>
          <w:szCs w:val="26"/>
        </w:rPr>
        <w:t>THEREFORE;</w:t>
      </w:r>
    </w:p>
    <w:p w:rsidR="00EF699A" w:rsidRPr="00496081" w:rsidRDefault="00EF699A" w:rsidP="00496081">
      <w:pPr>
        <w:spacing w:after="0" w:line="360" w:lineRule="auto"/>
        <w:ind w:left="720" w:hanging="720"/>
        <w:contextualSpacing/>
        <w:rPr>
          <w:rFonts w:ascii="Times New Roman" w:eastAsia="Calibri" w:hAnsi="Times New Roman" w:cs="Times New Roman"/>
          <w:sz w:val="26"/>
          <w:szCs w:val="26"/>
        </w:rPr>
      </w:pPr>
    </w:p>
    <w:p w:rsidR="00EF699A" w:rsidRPr="00496081" w:rsidRDefault="00F77D15" w:rsidP="00B11A79">
      <w:pPr>
        <w:keepNext/>
        <w:keepLines/>
        <w:spacing w:after="0" w:line="360" w:lineRule="auto"/>
        <w:ind w:left="720"/>
        <w:contextualSpacing/>
        <w:rPr>
          <w:rFonts w:ascii="Times New Roman" w:eastAsia="Calibri" w:hAnsi="Times New Roman" w:cs="Times New Roman"/>
          <w:b/>
          <w:color w:val="333333"/>
          <w:sz w:val="26"/>
          <w:szCs w:val="26"/>
        </w:rPr>
      </w:pPr>
      <w:r w:rsidRPr="00496081">
        <w:rPr>
          <w:rFonts w:ascii="Times New Roman" w:eastAsia="Calibri" w:hAnsi="Times New Roman" w:cs="Times New Roman"/>
          <w:b/>
          <w:color w:val="333333"/>
          <w:sz w:val="26"/>
          <w:szCs w:val="26"/>
        </w:rPr>
        <w:tab/>
      </w:r>
      <w:r w:rsidR="00EF699A" w:rsidRPr="00496081">
        <w:rPr>
          <w:rFonts w:ascii="Times New Roman" w:eastAsia="Calibri" w:hAnsi="Times New Roman" w:cs="Times New Roman"/>
          <w:b/>
          <w:color w:val="333333"/>
          <w:sz w:val="26"/>
          <w:szCs w:val="26"/>
        </w:rPr>
        <w:t>IT IS ORDERED:</w:t>
      </w:r>
    </w:p>
    <w:p w:rsidR="00EF699A" w:rsidRPr="00496081" w:rsidRDefault="00EF699A" w:rsidP="00B11A79">
      <w:pPr>
        <w:keepNext/>
        <w:keepLines/>
        <w:spacing w:after="0" w:line="360" w:lineRule="auto"/>
        <w:ind w:left="720"/>
        <w:contextualSpacing/>
        <w:rPr>
          <w:rFonts w:ascii="Times New Roman" w:eastAsia="Calibri" w:hAnsi="Times New Roman" w:cs="Times New Roman"/>
          <w:b/>
          <w:sz w:val="26"/>
          <w:szCs w:val="26"/>
        </w:rPr>
      </w:pPr>
    </w:p>
    <w:p w:rsidR="00FE1630" w:rsidRPr="00496081" w:rsidRDefault="00B21D40" w:rsidP="00B11A79">
      <w:pPr>
        <w:keepNext/>
        <w:keepLines/>
        <w:spacing w:line="360" w:lineRule="auto"/>
        <w:ind w:firstLine="1440"/>
        <w:contextualSpacing/>
        <w:rPr>
          <w:rFonts w:ascii="Times New Roman" w:hAnsi="Times New Roman" w:cs="Times New Roman"/>
          <w:sz w:val="26"/>
          <w:szCs w:val="26"/>
        </w:rPr>
      </w:pPr>
      <w:r w:rsidRPr="00496081">
        <w:rPr>
          <w:rFonts w:ascii="Times New Roman" w:eastAsia="Calibri" w:hAnsi="Times New Roman" w:cs="Times New Roman"/>
          <w:spacing w:val="-3"/>
          <w:sz w:val="26"/>
          <w:szCs w:val="26"/>
        </w:rPr>
        <w:t>1.</w:t>
      </w:r>
      <w:r w:rsidR="00EF699A" w:rsidRPr="00496081">
        <w:rPr>
          <w:rFonts w:ascii="Times New Roman" w:eastAsia="Calibri" w:hAnsi="Times New Roman" w:cs="Times New Roman"/>
          <w:spacing w:val="-3"/>
          <w:sz w:val="26"/>
          <w:szCs w:val="26"/>
        </w:rPr>
        <w:tab/>
        <w:t>That</w:t>
      </w:r>
      <w:r w:rsidR="005D6803" w:rsidRPr="00496081">
        <w:rPr>
          <w:rFonts w:ascii="Times New Roman" w:eastAsia="Calibri" w:hAnsi="Times New Roman" w:cs="Times New Roman"/>
          <w:spacing w:val="-3"/>
          <w:sz w:val="26"/>
          <w:szCs w:val="26"/>
        </w:rPr>
        <w:t xml:space="preserve"> </w:t>
      </w:r>
      <w:r w:rsidR="005D6803" w:rsidRPr="00496081">
        <w:rPr>
          <w:rFonts w:ascii="Times New Roman" w:hAnsi="Times New Roman" w:cs="Times New Roman"/>
          <w:sz w:val="26"/>
          <w:szCs w:val="26"/>
        </w:rPr>
        <w:t xml:space="preserve">the </w:t>
      </w:r>
      <w:r w:rsidR="005C3B47" w:rsidRPr="00496081">
        <w:rPr>
          <w:rFonts w:ascii="Times New Roman" w:hAnsi="Times New Roman" w:cs="Times New Roman"/>
          <w:sz w:val="26"/>
          <w:szCs w:val="26"/>
        </w:rPr>
        <w:t xml:space="preserve">Exceptions </w:t>
      </w:r>
      <w:r w:rsidR="0011639A" w:rsidRPr="00496081">
        <w:rPr>
          <w:rFonts w:ascii="Times New Roman" w:hAnsi="Times New Roman" w:cs="Times New Roman"/>
          <w:sz w:val="26"/>
          <w:szCs w:val="26"/>
        </w:rPr>
        <w:t>of</w:t>
      </w:r>
      <w:r w:rsidR="005C3B47" w:rsidRPr="00496081">
        <w:rPr>
          <w:rFonts w:ascii="Times New Roman" w:hAnsi="Times New Roman" w:cs="Times New Roman"/>
          <w:sz w:val="26"/>
          <w:szCs w:val="26"/>
        </w:rPr>
        <w:t xml:space="preserve"> the</w:t>
      </w:r>
      <w:r w:rsidR="0011639A" w:rsidRPr="00496081">
        <w:rPr>
          <w:rFonts w:ascii="Times New Roman" w:hAnsi="Times New Roman" w:cs="Times New Roman"/>
          <w:sz w:val="26"/>
          <w:szCs w:val="26"/>
        </w:rPr>
        <w:t xml:space="preserve"> Columbia Water Company</w:t>
      </w:r>
      <w:r w:rsidR="005D6803" w:rsidRPr="00496081">
        <w:rPr>
          <w:rFonts w:ascii="Times New Roman" w:hAnsi="Times New Roman" w:cs="Times New Roman"/>
          <w:sz w:val="26"/>
          <w:szCs w:val="26"/>
        </w:rPr>
        <w:t xml:space="preserve"> filed</w:t>
      </w:r>
      <w:r w:rsidR="00884C9E" w:rsidRPr="00496081">
        <w:rPr>
          <w:rFonts w:ascii="Times New Roman" w:hAnsi="Times New Roman" w:cs="Times New Roman"/>
          <w:sz w:val="26"/>
          <w:szCs w:val="26"/>
        </w:rPr>
        <w:t xml:space="preserve"> on </w:t>
      </w:r>
      <w:r w:rsidR="0011639A" w:rsidRPr="00496081">
        <w:rPr>
          <w:rFonts w:ascii="Times New Roman" w:hAnsi="Times New Roman" w:cs="Times New Roman"/>
          <w:sz w:val="26"/>
          <w:szCs w:val="26"/>
        </w:rPr>
        <w:t>January 22, 2018</w:t>
      </w:r>
      <w:r w:rsidR="00884C9E" w:rsidRPr="00496081">
        <w:rPr>
          <w:rFonts w:ascii="Times New Roman" w:hAnsi="Times New Roman" w:cs="Times New Roman"/>
          <w:sz w:val="26"/>
          <w:szCs w:val="26"/>
        </w:rPr>
        <w:t>,</w:t>
      </w:r>
      <w:r w:rsidR="005D6803" w:rsidRPr="00496081">
        <w:rPr>
          <w:rFonts w:ascii="Times New Roman" w:hAnsi="Times New Roman" w:cs="Times New Roman"/>
          <w:sz w:val="26"/>
          <w:szCs w:val="26"/>
        </w:rPr>
        <w:t xml:space="preserve"> to the Recommended Decision of Administrative Law Judges Joel</w:t>
      </w:r>
      <w:r w:rsidR="006B6335">
        <w:rPr>
          <w:rFonts w:ascii="Times New Roman" w:hAnsi="Times New Roman" w:cs="Times New Roman"/>
          <w:sz w:val="26"/>
          <w:szCs w:val="26"/>
        </w:rPr>
        <w:t> </w:t>
      </w:r>
      <w:r w:rsidR="005D6803" w:rsidRPr="00496081">
        <w:rPr>
          <w:rFonts w:ascii="Times New Roman" w:hAnsi="Times New Roman" w:cs="Times New Roman"/>
          <w:sz w:val="26"/>
          <w:szCs w:val="26"/>
        </w:rPr>
        <w:t>H.</w:t>
      </w:r>
      <w:r w:rsidR="006B6335">
        <w:rPr>
          <w:rFonts w:ascii="Times New Roman" w:hAnsi="Times New Roman" w:cs="Times New Roman"/>
          <w:sz w:val="26"/>
          <w:szCs w:val="26"/>
        </w:rPr>
        <w:t> </w:t>
      </w:r>
      <w:r w:rsidR="005D6803" w:rsidRPr="00496081">
        <w:rPr>
          <w:rFonts w:ascii="Times New Roman" w:hAnsi="Times New Roman" w:cs="Times New Roman"/>
          <w:sz w:val="26"/>
          <w:szCs w:val="26"/>
        </w:rPr>
        <w:t>Cheskis and Andrew</w:t>
      </w:r>
      <w:r w:rsidR="00FC0D4C" w:rsidRPr="00496081">
        <w:rPr>
          <w:rFonts w:ascii="Times New Roman" w:hAnsi="Times New Roman" w:cs="Times New Roman"/>
          <w:sz w:val="26"/>
          <w:szCs w:val="26"/>
        </w:rPr>
        <w:t> </w:t>
      </w:r>
      <w:r w:rsidR="005D6803" w:rsidRPr="00496081">
        <w:rPr>
          <w:rFonts w:ascii="Times New Roman" w:hAnsi="Times New Roman" w:cs="Times New Roman"/>
          <w:sz w:val="26"/>
          <w:szCs w:val="26"/>
        </w:rPr>
        <w:t>M.</w:t>
      </w:r>
      <w:r w:rsidR="00FC0D4C" w:rsidRPr="00496081">
        <w:rPr>
          <w:rFonts w:ascii="Times New Roman" w:hAnsi="Times New Roman" w:cs="Times New Roman"/>
          <w:sz w:val="26"/>
          <w:szCs w:val="26"/>
        </w:rPr>
        <w:t> </w:t>
      </w:r>
      <w:r w:rsidR="005D6803" w:rsidRPr="00496081">
        <w:rPr>
          <w:rFonts w:ascii="Times New Roman" w:hAnsi="Times New Roman" w:cs="Times New Roman"/>
          <w:sz w:val="26"/>
          <w:szCs w:val="26"/>
        </w:rPr>
        <w:t xml:space="preserve">Calvelli </w:t>
      </w:r>
      <w:r w:rsidR="0011639A" w:rsidRPr="00496081">
        <w:rPr>
          <w:rFonts w:ascii="Times New Roman" w:hAnsi="Times New Roman" w:cs="Times New Roman"/>
          <w:sz w:val="26"/>
          <w:szCs w:val="26"/>
        </w:rPr>
        <w:t>are granted</w:t>
      </w:r>
      <w:r w:rsidR="001E3E4D">
        <w:rPr>
          <w:rFonts w:ascii="Times New Roman" w:hAnsi="Times New Roman" w:cs="Times New Roman"/>
          <w:sz w:val="26"/>
          <w:szCs w:val="26"/>
        </w:rPr>
        <w:t>.</w:t>
      </w:r>
    </w:p>
    <w:p w:rsidR="005D6803" w:rsidRPr="00496081" w:rsidRDefault="005D6803" w:rsidP="00496081">
      <w:pPr>
        <w:spacing w:line="360" w:lineRule="auto"/>
        <w:ind w:firstLine="1440"/>
        <w:contextualSpacing/>
        <w:rPr>
          <w:rFonts w:ascii="Times New Roman" w:hAnsi="Times New Roman" w:cs="Times New Roman"/>
          <w:sz w:val="26"/>
          <w:szCs w:val="26"/>
        </w:rPr>
      </w:pPr>
    </w:p>
    <w:p w:rsidR="005D6803" w:rsidRPr="00496081" w:rsidRDefault="005D6803"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2.</w:t>
      </w:r>
      <w:r w:rsidRPr="00496081">
        <w:rPr>
          <w:rFonts w:ascii="Times New Roman" w:hAnsi="Times New Roman" w:cs="Times New Roman"/>
          <w:sz w:val="26"/>
          <w:szCs w:val="26"/>
        </w:rPr>
        <w:tab/>
        <w:t>That the Recommended Decision of Administrative Law Judges Joel</w:t>
      </w:r>
      <w:r w:rsidR="00FC0D4C" w:rsidRPr="00496081">
        <w:rPr>
          <w:rFonts w:ascii="Times New Roman" w:hAnsi="Times New Roman" w:cs="Times New Roman"/>
          <w:sz w:val="26"/>
          <w:szCs w:val="26"/>
        </w:rPr>
        <w:t> </w:t>
      </w:r>
      <w:r w:rsidRPr="00496081">
        <w:rPr>
          <w:rFonts w:ascii="Times New Roman" w:hAnsi="Times New Roman" w:cs="Times New Roman"/>
          <w:sz w:val="26"/>
          <w:szCs w:val="26"/>
        </w:rPr>
        <w:t>H.</w:t>
      </w:r>
      <w:r w:rsidR="00FC0D4C" w:rsidRPr="00496081">
        <w:rPr>
          <w:rFonts w:ascii="Times New Roman" w:hAnsi="Times New Roman" w:cs="Times New Roman"/>
          <w:sz w:val="26"/>
          <w:szCs w:val="26"/>
        </w:rPr>
        <w:t> </w:t>
      </w:r>
      <w:r w:rsidRPr="00496081">
        <w:rPr>
          <w:rFonts w:ascii="Times New Roman" w:hAnsi="Times New Roman" w:cs="Times New Roman"/>
          <w:sz w:val="26"/>
          <w:szCs w:val="26"/>
        </w:rPr>
        <w:t xml:space="preserve">Cheskis and Andrew M. Calvelli, issued on </w:t>
      </w:r>
      <w:r w:rsidR="0011639A" w:rsidRPr="00496081">
        <w:rPr>
          <w:rFonts w:ascii="Times New Roman" w:hAnsi="Times New Roman" w:cs="Times New Roman"/>
          <w:sz w:val="26"/>
          <w:szCs w:val="26"/>
        </w:rPr>
        <w:t>January 12, 2018</w:t>
      </w:r>
      <w:r w:rsidRPr="00496081">
        <w:rPr>
          <w:rFonts w:ascii="Times New Roman" w:hAnsi="Times New Roman" w:cs="Times New Roman"/>
          <w:sz w:val="26"/>
          <w:szCs w:val="26"/>
        </w:rPr>
        <w:t>, is adopted, as modified by this Opinion and Order.</w:t>
      </w:r>
    </w:p>
    <w:p w:rsidR="002A584C" w:rsidRPr="00496081" w:rsidRDefault="002A584C" w:rsidP="00496081">
      <w:pPr>
        <w:spacing w:line="360" w:lineRule="auto"/>
        <w:ind w:firstLine="1440"/>
        <w:contextualSpacing/>
        <w:rPr>
          <w:rFonts w:ascii="Times New Roman" w:hAnsi="Times New Roman" w:cs="Times New Roman"/>
          <w:sz w:val="26"/>
          <w:szCs w:val="26"/>
        </w:rPr>
      </w:pPr>
    </w:p>
    <w:p w:rsidR="005D6803" w:rsidRPr="00496081" w:rsidRDefault="0022459D"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3</w:t>
      </w:r>
      <w:r w:rsidR="005D6803" w:rsidRPr="00496081">
        <w:rPr>
          <w:rFonts w:ascii="Times New Roman" w:hAnsi="Times New Roman" w:cs="Times New Roman"/>
          <w:sz w:val="26"/>
          <w:szCs w:val="26"/>
        </w:rPr>
        <w:t>.</w:t>
      </w:r>
      <w:r w:rsidR="005D6803" w:rsidRPr="00496081">
        <w:rPr>
          <w:rFonts w:ascii="Times New Roman" w:hAnsi="Times New Roman" w:cs="Times New Roman"/>
          <w:sz w:val="26"/>
          <w:szCs w:val="26"/>
        </w:rPr>
        <w:tab/>
        <w:t xml:space="preserve">That the Joint Petition for </w:t>
      </w:r>
      <w:r w:rsidR="00E5308D" w:rsidRPr="00496081">
        <w:rPr>
          <w:rFonts w:ascii="Times New Roman" w:hAnsi="Times New Roman" w:cs="Times New Roman"/>
          <w:sz w:val="26"/>
          <w:szCs w:val="26"/>
        </w:rPr>
        <w:t>Settlement</w:t>
      </w:r>
      <w:r w:rsidR="005D6803" w:rsidRPr="00496081">
        <w:rPr>
          <w:rFonts w:ascii="Times New Roman" w:hAnsi="Times New Roman" w:cs="Times New Roman"/>
          <w:sz w:val="26"/>
          <w:szCs w:val="26"/>
        </w:rPr>
        <w:t xml:space="preserve">, filed by </w:t>
      </w:r>
      <w:r w:rsidR="005C3B47" w:rsidRPr="00496081">
        <w:rPr>
          <w:rFonts w:ascii="Times New Roman" w:hAnsi="Times New Roman" w:cs="Times New Roman"/>
          <w:sz w:val="26"/>
          <w:szCs w:val="26"/>
        </w:rPr>
        <w:t xml:space="preserve">the </w:t>
      </w:r>
      <w:r w:rsidRPr="00496081">
        <w:rPr>
          <w:rFonts w:ascii="Times New Roman" w:hAnsi="Times New Roman" w:cs="Times New Roman"/>
          <w:sz w:val="26"/>
          <w:szCs w:val="26"/>
        </w:rPr>
        <w:t>Columbia</w:t>
      </w:r>
      <w:r w:rsidR="00625BB7" w:rsidRPr="00496081">
        <w:rPr>
          <w:rFonts w:ascii="Times New Roman" w:hAnsi="Times New Roman" w:cs="Times New Roman"/>
          <w:sz w:val="26"/>
          <w:szCs w:val="26"/>
        </w:rPr>
        <w:t xml:space="preserve"> Water</w:t>
      </w:r>
      <w:r w:rsidR="005D6803" w:rsidRPr="00496081">
        <w:rPr>
          <w:rFonts w:ascii="Times New Roman" w:hAnsi="Times New Roman" w:cs="Times New Roman"/>
          <w:sz w:val="26"/>
          <w:szCs w:val="26"/>
        </w:rPr>
        <w:t xml:space="preserve"> </w:t>
      </w:r>
      <w:r w:rsidRPr="00496081">
        <w:rPr>
          <w:rFonts w:ascii="Times New Roman" w:hAnsi="Times New Roman" w:cs="Times New Roman"/>
          <w:sz w:val="26"/>
          <w:szCs w:val="26"/>
        </w:rPr>
        <w:t>Company,</w:t>
      </w:r>
      <w:r w:rsidR="00625BB7" w:rsidRPr="00496081">
        <w:rPr>
          <w:rFonts w:ascii="Times New Roman" w:hAnsi="Times New Roman" w:cs="Times New Roman"/>
          <w:sz w:val="26"/>
          <w:szCs w:val="26"/>
        </w:rPr>
        <w:t xml:space="preserve"> the Office of Consumer Advocate</w:t>
      </w:r>
      <w:r w:rsidR="001A1059" w:rsidRPr="00496081">
        <w:rPr>
          <w:rFonts w:ascii="Times New Roman" w:hAnsi="Times New Roman" w:cs="Times New Roman"/>
          <w:sz w:val="26"/>
          <w:szCs w:val="26"/>
        </w:rPr>
        <w:t>,</w:t>
      </w:r>
      <w:r w:rsidR="005D6803" w:rsidRPr="00496081">
        <w:rPr>
          <w:rFonts w:ascii="Times New Roman" w:hAnsi="Times New Roman" w:cs="Times New Roman"/>
          <w:sz w:val="26"/>
          <w:szCs w:val="26"/>
        </w:rPr>
        <w:t xml:space="preserve"> </w:t>
      </w:r>
      <w:r w:rsidRPr="00496081">
        <w:rPr>
          <w:rFonts w:ascii="Times New Roman" w:hAnsi="Times New Roman" w:cs="Times New Roman"/>
          <w:sz w:val="26"/>
          <w:szCs w:val="26"/>
        </w:rPr>
        <w:t xml:space="preserve">the Office of Small Business Advocate, and the Bureau of Investigation and Enforcement </w:t>
      </w:r>
      <w:r w:rsidR="005D6803" w:rsidRPr="00496081">
        <w:rPr>
          <w:rFonts w:ascii="Times New Roman" w:hAnsi="Times New Roman" w:cs="Times New Roman"/>
          <w:sz w:val="26"/>
          <w:szCs w:val="26"/>
        </w:rPr>
        <w:t xml:space="preserve">on </w:t>
      </w:r>
      <w:r w:rsidRPr="00496081">
        <w:rPr>
          <w:rFonts w:ascii="Times New Roman" w:hAnsi="Times New Roman" w:cs="Times New Roman"/>
          <w:sz w:val="26"/>
          <w:szCs w:val="26"/>
        </w:rPr>
        <w:t>December 12</w:t>
      </w:r>
      <w:r w:rsidR="005D6803" w:rsidRPr="00496081">
        <w:rPr>
          <w:rFonts w:ascii="Times New Roman" w:hAnsi="Times New Roman" w:cs="Times New Roman"/>
          <w:sz w:val="26"/>
          <w:szCs w:val="26"/>
        </w:rPr>
        <w:t>, 201</w:t>
      </w:r>
      <w:r w:rsidR="00625BB7" w:rsidRPr="00496081">
        <w:rPr>
          <w:rFonts w:ascii="Times New Roman" w:hAnsi="Times New Roman" w:cs="Times New Roman"/>
          <w:sz w:val="26"/>
          <w:szCs w:val="26"/>
        </w:rPr>
        <w:t>7</w:t>
      </w:r>
      <w:r w:rsidR="004E0B21" w:rsidRPr="00496081">
        <w:rPr>
          <w:rFonts w:ascii="Times New Roman" w:hAnsi="Times New Roman" w:cs="Times New Roman"/>
          <w:sz w:val="26"/>
          <w:szCs w:val="26"/>
        </w:rPr>
        <w:t>,</w:t>
      </w:r>
      <w:r w:rsidR="005D6803" w:rsidRPr="00496081">
        <w:rPr>
          <w:rFonts w:ascii="Times New Roman" w:hAnsi="Times New Roman" w:cs="Times New Roman"/>
          <w:sz w:val="26"/>
          <w:szCs w:val="26"/>
        </w:rPr>
        <w:t xml:space="preserve"> at Docket No. R</w:t>
      </w:r>
      <w:r w:rsidR="00776F5D">
        <w:rPr>
          <w:rFonts w:ascii="Times New Roman" w:hAnsi="Times New Roman" w:cs="Times New Roman"/>
          <w:sz w:val="26"/>
          <w:szCs w:val="26"/>
        </w:rPr>
        <w:noBreakHyphen/>
      </w:r>
      <w:r w:rsidR="00625BB7" w:rsidRPr="00496081">
        <w:rPr>
          <w:rFonts w:ascii="Times New Roman" w:hAnsi="Times New Roman" w:cs="Times New Roman"/>
          <w:sz w:val="26"/>
          <w:szCs w:val="26"/>
        </w:rPr>
        <w:t>2017-2</w:t>
      </w:r>
      <w:r w:rsidRPr="00496081">
        <w:rPr>
          <w:rFonts w:ascii="Times New Roman" w:hAnsi="Times New Roman" w:cs="Times New Roman"/>
          <w:sz w:val="26"/>
          <w:szCs w:val="26"/>
        </w:rPr>
        <w:t>598203</w:t>
      </w:r>
      <w:r w:rsidR="005D6803" w:rsidRPr="00496081">
        <w:rPr>
          <w:rFonts w:ascii="Times New Roman" w:hAnsi="Times New Roman" w:cs="Times New Roman"/>
          <w:sz w:val="26"/>
          <w:szCs w:val="26"/>
        </w:rPr>
        <w:t>, is approved in its entirety without modification.</w:t>
      </w:r>
    </w:p>
    <w:p w:rsidR="00625BB7" w:rsidRPr="00496081" w:rsidRDefault="00625BB7" w:rsidP="00496081">
      <w:pPr>
        <w:spacing w:line="360" w:lineRule="auto"/>
        <w:ind w:firstLine="1440"/>
        <w:contextualSpacing/>
        <w:rPr>
          <w:rFonts w:ascii="Times New Roman" w:hAnsi="Times New Roman" w:cs="Times New Roman"/>
          <w:sz w:val="26"/>
          <w:szCs w:val="26"/>
        </w:rPr>
      </w:pPr>
    </w:p>
    <w:p w:rsidR="001203D3" w:rsidRPr="00496081" w:rsidRDefault="0022459D"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4</w:t>
      </w:r>
      <w:r w:rsidR="001203D3" w:rsidRPr="00496081">
        <w:rPr>
          <w:rFonts w:ascii="Times New Roman" w:hAnsi="Times New Roman" w:cs="Times New Roman"/>
          <w:sz w:val="26"/>
          <w:szCs w:val="26"/>
        </w:rPr>
        <w:t>.</w:t>
      </w:r>
      <w:r w:rsidR="001203D3" w:rsidRPr="00496081">
        <w:rPr>
          <w:rFonts w:ascii="Times New Roman" w:hAnsi="Times New Roman" w:cs="Times New Roman"/>
          <w:sz w:val="26"/>
          <w:szCs w:val="26"/>
        </w:rPr>
        <w:tab/>
        <w:t xml:space="preserve">That </w:t>
      </w:r>
      <w:r w:rsidR="005C3B47" w:rsidRPr="00496081">
        <w:rPr>
          <w:rFonts w:ascii="Times New Roman" w:hAnsi="Times New Roman" w:cs="Times New Roman"/>
          <w:sz w:val="26"/>
          <w:szCs w:val="26"/>
        </w:rPr>
        <w:t xml:space="preserve">the </w:t>
      </w:r>
      <w:r w:rsidRPr="00496081">
        <w:rPr>
          <w:rFonts w:ascii="Times New Roman" w:hAnsi="Times New Roman" w:cs="Times New Roman"/>
          <w:sz w:val="26"/>
          <w:szCs w:val="26"/>
        </w:rPr>
        <w:t>Columbia</w:t>
      </w:r>
      <w:r w:rsidR="001203D3" w:rsidRPr="00496081">
        <w:rPr>
          <w:rFonts w:ascii="Times New Roman" w:hAnsi="Times New Roman" w:cs="Times New Roman"/>
          <w:sz w:val="26"/>
          <w:szCs w:val="26"/>
        </w:rPr>
        <w:t xml:space="preserve"> Water Company shall not place into effect the rates contained in Supplement No. </w:t>
      </w:r>
      <w:r w:rsidRPr="00496081">
        <w:rPr>
          <w:rFonts w:ascii="Times New Roman" w:hAnsi="Times New Roman" w:cs="Times New Roman"/>
          <w:sz w:val="26"/>
          <w:szCs w:val="26"/>
        </w:rPr>
        <w:t>86</w:t>
      </w:r>
      <w:r w:rsidR="001203D3" w:rsidRPr="00496081">
        <w:rPr>
          <w:rFonts w:ascii="Times New Roman" w:hAnsi="Times New Roman" w:cs="Times New Roman"/>
          <w:sz w:val="26"/>
          <w:szCs w:val="26"/>
        </w:rPr>
        <w:t xml:space="preserve"> to </w:t>
      </w:r>
      <w:r w:rsidRPr="00496081">
        <w:rPr>
          <w:rFonts w:ascii="Times New Roman" w:hAnsi="Times New Roman" w:cs="Times New Roman"/>
          <w:sz w:val="26"/>
          <w:szCs w:val="26"/>
        </w:rPr>
        <w:t xml:space="preserve">Tariff </w:t>
      </w:r>
      <w:r w:rsidR="001203D3" w:rsidRPr="00496081">
        <w:rPr>
          <w:rFonts w:ascii="Times New Roman" w:hAnsi="Times New Roman" w:cs="Times New Roman"/>
          <w:sz w:val="26"/>
          <w:szCs w:val="26"/>
        </w:rPr>
        <w:t xml:space="preserve">Water </w:t>
      </w:r>
      <w:bookmarkStart w:id="7" w:name="_Hlk506282530"/>
      <w:r w:rsidR="001203D3" w:rsidRPr="00496081">
        <w:rPr>
          <w:rFonts w:ascii="Times New Roman" w:hAnsi="Times New Roman" w:cs="Times New Roman"/>
          <w:sz w:val="26"/>
          <w:szCs w:val="26"/>
        </w:rPr>
        <w:t xml:space="preserve">– PA. P.U.C. No. </w:t>
      </w:r>
      <w:r w:rsidRPr="00496081">
        <w:rPr>
          <w:rFonts w:ascii="Times New Roman" w:hAnsi="Times New Roman" w:cs="Times New Roman"/>
          <w:sz w:val="26"/>
          <w:szCs w:val="26"/>
        </w:rPr>
        <w:t>7</w:t>
      </w:r>
      <w:bookmarkEnd w:id="7"/>
      <w:r w:rsidR="00884C9E" w:rsidRPr="00496081">
        <w:rPr>
          <w:rFonts w:ascii="Times New Roman" w:hAnsi="Times New Roman" w:cs="Times New Roman"/>
          <w:sz w:val="26"/>
          <w:szCs w:val="26"/>
        </w:rPr>
        <w:t>,</w:t>
      </w:r>
      <w:r w:rsidR="001203D3" w:rsidRPr="00496081">
        <w:rPr>
          <w:rFonts w:ascii="Times New Roman" w:hAnsi="Times New Roman" w:cs="Times New Roman"/>
          <w:sz w:val="26"/>
          <w:szCs w:val="26"/>
        </w:rPr>
        <w:t xml:space="preserve"> which was submitted on </w:t>
      </w:r>
      <w:r w:rsidRPr="00496081">
        <w:rPr>
          <w:rFonts w:ascii="Times New Roman" w:hAnsi="Times New Roman" w:cs="Times New Roman"/>
          <w:sz w:val="26"/>
          <w:szCs w:val="26"/>
        </w:rPr>
        <w:t>June 27</w:t>
      </w:r>
      <w:r w:rsidR="001203D3" w:rsidRPr="00496081">
        <w:rPr>
          <w:rFonts w:ascii="Times New Roman" w:hAnsi="Times New Roman" w:cs="Times New Roman"/>
          <w:sz w:val="26"/>
          <w:szCs w:val="26"/>
        </w:rPr>
        <w:t>, 2017</w:t>
      </w:r>
      <w:r w:rsidR="00A33E1D" w:rsidRPr="00496081">
        <w:rPr>
          <w:rFonts w:ascii="Times New Roman" w:hAnsi="Times New Roman" w:cs="Times New Roman"/>
          <w:sz w:val="26"/>
          <w:szCs w:val="26"/>
        </w:rPr>
        <w:t>,</w:t>
      </w:r>
      <w:r w:rsidR="001203D3" w:rsidRPr="00496081">
        <w:rPr>
          <w:rFonts w:ascii="Times New Roman" w:hAnsi="Times New Roman" w:cs="Times New Roman"/>
          <w:sz w:val="26"/>
          <w:szCs w:val="26"/>
        </w:rPr>
        <w:t xml:space="preserve"> at Docket Number R-2017-2</w:t>
      </w:r>
      <w:r w:rsidRPr="00496081">
        <w:rPr>
          <w:rFonts w:ascii="Times New Roman" w:hAnsi="Times New Roman" w:cs="Times New Roman"/>
          <w:sz w:val="26"/>
          <w:szCs w:val="26"/>
        </w:rPr>
        <w:t>598203</w:t>
      </w:r>
      <w:r w:rsidR="001203D3" w:rsidRPr="00496081">
        <w:rPr>
          <w:rFonts w:ascii="Times New Roman" w:hAnsi="Times New Roman" w:cs="Times New Roman"/>
          <w:sz w:val="26"/>
          <w:szCs w:val="26"/>
        </w:rPr>
        <w:t>.</w:t>
      </w:r>
    </w:p>
    <w:p w:rsidR="001203D3" w:rsidRPr="00496081" w:rsidRDefault="001203D3" w:rsidP="00496081">
      <w:pPr>
        <w:spacing w:line="360" w:lineRule="auto"/>
        <w:ind w:firstLine="1440"/>
        <w:contextualSpacing/>
        <w:rPr>
          <w:rFonts w:ascii="Times New Roman" w:hAnsi="Times New Roman" w:cs="Times New Roman"/>
          <w:sz w:val="26"/>
          <w:szCs w:val="26"/>
        </w:rPr>
      </w:pPr>
    </w:p>
    <w:p w:rsidR="0021408E" w:rsidRPr="00496081" w:rsidRDefault="0022459D"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5.</w:t>
      </w:r>
      <w:r w:rsidRPr="00496081">
        <w:rPr>
          <w:rFonts w:ascii="Times New Roman" w:hAnsi="Times New Roman" w:cs="Times New Roman"/>
          <w:sz w:val="26"/>
          <w:szCs w:val="26"/>
        </w:rPr>
        <w:tab/>
        <w:t xml:space="preserve">That Columbia Water Company shall file a tariff supplement with the Commission, </w:t>
      </w:r>
      <w:r w:rsidR="008B6BDC" w:rsidRPr="00496081">
        <w:rPr>
          <w:rFonts w:ascii="Times New Roman" w:hAnsi="Times New Roman" w:cs="Times New Roman"/>
          <w:sz w:val="26"/>
          <w:szCs w:val="26"/>
        </w:rPr>
        <w:t xml:space="preserve">reflecting the rates set forth in its proposed compliance tariff attached to the Joint Petition for Settlement as Supplement No. 91 to Tariff Water – PA. P.U.C. No. 7, to become effective on one </w:t>
      </w:r>
      <w:r w:rsidR="00122EA1" w:rsidRPr="00496081">
        <w:rPr>
          <w:rFonts w:ascii="Times New Roman" w:hAnsi="Times New Roman" w:cs="Times New Roman"/>
          <w:sz w:val="26"/>
          <w:szCs w:val="26"/>
        </w:rPr>
        <w:t xml:space="preserve">(1) </w:t>
      </w:r>
      <w:r w:rsidR="005C3B47" w:rsidRPr="00496081">
        <w:rPr>
          <w:rFonts w:ascii="Times New Roman" w:hAnsi="Times New Roman" w:cs="Times New Roman"/>
          <w:sz w:val="26"/>
          <w:szCs w:val="26"/>
        </w:rPr>
        <w:t>days’ notice</w:t>
      </w:r>
      <w:r w:rsidR="00122EA1" w:rsidRPr="00496081">
        <w:rPr>
          <w:rFonts w:ascii="Times New Roman" w:hAnsi="Times New Roman" w:cs="Times New Roman"/>
          <w:sz w:val="26"/>
          <w:szCs w:val="26"/>
        </w:rPr>
        <w:t xml:space="preserve"> after the date of entry of this Opinion and Order, for service rendered on and after the effective date of the tariff supplement, so as to produce an annual increase in base rate operating revenues not to exceed $6</w:t>
      </w:r>
      <w:r w:rsidR="008B6BDC" w:rsidRPr="00496081">
        <w:rPr>
          <w:rFonts w:ascii="Times New Roman" w:hAnsi="Times New Roman" w:cs="Times New Roman"/>
          <w:sz w:val="26"/>
          <w:szCs w:val="26"/>
        </w:rPr>
        <w:t>35</w:t>
      </w:r>
      <w:r w:rsidR="00122EA1" w:rsidRPr="00496081">
        <w:rPr>
          <w:rFonts w:ascii="Times New Roman" w:hAnsi="Times New Roman" w:cs="Times New Roman"/>
          <w:sz w:val="26"/>
          <w:szCs w:val="26"/>
        </w:rPr>
        <w:t>,000, consistent with this Opinion and Order.</w:t>
      </w:r>
    </w:p>
    <w:p w:rsidR="008B6BDC" w:rsidRPr="00496081" w:rsidRDefault="008B6BDC" w:rsidP="00496081">
      <w:pPr>
        <w:spacing w:line="360" w:lineRule="auto"/>
        <w:ind w:firstLine="1440"/>
        <w:contextualSpacing/>
        <w:rPr>
          <w:rFonts w:ascii="Times New Roman" w:hAnsi="Times New Roman" w:cs="Times New Roman"/>
          <w:sz w:val="26"/>
          <w:szCs w:val="26"/>
        </w:rPr>
      </w:pPr>
    </w:p>
    <w:p w:rsidR="008B6BDC" w:rsidRPr="00496081" w:rsidRDefault="008B6BD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6.</w:t>
      </w:r>
      <w:r w:rsidRPr="00496081">
        <w:rPr>
          <w:rFonts w:ascii="Times New Roman" w:hAnsi="Times New Roman" w:cs="Times New Roman"/>
          <w:sz w:val="26"/>
          <w:szCs w:val="26"/>
        </w:rPr>
        <w:tab/>
        <w:t xml:space="preserve">That </w:t>
      </w:r>
      <w:r w:rsidR="005C3B47" w:rsidRPr="00496081">
        <w:rPr>
          <w:rFonts w:ascii="Times New Roman" w:hAnsi="Times New Roman" w:cs="Times New Roman"/>
          <w:sz w:val="26"/>
          <w:szCs w:val="26"/>
        </w:rPr>
        <w:t xml:space="preserve">the </w:t>
      </w:r>
      <w:r w:rsidRPr="00496081">
        <w:rPr>
          <w:rFonts w:ascii="Times New Roman" w:hAnsi="Times New Roman" w:cs="Times New Roman"/>
          <w:sz w:val="26"/>
          <w:szCs w:val="26"/>
        </w:rPr>
        <w:t>Columbia Water Company in its compliance filing shall specify to whom and when the valve exercising reports referenced in the Joint Petition for Settlement are to be submitted and what time periods the reports will cover.</w:t>
      </w:r>
    </w:p>
    <w:p w:rsidR="008B6BDC" w:rsidRPr="00496081" w:rsidRDefault="008B6BDC" w:rsidP="00496081">
      <w:pPr>
        <w:spacing w:line="360" w:lineRule="auto"/>
        <w:ind w:firstLine="1440"/>
        <w:contextualSpacing/>
        <w:rPr>
          <w:rFonts w:ascii="Times New Roman" w:hAnsi="Times New Roman" w:cs="Times New Roman"/>
          <w:sz w:val="26"/>
          <w:szCs w:val="26"/>
        </w:rPr>
      </w:pPr>
    </w:p>
    <w:p w:rsidR="000D5C9C" w:rsidRPr="00496081" w:rsidRDefault="008B6BDC"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7</w:t>
      </w:r>
      <w:r w:rsidR="000D5C9C" w:rsidRPr="00496081">
        <w:rPr>
          <w:rFonts w:ascii="Times New Roman" w:hAnsi="Times New Roman" w:cs="Times New Roman"/>
          <w:sz w:val="26"/>
          <w:szCs w:val="26"/>
        </w:rPr>
        <w:t>.</w:t>
      </w:r>
      <w:r w:rsidR="000D5C9C" w:rsidRPr="00496081">
        <w:rPr>
          <w:rFonts w:ascii="Times New Roman" w:hAnsi="Times New Roman" w:cs="Times New Roman"/>
          <w:sz w:val="26"/>
          <w:szCs w:val="26"/>
        </w:rPr>
        <w:tab/>
        <w:t xml:space="preserve">That </w:t>
      </w:r>
      <w:r w:rsidR="005C3B47" w:rsidRPr="00496081">
        <w:rPr>
          <w:rFonts w:ascii="Times New Roman" w:hAnsi="Times New Roman" w:cs="Times New Roman"/>
          <w:sz w:val="26"/>
          <w:szCs w:val="26"/>
        </w:rPr>
        <w:t xml:space="preserve">the </w:t>
      </w:r>
      <w:r w:rsidRPr="00496081">
        <w:rPr>
          <w:rFonts w:ascii="Times New Roman" w:hAnsi="Times New Roman" w:cs="Times New Roman"/>
          <w:sz w:val="26"/>
          <w:szCs w:val="26"/>
        </w:rPr>
        <w:t>Columbia</w:t>
      </w:r>
      <w:r w:rsidR="000D5C9C" w:rsidRPr="00496081">
        <w:rPr>
          <w:rFonts w:ascii="Times New Roman" w:hAnsi="Times New Roman" w:cs="Times New Roman"/>
          <w:sz w:val="26"/>
          <w:szCs w:val="26"/>
        </w:rPr>
        <w:t xml:space="preserve"> Water Company</w:t>
      </w:r>
      <w:r w:rsidRPr="00496081">
        <w:rPr>
          <w:rFonts w:ascii="Times New Roman" w:hAnsi="Times New Roman" w:cs="Times New Roman"/>
          <w:sz w:val="26"/>
          <w:szCs w:val="26"/>
        </w:rPr>
        <w:t>,</w:t>
      </w:r>
      <w:r w:rsidR="000D5C9C" w:rsidRPr="00496081">
        <w:rPr>
          <w:rFonts w:ascii="Times New Roman" w:hAnsi="Times New Roman" w:cs="Times New Roman"/>
          <w:sz w:val="26"/>
          <w:szCs w:val="26"/>
        </w:rPr>
        <w:t xml:space="preserve"> the Office of Consumer Advocate</w:t>
      </w:r>
      <w:r w:rsidRPr="00496081">
        <w:rPr>
          <w:rFonts w:ascii="Times New Roman" w:hAnsi="Times New Roman" w:cs="Times New Roman"/>
          <w:sz w:val="26"/>
          <w:szCs w:val="26"/>
        </w:rPr>
        <w:t>, the Office of Small Business Advocate, and the Bureau of Investigation and Enforcement</w:t>
      </w:r>
      <w:r w:rsidR="000D5C9C" w:rsidRPr="00496081">
        <w:rPr>
          <w:rFonts w:ascii="Times New Roman" w:hAnsi="Times New Roman" w:cs="Times New Roman"/>
          <w:sz w:val="26"/>
          <w:szCs w:val="26"/>
        </w:rPr>
        <w:t xml:space="preserve"> shall comply with the terms of the Settlement of</w:t>
      </w:r>
      <w:r w:rsidR="007D2F7B" w:rsidRPr="00496081">
        <w:rPr>
          <w:rFonts w:ascii="Times New Roman" w:hAnsi="Times New Roman" w:cs="Times New Roman"/>
          <w:sz w:val="26"/>
          <w:szCs w:val="26"/>
        </w:rPr>
        <w:t xml:space="preserve"> the</w:t>
      </w:r>
      <w:r w:rsidR="000D5C9C" w:rsidRPr="00496081">
        <w:rPr>
          <w:rFonts w:ascii="Times New Roman" w:hAnsi="Times New Roman" w:cs="Times New Roman"/>
          <w:sz w:val="26"/>
          <w:szCs w:val="26"/>
        </w:rPr>
        <w:t xml:space="preserve"> Section 1308(d) Rate Investigation submitted in this proceeding, as though each term and condition stated therein had been the subject of an individual ordering paragraph.</w:t>
      </w:r>
    </w:p>
    <w:p w:rsidR="000D5C9C" w:rsidRPr="00496081" w:rsidRDefault="000D5C9C" w:rsidP="00496081">
      <w:pPr>
        <w:spacing w:line="360" w:lineRule="auto"/>
        <w:ind w:firstLine="1440"/>
        <w:contextualSpacing/>
        <w:rPr>
          <w:rFonts w:ascii="Times New Roman" w:hAnsi="Times New Roman" w:cs="Times New Roman"/>
          <w:sz w:val="26"/>
          <w:szCs w:val="26"/>
        </w:rPr>
      </w:pPr>
    </w:p>
    <w:p w:rsidR="00895992" w:rsidRPr="00496081" w:rsidRDefault="009D42D4"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8</w:t>
      </w:r>
      <w:r w:rsidR="00D24B77" w:rsidRPr="00496081">
        <w:rPr>
          <w:rFonts w:ascii="Times New Roman" w:hAnsi="Times New Roman" w:cs="Times New Roman"/>
          <w:sz w:val="26"/>
          <w:szCs w:val="26"/>
        </w:rPr>
        <w:t>.</w:t>
      </w:r>
      <w:r w:rsidR="00320067" w:rsidRPr="00496081">
        <w:rPr>
          <w:rFonts w:ascii="Times New Roman" w:hAnsi="Times New Roman" w:cs="Times New Roman"/>
          <w:sz w:val="26"/>
          <w:szCs w:val="26"/>
        </w:rPr>
        <w:tab/>
      </w:r>
      <w:r w:rsidR="00D24B77" w:rsidRPr="00496081">
        <w:rPr>
          <w:rFonts w:ascii="Times New Roman" w:hAnsi="Times New Roman" w:cs="Times New Roman"/>
          <w:sz w:val="26"/>
          <w:szCs w:val="26"/>
        </w:rPr>
        <w:t xml:space="preserve">That after </w:t>
      </w:r>
      <w:r w:rsidR="005C3B47" w:rsidRPr="00496081">
        <w:rPr>
          <w:rFonts w:ascii="Times New Roman" w:hAnsi="Times New Roman" w:cs="Times New Roman"/>
          <w:sz w:val="26"/>
          <w:szCs w:val="26"/>
        </w:rPr>
        <w:t xml:space="preserve">the </w:t>
      </w:r>
      <w:r w:rsidR="008B6BDC" w:rsidRPr="00496081">
        <w:rPr>
          <w:rFonts w:ascii="Times New Roman" w:hAnsi="Times New Roman" w:cs="Times New Roman"/>
          <w:sz w:val="26"/>
          <w:szCs w:val="26"/>
        </w:rPr>
        <w:t>Columbia Water</w:t>
      </w:r>
      <w:r w:rsidR="00D24B77" w:rsidRPr="00496081">
        <w:rPr>
          <w:rFonts w:ascii="Times New Roman" w:hAnsi="Times New Roman" w:cs="Times New Roman"/>
          <w:sz w:val="26"/>
          <w:szCs w:val="26"/>
        </w:rPr>
        <w:t xml:space="preserve"> Company files the required tariff supplement set forth in </w:t>
      </w:r>
      <w:r w:rsidR="00814FF0">
        <w:rPr>
          <w:rFonts w:ascii="Times New Roman" w:hAnsi="Times New Roman" w:cs="Times New Roman"/>
          <w:sz w:val="26"/>
          <w:szCs w:val="26"/>
        </w:rPr>
        <w:t xml:space="preserve">Ordering </w:t>
      </w:r>
      <w:r w:rsidR="00D24B77" w:rsidRPr="00496081">
        <w:rPr>
          <w:rFonts w:ascii="Times New Roman" w:hAnsi="Times New Roman" w:cs="Times New Roman"/>
          <w:sz w:val="26"/>
          <w:szCs w:val="26"/>
        </w:rPr>
        <w:t xml:space="preserve">Paragraph </w:t>
      </w:r>
      <w:r w:rsidR="00814FF0">
        <w:rPr>
          <w:rFonts w:ascii="Times New Roman" w:hAnsi="Times New Roman" w:cs="Times New Roman"/>
          <w:sz w:val="26"/>
          <w:szCs w:val="26"/>
        </w:rPr>
        <w:t xml:space="preserve">No. </w:t>
      </w:r>
      <w:r w:rsidR="008B6BDC" w:rsidRPr="00496081">
        <w:rPr>
          <w:rFonts w:ascii="Times New Roman" w:hAnsi="Times New Roman" w:cs="Times New Roman"/>
          <w:sz w:val="26"/>
          <w:szCs w:val="26"/>
        </w:rPr>
        <w:t>5</w:t>
      </w:r>
      <w:r w:rsidR="008B040D" w:rsidRPr="00496081">
        <w:rPr>
          <w:rFonts w:ascii="Times New Roman" w:hAnsi="Times New Roman" w:cs="Times New Roman"/>
          <w:sz w:val="26"/>
          <w:szCs w:val="26"/>
        </w:rPr>
        <w:t xml:space="preserve"> o</w:t>
      </w:r>
      <w:r w:rsidR="00D24B77" w:rsidRPr="00496081">
        <w:rPr>
          <w:rFonts w:ascii="Times New Roman" w:hAnsi="Times New Roman" w:cs="Times New Roman"/>
          <w:sz w:val="26"/>
          <w:szCs w:val="26"/>
        </w:rPr>
        <w:t xml:space="preserve">f this </w:t>
      </w:r>
      <w:r w:rsidR="008B040D" w:rsidRPr="00496081">
        <w:rPr>
          <w:rFonts w:ascii="Times New Roman" w:hAnsi="Times New Roman" w:cs="Times New Roman"/>
          <w:sz w:val="26"/>
          <w:szCs w:val="26"/>
        </w:rPr>
        <w:t xml:space="preserve">Opinion and </w:t>
      </w:r>
      <w:r w:rsidR="00D24B77" w:rsidRPr="00496081">
        <w:rPr>
          <w:rFonts w:ascii="Times New Roman" w:hAnsi="Times New Roman" w:cs="Times New Roman"/>
          <w:sz w:val="26"/>
          <w:szCs w:val="26"/>
        </w:rPr>
        <w:t xml:space="preserve">Order, the </w:t>
      </w:r>
      <w:r w:rsidR="00AD4806" w:rsidRPr="00496081">
        <w:rPr>
          <w:rFonts w:ascii="Times New Roman" w:hAnsi="Times New Roman" w:cs="Times New Roman"/>
          <w:sz w:val="26"/>
          <w:szCs w:val="26"/>
        </w:rPr>
        <w:t xml:space="preserve">Formal </w:t>
      </w:r>
      <w:r w:rsidR="00D24B77" w:rsidRPr="00496081">
        <w:rPr>
          <w:rFonts w:ascii="Times New Roman" w:hAnsi="Times New Roman" w:cs="Times New Roman"/>
          <w:sz w:val="26"/>
          <w:szCs w:val="26"/>
        </w:rPr>
        <w:t>Complaint</w:t>
      </w:r>
      <w:r w:rsidRPr="00496081">
        <w:rPr>
          <w:rFonts w:ascii="Times New Roman" w:hAnsi="Times New Roman" w:cs="Times New Roman"/>
          <w:sz w:val="26"/>
          <w:szCs w:val="26"/>
        </w:rPr>
        <w:t>s</w:t>
      </w:r>
      <w:r w:rsidR="00D24B77" w:rsidRPr="00496081">
        <w:rPr>
          <w:rFonts w:ascii="Times New Roman" w:hAnsi="Times New Roman" w:cs="Times New Roman"/>
          <w:sz w:val="26"/>
          <w:szCs w:val="26"/>
        </w:rPr>
        <w:t xml:space="preserve"> filed by the Office of Consumer</w:t>
      </w:r>
      <w:r w:rsidR="009564EF" w:rsidRPr="00496081">
        <w:rPr>
          <w:rFonts w:ascii="Times New Roman" w:hAnsi="Times New Roman" w:cs="Times New Roman"/>
          <w:sz w:val="26"/>
          <w:szCs w:val="26"/>
        </w:rPr>
        <w:t xml:space="preserve"> </w:t>
      </w:r>
      <w:r w:rsidR="00D24B77" w:rsidRPr="00496081">
        <w:rPr>
          <w:rFonts w:ascii="Times New Roman" w:hAnsi="Times New Roman" w:cs="Times New Roman"/>
          <w:sz w:val="26"/>
          <w:szCs w:val="26"/>
        </w:rPr>
        <w:t xml:space="preserve">Advocate </w:t>
      </w:r>
      <w:r w:rsidR="00320067" w:rsidRPr="00496081">
        <w:rPr>
          <w:rFonts w:ascii="Times New Roman" w:hAnsi="Times New Roman" w:cs="Times New Roman"/>
          <w:sz w:val="26"/>
          <w:szCs w:val="26"/>
        </w:rPr>
        <w:t xml:space="preserve">at Docket Number </w:t>
      </w:r>
      <w:r w:rsidRPr="00496081">
        <w:rPr>
          <w:rFonts w:ascii="Times New Roman" w:hAnsi="Times New Roman" w:cs="Times New Roman"/>
          <w:sz w:val="26"/>
          <w:szCs w:val="26"/>
        </w:rPr>
        <w:t xml:space="preserve">C-2017-2614985 and by the Office of Small Business Advocate at C-2017-2615248 </w:t>
      </w:r>
      <w:r w:rsidR="001A1059" w:rsidRPr="00496081">
        <w:rPr>
          <w:rFonts w:ascii="Times New Roman" w:hAnsi="Times New Roman" w:cs="Times New Roman"/>
          <w:sz w:val="26"/>
          <w:szCs w:val="26"/>
        </w:rPr>
        <w:t xml:space="preserve">shall be </w:t>
      </w:r>
      <w:r w:rsidRPr="00496081">
        <w:rPr>
          <w:rFonts w:ascii="Times New Roman" w:hAnsi="Times New Roman" w:cs="Times New Roman"/>
          <w:sz w:val="26"/>
          <w:szCs w:val="26"/>
        </w:rPr>
        <w:t>deemed satisfied</w:t>
      </w:r>
      <w:r w:rsidR="001A1059" w:rsidRPr="00496081">
        <w:rPr>
          <w:rFonts w:ascii="Times New Roman" w:hAnsi="Times New Roman" w:cs="Times New Roman"/>
          <w:sz w:val="26"/>
          <w:szCs w:val="26"/>
        </w:rPr>
        <w:t xml:space="preserve">, </w:t>
      </w:r>
      <w:r w:rsidR="00320067" w:rsidRPr="00496081">
        <w:rPr>
          <w:rFonts w:ascii="Times New Roman" w:hAnsi="Times New Roman" w:cs="Times New Roman"/>
          <w:sz w:val="26"/>
          <w:szCs w:val="26"/>
        </w:rPr>
        <w:t>and the Commission’s investigation at Docket No. R-2017-</w:t>
      </w:r>
      <w:r w:rsidRPr="00496081">
        <w:rPr>
          <w:rFonts w:ascii="Times New Roman" w:hAnsi="Times New Roman" w:cs="Times New Roman"/>
          <w:sz w:val="26"/>
          <w:szCs w:val="26"/>
        </w:rPr>
        <w:t>2598203</w:t>
      </w:r>
      <w:r w:rsidR="00320067" w:rsidRPr="00496081">
        <w:rPr>
          <w:rFonts w:ascii="Times New Roman" w:hAnsi="Times New Roman" w:cs="Times New Roman"/>
          <w:sz w:val="26"/>
          <w:szCs w:val="26"/>
        </w:rPr>
        <w:t xml:space="preserve"> </w:t>
      </w:r>
      <w:r w:rsidR="00D24B77" w:rsidRPr="00496081">
        <w:rPr>
          <w:rFonts w:ascii="Times New Roman" w:hAnsi="Times New Roman" w:cs="Times New Roman"/>
          <w:sz w:val="26"/>
          <w:szCs w:val="26"/>
        </w:rPr>
        <w:t>shall be terminated</w:t>
      </w:r>
      <w:r w:rsidR="001A1059" w:rsidRPr="00496081">
        <w:rPr>
          <w:rFonts w:ascii="Times New Roman" w:hAnsi="Times New Roman" w:cs="Times New Roman"/>
          <w:sz w:val="26"/>
          <w:szCs w:val="26"/>
        </w:rPr>
        <w:t>,</w:t>
      </w:r>
      <w:r w:rsidR="00D24B77" w:rsidRPr="00496081">
        <w:rPr>
          <w:rFonts w:ascii="Times New Roman" w:hAnsi="Times New Roman" w:cs="Times New Roman"/>
          <w:sz w:val="26"/>
          <w:szCs w:val="26"/>
        </w:rPr>
        <w:t xml:space="preserve"> and</w:t>
      </w:r>
      <w:r w:rsidR="001A1059" w:rsidRPr="00496081">
        <w:rPr>
          <w:rFonts w:ascii="Times New Roman" w:hAnsi="Times New Roman" w:cs="Times New Roman"/>
          <w:sz w:val="26"/>
          <w:szCs w:val="26"/>
        </w:rPr>
        <w:t xml:space="preserve"> </w:t>
      </w:r>
      <w:r w:rsidRPr="00496081">
        <w:rPr>
          <w:rFonts w:ascii="Times New Roman" w:hAnsi="Times New Roman" w:cs="Times New Roman"/>
          <w:sz w:val="26"/>
          <w:szCs w:val="26"/>
        </w:rPr>
        <w:t>all three</w:t>
      </w:r>
      <w:r w:rsidR="001A1059" w:rsidRPr="00496081">
        <w:rPr>
          <w:rFonts w:ascii="Times New Roman" w:hAnsi="Times New Roman" w:cs="Times New Roman"/>
          <w:sz w:val="26"/>
          <w:szCs w:val="26"/>
        </w:rPr>
        <w:t xml:space="preserve"> dockets shall be</w:t>
      </w:r>
      <w:r w:rsidR="00D24B77" w:rsidRPr="00496081">
        <w:rPr>
          <w:rFonts w:ascii="Times New Roman" w:hAnsi="Times New Roman" w:cs="Times New Roman"/>
          <w:sz w:val="26"/>
          <w:szCs w:val="26"/>
        </w:rPr>
        <w:t xml:space="preserve"> marked closed.</w:t>
      </w:r>
    </w:p>
    <w:p w:rsidR="009D42D4" w:rsidRPr="00496081" w:rsidRDefault="009D42D4" w:rsidP="00496081">
      <w:pPr>
        <w:spacing w:line="360" w:lineRule="auto"/>
        <w:ind w:firstLine="1440"/>
        <w:contextualSpacing/>
        <w:rPr>
          <w:rFonts w:ascii="Times New Roman" w:hAnsi="Times New Roman" w:cs="Times New Roman"/>
          <w:sz w:val="26"/>
          <w:szCs w:val="26"/>
        </w:rPr>
      </w:pPr>
    </w:p>
    <w:p w:rsidR="009D42D4" w:rsidRPr="00496081" w:rsidRDefault="009D42D4"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9.</w:t>
      </w:r>
      <w:r w:rsidRPr="00496081">
        <w:rPr>
          <w:rFonts w:ascii="Times New Roman" w:hAnsi="Times New Roman" w:cs="Times New Roman"/>
          <w:sz w:val="26"/>
          <w:szCs w:val="26"/>
        </w:rPr>
        <w:tab/>
      </w:r>
      <w:r w:rsidR="00AD4806" w:rsidRPr="00496081">
        <w:rPr>
          <w:rFonts w:ascii="Times New Roman" w:hAnsi="Times New Roman" w:cs="Times New Roman"/>
          <w:sz w:val="26"/>
          <w:szCs w:val="26"/>
        </w:rPr>
        <w:t>That the Formal Complaint filed by Donna Hess against the Columbia Water Company at Docket Number C-2017-2614724, is dismissed and marked closed.</w:t>
      </w:r>
    </w:p>
    <w:p w:rsidR="009D42D4" w:rsidRPr="00496081" w:rsidRDefault="009D42D4" w:rsidP="00496081">
      <w:pPr>
        <w:spacing w:line="360" w:lineRule="auto"/>
        <w:ind w:firstLine="1440"/>
        <w:contextualSpacing/>
        <w:rPr>
          <w:rFonts w:ascii="Times New Roman" w:hAnsi="Times New Roman" w:cs="Times New Roman"/>
          <w:sz w:val="26"/>
          <w:szCs w:val="26"/>
        </w:rPr>
      </w:pPr>
    </w:p>
    <w:p w:rsidR="009D42D4" w:rsidRPr="00496081" w:rsidRDefault="009D42D4"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10.</w:t>
      </w:r>
      <w:r w:rsidRPr="00496081">
        <w:rPr>
          <w:rFonts w:ascii="Times New Roman" w:hAnsi="Times New Roman" w:cs="Times New Roman"/>
          <w:sz w:val="26"/>
          <w:szCs w:val="26"/>
        </w:rPr>
        <w:tab/>
      </w:r>
      <w:r w:rsidR="00FE5BF0" w:rsidRPr="00496081">
        <w:rPr>
          <w:rFonts w:ascii="Times New Roman" w:hAnsi="Times New Roman" w:cs="Times New Roman"/>
          <w:sz w:val="26"/>
          <w:szCs w:val="26"/>
        </w:rPr>
        <w:t>That the Formal Complaint filed by Vincent Collier III against the Columbia Water Company at Docket Number C-2017-2620842, is dismissed and marked closed.</w:t>
      </w:r>
    </w:p>
    <w:p w:rsidR="009D42D4" w:rsidRPr="00496081" w:rsidRDefault="009D42D4" w:rsidP="00496081">
      <w:pPr>
        <w:spacing w:line="360" w:lineRule="auto"/>
        <w:ind w:firstLine="1440"/>
        <w:contextualSpacing/>
        <w:rPr>
          <w:rFonts w:ascii="Times New Roman" w:hAnsi="Times New Roman" w:cs="Times New Roman"/>
          <w:sz w:val="26"/>
          <w:szCs w:val="26"/>
        </w:rPr>
      </w:pPr>
    </w:p>
    <w:p w:rsidR="009D42D4" w:rsidRPr="00496081" w:rsidRDefault="009D42D4" w:rsidP="00496081">
      <w:pPr>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11.</w:t>
      </w:r>
      <w:r w:rsidRPr="00496081">
        <w:rPr>
          <w:rFonts w:ascii="Times New Roman" w:hAnsi="Times New Roman" w:cs="Times New Roman"/>
          <w:sz w:val="26"/>
          <w:szCs w:val="26"/>
        </w:rPr>
        <w:tab/>
      </w:r>
      <w:r w:rsidR="00FE5BF0" w:rsidRPr="00496081">
        <w:rPr>
          <w:rFonts w:ascii="Times New Roman" w:hAnsi="Times New Roman" w:cs="Times New Roman"/>
          <w:sz w:val="26"/>
          <w:szCs w:val="26"/>
        </w:rPr>
        <w:t>That the Formal Complaint filed by Sandra Shaub against the Columbia Water Company at Docket Number C-2017-2622123, is dismissed and marked closed.</w:t>
      </w:r>
    </w:p>
    <w:p w:rsidR="009D42D4" w:rsidRPr="00496081" w:rsidRDefault="009D42D4" w:rsidP="00496081">
      <w:pPr>
        <w:spacing w:line="360" w:lineRule="auto"/>
        <w:ind w:firstLine="1440"/>
        <w:contextualSpacing/>
        <w:rPr>
          <w:rFonts w:ascii="Times New Roman" w:hAnsi="Times New Roman" w:cs="Times New Roman"/>
          <w:sz w:val="26"/>
          <w:szCs w:val="26"/>
        </w:rPr>
      </w:pPr>
    </w:p>
    <w:p w:rsidR="009D42D4" w:rsidRPr="00496081" w:rsidRDefault="009D42D4" w:rsidP="00496081">
      <w:pPr>
        <w:keepNext/>
        <w:keepLines/>
        <w:spacing w:line="360" w:lineRule="auto"/>
        <w:ind w:firstLine="1440"/>
        <w:contextualSpacing/>
        <w:rPr>
          <w:rFonts w:ascii="Times New Roman" w:hAnsi="Times New Roman" w:cs="Times New Roman"/>
          <w:sz w:val="26"/>
          <w:szCs w:val="26"/>
        </w:rPr>
      </w:pPr>
      <w:r w:rsidRPr="00496081">
        <w:rPr>
          <w:rFonts w:ascii="Times New Roman" w:hAnsi="Times New Roman" w:cs="Times New Roman"/>
          <w:sz w:val="26"/>
          <w:szCs w:val="26"/>
        </w:rPr>
        <w:t>12.</w:t>
      </w:r>
      <w:r w:rsidRPr="00496081">
        <w:rPr>
          <w:rFonts w:ascii="Times New Roman" w:hAnsi="Times New Roman" w:cs="Times New Roman"/>
          <w:sz w:val="26"/>
          <w:szCs w:val="26"/>
        </w:rPr>
        <w:tab/>
      </w:r>
      <w:r w:rsidR="00FE5BF0" w:rsidRPr="00496081">
        <w:rPr>
          <w:rFonts w:ascii="Times New Roman" w:hAnsi="Times New Roman" w:cs="Times New Roman"/>
          <w:sz w:val="26"/>
          <w:szCs w:val="26"/>
        </w:rPr>
        <w:t>That the Formal Complaint filed by Joseph Kramer against the Columbia Water Company at Docket Number C-2017-2623109, is dismissed and marked closed.</w:t>
      </w:r>
    </w:p>
    <w:p w:rsidR="000D5C9C" w:rsidRPr="00496081" w:rsidRDefault="000D5C9C" w:rsidP="00496081">
      <w:pPr>
        <w:keepNext/>
        <w:keepLines/>
        <w:spacing w:line="360" w:lineRule="auto"/>
        <w:ind w:firstLine="1440"/>
        <w:contextualSpacing/>
        <w:rPr>
          <w:rFonts w:ascii="Times New Roman" w:hAnsi="Times New Roman" w:cs="Times New Roman"/>
          <w:sz w:val="26"/>
          <w:szCs w:val="26"/>
        </w:rPr>
      </w:pPr>
    </w:p>
    <w:p w:rsidR="00F95A41" w:rsidRPr="00496081" w:rsidRDefault="00675BDD" w:rsidP="00496081">
      <w:pPr>
        <w:keepNext/>
        <w:keepLines/>
        <w:tabs>
          <w:tab w:val="left" w:pos="-720"/>
        </w:tabs>
        <w:suppressAutoHyphens/>
        <w:spacing w:after="0" w:line="240" w:lineRule="auto"/>
        <w:ind w:left="5400"/>
        <w:contextualSpacing/>
        <w:rPr>
          <w:rFonts w:ascii="Times New Roman" w:eastAsia="Times New Roman" w:hAnsi="Times New Roman" w:cs="Times New Roman"/>
          <w:sz w:val="26"/>
          <w:szCs w:val="26"/>
        </w:rPr>
      </w:pPr>
      <w:r w:rsidRPr="009F01BA">
        <w:rPr>
          <w:b/>
          <w:noProof/>
          <w:sz w:val="20"/>
          <w:szCs w:val="20"/>
        </w:rPr>
        <w:drawing>
          <wp:anchor distT="0" distB="0" distL="114300" distR="114300" simplePos="0" relativeHeight="251659264" behindDoc="1" locked="0" layoutInCell="1" allowOverlap="1" wp14:anchorId="2855FCE2" wp14:editId="05D33196">
            <wp:simplePos x="0" y="0"/>
            <wp:positionH relativeFrom="column">
              <wp:posOffset>3257550</wp:posOffset>
            </wp:positionH>
            <wp:positionV relativeFrom="paragraph">
              <wp:posOffset>111760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95A41" w:rsidRPr="00496081">
        <w:rPr>
          <w:rFonts w:ascii="Times New Roman" w:eastAsia="Times New Roman" w:hAnsi="Times New Roman" w:cs="Times New Roman"/>
          <w:b/>
          <w:sz w:val="26"/>
          <w:szCs w:val="26"/>
        </w:rPr>
        <w:t>BY THE COMMISSION,</w:t>
      </w:r>
    </w:p>
    <w:p w:rsidR="00F95A41" w:rsidRPr="00496081" w:rsidRDefault="00F95A41" w:rsidP="00496081">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rsidR="001A6397" w:rsidRPr="00496081" w:rsidRDefault="001A6397" w:rsidP="00496081">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rsidR="00FE5BF0" w:rsidRPr="00496081" w:rsidRDefault="00FE5BF0" w:rsidP="00496081">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rsidR="001A6397" w:rsidRPr="00496081" w:rsidRDefault="001A6397" w:rsidP="00496081">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rsidR="00F95A41" w:rsidRPr="00496081" w:rsidRDefault="00F95A41" w:rsidP="00496081">
      <w:pPr>
        <w:keepNext/>
        <w:keepLines/>
        <w:tabs>
          <w:tab w:val="left" w:pos="-720"/>
        </w:tabs>
        <w:suppressAutoHyphens/>
        <w:spacing w:after="0" w:line="240" w:lineRule="auto"/>
        <w:ind w:left="540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Rosemary Chiavetta</w:t>
      </w:r>
    </w:p>
    <w:p w:rsidR="00F95A41" w:rsidRPr="00496081" w:rsidRDefault="00F95A41" w:rsidP="00496081">
      <w:pPr>
        <w:keepNext/>
        <w:keepLines/>
        <w:tabs>
          <w:tab w:val="left" w:pos="-720"/>
        </w:tabs>
        <w:suppressAutoHyphens/>
        <w:spacing w:after="0" w:line="240" w:lineRule="auto"/>
        <w:ind w:left="5400"/>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Secretary</w:t>
      </w:r>
    </w:p>
    <w:p w:rsidR="00F95A41" w:rsidRPr="00496081" w:rsidRDefault="00F95A41" w:rsidP="00496081">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rsidR="00F95A41" w:rsidRPr="00496081" w:rsidRDefault="00F95A41" w:rsidP="00496081">
      <w:pPr>
        <w:keepNext/>
        <w:keepLines/>
        <w:tabs>
          <w:tab w:val="left" w:pos="-720"/>
        </w:tabs>
        <w:suppressAutoHyphens/>
        <w:spacing w:after="0" w:line="360" w:lineRule="auto"/>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(SEAL)</w:t>
      </w:r>
    </w:p>
    <w:p w:rsidR="00F95A41" w:rsidRPr="00496081" w:rsidRDefault="00F95A41" w:rsidP="00496081">
      <w:pPr>
        <w:keepNext/>
        <w:keepLines/>
        <w:tabs>
          <w:tab w:val="left" w:pos="-720"/>
        </w:tabs>
        <w:suppressAutoHyphens/>
        <w:spacing w:after="0" w:line="360" w:lineRule="auto"/>
        <w:contextualSpacing/>
        <w:rPr>
          <w:rFonts w:ascii="Times New Roman" w:eastAsia="Times New Roman" w:hAnsi="Times New Roman" w:cs="Times New Roman"/>
          <w:sz w:val="26"/>
          <w:szCs w:val="26"/>
        </w:rPr>
      </w:pPr>
      <w:r w:rsidRPr="00496081">
        <w:rPr>
          <w:rFonts w:ascii="Times New Roman" w:eastAsia="Times New Roman" w:hAnsi="Times New Roman" w:cs="Times New Roman"/>
          <w:sz w:val="26"/>
          <w:szCs w:val="26"/>
        </w:rPr>
        <w:t xml:space="preserve">ORDER ADOPTED:  </w:t>
      </w:r>
      <w:r w:rsidR="00807ADD" w:rsidRPr="00496081">
        <w:rPr>
          <w:rFonts w:ascii="Times New Roman" w:eastAsia="Times New Roman" w:hAnsi="Times New Roman" w:cs="Times New Roman"/>
          <w:sz w:val="26"/>
          <w:szCs w:val="26"/>
        </w:rPr>
        <w:t>March 1, 2018</w:t>
      </w:r>
    </w:p>
    <w:p w:rsidR="00F95A41" w:rsidRPr="00496081" w:rsidRDefault="00F95A41" w:rsidP="00496081">
      <w:pPr>
        <w:keepNext/>
        <w:keepLines/>
        <w:tabs>
          <w:tab w:val="left" w:pos="-720"/>
        </w:tabs>
        <w:suppressAutoHyphens/>
        <w:spacing w:after="0" w:line="360" w:lineRule="auto"/>
        <w:contextualSpacing/>
        <w:rPr>
          <w:rFonts w:ascii="Times New Roman" w:hAnsi="Times New Roman" w:cs="Times New Roman"/>
          <w:sz w:val="26"/>
          <w:szCs w:val="26"/>
        </w:rPr>
      </w:pPr>
      <w:r w:rsidRPr="00496081">
        <w:rPr>
          <w:rFonts w:ascii="Times New Roman" w:eastAsia="Times New Roman" w:hAnsi="Times New Roman" w:cs="Times New Roman"/>
          <w:sz w:val="26"/>
          <w:szCs w:val="26"/>
        </w:rPr>
        <w:t xml:space="preserve">ORDER ENTERED:  </w:t>
      </w:r>
      <w:r w:rsidR="00675BDD">
        <w:rPr>
          <w:rFonts w:ascii="Times New Roman" w:eastAsia="Times New Roman" w:hAnsi="Times New Roman" w:cs="Times New Roman"/>
          <w:sz w:val="26"/>
          <w:szCs w:val="26"/>
        </w:rPr>
        <w:t>March 1, 2018</w:t>
      </w:r>
    </w:p>
    <w:sectPr w:rsidR="00F95A41" w:rsidRPr="00496081" w:rsidSect="0084067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7D5" w:rsidRDefault="001D07D5" w:rsidP="00840676">
      <w:pPr>
        <w:spacing w:after="0" w:line="240" w:lineRule="auto"/>
      </w:pPr>
      <w:r>
        <w:separator/>
      </w:r>
    </w:p>
  </w:endnote>
  <w:endnote w:type="continuationSeparator" w:id="0">
    <w:p w:rsidR="001D07D5" w:rsidRDefault="001D07D5" w:rsidP="0084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105604"/>
      <w:docPartObj>
        <w:docPartGallery w:val="Page Numbers (Bottom of Page)"/>
        <w:docPartUnique/>
      </w:docPartObj>
    </w:sdtPr>
    <w:sdtEndPr>
      <w:rPr>
        <w:rFonts w:ascii="Times New Roman" w:hAnsi="Times New Roman" w:cs="Times New Roman"/>
        <w:noProof/>
        <w:sz w:val="26"/>
        <w:szCs w:val="26"/>
      </w:rPr>
    </w:sdtEndPr>
    <w:sdtContent>
      <w:p w:rsidR="000164BE" w:rsidRPr="00EF699A" w:rsidRDefault="000164BE">
        <w:pPr>
          <w:pStyle w:val="Footer"/>
          <w:jc w:val="center"/>
          <w:rPr>
            <w:sz w:val="26"/>
            <w:szCs w:val="26"/>
          </w:rPr>
        </w:pPr>
        <w:r w:rsidRPr="00EF699A">
          <w:rPr>
            <w:rFonts w:ascii="Times New Roman" w:hAnsi="Times New Roman" w:cs="Times New Roman"/>
            <w:sz w:val="26"/>
            <w:szCs w:val="26"/>
          </w:rPr>
          <w:fldChar w:fldCharType="begin"/>
        </w:r>
        <w:r w:rsidRPr="00EF699A">
          <w:rPr>
            <w:rFonts w:ascii="Times New Roman" w:hAnsi="Times New Roman" w:cs="Times New Roman"/>
            <w:sz w:val="26"/>
            <w:szCs w:val="26"/>
          </w:rPr>
          <w:instrText xml:space="preserve"> PAGE   \* MERGEFORMAT </w:instrText>
        </w:r>
        <w:r w:rsidRPr="00EF699A">
          <w:rPr>
            <w:rFonts w:ascii="Times New Roman" w:hAnsi="Times New Roman" w:cs="Times New Roman"/>
            <w:sz w:val="26"/>
            <w:szCs w:val="26"/>
          </w:rPr>
          <w:fldChar w:fldCharType="separate"/>
        </w:r>
        <w:r w:rsidR="004A2596">
          <w:rPr>
            <w:rFonts w:ascii="Times New Roman" w:hAnsi="Times New Roman" w:cs="Times New Roman"/>
            <w:noProof/>
            <w:sz w:val="26"/>
            <w:szCs w:val="26"/>
          </w:rPr>
          <w:t>21</w:t>
        </w:r>
        <w:r w:rsidRPr="00EF699A">
          <w:rPr>
            <w:rFonts w:ascii="Times New Roman" w:hAnsi="Times New Roman" w:cs="Times New Roman"/>
            <w:noProof/>
            <w:sz w:val="26"/>
            <w:szCs w:val="26"/>
          </w:rPr>
          <w:fldChar w:fldCharType="end"/>
        </w:r>
      </w:p>
    </w:sdtContent>
  </w:sdt>
  <w:p w:rsidR="000164BE" w:rsidRDefault="00016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7D5" w:rsidRPr="00BD38E2" w:rsidRDefault="001D07D5" w:rsidP="00840676">
      <w:pPr>
        <w:spacing w:after="0" w:line="240" w:lineRule="auto"/>
        <w:rPr>
          <w:rFonts w:ascii="Times New Roman" w:hAnsi="Times New Roman" w:cs="Times New Roman"/>
          <w:sz w:val="26"/>
          <w:szCs w:val="26"/>
        </w:rPr>
      </w:pPr>
      <w:r w:rsidRPr="00BD38E2">
        <w:rPr>
          <w:rFonts w:ascii="Times New Roman" w:hAnsi="Times New Roman" w:cs="Times New Roman"/>
          <w:sz w:val="26"/>
          <w:szCs w:val="26"/>
        </w:rPr>
        <w:separator/>
      </w:r>
    </w:p>
  </w:footnote>
  <w:footnote w:type="continuationSeparator" w:id="0">
    <w:p w:rsidR="001D07D5" w:rsidRDefault="001D07D5" w:rsidP="00840676">
      <w:pPr>
        <w:spacing w:after="0" w:line="240" w:lineRule="auto"/>
      </w:pPr>
      <w:r>
        <w:continuationSeparator/>
      </w:r>
    </w:p>
  </w:footnote>
  <w:footnote w:id="1">
    <w:p w:rsidR="000164BE" w:rsidRPr="00E64EE9" w:rsidRDefault="000164BE" w:rsidP="006C14BA">
      <w:pPr>
        <w:pStyle w:val="FootnoteText"/>
        <w:keepNext/>
        <w:keepLines/>
        <w:spacing w:after="120"/>
        <w:rPr>
          <w:rFonts w:ascii="Times New Roman" w:hAnsi="Times New Roman" w:cs="Times New Roman"/>
          <w:sz w:val="26"/>
          <w:szCs w:val="26"/>
        </w:rPr>
      </w:pPr>
      <w:r w:rsidRPr="00E64EE9">
        <w:rPr>
          <w:rFonts w:ascii="Times New Roman" w:hAnsi="Times New Roman" w:cs="Times New Roman"/>
          <w:sz w:val="26"/>
          <w:szCs w:val="26"/>
        </w:rPr>
        <w:tab/>
      </w:r>
      <w:r w:rsidRPr="00E64EE9">
        <w:rPr>
          <w:rStyle w:val="FootnoteReference"/>
          <w:rFonts w:ascii="Times New Roman" w:hAnsi="Times New Roman" w:cs="Times New Roman"/>
          <w:sz w:val="26"/>
          <w:szCs w:val="26"/>
        </w:rPr>
        <w:footnoteRef/>
      </w:r>
      <w:r w:rsidRPr="00E64EE9">
        <w:rPr>
          <w:rFonts w:ascii="Times New Roman" w:hAnsi="Times New Roman" w:cs="Times New Roman"/>
          <w:sz w:val="26"/>
          <w:szCs w:val="26"/>
        </w:rPr>
        <w:tab/>
        <w:t xml:space="preserve">On November 2, 2017, </w:t>
      </w:r>
      <w:r>
        <w:rPr>
          <w:rFonts w:ascii="Times New Roman" w:hAnsi="Times New Roman" w:cs="Times New Roman"/>
          <w:sz w:val="26"/>
          <w:szCs w:val="26"/>
        </w:rPr>
        <w:t>Columbia Water</w:t>
      </w:r>
      <w:r w:rsidRPr="00E64EE9">
        <w:rPr>
          <w:rFonts w:ascii="Times New Roman" w:hAnsi="Times New Roman" w:cs="Times New Roman"/>
          <w:sz w:val="26"/>
          <w:szCs w:val="26"/>
        </w:rPr>
        <w:t xml:space="preserve"> filed a motion to strike portions of the surrebuttal testimony of OCA witness </w:t>
      </w:r>
      <w:r>
        <w:rPr>
          <w:rFonts w:ascii="Times New Roman" w:hAnsi="Times New Roman" w:cs="Times New Roman"/>
          <w:sz w:val="26"/>
          <w:szCs w:val="26"/>
        </w:rPr>
        <w:t xml:space="preserve">Terry </w:t>
      </w:r>
      <w:r w:rsidRPr="00E64EE9">
        <w:rPr>
          <w:rFonts w:ascii="Times New Roman" w:hAnsi="Times New Roman" w:cs="Times New Roman"/>
          <w:sz w:val="26"/>
          <w:szCs w:val="26"/>
        </w:rPr>
        <w:t xml:space="preserve">Fought. </w:t>
      </w:r>
      <w:r>
        <w:rPr>
          <w:rFonts w:ascii="Times New Roman" w:hAnsi="Times New Roman" w:cs="Times New Roman"/>
          <w:sz w:val="26"/>
          <w:szCs w:val="26"/>
        </w:rPr>
        <w:t xml:space="preserve"> However, this motion</w:t>
      </w:r>
      <w:r w:rsidRPr="00E64EE9">
        <w:rPr>
          <w:rFonts w:ascii="Times New Roman" w:hAnsi="Times New Roman" w:cs="Times New Roman"/>
          <w:sz w:val="26"/>
          <w:szCs w:val="26"/>
        </w:rPr>
        <w:t xml:space="preserve"> was subsequently withdrawn during the evidentiary hearing held on November 3, 2017.  </w:t>
      </w:r>
    </w:p>
  </w:footnote>
  <w:footnote w:id="2">
    <w:p w:rsidR="000164BE" w:rsidRDefault="000164BE" w:rsidP="006C14BA">
      <w:pPr>
        <w:pStyle w:val="FootnoteText"/>
        <w:keepNext/>
        <w:keepLines/>
        <w:spacing w:after="120"/>
        <w:ind w:firstLine="720"/>
      </w:pPr>
      <w:r>
        <w:rPr>
          <w:rStyle w:val="FootnoteReference"/>
        </w:rPr>
        <w:footnoteRef/>
      </w:r>
      <w:r>
        <w:tab/>
      </w:r>
      <w:r w:rsidRPr="005D48C5">
        <w:rPr>
          <w:rFonts w:ascii="Times New Roman" w:hAnsi="Times New Roman" w:cs="Times New Roman"/>
          <w:sz w:val="26"/>
          <w:szCs w:val="26"/>
        </w:rPr>
        <w:t>For example, full or partial</w:t>
      </w:r>
      <w:r w:rsidRPr="007C79B1">
        <w:rPr>
          <w:rFonts w:ascii="Times New Roman" w:eastAsia="Times New Roman" w:hAnsi="Times New Roman" w:cs="Times New Roman"/>
          <w:sz w:val="26"/>
          <w:szCs w:val="26"/>
        </w:rPr>
        <w:t xml:space="preserve"> settlements</w:t>
      </w:r>
      <w:r>
        <w:rPr>
          <w:rFonts w:ascii="Times New Roman" w:eastAsia="Times New Roman" w:hAnsi="Times New Roman" w:cs="Times New Roman"/>
          <w:sz w:val="26"/>
          <w:szCs w:val="26"/>
        </w:rPr>
        <w:t xml:space="preserve"> may</w:t>
      </w:r>
      <w:r w:rsidRPr="007C79B1">
        <w:rPr>
          <w:rFonts w:ascii="Times New Roman" w:eastAsia="Times New Roman" w:hAnsi="Times New Roman" w:cs="Times New Roman"/>
          <w:sz w:val="26"/>
          <w:szCs w:val="26"/>
        </w:rPr>
        <w:t xml:space="preserve"> allow the parties to avoid the substantial costs of preparing and serving testimony and the cross-examination of witnesses in lengthy hearings, the preparation and service of briefs, reply briefs, exceptions and replies to exceptions, together with the briefs and reply briefs necessitated by any appeal of the Commission’s decision.  </w:t>
      </w:r>
    </w:p>
  </w:footnote>
  <w:footnote w:id="3">
    <w:p w:rsidR="000164BE" w:rsidRPr="002D2959" w:rsidRDefault="000164BE" w:rsidP="006C14BA">
      <w:pPr>
        <w:keepNext/>
        <w:keepLines/>
        <w:autoSpaceDE w:val="0"/>
        <w:autoSpaceDN w:val="0"/>
        <w:adjustRightInd w:val="0"/>
        <w:spacing w:after="120" w:line="240" w:lineRule="auto"/>
        <w:rPr>
          <w:rFonts w:ascii="Times New Roman" w:hAnsi="Times New Roman" w:cs="Times New Roman"/>
          <w:sz w:val="26"/>
          <w:szCs w:val="26"/>
        </w:rPr>
      </w:pPr>
      <w:r>
        <w:tab/>
      </w:r>
      <w:r w:rsidRPr="002D2959">
        <w:rPr>
          <w:rStyle w:val="FootnoteReference"/>
          <w:rFonts w:ascii="Times New Roman" w:hAnsi="Times New Roman" w:cs="Times New Roman"/>
          <w:sz w:val="26"/>
          <w:szCs w:val="26"/>
        </w:rPr>
        <w:footnoteRef/>
      </w:r>
      <w:r w:rsidRPr="002D2959">
        <w:rPr>
          <w:rFonts w:ascii="Times New Roman" w:hAnsi="Times New Roman" w:cs="Times New Roman"/>
          <w:sz w:val="26"/>
          <w:szCs w:val="26"/>
        </w:rPr>
        <w:tab/>
        <w:t xml:space="preserve"> The Columbia Rate District and the Marietta Rate District were formerly known as the Columbia Division and the Marietta Division, respectively.</w:t>
      </w:r>
    </w:p>
  </w:footnote>
  <w:footnote w:id="4">
    <w:p w:rsidR="000164BE" w:rsidRPr="002F5332" w:rsidRDefault="000164BE" w:rsidP="006C14BA">
      <w:pPr>
        <w:pStyle w:val="FootnoteText"/>
        <w:keepNext/>
        <w:keepLines/>
        <w:spacing w:after="120"/>
        <w:rPr>
          <w:rFonts w:ascii="Times New Roman" w:hAnsi="Times New Roman" w:cs="Times New Roman"/>
          <w:sz w:val="26"/>
          <w:szCs w:val="26"/>
        </w:rPr>
      </w:pPr>
      <w:r w:rsidRPr="002F5332">
        <w:rPr>
          <w:rFonts w:ascii="Times New Roman" w:hAnsi="Times New Roman" w:cs="Times New Roman"/>
          <w:sz w:val="26"/>
          <w:szCs w:val="26"/>
        </w:rPr>
        <w:tab/>
      </w:r>
      <w:r w:rsidRPr="002F5332">
        <w:rPr>
          <w:rStyle w:val="FootnoteReference"/>
          <w:rFonts w:ascii="Times New Roman" w:hAnsi="Times New Roman" w:cs="Times New Roman"/>
          <w:sz w:val="26"/>
          <w:szCs w:val="26"/>
        </w:rPr>
        <w:footnoteRef/>
      </w:r>
      <w:r w:rsidRPr="002F5332">
        <w:rPr>
          <w:rFonts w:ascii="Times New Roman" w:hAnsi="Times New Roman" w:cs="Times New Roman"/>
          <w:sz w:val="26"/>
          <w:szCs w:val="26"/>
        </w:rPr>
        <w:tab/>
        <w:t>For the Columbia Rate District, these monthly bill amounts include the P</w:t>
      </w:r>
      <w:r w:rsidR="0030709E">
        <w:rPr>
          <w:rFonts w:ascii="Times New Roman" w:hAnsi="Times New Roman" w:cs="Times New Roman"/>
          <w:sz w:val="26"/>
          <w:szCs w:val="26"/>
        </w:rPr>
        <w:t>ENNVEST</w:t>
      </w:r>
      <w:r w:rsidRPr="002F5332">
        <w:rPr>
          <w:rFonts w:ascii="Times New Roman" w:hAnsi="Times New Roman" w:cs="Times New Roman"/>
          <w:sz w:val="26"/>
          <w:szCs w:val="26"/>
        </w:rPr>
        <w:t xml:space="preserve"> surcharge for a customer with a 5/8 inch meter.  Initially, the below amounts are based on 3,000 gallons per month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EC4A05"/>
    <w:multiLevelType w:val="hybridMultilevel"/>
    <w:tmpl w:val="17FA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559A1"/>
    <w:multiLevelType w:val="hybridMultilevel"/>
    <w:tmpl w:val="B8D20552"/>
    <w:lvl w:ilvl="0" w:tplc="03807D8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B097399"/>
    <w:multiLevelType w:val="hybridMultilevel"/>
    <w:tmpl w:val="30FC98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2F"/>
    <w:rsid w:val="00002D1D"/>
    <w:rsid w:val="000048AA"/>
    <w:rsid w:val="00005B8D"/>
    <w:rsid w:val="00012C63"/>
    <w:rsid w:val="00013B5E"/>
    <w:rsid w:val="000164BE"/>
    <w:rsid w:val="00016802"/>
    <w:rsid w:val="00017F82"/>
    <w:rsid w:val="00025079"/>
    <w:rsid w:val="000264B4"/>
    <w:rsid w:val="0003121C"/>
    <w:rsid w:val="00031374"/>
    <w:rsid w:val="00036D08"/>
    <w:rsid w:val="00072DC9"/>
    <w:rsid w:val="000777A1"/>
    <w:rsid w:val="000868B0"/>
    <w:rsid w:val="00087A06"/>
    <w:rsid w:val="000929CF"/>
    <w:rsid w:val="00094289"/>
    <w:rsid w:val="000C326B"/>
    <w:rsid w:val="000D278E"/>
    <w:rsid w:val="000D5C9C"/>
    <w:rsid w:val="000D7E6B"/>
    <w:rsid w:val="000E5919"/>
    <w:rsid w:val="000F5449"/>
    <w:rsid w:val="000F7CA3"/>
    <w:rsid w:val="00103980"/>
    <w:rsid w:val="00114DFC"/>
    <w:rsid w:val="001159FD"/>
    <w:rsid w:val="00116211"/>
    <w:rsid w:val="0011639A"/>
    <w:rsid w:val="001203D3"/>
    <w:rsid w:val="00120ABA"/>
    <w:rsid w:val="00122EA1"/>
    <w:rsid w:val="001246FB"/>
    <w:rsid w:val="0012528B"/>
    <w:rsid w:val="001259AA"/>
    <w:rsid w:val="00130737"/>
    <w:rsid w:val="00132239"/>
    <w:rsid w:val="001406D5"/>
    <w:rsid w:val="001418F8"/>
    <w:rsid w:val="00161DEF"/>
    <w:rsid w:val="0016593C"/>
    <w:rsid w:val="00177147"/>
    <w:rsid w:val="00182E03"/>
    <w:rsid w:val="00192CC7"/>
    <w:rsid w:val="001949FA"/>
    <w:rsid w:val="0019782A"/>
    <w:rsid w:val="001A1059"/>
    <w:rsid w:val="001A35E4"/>
    <w:rsid w:val="001A6397"/>
    <w:rsid w:val="001C092F"/>
    <w:rsid w:val="001C64A4"/>
    <w:rsid w:val="001C75AA"/>
    <w:rsid w:val="001D07D5"/>
    <w:rsid w:val="001D0EFF"/>
    <w:rsid w:val="001D652D"/>
    <w:rsid w:val="001D69B2"/>
    <w:rsid w:val="001E3E4D"/>
    <w:rsid w:val="001E76DD"/>
    <w:rsid w:val="001F0465"/>
    <w:rsid w:val="002042BE"/>
    <w:rsid w:val="002043EF"/>
    <w:rsid w:val="00205DC4"/>
    <w:rsid w:val="00207103"/>
    <w:rsid w:val="00213F5D"/>
    <w:rsid w:val="0021408E"/>
    <w:rsid w:val="0021691D"/>
    <w:rsid w:val="0022280E"/>
    <w:rsid w:val="0022459D"/>
    <w:rsid w:val="00226CFE"/>
    <w:rsid w:val="00230C73"/>
    <w:rsid w:val="00233BBD"/>
    <w:rsid w:val="0023577F"/>
    <w:rsid w:val="002442A2"/>
    <w:rsid w:val="00253860"/>
    <w:rsid w:val="00262B66"/>
    <w:rsid w:val="00262D96"/>
    <w:rsid w:val="002668A9"/>
    <w:rsid w:val="0027383A"/>
    <w:rsid w:val="00276AA1"/>
    <w:rsid w:val="00277940"/>
    <w:rsid w:val="00295A3D"/>
    <w:rsid w:val="002A3424"/>
    <w:rsid w:val="002A3712"/>
    <w:rsid w:val="002A584C"/>
    <w:rsid w:val="002B6268"/>
    <w:rsid w:val="002D0362"/>
    <w:rsid w:val="002D2959"/>
    <w:rsid w:val="002F0822"/>
    <w:rsid w:val="002F2BF6"/>
    <w:rsid w:val="002F5332"/>
    <w:rsid w:val="002F699F"/>
    <w:rsid w:val="00300516"/>
    <w:rsid w:val="00304004"/>
    <w:rsid w:val="003065A8"/>
    <w:rsid w:val="0030709E"/>
    <w:rsid w:val="0031360A"/>
    <w:rsid w:val="00320067"/>
    <w:rsid w:val="0032435A"/>
    <w:rsid w:val="003304C3"/>
    <w:rsid w:val="0033132B"/>
    <w:rsid w:val="00334263"/>
    <w:rsid w:val="00341547"/>
    <w:rsid w:val="003454A2"/>
    <w:rsid w:val="00360923"/>
    <w:rsid w:val="003637DD"/>
    <w:rsid w:val="0036654D"/>
    <w:rsid w:val="00366F56"/>
    <w:rsid w:val="00367A24"/>
    <w:rsid w:val="00370D54"/>
    <w:rsid w:val="00375D30"/>
    <w:rsid w:val="0037612F"/>
    <w:rsid w:val="00381E51"/>
    <w:rsid w:val="003870D4"/>
    <w:rsid w:val="00393B7C"/>
    <w:rsid w:val="003C6F2F"/>
    <w:rsid w:val="003C7942"/>
    <w:rsid w:val="003D3763"/>
    <w:rsid w:val="003D4718"/>
    <w:rsid w:val="003E1E4C"/>
    <w:rsid w:val="003F1C7C"/>
    <w:rsid w:val="003F2D69"/>
    <w:rsid w:val="00401B2A"/>
    <w:rsid w:val="004047F5"/>
    <w:rsid w:val="004069D8"/>
    <w:rsid w:val="00424089"/>
    <w:rsid w:val="004307B5"/>
    <w:rsid w:val="004436C1"/>
    <w:rsid w:val="0045244B"/>
    <w:rsid w:val="00452DF8"/>
    <w:rsid w:val="0045790D"/>
    <w:rsid w:val="00462EEF"/>
    <w:rsid w:val="00470C19"/>
    <w:rsid w:val="004834F4"/>
    <w:rsid w:val="004869EB"/>
    <w:rsid w:val="00487D15"/>
    <w:rsid w:val="00491EB2"/>
    <w:rsid w:val="00492687"/>
    <w:rsid w:val="00496081"/>
    <w:rsid w:val="0049709B"/>
    <w:rsid w:val="004A2596"/>
    <w:rsid w:val="004A33D9"/>
    <w:rsid w:val="004A491C"/>
    <w:rsid w:val="004C05CE"/>
    <w:rsid w:val="004C660E"/>
    <w:rsid w:val="004D03A3"/>
    <w:rsid w:val="004D7863"/>
    <w:rsid w:val="004E036B"/>
    <w:rsid w:val="004E0B21"/>
    <w:rsid w:val="004E0C72"/>
    <w:rsid w:val="004E69E9"/>
    <w:rsid w:val="004F647B"/>
    <w:rsid w:val="0050164E"/>
    <w:rsid w:val="00504C01"/>
    <w:rsid w:val="00505679"/>
    <w:rsid w:val="0051711A"/>
    <w:rsid w:val="00521CAF"/>
    <w:rsid w:val="00527548"/>
    <w:rsid w:val="00531E69"/>
    <w:rsid w:val="005375B0"/>
    <w:rsid w:val="005506BB"/>
    <w:rsid w:val="005601D6"/>
    <w:rsid w:val="005627B8"/>
    <w:rsid w:val="00585F3F"/>
    <w:rsid w:val="00592E63"/>
    <w:rsid w:val="0059556B"/>
    <w:rsid w:val="005A356A"/>
    <w:rsid w:val="005A4483"/>
    <w:rsid w:val="005A6644"/>
    <w:rsid w:val="005B5443"/>
    <w:rsid w:val="005B6850"/>
    <w:rsid w:val="005B7FC9"/>
    <w:rsid w:val="005C3B47"/>
    <w:rsid w:val="005D6803"/>
    <w:rsid w:val="005D72E0"/>
    <w:rsid w:val="005E4069"/>
    <w:rsid w:val="00600AEF"/>
    <w:rsid w:val="006226BC"/>
    <w:rsid w:val="00625BB7"/>
    <w:rsid w:val="006323BD"/>
    <w:rsid w:val="00645033"/>
    <w:rsid w:val="00663FC3"/>
    <w:rsid w:val="00675947"/>
    <w:rsid w:val="00675BDD"/>
    <w:rsid w:val="006872B3"/>
    <w:rsid w:val="00687C9C"/>
    <w:rsid w:val="00694502"/>
    <w:rsid w:val="00695DE4"/>
    <w:rsid w:val="00695DE9"/>
    <w:rsid w:val="006A0BF3"/>
    <w:rsid w:val="006A6F2E"/>
    <w:rsid w:val="006B6335"/>
    <w:rsid w:val="006C00B2"/>
    <w:rsid w:val="006C14BA"/>
    <w:rsid w:val="006D159F"/>
    <w:rsid w:val="006D79C0"/>
    <w:rsid w:val="006F0B2F"/>
    <w:rsid w:val="006F71E4"/>
    <w:rsid w:val="006F76E2"/>
    <w:rsid w:val="00700F59"/>
    <w:rsid w:val="007136AD"/>
    <w:rsid w:val="00716923"/>
    <w:rsid w:val="00732BCB"/>
    <w:rsid w:val="007339B5"/>
    <w:rsid w:val="00734968"/>
    <w:rsid w:val="0073752C"/>
    <w:rsid w:val="00741783"/>
    <w:rsid w:val="00751263"/>
    <w:rsid w:val="00764FBA"/>
    <w:rsid w:val="00766675"/>
    <w:rsid w:val="00775A0E"/>
    <w:rsid w:val="00776F5D"/>
    <w:rsid w:val="00776FB3"/>
    <w:rsid w:val="007843A8"/>
    <w:rsid w:val="0079489F"/>
    <w:rsid w:val="007A2D52"/>
    <w:rsid w:val="007B042C"/>
    <w:rsid w:val="007B2334"/>
    <w:rsid w:val="007C6584"/>
    <w:rsid w:val="007C6C52"/>
    <w:rsid w:val="007C79B1"/>
    <w:rsid w:val="007D1092"/>
    <w:rsid w:val="007D140A"/>
    <w:rsid w:val="007D2F7B"/>
    <w:rsid w:val="007D6BF0"/>
    <w:rsid w:val="007E000C"/>
    <w:rsid w:val="007E127D"/>
    <w:rsid w:val="007E455A"/>
    <w:rsid w:val="008038D8"/>
    <w:rsid w:val="00807ADD"/>
    <w:rsid w:val="00814FF0"/>
    <w:rsid w:val="00820C34"/>
    <w:rsid w:val="008213BC"/>
    <w:rsid w:val="00830826"/>
    <w:rsid w:val="008310E0"/>
    <w:rsid w:val="0083542A"/>
    <w:rsid w:val="00835A49"/>
    <w:rsid w:val="00837CCB"/>
    <w:rsid w:val="00840676"/>
    <w:rsid w:val="00841033"/>
    <w:rsid w:val="0084739A"/>
    <w:rsid w:val="00851BDF"/>
    <w:rsid w:val="008537FA"/>
    <w:rsid w:val="0086795B"/>
    <w:rsid w:val="00873360"/>
    <w:rsid w:val="00876516"/>
    <w:rsid w:val="00877932"/>
    <w:rsid w:val="00880B79"/>
    <w:rsid w:val="00884C9E"/>
    <w:rsid w:val="0088713F"/>
    <w:rsid w:val="00893BCA"/>
    <w:rsid w:val="00895992"/>
    <w:rsid w:val="00897861"/>
    <w:rsid w:val="008A7831"/>
    <w:rsid w:val="008B040D"/>
    <w:rsid w:val="008B248D"/>
    <w:rsid w:val="008B3054"/>
    <w:rsid w:val="008B6BDC"/>
    <w:rsid w:val="008C0BB3"/>
    <w:rsid w:val="008C3E3F"/>
    <w:rsid w:val="008D25B1"/>
    <w:rsid w:val="008D7B19"/>
    <w:rsid w:val="008E23D1"/>
    <w:rsid w:val="008E4ACF"/>
    <w:rsid w:val="008F1A8B"/>
    <w:rsid w:val="008F3298"/>
    <w:rsid w:val="008F3579"/>
    <w:rsid w:val="008F7C4F"/>
    <w:rsid w:val="009004E8"/>
    <w:rsid w:val="00900A91"/>
    <w:rsid w:val="0090192F"/>
    <w:rsid w:val="00902843"/>
    <w:rsid w:val="00907299"/>
    <w:rsid w:val="00913C49"/>
    <w:rsid w:val="00922C70"/>
    <w:rsid w:val="009268A7"/>
    <w:rsid w:val="00934DA2"/>
    <w:rsid w:val="00936D5F"/>
    <w:rsid w:val="0093780B"/>
    <w:rsid w:val="00952413"/>
    <w:rsid w:val="00955321"/>
    <w:rsid w:val="009564EF"/>
    <w:rsid w:val="00964BAE"/>
    <w:rsid w:val="0096688B"/>
    <w:rsid w:val="009763EE"/>
    <w:rsid w:val="00983A5B"/>
    <w:rsid w:val="00987FEF"/>
    <w:rsid w:val="00992095"/>
    <w:rsid w:val="00993D97"/>
    <w:rsid w:val="009A2397"/>
    <w:rsid w:val="009A35ED"/>
    <w:rsid w:val="009A40AE"/>
    <w:rsid w:val="009A58EB"/>
    <w:rsid w:val="009B04E9"/>
    <w:rsid w:val="009C61CA"/>
    <w:rsid w:val="009D42D4"/>
    <w:rsid w:val="009E14EC"/>
    <w:rsid w:val="009E1F23"/>
    <w:rsid w:val="009E6F02"/>
    <w:rsid w:val="009F1926"/>
    <w:rsid w:val="00A001C8"/>
    <w:rsid w:val="00A063B3"/>
    <w:rsid w:val="00A21CDE"/>
    <w:rsid w:val="00A23D78"/>
    <w:rsid w:val="00A258F4"/>
    <w:rsid w:val="00A327EE"/>
    <w:rsid w:val="00A33E1D"/>
    <w:rsid w:val="00A41524"/>
    <w:rsid w:val="00A43DF2"/>
    <w:rsid w:val="00A65CBA"/>
    <w:rsid w:val="00A706C5"/>
    <w:rsid w:val="00A73341"/>
    <w:rsid w:val="00A870AA"/>
    <w:rsid w:val="00A964A6"/>
    <w:rsid w:val="00A9679D"/>
    <w:rsid w:val="00AA2F3C"/>
    <w:rsid w:val="00AA42A4"/>
    <w:rsid w:val="00AA58D2"/>
    <w:rsid w:val="00AB464C"/>
    <w:rsid w:val="00AD16A4"/>
    <w:rsid w:val="00AD2342"/>
    <w:rsid w:val="00AD4806"/>
    <w:rsid w:val="00AE0029"/>
    <w:rsid w:val="00AE3473"/>
    <w:rsid w:val="00AF3CC3"/>
    <w:rsid w:val="00AF60E5"/>
    <w:rsid w:val="00B00F76"/>
    <w:rsid w:val="00B025B7"/>
    <w:rsid w:val="00B02DD8"/>
    <w:rsid w:val="00B04411"/>
    <w:rsid w:val="00B06B7B"/>
    <w:rsid w:val="00B11279"/>
    <w:rsid w:val="00B11A79"/>
    <w:rsid w:val="00B11CD2"/>
    <w:rsid w:val="00B156EF"/>
    <w:rsid w:val="00B21D40"/>
    <w:rsid w:val="00B233FF"/>
    <w:rsid w:val="00B25689"/>
    <w:rsid w:val="00B2605E"/>
    <w:rsid w:val="00B270F7"/>
    <w:rsid w:val="00B27B2A"/>
    <w:rsid w:val="00B3745E"/>
    <w:rsid w:val="00B37CCB"/>
    <w:rsid w:val="00B43A4E"/>
    <w:rsid w:val="00B43B40"/>
    <w:rsid w:val="00B4669D"/>
    <w:rsid w:val="00B47368"/>
    <w:rsid w:val="00B50944"/>
    <w:rsid w:val="00B665C3"/>
    <w:rsid w:val="00B71390"/>
    <w:rsid w:val="00B71DD5"/>
    <w:rsid w:val="00B84259"/>
    <w:rsid w:val="00B95AFC"/>
    <w:rsid w:val="00BC0723"/>
    <w:rsid w:val="00BC0805"/>
    <w:rsid w:val="00BC1CB2"/>
    <w:rsid w:val="00BC1F59"/>
    <w:rsid w:val="00BC2903"/>
    <w:rsid w:val="00BC43A3"/>
    <w:rsid w:val="00BD38E2"/>
    <w:rsid w:val="00BD7EC7"/>
    <w:rsid w:val="00BF596E"/>
    <w:rsid w:val="00BF6C77"/>
    <w:rsid w:val="00C113E2"/>
    <w:rsid w:val="00C22F7C"/>
    <w:rsid w:val="00C24E54"/>
    <w:rsid w:val="00C25777"/>
    <w:rsid w:val="00C3059A"/>
    <w:rsid w:val="00C3060F"/>
    <w:rsid w:val="00C3289E"/>
    <w:rsid w:val="00C43327"/>
    <w:rsid w:val="00C67FCD"/>
    <w:rsid w:val="00C7265E"/>
    <w:rsid w:val="00C76127"/>
    <w:rsid w:val="00C82C8A"/>
    <w:rsid w:val="00C82D1F"/>
    <w:rsid w:val="00CA01AC"/>
    <w:rsid w:val="00CA25B4"/>
    <w:rsid w:val="00CB030E"/>
    <w:rsid w:val="00CB4754"/>
    <w:rsid w:val="00CC49CD"/>
    <w:rsid w:val="00CE0308"/>
    <w:rsid w:val="00CE1532"/>
    <w:rsid w:val="00CE34F4"/>
    <w:rsid w:val="00CF64F0"/>
    <w:rsid w:val="00CF6A90"/>
    <w:rsid w:val="00D0230A"/>
    <w:rsid w:val="00D13DEF"/>
    <w:rsid w:val="00D20CD0"/>
    <w:rsid w:val="00D24B77"/>
    <w:rsid w:val="00D24D21"/>
    <w:rsid w:val="00D27FA7"/>
    <w:rsid w:val="00D309BA"/>
    <w:rsid w:val="00D30B7F"/>
    <w:rsid w:val="00D34884"/>
    <w:rsid w:val="00D36831"/>
    <w:rsid w:val="00D421FA"/>
    <w:rsid w:val="00D50649"/>
    <w:rsid w:val="00D62C4A"/>
    <w:rsid w:val="00D70FA3"/>
    <w:rsid w:val="00D72B7B"/>
    <w:rsid w:val="00D77691"/>
    <w:rsid w:val="00D77B61"/>
    <w:rsid w:val="00D84F67"/>
    <w:rsid w:val="00D86764"/>
    <w:rsid w:val="00D95FF4"/>
    <w:rsid w:val="00DA2780"/>
    <w:rsid w:val="00DA5A9D"/>
    <w:rsid w:val="00DB1F26"/>
    <w:rsid w:val="00DC1598"/>
    <w:rsid w:val="00DC5094"/>
    <w:rsid w:val="00DD1B1E"/>
    <w:rsid w:val="00DD3155"/>
    <w:rsid w:val="00DD4A68"/>
    <w:rsid w:val="00DE6E9F"/>
    <w:rsid w:val="00DF5869"/>
    <w:rsid w:val="00DF5C49"/>
    <w:rsid w:val="00E01C6E"/>
    <w:rsid w:val="00E111BA"/>
    <w:rsid w:val="00E148D8"/>
    <w:rsid w:val="00E15089"/>
    <w:rsid w:val="00E17B9E"/>
    <w:rsid w:val="00E23211"/>
    <w:rsid w:val="00E25AC4"/>
    <w:rsid w:val="00E43250"/>
    <w:rsid w:val="00E43C7D"/>
    <w:rsid w:val="00E5308D"/>
    <w:rsid w:val="00E56BB0"/>
    <w:rsid w:val="00E64EE9"/>
    <w:rsid w:val="00E664B5"/>
    <w:rsid w:val="00E72CFA"/>
    <w:rsid w:val="00E73DCD"/>
    <w:rsid w:val="00E802E6"/>
    <w:rsid w:val="00E82A25"/>
    <w:rsid w:val="00E85DE9"/>
    <w:rsid w:val="00E938EB"/>
    <w:rsid w:val="00EA0670"/>
    <w:rsid w:val="00EA53E5"/>
    <w:rsid w:val="00EB4343"/>
    <w:rsid w:val="00EB792F"/>
    <w:rsid w:val="00EC17C9"/>
    <w:rsid w:val="00EC5D50"/>
    <w:rsid w:val="00EC76BB"/>
    <w:rsid w:val="00EE0E54"/>
    <w:rsid w:val="00EE2865"/>
    <w:rsid w:val="00EF0F75"/>
    <w:rsid w:val="00EF542E"/>
    <w:rsid w:val="00EF699A"/>
    <w:rsid w:val="00F01965"/>
    <w:rsid w:val="00F10F53"/>
    <w:rsid w:val="00F334FD"/>
    <w:rsid w:val="00F34505"/>
    <w:rsid w:val="00F35037"/>
    <w:rsid w:val="00F360EA"/>
    <w:rsid w:val="00F408B5"/>
    <w:rsid w:val="00F53B50"/>
    <w:rsid w:val="00F53B55"/>
    <w:rsid w:val="00F66359"/>
    <w:rsid w:val="00F66B5F"/>
    <w:rsid w:val="00F76401"/>
    <w:rsid w:val="00F77D15"/>
    <w:rsid w:val="00F77F25"/>
    <w:rsid w:val="00F80697"/>
    <w:rsid w:val="00F820C2"/>
    <w:rsid w:val="00F904F1"/>
    <w:rsid w:val="00F9415C"/>
    <w:rsid w:val="00F95A41"/>
    <w:rsid w:val="00FA419B"/>
    <w:rsid w:val="00FA5C22"/>
    <w:rsid w:val="00FB1559"/>
    <w:rsid w:val="00FB1B03"/>
    <w:rsid w:val="00FB5300"/>
    <w:rsid w:val="00FC0D4C"/>
    <w:rsid w:val="00FC1A22"/>
    <w:rsid w:val="00FD33BE"/>
    <w:rsid w:val="00FD6FBB"/>
    <w:rsid w:val="00FE1630"/>
    <w:rsid w:val="00FE445D"/>
    <w:rsid w:val="00FE5BF0"/>
    <w:rsid w:val="00FF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36FD151"/>
  <w15:docId w15:val="{80CC2D9A-21A8-4385-A35F-86A74D64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676"/>
  </w:style>
  <w:style w:type="paragraph" w:styleId="Footer">
    <w:name w:val="footer"/>
    <w:basedOn w:val="Normal"/>
    <w:link w:val="FooterChar"/>
    <w:uiPriority w:val="99"/>
    <w:unhideWhenUsed/>
    <w:rsid w:val="00840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676"/>
  </w:style>
  <w:style w:type="paragraph" w:styleId="ListParagraph">
    <w:name w:val="List Paragraph"/>
    <w:basedOn w:val="Normal"/>
    <w:uiPriority w:val="34"/>
    <w:qFormat/>
    <w:rsid w:val="009E1F23"/>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B6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850"/>
    <w:rPr>
      <w:sz w:val="20"/>
      <w:szCs w:val="20"/>
    </w:rPr>
  </w:style>
  <w:style w:type="character" w:styleId="FootnoteReference">
    <w:name w:val="footnote reference"/>
    <w:basedOn w:val="DefaultParagraphFont"/>
    <w:uiPriority w:val="99"/>
    <w:semiHidden/>
    <w:unhideWhenUsed/>
    <w:rsid w:val="005B6850"/>
    <w:rPr>
      <w:vertAlign w:val="superscript"/>
    </w:rPr>
  </w:style>
  <w:style w:type="paragraph" w:styleId="BalloonText">
    <w:name w:val="Balloon Text"/>
    <w:basedOn w:val="Normal"/>
    <w:link w:val="BalloonTextChar"/>
    <w:uiPriority w:val="99"/>
    <w:semiHidden/>
    <w:unhideWhenUsed/>
    <w:rsid w:val="008B2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4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782752">
      <w:bodyDiv w:val="1"/>
      <w:marLeft w:val="0"/>
      <w:marRight w:val="0"/>
      <w:marTop w:val="0"/>
      <w:marBottom w:val="0"/>
      <w:divBdr>
        <w:top w:val="none" w:sz="0" w:space="0" w:color="auto"/>
        <w:left w:val="none" w:sz="0" w:space="0" w:color="auto"/>
        <w:bottom w:val="none" w:sz="0" w:space="0" w:color="auto"/>
        <w:right w:val="none" w:sz="0" w:space="0" w:color="auto"/>
      </w:divBdr>
    </w:div>
    <w:div w:id="134597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FA264-F1F9-4D1A-9C64-0B9E4CDC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8362</Words>
  <Characters>47668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Farner, Joyce</cp:lastModifiedBy>
  <cp:revision>3</cp:revision>
  <cp:lastPrinted>2018-03-01T12:41:00Z</cp:lastPrinted>
  <dcterms:created xsi:type="dcterms:W3CDTF">2018-03-01T11:58:00Z</dcterms:created>
  <dcterms:modified xsi:type="dcterms:W3CDTF">2018-03-01T12:41:00Z</dcterms:modified>
</cp:coreProperties>
</file>