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859A5" w14:textId="77777777" w:rsidR="00F514FB" w:rsidRPr="00F514FB" w:rsidRDefault="00F514FB" w:rsidP="002C31D4">
      <w:pPr>
        <w:widowControl/>
        <w:tabs>
          <w:tab w:val="center" w:pos="4680"/>
        </w:tabs>
        <w:suppressAutoHyphens/>
        <w:jc w:val="center"/>
        <w:rPr>
          <w:b/>
          <w:sz w:val="26"/>
          <w:szCs w:val="26"/>
        </w:rPr>
      </w:pPr>
      <w:r w:rsidRPr="00F514FB">
        <w:rPr>
          <w:b/>
          <w:sz w:val="26"/>
          <w:szCs w:val="26"/>
        </w:rPr>
        <w:t>PENNSYLVANIA</w:t>
      </w:r>
    </w:p>
    <w:p w14:paraId="33F3BAC7" w14:textId="77777777" w:rsidR="00F514FB" w:rsidRPr="00F514FB" w:rsidRDefault="00F514FB" w:rsidP="002C31D4">
      <w:pPr>
        <w:widowControl/>
        <w:tabs>
          <w:tab w:val="center" w:pos="4680"/>
        </w:tabs>
        <w:suppressAutoHyphens/>
        <w:jc w:val="center"/>
        <w:rPr>
          <w:sz w:val="26"/>
          <w:szCs w:val="26"/>
        </w:rPr>
      </w:pPr>
      <w:r w:rsidRPr="00F514FB">
        <w:rPr>
          <w:b/>
          <w:sz w:val="26"/>
          <w:szCs w:val="26"/>
        </w:rPr>
        <w:t>PUBLIC UTILITY COMMISSION</w:t>
      </w:r>
    </w:p>
    <w:p w14:paraId="285121BC" w14:textId="77777777" w:rsidR="00F514FB" w:rsidRPr="00F514FB" w:rsidRDefault="00F514FB" w:rsidP="002C31D4">
      <w:pPr>
        <w:widowControl/>
        <w:tabs>
          <w:tab w:val="center" w:pos="4680"/>
        </w:tabs>
        <w:suppressAutoHyphens/>
        <w:jc w:val="center"/>
        <w:rPr>
          <w:sz w:val="26"/>
          <w:szCs w:val="26"/>
        </w:rPr>
      </w:pPr>
      <w:r w:rsidRPr="00F514FB">
        <w:rPr>
          <w:b/>
          <w:sz w:val="26"/>
          <w:szCs w:val="26"/>
        </w:rPr>
        <w:t>Harrisburg, PA 17105-3265</w:t>
      </w:r>
    </w:p>
    <w:p w14:paraId="4B88010A" w14:textId="77777777" w:rsidR="00F514FB" w:rsidRPr="00F514FB" w:rsidRDefault="00F514FB" w:rsidP="002C31D4">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409"/>
      </w:tblGrid>
      <w:tr w:rsidR="00F514FB" w:rsidRPr="00F514FB" w14:paraId="462F3F1A" w14:textId="77777777" w:rsidTr="001A5E7A">
        <w:tc>
          <w:tcPr>
            <w:tcW w:w="4968" w:type="dxa"/>
          </w:tcPr>
          <w:p w14:paraId="3B9CAB02" w14:textId="77777777" w:rsidR="00F514FB" w:rsidRPr="00F514FB" w:rsidRDefault="00F514FB" w:rsidP="002C31D4">
            <w:pPr>
              <w:widowControl/>
              <w:rPr>
                <w:sz w:val="26"/>
                <w:szCs w:val="26"/>
              </w:rPr>
            </w:pPr>
          </w:p>
        </w:tc>
        <w:tc>
          <w:tcPr>
            <w:tcW w:w="4428" w:type="dxa"/>
          </w:tcPr>
          <w:p w14:paraId="0459456B" w14:textId="77777777" w:rsidR="00F514FB" w:rsidRPr="00F514FB" w:rsidRDefault="001A5E7A" w:rsidP="002C31D4">
            <w:pPr>
              <w:widowControl/>
              <w:ind w:hanging="198"/>
              <w:jc w:val="right"/>
              <w:rPr>
                <w:sz w:val="26"/>
                <w:szCs w:val="26"/>
              </w:rPr>
            </w:pPr>
            <w:r>
              <w:rPr>
                <w:sz w:val="26"/>
                <w:szCs w:val="26"/>
              </w:rPr>
              <w:t xml:space="preserve">  </w:t>
            </w:r>
            <w:r w:rsidR="00F514FB" w:rsidRPr="00F514FB">
              <w:rPr>
                <w:sz w:val="26"/>
                <w:szCs w:val="26"/>
              </w:rPr>
              <w:t xml:space="preserve">Public Meeting held </w:t>
            </w:r>
            <w:r w:rsidR="00BE6261">
              <w:rPr>
                <w:sz w:val="26"/>
                <w:szCs w:val="26"/>
              </w:rPr>
              <w:t>March 1, 2018</w:t>
            </w:r>
          </w:p>
          <w:p w14:paraId="6FC8DD9B" w14:textId="77777777" w:rsidR="00F514FB" w:rsidRPr="00F514FB" w:rsidRDefault="00F514FB" w:rsidP="002C31D4">
            <w:pPr>
              <w:widowControl/>
              <w:jc w:val="right"/>
              <w:rPr>
                <w:sz w:val="26"/>
                <w:szCs w:val="26"/>
              </w:rPr>
            </w:pPr>
          </w:p>
          <w:p w14:paraId="07EA64F2" w14:textId="77777777" w:rsidR="00F514FB" w:rsidRPr="00F514FB" w:rsidRDefault="00F514FB" w:rsidP="002C31D4">
            <w:pPr>
              <w:widowControl/>
              <w:jc w:val="right"/>
              <w:rPr>
                <w:sz w:val="26"/>
                <w:szCs w:val="26"/>
              </w:rPr>
            </w:pPr>
          </w:p>
        </w:tc>
      </w:tr>
      <w:tr w:rsidR="00F514FB" w:rsidRPr="00F514FB" w14:paraId="13C19196" w14:textId="77777777" w:rsidTr="001A5E7A">
        <w:tc>
          <w:tcPr>
            <w:tcW w:w="4968" w:type="dxa"/>
          </w:tcPr>
          <w:p w14:paraId="1D94A236" w14:textId="77777777" w:rsidR="00F514FB" w:rsidRPr="00F514FB" w:rsidRDefault="00F514FB" w:rsidP="002C31D4">
            <w:pPr>
              <w:widowControl/>
              <w:rPr>
                <w:sz w:val="26"/>
                <w:szCs w:val="26"/>
              </w:rPr>
            </w:pPr>
            <w:r w:rsidRPr="00F514FB">
              <w:rPr>
                <w:sz w:val="26"/>
                <w:szCs w:val="26"/>
              </w:rPr>
              <w:t>Commissioners Present:</w:t>
            </w:r>
          </w:p>
          <w:p w14:paraId="6A1FBC52" w14:textId="77777777" w:rsidR="00F514FB" w:rsidRPr="00F514FB" w:rsidRDefault="00F514FB" w:rsidP="002C31D4">
            <w:pPr>
              <w:widowControl/>
              <w:rPr>
                <w:sz w:val="26"/>
                <w:szCs w:val="26"/>
              </w:rPr>
            </w:pPr>
          </w:p>
          <w:p w14:paraId="5E88734C" w14:textId="77777777" w:rsidR="00BE6261" w:rsidRPr="00BE6261" w:rsidRDefault="00BE6261" w:rsidP="002C31D4">
            <w:pPr>
              <w:widowControl/>
              <w:tabs>
                <w:tab w:val="left" w:pos="-720"/>
              </w:tabs>
              <w:suppressAutoHyphens/>
              <w:ind w:left="720"/>
              <w:rPr>
                <w:i/>
                <w:sz w:val="26"/>
              </w:rPr>
            </w:pPr>
            <w:r w:rsidRPr="00BE6261">
              <w:rPr>
                <w:sz w:val="26"/>
              </w:rPr>
              <w:t>Gladys M. Brown, Chairman</w:t>
            </w:r>
          </w:p>
          <w:p w14:paraId="33BC1ED3" w14:textId="77777777" w:rsidR="00BE6261" w:rsidRPr="00BE6261" w:rsidRDefault="00BE6261" w:rsidP="002C31D4">
            <w:pPr>
              <w:widowControl/>
              <w:tabs>
                <w:tab w:val="left" w:pos="-720"/>
              </w:tabs>
              <w:suppressAutoHyphens/>
              <w:ind w:left="720"/>
              <w:rPr>
                <w:sz w:val="26"/>
              </w:rPr>
            </w:pPr>
            <w:r w:rsidRPr="00BE6261">
              <w:rPr>
                <w:sz w:val="26"/>
              </w:rPr>
              <w:t>Andrew G. Place, Vice Chairman</w:t>
            </w:r>
          </w:p>
          <w:p w14:paraId="52F753ED" w14:textId="77777777" w:rsidR="00BE6261" w:rsidRPr="00BE6261" w:rsidRDefault="00BE6261" w:rsidP="002C31D4">
            <w:pPr>
              <w:widowControl/>
              <w:tabs>
                <w:tab w:val="left" w:pos="-720"/>
              </w:tabs>
              <w:suppressAutoHyphens/>
              <w:ind w:left="720"/>
              <w:rPr>
                <w:sz w:val="26"/>
              </w:rPr>
            </w:pPr>
            <w:r w:rsidRPr="00BE6261">
              <w:rPr>
                <w:sz w:val="26"/>
              </w:rPr>
              <w:t>Norman J. Kennard</w:t>
            </w:r>
          </w:p>
          <w:p w14:paraId="755B8BAD" w14:textId="77777777" w:rsidR="00BE6261" w:rsidRPr="00BE6261" w:rsidRDefault="00BE6261" w:rsidP="002C31D4">
            <w:pPr>
              <w:widowControl/>
              <w:tabs>
                <w:tab w:val="left" w:pos="-720"/>
              </w:tabs>
              <w:suppressAutoHyphens/>
              <w:ind w:left="720"/>
              <w:rPr>
                <w:sz w:val="26"/>
              </w:rPr>
            </w:pPr>
            <w:r w:rsidRPr="00BE6261">
              <w:rPr>
                <w:sz w:val="26"/>
              </w:rPr>
              <w:t>David W. Sweet</w:t>
            </w:r>
          </w:p>
          <w:p w14:paraId="540A7138" w14:textId="77777777" w:rsidR="00BE6261" w:rsidRPr="00BE6261" w:rsidRDefault="00BE6261" w:rsidP="002C31D4">
            <w:pPr>
              <w:widowControl/>
              <w:tabs>
                <w:tab w:val="left" w:pos="-720"/>
              </w:tabs>
              <w:suppressAutoHyphens/>
              <w:ind w:left="720"/>
              <w:rPr>
                <w:sz w:val="26"/>
              </w:rPr>
            </w:pPr>
            <w:r w:rsidRPr="00BE6261">
              <w:rPr>
                <w:sz w:val="26"/>
              </w:rPr>
              <w:t>John F. Coleman, Jr.</w:t>
            </w:r>
          </w:p>
          <w:p w14:paraId="2FA65779" w14:textId="77777777" w:rsidR="00F514FB" w:rsidRPr="00F514FB" w:rsidRDefault="00F514FB" w:rsidP="002C31D4">
            <w:pPr>
              <w:widowControl/>
              <w:rPr>
                <w:sz w:val="26"/>
                <w:szCs w:val="26"/>
              </w:rPr>
            </w:pPr>
          </w:p>
          <w:p w14:paraId="1B76868A" w14:textId="77777777" w:rsidR="00F514FB" w:rsidRPr="00F514FB" w:rsidRDefault="00F514FB" w:rsidP="002C31D4">
            <w:pPr>
              <w:widowControl/>
              <w:rPr>
                <w:sz w:val="26"/>
                <w:szCs w:val="26"/>
              </w:rPr>
            </w:pPr>
          </w:p>
        </w:tc>
        <w:tc>
          <w:tcPr>
            <w:tcW w:w="4428" w:type="dxa"/>
          </w:tcPr>
          <w:p w14:paraId="2D141DD9" w14:textId="77777777" w:rsidR="00F514FB" w:rsidRPr="00F514FB" w:rsidRDefault="00F514FB" w:rsidP="002C31D4">
            <w:pPr>
              <w:widowControl/>
              <w:jc w:val="right"/>
              <w:rPr>
                <w:sz w:val="26"/>
                <w:szCs w:val="26"/>
              </w:rPr>
            </w:pPr>
          </w:p>
          <w:p w14:paraId="77C9CCC5" w14:textId="77777777" w:rsidR="00F514FB" w:rsidRPr="00F514FB" w:rsidRDefault="00F514FB" w:rsidP="002C31D4">
            <w:pPr>
              <w:widowControl/>
              <w:jc w:val="right"/>
              <w:rPr>
                <w:sz w:val="26"/>
                <w:szCs w:val="26"/>
              </w:rPr>
            </w:pPr>
          </w:p>
        </w:tc>
      </w:tr>
      <w:tr w:rsidR="00F514FB" w:rsidRPr="00F514FB" w14:paraId="28363C08" w14:textId="77777777" w:rsidTr="001A5E7A">
        <w:tc>
          <w:tcPr>
            <w:tcW w:w="4968" w:type="dxa"/>
          </w:tcPr>
          <w:p w14:paraId="03FAF040" w14:textId="77777777" w:rsidR="00F514FB" w:rsidRPr="00F514FB" w:rsidRDefault="00BE6261" w:rsidP="002C31D4">
            <w:pPr>
              <w:widowControl/>
              <w:rPr>
                <w:sz w:val="26"/>
                <w:szCs w:val="26"/>
              </w:rPr>
            </w:pPr>
            <w:r>
              <w:rPr>
                <w:sz w:val="26"/>
                <w:szCs w:val="26"/>
              </w:rPr>
              <w:t>Dolores Mitchell</w:t>
            </w:r>
          </w:p>
          <w:p w14:paraId="4CDF8909" w14:textId="77777777" w:rsidR="00F514FB" w:rsidRPr="00F514FB" w:rsidRDefault="00F514FB" w:rsidP="002C31D4">
            <w:pPr>
              <w:widowControl/>
              <w:rPr>
                <w:sz w:val="26"/>
                <w:szCs w:val="26"/>
              </w:rPr>
            </w:pPr>
          </w:p>
        </w:tc>
        <w:tc>
          <w:tcPr>
            <w:tcW w:w="4428" w:type="dxa"/>
          </w:tcPr>
          <w:p w14:paraId="36990A8B" w14:textId="77777777" w:rsidR="00F514FB" w:rsidRPr="00F514FB" w:rsidRDefault="00BE6261" w:rsidP="002C31D4">
            <w:pPr>
              <w:widowControl/>
              <w:jc w:val="right"/>
              <w:rPr>
                <w:sz w:val="26"/>
                <w:szCs w:val="26"/>
              </w:rPr>
            </w:pPr>
            <w:r>
              <w:rPr>
                <w:sz w:val="26"/>
                <w:szCs w:val="26"/>
              </w:rPr>
              <w:t>F-2016-2548959</w:t>
            </w:r>
            <w:r w:rsidR="00940BD4">
              <w:rPr>
                <w:sz w:val="26"/>
                <w:szCs w:val="26"/>
              </w:rPr>
              <w:t xml:space="preserve"> </w:t>
            </w:r>
          </w:p>
        </w:tc>
      </w:tr>
      <w:tr w:rsidR="00F514FB" w:rsidRPr="00F514FB" w14:paraId="107A81EA" w14:textId="77777777" w:rsidTr="001A5E7A">
        <w:tc>
          <w:tcPr>
            <w:tcW w:w="4968" w:type="dxa"/>
          </w:tcPr>
          <w:p w14:paraId="43A9C7F6" w14:textId="77777777" w:rsidR="00F514FB" w:rsidRPr="00F514FB" w:rsidRDefault="00F514FB" w:rsidP="002C31D4">
            <w:pPr>
              <w:widowControl/>
              <w:ind w:firstLine="720"/>
              <w:rPr>
                <w:sz w:val="26"/>
                <w:szCs w:val="26"/>
              </w:rPr>
            </w:pPr>
            <w:r w:rsidRPr="00F514FB">
              <w:rPr>
                <w:sz w:val="26"/>
                <w:szCs w:val="26"/>
              </w:rPr>
              <w:t>v.</w:t>
            </w:r>
          </w:p>
          <w:p w14:paraId="63690607" w14:textId="77777777" w:rsidR="00F514FB" w:rsidRPr="00F514FB" w:rsidRDefault="00F514FB" w:rsidP="002C31D4">
            <w:pPr>
              <w:widowControl/>
              <w:ind w:firstLine="1440"/>
              <w:rPr>
                <w:sz w:val="26"/>
                <w:szCs w:val="26"/>
              </w:rPr>
            </w:pPr>
          </w:p>
        </w:tc>
        <w:tc>
          <w:tcPr>
            <w:tcW w:w="4428" w:type="dxa"/>
          </w:tcPr>
          <w:p w14:paraId="4F191654" w14:textId="77777777" w:rsidR="00F514FB" w:rsidRPr="00F514FB" w:rsidRDefault="00F514FB" w:rsidP="002C31D4">
            <w:pPr>
              <w:widowControl/>
              <w:rPr>
                <w:sz w:val="26"/>
                <w:szCs w:val="26"/>
              </w:rPr>
            </w:pPr>
          </w:p>
        </w:tc>
      </w:tr>
      <w:tr w:rsidR="00F514FB" w:rsidRPr="00F514FB" w14:paraId="198A974D" w14:textId="77777777" w:rsidTr="001A5E7A">
        <w:tc>
          <w:tcPr>
            <w:tcW w:w="4968" w:type="dxa"/>
          </w:tcPr>
          <w:p w14:paraId="46D6A8FA" w14:textId="77777777" w:rsidR="00F514FB" w:rsidRDefault="00BE6261" w:rsidP="002C31D4">
            <w:pPr>
              <w:widowControl/>
              <w:rPr>
                <w:sz w:val="26"/>
                <w:szCs w:val="26"/>
              </w:rPr>
            </w:pPr>
            <w:r>
              <w:rPr>
                <w:sz w:val="26"/>
                <w:szCs w:val="26"/>
              </w:rPr>
              <w:t>Philadelphia Gas Works</w:t>
            </w:r>
          </w:p>
          <w:p w14:paraId="341D56CA" w14:textId="7E7D78E1" w:rsidR="00E87631" w:rsidRPr="00F514FB" w:rsidRDefault="00E87631" w:rsidP="002C31D4">
            <w:pPr>
              <w:widowControl/>
              <w:tabs>
                <w:tab w:val="left" w:pos="4860"/>
              </w:tabs>
              <w:ind w:left="720" w:hanging="720"/>
              <w:rPr>
                <w:sz w:val="26"/>
                <w:szCs w:val="26"/>
              </w:rPr>
            </w:pPr>
            <w:r>
              <w:rPr>
                <w:sz w:val="26"/>
                <w:szCs w:val="26"/>
              </w:rPr>
              <w:t xml:space="preserve"> </w:t>
            </w:r>
          </w:p>
        </w:tc>
        <w:tc>
          <w:tcPr>
            <w:tcW w:w="4428" w:type="dxa"/>
          </w:tcPr>
          <w:p w14:paraId="6497404C" w14:textId="77777777" w:rsidR="00F514FB" w:rsidRPr="00F514FB" w:rsidRDefault="00F514FB" w:rsidP="002C31D4">
            <w:pPr>
              <w:widowControl/>
              <w:tabs>
                <w:tab w:val="left" w:pos="1062"/>
              </w:tabs>
              <w:rPr>
                <w:sz w:val="26"/>
                <w:szCs w:val="26"/>
              </w:rPr>
            </w:pPr>
          </w:p>
        </w:tc>
      </w:tr>
    </w:tbl>
    <w:p w14:paraId="74DB29D4" w14:textId="77777777" w:rsidR="00E87631" w:rsidRPr="00F514FB" w:rsidRDefault="00E87631" w:rsidP="002C31D4">
      <w:pPr>
        <w:widowControl/>
        <w:rPr>
          <w:sz w:val="26"/>
          <w:szCs w:val="26"/>
        </w:rPr>
      </w:pPr>
    </w:p>
    <w:p w14:paraId="16E0A773" w14:textId="77777777" w:rsidR="00F514FB" w:rsidRPr="00F514FB" w:rsidRDefault="00F514FB" w:rsidP="002C31D4">
      <w:pPr>
        <w:widowControl/>
        <w:jc w:val="center"/>
        <w:rPr>
          <w:b/>
          <w:sz w:val="26"/>
          <w:szCs w:val="26"/>
        </w:rPr>
      </w:pPr>
      <w:r w:rsidRPr="00F514FB">
        <w:rPr>
          <w:b/>
          <w:sz w:val="26"/>
          <w:szCs w:val="26"/>
        </w:rPr>
        <w:t>OPINION AND ORDER</w:t>
      </w:r>
    </w:p>
    <w:p w14:paraId="5185FCA1" w14:textId="77777777" w:rsidR="00F514FB" w:rsidRPr="00F514FB" w:rsidRDefault="00F514FB" w:rsidP="002C31D4">
      <w:pPr>
        <w:widowControl/>
        <w:jc w:val="center"/>
        <w:rPr>
          <w:b/>
          <w:sz w:val="26"/>
          <w:szCs w:val="26"/>
        </w:rPr>
      </w:pPr>
    </w:p>
    <w:p w14:paraId="1C398AFA" w14:textId="77777777" w:rsidR="00F514FB" w:rsidRPr="00F514FB" w:rsidRDefault="00F514FB" w:rsidP="002C31D4">
      <w:pPr>
        <w:widowControl/>
        <w:rPr>
          <w:b/>
          <w:sz w:val="26"/>
          <w:szCs w:val="26"/>
        </w:rPr>
      </w:pPr>
      <w:r w:rsidRPr="00F514FB">
        <w:rPr>
          <w:b/>
          <w:sz w:val="26"/>
          <w:szCs w:val="26"/>
        </w:rPr>
        <w:t>BY THE COMMISSION:</w:t>
      </w:r>
    </w:p>
    <w:p w14:paraId="08E4AE0D" w14:textId="77777777" w:rsidR="00F514FB" w:rsidRPr="00F514FB" w:rsidRDefault="00F514FB" w:rsidP="002C31D4">
      <w:pPr>
        <w:widowControl/>
        <w:rPr>
          <w:sz w:val="26"/>
          <w:szCs w:val="26"/>
        </w:rPr>
      </w:pPr>
    </w:p>
    <w:p w14:paraId="47F5E7D0" w14:textId="77777777" w:rsidR="0073080E" w:rsidRDefault="00CA43A5" w:rsidP="002C31D4">
      <w:pPr>
        <w:widowControl/>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B91D2E">
        <w:rPr>
          <w:sz w:val="26"/>
          <w:szCs w:val="26"/>
        </w:rPr>
        <w:t>is</w:t>
      </w:r>
      <w:r w:rsidR="00671E4C">
        <w:rPr>
          <w:color w:val="000000"/>
          <w:sz w:val="26"/>
        </w:rPr>
        <w:t xml:space="preserve"> the </w:t>
      </w:r>
      <w:r w:rsidR="00BE6261">
        <w:rPr>
          <w:color w:val="000000"/>
          <w:sz w:val="26"/>
        </w:rPr>
        <w:t>Response and Request for Waiver</w:t>
      </w:r>
      <w:r w:rsidR="00B91D2E">
        <w:rPr>
          <w:rStyle w:val="FootnoteReference"/>
          <w:color w:val="000000"/>
          <w:sz w:val="26"/>
        </w:rPr>
        <w:footnoteReference w:id="1"/>
      </w:r>
      <w:r w:rsidR="00671E4C">
        <w:rPr>
          <w:color w:val="000000"/>
          <w:sz w:val="26"/>
        </w:rPr>
        <w:t xml:space="preserve"> of </w:t>
      </w:r>
      <w:r w:rsidR="00BE6261">
        <w:rPr>
          <w:color w:val="000000"/>
          <w:sz w:val="26"/>
        </w:rPr>
        <w:t>Dolores Mitchell</w:t>
      </w:r>
      <w:r w:rsidR="00671E4C">
        <w:rPr>
          <w:color w:val="000000"/>
          <w:sz w:val="26"/>
        </w:rPr>
        <w:t xml:space="preserve"> (</w:t>
      </w:r>
      <w:r w:rsidR="00BE6261">
        <w:rPr>
          <w:color w:val="000000"/>
          <w:sz w:val="26"/>
        </w:rPr>
        <w:t>Petitioner</w:t>
      </w:r>
      <w:r w:rsidR="003D1F5A">
        <w:rPr>
          <w:color w:val="000000"/>
          <w:sz w:val="26"/>
        </w:rPr>
        <w:t xml:space="preserve"> or </w:t>
      </w:r>
      <w:r w:rsidR="00BE6261">
        <w:rPr>
          <w:color w:val="000000"/>
          <w:sz w:val="26"/>
        </w:rPr>
        <w:t>Ms. Mitchell</w:t>
      </w:r>
      <w:r w:rsidR="00671E4C">
        <w:rPr>
          <w:color w:val="000000"/>
          <w:sz w:val="26"/>
        </w:rPr>
        <w:t xml:space="preserve">) filed on </w:t>
      </w:r>
      <w:bookmarkStart w:id="0" w:name="_Hlk504982060"/>
      <w:r w:rsidR="00BE6261">
        <w:rPr>
          <w:color w:val="000000"/>
          <w:sz w:val="26"/>
        </w:rPr>
        <w:t>February 2</w:t>
      </w:r>
      <w:r w:rsidR="002D5945">
        <w:rPr>
          <w:color w:val="000000"/>
          <w:sz w:val="26"/>
        </w:rPr>
        <w:t>4</w:t>
      </w:r>
      <w:r w:rsidR="00BE6261">
        <w:rPr>
          <w:color w:val="000000"/>
          <w:sz w:val="26"/>
        </w:rPr>
        <w:t>, 2017</w:t>
      </w:r>
      <w:bookmarkEnd w:id="0"/>
      <w:r w:rsidR="00B90AE5">
        <w:rPr>
          <w:color w:val="000000"/>
          <w:sz w:val="26"/>
        </w:rPr>
        <w:t>.</w:t>
      </w:r>
      <w:r w:rsidR="000F72EF">
        <w:rPr>
          <w:rStyle w:val="FootnoteReference"/>
          <w:color w:val="000000"/>
          <w:sz w:val="26"/>
        </w:rPr>
        <w:footnoteReference w:id="2"/>
      </w:r>
      <w:r w:rsidR="000F72EF">
        <w:rPr>
          <w:color w:val="000000"/>
          <w:sz w:val="26"/>
        </w:rPr>
        <w:t xml:space="preserve"> </w:t>
      </w:r>
      <w:r w:rsidR="00B90AE5">
        <w:rPr>
          <w:color w:val="000000"/>
          <w:sz w:val="26"/>
        </w:rPr>
        <w:t xml:space="preserve"> This Petition concerns the </w:t>
      </w:r>
      <w:r w:rsidR="00671E4C">
        <w:rPr>
          <w:color w:val="000000"/>
          <w:sz w:val="26"/>
        </w:rPr>
        <w:t xml:space="preserve">Initial Decision (I.D.) of Administrative Law Judge (ALJ) </w:t>
      </w:r>
      <w:r w:rsidR="000C1425">
        <w:rPr>
          <w:color w:val="000000"/>
          <w:sz w:val="26"/>
        </w:rPr>
        <w:t>Elizabeth H. Barnes</w:t>
      </w:r>
      <w:r w:rsidR="00671E4C">
        <w:rPr>
          <w:color w:val="000000"/>
          <w:sz w:val="26"/>
        </w:rPr>
        <w:t>, issued</w:t>
      </w:r>
      <w:r w:rsidR="00B90AE5">
        <w:rPr>
          <w:color w:val="000000"/>
          <w:sz w:val="26"/>
        </w:rPr>
        <w:t xml:space="preserve"> </w:t>
      </w:r>
    </w:p>
    <w:p w14:paraId="3FCAEE27" w14:textId="7625B09B" w:rsidR="00CA43A5" w:rsidRDefault="00671E4C" w:rsidP="002C31D4">
      <w:pPr>
        <w:widowControl/>
        <w:spacing w:line="360" w:lineRule="auto"/>
        <w:rPr>
          <w:sz w:val="26"/>
          <w:szCs w:val="26"/>
        </w:rPr>
      </w:pPr>
      <w:r>
        <w:rPr>
          <w:color w:val="000000"/>
          <w:sz w:val="26"/>
        </w:rPr>
        <w:lastRenderedPageBreak/>
        <w:t>on</w:t>
      </w:r>
      <w:r w:rsidR="003D1F5A">
        <w:rPr>
          <w:color w:val="000000"/>
          <w:sz w:val="26"/>
        </w:rPr>
        <w:t xml:space="preserve"> </w:t>
      </w:r>
      <w:r w:rsidR="00BE6261">
        <w:rPr>
          <w:color w:val="000000"/>
          <w:sz w:val="26"/>
        </w:rPr>
        <w:t>January 5, 2017</w:t>
      </w:r>
      <w:r>
        <w:rPr>
          <w:color w:val="000000"/>
          <w:sz w:val="26"/>
        </w:rPr>
        <w:t>, in the above-captioned</w:t>
      </w:r>
      <w:r w:rsidR="00B2381A">
        <w:rPr>
          <w:color w:val="000000"/>
          <w:sz w:val="26"/>
        </w:rPr>
        <w:t xml:space="preserve"> proceeding</w:t>
      </w:r>
      <w:r w:rsidR="00B90AE5">
        <w:rPr>
          <w:color w:val="000000"/>
          <w:sz w:val="26"/>
        </w:rPr>
        <w:t xml:space="preserve">, which became the final action of the Commission </w:t>
      </w:r>
      <w:r w:rsidR="00A735A0">
        <w:rPr>
          <w:color w:val="000000"/>
          <w:sz w:val="26"/>
        </w:rPr>
        <w:t>on January 25, 2017</w:t>
      </w:r>
      <w:r>
        <w:rPr>
          <w:color w:val="000000"/>
          <w:sz w:val="26"/>
        </w:rPr>
        <w:t xml:space="preserve">. </w:t>
      </w:r>
      <w:r w:rsidR="00722088">
        <w:rPr>
          <w:color w:val="000000"/>
          <w:sz w:val="26"/>
        </w:rPr>
        <w:t xml:space="preserve"> </w:t>
      </w:r>
      <w:r w:rsidR="00DC739E">
        <w:rPr>
          <w:color w:val="000000"/>
          <w:sz w:val="26"/>
        </w:rPr>
        <w:t xml:space="preserve">On </w:t>
      </w:r>
      <w:r w:rsidR="00E036CE">
        <w:rPr>
          <w:color w:val="000000"/>
          <w:sz w:val="26"/>
        </w:rPr>
        <w:t>March 13, 2017</w:t>
      </w:r>
      <w:r w:rsidR="00DC739E">
        <w:rPr>
          <w:color w:val="000000"/>
          <w:sz w:val="26"/>
        </w:rPr>
        <w:t xml:space="preserve">, </w:t>
      </w:r>
      <w:r w:rsidR="00E036CE">
        <w:rPr>
          <w:color w:val="000000"/>
          <w:sz w:val="26"/>
        </w:rPr>
        <w:t>Philadelphia Gas Works</w:t>
      </w:r>
      <w:r w:rsidR="000C1425">
        <w:rPr>
          <w:color w:val="000000"/>
          <w:sz w:val="26"/>
        </w:rPr>
        <w:t xml:space="preserve"> (</w:t>
      </w:r>
      <w:r w:rsidR="00E036CE">
        <w:rPr>
          <w:color w:val="000000"/>
          <w:sz w:val="26"/>
        </w:rPr>
        <w:t>PGW</w:t>
      </w:r>
      <w:r w:rsidR="003D1F5A">
        <w:rPr>
          <w:color w:val="000000"/>
          <w:sz w:val="26"/>
        </w:rPr>
        <w:t>) file</w:t>
      </w:r>
      <w:r w:rsidR="00DC739E">
        <w:rPr>
          <w:color w:val="000000"/>
          <w:sz w:val="26"/>
        </w:rPr>
        <w:t>d</w:t>
      </w:r>
      <w:r w:rsidR="003D1F5A">
        <w:rPr>
          <w:color w:val="000000"/>
          <w:sz w:val="26"/>
        </w:rPr>
        <w:t xml:space="preserve"> </w:t>
      </w:r>
      <w:r w:rsidR="00D4362B">
        <w:rPr>
          <w:color w:val="000000"/>
          <w:sz w:val="26"/>
        </w:rPr>
        <w:t>its Answer to the Petition</w:t>
      </w:r>
      <w:r w:rsidR="00A76846">
        <w:rPr>
          <w:color w:val="000000"/>
          <w:sz w:val="26"/>
        </w:rPr>
        <w:t xml:space="preserve">. </w:t>
      </w:r>
      <w:r w:rsidR="00255FEC">
        <w:rPr>
          <w:color w:val="000000"/>
          <w:sz w:val="26"/>
        </w:rPr>
        <w:t xml:space="preserve"> </w:t>
      </w:r>
      <w:r w:rsidR="00CA43A5" w:rsidRPr="00CA43A5">
        <w:rPr>
          <w:sz w:val="26"/>
          <w:szCs w:val="26"/>
        </w:rPr>
        <w:t xml:space="preserve">For the reasons stated below, we </w:t>
      </w:r>
      <w:r w:rsidR="006A224F">
        <w:rPr>
          <w:sz w:val="26"/>
          <w:szCs w:val="26"/>
        </w:rPr>
        <w:t xml:space="preserve">shall </w:t>
      </w:r>
      <w:r w:rsidR="00907253">
        <w:rPr>
          <w:sz w:val="26"/>
          <w:szCs w:val="26"/>
        </w:rPr>
        <w:t>grant</w:t>
      </w:r>
      <w:r w:rsidR="00E66A23">
        <w:rPr>
          <w:sz w:val="26"/>
          <w:szCs w:val="26"/>
        </w:rPr>
        <w:t xml:space="preserve"> the</w:t>
      </w:r>
      <w:r w:rsidR="000565D4">
        <w:rPr>
          <w:sz w:val="26"/>
          <w:szCs w:val="26"/>
        </w:rPr>
        <w:t xml:space="preserve"> Petition</w:t>
      </w:r>
      <w:r w:rsidR="00907253">
        <w:rPr>
          <w:sz w:val="26"/>
          <w:szCs w:val="26"/>
        </w:rPr>
        <w:t xml:space="preserve">, </w:t>
      </w:r>
      <w:r w:rsidR="00691CBA">
        <w:rPr>
          <w:sz w:val="26"/>
          <w:szCs w:val="26"/>
        </w:rPr>
        <w:t>modify</w:t>
      </w:r>
      <w:r w:rsidR="002F715F">
        <w:rPr>
          <w:sz w:val="26"/>
          <w:szCs w:val="26"/>
        </w:rPr>
        <w:t xml:space="preserve"> the </w:t>
      </w:r>
      <w:r w:rsidR="00E036CE">
        <w:rPr>
          <w:sz w:val="26"/>
          <w:szCs w:val="26"/>
        </w:rPr>
        <w:t>Initial Decision</w:t>
      </w:r>
      <w:r w:rsidR="00691CBA">
        <w:rPr>
          <w:sz w:val="26"/>
          <w:szCs w:val="26"/>
        </w:rPr>
        <w:t xml:space="preserve"> and remand the matter to the Office for Administrative Law Judge (OALJ)</w:t>
      </w:r>
      <w:r w:rsidR="00B90AE5">
        <w:rPr>
          <w:sz w:val="26"/>
          <w:szCs w:val="26"/>
        </w:rPr>
        <w:t xml:space="preserve">. </w:t>
      </w:r>
    </w:p>
    <w:p w14:paraId="671F34F8" w14:textId="77777777" w:rsidR="00A76846" w:rsidRPr="00CA43A5" w:rsidRDefault="00A76846" w:rsidP="002C31D4">
      <w:pPr>
        <w:widowControl/>
        <w:spacing w:line="360" w:lineRule="auto"/>
        <w:ind w:firstLine="1440"/>
        <w:rPr>
          <w:sz w:val="26"/>
          <w:szCs w:val="26"/>
        </w:rPr>
      </w:pPr>
    </w:p>
    <w:p w14:paraId="333FF007" w14:textId="77777777" w:rsidR="00CA43A5" w:rsidRDefault="00CA43A5" w:rsidP="008F35A0">
      <w:pPr>
        <w:keepNext/>
        <w:keepLines/>
        <w:widowControl/>
        <w:spacing w:line="360" w:lineRule="auto"/>
        <w:jc w:val="center"/>
        <w:rPr>
          <w:b/>
          <w:sz w:val="26"/>
          <w:szCs w:val="26"/>
        </w:rPr>
      </w:pPr>
      <w:bookmarkStart w:id="1" w:name="OLE_LINK1"/>
      <w:bookmarkStart w:id="2" w:name="OLE_LINK2"/>
      <w:r w:rsidRPr="00CA43A5">
        <w:rPr>
          <w:b/>
          <w:sz w:val="26"/>
          <w:szCs w:val="26"/>
        </w:rPr>
        <w:t>History of the Proceeding</w:t>
      </w:r>
    </w:p>
    <w:p w14:paraId="36E7FF88" w14:textId="77777777" w:rsidR="0018461B" w:rsidRPr="00CA43A5" w:rsidRDefault="0018461B" w:rsidP="008F35A0">
      <w:pPr>
        <w:keepNext/>
        <w:keepLines/>
        <w:widowControl/>
        <w:spacing w:line="360" w:lineRule="auto"/>
        <w:jc w:val="center"/>
        <w:rPr>
          <w:b/>
          <w:sz w:val="26"/>
          <w:szCs w:val="26"/>
        </w:rPr>
      </w:pPr>
    </w:p>
    <w:bookmarkEnd w:id="1"/>
    <w:bookmarkEnd w:id="2"/>
    <w:p w14:paraId="7D42C6B7" w14:textId="77777777" w:rsidR="00E93B5E" w:rsidRPr="00B36E49" w:rsidRDefault="00E93B5E" w:rsidP="002C31D4">
      <w:pPr>
        <w:pStyle w:val="Default"/>
        <w:spacing w:line="360" w:lineRule="auto"/>
        <w:rPr>
          <w:sz w:val="26"/>
          <w:szCs w:val="26"/>
        </w:rPr>
      </w:pPr>
      <w:r>
        <w:rPr>
          <w:sz w:val="26"/>
          <w:szCs w:val="26"/>
        </w:rPr>
        <w:tab/>
      </w:r>
      <w:r>
        <w:rPr>
          <w:sz w:val="26"/>
          <w:szCs w:val="26"/>
        </w:rPr>
        <w:tab/>
      </w:r>
      <w:r w:rsidRPr="00B36E49">
        <w:rPr>
          <w:sz w:val="26"/>
          <w:szCs w:val="26"/>
        </w:rPr>
        <w:t xml:space="preserve">On May 27, 2016, Ms. Mitchell filed a formal Complaint against PGW, alleging </w:t>
      </w:r>
      <w:r>
        <w:rPr>
          <w:sz w:val="26"/>
          <w:szCs w:val="26"/>
        </w:rPr>
        <w:t xml:space="preserve">incorrect charges at her service address and that the charges imposed were </w:t>
      </w:r>
      <w:r w:rsidRPr="00B36E49">
        <w:rPr>
          <w:sz w:val="26"/>
          <w:szCs w:val="26"/>
        </w:rPr>
        <w:t>the responsibility of another person.  For relief, the Petitioner sought a credit on her account and the striking of the municipal lien from her property.</w:t>
      </w:r>
      <w:r>
        <w:rPr>
          <w:rStyle w:val="FootnoteReference"/>
          <w:sz w:val="26"/>
          <w:szCs w:val="26"/>
        </w:rPr>
        <w:footnoteReference w:id="3"/>
      </w:r>
      <w:r w:rsidRPr="00B36E49">
        <w:rPr>
          <w:sz w:val="26"/>
          <w:szCs w:val="26"/>
        </w:rPr>
        <w:t xml:space="preserve">  </w:t>
      </w:r>
    </w:p>
    <w:p w14:paraId="05CE512C" w14:textId="77777777" w:rsidR="00E93B5E" w:rsidRPr="00B36E49" w:rsidRDefault="00E93B5E" w:rsidP="002C31D4">
      <w:pPr>
        <w:widowControl/>
        <w:spacing w:line="360" w:lineRule="auto"/>
        <w:rPr>
          <w:sz w:val="26"/>
          <w:szCs w:val="26"/>
        </w:rPr>
      </w:pPr>
    </w:p>
    <w:p w14:paraId="570CADAB" w14:textId="371EF782" w:rsidR="00E93B5E" w:rsidRPr="00B36E49" w:rsidRDefault="00E93B5E" w:rsidP="002C31D4">
      <w:pPr>
        <w:widowControl/>
        <w:spacing w:line="360" w:lineRule="auto"/>
        <w:rPr>
          <w:sz w:val="26"/>
          <w:szCs w:val="26"/>
        </w:rPr>
      </w:pPr>
      <w:r>
        <w:rPr>
          <w:sz w:val="26"/>
          <w:szCs w:val="26"/>
        </w:rPr>
        <w:tab/>
      </w:r>
      <w:r>
        <w:rPr>
          <w:sz w:val="26"/>
          <w:szCs w:val="26"/>
        </w:rPr>
        <w:tab/>
      </w:r>
      <w:r w:rsidRPr="00B36E49">
        <w:rPr>
          <w:sz w:val="26"/>
          <w:szCs w:val="26"/>
        </w:rPr>
        <w:t xml:space="preserve">On June 23, 2016, PGW filed its Answer, denying </w:t>
      </w:r>
      <w:r w:rsidR="00FF0AD8">
        <w:rPr>
          <w:sz w:val="26"/>
          <w:szCs w:val="26"/>
        </w:rPr>
        <w:t xml:space="preserve">the </w:t>
      </w:r>
      <w:r w:rsidRPr="00B36E49">
        <w:rPr>
          <w:sz w:val="26"/>
          <w:szCs w:val="26"/>
        </w:rPr>
        <w:t xml:space="preserve">incorrect charges </w:t>
      </w:r>
      <w:r w:rsidR="00655BA2">
        <w:rPr>
          <w:sz w:val="26"/>
          <w:szCs w:val="26"/>
        </w:rPr>
        <w:t>allegation</w:t>
      </w:r>
      <w:r w:rsidRPr="00B36E49">
        <w:rPr>
          <w:sz w:val="26"/>
          <w:szCs w:val="26"/>
        </w:rPr>
        <w:t xml:space="preserve">.  </w:t>
      </w:r>
      <w:r w:rsidR="00E83928">
        <w:rPr>
          <w:sz w:val="26"/>
          <w:szCs w:val="26"/>
        </w:rPr>
        <w:t>PGW</w:t>
      </w:r>
      <w:r w:rsidRPr="00B36E49">
        <w:rPr>
          <w:sz w:val="26"/>
          <w:szCs w:val="26"/>
        </w:rPr>
        <w:t xml:space="preserve"> averred that it correctly transferred a balance owed by Calvin Johnson </w:t>
      </w:r>
      <w:r w:rsidR="004C75F5">
        <w:rPr>
          <w:sz w:val="26"/>
          <w:szCs w:val="26"/>
        </w:rPr>
        <w:t>for</w:t>
      </w:r>
      <w:r w:rsidRPr="00B36E49">
        <w:rPr>
          <w:sz w:val="26"/>
          <w:szCs w:val="26"/>
        </w:rPr>
        <w:t xml:space="preserve"> $3,151.29 to Ms. Mitchell’s account because she had assumed the balance owed at the time.  PGW’s Answer admitted the existence of a municipal lien filed by the City of Philadelphia against the Petitioner’s property.  </w:t>
      </w:r>
    </w:p>
    <w:p w14:paraId="1C6F6B2A" w14:textId="77777777" w:rsidR="00E93B5E" w:rsidRDefault="00E93B5E" w:rsidP="002C31D4">
      <w:pPr>
        <w:pStyle w:val="Default"/>
        <w:spacing w:line="360" w:lineRule="auto"/>
        <w:rPr>
          <w:color w:val="auto"/>
          <w:sz w:val="26"/>
          <w:szCs w:val="26"/>
        </w:rPr>
      </w:pPr>
    </w:p>
    <w:p w14:paraId="796EEF43" w14:textId="658AFF57" w:rsidR="00FE3E40" w:rsidRDefault="00E93B5E" w:rsidP="002C31D4">
      <w:pPr>
        <w:pStyle w:val="Default"/>
        <w:spacing w:line="360" w:lineRule="auto"/>
        <w:rPr>
          <w:color w:val="auto"/>
          <w:sz w:val="26"/>
          <w:szCs w:val="26"/>
        </w:rPr>
      </w:pPr>
      <w:r>
        <w:rPr>
          <w:color w:val="auto"/>
          <w:sz w:val="26"/>
          <w:szCs w:val="26"/>
        </w:rPr>
        <w:tab/>
      </w:r>
      <w:r>
        <w:rPr>
          <w:color w:val="auto"/>
          <w:sz w:val="26"/>
          <w:szCs w:val="26"/>
        </w:rPr>
        <w:tab/>
      </w:r>
      <w:r w:rsidR="006A3BE0">
        <w:rPr>
          <w:color w:val="auto"/>
          <w:sz w:val="26"/>
          <w:szCs w:val="26"/>
        </w:rPr>
        <w:t>Also,</w:t>
      </w:r>
      <w:r w:rsidR="002B0ACA">
        <w:rPr>
          <w:color w:val="auto"/>
          <w:sz w:val="26"/>
          <w:szCs w:val="26"/>
        </w:rPr>
        <w:t xml:space="preserve"> on June 23, 2016, </w:t>
      </w:r>
      <w:r w:rsidR="00E83928">
        <w:rPr>
          <w:color w:val="auto"/>
          <w:sz w:val="26"/>
          <w:szCs w:val="26"/>
        </w:rPr>
        <w:t>PGW</w:t>
      </w:r>
      <w:r w:rsidR="002B0ACA">
        <w:rPr>
          <w:color w:val="auto"/>
          <w:sz w:val="26"/>
          <w:szCs w:val="26"/>
        </w:rPr>
        <w:t xml:space="preserve"> f</w:t>
      </w:r>
      <w:r w:rsidR="002B0ACA" w:rsidRPr="006A16E9">
        <w:rPr>
          <w:color w:val="auto"/>
          <w:sz w:val="26"/>
          <w:szCs w:val="26"/>
        </w:rPr>
        <w:t xml:space="preserve">iled Preliminary Objections and a Motion to Strike Impertinent Matter. </w:t>
      </w:r>
      <w:r w:rsidR="002B0ACA">
        <w:rPr>
          <w:color w:val="auto"/>
          <w:sz w:val="26"/>
          <w:szCs w:val="26"/>
        </w:rPr>
        <w:t xml:space="preserve"> B</w:t>
      </w:r>
      <w:r w:rsidR="002B0ACA" w:rsidRPr="006A16E9">
        <w:rPr>
          <w:color w:val="auto"/>
          <w:sz w:val="26"/>
          <w:szCs w:val="26"/>
        </w:rPr>
        <w:t>y Order dated August 30, 2016</w:t>
      </w:r>
      <w:r w:rsidR="000E6377">
        <w:rPr>
          <w:color w:val="auto"/>
          <w:sz w:val="26"/>
          <w:szCs w:val="26"/>
        </w:rPr>
        <w:t xml:space="preserve"> (</w:t>
      </w:r>
      <w:r w:rsidR="000E6377" w:rsidRPr="000E6377">
        <w:rPr>
          <w:i/>
          <w:color w:val="auto"/>
          <w:sz w:val="26"/>
          <w:szCs w:val="26"/>
        </w:rPr>
        <w:t>Interim Order</w:t>
      </w:r>
      <w:r w:rsidR="000E6377">
        <w:rPr>
          <w:color w:val="auto"/>
          <w:sz w:val="26"/>
          <w:szCs w:val="26"/>
        </w:rPr>
        <w:t>)</w:t>
      </w:r>
      <w:r w:rsidR="002B0ACA" w:rsidRPr="006A16E9">
        <w:rPr>
          <w:color w:val="auto"/>
          <w:sz w:val="26"/>
          <w:szCs w:val="26"/>
        </w:rPr>
        <w:t xml:space="preserve">, </w:t>
      </w:r>
      <w:r w:rsidR="002B0ACA">
        <w:rPr>
          <w:color w:val="auto"/>
          <w:sz w:val="26"/>
          <w:szCs w:val="26"/>
        </w:rPr>
        <w:t xml:space="preserve">ALJ Barnes granted </w:t>
      </w:r>
      <w:r w:rsidR="002B0ACA" w:rsidRPr="006A16E9">
        <w:rPr>
          <w:color w:val="auto"/>
          <w:sz w:val="26"/>
          <w:szCs w:val="26"/>
        </w:rPr>
        <w:t>the Preliminary Objections</w:t>
      </w:r>
      <w:r w:rsidR="006A07F0">
        <w:rPr>
          <w:color w:val="auto"/>
          <w:sz w:val="26"/>
          <w:szCs w:val="26"/>
        </w:rPr>
        <w:t>,</w:t>
      </w:r>
      <w:r w:rsidR="002B0ACA" w:rsidRPr="006A16E9">
        <w:rPr>
          <w:color w:val="auto"/>
          <w:sz w:val="26"/>
          <w:szCs w:val="26"/>
        </w:rPr>
        <w:t xml:space="preserve"> in part</w:t>
      </w:r>
      <w:r w:rsidR="006A07F0">
        <w:rPr>
          <w:color w:val="auto"/>
          <w:sz w:val="26"/>
          <w:szCs w:val="26"/>
        </w:rPr>
        <w:t>,</w:t>
      </w:r>
      <w:r w:rsidR="002B0ACA" w:rsidRPr="006A16E9">
        <w:rPr>
          <w:color w:val="auto"/>
          <w:sz w:val="26"/>
          <w:szCs w:val="26"/>
        </w:rPr>
        <w:t xml:space="preserve"> and denied </w:t>
      </w:r>
      <w:r>
        <w:rPr>
          <w:color w:val="auto"/>
          <w:sz w:val="26"/>
          <w:szCs w:val="26"/>
        </w:rPr>
        <w:t>them</w:t>
      </w:r>
      <w:r w:rsidR="006A07F0">
        <w:rPr>
          <w:color w:val="auto"/>
          <w:sz w:val="26"/>
          <w:szCs w:val="26"/>
        </w:rPr>
        <w:t>,</w:t>
      </w:r>
      <w:r>
        <w:rPr>
          <w:color w:val="auto"/>
          <w:sz w:val="26"/>
          <w:szCs w:val="26"/>
        </w:rPr>
        <w:t xml:space="preserve"> </w:t>
      </w:r>
      <w:r w:rsidR="002B0ACA" w:rsidRPr="006A16E9">
        <w:rPr>
          <w:color w:val="auto"/>
          <w:sz w:val="26"/>
          <w:szCs w:val="26"/>
        </w:rPr>
        <w:t xml:space="preserve">in part. </w:t>
      </w:r>
      <w:r>
        <w:rPr>
          <w:color w:val="auto"/>
          <w:sz w:val="26"/>
          <w:szCs w:val="26"/>
        </w:rPr>
        <w:t xml:space="preserve"> </w:t>
      </w:r>
      <w:r w:rsidR="002B0ACA" w:rsidRPr="006A16E9">
        <w:rPr>
          <w:color w:val="auto"/>
          <w:sz w:val="26"/>
          <w:szCs w:val="26"/>
        </w:rPr>
        <w:t xml:space="preserve">The </w:t>
      </w:r>
      <w:r w:rsidR="000E6377" w:rsidRPr="000E6377">
        <w:rPr>
          <w:i/>
          <w:color w:val="auto"/>
          <w:sz w:val="26"/>
          <w:szCs w:val="26"/>
        </w:rPr>
        <w:t>Interim Order</w:t>
      </w:r>
      <w:r w:rsidR="000E6377">
        <w:rPr>
          <w:color w:val="auto"/>
          <w:sz w:val="26"/>
          <w:szCs w:val="26"/>
        </w:rPr>
        <w:t xml:space="preserve"> struck</w:t>
      </w:r>
      <w:r w:rsidR="003F0AB8">
        <w:rPr>
          <w:color w:val="auto"/>
          <w:sz w:val="26"/>
          <w:szCs w:val="26"/>
        </w:rPr>
        <w:t>,</w:t>
      </w:r>
      <w:r w:rsidR="000E6377">
        <w:rPr>
          <w:color w:val="auto"/>
          <w:sz w:val="26"/>
          <w:szCs w:val="26"/>
        </w:rPr>
        <w:t xml:space="preserve"> as impertinent matter</w:t>
      </w:r>
      <w:r w:rsidR="003F0AB8">
        <w:rPr>
          <w:color w:val="auto"/>
          <w:sz w:val="26"/>
          <w:szCs w:val="26"/>
        </w:rPr>
        <w:t>,</w:t>
      </w:r>
      <w:r w:rsidR="000E6377">
        <w:rPr>
          <w:color w:val="auto"/>
          <w:sz w:val="26"/>
          <w:szCs w:val="26"/>
        </w:rPr>
        <w:t xml:space="preserve"> the Petitioner’s </w:t>
      </w:r>
      <w:r w:rsidR="002B0ACA" w:rsidRPr="006A16E9">
        <w:rPr>
          <w:color w:val="auto"/>
          <w:sz w:val="26"/>
          <w:szCs w:val="26"/>
        </w:rPr>
        <w:t xml:space="preserve">requested </w:t>
      </w:r>
      <w:r w:rsidR="000E6377">
        <w:rPr>
          <w:color w:val="auto"/>
          <w:sz w:val="26"/>
          <w:szCs w:val="26"/>
        </w:rPr>
        <w:t xml:space="preserve">relief to remove the </w:t>
      </w:r>
      <w:r w:rsidR="002B0ACA" w:rsidRPr="006A16E9">
        <w:rPr>
          <w:color w:val="auto"/>
          <w:sz w:val="26"/>
          <w:szCs w:val="26"/>
        </w:rPr>
        <w:t xml:space="preserve">municipal lien. </w:t>
      </w:r>
      <w:r w:rsidR="000E6377">
        <w:rPr>
          <w:color w:val="auto"/>
          <w:sz w:val="26"/>
          <w:szCs w:val="26"/>
        </w:rPr>
        <w:t xml:space="preserve"> </w:t>
      </w:r>
      <w:r w:rsidR="002B0ACA" w:rsidRPr="006A16E9">
        <w:rPr>
          <w:color w:val="auto"/>
          <w:sz w:val="26"/>
          <w:szCs w:val="26"/>
        </w:rPr>
        <w:t xml:space="preserve">However, </w:t>
      </w:r>
      <w:r w:rsidR="000E6377">
        <w:rPr>
          <w:color w:val="auto"/>
          <w:sz w:val="26"/>
          <w:szCs w:val="26"/>
        </w:rPr>
        <w:t xml:space="preserve">the ALJ determined that the issue of </w:t>
      </w:r>
      <w:r w:rsidR="002B0ACA" w:rsidRPr="006A16E9">
        <w:rPr>
          <w:color w:val="auto"/>
          <w:sz w:val="26"/>
          <w:szCs w:val="26"/>
        </w:rPr>
        <w:t xml:space="preserve">whether PGW provided unreasonable service </w:t>
      </w:r>
      <w:r w:rsidR="000E6377">
        <w:rPr>
          <w:color w:val="auto"/>
          <w:sz w:val="26"/>
          <w:szCs w:val="26"/>
        </w:rPr>
        <w:t xml:space="preserve">should </w:t>
      </w:r>
      <w:r w:rsidR="002B0ACA" w:rsidRPr="006A16E9">
        <w:rPr>
          <w:color w:val="auto"/>
          <w:sz w:val="26"/>
          <w:szCs w:val="26"/>
        </w:rPr>
        <w:t>remain</w:t>
      </w:r>
      <w:r w:rsidR="000E6377">
        <w:rPr>
          <w:color w:val="auto"/>
          <w:sz w:val="26"/>
          <w:szCs w:val="26"/>
        </w:rPr>
        <w:t xml:space="preserve"> as</w:t>
      </w:r>
      <w:r w:rsidR="002B0ACA" w:rsidRPr="006A16E9">
        <w:rPr>
          <w:color w:val="auto"/>
          <w:sz w:val="26"/>
          <w:szCs w:val="26"/>
        </w:rPr>
        <w:t xml:space="preserve"> an issue for an evidentiary hearing. </w:t>
      </w:r>
      <w:r w:rsidR="000E6377">
        <w:rPr>
          <w:color w:val="auto"/>
          <w:sz w:val="26"/>
          <w:szCs w:val="26"/>
        </w:rPr>
        <w:t xml:space="preserve"> Thereafter, </w:t>
      </w:r>
      <w:r w:rsidR="00907253">
        <w:rPr>
          <w:color w:val="auto"/>
          <w:sz w:val="26"/>
          <w:szCs w:val="26"/>
        </w:rPr>
        <w:t xml:space="preserve">a </w:t>
      </w:r>
      <w:r w:rsidR="00907253">
        <w:rPr>
          <w:color w:val="auto"/>
          <w:sz w:val="26"/>
          <w:szCs w:val="26"/>
        </w:rPr>
        <w:lastRenderedPageBreak/>
        <w:t xml:space="preserve">Prehearing Order was issued on September 26, 2016, </w:t>
      </w:r>
      <w:r w:rsidR="00E64B63">
        <w:rPr>
          <w:color w:val="auto"/>
          <w:sz w:val="26"/>
          <w:szCs w:val="26"/>
        </w:rPr>
        <w:t xml:space="preserve">and </w:t>
      </w:r>
      <w:r w:rsidR="000E6377">
        <w:rPr>
          <w:color w:val="auto"/>
          <w:sz w:val="26"/>
          <w:szCs w:val="26"/>
        </w:rPr>
        <w:t>a</w:t>
      </w:r>
      <w:r w:rsidR="002B0ACA" w:rsidRPr="006A16E9">
        <w:rPr>
          <w:color w:val="auto"/>
          <w:sz w:val="26"/>
          <w:szCs w:val="26"/>
        </w:rPr>
        <w:t xml:space="preserve"> </w:t>
      </w:r>
      <w:r w:rsidR="00776C0E">
        <w:rPr>
          <w:color w:val="auto"/>
          <w:sz w:val="26"/>
          <w:szCs w:val="26"/>
        </w:rPr>
        <w:t xml:space="preserve">telephonic </w:t>
      </w:r>
      <w:r w:rsidR="002B0ACA" w:rsidRPr="006A16E9">
        <w:rPr>
          <w:color w:val="auto"/>
          <w:sz w:val="26"/>
          <w:szCs w:val="26"/>
        </w:rPr>
        <w:t>hearing was scheduled for October 26, 2016.</w:t>
      </w:r>
    </w:p>
    <w:p w14:paraId="2FDDE8B5" w14:textId="77777777" w:rsidR="00FE3E40" w:rsidRDefault="00FE3E40" w:rsidP="002C31D4">
      <w:pPr>
        <w:pStyle w:val="Default"/>
        <w:spacing w:line="360" w:lineRule="auto"/>
        <w:rPr>
          <w:color w:val="auto"/>
          <w:sz w:val="26"/>
          <w:szCs w:val="26"/>
        </w:rPr>
      </w:pPr>
    </w:p>
    <w:p w14:paraId="6F353BE5" w14:textId="72B7F054" w:rsidR="002B0ACA" w:rsidRDefault="00FE3E40" w:rsidP="002C31D4">
      <w:pPr>
        <w:pStyle w:val="Default"/>
        <w:spacing w:line="360" w:lineRule="auto"/>
        <w:rPr>
          <w:color w:val="auto"/>
          <w:sz w:val="26"/>
          <w:szCs w:val="26"/>
        </w:rPr>
      </w:pPr>
      <w:r>
        <w:rPr>
          <w:color w:val="auto"/>
          <w:sz w:val="26"/>
          <w:szCs w:val="26"/>
        </w:rPr>
        <w:tab/>
      </w:r>
      <w:r>
        <w:rPr>
          <w:color w:val="auto"/>
          <w:sz w:val="26"/>
          <w:szCs w:val="26"/>
        </w:rPr>
        <w:tab/>
      </w:r>
      <w:r w:rsidR="00AC12C3">
        <w:rPr>
          <w:color w:val="auto"/>
          <w:sz w:val="26"/>
          <w:szCs w:val="26"/>
        </w:rPr>
        <w:t xml:space="preserve">By letter dated October 16, 2016, which was received by the Commission on </w:t>
      </w:r>
      <w:r w:rsidR="00F54797">
        <w:rPr>
          <w:color w:val="auto"/>
          <w:sz w:val="26"/>
          <w:szCs w:val="26"/>
        </w:rPr>
        <w:t>October 2</w:t>
      </w:r>
      <w:r w:rsidR="00AC12C3">
        <w:rPr>
          <w:color w:val="auto"/>
          <w:sz w:val="26"/>
          <w:szCs w:val="26"/>
        </w:rPr>
        <w:t>0</w:t>
      </w:r>
      <w:r w:rsidR="00F54797">
        <w:rPr>
          <w:color w:val="auto"/>
          <w:sz w:val="26"/>
          <w:szCs w:val="26"/>
        </w:rPr>
        <w:t xml:space="preserve">, 2016, the Petitioner </w:t>
      </w:r>
      <w:r w:rsidR="00AC12C3">
        <w:rPr>
          <w:color w:val="auto"/>
          <w:sz w:val="26"/>
          <w:szCs w:val="26"/>
        </w:rPr>
        <w:t>requested</w:t>
      </w:r>
      <w:r w:rsidR="00F54797">
        <w:rPr>
          <w:color w:val="auto"/>
          <w:sz w:val="26"/>
          <w:szCs w:val="26"/>
        </w:rPr>
        <w:t xml:space="preserve"> a continuance of the scheduled hearing (October 2016 Letter).  In the </w:t>
      </w:r>
      <w:r w:rsidR="00F3539E">
        <w:rPr>
          <w:color w:val="auto"/>
          <w:sz w:val="26"/>
          <w:szCs w:val="26"/>
        </w:rPr>
        <w:t>October 2016 Letter</w:t>
      </w:r>
      <w:r w:rsidR="00F54797">
        <w:rPr>
          <w:color w:val="auto"/>
          <w:sz w:val="26"/>
          <w:szCs w:val="26"/>
        </w:rPr>
        <w:t xml:space="preserve">, Ms. Mitchell </w:t>
      </w:r>
      <w:r w:rsidR="00931B85">
        <w:rPr>
          <w:color w:val="auto"/>
          <w:sz w:val="26"/>
          <w:szCs w:val="26"/>
        </w:rPr>
        <w:t xml:space="preserve">requested </w:t>
      </w:r>
      <w:r w:rsidR="00F54797">
        <w:rPr>
          <w:color w:val="auto"/>
          <w:sz w:val="26"/>
          <w:szCs w:val="26"/>
        </w:rPr>
        <w:t>that “[d]</w:t>
      </w:r>
      <w:proofErr w:type="spellStart"/>
      <w:r w:rsidR="00F54797">
        <w:rPr>
          <w:color w:val="auto"/>
          <w:sz w:val="26"/>
          <w:szCs w:val="26"/>
        </w:rPr>
        <w:t>ue</w:t>
      </w:r>
      <w:proofErr w:type="spellEnd"/>
      <w:r w:rsidR="00F54797">
        <w:rPr>
          <w:color w:val="auto"/>
          <w:sz w:val="26"/>
          <w:szCs w:val="26"/>
        </w:rPr>
        <w:t xml:space="preserve"> to health problems resulting from a recent stroke and increased dementia, please grant a continuance for this case.”  </w:t>
      </w:r>
      <w:r w:rsidR="00776C0E">
        <w:rPr>
          <w:color w:val="auto"/>
          <w:sz w:val="26"/>
          <w:szCs w:val="26"/>
        </w:rPr>
        <w:t>By notice dated October 21, 2016, the telephonic hearing was rescheduled for December 8, 2016 (Hearing Notice).  The Hearing Notice directed the Petitioner to call at the scheduled time and that the failure to do so will result in the dismissal of her case.</w:t>
      </w:r>
      <w:r w:rsidR="00D10F2C">
        <w:rPr>
          <w:color w:val="auto"/>
          <w:sz w:val="26"/>
          <w:szCs w:val="26"/>
        </w:rPr>
        <w:t xml:space="preserve"> </w:t>
      </w:r>
      <w:r w:rsidR="00776C0E">
        <w:rPr>
          <w:color w:val="auto"/>
          <w:sz w:val="26"/>
          <w:szCs w:val="26"/>
        </w:rPr>
        <w:t xml:space="preserve"> </w:t>
      </w:r>
      <w:r w:rsidR="00D10F2C">
        <w:rPr>
          <w:color w:val="auto"/>
          <w:sz w:val="26"/>
          <w:szCs w:val="26"/>
        </w:rPr>
        <w:t>Hearing Notice at 1.</w:t>
      </w:r>
      <w:r w:rsidR="00D10F2C">
        <w:rPr>
          <w:rStyle w:val="FootnoteReference"/>
          <w:color w:val="auto"/>
          <w:sz w:val="26"/>
          <w:szCs w:val="26"/>
        </w:rPr>
        <w:footnoteReference w:id="4"/>
      </w:r>
      <w:r w:rsidR="00D10F2C">
        <w:rPr>
          <w:color w:val="auto"/>
          <w:sz w:val="26"/>
          <w:szCs w:val="26"/>
        </w:rPr>
        <w:t xml:space="preserve">   </w:t>
      </w:r>
    </w:p>
    <w:p w14:paraId="6847BFB8" w14:textId="77777777" w:rsidR="00D10F2C" w:rsidRDefault="00D10F2C" w:rsidP="002C31D4">
      <w:pPr>
        <w:pStyle w:val="Default"/>
        <w:spacing w:line="360" w:lineRule="auto"/>
        <w:rPr>
          <w:color w:val="auto"/>
          <w:sz w:val="26"/>
          <w:szCs w:val="26"/>
        </w:rPr>
      </w:pPr>
    </w:p>
    <w:p w14:paraId="2392D5AE" w14:textId="77777777" w:rsidR="00D10F2C" w:rsidRDefault="00D10F2C" w:rsidP="002C31D4">
      <w:pPr>
        <w:pStyle w:val="Default"/>
        <w:spacing w:line="360" w:lineRule="auto"/>
        <w:rPr>
          <w:color w:val="auto"/>
          <w:sz w:val="26"/>
          <w:szCs w:val="26"/>
        </w:rPr>
      </w:pPr>
      <w:r>
        <w:rPr>
          <w:color w:val="auto"/>
          <w:sz w:val="26"/>
          <w:szCs w:val="26"/>
        </w:rPr>
        <w:tab/>
      </w:r>
      <w:r>
        <w:rPr>
          <w:color w:val="auto"/>
          <w:sz w:val="26"/>
          <w:szCs w:val="26"/>
        </w:rPr>
        <w:tab/>
      </w:r>
      <w:r w:rsidR="001F1BAE">
        <w:rPr>
          <w:color w:val="auto"/>
          <w:sz w:val="26"/>
          <w:szCs w:val="26"/>
        </w:rPr>
        <w:t xml:space="preserve">By certified letter post-marked December 1, 2016 </w:t>
      </w:r>
      <w:r w:rsidR="006E20D9">
        <w:rPr>
          <w:color w:val="auto"/>
          <w:sz w:val="26"/>
          <w:szCs w:val="26"/>
        </w:rPr>
        <w:t>(December 2016 Letter)</w:t>
      </w:r>
      <w:r w:rsidR="001F1BAE">
        <w:rPr>
          <w:color w:val="auto"/>
          <w:sz w:val="26"/>
          <w:szCs w:val="26"/>
        </w:rPr>
        <w:t>, the Petitioner submitted a letter</w:t>
      </w:r>
      <w:r w:rsidR="006E20D9">
        <w:rPr>
          <w:color w:val="auto"/>
          <w:sz w:val="26"/>
          <w:szCs w:val="26"/>
        </w:rPr>
        <w:t xml:space="preserve"> </w:t>
      </w:r>
      <w:r>
        <w:rPr>
          <w:color w:val="auto"/>
          <w:sz w:val="26"/>
          <w:szCs w:val="26"/>
        </w:rPr>
        <w:t>signed by Ms. Mitchell which stated:</w:t>
      </w:r>
    </w:p>
    <w:p w14:paraId="531C33E6" w14:textId="77777777" w:rsidR="00D10F2C" w:rsidRDefault="00D10F2C" w:rsidP="002C31D4">
      <w:pPr>
        <w:pStyle w:val="Default"/>
        <w:spacing w:line="360" w:lineRule="auto"/>
        <w:rPr>
          <w:color w:val="auto"/>
          <w:sz w:val="26"/>
          <w:szCs w:val="26"/>
        </w:rPr>
      </w:pPr>
    </w:p>
    <w:p w14:paraId="7BFFE787" w14:textId="77777777" w:rsidR="00D10F2C" w:rsidRPr="006A16E9" w:rsidRDefault="00D10F2C" w:rsidP="002C31D4">
      <w:pPr>
        <w:pStyle w:val="Default"/>
        <w:ind w:left="1440" w:right="1440"/>
        <w:rPr>
          <w:color w:val="auto"/>
          <w:sz w:val="26"/>
          <w:szCs w:val="26"/>
        </w:rPr>
      </w:pPr>
      <w:r>
        <w:rPr>
          <w:color w:val="auto"/>
          <w:sz w:val="26"/>
          <w:szCs w:val="26"/>
        </w:rPr>
        <w:t xml:space="preserve">This is a request for a continuation of this case due to medical reasons.  The [Petitioner], Ms. Mitchell suffers from dementia; an inability to speak; and limited mobility.  Her loss of speech and memory would make it difficult for her to testify.  Family members are attempting to obtain power of attorney and obtain the necessary records so that this case can move forward.  </w:t>
      </w:r>
    </w:p>
    <w:p w14:paraId="2362123E" w14:textId="77777777" w:rsidR="000E6377" w:rsidRDefault="000E6377" w:rsidP="002C31D4">
      <w:pPr>
        <w:widowControl/>
        <w:spacing w:line="360" w:lineRule="auto"/>
        <w:rPr>
          <w:sz w:val="26"/>
          <w:szCs w:val="26"/>
        </w:rPr>
      </w:pPr>
    </w:p>
    <w:p w14:paraId="04629318" w14:textId="5D91901A" w:rsidR="002B0ACA" w:rsidRDefault="002B0ACA" w:rsidP="002C31D4">
      <w:pPr>
        <w:widowControl/>
        <w:spacing w:line="360" w:lineRule="auto"/>
        <w:rPr>
          <w:sz w:val="26"/>
          <w:szCs w:val="26"/>
        </w:rPr>
      </w:pPr>
      <w:r w:rsidRPr="006A16E9">
        <w:rPr>
          <w:sz w:val="26"/>
          <w:szCs w:val="26"/>
        </w:rPr>
        <w:t xml:space="preserve">On December 8, 2016, </w:t>
      </w:r>
      <w:r w:rsidR="00D10F2C">
        <w:rPr>
          <w:sz w:val="26"/>
          <w:szCs w:val="26"/>
        </w:rPr>
        <w:t xml:space="preserve">the rescheduled telephonic hearing </w:t>
      </w:r>
      <w:r w:rsidR="0028382A">
        <w:rPr>
          <w:sz w:val="26"/>
          <w:szCs w:val="26"/>
        </w:rPr>
        <w:t xml:space="preserve">was convened </w:t>
      </w:r>
      <w:r w:rsidR="00482364">
        <w:rPr>
          <w:sz w:val="26"/>
          <w:szCs w:val="26"/>
        </w:rPr>
        <w:t xml:space="preserve">at which counsel for PGW appeared with one </w:t>
      </w:r>
      <w:r w:rsidR="0028382A">
        <w:rPr>
          <w:sz w:val="26"/>
          <w:szCs w:val="26"/>
        </w:rPr>
        <w:t xml:space="preserve">potential </w:t>
      </w:r>
      <w:r w:rsidR="00482364">
        <w:rPr>
          <w:sz w:val="26"/>
          <w:szCs w:val="26"/>
        </w:rPr>
        <w:t xml:space="preserve">witness.  However, </w:t>
      </w:r>
      <w:r w:rsidR="00D10F2C">
        <w:rPr>
          <w:sz w:val="26"/>
          <w:szCs w:val="26"/>
        </w:rPr>
        <w:t>Ms. Mitchell did not appear</w:t>
      </w:r>
      <w:r w:rsidR="00482364">
        <w:rPr>
          <w:sz w:val="26"/>
          <w:szCs w:val="26"/>
        </w:rPr>
        <w:t xml:space="preserve"> for the hearing</w:t>
      </w:r>
      <w:r w:rsidRPr="006A16E9">
        <w:rPr>
          <w:sz w:val="26"/>
          <w:szCs w:val="26"/>
        </w:rPr>
        <w:t xml:space="preserve">. </w:t>
      </w:r>
      <w:r w:rsidR="00D10F2C">
        <w:rPr>
          <w:sz w:val="26"/>
          <w:szCs w:val="26"/>
        </w:rPr>
        <w:t xml:space="preserve">  </w:t>
      </w:r>
      <w:r w:rsidR="00482364">
        <w:rPr>
          <w:sz w:val="26"/>
          <w:szCs w:val="26"/>
        </w:rPr>
        <w:t xml:space="preserve">At the hearing, counsel for </w:t>
      </w:r>
      <w:r w:rsidR="00E83928">
        <w:rPr>
          <w:sz w:val="26"/>
          <w:szCs w:val="26"/>
        </w:rPr>
        <w:t>PGW</w:t>
      </w:r>
      <w:r w:rsidR="00482364">
        <w:rPr>
          <w:sz w:val="26"/>
          <w:szCs w:val="26"/>
        </w:rPr>
        <w:t xml:space="preserve"> </w:t>
      </w:r>
      <w:r w:rsidRPr="006A16E9">
        <w:rPr>
          <w:sz w:val="26"/>
          <w:szCs w:val="26"/>
        </w:rPr>
        <w:t xml:space="preserve">made an oral motion to dismiss the </w:t>
      </w:r>
      <w:r w:rsidR="00482364">
        <w:rPr>
          <w:sz w:val="26"/>
          <w:szCs w:val="26"/>
        </w:rPr>
        <w:t>C</w:t>
      </w:r>
      <w:r w:rsidRPr="006A16E9">
        <w:rPr>
          <w:sz w:val="26"/>
          <w:szCs w:val="26"/>
        </w:rPr>
        <w:t xml:space="preserve">omplaint with prejudice for failure to prosecute, which </w:t>
      </w:r>
      <w:r w:rsidR="00482364">
        <w:rPr>
          <w:sz w:val="26"/>
          <w:szCs w:val="26"/>
        </w:rPr>
        <w:t xml:space="preserve">the ALJ took </w:t>
      </w:r>
      <w:r w:rsidRPr="006A16E9">
        <w:rPr>
          <w:sz w:val="26"/>
          <w:szCs w:val="26"/>
        </w:rPr>
        <w:t xml:space="preserve">under </w:t>
      </w:r>
      <w:r w:rsidRPr="006A16E9">
        <w:rPr>
          <w:sz w:val="26"/>
          <w:szCs w:val="26"/>
        </w:rPr>
        <w:lastRenderedPageBreak/>
        <w:t xml:space="preserve">advisement. </w:t>
      </w:r>
      <w:r w:rsidR="00482364">
        <w:rPr>
          <w:sz w:val="26"/>
          <w:szCs w:val="26"/>
        </w:rPr>
        <w:t xml:space="preserve"> The hearing produced a transcript of six pages and the </w:t>
      </w:r>
      <w:r w:rsidRPr="006A16E9">
        <w:rPr>
          <w:sz w:val="26"/>
          <w:szCs w:val="26"/>
        </w:rPr>
        <w:t xml:space="preserve">record </w:t>
      </w:r>
      <w:r w:rsidR="00E64B63">
        <w:rPr>
          <w:sz w:val="26"/>
          <w:szCs w:val="26"/>
        </w:rPr>
        <w:t xml:space="preserve">was </w:t>
      </w:r>
      <w:r w:rsidRPr="006A16E9">
        <w:rPr>
          <w:sz w:val="26"/>
          <w:szCs w:val="26"/>
        </w:rPr>
        <w:t xml:space="preserve">closed on December 8, 2016. </w:t>
      </w:r>
    </w:p>
    <w:p w14:paraId="54B1A688" w14:textId="77777777" w:rsidR="00AC12C3" w:rsidRDefault="00AC12C3" w:rsidP="002C31D4">
      <w:pPr>
        <w:widowControl/>
        <w:spacing w:line="360" w:lineRule="auto"/>
        <w:rPr>
          <w:sz w:val="26"/>
          <w:szCs w:val="26"/>
        </w:rPr>
      </w:pPr>
    </w:p>
    <w:p w14:paraId="3E4E8CB1" w14:textId="05B43DA2" w:rsidR="00A735A0" w:rsidRDefault="0028382A" w:rsidP="002C31D4">
      <w:pPr>
        <w:widowControl/>
        <w:spacing w:line="360" w:lineRule="auto"/>
        <w:rPr>
          <w:sz w:val="26"/>
          <w:szCs w:val="26"/>
        </w:rPr>
      </w:pPr>
      <w:r>
        <w:rPr>
          <w:sz w:val="26"/>
          <w:szCs w:val="26"/>
        </w:rPr>
        <w:tab/>
      </w:r>
      <w:r>
        <w:rPr>
          <w:sz w:val="26"/>
          <w:szCs w:val="26"/>
        </w:rPr>
        <w:tab/>
        <w:t xml:space="preserve">By Initial Decision issued on January 5, 2017, ALJ </w:t>
      </w:r>
      <w:r w:rsidR="00931B85">
        <w:rPr>
          <w:sz w:val="26"/>
          <w:szCs w:val="26"/>
        </w:rPr>
        <w:t xml:space="preserve">Barnes </w:t>
      </w:r>
      <w:r>
        <w:rPr>
          <w:sz w:val="26"/>
          <w:szCs w:val="26"/>
        </w:rPr>
        <w:t>granted PGW’s motion to dismiss the Complaint</w:t>
      </w:r>
      <w:r w:rsidR="000F72EF">
        <w:rPr>
          <w:sz w:val="26"/>
          <w:szCs w:val="26"/>
        </w:rPr>
        <w:t>,</w:t>
      </w:r>
      <w:r>
        <w:rPr>
          <w:sz w:val="26"/>
          <w:szCs w:val="26"/>
        </w:rPr>
        <w:t xml:space="preserve"> with prejudice</w:t>
      </w:r>
      <w:r w:rsidR="000F72EF">
        <w:rPr>
          <w:sz w:val="26"/>
          <w:szCs w:val="26"/>
        </w:rPr>
        <w:t>,</w:t>
      </w:r>
      <w:r>
        <w:rPr>
          <w:sz w:val="26"/>
          <w:szCs w:val="26"/>
        </w:rPr>
        <w:t xml:space="preserve"> for failure of the Petitioner to appear and prosecute her case.</w:t>
      </w:r>
      <w:r>
        <w:rPr>
          <w:rStyle w:val="FootnoteReference"/>
          <w:sz w:val="26"/>
          <w:szCs w:val="26"/>
        </w:rPr>
        <w:footnoteReference w:id="5"/>
      </w:r>
    </w:p>
    <w:p w14:paraId="6678419C" w14:textId="77777777" w:rsidR="00A735A0" w:rsidRDefault="00A735A0" w:rsidP="002C31D4">
      <w:pPr>
        <w:widowControl/>
        <w:spacing w:line="360" w:lineRule="auto"/>
        <w:rPr>
          <w:sz w:val="26"/>
          <w:szCs w:val="26"/>
        </w:rPr>
      </w:pPr>
    </w:p>
    <w:p w14:paraId="2E79D950" w14:textId="6156797B" w:rsidR="00A735A0" w:rsidRDefault="00A735A0" w:rsidP="002C31D4">
      <w:pPr>
        <w:widowControl/>
        <w:spacing w:line="360" w:lineRule="auto"/>
        <w:ind w:firstLine="1440"/>
        <w:rPr>
          <w:sz w:val="26"/>
          <w:szCs w:val="26"/>
        </w:rPr>
      </w:pPr>
      <w:r>
        <w:rPr>
          <w:sz w:val="26"/>
          <w:szCs w:val="26"/>
        </w:rPr>
        <w:t>No Exceptions were filed to the Initial Decision by the required due date of January 25, 2017.</w:t>
      </w:r>
    </w:p>
    <w:p w14:paraId="13928B29" w14:textId="77777777" w:rsidR="00A735A0" w:rsidRDefault="00A735A0" w:rsidP="002C31D4">
      <w:pPr>
        <w:widowControl/>
        <w:spacing w:line="360" w:lineRule="auto"/>
        <w:ind w:firstLine="1440"/>
        <w:rPr>
          <w:sz w:val="26"/>
          <w:szCs w:val="26"/>
        </w:rPr>
      </w:pPr>
    </w:p>
    <w:p w14:paraId="77F1671A" w14:textId="5D98B535" w:rsidR="00A735A0" w:rsidRDefault="00141E67" w:rsidP="002C31D4">
      <w:pPr>
        <w:widowControl/>
        <w:spacing w:line="360" w:lineRule="auto"/>
        <w:ind w:firstLine="1440"/>
        <w:rPr>
          <w:sz w:val="26"/>
          <w:szCs w:val="26"/>
        </w:rPr>
      </w:pPr>
      <w:r>
        <w:rPr>
          <w:sz w:val="26"/>
          <w:szCs w:val="26"/>
        </w:rPr>
        <w:t>By operation of</w:t>
      </w:r>
      <w:r w:rsidR="00A735A0">
        <w:rPr>
          <w:sz w:val="26"/>
          <w:szCs w:val="26"/>
        </w:rPr>
        <w:t xml:space="preserve"> Section 332(h) of the Public Utility Code (Code), 66 Pa. C.S. §</w:t>
      </w:r>
      <w:r w:rsidR="00931B85">
        <w:rPr>
          <w:sz w:val="26"/>
          <w:szCs w:val="26"/>
        </w:rPr>
        <w:t> </w:t>
      </w:r>
      <w:r w:rsidR="00A735A0">
        <w:rPr>
          <w:sz w:val="26"/>
          <w:szCs w:val="26"/>
        </w:rPr>
        <w:t xml:space="preserve">332(h), the ALJ </w:t>
      </w:r>
      <w:r w:rsidR="00931B85">
        <w:rPr>
          <w:sz w:val="26"/>
          <w:szCs w:val="26"/>
        </w:rPr>
        <w:t xml:space="preserve">Barnes’ Initial Decision </w:t>
      </w:r>
      <w:r w:rsidR="00A735A0">
        <w:rPr>
          <w:sz w:val="26"/>
          <w:szCs w:val="26"/>
        </w:rPr>
        <w:t>became final without further Commission action on January 25, 2017</w:t>
      </w:r>
      <w:r w:rsidR="00A735A0">
        <w:rPr>
          <w:i/>
          <w:sz w:val="26"/>
          <w:szCs w:val="26"/>
        </w:rPr>
        <w:t>.</w:t>
      </w:r>
      <w:r w:rsidR="00A735A0">
        <w:rPr>
          <w:sz w:val="26"/>
          <w:szCs w:val="26"/>
        </w:rPr>
        <w:t xml:space="preserve">  </w:t>
      </w:r>
    </w:p>
    <w:p w14:paraId="030D4E07" w14:textId="77777777" w:rsidR="00A735A0" w:rsidRDefault="00A735A0" w:rsidP="002C31D4">
      <w:pPr>
        <w:widowControl/>
        <w:spacing w:line="360" w:lineRule="auto"/>
        <w:ind w:firstLine="1440"/>
        <w:rPr>
          <w:sz w:val="26"/>
          <w:szCs w:val="26"/>
        </w:rPr>
      </w:pPr>
    </w:p>
    <w:p w14:paraId="30772681" w14:textId="77777777" w:rsidR="00482364" w:rsidRDefault="009E57CB" w:rsidP="002C31D4">
      <w:pPr>
        <w:widowControl/>
        <w:spacing w:line="360" w:lineRule="auto"/>
        <w:ind w:firstLine="1440"/>
        <w:rPr>
          <w:sz w:val="26"/>
          <w:szCs w:val="26"/>
        </w:rPr>
      </w:pPr>
      <w:r>
        <w:rPr>
          <w:sz w:val="26"/>
          <w:szCs w:val="26"/>
        </w:rPr>
        <w:t xml:space="preserve">As noted above, Ms. Mitchell filed the Petition on </w:t>
      </w:r>
      <w:r>
        <w:rPr>
          <w:color w:val="000000"/>
          <w:sz w:val="26"/>
        </w:rPr>
        <w:t>February 24, 2017.  On March 13, 2017, PGW filed an Answer to the Petition.</w:t>
      </w:r>
      <w:r>
        <w:rPr>
          <w:rStyle w:val="FootnoteReference"/>
          <w:color w:val="000000"/>
          <w:sz w:val="26"/>
        </w:rPr>
        <w:footnoteReference w:id="6"/>
      </w:r>
    </w:p>
    <w:p w14:paraId="660CF309" w14:textId="2F626ACE" w:rsidR="002B0ACA" w:rsidRDefault="002B0ACA" w:rsidP="002C31D4">
      <w:pPr>
        <w:widowControl/>
        <w:spacing w:line="360" w:lineRule="auto"/>
        <w:rPr>
          <w:sz w:val="26"/>
          <w:szCs w:val="24"/>
        </w:rPr>
      </w:pPr>
    </w:p>
    <w:p w14:paraId="19D49EC0" w14:textId="77777777" w:rsidR="00CA43A5" w:rsidRDefault="00CA43A5" w:rsidP="002C31D4">
      <w:pPr>
        <w:keepNext/>
        <w:keepLines/>
        <w:widowControl/>
        <w:spacing w:line="360" w:lineRule="auto"/>
        <w:jc w:val="center"/>
        <w:rPr>
          <w:b/>
          <w:sz w:val="26"/>
          <w:szCs w:val="26"/>
        </w:rPr>
      </w:pPr>
      <w:r w:rsidRPr="00CA43A5">
        <w:rPr>
          <w:b/>
          <w:sz w:val="26"/>
          <w:szCs w:val="26"/>
        </w:rPr>
        <w:t>Discussion</w:t>
      </w:r>
    </w:p>
    <w:p w14:paraId="0CDAF69B" w14:textId="77777777" w:rsidR="000D5232" w:rsidRPr="00CA43A5" w:rsidRDefault="000D5232" w:rsidP="002C31D4">
      <w:pPr>
        <w:keepNext/>
        <w:keepLines/>
        <w:widowControl/>
        <w:spacing w:line="360" w:lineRule="auto"/>
        <w:jc w:val="center"/>
        <w:rPr>
          <w:sz w:val="26"/>
          <w:szCs w:val="26"/>
        </w:rPr>
      </w:pPr>
    </w:p>
    <w:p w14:paraId="47335D64" w14:textId="5B3F2801" w:rsidR="00A24EB3" w:rsidRDefault="00124BCE" w:rsidP="002C31D4">
      <w:pPr>
        <w:widowControl/>
        <w:suppressAutoHyphens/>
        <w:spacing w:line="360" w:lineRule="auto"/>
        <w:ind w:firstLine="1440"/>
        <w:rPr>
          <w:sz w:val="26"/>
          <w:szCs w:val="26"/>
        </w:rPr>
      </w:pPr>
      <w:r>
        <w:rPr>
          <w:spacing w:val="-3"/>
          <w:sz w:val="26"/>
        </w:rPr>
        <w:t xml:space="preserve">We begin by considering the nature of the </w:t>
      </w:r>
      <w:r w:rsidR="00E0225B">
        <w:rPr>
          <w:spacing w:val="-3"/>
          <w:sz w:val="26"/>
        </w:rPr>
        <w:t>Petitioner</w:t>
      </w:r>
      <w:r>
        <w:rPr>
          <w:spacing w:val="-3"/>
          <w:sz w:val="26"/>
        </w:rPr>
        <w:t xml:space="preserve">’s filing, because the analysis to be applied depends on the type of filing before us. </w:t>
      </w:r>
      <w:r w:rsidR="002C31D4">
        <w:rPr>
          <w:spacing w:val="-3"/>
          <w:sz w:val="26"/>
        </w:rPr>
        <w:t xml:space="preserve"> </w:t>
      </w:r>
      <w:r w:rsidR="00226034">
        <w:rPr>
          <w:sz w:val="26"/>
          <w:szCs w:val="26"/>
        </w:rPr>
        <w:t xml:space="preserve">As discussed above, </w:t>
      </w:r>
      <w:r w:rsidR="00E0225B">
        <w:rPr>
          <w:sz w:val="26"/>
          <w:szCs w:val="26"/>
        </w:rPr>
        <w:lastRenderedPageBreak/>
        <w:t>Ms.</w:t>
      </w:r>
      <w:r w:rsidR="002C31D4">
        <w:rPr>
          <w:sz w:val="26"/>
          <w:szCs w:val="26"/>
        </w:rPr>
        <w:t> </w:t>
      </w:r>
      <w:r w:rsidR="00E0225B">
        <w:rPr>
          <w:sz w:val="26"/>
          <w:szCs w:val="26"/>
        </w:rPr>
        <w:t>Mitchell submitted her filing</w:t>
      </w:r>
      <w:r w:rsidR="00226034">
        <w:rPr>
          <w:sz w:val="26"/>
          <w:szCs w:val="26"/>
        </w:rPr>
        <w:t xml:space="preserve"> on </w:t>
      </w:r>
      <w:r w:rsidR="00E0225B">
        <w:rPr>
          <w:color w:val="000000"/>
          <w:sz w:val="26"/>
        </w:rPr>
        <w:t>February 24, 2017</w:t>
      </w:r>
      <w:r w:rsidR="00E0225B">
        <w:rPr>
          <w:sz w:val="26"/>
          <w:szCs w:val="26"/>
        </w:rPr>
        <w:t xml:space="preserve"> </w:t>
      </w:r>
      <w:r w:rsidR="009F6F0B">
        <w:rPr>
          <w:sz w:val="26"/>
          <w:szCs w:val="26"/>
        </w:rPr>
        <w:t>(</w:t>
      </w:r>
      <w:r w:rsidR="009F6F0B" w:rsidRPr="00E0225B">
        <w:rPr>
          <w:i/>
          <w:sz w:val="26"/>
          <w:szCs w:val="26"/>
        </w:rPr>
        <w:t>i.e.</w:t>
      </w:r>
      <w:r w:rsidR="009F6F0B">
        <w:rPr>
          <w:sz w:val="26"/>
          <w:szCs w:val="26"/>
        </w:rPr>
        <w:t xml:space="preserve">, </w:t>
      </w:r>
      <w:r w:rsidR="004579A4">
        <w:rPr>
          <w:sz w:val="26"/>
          <w:szCs w:val="26"/>
        </w:rPr>
        <w:t>beyond</w:t>
      </w:r>
      <w:r w:rsidR="009F6F0B">
        <w:rPr>
          <w:sz w:val="26"/>
          <w:szCs w:val="26"/>
        </w:rPr>
        <w:t xml:space="preserve"> fifteen days </w:t>
      </w:r>
      <w:r w:rsidR="000C48AD">
        <w:rPr>
          <w:sz w:val="26"/>
          <w:szCs w:val="26"/>
        </w:rPr>
        <w:t>after</w:t>
      </w:r>
      <w:r w:rsidR="009F6F0B">
        <w:rPr>
          <w:sz w:val="26"/>
          <w:szCs w:val="26"/>
        </w:rPr>
        <w:t xml:space="preserve"> the date that the Initial Decision became the final action of the Commission)</w:t>
      </w:r>
      <w:r w:rsidR="00226034">
        <w:rPr>
          <w:sz w:val="26"/>
          <w:szCs w:val="26"/>
        </w:rPr>
        <w:t xml:space="preserve">.  Because the </w:t>
      </w:r>
      <w:r w:rsidR="00E0225B">
        <w:rPr>
          <w:sz w:val="26"/>
          <w:szCs w:val="26"/>
        </w:rPr>
        <w:t>Petitioner</w:t>
      </w:r>
      <w:r w:rsidR="00424121">
        <w:rPr>
          <w:sz w:val="26"/>
          <w:szCs w:val="26"/>
        </w:rPr>
        <w:t xml:space="preserve"> </w:t>
      </w:r>
      <w:r w:rsidR="00226034">
        <w:rPr>
          <w:sz w:val="26"/>
          <w:szCs w:val="26"/>
        </w:rPr>
        <w:t xml:space="preserve">is appearing </w:t>
      </w:r>
      <w:r w:rsidR="00565C75">
        <w:rPr>
          <w:i/>
          <w:sz w:val="26"/>
          <w:szCs w:val="26"/>
        </w:rPr>
        <w:t xml:space="preserve">pro se, </w:t>
      </w:r>
      <w:r>
        <w:rPr>
          <w:sz w:val="26"/>
          <w:szCs w:val="26"/>
        </w:rPr>
        <w:t xml:space="preserve">we will exercise our discretion and consider the </w:t>
      </w:r>
      <w:r w:rsidR="00E0225B">
        <w:rPr>
          <w:sz w:val="26"/>
          <w:szCs w:val="26"/>
        </w:rPr>
        <w:t>filing</w:t>
      </w:r>
      <w:r>
        <w:rPr>
          <w:sz w:val="26"/>
          <w:szCs w:val="26"/>
        </w:rPr>
        <w:t xml:space="preserve"> as a Petition for Re</w:t>
      </w:r>
      <w:r w:rsidR="004579A4">
        <w:rPr>
          <w:sz w:val="26"/>
          <w:szCs w:val="26"/>
        </w:rPr>
        <w:t>scission</w:t>
      </w:r>
      <w:r w:rsidR="00D66BE5">
        <w:rPr>
          <w:sz w:val="26"/>
          <w:szCs w:val="26"/>
        </w:rPr>
        <w:t xml:space="preserve"> </w:t>
      </w:r>
      <w:r>
        <w:rPr>
          <w:sz w:val="26"/>
          <w:szCs w:val="26"/>
        </w:rPr>
        <w:t xml:space="preserve">of </w:t>
      </w:r>
      <w:r w:rsidR="00565C75">
        <w:rPr>
          <w:sz w:val="26"/>
          <w:szCs w:val="26"/>
        </w:rPr>
        <w:t>the Commission’s final decision.</w:t>
      </w:r>
      <w:r w:rsidR="007B51B3">
        <w:rPr>
          <w:sz w:val="26"/>
          <w:szCs w:val="26"/>
        </w:rPr>
        <w:t xml:space="preserve">  </w:t>
      </w:r>
      <w:r w:rsidR="004579A4">
        <w:rPr>
          <w:sz w:val="26"/>
          <w:szCs w:val="26"/>
        </w:rPr>
        <w:t>52 Pa. Code § 5.572(d</w:t>
      </w:r>
      <w:r w:rsidR="009F6F0B">
        <w:rPr>
          <w:sz w:val="26"/>
          <w:szCs w:val="26"/>
        </w:rPr>
        <w:t xml:space="preserve">).  </w:t>
      </w:r>
      <w:r w:rsidR="007B51B3">
        <w:rPr>
          <w:sz w:val="26"/>
          <w:szCs w:val="26"/>
        </w:rPr>
        <w:t xml:space="preserve">Consequently, we will treat the </w:t>
      </w:r>
      <w:r w:rsidR="00E0225B">
        <w:rPr>
          <w:sz w:val="26"/>
          <w:szCs w:val="26"/>
        </w:rPr>
        <w:t xml:space="preserve">PGW’s filing as an </w:t>
      </w:r>
      <w:r w:rsidR="000C6DD4">
        <w:rPr>
          <w:sz w:val="26"/>
          <w:szCs w:val="26"/>
        </w:rPr>
        <w:t xml:space="preserve">Answer </w:t>
      </w:r>
      <w:r w:rsidR="007B51B3">
        <w:rPr>
          <w:sz w:val="26"/>
          <w:szCs w:val="26"/>
        </w:rPr>
        <w:t>to the Petition.</w:t>
      </w:r>
      <w:r w:rsidR="00565C75">
        <w:rPr>
          <w:sz w:val="26"/>
          <w:szCs w:val="26"/>
        </w:rPr>
        <w:t xml:space="preserve"> </w:t>
      </w:r>
    </w:p>
    <w:p w14:paraId="1892B14D" w14:textId="77777777" w:rsidR="000F72EF" w:rsidRDefault="000F72EF" w:rsidP="002C31D4">
      <w:pPr>
        <w:widowControl/>
        <w:suppressAutoHyphens/>
        <w:spacing w:line="360" w:lineRule="auto"/>
        <w:ind w:firstLine="1440"/>
        <w:rPr>
          <w:sz w:val="26"/>
          <w:szCs w:val="26"/>
        </w:rPr>
      </w:pPr>
    </w:p>
    <w:p w14:paraId="4EA8A6FF" w14:textId="77777777" w:rsidR="004579A4" w:rsidRDefault="004579A4" w:rsidP="008F35A0">
      <w:pPr>
        <w:keepNext/>
        <w:keepLines/>
        <w:widowControl/>
        <w:spacing w:line="360" w:lineRule="auto"/>
        <w:rPr>
          <w:b/>
          <w:sz w:val="26"/>
          <w:szCs w:val="26"/>
        </w:rPr>
      </w:pPr>
      <w:r w:rsidRPr="004579A4">
        <w:rPr>
          <w:b/>
          <w:sz w:val="26"/>
          <w:szCs w:val="26"/>
        </w:rPr>
        <w:t>Legal Standards</w:t>
      </w:r>
    </w:p>
    <w:p w14:paraId="371B5E2D" w14:textId="77777777" w:rsidR="004579A4" w:rsidRPr="004579A4" w:rsidRDefault="004579A4" w:rsidP="008F35A0">
      <w:pPr>
        <w:keepNext/>
        <w:keepLines/>
        <w:widowControl/>
        <w:spacing w:line="360" w:lineRule="auto"/>
        <w:rPr>
          <w:b/>
          <w:sz w:val="26"/>
          <w:szCs w:val="26"/>
        </w:rPr>
      </w:pPr>
    </w:p>
    <w:p w14:paraId="2FF8C083" w14:textId="27D99973" w:rsidR="003E5515" w:rsidRDefault="004579A4" w:rsidP="002C31D4">
      <w:pPr>
        <w:widowControl/>
        <w:spacing w:line="360" w:lineRule="auto"/>
        <w:ind w:firstLine="1440"/>
        <w:rPr>
          <w:color w:val="000000"/>
          <w:sz w:val="26"/>
          <w:szCs w:val="26"/>
        </w:rPr>
      </w:pPr>
      <w:r w:rsidRPr="004579A4">
        <w:rPr>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8" w:history="1">
        <w:r w:rsidRPr="004579A4">
          <w:rPr>
            <w:i/>
            <w:iCs/>
            <w:color w:val="000000"/>
            <w:sz w:val="26"/>
            <w:szCs w:val="26"/>
          </w:rPr>
          <w:t xml:space="preserve">Consolidated Rail Corporation v. Pa. PUC, </w:t>
        </w:r>
        <w:r w:rsidRPr="004579A4">
          <w:rPr>
            <w:color w:val="000000"/>
            <w:sz w:val="26"/>
            <w:szCs w:val="26"/>
          </w:rPr>
          <w:t xml:space="preserve">625 A.2d 741 (Pa. </w:t>
        </w:r>
        <w:proofErr w:type="spellStart"/>
        <w:r w:rsidRPr="004579A4">
          <w:rPr>
            <w:color w:val="000000"/>
            <w:sz w:val="26"/>
            <w:szCs w:val="26"/>
          </w:rPr>
          <w:t>Cmwlth</w:t>
        </w:r>
        <w:proofErr w:type="spellEnd"/>
        <w:r w:rsidRPr="004579A4">
          <w:rPr>
            <w:color w:val="000000"/>
            <w:sz w:val="26"/>
            <w:szCs w:val="26"/>
          </w:rPr>
          <w:t>. 1993);</w:t>
        </w:r>
      </w:hyperlink>
      <w:r w:rsidRPr="004579A4">
        <w:rPr>
          <w:color w:val="000000"/>
          <w:sz w:val="26"/>
          <w:szCs w:val="26"/>
        </w:rPr>
        <w:t xml:space="preserve"> </w:t>
      </w:r>
      <w:r w:rsidRPr="004579A4">
        <w:rPr>
          <w:i/>
          <w:color w:val="000000"/>
          <w:sz w:val="26"/>
          <w:szCs w:val="26"/>
        </w:rPr>
        <w:t xml:space="preserve">also </w:t>
      </w:r>
      <w:r w:rsidRPr="004579A4">
        <w:rPr>
          <w:i/>
          <w:iCs/>
          <w:color w:val="000000"/>
          <w:sz w:val="26"/>
          <w:szCs w:val="26"/>
        </w:rPr>
        <w:t xml:space="preserve">see, generally, </w:t>
      </w:r>
      <w:hyperlink r:id="rId9" w:history="1">
        <w:r w:rsidRPr="004579A4">
          <w:rPr>
            <w:i/>
            <w:iCs/>
            <w:color w:val="000000"/>
            <w:sz w:val="26"/>
            <w:szCs w:val="26"/>
          </w:rPr>
          <w:t>University of Pennsyl</w:t>
        </w:r>
        <w:r w:rsidRPr="004579A4">
          <w:rPr>
            <w:i/>
            <w:iCs/>
            <w:color w:val="000000"/>
            <w:sz w:val="26"/>
            <w:szCs w:val="26"/>
          </w:rPr>
          <w:softHyphen/>
          <w:t>vania v. Pa. PUC</w:t>
        </w:r>
        <w:r w:rsidRPr="004579A4">
          <w:rPr>
            <w:color w:val="000000"/>
            <w:sz w:val="26"/>
            <w:szCs w:val="26"/>
          </w:rPr>
          <w:t xml:space="preserve">, 485 A.2d 1217 (Pa. </w:t>
        </w:r>
        <w:proofErr w:type="spellStart"/>
        <w:r w:rsidRPr="004579A4">
          <w:rPr>
            <w:color w:val="000000"/>
            <w:sz w:val="26"/>
            <w:szCs w:val="26"/>
          </w:rPr>
          <w:t>Cmwlth</w:t>
        </w:r>
        <w:proofErr w:type="spellEnd"/>
        <w:r w:rsidRPr="004579A4">
          <w:rPr>
            <w:color w:val="000000"/>
            <w:sz w:val="26"/>
            <w:szCs w:val="26"/>
          </w:rPr>
          <w:t>. 1984).</w:t>
        </w:r>
      </w:hyperlink>
    </w:p>
    <w:p w14:paraId="74FE2519" w14:textId="77777777" w:rsidR="003E5515" w:rsidRDefault="003E5515" w:rsidP="002C31D4">
      <w:pPr>
        <w:widowControl/>
        <w:spacing w:line="360" w:lineRule="auto"/>
        <w:ind w:firstLine="1440"/>
        <w:rPr>
          <w:color w:val="000000"/>
          <w:sz w:val="26"/>
          <w:szCs w:val="26"/>
        </w:rPr>
      </w:pPr>
    </w:p>
    <w:p w14:paraId="026C28D4" w14:textId="5F1965A3" w:rsidR="004579A4" w:rsidRDefault="004579A4" w:rsidP="008F35A0">
      <w:pPr>
        <w:widowControl/>
        <w:spacing w:line="360" w:lineRule="auto"/>
        <w:ind w:firstLine="1440"/>
        <w:rPr>
          <w:sz w:val="26"/>
          <w:szCs w:val="26"/>
        </w:rPr>
      </w:pPr>
      <w:r w:rsidRPr="004579A4">
        <w:rPr>
          <w:sz w:val="26"/>
          <w:szCs w:val="26"/>
        </w:rPr>
        <w:t xml:space="preserve">The Code establishes a party’s right to seek relief following the issuance of our final decisions pursuant to Subsections 703(f) and (g), 66 Pa. C.S. §§ 703(f) and 703(g), relating to </w:t>
      </w:r>
      <w:proofErr w:type="spellStart"/>
      <w:r w:rsidRPr="004579A4">
        <w:rPr>
          <w:sz w:val="26"/>
          <w:szCs w:val="26"/>
        </w:rPr>
        <w:t>rehearings</w:t>
      </w:r>
      <w:proofErr w:type="spellEnd"/>
      <w:r w:rsidRPr="004579A4">
        <w:rPr>
          <w:sz w:val="26"/>
          <w:szCs w:val="26"/>
        </w:rPr>
        <w:t>, as well as rescission and amendment of orders.  Such requests for relief must be consistent with Section 5.572 of our Regulations, 52 Pa. Code §</w:t>
      </w:r>
      <w:r w:rsidR="008F35A0">
        <w:rPr>
          <w:sz w:val="26"/>
          <w:szCs w:val="26"/>
        </w:rPr>
        <w:t> </w:t>
      </w:r>
      <w:r w:rsidRPr="004579A4">
        <w:rPr>
          <w:sz w:val="26"/>
          <w:szCs w:val="26"/>
        </w:rPr>
        <w:t>5.572, relating to petitions for relief following the issuance of a final decision.</w:t>
      </w:r>
    </w:p>
    <w:p w14:paraId="19454F5A" w14:textId="77777777" w:rsidR="0032574D" w:rsidRPr="004579A4" w:rsidRDefault="0032574D" w:rsidP="008F35A0">
      <w:pPr>
        <w:widowControl/>
        <w:spacing w:line="360" w:lineRule="auto"/>
        <w:ind w:firstLine="1440"/>
        <w:rPr>
          <w:sz w:val="26"/>
          <w:szCs w:val="26"/>
        </w:rPr>
      </w:pPr>
    </w:p>
    <w:p w14:paraId="0A66F854" w14:textId="61E0A3F2" w:rsidR="004579A4" w:rsidRDefault="004579A4" w:rsidP="002C31D4">
      <w:pPr>
        <w:widowControl/>
        <w:spacing w:line="360" w:lineRule="auto"/>
        <w:ind w:firstLine="1440"/>
        <w:rPr>
          <w:color w:val="000000"/>
          <w:spacing w:val="-3"/>
          <w:sz w:val="26"/>
          <w:szCs w:val="26"/>
          <w:u w:color="000000"/>
        </w:rPr>
      </w:pPr>
      <w:r w:rsidRPr="004579A4">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circumstances, because such an action results in the disturbance of final orders.  </w:t>
      </w:r>
      <w:r w:rsidRPr="004579A4">
        <w:rPr>
          <w:i/>
          <w:sz w:val="26"/>
          <w:szCs w:val="26"/>
        </w:rPr>
        <w:t>City of Pittsburgh v. Pennsylvania Department of Transportation,</w:t>
      </w:r>
      <w:r w:rsidRPr="004579A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w:t>
      </w:r>
      <w:r w:rsidRPr="004579A4">
        <w:rPr>
          <w:sz w:val="26"/>
          <w:szCs w:val="26"/>
        </w:rPr>
        <w:lastRenderedPageBreak/>
        <w:t xml:space="preserve">motion to review and reconsider, to raise the same questions which were specifically considered and decided against them.”  </w:t>
      </w:r>
      <w:proofErr w:type="spellStart"/>
      <w:r w:rsidRPr="004579A4">
        <w:rPr>
          <w:i/>
          <w:sz w:val="26"/>
          <w:szCs w:val="26"/>
        </w:rPr>
        <w:t>Duick</w:t>
      </w:r>
      <w:proofErr w:type="spellEnd"/>
      <w:r w:rsidRPr="004579A4">
        <w:rPr>
          <w:i/>
          <w:sz w:val="26"/>
          <w:szCs w:val="26"/>
        </w:rPr>
        <w:t> v. Pennsylvania Gas and Water Company</w:t>
      </w:r>
      <w:r w:rsidRPr="004579A4">
        <w:rPr>
          <w:sz w:val="26"/>
          <w:szCs w:val="26"/>
        </w:rPr>
        <w:t xml:space="preserve">, 56 Pa. P.U.C. 553 (Order entered December 17, 1982) (quoting </w:t>
      </w:r>
      <w:hyperlink r:id="rId10" w:tgtFrame="x" w:tooltip="Clicking this link retrieves the full text document in another window" w:history="1">
        <w:r w:rsidRPr="004579A4">
          <w:rPr>
            <w:i/>
            <w:sz w:val="26"/>
            <w:szCs w:val="26"/>
          </w:rPr>
          <w:t>Pennsylvania Railroad Co. v. Pennsylvania Public Service Commission</w:t>
        </w:r>
        <w:r w:rsidRPr="004579A4">
          <w:rPr>
            <w:sz w:val="26"/>
            <w:szCs w:val="26"/>
          </w:rPr>
          <w:t>, 179 A. 850, 854 (Pa. Super. Ct. 1935)</w:t>
        </w:r>
      </w:hyperlink>
      <w:r w:rsidRPr="004579A4">
        <w:rPr>
          <w:sz w:val="26"/>
          <w:szCs w:val="26"/>
        </w:rPr>
        <w:t xml:space="preserve">).  </w:t>
      </w:r>
      <w:r w:rsidRPr="004579A4">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proofErr w:type="spellStart"/>
      <w:r w:rsidRPr="004579A4">
        <w:rPr>
          <w:i/>
          <w:color w:val="000000"/>
          <w:spacing w:val="-3"/>
          <w:sz w:val="26"/>
          <w:szCs w:val="26"/>
          <w:u w:color="000000"/>
        </w:rPr>
        <w:t>Duick</w:t>
      </w:r>
      <w:proofErr w:type="spellEnd"/>
      <w:r w:rsidRPr="004579A4">
        <w:rPr>
          <w:color w:val="000000"/>
          <w:spacing w:val="-3"/>
          <w:sz w:val="26"/>
          <w:szCs w:val="26"/>
          <w:u w:color="000000"/>
        </w:rPr>
        <w:t xml:space="preserve"> at 559.   </w:t>
      </w:r>
    </w:p>
    <w:p w14:paraId="2B51618C" w14:textId="77777777" w:rsidR="00B77F60" w:rsidRDefault="00B77F60" w:rsidP="002C31D4">
      <w:pPr>
        <w:widowControl/>
        <w:spacing w:line="360" w:lineRule="auto"/>
        <w:ind w:firstLine="1440"/>
        <w:rPr>
          <w:color w:val="000000"/>
          <w:spacing w:val="-3"/>
          <w:sz w:val="26"/>
          <w:szCs w:val="26"/>
          <w:u w:color="000000"/>
        </w:rPr>
      </w:pPr>
    </w:p>
    <w:p w14:paraId="6C17F6B6" w14:textId="77777777" w:rsidR="00B77F60" w:rsidRPr="00B77F60" w:rsidRDefault="00B77F60" w:rsidP="002C31D4">
      <w:pPr>
        <w:widowControl/>
        <w:tabs>
          <w:tab w:val="left" w:pos="-720"/>
        </w:tabs>
        <w:suppressAutoHyphens/>
        <w:spacing w:line="360" w:lineRule="auto"/>
        <w:ind w:firstLine="1440"/>
        <w:rPr>
          <w:sz w:val="26"/>
        </w:rPr>
      </w:pPr>
      <w:r w:rsidRPr="00B77F60">
        <w:rPr>
          <w:sz w:val="26"/>
        </w:rPr>
        <w:t xml:space="preserve">The ALJ made </w:t>
      </w:r>
      <w:r w:rsidR="00E0225B">
        <w:rPr>
          <w:sz w:val="26"/>
        </w:rPr>
        <w:t>twenty-one</w:t>
      </w:r>
      <w:r w:rsidRPr="00B77F60">
        <w:rPr>
          <w:sz w:val="26"/>
        </w:rPr>
        <w:t xml:space="preserve"> Findings of Fact and</w:t>
      </w:r>
      <w:r>
        <w:rPr>
          <w:sz w:val="26"/>
        </w:rPr>
        <w:t xml:space="preserve"> reached </w:t>
      </w:r>
      <w:r w:rsidR="00986860">
        <w:rPr>
          <w:sz w:val="26"/>
        </w:rPr>
        <w:t>five</w:t>
      </w:r>
      <w:r w:rsidRPr="00B77F60">
        <w:rPr>
          <w:sz w:val="26"/>
        </w:rPr>
        <w:t xml:space="preserve"> Conclusions of Law.</w:t>
      </w:r>
      <w:r>
        <w:rPr>
          <w:sz w:val="26"/>
        </w:rPr>
        <w:t xml:space="preserve">  I.D. at 2-4</w:t>
      </w:r>
      <w:r w:rsidRPr="00B77F60">
        <w:rPr>
          <w:sz w:val="26"/>
        </w:rPr>
        <w:t xml:space="preserve">, </w:t>
      </w:r>
      <w:r>
        <w:rPr>
          <w:sz w:val="26"/>
        </w:rPr>
        <w:t>6</w:t>
      </w:r>
      <w:r w:rsidRPr="00B77F60">
        <w:rPr>
          <w:sz w:val="26"/>
        </w:rPr>
        <w:t>.  We shall adopt and incorporate herein by reference the ALJ’s Findings of Fact and Conclusions of Law, unless they are reversed or modified by this Opinion and Order, either expressly or by necessary implication.</w:t>
      </w:r>
    </w:p>
    <w:p w14:paraId="6E60A448" w14:textId="77777777" w:rsidR="00006F35" w:rsidRDefault="00006F35" w:rsidP="002C31D4">
      <w:pPr>
        <w:widowControl/>
        <w:spacing w:line="360" w:lineRule="auto"/>
        <w:ind w:firstLine="1440"/>
        <w:rPr>
          <w:sz w:val="26"/>
          <w:szCs w:val="26"/>
        </w:rPr>
      </w:pPr>
    </w:p>
    <w:p w14:paraId="0C8B3FA4" w14:textId="77777777" w:rsidR="00006F35" w:rsidRDefault="00006F35" w:rsidP="008F35A0">
      <w:pPr>
        <w:keepNext/>
        <w:keepLines/>
        <w:widowControl/>
        <w:spacing w:line="360" w:lineRule="auto"/>
        <w:rPr>
          <w:b/>
          <w:sz w:val="26"/>
          <w:szCs w:val="26"/>
        </w:rPr>
      </w:pPr>
      <w:r>
        <w:rPr>
          <w:b/>
          <w:sz w:val="26"/>
          <w:szCs w:val="26"/>
        </w:rPr>
        <w:t xml:space="preserve">ALJ’s </w:t>
      </w:r>
      <w:r w:rsidR="00332C4B">
        <w:rPr>
          <w:b/>
          <w:sz w:val="26"/>
          <w:szCs w:val="26"/>
        </w:rPr>
        <w:t>Initial Decision</w:t>
      </w:r>
    </w:p>
    <w:p w14:paraId="55153631" w14:textId="77777777" w:rsidR="00006F35" w:rsidRDefault="00006F35" w:rsidP="008F35A0">
      <w:pPr>
        <w:keepNext/>
        <w:keepLines/>
        <w:widowControl/>
        <w:spacing w:line="360" w:lineRule="auto"/>
        <w:ind w:firstLine="1440"/>
        <w:rPr>
          <w:b/>
          <w:sz w:val="26"/>
          <w:szCs w:val="26"/>
        </w:rPr>
      </w:pPr>
    </w:p>
    <w:p w14:paraId="29CCD7CF" w14:textId="66B35D1D" w:rsidR="00424121" w:rsidRDefault="00424121" w:rsidP="002C31D4">
      <w:pPr>
        <w:widowControl/>
        <w:spacing w:line="360" w:lineRule="auto"/>
        <w:ind w:firstLine="1440"/>
        <w:rPr>
          <w:sz w:val="26"/>
          <w:szCs w:val="26"/>
        </w:rPr>
      </w:pPr>
      <w:r w:rsidRPr="007E68BE">
        <w:rPr>
          <w:sz w:val="26"/>
          <w:szCs w:val="26"/>
        </w:rPr>
        <w:t xml:space="preserve">In </w:t>
      </w:r>
      <w:r>
        <w:rPr>
          <w:sz w:val="26"/>
          <w:szCs w:val="26"/>
        </w:rPr>
        <w:t>her</w:t>
      </w:r>
      <w:r w:rsidRPr="007E68BE">
        <w:rPr>
          <w:sz w:val="26"/>
          <w:szCs w:val="26"/>
        </w:rPr>
        <w:t xml:space="preserve"> Initial Decision, the ALJ</w:t>
      </w:r>
      <w:r>
        <w:rPr>
          <w:sz w:val="26"/>
          <w:szCs w:val="26"/>
        </w:rPr>
        <w:t xml:space="preserve"> noted that </w:t>
      </w:r>
      <w:r w:rsidR="00E83928">
        <w:rPr>
          <w:sz w:val="26"/>
          <w:szCs w:val="26"/>
        </w:rPr>
        <w:t>PGW’s</w:t>
      </w:r>
      <w:r>
        <w:rPr>
          <w:sz w:val="26"/>
          <w:szCs w:val="26"/>
        </w:rPr>
        <w:t xml:space="preserve"> counsel moved to dismiss the Complaint due to the </w:t>
      </w:r>
      <w:r w:rsidR="00986860">
        <w:rPr>
          <w:sz w:val="26"/>
          <w:szCs w:val="26"/>
        </w:rPr>
        <w:t>Petitioner</w:t>
      </w:r>
      <w:r>
        <w:rPr>
          <w:sz w:val="26"/>
          <w:szCs w:val="26"/>
        </w:rPr>
        <w:t xml:space="preserve">’s failure to prosecute.  The ALJ granted </w:t>
      </w:r>
      <w:r w:rsidR="00E83928">
        <w:rPr>
          <w:sz w:val="26"/>
          <w:szCs w:val="26"/>
        </w:rPr>
        <w:t>PGW</w:t>
      </w:r>
      <w:r>
        <w:rPr>
          <w:sz w:val="26"/>
          <w:szCs w:val="26"/>
        </w:rPr>
        <w:t xml:space="preserve">’s motion, </w:t>
      </w:r>
      <w:r w:rsidR="00305D56">
        <w:rPr>
          <w:sz w:val="26"/>
          <w:szCs w:val="26"/>
        </w:rPr>
        <w:t xml:space="preserve">reasoning </w:t>
      </w:r>
      <w:r>
        <w:rPr>
          <w:sz w:val="26"/>
          <w:szCs w:val="26"/>
        </w:rPr>
        <w:t xml:space="preserve">that by failing to appear at the hearing, </w:t>
      </w:r>
      <w:r w:rsidR="00E83928">
        <w:rPr>
          <w:sz w:val="26"/>
          <w:szCs w:val="26"/>
        </w:rPr>
        <w:t xml:space="preserve">Ms. Mitchell </w:t>
      </w:r>
      <w:r>
        <w:rPr>
          <w:sz w:val="26"/>
          <w:szCs w:val="26"/>
        </w:rPr>
        <w:t xml:space="preserve">waived </w:t>
      </w:r>
      <w:r w:rsidR="00E83928">
        <w:rPr>
          <w:sz w:val="26"/>
          <w:szCs w:val="26"/>
        </w:rPr>
        <w:t>her</w:t>
      </w:r>
      <w:r>
        <w:rPr>
          <w:sz w:val="26"/>
          <w:szCs w:val="26"/>
        </w:rPr>
        <w:t xml:space="preserve"> opportunity to participate and</w:t>
      </w:r>
      <w:r w:rsidR="006A07F0">
        <w:rPr>
          <w:sz w:val="26"/>
          <w:szCs w:val="26"/>
        </w:rPr>
        <w:t>,</w:t>
      </w:r>
      <w:r>
        <w:rPr>
          <w:sz w:val="26"/>
          <w:szCs w:val="26"/>
        </w:rPr>
        <w:t xml:space="preserve"> accordingly, failed to carry the burden of proof in this matter.  I.D. at </w:t>
      </w:r>
      <w:r w:rsidR="00986860">
        <w:rPr>
          <w:sz w:val="26"/>
          <w:szCs w:val="26"/>
        </w:rPr>
        <w:t>2, 5</w:t>
      </w:r>
      <w:r>
        <w:rPr>
          <w:sz w:val="26"/>
          <w:szCs w:val="26"/>
        </w:rPr>
        <w:t>.</w:t>
      </w:r>
    </w:p>
    <w:p w14:paraId="327FEA28" w14:textId="72ED47B1" w:rsidR="00B77F60" w:rsidRDefault="00B77F60" w:rsidP="002C31D4">
      <w:pPr>
        <w:widowControl/>
        <w:spacing w:line="360" w:lineRule="auto"/>
        <w:ind w:firstLine="1440"/>
        <w:rPr>
          <w:sz w:val="26"/>
          <w:szCs w:val="26"/>
        </w:rPr>
      </w:pPr>
    </w:p>
    <w:p w14:paraId="7046BEB8" w14:textId="77777777" w:rsidR="00006F35" w:rsidRPr="00006F35" w:rsidRDefault="00006F35" w:rsidP="008F35A0">
      <w:pPr>
        <w:keepNext/>
        <w:keepLines/>
        <w:widowControl/>
        <w:spacing w:line="360" w:lineRule="auto"/>
        <w:rPr>
          <w:b/>
          <w:sz w:val="26"/>
          <w:szCs w:val="26"/>
        </w:rPr>
      </w:pPr>
      <w:r>
        <w:rPr>
          <w:b/>
          <w:sz w:val="26"/>
          <w:szCs w:val="26"/>
        </w:rPr>
        <w:t>Positions of the Parties</w:t>
      </w:r>
    </w:p>
    <w:p w14:paraId="650F8FE7" w14:textId="77777777" w:rsidR="00C30F64" w:rsidRDefault="00C30F64" w:rsidP="008F35A0">
      <w:pPr>
        <w:keepNext/>
        <w:keepLines/>
        <w:widowControl/>
        <w:spacing w:line="360" w:lineRule="auto"/>
        <w:rPr>
          <w:sz w:val="26"/>
          <w:szCs w:val="26"/>
        </w:rPr>
      </w:pPr>
    </w:p>
    <w:p w14:paraId="211082E3" w14:textId="4C5369FC" w:rsidR="00D85630" w:rsidRDefault="00C16257" w:rsidP="002C31D4">
      <w:pPr>
        <w:widowControl/>
        <w:spacing w:line="360" w:lineRule="auto"/>
        <w:rPr>
          <w:sz w:val="26"/>
          <w:szCs w:val="26"/>
        </w:rPr>
      </w:pPr>
      <w:r>
        <w:rPr>
          <w:sz w:val="26"/>
          <w:szCs w:val="26"/>
        </w:rPr>
        <w:tab/>
      </w:r>
      <w:r>
        <w:rPr>
          <w:sz w:val="26"/>
          <w:szCs w:val="26"/>
        </w:rPr>
        <w:tab/>
      </w:r>
      <w:r w:rsidR="00B163C5">
        <w:rPr>
          <w:sz w:val="26"/>
          <w:szCs w:val="26"/>
        </w:rPr>
        <w:t xml:space="preserve">Initially, the </w:t>
      </w:r>
      <w:r w:rsidR="00E4225B">
        <w:rPr>
          <w:sz w:val="26"/>
          <w:szCs w:val="26"/>
        </w:rPr>
        <w:t>Petitioner</w:t>
      </w:r>
      <w:r w:rsidR="00A846BD">
        <w:rPr>
          <w:rStyle w:val="FootnoteReference"/>
          <w:sz w:val="26"/>
          <w:szCs w:val="26"/>
        </w:rPr>
        <w:footnoteReference w:id="7"/>
      </w:r>
      <w:r w:rsidR="00E4225B">
        <w:rPr>
          <w:sz w:val="26"/>
          <w:szCs w:val="26"/>
        </w:rPr>
        <w:t xml:space="preserve"> </w:t>
      </w:r>
      <w:r w:rsidR="00A846BD">
        <w:rPr>
          <w:sz w:val="26"/>
          <w:szCs w:val="26"/>
        </w:rPr>
        <w:t xml:space="preserve">asserts that </w:t>
      </w:r>
      <w:r w:rsidR="008C4BB5">
        <w:rPr>
          <w:sz w:val="26"/>
          <w:szCs w:val="26"/>
        </w:rPr>
        <w:t xml:space="preserve">it was </w:t>
      </w:r>
      <w:r w:rsidR="008D3419">
        <w:rPr>
          <w:sz w:val="26"/>
          <w:szCs w:val="26"/>
        </w:rPr>
        <w:t>improper</w:t>
      </w:r>
      <w:r w:rsidR="008C4BB5">
        <w:rPr>
          <w:sz w:val="26"/>
          <w:szCs w:val="26"/>
        </w:rPr>
        <w:t xml:space="preserve"> for the Commission to send</w:t>
      </w:r>
      <w:r w:rsidR="008D3419">
        <w:rPr>
          <w:sz w:val="26"/>
          <w:szCs w:val="26"/>
        </w:rPr>
        <w:t xml:space="preserve"> the Initial Decision by certified mail to Ms. Mitchell, who has been described to the Commission on numerous occasions “as an invalid who has no ability to hear or respond </w:t>
      </w:r>
      <w:r w:rsidR="008D3419">
        <w:rPr>
          <w:sz w:val="26"/>
          <w:szCs w:val="26"/>
        </w:rPr>
        <w:lastRenderedPageBreak/>
        <w:t>to a knock at the door by a postal worker.”  Petition at 1.  The Petitioner adds that it would have been impossible for an invalid who is both visually and hearing</w:t>
      </w:r>
      <w:r w:rsidR="0032574D">
        <w:rPr>
          <w:sz w:val="26"/>
          <w:szCs w:val="26"/>
        </w:rPr>
        <w:t>-</w:t>
      </w:r>
      <w:r w:rsidR="008D3419">
        <w:rPr>
          <w:sz w:val="26"/>
          <w:szCs w:val="26"/>
        </w:rPr>
        <w:t xml:space="preserve">impaired to respond to the delivery of a postal notice in a timely fashion.  </w:t>
      </w:r>
      <w:r w:rsidR="008D3419" w:rsidRPr="008D3419">
        <w:rPr>
          <w:i/>
          <w:sz w:val="26"/>
          <w:szCs w:val="26"/>
        </w:rPr>
        <w:t>Id.</w:t>
      </w:r>
      <w:r w:rsidR="008D3419">
        <w:rPr>
          <w:sz w:val="26"/>
          <w:szCs w:val="26"/>
        </w:rPr>
        <w:t xml:space="preserve"> at 1-2.</w:t>
      </w:r>
    </w:p>
    <w:p w14:paraId="1179FC82" w14:textId="77777777" w:rsidR="008D3419" w:rsidRDefault="008D3419" w:rsidP="002C31D4">
      <w:pPr>
        <w:widowControl/>
        <w:spacing w:line="360" w:lineRule="auto"/>
        <w:rPr>
          <w:sz w:val="26"/>
          <w:szCs w:val="26"/>
        </w:rPr>
      </w:pPr>
    </w:p>
    <w:p w14:paraId="0FD8C9FE" w14:textId="77777777" w:rsidR="00FD6B1D" w:rsidRDefault="008D3419" w:rsidP="002C31D4">
      <w:pPr>
        <w:widowControl/>
        <w:spacing w:line="360" w:lineRule="auto"/>
        <w:rPr>
          <w:sz w:val="26"/>
          <w:szCs w:val="26"/>
        </w:rPr>
      </w:pPr>
      <w:r>
        <w:rPr>
          <w:sz w:val="26"/>
          <w:szCs w:val="26"/>
        </w:rPr>
        <w:tab/>
      </w:r>
      <w:r>
        <w:rPr>
          <w:sz w:val="26"/>
          <w:szCs w:val="26"/>
        </w:rPr>
        <w:tab/>
        <w:t xml:space="preserve">Regarding the Initial Decision itself, the Petitioner objects to the finding that Ms. Mitchell failed to notify the Commission that she would not attend the hearing.  The Petitioner asserts that </w:t>
      </w:r>
      <w:r w:rsidR="00AC12C3">
        <w:rPr>
          <w:sz w:val="26"/>
          <w:szCs w:val="26"/>
        </w:rPr>
        <w:t xml:space="preserve">she sent two letters </w:t>
      </w:r>
      <w:r w:rsidR="006E20D9">
        <w:rPr>
          <w:sz w:val="26"/>
          <w:szCs w:val="26"/>
        </w:rPr>
        <w:t xml:space="preserve">pertaining to hearing </w:t>
      </w:r>
      <w:r w:rsidR="00AC12C3">
        <w:rPr>
          <w:sz w:val="26"/>
          <w:szCs w:val="26"/>
        </w:rPr>
        <w:t>continuances</w:t>
      </w:r>
      <w:r w:rsidR="006E20D9">
        <w:rPr>
          <w:sz w:val="26"/>
          <w:szCs w:val="26"/>
        </w:rPr>
        <w:t>.  “</w:t>
      </w:r>
      <w:r w:rsidR="002F6E83">
        <w:rPr>
          <w:sz w:val="26"/>
          <w:szCs w:val="26"/>
        </w:rPr>
        <w:t>B</w:t>
      </w:r>
      <w:r w:rsidR="006E20D9">
        <w:rPr>
          <w:sz w:val="26"/>
          <w:szCs w:val="26"/>
        </w:rPr>
        <w:t xml:space="preserve">oth letters clearly stated the health issues that would make either an in-person or phone hearing impossible.”  Petition at 3.  </w:t>
      </w:r>
    </w:p>
    <w:p w14:paraId="0AC9C2AF" w14:textId="77777777" w:rsidR="002F6E83" w:rsidRDefault="002F6E83" w:rsidP="002C31D4">
      <w:pPr>
        <w:widowControl/>
        <w:spacing w:line="360" w:lineRule="auto"/>
        <w:rPr>
          <w:sz w:val="26"/>
          <w:szCs w:val="26"/>
        </w:rPr>
      </w:pPr>
    </w:p>
    <w:p w14:paraId="793E69E5" w14:textId="349A75C9" w:rsidR="002F6E83" w:rsidRDefault="002F6E83" w:rsidP="002C31D4">
      <w:pPr>
        <w:widowControl/>
        <w:spacing w:line="360" w:lineRule="auto"/>
        <w:rPr>
          <w:sz w:val="26"/>
          <w:szCs w:val="26"/>
        </w:rPr>
      </w:pPr>
      <w:r>
        <w:rPr>
          <w:sz w:val="26"/>
          <w:szCs w:val="26"/>
        </w:rPr>
        <w:tab/>
      </w:r>
      <w:r>
        <w:rPr>
          <w:sz w:val="26"/>
          <w:szCs w:val="26"/>
        </w:rPr>
        <w:tab/>
        <w:t>Next the Petitioner contends that an attorney contacted PGW to discuss and possibly rectify the issues in the proceeding.  The Petitioner alleges that the attorney was treated in a brusque and rude manner.  According to the Petitioner, the issues to be addressed are simple: the validity and correctness of the amount transferred to Ms.</w:t>
      </w:r>
      <w:r w:rsidR="008F1563">
        <w:rPr>
          <w:sz w:val="26"/>
          <w:szCs w:val="26"/>
        </w:rPr>
        <w:t> </w:t>
      </w:r>
      <w:r>
        <w:rPr>
          <w:sz w:val="26"/>
          <w:szCs w:val="26"/>
        </w:rPr>
        <w:t xml:space="preserve">Mitchell’s account; the source of this debt; and whether </w:t>
      </w:r>
      <w:r w:rsidR="004D10D3">
        <w:rPr>
          <w:sz w:val="26"/>
          <w:szCs w:val="26"/>
        </w:rPr>
        <w:t xml:space="preserve">a </w:t>
      </w:r>
      <w:r w:rsidR="00A47CB0">
        <w:rPr>
          <w:sz w:val="26"/>
          <w:szCs w:val="26"/>
        </w:rPr>
        <w:t xml:space="preserve">reasonable payment plan can be determined.  </w:t>
      </w:r>
      <w:r w:rsidR="007B0FD9">
        <w:rPr>
          <w:sz w:val="26"/>
          <w:szCs w:val="26"/>
        </w:rPr>
        <w:t xml:space="preserve">The Petitioner believes these issues can be resolved without a hearing but that PGW’s combative and defensive approach is preventing the issues from being resolved.  </w:t>
      </w:r>
      <w:r w:rsidR="007B0FD9" w:rsidRPr="007B0FD9">
        <w:rPr>
          <w:i/>
          <w:sz w:val="26"/>
          <w:szCs w:val="26"/>
        </w:rPr>
        <w:t>Id.</w:t>
      </w:r>
      <w:r w:rsidR="007B0FD9">
        <w:rPr>
          <w:sz w:val="26"/>
          <w:szCs w:val="26"/>
        </w:rPr>
        <w:t xml:space="preserve"> at 4-5.</w:t>
      </w:r>
    </w:p>
    <w:p w14:paraId="6A716A7A" w14:textId="77777777" w:rsidR="006E20D9" w:rsidRDefault="006E20D9" w:rsidP="002C31D4">
      <w:pPr>
        <w:widowControl/>
        <w:spacing w:line="360" w:lineRule="auto"/>
        <w:rPr>
          <w:sz w:val="26"/>
          <w:szCs w:val="26"/>
        </w:rPr>
      </w:pPr>
    </w:p>
    <w:p w14:paraId="1C0EC6EE" w14:textId="1074243C" w:rsidR="005B420C" w:rsidRDefault="00FD6B1D" w:rsidP="002C31D4">
      <w:pPr>
        <w:widowControl/>
        <w:spacing w:line="360" w:lineRule="auto"/>
        <w:rPr>
          <w:sz w:val="26"/>
          <w:szCs w:val="26"/>
        </w:rPr>
      </w:pPr>
      <w:r>
        <w:rPr>
          <w:sz w:val="26"/>
          <w:szCs w:val="26"/>
        </w:rPr>
        <w:tab/>
      </w:r>
      <w:r>
        <w:rPr>
          <w:sz w:val="26"/>
          <w:szCs w:val="26"/>
        </w:rPr>
        <w:tab/>
      </w:r>
      <w:r w:rsidR="000C6DD4">
        <w:rPr>
          <w:sz w:val="26"/>
          <w:szCs w:val="26"/>
        </w:rPr>
        <w:t>In its Answer</w:t>
      </w:r>
      <w:r w:rsidR="00C525D4">
        <w:rPr>
          <w:sz w:val="26"/>
          <w:szCs w:val="26"/>
        </w:rPr>
        <w:t xml:space="preserve"> to the Petition, </w:t>
      </w:r>
      <w:r w:rsidR="00D850FB">
        <w:rPr>
          <w:sz w:val="26"/>
          <w:szCs w:val="26"/>
        </w:rPr>
        <w:t xml:space="preserve">PGW argues that Ms. Mitchell failed to participate in the hearing and is </w:t>
      </w:r>
      <w:r w:rsidR="00E64B63">
        <w:rPr>
          <w:sz w:val="26"/>
          <w:szCs w:val="26"/>
        </w:rPr>
        <w:t xml:space="preserve">now </w:t>
      </w:r>
      <w:r w:rsidR="00D850FB">
        <w:rPr>
          <w:sz w:val="26"/>
          <w:szCs w:val="26"/>
        </w:rPr>
        <w:t xml:space="preserve">improperly </w:t>
      </w:r>
      <w:r w:rsidR="00411ABC">
        <w:rPr>
          <w:sz w:val="26"/>
          <w:szCs w:val="26"/>
        </w:rPr>
        <w:t xml:space="preserve">attempting to assert </w:t>
      </w:r>
      <w:r w:rsidR="00D850FB">
        <w:rPr>
          <w:sz w:val="26"/>
          <w:szCs w:val="26"/>
        </w:rPr>
        <w:t xml:space="preserve">arguments on the merits.  </w:t>
      </w:r>
      <w:r w:rsidR="006A07F0">
        <w:rPr>
          <w:sz w:val="26"/>
          <w:szCs w:val="26"/>
        </w:rPr>
        <w:t>PGW</w:t>
      </w:r>
      <w:r w:rsidR="00D850FB">
        <w:rPr>
          <w:sz w:val="26"/>
          <w:szCs w:val="26"/>
        </w:rPr>
        <w:t xml:space="preserve"> </w:t>
      </w:r>
      <w:r w:rsidR="00411ABC">
        <w:rPr>
          <w:sz w:val="26"/>
          <w:szCs w:val="26"/>
        </w:rPr>
        <w:t xml:space="preserve">states </w:t>
      </w:r>
      <w:r w:rsidR="00D850FB">
        <w:rPr>
          <w:sz w:val="26"/>
          <w:szCs w:val="26"/>
        </w:rPr>
        <w:t xml:space="preserve">that after the continuance request, the Commission issued a hearing notice rescheduling the evidentiary hearing for December 8, 2016.  PGW posits that the Commission issued </w:t>
      </w:r>
      <w:r w:rsidR="00997F3B">
        <w:rPr>
          <w:sz w:val="26"/>
          <w:szCs w:val="26"/>
        </w:rPr>
        <w:t>notices to</w:t>
      </w:r>
      <w:r w:rsidR="00D850FB">
        <w:rPr>
          <w:sz w:val="26"/>
          <w:szCs w:val="26"/>
        </w:rPr>
        <w:t xml:space="preserve"> Ms. Mitchell</w:t>
      </w:r>
      <w:r w:rsidR="00997F3B">
        <w:rPr>
          <w:sz w:val="26"/>
          <w:szCs w:val="26"/>
        </w:rPr>
        <w:t xml:space="preserve"> at her</w:t>
      </w:r>
      <w:r w:rsidR="00D850FB">
        <w:rPr>
          <w:sz w:val="26"/>
          <w:szCs w:val="26"/>
        </w:rPr>
        <w:t xml:space="preserve"> last known address </w:t>
      </w:r>
      <w:r w:rsidR="00997F3B">
        <w:rPr>
          <w:sz w:val="26"/>
          <w:szCs w:val="26"/>
        </w:rPr>
        <w:t xml:space="preserve">which were not returned and </w:t>
      </w:r>
      <w:r w:rsidR="008F1563">
        <w:rPr>
          <w:sz w:val="26"/>
          <w:szCs w:val="26"/>
        </w:rPr>
        <w:t xml:space="preserve">therefore </w:t>
      </w:r>
      <w:r w:rsidR="00997F3B">
        <w:rPr>
          <w:sz w:val="26"/>
          <w:szCs w:val="26"/>
        </w:rPr>
        <w:t>were deemed to have been received by the Petitioner.  Answer to Petition at 1.</w:t>
      </w:r>
    </w:p>
    <w:p w14:paraId="7DF24E8E" w14:textId="77777777" w:rsidR="001F1BAE" w:rsidRDefault="001F1BAE" w:rsidP="002C31D4">
      <w:pPr>
        <w:widowControl/>
        <w:spacing w:line="360" w:lineRule="auto"/>
        <w:rPr>
          <w:sz w:val="26"/>
          <w:szCs w:val="26"/>
        </w:rPr>
      </w:pPr>
    </w:p>
    <w:p w14:paraId="53BCA355" w14:textId="73F1E656" w:rsidR="00997F3B" w:rsidRDefault="00997F3B" w:rsidP="002C31D4">
      <w:pPr>
        <w:widowControl/>
        <w:spacing w:line="360" w:lineRule="auto"/>
        <w:rPr>
          <w:sz w:val="26"/>
          <w:szCs w:val="26"/>
        </w:rPr>
      </w:pPr>
      <w:r>
        <w:rPr>
          <w:sz w:val="26"/>
          <w:szCs w:val="26"/>
        </w:rPr>
        <w:tab/>
      </w:r>
      <w:r>
        <w:rPr>
          <w:sz w:val="26"/>
          <w:szCs w:val="26"/>
        </w:rPr>
        <w:tab/>
        <w:t xml:space="preserve">PGW highlights that Ms. Mitchell in her Complaint purported to be represented by counsel, Louis S. Schwartz, Esq.  </w:t>
      </w:r>
      <w:r w:rsidR="006A07F0">
        <w:rPr>
          <w:sz w:val="26"/>
          <w:szCs w:val="26"/>
        </w:rPr>
        <w:t>PGW</w:t>
      </w:r>
      <w:r>
        <w:rPr>
          <w:sz w:val="26"/>
          <w:szCs w:val="26"/>
        </w:rPr>
        <w:t xml:space="preserve"> contends that in subsequent </w:t>
      </w:r>
      <w:r>
        <w:rPr>
          <w:sz w:val="26"/>
          <w:szCs w:val="26"/>
        </w:rPr>
        <w:lastRenderedPageBreak/>
        <w:t>conversations and correspondence between PGW, Mr. Schwartz</w:t>
      </w:r>
      <w:r w:rsidR="008F1563">
        <w:rPr>
          <w:sz w:val="26"/>
          <w:szCs w:val="26"/>
        </w:rPr>
        <w:t>,</w:t>
      </w:r>
      <w:r>
        <w:rPr>
          <w:sz w:val="26"/>
          <w:szCs w:val="26"/>
        </w:rPr>
        <w:t xml:space="preserve"> and the Commission, Mr. Schwartz clarified that he does not represent Ms. Mitchell in this proceeding.</w:t>
      </w:r>
      <w:r w:rsidR="00411ABC">
        <w:rPr>
          <w:rStyle w:val="FootnoteReference"/>
          <w:sz w:val="26"/>
          <w:szCs w:val="26"/>
        </w:rPr>
        <w:footnoteReference w:id="8"/>
      </w:r>
      <w:r>
        <w:rPr>
          <w:sz w:val="26"/>
          <w:szCs w:val="26"/>
        </w:rPr>
        <w:t xml:space="preserve">  </w:t>
      </w:r>
      <w:r w:rsidR="008F1563">
        <w:rPr>
          <w:sz w:val="26"/>
          <w:szCs w:val="26"/>
        </w:rPr>
        <w:t>However, a</w:t>
      </w:r>
      <w:r>
        <w:rPr>
          <w:sz w:val="26"/>
          <w:szCs w:val="26"/>
        </w:rPr>
        <w:t>ccording to PGW, Mr. Schwartz contacted PGW on or about March 3, 2017, to facilitate a conference call to explain the status of Ms. Mitchell’s account</w:t>
      </w:r>
      <w:r w:rsidR="00EC0776">
        <w:rPr>
          <w:sz w:val="26"/>
          <w:szCs w:val="26"/>
        </w:rPr>
        <w:t xml:space="preserve">.  PGW alleges that Mr. Schwartz reiterated that he did not represent the Petitioner but only wanted to facilitate a conversation.  PGW denied treating Mr. Schwartz in a rude fashion and informed him of the matter.  </w:t>
      </w:r>
      <w:r w:rsidRPr="00EC0776">
        <w:rPr>
          <w:i/>
          <w:sz w:val="26"/>
          <w:szCs w:val="26"/>
        </w:rPr>
        <w:t>Id.</w:t>
      </w:r>
      <w:r>
        <w:rPr>
          <w:sz w:val="26"/>
          <w:szCs w:val="26"/>
        </w:rPr>
        <w:t xml:space="preserve"> at 2.</w:t>
      </w:r>
    </w:p>
    <w:p w14:paraId="06D2D690" w14:textId="77777777" w:rsidR="00EC0776" w:rsidRDefault="00EC0776" w:rsidP="002C31D4">
      <w:pPr>
        <w:widowControl/>
        <w:spacing w:line="360" w:lineRule="auto"/>
        <w:rPr>
          <w:sz w:val="26"/>
          <w:szCs w:val="26"/>
        </w:rPr>
      </w:pPr>
    </w:p>
    <w:p w14:paraId="617E0E41" w14:textId="004DA7EC" w:rsidR="00EC0776" w:rsidRDefault="00EC0776" w:rsidP="002C31D4">
      <w:pPr>
        <w:widowControl/>
        <w:spacing w:line="360" w:lineRule="auto"/>
        <w:rPr>
          <w:sz w:val="26"/>
          <w:szCs w:val="26"/>
        </w:rPr>
      </w:pPr>
      <w:r>
        <w:rPr>
          <w:sz w:val="26"/>
          <w:szCs w:val="26"/>
        </w:rPr>
        <w:tab/>
      </w:r>
      <w:r>
        <w:rPr>
          <w:sz w:val="26"/>
          <w:szCs w:val="26"/>
        </w:rPr>
        <w:tab/>
        <w:t xml:space="preserve">PGW argues that the Petition should be denied because it does not meet the criteria for reconsideration or reversal of the Initial Decision.  Additionally, </w:t>
      </w:r>
      <w:r w:rsidR="006A07F0">
        <w:rPr>
          <w:sz w:val="26"/>
          <w:szCs w:val="26"/>
        </w:rPr>
        <w:t>PGW</w:t>
      </w:r>
      <w:r>
        <w:rPr>
          <w:sz w:val="26"/>
          <w:szCs w:val="26"/>
        </w:rPr>
        <w:t xml:space="preserve"> submits that Ms. Mitchell failed to show an</w:t>
      </w:r>
      <w:r w:rsidR="00C13797">
        <w:rPr>
          <w:sz w:val="26"/>
          <w:szCs w:val="26"/>
        </w:rPr>
        <w:t>y</w:t>
      </w:r>
      <w:r>
        <w:rPr>
          <w:sz w:val="26"/>
          <w:szCs w:val="26"/>
        </w:rPr>
        <w:t xml:space="preserve"> error of fact or law in the Initial Decision and that the Petitioner merely seeks to delay final disposition of this proceeding.  </w:t>
      </w:r>
      <w:r w:rsidRPr="00EC0776">
        <w:rPr>
          <w:i/>
          <w:sz w:val="26"/>
          <w:szCs w:val="26"/>
        </w:rPr>
        <w:t>Id.</w:t>
      </w:r>
    </w:p>
    <w:p w14:paraId="3BF5B971" w14:textId="2BC742CF" w:rsidR="003A0BDB" w:rsidRDefault="003A0BDB" w:rsidP="002C31D4">
      <w:pPr>
        <w:widowControl/>
        <w:spacing w:line="360" w:lineRule="auto"/>
        <w:rPr>
          <w:sz w:val="26"/>
          <w:szCs w:val="26"/>
        </w:rPr>
      </w:pPr>
    </w:p>
    <w:p w14:paraId="5CD7F81E" w14:textId="1EAC62D0" w:rsidR="00A26D3E" w:rsidRDefault="003A0BDB" w:rsidP="002C31D4">
      <w:pPr>
        <w:widowControl/>
        <w:spacing w:line="360" w:lineRule="auto"/>
        <w:rPr>
          <w:b/>
          <w:sz w:val="26"/>
          <w:szCs w:val="26"/>
        </w:rPr>
      </w:pPr>
      <w:r>
        <w:rPr>
          <w:b/>
          <w:sz w:val="26"/>
          <w:szCs w:val="26"/>
        </w:rPr>
        <w:t>D</w:t>
      </w:r>
      <w:r w:rsidR="00006F35" w:rsidRPr="00006F35">
        <w:rPr>
          <w:b/>
          <w:sz w:val="26"/>
          <w:szCs w:val="26"/>
        </w:rPr>
        <w:t>isposition</w:t>
      </w:r>
    </w:p>
    <w:p w14:paraId="64568F75" w14:textId="649279C5" w:rsidR="00474B0B" w:rsidRDefault="00474B0B" w:rsidP="002C31D4">
      <w:pPr>
        <w:widowControl/>
        <w:spacing w:line="360" w:lineRule="auto"/>
        <w:ind w:firstLine="1440"/>
        <w:rPr>
          <w:sz w:val="26"/>
          <w:szCs w:val="26"/>
        </w:rPr>
      </w:pPr>
    </w:p>
    <w:p w14:paraId="67CA5F4E" w14:textId="3C460931" w:rsidR="00474B0B" w:rsidRPr="00613C53" w:rsidRDefault="00474B0B" w:rsidP="002C31D4">
      <w:pPr>
        <w:widowControl/>
        <w:spacing w:line="360" w:lineRule="auto"/>
        <w:ind w:firstLine="1440"/>
        <w:rPr>
          <w:sz w:val="26"/>
          <w:szCs w:val="26"/>
        </w:rPr>
      </w:pPr>
      <w:r w:rsidRPr="00613C53">
        <w:rPr>
          <w:sz w:val="26"/>
          <w:szCs w:val="26"/>
        </w:rPr>
        <w:t xml:space="preserve">Based on our review of the record, we shall </w:t>
      </w:r>
      <w:r w:rsidR="00C13FE5">
        <w:rPr>
          <w:sz w:val="26"/>
          <w:szCs w:val="26"/>
        </w:rPr>
        <w:t xml:space="preserve">exercise our discretion to </w:t>
      </w:r>
      <w:r w:rsidRPr="00613C53">
        <w:rPr>
          <w:sz w:val="26"/>
          <w:szCs w:val="26"/>
        </w:rPr>
        <w:t>grant</w:t>
      </w:r>
      <w:r w:rsidR="001F1BAE">
        <w:rPr>
          <w:sz w:val="26"/>
          <w:szCs w:val="26"/>
        </w:rPr>
        <w:t xml:space="preserve"> the Petition</w:t>
      </w:r>
      <w:r w:rsidRPr="00613C53">
        <w:rPr>
          <w:sz w:val="26"/>
          <w:szCs w:val="26"/>
        </w:rPr>
        <w:t xml:space="preserve"> and modify the ALJ’s Initial Decision.  </w:t>
      </w:r>
      <w:r>
        <w:rPr>
          <w:sz w:val="26"/>
          <w:szCs w:val="26"/>
        </w:rPr>
        <w:t>We have previously stated that “</w:t>
      </w:r>
      <w:r w:rsidRPr="00613C53">
        <w:rPr>
          <w:sz w:val="26"/>
          <w:szCs w:val="26"/>
        </w:rPr>
        <w:t xml:space="preserve">the public interest is better served when all litigants, particularly </w:t>
      </w:r>
      <w:r w:rsidRPr="00613C53">
        <w:rPr>
          <w:i/>
          <w:sz w:val="26"/>
          <w:szCs w:val="26"/>
        </w:rPr>
        <w:t xml:space="preserve">pro se </w:t>
      </w:r>
      <w:r w:rsidRPr="00613C53">
        <w:rPr>
          <w:sz w:val="26"/>
          <w:szCs w:val="26"/>
        </w:rPr>
        <w:t>litigants, are afforded a meaningful opportunity to be heard.</w:t>
      </w:r>
      <w:r>
        <w:rPr>
          <w:sz w:val="26"/>
          <w:szCs w:val="26"/>
        </w:rPr>
        <w:t>”</w:t>
      </w:r>
      <w:r w:rsidRPr="00613C53">
        <w:rPr>
          <w:sz w:val="26"/>
          <w:szCs w:val="26"/>
        </w:rPr>
        <w:t xml:space="preserve">  </w:t>
      </w:r>
      <w:r w:rsidRPr="00613C53">
        <w:rPr>
          <w:i/>
          <w:sz w:val="26"/>
          <w:szCs w:val="26"/>
        </w:rPr>
        <w:t xml:space="preserve">See Miro </w:t>
      </w:r>
      <w:proofErr w:type="spellStart"/>
      <w:r w:rsidRPr="00613C53">
        <w:rPr>
          <w:i/>
          <w:sz w:val="26"/>
          <w:szCs w:val="26"/>
        </w:rPr>
        <w:t>Kamenik</w:t>
      </w:r>
      <w:proofErr w:type="spellEnd"/>
      <w:r w:rsidRPr="00613C53">
        <w:rPr>
          <w:i/>
          <w:sz w:val="26"/>
          <w:szCs w:val="26"/>
        </w:rPr>
        <w:t xml:space="preserve"> v. PECO Energy Company</w:t>
      </w:r>
      <w:r>
        <w:rPr>
          <w:sz w:val="26"/>
          <w:szCs w:val="26"/>
        </w:rPr>
        <w:t xml:space="preserve">, Docket No. C-2013-2379058 (Order entered July 29, 2015), at 6.  Based on the </w:t>
      </w:r>
      <w:r w:rsidR="001F1BAE">
        <w:rPr>
          <w:sz w:val="26"/>
          <w:szCs w:val="26"/>
        </w:rPr>
        <w:t>Petitioner</w:t>
      </w:r>
      <w:r>
        <w:rPr>
          <w:sz w:val="26"/>
          <w:szCs w:val="26"/>
        </w:rPr>
        <w:t xml:space="preserve">’s averments </w:t>
      </w:r>
      <w:r w:rsidR="001F1BAE">
        <w:rPr>
          <w:sz w:val="26"/>
          <w:szCs w:val="26"/>
        </w:rPr>
        <w:t xml:space="preserve">and the December 2016 Letter, </w:t>
      </w:r>
      <w:r>
        <w:rPr>
          <w:sz w:val="26"/>
          <w:szCs w:val="26"/>
        </w:rPr>
        <w:t xml:space="preserve">it appears that </w:t>
      </w:r>
      <w:r w:rsidR="001F1BAE">
        <w:rPr>
          <w:sz w:val="26"/>
          <w:szCs w:val="26"/>
        </w:rPr>
        <w:t>Ms. Mitchell atte</w:t>
      </w:r>
      <w:r>
        <w:rPr>
          <w:sz w:val="26"/>
          <w:szCs w:val="26"/>
        </w:rPr>
        <w:t>mpted to comply with the procedures for requesting a continuance, a</w:t>
      </w:r>
      <w:r w:rsidRPr="00613C53">
        <w:rPr>
          <w:sz w:val="26"/>
          <w:szCs w:val="26"/>
        </w:rPr>
        <w:t xml:space="preserve">s outlined in the </w:t>
      </w:r>
      <w:r w:rsidR="001F1BAE">
        <w:rPr>
          <w:sz w:val="26"/>
          <w:szCs w:val="26"/>
        </w:rPr>
        <w:t xml:space="preserve">ALJ’s </w:t>
      </w:r>
      <w:r w:rsidRPr="00613C53">
        <w:rPr>
          <w:sz w:val="26"/>
          <w:szCs w:val="26"/>
        </w:rPr>
        <w:t xml:space="preserve">Prehearing Order </w:t>
      </w:r>
      <w:r w:rsidR="00AF6398">
        <w:rPr>
          <w:sz w:val="26"/>
          <w:szCs w:val="26"/>
        </w:rPr>
        <w:t>issued on</w:t>
      </w:r>
      <w:r w:rsidR="001F1BAE">
        <w:rPr>
          <w:sz w:val="26"/>
          <w:szCs w:val="26"/>
        </w:rPr>
        <w:t xml:space="preserve"> September 2</w:t>
      </w:r>
      <w:r w:rsidR="00AF6398">
        <w:rPr>
          <w:sz w:val="26"/>
          <w:szCs w:val="26"/>
        </w:rPr>
        <w:t>6</w:t>
      </w:r>
      <w:r w:rsidR="001F1BAE">
        <w:rPr>
          <w:sz w:val="26"/>
          <w:szCs w:val="26"/>
        </w:rPr>
        <w:t xml:space="preserve">, 2016, </w:t>
      </w:r>
      <w:r w:rsidRPr="00613C53">
        <w:rPr>
          <w:sz w:val="26"/>
          <w:szCs w:val="26"/>
        </w:rPr>
        <w:t>and in 52 Pa. Code § 1.15(b)</w:t>
      </w:r>
      <w:r>
        <w:rPr>
          <w:sz w:val="26"/>
          <w:szCs w:val="26"/>
        </w:rPr>
        <w:t xml:space="preserve">, by sending a written continuance request to the ALJ five days </w:t>
      </w:r>
      <w:r w:rsidRPr="00613C53">
        <w:rPr>
          <w:sz w:val="26"/>
          <w:szCs w:val="26"/>
        </w:rPr>
        <w:t xml:space="preserve">prior to the </w:t>
      </w:r>
      <w:r w:rsidR="00E64B63">
        <w:rPr>
          <w:sz w:val="26"/>
          <w:szCs w:val="26"/>
        </w:rPr>
        <w:t>re</w:t>
      </w:r>
      <w:r w:rsidRPr="00613C53">
        <w:rPr>
          <w:sz w:val="26"/>
          <w:szCs w:val="26"/>
        </w:rPr>
        <w:t>scheduled hearing date.  While a continua</w:t>
      </w:r>
      <w:r>
        <w:rPr>
          <w:sz w:val="26"/>
          <w:szCs w:val="26"/>
        </w:rPr>
        <w:t>nce</w:t>
      </w:r>
      <w:r w:rsidRPr="00613C53">
        <w:rPr>
          <w:sz w:val="26"/>
          <w:szCs w:val="26"/>
        </w:rPr>
        <w:t xml:space="preserve"> is g</w:t>
      </w:r>
      <w:r>
        <w:rPr>
          <w:sz w:val="26"/>
          <w:szCs w:val="26"/>
        </w:rPr>
        <w:t>ranted</w:t>
      </w:r>
      <w:r w:rsidRPr="00613C53">
        <w:rPr>
          <w:sz w:val="26"/>
          <w:szCs w:val="26"/>
        </w:rPr>
        <w:t xml:space="preserve"> by the presiding officer for “good cause” </w:t>
      </w:r>
      <w:r>
        <w:rPr>
          <w:sz w:val="26"/>
          <w:szCs w:val="26"/>
        </w:rPr>
        <w:t xml:space="preserve">under 52 Pa. Code § 1.15(b) </w:t>
      </w:r>
      <w:r w:rsidRPr="00613C53">
        <w:rPr>
          <w:sz w:val="26"/>
          <w:szCs w:val="26"/>
        </w:rPr>
        <w:t xml:space="preserve">and is not automatically given, </w:t>
      </w:r>
      <w:r>
        <w:rPr>
          <w:sz w:val="26"/>
          <w:szCs w:val="26"/>
        </w:rPr>
        <w:t xml:space="preserve">it is unclear from the record </w:t>
      </w:r>
      <w:r>
        <w:rPr>
          <w:sz w:val="26"/>
          <w:szCs w:val="26"/>
        </w:rPr>
        <w:lastRenderedPageBreak/>
        <w:t>why</w:t>
      </w:r>
      <w:r w:rsidRPr="00613C53">
        <w:rPr>
          <w:sz w:val="26"/>
          <w:szCs w:val="26"/>
        </w:rPr>
        <w:t xml:space="preserve"> the </w:t>
      </w:r>
      <w:r w:rsidR="00C13FE5">
        <w:rPr>
          <w:sz w:val="26"/>
          <w:szCs w:val="26"/>
        </w:rPr>
        <w:t>Petitioner</w:t>
      </w:r>
      <w:r w:rsidRPr="00613C53">
        <w:rPr>
          <w:sz w:val="26"/>
          <w:szCs w:val="26"/>
        </w:rPr>
        <w:t xml:space="preserve">’s </w:t>
      </w:r>
      <w:r w:rsidR="00C13FE5">
        <w:rPr>
          <w:sz w:val="26"/>
          <w:szCs w:val="26"/>
        </w:rPr>
        <w:t xml:space="preserve">second continuance </w:t>
      </w:r>
      <w:r w:rsidRPr="00613C53">
        <w:rPr>
          <w:sz w:val="26"/>
          <w:szCs w:val="26"/>
        </w:rPr>
        <w:t xml:space="preserve">request </w:t>
      </w:r>
      <w:r>
        <w:rPr>
          <w:sz w:val="26"/>
          <w:szCs w:val="26"/>
        </w:rPr>
        <w:t>was not</w:t>
      </w:r>
      <w:r w:rsidRPr="00613C53">
        <w:rPr>
          <w:sz w:val="26"/>
          <w:szCs w:val="26"/>
        </w:rPr>
        <w:t xml:space="preserve"> </w:t>
      </w:r>
      <w:r>
        <w:rPr>
          <w:sz w:val="26"/>
          <w:szCs w:val="26"/>
        </w:rPr>
        <w:t>considered</w:t>
      </w:r>
      <w:r w:rsidRPr="00613C53">
        <w:rPr>
          <w:sz w:val="26"/>
          <w:szCs w:val="26"/>
        </w:rPr>
        <w:t>.  Accordingly, we find that</w:t>
      </w:r>
      <w:r>
        <w:rPr>
          <w:sz w:val="26"/>
          <w:szCs w:val="26"/>
        </w:rPr>
        <w:t xml:space="preserve"> under the circumstances</w:t>
      </w:r>
      <w:r w:rsidRPr="00613C53">
        <w:rPr>
          <w:sz w:val="26"/>
          <w:szCs w:val="26"/>
        </w:rPr>
        <w:t xml:space="preserve"> in this </w:t>
      </w:r>
      <w:r>
        <w:rPr>
          <w:sz w:val="26"/>
          <w:szCs w:val="26"/>
        </w:rPr>
        <w:t>case</w:t>
      </w:r>
      <w:r w:rsidR="00265472">
        <w:rPr>
          <w:sz w:val="26"/>
          <w:szCs w:val="26"/>
        </w:rPr>
        <w:t xml:space="preserve"> </w:t>
      </w:r>
      <w:r w:rsidR="00691CBA">
        <w:rPr>
          <w:sz w:val="26"/>
          <w:szCs w:val="26"/>
        </w:rPr>
        <w:t>it is appropriate to remand this matter to the OALJ for further proceedings, as warranted, and the issuance of an Initial Decision on remand</w:t>
      </w:r>
      <w:r w:rsidRPr="00613C53">
        <w:rPr>
          <w:sz w:val="26"/>
          <w:szCs w:val="26"/>
        </w:rPr>
        <w:t>.</w:t>
      </w:r>
      <w:r w:rsidR="00F60B86">
        <w:rPr>
          <w:rStyle w:val="FootnoteReference"/>
          <w:sz w:val="26"/>
          <w:szCs w:val="26"/>
        </w:rPr>
        <w:footnoteReference w:id="9"/>
      </w:r>
    </w:p>
    <w:p w14:paraId="59B73170" w14:textId="6091107F" w:rsidR="00240E6F" w:rsidRPr="00667954" w:rsidRDefault="00240E6F" w:rsidP="002C31D4">
      <w:pPr>
        <w:widowControl/>
        <w:spacing w:line="360" w:lineRule="auto"/>
        <w:rPr>
          <w:sz w:val="26"/>
          <w:szCs w:val="26"/>
        </w:rPr>
      </w:pPr>
    </w:p>
    <w:p w14:paraId="63F08A6D" w14:textId="77777777" w:rsidR="00CA43A5" w:rsidRPr="00CA43A5" w:rsidRDefault="00CA43A5" w:rsidP="002C31D4">
      <w:pPr>
        <w:widowControl/>
        <w:spacing w:line="360" w:lineRule="auto"/>
        <w:jc w:val="center"/>
        <w:rPr>
          <w:b/>
          <w:sz w:val="26"/>
          <w:szCs w:val="26"/>
        </w:rPr>
      </w:pPr>
      <w:r w:rsidRPr="00CA43A5">
        <w:rPr>
          <w:b/>
          <w:sz w:val="26"/>
          <w:szCs w:val="26"/>
        </w:rPr>
        <w:t>Conclusion</w:t>
      </w:r>
    </w:p>
    <w:p w14:paraId="1DFB514A" w14:textId="77777777" w:rsidR="00CA43A5" w:rsidRPr="00CA43A5" w:rsidRDefault="00CA43A5" w:rsidP="002C31D4">
      <w:pPr>
        <w:widowControl/>
        <w:spacing w:line="360" w:lineRule="auto"/>
        <w:ind w:firstLine="1440"/>
        <w:rPr>
          <w:sz w:val="26"/>
          <w:szCs w:val="26"/>
        </w:rPr>
      </w:pPr>
    </w:p>
    <w:p w14:paraId="4D6A479E" w14:textId="2C346E10" w:rsidR="00CA43A5" w:rsidRPr="00CA43A5" w:rsidRDefault="00CA43A5" w:rsidP="002C31D4">
      <w:pPr>
        <w:widowControl/>
        <w:spacing w:line="360" w:lineRule="auto"/>
        <w:ind w:firstLine="1440"/>
        <w:rPr>
          <w:sz w:val="26"/>
          <w:szCs w:val="26"/>
        </w:rPr>
      </w:pPr>
      <w:r w:rsidRPr="00CA43A5">
        <w:rPr>
          <w:sz w:val="26"/>
          <w:szCs w:val="26"/>
        </w:rPr>
        <w:t xml:space="preserve">Based upon the foregoing discussion, we </w:t>
      </w:r>
      <w:r w:rsidR="001831ED">
        <w:rPr>
          <w:sz w:val="26"/>
          <w:szCs w:val="26"/>
        </w:rPr>
        <w:t xml:space="preserve">shall </w:t>
      </w:r>
      <w:r w:rsidR="00C13FE5">
        <w:rPr>
          <w:sz w:val="26"/>
          <w:szCs w:val="26"/>
        </w:rPr>
        <w:t>grant the</w:t>
      </w:r>
      <w:r w:rsidR="001831ED">
        <w:rPr>
          <w:sz w:val="26"/>
          <w:szCs w:val="26"/>
        </w:rPr>
        <w:t xml:space="preserve"> Petition</w:t>
      </w:r>
      <w:r w:rsidR="00C13FE5">
        <w:rPr>
          <w:sz w:val="26"/>
          <w:szCs w:val="26"/>
        </w:rPr>
        <w:t>, modify the Initial Decision</w:t>
      </w:r>
      <w:r w:rsidR="00691CBA">
        <w:rPr>
          <w:sz w:val="26"/>
          <w:szCs w:val="26"/>
        </w:rPr>
        <w:t>,</w:t>
      </w:r>
      <w:r w:rsidR="00E50005">
        <w:rPr>
          <w:sz w:val="26"/>
          <w:szCs w:val="26"/>
        </w:rPr>
        <w:t xml:space="preserve"> consistent with </w:t>
      </w:r>
      <w:r w:rsidR="00691CBA">
        <w:rPr>
          <w:sz w:val="26"/>
          <w:szCs w:val="26"/>
        </w:rPr>
        <w:t>this Opinion and Order, remand the matter to the OALJ for further proceedings as necessary and the issuance of an Initial Decision on remand</w:t>
      </w:r>
      <w:r w:rsidRPr="00CA43A5">
        <w:rPr>
          <w:sz w:val="26"/>
          <w:szCs w:val="26"/>
        </w:rPr>
        <w:t xml:space="preserve">; </w:t>
      </w:r>
      <w:r w:rsidRPr="00CA43A5">
        <w:rPr>
          <w:b/>
          <w:sz w:val="26"/>
          <w:szCs w:val="26"/>
        </w:rPr>
        <w:t>THEREFORE,</w:t>
      </w:r>
      <w:r w:rsidRPr="00CA43A5">
        <w:rPr>
          <w:sz w:val="26"/>
          <w:szCs w:val="26"/>
        </w:rPr>
        <w:t xml:space="preserve"> </w:t>
      </w:r>
    </w:p>
    <w:p w14:paraId="014A5A09" w14:textId="77777777" w:rsidR="00CA43A5" w:rsidRPr="00CA43A5" w:rsidRDefault="00CA43A5" w:rsidP="00E50005">
      <w:pPr>
        <w:widowControl/>
        <w:spacing w:line="360" w:lineRule="auto"/>
        <w:rPr>
          <w:sz w:val="26"/>
          <w:szCs w:val="26"/>
        </w:rPr>
      </w:pPr>
    </w:p>
    <w:p w14:paraId="1C6CB262" w14:textId="77777777" w:rsidR="00CA43A5" w:rsidRPr="00CA43A5" w:rsidRDefault="00CA43A5" w:rsidP="00E50005">
      <w:pPr>
        <w:widowControl/>
        <w:spacing w:line="360" w:lineRule="auto"/>
        <w:ind w:firstLine="1440"/>
        <w:rPr>
          <w:b/>
          <w:sz w:val="26"/>
          <w:szCs w:val="26"/>
        </w:rPr>
      </w:pPr>
      <w:r w:rsidRPr="00CA43A5">
        <w:rPr>
          <w:b/>
          <w:sz w:val="26"/>
          <w:szCs w:val="26"/>
        </w:rPr>
        <w:t>IT IS ORDERED:</w:t>
      </w:r>
    </w:p>
    <w:p w14:paraId="11042C67" w14:textId="77777777" w:rsidR="00CA43A5" w:rsidRPr="00CA43A5" w:rsidRDefault="00CA43A5" w:rsidP="00E50005">
      <w:pPr>
        <w:widowControl/>
        <w:spacing w:line="360" w:lineRule="auto"/>
        <w:rPr>
          <w:sz w:val="26"/>
          <w:szCs w:val="26"/>
        </w:rPr>
      </w:pPr>
    </w:p>
    <w:p w14:paraId="68281F61" w14:textId="7CD8A3DC" w:rsidR="00907253" w:rsidRDefault="009155F7" w:rsidP="00E50005">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3665A9">
        <w:rPr>
          <w:sz w:val="26"/>
          <w:szCs w:val="26"/>
        </w:rPr>
        <w:t>Petition for Re</w:t>
      </w:r>
      <w:r w:rsidR="001831ED">
        <w:rPr>
          <w:sz w:val="26"/>
          <w:szCs w:val="26"/>
        </w:rPr>
        <w:t>s</w:t>
      </w:r>
      <w:r w:rsidR="003665A9">
        <w:rPr>
          <w:sz w:val="26"/>
          <w:szCs w:val="26"/>
        </w:rPr>
        <w:t>c</w:t>
      </w:r>
      <w:r w:rsidR="001831ED">
        <w:rPr>
          <w:sz w:val="26"/>
          <w:szCs w:val="26"/>
        </w:rPr>
        <w:t xml:space="preserve">ission </w:t>
      </w:r>
      <w:r>
        <w:rPr>
          <w:sz w:val="26"/>
          <w:szCs w:val="26"/>
        </w:rPr>
        <w:t>of</w:t>
      </w:r>
      <w:r w:rsidR="009D4C89">
        <w:rPr>
          <w:sz w:val="26"/>
          <w:szCs w:val="26"/>
        </w:rPr>
        <w:t xml:space="preserve"> </w:t>
      </w:r>
      <w:r w:rsidR="00907253">
        <w:rPr>
          <w:color w:val="000000"/>
          <w:sz w:val="26"/>
        </w:rPr>
        <w:t>Dolores Mitchell, filed on February 24, 2017</w:t>
      </w:r>
      <w:r w:rsidR="001831ED">
        <w:rPr>
          <w:sz w:val="26"/>
          <w:szCs w:val="26"/>
        </w:rPr>
        <w:t>,</w:t>
      </w:r>
      <w:r w:rsidR="003F51F4">
        <w:rPr>
          <w:sz w:val="26"/>
          <w:szCs w:val="26"/>
        </w:rPr>
        <w:t xml:space="preserve"> </w:t>
      </w:r>
      <w:r w:rsidR="00907253">
        <w:rPr>
          <w:sz w:val="26"/>
          <w:szCs w:val="26"/>
        </w:rPr>
        <w:t xml:space="preserve">is granted, </w:t>
      </w:r>
      <w:r w:rsidR="003F51F4">
        <w:rPr>
          <w:sz w:val="26"/>
          <w:szCs w:val="26"/>
        </w:rPr>
        <w:t xml:space="preserve">consistent with this Opinion </w:t>
      </w:r>
      <w:r w:rsidR="00B80C43">
        <w:rPr>
          <w:sz w:val="26"/>
          <w:szCs w:val="26"/>
        </w:rPr>
        <w:t>and Order</w:t>
      </w:r>
      <w:r w:rsidR="00907253">
        <w:rPr>
          <w:sz w:val="26"/>
          <w:szCs w:val="26"/>
        </w:rPr>
        <w:t>.</w:t>
      </w:r>
    </w:p>
    <w:p w14:paraId="6648B805" w14:textId="77777777" w:rsidR="00907253" w:rsidRDefault="00907253" w:rsidP="002C31D4">
      <w:pPr>
        <w:widowControl/>
        <w:spacing w:line="360" w:lineRule="auto"/>
        <w:ind w:left="1440"/>
        <w:rPr>
          <w:sz w:val="26"/>
          <w:szCs w:val="26"/>
        </w:rPr>
      </w:pPr>
    </w:p>
    <w:p w14:paraId="0EC89001" w14:textId="2B7B3229" w:rsidR="00907253" w:rsidRPr="00907253" w:rsidRDefault="00907253" w:rsidP="002C31D4">
      <w:pPr>
        <w:widowControl/>
        <w:numPr>
          <w:ilvl w:val="0"/>
          <w:numId w:val="1"/>
        </w:numPr>
        <w:tabs>
          <w:tab w:val="clear" w:pos="2160"/>
          <w:tab w:val="num" w:pos="0"/>
        </w:tabs>
        <w:spacing w:line="360" w:lineRule="auto"/>
        <w:ind w:left="0" w:firstLine="1440"/>
        <w:rPr>
          <w:sz w:val="26"/>
          <w:szCs w:val="26"/>
        </w:rPr>
      </w:pPr>
      <w:r w:rsidRPr="00907253">
        <w:rPr>
          <w:sz w:val="26"/>
          <w:szCs w:val="26"/>
        </w:rPr>
        <w:t xml:space="preserve">That the Initial Decision of Administrative Law Judge </w:t>
      </w:r>
      <w:r w:rsidRPr="00907253">
        <w:rPr>
          <w:color w:val="000000"/>
          <w:sz w:val="26"/>
        </w:rPr>
        <w:t>Elizabeth</w:t>
      </w:r>
      <w:r w:rsidR="00E50005">
        <w:rPr>
          <w:color w:val="000000"/>
          <w:sz w:val="26"/>
        </w:rPr>
        <w:t> </w:t>
      </w:r>
      <w:r w:rsidRPr="00907253">
        <w:rPr>
          <w:color w:val="000000"/>
          <w:sz w:val="26"/>
        </w:rPr>
        <w:t>H.</w:t>
      </w:r>
      <w:r w:rsidR="00E50005">
        <w:rPr>
          <w:color w:val="000000"/>
          <w:sz w:val="26"/>
        </w:rPr>
        <w:t> </w:t>
      </w:r>
      <w:r w:rsidRPr="00907253">
        <w:rPr>
          <w:color w:val="000000"/>
          <w:sz w:val="26"/>
        </w:rPr>
        <w:t>Barnes, issued</w:t>
      </w:r>
      <w:r w:rsidR="00E50005">
        <w:rPr>
          <w:color w:val="000000"/>
          <w:sz w:val="26"/>
        </w:rPr>
        <w:t xml:space="preserve"> on</w:t>
      </w:r>
      <w:r w:rsidRPr="00907253">
        <w:rPr>
          <w:color w:val="000000"/>
          <w:sz w:val="26"/>
        </w:rPr>
        <w:t xml:space="preserve"> </w:t>
      </w:r>
      <w:r>
        <w:rPr>
          <w:color w:val="000000"/>
          <w:sz w:val="26"/>
        </w:rPr>
        <w:t>January 5, 2017, is modified, consistent with this Opinion and Order.</w:t>
      </w:r>
    </w:p>
    <w:p w14:paraId="3F493754" w14:textId="0B599DEF" w:rsidR="00BE545C" w:rsidRDefault="00BE545C">
      <w:pPr>
        <w:widowControl/>
        <w:spacing w:after="200" w:line="276" w:lineRule="auto"/>
        <w:rPr>
          <w:sz w:val="26"/>
          <w:szCs w:val="26"/>
        </w:rPr>
      </w:pPr>
      <w:r>
        <w:rPr>
          <w:sz w:val="26"/>
          <w:szCs w:val="26"/>
        </w:rPr>
        <w:br w:type="page"/>
      </w:r>
    </w:p>
    <w:p w14:paraId="76DC577F" w14:textId="0939528A" w:rsidR="00907253" w:rsidRDefault="00907253" w:rsidP="002C31D4">
      <w:pPr>
        <w:widowControl/>
        <w:numPr>
          <w:ilvl w:val="0"/>
          <w:numId w:val="1"/>
        </w:numPr>
        <w:tabs>
          <w:tab w:val="clear" w:pos="2160"/>
          <w:tab w:val="num" w:pos="0"/>
        </w:tabs>
        <w:spacing w:line="360" w:lineRule="auto"/>
        <w:ind w:left="0" w:firstLine="1440"/>
        <w:rPr>
          <w:sz w:val="26"/>
          <w:szCs w:val="26"/>
        </w:rPr>
      </w:pPr>
      <w:r>
        <w:rPr>
          <w:color w:val="000000"/>
          <w:sz w:val="26"/>
        </w:rPr>
        <w:lastRenderedPageBreak/>
        <w:t xml:space="preserve">That the </w:t>
      </w:r>
      <w:r w:rsidR="00691CBA">
        <w:rPr>
          <w:color w:val="000000"/>
          <w:sz w:val="26"/>
        </w:rPr>
        <w:t>proceeding shall be remanded to the Office of Administrative Law Judge for such proceedings as may be necessary and the issuance of an Initial Decision on remand</w:t>
      </w:r>
      <w:r>
        <w:rPr>
          <w:sz w:val="26"/>
          <w:szCs w:val="26"/>
        </w:rPr>
        <w:t>.</w:t>
      </w:r>
    </w:p>
    <w:p w14:paraId="7E159600" w14:textId="77777777" w:rsidR="00AF6398" w:rsidRDefault="00AF6398" w:rsidP="002C31D4">
      <w:pPr>
        <w:widowControl/>
        <w:spacing w:after="200" w:line="276" w:lineRule="auto"/>
        <w:rPr>
          <w:sz w:val="26"/>
          <w:szCs w:val="26"/>
        </w:rPr>
      </w:pPr>
    </w:p>
    <w:p w14:paraId="1D286960" w14:textId="11AB250B" w:rsidR="001831ED" w:rsidRPr="001831ED" w:rsidRDefault="001831ED" w:rsidP="00BE545C">
      <w:pPr>
        <w:keepNext/>
        <w:keepLines/>
        <w:widowControl/>
        <w:spacing w:line="360" w:lineRule="auto"/>
        <w:ind w:left="1440"/>
        <w:rPr>
          <w:sz w:val="26"/>
          <w:szCs w:val="26"/>
        </w:rPr>
      </w:pPr>
    </w:p>
    <w:p w14:paraId="325F4697" w14:textId="77777777" w:rsidR="00C360BF" w:rsidRDefault="00C360BF" w:rsidP="00E50005">
      <w:pPr>
        <w:keepNext/>
        <w:keepLines/>
        <w:widowControl/>
        <w:spacing w:after="200" w:line="276" w:lineRule="auto"/>
        <w:rPr>
          <w:sz w:val="26"/>
          <w:szCs w:val="26"/>
        </w:rPr>
      </w:pPr>
    </w:p>
    <w:p w14:paraId="0C23E9F9" w14:textId="2FC03DC1" w:rsidR="00CA43A5" w:rsidRPr="00CA43A5" w:rsidRDefault="002B1B51" w:rsidP="00E50005">
      <w:pPr>
        <w:keepNext/>
        <w:keepLines/>
        <w:widowControl/>
        <w:spacing w:after="200" w:line="276" w:lineRule="auto"/>
        <w:ind w:left="4320" w:firstLine="720"/>
        <w:rPr>
          <w:sz w:val="26"/>
          <w:szCs w:val="26"/>
        </w:rPr>
      </w:pPr>
      <w:r>
        <w:rPr>
          <w:noProof/>
        </w:rPr>
        <w:drawing>
          <wp:anchor distT="0" distB="0" distL="114300" distR="114300" simplePos="0" relativeHeight="251659264" behindDoc="1" locked="0" layoutInCell="1" allowOverlap="1" wp14:anchorId="7D0DD732" wp14:editId="76960CDE">
            <wp:simplePos x="0" y="0"/>
            <wp:positionH relativeFrom="column">
              <wp:posOffset>3152775</wp:posOffset>
            </wp:positionH>
            <wp:positionV relativeFrom="paragraph">
              <wp:posOffset>142875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14:paraId="58D3A423" w14:textId="62232144" w:rsidR="00CA43A5" w:rsidRDefault="00CA43A5" w:rsidP="00E50005">
      <w:pPr>
        <w:keepNext/>
        <w:keepLines/>
        <w:widowControl/>
        <w:tabs>
          <w:tab w:val="left" w:pos="-720"/>
        </w:tabs>
        <w:rPr>
          <w:sz w:val="26"/>
          <w:szCs w:val="26"/>
        </w:rPr>
      </w:pPr>
    </w:p>
    <w:p w14:paraId="78C01134" w14:textId="77777777" w:rsidR="00E50005" w:rsidRPr="00CA43A5" w:rsidRDefault="00E50005" w:rsidP="00E50005">
      <w:pPr>
        <w:keepNext/>
        <w:keepLines/>
        <w:widowControl/>
        <w:tabs>
          <w:tab w:val="left" w:pos="-720"/>
        </w:tabs>
        <w:rPr>
          <w:sz w:val="26"/>
          <w:szCs w:val="26"/>
        </w:rPr>
      </w:pPr>
    </w:p>
    <w:p w14:paraId="4A4CB2C6" w14:textId="77777777" w:rsidR="00CA43A5" w:rsidRPr="00CA43A5" w:rsidRDefault="00CA43A5" w:rsidP="00E50005">
      <w:pPr>
        <w:keepNext/>
        <w:keepLines/>
        <w:widowControl/>
        <w:tabs>
          <w:tab w:val="left" w:pos="-720"/>
        </w:tabs>
        <w:rPr>
          <w:sz w:val="26"/>
          <w:szCs w:val="26"/>
        </w:rPr>
      </w:pPr>
    </w:p>
    <w:p w14:paraId="7B732A85" w14:textId="77777777" w:rsidR="00CA43A5" w:rsidRPr="00CA43A5" w:rsidRDefault="00564565" w:rsidP="00E50005">
      <w:pPr>
        <w:keepNext/>
        <w:keepLines/>
        <w:widowControl/>
        <w:tabs>
          <w:tab w:val="left" w:pos="-720"/>
        </w:tabs>
        <w:ind w:firstLine="5040"/>
        <w:rPr>
          <w:b/>
          <w:sz w:val="26"/>
          <w:szCs w:val="26"/>
        </w:rPr>
      </w:pPr>
      <w:r>
        <w:rPr>
          <w:sz w:val="26"/>
          <w:szCs w:val="26"/>
        </w:rPr>
        <w:t>Rosemary Chiavetta</w:t>
      </w:r>
    </w:p>
    <w:p w14:paraId="0C33334B" w14:textId="77777777" w:rsidR="00CA43A5" w:rsidRPr="00CA43A5" w:rsidRDefault="00CA43A5" w:rsidP="00E50005">
      <w:pPr>
        <w:keepNext/>
        <w:keepLines/>
        <w:widowControl/>
        <w:tabs>
          <w:tab w:val="left" w:pos="-720"/>
        </w:tabs>
        <w:ind w:firstLine="5040"/>
        <w:rPr>
          <w:sz w:val="26"/>
          <w:szCs w:val="26"/>
        </w:rPr>
      </w:pPr>
      <w:r w:rsidRPr="00CA43A5">
        <w:rPr>
          <w:sz w:val="26"/>
          <w:szCs w:val="26"/>
        </w:rPr>
        <w:t>Secretary</w:t>
      </w:r>
    </w:p>
    <w:p w14:paraId="23438B35" w14:textId="77777777" w:rsidR="00CA43A5" w:rsidRPr="00CA43A5" w:rsidRDefault="00CA43A5" w:rsidP="00E50005">
      <w:pPr>
        <w:keepNext/>
        <w:keepLines/>
        <w:widowControl/>
        <w:tabs>
          <w:tab w:val="left" w:pos="-720"/>
        </w:tabs>
        <w:rPr>
          <w:sz w:val="26"/>
          <w:szCs w:val="26"/>
        </w:rPr>
      </w:pPr>
    </w:p>
    <w:p w14:paraId="71402440" w14:textId="77777777" w:rsidR="00CA43A5" w:rsidRPr="00CA43A5" w:rsidRDefault="00CA43A5" w:rsidP="00E50005">
      <w:pPr>
        <w:keepNext/>
        <w:keepLines/>
        <w:widowControl/>
        <w:tabs>
          <w:tab w:val="left" w:pos="-720"/>
        </w:tabs>
        <w:rPr>
          <w:sz w:val="26"/>
          <w:szCs w:val="26"/>
        </w:rPr>
      </w:pPr>
      <w:r w:rsidRPr="00CA43A5">
        <w:rPr>
          <w:sz w:val="26"/>
          <w:szCs w:val="26"/>
        </w:rPr>
        <w:t>(SEAL)</w:t>
      </w:r>
    </w:p>
    <w:p w14:paraId="44BBADB3" w14:textId="77777777" w:rsidR="00CA43A5" w:rsidRPr="00CA43A5" w:rsidRDefault="00CA43A5" w:rsidP="00E50005">
      <w:pPr>
        <w:keepNext/>
        <w:keepLines/>
        <w:widowControl/>
        <w:tabs>
          <w:tab w:val="left" w:pos="-720"/>
        </w:tabs>
        <w:rPr>
          <w:sz w:val="26"/>
          <w:szCs w:val="26"/>
        </w:rPr>
      </w:pPr>
    </w:p>
    <w:p w14:paraId="6F038F01" w14:textId="77777777" w:rsidR="00CA43A5" w:rsidRPr="00CA43A5" w:rsidRDefault="00CA43A5" w:rsidP="00E50005">
      <w:pPr>
        <w:keepNext/>
        <w:keepLines/>
        <w:widowControl/>
        <w:tabs>
          <w:tab w:val="left" w:pos="-720"/>
        </w:tabs>
        <w:rPr>
          <w:sz w:val="26"/>
          <w:szCs w:val="26"/>
        </w:rPr>
      </w:pPr>
      <w:r w:rsidRPr="00CA43A5">
        <w:rPr>
          <w:sz w:val="26"/>
          <w:szCs w:val="26"/>
        </w:rPr>
        <w:t>ORDER ADOPTED:</w:t>
      </w:r>
      <w:r w:rsidR="009D4C89">
        <w:rPr>
          <w:sz w:val="26"/>
          <w:szCs w:val="26"/>
        </w:rPr>
        <w:t xml:space="preserve">  </w:t>
      </w:r>
      <w:r w:rsidR="00907253">
        <w:rPr>
          <w:sz w:val="26"/>
          <w:szCs w:val="26"/>
        </w:rPr>
        <w:t>March 1, 2018</w:t>
      </w:r>
      <w:r w:rsidRPr="00CA43A5">
        <w:rPr>
          <w:sz w:val="26"/>
          <w:szCs w:val="26"/>
        </w:rPr>
        <w:t xml:space="preserve"> </w:t>
      </w:r>
    </w:p>
    <w:p w14:paraId="7692178A" w14:textId="77777777" w:rsidR="00857172" w:rsidRDefault="00857172" w:rsidP="00E50005">
      <w:pPr>
        <w:keepNext/>
        <w:keepLines/>
        <w:widowControl/>
        <w:tabs>
          <w:tab w:val="left" w:pos="-720"/>
        </w:tabs>
        <w:rPr>
          <w:sz w:val="26"/>
          <w:szCs w:val="26"/>
        </w:rPr>
      </w:pPr>
    </w:p>
    <w:p w14:paraId="5D9E04D7" w14:textId="02781E24" w:rsidR="00344804" w:rsidRPr="00CA43A5" w:rsidRDefault="00CA43A5" w:rsidP="00E50005">
      <w:pPr>
        <w:keepNext/>
        <w:keepLines/>
        <w:widowControl/>
        <w:tabs>
          <w:tab w:val="left" w:pos="-720"/>
        </w:tabs>
        <w:rPr>
          <w:sz w:val="26"/>
          <w:szCs w:val="26"/>
        </w:rPr>
      </w:pPr>
      <w:r w:rsidRPr="00CA43A5">
        <w:rPr>
          <w:sz w:val="26"/>
          <w:szCs w:val="26"/>
        </w:rPr>
        <w:t xml:space="preserve">ORDER ENTERED:  </w:t>
      </w:r>
      <w:r w:rsidR="002B1B51">
        <w:rPr>
          <w:sz w:val="26"/>
          <w:szCs w:val="26"/>
        </w:rPr>
        <w:t>March 1, 2018</w:t>
      </w:r>
      <w:bookmarkStart w:id="3" w:name="_GoBack"/>
      <w:bookmarkEnd w:id="3"/>
    </w:p>
    <w:sectPr w:rsidR="00344804" w:rsidRPr="00CA43A5" w:rsidSect="00F9641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25FE5" w14:textId="77777777" w:rsidR="00966DA8" w:rsidRDefault="00966DA8" w:rsidP="001B7DA2">
      <w:r>
        <w:separator/>
      </w:r>
    </w:p>
  </w:endnote>
  <w:endnote w:type="continuationSeparator" w:id="0">
    <w:p w14:paraId="06843CA7" w14:textId="77777777" w:rsidR="00966DA8" w:rsidRDefault="00966DA8"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971551"/>
      <w:docPartObj>
        <w:docPartGallery w:val="Page Numbers (Bottom of Page)"/>
        <w:docPartUnique/>
      </w:docPartObj>
    </w:sdtPr>
    <w:sdtEndPr>
      <w:rPr>
        <w:noProof/>
      </w:rPr>
    </w:sdtEndPr>
    <w:sdtContent>
      <w:p w14:paraId="0BABE292" w14:textId="281E478D" w:rsidR="00691CBA" w:rsidRDefault="00691CBA">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2B1B51">
          <w:rPr>
            <w:noProof/>
            <w:sz w:val="26"/>
            <w:szCs w:val="26"/>
          </w:rPr>
          <w:t>10</w:t>
        </w:r>
        <w:r w:rsidRPr="0049396D">
          <w:rPr>
            <w:noProof/>
            <w:sz w:val="26"/>
            <w:szCs w:val="26"/>
          </w:rPr>
          <w:fldChar w:fldCharType="end"/>
        </w:r>
      </w:p>
    </w:sdtContent>
  </w:sdt>
  <w:p w14:paraId="5C1FA346" w14:textId="77777777" w:rsidR="00691CBA" w:rsidRDefault="00691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B4DF" w14:textId="77777777" w:rsidR="00966DA8" w:rsidRDefault="00966DA8" w:rsidP="001B7DA2">
      <w:r>
        <w:separator/>
      </w:r>
    </w:p>
  </w:footnote>
  <w:footnote w:type="continuationSeparator" w:id="0">
    <w:p w14:paraId="4BE12890" w14:textId="77777777" w:rsidR="00966DA8" w:rsidRDefault="00966DA8" w:rsidP="001B7DA2">
      <w:r>
        <w:continuationSeparator/>
      </w:r>
    </w:p>
  </w:footnote>
  <w:footnote w:id="1">
    <w:p w14:paraId="7B37C5C3" w14:textId="69638BCC" w:rsidR="00691CBA" w:rsidRPr="00C557F8" w:rsidRDefault="00691CBA" w:rsidP="002C31D4">
      <w:pPr>
        <w:pStyle w:val="FootnoteText"/>
        <w:keepNext/>
        <w:keepLines/>
        <w:widowControl/>
        <w:spacing w:after="120"/>
        <w:rPr>
          <w:sz w:val="26"/>
          <w:szCs w:val="26"/>
        </w:rPr>
      </w:pPr>
      <w:r w:rsidRPr="00C557F8">
        <w:rPr>
          <w:sz w:val="26"/>
          <w:szCs w:val="26"/>
        </w:rPr>
        <w:tab/>
      </w:r>
      <w:r w:rsidRPr="00C557F8">
        <w:rPr>
          <w:rStyle w:val="FootnoteReference"/>
          <w:sz w:val="26"/>
          <w:szCs w:val="26"/>
        </w:rPr>
        <w:footnoteRef/>
      </w:r>
      <w:r w:rsidRPr="00C557F8">
        <w:rPr>
          <w:sz w:val="26"/>
          <w:szCs w:val="26"/>
        </w:rPr>
        <w:tab/>
        <w:t xml:space="preserve">As discussed further herein, </w:t>
      </w:r>
      <w:r>
        <w:rPr>
          <w:sz w:val="26"/>
          <w:szCs w:val="26"/>
        </w:rPr>
        <w:t>we will treat the filing as a Petition for Rescission (Petition).</w:t>
      </w:r>
    </w:p>
  </w:footnote>
  <w:footnote w:id="2">
    <w:p w14:paraId="25AAB31E" w14:textId="2AF6F4C4" w:rsidR="00691CBA" w:rsidRPr="00F65D71" w:rsidRDefault="00691CBA" w:rsidP="002C31D4">
      <w:pPr>
        <w:pStyle w:val="FootnoteText"/>
        <w:keepNext/>
        <w:keepLines/>
        <w:widowControl/>
        <w:spacing w:after="120"/>
        <w:ind w:firstLine="720"/>
        <w:rPr>
          <w:sz w:val="26"/>
          <w:szCs w:val="26"/>
        </w:rPr>
      </w:pPr>
      <w:r w:rsidRPr="00F65D71">
        <w:rPr>
          <w:rStyle w:val="FootnoteReference"/>
          <w:sz w:val="26"/>
          <w:szCs w:val="26"/>
        </w:rPr>
        <w:footnoteRef/>
      </w:r>
      <w:r>
        <w:rPr>
          <w:sz w:val="26"/>
          <w:szCs w:val="26"/>
        </w:rPr>
        <w:tab/>
      </w:r>
      <w:r>
        <w:rPr>
          <w:rFonts w:ascii="CG Times" w:hAnsi="CG Times"/>
          <w:sz w:val="26"/>
          <w:szCs w:val="26"/>
        </w:rPr>
        <w:t>Ms. Mitchell</w:t>
      </w:r>
      <w:r w:rsidRPr="001B7DA2">
        <w:rPr>
          <w:rFonts w:ascii="Times New (W1)" w:hAnsi="Times New (W1)"/>
          <w:sz w:val="26"/>
        </w:rPr>
        <w:t xml:space="preserve"> filed the </w:t>
      </w:r>
      <w:r>
        <w:rPr>
          <w:rFonts w:ascii="Times New (W1)" w:hAnsi="Times New (W1)"/>
          <w:sz w:val="26"/>
        </w:rPr>
        <w:t xml:space="preserve">Petition </w:t>
      </w:r>
      <w:r w:rsidRPr="001B7DA2">
        <w:rPr>
          <w:rFonts w:ascii="Times New (W1)" w:hAnsi="Times New (W1)"/>
          <w:sz w:val="26"/>
        </w:rPr>
        <w:t xml:space="preserve">with the Commission’s Secretary’s Bureau on </w:t>
      </w:r>
      <w:r>
        <w:rPr>
          <w:rFonts w:ascii="Times New (W1)" w:hAnsi="Times New (W1)"/>
          <w:sz w:val="26"/>
        </w:rPr>
        <w:t>February 24, 2017;</w:t>
      </w:r>
      <w:r w:rsidRPr="001B7DA2">
        <w:rPr>
          <w:rFonts w:ascii="Times New (W1)" w:hAnsi="Times New (W1)"/>
          <w:sz w:val="26"/>
        </w:rPr>
        <w:t xml:space="preserve"> however, the </w:t>
      </w:r>
      <w:r>
        <w:rPr>
          <w:rFonts w:ascii="Times New (W1)" w:hAnsi="Times New (W1)"/>
          <w:sz w:val="26"/>
        </w:rPr>
        <w:t xml:space="preserve">filing </w:t>
      </w:r>
      <w:r w:rsidRPr="001B7DA2">
        <w:rPr>
          <w:sz w:val="26"/>
          <w:szCs w:val="26"/>
        </w:rPr>
        <w:t xml:space="preserve">did not include a Certificate of Service.  By letter dated </w:t>
      </w:r>
      <w:r>
        <w:rPr>
          <w:sz w:val="26"/>
          <w:szCs w:val="26"/>
        </w:rPr>
        <w:t>February 28, 2017</w:t>
      </w:r>
      <w:r w:rsidRPr="001B7DA2">
        <w:rPr>
          <w:sz w:val="26"/>
          <w:szCs w:val="26"/>
        </w:rPr>
        <w:t xml:space="preserve">, the Secretary’s Bureau notified </w:t>
      </w:r>
      <w:r>
        <w:rPr>
          <w:sz w:val="26"/>
          <w:szCs w:val="26"/>
        </w:rPr>
        <w:t>the</w:t>
      </w:r>
      <w:r w:rsidRPr="001B7DA2">
        <w:rPr>
          <w:sz w:val="26"/>
          <w:szCs w:val="26"/>
        </w:rPr>
        <w:t xml:space="preserve"> Parties </w:t>
      </w:r>
      <w:r>
        <w:rPr>
          <w:sz w:val="26"/>
          <w:szCs w:val="26"/>
        </w:rPr>
        <w:t>of the filing and that Ms. Mitchell</w:t>
      </w:r>
      <w:r w:rsidRPr="001B7DA2">
        <w:rPr>
          <w:sz w:val="26"/>
          <w:szCs w:val="26"/>
        </w:rPr>
        <w:t xml:space="preserve"> failed to serve a copy on the other Parties to the case.  The Secretary’s </w:t>
      </w:r>
      <w:r>
        <w:rPr>
          <w:sz w:val="26"/>
          <w:szCs w:val="26"/>
        </w:rPr>
        <w:t>Bureau</w:t>
      </w:r>
      <w:r w:rsidRPr="001B7DA2">
        <w:rPr>
          <w:sz w:val="26"/>
          <w:szCs w:val="26"/>
        </w:rPr>
        <w:t xml:space="preserve"> provided </w:t>
      </w:r>
      <w:r>
        <w:rPr>
          <w:sz w:val="26"/>
          <w:szCs w:val="26"/>
        </w:rPr>
        <w:t xml:space="preserve">a copy of the Petition to the </w:t>
      </w:r>
      <w:r w:rsidRPr="001B7DA2">
        <w:rPr>
          <w:sz w:val="26"/>
          <w:szCs w:val="26"/>
        </w:rPr>
        <w:t xml:space="preserve">Parties and </w:t>
      </w:r>
      <w:r>
        <w:rPr>
          <w:sz w:val="26"/>
          <w:szCs w:val="26"/>
        </w:rPr>
        <w:t xml:space="preserve">indicated that any Answer to the Petition must be filed by March 13, 2017.  </w:t>
      </w:r>
    </w:p>
  </w:footnote>
  <w:footnote w:id="3">
    <w:p w14:paraId="20A64152" w14:textId="5F18CD02" w:rsidR="00691CBA" w:rsidRPr="00E93B5E" w:rsidRDefault="00691CBA" w:rsidP="002C31D4">
      <w:pPr>
        <w:pStyle w:val="FootnoteText"/>
        <w:keepNext/>
        <w:keepLines/>
        <w:widowControl/>
        <w:spacing w:after="120"/>
        <w:rPr>
          <w:sz w:val="26"/>
          <w:szCs w:val="26"/>
        </w:rPr>
      </w:pPr>
      <w:r>
        <w:rPr>
          <w:sz w:val="26"/>
          <w:szCs w:val="26"/>
        </w:rPr>
        <w:tab/>
      </w:r>
      <w:r w:rsidRPr="00E93B5E">
        <w:rPr>
          <w:rStyle w:val="FootnoteReference"/>
          <w:sz w:val="26"/>
          <w:szCs w:val="26"/>
        </w:rPr>
        <w:footnoteRef/>
      </w:r>
      <w:r>
        <w:rPr>
          <w:sz w:val="26"/>
          <w:szCs w:val="26"/>
        </w:rPr>
        <w:tab/>
      </w:r>
      <w:r w:rsidRPr="00B36E49">
        <w:rPr>
          <w:sz w:val="26"/>
          <w:szCs w:val="26"/>
        </w:rPr>
        <w:t>The Complaint was a timely appeal of the decision of the Commission’s Bureau of Consumer Services’ (BCS) at BCS No. 3394567.</w:t>
      </w:r>
    </w:p>
  </w:footnote>
  <w:footnote w:id="4">
    <w:p w14:paraId="25249BD7" w14:textId="557D9C58" w:rsidR="00691CBA" w:rsidRPr="00776C0E" w:rsidRDefault="00691CBA" w:rsidP="002C31D4">
      <w:pPr>
        <w:pStyle w:val="FootnoteText"/>
        <w:keepNext/>
        <w:keepLines/>
        <w:widowControl/>
        <w:spacing w:after="120"/>
        <w:rPr>
          <w:sz w:val="26"/>
          <w:szCs w:val="26"/>
        </w:rPr>
      </w:pPr>
      <w:r>
        <w:rPr>
          <w:sz w:val="26"/>
          <w:szCs w:val="26"/>
        </w:rPr>
        <w:tab/>
      </w:r>
      <w:r w:rsidRPr="00776C0E">
        <w:rPr>
          <w:rStyle w:val="FootnoteReference"/>
          <w:sz w:val="26"/>
          <w:szCs w:val="26"/>
        </w:rPr>
        <w:footnoteRef/>
      </w:r>
      <w:r>
        <w:rPr>
          <w:sz w:val="26"/>
          <w:szCs w:val="26"/>
        </w:rPr>
        <w:tab/>
        <w:t>The Hearing Notice further stated: “</w:t>
      </w:r>
      <w:r w:rsidRPr="00776C0E">
        <w:rPr>
          <w:i/>
          <w:sz w:val="26"/>
          <w:szCs w:val="26"/>
          <w:u w:val="single"/>
        </w:rPr>
        <w:t>Attention</w:t>
      </w:r>
      <w:r>
        <w:rPr>
          <w:i/>
          <w:sz w:val="26"/>
          <w:szCs w:val="26"/>
        </w:rPr>
        <w:t>: You may lose the case if you do not take part in this hearing and present facts on the issues raised.</w:t>
      </w:r>
      <w:r>
        <w:rPr>
          <w:sz w:val="26"/>
          <w:szCs w:val="26"/>
        </w:rPr>
        <w:t xml:space="preserve">”  </w:t>
      </w:r>
      <w:r w:rsidRPr="00D10F2C">
        <w:rPr>
          <w:i/>
          <w:sz w:val="26"/>
          <w:szCs w:val="26"/>
        </w:rPr>
        <w:t>Id.</w:t>
      </w:r>
      <w:r>
        <w:rPr>
          <w:sz w:val="26"/>
          <w:szCs w:val="26"/>
        </w:rPr>
        <w:t xml:space="preserve"> at 2 (emphasis in original).  It also gave instructions for the filing of a notice of appearance for attorney representation.  </w:t>
      </w:r>
      <w:r w:rsidRPr="00D10F2C">
        <w:rPr>
          <w:i/>
          <w:sz w:val="26"/>
          <w:szCs w:val="26"/>
        </w:rPr>
        <w:t>Id</w:t>
      </w:r>
      <w:r>
        <w:rPr>
          <w:i/>
          <w:sz w:val="26"/>
          <w:szCs w:val="26"/>
        </w:rPr>
        <w:t>.</w:t>
      </w:r>
    </w:p>
  </w:footnote>
  <w:footnote w:id="5">
    <w:p w14:paraId="087B51AA" w14:textId="4EE3B4E8" w:rsidR="00691CBA" w:rsidRPr="0028382A" w:rsidRDefault="00691CBA" w:rsidP="002C31D4">
      <w:pPr>
        <w:pStyle w:val="FootnoteText"/>
        <w:keepNext/>
        <w:keepLines/>
        <w:widowControl/>
        <w:spacing w:after="120"/>
        <w:rPr>
          <w:sz w:val="26"/>
          <w:szCs w:val="26"/>
        </w:rPr>
      </w:pPr>
      <w:r>
        <w:rPr>
          <w:sz w:val="26"/>
          <w:szCs w:val="26"/>
        </w:rPr>
        <w:tab/>
      </w:r>
      <w:r w:rsidRPr="0028382A">
        <w:rPr>
          <w:rStyle w:val="FootnoteReference"/>
          <w:sz w:val="26"/>
          <w:szCs w:val="26"/>
        </w:rPr>
        <w:footnoteRef/>
      </w:r>
      <w:r>
        <w:rPr>
          <w:sz w:val="26"/>
          <w:szCs w:val="26"/>
        </w:rPr>
        <w:tab/>
        <w:t xml:space="preserve">The Commission sent the Initial Decision by Certified Mail on January 5, 2017.  However, on February 14, 2017, the U.S. Postal Service returned the Initial Decision with the notation: “Return to Sender; Unclaimed; Unable to Forward.”  Thereafter, on February 16, 2017, the Commission resent the Initial Decision to the address of record via Regular Mail.  </w:t>
      </w:r>
    </w:p>
  </w:footnote>
  <w:footnote w:id="6">
    <w:p w14:paraId="7DF88FF7" w14:textId="408F4039" w:rsidR="00691CBA" w:rsidRPr="009E57CB" w:rsidRDefault="00691CBA" w:rsidP="002C31D4">
      <w:pPr>
        <w:pStyle w:val="FootnoteText"/>
        <w:keepNext/>
        <w:keepLines/>
        <w:widowControl/>
        <w:spacing w:after="120"/>
        <w:rPr>
          <w:sz w:val="26"/>
          <w:szCs w:val="26"/>
        </w:rPr>
      </w:pPr>
      <w:r>
        <w:tab/>
      </w:r>
      <w:r w:rsidRPr="009E57CB">
        <w:rPr>
          <w:rStyle w:val="FootnoteReference"/>
          <w:sz w:val="26"/>
          <w:szCs w:val="26"/>
        </w:rPr>
        <w:footnoteRef/>
      </w:r>
      <w:r w:rsidRPr="009E57CB">
        <w:rPr>
          <w:sz w:val="26"/>
          <w:szCs w:val="26"/>
        </w:rPr>
        <w:tab/>
        <w:t>On March 27, 2017, the Commission received a letter signed by “J. Bas</w:t>
      </w:r>
      <w:r>
        <w:rPr>
          <w:sz w:val="26"/>
          <w:szCs w:val="26"/>
        </w:rPr>
        <w:t>s</w:t>
      </w:r>
      <w:r w:rsidRPr="009E57CB">
        <w:rPr>
          <w:sz w:val="26"/>
          <w:szCs w:val="26"/>
        </w:rPr>
        <w:t xml:space="preserve">ett Neighbor” and “Joe Shane” which appears to be a reply to </w:t>
      </w:r>
      <w:r>
        <w:rPr>
          <w:sz w:val="26"/>
          <w:szCs w:val="26"/>
        </w:rPr>
        <w:t>PGW</w:t>
      </w:r>
      <w:r w:rsidRPr="009E57CB">
        <w:rPr>
          <w:sz w:val="26"/>
          <w:szCs w:val="26"/>
        </w:rPr>
        <w:t>’s Answer to the Petition.  Since our Regulations do not provide for the filing of responses to answers to petitions for re</w:t>
      </w:r>
      <w:r>
        <w:rPr>
          <w:sz w:val="26"/>
          <w:szCs w:val="26"/>
        </w:rPr>
        <w:t>scission</w:t>
      </w:r>
      <w:r w:rsidRPr="009E57CB">
        <w:rPr>
          <w:sz w:val="26"/>
          <w:szCs w:val="26"/>
        </w:rPr>
        <w:t>, we shall decline to consider the March 27, 2017</w:t>
      </w:r>
      <w:r>
        <w:rPr>
          <w:sz w:val="26"/>
          <w:szCs w:val="26"/>
        </w:rPr>
        <w:t>,</w:t>
      </w:r>
      <w:r w:rsidRPr="009E57CB">
        <w:rPr>
          <w:sz w:val="26"/>
          <w:szCs w:val="26"/>
        </w:rPr>
        <w:t xml:space="preserve"> letter.</w:t>
      </w:r>
    </w:p>
  </w:footnote>
  <w:footnote w:id="7">
    <w:p w14:paraId="43B7F330" w14:textId="5EBD8CB5" w:rsidR="00691CBA" w:rsidRPr="00A846BD" w:rsidRDefault="00691CBA" w:rsidP="002C31D4">
      <w:pPr>
        <w:pStyle w:val="FootnoteText"/>
        <w:keepNext/>
        <w:keepLines/>
        <w:widowControl/>
        <w:spacing w:after="120"/>
        <w:rPr>
          <w:sz w:val="26"/>
          <w:szCs w:val="26"/>
        </w:rPr>
      </w:pPr>
      <w:r>
        <w:rPr>
          <w:sz w:val="26"/>
          <w:szCs w:val="26"/>
        </w:rPr>
        <w:tab/>
      </w:r>
      <w:r w:rsidRPr="00A846BD">
        <w:rPr>
          <w:rStyle w:val="FootnoteReference"/>
          <w:sz w:val="26"/>
          <w:szCs w:val="26"/>
        </w:rPr>
        <w:footnoteRef/>
      </w:r>
      <w:r>
        <w:rPr>
          <w:sz w:val="26"/>
          <w:szCs w:val="26"/>
        </w:rPr>
        <w:tab/>
        <w:t>The Petition is signed by Ms. Mitchell and “Joe Shane.”  Mr. Shane is not otherwise identified in the filing.</w:t>
      </w:r>
    </w:p>
  </w:footnote>
  <w:footnote w:id="8">
    <w:p w14:paraId="02F9470B" w14:textId="0759F79C" w:rsidR="00691CBA" w:rsidRPr="00C13797" w:rsidRDefault="00691CBA" w:rsidP="002C31D4">
      <w:pPr>
        <w:pStyle w:val="FootnoteText"/>
        <w:keepNext/>
        <w:keepLines/>
        <w:widowControl/>
        <w:spacing w:after="120"/>
        <w:rPr>
          <w:sz w:val="26"/>
          <w:szCs w:val="26"/>
        </w:rPr>
      </w:pPr>
      <w:r>
        <w:tab/>
      </w:r>
      <w:r w:rsidRPr="00C13797">
        <w:rPr>
          <w:rStyle w:val="FootnoteReference"/>
          <w:sz w:val="26"/>
          <w:szCs w:val="26"/>
        </w:rPr>
        <w:footnoteRef/>
      </w:r>
      <w:r w:rsidRPr="00C13797">
        <w:rPr>
          <w:sz w:val="26"/>
          <w:szCs w:val="26"/>
        </w:rPr>
        <w:tab/>
      </w:r>
      <w:r>
        <w:rPr>
          <w:sz w:val="26"/>
          <w:szCs w:val="26"/>
        </w:rPr>
        <w:t>Indeed, the</w:t>
      </w:r>
      <w:r w:rsidRPr="00C13797">
        <w:rPr>
          <w:sz w:val="26"/>
          <w:szCs w:val="26"/>
        </w:rPr>
        <w:t xml:space="preserve"> record indicates that by letter dated September 4, 2016, Mr. Schwartz notified the Commission that he does not represent Ms. Mitchell in this proceeding and requested that his name be removed as counsel from this matter.</w:t>
      </w:r>
    </w:p>
  </w:footnote>
  <w:footnote w:id="9">
    <w:p w14:paraId="302712DD" w14:textId="1551B6C4" w:rsidR="00691CBA" w:rsidRPr="00F60B86" w:rsidRDefault="00691CBA" w:rsidP="002C31D4">
      <w:pPr>
        <w:pStyle w:val="FootnoteText"/>
        <w:keepNext/>
        <w:keepLines/>
        <w:widowControl/>
        <w:spacing w:after="120"/>
        <w:rPr>
          <w:sz w:val="26"/>
          <w:szCs w:val="26"/>
        </w:rPr>
      </w:pPr>
      <w:r>
        <w:rPr>
          <w:sz w:val="26"/>
          <w:szCs w:val="26"/>
        </w:rPr>
        <w:tab/>
      </w:r>
      <w:r w:rsidRPr="00F60B86">
        <w:rPr>
          <w:rStyle w:val="FootnoteReference"/>
          <w:sz w:val="26"/>
          <w:szCs w:val="26"/>
        </w:rPr>
        <w:footnoteRef/>
      </w:r>
      <w:r>
        <w:rPr>
          <w:sz w:val="26"/>
          <w:szCs w:val="26"/>
        </w:rPr>
        <w:tab/>
        <w:t xml:space="preserve">We note that our Regulations permit individuals to represent themselves.  However, we emphasize that if individuals choose to be represented by another person in an adversarial proceeding, such as this matter, the representative must be an attorney or certified legal intern.  52 Pa. Code §§ 1.21 and 1.22.  An adversarial proceeding is one that is contested and will be decided </w:t>
      </w:r>
      <w:proofErr w:type="gramStart"/>
      <w:r>
        <w:rPr>
          <w:sz w:val="26"/>
          <w:szCs w:val="26"/>
        </w:rPr>
        <w:t>on the basis of</w:t>
      </w:r>
      <w:proofErr w:type="gramEnd"/>
      <w:r>
        <w:rPr>
          <w:sz w:val="26"/>
          <w:szCs w:val="26"/>
        </w:rPr>
        <w:t xml:space="preserve"> a formal record.  52 Pa. Code § 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644"/>
    <w:rsid w:val="00000D47"/>
    <w:rsid w:val="00001FC8"/>
    <w:rsid w:val="000020EC"/>
    <w:rsid w:val="00002611"/>
    <w:rsid w:val="000046D4"/>
    <w:rsid w:val="00006685"/>
    <w:rsid w:val="00006F35"/>
    <w:rsid w:val="000118E4"/>
    <w:rsid w:val="00016D57"/>
    <w:rsid w:val="00017852"/>
    <w:rsid w:val="00021E46"/>
    <w:rsid w:val="00022B74"/>
    <w:rsid w:val="00024D5A"/>
    <w:rsid w:val="0002524C"/>
    <w:rsid w:val="00025AE5"/>
    <w:rsid w:val="00025F3F"/>
    <w:rsid w:val="00026CD2"/>
    <w:rsid w:val="000273A5"/>
    <w:rsid w:val="00031CC2"/>
    <w:rsid w:val="00036384"/>
    <w:rsid w:val="0003764E"/>
    <w:rsid w:val="00040A8E"/>
    <w:rsid w:val="00040AEA"/>
    <w:rsid w:val="00047874"/>
    <w:rsid w:val="00047F4A"/>
    <w:rsid w:val="00051A19"/>
    <w:rsid w:val="00051D05"/>
    <w:rsid w:val="000523D1"/>
    <w:rsid w:val="00052B8F"/>
    <w:rsid w:val="00054612"/>
    <w:rsid w:val="0005572E"/>
    <w:rsid w:val="00056286"/>
    <w:rsid w:val="000565D4"/>
    <w:rsid w:val="000612FD"/>
    <w:rsid w:val="000642AA"/>
    <w:rsid w:val="000649EC"/>
    <w:rsid w:val="00064AF0"/>
    <w:rsid w:val="00066EE5"/>
    <w:rsid w:val="00067260"/>
    <w:rsid w:val="000676B7"/>
    <w:rsid w:val="00070D5C"/>
    <w:rsid w:val="00072808"/>
    <w:rsid w:val="00074B0D"/>
    <w:rsid w:val="00076F35"/>
    <w:rsid w:val="0008052C"/>
    <w:rsid w:val="00084573"/>
    <w:rsid w:val="00084AF9"/>
    <w:rsid w:val="0008598C"/>
    <w:rsid w:val="00086293"/>
    <w:rsid w:val="0008710B"/>
    <w:rsid w:val="000873C5"/>
    <w:rsid w:val="000918D4"/>
    <w:rsid w:val="0009223B"/>
    <w:rsid w:val="00093164"/>
    <w:rsid w:val="00094D3B"/>
    <w:rsid w:val="0009612D"/>
    <w:rsid w:val="00097504"/>
    <w:rsid w:val="000A2639"/>
    <w:rsid w:val="000A2994"/>
    <w:rsid w:val="000A365D"/>
    <w:rsid w:val="000A490A"/>
    <w:rsid w:val="000A554F"/>
    <w:rsid w:val="000B216D"/>
    <w:rsid w:val="000B2755"/>
    <w:rsid w:val="000B2E41"/>
    <w:rsid w:val="000B2E6B"/>
    <w:rsid w:val="000B4A40"/>
    <w:rsid w:val="000B4EAE"/>
    <w:rsid w:val="000B5238"/>
    <w:rsid w:val="000B607A"/>
    <w:rsid w:val="000B6B15"/>
    <w:rsid w:val="000C1135"/>
    <w:rsid w:val="000C1425"/>
    <w:rsid w:val="000C2AE3"/>
    <w:rsid w:val="000C346C"/>
    <w:rsid w:val="000C48AD"/>
    <w:rsid w:val="000C5440"/>
    <w:rsid w:val="000C6DD4"/>
    <w:rsid w:val="000C709A"/>
    <w:rsid w:val="000D0D64"/>
    <w:rsid w:val="000D2201"/>
    <w:rsid w:val="000D5232"/>
    <w:rsid w:val="000D6AC2"/>
    <w:rsid w:val="000D6B37"/>
    <w:rsid w:val="000D7F4F"/>
    <w:rsid w:val="000E2812"/>
    <w:rsid w:val="000E33AF"/>
    <w:rsid w:val="000E426A"/>
    <w:rsid w:val="000E6377"/>
    <w:rsid w:val="000F0AD9"/>
    <w:rsid w:val="000F1560"/>
    <w:rsid w:val="000F179E"/>
    <w:rsid w:val="000F1D55"/>
    <w:rsid w:val="000F1EE9"/>
    <w:rsid w:val="000F3ACE"/>
    <w:rsid w:val="000F4307"/>
    <w:rsid w:val="000F5DE6"/>
    <w:rsid w:val="000F72EF"/>
    <w:rsid w:val="0010158F"/>
    <w:rsid w:val="00101F51"/>
    <w:rsid w:val="001026CA"/>
    <w:rsid w:val="00104D9B"/>
    <w:rsid w:val="001117FF"/>
    <w:rsid w:val="00117CB2"/>
    <w:rsid w:val="00120B39"/>
    <w:rsid w:val="00121C48"/>
    <w:rsid w:val="001238E5"/>
    <w:rsid w:val="00123A2E"/>
    <w:rsid w:val="00124071"/>
    <w:rsid w:val="00124BCE"/>
    <w:rsid w:val="001267D4"/>
    <w:rsid w:val="00132DA5"/>
    <w:rsid w:val="00135972"/>
    <w:rsid w:val="001360FC"/>
    <w:rsid w:val="001404B2"/>
    <w:rsid w:val="00140987"/>
    <w:rsid w:val="001413E1"/>
    <w:rsid w:val="00141E67"/>
    <w:rsid w:val="001447A0"/>
    <w:rsid w:val="0014497F"/>
    <w:rsid w:val="00144A8F"/>
    <w:rsid w:val="00146D52"/>
    <w:rsid w:val="00146DDD"/>
    <w:rsid w:val="00146E58"/>
    <w:rsid w:val="00147145"/>
    <w:rsid w:val="00150096"/>
    <w:rsid w:val="001500F6"/>
    <w:rsid w:val="001508E4"/>
    <w:rsid w:val="0015380A"/>
    <w:rsid w:val="00154CB6"/>
    <w:rsid w:val="00157117"/>
    <w:rsid w:val="00161087"/>
    <w:rsid w:val="00164DA4"/>
    <w:rsid w:val="00166298"/>
    <w:rsid w:val="001663C8"/>
    <w:rsid w:val="00174D3D"/>
    <w:rsid w:val="001762A9"/>
    <w:rsid w:val="00181F6E"/>
    <w:rsid w:val="00182478"/>
    <w:rsid w:val="0018289B"/>
    <w:rsid w:val="001831ED"/>
    <w:rsid w:val="0018461B"/>
    <w:rsid w:val="00184723"/>
    <w:rsid w:val="0018653B"/>
    <w:rsid w:val="00186A97"/>
    <w:rsid w:val="001911BF"/>
    <w:rsid w:val="00192094"/>
    <w:rsid w:val="001928CB"/>
    <w:rsid w:val="0019351C"/>
    <w:rsid w:val="0019530E"/>
    <w:rsid w:val="00195585"/>
    <w:rsid w:val="00195F2E"/>
    <w:rsid w:val="00197EE6"/>
    <w:rsid w:val="001A5778"/>
    <w:rsid w:val="001A5E7A"/>
    <w:rsid w:val="001B05AC"/>
    <w:rsid w:val="001B1DB4"/>
    <w:rsid w:val="001B28AE"/>
    <w:rsid w:val="001B2DE6"/>
    <w:rsid w:val="001B4AA9"/>
    <w:rsid w:val="001B7DA2"/>
    <w:rsid w:val="001B7F81"/>
    <w:rsid w:val="001C4978"/>
    <w:rsid w:val="001C58F9"/>
    <w:rsid w:val="001C7C2A"/>
    <w:rsid w:val="001D0ED2"/>
    <w:rsid w:val="001D1F7F"/>
    <w:rsid w:val="001D5C40"/>
    <w:rsid w:val="001D6096"/>
    <w:rsid w:val="001D6EAB"/>
    <w:rsid w:val="001E0B61"/>
    <w:rsid w:val="001E1276"/>
    <w:rsid w:val="001E2C66"/>
    <w:rsid w:val="001F1BAE"/>
    <w:rsid w:val="001F285E"/>
    <w:rsid w:val="001F4B29"/>
    <w:rsid w:val="001F4EA6"/>
    <w:rsid w:val="001F5292"/>
    <w:rsid w:val="001F6C7F"/>
    <w:rsid w:val="001F70B5"/>
    <w:rsid w:val="00200784"/>
    <w:rsid w:val="00202524"/>
    <w:rsid w:val="0020425B"/>
    <w:rsid w:val="0021059B"/>
    <w:rsid w:val="00210736"/>
    <w:rsid w:val="00210F81"/>
    <w:rsid w:val="00211622"/>
    <w:rsid w:val="00214B3E"/>
    <w:rsid w:val="00215BA0"/>
    <w:rsid w:val="00222CDF"/>
    <w:rsid w:val="00224218"/>
    <w:rsid w:val="00224CFA"/>
    <w:rsid w:val="00225E07"/>
    <w:rsid w:val="00226034"/>
    <w:rsid w:val="00226114"/>
    <w:rsid w:val="0022698E"/>
    <w:rsid w:val="00227906"/>
    <w:rsid w:val="00227912"/>
    <w:rsid w:val="0023031F"/>
    <w:rsid w:val="00230DEE"/>
    <w:rsid w:val="002311EE"/>
    <w:rsid w:val="00233369"/>
    <w:rsid w:val="0023353B"/>
    <w:rsid w:val="002370F5"/>
    <w:rsid w:val="00240ACA"/>
    <w:rsid w:val="00240D7B"/>
    <w:rsid w:val="00240E6F"/>
    <w:rsid w:val="00241299"/>
    <w:rsid w:val="00241D85"/>
    <w:rsid w:val="00242501"/>
    <w:rsid w:val="0024419F"/>
    <w:rsid w:val="00245014"/>
    <w:rsid w:val="00246002"/>
    <w:rsid w:val="00252CDB"/>
    <w:rsid w:val="00255462"/>
    <w:rsid w:val="00255DD5"/>
    <w:rsid w:val="00255FEC"/>
    <w:rsid w:val="00260957"/>
    <w:rsid w:val="00264646"/>
    <w:rsid w:val="00265472"/>
    <w:rsid w:val="00266175"/>
    <w:rsid w:val="002709CD"/>
    <w:rsid w:val="00271EEF"/>
    <w:rsid w:val="0027232D"/>
    <w:rsid w:val="002732AB"/>
    <w:rsid w:val="00274D0F"/>
    <w:rsid w:val="0027665A"/>
    <w:rsid w:val="00276E47"/>
    <w:rsid w:val="00277500"/>
    <w:rsid w:val="00280033"/>
    <w:rsid w:val="00281632"/>
    <w:rsid w:val="00281A5F"/>
    <w:rsid w:val="0028382A"/>
    <w:rsid w:val="00284971"/>
    <w:rsid w:val="00290D9F"/>
    <w:rsid w:val="002916C2"/>
    <w:rsid w:val="00291F68"/>
    <w:rsid w:val="002A060A"/>
    <w:rsid w:val="002A0E52"/>
    <w:rsid w:val="002A24BD"/>
    <w:rsid w:val="002A4450"/>
    <w:rsid w:val="002A60F5"/>
    <w:rsid w:val="002A6750"/>
    <w:rsid w:val="002A7BED"/>
    <w:rsid w:val="002B0ACA"/>
    <w:rsid w:val="002B10F7"/>
    <w:rsid w:val="002B1572"/>
    <w:rsid w:val="002B1B51"/>
    <w:rsid w:val="002B2296"/>
    <w:rsid w:val="002B34B6"/>
    <w:rsid w:val="002B3612"/>
    <w:rsid w:val="002B4407"/>
    <w:rsid w:val="002B5B40"/>
    <w:rsid w:val="002B67B7"/>
    <w:rsid w:val="002C0429"/>
    <w:rsid w:val="002C165F"/>
    <w:rsid w:val="002C19E4"/>
    <w:rsid w:val="002C31D4"/>
    <w:rsid w:val="002C6CC4"/>
    <w:rsid w:val="002D13C4"/>
    <w:rsid w:val="002D275E"/>
    <w:rsid w:val="002D42E8"/>
    <w:rsid w:val="002D5945"/>
    <w:rsid w:val="002D6357"/>
    <w:rsid w:val="002D7584"/>
    <w:rsid w:val="002D7CE7"/>
    <w:rsid w:val="002E0D27"/>
    <w:rsid w:val="002E1460"/>
    <w:rsid w:val="002E23A4"/>
    <w:rsid w:val="002E3026"/>
    <w:rsid w:val="002E3F06"/>
    <w:rsid w:val="002E5807"/>
    <w:rsid w:val="002E6FFA"/>
    <w:rsid w:val="002E79DE"/>
    <w:rsid w:val="002E7F8F"/>
    <w:rsid w:val="002F13A0"/>
    <w:rsid w:val="002F3F04"/>
    <w:rsid w:val="002F41BA"/>
    <w:rsid w:val="002F6B45"/>
    <w:rsid w:val="002F6E83"/>
    <w:rsid w:val="002F715F"/>
    <w:rsid w:val="00300145"/>
    <w:rsid w:val="003006D8"/>
    <w:rsid w:val="003018AA"/>
    <w:rsid w:val="00303B99"/>
    <w:rsid w:val="00304757"/>
    <w:rsid w:val="0030533A"/>
    <w:rsid w:val="00305D56"/>
    <w:rsid w:val="00305D99"/>
    <w:rsid w:val="00306A8B"/>
    <w:rsid w:val="0030714F"/>
    <w:rsid w:val="003073E2"/>
    <w:rsid w:val="00307DDF"/>
    <w:rsid w:val="00314A43"/>
    <w:rsid w:val="00322040"/>
    <w:rsid w:val="003240B8"/>
    <w:rsid w:val="00325422"/>
    <w:rsid w:val="00325555"/>
    <w:rsid w:val="0032574D"/>
    <w:rsid w:val="00325BB3"/>
    <w:rsid w:val="00325D89"/>
    <w:rsid w:val="003274C1"/>
    <w:rsid w:val="00330D53"/>
    <w:rsid w:val="0033216E"/>
    <w:rsid w:val="003324BD"/>
    <w:rsid w:val="00332C4B"/>
    <w:rsid w:val="00332DA2"/>
    <w:rsid w:val="00333FDA"/>
    <w:rsid w:val="003340DE"/>
    <w:rsid w:val="00336DA6"/>
    <w:rsid w:val="00340D19"/>
    <w:rsid w:val="003441A6"/>
    <w:rsid w:val="0034422C"/>
    <w:rsid w:val="00344804"/>
    <w:rsid w:val="003518C8"/>
    <w:rsid w:val="0035194C"/>
    <w:rsid w:val="00352A3C"/>
    <w:rsid w:val="003533B5"/>
    <w:rsid w:val="003622CA"/>
    <w:rsid w:val="00363030"/>
    <w:rsid w:val="0036316A"/>
    <w:rsid w:val="0036462C"/>
    <w:rsid w:val="00364A42"/>
    <w:rsid w:val="00366281"/>
    <w:rsid w:val="003665A9"/>
    <w:rsid w:val="003710F8"/>
    <w:rsid w:val="00372487"/>
    <w:rsid w:val="003755FB"/>
    <w:rsid w:val="0037577C"/>
    <w:rsid w:val="003772C7"/>
    <w:rsid w:val="00377F25"/>
    <w:rsid w:val="00385502"/>
    <w:rsid w:val="00386223"/>
    <w:rsid w:val="003901D9"/>
    <w:rsid w:val="00391A43"/>
    <w:rsid w:val="0039637C"/>
    <w:rsid w:val="003A0BDB"/>
    <w:rsid w:val="003A0C3E"/>
    <w:rsid w:val="003A3379"/>
    <w:rsid w:val="003A7416"/>
    <w:rsid w:val="003B0611"/>
    <w:rsid w:val="003B42D9"/>
    <w:rsid w:val="003C3140"/>
    <w:rsid w:val="003C3E02"/>
    <w:rsid w:val="003C3FE8"/>
    <w:rsid w:val="003C662D"/>
    <w:rsid w:val="003C708A"/>
    <w:rsid w:val="003C73F9"/>
    <w:rsid w:val="003C7EA2"/>
    <w:rsid w:val="003D1F5A"/>
    <w:rsid w:val="003D3227"/>
    <w:rsid w:val="003D5F07"/>
    <w:rsid w:val="003D6AB5"/>
    <w:rsid w:val="003E324F"/>
    <w:rsid w:val="003E3FF5"/>
    <w:rsid w:val="003E441B"/>
    <w:rsid w:val="003E4F24"/>
    <w:rsid w:val="003E5354"/>
    <w:rsid w:val="003E5515"/>
    <w:rsid w:val="003E7BA0"/>
    <w:rsid w:val="003F0AB8"/>
    <w:rsid w:val="003F1ADF"/>
    <w:rsid w:val="003F1B1F"/>
    <w:rsid w:val="003F51F4"/>
    <w:rsid w:val="003F52C6"/>
    <w:rsid w:val="003F558E"/>
    <w:rsid w:val="003F57A0"/>
    <w:rsid w:val="00401660"/>
    <w:rsid w:val="00403D6E"/>
    <w:rsid w:val="00407AC0"/>
    <w:rsid w:val="00411ABC"/>
    <w:rsid w:val="00412E30"/>
    <w:rsid w:val="00412EF0"/>
    <w:rsid w:val="0041416D"/>
    <w:rsid w:val="00415FAC"/>
    <w:rsid w:val="004170AF"/>
    <w:rsid w:val="004176BC"/>
    <w:rsid w:val="00420E78"/>
    <w:rsid w:val="00424121"/>
    <w:rsid w:val="00425F32"/>
    <w:rsid w:val="00427D07"/>
    <w:rsid w:val="004320FE"/>
    <w:rsid w:val="00432BB7"/>
    <w:rsid w:val="004331E9"/>
    <w:rsid w:val="00433E8D"/>
    <w:rsid w:val="00434136"/>
    <w:rsid w:val="0043592C"/>
    <w:rsid w:val="004373CE"/>
    <w:rsid w:val="00441207"/>
    <w:rsid w:val="00441374"/>
    <w:rsid w:val="004422CA"/>
    <w:rsid w:val="00443807"/>
    <w:rsid w:val="004462F7"/>
    <w:rsid w:val="00452BC4"/>
    <w:rsid w:val="00453DAD"/>
    <w:rsid w:val="004579A4"/>
    <w:rsid w:val="0046019D"/>
    <w:rsid w:val="0046055D"/>
    <w:rsid w:val="00464536"/>
    <w:rsid w:val="0046514E"/>
    <w:rsid w:val="0046623C"/>
    <w:rsid w:val="00467739"/>
    <w:rsid w:val="00470D0C"/>
    <w:rsid w:val="00474B0B"/>
    <w:rsid w:val="00474E22"/>
    <w:rsid w:val="0047608F"/>
    <w:rsid w:val="00476257"/>
    <w:rsid w:val="00476554"/>
    <w:rsid w:val="004801EF"/>
    <w:rsid w:val="004813D4"/>
    <w:rsid w:val="00482364"/>
    <w:rsid w:val="0048472F"/>
    <w:rsid w:val="004859C3"/>
    <w:rsid w:val="00486AC9"/>
    <w:rsid w:val="00491D91"/>
    <w:rsid w:val="00492BCC"/>
    <w:rsid w:val="004931C7"/>
    <w:rsid w:val="0049396D"/>
    <w:rsid w:val="0049580C"/>
    <w:rsid w:val="0049768F"/>
    <w:rsid w:val="004A03FF"/>
    <w:rsid w:val="004A04E5"/>
    <w:rsid w:val="004A1495"/>
    <w:rsid w:val="004A2165"/>
    <w:rsid w:val="004A2FC2"/>
    <w:rsid w:val="004A5F74"/>
    <w:rsid w:val="004B07B9"/>
    <w:rsid w:val="004B0B17"/>
    <w:rsid w:val="004B1052"/>
    <w:rsid w:val="004B651B"/>
    <w:rsid w:val="004B6B14"/>
    <w:rsid w:val="004C7594"/>
    <w:rsid w:val="004C75F5"/>
    <w:rsid w:val="004D10D3"/>
    <w:rsid w:val="004E206C"/>
    <w:rsid w:val="004E41CC"/>
    <w:rsid w:val="004E47EC"/>
    <w:rsid w:val="004E514F"/>
    <w:rsid w:val="004E52F7"/>
    <w:rsid w:val="004E716A"/>
    <w:rsid w:val="004E737F"/>
    <w:rsid w:val="004F03DE"/>
    <w:rsid w:val="004F22DA"/>
    <w:rsid w:val="004F6910"/>
    <w:rsid w:val="004F7A2F"/>
    <w:rsid w:val="00500800"/>
    <w:rsid w:val="00501E95"/>
    <w:rsid w:val="00502165"/>
    <w:rsid w:val="00504834"/>
    <w:rsid w:val="00504C7A"/>
    <w:rsid w:val="00505AEE"/>
    <w:rsid w:val="0050632E"/>
    <w:rsid w:val="0050752D"/>
    <w:rsid w:val="00511EF3"/>
    <w:rsid w:val="0051386E"/>
    <w:rsid w:val="00514507"/>
    <w:rsid w:val="0051475B"/>
    <w:rsid w:val="00515B78"/>
    <w:rsid w:val="00517BDC"/>
    <w:rsid w:val="00521350"/>
    <w:rsid w:val="00524D3F"/>
    <w:rsid w:val="0052690E"/>
    <w:rsid w:val="005351B9"/>
    <w:rsid w:val="00536011"/>
    <w:rsid w:val="00540506"/>
    <w:rsid w:val="00545E7B"/>
    <w:rsid w:val="00546525"/>
    <w:rsid w:val="0055024F"/>
    <w:rsid w:val="00550B79"/>
    <w:rsid w:val="0055150B"/>
    <w:rsid w:val="005532F9"/>
    <w:rsid w:val="0055440B"/>
    <w:rsid w:val="0055708D"/>
    <w:rsid w:val="00557170"/>
    <w:rsid w:val="005601C4"/>
    <w:rsid w:val="005606BE"/>
    <w:rsid w:val="00561CA6"/>
    <w:rsid w:val="005624DB"/>
    <w:rsid w:val="00564565"/>
    <w:rsid w:val="005647BE"/>
    <w:rsid w:val="00565C75"/>
    <w:rsid w:val="00566093"/>
    <w:rsid w:val="00566299"/>
    <w:rsid w:val="00567DE9"/>
    <w:rsid w:val="005725F6"/>
    <w:rsid w:val="00572BAA"/>
    <w:rsid w:val="00575BBD"/>
    <w:rsid w:val="0057609F"/>
    <w:rsid w:val="0057699D"/>
    <w:rsid w:val="00577CFB"/>
    <w:rsid w:val="00577DB0"/>
    <w:rsid w:val="00582D2F"/>
    <w:rsid w:val="00584C5F"/>
    <w:rsid w:val="00586817"/>
    <w:rsid w:val="00586D92"/>
    <w:rsid w:val="00587507"/>
    <w:rsid w:val="005964C0"/>
    <w:rsid w:val="00596A0B"/>
    <w:rsid w:val="00596E05"/>
    <w:rsid w:val="00596F85"/>
    <w:rsid w:val="005970FA"/>
    <w:rsid w:val="005A0176"/>
    <w:rsid w:val="005A088E"/>
    <w:rsid w:val="005A2298"/>
    <w:rsid w:val="005A28C1"/>
    <w:rsid w:val="005A43A7"/>
    <w:rsid w:val="005A72FC"/>
    <w:rsid w:val="005A797B"/>
    <w:rsid w:val="005B0388"/>
    <w:rsid w:val="005B109A"/>
    <w:rsid w:val="005B316C"/>
    <w:rsid w:val="005B420C"/>
    <w:rsid w:val="005C2FD5"/>
    <w:rsid w:val="005C3C4C"/>
    <w:rsid w:val="005C5378"/>
    <w:rsid w:val="005D16A2"/>
    <w:rsid w:val="005D2AB9"/>
    <w:rsid w:val="005D34E2"/>
    <w:rsid w:val="005D496E"/>
    <w:rsid w:val="005D6C0B"/>
    <w:rsid w:val="005D7C20"/>
    <w:rsid w:val="005E6960"/>
    <w:rsid w:val="005E7EB8"/>
    <w:rsid w:val="005F0BD8"/>
    <w:rsid w:val="005F0C02"/>
    <w:rsid w:val="005F18D6"/>
    <w:rsid w:val="0060024E"/>
    <w:rsid w:val="00602089"/>
    <w:rsid w:val="00603024"/>
    <w:rsid w:val="00604FC7"/>
    <w:rsid w:val="006116E3"/>
    <w:rsid w:val="00613994"/>
    <w:rsid w:val="00616B7D"/>
    <w:rsid w:val="00620251"/>
    <w:rsid w:val="00620F5A"/>
    <w:rsid w:val="00623430"/>
    <w:rsid w:val="00624400"/>
    <w:rsid w:val="00624E51"/>
    <w:rsid w:val="00626162"/>
    <w:rsid w:val="00626B8B"/>
    <w:rsid w:val="006344DE"/>
    <w:rsid w:val="00634719"/>
    <w:rsid w:val="00636A5D"/>
    <w:rsid w:val="006373F9"/>
    <w:rsid w:val="00641D51"/>
    <w:rsid w:val="006503E8"/>
    <w:rsid w:val="00651C1B"/>
    <w:rsid w:val="00652C73"/>
    <w:rsid w:val="00654A4A"/>
    <w:rsid w:val="006552BB"/>
    <w:rsid w:val="0065545A"/>
    <w:rsid w:val="00655657"/>
    <w:rsid w:val="006556A7"/>
    <w:rsid w:val="00655BA2"/>
    <w:rsid w:val="006626F6"/>
    <w:rsid w:val="00663305"/>
    <w:rsid w:val="006661CF"/>
    <w:rsid w:val="0066660C"/>
    <w:rsid w:val="006708DB"/>
    <w:rsid w:val="00670BFD"/>
    <w:rsid w:val="00671E4C"/>
    <w:rsid w:val="00672DD6"/>
    <w:rsid w:val="00674295"/>
    <w:rsid w:val="006818A8"/>
    <w:rsid w:val="00681A51"/>
    <w:rsid w:val="00682469"/>
    <w:rsid w:val="0068345D"/>
    <w:rsid w:val="00683D97"/>
    <w:rsid w:val="006841DE"/>
    <w:rsid w:val="00684FCA"/>
    <w:rsid w:val="00685105"/>
    <w:rsid w:val="00686B5C"/>
    <w:rsid w:val="006879DE"/>
    <w:rsid w:val="00691CBA"/>
    <w:rsid w:val="006962FB"/>
    <w:rsid w:val="00696997"/>
    <w:rsid w:val="00697D02"/>
    <w:rsid w:val="006A07F0"/>
    <w:rsid w:val="006A224F"/>
    <w:rsid w:val="006A3209"/>
    <w:rsid w:val="006A3BE0"/>
    <w:rsid w:val="006A758C"/>
    <w:rsid w:val="006B22C2"/>
    <w:rsid w:val="006B346F"/>
    <w:rsid w:val="006B4DA1"/>
    <w:rsid w:val="006C115B"/>
    <w:rsid w:val="006C1EEC"/>
    <w:rsid w:val="006C3CB9"/>
    <w:rsid w:val="006C3F75"/>
    <w:rsid w:val="006C3FEA"/>
    <w:rsid w:val="006C4898"/>
    <w:rsid w:val="006C49D8"/>
    <w:rsid w:val="006C69E7"/>
    <w:rsid w:val="006D01E8"/>
    <w:rsid w:val="006D10AE"/>
    <w:rsid w:val="006D29F2"/>
    <w:rsid w:val="006D7CA2"/>
    <w:rsid w:val="006E065B"/>
    <w:rsid w:val="006E09D3"/>
    <w:rsid w:val="006E1E68"/>
    <w:rsid w:val="006E1E6C"/>
    <w:rsid w:val="006E20D9"/>
    <w:rsid w:val="006E4254"/>
    <w:rsid w:val="006E5505"/>
    <w:rsid w:val="006E79DF"/>
    <w:rsid w:val="006F13C9"/>
    <w:rsid w:val="006F1CFB"/>
    <w:rsid w:val="006F240A"/>
    <w:rsid w:val="006F2FB3"/>
    <w:rsid w:val="006F3EA8"/>
    <w:rsid w:val="006F531B"/>
    <w:rsid w:val="006F62BC"/>
    <w:rsid w:val="00701370"/>
    <w:rsid w:val="00702493"/>
    <w:rsid w:val="00706DF1"/>
    <w:rsid w:val="00706F91"/>
    <w:rsid w:val="00707CCB"/>
    <w:rsid w:val="00710851"/>
    <w:rsid w:val="00714F3B"/>
    <w:rsid w:val="00715FA6"/>
    <w:rsid w:val="007166F7"/>
    <w:rsid w:val="00716AEF"/>
    <w:rsid w:val="00717076"/>
    <w:rsid w:val="00717296"/>
    <w:rsid w:val="007215E4"/>
    <w:rsid w:val="00722088"/>
    <w:rsid w:val="00722967"/>
    <w:rsid w:val="00723FB6"/>
    <w:rsid w:val="00726593"/>
    <w:rsid w:val="00727370"/>
    <w:rsid w:val="0073080E"/>
    <w:rsid w:val="007341CE"/>
    <w:rsid w:val="00735D9E"/>
    <w:rsid w:val="00740756"/>
    <w:rsid w:val="0074109C"/>
    <w:rsid w:val="00742335"/>
    <w:rsid w:val="00742842"/>
    <w:rsid w:val="00750E4A"/>
    <w:rsid w:val="00753376"/>
    <w:rsid w:val="007536F3"/>
    <w:rsid w:val="007543B0"/>
    <w:rsid w:val="007568A9"/>
    <w:rsid w:val="00761514"/>
    <w:rsid w:val="00763CE7"/>
    <w:rsid w:val="0076456C"/>
    <w:rsid w:val="007655D8"/>
    <w:rsid w:val="00767A87"/>
    <w:rsid w:val="00770A31"/>
    <w:rsid w:val="0077128B"/>
    <w:rsid w:val="00772177"/>
    <w:rsid w:val="0077556F"/>
    <w:rsid w:val="007755CB"/>
    <w:rsid w:val="00775C65"/>
    <w:rsid w:val="0077639A"/>
    <w:rsid w:val="00776C0E"/>
    <w:rsid w:val="00780A58"/>
    <w:rsid w:val="0078100C"/>
    <w:rsid w:val="00781571"/>
    <w:rsid w:val="0078157F"/>
    <w:rsid w:val="007834F2"/>
    <w:rsid w:val="00786F48"/>
    <w:rsid w:val="0078772C"/>
    <w:rsid w:val="007878E4"/>
    <w:rsid w:val="007902F4"/>
    <w:rsid w:val="0079391F"/>
    <w:rsid w:val="0079575A"/>
    <w:rsid w:val="007963BD"/>
    <w:rsid w:val="00796741"/>
    <w:rsid w:val="007969FB"/>
    <w:rsid w:val="00797FD6"/>
    <w:rsid w:val="007A4783"/>
    <w:rsid w:val="007A5191"/>
    <w:rsid w:val="007B0500"/>
    <w:rsid w:val="007B0FD9"/>
    <w:rsid w:val="007B111B"/>
    <w:rsid w:val="007B20DE"/>
    <w:rsid w:val="007B3AE8"/>
    <w:rsid w:val="007B4418"/>
    <w:rsid w:val="007B51B3"/>
    <w:rsid w:val="007B5F19"/>
    <w:rsid w:val="007B5F62"/>
    <w:rsid w:val="007B66B3"/>
    <w:rsid w:val="007B6753"/>
    <w:rsid w:val="007B7077"/>
    <w:rsid w:val="007C3003"/>
    <w:rsid w:val="007C31B5"/>
    <w:rsid w:val="007C455B"/>
    <w:rsid w:val="007C6B60"/>
    <w:rsid w:val="007C6F85"/>
    <w:rsid w:val="007D316E"/>
    <w:rsid w:val="007D3AA0"/>
    <w:rsid w:val="007D3FE2"/>
    <w:rsid w:val="007D5690"/>
    <w:rsid w:val="007D69FA"/>
    <w:rsid w:val="007E1600"/>
    <w:rsid w:val="007F73BD"/>
    <w:rsid w:val="00810603"/>
    <w:rsid w:val="00814283"/>
    <w:rsid w:val="008164D4"/>
    <w:rsid w:val="00816AD6"/>
    <w:rsid w:val="00820209"/>
    <w:rsid w:val="00820F35"/>
    <w:rsid w:val="00820FEC"/>
    <w:rsid w:val="0082393D"/>
    <w:rsid w:val="00823B41"/>
    <w:rsid w:val="00827CE5"/>
    <w:rsid w:val="0083324D"/>
    <w:rsid w:val="0083618C"/>
    <w:rsid w:val="00841733"/>
    <w:rsid w:val="0084270A"/>
    <w:rsid w:val="00844D38"/>
    <w:rsid w:val="00844D85"/>
    <w:rsid w:val="00846E83"/>
    <w:rsid w:val="00847AB0"/>
    <w:rsid w:val="008524BE"/>
    <w:rsid w:val="00852869"/>
    <w:rsid w:val="00852C9E"/>
    <w:rsid w:val="00853BC2"/>
    <w:rsid w:val="0085402A"/>
    <w:rsid w:val="00854278"/>
    <w:rsid w:val="0085486C"/>
    <w:rsid w:val="00856063"/>
    <w:rsid w:val="00857172"/>
    <w:rsid w:val="00860EB4"/>
    <w:rsid w:val="0086236A"/>
    <w:rsid w:val="0086544C"/>
    <w:rsid w:val="0087035A"/>
    <w:rsid w:val="0087125E"/>
    <w:rsid w:val="0087282C"/>
    <w:rsid w:val="0087347D"/>
    <w:rsid w:val="0087708E"/>
    <w:rsid w:val="00877B1D"/>
    <w:rsid w:val="00881673"/>
    <w:rsid w:val="00882DAD"/>
    <w:rsid w:val="00885263"/>
    <w:rsid w:val="008855BB"/>
    <w:rsid w:val="008907C4"/>
    <w:rsid w:val="00892DA5"/>
    <w:rsid w:val="008938C6"/>
    <w:rsid w:val="008949B1"/>
    <w:rsid w:val="008953F1"/>
    <w:rsid w:val="0089713E"/>
    <w:rsid w:val="008A10F3"/>
    <w:rsid w:val="008A5C0F"/>
    <w:rsid w:val="008B1596"/>
    <w:rsid w:val="008B4EA3"/>
    <w:rsid w:val="008C09C4"/>
    <w:rsid w:val="008C1F44"/>
    <w:rsid w:val="008C3140"/>
    <w:rsid w:val="008C349D"/>
    <w:rsid w:val="008C43F1"/>
    <w:rsid w:val="008C4BB5"/>
    <w:rsid w:val="008C6018"/>
    <w:rsid w:val="008C646F"/>
    <w:rsid w:val="008D01FC"/>
    <w:rsid w:val="008D1055"/>
    <w:rsid w:val="008D11D9"/>
    <w:rsid w:val="008D3419"/>
    <w:rsid w:val="008D3B80"/>
    <w:rsid w:val="008E38F9"/>
    <w:rsid w:val="008E3CC2"/>
    <w:rsid w:val="008E3E4B"/>
    <w:rsid w:val="008E4230"/>
    <w:rsid w:val="008E4EF9"/>
    <w:rsid w:val="008E6DFC"/>
    <w:rsid w:val="008E7710"/>
    <w:rsid w:val="008F1563"/>
    <w:rsid w:val="008F2510"/>
    <w:rsid w:val="008F35A0"/>
    <w:rsid w:val="008F43D8"/>
    <w:rsid w:val="0090074D"/>
    <w:rsid w:val="00900D4D"/>
    <w:rsid w:val="00901728"/>
    <w:rsid w:val="00903F34"/>
    <w:rsid w:val="00904DAD"/>
    <w:rsid w:val="00905C0A"/>
    <w:rsid w:val="00905E97"/>
    <w:rsid w:val="0090633B"/>
    <w:rsid w:val="00907253"/>
    <w:rsid w:val="00911BC6"/>
    <w:rsid w:val="009122F8"/>
    <w:rsid w:val="009137C4"/>
    <w:rsid w:val="00915520"/>
    <w:rsid w:val="009155F7"/>
    <w:rsid w:val="00916FA1"/>
    <w:rsid w:val="00921131"/>
    <w:rsid w:val="00923B1D"/>
    <w:rsid w:val="00923DEF"/>
    <w:rsid w:val="009243DF"/>
    <w:rsid w:val="009247F5"/>
    <w:rsid w:val="009250F7"/>
    <w:rsid w:val="00926AB2"/>
    <w:rsid w:val="00930C74"/>
    <w:rsid w:val="00931B85"/>
    <w:rsid w:val="00931C48"/>
    <w:rsid w:val="00933DB5"/>
    <w:rsid w:val="00934BFC"/>
    <w:rsid w:val="009356E6"/>
    <w:rsid w:val="00937780"/>
    <w:rsid w:val="009407FE"/>
    <w:rsid w:val="00940BD4"/>
    <w:rsid w:val="009419FA"/>
    <w:rsid w:val="00942436"/>
    <w:rsid w:val="00944469"/>
    <w:rsid w:val="00951885"/>
    <w:rsid w:val="00957603"/>
    <w:rsid w:val="00957A1D"/>
    <w:rsid w:val="00960298"/>
    <w:rsid w:val="0096487B"/>
    <w:rsid w:val="0096697B"/>
    <w:rsid w:val="0096699A"/>
    <w:rsid w:val="00966DA8"/>
    <w:rsid w:val="00975572"/>
    <w:rsid w:val="009757D1"/>
    <w:rsid w:val="00975907"/>
    <w:rsid w:val="0097674C"/>
    <w:rsid w:val="00980205"/>
    <w:rsid w:val="00980754"/>
    <w:rsid w:val="00981535"/>
    <w:rsid w:val="0098222F"/>
    <w:rsid w:val="009825C8"/>
    <w:rsid w:val="0098409F"/>
    <w:rsid w:val="009843CB"/>
    <w:rsid w:val="00985537"/>
    <w:rsid w:val="00986860"/>
    <w:rsid w:val="00991698"/>
    <w:rsid w:val="00991C17"/>
    <w:rsid w:val="00992D1E"/>
    <w:rsid w:val="00993755"/>
    <w:rsid w:val="00996145"/>
    <w:rsid w:val="00997EB2"/>
    <w:rsid w:val="00997F3B"/>
    <w:rsid w:val="009A06F5"/>
    <w:rsid w:val="009A0788"/>
    <w:rsid w:val="009A0E92"/>
    <w:rsid w:val="009A17EC"/>
    <w:rsid w:val="009A2EF5"/>
    <w:rsid w:val="009A39E6"/>
    <w:rsid w:val="009B03DF"/>
    <w:rsid w:val="009B1F16"/>
    <w:rsid w:val="009B5BE5"/>
    <w:rsid w:val="009B6AF0"/>
    <w:rsid w:val="009C292D"/>
    <w:rsid w:val="009C41C8"/>
    <w:rsid w:val="009C5F0C"/>
    <w:rsid w:val="009C67C0"/>
    <w:rsid w:val="009D1035"/>
    <w:rsid w:val="009D13D0"/>
    <w:rsid w:val="009D2068"/>
    <w:rsid w:val="009D4C89"/>
    <w:rsid w:val="009D7D01"/>
    <w:rsid w:val="009D7D33"/>
    <w:rsid w:val="009E4DD4"/>
    <w:rsid w:val="009E4E3F"/>
    <w:rsid w:val="009E57CB"/>
    <w:rsid w:val="009E698B"/>
    <w:rsid w:val="009F1547"/>
    <w:rsid w:val="009F16E4"/>
    <w:rsid w:val="009F1F02"/>
    <w:rsid w:val="009F4ABA"/>
    <w:rsid w:val="009F6F0B"/>
    <w:rsid w:val="00A00AC6"/>
    <w:rsid w:val="00A030DD"/>
    <w:rsid w:val="00A04550"/>
    <w:rsid w:val="00A066AE"/>
    <w:rsid w:val="00A069D6"/>
    <w:rsid w:val="00A07FAC"/>
    <w:rsid w:val="00A10DD9"/>
    <w:rsid w:val="00A12C6B"/>
    <w:rsid w:val="00A14117"/>
    <w:rsid w:val="00A149FA"/>
    <w:rsid w:val="00A1767B"/>
    <w:rsid w:val="00A17DF0"/>
    <w:rsid w:val="00A20F78"/>
    <w:rsid w:val="00A218F1"/>
    <w:rsid w:val="00A21932"/>
    <w:rsid w:val="00A2371C"/>
    <w:rsid w:val="00A24EB3"/>
    <w:rsid w:val="00A26BCA"/>
    <w:rsid w:val="00A26D3E"/>
    <w:rsid w:val="00A27077"/>
    <w:rsid w:val="00A27DEE"/>
    <w:rsid w:val="00A31B93"/>
    <w:rsid w:val="00A31FC0"/>
    <w:rsid w:val="00A3290B"/>
    <w:rsid w:val="00A32FA7"/>
    <w:rsid w:val="00A372B8"/>
    <w:rsid w:val="00A375EF"/>
    <w:rsid w:val="00A47557"/>
    <w:rsid w:val="00A47CB0"/>
    <w:rsid w:val="00A50D8A"/>
    <w:rsid w:val="00A528C2"/>
    <w:rsid w:val="00A54AFD"/>
    <w:rsid w:val="00A54E69"/>
    <w:rsid w:val="00A6006E"/>
    <w:rsid w:val="00A61B06"/>
    <w:rsid w:val="00A62113"/>
    <w:rsid w:val="00A634F6"/>
    <w:rsid w:val="00A66D9E"/>
    <w:rsid w:val="00A672B1"/>
    <w:rsid w:val="00A6759C"/>
    <w:rsid w:val="00A67923"/>
    <w:rsid w:val="00A713ED"/>
    <w:rsid w:val="00A714B8"/>
    <w:rsid w:val="00A72DB7"/>
    <w:rsid w:val="00A735A0"/>
    <w:rsid w:val="00A73915"/>
    <w:rsid w:val="00A73E56"/>
    <w:rsid w:val="00A74901"/>
    <w:rsid w:val="00A75733"/>
    <w:rsid w:val="00A75753"/>
    <w:rsid w:val="00A758CD"/>
    <w:rsid w:val="00A76308"/>
    <w:rsid w:val="00A76846"/>
    <w:rsid w:val="00A77C08"/>
    <w:rsid w:val="00A8106B"/>
    <w:rsid w:val="00A810ED"/>
    <w:rsid w:val="00A81527"/>
    <w:rsid w:val="00A82058"/>
    <w:rsid w:val="00A825C9"/>
    <w:rsid w:val="00A82CA8"/>
    <w:rsid w:val="00A846BD"/>
    <w:rsid w:val="00A84AE7"/>
    <w:rsid w:val="00A867DC"/>
    <w:rsid w:val="00A869B0"/>
    <w:rsid w:val="00A9289F"/>
    <w:rsid w:val="00A92C1D"/>
    <w:rsid w:val="00A95964"/>
    <w:rsid w:val="00A97729"/>
    <w:rsid w:val="00AA095A"/>
    <w:rsid w:val="00AA0C77"/>
    <w:rsid w:val="00AA1D27"/>
    <w:rsid w:val="00AA204C"/>
    <w:rsid w:val="00AA2D57"/>
    <w:rsid w:val="00AA3941"/>
    <w:rsid w:val="00AA3D09"/>
    <w:rsid w:val="00AA56D0"/>
    <w:rsid w:val="00AB0C9F"/>
    <w:rsid w:val="00AB143A"/>
    <w:rsid w:val="00AB2B96"/>
    <w:rsid w:val="00AB364C"/>
    <w:rsid w:val="00AC003C"/>
    <w:rsid w:val="00AC0103"/>
    <w:rsid w:val="00AC12C3"/>
    <w:rsid w:val="00AC1404"/>
    <w:rsid w:val="00AC1794"/>
    <w:rsid w:val="00AC3246"/>
    <w:rsid w:val="00AD039F"/>
    <w:rsid w:val="00AD1F37"/>
    <w:rsid w:val="00AD2726"/>
    <w:rsid w:val="00AD3902"/>
    <w:rsid w:val="00AD4A42"/>
    <w:rsid w:val="00AD6010"/>
    <w:rsid w:val="00AD7E00"/>
    <w:rsid w:val="00AE071D"/>
    <w:rsid w:val="00AE33FF"/>
    <w:rsid w:val="00AE47DB"/>
    <w:rsid w:val="00AE4C7A"/>
    <w:rsid w:val="00AF06D5"/>
    <w:rsid w:val="00AF0877"/>
    <w:rsid w:val="00AF09DD"/>
    <w:rsid w:val="00AF6398"/>
    <w:rsid w:val="00B009F9"/>
    <w:rsid w:val="00B01357"/>
    <w:rsid w:val="00B02494"/>
    <w:rsid w:val="00B025E9"/>
    <w:rsid w:val="00B02655"/>
    <w:rsid w:val="00B05102"/>
    <w:rsid w:val="00B102A9"/>
    <w:rsid w:val="00B1097E"/>
    <w:rsid w:val="00B155DE"/>
    <w:rsid w:val="00B163C5"/>
    <w:rsid w:val="00B16A34"/>
    <w:rsid w:val="00B172B1"/>
    <w:rsid w:val="00B2210C"/>
    <w:rsid w:val="00B2381A"/>
    <w:rsid w:val="00B25453"/>
    <w:rsid w:val="00B2549D"/>
    <w:rsid w:val="00B256BC"/>
    <w:rsid w:val="00B2666A"/>
    <w:rsid w:val="00B268D6"/>
    <w:rsid w:val="00B311F2"/>
    <w:rsid w:val="00B31B9C"/>
    <w:rsid w:val="00B32CC5"/>
    <w:rsid w:val="00B34AE2"/>
    <w:rsid w:val="00B34D6C"/>
    <w:rsid w:val="00B362BC"/>
    <w:rsid w:val="00B378C2"/>
    <w:rsid w:val="00B53B1C"/>
    <w:rsid w:val="00B5544F"/>
    <w:rsid w:val="00B55E5D"/>
    <w:rsid w:val="00B56D48"/>
    <w:rsid w:val="00B5772F"/>
    <w:rsid w:val="00B57849"/>
    <w:rsid w:val="00B60A36"/>
    <w:rsid w:val="00B60A62"/>
    <w:rsid w:val="00B60D7D"/>
    <w:rsid w:val="00B61C7E"/>
    <w:rsid w:val="00B66867"/>
    <w:rsid w:val="00B66994"/>
    <w:rsid w:val="00B6706C"/>
    <w:rsid w:val="00B67B2F"/>
    <w:rsid w:val="00B70ABF"/>
    <w:rsid w:val="00B71AFB"/>
    <w:rsid w:val="00B71F3A"/>
    <w:rsid w:val="00B73C97"/>
    <w:rsid w:val="00B74E9B"/>
    <w:rsid w:val="00B76340"/>
    <w:rsid w:val="00B76D2F"/>
    <w:rsid w:val="00B77F60"/>
    <w:rsid w:val="00B80C43"/>
    <w:rsid w:val="00B8628F"/>
    <w:rsid w:val="00B86788"/>
    <w:rsid w:val="00B90AE5"/>
    <w:rsid w:val="00B91D2E"/>
    <w:rsid w:val="00B94786"/>
    <w:rsid w:val="00B952A5"/>
    <w:rsid w:val="00BA2E1C"/>
    <w:rsid w:val="00BA78B6"/>
    <w:rsid w:val="00BB26AD"/>
    <w:rsid w:val="00BB5CE8"/>
    <w:rsid w:val="00BB6E66"/>
    <w:rsid w:val="00BB79BD"/>
    <w:rsid w:val="00BC66A0"/>
    <w:rsid w:val="00BC7208"/>
    <w:rsid w:val="00BD0B48"/>
    <w:rsid w:val="00BD1925"/>
    <w:rsid w:val="00BD2A0A"/>
    <w:rsid w:val="00BD2D1B"/>
    <w:rsid w:val="00BD45DE"/>
    <w:rsid w:val="00BD5D0F"/>
    <w:rsid w:val="00BD7C68"/>
    <w:rsid w:val="00BE1CBC"/>
    <w:rsid w:val="00BE29DC"/>
    <w:rsid w:val="00BE545C"/>
    <w:rsid w:val="00BE55A3"/>
    <w:rsid w:val="00BE6261"/>
    <w:rsid w:val="00BE7B14"/>
    <w:rsid w:val="00BF2996"/>
    <w:rsid w:val="00BF31FB"/>
    <w:rsid w:val="00BF43DA"/>
    <w:rsid w:val="00BF5571"/>
    <w:rsid w:val="00BF5E98"/>
    <w:rsid w:val="00BF679B"/>
    <w:rsid w:val="00BF697A"/>
    <w:rsid w:val="00BF6A24"/>
    <w:rsid w:val="00BF6ADB"/>
    <w:rsid w:val="00C03776"/>
    <w:rsid w:val="00C07DB4"/>
    <w:rsid w:val="00C13797"/>
    <w:rsid w:val="00C13821"/>
    <w:rsid w:val="00C13FE5"/>
    <w:rsid w:val="00C14051"/>
    <w:rsid w:val="00C15F73"/>
    <w:rsid w:val="00C16257"/>
    <w:rsid w:val="00C16E76"/>
    <w:rsid w:val="00C1785A"/>
    <w:rsid w:val="00C2037B"/>
    <w:rsid w:val="00C22FF7"/>
    <w:rsid w:val="00C272C5"/>
    <w:rsid w:val="00C27F76"/>
    <w:rsid w:val="00C30DA4"/>
    <w:rsid w:val="00C30F64"/>
    <w:rsid w:val="00C3295F"/>
    <w:rsid w:val="00C360BF"/>
    <w:rsid w:val="00C41ECA"/>
    <w:rsid w:val="00C44719"/>
    <w:rsid w:val="00C44B98"/>
    <w:rsid w:val="00C50108"/>
    <w:rsid w:val="00C50903"/>
    <w:rsid w:val="00C51056"/>
    <w:rsid w:val="00C525D4"/>
    <w:rsid w:val="00C557F8"/>
    <w:rsid w:val="00C62774"/>
    <w:rsid w:val="00C62B60"/>
    <w:rsid w:val="00C6319E"/>
    <w:rsid w:val="00C6572C"/>
    <w:rsid w:val="00C665B2"/>
    <w:rsid w:val="00C679B5"/>
    <w:rsid w:val="00C70CFF"/>
    <w:rsid w:val="00C749B5"/>
    <w:rsid w:val="00C75655"/>
    <w:rsid w:val="00C8070A"/>
    <w:rsid w:val="00C80BF6"/>
    <w:rsid w:val="00C837C3"/>
    <w:rsid w:val="00C839D6"/>
    <w:rsid w:val="00C84497"/>
    <w:rsid w:val="00C851CB"/>
    <w:rsid w:val="00C868F6"/>
    <w:rsid w:val="00C911A1"/>
    <w:rsid w:val="00C9137C"/>
    <w:rsid w:val="00C91644"/>
    <w:rsid w:val="00C919DB"/>
    <w:rsid w:val="00C956CB"/>
    <w:rsid w:val="00C9663B"/>
    <w:rsid w:val="00CA135E"/>
    <w:rsid w:val="00CA32E1"/>
    <w:rsid w:val="00CA387C"/>
    <w:rsid w:val="00CA43A5"/>
    <w:rsid w:val="00CA73D2"/>
    <w:rsid w:val="00CA7718"/>
    <w:rsid w:val="00CA7C0B"/>
    <w:rsid w:val="00CB0B57"/>
    <w:rsid w:val="00CB4762"/>
    <w:rsid w:val="00CB6E2B"/>
    <w:rsid w:val="00CB6FF7"/>
    <w:rsid w:val="00CB7302"/>
    <w:rsid w:val="00CC1E9F"/>
    <w:rsid w:val="00CC1F25"/>
    <w:rsid w:val="00CC3680"/>
    <w:rsid w:val="00CC5896"/>
    <w:rsid w:val="00CD3BA2"/>
    <w:rsid w:val="00CD5ACE"/>
    <w:rsid w:val="00CD718C"/>
    <w:rsid w:val="00CE0C35"/>
    <w:rsid w:val="00CE2831"/>
    <w:rsid w:val="00CE3810"/>
    <w:rsid w:val="00CE3EC9"/>
    <w:rsid w:val="00CE437F"/>
    <w:rsid w:val="00CE52B4"/>
    <w:rsid w:val="00CE5DCD"/>
    <w:rsid w:val="00CE701C"/>
    <w:rsid w:val="00CE7599"/>
    <w:rsid w:val="00CE7C2C"/>
    <w:rsid w:val="00CF414A"/>
    <w:rsid w:val="00CF4FF0"/>
    <w:rsid w:val="00CF5B47"/>
    <w:rsid w:val="00D0269E"/>
    <w:rsid w:val="00D03317"/>
    <w:rsid w:val="00D051BD"/>
    <w:rsid w:val="00D06749"/>
    <w:rsid w:val="00D07302"/>
    <w:rsid w:val="00D104F9"/>
    <w:rsid w:val="00D10F2C"/>
    <w:rsid w:val="00D11166"/>
    <w:rsid w:val="00D12B30"/>
    <w:rsid w:val="00D12C5E"/>
    <w:rsid w:val="00D14323"/>
    <w:rsid w:val="00D16008"/>
    <w:rsid w:val="00D166D4"/>
    <w:rsid w:val="00D2039C"/>
    <w:rsid w:val="00D21327"/>
    <w:rsid w:val="00D247B2"/>
    <w:rsid w:val="00D30254"/>
    <w:rsid w:val="00D30FF5"/>
    <w:rsid w:val="00D316E9"/>
    <w:rsid w:val="00D33768"/>
    <w:rsid w:val="00D33D87"/>
    <w:rsid w:val="00D35077"/>
    <w:rsid w:val="00D35A6E"/>
    <w:rsid w:val="00D408A8"/>
    <w:rsid w:val="00D40C23"/>
    <w:rsid w:val="00D4362B"/>
    <w:rsid w:val="00D45FFE"/>
    <w:rsid w:val="00D46DAE"/>
    <w:rsid w:val="00D51C8F"/>
    <w:rsid w:val="00D5204B"/>
    <w:rsid w:val="00D522B1"/>
    <w:rsid w:val="00D54C10"/>
    <w:rsid w:val="00D55191"/>
    <w:rsid w:val="00D55CD0"/>
    <w:rsid w:val="00D57544"/>
    <w:rsid w:val="00D57973"/>
    <w:rsid w:val="00D60CE2"/>
    <w:rsid w:val="00D612EC"/>
    <w:rsid w:val="00D6153E"/>
    <w:rsid w:val="00D623C4"/>
    <w:rsid w:val="00D66BE5"/>
    <w:rsid w:val="00D722DF"/>
    <w:rsid w:val="00D74098"/>
    <w:rsid w:val="00D81AF2"/>
    <w:rsid w:val="00D8463A"/>
    <w:rsid w:val="00D84675"/>
    <w:rsid w:val="00D8491F"/>
    <w:rsid w:val="00D850FB"/>
    <w:rsid w:val="00D8526A"/>
    <w:rsid w:val="00D85630"/>
    <w:rsid w:val="00D86252"/>
    <w:rsid w:val="00D917F3"/>
    <w:rsid w:val="00D92AA6"/>
    <w:rsid w:val="00D944C4"/>
    <w:rsid w:val="00D97BAA"/>
    <w:rsid w:val="00DA2728"/>
    <w:rsid w:val="00DA3AF3"/>
    <w:rsid w:val="00DA5455"/>
    <w:rsid w:val="00DA5C2B"/>
    <w:rsid w:val="00DB080F"/>
    <w:rsid w:val="00DB1D23"/>
    <w:rsid w:val="00DB3295"/>
    <w:rsid w:val="00DB5EFB"/>
    <w:rsid w:val="00DB65DC"/>
    <w:rsid w:val="00DB6EF1"/>
    <w:rsid w:val="00DC19BB"/>
    <w:rsid w:val="00DC373A"/>
    <w:rsid w:val="00DC3789"/>
    <w:rsid w:val="00DC4595"/>
    <w:rsid w:val="00DC6404"/>
    <w:rsid w:val="00DC739B"/>
    <w:rsid w:val="00DC739E"/>
    <w:rsid w:val="00DC76FC"/>
    <w:rsid w:val="00DD6C57"/>
    <w:rsid w:val="00DD7FDF"/>
    <w:rsid w:val="00DE1335"/>
    <w:rsid w:val="00DE1703"/>
    <w:rsid w:val="00DE25AC"/>
    <w:rsid w:val="00DE5F82"/>
    <w:rsid w:val="00DF3556"/>
    <w:rsid w:val="00DF568D"/>
    <w:rsid w:val="00DF6455"/>
    <w:rsid w:val="00E00CCB"/>
    <w:rsid w:val="00E0225B"/>
    <w:rsid w:val="00E036CE"/>
    <w:rsid w:val="00E042C7"/>
    <w:rsid w:val="00E0781A"/>
    <w:rsid w:val="00E11475"/>
    <w:rsid w:val="00E175A7"/>
    <w:rsid w:val="00E20168"/>
    <w:rsid w:val="00E20740"/>
    <w:rsid w:val="00E20E92"/>
    <w:rsid w:val="00E238D4"/>
    <w:rsid w:val="00E245DA"/>
    <w:rsid w:val="00E24645"/>
    <w:rsid w:val="00E31BCB"/>
    <w:rsid w:val="00E32963"/>
    <w:rsid w:val="00E336AF"/>
    <w:rsid w:val="00E337BC"/>
    <w:rsid w:val="00E350CD"/>
    <w:rsid w:val="00E372A9"/>
    <w:rsid w:val="00E37A6F"/>
    <w:rsid w:val="00E4001B"/>
    <w:rsid w:val="00E4192A"/>
    <w:rsid w:val="00E4225B"/>
    <w:rsid w:val="00E46FCF"/>
    <w:rsid w:val="00E50005"/>
    <w:rsid w:val="00E51FDE"/>
    <w:rsid w:val="00E52162"/>
    <w:rsid w:val="00E534B2"/>
    <w:rsid w:val="00E56B66"/>
    <w:rsid w:val="00E579AF"/>
    <w:rsid w:val="00E60E51"/>
    <w:rsid w:val="00E64B63"/>
    <w:rsid w:val="00E66A23"/>
    <w:rsid w:val="00E6720F"/>
    <w:rsid w:val="00E705B7"/>
    <w:rsid w:val="00E7086E"/>
    <w:rsid w:val="00E70ECC"/>
    <w:rsid w:val="00E71A89"/>
    <w:rsid w:val="00E74F79"/>
    <w:rsid w:val="00E77197"/>
    <w:rsid w:val="00E81B1A"/>
    <w:rsid w:val="00E83928"/>
    <w:rsid w:val="00E84FB3"/>
    <w:rsid w:val="00E87037"/>
    <w:rsid w:val="00E87631"/>
    <w:rsid w:val="00E9115C"/>
    <w:rsid w:val="00E93B5E"/>
    <w:rsid w:val="00EA0F03"/>
    <w:rsid w:val="00EA1EF9"/>
    <w:rsid w:val="00EA2A6C"/>
    <w:rsid w:val="00EA2CA0"/>
    <w:rsid w:val="00EA49C3"/>
    <w:rsid w:val="00EA5DEB"/>
    <w:rsid w:val="00EA7237"/>
    <w:rsid w:val="00EA79BB"/>
    <w:rsid w:val="00EB055B"/>
    <w:rsid w:val="00EB08D9"/>
    <w:rsid w:val="00EB112A"/>
    <w:rsid w:val="00EB1383"/>
    <w:rsid w:val="00EB2537"/>
    <w:rsid w:val="00EC0776"/>
    <w:rsid w:val="00EC1212"/>
    <w:rsid w:val="00EC1D3D"/>
    <w:rsid w:val="00EC3331"/>
    <w:rsid w:val="00EC677E"/>
    <w:rsid w:val="00EC7E67"/>
    <w:rsid w:val="00ED3570"/>
    <w:rsid w:val="00ED5B5C"/>
    <w:rsid w:val="00ED70BD"/>
    <w:rsid w:val="00ED7819"/>
    <w:rsid w:val="00ED7D39"/>
    <w:rsid w:val="00EE0B3E"/>
    <w:rsid w:val="00EE37BB"/>
    <w:rsid w:val="00EE5659"/>
    <w:rsid w:val="00EE6EBC"/>
    <w:rsid w:val="00EE75DE"/>
    <w:rsid w:val="00EF4099"/>
    <w:rsid w:val="00EF6BDC"/>
    <w:rsid w:val="00EF72FB"/>
    <w:rsid w:val="00F01949"/>
    <w:rsid w:val="00F01C4C"/>
    <w:rsid w:val="00F02786"/>
    <w:rsid w:val="00F03FAD"/>
    <w:rsid w:val="00F0434F"/>
    <w:rsid w:val="00F04F14"/>
    <w:rsid w:val="00F0670F"/>
    <w:rsid w:val="00F07FA6"/>
    <w:rsid w:val="00F10ACA"/>
    <w:rsid w:val="00F11BB3"/>
    <w:rsid w:val="00F11F6E"/>
    <w:rsid w:val="00F13036"/>
    <w:rsid w:val="00F13BEE"/>
    <w:rsid w:val="00F17CF1"/>
    <w:rsid w:val="00F20D07"/>
    <w:rsid w:val="00F21298"/>
    <w:rsid w:val="00F21D1A"/>
    <w:rsid w:val="00F22865"/>
    <w:rsid w:val="00F24D75"/>
    <w:rsid w:val="00F261E3"/>
    <w:rsid w:val="00F2620F"/>
    <w:rsid w:val="00F32131"/>
    <w:rsid w:val="00F327DC"/>
    <w:rsid w:val="00F32A7B"/>
    <w:rsid w:val="00F34B2F"/>
    <w:rsid w:val="00F34F33"/>
    <w:rsid w:val="00F3539E"/>
    <w:rsid w:val="00F367C7"/>
    <w:rsid w:val="00F36D1F"/>
    <w:rsid w:val="00F3769E"/>
    <w:rsid w:val="00F40F06"/>
    <w:rsid w:val="00F42418"/>
    <w:rsid w:val="00F42669"/>
    <w:rsid w:val="00F438D0"/>
    <w:rsid w:val="00F44C63"/>
    <w:rsid w:val="00F4749B"/>
    <w:rsid w:val="00F514FB"/>
    <w:rsid w:val="00F54797"/>
    <w:rsid w:val="00F56225"/>
    <w:rsid w:val="00F56CE9"/>
    <w:rsid w:val="00F60B86"/>
    <w:rsid w:val="00F61151"/>
    <w:rsid w:val="00F611F7"/>
    <w:rsid w:val="00F63C80"/>
    <w:rsid w:val="00F64ECE"/>
    <w:rsid w:val="00F65D71"/>
    <w:rsid w:val="00F67B6E"/>
    <w:rsid w:val="00F70B57"/>
    <w:rsid w:val="00F725D8"/>
    <w:rsid w:val="00F75ECD"/>
    <w:rsid w:val="00F77765"/>
    <w:rsid w:val="00F77EC3"/>
    <w:rsid w:val="00F81DFB"/>
    <w:rsid w:val="00F84B65"/>
    <w:rsid w:val="00F85E98"/>
    <w:rsid w:val="00F86C22"/>
    <w:rsid w:val="00F8747B"/>
    <w:rsid w:val="00F92CCF"/>
    <w:rsid w:val="00F93FC0"/>
    <w:rsid w:val="00F9641D"/>
    <w:rsid w:val="00F96DDF"/>
    <w:rsid w:val="00F97871"/>
    <w:rsid w:val="00FA2995"/>
    <w:rsid w:val="00FA2F55"/>
    <w:rsid w:val="00FA3148"/>
    <w:rsid w:val="00FA36C0"/>
    <w:rsid w:val="00FA3991"/>
    <w:rsid w:val="00FA3A0B"/>
    <w:rsid w:val="00FA496F"/>
    <w:rsid w:val="00FA5EE8"/>
    <w:rsid w:val="00FA6905"/>
    <w:rsid w:val="00FA7C8B"/>
    <w:rsid w:val="00FB0249"/>
    <w:rsid w:val="00FB602B"/>
    <w:rsid w:val="00FB793A"/>
    <w:rsid w:val="00FC15F5"/>
    <w:rsid w:val="00FC3BB7"/>
    <w:rsid w:val="00FC448F"/>
    <w:rsid w:val="00FC5D6D"/>
    <w:rsid w:val="00FC5E92"/>
    <w:rsid w:val="00FD3161"/>
    <w:rsid w:val="00FD6657"/>
    <w:rsid w:val="00FD6B1D"/>
    <w:rsid w:val="00FD7C75"/>
    <w:rsid w:val="00FE1443"/>
    <w:rsid w:val="00FE3E40"/>
    <w:rsid w:val="00FE7D4B"/>
    <w:rsid w:val="00FF0AD8"/>
    <w:rsid w:val="00FF124D"/>
    <w:rsid w:val="00FF1A54"/>
    <w:rsid w:val="00FF3C1C"/>
    <w:rsid w:val="00FF405A"/>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083F"/>
  <w15:docId w15:val="{FC2BE936-A80C-4BE4-BCEF-E84904CB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 w:type="paragraph" w:customStyle="1" w:styleId="Default">
    <w:name w:val="Default"/>
    <w:rsid w:val="002B0A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F7605-7719-4AA0-9062-CC910852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2</cp:revision>
  <cp:lastPrinted>2018-02-13T19:43:00Z</cp:lastPrinted>
  <dcterms:created xsi:type="dcterms:W3CDTF">2018-03-01T12:36:00Z</dcterms:created>
  <dcterms:modified xsi:type="dcterms:W3CDTF">2018-03-01T12:36:00Z</dcterms:modified>
</cp:coreProperties>
</file>