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A9787D" w:rsidRDefault="00F514FB" w:rsidP="002143F6">
      <w:pPr>
        <w:widowControl/>
        <w:tabs>
          <w:tab w:val="center" w:pos="4680"/>
        </w:tabs>
        <w:suppressAutoHyphens/>
        <w:jc w:val="center"/>
        <w:rPr>
          <w:b/>
          <w:sz w:val="26"/>
          <w:szCs w:val="26"/>
        </w:rPr>
      </w:pPr>
      <w:r w:rsidRPr="00A9787D">
        <w:rPr>
          <w:b/>
          <w:sz w:val="26"/>
          <w:szCs w:val="26"/>
        </w:rPr>
        <w:t>PENNSYLVANIA</w:t>
      </w:r>
    </w:p>
    <w:p w:rsidR="00F514FB" w:rsidRPr="00A9787D" w:rsidRDefault="00F514FB" w:rsidP="002143F6">
      <w:pPr>
        <w:widowControl/>
        <w:tabs>
          <w:tab w:val="center" w:pos="4680"/>
        </w:tabs>
        <w:suppressAutoHyphens/>
        <w:jc w:val="center"/>
        <w:rPr>
          <w:sz w:val="26"/>
          <w:szCs w:val="26"/>
        </w:rPr>
      </w:pPr>
      <w:r w:rsidRPr="00A9787D">
        <w:rPr>
          <w:b/>
          <w:sz w:val="26"/>
          <w:szCs w:val="26"/>
        </w:rPr>
        <w:t>PUBLIC UTILITY COMMISSION</w:t>
      </w:r>
    </w:p>
    <w:p w:rsidR="00F514FB" w:rsidRPr="00A9787D" w:rsidRDefault="00F514FB" w:rsidP="002143F6">
      <w:pPr>
        <w:widowControl/>
        <w:tabs>
          <w:tab w:val="center" w:pos="4680"/>
        </w:tabs>
        <w:suppressAutoHyphens/>
        <w:jc w:val="center"/>
        <w:rPr>
          <w:sz w:val="26"/>
          <w:szCs w:val="26"/>
        </w:rPr>
      </w:pPr>
      <w:r w:rsidRPr="00A9787D">
        <w:rPr>
          <w:b/>
          <w:sz w:val="26"/>
          <w:szCs w:val="26"/>
        </w:rPr>
        <w:t>Harrisburg, PA 17105-3265</w:t>
      </w:r>
    </w:p>
    <w:p w:rsidR="00F514FB" w:rsidRPr="00A9787D" w:rsidRDefault="00F514FB" w:rsidP="002143F6">
      <w:pPr>
        <w:widowControl/>
        <w:tabs>
          <w:tab w:val="left" w:pos="-720"/>
        </w:tabs>
        <w:suppressAutoHyphens/>
        <w:rPr>
          <w:sz w:val="26"/>
          <w:szCs w:val="26"/>
        </w:rPr>
      </w:pPr>
    </w:p>
    <w:p w:rsidR="00F514FB" w:rsidRPr="00A9787D" w:rsidRDefault="00F514FB" w:rsidP="002143F6">
      <w:pPr>
        <w:widowControl/>
        <w:rPr>
          <w:sz w:val="26"/>
          <w:szCs w:val="26"/>
        </w:rPr>
      </w:pPr>
    </w:p>
    <w:tbl>
      <w:tblPr>
        <w:tblStyle w:val="TableGrid"/>
        <w:tblW w:w="9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4677"/>
      </w:tblGrid>
      <w:tr w:rsidR="00D365A7" w:rsidRPr="00A9787D" w:rsidTr="0092292D">
        <w:trPr>
          <w:trHeight w:val="1488"/>
        </w:trPr>
        <w:tc>
          <w:tcPr>
            <w:tcW w:w="5268" w:type="dxa"/>
          </w:tcPr>
          <w:p w:rsidR="00F514FB" w:rsidRPr="00A9787D" w:rsidRDefault="00F514FB" w:rsidP="002143F6">
            <w:pPr>
              <w:widowControl/>
              <w:rPr>
                <w:sz w:val="26"/>
                <w:szCs w:val="26"/>
              </w:rPr>
            </w:pPr>
          </w:p>
        </w:tc>
        <w:tc>
          <w:tcPr>
            <w:tcW w:w="4677" w:type="dxa"/>
          </w:tcPr>
          <w:p w:rsidR="00F514FB" w:rsidRPr="00A9787D" w:rsidRDefault="007405C2" w:rsidP="002A71B7">
            <w:pPr>
              <w:widowControl/>
              <w:jc w:val="right"/>
              <w:rPr>
                <w:sz w:val="26"/>
                <w:szCs w:val="26"/>
              </w:rPr>
            </w:pPr>
            <w:r>
              <w:rPr>
                <w:sz w:val="26"/>
                <w:szCs w:val="26"/>
              </w:rPr>
              <w:t xml:space="preserve">Public Meeting held </w:t>
            </w:r>
            <w:r w:rsidR="007C44C2">
              <w:rPr>
                <w:sz w:val="26"/>
                <w:szCs w:val="26"/>
              </w:rPr>
              <w:t>January 18, 2018</w:t>
            </w:r>
          </w:p>
          <w:p w:rsidR="00F514FB" w:rsidRPr="00A9787D" w:rsidRDefault="00F514FB" w:rsidP="002143F6">
            <w:pPr>
              <w:widowControl/>
              <w:jc w:val="right"/>
              <w:rPr>
                <w:sz w:val="26"/>
                <w:szCs w:val="26"/>
              </w:rPr>
            </w:pPr>
          </w:p>
          <w:p w:rsidR="000A6282" w:rsidRPr="00A9787D" w:rsidRDefault="000A6282" w:rsidP="002143F6">
            <w:pPr>
              <w:widowControl/>
              <w:jc w:val="right"/>
              <w:rPr>
                <w:sz w:val="26"/>
                <w:szCs w:val="26"/>
              </w:rPr>
            </w:pPr>
          </w:p>
          <w:p w:rsidR="00F514FB" w:rsidRPr="00A9787D" w:rsidRDefault="00F514FB" w:rsidP="002143F6">
            <w:pPr>
              <w:widowControl/>
              <w:jc w:val="right"/>
              <w:rPr>
                <w:sz w:val="26"/>
                <w:szCs w:val="26"/>
              </w:rPr>
            </w:pPr>
          </w:p>
        </w:tc>
      </w:tr>
      <w:tr w:rsidR="00D365A7" w:rsidRPr="00A9787D" w:rsidTr="0092292D">
        <w:trPr>
          <w:trHeight w:val="2663"/>
        </w:trPr>
        <w:tc>
          <w:tcPr>
            <w:tcW w:w="5268" w:type="dxa"/>
          </w:tcPr>
          <w:p w:rsidR="00F514FB" w:rsidRDefault="00F514FB" w:rsidP="002143F6">
            <w:pPr>
              <w:widowControl/>
              <w:rPr>
                <w:sz w:val="26"/>
                <w:szCs w:val="26"/>
              </w:rPr>
            </w:pPr>
            <w:r w:rsidRPr="00A9787D">
              <w:rPr>
                <w:sz w:val="26"/>
                <w:szCs w:val="26"/>
              </w:rPr>
              <w:t>Commissioners Present:</w:t>
            </w:r>
          </w:p>
          <w:p w:rsidR="003D0DCD" w:rsidRPr="00A9787D" w:rsidRDefault="003D0DCD" w:rsidP="002143F6">
            <w:pPr>
              <w:widowControl/>
              <w:rPr>
                <w:sz w:val="26"/>
                <w:szCs w:val="26"/>
              </w:rPr>
            </w:pPr>
          </w:p>
          <w:p w:rsidR="00F514FB" w:rsidRPr="00A9787D" w:rsidRDefault="00F514FB" w:rsidP="002143F6">
            <w:pPr>
              <w:widowControl/>
              <w:rPr>
                <w:sz w:val="26"/>
                <w:szCs w:val="26"/>
              </w:rPr>
            </w:pPr>
          </w:p>
          <w:p w:rsidR="003D0DCD" w:rsidRPr="003D0DCD" w:rsidRDefault="003D0DCD" w:rsidP="002143F6">
            <w:pPr>
              <w:widowControl/>
              <w:tabs>
                <w:tab w:val="left" w:pos="705"/>
              </w:tabs>
              <w:contextualSpacing/>
              <w:rPr>
                <w:sz w:val="26"/>
                <w:szCs w:val="26"/>
              </w:rPr>
            </w:pPr>
            <w:r w:rsidRPr="003D0DCD">
              <w:rPr>
                <w:sz w:val="26"/>
                <w:szCs w:val="26"/>
              </w:rPr>
              <w:t>Gladys M. Brown, Chairman</w:t>
            </w:r>
          </w:p>
          <w:p w:rsidR="003D0DCD" w:rsidRDefault="003D0DCD" w:rsidP="002143F6">
            <w:pPr>
              <w:widowControl/>
              <w:tabs>
                <w:tab w:val="left" w:pos="705"/>
              </w:tabs>
              <w:contextualSpacing/>
              <w:rPr>
                <w:sz w:val="26"/>
                <w:szCs w:val="26"/>
              </w:rPr>
            </w:pPr>
            <w:r w:rsidRPr="003D0DCD">
              <w:rPr>
                <w:sz w:val="26"/>
                <w:szCs w:val="26"/>
              </w:rPr>
              <w:t>Andrew G. Place, Vice Chairman</w:t>
            </w:r>
          </w:p>
          <w:p w:rsidR="00D3058C" w:rsidRDefault="00D3058C" w:rsidP="00D3058C">
            <w:pPr>
              <w:rPr>
                <w:color w:val="000000"/>
                <w:sz w:val="26"/>
                <w:szCs w:val="26"/>
              </w:rPr>
            </w:pPr>
            <w:r>
              <w:rPr>
                <w:color w:val="000000"/>
                <w:sz w:val="26"/>
                <w:szCs w:val="26"/>
              </w:rPr>
              <w:t>Norman J. Kennard</w:t>
            </w:r>
            <w:r w:rsidR="0096735C">
              <w:rPr>
                <w:color w:val="000000"/>
                <w:sz w:val="26"/>
                <w:szCs w:val="26"/>
              </w:rPr>
              <w:t>, dissenting</w:t>
            </w:r>
          </w:p>
          <w:p w:rsidR="003D0DCD" w:rsidRPr="003D0DCD" w:rsidRDefault="003D0DCD" w:rsidP="002143F6">
            <w:pPr>
              <w:widowControl/>
              <w:tabs>
                <w:tab w:val="left" w:pos="705"/>
              </w:tabs>
              <w:contextualSpacing/>
              <w:rPr>
                <w:sz w:val="26"/>
                <w:szCs w:val="26"/>
              </w:rPr>
            </w:pPr>
            <w:r w:rsidRPr="003D0DCD">
              <w:rPr>
                <w:sz w:val="26"/>
                <w:szCs w:val="26"/>
              </w:rPr>
              <w:t>David W. Sweet</w:t>
            </w:r>
            <w:r w:rsidR="0096735C">
              <w:rPr>
                <w:sz w:val="26"/>
                <w:szCs w:val="26"/>
              </w:rPr>
              <w:t>, dissenting</w:t>
            </w:r>
          </w:p>
          <w:p w:rsidR="003D0DCD" w:rsidRPr="003D0DCD" w:rsidRDefault="003D0DCD" w:rsidP="002143F6">
            <w:pPr>
              <w:widowControl/>
              <w:tabs>
                <w:tab w:val="left" w:pos="705"/>
              </w:tabs>
              <w:contextualSpacing/>
              <w:rPr>
                <w:sz w:val="26"/>
                <w:szCs w:val="26"/>
              </w:rPr>
            </w:pPr>
            <w:r w:rsidRPr="003D0DCD">
              <w:rPr>
                <w:sz w:val="26"/>
                <w:szCs w:val="26"/>
              </w:rPr>
              <w:t>John F. Coleman, Jr.</w:t>
            </w:r>
          </w:p>
          <w:p w:rsidR="00F514FB" w:rsidRPr="00A9787D" w:rsidRDefault="00F514FB" w:rsidP="002143F6">
            <w:pPr>
              <w:widowControl/>
              <w:rPr>
                <w:sz w:val="26"/>
                <w:szCs w:val="26"/>
              </w:rPr>
            </w:pPr>
          </w:p>
          <w:p w:rsidR="00F514FB" w:rsidRPr="00A9787D" w:rsidRDefault="00F514FB" w:rsidP="002143F6">
            <w:pPr>
              <w:widowControl/>
              <w:rPr>
                <w:sz w:val="26"/>
                <w:szCs w:val="26"/>
              </w:rPr>
            </w:pPr>
          </w:p>
        </w:tc>
        <w:tc>
          <w:tcPr>
            <w:tcW w:w="4677" w:type="dxa"/>
          </w:tcPr>
          <w:p w:rsidR="00F514FB" w:rsidRPr="00A9787D" w:rsidRDefault="00F514FB" w:rsidP="002143F6">
            <w:pPr>
              <w:widowControl/>
              <w:jc w:val="right"/>
              <w:rPr>
                <w:sz w:val="26"/>
                <w:szCs w:val="26"/>
              </w:rPr>
            </w:pPr>
          </w:p>
          <w:p w:rsidR="00F514FB" w:rsidRPr="00A9787D" w:rsidRDefault="00F514FB" w:rsidP="002143F6">
            <w:pPr>
              <w:widowControl/>
              <w:jc w:val="right"/>
              <w:rPr>
                <w:sz w:val="26"/>
                <w:szCs w:val="26"/>
              </w:rPr>
            </w:pPr>
          </w:p>
        </w:tc>
      </w:tr>
      <w:tr w:rsidR="00D365A7" w:rsidRPr="00A9787D" w:rsidTr="0092292D">
        <w:trPr>
          <w:trHeight w:val="669"/>
        </w:trPr>
        <w:tc>
          <w:tcPr>
            <w:tcW w:w="5268" w:type="dxa"/>
          </w:tcPr>
          <w:p w:rsidR="00F514FB" w:rsidRPr="00A9787D" w:rsidRDefault="00977584" w:rsidP="002143F6">
            <w:pPr>
              <w:widowControl/>
              <w:rPr>
                <w:sz w:val="26"/>
                <w:szCs w:val="26"/>
              </w:rPr>
            </w:pPr>
            <w:r>
              <w:rPr>
                <w:sz w:val="26"/>
                <w:szCs w:val="26"/>
              </w:rPr>
              <w:t>Patrice Harris</w:t>
            </w:r>
          </w:p>
          <w:p w:rsidR="00F514FB" w:rsidRPr="00A9787D" w:rsidRDefault="00F514FB" w:rsidP="002143F6">
            <w:pPr>
              <w:widowControl/>
              <w:rPr>
                <w:sz w:val="26"/>
                <w:szCs w:val="26"/>
              </w:rPr>
            </w:pPr>
          </w:p>
        </w:tc>
        <w:tc>
          <w:tcPr>
            <w:tcW w:w="4677" w:type="dxa"/>
          </w:tcPr>
          <w:p w:rsidR="00F514FB" w:rsidRPr="00A9787D" w:rsidRDefault="00FF5CDE" w:rsidP="002143F6">
            <w:pPr>
              <w:widowControl/>
              <w:jc w:val="right"/>
              <w:rPr>
                <w:sz w:val="26"/>
                <w:szCs w:val="26"/>
              </w:rPr>
            </w:pPr>
            <w:r>
              <w:rPr>
                <w:sz w:val="26"/>
                <w:szCs w:val="26"/>
              </w:rPr>
              <w:t>F</w:t>
            </w:r>
            <w:r w:rsidR="00992D66" w:rsidRPr="00A9787D">
              <w:rPr>
                <w:sz w:val="26"/>
                <w:szCs w:val="26"/>
              </w:rPr>
              <w:t>-201</w:t>
            </w:r>
            <w:r>
              <w:rPr>
                <w:sz w:val="26"/>
                <w:szCs w:val="26"/>
              </w:rPr>
              <w:t>6</w:t>
            </w:r>
            <w:r w:rsidR="00992D66" w:rsidRPr="00A9787D">
              <w:rPr>
                <w:sz w:val="26"/>
                <w:szCs w:val="26"/>
              </w:rPr>
              <w:t>-</w:t>
            </w:r>
            <w:r w:rsidR="00977584">
              <w:rPr>
                <w:sz w:val="26"/>
                <w:szCs w:val="26"/>
              </w:rPr>
              <w:t>2537039</w:t>
            </w:r>
          </w:p>
        </w:tc>
      </w:tr>
      <w:tr w:rsidR="00D365A7" w:rsidRPr="00A9787D" w:rsidTr="0092292D">
        <w:trPr>
          <w:trHeight w:val="595"/>
        </w:trPr>
        <w:tc>
          <w:tcPr>
            <w:tcW w:w="5268" w:type="dxa"/>
          </w:tcPr>
          <w:p w:rsidR="00F514FB" w:rsidRPr="00A9787D" w:rsidRDefault="00F514FB" w:rsidP="002143F6">
            <w:pPr>
              <w:widowControl/>
              <w:ind w:firstLine="900"/>
              <w:rPr>
                <w:sz w:val="26"/>
                <w:szCs w:val="26"/>
              </w:rPr>
            </w:pPr>
            <w:r w:rsidRPr="00A9787D">
              <w:rPr>
                <w:sz w:val="26"/>
                <w:szCs w:val="26"/>
              </w:rPr>
              <w:t>v.</w:t>
            </w:r>
          </w:p>
          <w:p w:rsidR="00F514FB" w:rsidRPr="00A9787D" w:rsidRDefault="00F514FB" w:rsidP="002143F6">
            <w:pPr>
              <w:widowControl/>
              <w:ind w:firstLine="1440"/>
              <w:rPr>
                <w:sz w:val="26"/>
                <w:szCs w:val="26"/>
              </w:rPr>
            </w:pPr>
          </w:p>
        </w:tc>
        <w:tc>
          <w:tcPr>
            <w:tcW w:w="4677" w:type="dxa"/>
          </w:tcPr>
          <w:p w:rsidR="00F514FB" w:rsidRPr="00A9787D" w:rsidRDefault="00F514FB" w:rsidP="002143F6">
            <w:pPr>
              <w:widowControl/>
              <w:rPr>
                <w:sz w:val="26"/>
                <w:szCs w:val="26"/>
              </w:rPr>
            </w:pPr>
          </w:p>
        </w:tc>
      </w:tr>
      <w:tr w:rsidR="00F514FB" w:rsidRPr="00A9787D" w:rsidTr="0092292D">
        <w:trPr>
          <w:trHeight w:val="297"/>
        </w:trPr>
        <w:tc>
          <w:tcPr>
            <w:tcW w:w="5268" w:type="dxa"/>
          </w:tcPr>
          <w:p w:rsidR="00F514FB" w:rsidRPr="00A9787D" w:rsidRDefault="00977584" w:rsidP="002143F6">
            <w:pPr>
              <w:widowControl/>
              <w:rPr>
                <w:sz w:val="26"/>
                <w:szCs w:val="26"/>
              </w:rPr>
            </w:pPr>
            <w:r>
              <w:rPr>
                <w:sz w:val="26"/>
                <w:szCs w:val="26"/>
              </w:rPr>
              <w:t>PECO Energy</w:t>
            </w:r>
            <w:r w:rsidR="00FF5CDE">
              <w:rPr>
                <w:sz w:val="26"/>
                <w:szCs w:val="26"/>
              </w:rPr>
              <w:t xml:space="preserve"> Company</w:t>
            </w:r>
          </w:p>
        </w:tc>
        <w:tc>
          <w:tcPr>
            <w:tcW w:w="4677" w:type="dxa"/>
          </w:tcPr>
          <w:p w:rsidR="00F514FB" w:rsidRPr="00A9787D" w:rsidRDefault="00F514FB" w:rsidP="002143F6">
            <w:pPr>
              <w:widowControl/>
              <w:rPr>
                <w:sz w:val="26"/>
                <w:szCs w:val="26"/>
              </w:rPr>
            </w:pPr>
          </w:p>
        </w:tc>
      </w:tr>
    </w:tbl>
    <w:p w:rsidR="00F514FB" w:rsidRPr="00A9787D" w:rsidRDefault="00F514FB" w:rsidP="002143F6">
      <w:pPr>
        <w:widowControl/>
        <w:rPr>
          <w:sz w:val="26"/>
          <w:szCs w:val="26"/>
        </w:rPr>
      </w:pPr>
    </w:p>
    <w:p w:rsidR="00923BA8" w:rsidRPr="00A9787D" w:rsidRDefault="00923BA8" w:rsidP="002143F6">
      <w:pPr>
        <w:widowControl/>
        <w:rPr>
          <w:sz w:val="26"/>
          <w:szCs w:val="26"/>
        </w:rPr>
      </w:pPr>
    </w:p>
    <w:p w:rsidR="00F514FB" w:rsidRPr="00A9787D" w:rsidRDefault="00F514FB" w:rsidP="002143F6">
      <w:pPr>
        <w:widowControl/>
        <w:rPr>
          <w:sz w:val="26"/>
          <w:szCs w:val="26"/>
        </w:rPr>
      </w:pPr>
    </w:p>
    <w:p w:rsidR="00F514FB" w:rsidRPr="00A9787D" w:rsidRDefault="00F514FB" w:rsidP="002143F6">
      <w:pPr>
        <w:widowControl/>
        <w:jc w:val="center"/>
        <w:rPr>
          <w:b/>
          <w:sz w:val="26"/>
          <w:szCs w:val="26"/>
        </w:rPr>
      </w:pPr>
      <w:r w:rsidRPr="00A9787D">
        <w:rPr>
          <w:b/>
          <w:sz w:val="26"/>
          <w:szCs w:val="26"/>
        </w:rPr>
        <w:t>OPINION AND ORDER</w:t>
      </w:r>
    </w:p>
    <w:p w:rsidR="00F514FB" w:rsidRDefault="00F514FB" w:rsidP="002143F6">
      <w:pPr>
        <w:widowControl/>
        <w:jc w:val="center"/>
        <w:rPr>
          <w:b/>
          <w:sz w:val="26"/>
          <w:szCs w:val="26"/>
        </w:rPr>
      </w:pPr>
    </w:p>
    <w:p w:rsidR="00536C67" w:rsidRPr="00A9787D" w:rsidRDefault="00536C67" w:rsidP="002143F6">
      <w:pPr>
        <w:widowControl/>
        <w:jc w:val="center"/>
        <w:rPr>
          <w:b/>
          <w:sz w:val="26"/>
          <w:szCs w:val="26"/>
        </w:rPr>
      </w:pPr>
    </w:p>
    <w:p w:rsidR="00F514FB" w:rsidRPr="00A9787D" w:rsidRDefault="00F514FB" w:rsidP="002143F6">
      <w:pPr>
        <w:widowControl/>
        <w:jc w:val="center"/>
        <w:rPr>
          <w:b/>
          <w:sz w:val="26"/>
          <w:szCs w:val="26"/>
        </w:rPr>
      </w:pPr>
    </w:p>
    <w:p w:rsidR="00F514FB" w:rsidRPr="00A9787D" w:rsidRDefault="00F514FB" w:rsidP="002143F6">
      <w:pPr>
        <w:widowControl/>
        <w:rPr>
          <w:b/>
          <w:sz w:val="26"/>
          <w:szCs w:val="26"/>
        </w:rPr>
      </w:pPr>
      <w:r w:rsidRPr="00A9787D">
        <w:rPr>
          <w:b/>
          <w:sz w:val="26"/>
          <w:szCs w:val="26"/>
        </w:rPr>
        <w:t>BY THE COMMISSION:</w:t>
      </w:r>
    </w:p>
    <w:p w:rsidR="00F514FB" w:rsidRPr="00A9787D" w:rsidRDefault="00F514FB" w:rsidP="002143F6">
      <w:pPr>
        <w:widowControl/>
        <w:rPr>
          <w:sz w:val="26"/>
          <w:szCs w:val="26"/>
        </w:rPr>
      </w:pPr>
    </w:p>
    <w:p w:rsidR="00F514FB" w:rsidRPr="00A9787D" w:rsidRDefault="00F514FB" w:rsidP="002143F6">
      <w:pPr>
        <w:widowControl/>
        <w:rPr>
          <w:sz w:val="26"/>
          <w:szCs w:val="26"/>
        </w:rPr>
      </w:pPr>
    </w:p>
    <w:p w:rsidR="00CA43A5" w:rsidRPr="00A9787D" w:rsidRDefault="00CA43A5" w:rsidP="002143F6">
      <w:pPr>
        <w:widowControl/>
        <w:spacing w:line="360" w:lineRule="auto"/>
        <w:ind w:firstLine="1440"/>
        <w:rPr>
          <w:sz w:val="26"/>
          <w:szCs w:val="26"/>
        </w:rPr>
      </w:pPr>
      <w:r w:rsidRPr="00A9787D">
        <w:rPr>
          <w:sz w:val="26"/>
          <w:szCs w:val="26"/>
        </w:rPr>
        <w:t xml:space="preserve">Before the Pennsylvania Public Utility Commission (Commission) for consideration and disposition </w:t>
      </w:r>
      <w:r w:rsidR="00671E4C" w:rsidRPr="00A9787D">
        <w:rPr>
          <w:sz w:val="26"/>
          <w:szCs w:val="26"/>
        </w:rPr>
        <w:t xml:space="preserve">are the Exceptions </w:t>
      </w:r>
      <w:r w:rsidR="00A16587" w:rsidRPr="00A9787D">
        <w:rPr>
          <w:sz w:val="26"/>
          <w:szCs w:val="26"/>
        </w:rPr>
        <w:t xml:space="preserve">of </w:t>
      </w:r>
      <w:r w:rsidR="00977584">
        <w:rPr>
          <w:sz w:val="26"/>
          <w:szCs w:val="26"/>
        </w:rPr>
        <w:t>Patrice Harris</w:t>
      </w:r>
      <w:r w:rsidR="00FF5CDE">
        <w:rPr>
          <w:sz w:val="26"/>
          <w:szCs w:val="26"/>
        </w:rPr>
        <w:t xml:space="preserve"> </w:t>
      </w:r>
      <w:r w:rsidR="00671E4C" w:rsidRPr="00A9787D">
        <w:rPr>
          <w:sz w:val="26"/>
          <w:szCs w:val="26"/>
        </w:rPr>
        <w:t>(</w:t>
      </w:r>
      <w:r w:rsidR="00EF4058" w:rsidRPr="00A9787D">
        <w:rPr>
          <w:sz w:val="26"/>
          <w:szCs w:val="26"/>
        </w:rPr>
        <w:t>C</w:t>
      </w:r>
      <w:r w:rsidR="00346C47" w:rsidRPr="00A9787D">
        <w:rPr>
          <w:sz w:val="26"/>
          <w:szCs w:val="26"/>
        </w:rPr>
        <w:t>omplainant</w:t>
      </w:r>
      <w:r w:rsidR="00FF5CDE">
        <w:rPr>
          <w:sz w:val="26"/>
          <w:szCs w:val="26"/>
        </w:rPr>
        <w:t xml:space="preserve"> </w:t>
      </w:r>
      <w:r w:rsidR="00977584">
        <w:rPr>
          <w:sz w:val="26"/>
          <w:szCs w:val="26"/>
        </w:rPr>
        <w:t>or Ms.</w:t>
      </w:r>
      <w:r w:rsidR="004770EB">
        <w:rPr>
          <w:sz w:val="26"/>
          <w:szCs w:val="26"/>
        </w:rPr>
        <w:t> </w:t>
      </w:r>
      <w:r w:rsidR="00977584">
        <w:rPr>
          <w:sz w:val="26"/>
          <w:szCs w:val="26"/>
        </w:rPr>
        <w:t>Harris) filed on November 7</w:t>
      </w:r>
      <w:r w:rsidR="004064EA" w:rsidRPr="00A9787D">
        <w:rPr>
          <w:sz w:val="26"/>
          <w:szCs w:val="26"/>
        </w:rPr>
        <w:t>,</w:t>
      </w:r>
      <w:r w:rsidR="00FF5CDE">
        <w:rPr>
          <w:sz w:val="26"/>
          <w:szCs w:val="26"/>
        </w:rPr>
        <w:t xml:space="preserve"> 2016</w:t>
      </w:r>
      <w:r w:rsidR="007E2AAF" w:rsidRPr="00A9787D">
        <w:rPr>
          <w:sz w:val="26"/>
          <w:szCs w:val="26"/>
        </w:rPr>
        <w:t>,</w:t>
      </w:r>
      <w:r w:rsidR="00671E4C" w:rsidRPr="00A9787D">
        <w:rPr>
          <w:sz w:val="26"/>
          <w:szCs w:val="26"/>
        </w:rPr>
        <w:t xml:space="preserve"> to the Initial Decision (I.D.) of Administrative </w:t>
      </w:r>
      <w:r w:rsidR="00E609DF" w:rsidRPr="00A9787D">
        <w:rPr>
          <w:sz w:val="26"/>
          <w:szCs w:val="26"/>
        </w:rPr>
        <w:t xml:space="preserve">Law Judge </w:t>
      </w:r>
      <w:r w:rsidR="00FF5CDE">
        <w:rPr>
          <w:sz w:val="26"/>
          <w:szCs w:val="26"/>
        </w:rPr>
        <w:t xml:space="preserve">(ALJ) </w:t>
      </w:r>
      <w:r w:rsidR="00977584">
        <w:rPr>
          <w:sz w:val="26"/>
          <w:szCs w:val="26"/>
        </w:rPr>
        <w:t>Christopher P. Pell</w:t>
      </w:r>
      <w:r w:rsidR="00DB71D6" w:rsidRPr="00A9787D">
        <w:rPr>
          <w:sz w:val="26"/>
          <w:szCs w:val="26"/>
        </w:rPr>
        <w:t xml:space="preserve"> </w:t>
      </w:r>
      <w:r w:rsidR="009A0ABC" w:rsidRPr="00A9787D">
        <w:rPr>
          <w:sz w:val="26"/>
          <w:szCs w:val="26"/>
        </w:rPr>
        <w:t>issued</w:t>
      </w:r>
      <w:r w:rsidR="00FF5CDE">
        <w:rPr>
          <w:sz w:val="26"/>
          <w:szCs w:val="26"/>
        </w:rPr>
        <w:t xml:space="preserve"> on </w:t>
      </w:r>
      <w:r w:rsidR="00977584">
        <w:rPr>
          <w:sz w:val="26"/>
          <w:szCs w:val="26"/>
        </w:rPr>
        <w:t>October 14</w:t>
      </w:r>
      <w:r w:rsidR="00FF5CDE">
        <w:rPr>
          <w:sz w:val="26"/>
          <w:szCs w:val="26"/>
        </w:rPr>
        <w:t>, 2016</w:t>
      </w:r>
      <w:r w:rsidR="00671E4C" w:rsidRPr="00A9787D">
        <w:rPr>
          <w:sz w:val="26"/>
          <w:szCs w:val="26"/>
        </w:rPr>
        <w:t>, in</w:t>
      </w:r>
      <w:r w:rsidR="0035728C" w:rsidRPr="00A9787D">
        <w:rPr>
          <w:sz w:val="26"/>
          <w:szCs w:val="26"/>
        </w:rPr>
        <w:t xml:space="preserve"> the above-captioned </w:t>
      </w:r>
      <w:r w:rsidR="000318E7" w:rsidRPr="00A9787D">
        <w:rPr>
          <w:sz w:val="26"/>
          <w:szCs w:val="26"/>
        </w:rPr>
        <w:lastRenderedPageBreak/>
        <w:t>P</w:t>
      </w:r>
      <w:r w:rsidR="0035728C" w:rsidRPr="00A9787D">
        <w:rPr>
          <w:sz w:val="26"/>
          <w:szCs w:val="26"/>
        </w:rPr>
        <w:t>roceeding</w:t>
      </w:r>
      <w:r w:rsidR="000318E7">
        <w:rPr>
          <w:sz w:val="26"/>
          <w:szCs w:val="26"/>
        </w:rPr>
        <w:t>.</w:t>
      </w:r>
      <w:r w:rsidR="008D3E66">
        <w:rPr>
          <w:rStyle w:val="FootnoteReference"/>
          <w:sz w:val="26"/>
          <w:szCs w:val="26"/>
        </w:rPr>
        <w:footnoteReference w:id="2"/>
      </w:r>
      <w:r w:rsidR="000318E7">
        <w:rPr>
          <w:sz w:val="26"/>
          <w:szCs w:val="26"/>
        </w:rPr>
        <w:t xml:space="preserve">  </w:t>
      </w:r>
      <w:r w:rsidR="00671E4C" w:rsidRPr="00A9787D">
        <w:rPr>
          <w:sz w:val="26"/>
          <w:szCs w:val="26"/>
        </w:rPr>
        <w:t xml:space="preserve">Replies to Exceptions </w:t>
      </w:r>
      <w:r w:rsidR="00A61C8F" w:rsidRPr="00A9787D">
        <w:rPr>
          <w:sz w:val="26"/>
          <w:szCs w:val="26"/>
        </w:rPr>
        <w:t>w</w:t>
      </w:r>
      <w:r w:rsidR="00D43DC1" w:rsidRPr="00A9787D">
        <w:rPr>
          <w:sz w:val="26"/>
          <w:szCs w:val="26"/>
        </w:rPr>
        <w:t xml:space="preserve">ere filed by </w:t>
      </w:r>
      <w:r w:rsidR="00977584">
        <w:rPr>
          <w:sz w:val="26"/>
          <w:szCs w:val="26"/>
        </w:rPr>
        <w:t>PECO Energy</w:t>
      </w:r>
      <w:r w:rsidR="00FF5CDE">
        <w:rPr>
          <w:sz w:val="26"/>
          <w:szCs w:val="26"/>
        </w:rPr>
        <w:t xml:space="preserve"> </w:t>
      </w:r>
      <w:r w:rsidR="00BB19A9" w:rsidRPr="00A9787D">
        <w:rPr>
          <w:sz w:val="26"/>
          <w:szCs w:val="26"/>
        </w:rPr>
        <w:t>Company (</w:t>
      </w:r>
      <w:r w:rsidR="00977584">
        <w:rPr>
          <w:sz w:val="26"/>
          <w:szCs w:val="26"/>
        </w:rPr>
        <w:t>PECO</w:t>
      </w:r>
      <w:r w:rsidR="007E2AAF" w:rsidRPr="00A9787D">
        <w:rPr>
          <w:sz w:val="26"/>
          <w:szCs w:val="26"/>
        </w:rPr>
        <w:t xml:space="preserve"> or the Company</w:t>
      </w:r>
      <w:r w:rsidR="00977584">
        <w:rPr>
          <w:sz w:val="26"/>
          <w:szCs w:val="26"/>
        </w:rPr>
        <w:t>) on November 14</w:t>
      </w:r>
      <w:r w:rsidR="004B68E4">
        <w:rPr>
          <w:sz w:val="26"/>
          <w:szCs w:val="26"/>
        </w:rPr>
        <w:t>, 2016</w:t>
      </w:r>
      <w:r w:rsidR="00671E4C" w:rsidRPr="00A9787D">
        <w:rPr>
          <w:sz w:val="26"/>
          <w:szCs w:val="26"/>
        </w:rPr>
        <w:t xml:space="preserve">.  </w:t>
      </w:r>
      <w:r w:rsidRPr="00A9787D">
        <w:rPr>
          <w:sz w:val="26"/>
          <w:szCs w:val="26"/>
        </w:rPr>
        <w:t>For the reason</w:t>
      </w:r>
      <w:r w:rsidR="0006356A" w:rsidRPr="00A9787D">
        <w:rPr>
          <w:sz w:val="26"/>
          <w:szCs w:val="26"/>
        </w:rPr>
        <w:t xml:space="preserve">s stated below, we </w:t>
      </w:r>
      <w:r w:rsidR="000E0295" w:rsidRPr="00A9787D">
        <w:rPr>
          <w:sz w:val="26"/>
          <w:szCs w:val="26"/>
        </w:rPr>
        <w:t>sha</w:t>
      </w:r>
      <w:r w:rsidR="0006356A" w:rsidRPr="00A9787D">
        <w:rPr>
          <w:sz w:val="26"/>
          <w:szCs w:val="26"/>
        </w:rPr>
        <w:t xml:space="preserve">ll </w:t>
      </w:r>
      <w:r w:rsidR="002406C6">
        <w:rPr>
          <w:sz w:val="26"/>
          <w:szCs w:val="26"/>
        </w:rPr>
        <w:t>grant</w:t>
      </w:r>
      <w:r w:rsidR="00677119">
        <w:rPr>
          <w:sz w:val="26"/>
          <w:szCs w:val="26"/>
        </w:rPr>
        <w:t>,</w:t>
      </w:r>
      <w:r w:rsidR="002406C6">
        <w:rPr>
          <w:sz w:val="26"/>
          <w:szCs w:val="26"/>
        </w:rPr>
        <w:t xml:space="preserve"> in part,</w:t>
      </w:r>
      <w:r w:rsidR="0006356A" w:rsidRPr="00A9787D">
        <w:rPr>
          <w:sz w:val="26"/>
          <w:szCs w:val="26"/>
        </w:rPr>
        <w:t xml:space="preserve"> t</w:t>
      </w:r>
      <w:r w:rsidR="00DA6C17" w:rsidRPr="00A9787D">
        <w:rPr>
          <w:sz w:val="26"/>
          <w:szCs w:val="26"/>
        </w:rPr>
        <w:t>he Complainant’s Exceptions</w:t>
      </w:r>
      <w:r w:rsidR="002406C6">
        <w:rPr>
          <w:sz w:val="26"/>
          <w:szCs w:val="26"/>
        </w:rPr>
        <w:t>,</w:t>
      </w:r>
      <w:r w:rsidR="00DA6C17" w:rsidRPr="00A9787D">
        <w:rPr>
          <w:sz w:val="26"/>
          <w:szCs w:val="26"/>
        </w:rPr>
        <w:t xml:space="preserve"> and </w:t>
      </w:r>
      <w:r w:rsidR="00B06A4E">
        <w:rPr>
          <w:sz w:val="26"/>
          <w:szCs w:val="26"/>
        </w:rPr>
        <w:t xml:space="preserve">modify </w:t>
      </w:r>
      <w:r w:rsidR="0006356A" w:rsidRPr="00A9787D">
        <w:rPr>
          <w:sz w:val="26"/>
          <w:szCs w:val="26"/>
        </w:rPr>
        <w:t>the ALJ’s Initial Decision</w:t>
      </w:r>
      <w:r w:rsidR="000A6282" w:rsidRPr="00A9787D">
        <w:rPr>
          <w:sz w:val="26"/>
          <w:szCs w:val="26"/>
        </w:rPr>
        <w:t xml:space="preserve">, </w:t>
      </w:r>
      <w:r w:rsidR="00916C5D">
        <w:rPr>
          <w:sz w:val="26"/>
          <w:szCs w:val="26"/>
        </w:rPr>
        <w:t>consistent with this Opinion and Order</w:t>
      </w:r>
      <w:r w:rsidR="00C2222C">
        <w:rPr>
          <w:sz w:val="26"/>
          <w:szCs w:val="26"/>
        </w:rPr>
        <w:t>.</w:t>
      </w:r>
    </w:p>
    <w:p w:rsidR="00CA43A5" w:rsidRPr="00A9787D" w:rsidRDefault="00CA43A5" w:rsidP="002143F6">
      <w:pPr>
        <w:widowControl/>
        <w:spacing w:line="360" w:lineRule="auto"/>
        <w:rPr>
          <w:sz w:val="26"/>
          <w:szCs w:val="26"/>
        </w:rPr>
      </w:pPr>
    </w:p>
    <w:p w:rsidR="000C31E4" w:rsidRPr="00A9787D" w:rsidRDefault="004064EA" w:rsidP="002143F6">
      <w:pPr>
        <w:keepNext/>
        <w:widowControl/>
        <w:spacing w:line="360" w:lineRule="auto"/>
        <w:jc w:val="center"/>
        <w:rPr>
          <w:b/>
          <w:sz w:val="26"/>
          <w:szCs w:val="26"/>
        </w:rPr>
      </w:pPr>
      <w:bookmarkStart w:id="0" w:name="OLE_LINK1"/>
      <w:bookmarkStart w:id="1" w:name="OLE_LINK2"/>
      <w:r w:rsidRPr="00A9787D">
        <w:rPr>
          <w:b/>
          <w:sz w:val="26"/>
          <w:szCs w:val="26"/>
        </w:rPr>
        <w:t>History of the Proceeding</w:t>
      </w:r>
    </w:p>
    <w:p w:rsidR="000C31E4" w:rsidRPr="00A9787D" w:rsidRDefault="000C31E4" w:rsidP="002143F6">
      <w:pPr>
        <w:keepNext/>
        <w:widowControl/>
        <w:spacing w:line="360" w:lineRule="auto"/>
        <w:rPr>
          <w:sz w:val="26"/>
          <w:szCs w:val="26"/>
        </w:rPr>
      </w:pPr>
    </w:p>
    <w:p w:rsidR="00DE0758" w:rsidRPr="00A9787D" w:rsidRDefault="00585FDF" w:rsidP="002143F6">
      <w:pPr>
        <w:pStyle w:val="ParaTab1"/>
        <w:tabs>
          <w:tab w:val="num" w:pos="0"/>
          <w:tab w:val="left" w:pos="2070"/>
        </w:tabs>
        <w:spacing w:line="360" w:lineRule="auto"/>
        <w:rPr>
          <w:sz w:val="26"/>
          <w:szCs w:val="26"/>
        </w:rPr>
      </w:pPr>
      <w:r w:rsidRPr="00B5256C">
        <w:rPr>
          <w:sz w:val="26"/>
          <w:szCs w:val="26"/>
        </w:rPr>
        <w:t>On March 28</w:t>
      </w:r>
      <w:r w:rsidR="006033E9" w:rsidRPr="00B5256C">
        <w:rPr>
          <w:sz w:val="26"/>
          <w:szCs w:val="26"/>
        </w:rPr>
        <w:t>, 2016</w:t>
      </w:r>
      <w:r w:rsidR="004765F6" w:rsidRPr="00B5256C">
        <w:rPr>
          <w:sz w:val="26"/>
          <w:szCs w:val="26"/>
        </w:rPr>
        <w:t>, the Complainant filed a Formal C</w:t>
      </w:r>
      <w:r w:rsidR="00EF59CA" w:rsidRPr="00B5256C">
        <w:rPr>
          <w:sz w:val="26"/>
          <w:szCs w:val="26"/>
        </w:rPr>
        <w:t>omplaint (Compl</w:t>
      </w:r>
      <w:r w:rsidR="001B6DA6">
        <w:rPr>
          <w:sz w:val="26"/>
          <w:szCs w:val="26"/>
        </w:rPr>
        <w:t xml:space="preserve">aint) </w:t>
      </w:r>
      <w:r w:rsidR="00D04ACF">
        <w:rPr>
          <w:sz w:val="26"/>
          <w:szCs w:val="26"/>
        </w:rPr>
        <w:t xml:space="preserve">against PECO </w:t>
      </w:r>
      <w:r w:rsidR="001B6DA6">
        <w:rPr>
          <w:sz w:val="26"/>
          <w:szCs w:val="26"/>
        </w:rPr>
        <w:t xml:space="preserve">alleging </w:t>
      </w:r>
      <w:r w:rsidR="001B6DA6">
        <w:rPr>
          <w:rFonts w:ascii="Times New Roman" w:hAnsi="Times New Roman" w:cs="Times New Roman"/>
          <w:sz w:val="26"/>
          <w:szCs w:val="26"/>
        </w:rPr>
        <w:t xml:space="preserve">incorrect charges and </w:t>
      </w:r>
      <w:r w:rsidR="00D04ACF">
        <w:rPr>
          <w:rFonts w:ascii="Times New Roman" w:hAnsi="Times New Roman" w:cs="Times New Roman"/>
          <w:sz w:val="26"/>
          <w:szCs w:val="26"/>
        </w:rPr>
        <w:t xml:space="preserve">overbilling </w:t>
      </w:r>
      <w:r w:rsidR="00107C8D" w:rsidRPr="00B5256C">
        <w:rPr>
          <w:rFonts w:ascii="Times New Roman" w:hAnsi="Times New Roman" w:cs="Times New Roman"/>
          <w:sz w:val="26"/>
          <w:szCs w:val="26"/>
        </w:rPr>
        <w:t>for service to</w:t>
      </w:r>
      <w:r w:rsidR="00D04ACF">
        <w:rPr>
          <w:rFonts w:ascii="Times New Roman" w:hAnsi="Times New Roman" w:cs="Times New Roman"/>
          <w:sz w:val="26"/>
          <w:szCs w:val="26"/>
        </w:rPr>
        <w:t xml:space="preserve"> her</w:t>
      </w:r>
      <w:r w:rsidR="00107C8D" w:rsidRPr="00B5256C">
        <w:rPr>
          <w:rFonts w:ascii="Times New Roman" w:hAnsi="Times New Roman" w:cs="Times New Roman"/>
          <w:sz w:val="26"/>
          <w:szCs w:val="26"/>
        </w:rPr>
        <w:t xml:space="preserve"> first and second floor units at 4708 Oxford Avenue, Philadelphia, PA</w:t>
      </w:r>
      <w:r w:rsidR="00107C8D" w:rsidRPr="00B5256C">
        <w:rPr>
          <w:sz w:val="26"/>
          <w:szCs w:val="26"/>
        </w:rPr>
        <w:t xml:space="preserve"> </w:t>
      </w:r>
      <w:r w:rsidR="006033E9" w:rsidRPr="00B5256C">
        <w:rPr>
          <w:sz w:val="26"/>
          <w:szCs w:val="26"/>
        </w:rPr>
        <w:t>(Service Address)</w:t>
      </w:r>
      <w:r w:rsidR="00BB0283" w:rsidRPr="00B5256C">
        <w:rPr>
          <w:sz w:val="26"/>
          <w:szCs w:val="26"/>
        </w:rPr>
        <w:t>.</w:t>
      </w:r>
      <w:r w:rsidR="001B6DA6" w:rsidRPr="001B6DA6">
        <w:rPr>
          <w:rStyle w:val="FootnoteReference"/>
          <w:rFonts w:ascii="Times New Roman" w:hAnsi="Times New Roman" w:cs="Times New Roman"/>
          <w:spacing w:val="-3"/>
          <w:sz w:val="26"/>
          <w:szCs w:val="26"/>
        </w:rPr>
        <w:t xml:space="preserve"> </w:t>
      </w:r>
      <w:r w:rsidR="001B6DA6" w:rsidRPr="00B5256C">
        <w:rPr>
          <w:rStyle w:val="FootnoteReference"/>
          <w:rFonts w:ascii="Times New Roman" w:hAnsi="Times New Roman" w:cs="Times New Roman"/>
          <w:spacing w:val="-3"/>
          <w:sz w:val="26"/>
          <w:szCs w:val="26"/>
        </w:rPr>
        <w:footnoteReference w:id="3"/>
      </w:r>
      <w:r w:rsidR="001B6DA6" w:rsidRPr="00B5256C">
        <w:rPr>
          <w:rFonts w:ascii="Times New Roman" w:hAnsi="Times New Roman" w:cs="Times New Roman"/>
          <w:spacing w:val="-3"/>
          <w:sz w:val="26"/>
          <w:szCs w:val="26"/>
        </w:rPr>
        <w:t xml:space="preserve"> </w:t>
      </w:r>
      <w:r w:rsidR="00CC4D69" w:rsidRPr="001B6DA6">
        <w:rPr>
          <w:sz w:val="26"/>
          <w:szCs w:val="26"/>
        </w:rPr>
        <w:t xml:space="preserve"> </w:t>
      </w:r>
      <w:r w:rsidR="00C2222C" w:rsidRPr="00AF389D">
        <w:rPr>
          <w:sz w:val="26"/>
          <w:szCs w:val="26"/>
        </w:rPr>
        <w:t xml:space="preserve">This Complaint is a timely appeal of a Bureau of Consumer Services (BCS) informal </w:t>
      </w:r>
      <w:r w:rsidR="00536C67">
        <w:rPr>
          <w:sz w:val="26"/>
          <w:szCs w:val="26"/>
        </w:rPr>
        <w:t xml:space="preserve">complaint </w:t>
      </w:r>
      <w:r w:rsidR="00C2222C" w:rsidRPr="00AF389D">
        <w:rPr>
          <w:sz w:val="26"/>
          <w:szCs w:val="26"/>
        </w:rPr>
        <w:t>decision at BCS Case No. 3362504</w:t>
      </w:r>
      <w:r w:rsidR="00C2222C">
        <w:rPr>
          <w:sz w:val="26"/>
          <w:szCs w:val="26"/>
        </w:rPr>
        <w:t>, issued on January 11</w:t>
      </w:r>
      <w:r w:rsidR="00C2222C" w:rsidRPr="00AF389D">
        <w:rPr>
          <w:sz w:val="26"/>
          <w:szCs w:val="26"/>
        </w:rPr>
        <w:t>, 2016</w:t>
      </w:r>
      <w:r w:rsidR="00C2222C">
        <w:rPr>
          <w:sz w:val="26"/>
          <w:szCs w:val="26"/>
        </w:rPr>
        <w:t xml:space="preserve">.  </w:t>
      </w:r>
      <w:r w:rsidR="00B5256C" w:rsidRPr="001B6DA6">
        <w:rPr>
          <w:spacing w:val="-3"/>
          <w:sz w:val="26"/>
          <w:szCs w:val="26"/>
        </w:rPr>
        <w:t>In</w:t>
      </w:r>
      <w:r w:rsidR="00B5256C" w:rsidRPr="00B5256C">
        <w:rPr>
          <w:spacing w:val="-3"/>
          <w:sz w:val="26"/>
          <w:szCs w:val="26"/>
        </w:rPr>
        <w:t xml:space="preserve"> the Complaint, Ms. Harris</w:t>
      </w:r>
      <w:r w:rsidR="00B5256C" w:rsidRPr="00B5256C">
        <w:rPr>
          <w:rFonts w:ascii="Times New Roman" w:hAnsi="Times New Roman" w:cs="Times New Roman"/>
          <w:spacing w:val="-3"/>
          <w:sz w:val="26"/>
          <w:szCs w:val="26"/>
        </w:rPr>
        <w:t xml:space="preserve"> placed checkmarks in boxes indicating that “[t]he utility is threatening to shut off my service or has already shut off my service,” “[i]ncorrect charges are on my bill,” and “[o]ther.”</w:t>
      </w:r>
      <w:r w:rsidR="00B5256C" w:rsidRPr="00B5256C">
        <w:rPr>
          <w:spacing w:val="-3"/>
          <w:sz w:val="26"/>
          <w:szCs w:val="26"/>
        </w:rPr>
        <w:t xml:space="preserve">  </w:t>
      </w:r>
      <w:r w:rsidR="00AF389D">
        <w:rPr>
          <w:rFonts w:ascii="Times New Roman" w:hAnsi="Times New Roman" w:cs="Times New Roman"/>
          <w:spacing w:val="-3"/>
          <w:sz w:val="26"/>
          <w:szCs w:val="26"/>
        </w:rPr>
        <w:t>For relief</w:t>
      </w:r>
      <w:r w:rsidR="00B5256C" w:rsidRPr="00B5256C">
        <w:rPr>
          <w:rFonts w:ascii="Times New Roman" w:hAnsi="Times New Roman" w:cs="Times New Roman"/>
          <w:spacing w:val="-3"/>
          <w:sz w:val="26"/>
          <w:szCs w:val="26"/>
        </w:rPr>
        <w:t xml:space="preserve">, </w:t>
      </w:r>
      <w:r w:rsidR="00AF389D">
        <w:rPr>
          <w:rFonts w:ascii="Times New Roman" w:hAnsi="Times New Roman" w:cs="Times New Roman"/>
          <w:spacing w:val="-3"/>
          <w:sz w:val="26"/>
          <w:szCs w:val="26"/>
        </w:rPr>
        <w:t>she requested that</w:t>
      </w:r>
      <w:r w:rsidR="00B5256C" w:rsidRPr="00B5256C">
        <w:rPr>
          <w:rFonts w:ascii="Times New Roman" w:hAnsi="Times New Roman" w:cs="Times New Roman"/>
          <w:spacing w:val="-3"/>
          <w:sz w:val="26"/>
          <w:szCs w:val="26"/>
        </w:rPr>
        <w:t xml:space="preserve"> the </w:t>
      </w:r>
      <w:r w:rsidR="001B6DA6">
        <w:rPr>
          <w:rFonts w:ascii="Times New Roman" w:hAnsi="Times New Roman" w:cs="Times New Roman"/>
          <w:spacing w:val="-3"/>
          <w:sz w:val="26"/>
          <w:szCs w:val="26"/>
        </w:rPr>
        <w:t xml:space="preserve">Commission </w:t>
      </w:r>
      <w:r w:rsidR="00D04ACF">
        <w:rPr>
          <w:rFonts w:ascii="Times New Roman" w:hAnsi="Times New Roman" w:cs="Times New Roman"/>
          <w:spacing w:val="-3"/>
          <w:sz w:val="26"/>
          <w:szCs w:val="26"/>
        </w:rPr>
        <w:t xml:space="preserve">investigate PECO’s </w:t>
      </w:r>
      <w:r w:rsidR="00B5256C" w:rsidRPr="00B5256C">
        <w:rPr>
          <w:rFonts w:ascii="Times New Roman" w:hAnsi="Times New Roman" w:cs="Times New Roman"/>
          <w:spacing w:val="-3"/>
          <w:sz w:val="26"/>
          <w:szCs w:val="26"/>
        </w:rPr>
        <w:t>charges for all three units (first, second and thir</w:t>
      </w:r>
      <w:r w:rsidR="005C7D2F">
        <w:rPr>
          <w:rFonts w:ascii="Times New Roman" w:hAnsi="Times New Roman" w:cs="Times New Roman"/>
          <w:spacing w:val="-3"/>
          <w:sz w:val="26"/>
          <w:szCs w:val="26"/>
        </w:rPr>
        <w:t>d floor units</w:t>
      </w:r>
      <w:r w:rsidR="00AF389D">
        <w:rPr>
          <w:rFonts w:ascii="Times New Roman" w:hAnsi="Times New Roman" w:cs="Times New Roman"/>
          <w:spacing w:val="-3"/>
          <w:sz w:val="26"/>
          <w:szCs w:val="26"/>
        </w:rPr>
        <w:t xml:space="preserve">) at the Service Address </w:t>
      </w:r>
      <w:r w:rsidR="00B5256C" w:rsidRPr="00B5256C">
        <w:rPr>
          <w:rFonts w:ascii="Times New Roman" w:hAnsi="Times New Roman" w:cs="Times New Roman"/>
          <w:spacing w:val="-3"/>
          <w:sz w:val="26"/>
          <w:szCs w:val="26"/>
        </w:rPr>
        <w:t xml:space="preserve">and </w:t>
      </w:r>
      <w:r w:rsidR="00D04ACF">
        <w:rPr>
          <w:rFonts w:ascii="Times New Roman" w:hAnsi="Times New Roman" w:cs="Times New Roman"/>
          <w:spacing w:val="-3"/>
          <w:sz w:val="26"/>
          <w:szCs w:val="26"/>
        </w:rPr>
        <w:t xml:space="preserve">that </w:t>
      </w:r>
      <w:r w:rsidR="00B5256C" w:rsidRPr="00B5256C">
        <w:rPr>
          <w:rFonts w:ascii="Times New Roman" w:hAnsi="Times New Roman" w:cs="Times New Roman"/>
          <w:spacing w:val="-3"/>
          <w:sz w:val="26"/>
          <w:szCs w:val="26"/>
        </w:rPr>
        <w:t xml:space="preserve">any “false charges” for the first and second floor units </w:t>
      </w:r>
      <w:r w:rsidR="001B6DA6">
        <w:rPr>
          <w:rFonts w:ascii="Times New Roman" w:hAnsi="Times New Roman" w:cs="Times New Roman"/>
          <w:spacing w:val="-3"/>
          <w:sz w:val="26"/>
          <w:szCs w:val="26"/>
        </w:rPr>
        <w:t xml:space="preserve">be </w:t>
      </w:r>
      <w:r w:rsidR="00B5256C" w:rsidRPr="00B5256C">
        <w:rPr>
          <w:rFonts w:ascii="Times New Roman" w:hAnsi="Times New Roman" w:cs="Times New Roman"/>
          <w:spacing w:val="-3"/>
          <w:sz w:val="26"/>
          <w:szCs w:val="26"/>
        </w:rPr>
        <w:t>removed from her bill.</w:t>
      </w:r>
      <w:r w:rsidR="005C7D2F" w:rsidRPr="005C7D2F">
        <w:rPr>
          <w:rStyle w:val="FootnoteReference"/>
          <w:sz w:val="26"/>
          <w:szCs w:val="26"/>
        </w:rPr>
        <w:t xml:space="preserve"> </w:t>
      </w:r>
      <w:r w:rsidR="005C7D2F">
        <w:rPr>
          <w:rStyle w:val="FootnoteReference"/>
          <w:sz w:val="26"/>
          <w:szCs w:val="26"/>
        </w:rPr>
        <w:footnoteReference w:id="4"/>
      </w:r>
      <w:r w:rsidR="001B6DA6">
        <w:rPr>
          <w:rFonts w:ascii="Times New Roman" w:hAnsi="Times New Roman" w:cs="Times New Roman"/>
          <w:spacing w:val="-3"/>
          <w:sz w:val="26"/>
          <w:szCs w:val="26"/>
        </w:rPr>
        <w:t xml:space="preserve">  </w:t>
      </w:r>
      <w:r w:rsidR="001B6DA6">
        <w:rPr>
          <w:sz w:val="26"/>
          <w:szCs w:val="26"/>
        </w:rPr>
        <w:t>Complaint at 2-6</w:t>
      </w:r>
      <w:r w:rsidR="00705F95">
        <w:rPr>
          <w:sz w:val="26"/>
          <w:szCs w:val="26"/>
        </w:rPr>
        <w:t>;</w:t>
      </w:r>
      <w:r w:rsidR="00123510" w:rsidRPr="00A9787D">
        <w:rPr>
          <w:sz w:val="26"/>
          <w:szCs w:val="26"/>
        </w:rPr>
        <w:t xml:space="preserve"> I.D. at 1</w:t>
      </w:r>
      <w:r w:rsidR="007E0441">
        <w:rPr>
          <w:sz w:val="26"/>
          <w:szCs w:val="26"/>
        </w:rPr>
        <w:t>-2</w:t>
      </w:r>
      <w:r w:rsidR="00123510" w:rsidRPr="00A9787D">
        <w:rPr>
          <w:sz w:val="26"/>
          <w:szCs w:val="26"/>
        </w:rPr>
        <w:t>.</w:t>
      </w:r>
    </w:p>
    <w:p w:rsidR="00361DD8" w:rsidRPr="00A9787D" w:rsidRDefault="00361DD8" w:rsidP="002143F6">
      <w:pPr>
        <w:widowControl/>
        <w:spacing w:line="360" w:lineRule="auto"/>
        <w:rPr>
          <w:sz w:val="26"/>
          <w:szCs w:val="26"/>
        </w:rPr>
      </w:pPr>
    </w:p>
    <w:p w:rsidR="003250C7" w:rsidRDefault="003250C7" w:rsidP="002143F6">
      <w:pPr>
        <w:widowControl/>
        <w:spacing w:line="360" w:lineRule="auto"/>
        <w:ind w:firstLine="1440"/>
        <w:rPr>
          <w:sz w:val="26"/>
          <w:szCs w:val="26"/>
        </w:rPr>
      </w:pPr>
      <w:r w:rsidRPr="003250C7">
        <w:rPr>
          <w:spacing w:val="-3"/>
          <w:sz w:val="26"/>
          <w:szCs w:val="26"/>
        </w:rPr>
        <w:t xml:space="preserve">On April 18, 2016, PECO filed an Answer denying all material allegations of fact </w:t>
      </w:r>
      <w:r w:rsidR="00F26E54">
        <w:rPr>
          <w:spacing w:val="-3"/>
          <w:sz w:val="26"/>
          <w:szCs w:val="26"/>
        </w:rPr>
        <w:t xml:space="preserve">in the Complaint.  PECO indicated </w:t>
      </w:r>
      <w:r w:rsidRPr="003250C7">
        <w:rPr>
          <w:spacing w:val="-3"/>
          <w:sz w:val="26"/>
          <w:szCs w:val="26"/>
        </w:rPr>
        <w:t xml:space="preserve">that </w:t>
      </w:r>
      <w:r w:rsidR="00F26E54">
        <w:rPr>
          <w:spacing w:val="-3"/>
          <w:sz w:val="26"/>
          <w:szCs w:val="26"/>
        </w:rPr>
        <w:t xml:space="preserve">it </w:t>
      </w:r>
      <w:r w:rsidRPr="003250C7">
        <w:rPr>
          <w:spacing w:val="-3"/>
          <w:sz w:val="26"/>
          <w:szCs w:val="26"/>
        </w:rPr>
        <w:t xml:space="preserve">investigated the Complainant’s high bill concerns </w:t>
      </w:r>
      <w:r w:rsidR="00F26E54">
        <w:rPr>
          <w:spacing w:val="-3"/>
          <w:sz w:val="26"/>
          <w:szCs w:val="26"/>
        </w:rPr>
        <w:t>on several occasions but found them to be baseless</w:t>
      </w:r>
      <w:r w:rsidRPr="003250C7">
        <w:rPr>
          <w:spacing w:val="-3"/>
          <w:sz w:val="26"/>
          <w:szCs w:val="26"/>
        </w:rPr>
        <w:t>.</w:t>
      </w:r>
      <w:r>
        <w:rPr>
          <w:sz w:val="26"/>
          <w:szCs w:val="26"/>
        </w:rPr>
        <w:t xml:space="preserve">  Answer at 1-4.</w:t>
      </w:r>
    </w:p>
    <w:p w:rsidR="00C1249D" w:rsidRDefault="00C1249D" w:rsidP="002143F6">
      <w:pPr>
        <w:widowControl/>
        <w:spacing w:line="360" w:lineRule="auto"/>
        <w:ind w:firstLine="1440"/>
        <w:rPr>
          <w:sz w:val="26"/>
          <w:szCs w:val="26"/>
        </w:rPr>
      </w:pPr>
    </w:p>
    <w:p w:rsidR="00B07FED" w:rsidRPr="00B41799" w:rsidRDefault="007575DF" w:rsidP="002143F6">
      <w:pPr>
        <w:widowControl/>
        <w:spacing w:line="360" w:lineRule="auto"/>
        <w:rPr>
          <w:sz w:val="26"/>
          <w:szCs w:val="26"/>
        </w:rPr>
      </w:pPr>
      <w:r>
        <w:rPr>
          <w:sz w:val="26"/>
          <w:szCs w:val="26"/>
        </w:rPr>
        <w:tab/>
      </w:r>
      <w:r>
        <w:rPr>
          <w:sz w:val="26"/>
          <w:szCs w:val="26"/>
        </w:rPr>
        <w:tab/>
      </w:r>
      <w:r w:rsidR="00752C37">
        <w:rPr>
          <w:sz w:val="26"/>
          <w:szCs w:val="26"/>
        </w:rPr>
        <w:t>On June 24</w:t>
      </w:r>
      <w:r w:rsidR="005921BF">
        <w:rPr>
          <w:sz w:val="26"/>
          <w:szCs w:val="26"/>
        </w:rPr>
        <w:t>, 2016</w:t>
      </w:r>
      <w:r w:rsidR="00E55B3A" w:rsidRPr="00A9787D">
        <w:rPr>
          <w:sz w:val="26"/>
          <w:szCs w:val="26"/>
        </w:rPr>
        <w:t>, a</w:t>
      </w:r>
      <w:r w:rsidR="00D02B7D" w:rsidRPr="00A9787D">
        <w:rPr>
          <w:sz w:val="26"/>
          <w:szCs w:val="26"/>
        </w:rPr>
        <w:t xml:space="preserve"> </w:t>
      </w:r>
      <w:r w:rsidR="006C1271" w:rsidRPr="00A9787D">
        <w:rPr>
          <w:sz w:val="26"/>
          <w:szCs w:val="26"/>
        </w:rPr>
        <w:t xml:space="preserve">hearing was held in this matter.  The </w:t>
      </w:r>
      <w:r w:rsidR="00CF4E3B">
        <w:rPr>
          <w:sz w:val="26"/>
          <w:szCs w:val="26"/>
        </w:rPr>
        <w:t>Complainant</w:t>
      </w:r>
      <w:r w:rsidR="006C1271" w:rsidRPr="00A9787D">
        <w:rPr>
          <w:sz w:val="26"/>
          <w:szCs w:val="26"/>
        </w:rPr>
        <w:t xml:space="preserve"> </w:t>
      </w:r>
      <w:r w:rsidR="001E6885" w:rsidRPr="00A9787D">
        <w:rPr>
          <w:sz w:val="26"/>
          <w:szCs w:val="26"/>
        </w:rPr>
        <w:t xml:space="preserve">appeared </w:t>
      </w:r>
      <w:r w:rsidR="001E6885" w:rsidRPr="00A9787D">
        <w:rPr>
          <w:i/>
          <w:sz w:val="26"/>
          <w:szCs w:val="26"/>
        </w:rPr>
        <w:t>pro</w:t>
      </w:r>
      <w:r w:rsidR="001E6885" w:rsidRPr="00705F95">
        <w:rPr>
          <w:i/>
          <w:sz w:val="26"/>
          <w:szCs w:val="26"/>
        </w:rPr>
        <w:t xml:space="preserve"> se</w:t>
      </w:r>
      <w:r w:rsidR="001E6885" w:rsidRPr="00A9787D">
        <w:rPr>
          <w:sz w:val="26"/>
          <w:szCs w:val="26"/>
        </w:rPr>
        <w:t xml:space="preserve"> </w:t>
      </w:r>
      <w:r w:rsidR="00D02B7D" w:rsidRPr="00A9787D">
        <w:rPr>
          <w:sz w:val="26"/>
          <w:szCs w:val="26"/>
        </w:rPr>
        <w:t>and testified</w:t>
      </w:r>
      <w:r w:rsidR="006C1271" w:rsidRPr="00A9787D">
        <w:rPr>
          <w:sz w:val="26"/>
          <w:szCs w:val="26"/>
        </w:rPr>
        <w:t xml:space="preserve">.  </w:t>
      </w:r>
      <w:r w:rsidR="00752C37">
        <w:rPr>
          <w:sz w:val="26"/>
          <w:szCs w:val="26"/>
        </w:rPr>
        <w:t xml:space="preserve">The Complainant offered one </w:t>
      </w:r>
      <w:r w:rsidR="003F4215">
        <w:rPr>
          <w:sz w:val="26"/>
          <w:szCs w:val="26"/>
        </w:rPr>
        <w:t>exhibit which</w:t>
      </w:r>
      <w:r w:rsidR="00EF523D">
        <w:rPr>
          <w:sz w:val="26"/>
          <w:szCs w:val="26"/>
        </w:rPr>
        <w:t xml:space="preserve"> was admitted into the record</w:t>
      </w:r>
      <w:r w:rsidR="00752C37">
        <w:rPr>
          <w:sz w:val="26"/>
          <w:szCs w:val="26"/>
        </w:rPr>
        <w:t xml:space="preserve">.  PECO </w:t>
      </w:r>
      <w:r w:rsidR="00D02B7D" w:rsidRPr="00A9787D">
        <w:rPr>
          <w:sz w:val="26"/>
          <w:szCs w:val="26"/>
        </w:rPr>
        <w:t xml:space="preserve">appeared and was represented by </w:t>
      </w:r>
      <w:r w:rsidR="007D0C12">
        <w:rPr>
          <w:sz w:val="26"/>
          <w:szCs w:val="26"/>
        </w:rPr>
        <w:t>counsel</w:t>
      </w:r>
      <w:r w:rsidR="00D02B7D" w:rsidRPr="00A9787D">
        <w:rPr>
          <w:sz w:val="26"/>
          <w:szCs w:val="26"/>
        </w:rPr>
        <w:t>, who presente</w:t>
      </w:r>
      <w:r w:rsidR="003141F1" w:rsidRPr="00A9787D">
        <w:rPr>
          <w:sz w:val="26"/>
          <w:szCs w:val="26"/>
        </w:rPr>
        <w:t xml:space="preserve">d the testimony of </w:t>
      </w:r>
      <w:r w:rsidR="00752C37">
        <w:rPr>
          <w:sz w:val="26"/>
          <w:szCs w:val="26"/>
        </w:rPr>
        <w:t>two</w:t>
      </w:r>
      <w:r w:rsidR="008752EE">
        <w:rPr>
          <w:sz w:val="26"/>
          <w:szCs w:val="26"/>
        </w:rPr>
        <w:t xml:space="preserve"> witnesses.  </w:t>
      </w:r>
      <w:r w:rsidR="00752C37">
        <w:rPr>
          <w:sz w:val="26"/>
          <w:szCs w:val="26"/>
        </w:rPr>
        <w:t>PECO</w:t>
      </w:r>
      <w:r w:rsidR="008752EE">
        <w:rPr>
          <w:sz w:val="26"/>
          <w:szCs w:val="26"/>
        </w:rPr>
        <w:t xml:space="preserve"> also </w:t>
      </w:r>
      <w:r w:rsidR="00400634">
        <w:rPr>
          <w:sz w:val="26"/>
          <w:szCs w:val="26"/>
        </w:rPr>
        <w:t xml:space="preserve">offered </w:t>
      </w:r>
      <w:r w:rsidR="00752C37">
        <w:rPr>
          <w:sz w:val="26"/>
          <w:szCs w:val="26"/>
        </w:rPr>
        <w:t xml:space="preserve">eleven </w:t>
      </w:r>
      <w:r w:rsidR="003F4215" w:rsidRPr="00A9787D">
        <w:rPr>
          <w:sz w:val="26"/>
          <w:szCs w:val="26"/>
        </w:rPr>
        <w:t>exhibits during</w:t>
      </w:r>
      <w:r w:rsidR="00D02B7D" w:rsidRPr="00A9787D">
        <w:rPr>
          <w:sz w:val="26"/>
          <w:szCs w:val="26"/>
        </w:rPr>
        <w:t xml:space="preserve"> the hearing, which were all admitted into the record</w:t>
      </w:r>
      <w:r w:rsidR="00D324D4" w:rsidRPr="00A9787D">
        <w:rPr>
          <w:sz w:val="26"/>
          <w:szCs w:val="26"/>
        </w:rPr>
        <w:t xml:space="preserve">.  </w:t>
      </w:r>
      <w:r w:rsidR="002306C9" w:rsidRPr="00A9787D">
        <w:rPr>
          <w:sz w:val="26"/>
          <w:szCs w:val="26"/>
        </w:rPr>
        <w:t xml:space="preserve">In addition to the </w:t>
      </w:r>
      <w:r w:rsidR="00752C37">
        <w:rPr>
          <w:sz w:val="26"/>
          <w:szCs w:val="26"/>
        </w:rPr>
        <w:t>eleven</w:t>
      </w:r>
      <w:r w:rsidR="002306C9" w:rsidRPr="00A9787D">
        <w:rPr>
          <w:sz w:val="26"/>
          <w:szCs w:val="26"/>
        </w:rPr>
        <w:t xml:space="preserve"> exhibits, t</w:t>
      </w:r>
      <w:r w:rsidR="00B07FED" w:rsidRPr="00A9787D">
        <w:rPr>
          <w:sz w:val="26"/>
          <w:szCs w:val="26"/>
        </w:rPr>
        <w:t>he</w:t>
      </w:r>
      <w:r w:rsidR="003141F1" w:rsidRPr="00A9787D">
        <w:rPr>
          <w:sz w:val="26"/>
          <w:szCs w:val="26"/>
        </w:rPr>
        <w:t xml:space="preserve"> reco</w:t>
      </w:r>
      <w:r w:rsidR="00E63E28" w:rsidRPr="00A9787D">
        <w:rPr>
          <w:sz w:val="26"/>
          <w:szCs w:val="26"/>
        </w:rPr>
        <w:t>rd in this case</w:t>
      </w:r>
      <w:r w:rsidR="00C757B8" w:rsidRPr="00A9787D">
        <w:rPr>
          <w:sz w:val="26"/>
          <w:szCs w:val="26"/>
        </w:rPr>
        <w:t xml:space="preserve"> also</w:t>
      </w:r>
      <w:r w:rsidR="00752C37">
        <w:rPr>
          <w:sz w:val="26"/>
          <w:szCs w:val="26"/>
        </w:rPr>
        <w:t xml:space="preserve"> contains a 112-page </w:t>
      </w:r>
      <w:r w:rsidR="002306C9" w:rsidRPr="00A9787D">
        <w:rPr>
          <w:sz w:val="26"/>
          <w:szCs w:val="26"/>
        </w:rPr>
        <w:t>transcript</w:t>
      </w:r>
      <w:r w:rsidR="00B07FED" w:rsidRPr="00A9787D">
        <w:rPr>
          <w:sz w:val="26"/>
          <w:szCs w:val="26"/>
        </w:rPr>
        <w:t xml:space="preserve">.  </w:t>
      </w:r>
      <w:r w:rsidR="00B07FED" w:rsidRPr="00B41799">
        <w:rPr>
          <w:sz w:val="26"/>
          <w:szCs w:val="26"/>
        </w:rPr>
        <w:t>T</w:t>
      </w:r>
      <w:r w:rsidR="00400634" w:rsidRPr="00B41799">
        <w:rPr>
          <w:sz w:val="26"/>
          <w:szCs w:val="26"/>
        </w:rPr>
        <w:t xml:space="preserve">he record was closed on </w:t>
      </w:r>
      <w:r w:rsidR="00234273" w:rsidRPr="00B41799">
        <w:rPr>
          <w:sz w:val="26"/>
          <w:szCs w:val="26"/>
        </w:rPr>
        <w:t>July 18</w:t>
      </w:r>
      <w:r w:rsidR="00400634" w:rsidRPr="00B41799">
        <w:rPr>
          <w:sz w:val="26"/>
          <w:szCs w:val="26"/>
        </w:rPr>
        <w:t>, 2016</w:t>
      </w:r>
      <w:r w:rsidR="00234273" w:rsidRPr="00B41799">
        <w:rPr>
          <w:sz w:val="26"/>
          <w:szCs w:val="26"/>
        </w:rPr>
        <w:t xml:space="preserve">, </w:t>
      </w:r>
      <w:r w:rsidR="00A624B2">
        <w:rPr>
          <w:sz w:val="26"/>
          <w:szCs w:val="26"/>
        </w:rPr>
        <w:t>after</w:t>
      </w:r>
      <w:r w:rsidR="00234273" w:rsidRPr="00B41799">
        <w:rPr>
          <w:sz w:val="26"/>
          <w:szCs w:val="26"/>
        </w:rPr>
        <w:t xml:space="preserve"> the ALJ received the transcript</w:t>
      </w:r>
      <w:r w:rsidR="00B07FED" w:rsidRPr="00B41799">
        <w:rPr>
          <w:sz w:val="26"/>
          <w:szCs w:val="26"/>
        </w:rPr>
        <w:t>.  I.D</w:t>
      </w:r>
      <w:r w:rsidR="003141F1" w:rsidRPr="00B41799">
        <w:rPr>
          <w:sz w:val="26"/>
          <w:szCs w:val="26"/>
        </w:rPr>
        <w:t>. at 2</w:t>
      </w:r>
      <w:r w:rsidR="00E63E28" w:rsidRPr="00B41799">
        <w:rPr>
          <w:sz w:val="26"/>
          <w:szCs w:val="26"/>
        </w:rPr>
        <w:t>-3</w:t>
      </w:r>
      <w:r w:rsidR="00B07FED" w:rsidRPr="00B41799">
        <w:rPr>
          <w:sz w:val="26"/>
          <w:szCs w:val="26"/>
        </w:rPr>
        <w:t>.</w:t>
      </w:r>
    </w:p>
    <w:p w:rsidR="00752C37" w:rsidRDefault="00752C37" w:rsidP="002143F6">
      <w:pPr>
        <w:widowControl/>
        <w:spacing w:line="360" w:lineRule="auto"/>
        <w:rPr>
          <w:sz w:val="26"/>
          <w:szCs w:val="26"/>
        </w:rPr>
      </w:pPr>
    </w:p>
    <w:p w:rsidR="00C474C0" w:rsidRDefault="00752C37" w:rsidP="002143F6">
      <w:pPr>
        <w:pStyle w:val="BodyText"/>
        <w:widowControl/>
        <w:tabs>
          <w:tab w:val="left" w:pos="0"/>
        </w:tabs>
        <w:spacing w:line="360" w:lineRule="auto"/>
        <w:jc w:val="left"/>
        <w:rPr>
          <w:rFonts w:ascii="Times New Roman" w:hAnsi="Times New Roman"/>
          <w:sz w:val="26"/>
          <w:szCs w:val="26"/>
        </w:rPr>
      </w:pPr>
      <w:r>
        <w:rPr>
          <w:sz w:val="26"/>
          <w:szCs w:val="26"/>
        </w:rPr>
        <w:tab/>
      </w:r>
      <w:r>
        <w:rPr>
          <w:sz w:val="26"/>
          <w:szCs w:val="26"/>
        </w:rPr>
        <w:tab/>
      </w:r>
      <w:r w:rsidRPr="00C474C0">
        <w:rPr>
          <w:rFonts w:ascii="Times New Roman" w:hAnsi="Times New Roman"/>
          <w:sz w:val="26"/>
          <w:szCs w:val="26"/>
        </w:rPr>
        <w:t xml:space="preserve">On June 27, 2016, </w:t>
      </w:r>
      <w:r w:rsidR="00EF523D" w:rsidRPr="00C474C0">
        <w:rPr>
          <w:rFonts w:ascii="Times New Roman" w:hAnsi="Times New Roman"/>
          <w:sz w:val="26"/>
          <w:szCs w:val="26"/>
        </w:rPr>
        <w:t>the Complainant</w:t>
      </w:r>
      <w:r w:rsidR="00EF523D">
        <w:rPr>
          <w:rFonts w:ascii="Times New Roman" w:hAnsi="Times New Roman"/>
          <w:sz w:val="26"/>
          <w:szCs w:val="26"/>
        </w:rPr>
        <w:t xml:space="preserve"> sent a letter to the Commission requesting</w:t>
      </w:r>
      <w:r w:rsidR="00C474C0" w:rsidRPr="00C474C0">
        <w:rPr>
          <w:rFonts w:ascii="Times New Roman" w:hAnsi="Times New Roman"/>
          <w:sz w:val="26"/>
          <w:szCs w:val="26"/>
        </w:rPr>
        <w:t xml:space="preserve"> a new hearing.</w:t>
      </w:r>
      <w:r w:rsidR="006502D3">
        <w:rPr>
          <w:rFonts w:ascii="Times New Roman" w:hAnsi="Times New Roman"/>
          <w:sz w:val="26"/>
          <w:szCs w:val="26"/>
        </w:rPr>
        <w:t xml:space="preserve">  </w:t>
      </w:r>
      <w:r w:rsidR="00C474C0" w:rsidRPr="00C474C0">
        <w:rPr>
          <w:rFonts w:ascii="Times New Roman" w:hAnsi="Times New Roman"/>
          <w:sz w:val="26"/>
          <w:szCs w:val="26"/>
        </w:rPr>
        <w:t xml:space="preserve">The Complainant indicated that she wanted a new </w:t>
      </w:r>
      <w:r w:rsidR="003F4215" w:rsidRPr="00C474C0">
        <w:rPr>
          <w:rFonts w:ascii="Times New Roman" w:hAnsi="Times New Roman"/>
          <w:sz w:val="26"/>
          <w:szCs w:val="26"/>
        </w:rPr>
        <w:t>hearing,</w:t>
      </w:r>
      <w:r w:rsidR="00C474C0" w:rsidRPr="00C474C0">
        <w:rPr>
          <w:rFonts w:ascii="Times New Roman" w:hAnsi="Times New Roman"/>
          <w:sz w:val="26"/>
          <w:szCs w:val="26"/>
        </w:rPr>
        <w:t xml:space="preserve"> so she could be represented by an attorney.</w:t>
      </w:r>
    </w:p>
    <w:p w:rsidR="00C474C0" w:rsidRDefault="00C474C0" w:rsidP="002143F6">
      <w:pPr>
        <w:pStyle w:val="BodyText"/>
        <w:widowControl/>
        <w:tabs>
          <w:tab w:val="left" w:pos="0"/>
        </w:tabs>
        <w:spacing w:line="360" w:lineRule="auto"/>
        <w:jc w:val="left"/>
        <w:rPr>
          <w:rFonts w:ascii="Times New Roman" w:hAnsi="Times New Roman"/>
          <w:sz w:val="26"/>
          <w:szCs w:val="26"/>
        </w:rPr>
      </w:pPr>
    </w:p>
    <w:p w:rsidR="001A4BA0" w:rsidRDefault="00C474C0" w:rsidP="002143F6">
      <w:pPr>
        <w:pStyle w:val="BodyText"/>
        <w:widowControl/>
        <w:tabs>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1A4BA0">
        <w:rPr>
          <w:rFonts w:ascii="Times New Roman" w:hAnsi="Times New Roman"/>
          <w:sz w:val="26"/>
          <w:szCs w:val="26"/>
        </w:rPr>
        <w:t>On June 28, 2016, the Complainant</w:t>
      </w:r>
      <w:r w:rsidR="00EF523D">
        <w:rPr>
          <w:rFonts w:ascii="Times New Roman" w:hAnsi="Times New Roman"/>
          <w:sz w:val="26"/>
          <w:szCs w:val="26"/>
        </w:rPr>
        <w:t xml:space="preserve"> sent the Commission a second letter </w:t>
      </w:r>
      <w:r w:rsidR="00CA72DC">
        <w:rPr>
          <w:rFonts w:ascii="Times New Roman" w:hAnsi="Times New Roman"/>
          <w:sz w:val="26"/>
          <w:szCs w:val="26"/>
        </w:rPr>
        <w:t>stating</w:t>
      </w:r>
      <w:r w:rsidRPr="001A4BA0">
        <w:rPr>
          <w:rFonts w:ascii="Times New Roman" w:hAnsi="Times New Roman"/>
          <w:sz w:val="26"/>
          <w:szCs w:val="26"/>
        </w:rPr>
        <w:t xml:space="preserve"> that she had hired a private electrician to investigate the possibility of foreign load at her residence.  According to Ms. Harris, the electrician completed </w:t>
      </w:r>
      <w:r w:rsidR="00CA72DC">
        <w:rPr>
          <w:rFonts w:ascii="Times New Roman" w:hAnsi="Times New Roman"/>
          <w:sz w:val="26"/>
          <w:szCs w:val="26"/>
        </w:rPr>
        <w:t>the</w:t>
      </w:r>
      <w:r w:rsidRPr="001A4BA0">
        <w:rPr>
          <w:rFonts w:ascii="Times New Roman" w:hAnsi="Times New Roman"/>
          <w:sz w:val="26"/>
          <w:szCs w:val="26"/>
        </w:rPr>
        <w:t xml:space="preserve"> investigation on that very day and </w:t>
      </w:r>
      <w:r w:rsidR="005B48B7">
        <w:rPr>
          <w:rFonts w:ascii="Times New Roman" w:hAnsi="Times New Roman"/>
          <w:sz w:val="26"/>
          <w:szCs w:val="26"/>
        </w:rPr>
        <w:t xml:space="preserve">found foreign load on her meter.  </w:t>
      </w:r>
      <w:r w:rsidR="006502D3">
        <w:rPr>
          <w:rFonts w:ascii="Times New Roman" w:hAnsi="Times New Roman"/>
          <w:sz w:val="26"/>
          <w:szCs w:val="26"/>
        </w:rPr>
        <w:t xml:space="preserve">The Complainant stated that </w:t>
      </w:r>
      <w:r w:rsidR="006502D3" w:rsidRPr="006502D3">
        <w:rPr>
          <w:rFonts w:ascii="Times New Roman" w:hAnsi="Times New Roman"/>
          <w:sz w:val="26"/>
          <w:szCs w:val="26"/>
        </w:rPr>
        <w:t xml:space="preserve">the private electrician she hired found two hot water heaters connected to her service meter.  </w:t>
      </w:r>
      <w:r w:rsidR="001A4BA0" w:rsidRPr="001A4BA0">
        <w:rPr>
          <w:rFonts w:ascii="Times New Roman" w:hAnsi="Times New Roman"/>
          <w:sz w:val="26"/>
          <w:szCs w:val="26"/>
        </w:rPr>
        <w:t xml:space="preserve">The Complainant attached </w:t>
      </w:r>
      <w:r w:rsidR="00BF7E86">
        <w:rPr>
          <w:rFonts w:ascii="Times New Roman" w:hAnsi="Times New Roman"/>
          <w:sz w:val="26"/>
          <w:szCs w:val="26"/>
        </w:rPr>
        <w:t xml:space="preserve">to the letter </w:t>
      </w:r>
      <w:r w:rsidR="001A4BA0" w:rsidRPr="001A4BA0">
        <w:rPr>
          <w:rFonts w:ascii="Times New Roman" w:hAnsi="Times New Roman"/>
          <w:sz w:val="26"/>
          <w:szCs w:val="26"/>
        </w:rPr>
        <w:t>a copy of a work order for a company called “Adelphia Electric, LLC” dated only “06/  /16</w:t>
      </w:r>
      <w:r w:rsidR="00BF7E86">
        <w:rPr>
          <w:rFonts w:ascii="Times New Roman" w:hAnsi="Times New Roman"/>
          <w:sz w:val="26"/>
          <w:szCs w:val="26"/>
        </w:rPr>
        <w:t>.</w:t>
      </w:r>
      <w:r w:rsidR="001A4BA0" w:rsidRPr="001A4BA0">
        <w:rPr>
          <w:rFonts w:ascii="Times New Roman" w:hAnsi="Times New Roman"/>
          <w:sz w:val="26"/>
          <w:szCs w:val="26"/>
        </w:rPr>
        <w:t xml:space="preserve">”  The Complainant also indicated she had “not yet obtained an attorney for the hearing,” and requested </w:t>
      </w:r>
      <w:r w:rsidR="00EF523D">
        <w:rPr>
          <w:rFonts w:ascii="Times New Roman" w:hAnsi="Times New Roman"/>
          <w:sz w:val="26"/>
          <w:szCs w:val="26"/>
        </w:rPr>
        <w:t xml:space="preserve">that </w:t>
      </w:r>
      <w:r w:rsidR="001A4BA0" w:rsidRPr="001A4BA0">
        <w:rPr>
          <w:rFonts w:ascii="Times New Roman" w:hAnsi="Times New Roman"/>
          <w:sz w:val="26"/>
          <w:szCs w:val="26"/>
        </w:rPr>
        <w:t xml:space="preserve">PECO supply her with an activity report on her accounts.  </w:t>
      </w:r>
      <w:r w:rsidR="00EF523D">
        <w:rPr>
          <w:rFonts w:ascii="Times New Roman" w:hAnsi="Times New Roman"/>
          <w:sz w:val="26"/>
          <w:szCs w:val="26"/>
        </w:rPr>
        <w:t>Finally, the Complainant</w:t>
      </w:r>
      <w:r w:rsidR="001A4BA0" w:rsidRPr="001A4BA0">
        <w:rPr>
          <w:rFonts w:ascii="Times New Roman" w:hAnsi="Times New Roman"/>
          <w:sz w:val="26"/>
          <w:szCs w:val="26"/>
        </w:rPr>
        <w:t xml:space="preserve"> requested that the</w:t>
      </w:r>
      <w:r w:rsidR="00EF523D">
        <w:rPr>
          <w:rFonts w:ascii="Times New Roman" w:hAnsi="Times New Roman"/>
          <w:sz w:val="26"/>
          <w:szCs w:val="26"/>
        </w:rPr>
        <w:t xml:space="preserve"> </w:t>
      </w:r>
      <w:r w:rsidR="00CA72DC">
        <w:rPr>
          <w:rFonts w:ascii="Times New Roman" w:hAnsi="Times New Roman"/>
          <w:sz w:val="26"/>
          <w:szCs w:val="26"/>
        </w:rPr>
        <w:t>Commission</w:t>
      </w:r>
      <w:r w:rsidR="001A4BA0" w:rsidRPr="001A4BA0">
        <w:rPr>
          <w:rFonts w:ascii="Times New Roman" w:hAnsi="Times New Roman"/>
          <w:sz w:val="26"/>
          <w:szCs w:val="26"/>
        </w:rPr>
        <w:t xml:space="preserve"> order PECO to deduct various fees from her bills.</w:t>
      </w:r>
    </w:p>
    <w:p w:rsidR="00EF1BE1" w:rsidRPr="001A4BA0" w:rsidRDefault="00EF1BE1" w:rsidP="002143F6">
      <w:pPr>
        <w:pStyle w:val="BodyText"/>
        <w:widowControl/>
        <w:tabs>
          <w:tab w:val="left" w:pos="0"/>
        </w:tabs>
        <w:spacing w:line="360" w:lineRule="auto"/>
        <w:jc w:val="left"/>
        <w:rPr>
          <w:rFonts w:ascii="Times New Roman" w:hAnsi="Times New Roman"/>
          <w:sz w:val="26"/>
          <w:szCs w:val="26"/>
        </w:rPr>
      </w:pPr>
    </w:p>
    <w:p w:rsidR="001A4BA0" w:rsidRPr="001A4BA0" w:rsidRDefault="001A4BA0" w:rsidP="002143F6">
      <w:pPr>
        <w:pStyle w:val="ParaTab1"/>
        <w:tabs>
          <w:tab w:val="num" w:pos="0"/>
          <w:tab w:val="left" w:pos="2160"/>
        </w:tabs>
        <w:spacing w:line="360" w:lineRule="auto"/>
        <w:rPr>
          <w:rFonts w:ascii="Times New Roman" w:hAnsi="Times New Roman" w:cs="Times New Roman"/>
          <w:spacing w:val="-3"/>
          <w:sz w:val="26"/>
          <w:szCs w:val="26"/>
        </w:rPr>
      </w:pPr>
      <w:r w:rsidRPr="001A4BA0">
        <w:rPr>
          <w:rFonts w:ascii="Times New Roman" w:hAnsi="Times New Roman" w:cs="Times New Roman"/>
          <w:spacing w:val="-3"/>
          <w:sz w:val="26"/>
          <w:szCs w:val="26"/>
        </w:rPr>
        <w:t xml:space="preserve">On July 7, 2016, PECO submitted a response objecting to the Complainant’s request for a new hearing and the attachment to </w:t>
      </w:r>
      <w:r w:rsidR="00A624B2">
        <w:rPr>
          <w:rFonts w:ascii="Times New Roman" w:hAnsi="Times New Roman" w:cs="Times New Roman"/>
          <w:spacing w:val="-3"/>
          <w:sz w:val="26"/>
          <w:szCs w:val="26"/>
        </w:rPr>
        <w:t xml:space="preserve">the </w:t>
      </w:r>
      <w:r w:rsidR="00A624B2" w:rsidRPr="001A4BA0">
        <w:rPr>
          <w:rFonts w:ascii="Times New Roman" w:hAnsi="Times New Roman" w:cs="Times New Roman"/>
          <w:spacing w:val="-3"/>
          <w:sz w:val="26"/>
          <w:szCs w:val="26"/>
        </w:rPr>
        <w:t xml:space="preserve">Complainant’s </w:t>
      </w:r>
      <w:r w:rsidR="0031436C">
        <w:rPr>
          <w:rFonts w:ascii="Times New Roman" w:hAnsi="Times New Roman" w:cs="Times New Roman"/>
          <w:spacing w:val="-3"/>
          <w:sz w:val="26"/>
          <w:szCs w:val="26"/>
        </w:rPr>
        <w:t>June 28, 2016</w:t>
      </w:r>
      <w:r w:rsidRPr="001A4BA0">
        <w:rPr>
          <w:rFonts w:ascii="Times New Roman" w:hAnsi="Times New Roman" w:cs="Times New Roman"/>
          <w:spacing w:val="-3"/>
          <w:sz w:val="26"/>
          <w:szCs w:val="26"/>
        </w:rPr>
        <w:t xml:space="preserve"> letter being admitted as a late-filed exhibit.</w:t>
      </w:r>
    </w:p>
    <w:p w:rsidR="001A4BA0" w:rsidRDefault="001A4BA0" w:rsidP="002143F6">
      <w:pPr>
        <w:pStyle w:val="BodyText"/>
        <w:widowControl/>
        <w:tabs>
          <w:tab w:val="left" w:pos="0"/>
        </w:tabs>
        <w:spacing w:line="360" w:lineRule="auto"/>
        <w:jc w:val="left"/>
        <w:rPr>
          <w:rFonts w:ascii="Times New Roman" w:hAnsi="Times New Roman"/>
          <w:sz w:val="26"/>
          <w:szCs w:val="26"/>
        </w:rPr>
      </w:pPr>
    </w:p>
    <w:p w:rsidR="00234273" w:rsidRPr="009C70C0" w:rsidRDefault="005271CB" w:rsidP="002143F6">
      <w:pPr>
        <w:pStyle w:val="FootnoteText"/>
        <w:widowControl/>
        <w:spacing w:line="360" w:lineRule="auto"/>
        <w:ind w:firstLine="720"/>
        <w:rPr>
          <w:sz w:val="26"/>
          <w:szCs w:val="26"/>
        </w:rPr>
      </w:pPr>
      <w:r>
        <w:rPr>
          <w:szCs w:val="24"/>
        </w:rPr>
        <w:tab/>
      </w:r>
      <w:r w:rsidR="00234273" w:rsidRPr="009C70C0">
        <w:rPr>
          <w:sz w:val="26"/>
          <w:szCs w:val="26"/>
        </w:rPr>
        <w:t xml:space="preserve">By Order dated July 25, 2016, the </w:t>
      </w:r>
      <w:r w:rsidR="00B41799" w:rsidRPr="009C70C0">
        <w:rPr>
          <w:sz w:val="26"/>
          <w:szCs w:val="26"/>
        </w:rPr>
        <w:t>ALJ</w:t>
      </w:r>
      <w:r w:rsidR="00234273" w:rsidRPr="009C70C0">
        <w:rPr>
          <w:sz w:val="26"/>
          <w:szCs w:val="26"/>
        </w:rPr>
        <w:t xml:space="preserve"> denied the Complainant’s request for a new hearing and sustained PECO’s objection to the Complainant’s electrician’s report being admitted into the record</w:t>
      </w:r>
      <w:r w:rsidR="009B6518">
        <w:rPr>
          <w:sz w:val="26"/>
          <w:szCs w:val="26"/>
        </w:rPr>
        <w:t xml:space="preserve"> </w:t>
      </w:r>
      <w:r w:rsidR="009B6518" w:rsidRPr="009B6518">
        <w:rPr>
          <w:i/>
          <w:sz w:val="26"/>
          <w:szCs w:val="26"/>
        </w:rPr>
        <w:t>(July 2016 Order)</w:t>
      </w:r>
      <w:r w:rsidR="00234273" w:rsidRPr="009C70C0">
        <w:rPr>
          <w:sz w:val="26"/>
          <w:szCs w:val="26"/>
        </w:rPr>
        <w:t>.</w:t>
      </w:r>
      <w:r>
        <w:rPr>
          <w:rStyle w:val="FootnoteReference"/>
          <w:sz w:val="26"/>
          <w:szCs w:val="26"/>
        </w:rPr>
        <w:footnoteReference w:id="5"/>
      </w:r>
    </w:p>
    <w:p w:rsidR="00B07FED" w:rsidRPr="00A9787D" w:rsidRDefault="00B07FED" w:rsidP="002143F6">
      <w:pPr>
        <w:widowControl/>
        <w:spacing w:line="360" w:lineRule="auto"/>
        <w:rPr>
          <w:sz w:val="26"/>
          <w:szCs w:val="26"/>
        </w:rPr>
      </w:pPr>
    </w:p>
    <w:p w:rsidR="00B7619A" w:rsidRPr="00A9787D" w:rsidRDefault="00B7619A" w:rsidP="002143F6">
      <w:pPr>
        <w:widowControl/>
        <w:spacing w:line="360" w:lineRule="auto"/>
        <w:rPr>
          <w:sz w:val="26"/>
          <w:szCs w:val="26"/>
        </w:rPr>
      </w:pPr>
      <w:r w:rsidRPr="00A9787D">
        <w:rPr>
          <w:sz w:val="26"/>
          <w:szCs w:val="26"/>
        </w:rPr>
        <w:tab/>
      </w:r>
      <w:r w:rsidRPr="00A9787D">
        <w:rPr>
          <w:sz w:val="26"/>
          <w:szCs w:val="26"/>
        </w:rPr>
        <w:tab/>
      </w:r>
      <w:r w:rsidR="006919C9">
        <w:rPr>
          <w:sz w:val="26"/>
          <w:szCs w:val="26"/>
        </w:rPr>
        <w:t>In his</w:t>
      </w:r>
      <w:r w:rsidR="00E1419D" w:rsidRPr="00A9787D">
        <w:rPr>
          <w:sz w:val="26"/>
          <w:szCs w:val="26"/>
        </w:rPr>
        <w:t xml:space="preserve"> Init</w:t>
      </w:r>
      <w:r w:rsidR="003141F1" w:rsidRPr="00A9787D">
        <w:rPr>
          <w:sz w:val="26"/>
          <w:szCs w:val="26"/>
        </w:rPr>
        <w:t>ial</w:t>
      </w:r>
      <w:r w:rsidR="0050458B">
        <w:rPr>
          <w:sz w:val="26"/>
          <w:szCs w:val="26"/>
        </w:rPr>
        <w:t xml:space="preserve"> Decision</w:t>
      </w:r>
      <w:r w:rsidR="00234273">
        <w:rPr>
          <w:sz w:val="26"/>
          <w:szCs w:val="26"/>
        </w:rPr>
        <w:t xml:space="preserve"> issued on October 14</w:t>
      </w:r>
      <w:r w:rsidR="006919C9">
        <w:rPr>
          <w:sz w:val="26"/>
          <w:szCs w:val="26"/>
        </w:rPr>
        <w:t xml:space="preserve">, 2016, </w:t>
      </w:r>
      <w:r w:rsidR="0003481E" w:rsidRPr="00A9787D">
        <w:rPr>
          <w:sz w:val="26"/>
          <w:szCs w:val="26"/>
        </w:rPr>
        <w:t>ALJ</w:t>
      </w:r>
      <w:r w:rsidR="006919C9">
        <w:rPr>
          <w:sz w:val="26"/>
          <w:szCs w:val="26"/>
        </w:rPr>
        <w:t xml:space="preserve"> </w:t>
      </w:r>
      <w:r w:rsidR="009C70C0">
        <w:rPr>
          <w:sz w:val="26"/>
          <w:szCs w:val="26"/>
        </w:rPr>
        <w:t xml:space="preserve">Pell </w:t>
      </w:r>
      <w:r w:rsidR="0003481E" w:rsidRPr="00A9787D">
        <w:rPr>
          <w:sz w:val="26"/>
          <w:szCs w:val="26"/>
        </w:rPr>
        <w:t>d</w:t>
      </w:r>
      <w:r w:rsidR="003A64D0" w:rsidRPr="00A9787D">
        <w:rPr>
          <w:sz w:val="26"/>
          <w:szCs w:val="26"/>
        </w:rPr>
        <w:t xml:space="preserve">ismissed </w:t>
      </w:r>
      <w:r w:rsidR="00E1419D" w:rsidRPr="00A9787D">
        <w:rPr>
          <w:sz w:val="26"/>
          <w:szCs w:val="26"/>
        </w:rPr>
        <w:t>the Complaint</w:t>
      </w:r>
      <w:r w:rsidR="00F91928" w:rsidRPr="00A9787D">
        <w:rPr>
          <w:sz w:val="26"/>
          <w:szCs w:val="26"/>
        </w:rPr>
        <w:t xml:space="preserve"> for failure by the </w:t>
      </w:r>
      <w:r w:rsidR="00CF4E3B">
        <w:rPr>
          <w:sz w:val="26"/>
          <w:szCs w:val="26"/>
        </w:rPr>
        <w:t>Complainant</w:t>
      </w:r>
      <w:r w:rsidR="006919C9">
        <w:rPr>
          <w:sz w:val="26"/>
          <w:szCs w:val="26"/>
        </w:rPr>
        <w:t xml:space="preserve"> to demonstrate</w:t>
      </w:r>
      <w:r w:rsidR="00071993">
        <w:rPr>
          <w:sz w:val="26"/>
          <w:szCs w:val="26"/>
        </w:rPr>
        <w:t xml:space="preserve"> </w:t>
      </w:r>
      <w:r w:rsidR="006919C9">
        <w:rPr>
          <w:sz w:val="26"/>
          <w:szCs w:val="26"/>
        </w:rPr>
        <w:t xml:space="preserve">her </w:t>
      </w:r>
      <w:r w:rsidR="00F91928" w:rsidRPr="00A9787D">
        <w:rPr>
          <w:sz w:val="26"/>
          <w:szCs w:val="26"/>
        </w:rPr>
        <w:t>burden of proof</w:t>
      </w:r>
      <w:r w:rsidR="00071993">
        <w:rPr>
          <w:sz w:val="26"/>
          <w:szCs w:val="26"/>
        </w:rPr>
        <w:t xml:space="preserve"> that:</w:t>
      </w:r>
      <w:r w:rsidR="006919C9">
        <w:rPr>
          <w:sz w:val="26"/>
          <w:szCs w:val="26"/>
        </w:rPr>
        <w:t xml:space="preserve"> </w:t>
      </w:r>
      <w:r w:rsidR="00071993">
        <w:rPr>
          <w:sz w:val="26"/>
          <w:szCs w:val="26"/>
        </w:rPr>
        <w:t>1)</w:t>
      </w:r>
      <w:r w:rsidR="00A51A2C">
        <w:rPr>
          <w:sz w:val="26"/>
          <w:szCs w:val="26"/>
        </w:rPr>
        <w:t> </w:t>
      </w:r>
      <w:r w:rsidR="00234273">
        <w:rPr>
          <w:sz w:val="26"/>
          <w:szCs w:val="26"/>
        </w:rPr>
        <w:t>PECO</w:t>
      </w:r>
      <w:r w:rsidR="006919C9">
        <w:rPr>
          <w:sz w:val="26"/>
          <w:szCs w:val="26"/>
        </w:rPr>
        <w:t xml:space="preserve"> </w:t>
      </w:r>
      <w:r w:rsidR="00B41799">
        <w:rPr>
          <w:sz w:val="26"/>
          <w:szCs w:val="26"/>
        </w:rPr>
        <w:t xml:space="preserve">billed her incorrectly </w:t>
      </w:r>
      <w:r w:rsidR="00234273">
        <w:rPr>
          <w:sz w:val="26"/>
          <w:szCs w:val="26"/>
        </w:rPr>
        <w:t xml:space="preserve">for service </w:t>
      </w:r>
      <w:r w:rsidR="00B41799">
        <w:rPr>
          <w:sz w:val="26"/>
          <w:szCs w:val="26"/>
        </w:rPr>
        <w:t>to</w:t>
      </w:r>
      <w:r w:rsidR="009C70C0">
        <w:rPr>
          <w:sz w:val="26"/>
          <w:szCs w:val="26"/>
        </w:rPr>
        <w:t xml:space="preserve"> the units in question; 2) </w:t>
      </w:r>
      <w:r w:rsidR="00234273">
        <w:rPr>
          <w:sz w:val="26"/>
          <w:szCs w:val="26"/>
        </w:rPr>
        <w:t>foreign loa</w:t>
      </w:r>
      <w:r w:rsidR="009C70C0">
        <w:rPr>
          <w:sz w:val="26"/>
          <w:szCs w:val="26"/>
        </w:rPr>
        <w:t>d existed on the first floor;</w:t>
      </w:r>
      <w:r w:rsidR="00B41799">
        <w:rPr>
          <w:sz w:val="26"/>
          <w:szCs w:val="26"/>
        </w:rPr>
        <w:t xml:space="preserve"> and </w:t>
      </w:r>
      <w:r w:rsidR="009C70C0">
        <w:rPr>
          <w:sz w:val="26"/>
          <w:szCs w:val="26"/>
        </w:rPr>
        <w:t>3</w:t>
      </w:r>
      <w:r w:rsidR="003F4215">
        <w:rPr>
          <w:sz w:val="26"/>
          <w:szCs w:val="26"/>
        </w:rPr>
        <w:t>) PECO</w:t>
      </w:r>
      <w:r w:rsidR="00234273">
        <w:rPr>
          <w:sz w:val="26"/>
          <w:szCs w:val="26"/>
        </w:rPr>
        <w:t xml:space="preserve"> provided her with inadequate service when it investigated her billing concerns </w:t>
      </w:r>
      <w:r w:rsidR="006919C9">
        <w:rPr>
          <w:sz w:val="26"/>
          <w:szCs w:val="26"/>
        </w:rPr>
        <w:t>at the Service Address</w:t>
      </w:r>
      <w:r w:rsidR="003A64D0" w:rsidRPr="00A9787D">
        <w:rPr>
          <w:sz w:val="26"/>
          <w:szCs w:val="26"/>
        </w:rPr>
        <w:t>.</w:t>
      </w:r>
      <w:r w:rsidR="00E1419D" w:rsidRPr="00A9787D">
        <w:rPr>
          <w:sz w:val="26"/>
          <w:szCs w:val="26"/>
        </w:rPr>
        <w:t xml:space="preserve">  I.D. at </w:t>
      </w:r>
      <w:r w:rsidR="00234273">
        <w:rPr>
          <w:sz w:val="26"/>
          <w:szCs w:val="26"/>
        </w:rPr>
        <w:t>1, 22-23</w:t>
      </w:r>
      <w:r w:rsidR="00E1419D" w:rsidRPr="00A9787D">
        <w:rPr>
          <w:sz w:val="26"/>
          <w:szCs w:val="26"/>
        </w:rPr>
        <w:t xml:space="preserve">.  As noted, </w:t>
      </w:r>
      <w:r w:rsidR="00E1419D" w:rsidRPr="00A9787D">
        <w:rPr>
          <w:i/>
          <w:sz w:val="26"/>
          <w:szCs w:val="26"/>
        </w:rPr>
        <w:t>supra</w:t>
      </w:r>
      <w:r w:rsidR="00E1419D" w:rsidRPr="00A9787D">
        <w:rPr>
          <w:sz w:val="26"/>
          <w:szCs w:val="26"/>
        </w:rPr>
        <w:t xml:space="preserve">, the </w:t>
      </w:r>
      <w:r w:rsidR="00CF4E3B">
        <w:rPr>
          <w:sz w:val="26"/>
          <w:szCs w:val="26"/>
        </w:rPr>
        <w:t>Complainant</w:t>
      </w:r>
      <w:r w:rsidR="00E1419D" w:rsidRPr="00A9787D">
        <w:rPr>
          <w:sz w:val="26"/>
          <w:szCs w:val="26"/>
        </w:rPr>
        <w:t xml:space="preserve"> filed </w:t>
      </w:r>
      <w:r w:rsidR="00234273">
        <w:rPr>
          <w:sz w:val="26"/>
          <w:szCs w:val="26"/>
        </w:rPr>
        <w:t>Exceptions on November 7</w:t>
      </w:r>
      <w:r w:rsidR="006919C9">
        <w:rPr>
          <w:sz w:val="26"/>
          <w:szCs w:val="26"/>
        </w:rPr>
        <w:t>, 2016</w:t>
      </w:r>
      <w:r w:rsidR="003A64D0" w:rsidRPr="00A9787D">
        <w:rPr>
          <w:sz w:val="26"/>
          <w:szCs w:val="26"/>
        </w:rPr>
        <w:t xml:space="preserve">, and </w:t>
      </w:r>
      <w:r w:rsidR="00234273">
        <w:rPr>
          <w:sz w:val="26"/>
          <w:szCs w:val="26"/>
        </w:rPr>
        <w:t>PECO</w:t>
      </w:r>
      <w:r w:rsidR="00E1419D" w:rsidRPr="00A9787D">
        <w:rPr>
          <w:sz w:val="26"/>
          <w:szCs w:val="26"/>
        </w:rPr>
        <w:t xml:space="preserve"> filed </w:t>
      </w:r>
      <w:r w:rsidR="003141F1" w:rsidRPr="00A9787D">
        <w:rPr>
          <w:sz w:val="26"/>
          <w:szCs w:val="26"/>
        </w:rPr>
        <w:t>Rep</w:t>
      </w:r>
      <w:r w:rsidR="006919C9">
        <w:rPr>
          <w:sz w:val="26"/>
          <w:szCs w:val="26"/>
        </w:rPr>
        <w:t>l</w:t>
      </w:r>
      <w:r w:rsidR="00234273">
        <w:rPr>
          <w:sz w:val="26"/>
          <w:szCs w:val="26"/>
        </w:rPr>
        <w:t>ies to Exceptions on November 14</w:t>
      </w:r>
      <w:r w:rsidR="006919C9">
        <w:rPr>
          <w:sz w:val="26"/>
          <w:szCs w:val="26"/>
        </w:rPr>
        <w:t>, 2016</w:t>
      </w:r>
      <w:r w:rsidR="00E1419D" w:rsidRPr="00A9787D">
        <w:rPr>
          <w:sz w:val="26"/>
          <w:szCs w:val="26"/>
        </w:rPr>
        <w:t>.</w:t>
      </w:r>
    </w:p>
    <w:p w:rsidR="00BA2431" w:rsidRPr="00A9787D" w:rsidRDefault="00BA2431" w:rsidP="002143F6">
      <w:pPr>
        <w:widowControl/>
        <w:spacing w:line="360" w:lineRule="auto"/>
        <w:rPr>
          <w:sz w:val="26"/>
          <w:szCs w:val="26"/>
        </w:rPr>
      </w:pPr>
    </w:p>
    <w:p w:rsidR="00502F00" w:rsidRPr="00A9787D" w:rsidRDefault="00502F00" w:rsidP="002143F6">
      <w:pPr>
        <w:keepNext/>
        <w:widowControl/>
        <w:spacing w:line="360" w:lineRule="auto"/>
        <w:jc w:val="center"/>
        <w:rPr>
          <w:b/>
          <w:sz w:val="26"/>
          <w:szCs w:val="26"/>
        </w:rPr>
      </w:pPr>
      <w:r w:rsidRPr="00A9787D">
        <w:rPr>
          <w:b/>
          <w:sz w:val="26"/>
          <w:szCs w:val="26"/>
        </w:rPr>
        <w:t>Discussion</w:t>
      </w:r>
    </w:p>
    <w:p w:rsidR="003B615B" w:rsidRDefault="003B615B" w:rsidP="002143F6">
      <w:pPr>
        <w:keepNext/>
        <w:widowControl/>
        <w:spacing w:line="360" w:lineRule="auto"/>
        <w:rPr>
          <w:b/>
          <w:sz w:val="26"/>
          <w:szCs w:val="26"/>
        </w:rPr>
      </w:pPr>
    </w:p>
    <w:p w:rsidR="007D0C12" w:rsidRDefault="007D0C12" w:rsidP="002143F6">
      <w:pPr>
        <w:keepNext/>
        <w:widowControl/>
        <w:spacing w:line="360" w:lineRule="auto"/>
        <w:rPr>
          <w:b/>
          <w:sz w:val="26"/>
          <w:szCs w:val="26"/>
        </w:rPr>
      </w:pPr>
      <w:r>
        <w:rPr>
          <w:b/>
          <w:sz w:val="26"/>
          <w:szCs w:val="26"/>
        </w:rPr>
        <w:t>Legal Standards</w:t>
      </w:r>
    </w:p>
    <w:p w:rsidR="007D0C12" w:rsidRPr="00A9787D" w:rsidRDefault="007D0C12" w:rsidP="002143F6">
      <w:pPr>
        <w:keepNext/>
        <w:widowControl/>
        <w:spacing w:line="360" w:lineRule="auto"/>
        <w:rPr>
          <w:b/>
          <w:sz w:val="26"/>
          <w:szCs w:val="26"/>
        </w:rPr>
      </w:pPr>
    </w:p>
    <w:p w:rsidR="00502F00" w:rsidRPr="00A9787D" w:rsidRDefault="003B615B" w:rsidP="002143F6">
      <w:pPr>
        <w:widowControl/>
        <w:spacing w:line="360" w:lineRule="auto"/>
        <w:rPr>
          <w:sz w:val="26"/>
          <w:szCs w:val="26"/>
        </w:rPr>
      </w:pPr>
      <w:r w:rsidRPr="00A9787D">
        <w:rPr>
          <w:sz w:val="26"/>
          <w:szCs w:val="26"/>
        </w:rPr>
        <w:tab/>
      </w:r>
      <w:r w:rsidR="00502F00" w:rsidRPr="00A9787D">
        <w:rPr>
          <w:sz w:val="26"/>
          <w:szCs w:val="26"/>
        </w:rPr>
        <w:tab/>
        <w:t xml:space="preserve">As the proponent of a rule or order, the </w:t>
      </w:r>
      <w:r w:rsidR="00CF4E3B">
        <w:rPr>
          <w:sz w:val="26"/>
          <w:szCs w:val="26"/>
        </w:rPr>
        <w:t>Complainant</w:t>
      </w:r>
      <w:r w:rsidR="00502F00" w:rsidRPr="00A9787D">
        <w:rPr>
          <w:sz w:val="26"/>
          <w:szCs w:val="26"/>
        </w:rPr>
        <w:t xml:space="preserve"> in this proceeding bear</w:t>
      </w:r>
      <w:r w:rsidR="00520805">
        <w:rPr>
          <w:sz w:val="26"/>
          <w:szCs w:val="26"/>
        </w:rPr>
        <w:t>s</w:t>
      </w:r>
      <w:r w:rsidR="00502F00" w:rsidRPr="00A9787D">
        <w:rPr>
          <w:sz w:val="26"/>
          <w:szCs w:val="26"/>
        </w:rPr>
        <w:t xml:space="preserve"> the burden of proof pursuant to Section 332(a) of the Public Utility Code (Code), 66</w:t>
      </w:r>
      <w:r w:rsidRPr="00A9787D">
        <w:rPr>
          <w:sz w:val="26"/>
          <w:szCs w:val="26"/>
        </w:rPr>
        <w:t> </w:t>
      </w:r>
      <w:r w:rsidR="00502F00" w:rsidRPr="00A9787D">
        <w:rPr>
          <w:sz w:val="26"/>
          <w:szCs w:val="26"/>
        </w:rPr>
        <w:t>Pa. C.S. § 332(a).  To establish a sufficient case and satisfy the burden of pr</w:t>
      </w:r>
      <w:r w:rsidR="00485445" w:rsidRPr="00A9787D">
        <w:rPr>
          <w:sz w:val="26"/>
          <w:szCs w:val="26"/>
        </w:rPr>
        <w:t xml:space="preserve">oof, the </w:t>
      </w:r>
      <w:r w:rsidR="00CF4E3B">
        <w:rPr>
          <w:sz w:val="26"/>
          <w:szCs w:val="26"/>
        </w:rPr>
        <w:t>Complainant</w:t>
      </w:r>
      <w:r w:rsidR="00767FC8" w:rsidRPr="00A9787D">
        <w:rPr>
          <w:color w:val="FF0000"/>
          <w:sz w:val="26"/>
          <w:szCs w:val="26"/>
        </w:rPr>
        <w:t xml:space="preserve"> </w:t>
      </w:r>
      <w:r w:rsidR="00502F00" w:rsidRPr="00A9787D">
        <w:rPr>
          <w:sz w:val="26"/>
          <w:szCs w:val="26"/>
        </w:rPr>
        <w:t xml:space="preserve">must show that </w:t>
      </w:r>
      <w:r w:rsidR="006C0563">
        <w:rPr>
          <w:sz w:val="26"/>
          <w:szCs w:val="26"/>
        </w:rPr>
        <w:t>PECO</w:t>
      </w:r>
      <w:r w:rsidR="00502F00" w:rsidRPr="00A9787D">
        <w:rPr>
          <w:sz w:val="26"/>
          <w:szCs w:val="26"/>
        </w:rPr>
        <w:t xml:space="preserve"> is responsible or accountable for the problem described in the Complaint.  </w:t>
      </w:r>
      <w:r w:rsidR="00502F00" w:rsidRPr="00A9787D">
        <w:rPr>
          <w:i/>
          <w:sz w:val="26"/>
          <w:szCs w:val="26"/>
        </w:rPr>
        <w:t>Patterson v. The Bell Telephone Company of Pennsylvania</w:t>
      </w:r>
      <w:r w:rsidR="00502F00" w:rsidRPr="00A9787D">
        <w:rPr>
          <w:sz w:val="26"/>
          <w:szCs w:val="26"/>
        </w:rPr>
        <w:t xml:space="preserve">, 72 Pa. P.U.C. 196 (1990).  Such a showing must be by a preponderance of the evidence.  </w:t>
      </w:r>
      <w:r w:rsidR="00502F00" w:rsidRPr="00A9787D">
        <w:rPr>
          <w:i/>
          <w:iCs/>
          <w:sz w:val="26"/>
          <w:szCs w:val="26"/>
        </w:rPr>
        <w:t>Samuel J. Lansberry, Inc. v. Pa. PUC</w:t>
      </w:r>
      <w:r w:rsidR="00502F00" w:rsidRPr="00A9787D">
        <w:rPr>
          <w:sz w:val="26"/>
          <w:szCs w:val="26"/>
        </w:rPr>
        <w:t xml:space="preserve">, 578 A.2d 600 (Pa. Cmwlth. 1990), </w:t>
      </w:r>
      <w:r w:rsidR="00502F00" w:rsidRPr="00A9787D">
        <w:rPr>
          <w:i/>
          <w:sz w:val="26"/>
          <w:szCs w:val="26"/>
        </w:rPr>
        <w:t>alloc. denied,</w:t>
      </w:r>
      <w:r w:rsidR="00502F00" w:rsidRPr="00A9787D">
        <w:rPr>
          <w:sz w:val="26"/>
          <w:szCs w:val="26"/>
        </w:rPr>
        <w:t xml:space="preserve"> 529 Pa. 654, 602 A.2d 863 (1992).  That is, the </w:t>
      </w:r>
      <w:r w:rsidR="00CF4E3B">
        <w:rPr>
          <w:sz w:val="26"/>
          <w:szCs w:val="26"/>
        </w:rPr>
        <w:t>Complainant</w:t>
      </w:r>
      <w:r w:rsidR="00767FC8" w:rsidRPr="00A9787D">
        <w:rPr>
          <w:sz w:val="26"/>
          <w:szCs w:val="26"/>
        </w:rPr>
        <w:t>’</w:t>
      </w:r>
      <w:r w:rsidR="0027212B">
        <w:rPr>
          <w:sz w:val="26"/>
          <w:szCs w:val="26"/>
        </w:rPr>
        <w:t>s</w:t>
      </w:r>
      <w:r w:rsidR="00767FC8" w:rsidRPr="00A9787D">
        <w:rPr>
          <w:color w:val="FF0000"/>
          <w:sz w:val="26"/>
          <w:szCs w:val="26"/>
        </w:rPr>
        <w:t xml:space="preserve"> </w:t>
      </w:r>
      <w:r w:rsidR="00502F00" w:rsidRPr="00A9787D">
        <w:rPr>
          <w:sz w:val="26"/>
          <w:szCs w:val="26"/>
        </w:rPr>
        <w:t xml:space="preserve">evidence must be more convincing, by even the smallest amount, than that presented by </w:t>
      </w:r>
      <w:r w:rsidR="006C0563">
        <w:rPr>
          <w:sz w:val="26"/>
          <w:szCs w:val="26"/>
        </w:rPr>
        <w:t>PECO</w:t>
      </w:r>
      <w:r w:rsidR="00502F00" w:rsidRPr="00A9787D">
        <w:rPr>
          <w:sz w:val="26"/>
          <w:szCs w:val="26"/>
        </w:rPr>
        <w:t xml:space="preserve">.  </w:t>
      </w:r>
      <w:r w:rsidR="00502F00" w:rsidRPr="00A9787D">
        <w:rPr>
          <w:i/>
          <w:sz w:val="26"/>
          <w:szCs w:val="26"/>
        </w:rPr>
        <w:t>Se-Ling Hosiery, Inc. v. Margulies</w:t>
      </w:r>
      <w:r w:rsidR="00502F00" w:rsidRPr="00A9787D">
        <w:rPr>
          <w:sz w:val="26"/>
          <w:szCs w:val="26"/>
        </w:rPr>
        <w:t xml:space="preserve">, 364 Pa. 45, 70 A.2d 854 (1950).  Additionally, this Commission’s decision must be supported by substantial evidence in the record.  </w:t>
      </w:r>
      <w:r w:rsidR="00502F00" w:rsidRPr="00A9787D">
        <w:rPr>
          <w:i/>
          <w:sz w:val="26"/>
          <w:szCs w:val="26"/>
        </w:rPr>
        <w:t>Mill v. Pa</w:t>
      </w:r>
      <w:r w:rsidR="007D0C12">
        <w:rPr>
          <w:i/>
          <w:sz w:val="26"/>
          <w:szCs w:val="26"/>
        </w:rPr>
        <w:t>.</w:t>
      </w:r>
      <w:r w:rsidR="00502F00" w:rsidRPr="00A9787D">
        <w:rPr>
          <w:i/>
          <w:sz w:val="26"/>
          <w:szCs w:val="26"/>
        </w:rPr>
        <w:t xml:space="preserve"> PUC</w:t>
      </w:r>
      <w:r w:rsidR="007D0C12">
        <w:rPr>
          <w:i/>
          <w:sz w:val="26"/>
          <w:szCs w:val="26"/>
        </w:rPr>
        <w:t>,</w:t>
      </w:r>
      <w:r w:rsidR="00502F00" w:rsidRPr="00A9787D">
        <w:rPr>
          <w:sz w:val="26"/>
          <w:szCs w:val="26"/>
        </w:rPr>
        <w:t xml:space="preserve"> 447 A.2d 1100 (Pa. Cmwlth. 1982).  More is required than a mere trace of evidence or a suspicion of the existence of a fact sought to be established.  </w:t>
      </w:r>
      <w:r w:rsidR="00502F00" w:rsidRPr="00A9787D">
        <w:rPr>
          <w:i/>
          <w:sz w:val="26"/>
          <w:szCs w:val="26"/>
        </w:rPr>
        <w:t xml:space="preserve">Norfolk &amp; Western Ry. Co. v. Pa. PUC, </w:t>
      </w:r>
      <w:r w:rsidR="00502F00" w:rsidRPr="00A9787D">
        <w:rPr>
          <w:sz w:val="26"/>
          <w:szCs w:val="26"/>
        </w:rPr>
        <w:t>489 Pa. 109, 413 A.2d 1037 (1980).</w:t>
      </w:r>
    </w:p>
    <w:p w:rsidR="00502F00" w:rsidRPr="00A9787D" w:rsidRDefault="00502F00" w:rsidP="002143F6">
      <w:pPr>
        <w:widowControl/>
        <w:spacing w:line="360" w:lineRule="auto"/>
        <w:rPr>
          <w:sz w:val="26"/>
          <w:szCs w:val="26"/>
        </w:rPr>
      </w:pPr>
    </w:p>
    <w:p w:rsidR="00502F00" w:rsidRPr="00A9787D" w:rsidRDefault="00502F00" w:rsidP="002143F6">
      <w:pPr>
        <w:widowControl/>
        <w:spacing w:line="360" w:lineRule="auto"/>
        <w:ind w:firstLine="1440"/>
        <w:rPr>
          <w:rFonts w:ascii="Times New (W1)" w:hAnsi="Times New (W1)"/>
          <w:i/>
          <w:sz w:val="26"/>
          <w:szCs w:val="26"/>
        </w:rPr>
      </w:pPr>
      <w:r w:rsidRPr="00A9787D">
        <w:rPr>
          <w:sz w:val="26"/>
          <w:szCs w:val="26"/>
        </w:rPr>
        <w:t xml:space="preserve">Upon the presentation by the </w:t>
      </w:r>
      <w:r w:rsidR="00CF4E3B">
        <w:rPr>
          <w:sz w:val="26"/>
          <w:szCs w:val="26"/>
        </w:rPr>
        <w:t>Complainant</w:t>
      </w:r>
      <w:r w:rsidRPr="00A9787D">
        <w:rPr>
          <w:sz w:val="26"/>
          <w:szCs w:val="26"/>
        </w:rPr>
        <w:t xml:space="preserve"> of evidence sufficient to initially satisfy the burden of proof, the burden of going forward with the evidence to rebut the evidence of the customer shifts to </w:t>
      </w:r>
      <w:r w:rsidR="006C0563">
        <w:rPr>
          <w:sz w:val="26"/>
          <w:szCs w:val="26"/>
        </w:rPr>
        <w:t>PECO</w:t>
      </w:r>
      <w:r w:rsidRPr="00A9787D">
        <w:rPr>
          <w:sz w:val="26"/>
          <w:szCs w:val="26"/>
        </w:rPr>
        <w:t xml:space="preserve">.  If the evidence presented by </w:t>
      </w:r>
      <w:r w:rsidR="006C0563">
        <w:rPr>
          <w:sz w:val="26"/>
          <w:szCs w:val="26"/>
        </w:rPr>
        <w:t>PECO</w:t>
      </w:r>
      <w:r w:rsidRPr="00A9787D">
        <w:rPr>
          <w:sz w:val="26"/>
          <w:szCs w:val="26"/>
        </w:rPr>
        <w:t xml:space="preserve"> is of co</w:t>
      </w:r>
      <w:r w:rsidRPr="00A9787D">
        <w:rPr>
          <w:sz w:val="26"/>
          <w:szCs w:val="26"/>
        </w:rPr>
        <w:noBreakHyphen/>
        <w:t xml:space="preserve">equal value or “weight,” the burden of proof has not been satisfied.  The </w:t>
      </w:r>
      <w:r w:rsidR="00CF4E3B">
        <w:rPr>
          <w:sz w:val="26"/>
          <w:szCs w:val="26"/>
        </w:rPr>
        <w:t>Complainant</w:t>
      </w:r>
      <w:r w:rsidR="00767FC8" w:rsidRPr="00A9787D">
        <w:rPr>
          <w:sz w:val="26"/>
          <w:szCs w:val="26"/>
        </w:rPr>
        <w:t xml:space="preserve"> </w:t>
      </w:r>
      <w:r w:rsidR="00C757B8" w:rsidRPr="00A9787D">
        <w:rPr>
          <w:sz w:val="26"/>
          <w:szCs w:val="26"/>
        </w:rPr>
        <w:t>now ha</w:t>
      </w:r>
      <w:r w:rsidR="00520805">
        <w:rPr>
          <w:sz w:val="26"/>
          <w:szCs w:val="26"/>
        </w:rPr>
        <w:t>s</w:t>
      </w:r>
      <w:r w:rsidRPr="00A9787D">
        <w:rPr>
          <w:sz w:val="26"/>
          <w:szCs w:val="26"/>
        </w:rPr>
        <w:t xml:space="preserve"> to provide some additional evidence to rebut that of </w:t>
      </w:r>
      <w:r w:rsidR="006C0563">
        <w:rPr>
          <w:sz w:val="26"/>
          <w:szCs w:val="26"/>
        </w:rPr>
        <w:t>PECO</w:t>
      </w:r>
      <w:r w:rsidRPr="00A9787D">
        <w:rPr>
          <w:sz w:val="26"/>
          <w:szCs w:val="26"/>
        </w:rPr>
        <w:t xml:space="preserve">. </w:t>
      </w:r>
      <w:r w:rsidRPr="00A9787D">
        <w:rPr>
          <w:iCs/>
          <w:sz w:val="26"/>
          <w:szCs w:val="26"/>
        </w:rPr>
        <w:t xml:space="preserve"> </w:t>
      </w:r>
      <w:hyperlink r:id="rId8" w:history="1">
        <w:r w:rsidRPr="00A9787D">
          <w:rPr>
            <w:rStyle w:val="Hyperlink"/>
            <w:rFonts w:ascii="Times New (W1)" w:hAnsi="Times New (W1)"/>
            <w:i/>
            <w:iCs/>
            <w:color w:val="auto"/>
            <w:sz w:val="26"/>
            <w:szCs w:val="26"/>
            <w:u w:val="none"/>
          </w:rPr>
          <w:t>Burleson v. Pa. PUC,</w:t>
        </w:r>
        <w:r w:rsidRPr="00A9787D">
          <w:rPr>
            <w:rStyle w:val="Hyperlink"/>
            <w:rFonts w:ascii="Times New (W1)" w:hAnsi="Times New (W1)"/>
            <w:iCs/>
            <w:color w:val="auto"/>
            <w:sz w:val="26"/>
            <w:szCs w:val="26"/>
            <w:u w:val="none"/>
          </w:rPr>
          <w:t xml:space="preserve"> 443 A.2d 1373 (Pa. Cmwlth. 1982), </w:t>
        </w:r>
        <w:r w:rsidRPr="00A9787D">
          <w:rPr>
            <w:rStyle w:val="Hyperlink"/>
            <w:rFonts w:ascii="Times New (W1)" w:hAnsi="Times New (W1)"/>
            <w:i/>
            <w:iCs/>
            <w:color w:val="auto"/>
            <w:sz w:val="26"/>
            <w:szCs w:val="26"/>
            <w:u w:val="none"/>
          </w:rPr>
          <w:t>aff’d,</w:t>
        </w:r>
        <w:r w:rsidRPr="00A9787D">
          <w:rPr>
            <w:rStyle w:val="Hyperlink"/>
            <w:rFonts w:ascii="Times New (W1)" w:hAnsi="Times New (W1)"/>
            <w:iCs/>
            <w:color w:val="auto"/>
            <w:sz w:val="26"/>
            <w:szCs w:val="26"/>
            <w:u w:val="none"/>
          </w:rPr>
          <w:t xml:space="preserve"> 501 Pa. 433, 461 A.2d 1234 (1983).</w:t>
        </w:r>
      </w:hyperlink>
    </w:p>
    <w:p w:rsidR="00502F00" w:rsidRPr="00A9787D" w:rsidRDefault="00502F00" w:rsidP="002143F6">
      <w:pPr>
        <w:widowControl/>
        <w:spacing w:line="360" w:lineRule="auto"/>
        <w:ind w:firstLine="1440"/>
        <w:rPr>
          <w:sz w:val="26"/>
          <w:szCs w:val="26"/>
        </w:rPr>
      </w:pPr>
    </w:p>
    <w:p w:rsidR="00502F00" w:rsidRDefault="00502F00" w:rsidP="002143F6">
      <w:pPr>
        <w:widowControl/>
        <w:spacing w:line="360" w:lineRule="auto"/>
        <w:ind w:firstLine="1440"/>
        <w:rPr>
          <w:sz w:val="26"/>
          <w:szCs w:val="26"/>
        </w:rPr>
      </w:pPr>
      <w:r w:rsidRPr="00A9787D">
        <w:rPr>
          <w:sz w:val="26"/>
          <w:szCs w:val="26"/>
        </w:rPr>
        <w:t xml:space="preserve">While the burden of going forward with the evidence may </w:t>
      </w:r>
      <w:r w:rsidRPr="00A9787D">
        <w:rPr>
          <w:rStyle w:val="term1"/>
          <w:b w:val="0"/>
          <w:bCs w:val="0"/>
          <w:sz w:val="26"/>
          <w:szCs w:val="26"/>
        </w:rPr>
        <w:t>shift</w:t>
      </w:r>
      <w:r w:rsidRPr="00A9787D">
        <w:rPr>
          <w:sz w:val="26"/>
          <w:szCs w:val="26"/>
        </w:rPr>
        <w:t xml:space="preserve"> back and forth during a proceeding, the </w:t>
      </w:r>
      <w:r w:rsidRPr="00A9787D">
        <w:rPr>
          <w:rStyle w:val="term1"/>
          <w:b w:val="0"/>
          <w:bCs w:val="0"/>
          <w:sz w:val="26"/>
          <w:szCs w:val="26"/>
        </w:rPr>
        <w:t>burden of proof</w:t>
      </w:r>
      <w:r w:rsidRPr="00A9787D">
        <w:rPr>
          <w:sz w:val="26"/>
          <w:szCs w:val="26"/>
        </w:rPr>
        <w:t xml:space="preserve"> never </w:t>
      </w:r>
      <w:r w:rsidRPr="00A9787D">
        <w:rPr>
          <w:rStyle w:val="term1"/>
          <w:b w:val="0"/>
          <w:bCs w:val="0"/>
          <w:sz w:val="26"/>
          <w:szCs w:val="26"/>
        </w:rPr>
        <w:t>shifts.  The burden of proof</w:t>
      </w:r>
      <w:r w:rsidRPr="00A9787D">
        <w:rPr>
          <w:sz w:val="26"/>
          <w:szCs w:val="26"/>
        </w:rPr>
        <w:t xml:space="preserve"> always remains on the party seeking affirmative relief from the Commission.  </w:t>
      </w:r>
      <w:r w:rsidRPr="00A9787D">
        <w:rPr>
          <w:i/>
          <w:sz w:val="26"/>
          <w:szCs w:val="26"/>
        </w:rPr>
        <w:t xml:space="preserve">Milkie v. Pa. PUC, </w:t>
      </w:r>
      <w:r w:rsidRPr="00A9787D">
        <w:rPr>
          <w:sz w:val="26"/>
          <w:szCs w:val="26"/>
        </w:rPr>
        <w:t>768 A.2d 1217 (Pa. Cmwlth. 2001).</w:t>
      </w:r>
    </w:p>
    <w:p w:rsidR="0077350B" w:rsidRPr="00A9787D" w:rsidRDefault="0077350B" w:rsidP="002143F6">
      <w:pPr>
        <w:widowControl/>
        <w:spacing w:line="360" w:lineRule="auto"/>
        <w:ind w:firstLine="1440"/>
        <w:rPr>
          <w:sz w:val="26"/>
          <w:szCs w:val="26"/>
        </w:rPr>
      </w:pPr>
    </w:p>
    <w:p w:rsidR="003B615B" w:rsidRPr="00A9787D" w:rsidRDefault="003B615B" w:rsidP="002143F6">
      <w:pPr>
        <w:widowControl/>
        <w:spacing w:line="360" w:lineRule="auto"/>
        <w:ind w:firstLine="1440"/>
        <w:rPr>
          <w:sz w:val="26"/>
          <w:szCs w:val="26"/>
        </w:rPr>
      </w:pPr>
      <w:r w:rsidRPr="00A9787D">
        <w:rPr>
          <w:sz w:val="26"/>
          <w:szCs w:val="26"/>
        </w:rPr>
        <w:t xml:space="preserve">The burden of proof for “high bill” complaints has been explained in </w:t>
      </w:r>
      <w:r w:rsidRPr="00A9787D">
        <w:rPr>
          <w:i/>
          <w:iCs/>
          <w:sz w:val="26"/>
          <w:szCs w:val="26"/>
        </w:rPr>
        <w:t>Waldron v. Philadelphia Electric Company</w:t>
      </w:r>
      <w:r w:rsidRPr="00A9787D">
        <w:rPr>
          <w:i/>
          <w:sz w:val="26"/>
          <w:szCs w:val="26"/>
        </w:rPr>
        <w:t>,</w:t>
      </w:r>
      <w:r w:rsidRPr="00A9787D">
        <w:rPr>
          <w:sz w:val="26"/>
          <w:szCs w:val="26"/>
        </w:rPr>
        <w:t xml:space="preserve"> 54 Pa. P</w:t>
      </w:r>
      <w:r w:rsidR="007D0C12">
        <w:rPr>
          <w:sz w:val="26"/>
          <w:szCs w:val="26"/>
        </w:rPr>
        <w:t>.</w:t>
      </w:r>
      <w:r w:rsidRPr="00A9787D">
        <w:rPr>
          <w:sz w:val="26"/>
          <w:szCs w:val="26"/>
        </w:rPr>
        <w:t>U</w:t>
      </w:r>
      <w:r w:rsidR="007D0C12">
        <w:rPr>
          <w:sz w:val="26"/>
          <w:szCs w:val="26"/>
        </w:rPr>
        <w:t>.</w:t>
      </w:r>
      <w:r w:rsidRPr="00A9787D">
        <w:rPr>
          <w:sz w:val="26"/>
          <w:szCs w:val="26"/>
        </w:rPr>
        <w:t>C</w:t>
      </w:r>
      <w:r w:rsidR="007D0C12">
        <w:rPr>
          <w:sz w:val="26"/>
          <w:szCs w:val="26"/>
        </w:rPr>
        <w:t>.</w:t>
      </w:r>
      <w:r w:rsidRPr="00A9787D">
        <w:rPr>
          <w:sz w:val="26"/>
          <w:szCs w:val="26"/>
        </w:rPr>
        <w:t xml:space="preserve"> 98 (1980)</w:t>
      </w:r>
      <w:r w:rsidR="00791E3F">
        <w:rPr>
          <w:sz w:val="26"/>
          <w:szCs w:val="26"/>
        </w:rPr>
        <w:t xml:space="preserve"> (</w:t>
      </w:r>
      <w:r w:rsidR="00791E3F" w:rsidRPr="00A9787D">
        <w:rPr>
          <w:i/>
          <w:iCs/>
          <w:sz w:val="26"/>
          <w:szCs w:val="26"/>
        </w:rPr>
        <w:t>Waldron</w:t>
      </w:r>
      <w:r w:rsidR="00791E3F">
        <w:rPr>
          <w:i/>
          <w:iCs/>
          <w:sz w:val="26"/>
          <w:szCs w:val="26"/>
        </w:rPr>
        <w:t>)</w:t>
      </w:r>
      <w:r w:rsidRPr="00A9787D">
        <w:rPr>
          <w:sz w:val="26"/>
          <w:szCs w:val="26"/>
        </w:rPr>
        <w:t xml:space="preserve">, and its progeny.  In </w:t>
      </w:r>
      <w:r w:rsidRPr="00A9787D">
        <w:rPr>
          <w:i/>
          <w:iCs/>
          <w:sz w:val="26"/>
          <w:szCs w:val="26"/>
        </w:rPr>
        <w:t>Waldron</w:t>
      </w:r>
      <w:r w:rsidRPr="00A9787D">
        <w:rPr>
          <w:sz w:val="26"/>
          <w:szCs w:val="26"/>
        </w:rPr>
        <w:t xml:space="preserve">, the Commission adopted the Michigan Public Service Commission’s (PSC’s) policy annunciated in </w:t>
      </w:r>
      <w:r w:rsidRPr="00A9787D">
        <w:rPr>
          <w:i/>
          <w:iCs/>
          <w:sz w:val="26"/>
          <w:szCs w:val="26"/>
        </w:rPr>
        <w:t>Hallifax v. O &amp; A Electric Co-Op</w:t>
      </w:r>
      <w:r w:rsidRPr="00A9787D">
        <w:rPr>
          <w:sz w:val="26"/>
          <w:szCs w:val="26"/>
        </w:rPr>
        <w:t xml:space="preserve">, Case No. U-5825, May 1979, which stated that, while the accuracy of the </w:t>
      </w:r>
      <w:r w:rsidRPr="00A9787D">
        <w:rPr>
          <w:bCs/>
          <w:sz w:val="26"/>
          <w:szCs w:val="26"/>
        </w:rPr>
        <w:t>meter</w:t>
      </w:r>
      <w:r w:rsidRPr="00A9787D">
        <w:rPr>
          <w:sz w:val="26"/>
          <w:szCs w:val="26"/>
        </w:rPr>
        <w:t xml:space="preserve">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Pr="00A9787D">
        <w:rPr>
          <w:i/>
          <w:iCs/>
          <w:sz w:val="26"/>
          <w:szCs w:val="26"/>
        </w:rPr>
        <w:t>Waldron</w:t>
      </w:r>
      <w:r w:rsidRPr="00A9787D">
        <w:rPr>
          <w:i/>
          <w:sz w:val="26"/>
          <w:szCs w:val="26"/>
        </w:rPr>
        <w:t xml:space="preserve"> </w:t>
      </w:r>
      <w:r w:rsidRPr="00A9787D">
        <w:rPr>
          <w:sz w:val="26"/>
          <w:szCs w:val="26"/>
        </w:rPr>
        <w:t>at 100.</w:t>
      </w:r>
    </w:p>
    <w:p w:rsidR="003B615B" w:rsidRPr="00A9787D" w:rsidRDefault="003B615B" w:rsidP="002143F6">
      <w:pPr>
        <w:widowControl/>
        <w:spacing w:line="360" w:lineRule="auto"/>
        <w:ind w:firstLine="1440"/>
        <w:rPr>
          <w:sz w:val="26"/>
          <w:szCs w:val="26"/>
        </w:rPr>
      </w:pPr>
    </w:p>
    <w:p w:rsidR="003B615B" w:rsidRPr="00A9787D" w:rsidRDefault="003B615B" w:rsidP="002143F6">
      <w:pPr>
        <w:widowControl/>
        <w:spacing w:line="360" w:lineRule="auto"/>
        <w:ind w:firstLine="1440"/>
        <w:rPr>
          <w:sz w:val="26"/>
          <w:szCs w:val="26"/>
        </w:rPr>
      </w:pPr>
      <w:r w:rsidRPr="00A9787D">
        <w:rPr>
          <w:sz w:val="26"/>
          <w:szCs w:val="26"/>
        </w:rPr>
        <w:t xml:space="preserve">The Commission explained the burden of proof set forth in </w:t>
      </w:r>
      <w:r w:rsidRPr="00A9787D">
        <w:rPr>
          <w:i/>
          <w:sz w:val="26"/>
          <w:szCs w:val="26"/>
        </w:rPr>
        <w:t>Waldron</w:t>
      </w:r>
      <w:r w:rsidRPr="00A9787D">
        <w:rPr>
          <w:sz w:val="26"/>
          <w:szCs w:val="26"/>
        </w:rPr>
        <w:t xml:space="preserve"> as follows: </w:t>
      </w:r>
    </w:p>
    <w:p w:rsidR="003B615B" w:rsidRPr="00A9787D" w:rsidRDefault="003B615B" w:rsidP="002143F6">
      <w:pPr>
        <w:widowControl/>
        <w:spacing w:line="360" w:lineRule="auto"/>
        <w:ind w:firstLine="1440"/>
        <w:rPr>
          <w:sz w:val="26"/>
          <w:szCs w:val="26"/>
        </w:rPr>
      </w:pPr>
    </w:p>
    <w:p w:rsidR="0004513A" w:rsidRDefault="003B615B" w:rsidP="002143F6">
      <w:pPr>
        <w:widowControl/>
        <w:ind w:left="1440" w:right="1440"/>
        <w:rPr>
          <w:i/>
          <w:sz w:val="26"/>
          <w:szCs w:val="26"/>
        </w:rPr>
      </w:pPr>
      <w:r w:rsidRPr="00A9787D">
        <w:rPr>
          <w:sz w:val="26"/>
          <w:szCs w:val="26"/>
        </w:rPr>
        <w:t xml:space="preserve">[T]he </w:t>
      </w:r>
      <w:r w:rsidRPr="00A9787D">
        <w:rPr>
          <w:i/>
          <w:sz w:val="26"/>
          <w:szCs w:val="26"/>
        </w:rPr>
        <w:t>Waldron</w:t>
      </w:r>
      <w:r w:rsidRPr="00A9787D">
        <w:rPr>
          <w:sz w:val="26"/>
          <w:szCs w:val="26"/>
        </w:rPr>
        <w:t xml:space="preserve"> Rule allows a complainant to establish a </w:t>
      </w:r>
      <w:r w:rsidRPr="00A9787D">
        <w:rPr>
          <w:i/>
          <w:sz w:val="26"/>
          <w:szCs w:val="26"/>
        </w:rPr>
        <w:t>prima facie</w:t>
      </w:r>
      <w:r w:rsidRPr="00A9787D">
        <w:rPr>
          <w:sz w:val="26"/>
          <w:szCs w:val="26"/>
        </w:rPr>
        <w:t xml:space="preserve"> case in a “high bill” complaint by showing that the disputed bill is abnormally high when compared to prior usage patterns and his or her pattern of usage has not changed </w:t>
      </w:r>
      <w:r w:rsidRPr="00A9787D">
        <w:rPr>
          <w:i/>
          <w:sz w:val="26"/>
          <w:szCs w:val="26"/>
        </w:rPr>
        <w:t>or by providing other relevant evidence showing that the disputed bill is unreasonably high</w:t>
      </w:r>
      <w:r w:rsidRPr="00A9787D">
        <w:rPr>
          <w:sz w:val="26"/>
          <w:szCs w:val="26"/>
        </w:rPr>
        <w:t xml:space="preserve">. </w:t>
      </w:r>
      <w:r w:rsidR="007D0C12">
        <w:rPr>
          <w:sz w:val="26"/>
          <w:szCs w:val="26"/>
        </w:rPr>
        <w:t xml:space="preserve"> </w:t>
      </w:r>
      <w:r w:rsidRPr="00A9787D">
        <w:rPr>
          <w:sz w:val="26"/>
          <w:szCs w:val="26"/>
        </w:rPr>
        <w:t xml:space="preserve">In evaluating a “high bill” complaint, the Commission may consider such evidence as “the billing history of the account, any change in usage patterns (such as a change in the number of occupants residing in the household or potential energy utilization), </w:t>
      </w:r>
      <w:r w:rsidRPr="00A9787D">
        <w:rPr>
          <w:i/>
          <w:sz w:val="26"/>
          <w:szCs w:val="26"/>
        </w:rPr>
        <w:t xml:space="preserve">and </w:t>
      </w:r>
    </w:p>
    <w:p w:rsidR="003B615B" w:rsidRDefault="003B615B" w:rsidP="002143F6">
      <w:pPr>
        <w:keepNext/>
        <w:keepLines/>
        <w:widowControl/>
        <w:ind w:left="1440" w:right="1440"/>
        <w:rPr>
          <w:sz w:val="26"/>
          <w:szCs w:val="26"/>
        </w:rPr>
      </w:pPr>
      <w:r w:rsidRPr="00A9787D">
        <w:rPr>
          <w:i/>
          <w:sz w:val="26"/>
          <w:szCs w:val="26"/>
        </w:rPr>
        <w:t>any other relevant facts or circumstances that come to light during the proceeding</w:t>
      </w:r>
      <w:r w:rsidRPr="00A9787D">
        <w:rPr>
          <w:sz w:val="26"/>
          <w:szCs w:val="26"/>
        </w:rPr>
        <w:t>.”</w:t>
      </w:r>
    </w:p>
    <w:p w:rsidR="0004513A" w:rsidRPr="00A9787D" w:rsidRDefault="0004513A" w:rsidP="002143F6">
      <w:pPr>
        <w:keepNext/>
        <w:keepLines/>
        <w:widowControl/>
        <w:ind w:left="1440" w:right="1440"/>
        <w:rPr>
          <w:sz w:val="26"/>
          <w:szCs w:val="26"/>
        </w:rPr>
      </w:pPr>
    </w:p>
    <w:p w:rsidR="003B615B" w:rsidRPr="00A9787D" w:rsidRDefault="003B615B" w:rsidP="002143F6">
      <w:pPr>
        <w:keepNext/>
        <w:keepLines/>
        <w:widowControl/>
        <w:spacing w:line="360" w:lineRule="auto"/>
        <w:ind w:firstLine="1440"/>
        <w:rPr>
          <w:sz w:val="26"/>
          <w:szCs w:val="26"/>
        </w:rPr>
      </w:pPr>
    </w:p>
    <w:p w:rsidR="003B615B" w:rsidRDefault="003B615B" w:rsidP="002143F6">
      <w:pPr>
        <w:widowControl/>
        <w:spacing w:line="360" w:lineRule="auto"/>
        <w:rPr>
          <w:sz w:val="26"/>
          <w:szCs w:val="26"/>
        </w:rPr>
      </w:pPr>
      <w:r w:rsidRPr="00A9787D">
        <w:rPr>
          <w:i/>
          <w:sz w:val="26"/>
          <w:szCs w:val="26"/>
        </w:rPr>
        <w:t xml:space="preserve">Nehemiah B. Thomas v. </w:t>
      </w:r>
      <w:r w:rsidR="00274E95">
        <w:rPr>
          <w:i/>
          <w:sz w:val="26"/>
          <w:szCs w:val="26"/>
        </w:rPr>
        <w:t>PECO</w:t>
      </w:r>
      <w:r w:rsidRPr="00A9787D">
        <w:rPr>
          <w:i/>
          <w:sz w:val="26"/>
          <w:szCs w:val="26"/>
        </w:rPr>
        <w:t xml:space="preserve"> Energy Company</w:t>
      </w:r>
      <w:r w:rsidRPr="00A9787D">
        <w:rPr>
          <w:sz w:val="26"/>
          <w:szCs w:val="26"/>
        </w:rPr>
        <w:t>, Docket No. C-2010-2187197 (Order entered November 15, 2011)</w:t>
      </w:r>
      <w:r w:rsidR="007D0C12">
        <w:rPr>
          <w:sz w:val="26"/>
          <w:szCs w:val="26"/>
        </w:rPr>
        <w:t xml:space="preserve"> </w:t>
      </w:r>
      <w:r w:rsidR="007D0C12" w:rsidRPr="00A9787D">
        <w:rPr>
          <w:sz w:val="26"/>
          <w:szCs w:val="26"/>
        </w:rPr>
        <w:t>at 5</w:t>
      </w:r>
      <w:r w:rsidRPr="00A9787D">
        <w:rPr>
          <w:sz w:val="26"/>
          <w:szCs w:val="26"/>
        </w:rPr>
        <w:t>.</w:t>
      </w:r>
    </w:p>
    <w:p w:rsidR="00502F00" w:rsidRPr="00A9787D" w:rsidRDefault="00601EE5" w:rsidP="002143F6">
      <w:pPr>
        <w:widowControl/>
        <w:spacing w:line="360" w:lineRule="auto"/>
        <w:ind w:firstLine="1440"/>
        <w:rPr>
          <w:sz w:val="26"/>
          <w:szCs w:val="26"/>
        </w:rPr>
      </w:pPr>
      <w:r w:rsidRPr="00A9787D">
        <w:rPr>
          <w:sz w:val="26"/>
          <w:szCs w:val="26"/>
        </w:rPr>
        <w:t xml:space="preserve">ALJ </w:t>
      </w:r>
      <w:r w:rsidR="00A042F4">
        <w:rPr>
          <w:sz w:val="26"/>
          <w:szCs w:val="26"/>
        </w:rPr>
        <w:t>Pell made seventy-one</w:t>
      </w:r>
      <w:r w:rsidR="00502F00" w:rsidRPr="00A9787D">
        <w:rPr>
          <w:sz w:val="26"/>
          <w:szCs w:val="26"/>
        </w:rPr>
        <w:t xml:space="preserve"> Find</w:t>
      </w:r>
      <w:r w:rsidR="00A042F4">
        <w:rPr>
          <w:sz w:val="26"/>
          <w:szCs w:val="26"/>
        </w:rPr>
        <w:t>ings of Fact and reached seven</w:t>
      </w:r>
      <w:r w:rsidR="00502F00" w:rsidRPr="00A9787D">
        <w:rPr>
          <w:sz w:val="26"/>
          <w:szCs w:val="26"/>
        </w:rPr>
        <w:t xml:space="preserve"> Conclusions of Law.  </w:t>
      </w:r>
      <w:r w:rsidR="007B72C3" w:rsidRPr="00A9787D">
        <w:rPr>
          <w:sz w:val="26"/>
          <w:szCs w:val="26"/>
        </w:rPr>
        <w:t>I.D. at 3</w:t>
      </w:r>
      <w:r w:rsidR="00A042F4">
        <w:rPr>
          <w:sz w:val="26"/>
          <w:szCs w:val="26"/>
        </w:rPr>
        <w:t>-12</w:t>
      </w:r>
      <w:r w:rsidR="00502F00" w:rsidRPr="00A9787D">
        <w:rPr>
          <w:sz w:val="26"/>
          <w:szCs w:val="26"/>
        </w:rPr>
        <w:t xml:space="preserve">, </w:t>
      </w:r>
      <w:r w:rsidR="00A042F4">
        <w:rPr>
          <w:sz w:val="26"/>
          <w:szCs w:val="26"/>
        </w:rPr>
        <w:t>22-23</w:t>
      </w:r>
      <w:r w:rsidR="00502F00"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rsidR="00E822CB" w:rsidRPr="00A9787D" w:rsidRDefault="00E822CB" w:rsidP="002143F6">
      <w:pPr>
        <w:widowControl/>
        <w:spacing w:line="360" w:lineRule="auto"/>
        <w:ind w:firstLine="1440"/>
        <w:rPr>
          <w:sz w:val="26"/>
          <w:szCs w:val="26"/>
        </w:rPr>
      </w:pPr>
    </w:p>
    <w:bookmarkEnd w:id="0"/>
    <w:bookmarkEnd w:id="1"/>
    <w:p w:rsidR="00ED60FB" w:rsidRPr="00A9787D" w:rsidRDefault="00ED60FB" w:rsidP="002143F6">
      <w:pPr>
        <w:keepNext/>
        <w:keepLines/>
        <w:widowControl/>
        <w:spacing w:line="360" w:lineRule="auto"/>
        <w:rPr>
          <w:b/>
          <w:sz w:val="26"/>
          <w:szCs w:val="26"/>
        </w:rPr>
      </w:pPr>
      <w:r w:rsidRPr="00A9787D">
        <w:rPr>
          <w:b/>
          <w:sz w:val="26"/>
          <w:szCs w:val="26"/>
        </w:rPr>
        <w:t>ALJ’s Initial Decision</w:t>
      </w:r>
    </w:p>
    <w:p w:rsidR="00ED60FB" w:rsidRPr="00A9787D" w:rsidRDefault="00ED60FB" w:rsidP="002143F6">
      <w:pPr>
        <w:keepNext/>
        <w:keepLines/>
        <w:widowControl/>
        <w:spacing w:line="360" w:lineRule="auto"/>
        <w:rPr>
          <w:sz w:val="26"/>
          <w:szCs w:val="26"/>
        </w:rPr>
      </w:pPr>
    </w:p>
    <w:p w:rsidR="007F40C4" w:rsidRDefault="00BE2BBB" w:rsidP="002143F6">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F40C4">
        <w:rPr>
          <w:rFonts w:ascii="Times New Roman" w:hAnsi="Times New Roman" w:cs="Times New Roman"/>
          <w:sz w:val="26"/>
          <w:szCs w:val="26"/>
        </w:rPr>
        <w:t xml:space="preserve">Initially, the ALJ addressed the Complainant’s </w:t>
      </w:r>
      <w:r w:rsidR="002B1529">
        <w:rPr>
          <w:rFonts w:ascii="Times New Roman" w:hAnsi="Times New Roman" w:cs="Times New Roman"/>
          <w:sz w:val="26"/>
          <w:szCs w:val="26"/>
        </w:rPr>
        <w:t xml:space="preserve">high bill and foreign load </w:t>
      </w:r>
      <w:r w:rsidR="007F40C4">
        <w:rPr>
          <w:rFonts w:ascii="Times New Roman" w:hAnsi="Times New Roman" w:cs="Times New Roman"/>
          <w:sz w:val="26"/>
          <w:szCs w:val="26"/>
        </w:rPr>
        <w:t>allegation</w:t>
      </w:r>
      <w:r w:rsidR="002B1529">
        <w:rPr>
          <w:rFonts w:ascii="Times New Roman" w:hAnsi="Times New Roman" w:cs="Times New Roman"/>
          <w:sz w:val="26"/>
          <w:szCs w:val="26"/>
        </w:rPr>
        <w:t>s</w:t>
      </w:r>
      <w:r w:rsidR="007F40C4">
        <w:rPr>
          <w:rFonts w:ascii="Times New Roman" w:hAnsi="Times New Roman" w:cs="Times New Roman"/>
          <w:sz w:val="26"/>
          <w:szCs w:val="26"/>
        </w:rPr>
        <w:t xml:space="preserve"> regarding the </w:t>
      </w:r>
      <w:r w:rsidR="002B1529">
        <w:rPr>
          <w:rFonts w:ascii="Times New Roman" w:hAnsi="Times New Roman" w:cs="Times New Roman"/>
          <w:sz w:val="26"/>
          <w:szCs w:val="26"/>
        </w:rPr>
        <w:t>first and second floo</w:t>
      </w:r>
      <w:r w:rsidR="00BA2A57">
        <w:rPr>
          <w:rFonts w:ascii="Times New Roman" w:hAnsi="Times New Roman" w:cs="Times New Roman"/>
          <w:sz w:val="26"/>
          <w:szCs w:val="26"/>
        </w:rPr>
        <w:t>r units of the Service Address</w:t>
      </w:r>
      <w:r w:rsidR="00697E83">
        <w:rPr>
          <w:rFonts w:ascii="Times New Roman" w:hAnsi="Times New Roman" w:cs="Times New Roman"/>
          <w:sz w:val="26"/>
          <w:szCs w:val="26"/>
        </w:rPr>
        <w:t>.  ALJ Pell also addressed</w:t>
      </w:r>
      <w:r w:rsidR="00BA2A57">
        <w:rPr>
          <w:rFonts w:ascii="Times New Roman" w:hAnsi="Times New Roman" w:cs="Times New Roman"/>
          <w:sz w:val="26"/>
          <w:szCs w:val="26"/>
        </w:rPr>
        <w:t xml:space="preserve"> </w:t>
      </w:r>
      <w:r w:rsidR="002B1529">
        <w:rPr>
          <w:rFonts w:ascii="Times New Roman" w:hAnsi="Times New Roman" w:cs="Times New Roman"/>
          <w:sz w:val="26"/>
          <w:szCs w:val="26"/>
        </w:rPr>
        <w:t xml:space="preserve">the Complainant’s inadequate service claim and the termination notice </w:t>
      </w:r>
      <w:r w:rsidR="005E7A27">
        <w:rPr>
          <w:rFonts w:ascii="Times New Roman" w:hAnsi="Times New Roman" w:cs="Times New Roman"/>
          <w:sz w:val="26"/>
          <w:szCs w:val="26"/>
        </w:rPr>
        <w:t>that the Complainant</w:t>
      </w:r>
      <w:r w:rsidR="002B1529">
        <w:rPr>
          <w:rFonts w:ascii="Times New Roman" w:hAnsi="Times New Roman" w:cs="Times New Roman"/>
          <w:sz w:val="26"/>
          <w:szCs w:val="26"/>
        </w:rPr>
        <w:t xml:space="preserve"> received from PECO regarding the second-floor unit.  </w:t>
      </w:r>
      <w:r w:rsidR="002B1529">
        <w:rPr>
          <w:sz w:val="26"/>
          <w:szCs w:val="26"/>
        </w:rPr>
        <w:t>I.D. at</w:t>
      </w:r>
      <w:r w:rsidR="005E7A27">
        <w:rPr>
          <w:sz w:val="26"/>
          <w:szCs w:val="26"/>
        </w:rPr>
        <w:t> </w:t>
      </w:r>
      <w:r w:rsidR="002B1529">
        <w:rPr>
          <w:sz w:val="26"/>
          <w:szCs w:val="26"/>
        </w:rPr>
        <w:t>13-22.</w:t>
      </w:r>
    </w:p>
    <w:p w:rsidR="007F40C4" w:rsidRDefault="007F40C4" w:rsidP="002143F6">
      <w:pPr>
        <w:pStyle w:val="ParaTab1"/>
        <w:spacing w:line="360" w:lineRule="auto"/>
        <w:ind w:firstLine="0"/>
        <w:rPr>
          <w:rFonts w:ascii="Times New Roman" w:hAnsi="Times New Roman" w:cs="Times New Roman"/>
          <w:sz w:val="26"/>
          <w:szCs w:val="26"/>
        </w:rPr>
      </w:pPr>
    </w:p>
    <w:p w:rsidR="00BE2BBB" w:rsidRDefault="003619F1" w:rsidP="002143F6">
      <w:pPr>
        <w:pStyle w:val="ParaTab1"/>
        <w:spacing w:line="360" w:lineRule="auto"/>
        <w:ind w:firstLine="0"/>
        <w:rPr>
          <w:rStyle w:val="Hyperlink"/>
          <w:rFonts w:ascii="Times New Roman" w:eastAsia="Calibri" w:hAnsi="Times New Roman" w:cs="Times New Roman"/>
          <w:color w:val="auto"/>
          <w:sz w:val="26"/>
          <w:szCs w:val="26"/>
          <w:u w:val="none"/>
        </w:rPr>
      </w:pPr>
      <w:r>
        <w:rPr>
          <w:rFonts w:ascii="Times New Roman" w:hAnsi="Times New Roman" w:cs="Times New Roman"/>
          <w:sz w:val="26"/>
          <w:szCs w:val="26"/>
        </w:rPr>
        <w:tab/>
      </w:r>
      <w:r>
        <w:rPr>
          <w:rFonts w:ascii="Times New Roman" w:hAnsi="Times New Roman" w:cs="Times New Roman"/>
          <w:sz w:val="26"/>
          <w:szCs w:val="26"/>
        </w:rPr>
        <w:tab/>
      </w:r>
      <w:r w:rsidR="00BE2BBB">
        <w:rPr>
          <w:rFonts w:ascii="Times New Roman" w:hAnsi="Times New Roman" w:cs="Times New Roman"/>
          <w:sz w:val="26"/>
          <w:szCs w:val="26"/>
        </w:rPr>
        <w:t xml:space="preserve">With regard </w:t>
      </w:r>
      <w:r w:rsidR="00204F57">
        <w:rPr>
          <w:rFonts w:ascii="Times New Roman" w:hAnsi="Times New Roman" w:cs="Times New Roman"/>
          <w:sz w:val="26"/>
          <w:szCs w:val="26"/>
        </w:rPr>
        <w:t xml:space="preserve">the </w:t>
      </w:r>
      <w:r w:rsidR="00BE2BBB">
        <w:rPr>
          <w:rFonts w:ascii="Times New Roman" w:hAnsi="Times New Roman" w:cs="Times New Roman"/>
          <w:sz w:val="26"/>
          <w:szCs w:val="26"/>
        </w:rPr>
        <w:t>Complainant’s foreign load claim</w:t>
      </w:r>
      <w:r w:rsidR="00204F57">
        <w:rPr>
          <w:rFonts w:ascii="Times New Roman" w:hAnsi="Times New Roman" w:cs="Times New Roman"/>
          <w:sz w:val="26"/>
          <w:szCs w:val="26"/>
        </w:rPr>
        <w:t xml:space="preserve"> and the billing for the first-floor unit</w:t>
      </w:r>
      <w:r w:rsidR="00BE2BBB">
        <w:rPr>
          <w:rFonts w:ascii="Times New Roman" w:hAnsi="Times New Roman" w:cs="Times New Roman"/>
          <w:sz w:val="26"/>
          <w:szCs w:val="26"/>
        </w:rPr>
        <w:t>, t</w:t>
      </w:r>
      <w:r w:rsidR="00ED60FB" w:rsidRPr="00BE2BBB">
        <w:rPr>
          <w:rFonts w:ascii="Times New Roman" w:hAnsi="Times New Roman" w:cs="Times New Roman"/>
          <w:sz w:val="26"/>
          <w:szCs w:val="26"/>
        </w:rPr>
        <w:t>he</w:t>
      </w:r>
      <w:r w:rsidR="00135A5B" w:rsidRPr="00BE2BBB">
        <w:rPr>
          <w:rFonts w:ascii="Times New Roman" w:hAnsi="Times New Roman" w:cs="Times New Roman"/>
          <w:sz w:val="26"/>
          <w:szCs w:val="26"/>
        </w:rPr>
        <w:t xml:space="preserve"> ALJ </w:t>
      </w:r>
      <w:r w:rsidR="00173C6C">
        <w:rPr>
          <w:rFonts w:ascii="Times New Roman" w:hAnsi="Times New Roman" w:cs="Times New Roman"/>
          <w:sz w:val="26"/>
          <w:szCs w:val="26"/>
        </w:rPr>
        <w:t xml:space="preserve">found </w:t>
      </w:r>
      <w:r w:rsidR="00135A5B" w:rsidRPr="00BE2BBB">
        <w:rPr>
          <w:rFonts w:ascii="Times New Roman" w:hAnsi="Times New Roman" w:cs="Times New Roman"/>
          <w:sz w:val="26"/>
          <w:szCs w:val="26"/>
        </w:rPr>
        <w:t xml:space="preserve">that </w:t>
      </w:r>
      <w:r w:rsidR="00F41F8F" w:rsidRPr="00BE2BBB">
        <w:rPr>
          <w:rFonts w:ascii="Times New Roman" w:hAnsi="Times New Roman" w:cs="Times New Roman"/>
          <w:sz w:val="26"/>
          <w:szCs w:val="26"/>
        </w:rPr>
        <w:t>d</w:t>
      </w:r>
      <w:r w:rsidR="00EA45CF" w:rsidRPr="00BE2BBB">
        <w:rPr>
          <w:rFonts w:ascii="Times New Roman" w:hAnsi="Times New Roman" w:cs="Times New Roman"/>
          <w:sz w:val="26"/>
          <w:szCs w:val="26"/>
        </w:rPr>
        <w:t xml:space="preserve">espite alleging </w:t>
      </w:r>
      <w:r w:rsidR="003865C9" w:rsidRPr="00BE2BBB">
        <w:rPr>
          <w:rFonts w:ascii="Times New Roman" w:hAnsi="Times New Roman" w:cs="Times New Roman"/>
          <w:sz w:val="26"/>
          <w:szCs w:val="26"/>
        </w:rPr>
        <w:t>that foreign load, particularly the basement lights</w:t>
      </w:r>
      <w:r w:rsidR="00EA45CF" w:rsidRPr="00BE2BBB">
        <w:rPr>
          <w:rFonts w:ascii="Times New Roman" w:hAnsi="Times New Roman" w:cs="Times New Roman"/>
          <w:sz w:val="26"/>
          <w:szCs w:val="26"/>
        </w:rPr>
        <w:t xml:space="preserve">, </w:t>
      </w:r>
      <w:r w:rsidR="003865C9" w:rsidRPr="00BE2BBB">
        <w:rPr>
          <w:rFonts w:ascii="Times New Roman" w:hAnsi="Times New Roman" w:cs="Times New Roman"/>
          <w:sz w:val="26"/>
          <w:szCs w:val="26"/>
        </w:rPr>
        <w:t xml:space="preserve">existed on her first-floor meter, </w:t>
      </w:r>
      <w:r w:rsidR="00EA45CF" w:rsidRPr="00BE2BBB">
        <w:rPr>
          <w:rFonts w:ascii="Times New Roman" w:hAnsi="Times New Roman" w:cs="Times New Roman"/>
          <w:sz w:val="26"/>
          <w:szCs w:val="26"/>
        </w:rPr>
        <w:t xml:space="preserve">the </w:t>
      </w:r>
      <w:r w:rsidR="00CF4E3B" w:rsidRPr="00BE2BBB">
        <w:rPr>
          <w:rFonts w:ascii="Times New Roman" w:hAnsi="Times New Roman" w:cs="Times New Roman"/>
          <w:sz w:val="26"/>
          <w:szCs w:val="26"/>
        </w:rPr>
        <w:t>Complainant</w:t>
      </w:r>
      <w:r w:rsidR="00EA45CF" w:rsidRPr="00BE2BBB">
        <w:rPr>
          <w:rFonts w:ascii="Times New Roman" w:hAnsi="Times New Roman" w:cs="Times New Roman"/>
          <w:sz w:val="26"/>
          <w:szCs w:val="26"/>
        </w:rPr>
        <w:t xml:space="preserve"> did not provide any evid</w:t>
      </w:r>
      <w:r w:rsidR="008B0174" w:rsidRPr="00BE2BBB">
        <w:rPr>
          <w:rFonts w:ascii="Times New Roman" w:hAnsi="Times New Roman" w:cs="Times New Roman"/>
          <w:sz w:val="26"/>
          <w:szCs w:val="26"/>
        </w:rPr>
        <w:t>ence to support her allegations regarding foreign load</w:t>
      </w:r>
      <w:r w:rsidR="00EA45CF" w:rsidRPr="00BE2BBB">
        <w:rPr>
          <w:rFonts w:ascii="Times New Roman" w:hAnsi="Times New Roman" w:cs="Times New Roman"/>
          <w:sz w:val="26"/>
          <w:szCs w:val="26"/>
        </w:rPr>
        <w:t>.</w:t>
      </w:r>
      <w:r w:rsidR="008F43AC">
        <w:rPr>
          <w:rFonts w:ascii="Times New Roman" w:hAnsi="Times New Roman" w:cs="Times New Roman"/>
          <w:sz w:val="26"/>
          <w:szCs w:val="26"/>
        </w:rPr>
        <w:t xml:space="preserve">  </w:t>
      </w:r>
      <w:r w:rsidRPr="003619F1">
        <w:rPr>
          <w:rFonts w:ascii="Times New Roman" w:hAnsi="Times New Roman" w:cs="Times New Roman"/>
          <w:i/>
          <w:sz w:val="26"/>
          <w:szCs w:val="26"/>
        </w:rPr>
        <w:t>Id.</w:t>
      </w:r>
      <w:r w:rsidR="00E64A63" w:rsidRPr="00BE2BBB">
        <w:rPr>
          <w:rFonts w:ascii="Times New Roman" w:hAnsi="Times New Roman" w:cs="Times New Roman"/>
          <w:sz w:val="26"/>
          <w:szCs w:val="26"/>
        </w:rPr>
        <w:t xml:space="preserve"> at </w:t>
      </w:r>
      <w:r w:rsidR="008B0174" w:rsidRPr="00BE2BBB">
        <w:rPr>
          <w:rFonts w:ascii="Times New Roman" w:hAnsi="Times New Roman" w:cs="Times New Roman"/>
          <w:sz w:val="26"/>
          <w:szCs w:val="26"/>
        </w:rPr>
        <w:t>16</w:t>
      </w:r>
      <w:r w:rsidR="00EA45CF" w:rsidRPr="00BE2BBB">
        <w:rPr>
          <w:rFonts w:ascii="Times New Roman" w:hAnsi="Times New Roman" w:cs="Times New Roman"/>
          <w:sz w:val="26"/>
          <w:szCs w:val="26"/>
        </w:rPr>
        <w:t xml:space="preserve">. </w:t>
      </w:r>
      <w:r w:rsidR="00F41F8F" w:rsidRPr="00BE2BBB">
        <w:rPr>
          <w:rFonts w:ascii="Times New Roman" w:hAnsi="Times New Roman" w:cs="Times New Roman"/>
          <w:sz w:val="26"/>
          <w:szCs w:val="26"/>
        </w:rPr>
        <w:t xml:space="preserve"> </w:t>
      </w:r>
      <w:r w:rsidR="003C1B32" w:rsidRPr="00BE2BBB">
        <w:rPr>
          <w:rFonts w:ascii="Times New Roman" w:hAnsi="Times New Roman" w:cs="Times New Roman"/>
          <w:sz w:val="26"/>
          <w:szCs w:val="26"/>
        </w:rPr>
        <w:t>T</w:t>
      </w:r>
      <w:r w:rsidR="00D01248" w:rsidRPr="00BE2BBB">
        <w:rPr>
          <w:rFonts w:ascii="Times New Roman" w:hAnsi="Times New Roman" w:cs="Times New Roman"/>
          <w:sz w:val="26"/>
          <w:szCs w:val="26"/>
        </w:rPr>
        <w:t xml:space="preserve">he ALJ </w:t>
      </w:r>
      <w:r w:rsidR="001242EE" w:rsidRPr="00BE2BBB">
        <w:rPr>
          <w:rFonts w:ascii="Times New Roman" w:hAnsi="Times New Roman" w:cs="Times New Roman"/>
          <w:sz w:val="26"/>
          <w:szCs w:val="26"/>
        </w:rPr>
        <w:t>stated</w:t>
      </w:r>
      <w:r w:rsidR="00D01248" w:rsidRPr="00BE2BBB">
        <w:rPr>
          <w:rFonts w:ascii="Times New Roman" w:hAnsi="Times New Roman" w:cs="Times New Roman"/>
          <w:sz w:val="26"/>
          <w:szCs w:val="26"/>
        </w:rPr>
        <w:t xml:space="preserve"> that the Complainant’s assertions, regardless of how honest or strong</w:t>
      </w:r>
      <w:r w:rsidR="00157C29" w:rsidRPr="00BE2BBB">
        <w:rPr>
          <w:rFonts w:ascii="Times New Roman" w:hAnsi="Times New Roman" w:cs="Times New Roman"/>
          <w:sz w:val="26"/>
          <w:szCs w:val="26"/>
        </w:rPr>
        <w:t>,</w:t>
      </w:r>
      <w:r w:rsidR="00D01248" w:rsidRPr="00BE2BBB">
        <w:rPr>
          <w:rFonts w:ascii="Times New Roman" w:hAnsi="Times New Roman" w:cs="Times New Roman"/>
          <w:sz w:val="26"/>
          <w:szCs w:val="26"/>
        </w:rPr>
        <w:t xml:space="preserve"> cannot form the basis of a finding in her favor since assertions, personal opinions or perceptions do </w:t>
      </w:r>
      <w:r w:rsidR="00372221" w:rsidRPr="00BE2BBB">
        <w:rPr>
          <w:rFonts w:ascii="Times New Roman" w:hAnsi="Times New Roman" w:cs="Times New Roman"/>
          <w:sz w:val="26"/>
          <w:szCs w:val="26"/>
        </w:rPr>
        <w:t xml:space="preserve">not constitute factual evidence.  </w:t>
      </w:r>
      <w:r w:rsidR="008B0174" w:rsidRPr="00BE2BBB">
        <w:rPr>
          <w:rFonts w:ascii="Times New Roman" w:hAnsi="Times New Roman" w:cs="Times New Roman"/>
          <w:i/>
          <w:sz w:val="26"/>
          <w:szCs w:val="26"/>
        </w:rPr>
        <w:t>Id.</w:t>
      </w:r>
      <w:r w:rsidR="003C1B32" w:rsidRPr="00BE2BBB">
        <w:rPr>
          <w:rFonts w:ascii="Times New Roman" w:hAnsi="Times New Roman" w:cs="Times New Roman"/>
          <w:i/>
          <w:sz w:val="26"/>
          <w:szCs w:val="26"/>
        </w:rPr>
        <w:t xml:space="preserve"> </w:t>
      </w:r>
      <w:r w:rsidR="003C1B32" w:rsidRPr="00BE2BBB">
        <w:rPr>
          <w:rFonts w:ascii="Times New Roman" w:hAnsi="Times New Roman" w:cs="Times New Roman"/>
          <w:sz w:val="26"/>
          <w:szCs w:val="26"/>
        </w:rPr>
        <w:t xml:space="preserve">(citing </w:t>
      </w:r>
      <w:r w:rsidR="003C1B32" w:rsidRPr="00BE2BBB">
        <w:rPr>
          <w:rFonts w:ascii="Times New Roman" w:hAnsi="Times New Roman" w:cs="Times New Roman"/>
          <w:i/>
          <w:sz w:val="26"/>
          <w:szCs w:val="26"/>
        </w:rPr>
        <w:t>Pennsylvania Bureau of Corrections v. City of Pittsburgh,</w:t>
      </w:r>
      <w:r w:rsidR="003C1B32" w:rsidRPr="00BE2BBB">
        <w:rPr>
          <w:rFonts w:ascii="Times New Roman" w:hAnsi="Times New Roman" w:cs="Times New Roman"/>
          <w:sz w:val="26"/>
          <w:szCs w:val="26"/>
        </w:rPr>
        <w:t xml:space="preserve"> </w:t>
      </w:r>
      <w:r w:rsidR="007D0C12" w:rsidRPr="00BE2BBB">
        <w:rPr>
          <w:rFonts w:ascii="Times New Roman" w:hAnsi="Times New Roman" w:cs="Times New Roman"/>
          <w:sz w:val="26"/>
          <w:szCs w:val="26"/>
        </w:rPr>
        <w:t xml:space="preserve">516 Pa. 75, </w:t>
      </w:r>
      <w:r w:rsidR="003C1B32" w:rsidRPr="00BE2BBB">
        <w:rPr>
          <w:rFonts w:ascii="Times New Roman" w:hAnsi="Times New Roman" w:cs="Times New Roman"/>
          <w:sz w:val="26"/>
          <w:szCs w:val="26"/>
        </w:rPr>
        <w:t>532 A.2d 12 (1987))</w:t>
      </w:r>
      <w:r w:rsidR="00D01248" w:rsidRPr="00BE2BBB">
        <w:rPr>
          <w:rFonts w:ascii="Times New Roman" w:hAnsi="Times New Roman" w:cs="Times New Roman"/>
          <w:sz w:val="26"/>
          <w:szCs w:val="26"/>
        </w:rPr>
        <w:t>.</w:t>
      </w:r>
    </w:p>
    <w:p w:rsidR="005C47C8" w:rsidRDefault="005C47C8" w:rsidP="002143F6">
      <w:pPr>
        <w:pStyle w:val="ParaTab1"/>
        <w:spacing w:line="360" w:lineRule="auto"/>
        <w:ind w:firstLine="0"/>
        <w:rPr>
          <w:rStyle w:val="Hyperlink"/>
          <w:rFonts w:ascii="Times New Roman" w:eastAsia="Calibri" w:hAnsi="Times New Roman" w:cs="Times New Roman"/>
          <w:color w:val="auto"/>
          <w:sz w:val="26"/>
          <w:szCs w:val="26"/>
          <w:u w:val="none"/>
        </w:rPr>
      </w:pPr>
    </w:p>
    <w:p w:rsidR="005C47C8" w:rsidRPr="00BE2BBB" w:rsidRDefault="005C47C8" w:rsidP="002143F6">
      <w:pPr>
        <w:pStyle w:val="ParaTab1"/>
        <w:spacing w:line="360" w:lineRule="auto"/>
        <w:ind w:firstLine="0"/>
        <w:rPr>
          <w:rStyle w:val="Hyperlink"/>
          <w:rFonts w:ascii="Times New Roman" w:eastAsia="Calibri" w:hAnsi="Times New Roman" w:cs="Times New Roman"/>
          <w:color w:val="auto"/>
          <w:sz w:val="26"/>
          <w:szCs w:val="26"/>
          <w:u w:val="none"/>
        </w:rPr>
      </w:pPr>
      <w:r>
        <w:rPr>
          <w:rStyle w:val="Hyperlink"/>
          <w:rFonts w:ascii="Times New Roman" w:eastAsia="Calibri" w:hAnsi="Times New Roman" w:cs="Times New Roman"/>
          <w:color w:val="auto"/>
          <w:sz w:val="26"/>
          <w:szCs w:val="26"/>
          <w:u w:val="none"/>
        </w:rPr>
        <w:tab/>
      </w:r>
      <w:r>
        <w:rPr>
          <w:rStyle w:val="Hyperlink"/>
          <w:rFonts w:ascii="Times New Roman" w:eastAsia="Calibri" w:hAnsi="Times New Roman" w:cs="Times New Roman"/>
          <w:color w:val="auto"/>
          <w:sz w:val="26"/>
          <w:szCs w:val="26"/>
          <w:u w:val="none"/>
        </w:rPr>
        <w:tab/>
      </w:r>
      <w:r w:rsidR="00261410">
        <w:rPr>
          <w:rStyle w:val="Hyperlink"/>
          <w:rFonts w:ascii="Times New Roman" w:eastAsia="Calibri" w:hAnsi="Times New Roman" w:cs="Times New Roman"/>
          <w:color w:val="auto"/>
          <w:sz w:val="26"/>
          <w:szCs w:val="26"/>
          <w:u w:val="none"/>
        </w:rPr>
        <w:t xml:space="preserve">Furthermore, </w:t>
      </w:r>
      <w:r>
        <w:rPr>
          <w:rStyle w:val="Hyperlink"/>
          <w:rFonts w:ascii="Times New Roman" w:eastAsia="Calibri" w:hAnsi="Times New Roman" w:cs="Times New Roman"/>
          <w:color w:val="auto"/>
          <w:sz w:val="26"/>
          <w:szCs w:val="26"/>
          <w:u w:val="none"/>
        </w:rPr>
        <w:t xml:space="preserve">the ALJ </w:t>
      </w:r>
      <w:r w:rsidR="00261410">
        <w:rPr>
          <w:rStyle w:val="Hyperlink"/>
          <w:rFonts w:ascii="Times New Roman" w:eastAsia="Calibri" w:hAnsi="Times New Roman" w:cs="Times New Roman"/>
          <w:color w:val="auto"/>
          <w:sz w:val="26"/>
          <w:szCs w:val="26"/>
          <w:u w:val="none"/>
        </w:rPr>
        <w:t xml:space="preserve">noted </w:t>
      </w:r>
      <w:r>
        <w:rPr>
          <w:rStyle w:val="Hyperlink"/>
          <w:rFonts w:ascii="Times New Roman" w:eastAsia="Calibri" w:hAnsi="Times New Roman" w:cs="Times New Roman"/>
          <w:color w:val="auto"/>
          <w:sz w:val="26"/>
          <w:szCs w:val="26"/>
          <w:u w:val="none"/>
        </w:rPr>
        <w:t xml:space="preserve">that PECO’s high bill investigator </w:t>
      </w:r>
      <w:r w:rsidR="00261410">
        <w:rPr>
          <w:rStyle w:val="Hyperlink"/>
          <w:rFonts w:ascii="Times New Roman" w:eastAsia="Calibri" w:hAnsi="Times New Roman" w:cs="Times New Roman"/>
          <w:color w:val="auto"/>
          <w:sz w:val="26"/>
          <w:szCs w:val="26"/>
          <w:u w:val="none"/>
        </w:rPr>
        <w:t>(PECO’s investigator</w:t>
      </w:r>
      <w:r w:rsidR="000517D4">
        <w:rPr>
          <w:rStyle w:val="Hyperlink"/>
          <w:rFonts w:ascii="Times New Roman" w:eastAsia="Calibri" w:hAnsi="Times New Roman" w:cs="Times New Roman"/>
          <w:color w:val="auto"/>
          <w:sz w:val="26"/>
          <w:szCs w:val="26"/>
          <w:u w:val="none"/>
        </w:rPr>
        <w:t xml:space="preserve"> or the investigator</w:t>
      </w:r>
      <w:r w:rsidR="00261410">
        <w:rPr>
          <w:rStyle w:val="Hyperlink"/>
          <w:rFonts w:ascii="Times New Roman" w:eastAsia="Calibri" w:hAnsi="Times New Roman" w:cs="Times New Roman"/>
          <w:color w:val="auto"/>
          <w:sz w:val="26"/>
          <w:szCs w:val="26"/>
          <w:u w:val="none"/>
        </w:rPr>
        <w:t xml:space="preserve">) </w:t>
      </w:r>
      <w:r w:rsidR="00E35915">
        <w:rPr>
          <w:rStyle w:val="Hyperlink"/>
          <w:rFonts w:ascii="Times New Roman" w:eastAsia="Calibri" w:hAnsi="Times New Roman" w:cs="Times New Roman"/>
          <w:color w:val="auto"/>
          <w:sz w:val="26"/>
          <w:szCs w:val="26"/>
          <w:u w:val="none"/>
        </w:rPr>
        <w:t xml:space="preserve">testified he </w:t>
      </w:r>
      <w:r w:rsidR="00261410">
        <w:rPr>
          <w:rStyle w:val="Hyperlink"/>
          <w:rFonts w:ascii="Times New Roman" w:eastAsia="Calibri" w:hAnsi="Times New Roman" w:cs="Times New Roman"/>
          <w:color w:val="auto"/>
          <w:sz w:val="26"/>
          <w:szCs w:val="26"/>
          <w:u w:val="none"/>
        </w:rPr>
        <w:t>observed no</w:t>
      </w:r>
      <w:r>
        <w:rPr>
          <w:rStyle w:val="Hyperlink"/>
          <w:rFonts w:ascii="Times New Roman" w:eastAsia="Calibri" w:hAnsi="Times New Roman" w:cs="Times New Roman"/>
          <w:color w:val="auto"/>
          <w:sz w:val="26"/>
          <w:szCs w:val="26"/>
          <w:u w:val="none"/>
        </w:rPr>
        <w:t xml:space="preserve"> </w:t>
      </w:r>
      <w:r w:rsidR="00261410">
        <w:rPr>
          <w:rStyle w:val="Hyperlink"/>
          <w:rFonts w:ascii="Times New Roman" w:eastAsia="Calibri" w:hAnsi="Times New Roman" w:cs="Times New Roman"/>
          <w:color w:val="auto"/>
          <w:sz w:val="26"/>
          <w:szCs w:val="26"/>
          <w:u w:val="none"/>
        </w:rPr>
        <w:t xml:space="preserve">foreign load on the Complainant’s </w:t>
      </w:r>
      <w:r w:rsidR="008F43AC">
        <w:rPr>
          <w:rStyle w:val="Hyperlink"/>
          <w:rFonts w:ascii="Times New Roman" w:eastAsia="Calibri" w:hAnsi="Times New Roman" w:cs="Times New Roman"/>
          <w:color w:val="auto"/>
          <w:sz w:val="26"/>
          <w:szCs w:val="26"/>
          <w:u w:val="none"/>
        </w:rPr>
        <w:t>first</w:t>
      </w:r>
      <w:r w:rsidR="00C20AD4">
        <w:rPr>
          <w:rStyle w:val="Hyperlink"/>
          <w:rFonts w:ascii="Times New Roman" w:eastAsia="Calibri" w:hAnsi="Times New Roman" w:cs="Times New Roman"/>
          <w:color w:val="auto"/>
          <w:sz w:val="26"/>
          <w:szCs w:val="26"/>
          <w:u w:val="none"/>
        </w:rPr>
        <w:t xml:space="preserve"> </w:t>
      </w:r>
      <w:r w:rsidR="00261410">
        <w:rPr>
          <w:rStyle w:val="Hyperlink"/>
          <w:rFonts w:ascii="Times New Roman" w:eastAsia="Calibri" w:hAnsi="Times New Roman" w:cs="Times New Roman"/>
          <w:color w:val="auto"/>
          <w:sz w:val="26"/>
          <w:szCs w:val="26"/>
          <w:u w:val="none"/>
        </w:rPr>
        <w:t>floor meter during the April 16, 2015 investigation.</w:t>
      </w:r>
      <w:r w:rsidR="00E35915">
        <w:rPr>
          <w:rStyle w:val="Hyperlink"/>
          <w:rFonts w:ascii="Times New Roman" w:eastAsia="Calibri" w:hAnsi="Times New Roman" w:cs="Times New Roman"/>
          <w:color w:val="auto"/>
          <w:sz w:val="26"/>
          <w:szCs w:val="26"/>
          <w:u w:val="none"/>
        </w:rPr>
        <w:t xml:space="preserve">  </w:t>
      </w:r>
      <w:r w:rsidR="00261410">
        <w:rPr>
          <w:rStyle w:val="Hyperlink"/>
          <w:rFonts w:ascii="Times New Roman" w:eastAsia="Calibri" w:hAnsi="Times New Roman" w:cs="Times New Roman"/>
          <w:color w:val="auto"/>
          <w:sz w:val="26"/>
          <w:szCs w:val="26"/>
          <w:u w:val="none"/>
        </w:rPr>
        <w:t xml:space="preserve">According to the ALJ, PECO’s investigator stated </w:t>
      </w:r>
      <w:r w:rsidR="00483A31">
        <w:rPr>
          <w:rStyle w:val="Hyperlink"/>
          <w:rFonts w:ascii="Times New Roman" w:eastAsia="Calibri" w:hAnsi="Times New Roman" w:cs="Times New Roman"/>
          <w:color w:val="auto"/>
          <w:sz w:val="26"/>
          <w:szCs w:val="26"/>
          <w:u w:val="none"/>
        </w:rPr>
        <w:t>that when he shut off the first-</w:t>
      </w:r>
      <w:r w:rsidR="00261410">
        <w:rPr>
          <w:rStyle w:val="Hyperlink"/>
          <w:rFonts w:ascii="Times New Roman" w:eastAsia="Calibri" w:hAnsi="Times New Roman" w:cs="Times New Roman"/>
          <w:color w:val="auto"/>
          <w:sz w:val="26"/>
          <w:szCs w:val="26"/>
          <w:u w:val="none"/>
        </w:rPr>
        <w:t xml:space="preserve">floor breaker, the </w:t>
      </w:r>
      <w:r w:rsidR="003619F1">
        <w:rPr>
          <w:rStyle w:val="Hyperlink"/>
          <w:rFonts w:ascii="Times New Roman" w:eastAsia="Calibri" w:hAnsi="Times New Roman" w:cs="Times New Roman"/>
          <w:color w:val="auto"/>
          <w:sz w:val="26"/>
          <w:szCs w:val="26"/>
          <w:u w:val="none"/>
        </w:rPr>
        <w:t>first-floor</w:t>
      </w:r>
      <w:r w:rsidR="00261410">
        <w:rPr>
          <w:rStyle w:val="Hyperlink"/>
          <w:rFonts w:ascii="Times New Roman" w:eastAsia="Calibri" w:hAnsi="Times New Roman" w:cs="Times New Roman"/>
          <w:color w:val="auto"/>
          <w:sz w:val="26"/>
          <w:szCs w:val="26"/>
          <w:u w:val="none"/>
        </w:rPr>
        <w:t xml:space="preserve"> meter stopped running but the basement lights remained on, which confirmed that the basement</w:t>
      </w:r>
      <w:r w:rsidR="003619F1">
        <w:rPr>
          <w:rStyle w:val="Hyperlink"/>
          <w:rFonts w:ascii="Times New Roman" w:eastAsia="Calibri" w:hAnsi="Times New Roman" w:cs="Times New Roman"/>
          <w:color w:val="auto"/>
          <w:sz w:val="26"/>
          <w:szCs w:val="26"/>
          <w:u w:val="none"/>
        </w:rPr>
        <w:t xml:space="preserve"> lights at the Service Address we</w:t>
      </w:r>
      <w:r w:rsidR="00261410">
        <w:rPr>
          <w:rStyle w:val="Hyperlink"/>
          <w:rFonts w:ascii="Times New Roman" w:eastAsia="Calibri" w:hAnsi="Times New Roman" w:cs="Times New Roman"/>
          <w:color w:val="auto"/>
          <w:sz w:val="26"/>
          <w:szCs w:val="26"/>
          <w:u w:val="none"/>
        </w:rPr>
        <w:t xml:space="preserve">re connected to the landlord’s electric meter for </w:t>
      </w:r>
      <w:r w:rsidR="00113E16">
        <w:rPr>
          <w:rStyle w:val="Hyperlink"/>
          <w:rFonts w:ascii="Times New Roman" w:eastAsia="Calibri" w:hAnsi="Times New Roman" w:cs="Times New Roman"/>
          <w:color w:val="auto"/>
          <w:sz w:val="26"/>
          <w:szCs w:val="26"/>
          <w:u w:val="none"/>
        </w:rPr>
        <w:t xml:space="preserve">the </w:t>
      </w:r>
      <w:r w:rsidR="00113E16">
        <w:rPr>
          <w:sz w:val="26"/>
          <w:szCs w:val="26"/>
        </w:rPr>
        <w:t>Adjoining</w:t>
      </w:r>
      <w:r w:rsidR="00B95C96">
        <w:rPr>
          <w:sz w:val="26"/>
          <w:szCs w:val="26"/>
        </w:rPr>
        <w:t xml:space="preserve"> </w:t>
      </w:r>
      <w:r w:rsidR="003F4215">
        <w:rPr>
          <w:sz w:val="26"/>
          <w:szCs w:val="26"/>
        </w:rPr>
        <w:t>Address</w:t>
      </w:r>
      <w:r w:rsidR="003F4215">
        <w:rPr>
          <w:rStyle w:val="Hyperlink"/>
          <w:rFonts w:ascii="Times New Roman" w:eastAsia="Calibri" w:hAnsi="Times New Roman" w:cs="Times New Roman"/>
          <w:color w:val="auto"/>
          <w:sz w:val="26"/>
          <w:szCs w:val="26"/>
          <w:u w:val="none"/>
        </w:rPr>
        <w:t xml:space="preserve"> and</w:t>
      </w:r>
      <w:r w:rsidR="003619F1">
        <w:rPr>
          <w:rStyle w:val="Hyperlink"/>
          <w:rFonts w:ascii="Times New Roman" w:eastAsia="Calibri" w:hAnsi="Times New Roman" w:cs="Times New Roman"/>
          <w:color w:val="auto"/>
          <w:sz w:val="26"/>
          <w:szCs w:val="26"/>
          <w:u w:val="none"/>
        </w:rPr>
        <w:t xml:space="preserve"> we</w:t>
      </w:r>
      <w:r w:rsidR="00261410">
        <w:rPr>
          <w:rStyle w:val="Hyperlink"/>
          <w:rFonts w:ascii="Times New Roman" w:eastAsia="Calibri" w:hAnsi="Times New Roman" w:cs="Times New Roman"/>
          <w:color w:val="auto"/>
          <w:sz w:val="26"/>
          <w:szCs w:val="26"/>
          <w:u w:val="none"/>
        </w:rPr>
        <w:t>re</w:t>
      </w:r>
      <w:r w:rsidR="005E72F6">
        <w:rPr>
          <w:rStyle w:val="Hyperlink"/>
          <w:rFonts w:ascii="Times New Roman" w:eastAsia="Calibri" w:hAnsi="Times New Roman" w:cs="Times New Roman"/>
          <w:color w:val="auto"/>
          <w:sz w:val="26"/>
          <w:szCs w:val="26"/>
          <w:u w:val="none"/>
        </w:rPr>
        <w:t xml:space="preserve"> not</w:t>
      </w:r>
      <w:r w:rsidR="00261410">
        <w:rPr>
          <w:rStyle w:val="Hyperlink"/>
          <w:rFonts w:ascii="Times New Roman" w:eastAsia="Calibri" w:hAnsi="Times New Roman" w:cs="Times New Roman"/>
          <w:color w:val="auto"/>
          <w:sz w:val="26"/>
          <w:szCs w:val="26"/>
          <w:u w:val="none"/>
        </w:rPr>
        <w:t xml:space="preserve"> connected to the meter for the Service Address.</w:t>
      </w:r>
      <w:r w:rsidR="00E35915">
        <w:rPr>
          <w:rStyle w:val="FootnoteReference"/>
          <w:rFonts w:ascii="Times New Roman" w:eastAsia="Calibri" w:hAnsi="Times New Roman" w:cs="Times New Roman"/>
          <w:sz w:val="26"/>
          <w:szCs w:val="26"/>
        </w:rPr>
        <w:footnoteReference w:id="6"/>
      </w:r>
      <w:r w:rsidR="00E35915">
        <w:rPr>
          <w:rStyle w:val="Hyperlink"/>
          <w:rFonts w:ascii="Times New Roman" w:eastAsia="Calibri" w:hAnsi="Times New Roman" w:cs="Times New Roman"/>
          <w:color w:val="auto"/>
          <w:sz w:val="26"/>
          <w:szCs w:val="26"/>
          <w:u w:val="none"/>
        </w:rPr>
        <w:t xml:space="preserve">  </w:t>
      </w:r>
      <w:r w:rsidR="00261410" w:rsidRPr="00BE2BBB">
        <w:rPr>
          <w:rFonts w:ascii="Times New Roman" w:hAnsi="Times New Roman" w:cs="Times New Roman"/>
          <w:sz w:val="26"/>
          <w:szCs w:val="26"/>
        </w:rPr>
        <w:t>I.D. at 16</w:t>
      </w:r>
      <w:r w:rsidR="00261410">
        <w:rPr>
          <w:rFonts w:ascii="Times New Roman" w:hAnsi="Times New Roman" w:cs="Times New Roman"/>
          <w:sz w:val="26"/>
          <w:szCs w:val="26"/>
        </w:rPr>
        <w:t xml:space="preserve">.  </w:t>
      </w:r>
      <w:r w:rsidR="00483A31">
        <w:rPr>
          <w:rFonts w:ascii="Times New Roman" w:hAnsi="Times New Roman" w:cs="Times New Roman"/>
          <w:sz w:val="26"/>
          <w:szCs w:val="26"/>
        </w:rPr>
        <w:t xml:space="preserve">Regarding the Complainant’s assertion that her bills were too high </w:t>
      </w:r>
      <w:r w:rsidR="009967D1">
        <w:rPr>
          <w:rFonts w:ascii="Times New Roman" w:hAnsi="Times New Roman" w:cs="Times New Roman"/>
          <w:sz w:val="26"/>
          <w:szCs w:val="26"/>
        </w:rPr>
        <w:t>in relation</w:t>
      </w:r>
      <w:r w:rsidR="003619F1">
        <w:rPr>
          <w:rFonts w:ascii="Times New Roman" w:hAnsi="Times New Roman" w:cs="Times New Roman"/>
          <w:sz w:val="26"/>
          <w:szCs w:val="26"/>
        </w:rPr>
        <w:t xml:space="preserve"> to</w:t>
      </w:r>
      <w:r w:rsidR="00483A31">
        <w:rPr>
          <w:rFonts w:ascii="Times New Roman" w:hAnsi="Times New Roman" w:cs="Times New Roman"/>
          <w:sz w:val="26"/>
          <w:szCs w:val="26"/>
        </w:rPr>
        <w:t xml:space="preserve"> the amount of time she used the first floor, the ALJ </w:t>
      </w:r>
      <w:r w:rsidR="00E27151">
        <w:rPr>
          <w:rFonts w:ascii="Times New Roman" w:hAnsi="Times New Roman" w:cs="Times New Roman"/>
          <w:sz w:val="26"/>
          <w:szCs w:val="26"/>
        </w:rPr>
        <w:t>acknowledged</w:t>
      </w:r>
      <w:r w:rsidR="00483A31">
        <w:rPr>
          <w:rFonts w:ascii="Times New Roman" w:hAnsi="Times New Roman" w:cs="Times New Roman"/>
          <w:sz w:val="26"/>
          <w:szCs w:val="26"/>
        </w:rPr>
        <w:t xml:space="preserve"> PECO’s testimony that considering the results of the meter and passing load tests, the Complainant’s monthly bills </w:t>
      </w:r>
      <w:r w:rsidR="003619F1">
        <w:rPr>
          <w:rFonts w:ascii="Times New Roman" w:hAnsi="Times New Roman" w:cs="Times New Roman"/>
          <w:sz w:val="26"/>
          <w:szCs w:val="26"/>
        </w:rPr>
        <w:t xml:space="preserve">did not </w:t>
      </w:r>
      <w:r w:rsidR="00483A31">
        <w:rPr>
          <w:rFonts w:ascii="Times New Roman" w:hAnsi="Times New Roman" w:cs="Times New Roman"/>
          <w:sz w:val="26"/>
          <w:szCs w:val="26"/>
        </w:rPr>
        <w:t xml:space="preserve">exceed her potential usage.  The ALJ, therefore, concluded that PECO’s testimony demonstrated there was no foreign load on the first-floor meter and </w:t>
      </w:r>
      <w:r w:rsidR="00B4252B">
        <w:rPr>
          <w:rFonts w:ascii="Times New Roman" w:hAnsi="Times New Roman" w:cs="Times New Roman"/>
          <w:sz w:val="26"/>
          <w:szCs w:val="26"/>
        </w:rPr>
        <w:t xml:space="preserve">that </w:t>
      </w:r>
      <w:r w:rsidR="00483A31">
        <w:rPr>
          <w:rFonts w:ascii="Times New Roman" w:hAnsi="Times New Roman" w:cs="Times New Roman"/>
          <w:sz w:val="26"/>
          <w:szCs w:val="26"/>
        </w:rPr>
        <w:t xml:space="preserve">the Complainant failed to meet her burden of proof </w:t>
      </w:r>
      <w:r w:rsidR="00B4252B">
        <w:rPr>
          <w:rFonts w:ascii="Times New Roman" w:hAnsi="Times New Roman" w:cs="Times New Roman"/>
          <w:sz w:val="26"/>
          <w:szCs w:val="26"/>
        </w:rPr>
        <w:t xml:space="preserve">to demonstrate </w:t>
      </w:r>
      <w:r w:rsidR="00396ADF">
        <w:rPr>
          <w:rFonts w:ascii="Times New Roman" w:hAnsi="Times New Roman" w:cs="Times New Roman"/>
          <w:sz w:val="26"/>
          <w:szCs w:val="26"/>
        </w:rPr>
        <w:t>that her</w:t>
      </w:r>
      <w:r w:rsidR="00483A31">
        <w:rPr>
          <w:rFonts w:ascii="Times New Roman" w:hAnsi="Times New Roman" w:cs="Times New Roman"/>
          <w:sz w:val="26"/>
          <w:szCs w:val="26"/>
        </w:rPr>
        <w:t xml:space="preserve"> bills were </w:t>
      </w:r>
      <w:r w:rsidR="00E27151">
        <w:rPr>
          <w:rFonts w:ascii="Times New Roman" w:hAnsi="Times New Roman" w:cs="Times New Roman"/>
          <w:sz w:val="26"/>
          <w:szCs w:val="26"/>
        </w:rPr>
        <w:t xml:space="preserve">too </w:t>
      </w:r>
      <w:r w:rsidR="00483A31">
        <w:rPr>
          <w:rFonts w:ascii="Times New Roman" w:hAnsi="Times New Roman" w:cs="Times New Roman"/>
          <w:sz w:val="26"/>
          <w:szCs w:val="26"/>
        </w:rPr>
        <w:t xml:space="preserve">high or that foreign load existed </w:t>
      </w:r>
      <w:r w:rsidR="00CA253B">
        <w:rPr>
          <w:rFonts w:ascii="Times New Roman" w:hAnsi="Times New Roman" w:cs="Times New Roman"/>
          <w:sz w:val="26"/>
          <w:szCs w:val="26"/>
        </w:rPr>
        <w:t>on the first-floor meter</w:t>
      </w:r>
      <w:r w:rsidR="00483A31">
        <w:rPr>
          <w:rFonts w:ascii="Times New Roman" w:hAnsi="Times New Roman" w:cs="Times New Roman"/>
          <w:sz w:val="26"/>
          <w:szCs w:val="26"/>
        </w:rPr>
        <w:t xml:space="preserve">.  </w:t>
      </w:r>
      <w:r w:rsidR="00483A31" w:rsidRPr="00483A31">
        <w:rPr>
          <w:rFonts w:ascii="Times New Roman" w:hAnsi="Times New Roman" w:cs="Times New Roman"/>
          <w:i/>
          <w:sz w:val="26"/>
          <w:szCs w:val="26"/>
        </w:rPr>
        <w:t>Id.</w:t>
      </w:r>
    </w:p>
    <w:p w:rsidR="00BE2BBB" w:rsidRPr="00551B5A" w:rsidRDefault="00BE2BBB" w:rsidP="002143F6">
      <w:pPr>
        <w:pStyle w:val="ParaTab1"/>
        <w:spacing w:line="360" w:lineRule="auto"/>
        <w:ind w:firstLine="0"/>
        <w:rPr>
          <w:rFonts w:ascii="Times New Roman" w:hAnsi="Times New Roman" w:cs="Times New Roman"/>
        </w:rPr>
      </w:pPr>
    </w:p>
    <w:p w:rsidR="004735E2" w:rsidRDefault="006F1206" w:rsidP="002143F6">
      <w:pPr>
        <w:pStyle w:val="ParaTab1"/>
        <w:spacing w:line="360" w:lineRule="auto"/>
        <w:ind w:firstLine="0"/>
        <w:rPr>
          <w:rFonts w:ascii="Times New Roman" w:hAnsi="Times New Roman" w:cs="Times New Roman"/>
          <w:sz w:val="26"/>
          <w:szCs w:val="26"/>
        </w:rPr>
      </w:pPr>
      <w:r>
        <w:rPr>
          <w:sz w:val="26"/>
          <w:szCs w:val="26"/>
        </w:rPr>
        <w:tab/>
      </w:r>
      <w:r>
        <w:rPr>
          <w:sz w:val="26"/>
          <w:szCs w:val="26"/>
        </w:rPr>
        <w:tab/>
      </w:r>
      <w:r w:rsidR="000F05EE">
        <w:rPr>
          <w:sz w:val="26"/>
          <w:szCs w:val="26"/>
        </w:rPr>
        <w:t>With regard to the Complainant’s claim that her bills for the second-floor unit were too high considering she spends little time at home and is frugal in her electric usage,</w:t>
      </w:r>
      <w:r w:rsidR="00AC1A33">
        <w:rPr>
          <w:rStyle w:val="FootnoteReference"/>
          <w:sz w:val="26"/>
          <w:szCs w:val="26"/>
        </w:rPr>
        <w:footnoteReference w:id="7"/>
      </w:r>
      <w:r w:rsidR="000F05EE">
        <w:rPr>
          <w:sz w:val="26"/>
          <w:szCs w:val="26"/>
        </w:rPr>
        <w:t xml:space="preserve"> </w:t>
      </w:r>
      <w:r w:rsidR="000F05EE">
        <w:rPr>
          <w:rFonts w:ascii="Times New Roman" w:hAnsi="Times New Roman" w:cs="Times New Roman"/>
          <w:sz w:val="26"/>
          <w:szCs w:val="26"/>
        </w:rPr>
        <w:t>t</w:t>
      </w:r>
      <w:r w:rsidR="000F05EE" w:rsidRPr="00BE2BBB">
        <w:rPr>
          <w:rFonts w:ascii="Times New Roman" w:hAnsi="Times New Roman" w:cs="Times New Roman"/>
          <w:sz w:val="26"/>
          <w:szCs w:val="26"/>
        </w:rPr>
        <w:t>he</w:t>
      </w:r>
      <w:r w:rsidR="000F05EE">
        <w:rPr>
          <w:sz w:val="26"/>
          <w:szCs w:val="26"/>
        </w:rPr>
        <w:t xml:space="preserve"> ALJ noted PECO’s testimon</w:t>
      </w:r>
      <w:r>
        <w:rPr>
          <w:sz w:val="26"/>
          <w:szCs w:val="26"/>
        </w:rPr>
        <w:t>y that for several months it i</w:t>
      </w:r>
      <w:r w:rsidR="000F05EE">
        <w:rPr>
          <w:sz w:val="26"/>
          <w:szCs w:val="26"/>
        </w:rPr>
        <w:t>ssued es</w:t>
      </w:r>
      <w:r>
        <w:rPr>
          <w:sz w:val="26"/>
          <w:szCs w:val="26"/>
        </w:rPr>
        <w:t>timated rather than actual billing</w:t>
      </w:r>
      <w:r w:rsidR="000F05EE">
        <w:rPr>
          <w:sz w:val="26"/>
          <w:szCs w:val="26"/>
        </w:rPr>
        <w:t xml:space="preserve"> to the Complainant because PECO’s billing system was not receiving readings from </w:t>
      </w:r>
      <w:r w:rsidR="007812AB">
        <w:rPr>
          <w:sz w:val="26"/>
          <w:szCs w:val="26"/>
        </w:rPr>
        <w:t>the Complainant’s</w:t>
      </w:r>
      <w:r w:rsidR="000F05EE">
        <w:rPr>
          <w:sz w:val="26"/>
          <w:szCs w:val="26"/>
        </w:rPr>
        <w:t xml:space="preserve"> Automatic Meter Reading (AMR) </w:t>
      </w:r>
      <w:r w:rsidR="009967D1">
        <w:rPr>
          <w:sz w:val="26"/>
          <w:szCs w:val="26"/>
        </w:rPr>
        <w:t>device within the billing period</w:t>
      </w:r>
      <w:r w:rsidR="000F05EE">
        <w:rPr>
          <w:sz w:val="26"/>
          <w:szCs w:val="26"/>
        </w:rPr>
        <w:t xml:space="preserve">.  The ALJ </w:t>
      </w:r>
      <w:r w:rsidR="007812AB">
        <w:rPr>
          <w:sz w:val="26"/>
          <w:szCs w:val="26"/>
        </w:rPr>
        <w:t>indicated</w:t>
      </w:r>
      <w:r w:rsidR="000F05EE">
        <w:rPr>
          <w:sz w:val="26"/>
          <w:szCs w:val="26"/>
        </w:rPr>
        <w:t xml:space="preserve"> that PECO, however, revised and re-issued the bills based on actual meter readings for the second-floor </w:t>
      </w:r>
      <w:r w:rsidR="009967D1">
        <w:rPr>
          <w:sz w:val="26"/>
          <w:szCs w:val="26"/>
        </w:rPr>
        <w:t xml:space="preserve">unit </w:t>
      </w:r>
      <w:r>
        <w:rPr>
          <w:sz w:val="26"/>
          <w:szCs w:val="26"/>
        </w:rPr>
        <w:t>when</w:t>
      </w:r>
      <w:r w:rsidR="000F05EE">
        <w:rPr>
          <w:sz w:val="26"/>
          <w:szCs w:val="26"/>
        </w:rPr>
        <w:t xml:space="preserve"> the Complainant contacted the Company.</w:t>
      </w:r>
      <w:r w:rsidR="00800C4D" w:rsidRPr="00800C4D">
        <w:rPr>
          <w:rStyle w:val="FootnoteReference"/>
          <w:sz w:val="26"/>
          <w:szCs w:val="26"/>
        </w:rPr>
        <w:t xml:space="preserve"> </w:t>
      </w:r>
      <w:r w:rsidR="00800C4D">
        <w:rPr>
          <w:rStyle w:val="FootnoteReference"/>
          <w:sz w:val="26"/>
          <w:szCs w:val="26"/>
        </w:rPr>
        <w:footnoteReference w:id="8"/>
      </w:r>
      <w:r w:rsidR="000F05EE">
        <w:rPr>
          <w:sz w:val="26"/>
          <w:szCs w:val="26"/>
        </w:rPr>
        <w:t xml:space="preserve">  </w:t>
      </w:r>
      <w:r w:rsidR="002A0A86" w:rsidRPr="00483A31">
        <w:rPr>
          <w:rFonts w:ascii="Times New Roman" w:hAnsi="Times New Roman" w:cs="Times New Roman"/>
          <w:i/>
          <w:sz w:val="26"/>
          <w:szCs w:val="26"/>
        </w:rPr>
        <w:t>Id.</w:t>
      </w:r>
      <w:r>
        <w:rPr>
          <w:rFonts w:ascii="Times New Roman" w:hAnsi="Times New Roman" w:cs="Times New Roman"/>
          <w:sz w:val="26"/>
          <w:szCs w:val="26"/>
        </w:rPr>
        <w:t xml:space="preserve"> at 17</w:t>
      </w:r>
      <w:r w:rsidR="00927024">
        <w:rPr>
          <w:rFonts w:ascii="Times New Roman" w:hAnsi="Times New Roman" w:cs="Times New Roman"/>
          <w:sz w:val="26"/>
          <w:szCs w:val="26"/>
        </w:rPr>
        <w:t xml:space="preserve"> (citing Tr. at 60-61; PECO Exh. 2)</w:t>
      </w:r>
      <w:r>
        <w:rPr>
          <w:rFonts w:ascii="Times New Roman" w:hAnsi="Times New Roman" w:cs="Times New Roman"/>
          <w:sz w:val="26"/>
          <w:szCs w:val="26"/>
        </w:rPr>
        <w:t xml:space="preserve">.  The ALJ </w:t>
      </w:r>
      <w:r w:rsidR="007812AB">
        <w:rPr>
          <w:rFonts w:ascii="Times New Roman" w:hAnsi="Times New Roman" w:cs="Times New Roman"/>
          <w:sz w:val="26"/>
          <w:szCs w:val="26"/>
        </w:rPr>
        <w:t xml:space="preserve">also noted </w:t>
      </w:r>
      <w:r>
        <w:rPr>
          <w:rFonts w:ascii="Times New Roman" w:hAnsi="Times New Roman" w:cs="Times New Roman"/>
          <w:sz w:val="26"/>
          <w:szCs w:val="26"/>
        </w:rPr>
        <w:t xml:space="preserve">that PECO’s investigator visited the second-floor unit on two separate occasions, on February 10, 2015, and on April 16, 2015, to investigate the Complainant’s billing concerns.  According to the ALJ, </w:t>
      </w:r>
      <w:r w:rsidR="00CB2CC4">
        <w:rPr>
          <w:rFonts w:ascii="Times New Roman" w:hAnsi="Times New Roman" w:cs="Times New Roman"/>
          <w:sz w:val="26"/>
          <w:szCs w:val="26"/>
        </w:rPr>
        <w:t>the</w:t>
      </w:r>
      <w:r w:rsidR="001936B5">
        <w:rPr>
          <w:rFonts w:ascii="Times New Roman" w:hAnsi="Times New Roman" w:cs="Times New Roman"/>
          <w:sz w:val="26"/>
          <w:szCs w:val="26"/>
        </w:rPr>
        <w:t xml:space="preserve"> investigator stated that both the meter and passing load test</w:t>
      </w:r>
      <w:r w:rsidR="009967D1">
        <w:rPr>
          <w:rFonts w:ascii="Times New Roman" w:hAnsi="Times New Roman" w:cs="Times New Roman"/>
          <w:sz w:val="26"/>
          <w:szCs w:val="26"/>
        </w:rPr>
        <w:t>s</w:t>
      </w:r>
      <w:r w:rsidR="001936B5">
        <w:rPr>
          <w:rFonts w:ascii="Times New Roman" w:hAnsi="Times New Roman" w:cs="Times New Roman"/>
          <w:sz w:val="26"/>
          <w:szCs w:val="26"/>
        </w:rPr>
        <w:t xml:space="preserve"> </w:t>
      </w:r>
      <w:r w:rsidR="007812AB">
        <w:rPr>
          <w:rFonts w:ascii="Times New Roman" w:hAnsi="Times New Roman" w:cs="Times New Roman"/>
          <w:sz w:val="26"/>
          <w:szCs w:val="26"/>
        </w:rPr>
        <w:t xml:space="preserve">he conducted during the February 10, 2015 visit, </w:t>
      </w:r>
      <w:r w:rsidR="00CB2CC4">
        <w:rPr>
          <w:rFonts w:ascii="Times New Roman" w:hAnsi="Times New Roman" w:cs="Times New Roman"/>
          <w:sz w:val="26"/>
          <w:szCs w:val="26"/>
        </w:rPr>
        <w:t>revealed</w:t>
      </w:r>
      <w:r w:rsidR="001936B5">
        <w:rPr>
          <w:rFonts w:ascii="Times New Roman" w:hAnsi="Times New Roman" w:cs="Times New Roman"/>
          <w:sz w:val="26"/>
          <w:szCs w:val="26"/>
        </w:rPr>
        <w:t xml:space="preserve"> that the second-floor meter accurately recorded the Complainant’s electric usage.  For instance, when </w:t>
      </w:r>
      <w:r w:rsidR="007812AB">
        <w:rPr>
          <w:rFonts w:ascii="Times New Roman" w:hAnsi="Times New Roman" w:cs="Times New Roman"/>
          <w:sz w:val="26"/>
          <w:szCs w:val="26"/>
        </w:rPr>
        <w:t xml:space="preserve">the </w:t>
      </w:r>
      <w:r>
        <w:rPr>
          <w:rFonts w:ascii="Times New Roman" w:hAnsi="Times New Roman" w:cs="Times New Roman"/>
          <w:sz w:val="26"/>
          <w:szCs w:val="26"/>
        </w:rPr>
        <w:t>investigator shut o</w:t>
      </w:r>
      <w:r w:rsidR="007812AB">
        <w:rPr>
          <w:rFonts w:ascii="Times New Roman" w:hAnsi="Times New Roman" w:cs="Times New Roman"/>
          <w:sz w:val="26"/>
          <w:szCs w:val="26"/>
        </w:rPr>
        <w:t xml:space="preserve">ff the second-floor </w:t>
      </w:r>
      <w:r w:rsidR="009967D1">
        <w:rPr>
          <w:rFonts w:ascii="Times New Roman" w:hAnsi="Times New Roman" w:cs="Times New Roman"/>
          <w:sz w:val="26"/>
          <w:szCs w:val="26"/>
        </w:rPr>
        <w:t xml:space="preserve">unit </w:t>
      </w:r>
      <w:r w:rsidR="007812AB">
        <w:rPr>
          <w:rFonts w:ascii="Times New Roman" w:hAnsi="Times New Roman" w:cs="Times New Roman"/>
          <w:sz w:val="26"/>
          <w:szCs w:val="26"/>
        </w:rPr>
        <w:t xml:space="preserve">breaker, he </w:t>
      </w:r>
      <w:r>
        <w:rPr>
          <w:rFonts w:ascii="Times New Roman" w:hAnsi="Times New Roman" w:cs="Times New Roman"/>
          <w:sz w:val="26"/>
          <w:szCs w:val="26"/>
        </w:rPr>
        <w:t xml:space="preserve">observed that the second-floor meter stopped working but nothing happened to the first-floor meter </w:t>
      </w:r>
      <w:r w:rsidR="001936B5">
        <w:rPr>
          <w:rFonts w:ascii="Times New Roman" w:hAnsi="Times New Roman" w:cs="Times New Roman"/>
          <w:sz w:val="26"/>
          <w:szCs w:val="26"/>
        </w:rPr>
        <w:t xml:space="preserve">or the basement lights.  </w:t>
      </w:r>
      <w:r w:rsidR="009967D1">
        <w:rPr>
          <w:rFonts w:ascii="Times New Roman" w:hAnsi="Times New Roman" w:cs="Times New Roman"/>
          <w:sz w:val="26"/>
          <w:szCs w:val="26"/>
        </w:rPr>
        <w:t>Also</w:t>
      </w:r>
      <w:r w:rsidR="001936B5">
        <w:rPr>
          <w:rFonts w:ascii="Times New Roman" w:hAnsi="Times New Roman" w:cs="Times New Roman"/>
          <w:sz w:val="26"/>
          <w:szCs w:val="26"/>
        </w:rPr>
        <w:t xml:space="preserve">, when </w:t>
      </w:r>
      <w:r w:rsidR="007812AB">
        <w:rPr>
          <w:rFonts w:ascii="Times New Roman" w:hAnsi="Times New Roman" w:cs="Times New Roman"/>
          <w:sz w:val="26"/>
          <w:szCs w:val="26"/>
        </w:rPr>
        <w:t>he</w:t>
      </w:r>
      <w:r w:rsidR="001936B5">
        <w:rPr>
          <w:rFonts w:ascii="Times New Roman" w:hAnsi="Times New Roman" w:cs="Times New Roman"/>
          <w:sz w:val="26"/>
          <w:szCs w:val="26"/>
        </w:rPr>
        <w:t xml:space="preserve"> turned on the water heater on the second-floor, </w:t>
      </w:r>
      <w:r w:rsidR="007812AB">
        <w:rPr>
          <w:rFonts w:ascii="Times New Roman" w:hAnsi="Times New Roman" w:cs="Times New Roman"/>
          <w:sz w:val="26"/>
          <w:szCs w:val="26"/>
        </w:rPr>
        <w:t xml:space="preserve">the meter </w:t>
      </w:r>
      <w:r w:rsidR="001936B5">
        <w:rPr>
          <w:rFonts w:ascii="Times New Roman" w:hAnsi="Times New Roman" w:cs="Times New Roman"/>
          <w:sz w:val="26"/>
          <w:szCs w:val="26"/>
        </w:rPr>
        <w:t xml:space="preserve">accurately recorded the electricity usage.  </w:t>
      </w:r>
      <w:r w:rsidR="00927024">
        <w:rPr>
          <w:rFonts w:ascii="Times New Roman" w:hAnsi="Times New Roman" w:cs="Times New Roman"/>
          <w:sz w:val="26"/>
          <w:szCs w:val="26"/>
        </w:rPr>
        <w:t>I.D.</w:t>
      </w:r>
      <w:r w:rsidR="001936B5">
        <w:rPr>
          <w:rFonts w:ascii="Times New Roman" w:hAnsi="Times New Roman" w:cs="Times New Roman"/>
          <w:sz w:val="26"/>
          <w:szCs w:val="26"/>
        </w:rPr>
        <w:t xml:space="preserve"> at 17-18.</w:t>
      </w:r>
      <w:r w:rsidR="004735E2">
        <w:rPr>
          <w:rFonts w:ascii="Times New Roman" w:hAnsi="Times New Roman" w:cs="Times New Roman"/>
          <w:sz w:val="26"/>
          <w:szCs w:val="26"/>
        </w:rPr>
        <w:t xml:space="preserve"> </w:t>
      </w:r>
    </w:p>
    <w:p w:rsidR="004735E2" w:rsidRDefault="004735E2" w:rsidP="002143F6">
      <w:pPr>
        <w:pStyle w:val="ParaTab1"/>
        <w:spacing w:line="360" w:lineRule="auto"/>
        <w:ind w:firstLine="0"/>
        <w:rPr>
          <w:rFonts w:ascii="Times New Roman" w:hAnsi="Times New Roman" w:cs="Times New Roman"/>
          <w:sz w:val="26"/>
          <w:szCs w:val="26"/>
        </w:rPr>
      </w:pPr>
    </w:p>
    <w:p w:rsidR="004735E2" w:rsidRDefault="004735E2" w:rsidP="002143F6">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9253AC">
        <w:rPr>
          <w:rFonts w:ascii="Times New Roman" w:hAnsi="Times New Roman" w:cs="Times New Roman"/>
          <w:sz w:val="26"/>
          <w:szCs w:val="26"/>
        </w:rPr>
        <w:t xml:space="preserve">The ALJ further stated that PECO’s investigator testified that during his </w:t>
      </w:r>
      <w:r>
        <w:rPr>
          <w:rFonts w:ascii="Times New Roman" w:hAnsi="Times New Roman" w:cs="Times New Roman"/>
          <w:sz w:val="26"/>
          <w:szCs w:val="26"/>
        </w:rPr>
        <w:t xml:space="preserve">second </w:t>
      </w:r>
      <w:r w:rsidR="009253AC">
        <w:rPr>
          <w:rFonts w:ascii="Times New Roman" w:hAnsi="Times New Roman" w:cs="Times New Roman"/>
          <w:sz w:val="26"/>
          <w:szCs w:val="26"/>
        </w:rPr>
        <w:t xml:space="preserve">visit to the Service Address on April 16, 2015, the appliance analysis he </w:t>
      </w:r>
      <w:r>
        <w:rPr>
          <w:rFonts w:ascii="Times New Roman" w:hAnsi="Times New Roman" w:cs="Times New Roman"/>
          <w:sz w:val="26"/>
          <w:szCs w:val="26"/>
        </w:rPr>
        <w:t>conducted on</w:t>
      </w:r>
      <w:r w:rsidR="009253AC">
        <w:rPr>
          <w:rFonts w:ascii="Times New Roman" w:hAnsi="Times New Roman" w:cs="Times New Roman"/>
          <w:sz w:val="26"/>
          <w:szCs w:val="26"/>
        </w:rPr>
        <w:t xml:space="preserve"> the second-floor unit showed that the Complainant has a potential for winter usage totaling 4,502 kwh per month</w:t>
      </w:r>
      <w:r w:rsidR="00BA2DB3">
        <w:rPr>
          <w:rFonts w:ascii="Times New Roman" w:hAnsi="Times New Roman" w:cs="Times New Roman"/>
          <w:sz w:val="26"/>
          <w:szCs w:val="26"/>
        </w:rPr>
        <w:t>.</w:t>
      </w:r>
      <w:r w:rsidR="00BA081B">
        <w:rPr>
          <w:rStyle w:val="FootnoteReference"/>
          <w:rFonts w:ascii="Times New Roman" w:hAnsi="Times New Roman" w:cs="Times New Roman"/>
          <w:sz w:val="26"/>
          <w:szCs w:val="26"/>
        </w:rPr>
        <w:footnoteReference w:id="9"/>
      </w:r>
      <w:r w:rsidR="00BA2DB3">
        <w:rPr>
          <w:rFonts w:ascii="Times New Roman" w:hAnsi="Times New Roman" w:cs="Times New Roman"/>
          <w:sz w:val="26"/>
          <w:szCs w:val="26"/>
        </w:rPr>
        <w:t xml:space="preserve">  According to the investigator, this analysis supported the amount of usage PECO billed the Complainant.</w:t>
      </w:r>
      <w:r>
        <w:rPr>
          <w:rFonts w:ascii="Times New Roman" w:hAnsi="Times New Roman" w:cs="Times New Roman"/>
          <w:sz w:val="26"/>
          <w:szCs w:val="26"/>
        </w:rPr>
        <w:t xml:space="preserve">  </w:t>
      </w:r>
      <w:r w:rsidRPr="004735E2">
        <w:rPr>
          <w:rFonts w:ascii="Times New Roman" w:hAnsi="Times New Roman" w:cs="Times New Roman"/>
          <w:i/>
          <w:sz w:val="26"/>
          <w:szCs w:val="26"/>
        </w:rPr>
        <w:t>Id.</w:t>
      </w:r>
      <w:r>
        <w:rPr>
          <w:rFonts w:ascii="Times New Roman" w:hAnsi="Times New Roman" w:cs="Times New Roman"/>
          <w:sz w:val="26"/>
          <w:szCs w:val="26"/>
        </w:rPr>
        <w:t xml:space="preserve"> at 18.  Furthermore, the ALJ noted that </w:t>
      </w:r>
      <w:r w:rsidR="00EE4B1B">
        <w:rPr>
          <w:rFonts w:ascii="Times New Roman" w:hAnsi="Times New Roman" w:cs="Times New Roman"/>
          <w:sz w:val="26"/>
          <w:szCs w:val="26"/>
        </w:rPr>
        <w:t xml:space="preserve">a </w:t>
      </w:r>
      <w:r>
        <w:rPr>
          <w:rFonts w:ascii="Times New Roman" w:hAnsi="Times New Roman" w:cs="Times New Roman"/>
          <w:sz w:val="26"/>
          <w:szCs w:val="26"/>
        </w:rPr>
        <w:t xml:space="preserve">similar passing load test conducted on the water heater on the second visit also </w:t>
      </w:r>
      <w:r w:rsidR="00B9671E">
        <w:rPr>
          <w:rFonts w:ascii="Times New Roman" w:hAnsi="Times New Roman" w:cs="Times New Roman"/>
          <w:sz w:val="26"/>
          <w:szCs w:val="26"/>
        </w:rPr>
        <w:t>showed</w:t>
      </w:r>
      <w:r>
        <w:rPr>
          <w:rFonts w:ascii="Times New Roman" w:hAnsi="Times New Roman" w:cs="Times New Roman"/>
          <w:sz w:val="26"/>
          <w:szCs w:val="26"/>
        </w:rPr>
        <w:t xml:space="preserve"> that the second-floor meter was accurately reading the Complainant’s usage.  According to the ALJ, the investigator believed the Complainant’s water heater </w:t>
      </w:r>
      <w:r w:rsidR="001720EE">
        <w:rPr>
          <w:rFonts w:ascii="Times New Roman" w:hAnsi="Times New Roman" w:cs="Times New Roman"/>
          <w:sz w:val="26"/>
          <w:szCs w:val="26"/>
        </w:rPr>
        <w:t>has the potential to</w:t>
      </w:r>
      <w:r w:rsidR="00404147">
        <w:rPr>
          <w:rFonts w:ascii="Times New Roman" w:hAnsi="Times New Roman" w:cs="Times New Roman"/>
          <w:sz w:val="26"/>
          <w:szCs w:val="26"/>
        </w:rPr>
        <w:t xml:space="preserve"> use</w:t>
      </w:r>
      <w:r>
        <w:rPr>
          <w:rFonts w:ascii="Times New Roman" w:hAnsi="Times New Roman" w:cs="Times New Roman"/>
          <w:sz w:val="26"/>
          <w:szCs w:val="26"/>
        </w:rPr>
        <w:t xml:space="preserve"> more k</w:t>
      </w:r>
      <w:r w:rsidR="00B73748">
        <w:rPr>
          <w:rFonts w:ascii="Times New Roman" w:hAnsi="Times New Roman" w:cs="Times New Roman"/>
          <w:sz w:val="26"/>
          <w:szCs w:val="26"/>
        </w:rPr>
        <w:t>W</w:t>
      </w:r>
      <w:r>
        <w:rPr>
          <w:rFonts w:ascii="Times New Roman" w:hAnsi="Times New Roman" w:cs="Times New Roman"/>
          <w:sz w:val="26"/>
          <w:szCs w:val="26"/>
        </w:rPr>
        <w:t xml:space="preserve">h than is stated on the appliance due to the cold temperature in the basement where it is located. </w:t>
      </w:r>
      <w:r w:rsidRPr="004735E2">
        <w:rPr>
          <w:rFonts w:ascii="Times New Roman" w:hAnsi="Times New Roman" w:cs="Times New Roman"/>
          <w:i/>
          <w:sz w:val="26"/>
          <w:szCs w:val="26"/>
        </w:rPr>
        <w:t>Id.</w:t>
      </w:r>
      <w:r>
        <w:rPr>
          <w:rFonts w:ascii="Times New Roman" w:hAnsi="Times New Roman" w:cs="Times New Roman"/>
          <w:sz w:val="26"/>
          <w:szCs w:val="26"/>
        </w:rPr>
        <w:t xml:space="preserve"> at 18-19.  </w:t>
      </w:r>
    </w:p>
    <w:p w:rsidR="00966D1F" w:rsidRDefault="00966D1F" w:rsidP="002143F6">
      <w:pPr>
        <w:pStyle w:val="ParaTab1"/>
        <w:spacing w:line="360" w:lineRule="auto"/>
        <w:ind w:firstLine="0"/>
        <w:rPr>
          <w:rFonts w:ascii="Times New Roman" w:hAnsi="Times New Roman" w:cs="Times New Roman"/>
          <w:sz w:val="26"/>
          <w:szCs w:val="26"/>
        </w:rPr>
      </w:pPr>
    </w:p>
    <w:p w:rsidR="00966D1F" w:rsidRDefault="00966D1F" w:rsidP="00421080">
      <w:pPr>
        <w:pStyle w:val="ParaTab1"/>
        <w:keepLines/>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215537">
        <w:rPr>
          <w:rFonts w:ascii="Times New Roman" w:hAnsi="Times New Roman" w:cs="Times New Roman"/>
          <w:sz w:val="26"/>
          <w:szCs w:val="26"/>
        </w:rPr>
        <w:t>The</w:t>
      </w:r>
      <w:r w:rsidRPr="00966D1F">
        <w:rPr>
          <w:rFonts w:ascii="Times New Roman" w:hAnsi="Times New Roman" w:cs="Times New Roman"/>
          <w:sz w:val="26"/>
          <w:szCs w:val="26"/>
        </w:rPr>
        <w:t xml:space="preserve"> ALJ</w:t>
      </w:r>
      <w:r w:rsidR="00716A1A">
        <w:rPr>
          <w:rFonts w:ascii="Times New Roman" w:hAnsi="Times New Roman" w:cs="Times New Roman"/>
          <w:sz w:val="26"/>
          <w:szCs w:val="26"/>
        </w:rPr>
        <w:t xml:space="preserve"> stated</w:t>
      </w:r>
      <w:r w:rsidRPr="00966D1F">
        <w:rPr>
          <w:rFonts w:ascii="Times New Roman" w:hAnsi="Times New Roman" w:cs="Times New Roman"/>
          <w:sz w:val="26"/>
          <w:szCs w:val="26"/>
        </w:rPr>
        <w:t xml:space="preserve"> that </w:t>
      </w:r>
      <w:r w:rsidRPr="00966D1F">
        <w:rPr>
          <w:rFonts w:ascii="Times New Roman" w:hAnsi="Times New Roman" w:cs="Times New Roman"/>
          <w:spacing w:val="-3"/>
          <w:sz w:val="26"/>
          <w:szCs w:val="26"/>
        </w:rPr>
        <w:t>although the Complainant believed PECO overbilled her for usage at the second-floor unit because of her limited time at home and frug</w:t>
      </w:r>
      <w:r w:rsidR="008C2F45">
        <w:rPr>
          <w:rFonts w:ascii="Times New Roman" w:hAnsi="Times New Roman" w:cs="Times New Roman"/>
          <w:spacing w:val="-3"/>
          <w:sz w:val="26"/>
          <w:szCs w:val="26"/>
        </w:rPr>
        <w:t xml:space="preserve">al electricity usage when she </w:t>
      </w:r>
      <w:r w:rsidR="004A7A59">
        <w:rPr>
          <w:rFonts w:ascii="Times New Roman" w:hAnsi="Times New Roman" w:cs="Times New Roman"/>
          <w:spacing w:val="-3"/>
          <w:sz w:val="26"/>
          <w:szCs w:val="26"/>
        </w:rPr>
        <w:t xml:space="preserve">is at </w:t>
      </w:r>
      <w:r w:rsidRPr="00966D1F">
        <w:rPr>
          <w:rFonts w:ascii="Times New Roman" w:hAnsi="Times New Roman" w:cs="Times New Roman"/>
          <w:spacing w:val="-3"/>
          <w:sz w:val="26"/>
          <w:szCs w:val="26"/>
        </w:rPr>
        <w:t xml:space="preserve">home, PECO demonstrated that the Complainant’s meter was accurately recording her usage.  The ALJ further </w:t>
      </w:r>
      <w:r w:rsidR="00827BAF">
        <w:rPr>
          <w:rFonts w:ascii="Times New Roman" w:hAnsi="Times New Roman" w:cs="Times New Roman"/>
          <w:spacing w:val="-3"/>
          <w:sz w:val="26"/>
          <w:szCs w:val="26"/>
        </w:rPr>
        <w:t>reasoned</w:t>
      </w:r>
      <w:r w:rsidRPr="00966D1F">
        <w:rPr>
          <w:rFonts w:ascii="Times New Roman" w:hAnsi="Times New Roman" w:cs="Times New Roman"/>
          <w:spacing w:val="-3"/>
          <w:sz w:val="26"/>
          <w:szCs w:val="26"/>
        </w:rPr>
        <w:t xml:space="preserve"> that PECO demonstrated it never billed the Complainant for more usage than she had the potential to u</w:t>
      </w:r>
      <w:r w:rsidR="008C2F45">
        <w:rPr>
          <w:rFonts w:ascii="Times New Roman" w:hAnsi="Times New Roman" w:cs="Times New Roman"/>
          <w:spacing w:val="-3"/>
          <w:sz w:val="26"/>
          <w:szCs w:val="26"/>
        </w:rPr>
        <w:t xml:space="preserve">se.  </w:t>
      </w:r>
      <w:r w:rsidR="00716A1A">
        <w:rPr>
          <w:rFonts w:ascii="Times New Roman" w:hAnsi="Times New Roman" w:cs="Times New Roman"/>
          <w:spacing w:val="-3"/>
          <w:sz w:val="26"/>
          <w:szCs w:val="26"/>
        </w:rPr>
        <w:t>Therefore</w:t>
      </w:r>
      <w:r w:rsidR="008C2F45">
        <w:rPr>
          <w:rFonts w:ascii="Times New Roman" w:hAnsi="Times New Roman" w:cs="Times New Roman"/>
          <w:spacing w:val="-3"/>
          <w:sz w:val="26"/>
          <w:szCs w:val="26"/>
        </w:rPr>
        <w:t>, the ALJ concluded that because</w:t>
      </w:r>
      <w:r w:rsidRPr="00966D1F">
        <w:rPr>
          <w:rFonts w:ascii="Times New Roman" w:hAnsi="Times New Roman" w:cs="Times New Roman"/>
          <w:spacing w:val="-3"/>
          <w:sz w:val="26"/>
          <w:szCs w:val="26"/>
        </w:rPr>
        <w:t xml:space="preserve"> the Complainant did not offer anything to rebut PECO’s testimony, </w:t>
      </w:r>
      <w:r w:rsidR="009E5C96">
        <w:rPr>
          <w:rFonts w:ascii="Times New Roman" w:hAnsi="Times New Roman" w:cs="Times New Roman"/>
          <w:spacing w:val="-3"/>
          <w:sz w:val="26"/>
          <w:szCs w:val="26"/>
        </w:rPr>
        <w:t xml:space="preserve">she </w:t>
      </w:r>
      <w:r w:rsidRPr="00966D1F">
        <w:rPr>
          <w:rFonts w:ascii="Times New Roman" w:hAnsi="Times New Roman" w:cs="Times New Roman"/>
          <w:spacing w:val="-3"/>
          <w:sz w:val="26"/>
          <w:szCs w:val="26"/>
        </w:rPr>
        <w:t xml:space="preserve">failed to meet her burden of demonstrating that her bills for the second-floor unit were incorrect.  </w:t>
      </w:r>
      <w:r w:rsidRPr="004735E2">
        <w:rPr>
          <w:rFonts w:ascii="Times New Roman" w:hAnsi="Times New Roman" w:cs="Times New Roman"/>
          <w:i/>
          <w:sz w:val="26"/>
          <w:szCs w:val="26"/>
        </w:rPr>
        <w:t>Id.</w:t>
      </w:r>
      <w:r w:rsidR="006259B3">
        <w:rPr>
          <w:rFonts w:ascii="Times New Roman" w:hAnsi="Times New Roman" w:cs="Times New Roman"/>
          <w:sz w:val="26"/>
          <w:szCs w:val="26"/>
        </w:rPr>
        <w:t xml:space="preserve"> at 19.</w:t>
      </w:r>
    </w:p>
    <w:p w:rsidR="00966D1F" w:rsidRDefault="00966D1F" w:rsidP="002143F6">
      <w:pPr>
        <w:pStyle w:val="ParaTab1"/>
        <w:spacing w:line="360" w:lineRule="auto"/>
        <w:ind w:firstLine="0"/>
        <w:rPr>
          <w:rFonts w:ascii="Times New Roman" w:hAnsi="Times New Roman" w:cs="Times New Roman"/>
          <w:spacing w:val="-3"/>
          <w:sz w:val="26"/>
          <w:szCs w:val="26"/>
        </w:rPr>
      </w:pPr>
    </w:p>
    <w:p w:rsidR="00BA2A57" w:rsidRPr="000660A5" w:rsidRDefault="00BA2A57" w:rsidP="002143F6">
      <w:pPr>
        <w:widowControl/>
        <w:spacing w:line="360" w:lineRule="auto"/>
        <w:ind w:firstLine="1440"/>
        <w:rPr>
          <w:sz w:val="26"/>
          <w:szCs w:val="26"/>
        </w:rPr>
      </w:pPr>
      <w:r>
        <w:rPr>
          <w:spacing w:val="-3"/>
          <w:sz w:val="26"/>
          <w:szCs w:val="26"/>
        </w:rPr>
        <w:t xml:space="preserve">Regarding the Complainant’s </w:t>
      </w:r>
      <w:r w:rsidR="00C22ED9">
        <w:rPr>
          <w:spacing w:val="-3"/>
          <w:sz w:val="26"/>
          <w:szCs w:val="26"/>
        </w:rPr>
        <w:t xml:space="preserve">inadequate service </w:t>
      </w:r>
      <w:r>
        <w:rPr>
          <w:spacing w:val="-3"/>
          <w:sz w:val="26"/>
          <w:szCs w:val="26"/>
        </w:rPr>
        <w:t xml:space="preserve">claim </w:t>
      </w:r>
      <w:r w:rsidR="00C22ED9">
        <w:rPr>
          <w:spacing w:val="-3"/>
          <w:sz w:val="26"/>
          <w:szCs w:val="26"/>
        </w:rPr>
        <w:t xml:space="preserve">alleging </w:t>
      </w:r>
      <w:r>
        <w:rPr>
          <w:spacing w:val="-3"/>
          <w:sz w:val="26"/>
          <w:szCs w:val="26"/>
        </w:rPr>
        <w:t xml:space="preserve">that PECO’s investigator failed to fully and properly investigate her high bill and foreign load concerns when </w:t>
      </w:r>
      <w:r w:rsidR="00C22ED9">
        <w:rPr>
          <w:spacing w:val="-3"/>
          <w:sz w:val="26"/>
          <w:szCs w:val="26"/>
        </w:rPr>
        <w:t xml:space="preserve">he </w:t>
      </w:r>
      <w:r>
        <w:rPr>
          <w:spacing w:val="-3"/>
          <w:sz w:val="26"/>
          <w:szCs w:val="26"/>
        </w:rPr>
        <w:t xml:space="preserve">visited the Service Address, the ALJ noted that while the Company is not required to provide a constantly flawless service, Section </w:t>
      </w:r>
      <w:r w:rsidR="00C57084">
        <w:rPr>
          <w:spacing w:val="-3"/>
          <w:sz w:val="26"/>
          <w:szCs w:val="26"/>
        </w:rPr>
        <w:t>1501 of the Code</w:t>
      </w:r>
      <w:r w:rsidR="00716A1A">
        <w:rPr>
          <w:spacing w:val="-3"/>
          <w:sz w:val="26"/>
          <w:szCs w:val="26"/>
        </w:rPr>
        <w:t xml:space="preserve">, </w:t>
      </w:r>
      <w:r w:rsidR="00716A1A">
        <w:rPr>
          <w:snapToGrid w:val="0"/>
          <w:spacing w:val="-3"/>
          <w:sz w:val="26"/>
          <w:szCs w:val="26"/>
        </w:rPr>
        <w:t>66 Pa. C.S. § 1501,</w:t>
      </w:r>
      <w:r w:rsidR="008D7567">
        <w:rPr>
          <w:spacing w:val="-3"/>
          <w:sz w:val="26"/>
          <w:szCs w:val="26"/>
        </w:rPr>
        <w:t xml:space="preserve"> and Commission</w:t>
      </w:r>
      <w:r w:rsidR="00C57084">
        <w:rPr>
          <w:spacing w:val="-3"/>
          <w:sz w:val="26"/>
          <w:szCs w:val="26"/>
        </w:rPr>
        <w:t xml:space="preserve"> Regulations require</w:t>
      </w:r>
      <w:r>
        <w:rPr>
          <w:spacing w:val="-3"/>
          <w:sz w:val="26"/>
          <w:szCs w:val="26"/>
        </w:rPr>
        <w:t xml:space="preserve"> that PECO provide its customers with adequate, safe and reasonable </w:t>
      </w:r>
      <w:r w:rsidR="00C57084">
        <w:rPr>
          <w:spacing w:val="-3"/>
          <w:sz w:val="26"/>
          <w:szCs w:val="26"/>
        </w:rPr>
        <w:t xml:space="preserve">service.  </w:t>
      </w:r>
      <w:r w:rsidR="00C57084" w:rsidRPr="00C57084">
        <w:rPr>
          <w:i/>
          <w:spacing w:val="-3"/>
          <w:sz w:val="26"/>
          <w:szCs w:val="26"/>
        </w:rPr>
        <w:t>Id.</w:t>
      </w:r>
      <w:r w:rsidR="00C57084" w:rsidRPr="00C57084">
        <w:rPr>
          <w:i/>
          <w:sz w:val="26"/>
          <w:szCs w:val="26"/>
        </w:rPr>
        <w:t xml:space="preserve">  </w:t>
      </w:r>
      <w:r w:rsidRPr="000660A5">
        <w:rPr>
          <w:sz w:val="26"/>
          <w:szCs w:val="26"/>
        </w:rPr>
        <w:t>The ALJ, however, cited to the Commonwealth Court’s interpretation of Section 1501 in</w:t>
      </w:r>
      <w:r w:rsidRPr="000660A5">
        <w:rPr>
          <w:i/>
          <w:sz w:val="26"/>
          <w:szCs w:val="26"/>
        </w:rPr>
        <w:t xml:space="preserve"> West Penn Power Co. v. Pa. </w:t>
      </w:r>
      <w:r w:rsidR="00B73748">
        <w:rPr>
          <w:i/>
          <w:sz w:val="26"/>
          <w:szCs w:val="26"/>
        </w:rPr>
        <w:t>PUC</w:t>
      </w:r>
      <w:r w:rsidRPr="000660A5">
        <w:rPr>
          <w:sz w:val="26"/>
          <w:szCs w:val="26"/>
        </w:rPr>
        <w:t>, 478 A.2d 947 (</w:t>
      </w:r>
      <w:r w:rsidRPr="000660A5">
        <w:rPr>
          <w:spacing w:val="-3"/>
          <w:sz w:val="26"/>
          <w:szCs w:val="26"/>
        </w:rPr>
        <w:t>Pa. Cmwlth.</w:t>
      </w:r>
      <w:r w:rsidRPr="000660A5">
        <w:rPr>
          <w:sz w:val="26"/>
          <w:szCs w:val="26"/>
        </w:rPr>
        <w:t xml:space="preserve"> 1984), in which the Commonwealth Court stated:</w:t>
      </w:r>
    </w:p>
    <w:p w:rsidR="00BA2A57" w:rsidRPr="000660A5" w:rsidRDefault="00BA2A57" w:rsidP="002143F6">
      <w:pPr>
        <w:widowControl/>
        <w:spacing w:line="360" w:lineRule="auto"/>
        <w:ind w:firstLine="1440"/>
        <w:rPr>
          <w:sz w:val="26"/>
          <w:szCs w:val="26"/>
        </w:rPr>
      </w:pPr>
    </w:p>
    <w:p w:rsidR="00BA2A57" w:rsidRDefault="00BA2A57" w:rsidP="002143F6">
      <w:pPr>
        <w:widowControl/>
        <w:ind w:left="1440" w:right="1440"/>
        <w:rPr>
          <w:sz w:val="26"/>
          <w:szCs w:val="26"/>
        </w:rPr>
      </w:pPr>
      <w:r w:rsidRPr="000660A5">
        <w:rPr>
          <w:sz w:val="26"/>
          <w:szCs w:val="26"/>
        </w:rPr>
        <w:t>We hold that in order for the PUC to sustain a complaint brought under this section, the utility must be in violation of its duty under this section.  Without such a violation by the utility, the PUC does not have the authority, when acting on a customer’s complaint, to require any action by the utility.  (footnote omitted).</w:t>
      </w:r>
    </w:p>
    <w:p w:rsidR="00030DBB" w:rsidRDefault="00030DBB" w:rsidP="002143F6">
      <w:pPr>
        <w:widowControl/>
        <w:ind w:left="1440" w:right="1440"/>
        <w:rPr>
          <w:sz w:val="26"/>
          <w:szCs w:val="26"/>
        </w:rPr>
      </w:pPr>
    </w:p>
    <w:p w:rsidR="00030DBB" w:rsidRPr="000660A5" w:rsidRDefault="00030DBB" w:rsidP="002143F6">
      <w:pPr>
        <w:widowControl/>
        <w:ind w:left="1440" w:right="1440"/>
        <w:rPr>
          <w:sz w:val="26"/>
          <w:szCs w:val="26"/>
        </w:rPr>
      </w:pPr>
    </w:p>
    <w:p w:rsidR="009D6259" w:rsidRDefault="000660A5" w:rsidP="002143F6">
      <w:pPr>
        <w:widowControl/>
        <w:spacing w:line="360" w:lineRule="auto"/>
        <w:rPr>
          <w:sz w:val="26"/>
          <w:szCs w:val="26"/>
        </w:rPr>
      </w:pPr>
      <w:r w:rsidRPr="009F5539">
        <w:rPr>
          <w:spacing w:val="-3"/>
          <w:sz w:val="26"/>
          <w:szCs w:val="26"/>
        </w:rPr>
        <w:t xml:space="preserve">I.D. at 20 (citing to </w:t>
      </w:r>
      <w:r w:rsidRPr="009F5539">
        <w:rPr>
          <w:sz w:val="26"/>
          <w:szCs w:val="26"/>
        </w:rPr>
        <w:t>478 A.2d at 949).</w:t>
      </w:r>
      <w:r w:rsidR="009F5539" w:rsidRPr="009F5539">
        <w:rPr>
          <w:sz w:val="26"/>
          <w:szCs w:val="26"/>
        </w:rPr>
        <w:t xml:space="preserve">  </w:t>
      </w:r>
      <w:r w:rsidRPr="009F5539">
        <w:rPr>
          <w:sz w:val="26"/>
          <w:szCs w:val="26"/>
        </w:rPr>
        <w:t>According to the ALJ, the statutory definition of “service” is to be broadly construed</w:t>
      </w:r>
      <w:r w:rsidR="009D6259">
        <w:rPr>
          <w:sz w:val="26"/>
          <w:szCs w:val="26"/>
        </w:rPr>
        <w:t>:</w:t>
      </w:r>
      <w:r w:rsidRPr="009F5539">
        <w:rPr>
          <w:sz w:val="26"/>
          <w:szCs w:val="26"/>
        </w:rPr>
        <w:t xml:space="preserve"> </w:t>
      </w:r>
    </w:p>
    <w:p w:rsidR="009D6259" w:rsidRDefault="009D6259" w:rsidP="002143F6">
      <w:pPr>
        <w:widowControl/>
        <w:spacing w:line="360" w:lineRule="auto"/>
        <w:rPr>
          <w:sz w:val="26"/>
          <w:szCs w:val="26"/>
        </w:rPr>
      </w:pPr>
    </w:p>
    <w:p w:rsidR="009D6259" w:rsidRDefault="009D6259" w:rsidP="009D6259">
      <w:pPr>
        <w:ind w:left="1440" w:right="1440"/>
      </w:pPr>
      <w:r w:rsidRPr="00030DBB">
        <w:rPr>
          <w:sz w:val="26"/>
          <w:szCs w:val="26"/>
        </w:rPr>
        <w:t>“</w:t>
      </w:r>
      <w:r>
        <w:rPr>
          <w:sz w:val="26"/>
          <w:szCs w:val="26"/>
        </w:rPr>
        <w:t>S</w:t>
      </w:r>
      <w:r w:rsidRPr="00030DBB">
        <w:rPr>
          <w:sz w:val="26"/>
          <w:szCs w:val="26"/>
        </w:rPr>
        <w:t>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w:t>
      </w:r>
      <w:r w:rsidRPr="009F5539">
        <w:rPr>
          <w:sz w:val="26"/>
          <w:szCs w:val="26"/>
        </w:rPr>
        <w:t xml:space="preserve"> their duties under this part to their patrons, employees, other public utilities, and the public, as well as the interchange of facilities between two or more of them . . .  66 Pa. C.S. § 102.</w:t>
      </w:r>
    </w:p>
    <w:p w:rsidR="009D6259" w:rsidRDefault="009D6259" w:rsidP="002143F6">
      <w:pPr>
        <w:widowControl/>
        <w:spacing w:line="360" w:lineRule="auto"/>
        <w:rPr>
          <w:sz w:val="26"/>
          <w:szCs w:val="26"/>
        </w:rPr>
      </w:pPr>
    </w:p>
    <w:p w:rsidR="00966D1F" w:rsidRDefault="009F5539" w:rsidP="002143F6">
      <w:pPr>
        <w:widowControl/>
        <w:spacing w:line="360" w:lineRule="auto"/>
        <w:rPr>
          <w:sz w:val="26"/>
          <w:szCs w:val="26"/>
        </w:rPr>
      </w:pPr>
      <w:r>
        <w:rPr>
          <w:sz w:val="26"/>
          <w:szCs w:val="26"/>
        </w:rPr>
        <w:t xml:space="preserve">I.D. at 20 (citing </w:t>
      </w:r>
      <w:r w:rsidR="000660A5" w:rsidRPr="009F5539">
        <w:rPr>
          <w:i/>
          <w:sz w:val="26"/>
          <w:szCs w:val="26"/>
        </w:rPr>
        <w:t xml:space="preserve">Country Place Waste Treatment Co., Inc. v. Pa. </w:t>
      </w:r>
      <w:r w:rsidR="00B73748">
        <w:rPr>
          <w:i/>
          <w:sz w:val="26"/>
          <w:szCs w:val="26"/>
        </w:rPr>
        <w:t>PUC</w:t>
      </w:r>
      <w:r w:rsidR="000660A5" w:rsidRPr="009F5539">
        <w:rPr>
          <w:i/>
          <w:sz w:val="26"/>
          <w:szCs w:val="26"/>
        </w:rPr>
        <w:t xml:space="preserve">, </w:t>
      </w:r>
      <w:r w:rsidR="000660A5" w:rsidRPr="009F5539">
        <w:rPr>
          <w:sz w:val="26"/>
          <w:szCs w:val="26"/>
        </w:rPr>
        <w:t>654 A.2d 72 (Pa. Cmwlth. 1995)</w:t>
      </w:r>
      <w:r>
        <w:rPr>
          <w:sz w:val="26"/>
          <w:szCs w:val="26"/>
        </w:rPr>
        <w:t>)</w:t>
      </w:r>
      <w:r w:rsidR="000660A5" w:rsidRPr="009F5539">
        <w:rPr>
          <w:sz w:val="26"/>
          <w:szCs w:val="26"/>
        </w:rPr>
        <w:t>.</w:t>
      </w:r>
      <w:r w:rsidR="00C57084">
        <w:rPr>
          <w:sz w:val="26"/>
          <w:szCs w:val="26"/>
        </w:rPr>
        <w:t xml:space="preserve">  </w:t>
      </w:r>
      <w:r w:rsidR="00DA0DED">
        <w:rPr>
          <w:sz w:val="26"/>
          <w:szCs w:val="26"/>
        </w:rPr>
        <w:t>Therefore</w:t>
      </w:r>
      <w:r w:rsidR="00C57084">
        <w:rPr>
          <w:sz w:val="26"/>
          <w:szCs w:val="26"/>
        </w:rPr>
        <w:t>, i</w:t>
      </w:r>
      <w:r>
        <w:rPr>
          <w:sz w:val="26"/>
          <w:szCs w:val="26"/>
        </w:rPr>
        <w:t>n assessing whether PECO’s actions in this case constitute inadequate service that viola</w:t>
      </w:r>
      <w:r w:rsidR="00592710">
        <w:rPr>
          <w:sz w:val="26"/>
          <w:szCs w:val="26"/>
        </w:rPr>
        <w:t>tes the Code, the ALJ determined</w:t>
      </w:r>
      <w:r>
        <w:rPr>
          <w:sz w:val="26"/>
          <w:szCs w:val="26"/>
        </w:rPr>
        <w:t xml:space="preserve"> that while the Complainant may be dissatisfied </w:t>
      </w:r>
      <w:r w:rsidR="00FA41D1">
        <w:rPr>
          <w:sz w:val="26"/>
          <w:szCs w:val="26"/>
        </w:rPr>
        <w:t xml:space="preserve">because </w:t>
      </w:r>
      <w:r w:rsidR="00673932">
        <w:rPr>
          <w:sz w:val="26"/>
          <w:szCs w:val="26"/>
        </w:rPr>
        <w:t>PECO’s investigations failed to result in the re</w:t>
      </w:r>
      <w:r w:rsidR="00673932" w:rsidRPr="00FA41D1">
        <w:rPr>
          <w:sz w:val="26"/>
          <w:szCs w:val="26"/>
        </w:rPr>
        <w:t xml:space="preserve">duced bill she had hoped for, </w:t>
      </w:r>
      <w:r w:rsidR="008D7567">
        <w:rPr>
          <w:sz w:val="26"/>
          <w:szCs w:val="26"/>
        </w:rPr>
        <w:t>PECO’s actions</w:t>
      </w:r>
      <w:r w:rsidR="00673932" w:rsidRPr="00FA41D1">
        <w:rPr>
          <w:sz w:val="26"/>
          <w:szCs w:val="26"/>
        </w:rPr>
        <w:t xml:space="preserve"> did not amount to unreasonable service.</w:t>
      </w:r>
      <w:r w:rsidR="006F2940" w:rsidRPr="00FA41D1">
        <w:rPr>
          <w:rStyle w:val="FootnoteReference"/>
          <w:sz w:val="26"/>
          <w:szCs w:val="26"/>
        </w:rPr>
        <w:footnoteReference w:id="10"/>
      </w:r>
      <w:r w:rsidR="00673932" w:rsidRPr="00FA41D1">
        <w:rPr>
          <w:sz w:val="26"/>
          <w:szCs w:val="26"/>
        </w:rPr>
        <w:t xml:space="preserve">  </w:t>
      </w:r>
      <w:r w:rsidR="00FA41D1">
        <w:rPr>
          <w:sz w:val="26"/>
          <w:szCs w:val="26"/>
        </w:rPr>
        <w:t xml:space="preserve">I.D. </w:t>
      </w:r>
      <w:r w:rsidR="00673932">
        <w:rPr>
          <w:sz w:val="26"/>
          <w:szCs w:val="26"/>
        </w:rPr>
        <w:t>at 20-21.</w:t>
      </w:r>
    </w:p>
    <w:p w:rsidR="00DA0DED" w:rsidRDefault="00DA0DED" w:rsidP="002143F6">
      <w:pPr>
        <w:pStyle w:val="FootnoteText"/>
        <w:widowControl/>
        <w:spacing w:line="360" w:lineRule="auto"/>
        <w:ind w:firstLine="1440"/>
        <w:rPr>
          <w:sz w:val="26"/>
          <w:szCs w:val="26"/>
        </w:rPr>
      </w:pPr>
    </w:p>
    <w:p w:rsidR="002C4894" w:rsidRDefault="00763881" w:rsidP="002143F6">
      <w:pPr>
        <w:pStyle w:val="ParaTab1"/>
        <w:tabs>
          <w:tab w:val="clear" w:pos="-720"/>
          <w:tab w:val="left" w:pos="0"/>
        </w:tabs>
        <w:spacing w:line="360" w:lineRule="auto"/>
        <w:ind w:firstLine="0"/>
        <w:rPr>
          <w:sz w:val="26"/>
          <w:szCs w:val="26"/>
        </w:rPr>
      </w:pPr>
      <w:r>
        <w:rPr>
          <w:sz w:val="26"/>
          <w:szCs w:val="26"/>
        </w:rPr>
        <w:tab/>
      </w:r>
      <w:r>
        <w:rPr>
          <w:sz w:val="26"/>
          <w:szCs w:val="26"/>
        </w:rPr>
        <w:tab/>
      </w:r>
      <w:r w:rsidRPr="002C4894">
        <w:rPr>
          <w:rFonts w:ascii="Times New Roman" w:hAnsi="Times New Roman" w:cs="Times New Roman"/>
          <w:sz w:val="26"/>
          <w:szCs w:val="26"/>
        </w:rPr>
        <w:t xml:space="preserve">Finally, with regard to the termination notice for the second-floor unit PECO sent to the Complainant, </w:t>
      </w:r>
      <w:r w:rsidR="002C4894" w:rsidRPr="002C4894">
        <w:rPr>
          <w:rFonts w:ascii="Times New Roman" w:hAnsi="Times New Roman" w:cs="Times New Roman"/>
          <w:sz w:val="26"/>
          <w:szCs w:val="26"/>
        </w:rPr>
        <w:t xml:space="preserve">the ALJ noted that at the time PECO issued the ten-day shut off notice, the Complainant had an unpaid balance </w:t>
      </w:r>
      <w:r w:rsidR="002C4894" w:rsidRPr="002C4894">
        <w:rPr>
          <w:rFonts w:ascii="Times New Roman" w:hAnsi="Times New Roman" w:cs="Times New Roman"/>
          <w:spacing w:val="-3"/>
          <w:sz w:val="26"/>
          <w:szCs w:val="26"/>
        </w:rPr>
        <w:t>of $2,409 that was undisputed.</w:t>
      </w:r>
      <w:r w:rsidR="00DE2693">
        <w:rPr>
          <w:rStyle w:val="FootnoteReference"/>
          <w:rFonts w:ascii="Times New Roman" w:hAnsi="Times New Roman" w:cs="Times New Roman"/>
          <w:spacing w:val="-3"/>
          <w:sz w:val="26"/>
          <w:szCs w:val="26"/>
        </w:rPr>
        <w:footnoteReference w:id="11"/>
      </w:r>
      <w:r w:rsidR="002C4894" w:rsidRPr="002C4894">
        <w:rPr>
          <w:rFonts w:ascii="Times New Roman" w:hAnsi="Times New Roman" w:cs="Times New Roman"/>
          <w:spacing w:val="-3"/>
          <w:sz w:val="26"/>
          <w:szCs w:val="26"/>
        </w:rPr>
        <w:t xml:space="preserve">  The ALJ reasoned that although the Complainant subsequently filed an informal complaint to challenge the notice and the associated balance, PECO did not violate </w:t>
      </w:r>
      <w:r w:rsidR="00691E2F">
        <w:rPr>
          <w:rFonts w:ascii="Times New Roman" w:hAnsi="Times New Roman" w:cs="Times New Roman"/>
          <w:spacing w:val="-3"/>
          <w:sz w:val="26"/>
          <w:szCs w:val="26"/>
        </w:rPr>
        <w:t xml:space="preserve">the </w:t>
      </w:r>
      <w:r w:rsidR="002C4894" w:rsidRPr="002C4894">
        <w:rPr>
          <w:rFonts w:ascii="Times New Roman" w:hAnsi="Times New Roman" w:cs="Times New Roman"/>
          <w:spacing w:val="-3"/>
          <w:sz w:val="26"/>
          <w:szCs w:val="26"/>
        </w:rPr>
        <w:t>Commission’s Regulations when it issued the ten-day notice to the Complainant on June 11, 2015.</w:t>
      </w:r>
      <w:r w:rsidR="002C4894">
        <w:rPr>
          <w:rFonts w:ascii="Times New Roman" w:hAnsi="Times New Roman" w:cs="Times New Roman"/>
          <w:spacing w:val="-3"/>
          <w:sz w:val="26"/>
          <w:szCs w:val="26"/>
        </w:rPr>
        <w:t xml:space="preserve">  </w:t>
      </w:r>
      <w:r w:rsidR="002C4894" w:rsidRPr="00673932">
        <w:rPr>
          <w:i/>
          <w:sz w:val="26"/>
          <w:szCs w:val="26"/>
        </w:rPr>
        <w:t>Id.</w:t>
      </w:r>
      <w:r w:rsidR="002C4894">
        <w:rPr>
          <w:sz w:val="26"/>
          <w:szCs w:val="26"/>
        </w:rPr>
        <w:t xml:space="preserve"> at</w:t>
      </w:r>
      <w:r w:rsidR="007A1B85">
        <w:rPr>
          <w:sz w:val="26"/>
          <w:szCs w:val="26"/>
        </w:rPr>
        <w:t> </w:t>
      </w:r>
      <w:r w:rsidR="002C4894">
        <w:rPr>
          <w:sz w:val="26"/>
          <w:szCs w:val="26"/>
        </w:rPr>
        <w:t>21-22</w:t>
      </w:r>
      <w:r w:rsidR="00820DCB">
        <w:rPr>
          <w:sz w:val="26"/>
          <w:szCs w:val="26"/>
        </w:rPr>
        <w:t xml:space="preserve"> (</w:t>
      </w:r>
      <w:r w:rsidR="00820DCB" w:rsidRPr="002C4894">
        <w:rPr>
          <w:rFonts w:ascii="Times New Roman" w:hAnsi="Times New Roman" w:cs="Times New Roman"/>
          <w:sz w:val="26"/>
          <w:szCs w:val="26"/>
        </w:rPr>
        <w:t>citing 52 Pa. Code §</w:t>
      </w:r>
      <w:r w:rsidR="00523C94">
        <w:rPr>
          <w:rFonts w:ascii="Times New Roman" w:hAnsi="Times New Roman" w:cs="Times New Roman"/>
          <w:sz w:val="26"/>
          <w:szCs w:val="26"/>
        </w:rPr>
        <w:t>§</w:t>
      </w:r>
      <w:r w:rsidR="00820DCB" w:rsidRPr="002C4894">
        <w:rPr>
          <w:rFonts w:ascii="Times New Roman" w:hAnsi="Times New Roman" w:cs="Times New Roman"/>
          <w:sz w:val="26"/>
          <w:szCs w:val="26"/>
        </w:rPr>
        <w:t xml:space="preserve"> 56.81(1</w:t>
      </w:r>
      <w:r w:rsidR="00820DCB">
        <w:rPr>
          <w:rFonts w:ascii="Times New Roman" w:hAnsi="Times New Roman" w:cs="Times New Roman"/>
          <w:sz w:val="26"/>
          <w:szCs w:val="26"/>
        </w:rPr>
        <w:t>)</w:t>
      </w:r>
      <w:r w:rsidR="006F590E">
        <w:rPr>
          <w:rFonts w:ascii="Times New Roman" w:hAnsi="Times New Roman" w:cs="Times New Roman"/>
          <w:sz w:val="26"/>
          <w:szCs w:val="26"/>
        </w:rPr>
        <w:t xml:space="preserve"> </w:t>
      </w:r>
      <w:r w:rsidR="00523C94">
        <w:rPr>
          <w:rFonts w:ascii="Times New Roman" w:hAnsi="Times New Roman" w:cs="Times New Roman"/>
          <w:sz w:val="26"/>
          <w:szCs w:val="26"/>
        </w:rPr>
        <w:t>and</w:t>
      </w:r>
      <w:r w:rsidR="00820DCB">
        <w:rPr>
          <w:rFonts w:ascii="Times New Roman" w:hAnsi="Times New Roman" w:cs="Times New Roman"/>
          <w:sz w:val="26"/>
          <w:szCs w:val="26"/>
        </w:rPr>
        <w:t xml:space="preserve"> 56.91(a))</w:t>
      </w:r>
      <w:r w:rsidR="002C4894">
        <w:rPr>
          <w:sz w:val="26"/>
          <w:szCs w:val="26"/>
        </w:rPr>
        <w:t>.</w:t>
      </w:r>
    </w:p>
    <w:p w:rsidR="00C31EF5" w:rsidRDefault="00C31EF5" w:rsidP="002143F6">
      <w:pPr>
        <w:pStyle w:val="ParaTab1"/>
        <w:tabs>
          <w:tab w:val="clear" w:pos="-720"/>
          <w:tab w:val="left" w:pos="0"/>
        </w:tabs>
        <w:spacing w:line="360" w:lineRule="auto"/>
        <w:ind w:firstLine="0"/>
        <w:rPr>
          <w:sz w:val="26"/>
          <w:szCs w:val="26"/>
        </w:rPr>
      </w:pPr>
    </w:p>
    <w:p w:rsidR="00966D15" w:rsidRDefault="002C4894" w:rsidP="002143F6">
      <w:pPr>
        <w:pStyle w:val="ParaTab1"/>
        <w:tabs>
          <w:tab w:val="clear" w:pos="-720"/>
          <w:tab w:val="left" w:pos="0"/>
        </w:tabs>
        <w:spacing w:line="360" w:lineRule="auto"/>
        <w:ind w:firstLine="0"/>
        <w:rPr>
          <w:sz w:val="26"/>
          <w:szCs w:val="26"/>
        </w:rPr>
      </w:pPr>
      <w:r>
        <w:rPr>
          <w:sz w:val="26"/>
          <w:szCs w:val="26"/>
        </w:rPr>
        <w:tab/>
      </w:r>
      <w:r>
        <w:rPr>
          <w:sz w:val="26"/>
          <w:szCs w:val="26"/>
        </w:rPr>
        <w:tab/>
        <w:t xml:space="preserve">In light of all of the above, the ALJ denied the Complaint for failure of the Complainant to </w:t>
      </w:r>
      <w:r w:rsidR="00850C55" w:rsidRPr="00966D1F">
        <w:rPr>
          <w:rFonts w:ascii="Times New Roman" w:hAnsi="Times New Roman" w:cs="Times New Roman"/>
          <w:spacing w:val="-3"/>
          <w:sz w:val="26"/>
          <w:szCs w:val="26"/>
        </w:rPr>
        <w:t xml:space="preserve">meet her burden of </w:t>
      </w:r>
      <w:r w:rsidR="00850C55">
        <w:rPr>
          <w:rFonts w:ascii="Times New Roman" w:hAnsi="Times New Roman" w:cs="Times New Roman"/>
          <w:spacing w:val="-3"/>
          <w:sz w:val="26"/>
          <w:szCs w:val="26"/>
        </w:rPr>
        <w:t xml:space="preserve">proof regarding her allegations in the instant proceeding.  </w:t>
      </w:r>
      <w:r w:rsidR="00913D94">
        <w:rPr>
          <w:sz w:val="26"/>
          <w:szCs w:val="26"/>
        </w:rPr>
        <w:t>I.D.</w:t>
      </w:r>
      <w:r w:rsidR="00850C55">
        <w:rPr>
          <w:sz w:val="26"/>
          <w:szCs w:val="26"/>
        </w:rPr>
        <w:t xml:space="preserve"> at 22.</w:t>
      </w:r>
    </w:p>
    <w:p w:rsidR="00966D15" w:rsidRDefault="00966D15" w:rsidP="002143F6">
      <w:pPr>
        <w:widowControl/>
        <w:spacing w:line="360" w:lineRule="auto"/>
        <w:ind w:firstLine="1440"/>
        <w:rPr>
          <w:sz w:val="26"/>
          <w:szCs w:val="26"/>
        </w:rPr>
      </w:pPr>
    </w:p>
    <w:p w:rsidR="00ED60FB" w:rsidRPr="00A9787D" w:rsidRDefault="00ED60FB" w:rsidP="002143F6">
      <w:pPr>
        <w:keepNext/>
        <w:keepLines/>
        <w:widowControl/>
        <w:spacing w:line="360" w:lineRule="auto"/>
        <w:rPr>
          <w:rFonts w:eastAsia="Calibri"/>
          <w:b/>
          <w:sz w:val="26"/>
          <w:szCs w:val="26"/>
        </w:rPr>
      </w:pPr>
      <w:r w:rsidRPr="00A9787D">
        <w:rPr>
          <w:rFonts w:eastAsia="Calibri"/>
          <w:b/>
          <w:sz w:val="26"/>
          <w:szCs w:val="26"/>
        </w:rPr>
        <w:t>Exceptions and Replies</w:t>
      </w:r>
    </w:p>
    <w:p w:rsidR="00ED60FB" w:rsidRPr="00A9787D" w:rsidRDefault="00ED60FB" w:rsidP="002143F6">
      <w:pPr>
        <w:keepNext/>
        <w:keepLines/>
        <w:widowControl/>
        <w:spacing w:line="360" w:lineRule="auto"/>
        <w:rPr>
          <w:rFonts w:eastAsia="Calibri"/>
          <w:b/>
          <w:sz w:val="26"/>
          <w:szCs w:val="26"/>
        </w:rPr>
      </w:pPr>
    </w:p>
    <w:p w:rsidR="00EA1028" w:rsidRDefault="00984531" w:rsidP="002143F6">
      <w:pPr>
        <w:pStyle w:val="FootnoteText"/>
        <w:widowControl/>
        <w:spacing w:line="360" w:lineRule="auto"/>
        <w:ind w:firstLine="1440"/>
        <w:rPr>
          <w:sz w:val="26"/>
          <w:szCs w:val="26"/>
        </w:rPr>
      </w:pPr>
      <w:r>
        <w:rPr>
          <w:sz w:val="26"/>
          <w:szCs w:val="26"/>
        </w:rPr>
        <w:t>Before addressing the Exceptions, we note that a</w:t>
      </w:r>
      <w:r w:rsidR="00EA1028" w:rsidRPr="00770896">
        <w:rPr>
          <w:sz w:val="26"/>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r w:rsidR="00EA1028" w:rsidRPr="00770896">
        <w:rPr>
          <w:i/>
          <w:sz w:val="26"/>
          <w:szCs w:val="26"/>
        </w:rPr>
        <w:t>Consolidated Rail Corporation v. Pa. PUC</w:t>
      </w:r>
      <w:r w:rsidR="00EA1028" w:rsidRPr="00770896">
        <w:rPr>
          <w:sz w:val="26"/>
          <w:szCs w:val="26"/>
        </w:rPr>
        <w:t xml:space="preserve">, 625 A.2d 741 (Pa. Cmwlth. 1993); </w:t>
      </w:r>
      <w:r w:rsidR="00EA1028" w:rsidRPr="00770896">
        <w:rPr>
          <w:i/>
          <w:sz w:val="26"/>
          <w:szCs w:val="26"/>
        </w:rPr>
        <w:t>see also, generally</w:t>
      </w:r>
      <w:r w:rsidR="00EA1028" w:rsidRPr="00770896">
        <w:rPr>
          <w:sz w:val="26"/>
          <w:szCs w:val="26"/>
        </w:rPr>
        <w:t xml:space="preserve">, </w:t>
      </w:r>
      <w:r w:rsidR="00EA1028" w:rsidRPr="00770896">
        <w:rPr>
          <w:i/>
          <w:sz w:val="26"/>
          <w:szCs w:val="26"/>
        </w:rPr>
        <w:t>University of Pennsylvania v. Pa. PUC</w:t>
      </w:r>
      <w:r w:rsidR="00EA1028" w:rsidRPr="00770896">
        <w:rPr>
          <w:sz w:val="26"/>
          <w:szCs w:val="26"/>
        </w:rPr>
        <w:t>, 485 A.2d 1217 (Pa. Cmwlth. 1984).</w:t>
      </w:r>
    </w:p>
    <w:p w:rsidR="00EA1028" w:rsidRDefault="00EA1028" w:rsidP="002143F6">
      <w:pPr>
        <w:widowControl/>
        <w:spacing w:line="360" w:lineRule="auto"/>
        <w:rPr>
          <w:rFonts w:eastAsia="Calibri"/>
          <w:sz w:val="26"/>
          <w:szCs w:val="26"/>
        </w:rPr>
      </w:pPr>
    </w:p>
    <w:p w:rsidR="00E025DB" w:rsidRDefault="00D04908" w:rsidP="002143F6">
      <w:pPr>
        <w:widowControl/>
        <w:spacing w:line="360" w:lineRule="auto"/>
        <w:ind w:firstLine="1440"/>
        <w:rPr>
          <w:rFonts w:eastAsia="Calibri"/>
          <w:sz w:val="26"/>
          <w:szCs w:val="26"/>
        </w:rPr>
      </w:pPr>
      <w:r w:rsidRPr="00A9787D">
        <w:rPr>
          <w:rFonts w:eastAsia="Calibri"/>
          <w:sz w:val="26"/>
          <w:szCs w:val="26"/>
        </w:rPr>
        <w:t xml:space="preserve">In </w:t>
      </w:r>
      <w:r w:rsidR="00B14F10">
        <w:rPr>
          <w:rFonts w:eastAsia="Calibri"/>
          <w:sz w:val="26"/>
          <w:szCs w:val="26"/>
        </w:rPr>
        <w:t xml:space="preserve">her </w:t>
      </w:r>
      <w:r w:rsidR="00534488">
        <w:rPr>
          <w:rFonts w:eastAsia="Calibri"/>
          <w:sz w:val="26"/>
          <w:szCs w:val="26"/>
        </w:rPr>
        <w:t>Exception No. 1</w:t>
      </w:r>
      <w:r w:rsidR="002A73C6">
        <w:rPr>
          <w:rFonts w:eastAsia="Calibri"/>
          <w:sz w:val="26"/>
          <w:szCs w:val="26"/>
        </w:rPr>
        <w:t>,</w:t>
      </w:r>
      <w:r w:rsidR="00926A93">
        <w:rPr>
          <w:rFonts w:eastAsia="Calibri"/>
          <w:sz w:val="26"/>
          <w:szCs w:val="26"/>
        </w:rPr>
        <w:t xml:space="preserve"> Ms. Harris</w:t>
      </w:r>
      <w:r w:rsidRPr="00A9787D">
        <w:rPr>
          <w:rFonts w:eastAsia="Calibri"/>
          <w:sz w:val="26"/>
          <w:szCs w:val="26"/>
        </w:rPr>
        <w:t xml:space="preserve"> </w:t>
      </w:r>
      <w:r w:rsidR="00A115EC">
        <w:rPr>
          <w:rFonts w:eastAsia="Calibri"/>
          <w:sz w:val="26"/>
          <w:szCs w:val="26"/>
        </w:rPr>
        <w:t>dis</w:t>
      </w:r>
      <w:r w:rsidR="00AA7C9C">
        <w:rPr>
          <w:rFonts w:eastAsia="Calibri"/>
          <w:sz w:val="26"/>
          <w:szCs w:val="26"/>
        </w:rPr>
        <w:t xml:space="preserve">putes PECO’s appliance analysis of her electric usage stating that she never used the amount of electricity PECO </w:t>
      </w:r>
      <w:r w:rsidR="000E290C">
        <w:rPr>
          <w:rFonts w:eastAsia="Calibri"/>
          <w:sz w:val="26"/>
          <w:szCs w:val="26"/>
        </w:rPr>
        <w:t>claimed</w:t>
      </w:r>
      <w:r w:rsidR="00AA7C9C">
        <w:rPr>
          <w:rFonts w:eastAsia="Calibri"/>
          <w:sz w:val="26"/>
          <w:szCs w:val="26"/>
        </w:rPr>
        <w:t xml:space="preserve"> she used.  Exc. at 1</w:t>
      </w:r>
      <w:r w:rsidR="0064199A">
        <w:rPr>
          <w:rFonts w:eastAsia="Calibri"/>
          <w:sz w:val="26"/>
          <w:szCs w:val="26"/>
        </w:rPr>
        <w:t xml:space="preserve"> (citing I.D. at 18)</w:t>
      </w:r>
      <w:r w:rsidR="00AA7C9C">
        <w:rPr>
          <w:rFonts w:eastAsia="Calibri"/>
          <w:sz w:val="26"/>
          <w:szCs w:val="26"/>
        </w:rPr>
        <w:t>.  PECO</w:t>
      </w:r>
      <w:r w:rsidR="00C20A11">
        <w:rPr>
          <w:rFonts w:eastAsia="Calibri"/>
          <w:sz w:val="26"/>
          <w:szCs w:val="26"/>
        </w:rPr>
        <w:t xml:space="preserve"> </w:t>
      </w:r>
      <w:r w:rsidR="00CC4780">
        <w:rPr>
          <w:rFonts w:eastAsia="Calibri"/>
          <w:sz w:val="26"/>
          <w:szCs w:val="26"/>
        </w:rPr>
        <w:t>replies</w:t>
      </w:r>
      <w:r w:rsidR="00AA7C9C">
        <w:rPr>
          <w:rFonts w:eastAsia="Calibri"/>
          <w:sz w:val="26"/>
          <w:szCs w:val="26"/>
        </w:rPr>
        <w:t xml:space="preserve"> that the Complaina</w:t>
      </w:r>
      <w:r w:rsidR="000E290C">
        <w:rPr>
          <w:rFonts w:eastAsia="Calibri"/>
          <w:sz w:val="26"/>
          <w:szCs w:val="26"/>
        </w:rPr>
        <w:t xml:space="preserve">nt’s Exception No. 1 is </w:t>
      </w:r>
      <w:r w:rsidR="003F0693">
        <w:rPr>
          <w:rFonts w:eastAsia="Calibri"/>
          <w:sz w:val="26"/>
          <w:szCs w:val="26"/>
        </w:rPr>
        <w:t xml:space="preserve">based on the fact that she </w:t>
      </w:r>
      <w:r w:rsidR="001A15A6">
        <w:rPr>
          <w:rFonts w:eastAsia="Calibri"/>
          <w:sz w:val="26"/>
          <w:szCs w:val="26"/>
        </w:rPr>
        <w:t xml:space="preserve">has a misperception of </w:t>
      </w:r>
      <w:r w:rsidR="00AA7C9C">
        <w:rPr>
          <w:rFonts w:eastAsia="Calibri"/>
          <w:sz w:val="26"/>
          <w:szCs w:val="26"/>
        </w:rPr>
        <w:t xml:space="preserve">the </w:t>
      </w:r>
      <w:r w:rsidR="00E025DB">
        <w:rPr>
          <w:rFonts w:eastAsia="Calibri"/>
          <w:sz w:val="26"/>
          <w:szCs w:val="26"/>
        </w:rPr>
        <w:t>purpose</w:t>
      </w:r>
      <w:r w:rsidR="00AA7C9C">
        <w:rPr>
          <w:rFonts w:eastAsia="Calibri"/>
          <w:sz w:val="26"/>
          <w:szCs w:val="26"/>
        </w:rPr>
        <w:t xml:space="preserve"> of the appliance analysis.  PECO argues the appliance analysis is not designed to address th</w:t>
      </w:r>
      <w:r w:rsidR="000E290C">
        <w:rPr>
          <w:rFonts w:eastAsia="Calibri"/>
          <w:sz w:val="26"/>
          <w:szCs w:val="26"/>
        </w:rPr>
        <w:t>e number o</w:t>
      </w:r>
      <w:r w:rsidR="00F909A0">
        <w:rPr>
          <w:rFonts w:eastAsia="Calibri"/>
          <w:sz w:val="26"/>
          <w:szCs w:val="26"/>
        </w:rPr>
        <w:t>f hours the appliances are used</w:t>
      </w:r>
      <w:r w:rsidR="00AA7C9C">
        <w:rPr>
          <w:rFonts w:eastAsia="Calibri"/>
          <w:sz w:val="26"/>
          <w:szCs w:val="26"/>
        </w:rPr>
        <w:t xml:space="preserve"> as suggested by the </w:t>
      </w:r>
      <w:r w:rsidR="00E025DB">
        <w:rPr>
          <w:rFonts w:eastAsia="Calibri"/>
          <w:sz w:val="26"/>
          <w:szCs w:val="26"/>
        </w:rPr>
        <w:t xml:space="preserve">Complainant.  Rather, it highlights the Complainant’s potential to use the billed service based on the appliances she has in her home.  PECO explains that the appliance analysis is simply one of the several methods PECO uses to gauge whether the Company accurately billed the Complainant.  </w:t>
      </w:r>
      <w:r w:rsidR="00D87995">
        <w:rPr>
          <w:rFonts w:eastAsia="Calibri"/>
          <w:sz w:val="26"/>
          <w:szCs w:val="26"/>
        </w:rPr>
        <w:t xml:space="preserve">PECO </w:t>
      </w:r>
      <w:r w:rsidR="00E025DB">
        <w:rPr>
          <w:rFonts w:eastAsia="Calibri"/>
          <w:sz w:val="26"/>
          <w:szCs w:val="26"/>
        </w:rPr>
        <w:t xml:space="preserve">R. Exc. at 1-2.  </w:t>
      </w:r>
    </w:p>
    <w:p w:rsidR="00E025DB" w:rsidRDefault="00E025DB" w:rsidP="002143F6">
      <w:pPr>
        <w:widowControl/>
        <w:spacing w:line="360" w:lineRule="auto"/>
        <w:ind w:firstLine="1440"/>
        <w:rPr>
          <w:rFonts w:eastAsia="Calibri"/>
          <w:sz w:val="26"/>
          <w:szCs w:val="26"/>
        </w:rPr>
      </w:pPr>
    </w:p>
    <w:p w:rsidR="008455DF" w:rsidRPr="00CB19E0" w:rsidRDefault="006709A5" w:rsidP="002143F6">
      <w:pPr>
        <w:widowControl/>
        <w:spacing w:line="360" w:lineRule="auto"/>
        <w:ind w:firstLine="1440"/>
        <w:rPr>
          <w:sz w:val="26"/>
          <w:szCs w:val="26"/>
        </w:rPr>
      </w:pPr>
      <w:r>
        <w:rPr>
          <w:rFonts w:eastAsia="Calibri"/>
          <w:sz w:val="26"/>
          <w:szCs w:val="26"/>
        </w:rPr>
        <w:t>In her Exception</w:t>
      </w:r>
      <w:r w:rsidR="00E60920">
        <w:rPr>
          <w:rFonts w:eastAsia="Calibri"/>
          <w:sz w:val="26"/>
          <w:szCs w:val="26"/>
        </w:rPr>
        <w:t>s</w:t>
      </w:r>
      <w:r>
        <w:rPr>
          <w:rFonts w:eastAsia="Calibri"/>
          <w:sz w:val="26"/>
          <w:szCs w:val="26"/>
        </w:rPr>
        <w:t xml:space="preserve"> Nos. 2, 6 and 9, the Complainant disag</w:t>
      </w:r>
      <w:r w:rsidR="00F909A0">
        <w:rPr>
          <w:rFonts w:eastAsia="Calibri"/>
          <w:sz w:val="26"/>
          <w:szCs w:val="26"/>
        </w:rPr>
        <w:t xml:space="preserve">rees with the ALJ’s </w:t>
      </w:r>
      <w:r w:rsidR="00CC72D5">
        <w:rPr>
          <w:rFonts w:eastAsia="Calibri"/>
          <w:sz w:val="26"/>
          <w:szCs w:val="26"/>
        </w:rPr>
        <w:t>reject</w:t>
      </w:r>
      <w:r w:rsidR="00F909A0">
        <w:rPr>
          <w:rFonts w:eastAsia="Calibri"/>
          <w:sz w:val="26"/>
          <w:szCs w:val="26"/>
        </w:rPr>
        <w:t>ion of</w:t>
      </w:r>
      <w:r>
        <w:rPr>
          <w:rFonts w:eastAsia="Calibri"/>
          <w:sz w:val="26"/>
          <w:szCs w:val="26"/>
        </w:rPr>
        <w:t xml:space="preserve"> the </w:t>
      </w:r>
      <w:r w:rsidR="00F66F0F">
        <w:rPr>
          <w:rFonts w:eastAsia="Calibri"/>
          <w:sz w:val="26"/>
          <w:szCs w:val="26"/>
        </w:rPr>
        <w:t>work order</w:t>
      </w:r>
      <w:r>
        <w:rPr>
          <w:rFonts w:eastAsia="Calibri"/>
          <w:sz w:val="26"/>
          <w:szCs w:val="26"/>
        </w:rPr>
        <w:t xml:space="preserve"> from Adelphia Electric </w:t>
      </w:r>
      <w:r w:rsidR="00A90934">
        <w:rPr>
          <w:rFonts w:eastAsia="Calibri"/>
          <w:sz w:val="26"/>
          <w:szCs w:val="26"/>
        </w:rPr>
        <w:t xml:space="preserve">that </w:t>
      </w:r>
      <w:r w:rsidR="006E3B95">
        <w:rPr>
          <w:rFonts w:eastAsia="Calibri"/>
          <w:sz w:val="26"/>
          <w:szCs w:val="26"/>
        </w:rPr>
        <w:t>she</w:t>
      </w:r>
      <w:r>
        <w:rPr>
          <w:rFonts w:eastAsia="Calibri"/>
          <w:sz w:val="26"/>
          <w:szCs w:val="26"/>
        </w:rPr>
        <w:t xml:space="preserve"> </w:t>
      </w:r>
      <w:r w:rsidR="00CC72D5">
        <w:rPr>
          <w:rFonts w:eastAsia="Calibri"/>
          <w:sz w:val="26"/>
          <w:szCs w:val="26"/>
        </w:rPr>
        <w:t xml:space="preserve">submitted after the hearing and </w:t>
      </w:r>
      <w:r>
        <w:rPr>
          <w:rFonts w:eastAsia="Calibri"/>
          <w:sz w:val="26"/>
          <w:szCs w:val="26"/>
        </w:rPr>
        <w:t>requested</w:t>
      </w:r>
      <w:r w:rsidR="00CC72D5">
        <w:rPr>
          <w:rFonts w:eastAsia="Calibri"/>
          <w:sz w:val="26"/>
          <w:szCs w:val="26"/>
        </w:rPr>
        <w:t xml:space="preserve"> to </w:t>
      </w:r>
      <w:r>
        <w:rPr>
          <w:rFonts w:eastAsia="Calibri"/>
          <w:sz w:val="26"/>
          <w:szCs w:val="26"/>
        </w:rPr>
        <w:t>be included in the record as a late-filed exhibit</w:t>
      </w:r>
      <w:r w:rsidR="00CC72D5">
        <w:rPr>
          <w:rFonts w:eastAsia="Calibri"/>
          <w:sz w:val="26"/>
          <w:szCs w:val="26"/>
        </w:rPr>
        <w:t>.</w:t>
      </w:r>
      <w:r w:rsidR="00023F01">
        <w:rPr>
          <w:rStyle w:val="FootnoteReference"/>
          <w:rFonts w:eastAsia="Calibri"/>
          <w:sz w:val="26"/>
          <w:szCs w:val="26"/>
        </w:rPr>
        <w:footnoteReference w:id="12"/>
      </w:r>
      <w:r w:rsidR="00CC72D5">
        <w:rPr>
          <w:rFonts w:eastAsia="Calibri"/>
          <w:sz w:val="26"/>
          <w:szCs w:val="26"/>
        </w:rPr>
        <w:t xml:space="preserve">  </w:t>
      </w:r>
      <w:r w:rsidR="00A90934">
        <w:rPr>
          <w:rFonts w:eastAsia="Calibri"/>
          <w:sz w:val="26"/>
          <w:szCs w:val="26"/>
        </w:rPr>
        <w:t xml:space="preserve">Per the Complainant, the </w:t>
      </w:r>
      <w:r w:rsidR="00960AC2">
        <w:rPr>
          <w:rFonts w:eastAsia="Calibri"/>
          <w:sz w:val="26"/>
          <w:szCs w:val="26"/>
        </w:rPr>
        <w:t>work order</w:t>
      </w:r>
      <w:r w:rsidR="00A90934">
        <w:rPr>
          <w:rFonts w:eastAsia="Calibri"/>
          <w:sz w:val="26"/>
          <w:szCs w:val="26"/>
        </w:rPr>
        <w:t xml:space="preserve"> should have been admitted into the record </w:t>
      </w:r>
      <w:r w:rsidR="00960AC2">
        <w:rPr>
          <w:rFonts w:eastAsia="Calibri"/>
          <w:sz w:val="26"/>
          <w:szCs w:val="26"/>
        </w:rPr>
        <w:t>as a</w:t>
      </w:r>
      <w:r w:rsidR="00A90934">
        <w:rPr>
          <w:rFonts w:eastAsia="Calibri"/>
          <w:sz w:val="26"/>
          <w:szCs w:val="26"/>
        </w:rPr>
        <w:t xml:space="preserve"> business record and also b</w:t>
      </w:r>
      <w:r w:rsidR="00834AD4">
        <w:rPr>
          <w:rFonts w:eastAsia="Calibri"/>
          <w:sz w:val="26"/>
          <w:szCs w:val="26"/>
        </w:rPr>
        <w:t>ecause contrary to PECO’s testimony</w:t>
      </w:r>
      <w:r w:rsidR="00A90934">
        <w:rPr>
          <w:rFonts w:eastAsia="Calibri"/>
          <w:sz w:val="26"/>
          <w:szCs w:val="26"/>
        </w:rPr>
        <w:t xml:space="preserve">, </w:t>
      </w:r>
      <w:r w:rsidR="00960AC2">
        <w:rPr>
          <w:rFonts w:eastAsia="Calibri"/>
          <w:sz w:val="26"/>
          <w:szCs w:val="26"/>
        </w:rPr>
        <w:t>it</w:t>
      </w:r>
      <w:r w:rsidR="00A90934">
        <w:rPr>
          <w:rFonts w:eastAsia="Calibri"/>
          <w:sz w:val="26"/>
          <w:szCs w:val="26"/>
        </w:rPr>
        <w:t xml:space="preserve"> verified there was foreign load on her meter.  </w:t>
      </w:r>
      <w:r w:rsidR="00E15F53">
        <w:rPr>
          <w:rFonts w:eastAsia="Calibri"/>
          <w:sz w:val="26"/>
          <w:szCs w:val="26"/>
        </w:rPr>
        <w:t xml:space="preserve">Exc. at 1-2.  </w:t>
      </w:r>
      <w:r w:rsidR="00C47566">
        <w:rPr>
          <w:rFonts w:eastAsia="Calibri"/>
          <w:sz w:val="26"/>
          <w:szCs w:val="26"/>
        </w:rPr>
        <w:t xml:space="preserve">In </w:t>
      </w:r>
      <w:r w:rsidR="001D2CF4">
        <w:rPr>
          <w:rFonts w:eastAsia="Calibri"/>
          <w:sz w:val="26"/>
          <w:szCs w:val="26"/>
        </w:rPr>
        <w:t>reply</w:t>
      </w:r>
      <w:r w:rsidR="00C47566">
        <w:rPr>
          <w:rFonts w:eastAsia="Calibri"/>
          <w:sz w:val="26"/>
          <w:szCs w:val="26"/>
        </w:rPr>
        <w:t xml:space="preserve">, PECO agrees with the ALJ’s decision </w:t>
      </w:r>
      <w:r w:rsidR="00F909A0">
        <w:rPr>
          <w:rFonts w:eastAsia="Calibri"/>
          <w:sz w:val="26"/>
          <w:szCs w:val="26"/>
        </w:rPr>
        <w:t xml:space="preserve">to reject the </w:t>
      </w:r>
      <w:r w:rsidR="00C47566">
        <w:rPr>
          <w:rFonts w:eastAsia="Calibri"/>
          <w:sz w:val="26"/>
          <w:szCs w:val="26"/>
        </w:rPr>
        <w:t>late-filed ex</w:t>
      </w:r>
      <w:r w:rsidR="00427540">
        <w:rPr>
          <w:rFonts w:eastAsia="Calibri"/>
          <w:sz w:val="26"/>
          <w:szCs w:val="26"/>
        </w:rPr>
        <w:t xml:space="preserve">hibit </w:t>
      </w:r>
      <w:r w:rsidR="00960AC2">
        <w:rPr>
          <w:rFonts w:eastAsia="Calibri"/>
          <w:sz w:val="26"/>
          <w:szCs w:val="26"/>
        </w:rPr>
        <w:t xml:space="preserve">because it </w:t>
      </w:r>
      <w:r w:rsidR="001D2CF4">
        <w:rPr>
          <w:rFonts w:eastAsia="Calibri"/>
          <w:sz w:val="26"/>
          <w:szCs w:val="26"/>
        </w:rPr>
        <w:t xml:space="preserve">claims it </w:t>
      </w:r>
      <w:r w:rsidR="00C47566">
        <w:rPr>
          <w:rFonts w:eastAsia="Calibri"/>
          <w:sz w:val="26"/>
          <w:szCs w:val="26"/>
        </w:rPr>
        <w:t xml:space="preserve">is </w:t>
      </w:r>
      <w:r w:rsidR="00F909A0">
        <w:rPr>
          <w:rFonts w:eastAsia="Calibri"/>
          <w:sz w:val="26"/>
          <w:szCs w:val="26"/>
        </w:rPr>
        <w:t xml:space="preserve">clearly </w:t>
      </w:r>
      <w:r w:rsidR="00C47566">
        <w:rPr>
          <w:rFonts w:eastAsia="Calibri"/>
          <w:sz w:val="26"/>
          <w:szCs w:val="26"/>
        </w:rPr>
        <w:t xml:space="preserve">hearsay and does not fall within the business record exception to hearsay as argued by the Complainant.  PECO further contends that because </w:t>
      </w:r>
      <w:r w:rsidR="00827BAF">
        <w:rPr>
          <w:rFonts w:eastAsia="Calibri"/>
          <w:sz w:val="26"/>
          <w:szCs w:val="26"/>
        </w:rPr>
        <w:t xml:space="preserve">the Company </w:t>
      </w:r>
      <w:r w:rsidR="00F909A0">
        <w:rPr>
          <w:rFonts w:eastAsia="Calibri"/>
          <w:sz w:val="26"/>
          <w:szCs w:val="26"/>
        </w:rPr>
        <w:t xml:space="preserve">was not given </w:t>
      </w:r>
      <w:r w:rsidR="00827BAF">
        <w:rPr>
          <w:rFonts w:eastAsia="Calibri"/>
          <w:sz w:val="26"/>
          <w:szCs w:val="26"/>
        </w:rPr>
        <w:t>an</w:t>
      </w:r>
      <w:r w:rsidR="00C47566">
        <w:rPr>
          <w:rFonts w:eastAsia="Calibri"/>
          <w:sz w:val="26"/>
          <w:szCs w:val="26"/>
        </w:rPr>
        <w:t xml:space="preserve"> opportunity to cross-examine the electric</w:t>
      </w:r>
      <w:r w:rsidR="00953DFA">
        <w:rPr>
          <w:rFonts w:eastAsia="Calibri"/>
          <w:sz w:val="26"/>
          <w:szCs w:val="26"/>
        </w:rPr>
        <w:t>ian regarding his findings and conclusion</w:t>
      </w:r>
      <w:r w:rsidR="006E3B95">
        <w:rPr>
          <w:rFonts w:eastAsia="Calibri"/>
          <w:sz w:val="26"/>
          <w:szCs w:val="26"/>
        </w:rPr>
        <w:t xml:space="preserve">, </w:t>
      </w:r>
      <w:r w:rsidR="00960AC2">
        <w:rPr>
          <w:rFonts w:eastAsia="Calibri"/>
          <w:sz w:val="26"/>
          <w:szCs w:val="26"/>
        </w:rPr>
        <w:t xml:space="preserve">the </w:t>
      </w:r>
      <w:r w:rsidR="00D1141D">
        <w:rPr>
          <w:rFonts w:eastAsia="Calibri"/>
          <w:sz w:val="26"/>
          <w:szCs w:val="26"/>
        </w:rPr>
        <w:t>work order</w:t>
      </w:r>
      <w:r w:rsidR="006E3B95">
        <w:rPr>
          <w:rFonts w:eastAsia="Calibri"/>
          <w:sz w:val="26"/>
          <w:szCs w:val="26"/>
        </w:rPr>
        <w:t xml:space="preserve"> is</w:t>
      </w:r>
      <w:r w:rsidR="00C47566">
        <w:rPr>
          <w:rFonts w:eastAsia="Calibri"/>
          <w:sz w:val="26"/>
          <w:szCs w:val="26"/>
        </w:rPr>
        <w:t xml:space="preserve"> irrelevant and </w:t>
      </w:r>
      <w:r w:rsidR="00324038">
        <w:rPr>
          <w:rFonts w:eastAsia="Calibri"/>
          <w:sz w:val="26"/>
          <w:szCs w:val="26"/>
        </w:rPr>
        <w:t xml:space="preserve">is </w:t>
      </w:r>
      <w:r w:rsidR="00C47566">
        <w:rPr>
          <w:rFonts w:eastAsia="Calibri"/>
          <w:sz w:val="26"/>
          <w:szCs w:val="26"/>
        </w:rPr>
        <w:t>a classic hearsay situation</w:t>
      </w:r>
      <w:r w:rsidR="00014749">
        <w:rPr>
          <w:rFonts w:eastAsia="Calibri"/>
          <w:sz w:val="26"/>
          <w:szCs w:val="26"/>
        </w:rPr>
        <w:t>.</w:t>
      </w:r>
      <w:r w:rsidR="00D87995">
        <w:rPr>
          <w:rFonts w:eastAsia="Calibri"/>
          <w:sz w:val="26"/>
          <w:szCs w:val="26"/>
        </w:rPr>
        <w:t xml:space="preserve"> PECO </w:t>
      </w:r>
      <w:r w:rsidR="00DC7375">
        <w:rPr>
          <w:rFonts w:eastAsia="Calibri"/>
          <w:sz w:val="26"/>
          <w:szCs w:val="26"/>
        </w:rPr>
        <w:t xml:space="preserve">R. Exc. at 2-3.  </w:t>
      </w:r>
      <w:r w:rsidR="00DD1381">
        <w:rPr>
          <w:rFonts w:eastAsia="Calibri"/>
          <w:sz w:val="26"/>
          <w:szCs w:val="26"/>
        </w:rPr>
        <w:t xml:space="preserve">Furthermore, </w:t>
      </w:r>
      <w:r w:rsidR="00DD1381">
        <w:rPr>
          <w:sz w:val="26"/>
          <w:szCs w:val="26"/>
        </w:rPr>
        <w:t>a</w:t>
      </w:r>
      <w:r w:rsidR="008455DF">
        <w:rPr>
          <w:sz w:val="26"/>
          <w:szCs w:val="26"/>
        </w:rPr>
        <w:t xml:space="preserve">ccording to PECO, </w:t>
      </w:r>
      <w:r w:rsidR="008455DF" w:rsidRPr="00CB19E0">
        <w:rPr>
          <w:sz w:val="26"/>
          <w:szCs w:val="26"/>
        </w:rPr>
        <w:t xml:space="preserve">for the sake of argument, even if there was foreign load as claimed in the </w:t>
      </w:r>
      <w:r w:rsidR="008455DF">
        <w:rPr>
          <w:sz w:val="26"/>
          <w:szCs w:val="26"/>
        </w:rPr>
        <w:t>work order receipt</w:t>
      </w:r>
      <w:r w:rsidR="008455DF" w:rsidRPr="00CB19E0">
        <w:rPr>
          <w:sz w:val="26"/>
          <w:szCs w:val="26"/>
        </w:rPr>
        <w:t xml:space="preserve">, that condition could have arisen </w:t>
      </w:r>
      <w:r w:rsidR="00292D44" w:rsidRPr="00CB19E0">
        <w:rPr>
          <w:sz w:val="26"/>
          <w:szCs w:val="26"/>
        </w:rPr>
        <w:t>after</w:t>
      </w:r>
      <w:r w:rsidR="008455DF" w:rsidRPr="00CB19E0">
        <w:rPr>
          <w:sz w:val="26"/>
          <w:szCs w:val="26"/>
        </w:rPr>
        <w:t xml:space="preserve"> PECO’s field visits in February and April of 2015, </w:t>
      </w:r>
      <w:r w:rsidR="008455DF">
        <w:rPr>
          <w:sz w:val="26"/>
          <w:szCs w:val="26"/>
        </w:rPr>
        <w:t xml:space="preserve">especially, because </w:t>
      </w:r>
      <w:r w:rsidR="008455DF" w:rsidRPr="00CB19E0">
        <w:rPr>
          <w:sz w:val="26"/>
          <w:szCs w:val="26"/>
        </w:rPr>
        <w:t xml:space="preserve">the Complainant’s electrician performed his investigation on June 28, 2016.  </w:t>
      </w:r>
      <w:r w:rsidR="00DD1381" w:rsidRPr="00DD1381">
        <w:rPr>
          <w:i/>
          <w:sz w:val="26"/>
          <w:szCs w:val="26"/>
        </w:rPr>
        <w:t>Id.</w:t>
      </w:r>
      <w:r w:rsidR="008455DF">
        <w:rPr>
          <w:sz w:val="26"/>
          <w:szCs w:val="26"/>
        </w:rPr>
        <w:t xml:space="preserve"> at 2.</w:t>
      </w:r>
    </w:p>
    <w:p w:rsidR="00623946" w:rsidRDefault="00623946" w:rsidP="002143F6">
      <w:pPr>
        <w:widowControl/>
        <w:spacing w:line="360" w:lineRule="auto"/>
        <w:ind w:firstLine="1440"/>
        <w:rPr>
          <w:rFonts w:eastAsia="Calibri"/>
          <w:sz w:val="26"/>
          <w:szCs w:val="26"/>
        </w:rPr>
      </w:pPr>
    </w:p>
    <w:p w:rsidR="0053484E" w:rsidRDefault="0006573B" w:rsidP="002143F6">
      <w:pPr>
        <w:widowControl/>
        <w:spacing w:line="360" w:lineRule="auto"/>
        <w:ind w:firstLine="1440"/>
        <w:rPr>
          <w:rFonts w:eastAsia="Calibri"/>
          <w:sz w:val="26"/>
          <w:szCs w:val="26"/>
        </w:rPr>
      </w:pPr>
      <w:r>
        <w:rPr>
          <w:rFonts w:eastAsia="Calibri"/>
          <w:sz w:val="26"/>
          <w:szCs w:val="26"/>
        </w:rPr>
        <w:t>In her Exception</w:t>
      </w:r>
      <w:r w:rsidR="00140843">
        <w:rPr>
          <w:rFonts w:eastAsia="Calibri"/>
          <w:sz w:val="26"/>
          <w:szCs w:val="26"/>
        </w:rPr>
        <w:t>s</w:t>
      </w:r>
      <w:r>
        <w:rPr>
          <w:rFonts w:eastAsia="Calibri"/>
          <w:sz w:val="26"/>
          <w:szCs w:val="26"/>
        </w:rPr>
        <w:t xml:space="preserve"> Nos. 3, 11, 13 and 15, the Complainant</w:t>
      </w:r>
      <w:r w:rsidR="00834AD4">
        <w:rPr>
          <w:rFonts w:eastAsia="Calibri"/>
          <w:sz w:val="26"/>
          <w:szCs w:val="26"/>
        </w:rPr>
        <w:t xml:space="preserve"> disputes the high bill field investigation that PECO conducted</w:t>
      </w:r>
      <w:r w:rsidR="00140843">
        <w:rPr>
          <w:rFonts w:eastAsia="Calibri"/>
          <w:sz w:val="26"/>
          <w:szCs w:val="26"/>
        </w:rPr>
        <w:t>,</w:t>
      </w:r>
      <w:r w:rsidR="00834AD4">
        <w:rPr>
          <w:rFonts w:eastAsia="Calibri"/>
          <w:sz w:val="26"/>
          <w:szCs w:val="26"/>
        </w:rPr>
        <w:t xml:space="preserve"> claiming PECO failed to investigate her billing</w:t>
      </w:r>
      <w:r w:rsidR="006E3B95">
        <w:rPr>
          <w:rFonts w:eastAsia="Calibri"/>
          <w:sz w:val="26"/>
          <w:szCs w:val="26"/>
        </w:rPr>
        <w:t xml:space="preserve"> concerns.  </w:t>
      </w:r>
      <w:r w:rsidR="00D87995">
        <w:rPr>
          <w:rFonts w:eastAsia="Calibri"/>
          <w:sz w:val="26"/>
          <w:szCs w:val="26"/>
        </w:rPr>
        <w:t>Exc. at 1, 3-4</w:t>
      </w:r>
      <w:r w:rsidR="00DA33BA">
        <w:rPr>
          <w:rFonts w:eastAsia="Calibri"/>
          <w:sz w:val="26"/>
          <w:szCs w:val="26"/>
        </w:rPr>
        <w:t xml:space="preserve"> (citing I.D. at 5 and 15)</w:t>
      </w:r>
      <w:r w:rsidR="00D87995">
        <w:rPr>
          <w:rFonts w:eastAsia="Calibri"/>
          <w:sz w:val="26"/>
          <w:szCs w:val="26"/>
        </w:rPr>
        <w:t xml:space="preserve">.  </w:t>
      </w:r>
      <w:r w:rsidR="0053484E">
        <w:rPr>
          <w:rFonts w:eastAsia="Calibri"/>
          <w:sz w:val="26"/>
          <w:szCs w:val="26"/>
        </w:rPr>
        <w:t xml:space="preserve">In response, PECO </w:t>
      </w:r>
      <w:r w:rsidR="0089762D">
        <w:rPr>
          <w:rFonts w:eastAsia="Calibri"/>
          <w:sz w:val="26"/>
          <w:szCs w:val="26"/>
        </w:rPr>
        <w:t>avers it</w:t>
      </w:r>
      <w:r w:rsidR="00D051A1">
        <w:rPr>
          <w:rFonts w:eastAsia="Calibri"/>
          <w:sz w:val="26"/>
          <w:szCs w:val="26"/>
        </w:rPr>
        <w:t xml:space="preserve"> conducted extensive investigations regarding the Complainant’s high bill concer</w:t>
      </w:r>
      <w:r w:rsidR="0089762D">
        <w:rPr>
          <w:rFonts w:eastAsia="Calibri"/>
          <w:sz w:val="26"/>
          <w:szCs w:val="26"/>
        </w:rPr>
        <w:t xml:space="preserve">ns.  Specifically, PECO </w:t>
      </w:r>
      <w:r w:rsidR="00F86A11">
        <w:rPr>
          <w:rFonts w:eastAsia="Calibri"/>
          <w:sz w:val="26"/>
          <w:szCs w:val="26"/>
        </w:rPr>
        <w:t xml:space="preserve">referenced the two field visits conducted by its investigator </w:t>
      </w:r>
      <w:r w:rsidR="00510512">
        <w:rPr>
          <w:rFonts w:eastAsia="Calibri"/>
          <w:sz w:val="26"/>
          <w:szCs w:val="26"/>
        </w:rPr>
        <w:t>i</w:t>
      </w:r>
      <w:r w:rsidR="00F86A11">
        <w:rPr>
          <w:rFonts w:eastAsia="Calibri"/>
          <w:sz w:val="26"/>
          <w:szCs w:val="26"/>
        </w:rPr>
        <w:t>n February and April of 2015</w:t>
      </w:r>
      <w:r w:rsidR="0083416B">
        <w:rPr>
          <w:rFonts w:eastAsia="Calibri"/>
          <w:sz w:val="26"/>
          <w:szCs w:val="26"/>
        </w:rPr>
        <w:t>,</w:t>
      </w:r>
      <w:r w:rsidR="00F86A11">
        <w:rPr>
          <w:rFonts w:eastAsia="Calibri"/>
          <w:sz w:val="26"/>
          <w:szCs w:val="26"/>
        </w:rPr>
        <w:t xml:space="preserve"> </w:t>
      </w:r>
      <w:r w:rsidR="00873D59">
        <w:rPr>
          <w:rFonts w:eastAsia="Calibri"/>
          <w:sz w:val="26"/>
          <w:szCs w:val="26"/>
        </w:rPr>
        <w:t xml:space="preserve">noting that various tests conducted on both visits revealed that </w:t>
      </w:r>
      <w:r w:rsidR="0083416B">
        <w:rPr>
          <w:rFonts w:eastAsia="Calibri"/>
          <w:sz w:val="26"/>
          <w:szCs w:val="26"/>
        </w:rPr>
        <w:t>the Company</w:t>
      </w:r>
      <w:r w:rsidR="00873D59">
        <w:rPr>
          <w:rFonts w:eastAsia="Calibri"/>
          <w:sz w:val="26"/>
          <w:szCs w:val="26"/>
        </w:rPr>
        <w:t xml:space="preserve"> accurately billed the Complainant.  </w:t>
      </w:r>
      <w:r w:rsidR="00D87995">
        <w:rPr>
          <w:rFonts w:eastAsia="Calibri"/>
          <w:sz w:val="26"/>
          <w:szCs w:val="26"/>
        </w:rPr>
        <w:t xml:space="preserve">PECO </w:t>
      </w:r>
      <w:r w:rsidR="00873D59">
        <w:rPr>
          <w:rFonts w:eastAsia="Calibri"/>
          <w:sz w:val="26"/>
          <w:szCs w:val="26"/>
        </w:rPr>
        <w:t>R. Exc. at 3.</w:t>
      </w:r>
    </w:p>
    <w:p w:rsidR="00834AD4" w:rsidRDefault="00834AD4" w:rsidP="002143F6">
      <w:pPr>
        <w:widowControl/>
        <w:spacing w:line="360" w:lineRule="auto"/>
        <w:ind w:firstLine="1440"/>
        <w:rPr>
          <w:rFonts w:eastAsia="Calibri"/>
          <w:sz w:val="26"/>
          <w:szCs w:val="26"/>
        </w:rPr>
      </w:pPr>
    </w:p>
    <w:p w:rsidR="0083416B" w:rsidRDefault="0083416B" w:rsidP="002143F6">
      <w:pPr>
        <w:widowControl/>
        <w:spacing w:line="360" w:lineRule="auto"/>
        <w:ind w:firstLine="1440"/>
        <w:rPr>
          <w:rFonts w:eastAsia="Calibri"/>
          <w:sz w:val="26"/>
          <w:szCs w:val="26"/>
        </w:rPr>
      </w:pPr>
      <w:r>
        <w:rPr>
          <w:rFonts w:eastAsia="Calibri"/>
          <w:sz w:val="26"/>
          <w:szCs w:val="26"/>
        </w:rPr>
        <w:t>In her Exception</w:t>
      </w:r>
      <w:r w:rsidR="00140843">
        <w:rPr>
          <w:rFonts w:eastAsia="Calibri"/>
          <w:sz w:val="26"/>
          <w:szCs w:val="26"/>
        </w:rPr>
        <w:t>s</w:t>
      </w:r>
      <w:r>
        <w:rPr>
          <w:rFonts w:eastAsia="Calibri"/>
          <w:sz w:val="26"/>
          <w:szCs w:val="26"/>
        </w:rPr>
        <w:t xml:space="preserve"> Nos. 4 and 5, the Complainant avers she </w:t>
      </w:r>
      <w:r w:rsidR="00623946">
        <w:rPr>
          <w:rFonts w:eastAsia="Calibri"/>
          <w:sz w:val="26"/>
          <w:szCs w:val="26"/>
        </w:rPr>
        <w:t xml:space="preserve">constantly disputed her bills and </w:t>
      </w:r>
      <w:r>
        <w:rPr>
          <w:rFonts w:eastAsia="Calibri"/>
          <w:sz w:val="26"/>
          <w:szCs w:val="26"/>
        </w:rPr>
        <w:t>never agreed to be enro</w:t>
      </w:r>
      <w:r w:rsidR="00623946">
        <w:rPr>
          <w:rFonts w:eastAsia="Calibri"/>
          <w:sz w:val="26"/>
          <w:szCs w:val="26"/>
        </w:rPr>
        <w:t xml:space="preserve">lled in budget billing.  The Complainant states that although PECO threatened to terminate her service, </w:t>
      </w:r>
      <w:r>
        <w:rPr>
          <w:rFonts w:eastAsia="Calibri"/>
          <w:sz w:val="26"/>
          <w:szCs w:val="26"/>
        </w:rPr>
        <w:t xml:space="preserve">PECO </w:t>
      </w:r>
      <w:r w:rsidR="00623946">
        <w:rPr>
          <w:rFonts w:eastAsia="Calibri"/>
          <w:sz w:val="26"/>
          <w:szCs w:val="26"/>
        </w:rPr>
        <w:t>did not follow-thro</w:t>
      </w:r>
      <w:r w:rsidR="004175A1">
        <w:rPr>
          <w:rFonts w:eastAsia="Calibri"/>
          <w:sz w:val="26"/>
          <w:szCs w:val="26"/>
        </w:rPr>
        <w:t>ugh with the threat possibly</w:t>
      </w:r>
      <w:r w:rsidR="00623946">
        <w:rPr>
          <w:rFonts w:eastAsia="Calibri"/>
          <w:sz w:val="26"/>
          <w:szCs w:val="26"/>
        </w:rPr>
        <w:t xml:space="preserve"> </w:t>
      </w:r>
      <w:r>
        <w:rPr>
          <w:rFonts w:eastAsia="Calibri"/>
          <w:sz w:val="26"/>
          <w:szCs w:val="26"/>
        </w:rPr>
        <w:t>because</w:t>
      </w:r>
      <w:r w:rsidR="009F30ED">
        <w:rPr>
          <w:rFonts w:eastAsia="Calibri"/>
          <w:sz w:val="26"/>
          <w:szCs w:val="26"/>
        </w:rPr>
        <w:t xml:space="preserve"> that</w:t>
      </w:r>
      <w:r>
        <w:rPr>
          <w:rFonts w:eastAsia="Calibri"/>
          <w:sz w:val="26"/>
          <w:szCs w:val="26"/>
        </w:rPr>
        <w:t xml:space="preserve"> would have impacted the landlord’s service.  </w:t>
      </w:r>
      <w:r w:rsidR="00100F96">
        <w:rPr>
          <w:rFonts w:eastAsia="Calibri"/>
          <w:sz w:val="26"/>
          <w:szCs w:val="26"/>
        </w:rPr>
        <w:t xml:space="preserve">Exc. at 1-2 (citing I.D. at 21-22).  </w:t>
      </w:r>
      <w:r>
        <w:rPr>
          <w:rFonts w:eastAsia="Calibri"/>
          <w:sz w:val="26"/>
          <w:szCs w:val="26"/>
        </w:rPr>
        <w:t xml:space="preserve">PECO </w:t>
      </w:r>
      <w:r w:rsidR="009221C1">
        <w:rPr>
          <w:rFonts w:eastAsia="Calibri"/>
          <w:sz w:val="26"/>
          <w:szCs w:val="26"/>
        </w:rPr>
        <w:t>rejoins that</w:t>
      </w:r>
      <w:r>
        <w:rPr>
          <w:rFonts w:eastAsia="Calibri"/>
          <w:sz w:val="26"/>
          <w:szCs w:val="26"/>
        </w:rPr>
        <w:t xml:space="preserve"> the Complainant was automatically enrolled in budget billing </w:t>
      </w:r>
      <w:r w:rsidR="00292D44">
        <w:rPr>
          <w:rFonts w:eastAsia="Calibri"/>
          <w:sz w:val="26"/>
          <w:szCs w:val="26"/>
        </w:rPr>
        <w:t>because of</w:t>
      </w:r>
      <w:r>
        <w:rPr>
          <w:rFonts w:eastAsia="Calibri"/>
          <w:sz w:val="26"/>
          <w:szCs w:val="26"/>
        </w:rPr>
        <w:t xml:space="preserve"> the Commission-issued payment arrangement.</w:t>
      </w:r>
      <w:r>
        <w:rPr>
          <w:rStyle w:val="FootnoteReference"/>
          <w:rFonts w:eastAsia="Calibri"/>
          <w:sz w:val="26"/>
          <w:szCs w:val="26"/>
        </w:rPr>
        <w:footnoteReference w:id="13"/>
      </w:r>
      <w:r>
        <w:rPr>
          <w:rFonts w:eastAsia="Calibri"/>
          <w:sz w:val="26"/>
          <w:szCs w:val="26"/>
        </w:rPr>
        <w:t xml:space="preserve">  </w:t>
      </w:r>
      <w:r w:rsidR="002F6016">
        <w:rPr>
          <w:rFonts w:eastAsia="Calibri"/>
          <w:sz w:val="26"/>
          <w:szCs w:val="26"/>
        </w:rPr>
        <w:t xml:space="preserve">PECO </w:t>
      </w:r>
      <w:r>
        <w:rPr>
          <w:rFonts w:eastAsia="Calibri"/>
          <w:sz w:val="26"/>
          <w:szCs w:val="26"/>
        </w:rPr>
        <w:t>R. Exc. at 4 (citing PECO Exh</w:t>
      </w:r>
      <w:r w:rsidR="00DF3CB5">
        <w:rPr>
          <w:rFonts w:eastAsia="Calibri"/>
          <w:sz w:val="26"/>
          <w:szCs w:val="26"/>
        </w:rPr>
        <w:t>s</w:t>
      </w:r>
      <w:r>
        <w:rPr>
          <w:rFonts w:eastAsia="Calibri"/>
          <w:sz w:val="26"/>
          <w:szCs w:val="26"/>
        </w:rPr>
        <w:t xml:space="preserve">. 8 and 9).  </w:t>
      </w:r>
      <w:r w:rsidR="00060887">
        <w:rPr>
          <w:rFonts w:eastAsia="Calibri"/>
          <w:sz w:val="26"/>
          <w:szCs w:val="26"/>
        </w:rPr>
        <w:t xml:space="preserve">PECO notes that </w:t>
      </w:r>
      <w:r w:rsidR="00CA5281">
        <w:rPr>
          <w:rFonts w:eastAsia="Calibri"/>
          <w:sz w:val="26"/>
          <w:szCs w:val="26"/>
        </w:rPr>
        <w:t>whenever</w:t>
      </w:r>
      <w:r w:rsidR="00060887">
        <w:rPr>
          <w:rFonts w:eastAsia="Calibri"/>
          <w:sz w:val="26"/>
          <w:szCs w:val="26"/>
        </w:rPr>
        <w:t xml:space="preserve"> a </w:t>
      </w:r>
      <w:r w:rsidR="00100F96">
        <w:rPr>
          <w:rFonts w:eastAsia="Calibri"/>
          <w:sz w:val="26"/>
          <w:szCs w:val="26"/>
        </w:rPr>
        <w:t xml:space="preserve">complainant </w:t>
      </w:r>
      <w:r w:rsidR="00060887">
        <w:rPr>
          <w:rFonts w:eastAsia="Calibri"/>
          <w:sz w:val="26"/>
          <w:szCs w:val="26"/>
        </w:rPr>
        <w:t xml:space="preserve">receives a Commission-issued payment arrangement, they are automatically enrolled in budget billing.  Moreover, according to PECO, the Complainant never requested to be removed from budget billing after she defaulted on the payment arrangement on February 8, 2016, due to non-payment.  </w:t>
      </w:r>
      <w:r w:rsidR="002F6016">
        <w:rPr>
          <w:rFonts w:eastAsia="Calibri"/>
          <w:sz w:val="26"/>
          <w:szCs w:val="26"/>
        </w:rPr>
        <w:t xml:space="preserve">PECO </w:t>
      </w:r>
      <w:r w:rsidR="00060887">
        <w:rPr>
          <w:rFonts w:eastAsia="Calibri"/>
          <w:sz w:val="26"/>
          <w:szCs w:val="26"/>
        </w:rPr>
        <w:t xml:space="preserve">R. Exc. at 4.  In addition, PECO asserts that although the Complainant had a poor payment history, it </w:t>
      </w:r>
      <w:r w:rsidR="00100F96">
        <w:rPr>
          <w:rFonts w:eastAsia="Calibri"/>
          <w:sz w:val="26"/>
          <w:szCs w:val="26"/>
        </w:rPr>
        <w:t xml:space="preserve">did not </w:t>
      </w:r>
      <w:r w:rsidR="00060887">
        <w:rPr>
          <w:rFonts w:eastAsia="Calibri"/>
          <w:sz w:val="26"/>
          <w:szCs w:val="26"/>
        </w:rPr>
        <w:t xml:space="preserve">terminate her service due to the several complaints she filed both with the Company and the Commission.  </w:t>
      </w:r>
      <w:r w:rsidR="00816DEB">
        <w:rPr>
          <w:rFonts w:eastAsia="Calibri"/>
          <w:sz w:val="26"/>
          <w:szCs w:val="26"/>
        </w:rPr>
        <w:t xml:space="preserve">PECO avers it </w:t>
      </w:r>
      <w:r w:rsidR="009F30ED">
        <w:rPr>
          <w:rFonts w:eastAsia="Calibri"/>
          <w:sz w:val="26"/>
          <w:szCs w:val="26"/>
        </w:rPr>
        <w:t xml:space="preserve">was </w:t>
      </w:r>
      <w:r w:rsidR="00486C39">
        <w:rPr>
          <w:rFonts w:eastAsia="Calibri"/>
          <w:sz w:val="26"/>
          <w:szCs w:val="26"/>
        </w:rPr>
        <w:t xml:space="preserve">only </w:t>
      </w:r>
      <w:r w:rsidR="00816DEB">
        <w:rPr>
          <w:rFonts w:eastAsia="Calibri"/>
          <w:sz w:val="26"/>
          <w:szCs w:val="26"/>
        </w:rPr>
        <w:t xml:space="preserve">complying with Commission’s Regulations that prevent service termination while a dispute is pending.  </w:t>
      </w:r>
      <w:r w:rsidR="00060887" w:rsidRPr="00816DEB">
        <w:rPr>
          <w:rFonts w:eastAsia="Calibri"/>
          <w:i/>
          <w:sz w:val="26"/>
          <w:szCs w:val="26"/>
        </w:rPr>
        <w:t xml:space="preserve">Id. </w:t>
      </w:r>
      <w:r w:rsidR="00060887">
        <w:rPr>
          <w:rFonts w:eastAsia="Calibri"/>
          <w:sz w:val="26"/>
          <w:szCs w:val="26"/>
        </w:rPr>
        <w:t>at 4-5 (citing PECO Exh</w:t>
      </w:r>
      <w:r w:rsidR="00A36D89">
        <w:rPr>
          <w:rFonts w:eastAsia="Calibri"/>
          <w:sz w:val="26"/>
          <w:szCs w:val="26"/>
        </w:rPr>
        <w:t>s</w:t>
      </w:r>
      <w:r w:rsidR="00060887">
        <w:rPr>
          <w:rFonts w:eastAsia="Calibri"/>
          <w:sz w:val="26"/>
          <w:szCs w:val="26"/>
        </w:rPr>
        <w:t>.</w:t>
      </w:r>
      <w:r w:rsidR="00BE127E">
        <w:rPr>
          <w:rFonts w:eastAsia="Calibri"/>
          <w:sz w:val="26"/>
          <w:szCs w:val="26"/>
        </w:rPr>
        <w:t> </w:t>
      </w:r>
      <w:r w:rsidR="00060887">
        <w:rPr>
          <w:rFonts w:eastAsia="Calibri"/>
          <w:sz w:val="26"/>
          <w:szCs w:val="26"/>
        </w:rPr>
        <w:t>2 and 8</w:t>
      </w:r>
      <w:r w:rsidR="00100F96">
        <w:rPr>
          <w:rFonts w:eastAsia="Calibri"/>
          <w:sz w:val="26"/>
          <w:szCs w:val="26"/>
        </w:rPr>
        <w:t>)</w:t>
      </w:r>
      <w:r w:rsidR="00816DEB">
        <w:rPr>
          <w:rFonts w:eastAsia="Calibri"/>
          <w:sz w:val="26"/>
          <w:szCs w:val="26"/>
        </w:rPr>
        <w:t>.</w:t>
      </w:r>
    </w:p>
    <w:p w:rsidR="00834AD4" w:rsidRDefault="00834AD4" w:rsidP="002143F6">
      <w:pPr>
        <w:widowControl/>
        <w:spacing w:line="360" w:lineRule="auto"/>
        <w:ind w:firstLine="1440"/>
        <w:rPr>
          <w:rFonts w:eastAsia="Calibri"/>
          <w:sz w:val="26"/>
          <w:szCs w:val="26"/>
        </w:rPr>
      </w:pPr>
    </w:p>
    <w:p w:rsidR="000F090A" w:rsidRDefault="000F090A" w:rsidP="002143F6">
      <w:pPr>
        <w:widowControl/>
        <w:spacing w:line="360" w:lineRule="auto"/>
        <w:ind w:firstLine="1440"/>
        <w:rPr>
          <w:rFonts w:eastAsia="Calibri"/>
          <w:sz w:val="26"/>
          <w:szCs w:val="26"/>
        </w:rPr>
      </w:pPr>
      <w:r>
        <w:rPr>
          <w:rFonts w:eastAsia="Calibri"/>
          <w:sz w:val="26"/>
          <w:szCs w:val="26"/>
        </w:rPr>
        <w:t>In her Exception</w:t>
      </w:r>
      <w:r w:rsidR="00DF3CB5">
        <w:rPr>
          <w:rFonts w:eastAsia="Calibri"/>
          <w:sz w:val="26"/>
          <w:szCs w:val="26"/>
        </w:rPr>
        <w:t>s</w:t>
      </w:r>
      <w:r>
        <w:rPr>
          <w:rFonts w:eastAsia="Calibri"/>
          <w:sz w:val="26"/>
          <w:szCs w:val="26"/>
        </w:rPr>
        <w:t xml:space="preserve"> Nos. 7 and 16</w:t>
      </w:r>
      <w:r w:rsidR="00313AA9">
        <w:rPr>
          <w:rFonts w:eastAsia="Calibri"/>
          <w:sz w:val="26"/>
          <w:szCs w:val="26"/>
        </w:rPr>
        <w:t xml:space="preserve">, the Complainant </w:t>
      </w:r>
      <w:r>
        <w:rPr>
          <w:rFonts w:eastAsia="Calibri"/>
          <w:sz w:val="26"/>
          <w:szCs w:val="26"/>
        </w:rPr>
        <w:t xml:space="preserve">asserts that based on PECO’s testimony, there was </w:t>
      </w:r>
      <w:r w:rsidR="00BE127E">
        <w:rPr>
          <w:rFonts w:eastAsia="Calibri"/>
          <w:sz w:val="26"/>
          <w:szCs w:val="26"/>
        </w:rPr>
        <w:t xml:space="preserve">a </w:t>
      </w:r>
      <w:r>
        <w:rPr>
          <w:rFonts w:eastAsia="Calibri"/>
          <w:sz w:val="26"/>
          <w:szCs w:val="26"/>
        </w:rPr>
        <w:t xml:space="preserve">meter mix up which she believes proves predatory and unfair billing practices on the part of PECO.  </w:t>
      </w:r>
      <w:r w:rsidR="00A9691A">
        <w:rPr>
          <w:rFonts w:eastAsia="Calibri"/>
          <w:sz w:val="26"/>
          <w:szCs w:val="26"/>
        </w:rPr>
        <w:t xml:space="preserve">The Complainant alleges erroneous and erratic billing </w:t>
      </w:r>
      <w:r w:rsidR="0089457E">
        <w:rPr>
          <w:rFonts w:eastAsia="Calibri"/>
          <w:sz w:val="26"/>
          <w:szCs w:val="26"/>
        </w:rPr>
        <w:t>by</w:t>
      </w:r>
      <w:r w:rsidR="00A9691A">
        <w:rPr>
          <w:rFonts w:eastAsia="Calibri"/>
          <w:sz w:val="26"/>
          <w:szCs w:val="26"/>
        </w:rPr>
        <w:t xml:space="preserve"> PECO and </w:t>
      </w:r>
      <w:r w:rsidR="00BE127E">
        <w:rPr>
          <w:rFonts w:eastAsia="Calibri"/>
          <w:sz w:val="26"/>
          <w:szCs w:val="26"/>
        </w:rPr>
        <w:t xml:space="preserve">avers </w:t>
      </w:r>
      <w:r w:rsidR="00A9691A">
        <w:rPr>
          <w:rFonts w:eastAsia="Calibri"/>
          <w:sz w:val="26"/>
          <w:szCs w:val="26"/>
        </w:rPr>
        <w:t xml:space="preserve">that the evidence on record clearly shows that PECO overbilled her for the first-floor unit.  </w:t>
      </w:r>
      <w:r>
        <w:rPr>
          <w:rFonts w:eastAsia="Calibri"/>
          <w:sz w:val="26"/>
          <w:szCs w:val="26"/>
        </w:rPr>
        <w:t>Exc. at 2 and 4</w:t>
      </w:r>
      <w:r w:rsidR="00A9691A">
        <w:rPr>
          <w:rFonts w:eastAsia="Calibri"/>
          <w:sz w:val="26"/>
          <w:szCs w:val="26"/>
        </w:rPr>
        <w:t xml:space="preserve"> (citing I.D</w:t>
      </w:r>
      <w:r w:rsidR="00C20A11">
        <w:rPr>
          <w:rFonts w:eastAsia="Calibri"/>
          <w:sz w:val="26"/>
          <w:szCs w:val="26"/>
        </w:rPr>
        <w:t xml:space="preserve">. at 5, 9, 11; Tr. </w:t>
      </w:r>
      <w:r w:rsidR="00DF57D7">
        <w:rPr>
          <w:rFonts w:eastAsia="Calibri"/>
          <w:sz w:val="26"/>
          <w:szCs w:val="26"/>
        </w:rPr>
        <w:t>at 60</w:t>
      </w:r>
      <w:r w:rsidR="00A9691A">
        <w:rPr>
          <w:rFonts w:eastAsia="Calibri"/>
          <w:sz w:val="26"/>
          <w:szCs w:val="26"/>
        </w:rPr>
        <w:t>-62)</w:t>
      </w:r>
      <w:r>
        <w:rPr>
          <w:rFonts w:eastAsia="Calibri"/>
          <w:sz w:val="26"/>
          <w:szCs w:val="26"/>
        </w:rPr>
        <w:t>.  In response, PECO a</w:t>
      </w:r>
      <w:r w:rsidR="00EB27AC">
        <w:rPr>
          <w:rFonts w:eastAsia="Calibri"/>
          <w:sz w:val="26"/>
          <w:szCs w:val="26"/>
        </w:rPr>
        <w:t>cknowledges</w:t>
      </w:r>
      <w:r>
        <w:rPr>
          <w:rFonts w:eastAsia="Calibri"/>
          <w:sz w:val="26"/>
          <w:szCs w:val="26"/>
        </w:rPr>
        <w:t xml:space="preserve"> that during the April 2015 visit, the investigator found there was meter mix up betwee</w:t>
      </w:r>
      <w:r w:rsidR="0089457E">
        <w:rPr>
          <w:rFonts w:eastAsia="Calibri"/>
          <w:sz w:val="26"/>
          <w:szCs w:val="26"/>
        </w:rPr>
        <w:t>n the first</w:t>
      </w:r>
      <w:r w:rsidR="00486C39">
        <w:rPr>
          <w:rFonts w:eastAsia="Calibri"/>
          <w:sz w:val="26"/>
          <w:szCs w:val="26"/>
        </w:rPr>
        <w:t>-floor and the third-floor meters</w:t>
      </w:r>
      <w:r>
        <w:rPr>
          <w:rFonts w:eastAsia="Calibri"/>
          <w:sz w:val="26"/>
          <w:szCs w:val="26"/>
        </w:rPr>
        <w:t xml:space="preserve">.  PECO, however, notes that </w:t>
      </w:r>
      <w:r w:rsidR="00055D78">
        <w:rPr>
          <w:rFonts w:eastAsia="Calibri"/>
          <w:sz w:val="26"/>
          <w:szCs w:val="26"/>
        </w:rPr>
        <w:t xml:space="preserve">upon discovering the mix up, the </w:t>
      </w:r>
      <w:r w:rsidR="00EB27AC">
        <w:rPr>
          <w:rFonts w:eastAsia="Calibri"/>
          <w:sz w:val="26"/>
          <w:szCs w:val="26"/>
        </w:rPr>
        <w:t xml:space="preserve">investigator </w:t>
      </w:r>
      <w:r w:rsidR="00CA5281">
        <w:rPr>
          <w:rFonts w:eastAsia="Calibri"/>
          <w:sz w:val="26"/>
          <w:szCs w:val="26"/>
        </w:rPr>
        <w:t xml:space="preserve">immediately </w:t>
      </w:r>
      <w:r w:rsidR="00180956">
        <w:rPr>
          <w:rFonts w:eastAsia="Calibri"/>
          <w:sz w:val="26"/>
          <w:szCs w:val="26"/>
        </w:rPr>
        <w:t xml:space="preserve">corrected it and </w:t>
      </w:r>
      <w:r w:rsidR="00EB27AC">
        <w:rPr>
          <w:rFonts w:eastAsia="Calibri"/>
          <w:sz w:val="26"/>
          <w:szCs w:val="26"/>
        </w:rPr>
        <w:t xml:space="preserve">the Complainant’s account </w:t>
      </w:r>
      <w:r w:rsidR="00180956">
        <w:rPr>
          <w:rFonts w:eastAsia="Calibri"/>
          <w:sz w:val="26"/>
          <w:szCs w:val="26"/>
        </w:rPr>
        <w:t xml:space="preserve">was credited </w:t>
      </w:r>
      <w:r w:rsidR="00EB27AC">
        <w:rPr>
          <w:rFonts w:eastAsia="Calibri"/>
          <w:sz w:val="26"/>
          <w:szCs w:val="26"/>
        </w:rPr>
        <w:t xml:space="preserve">in the amount </w:t>
      </w:r>
      <w:r w:rsidR="00055D78">
        <w:rPr>
          <w:rFonts w:eastAsia="Calibri"/>
          <w:sz w:val="26"/>
          <w:szCs w:val="26"/>
        </w:rPr>
        <w:t>of $200</w:t>
      </w:r>
      <w:r w:rsidR="00EB27AC">
        <w:rPr>
          <w:rFonts w:eastAsia="Calibri"/>
          <w:sz w:val="26"/>
          <w:szCs w:val="26"/>
        </w:rPr>
        <w:t>.36</w:t>
      </w:r>
      <w:r w:rsidR="00055D78">
        <w:rPr>
          <w:rFonts w:eastAsia="Calibri"/>
          <w:sz w:val="26"/>
          <w:szCs w:val="26"/>
        </w:rPr>
        <w:t xml:space="preserve">.  PECO </w:t>
      </w:r>
      <w:r w:rsidR="00F1229E">
        <w:rPr>
          <w:rFonts w:eastAsia="Calibri"/>
          <w:sz w:val="26"/>
          <w:szCs w:val="26"/>
        </w:rPr>
        <w:t xml:space="preserve">submits </w:t>
      </w:r>
      <w:r w:rsidR="00055D78">
        <w:rPr>
          <w:rFonts w:eastAsia="Calibri"/>
          <w:sz w:val="26"/>
          <w:szCs w:val="26"/>
        </w:rPr>
        <w:t xml:space="preserve">that its prompt response </w:t>
      </w:r>
      <w:r w:rsidR="00EB27AC">
        <w:rPr>
          <w:rFonts w:eastAsia="Calibri"/>
          <w:sz w:val="26"/>
          <w:szCs w:val="26"/>
        </w:rPr>
        <w:t xml:space="preserve">in correcting and crediting the Complainant’s account </w:t>
      </w:r>
      <w:r w:rsidR="00055D78">
        <w:rPr>
          <w:rFonts w:eastAsia="Calibri"/>
          <w:sz w:val="26"/>
          <w:szCs w:val="26"/>
        </w:rPr>
        <w:t>upon discovering the meter mix up</w:t>
      </w:r>
      <w:r w:rsidR="00EB27AC">
        <w:rPr>
          <w:rFonts w:eastAsia="Calibri"/>
          <w:sz w:val="26"/>
          <w:szCs w:val="26"/>
        </w:rPr>
        <w:t xml:space="preserve"> shows there w</w:t>
      </w:r>
      <w:r w:rsidR="00DF3CB5">
        <w:rPr>
          <w:rFonts w:eastAsia="Calibri"/>
          <w:sz w:val="26"/>
          <w:szCs w:val="26"/>
        </w:rPr>
        <w:t>ere</w:t>
      </w:r>
      <w:r w:rsidR="00EB27AC">
        <w:rPr>
          <w:rFonts w:eastAsia="Calibri"/>
          <w:sz w:val="26"/>
          <w:szCs w:val="26"/>
        </w:rPr>
        <w:t xml:space="preserve"> no predatory or unfair billing practices on the part of PECO</w:t>
      </w:r>
      <w:r w:rsidR="00055D78">
        <w:rPr>
          <w:rFonts w:eastAsia="Calibri"/>
          <w:sz w:val="26"/>
          <w:szCs w:val="26"/>
        </w:rPr>
        <w:t xml:space="preserve">.  </w:t>
      </w:r>
      <w:r w:rsidR="002F6016">
        <w:rPr>
          <w:rFonts w:eastAsia="Calibri"/>
          <w:sz w:val="26"/>
          <w:szCs w:val="26"/>
        </w:rPr>
        <w:t xml:space="preserve">PECO </w:t>
      </w:r>
      <w:r w:rsidR="00055D78">
        <w:rPr>
          <w:rFonts w:eastAsia="Calibri"/>
          <w:sz w:val="26"/>
          <w:szCs w:val="26"/>
        </w:rPr>
        <w:t>R. Exc. at 5-6 (citing PECO Exh</w:t>
      </w:r>
      <w:r w:rsidR="00A36D89">
        <w:rPr>
          <w:rFonts w:eastAsia="Calibri"/>
          <w:sz w:val="26"/>
          <w:szCs w:val="26"/>
        </w:rPr>
        <w:t>s</w:t>
      </w:r>
      <w:r w:rsidR="00055D78">
        <w:rPr>
          <w:rFonts w:eastAsia="Calibri"/>
          <w:sz w:val="26"/>
          <w:szCs w:val="26"/>
        </w:rPr>
        <w:t>. 1 and 5).</w:t>
      </w:r>
    </w:p>
    <w:p w:rsidR="000F090A" w:rsidRDefault="000F090A" w:rsidP="002143F6">
      <w:pPr>
        <w:widowControl/>
        <w:spacing w:line="360" w:lineRule="auto"/>
        <w:ind w:firstLine="1440"/>
        <w:rPr>
          <w:rFonts w:eastAsia="Calibri"/>
          <w:sz w:val="26"/>
          <w:szCs w:val="26"/>
        </w:rPr>
      </w:pPr>
    </w:p>
    <w:p w:rsidR="00055D78" w:rsidRDefault="00055D78" w:rsidP="002143F6">
      <w:pPr>
        <w:widowControl/>
        <w:spacing w:line="360" w:lineRule="auto"/>
        <w:ind w:firstLine="1440"/>
        <w:rPr>
          <w:rFonts w:eastAsia="Calibri"/>
          <w:sz w:val="26"/>
          <w:szCs w:val="26"/>
        </w:rPr>
      </w:pPr>
      <w:r>
        <w:rPr>
          <w:rFonts w:eastAsia="Calibri"/>
          <w:sz w:val="26"/>
          <w:szCs w:val="26"/>
        </w:rPr>
        <w:t>In her Exception</w:t>
      </w:r>
      <w:r w:rsidR="008E0B1A">
        <w:rPr>
          <w:rFonts w:eastAsia="Calibri"/>
          <w:sz w:val="26"/>
          <w:szCs w:val="26"/>
        </w:rPr>
        <w:t>s</w:t>
      </w:r>
      <w:r>
        <w:rPr>
          <w:rFonts w:eastAsia="Calibri"/>
          <w:sz w:val="26"/>
          <w:szCs w:val="26"/>
        </w:rPr>
        <w:t xml:space="preserve"> Nos. 8, 10 and 12, the Complainant avers that her landlord had</w:t>
      </w:r>
      <w:r w:rsidR="00736F1D">
        <w:rPr>
          <w:rFonts w:eastAsia="Calibri"/>
          <w:sz w:val="26"/>
          <w:szCs w:val="26"/>
        </w:rPr>
        <w:t xml:space="preserve"> two restaurants at </w:t>
      </w:r>
      <w:r w:rsidR="00C20A11">
        <w:rPr>
          <w:rFonts w:eastAsia="Calibri"/>
          <w:sz w:val="26"/>
          <w:szCs w:val="26"/>
        </w:rPr>
        <w:t>the Service</w:t>
      </w:r>
      <w:r w:rsidR="00D45A36">
        <w:rPr>
          <w:rFonts w:eastAsia="Calibri"/>
          <w:sz w:val="26"/>
          <w:szCs w:val="26"/>
        </w:rPr>
        <w:t xml:space="preserve"> Address </w:t>
      </w:r>
      <w:r>
        <w:rPr>
          <w:rFonts w:eastAsia="Calibri"/>
          <w:sz w:val="26"/>
          <w:szCs w:val="26"/>
        </w:rPr>
        <w:t>and also has</w:t>
      </w:r>
      <w:r w:rsidR="0089457E">
        <w:rPr>
          <w:rFonts w:eastAsia="Calibri"/>
          <w:sz w:val="26"/>
          <w:szCs w:val="26"/>
        </w:rPr>
        <w:t xml:space="preserve"> family residing at the property</w:t>
      </w:r>
      <w:r>
        <w:rPr>
          <w:rFonts w:eastAsia="Calibri"/>
          <w:sz w:val="26"/>
          <w:szCs w:val="26"/>
        </w:rPr>
        <w:t>.  The Complainant</w:t>
      </w:r>
      <w:r w:rsidR="001C550C">
        <w:rPr>
          <w:rFonts w:eastAsia="Calibri"/>
          <w:sz w:val="26"/>
          <w:szCs w:val="26"/>
        </w:rPr>
        <w:t xml:space="preserve"> states</w:t>
      </w:r>
      <w:r>
        <w:rPr>
          <w:rFonts w:eastAsia="Calibri"/>
          <w:sz w:val="26"/>
          <w:szCs w:val="26"/>
        </w:rPr>
        <w:t xml:space="preserve"> </w:t>
      </w:r>
      <w:r w:rsidR="00D45A36">
        <w:rPr>
          <w:rFonts w:eastAsia="Calibri"/>
          <w:sz w:val="26"/>
          <w:szCs w:val="26"/>
        </w:rPr>
        <w:t xml:space="preserve">the ALJ ignored the fact that </w:t>
      </w:r>
      <w:r>
        <w:rPr>
          <w:rFonts w:eastAsia="Calibri"/>
          <w:sz w:val="26"/>
          <w:szCs w:val="26"/>
        </w:rPr>
        <w:t xml:space="preserve">she </w:t>
      </w:r>
      <w:r w:rsidR="00D45A36">
        <w:rPr>
          <w:rFonts w:eastAsia="Calibri"/>
          <w:sz w:val="26"/>
          <w:szCs w:val="26"/>
        </w:rPr>
        <w:t>presented</w:t>
      </w:r>
      <w:r>
        <w:rPr>
          <w:rFonts w:eastAsia="Calibri"/>
          <w:sz w:val="26"/>
          <w:szCs w:val="26"/>
        </w:rPr>
        <w:t xml:space="preserve"> pictures of her landlord taking apart wiring and that her landlord was freely able to tap into her electricity to minimize his expenses.  </w:t>
      </w:r>
      <w:r w:rsidR="001C550C">
        <w:rPr>
          <w:rFonts w:eastAsia="Calibri"/>
          <w:sz w:val="26"/>
          <w:szCs w:val="26"/>
        </w:rPr>
        <w:t>Exc. at 2-3</w:t>
      </w:r>
      <w:r w:rsidR="00D45A36">
        <w:rPr>
          <w:rFonts w:eastAsia="Calibri"/>
          <w:sz w:val="26"/>
          <w:szCs w:val="26"/>
        </w:rPr>
        <w:t xml:space="preserve"> (citing I.D. at 4)</w:t>
      </w:r>
      <w:r w:rsidR="001C550C">
        <w:rPr>
          <w:rFonts w:eastAsia="Calibri"/>
          <w:sz w:val="26"/>
          <w:szCs w:val="26"/>
        </w:rPr>
        <w:t xml:space="preserve">. </w:t>
      </w:r>
      <w:r w:rsidR="00845FA0">
        <w:rPr>
          <w:rFonts w:eastAsia="Calibri"/>
          <w:sz w:val="26"/>
          <w:szCs w:val="26"/>
        </w:rPr>
        <w:t xml:space="preserve">PECO </w:t>
      </w:r>
      <w:r w:rsidR="009221C1">
        <w:rPr>
          <w:rFonts w:eastAsia="Calibri"/>
          <w:sz w:val="26"/>
          <w:szCs w:val="26"/>
        </w:rPr>
        <w:t>replies</w:t>
      </w:r>
      <w:r w:rsidR="00845FA0">
        <w:rPr>
          <w:rFonts w:eastAsia="Calibri"/>
          <w:sz w:val="26"/>
          <w:szCs w:val="26"/>
        </w:rPr>
        <w:t xml:space="preserve"> that while there is clearly a dispute between the Complainant and her landlord, </w:t>
      </w:r>
      <w:r w:rsidR="00412F8D">
        <w:rPr>
          <w:rFonts w:eastAsia="Calibri"/>
          <w:sz w:val="26"/>
          <w:szCs w:val="26"/>
        </w:rPr>
        <w:t xml:space="preserve">PECO cannot be involved in landlord-tenant disputes.  PECO believes a dispute between the Complainant and her landlord </w:t>
      </w:r>
      <w:r w:rsidR="003A0814">
        <w:rPr>
          <w:rFonts w:eastAsia="Calibri"/>
          <w:sz w:val="26"/>
          <w:szCs w:val="26"/>
        </w:rPr>
        <w:t>should</w:t>
      </w:r>
      <w:r w:rsidR="00412F8D">
        <w:rPr>
          <w:rFonts w:eastAsia="Calibri"/>
          <w:sz w:val="26"/>
          <w:szCs w:val="26"/>
        </w:rPr>
        <w:t xml:space="preserve"> not </w:t>
      </w:r>
      <w:r w:rsidR="003A0814">
        <w:rPr>
          <w:rFonts w:eastAsia="Calibri"/>
          <w:sz w:val="26"/>
          <w:szCs w:val="26"/>
        </w:rPr>
        <w:t xml:space="preserve">be </w:t>
      </w:r>
      <w:r w:rsidR="00412F8D">
        <w:rPr>
          <w:rFonts w:eastAsia="Calibri"/>
          <w:sz w:val="26"/>
          <w:szCs w:val="26"/>
        </w:rPr>
        <w:t xml:space="preserve">a basis </w:t>
      </w:r>
      <w:r w:rsidR="008F1CCF">
        <w:rPr>
          <w:rFonts w:eastAsia="Calibri"/>
          <w:sz w:val="26"/>
          <w:szCs w:val="26"/>
        </w:rPr>
        <w:t>for the Complainant to</w:t>
      </w:r>
      <w:r w:rsidR="00412F8D">
        <w:rPr>
          <w:rFonts w:eastAsia="Calibri"/>
          <w:sz w:val="26"/>
          <w:szCs w:val="26"/>
        </w:rPr>
        <w:t xml:space="preserve"> challenge PECO’s billing practices or </w:t>
      </w:r>
      <w:r w:rsidR="008F1CCF">
        <w:rPr>
          <w:rFonts w:eastAsia="Calibri"/>
          <w:sz w:val="26"/>
          <w:szCs w:val="26"/>
        </w:rPr>
        <w:t>PECO’s handling of the C</w:t>
      </w:r>
      <w:r w:rsidR="003A0814">
        <w:rPr>
          <w:rFonts w:eastAsia="Calibri"/>
          <w:sz w:val="26"/>
          <w:szCs w:val="26"/>
        </w:rPr>
        <w:t>omplainant’s high bill concerns</w:t>
      </w:r>
      <w:r w:rsidR="008F1CCF">
        <w:rPr>
          <w:rFonts w:eastAsia="Calibri"/>
          <w:sz w:val="26"/>
          <w:szCs w:val="26"/>
        </w:rPr>
        <w:t xml:space="preserve">.  PECO asserts the Complainant has failed to prove in this proceeding that there was foreign load at the Service Address.  </w:t>
      </w:r>
      <w:r w:rsidR="00DE2A15">
        <w:rPr>
          <w:rFonts w:eastAsia="Calibri"/>
          <w:sz w:val="26"/>
          <w:szCs w:val="26"/>
        </w:rPr>
        <w:t xml:space="preserve">PECO </w:t>
      </w:r>
      <w:r w:rsidR="008F1CCF">
        <w:rPr>
          <w:rFonts w:eastAsia="Calibri"/>
          <w:sz w:val="26"/>
          <w:szCs w:val="26"/>
        </w:rPr>
        <w:t xml:space="preserve">R. Exc. at 6-7.  </w:t>
      </w:r>
    </w:p>
    <w:p w:rsidR="00055D78" w:rsidRDefault="00055D78" w:rsidP="002143F6">
      <w:pPr>
        <w:widowControl/>
        <w:spacing w:line="360" w:lineRule="auto"/>
        <w:ind w:firstLine="1440"/>
        <w:rPr>
          <w:rFonts w:eastAsia="Calibri"/>
          <w:sz w:val="26"/>
          <w:szCs w:val="26"/>
        </w:rPr>
      </w:pPr>
    </w:p>
    <w:p w:rsidR="00834AD4" w:rsidRDefault="000B5FF8" w:rsidP="002143F6">
      <w:pPr>
        <w:widowControl/>
        <w:spacing w:line="360" w:lineRule="auto"/>
        <w:ind w:firstLine="1440"/>
        <w:rPr>
          <w:rFonts w:eastAsia="Calibri"/>
          <w:sz w:val="26"/>
          <w:szCs w:val="26"/>
        </w:rPr>
      </w:pPr>
      <w:r>
        <w:rPr>
          <w:rFonts w:eastAsia="Calibri"/>
          <w:sz w:val="26"/>
          <w:szCs w:val="26"/>
        </w:rPr>
        <w:t>In her Exception</w:t>
      </w:r>
      <w:r w:rsidR="00C4421F">
        <w:rPr>
          <w:rFonts w:eastAsia="Calibri"/>
          <w:sz w:val="26"/>
          <w:szCs w:val="26"/>
        </w:rPr>
        <w:t>s</w:t>
      </w:r>
      <w:r>
        <w:rPr>
          <w:rFonts w:eastAsia="Calibri"/>
          <w:sz w:val="26"/>
          <w:szCs w:val="26"/>
        </w:rPr>
        <w:t xml:space="preserve"> Nos. 14 and 17, the Complainant </w:t>
      </w:r>
      <w:r w:rsidR="00C26404">
        <w:rPr>
          <w:rFonts w:eastAsia="Calibri"/>
          <w:sz w:val="26"/>
          <w:szCs w:val="26"/>
        </w:rPr>
        <w:t>avers that</w:t>
      </w:r>
      <w:r w:rsidR="00D87995">
        <w:rPr>
          <w:rFonts w:eastAsia="Calibri"/>
          <w:sz w:val="26"/>
          <w:szCs w:val="26"/>
        </w:rPr>
        <w:t xml:space="preserve"> the differences </w:t>
      </w:r>
      <w:r w:rsidR="00D255DC">
        <w:rPr>
          <w:rFonts w:eastAsia="Calibri"/>
          <w:sz w:val="26"/>
          <w:szCs w:val="26"/>
        </w:rPr>
        <w:t>in</w:t>
      </w:r>
      <w:r w:rsidR="00D87995">
        <w:rPr>
          <w:rFonts w:eastAsia="Calibri"/>
          <w:sz w:val="26"/>
          <w:szCs w:val="26"/>
        </w:rPr>
        <w:t xml:space="preserve"> the estimated charges an</w:t>
      </w:r>
      <w:r w:rsidR="0023005D">
        <w:rPr>
          <w:rFonts w:eastAsia="Calibri"/>
          <w:sz w:val="26"/>
          <w:szCs w:val="26"/>
        </w:rPr>
        <w:t>d the revised charges in the bills PECO issued her</w:t>
      </w:r>
      <w:r w:rsidR="00D87995">
        <w:rPr>
          <w:rFonts w:eastAsia="Calibri"/>
          <w:sz w:val="26"/>
          <w:szCs w:val="26"/>
        </w:rPr>
        <w:t xml:space="preserve"> is a testament to PECO’s predatory billing practices.  The Complainant </w:t>
      </w:r>
      <w:r w:rsidR="0023005D">
        <w:rPr>
          <w:rFonts w:eastAsia="Calibri"/>
          <w:sz w:val="26"/>
          <w:szCs w:val="26"/>
        </w:rPr>
        <w:t>asserts</w:t>
      </w:r>
      <w:r w:rsidR="00D87995">
        <w:rPr>
          <w:rFonts w:eastAsia="Calibri"/>
          <w:sz w:val="26"/>
          <w:szCs w:val="26"/>
        </w:rPr>
        <w:t xml:space="preserve"> that PECO issued estimated bills </w:t>
      </w:r>
      <w:r w:rsidR="00D255DC">
        <w:rPr>
          <w:rFonts w:eastAsia="Calibri"/>
          <w:sz w:val="26"/>
          <w:szCs w:val="26"/>
        </w:rPr>
        <w:t xml:space="preserve">as a </w:t>
      </w:r>
      <w:r w:rsidR="00D87995">
        <w:rPr>
          <w:rFonts w:eastAsia="Calibri"/>
          <w:sz w:val="26"/>
          <w:szCs w:val="26"/>
        </w:rPr>
        <w:t xml:space="preserve">cover up </w:t>
      </w:r>
      <w:r w:rsidR="00BC1111">
        <w:rPr>
          <w:rFonts w:eastAsia="Calibri"/>
          <w:sz w:val="26"/>
          <w:szCs w:val="26"/>
        </w:rPr>
        <w:t xml:space="preserve">for </w:t>
      </w:r>
      <w:r w:rsidR="00D87995">
        <w:rPr>
          <w:rFonts w:eastAsia="Calibri"/>
          <w:sz w:val="26"/>
          <w:szCs w:val="26"/>
        </w:rPr>
        <w:t xml:space="preserve">its </w:t>
      </w:r>
      <w:r w:rsidR="0023005D">
        <w:rPr>
          <w:rFonts w:eastAsia="Calibri"/>
          <w:sz w:val="26"/>
          <w:szCs w:val="26"/>
        </w:rPr>
        <w:t xml:space="preserve">random and </w:t>
      </w:r>
      <w:r w:rsidR="00D87995">
        <w:rPr>
          <w:rFonts w:eastAsia="Calibri"/>
          <w:sz w:val="26"/>
          <w:szCs w:val="26"/>
        </w:rPr>
        <w:t xml:space="preserve">arbitrary charges.  </w:t>
      </w:r>
      <w:r w:rsidR="0023005D">
        <w:rPr>
          <w:rFonts w:eastAsia="Calibri"/>
          <w:sz w:val="26"/>
          <w:szCs w:val="26"/>
        </w:rPr>
        <w:t xml:space="preserve">The Complainant believes PECO used the excuse of lack of AMR readings to justify its predatory billing practices.  </w:t>
      </w:r>
      <w:r w:rsidR="00D87995">
        <w:rPr>
          <w:rFonts w:eastAsia="Calibri"/>
          <w:sz w:val="26"/>
          <w:szCs w:val="26"/>
        </w:rPr>
        <w:t>Exc. at 3-4</w:t>
      </w:r>
      <w:r w:rsidR="0023005D">
        <w:rPr>
          <w:rFonts w:eastAsia="Calibri"/>
          <w:sz w:val="26"/>
          <w:szCs w:val="26"/>
        </w:rPr>
        <w:t xml:space="preserve"> (citing I.D. at 5-6, 15)</w:t>
      </w:r>
      <w:r w:rsidR="00DE2A15">
        <w:rPr>
          <w:rFonts w:eastAsia="Calibri"/>
          <w:sz w:val="26"/>
          <w:szCs w:val="26"/>
        </w:rPr>
        <w:t>.  In</w:t>
      </w:r>
      <w:r w:rsidR="009221C1">
        <w:rPr>
          <w:rFonts w:eastAsia="Calibri"/>
          <w:sz w:val="26"/>
          <w:szCs w:val="26"/>
        </w:rPr>
        <w:t xml:space="preserve"> reply</w:t>
      </w:r>
      <w:r w:rsidR="00DE2A15">
        <w:rPr>
          <w:rFonts w:eastAsia="Calibri"/>
          <w:sz w:val="26"/>
          <w:szCs w:val="26"/>
        </w:rPr>
        <w:t xml:space="preserve">, PECO states the estimated </w:t>
      </w:r>
      <w:r w:rsidR="0023005D">
        <w:rPr>
          <w:rFonts w:eastAsia="Calibri"/>
          <w:sz w:val="26"/>
          <w:szCs w:val="26"/>
        </w:rPr>
        <w:t>billings</w:t>
      </w:r>
      <w:r w:rsidR="00DE2A15">
        <w:rPr>
          <w:rFonts w:eastAsia="Calibri"/>
          <w:sz w:val="26"/>
          <w:szCs w:val="26"/>
        </w:rPr>
        <w:t xml:space="preserve"> for both the first and second floor units were due to the fact that the AMR </w:t>
      </w:r>
      <w:r w:rsidR="00310BE7">
        <w:rPr>
          <w:rFonts w:eastAsia="Calibri"/>
          <w:sz w:val="26"/>
          <w:szCs w:val="26"/>
        </w:rPr>
        <w:t>device</w:t>
      </w:r>
      <w:r w:rsidR="00DE2A15">
        <w:rPr>
          <w:rFonts w:eastAsia="Calibri"/>
          <w:sz w:val="26"/>
          <w:szCs w:val="26"/>
        </w:rPr>
        <w:t xml:space="preserve"> at the Service Address was not transmitting </w:t>
      </w:r>
      <w:r w:rsidR="00C4421F">
        <w:rPr>
          <w:rFonts w:eastAsia="Calibri"/>
          <w:sz w:val="26"/>
          <w:szCs w:val="26"/>
        </w:rPr>
        <w:t xml:space="preserve">a </w:t>
      </w:r>
      <w:r w:rsidR="00DE2A15">
        <w:rPr>
          <w:rFonts w:eastAsia="Calibri"/>
          <w:sz w:val="26"/>
          <w:szCs w:val="26"/>
        </w:rPr>
        <w:t xml:space="preserve">signal to PECO for billing.  PECO, however, notes that </w:t>
      </w:r>
      <w:r w:rsidR="00DF57D7">
        <w:rPr>
          <w:rFonts w:eastAsia="Calibri"/>
          <w:sz w:val="26"/>
          <w:szCs w:val="26"/>
        </w:rPr>
        <w:t>even though</w:t>
      </w:r>
      <w:r w:rsidR="00DE2A15">
        <w:rPr>
          <w:rFonts w:eastAsia="Calibri"/>
          <w:sz w:val="26"/>
          <w:szCs w:val="26"/>
        </w:rPr>
        <w:t xml:space="preserve"> the AMR </w:t>
      </w:r>
      <w:r w:rsidR="00054D58">
        <w:rPr>
          <w:rFonts w:eastAsia="Calibri"/>
          <w:sz w:val="26"/>
          <w:szCs w:val="26"/>
        </w:rPr>
        <w:t xml:space="preserve">device </w:t>
      </w:r>
      <w:r w:rsidR="00DF57D7">
        <w:rPr>
          <w:rFonts w:eastAsia="Calibri"/>
          <w:sz w:val="26"/>
          <w:szCs w:val="26"/>
        </w:rPr>
        <w:t>was</w:t>
      </w:r>
      <w:r w:rsidR="00DE2A15">
        <w:rPr>
          <w:rFonts w:eastAsia="Calibri"/>
          <w:sz w:val="26"/>
          <w:szCs w:val="26"/>
        </w:rPr>
        <w:t xml:space="preserve"> not transmit</w:t>
      </w:r>
      <w:r w:rsidR="00DF57D7">
        <w:rPr>
          <w:rFonts w:eastAsia="Calibri"/>
          <w:sz w:val="26"/>
          <w:szCs w:val="26"/>
        </w:rPr>
        <w:t>ting</w:t>
      </w:r>
      <w:r w:rsidR="00DE2A15">
        <w:rPr>
          <w:rFonts w:eastAsia="Calibri"/>
          <w:sz w:val="26"/>
          <w:szCs w:val="26"/>
        </w:rPr>
        <w:t xml:space="preserve"> </w:t>
      </w:r>
      <w:r w:rsidR="00310BE7">
        <w:rPr>
          <w:rFonts w:eastAsia="Calibri"/>
          <w:sz w:val="26"/>
          <w:szCs w:val="26"/>
        </w:rPr>
        <w:t>signal</w:t>
      </w:r>
      <w:r w:rsidR="00DF57D7">
        <w:rPr>
          <w:rFonts w:eastAsia="Calibri"/>
          <w:sz w:val="26"/>
          <w:szCs w:val="26"/>
        </w:rPr>
        <w:t>,</w:t>
      </w:r>
      <w:r w:rsidR="00310BE7">
        <w:rPr>
          <w:rFonts w:eastAsia="Calibri"/>
          <w:sz w:val="26"/>
          <w:szCs w:val="26"/>
        </w:rPr>
        <w:t xml:space="preserve"> the meter wa</w:t>
      </w:r>
      <w:r w:rsidR="00DE2A15">
        <w:rPr>
          <w:rFonts w:eastAsia="Calibri"/>
          <w:sz w:val="26"/>
          <w:szCs w:val="26"/>
        </w:rPr>
        <w:t xml:space="preserve">s </w:t>
      </w:r>
      <w:r w:rsidR="00310BE7">
        <w:rPr>
          <w:rFonts w:eastAsia="Calibri"/>
          <w:sz w:val="26"/>
          <w:szCs w:val="26"/>
        </w:rPr>
        <w:t>accurately recording the Complainant’s usage</w:t>
      </w:r>
      <w:r w:rsidR="00DE2A15">
        <w:rPr>
          <w:rFonts w:eastAsia="Calibri"/>
          <w:sz w:val="26"/>
          <w:szCs w:val="26"/>
        </w:rPr>
        <w:t xml:space="preserve">.  PECO R. Exc. at 7 (citing Tr. at 75).  According to PECO, the meter for the second-floor unit was tested for accuracy on October 31, 2014, prior to installation, and was found to be 100.4% accurate.  </w:t>
      </w:r>
      <w:r w:rsidR="009270DD">
        <w:rPr>
          <w:rFonts w:eastAsia="Calibri"/>
          <w:sz w:val="26"/>
          <w:szCs w:val="26"/>
        </w:rPr>
        <w:t xml:space="preserve">PECO R. </w:t>
      </w:r>
      <w:r w:rsidR="00DE2A15">
        <w:rPr>
          <w:rFonts w:eastAsia="Calibri"/>
          <w:sz w:val="26"/>
          <w:szCs w:val="26"/>
        </w:rPr>
        <w:t xml:space="preserve">Exc. at 7 (citing PECO Exh. 7).  PECO states that once the AMR </w:t>
      </w:r>
      <w:r w:rsidR="00054D58">
        <w:rPr>
          <w:rFonts w:eastAsia="Calibri"/>
          <w:sz w:val="26"/>
          <w:szCs w:val="26"/>
        </w:rPr>
        <w:t xml:space="preserve">device </w:t>
      </w:r>
      <w:r w:rsidR="00DE2A15">
        <w:rPr>
          <w:rFonts w:eastAsia="Calibri"/>
          <w:sz w:val="26"/>
          <w:szCs w:val="26"/>
        </w:rPr>
        <w:t xml:space="preserve">began transmitting, the Company rebilled </w:t>
      </w:r>
      <w:r w:rsidR="009270DD">
        <w:rPr>
          <w:rFonts w:eastAsia="Calibri"/>
          <w:sz w:val="26"/>
          <w:szCs w:val="26"/>
        </w:rPr>
        <w:t>the Complainant ba</w:t>
      </w:r>
      <w:r w:rsidR="00E97ED0">
        <w:rPr>
          <w:rFonts w:eastAsia="Calibri"/>
          <w:sz w:val="26"/>
          <w:szCs w:val="26"/>
        </w:rPr>
        <w:t>sed on actual usage</w:t>
      </w:r>
      <w:r w:rsidR="009270DD">
        <w:rPr>
          <w:rFonts w:eastAsia="Calibri"/>
          <w:sz w:val="26"/>
          <w:szCs w:val="26"/>
        </w:rPr>
        <w:t xml:space="preserve">.  </w:t>
      </w:r>
      <w:r w:rsidR="00E97ED0">
        <w:rPr>
          <w:rFonts w:eastAsia="Calibri"/>
          <w:sz w:val="26"/>
          <w:szCs w:val="26"/>
        </w:rPr>
        <w:t xml:space="preserve">PECO </w:t>
      </w:r>
      <w:r w:rsidR="00CA5281">
        <w:rPr>
          <w:rFonts w:eastAsia="Calibri"/>
          <w:sz w:val="26"/>
          <w:szCs w:val="26"/>
        </w:rPr>
        <w:t xml:space="preserve">further </w:t>
      </w:r>
      <w:r w:rsidR="00E97ED0">
        <w:rPr>
          <w:rFonts w:eastAsia="Calibri"/>
          <w:sz w:val="26"/>
          <w:szCs w:val="26"/>
        </w:rPr>
        <w:t>contends that there was not that much difference between the actual a</w:t>
      </w:r>
      <w:r w:rsidR="00CA5281">
        <w:rPr>
          <w:rFonts w:eastAsia="Calibri"/>
          <w:sz w:val="26"/>
          <w:szCs w:val="26"/>
        </w:rPr>
        <w:t xml:space="preserve">nd the estimated bills and </w:t>
      </w:r>
      <w:r w:rsidR="009270DD">
        <w:rPr>
          <w:rFonts w:eastAsia="Calibri"/>
          <w:sz w:val="26"/>
          <w:szCs w:val="26"/>
        </w:rPr>
        <w:t xml:space="preserve">that even the ALJ’s extensive analysis </w:t>
      </w:r>
      <w:r w:rsidR="00310BE7">
        <w:rPr>
          <w:rFonts w:eastAsia="Calibri"/>
          <w:sz w:val="26"/>
          <w:szCs w:val="26"/>
        </w:rPr>
        <w:t>showed</w:t>
      </w:r>
      <w:r w:rsidR="009270DD">
        <w:rPr>
          <w:rFonts w:eastAsia="Calibri"/>
          <w:sz w:val="26"/>
          <w:szCs w:val="26"/>
        </w:rPr>
        <w:t xml:space="preserve"> </w:t>
      </w:r>
      <w:r w:rsidR="00310BE7">
        <w:rPr>
          <w:rFonts w:eastAsia="Calibri"/>
          <w:sz w:val="26"/>
          <w:szCs w:val="26"/>
        </w:rPr>
        <w:t xml:space="preserve">little difference in the </w:t>
      </w:r>
      <w:r w:rsidR="00CA5281">
        <w:rPr>
          <w:rFonts w:eastAsia="Calibri"/>
          <w:sz w:val="26"/>
          <w:szCs w:val="26"/>
        </w:rPr>
        <w:t>estimated and revised bills</w:t>
      </w:r>
      <w:r w:rsidR="009270DD">
        <w:rPr>
          <w:rFonts w:eastAsia="Calibri"/>
          <w:sz w:val="26"/>
          <w:szCs w:val="26"/>
        </w:rPr>
        <w:t>.  PECO R. Exc. at 7-8 (citing</w:t>
      </w:r>
      <w:r w:rsidR="00CE77E3">
        <w:rPr>
          <w:rFonts w:eastAsia="Calibri"/>
          <w:sz w:val="26"/>
          <w:szCs w:val="26"/>
        </w:rPr>
        <w:t xml:space="preserve"> I.D. at 5-7</w:t>
      </w:r>
      <w:r w:rsidR="009270DD">
        <w:rPr>
          <w:rFonts w:eastAsia="Calibri"/>
          <w:sz w:val="26"/>
          <w:szCs w:val="26"/>
        </w:rPr>
        <w:t>).</w:t>
      </w:r>
    </w:p>
    <w:p w:rsidR="00C20A11" w:rsidRDefault="00C20A11" w:rsidP="002143F6">
      <w:pPr>
        <w:widowControl/>
        <w:spacing w:line="360" w:lineRule="auto"/>
        <w:ind w:firstLine="1440"/>
        <w:rPr>
          <w:rFonts w:eastAsia="Calibri"/>
          <w:sz w:val="26"/>
          <w:szCs w:val="26"/>
        </w:rPr>
      </w:pPr>
    </w:p>
    <w:p w:rsidR="00ED60FB" w:rsidRDefault="00ED60FB" w:rsidP="00A82359">
      <w:pPr>
        <w:keepNext/>
        <w:keepLines/>
        <w:widowControl/>
        <w:spacing w:line="360" w:lineRule="auto"/>
        <w:rPr>
          <w:b/>
          <w:sz w:val="26"/>
          <w:szCs w:val="26"/>
        </w:rPr>
      </w:pPr>
      <w:r w:rsidRPr="00A9787D">
        <w:rPr>
          <w:b/>
          <w:sz w:val="26"/>
          <w:szCs w:val="26"/>
        </w:rPr>
        <w:t>Disposition</w:t>
      </w:r>
    </w:p>
    <w:p w:rsidR="009D024C" w:rsidRDefault="00ED60FB" w:rsidP="00A82359">
      <w:pPr>
        <w:keepNext/>
        <w:keepLines/>
        <w:widowControl/>
        <w:spacing w:line="360" w:lineRule="auto"/>
        <w:rPr>
          <w:sz w:val="26"/>
          <w:szCs w:val="26"/>
        </w:rPr>
      </w:pPr>
      <w:r w:rsidRPr="00A9787D">
        <w:rPr>
          <w:sz w:val="26"/>
          <w:szCs w:val="26"/>
        </w:rPr>
        <w:tab/>
      </w:r>
      <w:r w:rsidRPr="00A9787D">
        <w:rPr>
          <w:sz w:val="26"/>
          <w:szCs w:val="26"/>
        </w:rPr>
        <w:tab/>
      </w:r>
    </w:p>
    <w:p w:rsidR="007A7849" w:rsidRDefault="00CE3433" w:rsidP="00A82359">
      <w:pPr>
        <w:keepNext/>
        <w:keepLines/>
        <w:widowControl/>
        <w:spacing w:line="360" w:lineRule="auto"/>
        <w:ind w:firstLine="1440"/>
        <w:rPr>
          <w:sz w:val="26"/>
          <w:szCs w:val="26"/>
        </w:rPr>
      </w:pPr>
      <w:r>
        <w:rPr>
          <w:sz w:val="26"/>
          <w:szCs w:val="26"/>
        </w:rPr>
        <w:t>W</w:t>
      </w:r>
      <w:r w:rsidR="007A7849">
        <w:rPr>
          <w:sz w:val="26"/>
          <w:szCs w:val="26"/>
        </w:rPr>
        <w:t>e shall grant</w:t>
      </w:r>
      <w:r>
        <w:rPr>
          <w:sz w:val="26"/>
          <w:szCs w:val="26"/>
        </w:rPr>
        <w:t>,</w:t>
      </w:r>
      <w:r w:rsidR="007A7849">
        <w:rPr>
          <w:sz w:val="26"/>
          <w:szCs w:val="26"/>
        </w:rPr>
        <w:t xml:space="preserve"> in part,</w:t>
      </w:r>
      <w:r w:rsidR="007A7849" w:rsidRPr="004628D5">
        <w:rPr>
          <w:sz w:val="26"/>
          <w:szCs w:val="26"/>
        </w:rPr>
        <w:t xml:space="preserve"> the </w:t>
      </w:r>
      <w:r w:rsidR="007A7849">
        <w:rPr>
          <w:sz w:val="26"/>
          <w:szCs w:val="26"/>
        </w:rPr>
        <w:t xml:space="preserve">Complainant’s </w:t>
      </w:r>
      <w:r w:rsidR="007A7849" w:rsidRPr="004628D5">
        <w:rPr>
          <w:sz w:val="26"/>
          <w:szCs w:val="26"/>
        </w:rPr>
        <w:t>Exceptions</w:t>
      </w:r>
      <w:r w:rsidR="007A7849">
        <w:rPr>
          <w:sz w:val="26"/>
          <w:szCs w:val="26"/>
        </w:rPr>
        <w:t xml:space="preserve">.  </w:t>
      </w:r>
      <w:r w:rsidR="00ED60FB" w:rsidRPr="00A9787D">
        <w:rPr>
          <w:sz w:val="26"/>
          <w:szCs w:val="26"/>
        </w:rPr>
        <w:t xml:space="preserve">The </w:t>
      </w:r>
      <w:r w:rsidR="00CF4E3B">
        <w:rPr>
          <w:sz w:val="26"/>
          <w:szCs w:val="26"/>
        </w:rPr>
        <w:t>Complainant</w:t>
      </w:r>
      <w:r w:rsidR="006846CF">
        <w:rPr>
          <w:sz w:val="26"/>
          <w:szCs w:val="26"/>
        </w:rPr>
        <w:t>’s</w:t>
      </w:r>
      <w:r w:rsidR="00E04A2A" w:rsidRPr="00A9787D">
        <w:rPr>
          <w:sz w:val="26"/>
          <w:szCs w:val="26"/>
        </w:rPr>
        <w:t xml:space="preserve"> </w:t>
      </w:r>
      <w:r w:rsidR="008B6EF1" w:rsidRPr="00A9787D">
        <w:rPr>
          <w:sz w:val="26"/>
          <w:szCs w:val="26"/>
        </w:rPr>
        <w:t>primary concern</w:t>
      </w:r>
      <w:r>
        <w:rPr>
          <w:sz w:val="26"/>
          <w:szCs w:val="26"/>
        </w:rPr>
        <w:t>s</w:t>
      </w:r>
      <w:r w:rsidR="008B6EF1" w:rsidRPr="00A9787D">
        <w:rPr>
          <w:sz w:val="26"/>
          <w:szCs w:val="26"/>
        </w:rPr>
        <w:t xml:space="preserve"> </w:t>
      </w:r>
      <w:r w:rsidR="00E04A2A" w:rsidRPr="00A9787D">
        <w:rPr>
          <w:sz w:val="26"/>
          <w:szCs w:val="26"/>
        </w:rPr>
        <w:t>in this case</w:t>
      </w:r>
      <w:r w:rsidR="008B6EF1" w:rsidRPr="00A9787D">
        <w:rPr>
          <w:sz w:val="26"/>
          <w:szCs w:val="26"/>
        </w:rPr>
        <w:t xml:space="preserve"> </w:t>
      </w:r>
      <w:r w:rsidR="00FB1D83">
        <w:rPr>
          <w:sz w:val="26"/>
          <w:szCs w:val="26"/>
        </w:rPr>
        <w:t>involve high bills and foreign loa</w:t>
      </w:r>
      <w:r w:rsidR="008E61EB">
        <w:rPr>
          <w:sz w:val="26"/>
          <w:szCs w:val="26"/>
        </w:rPr>
        <w:t>d</w:t>
      </w:r>
      <w:r w:rsidR="00FB1D83">
        <w:rPr>
          <w:sz w:val="26"/>
          <w:szCs w:val="26"/>
        </w:rPr>
        <w:t xml:space="preserve"> on </w:t>
      </w:r>
      <w:r w:rsidR="00724500">
        <w:rPr>
          <w:sz w:val="26"/>
          <w:szCs w:val="26"/>
        </w:rPr>
        <w:t xml:space="preserve">the </w:t>
      </w:r>
      <w:r w:rsidR="00FB1D83">
        <w:rPr>
          <w:sz w:val="26"/>
          <w:szCs w:val="26"/>
        </w:rPr>
        <w:t>first and second floor units</w:t>
      </w:r>
      <w:r w:rsidR="00724500">
        <w:rPr>
          <w:sz w:val="26"/>
          <w:szCs w:val="26"/>
        </w:rPr>
        <w:t xml:space="preserve"> of the property in question</w:t>
      </w:r>
      <w:r w:rsidR="00FB1D83">
        <w:rPr>
          <w:sz w:val="26"/>
          <w:szCs w:val="26"/>
        </w:rPr>
        <w:t>, inadequate service from PECO</w:t>
      </w:r>
      <w:r w:rsidR="00A03422">
        <w:rPr>
          <w:sz w:val="26"/>
          <w:szCs w:val="26"/>
        </w:rPr>
        <w:t xml:space="preserve"> in the investigation of the high bills and foreign load</w:t>
      </w:r>
      <w:r w:rsidR="00FB1D83">
        <w:rPr>
          <w:sz w:val="26"/>
          <w:szCs w:val="26"/>
        </w:rPr>
        <w:t>, and PECO’s issuance of a ten-day termination notice to the Complainant</w:t>
      </w:r>
      <w:r w:rsidR="006846CF">
        <w:rPr>
          <w:sz w:val="26"/>
          <w:szCs w:val="26"/>
        </w:rPr>
        <w:t xml:space="preserve">.  </w:t>
      </w:r>
      <w:r w:rsidR="00470CA1">
        <w:rPr>
          <w:sz w:val="26"/>
          <w:szCs w:val="26"/>
        </w:rPr>
        <w:t>Based on our review of the record, the Initial Decision, and the Parties’ positions</w:t>
      </w:r>
      <w:r w:rsidR="00B53117" w:rsidRPr="00A9787D">
        <w:rPr>
          <w:sz w:val="26"/>
          <w:szCs w:val="26"/>
        </w:rPr>
        <w:t xml:space="preserve">, </w:t>
      </w:r>
      <w:r w:rsidR="004628D5">
        <w:rPr>
          <w:sz w:val="26"/>
          <w:szCs w:val="26"/>
        </w:rPr>
        <w:t xml:space="preserve">we </w:t>
      </w:r>
      <w:r w:rsidR="004628D5" w:rsidRPr="004628D5">
        <w:rPr>
          <w:sz w:val="26"/>
          <w:szCs w:val="26"/>
        </w:rPr>
        <w:t>believe PECO provided unreasonable service</w:t>
      </w:r>
      <w:r w:rsidR="004628D5">
        <w:rPr>
          <w:sz w:val="26"/>
          <w:szCs w:val="26"/>
        </w:rPr>
        <w:t>.</w:t>
      </w:r>
    </w:p>
    <w:p w:rsidR="007A7849" w:rsidRDefault="007A7849" w:rsidP="004628D5">
      <w:pPr>
        <w:widowControl/>
        <w:spacing w:line="360" w:lineRule="auto"/>
        <w:ind w:firstLine="1440"/>
        <w:rPr>
          <w:sz w:val="26"/>
          <w:szCs w:val="26"/>
        </w:rPr>
      </w:pPr>
    </w:p>
    <w:p w:rsidR="004628D5" w:rsidRPr="004628D5" w:rsidRDefault="004628D5" w:rsidP="004628D5">
      <w:pPr>
        <w:widowControl/>
        <w:spacing w:line="360" w:lineRule="auto"/>
        <w:ind w:firstLine="1440"/>
        <w:rPr>
          <w:sz w:val="26"/>
          <w:szCs w:val="26"/>
        </w:rPr>
      </w:pPr>
      <w:r>
        <w:rPr>
          <w:sz w:val="26"/>
          <w:szCs w:val="26"/>
        </w:rPr>
        <w:t xml:space="preserve">In reviewing the merits of this case, we </w:t>
      </w:r>
      <w:r w:rsidR="0015313A">
        <w:rPr>
          <w:sz w:val="26"/>
          <w:szCs w:val="26"/>
        </w:rPr>
        <w:t>find</w:t>
      </w:r>
      <w:r w:rsidR="009B6F44">
        <w:rPr>
          <w:sz w:val="26"/>
          <w:szCs w:val="26"/>
        </w:rPr>
        <w:t xml:space="preserve"> that </w:t>
      </w:r>
      <w:r w:rsidRPr="004628D5">
        <w:rPr>
          <w:sz w:val="26"/>
          <w:szCs w:val="26"/>
        </w:rPr>
        <w:t>Ms. Harris has presented sufficient evidence in this proceeding regarding billing and metering at her residence.</w:t>
      </w:r>
      <w:r>
        <w:rPr>
          <w:sz w:val="26"/>
          <w:szCs w:val="26"/>
        </w:rPr>
        <w:t xml:space="preserve">  </w:t>
      </w:r>
      <w:r w:rsidRPr="004628D5">
        <w:rPr>
          <w:sz w:val="26"/>
          <w:szCs w:val="26"/>
        </w:rPr>
        <w:t xml:space="preserve">The record indicates that in April 2015 there was an apparent mix-up with the meters in the multi-tenant building where </w:t>
      </w:r>
      <w:r w:rsidR="0015313A">
        <w:rPr>
          <w:sz w:val="26"/>
          <w:szCs w:val="26"/>
        </w:rPr>
        <w:t>Ms. Harris</w:t>
      </w:r>
      <w:r w:rsidRPr="004628D5">
        <w:rPr>
          <w:sz w:val="26"/>
          <w:szCs w:val="26"/>
        </w:rPr>
        <w:t xml:space="preserve"> resides, and PECO indicated the issue had been resolved and appropriately adjusted Ms. Harris’s bill</w:t>
      </w:r>
      <w:r w:rsidR="007A7849">
        <w:rPr>
          <w:sz w:val="26"/>
          <w:szCs w:val="26"/>
        </w:rPr>
        <w:t xml:space="preserve">.  </w:t>
      </w:r>
      <w:r w:rsidRPr="004628D5">
        <w:rPr>
          <w:sz w:val="26"/>
          <w:szCs w:val="26"/>
        </w:rPr>
        <w:t>Tr.</w:t>
      </w:r>
      <w:r w:rsidR="0015313A">
        <w:rPr>
          <w:sz w:val="26"/>
          <w:szCs w:val="26"/>
        </w:rPr>
        <w:t xml:space="preserve"> at</w:t>
      </w:r>
      <w:r w:rsidRPr="004628D5">
        <w:rPr>
          <w:sz w:val="26"/>
          <w:szCs w:val="26"/>
        </w:rPr>
        <w:t xml:space="preserve"> 56,</w:t>
      </w:r>
      <w:r w:rsidR="0015313A">
        <w:rPr>
          <w:sz w:val="26"/>
          <w:szCs w:val="26"/>
        </w:rPr>
        <w:t xml:space="preserve"> </w:t>
      </w:r>
      <w:r w:rsidRPr="004628D5">
        <w:rPr>
          <w:sz w:val="26"/>
          <w:szCs w:val="26"/>
        </w:rPr>
        <w:t>77, 89-90.</w:t>
      </w:r>
      <w:r w:rsidR="007A7849">
        <w:t xml:space="preserve">  </w:t>
      </w:r>
      <w:r w:rsidRPr="004628D5">
        <w:rPr>
          <w:sz w:val="26"/>
          <w:szCs w:val="26"/>
        </w:rPr>
        <w:t>However, the same issue occurred in November 2015</w:t>
      </w:r>
      <w:r w:rsidR="0015313A">
        <w:rPr>
          <w:sz w:val="26"/>
          <w:szCs w:val="26"/>
        </w:rPr>
        <w:t>,</w:t>
      </w:r>
      <w:r w:rsidR="007A7849">
        <w:rPr>
          <w:sz w:val="26"/>
          <w:szCs w:val="26"/>
        </w:rPr>
        <w:t xml:space="preserve"> </w:t>
      </w:r>
      <w:r w:rsidRPr="004628D5">
        <w:rPr>
          <w:sz w:val="26"/>
          <w:szCs w:val="26"/>
        </w:rPr>
        <w:t>resulting in Ms. Harris receiving yet another bill that did not reflect her usage.</w:t>
      </w:r>
      <w:r w:rsidR="007A7849">
        <w:rPr>
          <w:sz w:val="26"/>
          <w:szCs w:val="26"/>
        </w:rPr>
        <w:t xml:space="preserve">  </w:t>
      </w:r>
      <w:r w:rsidR="007A7849" w:rsidRPr="007A7849">
        <w:rPr>
          <w:i/>
          <w:sz w:val="26"/>
          <w:szCs w:val="26"/>
        </w:rPr>
        <w:t>Id.</w:t>
      </w:r>
      <w:r w:rsidR="007A7849">
        <w:rPr>
          <w:sz w:val="26"/>
          <w:szCs w:val="26"/>
        </w:rPr>
        <w:t xml:space="preserve">  </w:t>
      </w:r>
      <w:r w:rsidRPr="004628D5">
        <w:rPr>
          <w:sz w:val="26"/>
          <w:szCs w:val="26"/>
        </w:rPr>
        <w:t>In both instances</w:t>
      </w:r>
      <w:r w:rsidR="007A7849">
        <w:rPr>
          <w:sz w:val="26"/>
          <w:szCs w:val="26"/>
        </w:rPr>
        <w:t>,</w:t>
      </w:r>
      <w:r w:rsidRPr="004628D5">
        <w:rPr>
          <w:sz w:val="26"/>
          <w:szCs w:val="26"/>
        </w:rPr>
        <w:t xml:space="preserve"> the issue was brought to PECO’s attention and both times PECO claimed it was corrected.</w:t>
      </w:r>
      <w:r w:rsidR="007A7849">
        <w:rPr>
          <w:sz w:val="26"/>
          <w:szCs w:val="26"/>
        </w:rPr>
        <w:t xml:space="preserve">  Also, i</w:t>
      </w:r>
      <w:r w:rsidRPr="004628D5">
        <w:rPr>
          <w:sz w:val="26"/>
          <w:szCs w:val="26"/>
        </w:rPr>
        <w:t xml:space="preserve">n both instances, PECO appropriately adjusted the bill and made the </w:t>
      </w:r>
      <w:r w:rsidR="00A550CD">
        <w:rPr>
          <w:sz w:val="26"/>
          <w:szCs w:val="26"/>
        </w:rPr>
        <w:t>C</w:t>
      </w:r>
      <w:r w:rsidRPr="004628D5">
        <w:rPr>
          <w:sz w:val="26"/>
          <w:szCs w:val="26"/>
        </w:rPr>
        <w:t>omplainant whole in terms of payments to the extent that was necessary</w:t>
      </w:r>
      <w:r w:rsidRPr="007A7849">
        <w:rPr>
          <w:sz w:val="26"/>
          <w:szCs w:val="26"/>
        </w:rPr>
        <w:t xml:space="preserve">.  </w:t>
      </w:r>
    </w:p>
    <w:p w:rsidR="004628D5" w:rsidRPr="004628D5" w:rsidRDefault="004628D5" w:rsidP="004628D5">
      <w:pPr>
        <w:spacing w:line="360" w:lineRule="auto"/>
        <w:ind w:firstLine="720"/>
        <w:rPr>
          <w:sz w:val="26"/>
          <w:szCs w:val="26"/>
        </w:rPr>
      </w:pPr>
    </w:p>
    <w:p w:rsidR="00FC35E8" w:rsidRDefault="004628D5" w:rsidP="00C71011">
      <w:pPr>
        <w:spacing w:line="360" w:lineRule="auto"/>
        <w:ind w:firstLine="1440"/>
        <w:rPr>
          <w:sz w:val="26"/>
          <w:szCs w:val="26"/>
        </w:rPr>
      </w:pPr>
      <w:r w:rsidRPr="004628D5">
        <w:rPr>
          <w:sz w:val="26"/>
          <w:szCs w:val="26"/>
        </w:rPr>
        <w:t>Additionally, Ms. Harris had an</w:t>
      </w:r>
      <w:r w:rsidR="0020679B">
        <w:rPr>
          <w:sz w:val="26"/>
          <w:szCs w:val="26"/>
        </w:rPr>
        <w:t xml:space="preserve"> </w:t>
      </w:r>
      <w:r w:rsidRPr="004628D5">
        <w:rPr>
          <w:sz w:val="26"/>
          <w:szCs w:val="26"/>
        </w:rPr>
        <w:t>AMR meter at her home, which if working properly</w:t>
      </w:r>
      <w:r w:rsidR="00462FBF">
        <w:rPr>
          <w:sz w:val="26"/>
          <w:szCs w:val="26"/>
        </w:rPr>
        <w:t>,</w:t>
      </w:r>
      <w:r w:rsidRPr="004628D5">
        <w:rPr>
          <w:sz w:val="26"/>
          <w:szCs w:val="26"/>
        </w:rPr>
        <w:t xml:space="preserve"> should have been transmitting readings to PECO which would have resulted in the issuance of bills to Ms. Harris based on her actual usage</w:t>
      </w:r>
      <w:r w:rsidR="006E55CC">
        <w:rPr>
          <w:sz w:val="26"/>
          <w:szCs w:val="26"/>
        </w:rPr>
        <w:t xml:space="preserve">.  </w:t>
      </w:r>
      <w:r w:rsidRPr="004628D5">
        <w:rPr>
          <w:sz w:val="26"/>
          <w:szCs w:val="26"/>
        </w:rPr>
        <w:t xml:space="preserve">However, </w:t>
      </w:r>
      <w:r w:rsidR="00494DBC">
        <w:rPr>
          <w:sz w:val="26"/>
          <w:szCs w:val="26"/>
        </w:rPr>
        <w:t>the AMR meter</w:t>
      </w:r>
      <w:r w:rsidRPr="004628D5">
        <w:rPr>
          <w:sz w:val="26"/>
          <w:szCs w:val="26"/>
        </w:rPr>
        <w:t xml:space="preserve"> was not functioning properly</w:t>
      </w:r>
      <w:r w:rsidR="00494DBC">
        <w:rPr>
          <w:sz w:val="26"/>
          <w:szCs w:val="26"/>
        </w:rPr>
        <w:t>,</w:t>
      </w:r>
      <w:r w:rsidRPr="004628D5">
        <w:rPr>
          <w:sz w:val="26"/>
          <w:szCs w:val="26"/>
        </w:rPr>
        <w:t xml:space="preserve"> resulting in the issuance of estimated bills for Ms. Harris from May 2014 through February 2015</w:t>
      </w:r>
      <w:r w:rsidR="00E256BD">
        <w:rPr>
          <w:sz w:val="26"/>
          <w:szCs w:val="26"/>
        </w:rPr>
        <w:t>,</w:t>
      </w:r>
      <w:r w:rsidR="007A7849">
        <w:rPr>
          <w:sz w:val="26"/>
          <w:szCs w:val="26"/>
        </w:rPr>
        <w:t xml:space="preserve"> </w:t>
      </w:r>
      <w:r w:rsidRPr="004628D5">
        <w:rPr>
          <w:sz w:val="26"/>
          <w:szCs w:val="26"/>
        </w:rPr>
        <w:t xml:space="preserve">in violation of </w:t>
      </w:r>
      <w:r w:rsidR="00494DBC">
        <w:rPr>
          <w:sz w:val="26"/>
          <w:szCs w:val="26"/>
        </w:rPr>
        <w:t xml:space="preserve">Section 56.12 of </w:t>
      </w:r>
      <w:r w:rsidR="001D7424">
        <w:rPr>
          <w:sz w:val="26"/>
          <w:szCs w:val="26"/>
        </w:rPr>
        <w:t xml:space="preserve">our </w:t>
      </w:r>
      <w:r w:rsidR="00E256BD">
        <w:rPr>
          <w:sz w:val="26"/>
          <w:szCs w:val="26"/>
        </w:rPr>
        <w:t>R</w:t>
      </w:r>
      <w:r w:rsidRPr="004628D5">
        <w:rPr>
          <w:sz w:val="26"/>
          <w:szCs w:val="26"/>
        </w:rPr>
        <w:t>egulations</w:t>
      </w:r>
      <w:r w:rsidR="00494DBC">
        <w:rPr>
          <w:sz w:val="26"/>
          <w:szCs w:val="26"/>
        </w:rPr>
        <w:t>,</w:t>
      </w:r>
      <w:r w:rsidRPr="004628D5">
        <w:rPr>
          <w:sz w:val="26"/>
          <w:szCs w:val="26"/>
        </w:rPr>
        <w:t xml:space="preserve"> 52 Pa Code § 56.12</w:t>
      </w:r>
      <w:r w:rsidR="007A7849">
        <w:rPr>
          <w:sz w:val="26"/>
          <w:szCs w:val="26"/>
        </w:rPr>
        <w:t>.</w:t>
      </w:r>
      <w:r w:rsidR="005A1EE8">
        <w:rPr>
          <w:sz w:val="26"/>
          <w:szCs w:val="26"/>
        </w:rPr>
        <w:t xml:space="preserve">  </w:t>
      </w:r>
      <w:r w:rsidR="00494DBC" w:rsidRPr="007A7849">
        <w:rPr>
          <w:sz w:val="26"/>
          <w:szCs w:val="26"/>
        </w:rPr>
        <w:t>Tr.</w:t>
      </w:r>
      <w:r w:rsidR="00494DBC">
        <w:rPr>
          <w:sz w:val="26"/>
          <w:szCs w:val="26"/>
        </w:rPr>
        <w:t xml:space="preserve"> at</w:t>
      </w:r>
      <w:r w:rsidR="00494DBC" w:rsidRPr="007A7849">
        <w:rPr>
          <w:sz w:val="26"/>
          <w:szCs w:val="26"/>
        </w:rPr>
        <w:t xml:space="preserve"> 23-24, 30, 53-55; PECO Exh. 1</w:t>
      </w:r>
      <w:r w:rsidR="00494DBC">
        <w:rPr>
          <w:sz w:val="26"/>
          <w:szCs w:val="26"/>
        </w:rPr>
        <w:t>.</w:t>
      </w:r>
      <w:r w:rsidR="00683BF7">
        <w:t xml:space="preserve">  </w:t>
      </w:r>
      <w:r w:rsidRPr="004628D5">
        <w:rPr>
          <w:sz w:val="26"/>
          <w:szCs w:val="26"/>
        </w:rPr>
        <w:t xml:space="preserve">When </w:t>
      </w:r>
      <w:r w:rsidR="00B41B63">
        <w:rPr>
          <w:sz w:val="26"/>
          <w:szCs w:val="26"/>
        </w:rPr>
        <w:t xml:space="preserve">the </w:t>
      </w:r>
      <w:r w:rsidRPr="004628D5">
        <w:rPr>
          <w:sz w:val="26"/>
          <w:szCs w:val="26"/>
        </w:rPr>
        <w:t>AMR was consistently not reporting data, PECO should have addressed the issue and taken actual meter readings.  Unfortunately, in this instance, the Company did not perform the necessary follow-up</w:t>
      </w:r>
      <w:r w:rsidR="006B38CD">
        <w:rPr>
          <w:sz w:val="26"/>
          <w:szCs w:val="26"/>
        </w:rPr>
        <w:t>,</w:t>
      </w:r>
      <w:r w:rsidRPr="004628D5">
        <w:rPr>
          <w:sz w:val="26"/>
          <w:szCs w:val="26"/>
        </w:rPr>
        <w:t xml:space="preserve"> which </w:t>
      </w:r>
      <w:r w:rsidR="00B41B63">
        <w:rPr>
          <w:sz w:val="26"/>
          <w:szCs w:val="26"/>
        </w:rPr>
        <w:t xml:space="preserve">also </w:t>
      </w:r>
      <w:r w:rsidRPr="004628D5">
        <w:rPr>
          <w:sz w:val="26"/>
          <w:szCs w:val="26"/>
        </w:rPr>
        <w:t xml:space="preserve">violated </w:t>
      </w:r>
      <w:r w:rsidR="00B41B63">
        <w:rPr>
          <w:sz w:val="26"/>
          <w:szCs w:val="26"/>
        </w:rPr>
        <w:t>our</w:t>
      </w:r>
      <w:r w:rsidRPr="004628D5">
        <w:rPr>
          <w:sz w:val="26"/>
          <w:szCs w:val="26"/>
        </w:rPr>
        <w:t xml:space="preserve"> </w:t>
      </w:r>
      <w:r w:rsidR="00E256BD">
        <w:rPr>
          <w:sz w:val="26"/>
          <w:szCs w:val="26"/>
        </w:rPr>
        <w:t>R</w:t>
      </w:r>
      <w:r w:rsidRPr="004628D5">
        <w:rPr>
          <w:sz w:val="26"/>
          <w:szCs w:val="26"/>
        </w:rPr>
        <w:t>egulations.</w:t>
      </w:r>
      <w:bookmarkStart w:id="2" w:name="56.12."/>
      <w:bookmarkEnd w:id="2"/>
      <w:r w:rsidR="004A6345">
        <w:rPr>
          <w:sz w:val="26"/>
          <w:szCs w:val="26"/>
        </w:rPr>
        <w:t xml:space="preserve">  </w:t>
      </w:r>
      <w:r w:rsidR="00E256BD">
        <w:rPr>
          <w:sz w:val="26"/>
          <w:szCs w:val="26"/>
        </w:rPr>
        <w:t>Therefore</w:t>
      </w:r>
      <w:r w:rsidR="007A7849">
        <w:rPr>
          <w:sz w:val="26"/>
          <w:szCs w:val="26"/>
        </w:rPr>
        <w:t>, w</w:t>
      </w:r>
      <w:r w:rsidRPr="004628D5">
        <w:rPr>
          <w:sz w:val="26"/>
          <w:szCs w:val="26"/>
        </w:rPr>
        <w:t xml:space="preserve">hile </w:t>
      </w:r>
      <w:r w:rsidR="007A7849">
        <w:rPr>
          <w:sz w:val="26"/>
          <w:szCs w:val="26"/>
        </w:rPr>
        <w:t xml:space="preserve">we </w:t>
      </w:r>
      <w:r w:rsidRPr="004628D5">
        <w:rPr>
          <w:sz w:val="26"/>
          <w:szCs w:val="26"/>
        </w:rPr>
        <w:t xml:space="preserve">agree with the ALJ that the Complainant has not met her burden of proof regarding the </w:t>
      </w:r>
      <w:r w:rsidR="00E256BD">
        <w:rPr>
          <w:sz w:val="26"/>
          <w:szCs w:val="26"/>
        </w:rPr>
        <w:t>C</w:t>
      </w:r>
      <w:r w:rsidRPr="004628D5">
        <w:rPr>
          <w:sz w:val="26"/>
          <w:szCs w:val="26"/>
        </w:rPr>
        <w:t xml:space="preserve">omplaint in its entirety, </w:t>
      </w:r>
      <w:r w:rsidR="00FB7295">
        <w:rPr>
          <w:sz w:val="26"/>
          <w:szCs w:val="26"/>
        </w:rPr>
        <w:t xml:space="preserve">we </w:t>
      </w:r>
      <w:r w:rsidRPr="004628D5">
        <w:rPr>
          <w:sz w:val="26"/>
          <w:szCs w:val="26"/>
        </w:rPr>
        <w:t xml:space="preserve">find that the record in this proceeding demonstrates that PECO provided unreasonable service regarding </w:t>
      </w:r>
      <w:r w:rsidR="00E256BD">
        <w:rPr>
          <w:sz w:val="26"/>
          <w:szCs w:val="26"/>
        </w:rPr>
        <w:t xml:space="preserve">the Complainant’s </w:t>
      </w:r>
      <w:r w:rsidRPr="004628D5">
        <w:rPr>
          <w:sz w:val="26"/>
          <w:szCs w:val="26"/>
        </w:rPr>
        <w:t>billing concerns</w:t>
      </w:r>
      <w:r w:rsidR="006F590E">
        <w:rPr>
          <w:sz w:val="26"/>
          <w:szCs w:val="26"/>
        </w:rPr>
        <w:t xml:space="preserve"> </w:t>
      </w:r>
      <w:r w:rsidR="00494DBC">
        <w:rPr>
          <w:sz w:val="26"/>
          <w:szCs w:val="26"/>
        </w:rPr>
        <w:t>due to</w:t>
      </w:r>
      <w:r w:rsidRPr="004628D5">
        <w:rPr>
          <w:sz w:val="26"/>
          <w:szCs w:val="26"/>
        </w:rPr>
        <w:t xml:space="preserve"> the repeated meter mix-up issue and actual billing in violation of </w:t>
      </w:r>
      <w:r w:rsidR="00FC35E8">
        <w:rPr>
          <w:sz w:val="26"/>
          <w:szCs w:val="26"/>
        </w:rPr>
        <w:t xml:space="preserve">our </w:t>
      </w:r>
      <w:r w:rsidR="00E256BD">
        <w:rPr>
          <w:sz w:val="26"/>
          <w:szCs w:val="26"/>
        </w:rPr>
        <w:t>R</w:t>
      </w:r>
      <w:r w:rsidRPr="004628D5">
        <w:rPr>
          <w:sz w:val="26"/>
          <w:szCs w:val="26"/>
        </w:rPr>
        <w:t>egulations.</w:t>
      </w:r>
    </w:p>
    <w:p w:rsidR="00FC35E8" w:rsidRDefault="00FC35E8" w:rsidP="00C71011">
      <w:pPr>
        <w:spacing w:line="360" w:lineRule="auto"/>
        <w:ind w:firstLine="1440"/>
        <w:rPr>
          <w:sz w:val="26"/>
          <w:szCs w:val="26"/>
        </w:rPr>
      </w:pPr>
    </w:p>
    <w:p w:rsidR="004628D5" w:rsidRDefault="005944B1" w:rsidP="00C71011">
      <w:pPr>
        <w:spacing w:line="360" w:lineRule="auto"/>
        <w:ind w:firstLine="1440"/>
      </w:pPr>
      <w:r>
        <w:rPr>
          <w:sz w:val="26"/>
          <w:szCs w:val="26"/>
        </w:rPr>
        <w:t xml:space="preserve">Accordingly, we conclude that a civil penalty is warranted in this case </w:t>
      </w:r>
      <w:r w:rsidR="005E0D41">
        <w:rPr>
          <w:sz w:val="26"/>
          <w:szCs w:val="26"/>
        </w:rPr>
        <w:t xml:space="preserve">based on our review of our </w:t>
      </w:r>
      <w:r w:rsidRPr="007147F9">
        <w:rPr>
          <w:sz w:val="26"/>
          <w:szCs w:val="26"/>
        </w:rPr>
        <w:t xml:space="preserve">Policy Statement at 52 Pa. Code § 69.1201 that sets forth ten factors that we may consider in evaluating whether a </w:t>
      </w:r>
      <w:r>
        <w:rPr>
          <w:sz w:val="26"/>
          <w:szCs w:val="26"/>
        </w:rPr>
        <w:t>civil penalty</w:t>
      </w:r>
      <w:r w:rsidRPr="007147F9">
        <w:rPr>
          <w:sz w:val="26"/>
          <w:szCs w:val="26"/>
        </w:rPr>
        <w:t xml:space="preserve"> for violating a Commission </w:t>
      </w:r>
      <w:r>
        <w:rPr>
          <w:sz w:val="26"/>
          <w:szCs w:val="26"/>
        </w:rPr>
        <w:t>O</w:t>
      </w:r>
      <w:r w:rsidRPr="007147F9">
        <w:rPr>
          <w:sz w:val="26"/>
          <w:szCs w:val="26"/>
        </w:rPr>
        <w:t xml:space="preserve">rder, </w:t>
      </w:r>
      <w:r>
        <w:rPr>
          <w:sz w:val="26"/>
          <w:szCs w:val="26"/>
        </w:rPr>
        <w:t>R</w:t>
      </w:r>
      <w:r w:rsidRPr="007147F9">
        <w:rPr>
          <w:sz w:val="26"/>
          <w:szCs w:val="26"/>
        </w:rPr>
        <w:t>egulation</w:t>
      </w:r>
      <w:r>
        <w:rPr>
          <w:sz w:val="26"/>
          <w:szCs w:val="26"/>
        </w:rPr>
        <w:t>,</w:t>
      </w:r>
      <w:r w:rsidRPr="007147F9">
        <w:rPr>
          <w:sz w:val="26"/>
          <w:szCs w:val="26"/>
        </w:rPr>
        <w:t xml:space="preserve"> or </w:t>
      </w:r>
      <w:r>
        <w:rPr>
          <w:sz w:val="26"/>
          <w:szCs w:val="26"/>
        </w:rPr>
        <w:t>a statute</w:t>
      </w:r>
      <w:r w:rsidRPr="007147F9">
        <w:rPr>
          <w:sz w:val="26"/>
          <w:szCs w:val="26"/>
        </w:rPr>
        <w:t xml:space="preserve"> is appropriate.</w:t>
      </w:r>
      <w:r w:rsidR="00D676E9">
        <w:rPr>
          <w:sz w:val="26"/>
          <w:szCs w:val="26"/>
        </w:rPr>
        <w:t xml:space="preserve">  </w:t>
      </w:r>
      <w:r w:rsidR="00390BC3" w:rsidRPr="00390BC3">
        <w:rPr>
          <w:sz w:val="26"/>
          <w:szCs w:val="26"/>
        </w:rPr>
        <w:t>In reviewing the appropriateness of a civil penalty</w:t>
      </w:r>
      <w:r w:rsidR="00AB625E">
        <w:rPr>
          <w:sz w:val="26"/>
          <w:szCs w:val="26"/>
        </w:rPr>
        <w:t xml:space="preserve"> under the Policy Statement</w:t>
      </w:r>
      <w:r w:rsidR="00390BC3" w:rsidRPr="00390BC3">
        <w:rPr>
          <w:sz w:val="26"/>
          <w:szCs w:val="26"/>
        </w:rPr>
        <w:t>, we consider many factors</w:t>
      </w:r>
      <w:r w:rsidR="005E0D41">
        <w:rPr>
          <w:sz w:val="26"/>
          <w:szCs w:val="26"/>
        </w:rPr>
        <w:t>,</w:t>
      </w:r>
      <w:r w:rsidR="00390BC3" w:rsidRPr="00390BC3">
        <w:rPr>
          <w:sz w:val="26"/>
          <w:szCs w:val="26"/>
        </w:rPr>
        <w:t xml:space="preserve"> including the nature of the alleged violations</w:t>
      </w:r>
      <w:r w:rsidR="00B64A61">
        <w:rPr>
          <w:sz w:val="26"/>
          <w:szCs w:val="26"/>
        </w:rPr>
        <w:t xml:space="preserve">, </w:t>
      </w:r>
      <w:r w:rsidR="00AB625E">
        <w:rPr>
          <w:sz w:val="26"/>
          <w:szCs w:val="26"/>
        </w:rPr>
        <w:t xml:space="preserve">whether the conduct at issue was intentional or negligent, whether the Company has taken remedial actions to address the conduct at issue and prevent similar future conduct, </w:t>
      </w:r>
      <w:r w:rsidR="00E04B43">
        <w:rPr>
          <w:sz w:val="26"/>
          <w:szCs w:val="26"/>
        </w:rPr>
        <w:t xml:space="preserve">the number of customers affected and the duration of the violation, and the amount of the civil penalty necessary to deter future violations.  </w:t>
      </w:r>
      <w:r w:rsidR="00E04B43" w:rsidRPr="004A6345">
        <w:rPr>
          <w:sz w:val="26"/>
          <w:szCs w:val="26"/>
        </w:rPr>
        <w:t>52 Pa Code §</w:t>
      </w:r>
      <w:r w:rsidR="00E04B43">
        <w:rPr>
          <w:sz w:val="26"/>
          <w:szCs w:val="26"/>
        </w:rPr>
        <w:t xml:space="preserve"> </w:t>
      </w:r>
      <w:r w:rsidR="00E04B43" w:rsidRPr="004A6345">
        <w:rPr>
          <w:sz w:val="26"/>
          <w:szCs w:val="26"/>
        </w:rPr>
        <w:t>69.1201</w:t>
      </w:r>
      <w:r w:rsidR="00E04B43">
        <w:rPr>
          <w:sz w:val="26"/>
          <w:szCs w:val="26"/>
        </w:rPr>
        <w:t>(c)</w:t>
      </w:r>
      <w:r w:rsidR="00E04B43" w:rsidRPr="004A6345">
        <w:rPr>
          <w:sz w:val="26"/>
          <w:szCs w:val="26"/>
        </w:rPr>
        <w:t>.</w:t>
      </w:r>
      <w:r w:rsidR="00D676E9">
        <w:t xml:space="preserve">  </w:t>
      </w:r>
      <w:r w:rsidR="003874D7">
        <w:rPr>
          <w:sz w:val="26"/>
          <w:szCs w:val="26"/>
        </w:rPr>
        <w:t xml:space="preserve">We </w:t>
      </w:r>
      <w:r w:rsidR="00B87B2F">
        <w:rPr>
          <w:sz w:val="26"/>
          <w:szCs w:val="26"/>
        </w:rPr>
        <w:t>believe</w:t>
      </w:r>
      <w:r w:rsidR="00683BF7">
        <w:rPr>
          <w:sz w:val="26"/>
          <w:szCs w:val="26"/>
        </w:rPr>
        <w:t xml:space="preserve"> </w:t>
      </w:r>
      <w:r w:rsidR="00390BC3" w:rsidRPr="00390BC3">
        <w:rPr>
          <w:sz w:val="26"/>
          <w:szCs w:val="26"/>
        </w:rPr>
        <w:t>PECO</w:t>
      </w:r>
      <w:r w:rsidR="00683BF7">
        <w:rPr>
          <w:sz w:val="26"/>
          <w:szCs w:val="26"/>
        </w:rPr>
        <w:t>’s action</w:t>
      </w:r>
      <w:r w:rsidR="00B87B2F">
        <w:rPr>
          <w:sz w:val="26"/>
          <w:szCs w:val="26"/>
        </w:rPr>
        <w:t>s</w:t>
      </w:r>
      <w:r w:rsidR="00683BF7">
        <w:rPr>
          <w:sz w:val="26"/>
          <w:szCs w:val="26"/>
        </w:rPr>
        <w:t xml:space="preserve"> in this case</w:t>
      </w:r>
      <w:r w:rsidR="00390BC3" w:rsidRPr="00390BC3">
        <w:rPr>
          <w:sz w:val="26"/>
          <w:szCs w:val="26"/>
        </w:rPr>
        <w:t xml:space="preserve"> </w:t>
      </w:r>
      <w:r w:rsidR="00B87B2F">
        <w:rPr>
          <w:sz w:val="26"/>
          <w:szCs w:val="26"/>
        </w:rPr>
        <w:t>were</w:t>
      </w:r>
      <w:r w:rsidR="00390BC3" w:rsidRPr="00390BC3">
        <w:rPr>
          <w:sz w:val="26"/>
          <w:szCs w:val="26"/>
        </w:rPr>
        <w:t xml:space="preserve"> unintentional, not widespread and </w:t>
      </w:r>
      <w:r w:rsidR="00B87B2F">
        <w:rPr>
          <w:sz w:val="26"/>
          <w:szCs w:val="26"/>
        </w:rPr>
        <w:t xml:space="preserve">were </w:t>
      </w:r>
      <w:r w:rsidR="00390BC3" w:rsidRPr="00390BC3">
        <w:rPr>
          <w:sz w:val="26"/>
          <w:szCs w:val="26"/>
        </w:rPr>
        <w:t>mitigated by the swift manner in which</w:t>
      </w:r>
      <w:r w:rsidR="003874D7">
        <w:rPr>
          <w:sz w:val="26"/>
          <w:szCs w:val="26"/>
        </w:rPr>
        <w:t xml:space="preserve"> the</w:t>
      </w:r>
      <w:r w:rsidR="00683BF7">
        <w:rPr>
          <w:sz w:val="26"/>
          <w:szCs w:val="26"/>
        </w:rPr>
        <w:t xml:space="preserve"> Company</w:t>
      </w:r>
      <w:r w:rsidR="003874D7">
        <w:rPr>
          <w:sz w:val="26"/>
          <w:szCs w:val="26"/>
        </w:rPr>
        <w:t xml:space="preserve"> </w:t>
      </w:r>
      <w:r w:rsidR="003874D7" w:rsidRPr="00390BC3">
        <w:rPr>
          <w:sz w:val="26"/>
          <w:szCs w:val="26"/>
        </w:rPr>
        <w:t>adjusted</w:t>
      </w:r>
      <w:r w:rsidR="00390BC3" w:rsidRPr="00390BC3">
        <w:rPr>
          <w:sz w:val="26"/>
          <w:szCs w:val="26"/>
        </w:rPr>
        <w:t xml:space="preserve"> and appropriately rebilled Ms. Harris</w:t>
      </w:r>
      <w:r w:rsidR="003874D7">
        <w:rPr>
          <w:sz w:val="26"/>
          <w:szCs w:val="26"/>
        </w:rPr>
        <w:t xml:space="preserve">.  Therefore, consistent with the standards set forth in </w:t>
      </w:r>
      <w:r w:rsidR="00E04B43">
        <w:rPr>
          <w:sz w:val="26"/>
          <w:szCs w:val="26"/>
        </w:rPr>
        <w:t>the Policy Statement</w:t>
      </w:r>
      <w:r w:rsidR="003874D7">
        <w:rPr>
          <w:sz w:val="26"/>
          <w:szCs w:val="26"/>
        </w:rPr>
        <w:t xml:space="preserve">, </w:t>
      </w:r>
      <w:r w:rsidR="00C71011" w:rsidRPr="004628D5">
        <w:rPr>
          <w:sz w:val="26"/>
          <w:szCs w:val="26"/>
        </w:rPr>
        <w:t xml:space="preserve">we </w:t>
      </w:r>
      <w:r w:rsidR="00E04B43">
        <w:rPr>
          <w:sz w:val="26"/>
          <w:szCs w:val="26"/>
        </w:rPr>
        <w:t>determine that</w:t>
      </w:r>
      <w:r w:rsidR="00C71011" w:rsidRPr="004628D5">
        <w:rPr>
          <w:sz w:val="26"/>
          <w:szCs w:val="26"/>
        </w:rPr>
        <w:t xml:space="preserve"> a civil penalty </w:t>
      </w:r>
      <w:r w:rsidR="00E256BD" w:rsidRPr="00390BC3">
        <w:rPr>
          <w:sz w:val="26"/>
          <w:szCs w:val="26"/>
        </w:rPr>
        <w:t xml:space="preserve">of $500 </w:t>
      </w:r>
      <w:r w:rsidR="00C71011" w:rsidRPr="004628D5">
        <w:rPr>
          <w:sz w:val="26"/>
          <w:szCs w:val="26"/>
        </w:rPr>
        <w:t>is appropriat</w:t>
      </w:r>
      <w:r w:rsidR="00E256BD">
        <w:rPr>
          <w:sz w:val="26"/>
          <w:szCs w:val="26"/>
        </w:rPr>
        <w:t>e in this case</w:t>
      </w:r>
      <w:r w:rsidR="00390BC3" w:rsidRPr="00390BC3">
        <w:rPr>
          <w:sz w:val="26"/>
          <w:szCs w:val="26"/>
        </w:rPr>
        <w:t>.</w:t>
      </w:r>
    </w:p>
    <w:p w:rsidR="00C21039" w:rsidRDefault="00C21039" w:rsidP="002143F6">
      <w:pPr>
        <w:widowControl/>
        <w:spacing w:line="360" w:lineRule="auto"/>
        <w:ind w:firstLine="1440"/>
        <w:rPr>
          <w:sz w:val="26"/>
          <w:szCs w:val="26"/>
        </w:rPr>
      </w:pPr>
    </w:p>
    <w:p w:rsidR="00ED60FB" w:rsidRPr="00A9787D" w:rsidRDefault="00ED60FB" w:rsidP="002143F6">
      <w:pPr>
        <w:keepNext/>
        <w:widowControl/>
        <w:spacing w:line="360" w:lineRule="auto"/>
        <w:jc w:val="center"/>
        <w:rPr>
          <w:b/>
          <w:sz w:val="26"/>
          <w:szCs w:val="26"/>
        </w:rPr>
      </w:pPr>
      <w:r w:rsidRPr="00A9787D">
        <w:rPr>
          <w:b/>
          <w:sz w:val="26"/>
          <w:szCs w:val="26"/>
        </w:rPr>
        <w:t>Conclusion</w:t>
      </w:r>
    </w:p>
    <w:p w:rsidR="00ED60FB" w:rsidRPr="00A9787D" w:rsidRDefault="00ED60FB" w:rsidP="002143F6">
      <w:pPr>
        <w:keepNext/>
        <w:widowControl/>
        <w:ind w:firstLine="1440"/>
        <w:rPr>
          <w:sz w:val="26"/>
          <w:szCs w:val="26"/>
        </w:rPr>
      </w:pPr>
    </w:p>
    <w:p w:rsidR="00ED60FB" w:rsidRPr="00A9787D" w:rsidRDefault="00ED60FB" w:rsidP="002143F6">
      <w:pPr>
        <w:keepNext/>
        <w:widowControl/>
        <w:spacing w:line="360" w:lineRule="auto"/>
        <w:ind w:firstLine="1440"/>
        <w:rPr>
          <w:sz w:val="26"/>
          <w:szCs w:val="26"/>
        </w:rPr>
      </w:pPr>
      <w:r w:rsidRPr="00A9787D">
        <w:rPr>
          <w:sz w:val="26"/>
          <w:szCs w:val="26"/>
        </w:rPr>
        <w:t xml:space="preserve">Consistent with the foregoing discussion, we shall </w:t>
      </w:r>
      <w:r w:rsidR="00F61D83">
        <w:rPr>
          <w:sz w:val="26"/>
          <w:szCs w:val="26"/>
        </w:rPr>
        <w:t>grant</w:t>
      </w:r>
      <w:r w:rsidR="0075440E">
        <w:rPr>
          <w:sz w:val="26"/>
          <w:szCs w:val="26"/>
        </w:rPr>
        <w:t>,</w:t>
      </w:r>
      <w:r w:rsidR="00F61D83">
        <w:rPr>
          <w:sz w:val="26"/>
          <w:szCs w:val="26"/>
        </w:rPr>
        <w:t xml:space="preserve"> in part, </w:t>
      </w:r>
      <w:r w:rsidRPr="00A9787D">
        <w:rPr>
          <w:sz w:val="26"/>
          <w:szCs w:val="26"/>
        </w:rPr>
        <w:t xml:space="preserve">the Complainant’s </w:t>
      </w:r>
      <w:r w:rsidR="00F61D83" w:rsidRPr="00A9787D">
        <w:rPr>
          <w:sz w:val="26"/>
          <w:szCs w:val="26"/>
        </w:rPr>
        <w:t xml:space="preserve">Exceptions, </w:t>
      </w:r>
      <w:r w:rsidR="0075440E">
        <w:rPr>
          <w:sz w:val="26"/>
          <w:szCs w:val="26"/>
        </w:rPr>
        <w:t xml:space="preserve">and </w:t>
      </w:r>
      <w:r w:rsidR="00F61D83">
        <w:rPr>
          <w:sz w:val="26"/>
          <w:szCs w:val="26"/>
        </w:rPr>
        <w:t>modify</w:t>
      </w:r>
      <w:r w:rsidR="00676246">
        <w:rPr>
          <w:sz w:val="26"/>
          <w:szCs w:val="26"/>
        </w:rPr>
        <w:t xml:space="preserve"> </w:t>
      </w:r>
      <w:r w:rsidR="00DE77FA">
        <w:rPr>
          <w:sz w:val="26"/>
          <w:szCs w:val="26"/>
        </w:rPr>
        <w:t>th</w:t>
      </w:r>
      <w:r w:rsidR="00644358">
        <w:rPr>
          <w:sz w:val="26"/>
          <w:szCs w:val="26"/>
        </w:rPr>
        <w:t>e Initial Decision of ALJ Pell</w:t>
      </w:r>
      <w:r w:rsidRPr="00A9787D">
        <w:rPr>
          <w:sz w:val="26"/>
          <w:szCs w:val="26"/>
        </w:rPr>
        <w:t xml:space="preserve">, which denies the Complaint in its entirety; </w:t>
      </w:r>
      <w:r w:rsidRPr="00A9787D">
        <w:rPr>
          <w:b/>
          <w:sz w:val="26"/>
          <w:szCs w:val="26"/>
        </w:rPr>
        <w:t>THEREFORE,</w:t>
      </w:r>
    </w:p>
    <w:p w:rsidR="009C6EB0" w:rsidRPr="00A9787D" w:rsidRDefault="009C6EB0" w:rsidP="002143F6">
      <w:pPr>
        <w:widowControl/>
        <w:spacing w:line="360" w:lineRule="auto"/>
        <w:ind w:left="90"/>
        <w:rPr>
          <w:sz w:val="26"/>
          <w:szCs w:val="26"/>
        </w:rPr>
      </w:pPr>
    </w:p>
    <w:p w:rsidR="00CA43A5" w:rsidRDefault="00CA43A5" w:rsidP="002143F6">
      <w:pPr>
        <w:keepNext/>
        <w:widowControl/>
        <w:ind w:firstLine="1440"/>
        <w:rPr>
          <w:b/>
          <w:sz w:val="26"/>
          <w:szCs w:val="26"/>
        </w:rPr>
      </w:pPr>
      <w:r w:rsidRPr="00A9787D">
        <w:rPr>
          <w:b/>
          <w:sz w:val="26"/>
          <w:szCs w:val="26"/>
        </w:rPr>
        <w:t>IT IS ORDERED:</w:t>
      </w:r>
    </w:p>
    <w:p w:rsidR="00306602" w:rsidRPr="00A9787D" w:rsidRDefault="00306602" w:rsidP="002143F6">
      <w:pPr>
        <w:keepNext/>
        <w:widowControl/>
        <w:ind w:firstLine="1440"/>
        <w:rPr>
          <w:b/>
          <w:sz w:val="26"/>
          <w:szCs w:val="26"/>
        </w:rPr>
      </w:pPr>
    </w:p>
    <w:p w:rsidR="00CA43A5" w:rsidRPr="00A9787D" w:rsidRDefault="00CA43A5" w:rsidP="002143F6">
      <w:pPr>
        <w:keepNext/>
        <w:widowControl/>
        <w:rPr>
          <w:sz w:val="26"/>
          <w:szCs w:val="26"/>
        </w:rPr>
      </w:pPr>
    </w:p>
    <w:p w:rsidR="009155F7" w:rsidRPr="00A9787D" w:rsidRDefault="009155F7" w:rsidP="002143F6">
      <w:pPr>
        <w:keepNext/>
        <w:widowControl/>
        <w:numPr>
          <w:ilvl w:val="0"/>
          <w:numId w:val="1"/>
        </w:numPr>
        <w:tabs>
          <w:tab w:val="clear" w:pos="2160"/>
          <w:tab w:val="num" w:pos="0"/>
        </w:tabs>
        <w:spacing w:line="360" w:lineRule="auto"/>
        <w:ind w:left="0" w:firstLine="1440"/>
        <w:rPr>
          <w:sz w:val="26"/>
          <w:szCs w:val="26"/>
        </w:rPr>
      </w:pPr>
      <w:r w:rsidRPr="00A9787D">
        <w:rPr>
          <w:sz w:val="26"/>
          <w:szCs w:val="26"/>
        </w:rPr>
        <w:t>That the Exceptions of</w:t>
      </w:r>
      <w:r w:rsidR="00426FA7">
        <w:rPr>
          <w:sz w:val="26"/>
          <w:szCs w:val="26"/>
        </w:rPr>
        <w:t xml:space="preserve"> Patrice Harris</w:t>
      </w:r>
      <w:r w:rsidR="00B92D7C" w:rsidRPr="00A9787D">
        <w:rPr>
          <w:sz w:val="26"/>
          <w:szCs w:val="26"/>
        </w:rPr>
        <w:t>,</w:t>
      </w:r>
      <w:r w:rsidR="00426FA7">
        <w:rPr>
          <w:sz w:val="26"/>
          <w:szCs w:val="26"/>
        </w:rPr>
        <w:t xml:space="preserve"> filed on November 7</w:t>
      </w:r>
      <w:r w:rsidR="00DE77FA">
        <w:rPr>
          <w:sz w:val="26"/>
          <w:szCs w:val="26"/>
        </w:rPr>
        <w:t>, 2016</w:t>
      </w:r>
      <w:r w:rsidR="00A13151" w:rsidRPr="00A9787D">
        <w:rPr>
          <w:sz w:val="26"/>
          <w:szCs w:val="26"/>
        </w:rPr>
        <w:t>,</w:t>
      </w:r>
      <w:r w:rsidR="00251918" w:rsidRPr="00A9787D">
        <w:rPr>
          <w:sz w:val="26"/>
          <w:szCs w:val="26"/>
        </w:rPr>
        <w:t xml:space="preserve"> to the Initial Decision of Administ</w:t>
      </w:r>
      <w:r w:rsidR="000A06E0" w:rsidRPr="00A9787D">
        <w:rPr>
          <w:sz w:val="26"/>
          <w:szCs w:val="26"/>
        </w:rPr>
        <w:t>ra</w:t>
      </w:r>
      <w:r w:rsidR="009C6EB0" w:rsidRPr="00A9787D">
        <w:rPr>
          <w:sz w:val="26"/>
          <w:szCs w:val="26"/>
        </w:rPr>
        <w:t>ti</w:t>
      </w:r>
      <w:r w:rsidR="00181696" w:rsidRPr="00A9787D">
        <w:rPr>
          <w:sz w:val="26"/>
          <w:szCs w:val="26"/>
        </w:rPr>
        <w:t xml:space="preserve">ve Law Judge </w:t>
      </w:r>
      <w:r w:rsidR="00426FA7">
        <w:rPr>
          <w:sz w:val="26"/>
          <w:szCs w:val="26"/>
        </w:rPr>
        <w:t xml:space="preserve">Christopher P. Pell, </w:t>
      </w:r>
      <w:r w:rsidR="00251918" w:rsidRPr="00A9787D">
        <w:rPr>
          <w:sz w:val="26"/>
          <w:szCs w:val="26"/>
        </w:rPr>
        <w:t xml:space="preserve">are </w:t>
      </w:r>
      <w:r w:rsidR="00F61D83">
        <w:rPr>
          <w:sz w:val="26"/>
          <w:szCs w:val="26"/>
        </w:rPr>
        <w:t>granted</w:t>
      </w:r>
      <w:r w:rsidR="00E04B43">
        <w:rPr>
          <w:sz w:val="26"/>
          <w:szCs w:val="26"/>
        </w:rPr>
        <w:t>,</w:t>
      </w:r>
      <w:r w:rsidR="00F61D83">
        <w:rPr>
          <w:sz w:val="26"/>
          <w:szCs w:val="26"/>
        </w:rPr>
        <w:t xml:space="preserve"> in part, and </w:t>
      </w:r>
      <w:r w:rsidR="00251918" w:rsidRPr="00A9787D">
        <w:rPr>
          <w:sz w:val="26"/>
          <w:szCs w:val="26"/>
        </w:rPr>
        <w:t>denied</w:t>
      </w:r>
      <w:r w:rsidR="003F51F4" w:rsidRPr="00A9787D">
        <w:rPr>
          <w:sz w:val="26"/>
          <w:szCs w:val="26"/>
        </w:rPr>
        <w:t xml:space="preserve">, </w:t>
      </w:r>
      <w:r w:rsidR="00F61D83">
        <w:rPr>
          <w:sz w:val="26"/>
          <w:szCs w:val="26"/>
        </w:rPr>
        <w:t xml:space="preserve">in part, </w:t>
      </w:r>
      <w:r w:rsidR="003F51F4" w:rsidRPr="00A9787D">
        <w:rPr>
          <w:sz w:val="26"/>
          <w:szCs w:val="26"/>
        </w:rPr>
        <w:t xml:space="preserve">consistent with this Opinion </w:t>
      </w:r>
      <w:r w:rsidR="00B80C43" w:rsidRPr="00A9787D">
        <w:rPr>
          <w:sz w:val="26"/>
          <w:szCs w:val="26"/>
        </w:rPr>
        <w:t>and Order</w:t>
      </w:r>
      <w:r w:rsidRPr="00A9787D">
        <w:rPr>
          <w:sz w:val="26"/>
          <w:szCs w:val="26"/>
        </w:rPr>
        <w:t>.</w:t>
      </w:r>
    </w:p>
    <w:p w:rsidR="003F51F4" w:rsidRPr="00A9787D" w:rsidRDefault="003F51F4" w:rsidP="002143F6">
      <w:pPr>
        <w:widowControl/>
        <w:spacing w:line="360" w:lineRule="auto"/>
        <w:ind w:left="1440"/>
        <w:rPr>
          <w:sz w:val="26"/>
          <w:szCs w:val="26"/>
        </w:rPr>
      </w:pPr>
    </w:p>
    <w:p w:rsidR="00CA43A5" w:rsidRDefault="00CA43A5" w:rsidP="002143F6">
      <w:pPr>
        <w:widowControl/>
        <w:numPr>
          <w:ilvl w:val="0"/>
          <w:numId w:val="1"/>
        </w:numPr>
        <w:tabs>
          <w:tab w:val="clear" w:pos="2160"/>
          <w:tab w:val="num" w:pos="0"/>
        </w:tabs>
        <w:spacing w:line="360" w:lineRule="auto"/>
        <w:ind w:left="0" w:firstLine="1440"/>
        <w:rPr>
          <w:sz w:val="26"/>
          <w:szCs w:val="26"/>
        </w:rPr>
      </w:pPr>
      <w:r w:rsidRPr="00A9787D">
        <w:rPr>
          <w:sz w:val="26"/>
          <w:szCs w:val="26"/>
        </w:rPr>
        <w:t xml:space="preserve">That the Initial Decision of </w:t>
      </w:r>
      <w:r w:rsidR="009C6EB0" w:rsidRPr="00A9787D">
        <w:rPr>
          <w:sz w:val="26"/>
          <w:szCs w:val="26"/>
        </w:rPr>
        <w:t>Administrati</w:t>
      </w:r>
      <w:r w:rsidR="00181696" w:rsidRPr="00A9787D">
        <w:rPr>
          <w:sz w:val="26"/>
          <w:szCs w:val="26"/>
        </w:rPr>
        <w:t xml:space="preserve">ve Law </w:t>
      </w:r>
      <w:r w:rsidR="0012403F" w:rsidRPr="00A9787D">
        <w:rPr>
          <w:sz w:val="26"/>
          <w:szCs w:val="26"/>
        </w:rPr>
        <w:t xml:space="preserve">Judge </w:t>
      </w:r>
      <w:r w:rsidR="00426FA7">
        <w:rPr>
          <w:sz w:val="26"/>
          <w:szCs w:val="26"/>
        </w:rPr>
        <w:t>Christopher P. Pell, issued October 14</w:t>
      </w:r>
      <w:r w:rsidR="00DE77FA">
        <w:rPr>
          <w:sz w:val="26"/>
          <w:szCs w:val="26"/>
        </w:rPr>
        <w:t>, 2016</w:t>
      </w:r>
      <w:r w:rsidR="00745E99" w:rsidRPr="00A9787D">
        <w:rPr>
          <w:sz w:val="26"/>
          <w:szCs w:val="26"/>
        </w:rPr>
        <w:t>,</w:t>
      </w:r>
      <w:r w:rsidR="00251918" w:rsidRPr="00A9787D">
        <w:rPr>
          <w:sz w:val="26"/>
          <w:szCs w:val="26"/>
        </w:rPr>
        <w:t xml:space="preserve"> </w:t>
      </w:r>
      <w:r w:rsidR="006F590E" w:rsidRPr="00A9787D">
        <w:rPr>
          <w:sz w:val="26"/>
          <w:szCs w:val="26"/>
        </w:rPr>
        <w:t>is</w:t>
      </w:r>
      <w:r w:rsidR="006F590E">
        <w:rPr>
          <w:sz w:val="26"/>
          <w:szCs w:val="26"/>
        </w:rPr>
        <w:t xml:space="preserve"> modified</w:t>
      </w:r>
      <w:r w:rsidRPr="00A9787D">
        <w:rPr>
          <w:sz w:val="26"/>
          <w:szCs w:val="26"/>
        </w:rPr>
        <w:t>, consistent with this Opinion and Order.</w:t>
      </w:r>
    </w:p>
    <w:p w:rsidR="00253E1A" w:rsidRDefault="00253E1A" w:rsidP="00253E1A">
      <w:pPr>
        <w:widowControl/>
        <w:spacing w:line="360" w:lineRule="auto"/>
        <w:ind w:left="1440"/>
        <w:rPr>
          <w:sz w:val="26"/>
          <w:szCs w:val="26"/>
        </w:rPr>
      </w:pPr>
    </w:p>
    <w:p w:rsidR="008A1977" w:rsidRDefault="00251918" w:rsidP="0020679B">
      <w:pPr>
        <w:widowControl/>
        <w:numPr>
          <w:ilvl w:val="0"/>
          <w:numId w:val="1"/>
        </w:numPr>
        <w:tabs>
          <w:tab w:val="clear" w:pos="2160"/>
          <w:tab w:val="num" w:pos="0"/>
        </w:tabs>
        <w:spacing w:line="360" w:lineRule="auto"/>
        <w:ind w:left="0" w:firstLine="1440"/>
        <w:rPr>
          <w:sz w:val="26"/>
          <w:szCs w:val="26"/>
        </w:rPr>
      </w:pPr>
      <w:r w:rsidRPr="008A1977">
        <w:rPr>
          <w:sz w:val="26"/>
          <w:szCs w:val="26"/>
        </w:rPr>
        <w:t>That the Formal Co</w:t>
      </w:r>
      <w:r w:rsidR="0012403F" w:rsidRPr="008A1977">
        <w:rPr>
          <w:sz w:val="26"/>
          <w:szCs w:val="26"/>
        </w:rPr>
        <w:t xml:space="preserve">mplaint filed by </w:t>
      </w:r>
      <w:r w:rsidR="00426FA7" w:rsidRPr="008A1977">
        <w:rPr>
          <w:sz w:val="26"/>
          <w:szCs w:val="26"/>
        </w:rPr>
        <w:t>Patrice Harris on March 28</w:t>
      </w:r>
      <w:r w:rsidR="00DE77FA" w:rsidRPr="008A1977">
        <w:rPr>
          <w:sz w:val="26"/>
          <w:szCs w:val="26"/>
        </w:rPr>
        <w:t>, 2016</w:t>
      </w:r>
      <w:r w:rsidR="005C399D" w:rsidRPr="008A1977">
        <w:rPr>
          <w:sz w:val="26"/>
          <w:szCs w:val="26"/>
        </w:rPr>
        <w:t>, against</w:t>
      </w:r>
      <w:r w:rsidR="009C6EB0" w:rsidRPr="008A1977">
        <w:rPr>
          <w:sz w:val="26"/>
          <w:szCs w:val="26"/>
        </w:rPr>
        <w:t xml:space="preserve"> </w:t>
      </w:r>
      <w:r w:rsidR="00426FA7" w:rsidRPr="008A1977">
        <w:rPr>
          <w:sz w:val="26"/>
          <w:szCs w:val="26"/>
        </w:rPr>
        <w:t>PECO Energy</w:t>
      </w:r>
      <w:r w:rsidR="009C6EB0" w:rsidRPr="008A1977">
        <w:rPr>
          <w:sz w:val="26"/>
          <w:szCs w:val="26"/>
        </w:rPr>
        <w:t xml:space="preserve"> Company</w:t>
      </w:r>
      <w:r w:rsidR="005C399D" w:rsidRPr="008A1977">
        <w:rPr>
          <w:sz w:val="26"/>
          <w:szCs w:val="26"/>
        </w:rPr>
        <w:t xml:space="preserve"> </w:t>
      </w:r>
      <w:r w:rsidR="00020EF6" w:rsidRPr="008A1977">
        <w:rPr>
          <w:sz w:val="26"/>
          <w:szCs w:val="26"/>
        </w:rPr>
        <w:t>is</w:t>
      </w:r>
      <w:r w:rsidR="008A1977" w:rsidRPr="008A1977">
        <w:rPr>
          <w:sz w:val="26"/>
          <w:szCs w:val="26"/>
        </w:rPr>
        <w:t xml:space="preserve"> sustained, in part, and denied, in part, consistent with this Opinion and Order.  </w:t>
      </w:r>
    </w:p>
    <w:p w:rsidR="008A1977" w:rsidRDefault="008A1977" w:rsidP="008A1977">
      <w:pPr>
        <w:pStyle w:val="ListParagraph"/>
        <w:rPr>
          <w:sz w:val="26"/>
          <w:szCs w:val="26"/>
        </w:rPr>
      </w:pPr>
    </w:p>
    <w:p w:rsidR="008A1977" w:rsidRPr="008A1977" w:rsidRDefault="008A1977" w:rsidP="0020679B">
      <w:pPr>
        <w:widowControl/>
        <w:numPr>
          <w:ilvl w:val="0"/>
          <w:numId w:val="1"/>
        </w:numPr>
        <w:tabs>
          <w:tab w:val="clear" w:pos="2160"/>
          <w:tab w:val="num" w:pos="0"/>
        </w:tabs>
        <w:spacing w:line="360" w:lineRule="auto"/>
        <w:ind w:left="0" w:firstLine="1440"/>
        <w:rPr>
          <w:sz w:val="26"/>
          <w:szCs w:val="26"/>
        </w:rPr>
      </w:pPr>
      <w:r w:rsidRPr="008A1977">
        <w:rPr>
          <w:sz w:val="26"/>
          <w:szCs w:val="26"/>
        </w:rPr>
        <w:t xml:space="preserve">That within thirty (30) days of the date of entry of this Opinion and Order, </w:t>
      </w:r>
      <w:r>
        <w:rPr>
          <w:sz w:val="26"/>
          <w:szCs w:val="26"/>
        </w:rPr>
        <w:t>PECO Energy</w:t>
      </w:r>
      <w:r w:rsidRPr="008A1977">
        <w:rPr>
          <w:sz w:val="26"/>
          <w:szCs w:val="26"/>
        </w:rPr>
        <w:t xml:space="preserve"> Company shall remit $</w:t>
      </w:r>
      <w:r>
        <w:rPr>
          <w:sz w:val="26"/>
          <w:szCs w:val="26"/>
        </w:rPr>
        <w:t>500</w:t>
      </w:r>
      <w:r w:rsidRPr="008A1977">
        <w:rPr>
          <w:sz w:val="26"/>
          <w:szCs w:val="26"/>
        </w:rPr>
        <w:t>, payable by certified check or money order, to “Commonwealth of Pennsylvania” and sent to:</w:t>
      </w:r>
    </w:p>
    <w:p w:rsidR="005C581D" w:rsidRDefault="005C581D" w:rsidP="005C581D">
      <w:pPr>
        <w:keepNext/>
        <w:widowControl/>
        <w:ind w:left="1440" w:firstLine="720"/>
        <w:rPr>
          <w:sz w:val="26"/>
          <w:szCs w:val="26"/>
        </w:rPr>
      </w:pPr>
    </w:p>
    <w:p w:rsidR="005C581D" w:rsidRDefault="005C581D" w:rsidP="005C581D">
      <w:pPr>
        <w:keepNext/>
        <w:widowControl/>
        <w:ind w:left="1440" w:firstLine="720"/>
        <w:rPr>
          <w:sz w:val="26"/>
          <w:szCs w:val="26"/>
        </w:rPr>
      </w:pPr>
      <w:r>
        <w:rPr>
          <w:sz w:val="26"/>
          <w:szCs w:val="26"/>
        </w:rPr>
        <w:t>Secretary</w:t>
      </w:r>
    </w:p>
    <w:p w:rsidR="005C581D" w:rsidRDefault="005C581D" w:rsidP="005C581D">
      <w:pPr>
        <w:keepNext/>
        <w:widowControl/>
        <w:ind w:left="1440" w:firstLine="720"/>
        <w:rPr>
          <w:sz w:val="26"/>
          <w:szCs w:val="26"/>
        </w:rPr>
      </w:pPr>
      <w:r>
        <w:rPr>
          <w:sz w:val="26"/>
          <w:szCs w:val="26"/>
        </w:rPr>
        <w:t>Pennsylvania Public Utility Commission</w:t>
      </w:r>
    </w:p>
    <w:p w:rsidR="005C581D" w:rsidRDefault="005C581D" w:rsidP="005C581D">
      <w:pPr>
        <w:keepNext/>
        <w:widowControl/>
        <w:ind w:left="1440" w:firstLine="720"/>
        <w:rPr>
          <w:sz w:val="26"/>
          <w:szCs w:val="26"/>
        </w:rPr>
      </w:pPr>
      <w:r>
        <w:rPr>
          <w:sz w:val="26"/>
          <w:szCs w:val="26"/>
        </w:rPr>
        <w:t>Commonwealth Keystone Building</w:t>
      </w:r>
    </w:p>
    <w:p w:rsidR="005C581D" w:rsidRDefault="005C581D" w:rsidP="005C581D">
      <w:pPr>
        <w:keepNext/>
        <w:widowControl/>
        <w:ind w:left="1440" w:firstLine="720"/>
        <w:rPr>
          <w:sz w:val="26"/>
          <w:szCs w:val="26"/>
        </w:rPr>
      </w:pPr>
      <w:r>
        <w:rPr>
          <w:sz w:val="26"/>
          <w:szCs w:val="26"/>
        </w:rPr>
        <w:t>400 North Street</w:t>
      </w:r>
    </w:p>
    <w:p w:rsidR="005C581D" w:rsidRDefault="005C581D" w:rsidP="005C581D">
      <w:pPr>
        <w:keepNext/>
        <w:widowControl/>
        <w:ind w:left="1440" w:firstLine="720"/>
        <w:rPr>
          <w:sz w:val="26"/>
          <w:szCs w:val="24"/>
        </w:rPr>
      </w:pPr>
      <w:r>
        <w:rPr>
          <w:sz w:val="26"/>
          <w:szCs w:val="26"/>
        </w:rPr>
        <w:t>Harrisburg, PA 17120</w:t>
      </w:r>
    </w:p>
    <w:p w:rsidR="008A1977" w:rsidRDefault="008A1977" w:rsidP="008A1977">
      <w:pPr>
        <w:widowControl/>
        <w:spacing w:line="360" w:lineRule="auto"/>
        <w:ind w:firstLine="1440"/>
        <w:rPr>
          <w:sz w:val="26"/>
          <w:szCs w:val="24"/>
        </w:rPr>
      </w:pPr>
    </w:p>
    <w:p w:rsidR="008D4EEB" w:rsidRPr="008D4EEB" w:rsidRDefault="008A1977" w:rsidP="008D4EEB">
      <w:pPr>
        <w:pStyle w:val="ListParagraph"/>
        <w:widowControl/>
        <w:numPr>
          <w:ilvl w:val="0"/>
          <w:numId w:val="1"/>
        </w:numPr>
        <w:tabs>
          <w:tab w:val="clear" w:pos="2160"/>
        </w:tabs>
        <w:spacing w:line="360" w:lineRule="auto"/>
        <w:ind w:left="0" w:firstLine="1440"/>
        <w:rPr>
          <w:sz w:val="26"/>
          <w:szCs w:val="26"/>
        </w:rPr>
      </w:pPr>
      <w:r w:rsidRPr="008D4EEB">
        <w:rPr>
          <w:sz w:val="26"/>
          <w:szCs w:val="26"/>
        </w:rPr>
        <w:t>That a copy of this Opinion and Order shall be served upon the Financial and Assessment Chief, Office of Administrative Services.</w:t>
      </w:r>
      <w:r w:rsidR="008D4EEB" w:rsidRPr="008D4EEB">
        <w:rPr>
          <w:sz w:val="26"/>
          <w:szCs w:val="26"/>
        </w:rPr>
        <w:t xml:space="preserve"> </w:t>
      </w:r>
    </w:p>
    <w:p w:rsidR="008D4EEB" w:rsidRDefault="008D4EEB" w:rsidP="008D4EEB">
      <w:pPr>
        <w:pStyle w:val="ListParagraph"/>
        <w:widowControl/>
        <w:spacing w:line="360" w:lineRule="auto"/>
        <w:ind w:left="2160"/>
        <w:rPr>
          <w:sz w:val="26"/>
          <w:szCs w:val="26"/>
        </w:rPr>
      </w:pPr>
    </w:p>
    <w:p w:rsidR="008A1977" w:rsidRDefault="008A1977" w:rsidP="008D4EEB">
      <w:pPr>
        <w:pStyle w:val="ListParagraph"/>
        <w:widowControl/>
        <w:numPr>
          <w:ilvl w:val="0"/>
          <w:numId w:val="1"/>
        </w:numPr>
        <w:tabs>
          <w:tab w:val="clear" w:pos="2160"/>
          <w:tab w:val="num" w:pos="2070"/>
        </w:tabs>
        <w:spacing w:line="360" w:lineRule="auto"/>
        <w:ind w:left="0" w:firstLine="1440"/>
        <w:rPr>
          <w:sz w:val="26"/>
          <w:szCs w:val="26"/>
        </w:rPr>
      </w:pPr>
      <w:r w:rsidRPr="008D4EEB">
        <w:rPr>
          <w:sz w:val="26"/>
          <w:szCs w:val="26"/>
        </w:rPr>
        <w:t xml:space="preserve">That </w:t>
      </w:r>
      <w:r w:rsidR="008D4EEB" w:rsidRPr="008D4EEB">
        <w:rPr>
          <w:sz w:val="26"/>
          <w:szCs w:val="26"/>
        </w:rPr>
        <w:t>PECO Energy</w:t>
      </w:r>
      <w:r w:rsidRPr="008D4EEB">
        <w:rPr>
          <w:sz w:val="26"/>
          <w:szCs w:val="26"/>
        </w:rPr>
        <w:t xml:space="preserve"> Company is hereby directed to cease and desist from further violations of the Public Utility Code, 66 Pa. C.S. §§ 101, </w:t>
      </w:r>
      <w:r w:rsidRPr="008D4EEB">
        <w:rPr>
          <w:i/>
          <w:sz w:val="26"/>
          <w:szCs w:val="26"/>
        </w:rPr>
        <w:t>et seq.</w:t>
      </w:r>
      <w:r w:rsidRPr="008D4EEB">
        <w:rPr>
          <w:sz w:val="26"/>
          <w:szCs w:val="26"/>
        </w:rPr>
        <w:t xml:space="preserve">, and the Regulations of this Commission, 52 Pa. Code §§ 1.1, </w:t>
      </w:r>
      <w:r w:rsidRPr="008D4EEB">
        <w:rPr>
          <w:i/>
          <w:sz w:val="26"/>
          <w:szCs w:val="26"/>
        </w:rPr>
        <w:t>et seq</w:t>
      </w:r>
      <w:r w:rsidRPr="008D4EEB">
        <w:rPr>
          <w:sz w:val="26"/>
          <w:szCs w:val="26"/>
        </w:rPr>
        <w:t>.</w:t>
      </w:r>
    </w:p>
    <w:p w:rsidR="008A1977" w:rsidRDefault="008A1977" w:rsidP="008A1977">
      <w:pPr>
        <w:widowControl/>
        <w:spacing w:line="360" w:lineRule="auto"/>
        <w:ind w:firstLine="1440"/>
        <w:rPr>
          <w:sz w:val="26"/>
          <w:szCs w:val="26"/>
        </w:rPr>
      </w:pPr>
    </w:p>
    <w:p w:rsidR="00545A45" w:rsidRPr="00A9787D" w:rsidRDefault="008D4EEB" w:rsidP="00A82359">
      <w:pPr>
        <w:keepNext/>
        <w:keepLines/>
        <w:widowControl/>
        <w:spacing w:line="360" w:lineRule="auto"/>
        <w:ind w:firstLine="1440"/>
        <w:rPr>
          <w:sz w:val="26"/>
          <w:szCs w:val="26"/>
        </w:rPr>
      </w:pPr>
      <w:r>
        <w:rPr>
          <w:sz w:val="26"/>
          <w:szCs w:val="26"/>
        </w:rPr>
        <w:t>7</w:t>
      </w:r>
      <w:r w:rsidR="008A1977">
        <w:rPr>
          <w:sz w:val="26"/>
          <w:szCs w:val="26"/>
        </w:rPr>
        <w:t>.</w:t>
      </w:r>
      <w:r w:rsidR="008A1977">
        <w:rPr>
          <w:sz w:val="26"/>
          <w:szCs w:val="26"/>
        </w:rPr>
        <w:tab/>
      </w:r>
      <w:r w:rsidR="008A1977" w:rsidRPr="0090056F">
        <w:rPr>
          <w:sz w:val="26"/>
        </w:rPr>
        <w:t>That</w:t>
      </w:r>
      <w:r w:rsidR="008A1977">
        <w:rPr>
          <w:sz w:val="26"/>
        </w:rPr>
        <w:t xml:space="preserve"> after </w:t>
      </w:r>
      <w:r>
        <w:rPr>
          <w:sz w:val="26"/>
          <w:szCs w:val="26"/>
        </w:rPr>
        <w:t>PECO Energy</w:t>
      </w:r>
      <w:r w:rsidR="008A1977" w:rsidRPr="00305A65">
        <w:rPr>
          <w:sz w:val="26"/>
          <w:szCs w:val="26"/>
        </w:rPr>
        <w:t xml:space="preserve"> Company </w:t>
      </w:r>
      <w:r w:rsidR="008A1977">
        <w:rPr>
          <w:sz w:val="26"/>
          <w:szCs w:val="26"/>
        </w:rPr>
        <w:t>remits $</w:t>
      </w:r>
      <w:r>
        <w:rPr>
          <w:sz w:val="26"/>
          <w:szCs w:val="26"/>
        </w:rPr>
        <w:t>500,</w:t>
      </w:r>
      <w:r w:rsidR="008A1977">
        <w:rPr>
          <w:sz w:val="26"/>
          <w:szCs w:val="26"/>
        </w:rPr>
        <w:t xml:space="preserve"> as required by Ordering Paragraph No. </w:t>
      </w:r>
      <w:r>
        <w:rPr>
          <w:sz w:val="26"/>
          <w:szCs w:val="26"/>
        </w:rPr>
        <w:t>4</w:t>
      </w:r>
      <w:r w:rsidR="008A1977">
        <w:rPr>
          <w:sz w:val="26"/>
          <w:szCs w:val="26"/>
        </w:rPr>
        <w:t>,</w:t>
      </w:r>
      <w:r w:rsidR="008A1977">
        <w:rPr>
          <w:sz w:val="26"/>
        </w:rPr>
        <w:t xml:space="preserve"> above, the Secretary’s Bureau shall mark </w:t>
      </w:r>
      <w:r w:rsidR="008A1977" w:rsidRPr="0090056F">
        <w:rPr>
          <w:sz w:val="26"/>
        </w:rPr>
        <w:t>this proceeding closed</w:t>
      </w:r>
      <w:r w:rsidR="008A1977">
        <w:rPr>
          <w:sz w:val="26"/>
        </w:rPr>
        <w:t>.</w:t>
      </w:r>
    </w:p>
    <w:p w:rsidR="00EC6920" w:rsidRDefault="00EC6920" w:rsidP="00A82359">
      <w:pPr>
        <w:pStyle w:val="ListParagraph"/>
        <w:keepNext/>
        <w:keepLines/>
        <w:widowControl/>
        <w:spacing w:line="360" w:lineRule="auto"/>
        <w:ind w:left="1440"/>
        <w:rPr>
          <w:sz w:val="26"/>
          <w:szCs w:val="26"/>
        </w:rPr>
      </w:pPr>
    </w:p>
    <w:p w:rsidR="00CA43A5" w:rsidRPr="00A9787D" w:rsidRDefault="00CA43A5" w:rsidP="00A82359">
      <w:pPr>
        <w:keepNext/>
        <w:keepLines/>
        <w:widowControl/>
        <w:tabs>
          <w:tab w:val="left" w:pos="-720"/>
        </w:tabs>
        <w:ind w:firstLine="5040"/>
        <w:rPr>
          <w:sz w:val="26"/>
          <w:szCs w:val="26"/>
        </w:rPr>
      </w:pPr>
      <w:r w:rsidRPr="00A9787D">
        <w:rPr>
          <w:b/>
          <w:sz w:val="26"/>
          <w:szCs w:val="26"/>
        </w:rPr>
        <w:t>BY THE COMMISSION,</w:t>
      </w:r>
    </w:p>
    <w:p w:rsidR="00CA43A5" w:rsidRPr="00A9787D" w:rsidRDefault="0096735C" w:rsidP="00A82359">
      <w:pPr>
        <w:keepNext/>
        <w:keepLines/>
        <w:widowControl/>
        <w:tabs>
          <w:tab w:val="left" w:pos="-720"/>
        </w:tabs>
        <w:rPr>
          <w:sz w:val="26"/>
          <w:szCs w:val="26"/>
        </w:rPr>
      </w:pPr>
      <w:r>
        <w:rPr>
          <w:noProof/>
        </w:rPr>
        <w:drawing>
          <wp:anchor distT="0" distB="0" distL="114300" distR="114300" simplePos="0" relativeHeight="251659264" behindDoc="1" locked="0" layoutInCell="1" allowOverlap="1">
            <wp:simplePos x="0" y="0"/>
            <wp:positionH relativeFrom="column">
              <wp:posOffset>2990850</wp:posOffset>
            </wp:positionH>
            <wp:positionV relativeFrom="paragraph">
              <wp:posOffset>46355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C6920" w:rsidRPr="00A9787D" w:rsidRDefault="00EC6920" w:rsidP="00A82359">
      <w:pPr>
        <w:keepNext/>
        <w:keepLines/>
        <w:widowControl/>
        <w:tabs>
          <w:tab w:val="left" w:pos="-720"/>
        </w:tabs>
        <w:rPr>
          <w:sz w:val="26"/>
          <w:szCs w:val="26"/>
        </w:rPr>
      </w:pPr>
    </w:p>
    <w:p w:rsidR="0096735C" w:rsidRDefault="0096735C"/>
    <w:p w:rsidR="00CA43A5" w:rsidRPr="00A9787D" w:rsidRDefault="00CA43A5" w:rsidP="00A82359">
      <w:pPr>
        <w:keepNext/>
        <w:keepLines/>
        <w:widowControl/>
        <w:tabs>
          <w:tab w:val="left" w:pos="-720"/>
        </w:tabs>
        <w:rPr>
          <w:sz w:val="26"/>
          <w:szCs w:val="26"/>
        </w:rPr>
      </w:pPr>
    </w:p>
    <w:p w:rsidR="008F7A79" w:rsidRPr="00A9787D" w:rsidRDefault="008F7A79" w:rsidP="00A82359">
      <w:pPr>
        <w:keepNext/>
        <w:keepLines/>
        <w:widowControl/>
        <w:tabs>
          <w:tab w:val="left" w:pos="-720"/>
        </w:tabs>
        <w:rPr>
          <w:sz w:val="26"/>
          <w:szCs w:val="26"/>
        </w:rPr>
      </w:pPr>
    </w:p>
    <w:p w:rsidR="00CA43A5" w:rsidRPr="00A9787D" w:rsidRDefault="00564565" w:rsidP="00A82359">
      <w:pPr>
        <w:keepNext/>
        <w:keepLines/>
        <w:widowControl/>
        <w:tabs>
          <w:tab w:val="left" w:pos="-720"/>
        </w:tabs>
        <w:ind w:firstLine="5040"/>
        <w:rPr>
          <w:b/>
          <w:sz w:val="26"/>
          <w:szCs w:val="26"/>
        </w:rPr>
      </w:pPr>
      <w:r w:rsidRPr="00A9787D">
        <w:rPr>
          <w:sz w:val="26"/>
          <w:szCs w:val="26"/>
        </w:rPr>
        <w:t>Rosemary Chiavetta</w:t>
      </w:r>
    </w:p>
    <w:p w:rsidR="00CA43A5" w:rsidRPr="00A9787D" w:rsidRDefault="00CA43A5" w:rsidP="00A82359">
      <w:pPr>
        <w:keepNext/>
        <w:keepLines/>
        <w:widowControl/>
        <w:tabs>
          <w:tab w:val="left" w:pos="-720"/>
        </w:tabs>
        <w:ind w:firstLine="5040"/>
        <w:rPr>
          <w:sz w:val="26"/>
          <w:szCs w:val="26"/>
        </w:rPr>
      </w:pPr>
      <w:r w:rsidRPr="00A9787D">
        <w:rPr>
          <w:sz w:val="26"/>
          <w:szCs w:val="26"/>
        </w:rPr>
        <w:t>Secretary</w:t>
      </w:r>
    </w:p>
    <w:p w:rsidR="00D22C07" w:rsidRPr="00A9787D" w:rsidRDefault="00D22C07" w:rsidP="00A82359">
      <w:pPr>
        <w:keepNext/>
        <w:keepLines/>
        <w:widowControl/>
        <w:tabs>
          <w:tab w:val="left" w:pos="-720"/>
        </w:tabs>
        <w:ind w:firstLine="5040"/>
        <w:rPr>
          <w:sz w:val="26"/>
          <w:szCs w:val="26"/>
        </w:rPr>
      </w:pPr>
    </w:p>
    <w:p w:rsidR="00CA43A5" w:rsidRPr="00A9787D" w:rsidRDefault="00CA43A5" w:rsidP="00A82359">
      <w:pPr>
        <w:keepNext/>
        <w:keepLines/>
        <w:widowControl/>
        <w:tabs>
          <w:tab w:val="left" w:pos="-720"/>
        </w:tabs>
        <w:rPr>
          <w:sz w:val="26"/>
          <w:szCs w:val="26"/>
        </w:rPr>
      </w:pPr>
      <w:r w:rsidRPr="00A9787D">
        <w:rPr>
          <w:sz w:val="26"/>
          <w:szCs w:val="26"/>
        </w:rPr>
        <w:t>(SEAL)</w:t>
      </w:r>
    </w:p>
    <w:p w:rsidR="00CA43A5" w:rsidRPr="00A9787D" w:rsidRDefault="00CA43A5" w:rsidP="00A82359">
      <w:pPr>
        <w:keepNext/>
        <w:keepLines/>
        <w:widowControl/>
        <w:tabs>
          <w:tab w:val="left" w:pos="-720"/>
        </w:tabs>
        <w:rPr>
          <w:sz w:val="26"/>
          <w:szCs w:val="26"/>
        </w:rPr>
      </w:pPr>
    </w:p>
    <w:p w:rsidR="00CA43A5" w:rsidRPr="00A9787D" w:rsidRDefault="00F47DAC" w:rsidP="00A82359">
      <w:pPr>
        <w:keepNext/>
        <w:keepLines/>
        <w:widowControl/>
        <w:tabs>
          <w:tab w:val="left" w:pos="-720"/>
        </w:tabs>
        <w:rPr>
          <w:sz w:val="26"/>
          <w:szCs w:val="26"/>
        </w:rPr>
      </w:pPr>
      <w:r>
        <w:rPr>
          <w:sz w:val="26"/>
          <w:szCs w:val="26"/>
        </w:rPr>
        <w:t xml:space="preserve">ORDER ADOPTED: </w:t>
      </w:r>
      <w:r w:rsidR="007C44C2">
        <w:rPr>
          <w:sz w:val="26"/>
          <w:szCs w:val="26"/>
        </w:rPr>
        <w:t>January 18, 2018</w:t>
      </w:r>
    </w:p>
    <w:p w:rsidR="00EC6920" w:rsidRPr="00A9787D" w:rsidRDefault="00EC6920" w:rsidP="00A82359">
      <w:pPr>
        <w:keepNext/>
        <w:keepLines/>
        <w:widowControl/>
        <w:tabs>
          <w:tab w:val="left" w:pos="-720"/>
        </w:tabs>
        <w:rPr>
          <w:sz w:val="26"/>
          <w:szCs w:val="26"/>
        </w:rPr>
      </w:pPr>
    </w:p>
    <w:p w:rsidR="00344804" w:rsidRPr="00A9787D" w:rsidRDefault="00CA43A5" w:rsidP="00A82359">
      <w:pPr>
        <w:keepNext/>
        <w:keepLines/>
        <w:widowControl/>
        <w:tabs>
          <w:tab w:val="left" w:pos="-720"/>
        </w:tabs>
        <w:rPr>
          <w:sz w:val="26"/>
          <w:szCs w:val="26"/>
        </w:rPr>
      </w:pPr>
      <w:r w:rsidRPr="00A9787D">
        <w:rPr>
          <w:sz w:val="26"/>
          <w:szCs w:val="26"/>
        </w:rPr>
        <w:t xml:space="preserve">ORDER ENTERED:  </w:t>
      </w:r>
      <w:r w:rsidR="0096735C">
        <w:rPr>
          <w:sz w:val="26"/>
          <w:szCs w:val="26"/>
        </w:rPr>
        <w:t>March 5, 2018</w:t>
      </w:r>
      <w:bookmarkStart w:id="3" w:name="_GoBack"/>
      <w:bookmarkEnd w:id="3"/>
    </w:p>
    <w:sectPr w:rsidR="00344804" w:rsidRPr="00A9787D"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73B" w:rsidRDefault="00F1373B" w:rsidP="00F7174B">
      <w:r>
        <w:separator/>
      </w:r>
    </w:p>
  </w:endnote>
  <w:endnote w:type="continuationSeparator" w:id="0">
    <w:p w:rsidR="00F1373B" w:rsidRDefault="00F1373B" w:rsidP="00F7174B">
      <w:r>
        <w:continuationSeparator/>
      </w:r>
    </w:p>
  </w:endnote>
  <w:endnote w:type="continuationNotice" w:id="1">
    <w:p w:rsidR="00F1373B" w:rsidRDefault="00F13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5944B1" w:rsidRPr="009F1A08" w:rsidRDefault="005944B1">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96735C">
          <w:rPr>
            <w:noProof/>
            <w:sz w:val="26"/>
            <w:szCs w:val="26"/>
          </w:rPr>
          <w:t>19</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73B" w:rsidRDefault="00F1373B" w:rsidP="00F7174B">
      <w:r>
        <w:separator/>
      </w:r>
    </w:p>
  </w:footnote>
  <w:footnote w:type="continuationSeparator" w:id="0">
    <w:p w:rsidR="00F1373B" w:rsidRDefault="00F1373B" w:rsidP="00F7174B">
      <w:r>
        <w:continuationSeparator/>
      </w:r>
    </w:p>
  </w:footnote>
  <w:footnote w:type="continuationNotice" w:id="1">
    <w:p w:rsidR="00F1373B" w:rsidRDefault="00F1373B"/>
  </w:footnote>
  <w:footnote w:id="2">
    <w:p w:rsidR="005944B1" w:rsidRPr="00536C67" w:rsidRDefault="005944B1" w:rsidP="001C0247">
      <w:pPr>
        <w:pStyle w:val="FootnoteText"/>
        <w:keepNext/>
        <w:keepLines/>
        <w:widowControl/>
        <w:spacing w:after="120"/>
        <w:ind w:firstLine="720"/>
        <w:rPr>
          <w:sz w:val="26"/>
          <w:szCs w:val="26"/>
        </w:rPr>
      </w:pPr>
      <w:r w:rsidRPr="00536C67">
        <w:rPr>
          <w:rStyle w:val="FootnoteReference"/>
          <w:sz w:val="26"/>
          <w:szCs w:val="26"/>
        </w:rPr>
        <w:footnoteRef/>
      </w:r>
      <w:r w:rsidRPr="00536C67">
        <w:rPr>
          <w:sz w:val="26"/>
          <w:szCs w:val="26"/>
        </w:rPr>
        <w:tab/>
        <w:t>We acknowledge that the Complainant’s Exceptions, which were due on November 3, 2016, were filed a few days late.  However, since the Complainant is unrepresented and because her Exceptions were filed reasonably near the deadline,</w:t>
      </w:r>
      <w:r w:rsidRPr="00536C67">
        <w:rPr>
          <w:i/>
          <w:sz w:val="26"/>
          <w:szCs w:val="26"/>
        </w:rPr>
        <w:t xml:space="preserve"> </w:t>
      </w:r>
      <w:r w:rsidRPr="00536C67">
        <w:rPr>
          <w:sz w:val="26"/>
          <w:szCs w:val="26"/>
        </w:rPr>
        <w:t xml:space="preserve">we will consider the Exceptions </w:t>
      </w:r>
      <w:r>
        <w:rPr>
          <w:sz w:val="26"/>
          <w:szCs w:val="26"/>
        </w:rPr>
        <w:t xml:space="preserve">so as to </w:t>
      </w:r>
      <w:r w:rsidRPr="00536C67">
        <w:rPr>
          <w:sz w:val="26"/>
          <w:szCs w:val="26"/>
        </w:rPr>
        <w:t>secure a just, speedy, and inexpensive determination in this proceeding, consistent with 52 Pa. Code § 1.2(a).</w:t>
      </w:r>
    </w:p>
  </w:footnote>
  <w:footnote w:id="3">
    <w:p w:rsidR="005944B1" w:rsidRPr="00AF389D" w:rsidRDefault="005944B1" w:rsidP="001C0247">
      <w:pPr>
        <w:pStyle w:val="FootnoteText"/>
        <w:keepNext/>
        <w:keepLines/>
        <w:widowControl/>
        <w:spacing w:after="120"/>
        <w:ind w:firstLine="720"/>
        <w:rPr>
          <w:sz w:val="26"/>
          <w:szCs w:val="26"/>
        </w:rPr>
      </w:pPr>
      <w:r w:rsidRPr="00536C67">
        <w:rPr>
          <w:rStyle w:val="FootnoteReference"/>
          <w:sz w:val="26"/>
          <w:szCs w:val="26"/>
        </w:rPr>
        <w:footnoteRef/>
      </w:r>
      <w:r w:rsidRPr="00536C67">
        <w:rPr>
          <w:sz w:val="26"/>
          <w:szCs w:val="26"/>
        </w:rPr>
        <w:tab/>
        <w:t>The Service Address is a three-story building with a commercial unit on the first floor and separate residential units on the second and third floors.  Tr. at 84.  The</w:t>
      </w:r>
      <w:r w:rsidRPr="00AF389D">
        <w:rPr>
          <w:sz w:val="26"/>
          <w:szCs w:val="26"/>
        </w:rPr>
        <w:t xml:space="preserve"> Complainant </w:t>
      </w:r>
      <w:r>
        <w:rPr>
          <w:sz w:val="26"/>
          <w:szCs w:val="26"/>
        </w:rPr>
        <w:t>rented the first floor from May 2014 to May 2016.  Tr. at 9-10</w:t>
      </w:r>
      <w:r w:rsidRPr="00AF389D">
        <w:rPr>
          <w:sz w:val="26"/>
          <w:szCs w:val="26"/>
        </w:rPr>
        <w:t xml:space="preserve">.  </w:t>
      </w:r>
      <w:r>
        <w:rPr>
          <w:sz w:val="26"/>
          <w:szCs w:val="26"/>
        </w:rPr>
        <w:t>The Complainant used the first-floor unit as a ministry/tutoring/Christian partnership center.  Tr. at 10</w:t>
      </w:r>
      <w:r w:rsidRPr="00B3538D">
        <w:rPr>
          <w:sz w:val="26"/>
          <w:szCs w:val="26"/>
        </w:rPr>
        <w:t>.</w:t>
      </w:r>
      <w:r>
        <w:rPr>
          <w:sz w:val="26"/>
          <w:szCs w:val="26"/>
        </w:rPr>
        <w:t xml:space="preserve">  The Complainant lives and has had electric service on the second floor since July 15, 2014.  Tr. at 8-10, 32, 44, 58-59; PECO Exh. 2.  </w:t>
      </w:r>
      <w:r w:rsidRPr="00AF389D">
        <w:rPr>
          <w:sz w:val="26"/>
          <w:szCs w:val="26"/>
        </w:rPr>
        <w:t xml:space="preserve">The Complainant’s landlord </w:t>
      </w:r>
      <w:r>
        <w:rPr>
          <w:sz w:val="26"/>
          <w:szCs w:val="26"/>
        </w:rPr>
        <w:t>lives and has electric service on</w:t>
      </w:r>
      <w:r w:rsidRPr="00AF389D">
        <w:rPr>
          <w:sz w:val="26"/>
          <w:szCs w:val="26"/>
        </w:rPr>
        <w:t xml:space="preserve"> the third floor</w:t>
      </w:r>
      <w:r>
        <w:rPr>
          <w:sz w:val="26"/>
          <w:szCs w:val="26"/>
        </w:rPr>
        <w:t xml:space="preserve"> of the building</w:t>
      </w:r>
      <w:r w:rsidRPr="00AF389D">
        <w:rPr>
          <w:sz w:val="26"/>
          <w:szCs w:val="26"/>
        </w:rPr>
        <w:t>.</w:t>
      </w:r>
      <w:r>
        <w:rPr>
          <w:sz w:val="26"/>
          <w:szCs w:val="26"/>
        </w:rPr>
        <w:t xml:space="preserve">  Tr. at 56.  The landlord also owns and lives on either side of the building, which includes a restaurant located at 4710 Oxford Avenue, Philadelphia, PA (Adjoining Address).  A basement spans across the Service Address and the Adjoining Address.  Tr. at 20-21, 85.</w:t>
      </w:r>
    </w:p>
  </w:footnote>
  <w:footnote w:id="4">
    <w:p w:rsidR="005944B1" w:rsidRPr="00B3538D" w:rsidRDefault="005944B1" w:rsidP="001C0247">
      <w:pPr>
        <w:pStyle w:val="FootnoteText"/>
        <w:keepNext/>
        <w:keepLines/>
        <w:widowControl/>
        <w:spacing w:after="120"/>
        <w:ind w:firstLine="720"/>
        <w:rPr>
          <w:sz w:val="26"/>
          <w:szCs w:val="26"/>
        </w:rPr>
      </w:pPr>
      <w:r w:rsidRPr="00B3538D">
        <w:rPr>
          <w:rStyle w:val="FootnoteReference"/>
          <w:sz w:val="26"/>
          <w:szCs w:val="26"/>
        </w:rPr>
        <w:footnoteRef/>
      </w:r>
      <w:r>
        <w:rPr>
          <w:sz w:val="26"/>
          <w:szCs w:val="26"/>
        </w:rPr>
        <w:tab/>
        <w:t xml:space="preserve">Although there are no outstanding balances for the first-floor unit with PECO, the Complainant believes PECO overcharged her for the unit from May 2014 until she closed the account in 2016.  The Complainant also believes PECO overcharged her for the second-floor unit.  Tr. at 12-14.   </w:t>
      </w:r>
    </w:p>
  </w:footnote>
  <w:footnote w:id="5">
    <w:p w:rsidR="005944B1" w:rsidRPr="005271CB" w:rsidRDefault="005944B1" w:rsidP="001C0247">
      <w:pPr>
        <w:pStyle w:val="FootnoteText"/>
        <w:keepNext/>
        <w:keepLines/>
        <w:widowControl/>
        <w:spacing w:after="120"/>
        <w:ind w:firstLine="720"/>
        <w:rPr>
          <w:sz w:val="26"/>
          <w:szCs w:val="26"/>
        </w:rPr>
      </w:pPr>
      <w:r w:rsidRPr="005271CB">
        <w:rPr>
          <w:rStyle w:val="FootnoteReference"/>
          <w:sz w:val="26"/>
          <w:szCs w:val="26"/>
        </w:rPr>
        <w:footnoteRef/>
      </w:r>
      <w:r w:rsidRPr="005271CB">
        <w:rPr>
          <w:sz w:val="26"/>
          <w:szCs w:val="26"/>
        </w:rPr>
        <w:tab/>
        <w:t xml:space="preserve">The ALJ denied the late-filed exhibit as inadmissible on the basis of hearsay, pursuant to Rules 801 and 802 of the Pennsylvania Rules of Evidence.  </w:t>
      </w:r>
    </w:p>
    <w:p w:rsidR="005944B1" w:rsidRDefault="005944B1" w:rsidP="001C0247">
      <w:pPr>
        <w:pStyle w:val="FootnoteText"/>
        <w:keepNext/>
        <w:keepLines/>
        <w:widowControl/>
        <w:spacing w:after="120"/>
        <w:ind w:firstLine="720"/>
      </w:pPr>
    </w:p>
  </w:footnote>
  <w:footnote w:id="6">
    <w:p w:rsidR="005944B1" w:rsidRPr="00016D8B" w:rsidRDefault="005944B1" w:rsidP="001C0247">
      <w:pPr>
        <w:pStyle w:val="FootnoteText"/>
        <w:keepNext/>
        <w:keepLines/>
        <w:widowControl/>
        <w:spacing w:after="120"/>
        <w:ind w:firstLine="720"/>
        <w:rPr>
          <w:sz w:val="26"/>
          <w:szCs w:val="26"/>
        </w:rPr>
      </w:pPr>
      <w:r w:rsidRPr="00016D8B">
        <w:rPr>
          <w:rStyle w:val="FootnoteReference"/>
          <w:sz w:val="26"/>
          <w:szCs w:val="26"/>
        </w:rPr>
        <w:footnoteRef/>
      </w:r>
      <w:r>
        <w:rPr>
          <w:sz w:val="26"/>
          <w:szCs w:val="26"/>
        </w:rPr>
        <w:tab/>
        <w:t xml:space="preserve">The investigator, however, discovered there was a meter mix up between the meters for the first-floor unit and the third-floor unit.  Tr. at 56, 77, 89-90; PECO Exh. 5.  </w:t>
      </w:r>
      <w:r w:rsidRPr="00016D8B">
        <w:rPr>
          <w:sz w:val="26"/>
          <w:szCs w:val="26"/>
        </w:rPr>
        <w:t>Following the April 16, 2015 investigation, PECO corrected the mix up and ensured that the first floor and third floor units were billed on the correct meters.  Tr.</w:t>
      </w:r>
      <w:r>
        <w:rPr>
          <w:sz w:val="26"/>
          <w:szCs w:val="26"/>
        </w:rPr>
        <w:t> </w:t>
      </w:r>
      <w:r w:rsidRPr="00016D8B">
        <w:rPr>
          <w:sz w:val="26"/>
          <w:szCs w:val="26"/>
        </w:rPr>
        <w:t>at</w:t>
      </w:r>
      <w:r>
        <w:rPr>
          <w:sz w:val="26"/>
          <w:szCs w:val="26"/>
        </w:rPr>
        <w:t> </w:t>
      </w:r>
      <w:r w:rsidRPr="00016D8B">
        <w:rPr>
          <w:sz w:val="26"/>
          <w:szCs w:val="26"/>
        </w:rPr>
        <w:t>56.</w:t>
      </w:r>
      <w:r>
        <w:rPr>
          <w:sz w:val="26"/>
          <w:szCs w:val="26"/>
        </w:rPr>
        <w:t xml:space="preserve">  A subsequent PECO investigation in November 2015 revealed another meter mix-up between the first and third floor meters which PECO corrected again.  Although PECO’s review of the Complainant’s billing history revealed that she was underbilled for usage on the first floor due to the second mix up, PECO did not make any adjustments for the underbilling.  Tr. at 79-80.</w:t>
      </w:r>
    </w:p>
  </w:footnote>
  <w:footnote w:id="7">
    <w:p w:rsidR="005944B1" w:rsidRPr="006F4104" w:rsidRDefault="005944B1" w:rsidP="001C0247">
      <w:pPr>
        <w:pStyle w:val="FootnoteText"/>
        <w:keepNext/>
        <w:keepLines/>
        <w:widowControl/>
        <w:spacing w:after="120"/>
        <w:ind w:firstLine="720"/>
        <w:rPr>
          <w:sz w:val="26"/>
          <w:szCs w:val="26"/>
        </w:rPr>
      </w:pPr>
      <w:r w:rsidRPr="006F4104">
        <w:rPr>
          <w:rStyle w:val="FootnoteReference"/>
          <w:sz w:val="26"/>
          <w:szCs w:val="26"/>
        </w:rPr>
        <w:footnoteRef/>
      </w:r>
      <w:r w:rsidRPr="006F4104">
        <w:rPr>
          <w:sz w:val="26"/>
          <w:szCs w:val="26"/>
        </w:rPr>
        <w:tab/>
        <w:t>The Complainant lived alone on the second-floor unit from July 2014 until her daughter returned home from college in May 2015.  They have both been residing there since then.  Tr. at 10-11, 33.</w:t>
      </w:r>
    </w:p>
  </w:footnote>
  <w:footnote w:id="8">
    <w:p w:rsidR="005944B1" w:rsidRPr="006F4104" w:rsidRDefault="005944B1" w:rsidP="001C0247">
      <w:pPr>
        <w:pStyle w:val="FootnoteText"/>
        <w:keepNext/>
        <w:keepLines/>
        <w:widowControl/>
        <w:spacing w:after="120"/>
        <w:ind w:firstLine="720"/>
        <w:rPr>
          <w:sz w:val="26"/>
          <w:szCs w:val="26"/>
        </w:rPr>
      </w:pPr>
      <w:r w:rsidRPr="006F4104">
        <w:rPr>
          <w:rStyle w:val="FootnoteReference"/>
          <w:sz w:val="26"/>
          <w:szCs w:val="26"/>
        </w:rPr>
        <w:footnoteRef/>
      </w:r>
      <w:r w:rsidRPr="006F4104">
        <w:rPr>
          <w:sz w:val="26"/>
          <w:szCs w:val="26"/>
        </w:rPr>
        <w:tab/>
        <w:t xml:space="preserve">Estimated and actual billing information </w:t>
      </w:r>
      <w:r>
        <w:rPr>
          <w:sz w:val="26"/>
          <w:szCs w:val="26"/>
        </w:rPr>
        <w:t xml:space="preserve">for the first and second floor units of the Service Address </w:t>
      </w:r>
      <w:r w:rsidRPr="006F4104">
        <w:rPr>
          <w:sz w:val="26"/>
          <w:szCs w:val="26"/>
        </w:rPr>
        <w:t xml:space="preserve">can be found </w:t>
      </w:r>
      <w:r>
        <w:rPr>
          <w:sz w:val="26"/>
          <w:szCs w:val="26"/>
        </w:rPr>
        <w:t xml:space="preserve">on </w:t>
      </w:r>
      <w:r w:rsidRPr="006F4104">
        <w:rPr>
          <w:sz w:val="26"/>
          <w:szCs w:val="26"/>
        </w:rPr>
        <w:t>pages 5-7, 14, 15 and 17 of the ALJ’s Initial Decision.</w:t>
      </w:r>
    </w:p>
  </w:footnote>
  <w:footnote w:id="9">
    <w:p w:rsidR="005944B1" w:rsidRDefault="005944B1" w:rsidP="001C0247">
      <w:pPr>
        <w:pStyle w:val="FootnoteText"/>
        <w:keepNext/>
        <w:keepLines/>
        <w:widowControl/>
        <w:spacing w:after="120"/>
        <w:ind w:left="-90" w:firstLine="810"/>
      </w:pPr>
      <w:r w:rsidRPr="00BA081B">
        <w:rPr>
          <w:rStyle w:val="FootnoteReference"/>
          <w:sz w:val="26"/>
          <w:szCs w:val="26"/>
        </w:rPr>
        <w:footnoteRef/>
      </w:r>
      <w:r w:rsidRPr="00BA081B">
        <w:rPr>
          <w:sz w:val="26"/>
          <w:szCs w:val="26"/>
        </w:rPr>
        <w:tab/>
      </w:r>
      <w:r>
        <w:rPr>
          <w:sz w:val="26"/>
          <w:szCs w:val="26"/>
        </w:rPr>
        <w:t>The</w:t>
      </w:r>
      <w:r w:rsidRPr="00BA081B">
        <w:rPr>
          <w:sz w:val="26"/>
          <w:szCs w:val="26"/>
        </w:rPr>
        <w:t xml:space="preserve"> investigator observed the following electrical appliances at the second-floor unit: a top/bottom refrigerator averaging 200 kWh per month; an electric range averaging 150 kWh per month; a microwave averaging 40 kWh per month; a washer averaging 10 kWh per month; a dryer averaging 110 kWh per month; 24 feet of baseboard heating averaging 6,000 kWh per month; an electric water heater averaging 250 kWh per month for two people; lighting averaging 50 kWh per month for a space of four to five rooms; a mid-sized television averaging 72 kWh per month; a cable box/digital coder averaging 10 kWh per month; and a VCR/DVD player averaging 10 kWh per month.  </w:t>
      </w:r>
      <w:r w:rsidRPr="00BA081B">
        <w:rPr>
          <w:i/>
          <w:sz w:val="26"/>
          <w:szCs w:val="26"/>
        </w:rPr>
        <w:t>Id.</w:t>
      </w:r>
      <w:r w:rsidRPr="00BA081B">
        <w:rPr>
          <w:sz w:val="26"/>
          <w:szCs w:val="26"/>
        </w:rPr>
        <w:t xml:space="preserve"> (citing Tr. at 91-94; PECO Exh. 6).</w:t>
      </w:r>
    </w:p>
  </w:footnote>
  <w:footnote w:id="10">
    <w:p w:rsidR="005944B1" w:rsidRPr="006F2940" w:rsidRDefault="005944B1" w:rsidP="001C0247">
      <w:pPr>
        <w:pStyle w:val="FootnoteText"/>
        <w:keepNext/>
        <w:keepLines/>
        <w:widowControl/>
        <w:spacing w:after="120"/>
        <w:ind w:firstLine="720"/>
        <w:rPr>
          <w:sz w:val="26"/>
          <w:szCs w:val="26"/>
        </w:rPr>
      </w:pPr>
      <w:r w:rsidRPr="006F2940">
        <w:rPr>
          <w:rStyle w:val="FootnoteReference"/>
          <w:sz w:val="26"/>
          <w:szCs w:val="26"/>
        </w:rPr>
        <w:footnoteRef/>
      </w:r>
      <w:r w:rsidRPr="006F2940">
        <w:rPr>
          <w:sz w:val="26"/>
          <w:szCs w:val="26"/>
        </w:rPr>
        <w:tab/>
        <w:t xml:space="preserve">The ALJ </w:t>
      </w:r>
      <w:r>
        <w:rPr>
          <w:sz w:val="26"/>
          <w:szCs w:val="26"/>
        </w:rPr>
        <w:t>noted</w:t>
      </w:r>
      <w:r w:rsidRPr="006F2940">
        <w:rPr>
          <w:sz w:val="26"/>
          <w:szCs w:val="26"/>
        </w:rPr>
        <w:t xml:space="preserve"> that PECO investigated the Complainant’s concerns </w:t>
      </w:r>
      <w:r>
        <w:rPr>
          <w:sz w:val="26"/>
          <w:szCs w:val="26"/>
        </w:rPr>
        <w:t xml:space="preserve">on two separate occasions and that </w:t>
      </w:r>
      <w:r w:rsidRPr="006F2940">
        <w:rPr>
          <w:sz w:val="26"/>
          <w:szCs w:val="26"/>
        </w:rPr>
        <w:t xml:space="preserve">PECO’s investigator </w:t>
      </w:r>
      <w:r>
        <w:rPr>
          <w:sz w:val="26"/>
          <w:szCs w:val="26"/>
        </w:rPr>
        <w:t xml:space="preserve">not only </w:t>
      </w:r>
      <w:r w:rsidRPr="006F2940">
        <w:rPr>
          <w:sz w:val="26"/>
          <w:szCs w:val="26"/>
        </w:rPr>
        <w:t xml:space="preserve">spent one and </w:t>
      </w:r>
      <w:r>
        <w:rPr>
          <w:sz w:val="26"/>
          <w:szCs w:val="26"/>
        </w:rPr>
        <w:t xml:space="preserve">a </w:t>
      </w:r>
      <w:r w:rsidRPr="006F2940">
        <w:rPr>
          <w:sz w:val="26"/>
          <w:szCs w:val="26"/>
        </w:rPr>
        <w:t xml:space="preserve">half hours on the second visit </w:t>
      </w:r>
      <w:r>
        <w:rPr>
          <w:sz w:val="26"/>
          <w:szCs w:val="26"/>
        </w:rPr>
        <w:t xml:space="preserve">but also </w:t>
      </w:r>
      <w:r w:rsidRPr="006F2940">
        <w:rPr>
          <w:sz w:val="26"/>
          <w:szCs w:val="26"/>
        </w:rPr>
        <w:t>conducted several meter and passing load tests on both visits.</w:t>
      </w:r>
      <w:r>
        <w:rPr>
          <w:sz w:val="26"/>
          <w:szCs w:val="26"/>
        </w:rPr>
        <w:t xml:space="preserve">  </w:t>
      </w:r>
      <w:r w:rsidRPr="006F2940">
        <w:rPr>
          <w:sz w:val="26"/>
          <w:szCs w:val="26"/>
        </w:rPr>
        <w:t>I.D. at 20-21.</w:t>
      </w:r>
    </w:p>
  </w:footnote>
  <w:footnote w:id="11">
    <w:p w:rsidR="005944B1" w:rsidRPr="00DE2693" w:rsidRDefault="005944B1" w:rsidP="001C0247">
      <w:pPr>
        <w:pStyle w:val="FootnoteText"/>
        <w:keepNext/>
        <w:keepLines/>
        <w:widowControl/>
        <w:spacing w:after="120"/>
        <w:ind w:firstLine="720"/>
        <w:rPr>
          <w:sz w:val="26"/>
          <w:szCs w:val="26"/>
        </w:rPr>
      </w:pPr>
      <w:r w:rsidRPr="00DE2693">
        <w:rPr>
          <w:rStyle w:val="FootnoteReference"/>
          <w:sz w:val="26"/>
          <w:szCs w:val="26"/>
        </w:rPr>
        <w:footnoteRef/>
      </w:r>
      <w:r w:rsidRPr="00DE2693">
        <w:rPr>
          <w:sz w:val="26"/>
          <w:szCs w:val="26"/>
        </w:rPr>
        <w:tab/>
        <w:t xml:space="preserve">PECO indicated that in the two years </w:t>
      </w:r>
      <w:r>
        <w:rPr>
          <w:sz w:val="26"/>
          <w:szCs w:val="26"/>
        </w:rPr>
        <w:t xml:space="preserve">the Complainant </w:t>
      </w:r>
      <w:r w:rsidRPr="00DE2693">
        <w:rPr>
          <w:sz w:val="26"/>
          <w:szCs w:val="26"/>
        </w:rPr>
        <w:t>occupied the second-floor unit, she</w:t>
      </w:r>
      <w:r>
        <w:rPr>
          <w:sz w:val="26"/>
          <w:szCs w:val="26"/>
        </w:rPr>
        <w:t xml:space="preserve"> </w:t>
      </w:r>
      <w:r w:rsidRPr="00DE2693">
        <w:rPr>
          <w:sz w:val="26"/>
          <w:szCs w:val="26"/>
        </w:rPr>
        <w:t xml:space="preserve">made only six payments for </w:t>
      </w:r>
      <w:r>
        <w:rPr>
          <w:sz w:val="26"/>
          <w:szCs w:val="26"/>
        </w:rPr>
        <w:t xml:space="preserve">her electric usage.  Tr. at 43.  </w:t>
      </w:r>
      <w:r w:rsidRPr="00A65344">
        <w:rPr>
          <w:sz w:val="26"/>
          <w:szCs w:val="26"/>
        </w:rPr>
        <w:t xml:space="preserve">The Complainant’s account balance </w:t>
      </w:r>
      <w:r>
        <w:rPr>
          <w:sz w:val="26"/>
          <w:szCs w:val="26"/>
        </w:rPr>
        <w:t>for the second-floor unit as of July 1, 2016, was $4,543.63.  Tr. at 32-33.  The Complainant averred that she received a ten-day termination notice from PECO on June 11, 2015, for a past due amount of $2,409</w:t>
      </w:r>
      <w:r w:rsidRPr="004A0430">
        <w:rPr>
          <w:i/>
          <w:sz w:val="26"/>
          <w:szCs w:val="26"/>
        </w:rPr>
        <w:t>.  Id.</w:t>
      </w:r>
      <w:r>
        <w:rPr>
          <w:sz w:val="26"/>
          <w:szCs w:val="26"/>
        </w:rPr>
        <w:t xml:space="preserve"> at 41-42.</w:t>
      </w:r>
    </w:p>
  </w:footnote>
  <w:footnote w:id="12">
    <w:p w:rsidR="005944B1" w:rsidRPr="00023F01" w:rsidRDefault="005944B1" w:rsidP="001C0247">
      <w:pPr>
        <w:pStyle w:val="FootnoteText"/>
        <w:keepNext/>
        <w:keepLines/>
        <w:widowControl/>
        <w:spacing w:after="120"/>
        <w:ind w:firstLine="720"/>
        <w:rPr>
          <w:sz w:val="26"/>
          <w:szCs w:val="26"/>
        </w:rPr>
      </w:pPr>
      <w:r w:rsidRPr="00023F01">
        <w:rPr>
          <w:rStyle w:val="FootnoteReference"/>
          <w:sz w:val="26"/>
          <w:szCs w:val="26"/>
        </w:rPr>
        <w:footnoteRef/>
      </w:r>
      <w:r w:rsidRPr="00023F01">
        <w:rPr>
          <w:sz w:val="26"/>
          <w:szCs w:val="26"/>
        </w:rPr>
        <w:tab/>
      </w:r>
      <w:r>
        <w:rPr>
          <w:sz w:val="26"/>
          <w:szCs w:val="26"/>
        </w:rPr>
        <w:t xml:space="preserve">The Complainant attached to her Exceptions a copy of the </w:t>
      </w:r>
      <w:r>
        <w:rPr>
          <w:rFonts w:eastAsia="Calibri"/>
          <w:sz w:val="26"/>
          <w:szCs w:val="26"/>
        </w:rPr>
        <w:t>work order receipt from Adelphia Electric and a bill from PECO with a past due amount of $5,233.63 due on September 30, 2016</w:t>
      </w:r>
      <w:r>
        <w:rPr>
          <w:sz w:val="26"/>
          <w:szCs w:val="26"/>
        </w:rPr>
        <w:t>.</w:t>
      </w:r>
    </w:p>
  </w:footnote>
  <w:footnote w:id="13">
    <w:p w:rsidR="005944B1" w:rsidRPr="007927E5" w:rsidRDefault="005944B1" w:rsidP="001C0247">
      <w:pPr>
        <w:pStyle w:val="FootnoteText"/>
        <w:keepNext/>
        <w:keepLines/>
        <w:widowControl/>
        <w:spacing w:after="120"/>
        <w:ind w:firstLine="720"/>
        <w:rPr>
          <w:sz w:val="26"/>
          <w:szCs w:val="26"/>
        </w:rPr>
      </w:pPr>
      <w:r w:rsidRPr="007927E5">
        <w:rPr>
          <w:rStyle w:val="FootnoteReference"/>
          <w:sz w:val="26"/>
          <w:szCs w:val="26"/>
        </w:rPr>
        <w:footnoteRef/>
      </w:r>
      <w:r w:rsidRPr="007927E5">
        <w:rPr>
          <w:sz w:val="26"/>
          <w:szCs w:val="26"/>
        </w:rPr>
        <w:tab/>
      </w:r>
      <w:r>
        <w:rPr>
          <w:sz w:val="26"/>
          <w:szCs w:val="26"/>
        </w:rPr>
        <w:t xml:space="preserve">As part of the resolution to the </w:t>
      </w:r>
      <w:r w:rsidRPr="007927E5">
        <w:rPr>
          <w:sz w:val="26"/>
          <w:szCs w:val="26"/>
        </w:rPr>
        <w:t xml:space="preserve">informal complaint </w:t>
      </w:r>
      <w:r>
        <w:rPr>
          <w:sz w:val="26"/>
          <w:szCs w:val="26"/>
        </w:rPr>
        <w:t xml:space="preserve">that the Complainant filed with the Commission </w:t>
      </w:r>
      <w:r w:rsidRPr="007927E5">
        <w:rPr>
          <w:sz w:val="26"/>
          <w:szCs w:val="26"/>
        </w:rPr>
        <w:t>on July</w:t>
      </w:r>
      <w:r>
        <w:rPr>
          <w:sz w:val="26"/>
          <w:szCs w:val="26"/>
        </w:rPr>
        <w:t xml:space="preserve"> 7, 2015, the Commission, </w:t>
      </w:r>
      <w:r w:rsidRPr="007927E5">
        <w:rPr>
          <w:sz w:val="26"/>
          <w:szCs w:val="26"/>
        </w:rPr>
        <w:t>on January 11, 2016</w:t>
      </w:r>
      <w:r>
        <w:rPr>
          <w:sz w:val="26"/>
          <w:szCs w:val="26"/>
        </w:rPr>
        <w:t xml:space="preserve">, issued </w:t>
      </w:r>
      <w:r w:rsidRPr="007927E5">
        <w:rPr>
          <w:sz w:val="26"/>
          <w:szCs w:val="26"/>
        </w:rPr>
        <w:t xml:space="preserve">a payment arrangement on </w:t>
      </w:r>
      <w:r>
        <w:rPr>
          <w:sz w:val="26"/>
          <w:szCs w:val="26"/>
        </w:rPr>
        <w:t>the Complainant’s</w:t>
      </w:r>
      <w:r w:rsidRPr="007927E5">
        <w:rPr>
          <w:sz w:val="26"/>
          <w:szCs w:val="26"/>
        </w:rPr>
        <w:t xml:space="preserve"> outstanding balance of $3,548.92.  Per the payment arrangement, the Complainant was required to pay $238.00 per month and $58.00 toward her arrears.  </w:t>
      </w:r>
      <w:r>
        <w:rPr>
          <w:sz w:val="26"/>
          <w:szCs w:val="26"/>
        </w:rPr>
        <w:t xml:space="preserve">PECO </w:t>
      </w:r>
      <w:r w:rsidRPr="007927E5">
        <w:rPr>
          <w:sz w:val="26"/>
          <w:szCs w:val="26"/>
        </w:rPr>
        <w:t>R. Exc. at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1F31"/>
    <w:rsid w:val="00013358"/>
    <w:rsid w:val="000134F0"/>
    <w:rsid w:val="00013D74"/>
    <w:rsid w:val="00014749"/>
    <w:rsid w:val="00014E95"/>
    <w:rsid w:val="00016D57"/>
    <w:rsid w:val="00016D8B"/>
    <w:rsid w:val="00017852"/>
    <w:rsid w:val="000205C8"/>
    <w:rsid w:val="00020E4A"/>
    <w:rsid w:val="00020EF6"/>
    <w:rsid w:val="0002111A"/>
    <w:rsid w:val="00021E46"/>
    <w:rsid w:val="00022B71"/>
    <w:rsid w:val="00022B74"/>
    <w:rsid w:val="0002315D"/>
    <w:rsid w:val="00023177"/>
    <w:rsid w:val="00023F01"/>
    <w:rsid w:val="000244E7"/>
    <w:rsid w:val="00024F85"/>
    <w:rsid w:val="0002501D"/>
    <w:rsid w:val="0002524C"/>
    <w:rsid w:val="00025B48"/>
    <w:rsid w:val="00025F3F"/>
    <w:rsid w:val="00026CD2"/>
    <w:rsid w:val="00027221"/>
    <w:rsid w:val="00030DBB"/>
    <w:rsid w:val="00030F6D"/>
    <w:rsid w:val="000318E7"/>
    <w:rsid w:val="0003264E"/>
    <w:rsid w:val="00033512"/>
    <w:rsid w:val="000338FE"/>
    <w:rsid w:val="00033D2F"/>
    <w:rsid w:val="0003481E"/>
    <w:rsid w:val="00034FAE"/>
    <w:rsid w:val="0003571C"/>
    <w:rsid w:val="000359E1"/>
    <w:rsid w:val="00035A3B"/>
    <w:rsid w:val="00036284"/>
    <w:rsid w:val="00037341"/>
    <w:rsid w:val="00037FC0"/>
    <w:rsid w:val="00040A8E"/>
    <w:rsid w:val="00040AEA"/>
    <w:rsid w:val="000441C7"/>
    <w:rsid w:val="00044CDF"/>
    <w:rsid w:val="0004513A"/>
    <w:rsid w:val="00045800"/>
    <w:rsid w:val="00045AE7"/>
    <w:rsid w:val="00046FD4"/>
    <w:rsid w:val="00047874"/>
    <w:rsid w:val="00047F4A"/>
    <w:rsid w:val="00050276"/>
    <w:rsid w:val="0005113F"/>
    <w:rsid w:val="000517D4"/>
    <w:rsid w:val="000523D1"/>
    <w:rsid w:val="00052B8F"/>
    <w:rsid w:val="0005346D"/>
    <w:rsid w:val="000536BC"/>
    <w:rsid w:val="00054612"/>
    <w:rsid w:val="00054D58"/>
    <w:rsid w:val="0005572E"/>
    <w:rsid w:val="00055D78"/>
    <w:rsid w:val="00056286"/>
    <w:rsid w:val="0005733E"/>
    <w:rsid w:val="00060887"/>
    <w:rsid w:val="00060ADE"/>
    <w:rsid w:val="000612FD"/>
    <w:rsid w:val="00061350"/>
    <w:rsid w:val="000623C6"/>
    <w:rsid w:val="0006356A"/>
    <w:rsid w:val="000642AA"/>
    <w:rsid w:val="000649EC"/>
    <w:rsid w:val="0006573B"/>
    <w:rsid w:val="00065D0D"/>
    <w:rsid w:val="000660A5"/>
    <w:rsid w:val="00066157"/>
    <w:rsid w:val="00066EE5"/>
    <w:rsid w:val="00067260"/>
    <w:rsid w:val="00067F78"/>
    <w:rsid w:val="000715E8"/>
    <w:rsid w:val="00071993"/>
    <w:rsid w:val="0007209F"/>
    <w:rsid w:val="00072808"/>
    <w:rsid w:val="000728E5"/>
    <w:rsid w:val="00072B4E"/>
    <w:rsid w:val="0007521D"/>
    <w:rsid w:val="000753F6"/>
    <w:rsid w:val="000754DF"/>
    <w:rsid w:val="00076F35"/>
    <w:rsid w:val="0007772F"/>
    <w:rsid w:val="00081416"/>
    <w:rsid w:val="00083125"/>
    <w:rsid w:val="0008379F"/>
    <w:rsid w:val="00084573"/>
    <w:rsid w:val="0008490E"/>
    <w:rsid w:val="00084AF9"/>
    <w:rsid w:val="00085B98"/>
    <w:rsid w:val="00085E78"/>
    <w:rsid w:val="00087299"/>
    <w:rsid w:val="000878C9"/>
    <w:rsid w:val="000918D4"/>
    <w:rsid w:val="00093164"/>
    <w:rsid w:val="000932ED"/>
    <w:rsid w:val="00093941"/>
    <w:rsid w:val="00094851"/>
    <w:rsid w:val="0009612D"/>
    <w:rsid w:val="00096EA0"/>
    <w:rsid w:val="00096F08"/>
    <w:rsid w:val="00097504"/>
    <w:rsid w:val="0009774B"/>
    <w:rsid w:val="000A013F"/>
    <w:rsid w:val="000A06E0"/>
    <w:rsid w:val="000A09E4"/>
    <w:rsid w:val="000A1358"/>
    <w:rsid w:val="000A35C0"/>
    <w:rsid w:val="000A365D"/>
    <w:rsid w:val="000A443E"/>
    <w:rsid w:val="000A4F2E"/>
    <w:rsid w:val="000A6282"/>
    <w:rsid w:val="000A76C2"/>
    <w:rsid w:val="000B216D"/>
    <w:rsid w:val="000B2755"/>
    <w:rsid w:val="000B363C"/>
    <w:rsid w:val="000B38B3"/>
    <w:rsid w:val="000B41CC"/>
    <w:rsid w:val="000B4EAE"/>
    <w:rsid w:val="000B5206"/>
    <w:rsid w:val="000B5238"/>
    <w:rsid w:val="000B5FF8"/>
    <w:rsid w:val="000B607A"/>
    <w:rsid w:val="000B6B15"/>
    <w:rsid w:val="000B71D0"/>
    <w:rsid w:val="000B72CF"/>
    <w:rsid w:val="000B7419"/>
    <w:rsid w:val="000C07BC"/>
    <w:rsid w:val="000C0DC3"/>
    <w:rsid w:val="000C1B19"/>
    <w:rsid w:val="000C2083"/>
    <w:rsid w:val="000C2AE3"/>
    <w:rsid w:val="000C31E4"/>
    <w:rsid w:val="000C55F5"/>
    <w:rsid w:val="000C5927"/>
    <w:rsid w:val="000C605A"/>
    <w:rsid w:val="000C67F5"/>
    <w:rsid w:val="000C709A"/>
    <w:rsid w:val="000C7255"/>
    <w:rsid w:val="000C79A7"/>
    <w:rsid w:val="000D008C"/>
    <w:rsid w:val="000D01E0"/>
    <w:rsid w:val="000D02FE"/>
    <w:rsid w:val="000D0A77"/>
    <w:rsid w:val="000D298E"/>
    <w:rsid w:val="000D29C8"/>
    <w:rsid w:val="000D3CAA"/>
    <w:rsid w:val="000D3E1C"/>
    <w:rsid w:val="000D6D8C"/>
    <w:rsid w:val="000D6E1E"/>
    <w:rsid w:val="000E0295"/>
    <w:rsid w:val="000E290C"/>
    <w:rsid w:val="000E6DC6"/>
    <w:rsid w:val="000F0263"/>
    <w:rsid w:val="000F05EE"/>
    <w:rsid w:val="000F090A"/>
    <w:rsid w:val="000F179E"/>
    <w:rsid w:val="000F1DC2"/>
    <w:rsid w:val="000F27FE"/>
    <w:rsid w:val="000F2DE3"/>
    <w:rsid w:val="000F4307"/>
    <w:rsid w:val="000F4A97"/>
    <w:rsid w:val="001006A8"/>
    <w:rsid w:val="00100A7C"/>
    <w:rsid w:val="00100F06"/>
    <w:rsid w:val="00100F96"/>
    <w:rsid w:val="00101387"/>
    <w:rsid w:val="0010147F"/>
    <w:rsid w:val="0010158F"/>
    <w:rsid w:val="001017F6"/>
    <w:rsid w:val="00101F51"/>
    <w:rsid w:val="00101F7F"/>
    <w:rsid w:val="001026CA"/>
    <w:rsid w:val="00102921"/>
    <w:rsid w:val="00102A7F"/>
    <w:rsid w:val="001035AF"/>
    <w:rsid w:val="00103797"/>
    <w:rsid w:val="0010425F"/>
    <w:rsid w:val="00104BD4"/>
    <w:rsid w:val="00104D61"/>
    <w:rsid w:val="00104D9B"/>
    <w:rsid w:val="00105659"/>
    <w:rsid w:val="00105C8E"/>
    <w:rsid w:val="001062CD"/>
    <w:rsid w:val="00106312"/>
    <w:rsid w:val="00107388"/>
    <w:rsid w:val="00107C8D"/>
    <w:rsid w:val="001106DA"/>
    <w:rsid w:val="001129F3"/>
    <w:rsid w:val="00112B9D"/>
    <w:rsid w:val="00112E9E"/>
    <w:rsid w:val="00112FDA"/>
    <w:rsid w:val="001138D3"/>
    <w:rsid w:val="00113E16"/>
    <w:rsid w:val="00114656"/>
    <w:rsid w:val="00114D37"/>
    <w:rsid w:val="00115B4A"/>
    <w:rsid w:val="0011757D"/>
    <w:rsid w:val="00117A05"/>
    <w:rsid w:val="00117CB2"/>
    <w:rsid w:val="00120B39"/>
    <w:rsid w:val="00120B8F"/>
    <w:rsid w:val="00120CC2"/>
    <w:rsid w:val="00120D10"/>
    <w:rsid w:val="00121167"/>
    <w:rsid w:val="00123510"/>
    <w:rsid w:val="0012370F"/>
    <w:rsid w:val="001238E5"/>
    <w:rsid w:val="001239CD"/>
    <w:rsid w:val="00123A2E"/>
    <w:rsid w:val="0012403F"/>
    <w:rsid w:val="00124071"/>
    <w:rsid w:val="001242EE"/>
    <w:rsid w:val="00124F46"/>
    <w:rsid w:val="001253FB"/>
    <w:rsid w:val="001266DB"/>
    <w:rsid w:val="001267D4"/>
    <w:rsid w:val="0012696F"/>
    <w:rsid w:val="00126D31"/>
    <w:rsid w:val="00127062"/>
    <w:rsid w:val="001303B4"/>
    <w:rsid w:val="0013269E"/>
    <w:rsid w:val="00134395"/>
    <w:rsid w:val="00135972"/>
    <w:rsid w:val="00135A5B"/>
    <w:rsid w:val="001360FC"/>
    <w:rsid w:val="001400A9"/>
    <w:rsid w:val="00140843"/>
    <w:rsid w:val="0014096A"/>
    <w:rsid w:val="001414CD"/>
    <w:rsid w:val="00141790"/>
    <w:rsid w:val="00142CF7"/>
    <w:rsid w:val="00142E02"/>
    <w:rsid w:val="001447A0"/>
    <w:rsid w:val="0014497F"/>
    <w:rsid w:val="00144F43"/>
    <w:rsid w:val="00145197"/>
    <w:rsid w:val="00146DDD"/>
    <w:rsid w:val="00146E58"/>
    <w:rsid w:val="00147145"/>
    <w:rsid w:val="001476D4"/>
    <w:rsid w:val="00150096"/>
    <w:rsid w:val="001505D6"/>
    <w:rsid w:val="001508E4"/>
    <w:rsid w:val="00150D48"/>
    <w:rsid w:val="00150EFD"/>
    <w:rsid w:val="001513B6"/>
    <w:rsid w:val="001515A8"/>
    <w:rsid w:val="001526C2"/>
    <w:rsid w:val="00152DFB"/>
    <w:rsid w:val="0015313A"/>
    <w:rsid w:val="0015380A"/>
    <w:rsid w:val="00153A46"/>
    <w:rsid w:val="00153BA4"/>
    <w:rsid w:val="00153ECC"/>
    <w:rsid w:val="001542D1"/>
    <w:rsid w:val="00154CB6"/>
    <w:rsid w:val="00156329"/>
    <w:rsid w:val="001568FD"/>
    <w:rsid w:val="00157C29"/>
    <w:rsid w:val="00161DCF"/>
    <w:rsid w:val="00163D79"/>
    <w:rsid w:val="00164390"/>
    <w:rsid w:val="001645C9"/>
    <w:rsid w:val="00164D32"/>
    <w:rsid w:val="00164DA4"/>
    <w:rsid w:val="00164F5E"/>
    <w:rsid w:val="00166298"/>
    <w:rsid w:val="001663C8"/>
    <w:rsid w:val="00167CF6"/>
    <w:rsid w:val="001708CA"/>
    <w:rsid w:val="00171F3E"/>
    <w:rsid w:val="001720EE"/>
    <w:rsid w:val="0017211B"/>
    <w:rsid w:val="001725C3"/>
    <w:rsid w:val="001728FC"/>
    <w:rsid w:val="00172A96"/>
    <w:rsid w:val="00172AB2"/>
    <w:rsid w:val="00172D08"/>
    <w:rsid w:val="00173C6C"/>
    <w:rsid w:val="00174D11"/>
    <w:rsid w:val="00174D3D"/>
    <w:rsid w:val="00174E3F"/>
    <w:rsid w:val="00175FA8"/>
    <w:rsid w:val="0017682B"/>
    <w:rsid w:val="00177F78"/>
    <w:rsid w:val="001806BE"/>
    <w:rsid w:val="00180956"/>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21E7"/>
    <w:rsid w:val="001936B5"/>
    <w:rsid w:val="00193A02"/>
    <w:rsid w:val="00193E56"/>
    <w:rsid w:val="00194940"/>
    <w:rsid w:val="00194E02"/>
    <w:rsid w:val="0019530E"/>
    <w:rsid w:val="001953A4"/>
    <w:rsid w:val="00195C58"/>
    <w:rsid w:val="00195D34"/>
    <w:rsid w:val="00195F2E"/>
    <w:rsid w:val="00196538"/>
    <w:rsid w:val="001A15A6"/>
    <w:rsid w:val="001A16F3"/>
    <w:rsid w:val="001A280F"/>
    <w:rsid w:val="001A378E"/>
    <w:rsid w:val="001A3FBE"/>
    <w:rsid w:val="001A4BA0"/>
    <w:rsid w:val="001A7282"/>
    <w:rsid w:val="001B0C20"/>
    <w:rsid w:val="001B0C7B"/>
    <w:rsid w:val="001B1151"/>
    <w:rsid w:val="001B1DB4"/>
    <w:rsid w:val="001B2603"/>
    <w:rsid w:val="001B4B66"/>
    <w:rsid w:val="001B5865"/>
    <w:rsid w:val="001B590E"/>
    <w:rsid w:val="001B59F0"/>
    <w:rsid w:val="001B6DA6"/>
    <w:rsid w:val="001C0027"/>
    <w:rsid w:val="001C0247"/>
    <w:rsid w:val="001C0809"/>
    <w:rsid w:val="001C0ACD"/>
    <w:rsid w:val="001C1183"/>
    <w:rsid w:val="001C1F06"/>
    <w:rsid w:val="001C4978"/>
    <w:rsid w:val="001C550C"/>
    <w:rsid w:val="001C7AAE"/>
    <w:rsid w:val="001D0ED2"/>
    <w:rsid w:val="001D1115"/>
    <w:rsid w:val="001D14A3"/>
    <w:rsid w:val="001D1D6B"/>
    <w:rsid w:val="001D1E5E"/>
    <w:rsid w:val="001D25B9"/>
    <w:rsid w:val="001D25F3"/>
    <w:rsid w:val="001D2CF4"/>
    <w:rsid w:val="001D3751"/>
    <w:rsid w:val="001D38E9"/>
    <w:rsid w:val="001D4BB5"/>
    <w:rsid w:val="001D537B"/>
    <w:rsid w:val="001D5C5B"/>
    <w:rsid w:val="001D6778"/>
    <w:rsid w:val="001D69F4"/>
    <w:rsid w:val="001D7424"/>
    <w:rsid w:val="001E0B61"/>
    <w:rsid w:val="001E1276"/>
    <w:rsid w:val="001E1FD6"/>
    <w:rsid w:val="001E2949"/>
    <w:rsid w:val="001E3B93"/>
    <w:rsid w:val="001E54E4"/>
    <w:rsid w:val="001E60EE"/>
    <w:rsid w:val="001E6885"/>
    <w:rsid w:val="001F0509"/>
    <w:rsid w:val="001F2614"/>
    <w:rsid w:val="001F285E"/>
    <w:rsid w:val="001F2AF7"/>
    <w:rsid w:val="001F2D64"/>
    <w:rsid w:val="001F33A6"/>
    <w:rsid w:val="001F4115"/>
    <w:rsid w:val="001F43D6"/>
    <w:rsid w:val="001F4A95"/>
    <w:rsid w:val="001F4BCA"/>
    <w:rsid w:val="001F67C2"/>
    <w:rsid w:val="00200AE5"/>
    <w:rsid w:val="00202524"/>
    <w:rsid w:val="00202A4F"/>
    <w:rsid w:val="00202B57"/>
    <w:rsid w:val="00203F94"/>
    <w:rsid w:val="00204DE2"/>
    <w:rsid w:val="00204F57"/>
    <w:rsid w:val="0020580B"/>
    <w:rsid w:val="00206160"/>
    <w:rsid w:val="0020644D"/>
    <w:rsid w:val="00206592"/>
    <w:rsid w:val="0020679B"/>
    <w:rsid w:val="00207A51"/>
    <w:rsid w:val="00210736"/>
    <w:rsid w:val="00210F81"/>
    <w:rsid w:val="00211622"/>
    <w:rsid w:val="00211F24"/>
    <w:rsid w:val="002127D0"/>
    <w:rsid w:val="00213C5D"/>
    <w:rsid w:val="00214045"/>
    <w:rsid w:val="002143F6"/>
    <w:rsid w:val="0021447B"/>
    <w:rsid w:val="00214B3E"/>
    <w:rsid w:val="00214D24"/>
    <w:rsid w:val="00214E5F"/>
    <w:rsid w:val="00215537"/>
    <w:rsid w:val="00215981"/>
    <w:rsid w:val="00215C08"/>
    <w:rsid w:val="0021693E"/>
    <w:rsid w:val="0021698B"/>
    <w:rsid w:val="00216A86"/>
    <w:rsid w:val="0022004A"/>
    <w:rsid w:val="002212FA"/>
    <w:rsid w:val="00221533"/>
    <w:rsid w:val="00221BF0"/>
    <w:rsid w:val="00221F1A"/>
    <w:rsid w:val="002224A0"/>
    <w:rsid w:val="00223CD5"/>
    <w:rsid w:val="00223FD1"/>
    <w:rsid w:val="00224286"/>
    <w:rsid w:val="0022698E"/>
    <w:rsid w:val="002276B4"/>
    <w:rsid w:val="00227912"/>
    <w:rsid w:val="00227A47"/>
    <w:rsid w:val="0023005D"/>
    <w:rsid w:val="002305D8"/>
    <w:rsid w:val="002306C9"/>
    <w:rsid w:val="002311C3"/>
    <w:rsid w:val="002311EE"/>
    <w:rsid w:val="00233488"/>
    <w:rsid w:val="00233C05"/>
    <w:rsid w:val="00234273"/>
    <w:rsid w:val="002370F5"/>
    <w:rsid w:val="00237E48"/>
    <w:rsid w:val="0024007E"/>
    <w:rsid w:val="002406C6"/>
    <w:rsid w:val="0024088A"/>
    <w:rsid w:val="00240ACA"/>
    <w:rsid w:val="00240D7B"/>
    <w:rsid w:val="00241299"/>
    <w:rsid w:val="002414DC"/>
    <w:rsid w:val="00241E7B"/>
    <w:rsid w:val="00242B89"/>
    <w:rsid w:val="0024399A"/>
    <w:rsid w:val="00244EBA"/>
    <w:rsid w:val="00246C59"/>
    <w:rsid w:val="00247FD8"/>
    <w:rsid w:val="00250A1F"/>
    <w:rsid w:val="00251918"/>
    <w:rsid w:val="0025304F"/>
    <w:rsid w:val="00253E1A"/>
    <w:rsid w:val="0025401F"/>
    <w:rsid w:val="00254995"/>
    <w:rsid w:val="00255462"/>
    <w:rsid w:val="00256233"/>
    <w:rsid w:val="00256BA9"/>
    <w:rsid w:val="00257D32"/>
    <w:rsid w:val="00260957"/>
    <w:rsid w:val="00261410"/>
    <w:rsid w:val="00262D9F"/>
    <w:rsid w:val="00263945"/>
    <w:rsid w:val="002643F9"/>
    <w:rsid w:val="00264646"/>
    <w:rsid w:val="00265564"/>
    <w:rsid w:val="00266B00"/>
    <w:rsid w:val="00266D46"/>
    <w:rsid w:val="00267188"/>
    <w:rsid w:val="00267B63"/>
    <w:rsid w:val="00270455"/>
    <w:rsid w:val="00270DFB"/>
    <w:rsid w:val="00271BBD"/>
    <w:rsid w:val="0027212B"/>
    <w:rsid w:val="0027232D"/>
    <w:rsid w:val="00272BD5"/>
    <w:rsid w:val="00274D0F"/>
    <w:rsid w:val="00274E95"/>
    <w:rsid w:val="00275037"/>
    <w:rsid w:val="00276FF2"/>
    <w:rsid w:val="002773BA"/>
    <w:rsid w:val="00277500"/>
    <w:rsid w:val="00277BF4"/>
    <w:rsid w:val="00281229"/>
    <w:rsid w:val="0028125E"/>
    <w:rsid w:val="002818FA"/>
    <w:rsid w:val="00281A5F"/>
    <w:rsid w:val="00283539"/>
    <w:rsid w:val="00285073"/>
    <w:rsid w:val="002859FB"/>
    <w:rsid w:val="00285A8E"/>
    <w:rsid w:val="00286E8E"/>
    <w:rsid w:val="0028701F"/>
    <w:rsid w:val="00287681"/>
    <w:rsid w:val="0028789A"/>
    <w:rsid w:val="00287EF7"/>
    <w:rsid w:val="00291F2F"/>
    <w:rsid w:val="00291F68"/>
    <w:rsid w:val="0029235E"/>
    <w:rsid w:val="00292D44"/>
    <w:rsid w:val="0029353A"/>
    <w:rsid w:val="00294BD5"/>
    <w:rsid w:val="0029672A"/>
    <w:rsid w:val="00296998"/>
    <w:rsid w:val="00297B94"/>
    <w:rsid w:val="002A060A"/>
    <w:rsid w:val="002A0A86"/>
    <w:rsid w:val="002A110B"/>
    <w:rsid w:val="002A2BEB"/>
    <w:rsid w:val="002A4450"/>
    <w:rsid w:val="002A5A20"/>
    <w:rsid w:val="002A60F1"/>
    <w:rsid w:val="002A6750"/>
    <w:rsid w:val="002A71B7"/>
    <w:rsid w:val="002A73C6"/>
    <w:rsid w:val="002B1529"/>
    <w:rsid w:val="002B2296"/>
    <w:rsid w:val="002B28A9"/>
    <w:rsid w:val="002B3040"/>
    <w:rsid w:val="002B333B"/>
    <w:rsid w:val="002B3FF4"/>
    <w:rsid w:val="002B4407"/>
    <w:rsid w:val="002B67B7"/>
    <w:rsid w:val="002C0238"/>
    <w:rsid w:val="002C0429"/>
    <w:rsid w:val="002C16BE"/>
    <w:rsid w:val="002C19E4"/>
    <w:rsid w:val="002C1CCB"/>
    <w:rsid w:val="002C257A"/>
    <w:rsid w:val="002C3439"/>
    <w:rsid w:val="002C3676"/>
    <w:rsid w:val="002C4049"/>
    <w:rsid w:val="002C4894"/>
    <w:rsid w:val="002C62F0"/>
    <w:rsid w:val="002C6CC4"/>
    <w:rsid w:val="002C7166"/>
    <w:rsid w:val="002C7582"/>
    <w:rsid w:val="002D083C"/>
    <w:rsid w:val="002D0A42"/>
    <w:rsid w:val="002D13C4"/>
    <w:rsid w:val="002D1717"/>
    <w:rsid w:val="002D1791"/>
    <w:rsid w:val="002D275E"/>
    <w:rsid w:val="002D2977"/>
    <w:rsid w:val="002D2A1D"/>
    <w:rsid w:val="002D2B52"/>
    <w:rsid w:val="002D313F"/>
    <w:rsid w:val="002D3FE3"/>
    <w:rsid w:val="002D5320"/>
    <w:rsid w:val="002D5966"/>
    <w:rsid w:val="002D6357"/>
    <w:rsid w:val="002D6B96"/>
    <w:rsid w:val="002D7584"/>
    <w:rsid w:val="002D7925"/>
    <w:rsid w:val="002D7A10"/>
    <w:rsid w:val="002E01A0"/>
    <w:rsid w:val="002E039A"/>
    <w:rsid w:val="002E0A68"/>
    <w:rsid w:val="002E0FA9"/>
    <w:rsid w:val="002E28F9"/>
    <w:rsid w:val="002E2BE4"/>
    <w:rsid w:val="002E3026"/>
    <w:rsid w:val="002E3598"/>
    <w:rsid w:val="002E3B57"/>
    <w:rsid w:val="002E3F06"/>
    <w:rsid w:val="002E48BF"/>
    <w:rsid w:val="002E4A4B"/>
    <w:rsid w:val="002E5839"/>
    <w:rsid w:val="002E64EB"/>
    <w:rsid w:val="002E6FFA"/>
    <w:rsid w:val="002E7BAB"/>
    <w:rsid w:val="002E7F8F"/>
    <w:rsid w:val="002F112F"/>
    <w:rsid w:val="002F1A77"/>
    <w:rsid w:val="002F24F7"/>
    <w:rsid w:val="002F3B28"/>
    <w:rsid w:val="002F3F04"/>
    <w:rsid w:val="002F41BA"/>
    <w:rsid w:val="002F57B8"/>
    <w:rsid w:val="002F6016"/>
    <w:rsid w:val="002F662D"/>
    <w:rsid w:val="002F7249"/>
    <w:rsid w:val="002F750E"/>
    <w:rsid w:val="00300AD2"/>
    <w:rsid w:val="00300C2E"/>
    <w:rsid w:val="003018AA"/>
    <w:rsid w:val="00302D56"/>
    <w:rsid w:val="00303B99"/>
    <w:rsid w:val="00304507"/>
    <w:rsid w:val="00305057"/>
    <w:rsid w:val="003054A7"/>
    <w:rsid w:val="00306602"/>
    <w:rsid w:val="0030714F"/>
    <w:rsid w:val="003073E2"/>
    <w:rsid w:val="00307DDF"/>
    <w:rsid w:val="00307FE7"/>
    <w:rsid w:val="00310BE7"/>
    <w:rsid w:val="00311568"/>
    <w:rsid w:val="00311F5D"/>
    <w:rsid w:val="00312C45"/>
    <w:rsid w:val="003134B2"/>
    <w:rsid w:val="00313706"/>
    <w:rsid w:val="00313AA9"/>
    <w:rsid w:val="00313B09"/>
    <w:rsid w:val="003141F1"/>
    <w:rsid w:val="00314341"/>
    <w:rsid w:val="0031436C"/>
    <w:rsid w:val="00314A43"/>
    <w:rsid w:val="00314B79"/>
    <w:rsid w:val="00315102"/>
    <w:rsid w:val="00315A0E"/>
    <w:rsid w:val="00315B64"/>
    <w:rsid w:val="003169F2"/>
    <w:rsid w:val="00320FE4"/>
    <w:rsid w:val="00322040"/>
    <w:rsid w:val="00324038"/>
    <w:rsid w:val="003240B8"/>
    <w:rsid w:val="003250C7"/>
    <w:rsid w:val="003252DE"/>
    <w:rsid w:val="00325422"/>
    <w:rsid w:val="003258AF"/>
    <w:rsid w:val="00325BAD"/>
    <w:rsid w:val="003268C2"/>
    <w:rsid w:val="00326BC5"/>
    <w:rsid w:val="003276D8"/>
    <w:rsid w:val="00331EB6"/>
    <w:rsid w:val="00333B52"/>
    <w:rsid w:val="00333FDA"/>
    <w:rsid w:val="003340DE"/>
    <w:rsid w:val="00334887"/>
    <w:rsid w:val="003359B5"/>
    <w:rsid w:val="00336277"/>
    <w:rsid w:val="0033657E"/>
    <w:rsid w:val="00337D33"/>
    <w:rsid w:val="00340D19"/>
    <w:rsid w:val="00341E74"/>
    <w:rsid w:val="00342956"/>
    <w:rsid w:val="00343EC0"/>
    <w:rsid w:val="00344804"/>
    <w:rsid w:val="00346357"/>
    <w:rsid w:val="003468E7"/>
    <w:rsid w:val="00346C09"/>
    <w:rsid w:val="00346C47"/>
    <w:rsid w:val="00346DC4"/>
    <w:rsid w:val="00347A1F"/>
    <w:rsid w:val="003510FF"/>
    <w:rsid w:val="003518C8"/>
    <w:rsid w:val="0035225F"/>
    <w:rsid w:val="00352BC7"/>
    <w:rsid w:val="0035338B"/>
    <w:rsid w:val="003533B5"/>
    <w:rsid w:val="00353CE3"/>
    <w:rsid w:val="003542D3"/>
    <w:rsid w:val="003553F8"/>
    <w:rsid w:val="00355A2F"/>
    <w:rsid w:val="00356024"/>
    <w:rsid w:val="0035728C"/>
    <w:rsid w:val="0036063F"/>
    <w:rsid w:val="003619F1"/>
    <w:rsid w:val="00361DD8"/>
    <w:rsid w:val="00361F8D"/>
    <w:rsid w:val="003622CA"/>
    <w:rsid w:val="003629F0"/>
    <w:rsid w:val="00363030"/>
    <w:rsid w:val="00364206"/>
    <w:rsid w:val="0036462C"/>
    <w:rsid w:val="00364A42"/>
    <w:rsid w:val="00364CC8"/>
    <w:rsid w:val="003653A1"/>
    <w:rsid w:val="003674CA"/>
    <w:rsid w:val="003708B3"/>
    <w:rsid w:val="003715B3"/>
    <w:rsid w:val="0037170C"/>
    <w:rsid w:val="00372221"/>
    <w:rsid w:val="0037276C"/>
    <w:rsid w:val="0037352F"/>
    <w:rsid w:val="00373AB4"/>
    <w:rsid w:val="00374099"/>
    <w:rsid w:val="003743C4"/>
    <w:rsid w:val="0037451A"/>
    <w:rsid w:val="003755FB"/>
    <w:rsid w:val="0037577C"/>
    <w:rsid w:val="00377862"/>
    <w:rsid w:val="00377A3A"/>
    <w:rsid w:val="00377E89"/>
    <w:rsid w:val="0038188D"/>
    <w:rsid w:val="00382138"/>
    <w:rsid w:val="00382EFA"/>
    <w:rsid w:val="0038366C"/>
    <w:rsid w:val="00383B99"/>
    <w:rsid w:val="003841E8"/>
    <w:rsid w:val="00384AEA"/>
    <w:rsid w:val="00385502"/>
    <w:rsid w:val="00385526"/>
    <w:rsid w:val="003857E9"/>
    <w:rsid w:val="00385CFF"/>
    <w:rsid w:val="003863E7"/>
    <w:rsid w:val="003865C9"/>
    <w:rsid w:val="003866CA"/>
    <w:rsid w:val="003868B1"/>
    <w:rsid w:val="003874D7"/>
    <w:rsid w:val="003904F7"/>
    <w:rsid w:val="0039070E"/>
    <w:rsid w:val="0039085E"/>
    <w:rsid w:val="00390BC3"/>
    <w:rsid w:val="00391838"/>
    <w:rsid w:val="00391A43"/>
    <w:rsid w:val="00391CAA"/>
    <w:rsid w:val="00391E59"/>
    <w:rsid w:val="003933D9"/>
    <w:rsid w:val="003943C4"/>
    <w:rsid w:val="00396541"/>
    <w:rsid w:val="003966E7"/>
    <w:rsid w:val="00396ADF"/>
    <w:rsid w:val="003A0814"/>
    <w:rsid w:val="003A0A0B"/>
    <w:rsid w:val="003A1A55"/>
    <w:rsid w:val="003A31BD"/>
    <w:rsid w:val="003A3C44"/>
    <w:rsid w:val="003A4DC8"/>
    <w:rsid w:val="003A534F"/>
    <w:rsid w:val="003A5623"/>
    <w:rsid w:val="003A64D0"/>
    <w:rsid w:val="003A7E3A"/>
    <w:rsid w:val="003B0611"/>
    <w:rsid w:val="003B0D66"/>
    <w:rsid w:val="003B0D72"/>
    <w:rsid w:val="003B21FE"/>
    <w:rsid w:val="003B26B5"/>
    <w:rsid w:val="003B2CB6"/>
    <w:rsid w:val="003B3617"/>
    <w:rsid w:val="003B38FD"/>
    <w:rsid w:val="003B42D9"/>
    <w:rsid w:val="003B4854"/>
    <w:rsid w:val="003B615B"/>
    <w:rsid w:val="003B7849"/>
    <w:rsid w:val="003C06D8"/>
    <w:rsid w:val="003C1B32"/>
    <w:rsid w:val="003C29DA"/>
    <w:rsid w:val="003C3140"/>
    <w:rsid w:val="003C3E02"/>
    <w:rsid w:val="003C3FE8"/>
    <w:rsid w:val="003C403E"/>
    <w:rsid w:val="003C73F9"/>
    <w:rsid w:val="003C7940"/>
    <w:rsid w:val="003D0DCD"/>
    <w:rsid w:val="003D2011"/>
    <w:rsid w:val="003D2152"/>
    <w:rsid w:val="003D2F73"/>
    <w:rsid w:val="003D330B"/>
    <w:rsid w:val="003D3FE9"/>
    <w:rsid w:val="003D5F07"/>
    <w:rsid w:val="003D69C7"/>
    <w:rsid w:val="003D6AB5"/>
    <w:rsid w:val="003D6B41"/>
    <w:rsid w:val="003E02E7"/>
    <w:rsid w:val="003E071C"/>
    <w:rsid w:val="003E1A44"/>
    <w:rsid w:val="003E3FF5"/>
    <w:rsid w:val="003E4B34"/>
    <w:rsid w:val="003E5354"/>
    <w:rsid w:val="003E5C36"/>
    <w:rsid w:val="003F0693"/>
    <w:rsid w:val="003F2DF5"/>
    <w:rsid w:val="003F4215"/>
    <w:rsid w:val="003F4AEE"/>
    <w:rsid w:val="003F51F4"/>
    <w:rsid w:val="003F52C6"/>
    <w:rsid w:val="003F558E"/>
    <w:rsid w:val="003F6377"/>
    <w:rsid w:val="003F6692"/>
    <w:rsid w:val="003F683A"/>
    <w:rsid w:val="003F7285"/>
    <w:rsid w:val="003F775C"/>
    <w:rsid w:val="003F7B70"/>
    <w:rsid w:val="003F7DA1"/>
    <w:rsid w:val="00400634"/>
    <w:rsid w:val="00400801"/>
    <w:rsid w:val="00403D6E"/>
    <w:rsid w:val="00404147"/>
    <w:rsid w:val="00405083"/>
    <w:rsid w:val="00405690"/>
    <w:rsid w:val="004064EA"/>
    <w:rsid w:val="00406897"/>
    <w:rsid w:val="00407AC0"/>
    <w:rsid w:val="00411814"/>
    <w:rsid w:val="00412E30"/>
    <w:rsid w:val="00412F8D"/>
    <w:rsid w:val="00413B67"/>
    <w:rsid w:val="00413BEB"/>
    <w:rsid w:val="00413FA9"/>
    <w:rsid w:val="0041471B"/>
    <w:rsid w:val="00414907"/>
    <w:rsid w:val="00414DFE"/>
    <w:rsid w:val="00415341"/>
    <w:rsid w:val="00415B78"/>
    <w:rsid w:val="00415DBD"/>
    <w:rsid w:val="004166BD"/>
    <w:rsid w:val="004169A6"/>
    <w:rsid w:val="00416B4E"/>
    <w:rsid w:val="004170AF"/>
    <w:rsid w:val="004175A1"/>
    <w:rsid w:val="00420672"/>
    <w:rsid w:val="00421080"/>
    <w:rsid w:val="004222F5"/>
    <w:rsid w:val="00422C55"/>
    <w:rsid w:val="00423004"/>
    <w:rsid w:val="00425698"/>
    <w:rsid w:val="00425ED2"/>
    <w:rsid w:val="00426FA7"/>
    <w:rsid w:val="00427540"/>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1E4"/>
    <w:rsid w:val="004422CA"/>
    <w:rsid w:val="00443807"/>
    <w:rsid w:val="00443FF8"/>
    <w:rsid w:val="004449AC"/>
    <w:rsid w:val="004462F7"/>
    <w:rsid w:val="00450337"/>
    <w:rsid w:val="004507ED"/>
    <w:rsid w:val="004516D0"/>
    <w:rsid w:val="004535BF"/>
    <w:rsid w:val="00454A43"/>
    <w:rsid w:val="00454F06"/>
    <w:rsid w:val="00455FA6"/>
    <w:rsid w:val="0045650D"/>
    <w:rsid w:val="00457E8A"/>
    <w:rsid w:val="0046019D"/>
    <w:rsid w:val="004628D5"/>
    <w:rsid w:val="00462FBF"/>
    <w:rsid w:val="00464494"/>
    <w:rsid w:val="00464536"/>
    <w:rsid w:val="0046514E"/>
    <w:rsid w:val="00465716"/>
    <w:rsid w:val="00465BAB"/>
    <w:rsid w:val="0046623C"/>
    <w:rsid w:val="00467739"/>
    <w:rsid w:val="00470391"/>
    <w:rsid w:val="00470CA1"/>
    <w:rsid w:val="00470D0C"/>
    <w:rsid w:val="004735E2"/>
    <w:rsid w:val="00474E22"/>
    <w:rsid w:val="00475D86"/>
    <w:rsid w:val="0047608F"/>
    <w:rsid w:val="004762EF"/>
    <w:rsid w:val="00476554"/>
    <w:rsid w:val="004765F6"/>
    <w:rsid w:val="004770D4"/>
    <w:rsid w:val="004770EB"/>
    <w:rsid w:val="00477324"/>
    <w:rsid w:val="0047739F"/>
    <w:rsid w:val="004813D4"/>
    <w:rsid w:val="00482DB7"/>
    <w:rsid w:val="00483108"/>
    <w:rsid w:val="00483A31"/>
    <w:rsid w:val="00485279"/>
    <w:rsid w:val="00485445"/>
    <w:rsid w:val="00486C39"/>
    <w:rsid w:val="0049036B"/>
    <w:rsid w:val="00490751"/>
    <w:rsid w:val="004912CE"/>
    <w:rsid w:val="00491D91"/>
    <w:rsid w:val="00492DCE"/>
    <w:rsid w:val="00493345"/>
    <w:rsid w:val="00493A18"/>
    <w:rsid w:val="00494891"/>
    <w:rsid w:val="00494DBC"/>
    <w:rsid w:val="0049580C"/>
    <w:rsid w:val="00495A2A"/>
    <w:rsid w:val="00496874"/>
    <w:rsid w:val="0049768F"/>
    <w:rsid w:val="00497AF9"/>
    <w:rsid w:val="004A0430"/>
    <w:rsid w:val="004A04E5"/>
    <w:rsid w:val="004A0768"/>
    <w:rsid w:val="004A13AE"/>
    <w:rsid w:val="004A1495"/>
    <w:rsid w:val="004A17BE"/>
    <w:rsid w:val="004A1D54"/>
    <w:rsid w:val="004A2089"/>
    <w:rsid w:val="004A2165"/>
    <w:rsid w:val="004A3760"/>
    <w:rsid w:val="004A3B4E"/>
    <w:rsid w:val="004A3E61"/>
    <w:rsid w:val="004A4512"/>
    <w:rsid w:val="004A4993"/>
    <w:rsid w:val="004A5084"/>
    <w:rsid w:val="004A5F74"/>
    <w:rsid w:val="004A6345"/>
    <w:rsid w:val="004A7071"/>
    <w:rsid w:val="004A7A59"/>
    <w:rsid w:val="004B0043"/>
    <w:rsid w:val="004B1052"/>
    <w:rsid w:val="004B1A48"/>
    <w:rsid w:val="004B35AF"/>
    <w:rsid w:val="004B604A"/>
    <w:rsid w:val="004B68E4"/>
    <w:rsid w:val="004B6A8C"/>
    <w:rsid w:val="004B6B14"/>
    <w:rsid w:val="004C07BB"/>
    <w:rsid w:val="004C3390"/>
    <w:rsid w:val="004C3AD9"/>
    <w:rsid w:val="004C4E4F"/>
    <w:rsid w:val="004C68A0"/>
    <w:rsid w:val="004C748A"/>
    <w:rsid w:val="004D0E10"/>
    <w:rsid w:val="004D1201"/>
    <w:rsid w:val="004D1D7C"/>
    <w:rsid w:val="004D227B"/>
    <w:rsid w:val="004D2D46"/>
    <w:rsid w:val="004D3155"/>
    <w:rsid w:val="004D3E98"/>
    <w:rsid w:val="004D5EDC"/>
    <w:rsid w:val="004D6236"/>
    <w:rsid w:val="004E1BB9"/>
    <w:rsid w:val="004E1E3C"/>
    <w:rsid w:val="004E47EC"/>
    <w:rsid w:val="004E4B99"/>
    <w:rsid w:val="004E510B"/>
    <w:rsid w:val="004E514F"/>
    <w:rsid w:val="004E6287"/>
    <w:rsid w:val="004E6E06"/>
    <w:rsid w:val="004E737F"/>
    <w:rsid w:val="004E7D5B"/>
    <w:rsid w:val="004F03DE"/>
    <w:rsid w:val="004F1674"/>
    <w:rsid w:val="004F1863"/>
    <w:rsid w:val="004F22DA"/>
    <w:rsid w:val="004F2512"/>
    <w:rsid w:val="004F2B86"/>
    <w:rsid w:val="004F2FD2"/>
    <w:rsid w:val="004F332A"/>
    <w:rsid w:val="004F40B5"/>
    <w:rsid w:val="004F4187"/>
    <w:rsid w:val="004F50B8"/>
    <w:rsid w:val="004F547D"/>
    <w:rsid w:val="00500E33"/>
    <w:rsid w:val="00500E5D"/>
    <w:rsid w:val="00501808"/>
    <w:rsid w:val="00502165"/>
    <w:rsid w:val="00502F00"/>
    <w:rsid w:val="00503BED"/>
    <w:rsid w:val="0050458B"/>
    <w:rsid w:val="00504834"/>
    <w:rsid w:val="00504C7A"/>
    <w:rsid w:val="00505AEE"/>
    <w:rsid w:val="00505FDF"/>
    <w:rsid w:val="0050632E"/>
    <w:rsid w:val="0050752D"/>
    <w:rsid w:val="00510512"/>
    <w:rsid w:val="00510733"/>
    <w:rsid w:val="0051132E"/>
    <w:rsid w:val="00511B9A"/>
    <w:rsid w:val="00511EF3"/>
    <w:rsid w:val="00512540"/>
    <w:rsid w:val="00512613"/>
    <w:rsid w:val="00513441"/>
    <w:rsid w:val="0051380C"/>
    <w:rsid w:val="00513C84"/>
    <w:rsid w:val="00514507"/>
    <w:rsid w:val="005148C2"/>
    <w:rsid w:val="005153E0"/>
    <w:rsid w:val="005153F5"/>
    <w:rsid w:val="00515715"/>
    <w:rsid w:val="0051670B"/>
    <w:rsid w:val="00520805"/>
    <w:rsid w:val="00521350"/>
    <w:rsid w:val="005218D6"/>
    <w:rsid w:val="00523398"/>
    <w:rsid w:val="00523C94"/>
    <w:rsid w:val="005246E6"/>
    <w:rsid w:val="00525849"/>
    <w:rsid w:val="005269E6"/>
    <w:rsid w:val="005271CB"/>
    <w:rsid w:val="00527312"/>
    <w:rsid w:val="00530BFA"/>
    <w:rsid w:val="00530EE7"/>
    <w:rsid w:val="0053112A"/>
    <w:rsid w:val="00532271"/>
    <w:rsid w:val="00533AFF"/>
    <w:rsid w:val="00533DAD"/>
    <w:rsid w:val="00534488"/>
    <w:rsid w:val="0053484E"/>
    <w:rsid w:val="005351B9"/>
    <w:rsid w:val="00536011"/>
    <w:rsid w:val="00536C67"/>
    <w:rsid w:val="00536E6B"/>
    <w:rsid w:val="00537F9D"/>
    <w:rsid w:val="00540006"/>
    <w:rsid w:val="00540072"/>
    <w:rsid w:val="00543903"/>
    <w:rsid w:val="00543C89"/>
    <w:rsid w:val="0054498C"/>
    <w:rsid w:val="00545A45"/>
    <w:rsid w:val="00545DB1"/>
    <w:rsid w:val="0054659E"/>
    <w:rsid w:val="00547606"/>
    <w:rsid w:val="005500C7"/>
    <w:rsid w:val="00550B79"/>
    <w:rsid w:val="0055150B"/>
    <w:rsid w:val="005519A7"/>
    <w:rsid w:val="0055315B"/>
    <w:rsid w:val="005532F9"/>
    <w:rsid w:val="00553D4D"/>
    <w:rsid w:val="0055440B"/>
    <w:rsid w:val="0055708D"/>
    <w:rsid w:val="00557A3A"/>
    <w:rsid w:val="00557D45"/>
    <w:rsid w:val="00560BD7"/>
    <w:rsid w:val="00561C90"/>
    <w:rsid w:val="00561CA6"/>
    <w:rsid w:val="00562087"/>
    <w:rsid w:val="005624BD"/>
    <w:rsid w:val="00562E45"/>
    <w:rsid w:val="00562F0D"/>
    <w:rsid w:val="00563A02"/>
    <w:rsid w:val="00564265"/>
    <w:rsid w:val="00564565"/>
    <w:rsid w:val="005647BE"/>
    <w:rsid w:val="00564A12"/>
    <w:rsid w:val="00564D44"/>
    <w:rsid w:val="00565FD3"/>
    <w:rsid w:val="00566299"/>
    <w:rsid w:val="00566B47"/>
    <w:rsid w:val="00571B4B"/>
    <w:rsid w:val="005722F6"/>
    <w:rsid w:val="005725F6"/>
    <w:rsid w:val="005749CC"/>
    <w:rsid w:val="00574DB8"/>
    <w:rsid w:val="00576197"/>
    <w:rsid w:val="005770C8"/>
    <w:rsid w:val="005802AF"/>
    <w:rsid w:val="005829DD"/>
    <w:rsid w:val="00582EDE"/>
    <w:rsid w:val="00583C85"/>
    <w:rsid w:val="00585FDF"/>
    <w:rsid w:val="00586817"/>
    <w:rsid w:val="00586D92"/>
    <w:rsid w:val="00586FB7"/>
    <w:rsid w:val="00587507"/>
    <w:rsid w:val="00587939"/>
    <w:rsid w:val="005921BF"/>
    <w:rsid w:val="00592710"/>
    <w:rsid w:val="00593755"/>
    <w:rsid w:val="005944B1"/>
    <w:rsid w:val="0059458B"/>
    <w:rsid w:val="005951F1"/>
    <w:rsid w:val="00595D46"/>
    <w:rsid w:val="00596A0B"/>
    <w:rsid w:val="00596E05"/>
    <w:rsid w:val="00596F85"/>
    <w:rsid w:val="005970FA"/>
    <w:rsid w:val="005A0176"/>
    <w:rsid w:val="005A088E"/>
    <w:rsid w:val="005A139C"/>
    <w:rsid w:val="005A1EE8"/>
    <w:rsid w:val="005A2298"/>
    <w:rsid w:val="005A28C1"/>
    <w:rsid w:val="005A30B1"/>
    <w:rsid w:val="005A3309"/>
    <w:rsid w:val="005A6E97"/>
    <w:rsid w:val="005A72FC"/>
    <w:rsid w:val="005A7CA8"/>
    <w:rsid w:val="005B0388"/>
    <w:rsid w:val="005B109A"/>
    <w:rsid w:val="005B197F"/>
    <w:rsid w:val="005B2038"/>
    <w:rsid w:val="005B28C5"/>
    <w:rsid w:val="005B4219"/>
    <w:rsid w:val="005B48B7"/>
    <w:rsid w:val="005B5D1F"/>
    <w:rsid w:val="005B6E15"/>
    <w:rsid w:val="005B71EC"/>
    <w:rsid w:val="005C0E58"/>
    <w:rsid w:val="005C10E3"/>
    <w:rsid w:val="005C147B"/>
    <w:rsid w:val="005C25D3"/>
    <w:rsid w:val="005C2FD5"/>
    <w:rsid w:val="005C31EB"/>
    <w:rsid w:val="005C399D"/>
    <w:rsid w:val="005C3F5A"/>
    <w:rsid w:val="005C47C8"/>
    <w:rsid w:val="005C4EC6"/>
    <w:rsid w:val="005C4EFD"/>
    <w:rsid w:val="005C5378"/>
    <w:rsid w:val="005C581D"/>
    <w:rsid w:val="005C7D2F"/>
    <w:rsid w:val="005D0F13"/>
    <w:rsid w:val="005D1C9C"/>
    <w:rsid w:val="005D2AB9"/>
    <w:rsid w:val="005D30B3"/>
    <w:rsid w:val="005D34E2"/>
    <w:rsid w:val="005D4178"/>
    <w:rsid w:val="005D496E"/>
    <w:rsid w:val="005D4B0B"/>
    <w:rsid w:val="005D4CDC"/>
    <w:rsid w:val="005D56DA"/>
    <w:rsid w:val="005D7C20"/>
    <w:rsid w:val="005E0C1B"/>
    <w:rsid w:val="005E0D41"/>
    <w:rsid w:val="005E0DCB"/>
    <w:rsid w:val="005E19AF"/>
    <w:rsid w:val="005E2EDE"/>
    <w:rsid w:val="005E47FB"/>
    <w:rsid w:val="005E49A6"/>
    <w:rsid w:val="005E5108"/>
    <w:rsid w:val="005E5FF8"/>
    <w:rsid w:val="005E633D"/>
    <w:rsid w:val="005E6960"/>
    <w:rsid w:val="005E6AD2"/>
    <w:rsid w:val="005E6E51"/>
    <w:rsid w:val="005E72F6"/>
    <w:rsid w:val="005E7A27"/>
    <w:rsid w:val="005E7D93"/>
    <w:rsid w:val="005E7EB8"/>
    <w:rsid w:val="005F0073"/>
    <w:rsid w:val="005F063C"/>
    <w:rsid w:val="005F184F"/>
    <w:rsid w:val="005F18D6"/>
    <w:rsid w:val="005F2BA8"/>
    <w:rsid w:val="005F3582"/>
    <w:rsid w:val="005F3FFE"/>
    <w:rsid w:val="005F4434"/>
    <w:rsid w:val="005F50DF"/>
    <w:rsid w:val="005F59F5"/>
    <w:rsid w:val="005F6946"/>
    <w:rsid w:val="00600D34"/>
    <w:rsid w:val="00601089"/>
    <w:rsid w:val="00601DC7"/>
    <w:rsid w:val="00601EE5"/>
    <w:rsid w:val="00602C1D"/>
    <w:rsid w:val="00603024"/>
    <w:rsid w:val="006033E9"/>
    <w:rsid w:val="006041EC"/>
    <w:rsid w:val="00604EB7"/>
    <w:rsid w:val="00605F3F"/>
    <w:rsid w:val="00607374"/>
    <w:rsid w:val="006075A4"/>
    <w:rsid w:val="00607F85"/>
    <w:rsid w:val="006102C2"/>
    <w:rsid w:val="006106BA"/>
    <w:rsid w:val="0061079B"/>
    <w:rsid w:val="00611041"/>
    <w:rsid w:val="00611196"/>
    <w:rsid w:val="0061139F"/>
    <w:rsid w:val="006116E3"/>
    <w:rsid w:val="00611AFF"/>
    <w:rsid w:val="00613678"/>
    <w:rsid w:val="0061394C"/>
    <w:rsid w:val="00613A81"/>
    <w:rsid w:val="00614C2C"/>
    <w:rsid w:val="00614E10"/>
    <w:rsid w:val="00615375"/>
    <w:rsid w:val="00615EF4"/>
    <w:rsid w:val="00616FF1"/>
    <w:rsid w:val="00617B95"/>
    <w:rsid w:val="00620B76"/>
    <w:rsid w:val="00622A43"/>
    <w:rsid w:val="006235D0"/>
    <w:rsid w:val="00623946"/>
    <w:rsid w:val="0062402E"/>
    <w:rsid w:val="00624400"/>
    <w:rsid w:val="00624E51"/>
    <w:rsid w:val="006259B3"/>
    <w:rsid w:val="00625ACD"/>
    <w:rsid w:val="00626162"/>
    <w:rsid w:val="00627A9E"/>
    <w:rsid w:val="00630927"/>
    <w:rsid w:val="00630C2A"/>
    <w:rsid w:val="00631D5D"/>
    <w:rsid w:val="00631FEE"/>
    <w:rsid w:val="00632B2C"/>
    <w:rsid w:val="006343F9"/>
    <w:rsid w:val="00634719"/>
    <w:rsid w:val="00635923"/>
    <w:rsid w:val="00635AF6"/>
    <w:rsid w:val="00635B87"/>
    <w:rsid w:val="00636B09"/>
    <w:rsid w:val="00636CA9"/>
    <w:rsid w:val="00640C34"/>
    <w:rsid w:val="0064106B"/>
    <w:rsid w:val="0064134E"/>
    <w:rsid w:val="0064199A"/>
    <w:rsid w:val="00644358"/>
    <w:rsid w:val="00644F4B"/>
    <w:rsid w:val="0064586F"/>
    <w:rsid w:val="00647E2D"/>
    <w:rsid w:val="006502D3"/>
    <w:rsid w:val="006503E8"/>
    <w:rsid w:val="00650570"/>
    <w:rsid w:val="00652143"/>
    <w:rsid w:val="00652747"/>
    <w:rsid w:val="00653A6C"/>
    <w:rsid w:val="00653CF0"/>
    <w:rsid w:val="00654A4A"/>
    <w:rsid w:val="006551C0"/>
    <w:rsid w:val="0065545A"/>
    <w:rsid w:val="00655939"/>
    <w:rsid w:val="00657FD0"/>
    <w:rsid w:val="00660B4B"/>
    <w:rsid w:val="006625E6"/>
    <w:rsid w:val="00662A6B"/>
    <w:rsid w:val="00664296"/>
    <w:rsid w:val="00664A6C"/>
    <w:rsid w:val="00664DAC"/>
    <w:rsid w:val="00664EB0"/>
    <w:rsid w:val="00666184"/>
    <w:rsid w:val="006661CF"/>
    <w:rsid w:val="006661D5"/>
    <w:rsid w:val="006668F8"/>
    <w:rsid w:val="00667FDE"/>
    <w:rsid w:val="00667FE2"/>
    <w:rsid w:val="006709A5"/>
    <w:rsid w:val="00670BFD"/>
    <w:rsid w:val="00670D82"/>
    <w:rsid w:val="00670DC6"/>
    <w:rsid w:val="00671E4C"/>
    <w:rsid w:val="0067299B"/>
    <w:rsid w:val="00673932"/>
    <w:rsid w:val="00674295"/>
    <w:rsid w:val="006743AB"/>
    <w:rsid w:val="00674D90"/>
    <w:rsid w:val="006758E2"/>
    <w:rsid w:val="00676246"/>
    <w:rsid w:val="00676845"/>
    <w:rsid w:val="006770DB"/>
    <w:rsid w:val="00677119"/>
    <w:rsid w:val="00677350"/>
    <w:rsid w:val="00680771"/>
    <w:rsid w:val="006807B0"/>
    <w:rsid w:val="00680979"/>
    <w:rsid w:val="0068139E"/>
    <w:rsid w:val="006818A8"/>
    <w:rsid w:val="00681A51"/>
    <w:rsid w:val="00682424"/>
    <w:rsid w:val="00682469"/>
    <w:rsid w:val="0068337B"/>
    <w:rsid w:val="00683BF7"/>
    <w:rsid w:val="00683D97"/>
    <w:rsid w:val="006846CF"/>
    <w:rsid w:val="00684FCA"/>
    <w:rsid w:val="00685E4A"/>
    <w:rsid w:val="00686B5C"/>
    <w:rsid w:val="00686F01"/>
    <w:rsid w:val="00687A93"/>
    <w:rsid w:val="006919C9"/>
    <w:rsid w:val="00691E2F"/>
    <w:rsid w:val="006920C6"/>
    <w:rsid w:val="006920F1"/>
    <w:rsid w:val="00692850"/>
    <w:rsid w:val="0069347D"/>
    <w:rsid w:val="0069418C"/>
    <w:rsid w:val="00694FE9"/>
    <w:rsid w:val="0069550F"/>
    <w:rsid w:val="006959C3"/>
    <w:rsid w:val="00696997"/>
    <w:rsid w:val="00696AD1"/>
    <w:rsid w:val="00697E83"/>
    <w:rsid w:val="006A02D6"/>
    <w:rsid w:val="006A1FE8"/>
    <w:rsid w:val="006A22B6"/>
    <w:rsid w:val="006A37FF"/>
    <w:rsid w:val="006A3CDD"/>
    <w:rsid w:val="006A4295"/>
    <w:rsid w:val="006A6375"/>
    <w:rsid w:val="006A684C"/>
    <w:rsid w:val="006A6D0E"/>
    <w:rsid w:val="006A758C"/>
    <w:rsid w:val="006B1D18"/>
    <w:rsid w:val="006B2718"/>
    <w:rsid w:val="006B38CD"/>
    <w:rsid w:val="006B4493"/>
    <w:rsid w:val="006B72FB"/>
    <w:rsid w:val="006C0563"/>
    <w:rsid w:val="006C0744"/>
    <w:rsid w:val="006C0F46"/>
    <w:rsid w:val="006C1271"/>
    <w:rsid w:val="006C1EE9"/>
    <w:rsid w:val="006C1EEC"/>
    <w:rsid w:val="006C2A15"/>
    <w:rsid w:val="006C352C"/>
    <w:rsid w:val="006C3FEA"/>
    <w:rsid w:val="006C4045"/>
    <w:rsid w:val="006C65E9"/>
    <w:rsid w:val="006C69E7"/>
    <w:rsid w:val="006D10AE"/>
    <w:rsid w:val="006D1E54"/>
    <w:rsid w:val="006D24DC"/>
    <w:rsid w:val="006D29F2"/>
    <w:rsid w:val="006D3AFE"/>
    <w:rsid w:val="006D3BCA"/>
    <w:rsid w:val="006D424B"/>
    <w:rsid w:val="006D4CAB"/>
    <w:rsid w:val="006D5E88"/>
    <w:rsid w:val="006D6F85"/>
    <w:rsid w:val="006D71F9"/>
    <w:rsid w:val="006D7CA2"/>
    <w:rsid w:val="006E025F"/>
    <w:rsid w:val="006E065B"/>
    <w:rsid w:val="006E09D3"/>
    <w:rsid w:val="006E1692"/>
    <w:rsid w:val="006E1E6C"/>
    <w:rsid w:val="006E1F8E"/>
    <w:rsid w:val="006E20CB"/>
    <w:rsid w:val="006E2A4B"/>
    <w:rsid w:val="006E3B95"/>
    <w:rsid w:val="006E4E5F"/>
    <w:rsid w:val="006E5505"/>
    <w:rsid w:val="006E55CC"/>
    <w:rsid w:val="006E6BBE"/>
    <w:rsid w:val="006E71BB"/>
    <w:rsid w:val="006E73C1"/>
    <w:rsid w:val="006F0815"/>
    <w:rsid w:val="006F0D0A"/>
    <w:rsid w:val="006F0FE0"/>
    <w:rsid w:val="006F1206"/>
    <w:rsid w:val="006F136D"/>
    <w:rsid w:val="006F226D"/>
    <w:rsid w:val="006F240A"/>
    <w:rsid w:val="006F2940"/>
    <w:rsid w:val="006F2A5B"/>
    <w:rsid w:val="006F2D27"/>
    <w:rsid w:val="006F2FB3"/>
    <w:rsid w:val="006F3D23"/>
    <w:rsid w:val="006F4104"/>
    <w:rsid w:val="006F4E35"/>
    <w:rsid w:val="006F531B"/>
    <w:rsid w:val="006F56B6"/>
    <w:rsid w:val="006F590E"/>
    <w:rsid w:val="006F5911"/>
    <w:rsid w:val="006F5979"/>
    <w:rsid w:val="006F62BC"/>
    <w:rsid w:val="006F70BD"/>
    <w:rsid w:val="0070023A"/>
    <w:rsid w:val="007004C3"/>
    <w:rsid w:val="00700D5A"/>
    <w:rsid w:val="00701C0F"/>
    <w:rsid w:val="00702493"/>
    <w:rsid w:val="007034D1"/>
    <w:rsid w:val="00705F95"/>
    <w:rsid w:val="00706A77"/>
    <w:rsid w:val="0071035D"/>
    <w:rsid w:val="007109EA"/>
    <w:rsid w:val="007122F9"/>
    <w:rsid w:val="0071339B"/>
    <w:rsid w:val="00714652"/>
    <w:rsid w:val="00714A8A"/>
    <w:rsid w:val="00714E5E"/>
    <w:rsid w:val="00714F3B"/>
    <w:rsid w:val="00715583"/>
    <w:rsid w:val="007166F7"/>
    <w:rsid w:val="00716A1A"/>
    <w:rsid w:val="00716AEF"/>
    <w:rsid w:val="00716B51"/>
    <w:rsid w:val="00716C74"/>
    <w:rsid w:val="0071706C"/>
    <w:rsid w:val="00717076"/>
    <w:rsid w:val="0071716F"/>
    <w:rsid w:val="00717296"/>
    <w:rsid w:val="007172CB"/>
    <w:rsid w:val="00721591"/>
    <w:rsid w:val="00722E4E"/>
    <w:rsid w:val="00724500"/>
    <w:rsid w:val="007253B2"/>
    <w:rsid w:val="007253FF"/>
    <w:rsid w:val="00727370"/>
    <w:rsid w:val="00727A5F"/>
    <w:rsid w:val="007320A9"/>
    <w:rsid w:val="007326A9"/>
    <w:rsid w:val="00732A29"/>
    <w:rsid w:val="007339F8"/>
    <w:rsid w:val="007358C1"/>
    <w:rsid w:val="00735D9E"/>
    <w:rsid w:val="00735DC0"/>
    <w:rsid w:val="00736F1D"/>
    <w:rsid w:val="007374D3"/>
    <w:rsid w:val="00737E9E"/>
    <w:rsid w:val="00740561"/>
    <w:rsid w:val="007405C2"/>
    <w:rsid w:val="0074109C"/>
    <w:rsid w:val="00742335"/>
    <w:rsid w:val="00742842"/>
    <w:rsid w:val="0074492D"/>
    <w:rsid w:val="00745E99"/>
    <w:rsid w:val="0074620D"/>
    <w:rsid w:val="0074767D"/>
    <w:rsid w:val="00747C6E"/>
    <w:rsid w:val="007516A1"/>
    <w:rsid w:val="0075176F"/>
    <w:rsid w:val="00752C37"/>
    <w:rsid w:val="00752EAF"/>
    <w:rsid w:val="00753376"/>
    <w:rsid w:val="0075346B"/>
    <w:rsid w:val="00753909"/>
    <w:rsid w:val="007543B0"/>
    <w:rsid w:val="0075440E"/>
    <w:rsid w:val="007568A9"/>
    <w:rsid w:val="00756B18"/>
    <w:rsid w:val="00756BE8"/>
    <w:rsid w:val="00756DEC"/>
    <w:rsid w:val="007575DF"/>
    <w:rsid w:val="00761514"/>
    <w:rsid w:val="00761B64"/>
    <w:rsid w:val="0076267A"/>
    <w:rsid w:val="00763881"/>
    <w:rsid w:val="00763C22"/>
    <w:rsid w:val="00763CE7"/>
    <w:rsid w:val="0076670E"/>
    <w:rsid w:val="00767793"/>
    <w:rsid w:val="00767AC9"/>
    <w:rsid w:val="00767FC8"/>
    <w:rsid w:val="00770127"/>
    <w:rsid w:val="0077063F"/>
    <w:rsid w:val="00771830"/>
    <w:rsid w:val="00772177"/>
    <w:rsid w:val="0077265F"/>
    <w:rsid w:val="00772B76"/>
    <w:rsid w:val="0077350B"/>
    <w:rsid w:val="007753D0"/>
    <w:rsid w:val="0077576E"/>
    <w:rsid w:val="00775C65"/>
    <w:rsid w:val="0077639A"/>
    <w:rsid w:val="0077711B"/>
    <w:rsid w:val="007800AF"/>
    <w:rsid w:val="0078100C"/>
    <w:rsid w:val="007812AB"/>
    <w:rsid w:val="0078157F"/>
    <w:rsid w:val="0078185E"/>
    <w:rsid w:val="00782799"/>
    <w:rsid w:val="007832BD"/>
    <w:rsid w:val="00783D3B"/>
    <w:rsid w:val="00784DB5"/>
    <w:rsid w:val="00784FFE"/>
    <w:rsid w:val="00786F48"/>
    <w:rsid w:val="0078772C"/>
    <w:rsid w:val="00787866"/>
    <w:rsid w:val="007878E4"/>
    <w:rsid w:val="00790772"/>
    <w:rsid w:val="0079090E"/>
    <w:rsid w:val="00791E3F"/>
    <w:rsid w:val="00792289"/>
    <w:rsid w:val="0079267C"/>
    <w:rsid w:val="007927E5"/>
    <w:rsid w:val="0079419B"/>
    <w:rsid w:val="007946EF"/>
    <w:rsid w:val="007963BD"/>
    <w:rsid w:val="007A0505"/>
    <w:rsid w:val="007A1190"/>
    <w:rsid w:val="007A1B85"/>
    <w:rsid w:val="007A1D1F"/>
    <w:rsid w:val="007A250B"/>
    <w:rsid w:val="007A2779"/>
    <w:rsid w:val="007A27DE"/>
    <w:rsid w:val="007A4783"/>
    <w:rsid w:val="007A4DF6"/>
    <w:rsid w:val="007A5191"/>
    <w:rsid w:val="007A647F"/>
    <w:rsid w:val="007A6ED6"/>
    <w:rsid w:val="007A7849"/>
    <w:rsid w:val="007A7F09"/>
    <w:rsid w:val="007B0500"/>
    <w:rsid w:val="007B111B"/>
    <w:rsid w:val="007B1441"/>
    <w:rsid w:val="007B25E8"/>
    <w:rsid w:val="007B25FE"/>
    <w:rsid w:val="007B374F"/>
    <w:rsid w:val="007B3AE8"/>
    <w:rsid w:val="007B4418"/>
    <w:rsid w:val="007B5DAC"/>
    <w:rsid w:val="007B5F62"/>
    <w:rsid w:val="007B625E"/>
    <w:rsid w:val="007B66B3"/>
    <w:rsid w:val="007B7077"/>
    <w:rsid w:val="007B72C3"/>
    <w:rsid w:val="007B73FD"/>
    <w:rsid w:val="007B7955"/>
    <w:rsid w:val="007C1042"/>
    <w:rsid w:val="007C20B1"/>
    <w:rsid w:val="007C3003"/>
    <w:rsid w:val="007C44C2"/>
    <w:rsid w:val="007C5403"/>
    <w:rsid w:val="007C5923"/>
    <w:rsid w:val="007C6B60"/>
    <w:rsid w:val="007C6F85"/>
    <w:rsid w:val="007C74F4"/>
    <w:rsid w:val="007C7B99"/>
    <w:rsid w:val="007C7D88"/>
    <w:rsid w:val="007D0C12"/>
    <w:rsid w:val="007D11DB"/>
    <w:rsid w:val="007D16CC"/>
    <w:rsid w:val="007D23B3"/>
    <w:rsid w:val="007D3AA0"/>
    <w:rsid w:val="007D3B71"/>
    <w:rsid w:val="007D3FE2"/>
    <w:rsid w:val="007D4359"/>
    <w:rsid w:val="007D4EC2"/>
    <w:rsid w:val="007D5690"/>
    <w:rsid w:val="007D69FA"/>
    <w:rsid w:val="007D6B25"/>
    <w:rsid w:val="007D75E9"/>
    <w:rsid w:val="007D7CC9"/>
    <w:rsid w:val="007E0441"/>
    <w:rsid w:val="007E1600"/>
    <w:rsid w:val="007E2024"/>
    <w:rsid w:val="007E2AAF"/>
    <w:rsid w:val="007E4641"/>
    <w:rsid w:val="007E76A1"/>
    <w:rsid w:val="007E7C55"/>
    <w:rsid w:val="007F02C3"/>
    <w:rsid w:val="007F03E8"/>
    <w:rsid w:val="007F0CE1"/>
    <w:rsid w:val="007F18BF"/>
    <w:rsid w:val="007F1ABA"/>
    <w:rsid w:val="007F2A03"/>
    <w:rsid w:val="007F3616"/>
    <w:rsid w:val="007F3AD2"/>
    <w:rsid w:val="007F40C4"/>
    <w:rsid w:val="007F4245"/>
    <w:rsid w:val="007F42D9"/>
    <w:rsid w:val="007F4847"/>
    <w:rsid w:val="007F4D92"/>
    <w:rsid w:val="007F77B2"/>
    <w:rsid w:val="007F7883"/>
    <w:rsid w:val="00800073"/>
    <w:rsid w:val="008001AC"/>
    <w:rsid w:val="00800499"/>
    <w:rsid w:val="00800851"/>
    <w:rsid w:val="00800B51"/>
    <w:rsid w:val="00800C4D"/>
    <w:rsid w:val="00801697"/>
    <w:rsid w:val="0080279C"/>
    <w:rsid w:val="008029DB"/>
    <w:rsid w:val="00802CA3"/>
    <w:rsid w:val="008039D6"/>
    <w:rsid w:val="008063F9"/>
    <w:rsid w:val="008072D7"/>
    <w:rsid w:val="008073C1"/>
    <w:rsid w:val="00810603"/>
    <w:rsid w:val="00811145"/>
    <w:rsid w:val="00811263"/>
    <w:rsid w:val="00812B83"/>
    <w:rsid w:val="00812C2D"/>
    <w:rsid w:val="00813813"/>
    <w:rsid w:val="0081390D"/>
    <w:rsid w:val="00813C03"/>
    <w:rsid w:val="00814283"/>
    <w:rsid w:val="00816C67"/>
    <w:rsid w:val="00816DEB"/>
    <w:rsid w:val="00820209"/>
    <w:rsid w:val="00820DCB"/>
    <w:rsid w:val="00820F35"/>
    <w:rsid w:val="00820FEC"/>
    <w:rsid w:val="0082393D"/>
    <w:rsid w:val="008239D1"/>
    <w:rsid w:val="00823DE0"/>
    <w:rsid w:val="00824BFC"/>
    <w:rsid w:val="00824EEB"/>
    <w:rsid w:val="00824FAC"/>
    <w:rsid w:val="00825ADC"/>
    <w:rsid w:val="008263B1"/>
    <w:rsid w:val="00827BAF"/>
    <w:rsid w:val="00830821"/>
    <w:rsid w:val="00832177"/>
    <w:rsid w:val="0083324D"/>
    <w:rsid w:val="0083416B"/>
    <w:rsid w:val="00834AD4"/>
    <w:rsid w:val="008350A0"/>
    <w:rsid w:val="00840600"/>
    <w:rsid w:val="00841733"/>
    <w:rsid w:val="00842484"/>
    <w:rsid w:val="008426E5"/>
    <w:rsid w:val="00843447"/>
    <w:rsid w:val="00844D38"/>
    <w:rsid w:val="00844D85"/>
    <w:rsid w:val="008455DF"/>
    <w:rsid w:val="0084563E"/>
    <w:rsid w:val="00845FA0"/>
    <w:rsid w:val="008463B2"/>
    <w:rsid w:val="00846FCB"/>
    <w:rsid w:val="00847D86"/>
    <w:rsid w:val="0085048D"/>
    <w:rsid w:val="00850C55"/>
    <w:rsid w:val="00850E71"/>
    <w:rsid w:val="00851B6E"/>
    <w:rsid w:val="008524BE"/>
    <w:rsid w:val="0085269A"/>
    <w:rsid w:val="0085306F"/>
    <w:rsid w:val="00853243"/>
    <w:rsid w:val="00853A8F"/>
    <w:rsid w:val="00853BC2"/>
    <w:rsid w:val="00853C7E"/>
    <w:rsid w:val="00854278"/>
    <w:rsid w:val="00856063"/>
    <w:rsid w:val="008566B2"/>
    <w:rsid w:val="00857172"/>
    <w:rsid w:val="0085794D"/>
    <w:rsid w:val="00860DE4"/>
    <w:rsid w:val="0086236A"/>
    <w:rsid w:val="00864345"/>
    <w:rsid w:val="00865311"/>
    <w:rsid w:val="0086569A"/>
    <w:rsid w:val="0086581C"/>
    <w:rsid w:val="00867A36"/>
    <w:rsid w:val="00867C3F"/>
    <w:rsid w:val="00870002"/>
    <w:rsid w:val="008702A8"/>
    <w:rsid w:val="0087035A"/>
    <w:rsid w:val="00870FD4"/>
    <w:rsid w:val="00872B3E"/>
    <w:rsid w:val="0087347D"/>
    <w:rsid w:val="00873A31"/>
    <w:rsid w:val="00873CA1"/>
    <w:rsid w:val="00873D59"/>
    <w:rsid w:val="00874C90"/>
    <w:rsid w:val="008752EE"/>
    <w:rsid w:val="00876F90"/>
    <w:rsid w:val="00877B0B"/>
    <w:rsid w:val="00880121"/>
    <w:rsid w:val="008827DC"/>
    <w:rsid w:val="00882DAD"/>
    <w:rsid w:val="008843F5"/>
    <w:rsid w:val="00884F32"/>
    <w:rsid w:val="00885263"/>
    <w:rsid w:val="00885A09"/>
    <w:rsid w:val="008868A8"/>
    <w:rsid w:val="00886EAF"/>
    <w:rsid w:val="00887EE1"/>
    <w:rsid w:val="008902F2"/>
    <w:rsid w:val="00890D93"/>
    <w:rsid w:val="00892DA5"/>
    <w:rsid w:val="00892FA4"/>
    <w:rsid w:val="00893AAE"/>
    <w:rsid w:val="00893C31"/>
    <w:rsid w:val="0089457E"/>
    <w:rsid w:val="0089488A"/>
    <w:rsid w:val="008949B1"/>
    <w:rsid w:val="00895ADC"/>
    <w:rsid w:val="00895D15"/>
    <w:rsid w:val="00896DA2"/>
    <w:rsid w:val="00896E2B"/>
    <w:rsid w:val="0089713E"/>
    <w:rsid w:val="008972AA"/>
    <w:rsid w:val="0089762D"/>
    <w:rsid w:val="008A10F3"/>
    <w:rsid w:val="008A1977"/>
    <w:rsid w:val="008A28FA"/>
    <w:rsid w:val="008A306A"/>
    <w:rsid w:val="008A4D60"/>
    <w:rsid w:val="008A5076"/>
    <w:rsid w:val="008A53EE"/>
    <w:rsid w:val="008A5C0F"/>
    <w:rsid w:val="008A67B2"/>
    <w:rsid w:val="008A714C"/>
    <w:rsid w:val="008B012A"/>
    <w:rsid w:val="008B0174"/>
    <w:rsid w:val="008B1596"/>
    <w:rsid w:val="008B1B37"/>
    <w:rsid w:val="008B4062"/>
    <w:rsid w:val="008B5977"/>
    <w:rsid w:val="008B6EF1"/>
    <w:rsid w:val="008B7266"/>
    <w:rsid w:val="008B7A43"/>
    <w:rsid w:val="008B7C3A"/>
    <w:rsid w:val="008C02BD"/>
    <w:rsid w:val="008C038D"/>
    <w:rsid w:val="008C09C4"/>
    <w:rsid w:val="008C1598"/>
    <w:rsid w:val="008C1F44"/>
    <w:rsid w:val="008C2F45"/>
    <w:rsid w:val="008C42A1"/>
    <w:rsid w:val="008C61AD"/>
    <w:rsid w:val="008C646F"/>
    <w:rsid w:val="008C711A"/>
    <w:rsid w:val="008D2AC2"/>
    <w:rsid w:val="008D3E66"/>
    <w:rsid w:val="008D48FF"/>
    <w:rsid w:val="008D4C0A"/>
    <w:rsid w:val="008D4EEB"/>
    <w:rsid w:val="008D50EA"/>
    <w:rsid w:val="008D61A7"/>
    <w:rsid w:val="008D6E64"/>
    <w:rsid w:val="008D7567"/>
    <w:rsid w:val="008E0007"/>
    <w:rsid w:val="008E0374"/>
    <w:rsid w:val="008E0B1A"/>
    <w:rsid w:val="008E1426"/>
    <w:rsid w:val="008E16B0"/>
    <w:rsid w:val="008E1AA7"/>
    <w:rsid w:val="008E3E4B"/>
    <w:rsid w:val="008E43A6"/>
    <w:rsid w:val="008E4923"/>
    <w:rsid w:val="008E4EF9"/>
    <w:rsid w:val="008E53F7"/>
    <w:rsid w:val="008E61EB"/>
    <w:rsid w:val="008E62F5"/>
    <w:rsid w:val="008E6DFC"/>
    <w:rsid w:val="008E7710"/>
    <w:rsid w:val="008F1CCF"/>
    <w:rsid w:val="008F2795"/>
    <w:rsid w:val="008F293E"/>
    <w:rsid w:val="008F4212"/>
    <w:rsid w:val="008F43AC"/>
    <w:rsid w:val="008F485A"/>
    <w:rsid w:val="008F6B4A"/>
    <w:rsid w:val="008F7A79"/>
    <w:rsid w:val="008F7DB1"/>
    <w:rsid w:val="00900D4D"/>
    <w:rsid w:val="009012FC"/>
    <w:rsid w:val="00901D76"/>
    <w:rsid w:val="009026A0"/>
    <w:rsid w:val="00902D59"/>
    <w:rsid w:val="0090380F"/>
    <w:rsid w:val="00903F34"/>
    <w:rsid w:val="009056DA"/>
    <w:rsid w:val="00905C0A"/>
    <w:rsid w:val="00905E05"/>
    <w:rsid w:val="00906028"/>
    <w:rsid w:val="00906B32"/>
    <w:rsid w:val="00910987"/>
    <w:rsid w:val="009122F8"/>
    <w:rsid w:val="009124CB"/>
    <w:rsid w:val="00912568"/>
    <w:rsid w:val="00912915"/>
    <w:rsid w:val="00913483"/>
    <w:rsid w:val="00913870"/>
    <w:rsid w:val="00913A0B"/>
    <w:rsid w:val="00913D94"/>
    <w:rsid w:val="009154B5"/>
    <w:rsid w:val="00915520"/>
    <w:rsid w:val="009155DC"/>
    <w:rsid w:val="009155F7"/>
    <w:rsid w:val="00916C5D"/>
    <w:rsid w:val="00916EAB"/>
    <w:rsid w:val="00917477"/>
    <w:rsid w:val="00917AA0"/>
    <w:rsid w:val="0092075A"/>
    <w:rsid w:val="00921131"/>
    <w:rsid w:val="00921F5A"/>
    <w:rsid w:val="009221C1"/>
    <w:rsid w:val="0092292D"/>
    <w:rsid w:val="009238F7"/>
    <w:rsid w:val="00923BA8"/>
    <w:rsid w:val="00923C63"/>
    <w:rsid w:val="00924605"/>
    <w:rsid w:val="009247F5"/>
    <w:rsid w:val="00924966"/>
    <w:rsid w:val="009253AC"/>
    <w:rsid w:val="00925717"/>
    <w:rsid w:val="00926A93"/>
    <w:rsid w:val="00926AB2"/>
    <w:rsid w:val="00926FBD"/>
    <w:rsid w:val="00927024"/>
    <w:rsid w:val="009270DD"/>
    <w:rsid w:val="00927C5C"/>
    <w:rsid w:val="00927CAA"/>
    <w:rsid w:val="00927CEF"/>
    <w:rsid w:val="00930F74"/>
    <w:rsid w:val="0093179E"/>
    <w:rsid w:val="00932552"/>
    <w:rsid w:val="0093269A"/>
    <w:rsid w:val="00932B80"/>
    <w:rsid w:val="0093409F"/>
    <w:rsid w:val="009356BA"/>
    <w:rsid w:val="0093591E"/>
    <w:rsid w:val="009373D3"/>
    <w:rsid w:val="009407FE"/>
    <w:rsid w:val="0094183C"/>
    <w:rsid w:val="00941E3E"/>
    <w:rsid w:val="00942436"/>
    <w:rsid w:val="00943263"/>
    <w:rsid w:val="00944D67"/>
    <w:rsid w:val="00946557"/>
    <w:rsid w:val="00946CD6"/>
    <w:rsid w:val="009479D1"/>
    <w:rsid w:val="009501C6"/>
    <w:rsid w:val="00951719"/>
    <w:rsid w:val="009518E1"/>
    <w:rsid w:val="00952875"/>
    <w:rsid w:val="009535DE"/>
    <w:rsid w:val="0095361B"/>
    <w:rsid w:val="00953D70"/>
    <w:rsid w:val="00953DFA"/>
    <w:rsid w:val="00954469"/>
    <w:rsid w:val="00954A61"/>
    <w:rsid w:val="00954D32"/>
    <w:rsid w:val="00954E70"/>
    <w:rsid w:val="009561CA"/>
    <w:rsid w:val="00956F14"/>
    <w:rsid w:val="00957603"/>
    <w:rsid w:val="009579A2"/>
    <w:rsid w:val="00957A1D"/>
    <w:rsid w:val="00957BC0"/>
    <w:rsid w:val="00960369"/>
    <w:rsid w:val="009607A2"/>
    <w:rsid w:val="00960AC2"/>
    <w:rsid w:val="00961671"/>
    <w:rsid w:val="00961AC1"/>
    <w:rsid w:val="0096487B"/>
    <w:rsid w:val="00964B52"/>
    <w:rsid w:val="00964F29"/>
    <w:rsid w:val="00965CD1"/>
    <w:rsid w:val="00966482"/>
    <w:rsid w:val="00966D15"/>
    <w:rsid w:val="00966D1F"/>
    <w:rsid w:val="0096735C"/>
    <w:rsid w:val="00970460"/>
    <w:rsid w:val="00971B48"/>
    <w:rsid w:val="00972ECE"/>
    <w:rsid w:val="009734B3"/>
    <w:rsid w:val="009756D2"/>
    <w:rsid w:val="009757D1"/>
    <w:rsid w:val="00975EB9"/>
    <w:rsid w:val="00977584"/>
    <w:rsid w:val="00980452"/>
    <w:rsid w:val="00980754"/>
    <w:rsid w:val="00981535"/>
    <w:rsid w:val="0098227C"/>
    <w:rsid w:val="009825C8"/>
    <w:rsid w:val="00983531"/>
    <w:rsid w:val="0098409F"/>
    <w:rsid w:val="00984531"/>
    <w:rsid w:val="00984A55"/>
    <w:rsid w:val="00985537"/>
    <w:rsid w:val="00985C01"/>
    <w:rsid w:val="009903BA"/>
    <w:rsid w:val="009911B1"/>
    <w:rsid w:val="00991698"/>
    <w:rsid w:val="009917E7"/>
    <w:rsid w:val="00991AE2"/>
    <w:rsid w:val="00991C17"/>
    <w:rsid w:val="00991D56"/>
    <w:rsid w:val="00992D1E"/>
    <w:rsid w:val="00992D66"/>
    <w:rsid w:val="00993507"/>
    <w:rsid w:val="00994D1A"/>
    <w:rsid w:val="009967D1"/>
    <w:rsid w:val="0099781F"/>
    <w:rsid w:val="00997EB2"/>
    <w:rsid w:val="009A036C"/>
    <w:rsid w:val="009A06F5"/>
    <w:rsid w:val="009A0788"/>
    <w:rsid w:val="009A0ABC"/>
    <w:rsid w:val="009A0E92"/>
    <w:rsid w:val="009A17EC"/>
    <w:rsid w:val="009A2494"/>
    <w:rsid w:val="009A25D3"/>
    <w:rsid w:val="009A4BEE"/>
    <w:rsid w:val="009A78B7"/>
    <w:rsid w:val="009B03DF"/>
    <w:rsid w:val="009B141A"/>
    <w:rsid w:val="009B22AE"/>
    <w:rsid w:val="009B3192"/>
    <w:rsid w:val="009B319D"/>
    <w:rsid w:val="009B4214"/>
    <w:rsid w:val="009B4E63"/>
    <w:rsid w:val="009B6518"/>
    <w:rsid w:val="009B6AF0"/>
    <w:rsid w:val="009B6F44"/>
    <w:rsid w:val="009C09F3"/>
    <w:rsid w:val="009C128C"/>
    <w:rsid w:val="009C292D"/>
    <w:rsid w:val="009C5F0C"/>
    <w:rsid w:val="009C67C0"/>
    <w:rsid w:val="009C6C4B"/>
    <w:rsid w:val="009C6EB0"/>
    <w:rsid w:val="009C70C0"/>
    <w:rsid w:val="009D024C"/>
    <w:rsid w:val="009D1035"/>
    <w:rsid w:val="009D13D0"/>
    <w:rsid w:val="009D1B09"/>
    <w:rsid w:val="009D2068"/>
    <w:rsid w:val="009D6259"/>
    <w:rsid w:val="009D777C"/>
    <w:rsid w:val="009D7D33"/>
    <w:rsid w:val="009E01FC"/>
    <w:rsid w:val="009E0355"/>
    <w:rsid w:val="009E1999"/>
    <w:rsid w:val="009E237C"/>
    <w:rsid w:val="009E25B5"/>
    <w:rsid w:val="009E324D"/>
    <w:rsid w:val="009E3D59"/>
    <w:rsid w:val="009E4DD4"/>
    <w:rsid w:val="009E4E3F"/>
    <w:rsid w:val="009E52D0"/>
    <w:rsid w:val="009E5B49"/>
    <w:rsid w:val="009E5C96"/>
    <w:rsid w:val="009E698B"/>
    <w:rsid w:val="009E6ADB"/>
    <w:rsid w:val="009E7446"/>
    <w:rsid w:val="009E7C2F"/>
    <w:rsid w:val="009F04CD"/>
    <w:rsid w:val="009F0BB6"/>
    <w:rsid w:val="009F0BED"/>
    <w:rsid w:val="009F0FBE"/>
    <w:rsid w:val="009F14C8"/>
    <w:rsid w:val="009F1547"/>
    <w:rsid w:val="009F1A08"/>
    <w:rsid w:val="009F226C"/>
    <w:rsid w:val="009F30ED"/>
    <w:rsid w:val="009F38CD"/>
    <w:rsid w:val="009F47E8"/>
    <w:rsid w:val="009F4ABA"/>
    <w:rsid w:val="009F4D62"/>
    <w:rsid w:val="009F5539"/>
    <w:rsid w:val="009F55FF"/>
    <w:rsid w:val="009F6042"/>
    <w:rsid w:val="009F67A9"/>
    <w:rsid w:val="009F71BE"/>
    <w:rsid w:val="009F7706"/>
    <w:rsid w:val="00A00317"/>
    <w:rsid w:val="00A00734"/>
    <w:rsid w:val="00A02D14"/>
    <w:rsid w:val="00A03422"/>
    <w:rsid w:val="00A042F4"/>
    <w:rsid w:val="00A04DEE"/>
    <w:rsid w:val="00A0598C"/>
    <w:rsid w:val="00A066AE"/>
    <w:rsid w:val="00A10DD9"/>
    <w:rsid w:val="00A115EC"/>
    <w:rsid w:val="00A11D21"/>
    <w:rsid w:val="00A12C6B"/>
    <w:rsid w:val="00A12E41"/>
    <w:rsid w:val="00A13151"/>
    <w:rsid w:val="00A13525"/>
    <w:rsid w:val="00A13E8A"/>
    <w:rsid w:val="00A14117"/>
    <w:rsid w:val="00A14757"/>
    <w:rsid w:val="00A149FA"/>
    <w:rsid w:val="00A16587"/>
    <w:rsid w:val="00A16686"/>
    <w:rsid w:val="00A16849"/>
    <w:rsid w:val="00A17630"/>
    <w:rsid w:val="00A17853"/>
    <w:rsid w:val="00A179B1"/>
    <w:rsid w:val="00A17DF0"/>
    <w:rsid w:val="00A20F78"/>
    <w:rsid w:val="00A2144B"/>
    <w:rsid w:val="00A218F1"/>
    <w:rsid w:val="00A22250"/>
    <w:rsid w:val="00A22E57"/>
    <w:rsid w:val="00A23974"/>
    <w:rsid w:val="00A258FB"/>
    <w:rsid w:val="00A25C42"/>
    <w:rsid w:val="00A2605D"/>
    <w:rsid w:val="00A277EF"/>
    <w:rsid w:val="00A27DEE"/>
    <w:rsid w:val="00A31B93"/>
    <w:rsid w:val="00A32EB7"/>
    <w:rsid w:val="00A34C4D"/>
    <w:rsid w:val="00A34E06"/>
    <w:rsid w:val="00A34FFC"/>
    <w:rsid w:val="00A35D32"/>
    <w:rsid w:val="00A36C41"/>
    <w:rsid w:val="00A36D89"/>
    <w:rsid w:val="00A375EF"/>
    <w:rsid w:val="00A406F6"/>
    <w:rsid w:val="00A413EF"/>
    <w:rsid w:val="00A42061"/>
    <w:rsid w:val="00A42360"/>
    <w:rsid w:val="00A4248A"/>
    <w:rsid w:val="00A4342E"/>
    <w:rsid w:val="00A44683"/>
    <w:rsid w:val="00A465C1"/>
    <w:rsid w:val="00A47387"/>
    <w:rsid w:val="00A47F70"/>
    <w:rsid w:val="00A517B6"/>
    <w:rsid w:val="00A51A2C"/>
    <w:rsid w:val="00A52185"/>
    <w:rsid w:val="00A528C2"/>
    <w:rsid w:val="00A53BEB"/>
    <w:rsid w:val="00A5433A"/>
    <w:rsid w:val="00A54AFD"/>
    <w:rsid w:val="00A54E69"/>
    <w:rsid w:val="00A550CD"/>
    <w:rsid w:val="00A57043"/>
    <w:rsid w:val="00A573E4"/>
    <w:rsid w:val="00A61B06"/>
    <w:rsid w:val="00A61C8F"/>
    <w:rsid w:val="00A62113"/>
    <w:rsid w:val="00A624B2"/>
    <w:rsid w:val="00A62F01"/>
    <w:rsid w:val="00A630BE"/>
    <w:rsid w:val="00A63774"/>
    <w:rsid w:val="00A650BD"/>
    <w:rsid w:val="00A65344"/>
    <w:rsid w:val="00A65B15"/>
    <w:rsid w:val="00A65EE2"/>
    <w:rsid w:val="00A672CC"/>
    <w:rsid w:val="00A6759C"/>
    <w:rsid w:val="00A67923"/>
    <w:rsid w:val="00A67E60"/>
    <w:rsid w:val="00A7015E"/>
    <w:rsid w:val="00A713ED"/>
    <w:rsid w:val="00A714B8"/>
    <w:rsid w:val="00A7194B"/>
    <w:rsid w:val="00A71DE0"/>
    <w:rsid w:val="00A72227"/>
    <w:rsid w:val="00A72CE7"/>
    <w:rsid w:val="00A74088"/>
    <w:rsid w:val="00A74901"/>
    <w:rsid w:val="00A74D6A"/>
    <w:rsid w:val="00A75031"/>
    <w:rsid w:val="00A75733"/>
    <w:rsid w:val="00A76308"/>
    <w:rsid w:val="00A776C7"/>
    <w:rsid w:val="00A77C08"/>
    <w:rsid w:val="00A80ACB"/>
    <w:rsid w:val="00A81527"/>
    <w:rsid w:val="00A82058"/>
    <w:rsid w:val="00A82359"/>
    <w:rsid w:val="00A84AE7"/>
    <w:rsid w:val="00A84E8D"/>
    <w:rsid w:val="00A85146"/>
    <w:rsid w:val="00A86144"/>
    <w:rsid w:val="00A86576"/>
    <w:rsid w:val="00A8668D"/>
    <w:rsid w:val="00A869B0"/>
    <w:rsid w:val="00A90183"/>
    <w:rsid w:val="00A90420"/>
    <w:rsid w:val="00A90934"/>
    <w:rsid w:val="00A91051"/>
    <w:rsid w:val="00A910CB"/>
    <w:rsid w:val="00A91DC1"/>
    <w:rsid w:val="00A9289F"/>
    <w:rsid w:val="00A929FD"/>
    <w:rsid w:val="00A92C1D"/>
    <w:rsid w:val="00A93633"/>
    <w:rsid w:val="00A95380"/>
    <w:rsid w:val="00A95617"/>
    <w:rsid w:val="00A9691A"/>
    <w:rsid w:val="00A9774D"/>
    <w:rsid w:val="00A9787D"/>
    <w:rsid w:val="00AA00EB"/>
    <w:rsid w:val="00AA0C77"/>
    <w:rsid w:val="00AA1D27"/>
    <w:rsid w:val="00AA204C"/>
    <w:rsid w:val="00AA23DE"/>
    <w:rsid w:val="00AA2D57"/>
    <w:rsid w:val="00AA3941"/>
    <w:rsid w:val="00AA538E"/>
    <w:rsid w:val="00AA56D0"/>
    <w:rsid w:val="00AA588E"/>
    <w:rsid w:val="00AA610F"/>
    <w:rsid w:val="00AA685E"/>
    <w:rsid w:val="00AA722B"/>
    <w:rsid w:val="00AA7C9C"/>
    <w:rsid w:val="00AB0C9F"/>
    <w:rsid w:val="00AB0F63"/>
    <w:rsid w:val="00AB143A"/>
    <w:rsid w:val="00AB155C"/>
    <w:rsid w:val="00AB26AF"/>
    <w:rsid w:val="00AB26BF"/>
    <w:rsid w:val="00AB5C84"/>
    <w:rsid w:val="00AB625E"/>
    <w:rsid w:val="00AB68F9"/>
    <w:rsid w:val="00AB717A"/>
    <w:rsid w:val="00AB7274"/>
    <w:rsid w:val="00AB7E96"/>
    <w:rsid w:val="00AC003B"/>
    <w:rsid w:val="00AC003C"/>
    <w:rsid w:val="00AC0103"/>
    <w:rsid w:val="00AC011A"/>
    <w:rsid w:val="00AC1404"/>
    <w:rsid w:val="00AC19AF"/>
    <w:rsid w:val="00AC1A33"/>
    <w:rsid w:val="00AC31E3"/>
    <w:rsid w:val="00AC31EA"/>
    <w:rsid w:val="00AC4881"/>
    <w:rsid w:val="00AD039F"/>
    <w:rsid w:val="00AD0F88"/>
    <w:rsid w:val="00AD3902"/>
    <w:rsid w:val="00AD3A93"/>
    <w:rsid w:val="00AD3C07"/>
    <w:rsid w:val="00AD57F8"/>
    <w:rsid w:val="00AD5833"/>
    <w:rsid w:val="00AD6010"/>
    <w:rsid w:val="00AD694D"/>
    <w:rsid w:val="00AE02FC"/>
    <w:rsid w:val="00AE22EA"/>
    <w:rsid w:val="00AE33FF"/>
    <w:rsid w:val="00AE4B14"/>
    <w:rsid w:val="00AE564D"/>
    <w:rsid w:val="00AE5E94"/>
    <w:rsid w:val="00AE741F"/>
    <w:rsid w:val="00AE7A0A"/>
    <w:rsid w:val="00AF026B"/>
    <w:rsid w:val="00AF02BF"/>
    <w:rsid w:val="00AF03A2"/>
    <w:rsid w:val="00AF06D5"/>
    <w:rsid w:val="00AF09A7"/>
    <w:rsid w:val="00AF09DD"/>
    <w:rsid w:val="00AF18EB"/>
    <w:rsid w:val="00AF246B"/>
    <w:rsid w:val="00AF26B5"/>
    <w:rsid w:val="00AF2737"/>
    <w:rsid w:val="00AF31C3"/>
    <w:rsid w:val="00AF389D"/>
    <w:rsid w:val="00AF419A"/>
    <w:rsid w:val="00AF5B2F"/>
    <w:rsid w:val="00AF712A"/>
    <w:rsid w:val="00AF7DB4"/>
    <w:rsid w:val="00AF7E69"/>
    <w:rsid w:val="00B01A94"/>
    <w:rsid w:val="00B02629"/>
    <w:rsid w:val="00B02655"/>
    <w:rsid w:val="00B05102"/>
    <w:rsid w:val="00B06130"/>
    <w:rsid w:val="00B06A4E"/>
    <w:rsid w:val="00B079F9"/>
    <w:rsid w:val="00B07FED"/>
    <w:rsid w:val="00B10263"/>
    <w:rsid w:val="00B10376"/>
    <w:rsid w:val="00B10D36"/>
    <w:rsid w:val="00B11C26"/>
    <w:rsid w:val="00B11DEE"/>
    <w:rsid w:val="00B122FE"/>
    <w:rsid w:val="00B12661"/>
    <w:rsid w:val="00B1348E"/>
    <w:rsid w:val="00B13AEC"/>
    <w:rsid w:val="00B142AA"/>
    <w:rsid w:val="00B149C1"/>
    <w:rsid w:val="00B14BD1"/>
    <w:rsid w:val="00B14BDB"/>
    <w:rsid w:val="00B14F10"/>
    <w:rsid w:val="00B15761"/>
    <w:rsid w:val="00B15F5A"/>
    <w:rsid w:val="00B16A34"/>
    <w:rsid w:val="00B2042B"/>
    <w:rsid w:val="00B213F2"/>
    <w:rsid w:val="00B217D6"/>
    <w:rsid w:val="00B24FAF"/>
    <w:rsid w:val="00B25453"/>
    <w:rsid w:val="00B25E56"/>
    <w:rsid w:val="00B25ED6"/>
    <w:rsid w:val="00B3057E"/>
    <w:rsid w:val="00B311D2"/>
    <w:rsid w:val="00B31B9C"/>
    <w:rsid w:val="00B32EB0"/>
    <w:rsid w:val="00B33653"/>
    <w:rsid w:val="00B33FCC"/>
    <w:rsid w:val="00B34454"/>
    <w:rsid w:val="00B34D6C"/>
    <w:rsid w:val="00B3538D"/>
    <w:rsid w:val="00B35559"/>
    <w:rsid w:val="00B3559C"/>
    <w:rsid w:val="00B35E30"/>
    <w:rsid w:val="00B369A3"/>
    <w:rsid w:val="00B3725B"/>
    <w:rsid w:val="00B40C94"/>
    <w:rsid w:val="00B4118A"/>
    <w:rsid w:val="00B41799"/>
    <w:rsid w:val="00B4186F"/>
    <w:rsid w:val="00B41B63"/>
    <w:rsid w:val="00B4252B"/>
    <w:rsid w:val="00B4696B"/>
    <w:rsid w:val="00B46DC9"/>
    <w:rsid w:val="00B47CC6"/>
    <w:rsid w:val="00B5001E"/>
    <w:rsid w:val="00B505B6"/>
    <w:rsid w:val="00B5256C"/>
    <w:rsid w:val="00B53117"/>
    <w:rsid w:val="00B5384F"/>
    <w:rsid w:val="00B54421"/>
    <w:rsid w:val="00B552E3"/>
    <w:rsid w:val="00B5544F"/>
    <w:rsid w:val="00B55E5D"/>
    <w:rsid w:val="00B55EA9"/>
    <w:rsid w:val="00B56826"/>
    <w:rsid w:val="00B56FF7"/>
    <w:rsid w:val="00B57170"/>
    <w:rsid w:val="00B577A8"/>
    <w:rsid w:val="00B577EA"/>
    <w:rsid w:val="00B577FF"/>
    <w:rsid w:val="00B60314"/>
    <w:rsid w:val="00B60A36"/>
    <w:rsid w:val="00B61155"/>
    <w:rsid w:val="00B6285D"/>
    <w:rsid w:val="00B64A61"/>
    <w:rsid w:val="00B65540"/>
    <w:rsid w:val="00B66867"/>
    <w:rsid w:val="00B66994"/>
    <w:rsid w:val="00B66EF5"/>
    <w:rsid w:val="00B6766D"/>
    <w:rsid w:val="00B679E4"/>
    <w:rsid w:val="00B67D62"/>
    <w:rsid w:val="00B67FA7"/>
    <w:rsid w:val="00B70757"/>
    <w:rsid w:val="00B7079D"/>
    <w:rsid w:val="00B707FE"/>
    <w:rsid w:val="00B71A1E"/>
    <w:rsid w:val="00B71AFB"/>
    <w:rsid w:val="00B71C42"/>
    <w:rsid w:val="00B71F3A"/>
    <w:rsid w:val="00B73748"/>
    <w:rsid w:val="00B73C97"/>
    <w:rsid w:val="00B74107"/>
    <w:rsid w:val="00B74895"/>
    <w:rsid w:val="00B7619A"/>
    <w:rsid w:val="00B76340"/>
    <w:rsid w:val="00B76A88"/>
    <w:rsid w:val="00B80C43"/>
    <w:rsid w:val="00B80DF0"/>
    <w:rsid w:val="00B815B2"/>
    <w:rsid w:val="00B81816"/>
    <w:rsid w:val="00B821F8"/>
    <w:rsid w:val="00B8264D"/>
    <w:rsid w:val="00B836F5"/>
    <w:rsid w:val="00B85B4E"/>
    <w:rsid w:val="00B85E48"/>
    <w:rsid w:val="00B8608E"/>
    <w:rsid w:val="00B8623A"/>
    <w:rsid w:val="00B868E2"/>
    <w:rsid w:val="00B87B2F"/>
    <w:rsid w:val="00B87B6D"/>
    <w:rsid w:val="00B87E7C"/>
    <w:rsid w:val="00B87EAE"/>
    <w:rsid w:val="00B905F8"/>
    <w:rsid w:val="00B91530"/>
    <w:rsid w:val="00B92D7C"/>
    <w:rsid w:val="00B934DD"/>
    <w:rsid w:val="00B9355C"/>
    <w:rsid w:val="00B94786"/>
    <w:rsid w:val="00B94AB5"/>
    <w:rsid w:val="00B9551C"/>
    <w:rsid w:val="00B95C96"/>
    <w:rsid w:val="00B9607E"/>
    <w:rsid w:val="00B9671E"/>
    <w:rsid w:val="00B97256"/>
    <w:rsid w:val="00BA081B"/>
    <w:rsid w:val="00BA0AC0"/>
    <w:rsid w:val="00BA0D64"/>
    <w:rsid w:val="00BA202C"/>
    <w:rsid w:val="00BA2431"/>
    <w:rsid w:val="00BA2A57"/>
    <w:rsid w:val="00BA2B9C"/>
    <w:rsid w:val="00BA2DB3"/>
    <w:rsid w:val="00BA4324"/>
    <w:rsid w:val="00BA44ED"/>
    <w:rsid w:val="00BA44F9"/>
    <w:rsid w:val="00BA5663"/>
    <w:rsid w:val="00BA68A6"/>
    <w:rsid w:val="00BA7631"/>
    <w:rsid w:val="00BA7678"/>
    <w:rsid w:val="00BA7715"/>
    <w:rsid w:val="00BA774F"/>
    <w:rsid w:val="00BA78B6"/>
    <w:rsid w:val="00BA79B5"/>
    <w:rsid w:val="00BA7DE9"/>
    <w:rsid w:val="00BB0016"/>
    <w:rsid w:val="00BB0283"/>
    <w:rsid w:val="00BB0EEE"/>
    <w:rsid w:val="00BB0FE5"/>
    <w:rsid w:val="00BB19A9"/>
    <w:rsid w:val="00BB1FBA"/>
    <w:rsid w:val="00BB20BA"/>
    <w:rsid w:val="00BB26AD"/>
    <w:rsid w:val="00BB30B5"/>
    <w:rsid w:val="00BB3520"/>
    <w:rsid w:val="00BB3D25"/>
    <w:rsid w:val="00BB5E21"/>
    <w:rsid w:val="00BB64E9"/>
    <w:rsid w:val="00BB6D2B"/>
    <w:rsid w:val="00BB79BD"/>
    <w:rsid w:val="00BC10E6"/>
    <w:rsid w:val="00BC1111"/>
    <w:rsid w:val="00BC2846"/>
    <w:rsid w:val="00BC3516"/>
    <w:rsid w:val="00BC55A3"/>
    <w:rsid w:val="00BC666B"/>
    <w:rsid w:val="00BC7208"/>
    <w:rsid w:val="00BD0B48"/>
    <w:rsid w:val="00BD0F16"/>
    <w:rsid w:val="00BD1E24"/>
    <w:rsid w:val="00BD2910"/>
    <w:rsid w:val="00BD2A0A"/>
    <w:rsid w:val="00BD2EB1"/>
    <w:rsid w:val="00BD3653"/>
    <w:rsid w:val="00BD4031"/>
    <w:rsid w:val="00BD462E"/>
    <w:rsid w:val="00BD476A"/>
    <w:rsid w:val="00BD4CE7"/>
    <w:rsid w:val="00BD57D9"/>
    <w:rsid w:val="00BD5D0F"/>
    <w:rsid w:val="00BD6DEE"/>
    <w:rsid w:val="00BD75BA"/>
    <w:rsid w:val="00BD761A"/>
    <w:rsid w:val="00BD7C68"/>
    <w:rsid w:val="00BE08AA"/>
    <w:rsid w:val="00BE0CC9"/>
    <w:rsid w:val="00BE127E"/>
    <w:rsid w:val="00BE15B2"/>
    <w:rsid w:val="00BE1C0A"/>
    <w:rsid w:val="00BE1CBC"/>
    <w:rsid w:val="00BE1F49"/>
    <w:rsid w:val="00BE29DC"/>
    <w:rsid w:val="00BE2BBB"/>
    <w:rsid w:val="00BE4EB6"/>
    <w:rsid w:val="00BE5393"/>
    <w:rsid w:val="00BE5C7D"/>
    <w:rsid w:val="00BE6BD1"/>
    <w:rsid w:val="00BF0B6E"/>
    <w:rsid w:val="00BF16CE"/>
    <w:rsid w:val="00BF1EA0"/>
    <w:rsid w:val="00BF697A"/>
    <w:rsid w:val="00BF6ADB"/>
    <w:rsid w:val="00BF6D5A"/>
    <w:rsid w:val="00BF7E86"/>
    <w:rsid w:val="00C002D3"/>
    <w:rsid w:val="00C02209"/>
    <w:rsid w:val="00C0223F"/>
    <w:rsid w:val="00C03613"/>
    <w:rsid w:val="00C03776"/>
    <w:rsid w:val="00C03964"/>
    <w:rsid w:val="00C03E66"/>
    <w:rsid w:val="00C04B9F"/>
    <w:rsid w:val="00C074D9"/>
    <w:rsid w:val="00C0753E"/>
    <w:rsid w:val="00C0767D"/>
    <w:rsid w:val="00C10A86"/>
    <w:rsid w:val="00C1164F"/>
    <w:rsid w:val="00C12078"/>
    <w:rsid w:val="00C1249D"/>
    <w:rsid w:val="00C129DB"/>
    <w:rsid w:val="00C13821"/>
    <w:rsid w:val="00C13A14"/>
    <w:rsid w:val="00C14051"/>
    <w:rsid w:val="00C15F73"/>
    <w:rsid w:val="00C173A7"/>
    <w:rsid w:val="00C2037B"/>
    <w:rsid w:val="00C20A11"/>
    <w:rsid w:val="00C20AD4"/>
    <w:rsid w:val="00C21039"/>
    <w:rsid w:val="00C2222C"/>
    <w:rsid w:val="00C22ED9"/>
    <w:rsid w:val="00C22FF7"/>
    <w:rsid w:val="00C23DC9"/>
    <w:rsid w:val="00C25F93"/>
    <w:rsid w:val="00C26391"/>
    <w:rsid w:val="00C26404"/>
    <w:rsid w:val="00C27A2F"/>
    <w:rsid w:val="00C27F75"/>
    <w:rsid w:val="00C27F76"/>
    <w:rsid w:val="00C30957"/>
    <w:rsid w:val="00C30DA4"/>
    <w:rsid w:val="00C31EF5"/>
    <w:rsid w:val="00C32B74"/>
    <w:rsid w:val="00C33D7F"/>
    <w:rsid w:val="00C3788C"/>
    <w:rsid w:val="00C42133"/>
    <w:rsid w:val="00C427CE"/>
    <w:rsid w:val="00C42E1E"/>
    <w:rsid w:val="00C4337B"/>
    <w:rsid w:val="00C4421F"/>
    <w:rsid w:val="00C44719"/>
    <w:rsid w:val="00C44A9B"/>
    <w:rsid w:val="00C4690E"/>
    <w:rsid w:val="00C46EDD"/>
    <w:rsid w:val="00C474C0"/>
    <w:rsid w:val="00C47566"/>
    <w:rsid w:val="00C47F43"/>
    <w:rsid w:val="00C50108"/>
    <w:rsid w:val="00C51610"/>
    <w:rsid w:val="00C51E37"/>
    <w:rsid w:val="00C51F6A"/>
    <w:rsid w:val="00C5209A"/>
    <w:rsid w:val="00C5211B"/>
    <w:rsid w:val="00C53445"/>
    <w:rsid w:val="00C560BC"/>
    <w:rsid w:val="00C5657A"/>
    <w:rsid w:val="00C57084"/>
    <w:rsid w:val="00C57857"/>
    <w:rsid w:val="00C57D74"/>
    <w:rsid w:val="00C60128"/>
    <w:rsid w:val="00C60ED4"/>
    <w:rsid w:val="00C61FDC"/>
    <w:rsid w:val="00C63F97"/>
    <w:rsid w:val="00C64314"/>
    <w:rsid w:val="00C64DC4"/>
    <w:rsid w:val="00C6572C"/>
    <w:rsid w:val="00C672C4"/>
    <w:rsid w:val="00C674CB"/>
    <w:rsid w:val="00C677C3"/>
    <w:rsid w:val="00C67AC4"/>
    <w:rsid w:val="00C67F27"/>
    <w:rsid w:val="00C708F7"/>
    <w:rsid w:val="00C70CFF"/>
    <w:rsid w:val="00C71011"/>
    <w:rsid w:val="00C71A6A"/>
    <w:rsid w:val="00C72EB9"/>
    <w:rsid w:val="00C74092"/>
    <w:rsid w:val="00C74D18"/>
    <w:rsid w:val="00C75655"/>
    <w:rsid w:val="00C757B8"/>
    <w:rsid w:val="00C75D4E"/>
    <w:rsid w:val="00C761FB"/>
    <w:rsid w:val="00C7672B"/>
    <w:rsid w:val="00C7691A"/>
    <w:rsid w:val="00C76AF3"/>
    <w:rsid w:val="00C76C36"/>
    <w:rsid w:val="00C77A1F"/>
    <w:rsid w:val="00C804C7"/>
    <w:rsid w:val="00C80CA5"/>
    <w:rsid w:val="00C819B7"/>
    <w:rsid w:val="00C81DE1"/>
    <w:rsid w:val="00C8255A"/>
    <w:rsid w:val="00C82FC8"/>
    <w:rsid w:val="00C837C3"/>
    <w:rsid w:val="00C84497"/>
    <w:rsid w:val="00C851E2"/>
    <w:rsid w:val="00C868F6"/>
    <w:rsid w:val="00C86953"/>
    <w:rsid w:val="00C9137C"/>
    <w:rsid w:val="00C91644"/>
    <w:rsid w:val="00C930D3"/>
    <w:rsid w:val="00C9443A"/>
    <w:rsid w:val="00C9663B"/>
    <w:rsid w:val="00CA09C3"/>
    <w:rsid w:val="00CA1356"/>
    <w:rsid w:val="00CA253B"/>
    <w:rsid w:val="00CA269E"/>
    <w:rsid w:val="00CA2E99"/>
    <w:rsid w:val="00CA35C7"/>
    <w:rsid w:val="00CA3669"/>
    <w:rsid w:val="00CA43A5"/>
    <w:rsid w:val="00CA4960"/>
    <w:rsid w:val="00CA5281"/>
    <w:rsid w:val="00CA5FDE"/>
    <w:rsid w:val="00CA72DC"/>
    <w:rsid w:val="00CA7C0B"/>
    <w:rsid w:val="00CA7F1D"/>
    <w:rsid w:val="00CB0C1D"/>
    <w:rsid w:val="00CB0C94"/>
    <w:rsid w:val="00CB18EB"/>
    <w:rsid w:val="00CB18FC"/>
    <w:rsid w:val="00CB19E0"/>
    <w:rsid w:val="00CB2039"/>
    <w:rsid w:val="00CB21D2"/>
    <w:rsid w:val="00CB2301"/>
    <w:rsid w:val="00CB244C"/>
    <w:rsid w:val="00CB2CC4"/>
    <w:rsid w:val="00CB4A4D"/>
    <w:rsid w:val="00CB56AB"/>
    <w:rsid w:val="00CB65BF"/>
    <w:rsid w:val="00CB69D1"/>
    <w:rsid w:val="00CB6E2B"/>
    <w:rsid w:val="00CB6FF7"/>
    <w:rsid w:val="00CB7302"/>
    <w:rsid w:val="00CB792D"/>
    <w:rsid w:val="00CC1E9F"/>
    <w:rsid w:val="00CC4780"/>
    <w:rsid w:val="00CC4C3C"/>
    <w:rsid w:val="00CC4D69"/>
    <w:rsid w:val="00CC5850"/>
    <w:rsid w:val="00CC5896"/>
    <w:rsid w:val="00CC5F14"/>
    <w:rsid w:val="00CC6F89"/>
    <w:rsid w:val="00CC72D5"/>
    <w:rsid w:val="00CC7368"/>
    <w:rsid w:val="00CD045F"/>
    <w:rsid w:val="00CD12FE"/>
    <w:rsid w:val="00CD2B54"/>
    <w:rsid w:val="00CD4158"/>
    <w:rsid w:val="00CD50AF"/>
    <w:rsid w:val="00CD5A0D"/>
    <w:rsid w:val="00CD5A37"/>
    <w:rsid w:val="00CD674A"/>
    <w:rsid w:val="00CD7D63"/>
    <w:rsid w:val="00CE0C35"/>
    <w:rsid w:val="00CE3433"/>
    <w:rsid w:val="00CE3810"/>
    <w:rsid w:val="00CE3A1B"/>
    <w:rsid w:val="00CE4EA8"/>
    <w:rsid w:val="00CE52B4"/>
    <w:rsid w:val="00CE59BB"/>
    <w:rsid w:val="00CE5DCD"/>
    <w:rsid w:val="00CE6E0B"/>
    <w:rsid w:val="00CE701C"/>
    <w:rsid w:val="00CE7599"/>
    <w:rsid w:val="00CE77E3"/>
    <w:rsid w:val="00CF2095"/>
    <w:rsid w:val="00CF414A"/>
    <w:rsid w:val="00CF47E1"/>
    <w:rsid w:val="00CF4892"/>
    <w:rsid w:val="00CF4E3B"/>
    <w:rsid w:val="00CF4FF0"/>
    <w:rsid w:val="00CF57B0"/>
    <w:rsid w:val="00CF5B47"/>
    <w:rsid w:val="00CF607B"/>
    <w:rsid w:val="00CF6869"/>
    <w:rsid w:val="00D01248"/>
    <w:rsid w:val="00D013CF"/>
    <w:rsid w:val="00D024F3"/>
    <w:rsid w:val="00D02B7D"/>
    <w:rsid w:val="00D03946"/>
    <w:rsid w:val="00D04908"/>
    <w:rsid w:val="00D04ACF"/>
    <w:rsid w:val="00D04FDD"/>
    <w:rsid w:val="00D05130"/>
    <w:rsid w:val="00D051A1"/>
    <w:rsid w:val="00D079B4"/>
    <w:rsid w:val="00D07BE6"/>
    <w:rsid w:val="00D1003F"/>
    <w:rsid w:val="00D104F9"/>
    <w:rsid w:val="00D1141D"/>
    <w:rsid w:val="00D12DD6"/>
    <w:rsid w:val="00D13ABF"/>
    <w:rsid w:val="00D14323"/>
    <w:rsid w:val="00D1581D"/>
    <w:rsid w:val="00D15D9F"/>
    <w:rsid w:val="00D16008"/>
    <w:rsid w:val="00D166D4"/>
    <w:rsid w:val="00D2099C"/>
    <w:rsid w:val="00D20D57"/>
    <w:rsid w:val="00D21A13"/>
    <w:rsid w:val="00D22631"/>
    <w:rsid w:val="00D22C07"/>
    <w:rsid w:val="00D241FB"/>
    <w:rsid w:val="00D25369"/>
    <w:rsid w:val="00D2537E"/>
    <w:rsid w:val="00D255DC"/>
    <w:rsid w:val="00D263ED"/>
    <w:rsid w:val="00D2656C"/>
    <w:rsid w:val="00D27D78"/>
    <w:rsid w:val="00D30254"/>
    <w:rsid w:val="00D3058C"/>
    <w:rsid w:val="00D30954"/>
    <w:rsid w:val="00D324D4"/>
    <w:rsid w:val="00D329A2"/>
    <w:rsid w:val="00D33768"/>
    <w:rsid w:val="00D33D87"/>
    <w:rsid w:val="00D34C7A"/>
    <w:rsid w:val="00D34F4A"/>
    <w:rsid w:val="00D35077"/>
    <w:rsid w:val="00D35A6E"/>
    <w:rsid w:val="00D365A7"/>
    <w:rsid w:val="00D3783A"/>
    <w:rsid w:val="00D408A8"/>
    <w:rsid w:val="00D40B27"/>
    <w:rsid w:val="00D40B57"/>
    <w:rsid w:val="00D41458"/>
    <w:rsid w:val="00D415D6"/>
    <w:rsid w:val="00D41844"/>
    <w:rsid w:val="00D41A9C"/>
    <w:rsid w:val="00D43DC1"/>
    <w:rsid w:val="00D44A7C"/>
    <w:rsid w:val="00D45204"/>
    <w:rsid w:val="00D45A36"/>
    <w:rsid w:val="00D45DD3"/>
    <w:rsid w:val="00D4647A"/>
    <w:rsid w:val="00D46DAE"/>
    <w:rsid w:val="00D50721"/>
    <w:rsid w:val="00D51346"/>
    <w:rsid w:val="00D51C8F"/>
    <w:rsid w:val="00D5204B"/>
    <w:rsid w:val="00D525BB"/>
    <w:rsid w:val="00D528B0"/>
    <w:rsid w:val="00D53460"/>
    <w:rsid w:val="00D537F0"/>
    <w:rsid w:val="00D54C10"/>
    <w:rsid w:val="00D54CED"/>
    <w:rsid w:val="00D55191"/>
    <w:rsid w:val="00D55CD0"/>
    <w:rsid w:val="00D57275"/>
    <w:rsid w:val="00D57544"/>
    <w:rsid w:val="00D57973"/>
    <w:rsid w:val="00D60704"/>
    <w:rsid w:val="00D60CE2"/>
    <w:rsid w:val="00D612EC"/>
    <w:rsid w:val="00D6153E"/>
    <w:rsid w:val="00D61B65"/>
    <w:rsid w:val="00D623C4"/>
    <w:rsid w:val="00D62932"/>
    <w:rsid w:val="00D62CE8"/>
    <w:rsid w:val="00D63D04"/>
    <w:rsid w:val="00D669D3"/>
    <w:rsid w:val="00D676E9"/>
    <w:rsid w:val="00D70126"/>
    <w:rsid w:val="00D701BA"/>
    <w:rsid w:val="00D70501"/>
    <w:rsid w:val="00D7065C"/>
    <w:rsid w:val="00D722DF"/>
    <w:rsid w:val="00D72A2E"/>
    <w:rsid w:val="00D741FF"/>
    <w:rsid w:val="00D74834"/>
    <w:rsid w:val="00D7560E"/>
    <w:rsid w:val="00D7603A"/>
    <w:rsid w:val="00D769B9"/>
    <w:rsid w:val="00D77699"/>
    <w:rsid w:val="00D77A55"/>
    <w:rsid w:val="00D807D4"/>
    <w:rsid w:val="00D808E4"/>
    <w:rsid w:val="00D81C1D"/>
    <w:rsid w:val="00D8223C"/>
    <w:rsid w:val="00D83F48"/>
    <w:rsid w:val="00D84675"/>
    <w:rsid w:val="00D8526A"/>
    <w:rsid w:val="00D86252"/>
    <w:rsid w:val="00D86EF5"/>
    <w:rsid w:val="00D87995"/>
    <w:rsid w:val="00D87CC5"/>
    <w:rsid w:val="00D90F0C"/>
    <w:rsid w:val="00D917F3"/>
    <w:rsid w:val="00D93DF5"/>
    <w:rsid w:val="00D95091"/>
    <w:rsid w:val="00D95AF4"/>
    <w:rsid w:val="00D95CB0"/>
    <w:rsid w:val="00D96D38"/>
    <w:rsid w:val="00D973B2"/>
    <w:rsid w:val="00D97BAA"/>
    <w:rsid w:val="00DA0435"/>
    <w:rsid w:val="00DA073B"/>
    <w:rsid w:val="00DA0773"/>
    <w:rsid w:val="00DA0DED"/>
    <w:rsid w:val="00DA1144"/>
    <w:rsid w:val="00DA1902"/>
    <w:rsid w:val="00DA33BA"/>
    <w:rsid w:val="00DA3AF3"/>
    <w:rsid w:val="00DA495A"/>
    <w:rsid w:val="00DA4C31"/>
    <w:rsid w:val="00DA517F"/>
    <w:rsid w:val="00DA544F"/>
    <w:rsid w:val="00DA5455"/>
    <w:rsid w:val="00DA57F0"/>
    <w:rsid w:val="00DA5C2B"/>
    <w:rsid w:val="00DA648B"/>
    <w:rsid w:val="00DA6C17"/>
    <w:rsid w:val="00DA6F07"/>
    <w:rsid w:val="00DB1369"/>
    <w:rsid w:val="00DB169E"/>
    <w:rsid w:val="00DB20DA"/>
    <w:rsid w:val="00DB3E83"/>
    <w:rsid w:val="00DB422A"/>
    <w:rsid w:val="00DB4754"/>
    <w:rsid w:val="00DB5541"/>
    <w:rsid w:val="00DB5DF2"/>
    <w:rsid w:val="00DB5EFB"/>
    <w:rsid w:val="00DB6CB7"/>
    <w:rsid w:val="00DB6E0D"/>
    <w:rsid w:val="00DB6EF1"/>
    <w:rsid w:val="00DB6F95"/>
    <w:rsid w:val="00DB71D6"/>
    <w:rsid w:val="00DB7732"/>
    <w:rsid w:val="00DB77E3"/>
    <w:rsid w:val="00DC0893"/>
    <w:rsid w:val="00DC09FB"/>
    <w:rsid w:val="00DC19BB"/>
    <w:rsid w:val="00DC2172"/>
    <w:rsid w:val="00DC4D3A"/>
    <w:rsid w:val="00DC5574"/>
    <w:rsid w:val="00DC6404"/>
    <w:rsid w:val="00DC6690"/>
    <w:rsid w:val="00DC72B1"/>
    <w:rsid w:val="00DC7375"/>
    <w:rsid w:val="00DC7B30"/>
    <w:rsid w:val="00DD0B35"/>
    <w:rsid w:val="00DD113B"/>
    <w:rsid w:val="00DD1381"/>
    <w:rsid w:val="00DD215C"/>
    <w:rsid w:val="00DD2CC2"/>
    <w:rsid w:val="00DD3D8D"/>
    <w:rsid w:val="00DD4237"/>
    <w:rsid w:val="00DD4818"/>
    <w:rsid w:val="00DD48EF"/>
    <w:rsid w:val="00DD54E7"/>
    <w:rsid w:val="00DD57B3"/>
    <w:rsid w:val="00DD5848"/>
    <w:rsid w:val="00DD5D3F"/>
    <w:rsid w:val="00DD613D"/>
    <w:rsid w:val="00DD64C5"/>
    <w:rsid w:val="00DD701A"/>
    <w:rsid w:val="00DD7ABC"/>
    <w:rsid w:val="00DD7FDF"/>
    <w:rsid w:val="00DE0758"/>
    <w:rsid w:val="00DE0776"/>
    <w:rsid w:val="00DE0B09"/>
    <w:rsid w:val="00DE1703"/>
    <w:rsid w:val="00DE25AC"/>
    <w:rsid w:val="00DE2693"/>
    <w:rsid w:val="00DE2A15"/>
    <w:rsid w:val="00DE44FD"/>
    <w:rsid w:val="00DE4556"/>
    <w:rsid w:val="00DE6531"/>
    <w:rsid w:val="00DE6744"/>
    <w:rsid w:val="00DE77FA"/>
    <w:rsid w:val="00DE7FB8"/>
    <w:rsid w:val="00DF03CC"/>
    <w:rsid w:val="00DF049A"/>
    <w:rsid w:val="00DF0B85"/>
    <w:rsid w:val="00DF212C"/>
    <w:rsid w:val="00DF2402"/>
    <w:rsid w:val="00DF2791"/>
    <w:rsid w:val="00DF27D4"/>
    <w:rsid w:val="00DF3626"/>
    <w:rsid w:val="00DF3CB5"/>
    <w:rsid w:val="00DF568D"/>
    <w:rsid w:val="00DF57D7"/>
    <w:rsid w:val="00DF58CA"/>
    <w:rsid w:val="00DF5E93"/>
    <w:rsid w:val="00DF67D2"/>
    <w:rsid w:val="00DF7069"/>
    <w:rsid w:val="00E0055D"/>
    <w:rsid w:val="00E00C1D"/>
    <w:rsid w:val="00E00CCB"/>
    <w:rsid w:val="00E025DB"/>
    <w:rsid w:val="00E03206"/>
    <w:rsid w:val="00E0324B"/>
    <w:rsid w:val="00E042C7"/>
    <w:rsid w:val="00E0498B"/>
    <w:rsid w:val="00E04A2A"/>
    <w:rsid w:val="00E04B43"/>
    <w:rsid w:val="00E0558B"/>
    <w:rsid w:val="00E057F8"/>
    <w:rsid w:val="00E0781A"/>
    <w:rsid w:val="00E10048"/>
    <w:rsid w:val="00E10B7B"/>
    <w:rsid w:val="00E11475"/>
    <w:rsid w:val="00E116C5"/>
    <w:rsid w:val="00E12A46"/>
    <w:rsid w:val="00E12E2E"/>
    <w:rsid w:val="00E13A0A"/>
    <w:rsid w:val="00E13E04"/>
    <w:rsid w:val="00E1419D"/>
    <w:rsid w:val="00E149C5"/>
    <w:rsid w:val="00E15C62"/>
    <w:rsid w:val="00E15F53"/>
    <w:rsid w:val="00E167D3"/>
    <w:rsid w:val="00E175A7"/>
    <w:rsid w:val="00E20168"/>
    <w:rsid w:val="00E20740"/>
    <w:rsid w:val="00E20E92"/>
    <w:rsid w:val="00E245DA"/>
    <w:rsid w:val="00E24645"/>
    <w:rsid w:val="00E24817"/>
    <w:rsid w:val="00E24A2B"/>
    <w:rsid w:val="00E25496"/>
    <w:rsid w:val="00E256BD"/>
    <w:rsid w:val="00E260C5"/>
    <w:rsid w:val="00E27151"/>
    <w:rsid w:val="00E27177"/>
    <w:rsid w:val="00E274B5"/>
    <w:rsid w:val="00E27945"/>
    <w:rsid w:val="00E31BCB"/>
    <w:rsid w:val="00E31BD0"/>
    <w:rsid w:val="00E32963"/>
    <w:rsid w:val="00E337BC"/>
    <w:rsid w:val="00E33F37"/>
    <w:rsid w:val="00E350CD"/>
    <w:rsid w:val="00E352B0"/>
    <w:rsid w:val="00E35915"/>
    <w:rsid w:val="00E372A9"/>
    <w:rsid w:val="00E4001B"/>
    <w:rsid w:val="00E43094"/>
    <w:rsid w:val="00E43E14"/>
    <w:rsid w:val="00E4448C"/>
    <w:rsid w:val="00E45A4C"/>
    <w:rsid w:val="00E46123"/>
    <w:rsid w:val="00E461C0"/>
    <w:rsid w:val="00E47262"/>
    <w:rsid w:val="00E50B9E"/>
    <w:rsid w:val="00E50E3D"/>
    <w:rsid w:val="00E50E44"/>
    <w:rsid w:val="00E50F64"/>
    <w:rsid w:val="00E51E10"/>
    <w:rsid w:val="00E51FDE"/>
    <w:rsid w:val="00E52A0A"/>
    <w:rsid w:val="00E534B2"/>
    <w:rsid w:val="00E53759"/>
    <w:rsid w:val="00E55B3A"/>
    <w:rsid w:val="00E562DB"/>
    <w:rsid w:val="00E5659E"/>
    <w:rsid w:val="00E567DA"/>
    <w:rsid w:val="00E568DA"/>
    <w:rsid w:val="00E56B66"/>
    <w:rsid w:val="00E579AF"/>
    <w:rsid w:val="00E57CF3"/>
    <w:rsid w:val="00E60545"/>
    <w:rsid w:val="00E6066A"/>
    <w:rsid w:val="00E60920"/>
    <w:rsid w:val="00E609AD"/>
    <w:rsid w:val="00E609DF"/>
    <w:rsid w:val="00E622CC"/>
    <w:rsid w:val="00E62523"/>
    <w:rsid w:val="00E639E9"/>
    <w:rsid w:val="00E63D14"/>
    <w:rsid w:val="00E63E28"/>
    <w:rsid w:val="00E643AA"/>
    <w:rsid w:val="00E64563"/>
    <w:rsid w:val="00E6468A"/>
    <w:rsid w:val="00E64A63"/>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1B1A"/>
    <w:rsid w:val="00E81DD4"/>
    <w:rsid w:val="00E822CB"/>
    <w:rsid w:val="00E84FB3"/>
    <w:rsid w:val="00E86A3E"/>
    <w:rsid w:val="00E87037"/>
    <w:rsid w:val="00E9144E"/>
    <w:rsid w:val="00E91C0E"/>
    <w:rsid w:val="00E92D60"/>
    <w:rsid w:val="00E940E0"/>
    <w:rsid w:val="00E964CA"/>
    <w:rsid w:val="00E96D70"/>
    <w:rsid w:val="00E9767C"/>
    <w:rsid w:val="00E97ED0"/>
    <w:rsid w:val="00EA0F03"/>
    <w:rsid w:val="00EA1028"/>
    <w:rsid w:val="00EA1EF9"/>
    <w:rsid w:val="00EA2CA0"/>
    <w:rsid w:val="00EA2CBA"/>
    <w:rsid w:val="00EA3031"/>
    <w:rsid w:val="00EA3C3F"/>
    <w:rsid w:val="00EA45CF"/>
    <w:rsid w:val="00EA60B4"/>
    <w:rsid w:val="00EA6F81"/>
    <w:rsid w:val="00EA7237"/>
    <w:rsid w:val="00EB0468"/>
    <w:rsid w:val="00EB055B"/>
    <w:rsid w:val="00EB0A51"/>
    <w:rsid w:val="00EB0DC2"/>
    <w:rsid w:val="00EB112A"/>
    <w:rsid w:val="00EB27AC"/>
    <w:rsid w:val="00EB2FE6"/>
    <w:rsid w:val="00EB47AB"/>
    <w:rsid w:val="00EB57D6"/>
    <w:rsid w:val="00EB6050"/>
    <w:rsid w:val="00EB67F6"/>
    <w:rsid w:val="00EB7AFB"/>
    <w:rsid w:val="00EC103A"/>
    <w:rsid w:val="00EC1212"/>
    <w:rsid w:val="00EC1D3D"/>
    <w:rsid w:val="00EC2922"/>
    <w:rsid w:val="00EC3151"/>
    <w:rsid w:val="00EC32AE"/>
    <w:rsid w:val="00EC3331"/>
    <w:rsid w:val="00EC518F"/>
    <w:rsid w:val="00EC5B5B"/>
    <w:rsid w:val="00EC677E"/>
    <w:rsid w:val="00EC6920"/>
    <w:rsid w:val="00EC7071"/>
    <w:rsid w:val="00EC7E67"/>
    <w:rsid w:val="00ED0903"/>
    <w:rsid w:val="00ED0DF3"/>
    <w:rsid w:val="00ED1D36"/>
    <w:rsid w:val="00ED1F5D"/>
    <w:rsid w:val="00ED2781"/>
    <w:rsid w:val="00ED3143"/>
    <w:rsid w:val="00ED3E97"/>
    <w:rsid w:val="00ED3F10"/>
    <w:rsid w:val="00ED4716"/>
    <w:rsid w:val="00ED4CE6"/>
    <w:rsid w:val="00ED5536"/>
    <w:rsid w:val="00ED56CF"/>
    <w:rsid w:val="00ED5B5C"/>
    <w:rsid w:val="00ED60FB"/>
    <w:rsid w:val="00ED6B5A"/>
    <w:rsid w:val="00ED70BD"/>
    <w:rsid w:val="00ED7934"/>
    <w:rsid w:val="00EE0B3E"/>
    <w:rsid w:val="00EE0C21"/>
    <w:rsid w:val="00EE1208"/>
    <w:rsid w:val="00EE1FD6"/>
    <w:rsid w:val="00EE2FD8"/>
    <w:rsid w:val="00EE37BB"/>
    <w:rsid w:val="00EE37C3"/>
    <w:rsid w:val="00EE3839"/>
    <w:rsid w:val="00EE4B1B"/>
    <w:rsid w:val="00EE6F59"/>
    <w:rsid w:val="00EE77D3"/>
    <w:rsid w:val="00EF063D"/>
    <w:rsid w:val="00EF0C6F"/>
    <w:rsid w:val="00EF1BE1"/>
    <w:rsid w:val="00EF3F1B"/>
    <w:rsid w:val="00EF4058"/>
    <w:rsid w:val="00EF4099"/>
    <w:rsid w:val="00EF4F82"/>
    <w:rsid w:val="00EF523D"/>
    <w:rsid w:val="00EF59CA"/>
    <w:rsid w:val="00EF6BDC"/>
    <w:rsid w:val="00F0190F"/>
    <w:rsid w:val="00F01C4C"/>
    <w:rsid w:val="00F025BB"/>
    <w:rsid w:val="00F02786"/>
    <w:rsid w:val="00F030FD"/>
    <w:rsid w:val="00F0434F"/>
    <w:rsid w:val="00F05D0A"/>
    <w:rsid w:val="00F0670F"/>
    <w:rsid w:val="00F0692E"/>
    <w:rsid w:val="00F06A1F"/>
    <w:rsid w:val="00F07FA6"/>
    <w:rsid w:val="00F114FD"/>
    <w:rsid w:val="00F11BB3"/>
    <w:rsid w:val="00F1229E"/>
    <w:rsid w:val="00F13036"/>
    <w:rsid w:val="00F1373B"/>
    <w:rsid w:val="00F13D0B"/>
    <w:rsid w:val="00F142CF"/>
    <w:rsid w:val="00F15C3C"/>
    <w:rsid w:val="00F2127D"/>
    <w:rsid w:val="00F215DE"/>
    <w:rsid w:val="00F21D1A"/>
    <w:rsid w:val="00F22865"/>
    <w:rsid w:val="00F244C9"/>
    <w:rsid w:val="00F24BF5"/>
    <w:rsid w:val="00F24D75"/>
    <w:rsid w:val="00F261E3"/>
    <w:rsid w:val="00F26E54"/>
    <w:rsid w:val="00F30EB3"/>
    <w:rsid w:val="00F30F90"/>
    <w:rsid w:val="00F32E80"/>
    <w:rsid w:val="00F34B2F"/>
    <w:rsid w:val="00F34F33"/>
    <w:rsid w:val="00F36588"/>
    <w:rsid w:val="00F366D8"/>
    <w:rsid w:val="00F36D1F"/>
    <w:rsid w:val="00F3769E"/>
    <w:rsid w:val="00F379BA"/>
    <w:rsid w:val="00F40F06"/>
    <w:rsid w:val="00F41172"/>
    <w:rsid w:val="00F41F8F"/>
    <w:rsid w:val="00F42669"/>
    <w:rsid w:val="00F4374F"/>
    <w:rsid w:val="00F46A6E"/>
    <w:rsid w:val="00F47128"/>
    <w:rsid w:val="00F4749B"/>
    <w:rsid w:val="00F47DAC"/>
    <w:rsid w:val="00F514FB"/>
    <w:rsid w:val="00F523E8"/>
    <w:rsid w:val="00F52B73"/>
    <w:rsid w:val="00F54F4B"/>
    <w:rsid w:val="00F56A79"/>
    <w:rsid w:val="00F56CE9"/>
    <w:rsid w:val="00F60793"/>
    <w:rsid w:val="00F60960"/>
    <w:rsid w:val="00F609A9"/>
    <w:rsid w:val="00F61151"/>
    <w:rsid w:val="00F61D83"/>
    <w:rsid w:val="00F63723"/>
    <w:rsid w:val="00F64E44"/>
    <w:rsid w:val="00F64ECE"/>
    <w:rsid w:val="00F66F0F"/>
    <w:rsid w:val="00F66F2A"/>
    <w:rsid w:val="00F677C5"/>
    <w:rsid w:val="00F67B6E"/>
    <w:rsid w:val="00F7174B"/>
    <w:rsid w:val="00F72A85"/>
    <w:rsid w:val="00F73525"/>
    <w:rsid w:val="00F746DF"/>
    <w:rsid w:val="00F77765"/>
    <w:rsid w:val="00F77907"/>
    <w:rsid w:val="00F77EC3"/>
    <w:rsid w:val="00F8049C"/>
    <w:rsid w:val="00F816B4"/>
    <w:rsid w:val="00F823C6"/>
    <w:rsid w:val="00F825CD"/>
    <w:rsid w:val="00F83E63"/>
    <w:rsid w:val="00F842C0"/>
    <w:rsid w:val="00F84E26"/>
    <w:rsid w:val="00F853B8"/>
    <w:rsid w:val="00F85E98"/>
    <w:rsid w:val="00F86A11"/>
    <w:rsid w:val="00F909A0"/>
    <w:rsid w:val="00F90F30"/>
    <w:rsid w:val="00F91762"/>
    <w:rsid w:val="00F91928"/>
    <w:rsid w:val="00F91943"/>
    <w:rsid w:val="00F92924"/>
    <w:rsid w:val="00F9388B"/>
    <w:rsid w:val="00F93939"/>
    <w:rsid w:val="00F945ED"/>
    <w:rsid w:val="00F951A5"/>
    <w:rsid w:val="00F95989"/>
    <w:rsid w:val="00F963F4"/>
    <w:rsid w:val="00F96454"/>
    <w:rsid w:val="00F97711"/>
    <w:rsid w:val="00FA00C9"/>
    <w:rsid w:val="00FA0E1A"/>
    <w:rsid w:val="00FA0EEA"/>
    <w:rsid w:val="00FA0F37"/>
    <w:rsid w:val="00FA320A"/>
    <w:rsid w:val="00FA41D1"/>
    <w:rsid w:val="00FA5C88"/>
    <w:rsid w:val="00FA606C"/>
    <w:rsid w:val="00FA6372"/>
    <w:rsid w:val="00FA6845"/>
    <w:rsid w:val="00FA72D9"/>
    <w:rsid w:val="00FA7C8B"/>
    <w:rsid w:val="00FB0249"/>
    <w:rsid w:val="00FB1263"/>
    <w:rsid w:val="00FB1D83"/>
    <w:rsid w:val="00FB3CE5"/>
    <w:rsid w:val="00FB6425"/>
    <w:rsid w:val="00FB7295"/>
    <w:rsid w:val="00FB793A"/>
    <w:rsid w:val="00FC032D"/>
    <w:rsid w:val="00FC0B12"/>
    <w:rsid w:val="00FC0E31"/>
    <w:rsid w:val="00FC2DFD"/>
    <w:rsid w:val="00FC35E8"/>
    <w:rsid w:val="00FC5915"/>
    <w:rsid w:val="00FC5D6D"/>
    <w:rsid w:val="00FC6961"/>
    <w:rsid w:val="00FD07DD"/>
    <w:rsid w:val="00FD1A3E"/>
    <w:rsid w:val="00FD1B54"/>
    <w:rsid w:val="00FD2233"/>
    <w:rsid w:val="00FD48C7"/>
    <w:rsid w:val="00FD6657"/>
    <w:rsid w:val="00FD7187"/>
    <w:rsid w:val="00FD7B20"/>
    <w:rsid w:val="00FD7C77"/>
    <w:rsid w:val="00FE015F"/>
    <w:rsid w:val="00FE0276"/>
    <w:rsid w:val="00FE07FB"/>
    <w:rsid w:val="00FE308C"/>
    <w:rsid w:val="00FE404F"/>
    <w:rsid w:val="00FE5873"/>
    <w:rsid w:val="00FE5BA5"/>
    <w:rsid w:val="00FE61B0"/>
    <w:rsid w:val="00FE6527"/>
    <w:rsid w:val="00FE6ADE"/>
    <w:rsid w:val="00FE76E3"/>
    <w:rsid w:val="00FE7CCA"/>
    <w:rsid w:val="00FF0584"/>
    <w:rsid w:val="00FF099A"/>
    <w:rsid w:val="00FF1A54"/>
    <w:rsid w:val="00FF1B96"/>
    <w:rsid w:val="00FF3FC0"/>
    <w:rsid w:val="00FF46E8"/>
    <w:rsid w:val="00FF5CDE"/>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8B6F7"/>
  <w15:docId w15:val="{DEEA8D24-4AA2-4BD7-A772-89ACBAD8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AC19AF"/>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nhideWhenUsed/>
    <w:qFormat/>
    <w:rsid w:val="00F7174B"/>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Default">
    <w:name w:val="Default"/>
    <w:rsid w:val="00761B6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752C37"/>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752C37"/>
    <w:rPr>
      <w:rFonts w:ascii="Courier" w:eastAsia="Times New Roman" w:hAnsi="Courier" w:cs="Times New Roman"/>
      <w:snapToGrid w:val="0"/>
      <w:spacing w:val="-3"/>
      <w:sz w:val="24"/>
      <w:szCs w:val="20"/>
    </w:rPr>
  </w:style>
  <w:style w:type="character" w:customStyle="1" w:styleId="Heading4Char">
    <w:name w:val="Heading 4 Char"/>
    <w:basedOn w:val="DefaultParagraphFont"/>
    <w:link w:val="Heading4"/>
    <w:uiPriority w:val="9"/>
    <w:rsid w:val="00AC19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19A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299939">
      <w:bodyDiv w:val="1"/>
      <w:marLeft w:val="0"/>
      <w:marRight w:val="0"/>
      <w:marTop w:val="0"/>
      <w:marBottom w:val="0"/>
      <w:divBdr>
        <w:top w:val="none" w:sz="0" w:space="0" w:color="auto"/>
        <w:left w:val="none" w:sz="0" w:space="0" w:color="auto"/>
        <w:bottom w:val="none" w:sz="0" w:space="0" w:color="auto"/>
        <w:right w:val="none" w:sz="0" w:space="0" w:color="auto"/>
      </w:divBdr>
      <w:divsChild>
        <w:div w:id="47579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C98F4-DC9D-437B-89A6-5EC744C3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4477</Words>
  <Characters>25523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Reynolds, Doris</cp:lastModifiedBy>
  <cp:revision>2</cp:revision>
  <cp:lastPrinted>2018-03-05T19:04:00Z</cp:lastPrinted>
  <dcterms:created xsi:type="dcterms:W3CDTF">2018-03-05T19:06:00Z</dcterms:created>
  <dcterms:modified xsi:type="dcterms:W3CDTF">2018-03-05T19:06:00Z</dcterms:modified>
</cp:coreProperties>
</file>