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6D777" w14:textId="77777777" w:rsidR="00141506" w:rsidRPr="000D0AE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D0AE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D0AE6">
        <w:rPr>
          <w:rFonts w:ascii="Times New Roman" w:hAnsi="Times New Roman"/>
          <w:b/>
          <w:spacing w:val="-3"/>
          <w:szCs w:val="24"/>
        </w:rPr>
        <w:fldChar w:fldCharType="begin"/>
      </w:r>
      <w:r w:rsidRPr="000D0AE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D0AE6">
        <w:rPr>
          <w:rFonts w:ascii="Times New Roman" w:hAnsi="Times New Roman"/>
          <w:b/>
          <w:spacing w:val="-3"/>
          <w:szCs w:val="24"/>
        </w:rPr>
        <w:fldChar w:fldCharType="end"/>
      </w:r>
    </w:p>
    <w:p w14:paraId="2404E62B" w14:textId="77777777" w:rsidR="00141506" w:rsidRPr="000D0AE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D0AE6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6AFED5B6" w14:textId="360D85C2" w:rsidR="000D0AE6" w:rsidRPr="000D0AE6" w:rsidRDefault="00141506" w:rsidP="000D0AE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D0AE6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3FD12C15" w14:textId="5694FBD7" w:rsidR="000D0AE6" w:rsidRDefault="000D0AE6" w:rsidP="000D0AE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C8E5B9F" w14:textId="6C5DA78B" w:rsidR="000D0AE6" w:rsidRDefault="000D0AE6" w:rsidP="000D0AE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FF175F5" w14:textId="4D471896" w:rsidR="000D0AE6" w:rsidRDefault="000D0AE6" w:rsidP="000D0AE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0C6D43E" w14:textId="77777777" w:rsidR="000D0AE6" w:rsidRPr="000D0AE6" w:rsidRDefault="000D0AE6" w:rsidP="000D0AE6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0D0AE6">
        <w:rPr>
          <w:rFonts w:ascii="Times New Roman" w:hAnsi="Times New Roman"/>
        </w:rPr>
        <w:t>Scott Specht</w:t>
      </w:r>
      <w:r w:rsidRPr="000D0AE6">
        <w:rPr>
          <w:rFonts w:ascii="Times New Roman" w:hAnsi="Times New Roman"/>
        </w:rPr>
        <w:tab/>
      </w:r>
      <w:r w:rsidRPr="000D0AE6">
        <w:rPr>
          <w:rFonts w:ascii="Times New Roman" w:hAnsi="Times New Roman"/>
        </w:rPr>
        <w:tab/>
      </w:r>
      <w:r w:rsidRPr="000D0AE6">
        <w:rPr>
          <w:rFonts w:ascii="Times New Roman" w:hAnsi="Times New Roman"/>
        </w:rPr>
        <w:tab/>
      </w:r>
      <w:r w:rsidRPr="000D0AE6">
        <w:rPr>
          <w:rFonts w:ascii="Times New Roman" w:hAnsi="Times New Roman"/>
        </w:rPr>
        <w:tab/>
      </w:r>
      <w:r w:rsidRPr="000D0AE6">
        <w:rPr>
          <w:rFonts w:ascii="Times New Roman" w:hAnsi="Times New Roman"/>
        </w:rPr>
        <w:tab/>
      </w:r>
      <w:r w:rsidRPr="000D0AE6">
        <w:rPr>
          <w:rFonts w:ascii="Times New Roman" w:hAnsi="Times New Roman"/>
        </w:rPr>
        <w:tab/>
        <w:t>:</w:t>
      </w:r>
      <w:r w:rsidRPr="000D0AE6">
        <w:rPr>
          <w:rFonts w:ascii="Times New Roman" w:hAnsi="Times New Roman"/>
        </w:rPr>
        <w:tab/>
      </w:r>
      <w:r w:rsidRPr="000D0AE6">
        <w:rPr>
          <w:rFonts w:ascii="Times New Roman" w:hAnsi="Times New Roman"/>
        </w:rPr>
        <w:tab/>
      </w:r>
    </w:p>
    <w:p w14:paraId="06C91735" w14:textId="77777777" w:rsidR="000D0AE6" w:rsidRPr="000D0AE6" w:rsidRDefault="000D0AE6" w:rsidP="000D0AE6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0D0AE6">
        <w:rPr>
          <w:rFonts w:ascii="Times New Roman" w:hAnsi="Times New Roman"/>
        </w:rPr>
        <w:tab/>
      </w:r>
      <w:r w:rsidRPr="000D0AE6">
        <w:rPr>
          <w:rFonts w:ascii="Times New Roman" w:hAnsi="Times New Roman"/>
        </w:rPr>
        <w:tab/>
      </w:r>
      <w:r w:rsidRPr="000D0AE6">
        <w:rPr>
          <w:rFonts w:ascii="Times New Roman" w:hAnsi="Times New Roman"/>
        </w:rPr>
        <w:tab/>
      </w:r>
      <w:r w:rsidRPr="000D0AE6">
        <w:rPr>
          <w:rFonts w:ascii="Times New Roman" w:hAnsi="Times New Roman"/>
        </w:rPr>
        <w:tab/>
      </w:r>
      <w:r w:rsidRPr="000D0AE6">
        <w:rPr>
          <w:rFonts w:ascii="Times New Roman" w:hAnsi="Times New Roman"/>
        </w:rPr>
        <w:tab/>
      </w:r>
      <w:r w:rsidRPr="000D0AE6">
        <w:rPr>
          <w:rFonts w:ascii="Times New Roman" w:hAnsi="Times New Roman"/>
        </w:rPr>
        <w:tab/>
      </w:r>
      <w:r w:rsidRPr="000D0AE6">
        <w:rPr>
          <w:rFonts w:ascii="Times New Roman" w:hAnsi="Times New Roman"/>
        </w:rPr>
        <w:tab/>
        <w:t>:</w:t>
      </w:r>
    </w:p>
    <w:p w14:paraId="6B8C0712" w14:textId="1BD6B8D3" w:rsidR="000D0AE6" w:rsidRPr="000D0AE6" w:rsidRDefault="000D0AE6" w:rsidP="000D0AE6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0D0AE6">
        <w:rPr>
          <w:rFonts w:ascii="Times New Roman" w:hAnsi="Times New Roman"/>
        </w:rPr>
        <w:tab/>
        <w:t>v.</w:t>
      </w:r>
      <w:r w:rsidRPr="000D0AE6">
        <w:rPr>
          <w:rFonts w:ascii="Times New Roman" w:hAnsi="Times New Roman"/>
        </w:rPr>
        <w:tab/>
      </w:r>
      <w:r w:rsidRPr="000D0AE6">
        <w:rPr>
          <w:rFonts w:ascii="Times New Roman" w:hAnsi="Times New Roman"/>
        </w:rPr>
        <w:tab/>
      </w:r>
      <w:r w:rsidRPr="000D0AE6">
        <w:rPr>
          <w:rFonts w:ascii="Times New Roman" w:hAnsi="Times New Roman"/>
        </w:rPr>
        <w:tab/>
      </w:r>
      <w:r w:rsidRPr="000D0AE6">
        <w:rPr>
          <w:rFonts w:ascii="Times New Roman" w:hAnsi="Times New Roman"/>
        </w:rPr>
        <w:tab/>
      </w:r>
      <w:r w:rsidRPr="000D0AE6">
        <w:rPr>
          <w:rFonts w:ascii="Times New Roman" w:hAnsi="Times New Roman"/>
        </w:rPr>
        <w:tab/>
      </w:r>
      <w:r w:rsidRPr="000D0AE6">
        <w:rPr>
          <w:rFonts w:ascii="Times New Roman" w:hAnsi="Times New Roman"/>
        </w:rPr>
        <w:tab/>
        <w:t>:</w:t>
      </w:r>
      <w:r w:rsidRPr="000D0AE6">
        <w:rPr>
          <w:rFonts w:ascii="Times New Roman" w:hAnsi="Times New Roman"/>
          <w:b/>
        </w:rPr>
        <w:tab/>
      </w:r>
      <w:r w:rsidRPr="000D0AE6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0D0AE6">
        <w:rPr>
          <w:rFonts w:ascii="Times New Roman" w:hAnsi="Times New Roman"/>
        </w:rPr>
        <w:t>F-2017-2625795</w:t>
      </w:r>
      <w:r w:rsidRPr="000D0AE6">
        <w:rPr>
          <w:rFonts w:ascii="Times New Roman" w:hAnsi="Times New Roman"/>
        </w:rPr>
        <w:tab/>
      </w:r>
      <w:r w:rsidRPr="000D0AE6">
        <w:rPr>
          <w:rFonts w:ascii="Times New Roman" w:hAnsi="Times New Roman"/>
        </w:rPr>
        <w:tab/>
      </w:r>
      <w:r w:rsidRPr="000D0AE6">
        <w:rPr>
          <w:rFonts w:ascii="Times New Roman" w:hAnsi="Times New Roman"/>
        </w:rPr>
        <w:tab/>
      </w:r>
      <w:r w:rsidRPr="000D0AE6">
        <w:rPr>
          <w:rFonts w:ascii="Times New Roman" w:hAnsi="Times New Roman"/>
        </w:rPr>
        <w:tab/>
      </w:r>
      <w:r w:rsidRPr="000D0AE6">
        <w:rPr>
          <w:rFonts w:ascii="Times New Roman" w:hAnsi="Times New Roman"/>
        </w:rPr>
        <w:tab/>
      </w:r>
      <w:r w:rsidRPr="000D0AE6">
        <w:rPr>
          <w:rFonts w:ascii="Times New Roman" w:hAnsi="Times New Roman"/>
        </w:rPr>
        <w:tab/>
      </w:r>
      <w:r w:rsidRPr="000D0AE6">
        <w:rPr>
          <w:rFonts w:ascii="Times New Roman" w:hAnsi="Times New Roman"/>
        </w:rPr>
        <w:tab/>
      </w:r>
      <w:r w:rsidRPr="000D0AE6">
        <w:rPr>
          <w:rFonts w:ascii="Times New Roman" w:hAnsi="Times New Roman"/>
        </w:rPr>
        <w:tab/>
        <w:t>:</w:t>
      </w:r>
    </w:p>
    <w:p w14:paraId="75F82DEE" w14:textId="77777777" w:rsidR="000D0AE6" w:rsidRPr="000D0AE6" w:rsidRDefault="000D0AE6" w:rsidP="000D0AE6">
      <w:pPr>
        <w:tabs>
          <w:tab w:val="left" w:pos="0"/>
        </w:tabs>
        <w:jc w:val="both"/>
        <w:rPr>
          <w:rFonts w:ascii="Times New Roman" w:hAnsi="Times New Roman"/>
        </w:rPr>
      </w:pPr>
      <w:r w:rsidRPr="000D0AE6">
        <w:rPr>
          <w:rFonts w:ascii="Times New Roman" w:hAnsi="Times New Roman"/>
        </w:rPr>
        <w:t>PPL Electric Utilities Corporation</w:t>
      </w:r>
      <w:r w:rsidRPr="000D0AE6">
        <w:rPr>
          <w:rFonts w:ascii="Times New Roman" w:hAnsi="Times New Roman"/>
        </w:rPr>
        <w:tab/>
      </w:r>
      <w:r w:rsidRPr="000D0AE6">
        <w:rPr>
          <w:rFonts w:ascii="Times New Roman" w:hAnsi="Times New Roman"/>
        </w:rPr>
        <w:tab/>
      </w:r>
      <w:r w:rsidRPr="000D0AE6">
        <w:rPr>
          <w:rFonts w:ascii="Times New Roman" w:hAnsi="Times New Roman"/>
        </w:rPr>
        <w:tab/>
        <w:t>:</w:t>
      </w:r>
    </w:p>
    <w:p w14:paraId="3B871180" w14:textId="4D06EEFC" w:rsidR="000D0AE6" w:rsidRDefault="000D0AE6" w:rsidP="000D0AE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E0B0633" w14:textId="27F9A566" w:rsidR="000D0AE6" w:rsidRDefault="000D0AE6" w:rsidP="000D0AE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F4B0FD9" w14:textId="77777777" w:rsidR="000D0AE6" w:rsidRPr="000C1A59" w:rsidRDefault="000D0AE6" w:rsidP="000D0AE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63263FE" w14:textId="0C8A7C01" w:rsidR="00141506" w:rsidRPr="000C1A59" w:rsidRDefault="00141506" w:rsidP="000D0AE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6632E9C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A40583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184B0F6" w14:textId="14E929AC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Katrina </w:t>
      </w:r>
      <w:r w:rsidR="000D0AE6">
        <w:rPr>
          <w:rFonts w:ascii="Times New Roman" w:hAnsi="Times New Roman"/>
          <w:spacing w:val="-3"/>
          <w:szCs w:val="24"/>
        </w:rPr>
        <w:t xml:space="preserve">L. </w:t>
      </w:r>
      <w:r w:rsidR="00C224DB" w:rsidRPr="00B616F5">
        <w:rPr>
          <w:rFonts w:ascii="Times New Roman" w:hAnsi="Times New Roman"/>
          <w:spacing w:val="-3"/>
          <w:szCs w:val="24"/>
        </w:rPr>
        <w:t>Dunderdale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D0AE6">
        <w:rPr>
          <w:rFonts w:ascii="Times New Roman" w:hAnsi="Times New Roman"/>
          <w:spacing w:val="-3"/>
          <w:szCs w:val="24"/>
        </w:rPr>
        <w:t>January 18,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7A85A0AF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372592D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04D3FA14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32D85F0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14783CA1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43AE77A" w14:textId="77777777" w:rsidR="000D0AE6" w:rsidRPr="000D0AE6" w:rsidRDefault="000D0AE6" w:rsidP="000D0AE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D0AE6">
        <w:rPr>
          <w:rFonts w:ascii="Times New Roman" w:hAnsi="Times New Roman"/>
        </w:rPr>
        <w:t xml:space="preserve">1. </w:t>
      </w:r>
      <w:r w:rsidRPr="000D0AE6">
        <w:rPr>
          <w:rFonts w:ascii="Times New Roman" w:hAnsi="Times New Roman"/>
        </w:rPr>
        <w:tab/>
        <w:t>That the oral motion of PPL Electric Utilities Corporation to dismiss the formal complaint filed by Scott Specht against PPL Electric Utilities Corporation at Docket No. F-2017-2625795 is granted.</w:t>
      </w:r>
    </w:p>
    <w:p w14:paraId="22CF14BB" w14:textId="77777777" w:rsidR="000D0AE6" w:rsidRPr="000D0AE6" w:rsidRDefault="000D0AE6" w:rsidP="000D0AE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7D5B0280" w14:textId="6C78794B" w:rsidR="000D0AE6" w:rsidRPr="000D0AE6" w:rsidRDefault="000D0AE6" w:rsidP="000D0AE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D0AE6">
        <w:rPr>
          <w:rFonts w:ascii="Times New Roman" w:hAnsi="Times New Roman"/>
        </w:rPr>
        <w:t>2.</w:t>
      </w:r>
      <w:r w:rsidRPr="000D0AE6">
        <w:rPr>
          <w:rFonts w:ascii="Times New Roman" w:hAnsi="Times New Roman"/>
        </w:rPr>
        <w:tab/>
        <w:t>That the formal complaint filed by Scott Specht against PPL Electric Utilities Corporation at Docket No. F-2017-2625795 is dismissed with prejudice.</w:t>
      </w:r>
    </w:p>
    <w:p w14:paraId="277BEE06" w14:textId="77777777" w:rsidR="000D0AE6" w:rsidRPr="000D0AE6" w:rsidRDefault="000D0AE6" w:rsidP="000D0AE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63BAAA4D" w14:textId="69ECD0BD" w:rsidR="00817AAD" w:rsidRPr="00817AAD" w:rsidRDefault="000D0AE6" w:rsidP="000D0AE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D0AE6">
        <w:rPr>
          <w:rFonts w:ascii="Times New Roman" w:hAnsi="Times New Roman"/>
        </w:rPr>
        <w:t>3.</w:t>
      </w:r>
      <w:r w:rsidRPr="000D0AE6">
        <w:rPr>
          <w:rFonts w:ascii="Times New Roman" w:hAnsi="Times New Roman"/>
        </w:rPr>
        <w:tab/>
        <w:t>That the Secretary mark this case as closed.</w:t>
      </w:r>
      <w:r w:rsidR="00C224DB">
        <w:rPr>
          <w:rFonts w:ascii="Times New Roman" w:hAnsi="Times New Roman"/>
        </w:rPr>
        <w:t xml:space="preserve"> </w:t>
      </w:r>
    </w:p>
    <w:p w14:paraId="0B24468F" w14:textId="400BAC1B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09B395B9" w14:textId="23FB8F10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49838F68" w14:textId="04AC1A87" w:rsidR="00141506" w:rsidRPr="00FB6879" w:rsidRDefault="00FC005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170EF16" wp14:editId="5E5FD118">
            <wp:simplePos x="0" y="0"/>
            <wp:positionH relativeFrom="column">
              <wp:posOffset>3200400</wp:posOffset>
            </wp:positionH>
            <wp:positionV relativeFrom="paragraph">
              <wp:posOffset>72390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57216145" w14:textId="2427300D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369D81C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387ECA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08FBD0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4554A6D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5B9251E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75C56FF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C822CD5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8FECA0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219A83C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FBD68F1" w14:textId="28519984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C005F">
        <w:rPr>
          <w:rFonts w:ascii="Times New Roman" w:hAnsi="Times New Roman"/>
          <w:spacing w:val="-3"/>
          <w:szCs w:val="24"/>
        </w:rPr>
        <w:t>March 8,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2AC2D" w14:textId="77777777" w:rsidR="00E07B00" w:rsidRDefault="00E07B00">
      <w:pPr>
        <w:spacing w:line="20" w:lineRule="exact"/>
      </w:pPr>
    </w:p>
  </w:endnote>
  <w:endnote w:type="continuationSeparator" w:id="0">
    <w:p w14:paraId="1385F315" w14:textId="77777777" w:rsidR="00E07B00" w:rsidRDefault="00E07B00">
      <w:r>
        <w:t xml:space="preserve"> </w:t>
      </w:r>
    </w:p>
  </w:endnote>
  <w:endnote w:type="continuationNotice" w:id="1">
    <w:p w14:paraId="528C9B99" w14:textId="77777777" w:rsidR="00E07B00" w:rsidRDefault="00E07B0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12FD46" w14:textId="77777777" w:rsidR="00E07B00" w:rsidRDefault="00E07B00">
      <w:r>
        <w:separator/>
      </w:r>
    </w:p>
  </w:footnote>
  <w:footnote w:type="continuationSeparator" w:id="0">
    <w:p w14:paraId="04088CF4" w14:textId="77777777" w:rsidR="00E07B00" w:rsidRDefault="00E07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7F"/>
    <w:rsid w:val="00003A6F"/>
    <w:rsid w:val="0005458A"/>
    <w:rsid w:val="000C1A59"/>
    <w:rsid w:val="000D0AE6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07B00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005F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43DFE38"/>
  <w15:docId w15:val="{0FED46B2-EFEB-4297-9542-2D9ECF1F2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2</cp:revision>
  <cp:lastPrinted>2008-04-03T14:44:00Z</cp:lastPrinted>
  <dcterms:created xsi:type="dcterms:W3CDTF">2018-03-08T19:02:00Z</dcterms:created>
  <dcterms:modified xsi:type="dcterms:W3CDTF">2018-03-08T19:02:00Z</dcterms:modified>
</cp:coreProperties>
</file>