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C95" w:rsidRDefault="00756C95" w:rsidP="00756C95">
      <w:pPr>
        <w:pStyle w:val="Title"/>
        <w:tabs>
          <w:tab w:val="clear" w:pos="360"/>
          <w:tab w:val="left" w:pos="0"/>
        </w:tabs>
      </w:pPr>
      <w:r>
        <w:t>BEFORE THE</w:t>
      </w:r>
    </w:p>
    <w:p w:rsidR="00756C95" w:rsidRDefault="00756C95" w:rsidP="00756C9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756C95" w:rsidRDefault="00756C95" w:rsidP="00756C95">
      <w:pPr>
        <w:tabs>
          <w:tab w:val="left" w:pos="0"/>
        </w:tabs>
        <w:spacing w:line="233" w:lineRule="auto"/>
        <w:jc w:val="both"/>
        <w:rPr>
          <w:b/>
          <w:sz w:val="24"/>
        </w:rPr>
      </w:pPr>
    </w:p>
    <w:p w:rsidR="00756C95" w:rsidRDefault="00756C95" w:rsidP="00756C95">
      <w:pPr>
        <w:tabs>
          <w:tab w:val="left" w:pos="0"/>
        </w:tabs>
        <w:spacing w:line="233" w:lineRule="auto"/>
        <w:jc w:val="both"/>
        <w:rPr>
          <w:b/>
          <w:sz w:val="24"/>
        </w:rPr>
      </w:pPr>
    </w:p>
    <w:p w:rsidR="00756C95" w:rsidRDefault="00756C95" w:rsidP="00756C95">
      <w:pPr>
        <w:tabs>
          <w:tab w:val="left" w:pos="0"/>
        </w:tabs>
        <w:spacing w:line="233" w:lineRule="auto"/>
        <w:jc w:val="both"/>
        <w:rPr>
          <w:b/>
          <w:sz w:val="24"/>
        </w:rPr>
      </w:pPr>
    </w:p>
    <w:p w:rsidR="00756C95" w:rsidRDefault="00541FEA" w:rsidP="00756C95">
      <w:pPr>
        <w:tabs>
          <w:tab w:val="left" w:pos="0"/>
        </w:tabs>
        <w:spacing w:line="233" w:lineRule="auto"/>
        <w:jc w:val="both"/>
        <w:rPr>
          <w:b/>
          <w:sz w:val="24"/>
        </w:rPr>
      </w:pPr>
      <w:r>
        <w:rPr>
          <w:sz w:val="24"/>
        </w:rPr>
        <w:t>Melissa Johnson</w:t>
      </w:r>
      <w:r w:rsidR="00122E5F">
        <w:rPr>
          <w:sz w:val="24"/>
        </w:rPr>
        <w:t xml:space="preserve"> </w:t>
      </w:r>
      <w:r w:rsidR="00756C95">
        <w:rPr>
          <w:sz w:val="24"/>
        </w:rPr>
        <w:tab/>
      </w:r>
      <w:r w:rsidR="00756C95">
        <w:rPr>
          <w:sz w:val="24"/>
        </w:rPr>
        <w:tab/>
      </w:r>
      <w:r w:rsidR="00756C95">
        <w:rPr>
          <w:sz w:val="24"/>
        </w:rPr>
        <w:tab/>
      </w:r>
      <w:r w:rsidR="00756C95">
        <w:rPr>
          <w:sz w:val="24"/>
        </w:rPr>
        <w:tab/>
      </w:r>
      <w:r w:rsidR="00756C95">
        <w:rPr>
          <w:sz w:val="24"/>
        </w:rPr>
        <w:tab/>
      </w:r>
      <w:r w:rsidR="00756C95" w:rsidRPr="00560DC5">
        <w:rPr>
          <w:sz w:val="24"/>
        </w:rPr>
        <w:t>:</w:t>
      </w:r>
    </w:p>
    <w:p w:rsidR="00756C95" w:rsidRPr="00560DC5" w:rsidRDefault="00756C95" w:rsidP="00756C9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756C95" w:rsidRDefault="00756C95" w:rsidP="00756C95">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2507BD" w:rsidRPr="00A71162">
        <w:rPr>
          <w:sz w:val="24"/>
        </w:rPr>
        <w:t>F</w:t>
      </w:r>
      <w:r w:rsidRPr="00A71162">
        <w:rPr>
          <w:sz w:val="24"/>
        </w:rPr>
        <w:t>-</w:t>
      </w:r>
      <w:r>
        <w:rPr>
          <w:sz w:val="24"/>
        </w:rPr>
        <w:t>201</w:t>
      </w:r>
      <w:r w:rsidR="00541FEA">
        <w:rPr>
          <w:sz w:val="24"/>
        </w:rPr>
        <w:t>7</w:t>
      </w:r>
      <w:r>
        <w:rPr>
          <w:sz w:val="24"/>
        </w:rPr>
        <w:t>-</w:t>
      </w:r>
      <w:r w:rsidR="001B19BC">
        <w:rPr>
          <w:sz w:val="24"/>
        </w:rPr>
        <w:t>2</w:t>
      </w:r>
      <w:r w:rsidR="00541FEA">
        <w:rPr>
          <w:sz w:val="24"/>
        </w:rPr>
        <w:t>638955</w:t>
      </w:r>
    </w:p>
    <w:p w:rsidR="00756C95" w:rsidRPr="00560DC5" w:rsidRDefault="00756C95" w:rsidP="00756C9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756C95" w:rsidRDefault="00541FEA" w:rsidP="00756C95">
      <w:pPr>
        <w:tabs>
          <w:tab w:val="left" w:pos="0"/>
        </w:tabs>
        <w:spacing w:line="233" w:lineRule="auto"/>
        <w:jc w:val="both"/>
        <w:rPr>
          <w:sz w:val="24"/>
        </w:rPr>
      </w:pPr>
      <w:r>
        <w:rPr>
          <w:sz w:val="24"/>
        </w:rPr>
        <w:t>Duquesne Light Company</w:t>
      </w:r>
      <w:r w:rsidR="00756C95">
        <w:rPr>
          <w:sz w:val="24"/>
        </w:rPr>
        <w:tab/>
      </w:r>
      <w:r w:rsidR="00756C95">
        <w:rPr>
          <w:sz w:val="24"/>
        </w:rPr>
        <w:tab/>
      </w:r>
      <w:r w:rsidR="00756C95">
        <w:rPr>
          <w:sz w:val="24"/>
        </w:rPr>
        <w:tab/>
      </w:r>
      <w:r w:rsidR="00756C95">
        <w:rPr>
          <w:sz w:val="24"/>
        </w:rPr>
        <w:tab/>
      </w:r>
      <w:r w:rsidR="00756C95" w:rsidRPr="00560DC5">
        <w:rPr>
          <w:sz w:val="24"/>
        </w:rPr>
        <w:t>:</w:t>
      </w:r>
    </w:p>
    <w:p w:rsidR="00756C95" w:rsidRDefault="00756C95" w:rsidP="00756C95">
      <w:pPr>
        <w:tabs>
          <w:tab w:val="left" w:pos="0"/>
        </w:tabs>
        <w:spacing w:line="233" w:lineRule="auto"/>
        <w:jc w:val="both"/>
        <w:rPr>
          <w:sz w:val="24"/>
        </w:rPr>
      </w:pPr>
    </w:p>
    <w:p w:rsidR="00756C95" w:rsidRDefault="00756C95" w:rsidP="00756C95">
      <w:pPr>
        <w:tabs>
          <w:tab w:val="left" w:pos="0"/>
        </w:tabs>
        <w:spacing w:line="233" w:lineRule="auto"/>
        <w:jc w:val="both"/>
        <w:rPr>
          <w:b/>
          <w:sz w:val="24"/>
        </w:rPr>
      </w:pPr>
    </w:p>
    <w:p w:rsidR="00756C95" w:rsidRDefault="00756C95" w:rsidP="00756C95">
      <w:pPr>
        <w:tabs>
          <w:tab w:val="left" w:pos="0"/>
        </w:tabs>
        <w:spacing w:line="233" w:lineRule="auto"/>
        <w:jc w:val="both"/>
        <w:rPr>
          <w:b/>
          <w:sz w:val="24"/>
        </w:rPr>
      </w:pPr>
    </w:p>
    <w:p w:rsidR="008B2568" w:rsidRPr="002C7C4F" w:rsidRDefault="00122E5F" w:rsidP="00756C95">
      <w:pPr>
        <w:tabs>
          <w:tab w:val="left" w:pos="0"/>
        </w:tabs>
        <w:spacing w:line="233" w:lineRule="auto"/>
        <w:jc w:val="center"/>
        <w:rPr>
          <w:b/>
          <w:sz w:val="24"/>
        </w:rPr>
      </w:pPr>
      <w:r w:rsidRPr="002C7C4F">
        <w:rPr>
          <w:b/>
          <w:sz w:val="24"/>
        </w:rPr>
        <w:t xml:space="preserve">FIRST </w:t>
      </w:r>
      <w:r w:rsidR="00C84040" w:rsidRPr="002C7C4F">
        <w:rPr>
          <w:b/>
          <w:sz w:val="24"/>
        </w:rPr>
        <w:t xml:space="preserve">INTERIM </w:t>
      </w:r>
      <w:r w:rsidR="009D3899" w:rsidRPr="002C7C4F">
        <w:rPr>
          <w:b/>
          <w:sz w:val="24"/>
        </w:rPr>
        <w:t>ORDER</w:t>
      </w:r>
    </w:p>
    <w:p w:rsidR="002C7C4F" w:rsidRDefault="009D3899" w:rsidP="00756C95">
      <w:pPr>
        <w:tabs>
          <w:tab w:val="left" w:pos="0"/>
        </w:tabs>
        <w:spacing w:line="233" w:lineRule="auto"/>
        <w:jc w:val="center"/>
        <w:rPr>
          <w:b/>
          <w:sz w:val="24"/>
          <w:u w:val="single"/>
        </w:rPr>
      </w:pPr>
      <w:r w:rsidRPr="002C7C4F">
        <w:rPr>
          <w:b/>
          <w:sz w:val="24"/>
        </w:rPr>
        <w:t>DENYING</w:t>
      </w:r>
      <w:r w:rsidR="00C84040" w:rsidRPr="002C7C4F">
        <w:rPr>
          <w:b/>
          <w:sz w:val="24"/>
        </w:rPr>
        <w:t xml:space="preserve"> </w:t>
      </w:r>
      <w:r w:rsidRPr="002C7C4F">
        <w:rPr>
          <w:b/>
          <w:sz w:val="24"/>
        </w:rPr>
        <w:t>RESPONDENT’S</w:t>
      </w:r>
      <w:r w:rsidR="002C7C4F">
        <w:rPr>
          <w:b/>
          <w:sz w:val="24"/>
        </w:rPr>
        <w:t xml:space="preserve"> </w:t>
      </w:r>
      <w:r w:rsidRPr="002C7C4F">
        <w:rPr>
          <w:b/>
          <w:sz w:val="24"/>
        </w:rPr>
        <w:t>MOTION</w:t>
      </w:r>
    </w:p>
    <w:p w:rsidR="00756C95" w:rsidRDefault="009D3899" w:rsidP="00756C95">
      <w:pPr>
        <w:tabs>
          <w:tab w:val="left" w:pos="0"/>
        </w:tabs>
        <w:spacing w:line="233" w:lineRule="auto"/>
        <w:jc w:val="center"/>
        <w:rPr>
          <w:b/>
          <w:sz w:val="24"/>
          <w:u w:val="single"/>
        </w:rPr>
      </w:pPr>
      <w:r>
        <w:rPr>
          <w:b/>
          <w:sz w:val="24"/>
          <w:u w:val="single"/>
        </w:rPr>
        <w:t>F</w:t>
      </w:r>
      <w:r w:rsidR="00617089">
        <w:rPr>
          <w:b/>
          <w:sz w:val="24"/>
          <w:u w:val="single"/>
        </w:rPr>
        <w:t>O</w:t>
      </w:r>
      <w:r>
        <w:rPr>
          <w:b/>
          <w:sz w:val="24"/>
          <w:u w:val="single"/>
        </w:rPr>
        <w:t>R JUDGMENT</w:t>
      </w:r>
      <w:r w:rsidR="00122E5F">
        <w:rPr>
          <w:b/>
          <w:sz w:val="24"/>
          <w:u w:val="single"/>
        </w:rPr>
        <w:t xml:space="preserve"> ON THE PLEADINGS</w:t>
      </w:r>
    </w:p>
    <w:p w:rsidR="00756C95" w:rsidRDefault="00756C95" w:rsidP="00756C95">
      <w:pPr>
        <w:tabs>
          <w:tab w:val="left" w:pos="0"/>
        </w:tabs>
        <w:spacing w:line="233" w:lineRule="auto"/>
        <w:jc w:val="both"/>
        <w:rPr>
          <w:sz w:val="24"/>
        </w:rPr>
      </w:pPr>
    </w:p>
    <w:p w:rsidR="00B2111E" w:rsidRDefault="00B2111E" w:rsidP="00B2111E">
      <w:pPr>
        <w:spacing w:before="240" w:after="200" w:line="480" w:lineRule="auto"/>
        <w:jc w:val="center"/>
        <w:rPr>
          <w:rFonts w:eastAsia="Calibri"/>
          <w:sz w:val="24"/>
          <w:szCs w:val="24"/>
          <w:u w:val="single"/>
        </w:rPr>
      </w:pPr>
      <w:r>
        <w:rPr>
          <w:rFonts w:eastAsia="Calibri"/>
          <w:sz w:val="24"/>
          <w:szCs w:val="24"/>
          <w:u w:val="single"/>
        </w:rPr>
        <w:t>HISTORY OF THE PROCEEDING</w:t>
      </w:r>
    </w:p>
    <w:p w:rsidR="00E94ABD" w:rsidRDefault="00B2111E" w:rsidP="00617089">
      <w:pPr>
        <w:spacing w:before="240" w:after="200" w:line="360" w:lineRule="auto"/>
        <w:rPr>
          <w:rFonts w:eastAsia="Calibri"/>
          <w:sz w:val="24"/>
          <w:szCs w:val="24"/>
        </w:rPr>
      </w:pPr>
      <w:r>
        <w:rPr>
          <w:rFonts w:eastAsia="Calibri"/>
          <w:sz w:val="24"/>
          <w:szCs w:val="24"/>
        </w:rPr>
        <w:tab/>
      </w:r>
      <w:r>
        <w:rPr>
          <w:rFonts w:eastAsia="Calibri"/>
          <w:sz w:val="24"/>
          <w:szCs w:val="24"/>
        </w:rPr>
        <w:tab/>
        <w:t xml:space="preserve">On </w:t>
      </w:r>
      <w:r w:rsidR="0011638B">
        <w:rPr>
          <w:rFonts w:eastAsia="Calibri"/>
          <w:sz w:val="24"/>
          <w:szCs w:val="24"/>
        </w:rPr>
        <w:t>December 18,</w:t>
      </w:r>
      <w:r>
        <w:rPr>
          <w:rFonts w:eastAsia="Calibri"/>
          <w:sz w:val="24"/>
          <w:szCs w:val="24"/>
        </w:rPr>
        <w:t xml:space="preserve"> 201</w:t>
      </w:r>
      <w:r w:rsidR="0011638B">
        <w:rPr>
          <w:rFonts w:eastAsia="Calibri"/>
          <w:sz w:val="24"/>
          <w:szCs w:val="24"/>
        </w:rPr>
        <w:t>7</w:t>
      </w:r>
      <w:r>
        <w:rPr>
          <w:rFonts w:eastAsia="Calibri"/>
          <w:sz w:val="24"/>
          <w:szCs w:val="24"/>
        </w:rPr>
        <w:t xml:space="preserve">, Complainant </w:t>
      </w:r>
      <w:r w:rsidR="0011638B">
        <w:rPr>
          <w:rFonts w:eastAsia="Calibri"/>
          <w:sz w:val="24"/>
          <w:szCs w:val="24"/>
        </w:rPr>
        <w:t>Melissa Johnson</w:t>
      </w:r>
      <w:r w:rsidR="00FC3E48">
        <w:rPr>
          <w:rFonts w:eastAsia="Calibri"/>
          <w:sz w:val="24"/>
          <w:szCs w:val="24"/>
        </w:rPr>
        <w:t xml:space="preserve"> </w:t>
      </w:r>
      <w:r w:rsidR="005355EA">
        <w:rPr>
          <w:rFonts w:eastAsia="Calibri"/>
          <w:sz w:val="24"/>
          <w:szCs w:val="24"/>
        </w:rPr>
        <w:t>(Complainant</w:t>
      </w:r>
      <w:r w:rsidR="004328C1">
        <w:rPr>
          <w:rFonts w:eastAsia="Calibri"/>
          <w:sz w:val="24"/>
          <w:szCs w:val="24"/>
        </w:rPr>
        <w:t xml:space="preserve"> or M</w:t>
      </w:r>
      <w:r w:rsidR="0011638B">
        <w:rPr>
          <w:rFonts w:eastAsia="Calibri"/>
          <w:sz w:val="24"/>
          <w:szCs w:val="24"/>
        </w:rPr>
        <w:t>s</w:t>
      </w:r>
      <w:r w:rsidR="004328C1">
        <w:rPr>
          <w:rFonts w:eastAsia="Calibri"/>
          <w:sz w:val="24"/>
          <w:szCs w:val="24"/>
        </w:rPr>
        <w:t xml:space="preserve">. </w:t>
      </w:r>
      <w:r w:rsidR="0011638B">
        <w:rPr>
          <w:rFonts w:eastAsia="Calibri"/>
          <w:sz w:val="24"/>
          <w:szCs w:val="24"/>
        </w:rPr>
        <w:t>Johnson</w:t>
      </w:r>
      <w:r w:rsidR="005355EA">
        <w:rPr>
          <w:rFonts w:eastAsia="Calibri"/>
          <w:sz w:val="24"/>
          <w:szCs w:val="24"/>
        </w:rPr>
        <w:t xml:space="preserve">) </w:t>
      </w:r>
      <w:r w:rsidR="00FC3E48">
        <w:rPr>
          <w:rFonts w:eastAsia="Calibri"/>
          <w:sz w:val="24"/>
          <w:szCs w:val="24"/>
        </w:rPr>
        <w:t xml:space="preserve">filed a </w:t>
      </w:r>
      <w:r w:rsidR="006928A9">
        <w:rPr>
          <w:rFonts w:eastAsia="Calibri"/>
          <w:sz w:val="24"/>
          <w:szCs w:val="24"/>
        </w:rPr>
        <w:t xml:space="preserve">Formal </w:t>
      </w:r>
      <w:r w:rsidR="00122E5F">
        <w:rPr>
          <w:rFonts w:eastAsia="Calibri"/>
          <w:sz w:val="24"/>
          <w:szCs w:val="24"/>
        </w:rPr>
        <w:t>C</w:t>
      </w:r>
      <w:r w:rsidR="00FC3E48">
        <w:rPr>
          <w:rFonts w:eastAsia="Calibri"/>
          <w:sz w:val="24"/>
          <w:szCs w:val="24"/>
        </w:rPr>
        <w:t xml:space="preserve">omplaint </w:t>
      </w:r>
      <w:r w:rsidR="005355EA" w:rsidRPr="009E7B03">
        <w:rPr>
          <w:snapToGrid w:val="0"/>
          <w:sz w:val="24"/>
          <w:szCs w:val="24"/>
        </w:rPr>
        <w:t xml:space="preserve">seeking </w:t>
      </w:r>
      <w:r w:rsidR="00AC5222">
        <w:rPr>
          <w:snapToGrid w:val="0"/>
          <w:sz w:val="24"/>
          <w:szCs w:val="24"/>
        </w:rPr>
        <w:t xml:space="preserve">timely </w:t>
      </w:r>
      <w:r w:rsidR="005355EA" w:rsidRPr="009E7B03">
        <w:rPr>
          <w:snapToGrid w:val="0"/>
          <w:sz w:val="24"/>
          <w:szCs w:val="24"/>
        </w:rPr>
        <w:t>review of the Commission’s Bureau of Consumer Services’ (BCS)</w:t>
      </w:r>
      <w:r w:rsidR="005355EA" w:rsidRPr="005355EA">
        <w:rPr>
          <w:snapToGrid w:val="0"/>
          <w:sz w:val="24"/>
          <w:szCs w:val="24"/>
        </w:rPr>
        <w:t xml:space="preserve"> </w:t>
      </w:r>
      <w:r w:rsidR="0011638B">
        <w:rPr>
          <w:snapToGrid w:val="0"/>
          <w:sz w:val="24"/>
          <w:szCs w:val="24"/>
        </w:rPr>
        <w:t xml:space="preserve">November 15, 2017 </w:t>
      </w:r>
      <w:r w:rsidR="005355EA" w:rsidRPr="009E7B03">
        <w:rPr>
          <w:snapToGrid w:val="0"/>
          <w:sz w:val="24"/>
          <w:szCs w:val="24"/>
        </w:rPr>
        <w:t>denial of h</w:t>
      </w:r>
      <w:r w:rsidR="0011638B">
        <w:rPr>
          <w:snapToGrid w:val="0"/>
          <w:sz w:val="24"/>
          <w:szCs w:val="24"/>
        </w:rPr>
        <w:t>er</w:t>
      </w:r>
      <w:r w:rsidR="005355EA" w:rsidRPr="009E7B03">
        <w:rPr>
          <w:snapToGrid w:val="0"/>
          <w:sz w:val="24"/>
          <w:szCs w:val="24"/>
        </w:rPr>
        <w:t xml:space="preserve"> </w:t>
      </w:r>
      <w:r w:rsidR="0011638B">
        <w:rPr>
          <w:snapToGrid w:val="0"/>
          <w:sz w:val="24"/>
          <w:szCs w:val="24"/>
        </w:rPr>
        <w:t xml:space="preserve">August 31, 2017 </w:t>
      </w:r>
      <w:r w:rsidR="005355EA" w:rsidRPr="009E7B03">
        <w:rPr>
          <w:snapToGrid w:val="0"/>
          <w:sz w:val="24"/>
          <w:szCs w:val="24"/>
        </w:rPr>
        <w:t>informal complaint</w:t>
      </w:r>
      <w:r w:rsidR="005355EA">
        <w:rPr>
          <w:snapToGrid w:val="0"/>
          <w:sz w:val="24"/>
          <w:szCs w:val="24"/>
        </w:rPr>
        <w:t xml:space="preserve"> against </w:t>
      </w:r>
      <w:r w:rsidR="005355EA">
        <w:rPr>
          <w:rFonts w:eastAsia="Calibri"/>
          <w:sz w:val="24"/>
          <w:szCs w:val="24"/>
        </w:rPr>
        <w:t xml:space="preserve">Respondent </w:t>
      </w:r>
      <w:r w:rsidR="0011638B">
        <w:rPr>
          <w:rFonts w:eastAsia="Calibri"/>
          <w:sz w:val="24"/>
          <w:szCs w:val="24"/>
        </w:rPr>
        <w:t>Duquesne Light Company</w:t>
      </w:r>
      <w:r w:rsidR="005355EA">
        <w:rPr>
          <w:rFonts w:eastAsia="Calibri"/>
          <w:sz w:val="24"/>
          <w:szCs w:val="24"/>
        </w:rPr>
        <w:t xml:space="preserve"> (</w:t>
      </w:r>
      <w:r w:rsidR="0011638B">
        <w:rPr>
          <w:rFonts w:eastAsia="Calibri"/>
          <w:sz w:val="24"/>
          <w:szCs w:val="24"/>
        </w:rPr>
        <w:t>Duquesne Light</w:t>
      </w:r>
      <w:r w:rsidR="005355EA">
        <w:rPr>
          <w:rFonts w:eastAsia="Calibri"/>
          <w:sz w:val="24"/>
          <w:szCs w:val="24"/>
        </w:rPr>
        <w:t>)</w:t>
      </w:r>
      <w:r w:rsidR="005355EA">
        <w:rPr>
          <w:snapToGrid w:val="0"/>
          <w:sz w:val="24"/>
          <w:szCs w:val="24"/>
        </w:rPr>
        <w:t xml:space="preserve"> at BCS No. 3</w:t>
      </w:r>
      <w:r w:rsidR="00122E5F">
        <w:rPr>
          <w:snapToGrid w:val="0"/>
          <w:sz w:val="24"/>
          <w:szCs w:val="24"/>
        </w:rPr>
        <w:t>3</w:t>
      </w:r>
      <w:r w:rsidR="009A13EA">
        <w:rPr>
          <w:snapToGrid w:val="0"/>
          <w:sz w:val="24"/>
          <w:szCs w:val="24"/>
        </w:rPr>
        <w:t>54659</w:t>
      </w:r>
      <w:r w:rsidR="005355EA">
        <w:rPr>
          <w:snapToGrid w:val="0"/>
          <w:sz w:val="24"/>
          <w:szCs w:val="24"/>
        </w:rPr>
        <w:t xml:space="preserve">.  </w:t>
      </w:r>
      <w:r w:rsidR="00437DDC">
        <w:rPr>
          <w:snapToGrid w:val="0"/>
          <w:sz w:val="24"/>
          <w:szCs w:val="24"/>
        </w:rPr>
        <w:t>Utilizing the Commission’s</w:t>
      </w:r>
      <w:r w:rsidR="006928A9">
        <w:rPr>
          <w:snapToGrid w:val="0"/>
          <w:sz w:val="24"/>
          <w:szCs w:val="24"/>
        </w:rPr>
        <w:t xml:space="preserve"> standard form</w:t>
      </w:r>
      <w:r w:rsidR="00290D96">
        <w:rPr>
          <w:snapToGrid w:val="0"/>
          <w:sz w:val="24"/>
          <w:szCs w:val="24"/>
        </w:rPr>
        <w:t xml:space="preserve"> listing various choices for the reason for the complaint</w:t>
      </w:r>
      <w:r w:rsidR="006928A9">
        <w:rPr>
          <w:snapToGrid w:val="0"/>
          <w:sz w:val="24"/>
          <w:szCs w:val="24"/>
        </w:rPr>
        <w:t>, Complaint checked the box for Other</w:t>
      </w:r>
      <w:r w:rsidR="00290D96">
        <w:rPr>
          <w:snapToGrid w:val="0"/>
          <w:sz w:val="24"/>
          <w:szCs w:val="24"/>
        </w:rPr>
        <w:t xml:space="preserve"> (explain).</w:t>
      </w:r>
      <w:r w:rsidR="006928A9">
        <w:rPr>
          <w:snapToGrid w:val="0"/>
          <w:sz w:val="24"/>
          <w:szCs w:val="24"/>
        </w:rPr>
        <w:t xml:space="preserve"> </w:t>
      </w:r>
      <w:r w:rsidR="00290D96">
        <w:rPr>
          <w:snapToGrid w:val="0"/>
          <w:sz w:val="24"/>
          <w:szCs w:val="24"/>
        </w:rPr>
        <w:t xml:space="preserve"> S</w:t>
      </w:r>
      <w:r w:rsidR="00964E93">
        <w:rPr>
          <w:snapToGrid w:val="0"/>
          <w:sz w:val="24"/>
          <w:szCs w:val="24"/>
        </w:rPr>
        <w:t>he explained the electric bill dated back to 2010 or 2012</w:t>
      </w:r>
      <w:r w:rsidR="00290D96">
        <w:rPr>
          <w:snapToGrid w:val="0"/>
          <w:sz w:val="24"/>
          <w:szCs w:val="24"/>
        </w:rPr>
        <w:t>; s</w:t>
      </w:r>
      <w:r w:rsidR="00964E93">
        <w:rPr>
          <w:snapToGrid w:val="0"/>
          <w:sz w:val="24"/>
          <w:szCs w:val="24"/>
        </w:rPr>
        <w:t xml:space="preserve">he asserted her husband was on the old electric bill, </w:t>
      </w:r>
      <w:r w:rsidR="00290D96">
        <w:rPr>
          <w:snapToGrid w:val="0"/>
          <w:sz w:val="24"/>
          <w:szCs w:val="24"/>
        </w:rPr>
        <w:t>so</w:t>
      </w:r>
      <w:r w:rsidR="00964E93">
        <w:rPr>
          <w:snapToGrid w:val="0"/>
          <w:sz w:val="24"/>
          <w:szCs w:val="24"/>
        </w:rPr>
        <w:t xml:space="preserve"> he should be responsible for half</w:t>
      </w:r>
      <w:r w:rsidR="004D7D53">
        <w:rPr>
          <w:snapToGrid w:val="0"/>
          <w:sz w:val="24"/>
          <w:szCs w:val="24"/>
        </w:rPr>
        <w:t xml:space="preserve"> of the bill</w:t>
      </w:r>
      <w:r w:rsidR="00964E93">
        <w:rPr>
          <w:snapToGrid w:val="0"/>
          <w:sz w:val="24"/>
          <w:szCs w:val="24"/>
        </w:rPr>
        <w:t>.</w:t>
      </w:r>
      <w:r w:rsidR="00F02736">
        <w:rPr>
          <w:snapToGrid w:val="0"/>
          <w:sz w:val="24"/>
          <w:szCs w:val="24"/>
        </w:rPr>
        <w:t xml:space="preserve">  </w:t>
      </w:r>
      <w:r w:rsidR="00922A9F">
        <w:rPr>
          <w:snapToGrid w:val="0"/>
          <w:sz w:val="24"/>
          <w:szCs w:val="24"/>
        </w:rPr>
        <w:t>Complainant ¶4.  As relief, Complainant requested the following:</w:t>
      </w:r>
    </w:p>
    <w:p w:rsidR="006928A9" w:rsidRDefault="009A13EA" w:rsidP="00C259DD">
      <w:pPr>
        <w:ind w:left="1440" w:right="1526"/>
        <w:rPr>
          <w:rFonts w:eastAsia="Calibri"/>
          <w:sz w:val="24"/>
          <w:szCs w:val="24"/>
        </w:rPr>
      </w:pPr>
      <w:r>
        <w:rPr>
          <w:rFonts w:eastAsia="Calibri"/>
          <w:sz w:val="24"/>
          <w:szCs w:val="24"/>
        </w:rPr>
        <w:t xml:space="preserve">I want my husband, Melvin Johnson, who now lives in Philadelphia to pay half of the electric bill. </w:t>
      </w:r>
      <w:r w:rsidR="0098697B">
        <w:rPr>
          <w:rFonts w:eastAsia="Calibri"/>
          <w:sz w:val="24"/>
          <w:szCs w:val="24"/>
        </w:rPr>
        <w:t xml:space="preserve"> </w:t>
      </w:r>
      <w:r>
        <w:rPr>
          <w:rFonts w:eastAsia="Calibri"/>
          <w:sz w:val="24"/>
          <w:szCs w:val="24"/>
        </w:rPr>
        <w:t>I feel that he is responsible for hal</w:t>
      </w:r>
      <w:r w:rsidR="006928A9">
        <w:rPr>
          <w:rFonts w:eastAsia="Calibri"/>
          <w:sz w:val="24"/>
          <w:szCs w:val="24"/>
        </w:rPr>
        <w:t>f and I am responsible for half</w:t>
      </w:r>
      <w:r>
        <w:rPr>
          <w:rFonts w:eastAsia="Calibri"/>
          <w:sz w:val="24"/>
          <w:szCs w:val="24"/>
        </w:rPr>
        <w:t xml:space="preserve">. </w:t>
      </w:r>
      <w:r w:rsidR="0098697B">
        <w:rPr>
          <w:rFonts w:eastAsia="Calibri"/>
          <w:sz w:val="24"/>
          <w:szCs w:val="24"/>
        </w:rPr>
        <w:t xml:space="preserve"> </w:t>
      </w:r>
      <w:r w:rsidR="000F0126">
        <w:rPr>
          <w:rFonts w:eastAsia="Calibri"/>
          <w:sz w:val="24"/>
          <w:szCs w:val="24"/>
        </w:rPr>
        <w:t xml:space="preserve">When </w:t>
      </w:r>
      <w:r w:rsidR="00E94ABD">
        <w:rPr>
          <w:rFonts w:eastAsia="Calibri"/>
          <w:sz w:val="24"/>
          <w:szCs w:val="24"/>
        </w:rPr>
        <w:t xml:space="preserve">I </w:t>
      </w:r>
      <w:r w:rsidR="006928A9">
        <w:rPr>
          <w:rFonts w:eastAsia="Calibri"/>
          <w:sz w:val="24"/>
          <w:szCs w:val="24"/>
        </w:rPr>
        <w:t>was on the CAP program</w:t>
      </w:r>
      <w:r w:rsidR="000F0126">
        <w:rPr>
          <w:rFonts w:eastAsia="Calibri"/>
          <w:sz w:val="24"/>
          <w:szCs w:val="24"/>
        </w:rPr>
        <w:t>, h</w:t>
      </w:r>
      <w:r w:rsidR="006928A9">
        <w:rPr>
          <w:rFonts w:eastAsia="Calibri"/>
          <w:sz w:val="24"/>
          <w:szCs w:val="24"/>
        </w:rPr>
        <w:t xml:space="preserve">is name was on it too. </w:t>
      </w:r>
      <w:r w:rsidR="0098697B">
        <w:rPr>
          <w:rFonts w:eastAsia="Calibri"/>
          <w:sz w:val="24"/>
          <w:szCs w:val="24"/>
        </w:rPr>
        <w:t xml:space="preserve"> </w:t>
      </w:r>
      <w:r w:rsidR="006928A9">
        <w:rPr>
          <w:rFonts w:eastAsia="Calibri"/>
          <w:sz w:val="24"/>
          <w:szCs w:val="24"/>
        </w:rPr>
        <w:t xml:space="preserve">I was told by both Duquesne Light and PUC it was my responsibility to get him to pay.  I feel it is not my responsibility. </w:t>
      </w:r>
      <w:r w:rsidR="0098697B">
        <w:rPr>
          <w:rFonts w:eastAsia="Calibri"/>
          <w:sz w:val="24"/>
          <w:szCs w:val="24"/>
        </w:rPr>
        <w:t xml:space="preserve"> </w:t>
      </w:r>
      <w:r w:rsidR="006928A9">
        <w:rPr>
          <w:rFonts w:eastAsia="Calibri"/>
          <w:sz w:val="24"/>
          <w:szCs w:val="24"/>
        </w:rPr>
        <w:t xml:space="preserve">The amount of the bill occurred in 2010 </w:t>
      </w:r>
      <w:r w:rsidR="00922A9F">
        <w:rPr>
          <w:rFonts w:eastAsia="Calibri"/>
          <w:sz w:val="24"/>
          <w:szCs w:val="24"/>
        </w:rPr>
        <w:t>o</w:t>
      </w:r>
      <w:r w:rsidR="006928A9">
        <w:rPr>
          <w:rFonts w:eastAsia="Calibri"/>
          <w:sz w:val="24"/>
          <w:szCs w:val="24"/>
        </w:rPr>
        <w:t>r 2012.  This is a very, old amount owed.  His name was on the electric bill also.</w:t>
      </w:r>
    </w:p>
    <w:p w:rsidR="00C259DD" w:rsidRDefault="00922A9F" w:rsidP="00C259DD">
      <w:pPr>
        <w:spacing w:line="360" w:lineRule="auto"/>
        <w:rPr>
          <w:rFonts w:eastAsia="Calibri"/>
          <w:sz w:val="24"/>
          <w:szCs w:val="24"/>
        </w:rPr>
      </w:pPr>
      <w:r>
        <w:rPr>
          <w:rFonts w:eastAsia="Calibri"/>
          <w:sz w:val="24"/>
          <w:szCs w:val="24"/>
        </w:rPr>
        <w:tab/>
      </w:r>
      <w:r>
        <w:rPr>
          <w:rFonts w:eastAsia="Calibri"/>
          <w:sz w:val="24"/>
          <w:szCs w:val="24"/>
        </w:rPr>
        <w:tab/>
      </w:r>
    </w:p>
    <w:p w:rsidR="00922A9F" w:rsidRDefault="00C259DD" w:rsidP="00C259DD">
      <w:pPr>
        <w:spacing w:line="360" w:lineRule="auto"/>
        <w:rPr>
          <w:rFonts w:eastAsia="Calibri"/>
          <w:sz w:val="24"/>
          <w:szCs w:val="24"/>
        </w:rPr>
      </w:pPr>
      <w:r>
        <w:rPr>
          <w:rFonts w:eastAsia="Calibri"/>
          <w:sz w:val="24"/>
          <w:szCs w:val="24"/>
        </w:rPr>
        <w:tab/>
      </w:r>
      <w:r>
        <w:rPr>
          <w:rFonts w:eastAsia="Calibri"/>
          <w:sz w:val="24"/>
          <w:szCs w:val="24"/>
        </w:rPr>
        <w:tab/>
      </w:r>
      <w:r w:rsidR="00922A9F">
        <w:rPr>
          <w:rFonts w:eastAsia="Calibri"/>
          <w:sz w:val="24"/>
          <w:szCs w:val="24"/>
        </w:rPr>
        <w:t xml:space="preserve">In a separate attachment to the Complaint, Complainant </w:t>
      </w:r>
      <w:r w:rsidR="0098697B">
        <w:rPr>
          <w:rFonts w:eastAsia="Calibri"/>
          <w:sz w:val="24"/>
          <w:szCs w:val="24"/>
        </w:rPr>
        <w:t>alleged</w:t>
      </w:r>
      <w:r w:rsidR="00922A9F">
        <w:rPr>
          <w:rFonts w:eastAsia="Calibri"/>
          <w:sz w:val="24"/>
          <w:szCs w:val="24"/>
        </w:rPr>
        <w:t xml:space="preserve"> as follows:</w:t>
      </w:r>
    </w:p>
    <w:p w:rsidR="00C259DD" w:rsidRDefault="00C259DD" w:rsidP="00C259DD">
      <w:pPr>
        <w:spacing w:line="360" w:lineRule="auto"/>
        <w:rPr>
          <w:rFonts w:eastAsia="Calibri"/>
          <w:sz w:val="24"/>
          <w:szCs w:val="24"/>
        </w:rPr>
      </w:pPr>
    </w:p>
    <w:p w:rsidR="00922A9F" w:rsidRDefault="00922A9F" w:rsidP="00C259DD">
      <w:pPr>
        <w:ind w:left="1440" w:right="1526"/>
        <w:rPr>
          <w:rFonts w:eastAsia="Calibri"/>
          <w:sz w:val="24"/>
          <w:szCs w:val="24"/>
        </w:rPr>
      </w:pPr>
      <w:r>
        <w:rPr>
          <w:rFonts w:eastAsia="Calibri"/>
          <w:sz w:val="24"/>
          <w:szCs w:val="24"/>
        </w:rPr>
        <w:t>I am writing you regard</w:t>
      </w:r>
      <w:r w:rsidR="004D7D53">
        <w:rPr>
          <w:rFonts w:eastAsia="Calibri"/>
          <w:sz w:val="24"/>
          <w:szCs w:val="24"/>
        </w:rPr>
        <w:t>ing</w:t>
      </w:r>
      <w:r w:rsidR="00AC5222">
        <w:rPr>
          <w:rFonts w:eastAsia="Calibri"/>
          <w:sz w:val="24"/>
          <w:szCs w:val="24"/>
        </w:rPr>
        <w:t xml:space="preserve"> </w:t>
      </w:r>
      <w:r>
        <w:rPr>
          <w:rFonts w:eastAsia="Calibri"/>
          <w:sz w:val="24"/>
          <w:szCs w:val="24"/>
        </w:rPr>
        <w:t>my account that I had with Duquesne Light Company.  I did no</w:t>
      </w:r>
      <w:r w:rsidR="0098697B">
        <w:rPr>
          <w:rFonts w:eastAsia="Calibri"/>
          <w:sz w:val="24"/>
          <w:szCs w:val="24"/>
        </w:rPr>
        <w:t>t</w:t>
      </w:r>
      <w:r>
        <w:rPr>
          <w:rFonts w:eastAsia="Calibri"/>
          <w:sz w:val="24"/>
          <w:szCs w:val="24"/>
        </w:rPr>
        <w:t xml:space="preserve"> want service at 375 Rodi Road, Apt. 302.  The bill </w:t>
      </w:r>
      <w:r>
        <w:rPr>
          <w:rFonts w:eastAsia="Calibri"/>
          <w:sz w:val="24"/>
          <w:szCs w:val="24"/>
        </w:rPr>
        <w:lastRenderedPageBreak/>
        <w:t>is from 2012 or longer.  I lived at 444 Taylor Street and 4316 Penn Ave., 2</w:t>
      </w:r>
      <w:r w:rsidRPr="00922A9F">
        <w:rPr>
          <w:rFonts w:eastAsia="Calibri"/>
          <w:sz w:val="24"/>
          <w:szCs w:val="24"/>
          <w:vertAlign w:val="superscript"/>
        </w:rPr>
        <w:t>nd</w:t>
      </w:r>
      <w:r>
        <w:rPr>
          <w:rFonts w:eastAsia="Calibri"/>
          <w:sz w:val="24"/>
          <w:szCs w:val="24"/>
        </w:rPr>
        <w:t xml:space="preserve"> Floor. </w:t>
      </w:r>
      <w:r w:rsidR="00D973DB">
        <w:rPr>
          <w:rFonts w:eastAsia="Calibri"/>
          <w:sz w:val="24"/>
          <w:szCs w:val="24"/>
        </w:rPr>
        <w:t xml:space="preserve"> </w:t>
      </w:r>
      <w:r>
        <w:rPr>
          <w:rFonts w:eastAsia="Calibri"/>
          <w:sz w:val="24"/>
          <w:szCs w:val="24"/>
        </w:rPr>
        <w:t>I don’t remember what address the bil</w:t>
      </w:r>
      <w:r w:rsidR="00D973DB">
        <w:rPr>
          <w:rFonts w:eastAsia="Calibri"/>
          <w:sz w:val="24"/>
          <w:szCs w:val="24"/>
        </w:rPr>
        <w:t>l</w:t>
      </w:r>
      <w:r>
        <w:rPr>
          <w:rFonts w:eastAsia="Calibri"/>
          <w:sz w:val="24"/>
          <w:szCs w:val="24"/>
        </w:rPr>
        <w:t xml:space="preserve"> </w:t>
      </w:r>
      <w:r w:rsidR="00D973DB">
        <w:rPr>
          <w:rFonts w:eastAsia="Calibri"/>
          <w:sz w:val="24"/>
          <w:szCs w:val="24"/>
        </w:rPr>
        <w:t>w</w:t>
      </w:r>
      <w:r>
        <w:rPr>
          <w:rFonts w:eastAsia="Calibri"/>
          <w:sz w:val="24"/>
          <w:szCs w:val="24"/>
        </w:rPr>
        <w:t>as accumulated from, but I think it was 4316 Penn Avenue, 2</w:t>
      </w:r>
      <w:r w:rsidRPr="00922A9F">
        <w:rPr>
          <w:rFonts w:eastAsia="Calibri"/>
          <w:sz w:val="24"/>
          <w:szCs w:val="24"/>
          <w:vertAlign w:val="superscript"/>
        </w:rPr>
        <w:t>nd</w:t>
      </w:r>
      <w:r>
        <w:rPr>
          <w:rFonts w:eastAsia="Calibri"/>
          <w:sz w:val="24"/>
          <w:szCs w:val="24"/>
        </w:rPr>
        <w:t xml:space="preserve"> Floor.  My husband was on the bill also, therefor, I feel he is p</w:t>
      </w:r>
      <w:r w:rsidR="000F0126">
        <w:rPr>
          <w:rFonts w:eastAsia="Calibri"/>
          <w:sz w:val="24"/>
          <w:szCs w:val="24"/>
        </w:rPr>
        <w:t>artiall</w:t>
      </w:r>
      <w:r>
        <w:rPr>
          <w:rFonts w:eastAsia="Calibri"/>
          <w:sz w:val="24"/>
          <w:szCs w:val="24"/>
        </w:rPr>
        <w:t xml:space="preserve">y responsible for the bill.  I should </w:t>
      </w:r>
      <w:r w:rsidR="00AC5222">
        <w:rPr>
          <w:rFonts w:eastAsia="Calibri"/>
          <w:sz w:val="24"/>
          <w:szCs w:val="24"/>
        </w:rPr>
        <w:t>only have to pay half, and he should be responsible for the other half.</w:t>
      </w:r>
      <w:r w:rsidR="008E1F8E">
        <w:rPr>
          <w:rFonts w:eastAsia="Calibri"/>
          <w:sz w:val="24"/>
          <w:szCs w:val="24"/>
        </w:rPr>
        <w:t xml:space="preserve">  I was told by both Duquesne Light and the Public Utility Commission that I was responsible for going after my husband for half of the bill.  The problem is I am no longer with my husband, and he lives in Philadelphia.  My husband was also on my CAP account and on the bill at 318 Washington Road Apt. </w:t>
      </w:r>
      <w:r w:rsidR="004D7D53">
        <w:rPr>
          <w:rFonts w:eastAsia="Calibri"/>
          <w:sz w:val="24"/>
          <w:szCs w:val="24"/>
        </w:rPr>
        <w:t>2</w:t>
      </w:r>
      <w:r w:rsidR="008E1F8E">
        <w:rPr>
          <w:rFonts w:eastAsia="Calibri"/>
          <w:sz w:val="24"/>
          <w:szCs w:val="24"/>
        </w:rPr>
        <w:t>08.</w:t>
      </w:r>
    </w:p>
    <w:p w:rsidR="00C259DD" w:rsidRDefault="00C259DD" w:rsidP="00C259DD">
      <w:pPr>
        <w:spacing w:line="360" w:lineRule="auto"/>
        <w:ind w:left="1440" w:right="1526" w:hanging="1440"/>
        <w:rPr>
          <w:rFonts w:eastAsia="Calibri"/>
          <w:sz w:val="24"/>
          <w:szCs w:val="24"/>
        </w:rPr>
      </w:pPr>
    </w:p>
    <w:p w:rsidR="00AC5222" w:rsidRDefault="00AC5222" w:rsidP="00C259DD">
      <w:pPr>
        <w:spacing w:line="360" w:lineRule="auto"/>
        <w:ind w:left="1440" w:right="1526" w:hanging="1440"/>
        <w:rPr>
          <w:rFonts w:eastAsia="Calibri"/>
          <w:sz w:val="24"/>
          <w:szCs w:val="24"/>
        </w:rPr>
      </w:pPr>
      <w:r>
        <w:rPr>
          <w:rFonts w:eastAsia="Calibri"/>
          <w:sz w:val="24"/>
          <w:szCs w:val="24"/>
        </w:rPr>
        <w:t>Attachment to Complaint.</w:t>
      </w:r>
    </w:p>
    <w:p w:rsidR="00AC5222" w:rsidRDefault="00AC5222" w:rsidP="005C0937">
      <w:pPr>
        <w:spacing w:line="360" w:lineRule="auto"/>
        <w:rPr>
          <w:rFonts w:eastAsia="Calibri"/>
          <w:sz w:val="24"/>
          <w:szCs w:val="24"/>
        </w:rPr>
      </w:pPr>
    </w:p>
    <w:p w:rsidR="00D973DB" w:rsidRDefault="005C0937" w:rsidP="005C0937">
      <w:pPr>
        <w:spacing w:line="360" w:lineRule="auto"/>
        <w:rPr>
          <w:rFonts w:eastAsia="Calibri"/>
          <w:sz w:val="24"/>
          <w:szCs w:val="24"/>
        </w:rPr>
      </w:pPr>
      <w:r>
        <w:rPr>
          <w:rFonts w:eastAsia="Calibri"/>
          <w:sz w:val="24"/>
          <w:szCs w:val="24"/>
        </w:rPr>
        <w:tab/>
      </w:r>
      <w:r>
        <w:rPr>
          <w:rFonts w:eastAsia="Calibri"/>
          <w:sz w:val="24"/>
          <w:szCs w:val="24"/>
        </w:rPr>
        <w:tab/>
        <w:t xml:space="preserve">On </w:t>
      </w:r>
      <w:r w:rsidR="00AC5222">
        <w:rPr>
          <w:rFonts w:eastAsia="Calibri"/>
          <w:sz w:val="24"/>
          <w:szCs w:val="24"/>
        </w:rPr>
        <w:t>January 8, 2018</w:t>
      </w:r>
      <w:r>
        <w:rPr>
          <w:rFonts w:eastAsia="Calibri"/>
          <w:sz w:val="24"/>
          <w:szCs w:val="24"/>
        </w:rPr>
        <w:t xml:space="preserve">, </w:t>
      </w:r>
      <w:r w:rsidR="00AC5222">
        <w:rPr>
          <w:rFonts w:eastAsia="Calibri"/>
          <w:sz w:val="24"/>
          <w:szCs w:val="24"/>
        </w:rPr>
        <w:t>Duquesne Light f</w:t>
      </w:r>
      <w:r>
        <w:rPr>
          <w:rFonts w:eastAsia="Calibri"/>
          <w:sz w:val="24"/>
          <w:szCs w:val="24"/>
        </w:rPr>
        <w:t>iled an Answer and New Matter</w:t>
      </w:r>
      <w:r w:rsidR="005355EA">
        <w:rPr>
          <w:rFonts w:eastAsia="Calibri"/>
          <w:sz w:val="24"/>
          <w:szCs w:val="24"/>
        </w:rPr>
        <w:t xml:space="preserve">. </w:t>
      </w:r>
      <w:r w:rsidR="0053789E">
        <w:rPr>
          <w:rFonts w:eastAsia="Calibri"/>
          <w:sz w:val="24"/>
          <w:szCs w:val="24"/>
        </w:rPr>
        <w:t xml:space="preserve"> In its </w:t>
      </w:r>
      <w:r w:rsidR="00D973DB">
        <w:rPr>
          <w:rFonts w:eastAsia="Calibri"/>
          <w:sz w:val="24"/>
          <w:szCs w:val="24"/>
        </w:rPr>
        <w:t>A</w:t>
      </w:r>
      <w:r w:rsidR="0053789E">
        <w:rPr>
          <w:rFonts w:eastAsia="Calibri"/>
          <w:sz w:val="24"/>
          <w:szCs w:val="24"/>
        </w:rPr>
        <w:t xml:space="preserve">nswer, </w:t>
      </w:r>
      <w:r w:rsidR="00D973DB">
        <w:rPr>
          <w:rFonts w:eastAsia="Calibri"/>
          <w:sz w:val="24"/>
          <w:szCs w:val="24"/>
        </w:rPr>
        <w:t>Duquesne Light avers as follows:</w:t>
      </w:r>
    </w:p>
    <w:p w:rsidR="00D973DB" w:rsidRDefault="00D973DB" w:rsidP="00B70287">
      <w:pPr>
        <w:ind w:left="1440" w:right="1530"/>
        <w:rPr>
          <w:rFonts w:eastAsia="Calibri"/>
          <w:sz w:val="24"/>
          <w:szCs w:val="24"/>
        </w:rPr>
      </w:pPr>
    </w:p>
    <w:p w:rsidR="00B70287" w:rsidRDefault="00B70287" w:rsidP="00B70287">
      <w:pPr>
        <w:ind w:left="1440" w:right="1530"/>
        <w:rPr>
          <w:rFonts w:eastAsia="Calibri"/>
          <w:sz w:val="24"/>
          <w:szCs w:val="24"/>
        </w:rPr>
      </w:pPr>
      <w:r>
        <w:rPr>
          <w:rFonts w:eastAsia="Calibri"/>
          <w:sz w:val="24"/>
          <w:szCs w:val="24"/>
        </w:rPr>
        <w:t xml:space="preserve">Based on the allegations </w:t>
      </w:r>
      <w:r w:rsidR="00824677">
        <w:rPr>
          <w:rFonts w:eastAsia="Calibri"/>
          <w:sz w:val="24"/>
          <w:szCs w:val="24"/>
        </w:rPr>
        <w:t>i</w:t>
      </w:r>
      <w:r>
        <w:rPr>
          <w:rFonts w:eastAsia="Calibri"/>
          <w:sz w:val="24"/>
          <w:szCs w:val="24"/>
        </w:rPr>
        <w:t xml:space="preserve">n the Complaint Duquesne Light understands Complainant to be disputing her responsibility to pay half the outstanding balance ($882.64) that accrued at the following two addresses while she was the ratepayer of record: (1) 444 Taylor Street, Pittsburgh, Pennsylvania 15224 (the “Taylor Street Property”); and (2) 318 Washington Road, Pittsburgh, Pennsylvania 15216 (the “Washington Road Property”).  </w:t>
      </w:r>
      <w:r w:rsidR="00745E76">
        <w:rPr>
          <w:rFonts w:eastAsia="Calibri"/>
          <w:sz w:val="24"/>
          <w:szCs w:val="24"/>
        </w:rPr>
        <w:t xml:space="preserve">Statements of accounts for those accounts are attached as Exhibits A and B, respectively.  </w:t>
      </w:r>
      <w:r>
        <w:rPr>
          <w:rFonts w:eastAsia="Calibri"/>
          <w:sz w:val="24"/>
          <w:szCs w:val="24"/>
        </w:rPr>
        <w:t>It is Duquesne Light’s position that Complainant is responsible for the balance in question because she was the ratepayer of</w:t>
      </w:r>
      <w:r w:rsidR="00824677">
        <w:rPr>
          <w:rFonts w:eastAsia="Calibri"/>
          <w:sz w:val="24"/>
          <w:szCs w:val="24"/>
        </w:rPr>
        <w:t xml:space="preserve"> record and resided at the Taylor Street Property and Washington Road Property when it accrued. </w:t>
      </w:r>
    </w:p>
    <w:p w:rsidR="00824677" w:rsidRDefault="00824677" w:rsidP="00B70287">
      <w:pPr>
        <w:ind w:left="1440" w:right="1530"/>
        <w:rPr>
          <w:rFonts w:eastAsia="Calibri"/>
          <w:sz w:val="24"/>
          <w:szCs w:val="24"/>
        </w:rPr>
      </w:pPr>
    </w:p>
    <w:p w:rsidR="00824677" w:rsidRDefault="00824677" w:rsidP="00B70287">
      <w:pPr>
        <w:ind w:left="1440" w:right="1530"/>
        <w:rPr>
          <w:rFonts w:eastAsia="Calibri"/>
          <w:sz w:val="24"/>
          <w:szCs w:val="24"/>
        </w:rPr>
      </w:pPr>
      <w:r>
        <w:rPr>
          <w:rFonts w:eastAsia="Calibri"/>
          <w:sz w:val="24"/>
          <w:szCs w:val="24"/>
        </w:rPr>
        <w:t>By way of further information, Complainant contacted Duquesne Light on December 5, 2016, to cancel service in her name at the Washington Road Property.</w:t>
      </w:r>
      <w:r w:rsidR="00745E76">
        <w:rPr>
          <w:rFonts w:eastAsia="Calibri"/>
          <w:sz w:val="24"/>
          <w:szCs w:val="24"/>
        </w:rPr>
        <w:t xml:space="preserve">  Duquesne Light complied with her request and issued a final bill for that account on December 6, 2016.</w:t>
      </w:r>
    </w:p>
    <w:p w:rsidR="00745E76" w:rsidRDefault="00745E76" w:rsidP="00B70287">
      <w:pPr>
        <w:ind w:left="1440" w:right="1530"/>
        <w:rPr>
          <w:rFonts w:eastAsia="Calibri"/>
          <w:sz w:val="24"/>
          <w:szCs w:val="24"/>
        </w:rPr>
      </w:pPr>
      <w:bookmarkStart w:id="0" w:name="_Hlk508272075"/>
      <w:r>
        <w:rPr>
          <w:rFonts w:eastAsia="Calibri"/>
          <w:sz w:val="24"/>
          <w:szCs w:val="24"/>
        </w:rPr>
        <w:t>Subsequently, on June 1, 2017, Complainant called Duquesne Light to inquire into the requirement</w:t>
      </w:r>
      <w:r w:rsidR="00902DEF">
        <w:rPr>
          <w:rFonts w:eastAsia="Calibri"/>
          <w:sz w:val="24"/>
          <w:szCs w:val="24"/>
        </w:rPr>
        <w:t>s</w:t>
      </w:r>
      <w:r>
        <w:rPr>
          <w:rFonts w:eastAsia="Calibri"/>
          <w:sz w:val="24"/>
          <w:szCs w:val="24"/>
        </w:rPr>
        <w:t xml:space="preserve"> to establish service in her name at a different property, 375 </w:t>
      </w:r>
      <w:proofErr w:type="spellStart"/>
      <w:r>
        <w:rPr>
          <w:rFonts w:eastAsia="Calibri"/>
          <w:sz w:val="24"/>
          <w:szCs w:val="24"/>
        </w:rPr>
        <w:t>Rodi</w:t>
      </w:r>
      <w:proofErr w:type="spellEnd"/>
      <w:r>
        <w:rPr>
          <w:rFonts w:eastAsia="Calibri"/>
          <w:sz w:val="24"/>
          <w:szCs w:val="24"/>
        </w:rPr>
        <w:t xml:space="preserve"> Road, Pittsburgh, Pennsylvania</w:t>
      </w:r>
      <w:r w:rsidR="000F0126">
        <w:rPr>
          <w:rFonts w:eastAsia="Calibri"/>
          <w:sz w:val="24"/>
          <w:szCs w:val="24"/>
        </w:rPr>
        <w:t xml:space="preserve"> 15235</w:t>
      </w:r>
      <w:r>
        <w:rPr>
          <w:rFonts w:eastAsia="Calibri"/>
          <w:sz w:val="24"/>
          <w:szCs w:val="24"/>
        </w:rPr>
        <w:t xml:space="preserve"> (the “</w:t>
      </w:r>
      <w:proofErr w:type="spellStart"/>
      <w:r>
        <w:rPr>
          <w:rFonts w:eastAsia="Calibri"/>
          <w:sz w:val="24"/>
          <w:szCs w:val="24"/>
        </w:rPr>
        <w:t>Rodi</w:t>
      </w:r>
      <w:proofErr w:type="spellEnd"/>
      <w:r>
        <w:rPr>
          <w:rFonts w:eastAsia="Calibri"/>
          <w:sz w:val="24"/>
          <w:szCs w:val="24"/>
        </w:rPr>
        <w:t xml:space="preserve"> Road Property”). </w:t>
      </w:r>
      <w:r w:rsidR="0046324F">
        <w:rPr>
          <w:rFonts w:eastAsia="Calibri"/>
          <w:sz w:val="24"/>
          <w:szCs w:val="24"/>
        </w:rPr>
        <w:t xml:space="preserve"> </w:t>
      </w:r>
      <w:r>
        <w:rPr>
          <w:rFonts w:eastAsia="Calibri"/>
          <w:sz w:val="24"/>
          <w:szCs w:val="24"/>
        </w:rPr>
        <w:t>At that time, Complainant was advised that she would need to pay her outstanding balance before service could be place in her name. Duquesne Light’s position is supported by the Commission’s regulations at 52 Pa. Code § 56.35(b)(1)</w:t>
      </w:r>
      <w:r w:rsidR="00DC6FC2">
        <w:rPr>
          <w:rFonts w:eastAsia="Calibri"/>
          <w:sz w:val="24"/>
          <w:szCs w:val="24"/>
        </w:rPr>
        <w:t>,</w:t>
      </w:r>
      <w:r>
        <w:rPr>
          <w:rFonts w:eastAsia="Calibri"/>
          <w:sz w:val="24"/>
          <w:szCs w:val="24"/>
        </w:rPr>
        <w:t xml:space="preserve"> and b</w:t>
      </w:r>
      <w:r w:rsidR="00DC6FC2">
        <w:rPr>
          <w:rFonts w:eastAsia="Calibri"/>
          <w:sz w:val="24"/>
          <w:szCs w:val="24"/>
        </w:rPr>
        <w:t>y</w:t>
      </w:r>
      <w:r>
        <w:rPr>
          <w:rFonts w:eastAsia="Calibri"/>
          <w:sz w:val="24"/>
          <w:szCs w:val="24"/>
        </w:rPr>
        <w:t xml:space="preserve"> its Tariff</w:t>
      </w:r>
      <w:r w:rsidR="00DC6FC2">
        <w:rPr>
          <w:rFonts w:eastAsia="Calibri"/>
          <w:sz w:val="24"/>
          <w:szCs w:val="24"/>
        </w:rPr>
        <w:t>,</w:t>
      </w:r>
      <w:r w:rsidR="00804821">
        <w:rPr>
          <w:rFonts w:eastAsia="Calibri"/>
          <w:sz w:val="24"/>
          <w:szCs w:val="24"/>
        </w:rPr>
        <w:t xml:space="preserve"> . . .</w:t>
      </w:r>
      <w:r w:rsidR="00C259DD">
        <w:rPr>
          <w:rFonts w:eastAsia="Calibri"/>
          <w:sz w:val="24"/>
          <w:szCs w:val="24"/>
        </w:rPr>
        <w:t xml:space="preserve"> </w:t>
      </w:r>
    </w:p>
    <w:bookmarkEnd w:id="0"/>
    <w:p w:rsidR="00C259DD" w:rsidRDefault="00C259DD" w:rsidP="00B70287">
      <w:pPr>
        <w:ind w:left="1440" w:right="1530"/>
        <w:rPr>
          <w:rFonts w:eastAsia="Calibri"/>
          <w:sz w:val="24"/>
          <w:szCs w:val="24"/>
        </w:rPr>
      </w:pPr>
    </w:p>
    <w:p w:rsidR="00D973DB" w:rsidRDefault="00745E76" w:rsidP="00C259DD">
      <w:pPr>
        <w:spacing w:line="360" w:lineRule="auto"/>
        <w:rPr>
          <w:rFonts w:eastAsia="Calibri"/>
          <w:sz w:val="24"/>
          <w:szCs w:val="24"/>
        </w:rPr>
      </w:pPr>
      <w:r>
        <w:rPr>
          <w:rFonts w:eastAsia="Calibri"/>
          <w:sz w:val="24"/>
          <w:szCs w:val="24"/>
        </w:rPr>
        <w:t>Answer ¶4.</w:t>
      </w:r>
    </w:p>
    <w:p w:rsidR="00DC6FC2" w:rsidRDefault="00745E76" w:rsidP="00745E76">
      <w:pPr>
        <w:spacing w:line="360" w:lineRule="auto"/>
        <w:rPr>
          <w:rFonts w:eastAsia="Calibri"/>
          <w:sz w:val="24"/>
          <w:szCs w:val="24"/>
        </w:rPr>
      </w:pPr>
      <w:r>
        <w:rPr>
          <w:rFonts w:eastAsia="Calibri"/>
          <w:sz w:val="24"/>
          <w:szCs w:val="24"/>
        </w:rPr>
        <w:lastRenderedPageBreak/>
        <w:tab/>
      </w:r>
      <w:r>
        <w:rPr>
          <w:rFonts w:eastAsia="Calibri"/>
          <w:sz w:val="24"/>
          <w:szCs w:val="24"/>
        </w:rPr>
        <w:tab/>
        <w:t xml:space="preserve">In New Matter, </w:t>
      </w:r>
      <w:r w:rsidR="00966044">
        <w:rPr>
          <w:rFonts w:eastAsia="Calibri"/>
          <w:sz w:val="24"/>
          <w:szCs w:val="24"/>
        </w:rPr>
        <w:t xml:space="preserve">Duquesne Light </w:t>
      </w:r>
      <w:r w:rsidR="00BB5667">
        <w:rPr>
          <w:rFonts w:eastAsia="Calibri"/>
          <w:sz w:val="24"/>
          <w:szCs w:val="24"/>
        </w:rPr>
        <w:t>asserts</w:t>
      </w:r>
      <w:r w:rsidR="008E1F8E">
        <w:rPr>
          <w:rFonts w:eastAsia="Calibri"/>
          <w:sz w:val="24"/>
          <w:szCs w:val="24"/>
        </w:rPr>
        <w:t xml:space="preserve"> conclusions of law to the effect that </w:t>
      </w:r>
      <w:r w:rsidR="00C259DD">
        <w:rPr>
          <w:rFonts w:eastAsia="Calibri"/>
          <w:sz w:val="24"/>
          <w:szCs w:val="24"/>
        </w:rPr>
        <w:t>the Commission’s regulations and the Company’s Tariff permit Duquesne Light to hold Complainant responsible for the charges that accrued at the Taylor Street and Washington Road Prop</w:t>
      </w:r>
      <w:r w:rsidR="00DC6FC2">
        <w:rPr>
          <w:rFonts w:eastAsia="Calibri"/>
          <w:sz w:val="24"/>
          <w:szCs w:val="24"/>
        </w:rPr>
        <w:t>e</w:t>
      </w:r>
      <w:r w:rsidR="00C259DD">
        <w:rPr>
          <w:rFonts w:eastAsia="Calibri"/>
          <w:sz w:val="24"/>
          <w:szCs w:val="24"/>
        </w:rPr>
        <w:t>r</w:t>
      </w:r>
      <w:r w:rsidR="00DC6FC2">
        <w:rPr>
          <w:rFonts w:eastAsia="Calibri"/>
          <w:sz w:val="24"/>
          <w:szCs w:val="24"/>
        </w:rPr>
        <w:t>t</w:t>
      </w:r>
      <w:r w:rsidR="00C259DD">
        <w:rPr>
          <w:rFonts w:eastAsia="Calibri"/>
          <w:sz w:val="24"/>
          <w:szCs w:val="24"/>
        </w:rPr>
        <w:t>ies</w:t>
      </w:r>
      <w:r w:rsidR="00DC6FC2">
        <w:rPr>
          <w:rFonts w:eastAsia="Calibri"/>
          <w:sz w:val="24"/>
          <w:szCs w:val="24"/>
        </w:rPr>
        <w:t>.</w:t>
      </w:r>
    </w:p>
    <w:p w:rsidR="00836FC2" w:rsidRDefault="007622AA" w:rsidP="008E5574">
      <w:pPr>
        <w:spacing w:line="360" w:lineRule="auto"/>
        <w:rPr>
          <w:rFonts w:eastAsia="Calibri"/>
          <w:sz w:val="24"/>
          <w:szCs w:val="24"/>
        </w:rPr>
      </w:pPr>
      <w:r>
        <w:rPr>
          <w:rFonts w:eastAsia="Calibri"/>
          <w:sz w:val="24"/>
          <w:szCs w:val="24"/>
        </w:rPr>
        <w:t xml:space="preserve">As relief, </w:t>
      </w:r>
      <w:r w:rsidR="00DC6FC2">
        <w:rPr>
          <w:rFonts w:eastAsia="Calibri"/>
          <w:sz w:val="24"/>
          <w:szCs w:val="24"/>
        </w:rPr>
        <w:t xml:space="preserve">Duquesne Light </w:t>
      </w:r>
      <w:r>
        <w:rPr>
          <w:rFonts w:eastAsia="Calibri"/>
          <w:sz w:val="24"/>
          <w:szCs w:val="24"/>
        </w:rPr>
        <w:t xml:space="preserve">requested that the </w:t>
      </w:r>
      <w:r w:rsidR="00DC6FC2">
        <w:rPr>
          <w:rFonts w:eastAsia="Calibri"/>
          <w:sz w:val="24"/>
          <w:szCs w:val="24"/>
        </w:rPr>
        <w:t>C</w:t>
      </w:r>
      <w:r>
        <w:rPr>
          <w:rFonts w:eastAsia="Calibri"/>
          <w:sz w:val="24"/>
          <w:szCs w:val="24"/>
        </w:rPr>
        <w:t>omplaint be dismissed.</w:t>
      </w:r>
      <w:r w:rsidR="00BA2830">
        <w:rPr>
          <w:rFonts w:eastAsia="Calibri"/>
          <w:sz w:val="24"/>
          <w:szCs w:val="24"/>
        </w:rPr>
        <w:t xml:space="preserve"> </w:t>
      </w:r>
    </w:p>
    <w:p w:rsidR="007622AA" w:rsidRDefault="00836FC2" w:rsidP="00836FC2">
      <w:pPr>
        <w:spacing w:line="360" w:lineRule="auto"/>
        <w:jc w:val="both"/>
        <w:rPr>
          <w:rFonts w:eastAsia="Calibri"/>
          <w:sz w:val="24"/>
          <w:szCs w:val="24"/>
        </w:rPr>
      </w:pPr>
      <w:r>
        <w:rPr>
          <w:rFonts w:eastAsia="Calibri"/>
          <w:sz w:val="24"/>
          <w:szCs w:val="24"/>
        </w:rPr>
        <w:t xml:space="preserve"> </w:t>
      </w:r>
      <w:r w:rsidR="00BA2830">
        <w:rPr>
          <w:rFonts w:eastAsia="Calibri"/>
          <w:sz w:val="24"/>
          <w:szCs w:val="24"/>
        </w:rPr>
        <w:t xml:space="preserve"> </w:t>
      </w:r>
    </w:p>
    <w:p w:rsidR="008E5574" w:rsidRDefault="007622AA" w:rsidP="008E5574">
      <w:pPr>
        <w:spacing w:line="360" w:lineRule="auto"/>
        <w:rPr>
          <w:rFonts w:eastAsia="Calibri"/>
          <w:sz w:val="24"/>
          <w:szCs w:val="24"/>
        </w:rPr>
      </w:pPr>
      <w:r>
        <w:rPr>
          <w:rFonts w:eastAsia="Calibri"/>
          <w:sz w:val="24"/>
          <w:szCs w:val="24"/>
        </w:rPr>
        <w:tab/>
      </w:r>
      <w:r>
        <w:rPr>
          <w:rFonts w:eastAsia="Calibri"/>
          <w:sz w:val="24"/>
          <w:szCs w:val="24"/>
        </w:rPr>
        <w:tab/>
      </w:r>
      <w:r w:rsidR="007D5F18">
        <w:rPr>
          <w:rFonts w:eastAsia="Calibri"/>
          <w:sz w:val="24"/>
          <w:szCs w:val="24"/>
        </w:rPr>
        <w:t xml:space="preserve">On </w:t>
      </w:r>
      <w:r w:rsidR="00180DB2">
        <w:rPr>
          <w:rFonts w:eastAsia="Calibri"/>
          <w:sz w:val="24"/>
          <w:szCs w:val="24"/>
        </w:rPr>
        <w:t>February 14, 2018</w:t>
      </w:r>
      <w:r w:rsidR="007D5F18">
        <w:rPr>
          <w:rFonts w:eastAsia="Calibri"/>
          <w:sz w:val="24"/>
          <w:szCs w:val="24"/>
        </w:rPr>
        <w:t>, a</w:t>
      </w:r>
      <w:r>
        <w:rPr>
          <w:rFonts w:eastAsia="Calibri"/>
          <w:sz w:val="24"/>
          <w:szCs w:val="24"/>
        </w:rPr>
        <w:t xml:space="preserve"> Telephonic Hearing Notice </w:t>
      </w:r>
      <w:r w:rsidR="007D5F18">
        <w:rPr>
          <w:rFonts w:eastAsia="Calibri"/>
          <w:sz w:val="24"/>
          <w:szCs w:val="24"/>
        </w:rPr>
        <w:t xml:space="preserve">was mailed to the </w:t>
      </w:r>
      <w:r w:rsidR="00180DB2">
        <w:rPr>
          <w:rFonts w:eastAsia="Calibri"/>
          <w:sz w:val="24"/>
          <w:szCs w:val="24"/>
        </w:rPr>
        <w:t>P</w:t>
      </w:r>
      <w:r w:rsidR="007D5F18">
        <w:rPr>
          <w:rFonts w:eastAsia="Calibri"/>
          <w:sz w:val="24"/>
          <w:szCs w:val="24"/>
        </w:rPr>
        <w:t xml:space="preserve">arties informing them that a telephone hearing was scheduled before me at 10:00 a.m. on </w:t>
      </w:r>
      <w:r w:rsidR="00180DB2">
        <w:rPr>
          <w:rFonts w:eastAsia="Calibri"/>
          <w:sz w:val="24"/>
          <w:szCs w:val="24"/>
        </w:rPr>
        <w:t>Wednesday, April</w:t>
      </w:r>
      <w:r w:rsidR="002C7C4F">
        <w:rPr>
          <w:rFonts w:eastAsia="Calibri"/>
          <w:sz w:val="24"/>
          <w:szCs w:val="24"/>
        </w:rPr>
        <w:t> </w:t>
      </w:r>
      <w:r w:rsidR="00180DB2">
        <w:rPr>
          <w:rFonts w:eastAsia="Calibri"/>
          <w:sz w:val="24"/>
          <w:szCs w:val="24"/>
        </w:rPr>
        <w:t>11, 2018</w:t>
      </w:r>
      <w:r w:rsidR="007D5F18">
        <w:rPr>
          <w:rFonts w:eastAsia="Calibri"/>
          <w:sz w:val="24"/>
          <w:szCs w:val="24"/>
        </w:rPr>
        <w:t xml:space="preserve">.  On </w:t>
      </w:r>
      <w:r w:rsidR="00180DB2">
        <w:rPr>
          <w:rFonts w:eastAsia="Calibri"/>
          <w:sz w:val="24"/>
          <w:szCs w:val="24"/>
        </w:rPr>
        <w:t>February 1</w:t>
      </w:r>
      <w:r w:rsidR="007D5F18">
        <w:rPr>
          <w:rFonts w:eastAsia="Calibri"/>
          <w:sz w:val="24"/>
          <w:szCs w:val="24"/>
        </w:rPr>
        <w:t>5, 201</w:t>
      </w:r>
      <w:r w:rsidR="00180DB2">
        <w:rPr>
          <w:rFonts w:eastAsia="Calibri"/>
          <w:sz w:val="24"/>
          <w:szCs w:val="24"/>
        </w:rPr>
        <w:t>8</w:t>
      </w:r>
      <w:r w:rsidR="007D5F18">
        <w:rPr>
          <w:rFonts w:eastAsia="Calibri"/>
          <w:sz w:val="24"/>
          <w:szCs w:val="24"/>
        </w:rPr>
        <w:t xml:space="preserve">, I issued a Prehearing Order informing the </w:t>
      </w:r>
      <w:r w:rsidR="00180DB2">
        <w:rPr>
          <w:rFonts w:eastAsia="Calibri"/>
          <w:sz w:val="24"/>
          <w:szCs w:val="24"/>
        </w:rPr>
        <w:t>P</w:t>
      </w:r>
      <w:r w:rsidR="007D5F18">
        <w:rPr>
          <w:rFonts w:eastAsia="Calibri"/>
          <w:sz w:val="24"/>
          <w:szCs w:val="24"/>
        </w:rPr>
        <w:t>arties of the applicable procedural rules and reminding them of the date and time of the telephone hearing.</w:t>
      </w:r>
    </w:p>
    <w:p w:rsidR="007D5F18" w:rsidRDefault="007D5F18" w:rsidP="008E5574">
      <w:pPr>
        <w:spacing w:line="360" w:lineRule="auto"/>
        <w:rPr>
          <w:rFonts w:eastAsia="Calibri"/>
          <w:sz w:val="24"/>
          <w:szCs w:val="24"/>
        </w:rPr>
      </w:pPr>
      <w:r>
        <w:rPr>
          <w:rFonts w:eastAsia="Calibri"/>
          <w:sz w:val="24"/>
          <w:szCs w:val="24"/>
        </w:rPr>
        <w:t xml:space="preserve"> </w:t>
      </w:r>
    </w:p>
    <w:p w:rsidR="00741888" w:rsidRDefault="00180DB2" w:rsidP="00180DB2">
      <w:pPr>
        <w:spacing w:line="360" w:lineRule="auto"/>
        <w:rPr>
          <w:rFonts w:eastAsia="Calibri"/>
          <w:sz w:val="24"/>
          <w:szCs w:val="24"/>
        </w:rPr>
      </w:pPr>
      <w:r>
        <w:rPr>
          <w:rFonts w:eastAsia="Calibri"/>
          <w:sz w:val="24"/>
          <w:szCs w:val="24"/>
        </w:rPr>
        <w:tab/>
      </w:r>
      <w:r w:rsidR="00741888">
        <w:rPr>
          <w:rFonts w:eastAsia="Calibri"/>
          <w:sz w:val="24"/>
          <w:szCs w:val="24"/>
        </w:rPr>
        <w:tab/>
        <w:t xml:space="preserve">On </w:t>
      </w:r>
      <w:r w:rsidR="00E66EE7">
        <w:rPr>
          <w:rFonts w:eastAsia="Calibri"/>
          <w:sz w:val="24"/>
          <w:szCs w:val="24"/>
        </w:rPr>
        <w:t>February 15</w:t>
      </w:r>
      <w:r w:rsidR="00741888">
        <w:rPr>
          <w:rFonts w:eastAsia="Calibri"/>
          <w:sz w:val="24"/>
          <w:szCs w:val="24"/>
        </w:rPr>
        <w:t>, 201</w:t>
      </w:r>
      <w:r w:rsidR="00E66EE7">
        <w:rPr>
          <w:rFonts w:eastAsia="Calibri"/>
          <w:sz w:val="24"/>
          <w:szCs w:val="24"/>
        </w:rPr>
        <w:t>8</w:t>
      </w:r>
      <w:r w:rsidR="00741888">
        <w:rPr>
          <w:rFonts w:eastAsia="Calibri"/>
          <w:sz w:val="24"/>
          <w:szCs w:val="24"/>
        </w:rPr>
        <w:t xml:space="preserve">, </w:t>
      </w:r>
      <w:r w:rsidR="00E66EE7">
        <w:rPr>
          <w:rFonts w:eastAsia="Calibri"/>
          <w:sz w:val="24"/>
          <w:szCs w:val="24"/>
        </w:rPr>
        <w:t xml:space="preserve">Duquesne Light filed </w:t>
      </w:r>
      <w:r w:rsidR="00741888">
        <w:rPr>
          <w:rFonts w:eastAsia="Calibri"/>
          <w:sz w:val="24"/>
          <w:szCs w:val="24"/>
        </w:rPr>
        <w:t xml:space="preserve">a Motion for Judgment </w:t>
      </w:r>
      <w:r w:rsidR="00E66EE7">
        <w:rPr>
          <w:rFonts w:eastAsia="Calibri"/>
          <w:sz w:val="24"/>
          <w:szCs w:val="24"/>
        </w:rPr>
        <w:t xml:space="preserve">on the Pleadings </w:t>
      </w:r>
      <w:r w:rsidR="00741888">
        <w:rPr>
          <w:rFonts w:eastAsia="Calibri"/>
          <w:sz w:val="24"/>
          <w:szCs w:val="24"/>
        </w:rPr>
        <w:t>(Motion).  In the Moti</w:t>
      </w:r>
      <w:r w:rsidR="00E66EE7">
        <w:rPr>
          <w:rFonts w:eastAsia="Calibri"/>
          <w:sz w:val="24"/>
          <w:szCs w:val="24"/>
        </w:rPr>
        <w:t>on Duquesne L</w:t>
      </w:r>
      <w:r w:rsidR="001C38DD">
        <w:rPr>
          <w:rFonts w:eastAsia="Calibri"/>
          <w:sz w:val="24"/>
          <w:szCs w:val="24"/>
        </w:rPr>
        <w:t>ight</w:t>
      </w:r>
      <w:r w:rsidR="00741888">
        <w:rPr>
          <w:rFonts w:eastAsia="Calibri"/>
          <w:sz w:val="24"/>
          <w:szCs w:val="24"/>
        </w:rPr>
        <w:t xml:space="preserve"> argue</w:t>
      </w:r>
      <w:r w:rsidR="00BB5667">
        <w:rPr>
          <w:rFonts w:eastAsia="Calibri"/>
          <w:sz w:val="24"/>
          <w:szCs w:val="24"/>
        </w:rPr>
        <w:t>s</w:t>
      </w:r>
      <w:r w:rsidR="00741888">
        <w:rPr>
          <w:rFonts w:eastAsia="Calibri"/>
          <w:sz w:val="24"/>
          <w:szCs w:val="24"/>
        </w:rPr>
        <w:t>, in part, as follows:</w:t>
      </w:r>
    </w:p>
    <w:p w:rsidR="00E66EE7" w:rsidRDefault="00E66EE7" w:rsidP="000859C2">
      <w:pPr>
        <w:ind w:left="1440" w:right="1080"/>
        <w:rPr>
          <w:rFonts w:eastAsia="Calibri"/>
          <w:sz w:val="24"/>
          <w:szCs w:val="24"/>
        </w:rPr>
      </w:pPr>
    </w:p>
    <w:p w:rsidR="001C38DD" w:rsidRDefault="00853063" w:rsidP="000859C2">
      <w:pPr>
        <w:ind w:left="1440" w:right="1080"/>
        <w:rPr>
          <w:rFonts w:eastAsia="Calibri"/>
          <w:sz w:val="24"/>
          <w:szCs w:val="24"/>
        </w:rPr>
      </w:pPr>
      <w:r w:rsidRPr="00853063">
        <w:rPr>
          <w:rFonts w:eastAsia="Calibri"/>
          <w:sz w:val="24"/>
          <w:szCs w:val="24"/>
        </w:rPr>
        <w:t>1.</w:t>
      </w:r>
      <w:r w:rsidRPr="00853063">
        <w:rPr>
          <w:rFonts w:eastAsia="Calibri"/>
          <w:sz w:val="24"/>
          <w:szCs w:val="24"/>
        </w:rPr>
        <w:tab/>
        <w:t xml:space="preserve">Complainant </w:t>
      </w:r>
      <w:r w:rsidR="001C38DD">
        <w:rPr>
          <w:rFonts w:eastAsia="Calibri"/>
          <w:sz w:val="24"/>
          <w:szCs w:val="24"/>
        </w:rPr>
        <w:t xml:space="preserve">acknowledges this [outstanding] balance accrued sometime between 2010 and 2012, Complaint at ¶ 5, and does not dispute her responsibility for it. </w:t>
      </w:r>
      <w:r w:rsidR="00BB5667">
        <w:rPr>
          <w:rFonts w:eastAsia="Calibri"/>
          <w:sz w:val="24"/>
          <w:szCs w:val="24"/>
        </w:rPr>
        <w:t xml:space="preserve"> </w:t>
      </w:r>
      <w:r w:rsidR="001C38DD">
        <w:rPr>
          <w:rFonts w:eastAsia="Calibri"/>
          <w:sz w:val="24"/>
          <w:szCs w:val="24"/>
        </w:rPr>
        <w:t>She merely alleges that her ex-hus</w:t>
      </w:r>
      <w:r w:rsidR="006B1286">
        <w:rPr>
          <w:rFonts w:eastAsia="Calibri"/>
          <w:sz w:val="24"/>
          <w:szCs w:val="24"/>
        </w:rPr>
        <w:t>b</w:t>
      </w:r>
      <w:r w:rsidR="001C38DD">
        <w:rPr>
          <w:rFonts w:eastAsia="Calibri"/>
          <w:sz w:val="24"/>
          <w:szCs w:val="24"/>
        </w:rPr>
        <w:t>and should be forced to pay half.</w:t>
      </w:r>
    </w:p>
    <w:p w:rsidR="00853063" w:rsidRPr="00853063" w:rsidRDefault="00853063" w:rsidP="000859C2">
      <w:pPr>
        <w:ind w:left="1440" w:right="1080"/>
        <w:rPr>
          <w:sz w:val="24"/>
          <w:szCs w:val="24"/>
        </w:rPr>
      </w:pPr>
      <w:r w:rsidRPr="00853063">
        <w:rPr>
          <w:sz w:val="24"/>
          <w:szCs w:val="24"/>
        </w:rPr>
        <w:t xml:space="preserve">  </w:t>
      </w:r>
    </w:p>
    <w:p w:rsidR="006B1286" w:rsidRPr="006B1286" w:rsidRDefault="00853063" w:rsidP="000859C2">
      <w:pPr>
        <w:ind w:left="1440" w:right="1080"/>
        <w:rPr>
          <w:rFonts w:eastAsia="Calibri"/>
          <w:sz w:val="24"/>
          <w:szCs w:val="24"/>
        </w:rPr>
      </w:pPr>
      <w:r w:rsidRPr="00853063">
        <w:rPr>
          <w:rFonts w:eastAsia="Calibri"/>
          <w:sz w:val="24"/>
          <w:szCs w:val="24"/>
        </w:rPr>
        <w:t>2.</w:t>
      </w:r>
      <w:r w:rsidRPr="00853063">
        <w:rPr>
          <w:rFonts w:ascii="Calibri" w:eastAsia="Calibri" w:hAnsi="Calibri"/>
          <w:sz w:val="24"/>
          <w:szCs w:val="24"/>
        </w:rPr>
        <w:tab/>
      </w:r>
      <w:r w:rsidR="001C38DD" w:rsidRPr="006B1286">
        <w:rPr>
          <w:rFonts w:eastAsia="Calibri"/>
          <w:sz w:val="24"/>
          <w:szCs w:val="24"/>
        </w:rPr>
        <w:t>Complainant was an adult occupant and the</w:t>
      </w:r>
      <w:r w:rsidR="006B1286">
        <w:rPr>
          <w:rFonts w:eastAsia="Calibri"/>
          <w:sz w:val="24"/>
          <w:szCs w:val="24"/>
        </w:rPr>
        <w:t xml:space="preserve"> r</w:t>
      </w:r>
      <w:r w:rsidR="001C38DD" w:rsidRPr="006B1286">
        <w:rPr>
          <w:rFonts w:eastAsia="Calibri"/>
          <w:sz w:val="24"/>
          <w:szCs w:val="24"/>
        </w:rPr>
        <w:t>atepayer of record at 444 Taylor Street, Pittsburgh, Pennsylvania 15224 and 318 Washington Road, Pittsburgh, Pennsylvania 15216 when the outstanding</w:t>
      </w:r>
      <w:r w:rsidR="006B1286" w:rsidRPr="006B1286">
        <w:rPr>
          <w:rFonts w:eastAsia="Calibri"/>
          <w:sz w:val="24"/>
          <w:szCs w:val="24"/>
        </w:rPr>
        <w:t xml:space="preserve"> </w:t>
      </w:r>
      <w:r w:rsidR="001C38DD" w:rsidRPr="006B1286">
        <w:rPr>
          <w:rFonts w:eastAsia="Calibri"/>
          <w:sz w:val="24"/>
          <w:szCs w:val="24"/>
        </w:rPr>
        <w:t>bala</w:t>
      </w:r>
      <w:r w:rsidR="006B1286" w:rsidRPr="006B1286">
        <w:rPr>
          <w:rFonts w:eastAsia="Calibri"/>
          <w:sz w:val="24"/>
          <w:szCs w:val="24"/>
        </w:rPr>
        <w:t>nce</w:t>
      </w:r>
      <w:r w:rsidR="001C38DD" w:rsidRPr="006B1286">
        <w:rPr>
          <w:rFonts w:eastAsia="Calibri"/>
          <w:sz w:val="24"/>
          <w:szCs w:val="24"/>
        </w:rPr>
        <w:t xml:space="preserve"> of $882.64 accrued (the “Balance”). </w:t>
      </w:r>
      <w:r w:rsidR="006B1286" w:rsidRPr="006B1286">
        <w:rPr>
          <w:rFonts w:eastAsia="Calibri"/>
          <w:sz w:val="24"/>
          <w:szCs w:val="24"/>
        </w:rPr>
        <w:t xml:space="preserve"> Answer ¶ 4; New Matter</w:t>
      </w:r>
      <w:r w:rsidR="006B1286">
        <w:rPr>
          <w:rFonts w:eastAsia="Calibri"/>
          <w:sz w:val="24"/>
          <w:szCs w:val="24"/>
        </w:rPr>
        <w:t xml:space="preserve"> </w:t>
      </w:r>
      <w:r w:rsidR="006B1286" w:rsidRPr="006B1286">
        <w:rPr>
          <w:rFonts w:eastAsia="Calibri"/>
          <w:sz w:val="24"/>
          <w:szCs w:val="24"/>
        </w:rPr>
        <w:t>¶ 10.</w:t>
      </w:r>
    </w:p>
    <w:p w:rsidR="006B1286" w:rsidRPr="006B1286" w:rsidRDefault="006B1286" w:rsidP="000859C2">
      <w:pPr>
        <w:ind w:left="1440" w:right="1080"/>
        <w:rPr>
          <w:rFonts w:eastAsia="Calibri"/>
          <w:sz w:val="24"/>
          <w:szCs w:val="24"/>
        </w:rPr>
      </w:pPr>
    </w:p>
    <w:p w:rsidR="00853063" w:rsidRDefault="006B1286" w:rsidP="000859C2">
      <w:pPr>
        <w:ind w:left="1440" w:right="1080"/>
        <w:rPr>
          <w:rFonts w:eastAsia="Calibri"/>
          <w:sz w:val="24"/>
          <w:szCs w:val="24"/>
        </w:rPr>
      </w:pPr>
      <w:r>
        <w:rPr>
          <w:rFonts w:eastAsia="Calibri"/>
          <w:sz w:val="24"/>
          <w:szCs w:val="24"/>
        </w:rPr>
        <w:t>. . . .</w:t>
      </w:r>
    </w:p>
    <w:p w:rsidR="006B1286" w:rsidRDefault="006B1286" w:rsidP="000859C2">
      <w:pPr>
        <w:ind w:left="1440" w:right="1080"/>
        <w:rPr>
          <w:rFonts w:eastAsia="Calibri"/>
          <w:sz w:val="24"/>
          <w:szCs w:val="24"/>
        </w:rPr>
      </w:pPr>
    </w:p>
    <w:p w:rsidR="00102CF7" w:rsidRDefault="006B1286" w:rsidP="000859C2">
      <w:pPr>
        <w:ind w:left="1440" w:right="1080"/>
        <w:rPr>
          <w:rFonts w:eastAsia="Calibri"/>
          <w:sz w:val="24"/>
          <w:szCs w:val="24"/>
        </w:rPr>
      </w:pPr>
      <w:r>
        <w:rPr>
          <w:rFonts w:eastAsia="Calibri"/>
          <w:sz w:val="24"/>
          <w:szCs w:val="24"/>
        </w:rPr>
        <w:t>5.</w:t>
      </w:r>
      <w:r>
        <w:rPr>
          <w:rFonts w:eastAsia="Calibri"/>
          <w:sz w:val="24"/>
          <w:szCs w:val="24"/>
        </w:rPr>
        <w:tab/>
        <w:t>Duquesne Light also alleged in its New Matter that Complaint was responsible for the balance under 52 Pa. Code § 56.35(b)(1), which states: “</w:t>
      </w:r>
      <w:r w:rsidR="000F0126">
        <w:rPr>
          <w:rFonts w:eastAsia="Calibri"/>
          <w:sz w:val="24"/>
          <w:szCs w:val="24"/>
        </w:rPr>
        <w:t>A</w:t>
      </w:r>
      <w:r>
        <w:rPr>
          <w:rFonts w:eastAsia="Calibri"/>
          <w:sz w:val="24"/>
          <w:szCs w:val="24"/>
        </w:rPr>
        <w:t xml:space="preserve"> public utility may require the payment of an outstanding balance </w:t>
      </w:r>
      <w:r w:rsidR="000F0126">
        <w:rPr>
          <w:rFonts w:eastAsia="Calibri"/>
          <w:sz w:val="24"/>
          <w:szCs w:val="24"/>
        </w:rPr>
        <w:t xml:space="preserve">or portion of an outstanding balance </w:t>
      </w:r>
      <w:r w:rsidR="009D58FE">
        <w:rPr>
          <w:rFonts w:eastAsia="Calibri"/>
          <w:sz w:val="24"/>
          <w:szCs w:val="24"/>
        </w:rPr>
        <w:t>if the applicant resided at the property for which service is requested during the time the outstanding balance accrued and for the time the appli</w:t>
      </w:r>
      <w:r w:rsidR="00102CF7">
        <w:rPr>
          <w:rFonts w:eastAsia="Calibri"/>
          <w:sz w:val="24"/>
          <w:szCs w:val="24"/>
        </w:rPr>
        <w:t>cant resided there, not exceeding four years from the date of the service request.</w:t>
      </w:r>
      <w:r w:rsidR="0005031B">
        <w:rPr>
          <w:rStyle w:val="FootnoteReference"/>
          <w:rFonts w:eastAsia="Calibri"/>
          <w:sz w:val="24"/>
          <w:szCs w:val="24"/>
        </w:rPr>
        <w:footnoteReference w:id="1"/>
      </w:r>
      <w:r w:rsidR="00102CF7">
        <w:rPr>
          <w:rFonts w:eastAsia="Calibri"/>
          <w:sz w:val="24"/>
          <w:szCs w:val="24"/>
        </w:rPr>
        <w:t xml:space="preserve">  New Matter</w:t>
      </w:r>
      <w:r w:rsidR="000F0126">
        <w:rPr>
          <w:rFonts w:eastAsia="Calibri"/>
          <w:sz w:val="24"/>
          <w:szCs w:val="24"/>
        </w:rPr>
        <w:t>,</w:t>
      </w:r>
      <w:r w:rsidR="00102CF7">
        <w:rPr>
          <w:rFonts w:eastAsia="Calibri"/>
          <w:sz w:val="24"/>
          <w:szCs w:val="24"/>
        </w:rPr>
        <w:t xml:space="preserve"> ¶ 12.</w:t>
      </w:r>
    </w:p>
    <w:p w:rsidR="00102CF7" w:rsidRDefault="00102CF7" w:rsidP="000859C2">
      <w:pPr>
        <w:ind w:left="1440" w:right="1080"/>
        <w:rPr>
          <w:sz w:val="24"/>
          <w:szCs w:val="24"/>
        </w:rPr>
      </w:pPr>
    </w:p>
    <w:p w:rsidR="00D66261" w:rsidRDefault="00D66261" w:rsidP="000859C2">
      <w:pPr>
        <w:ind w:left="1440" w:right="1080"/>
        <w:rPr>
          <w:sz w:val="24"/>
          <w:szCs w:val="24"/>
        </w:rPr>
      </w:pPr>
      <w:r>
        <w:rPr>
          <w:sz w:val="24"/>
          <w:szCs w:val="24"/>
        </w:rPr>
        <w:t>. . . .</w:t>
      </w:r>
    </w:p>
    <w:p w:rsidR="00D66261" w:rsidRDefault="00D66261" w:rsidP="000859C2">
      <w:pPr>
        <w:ind w:left="1440" w:right="1080"/>
        <w:rPr>
          <w:sz w:val="24"/>
          <w:szCs w:val="24"/>
        </w:rPr>
      </w:pPr>
    </w:p>
    <w:p w:rsidR="00D66261" w:rsidRDefault="00D66261" w:rsidP="000859C2">
      <w:pPr>
        <w:ind w:left="1440" w:right="1080"/>
        <w:rPr>
          <w:sz w:val="24"/>
          <w:szCs w:val="24"/>
        </w:rPr>
      </w:pPr>
      <w:r>
        <w:rPr>
          <w:sz w:val="24"/>
          <w:szCs w:val="24"/>
        </w:rPr>
        <w:lastRenderedPageBreak/>
        <w:t>15.</w:t>
      </w:r>
      <w:r>
        <w:rPr>
          <w:sz w:val="24"/>
          <w:szCs w:val="24"/>
        </w:rPr>
        <w:tab/>
        <w:t>Accordingly, Duquesne Light is properly holding Complainant responsible for the disputed balance.</w:t>
      </w:r>
    </w:p>
    <w:p w:rsidR="00D66261" w:rsidRDefault="00D66261" w:rsidP="000859C2">
      <w:pPr>
        <w:ind w:left="1440" w:right="1080"/>
        <w:rPr>
          <w:rFonts w:eastAsia="Calibri"/>
          <w:sz w:val="24"/>
          <w:szCs w:val="24"/>
        </w:rPr>
      </w:pPr>
    </w:p>
    <w:p w:rsidR="00D66261" w:rsidRDefault="00D66261" w:rsidP="000859C2">
      <w:pPr>
        <w:ind w:left="1440" w:right="1080"/>
        <w:rPr>
          <w:rFonts w:eastAsia="Calibri"/>
          <w:sz w:val="24"/>
          <w:szCs w:val="24"/>
        </w:rPr>
      </w:pPr>
      <w:r>
        <w:rPr>
          <w:rFonts w:eastAsia="Calibri"/>
          <w:sz w:val="24"/>
          <w:szCs w:val="24"/>
        </w:rPr>
        <w:t>16.</w:t>
      </w:r>
      <w:r>
        <w:rPr>
          <w:rFonts w:eastAsia="Calibri"/>
          <w:sz w:val="24"/>
          <w:szCs w:val="24"/>
        </w:rPr>
        <w:tab/>
        <w:t>Complainant’s remaining allegations relate to matters outside the Commission’s jurisdiction; namely</w:t>
      </w:r>
      <w:r w:rsidR="000F0126">
        <w:rPr>
          <w:rFonts w:eastAsia="Calibri"/>
          <w:sz w:val="24"/>
          <w:szCs w:val="24"/>
        </w:rPr>
        <w:t>,</w:t>
      </w:r>
      <w:r>
        <w:rPr>
          <w:rFonts w:eastAsia="Calibri"/>
          <w:sz w:val="24"/>
          <w:szCs w:val="24"/>
        </w:rPr>
        <w:t xml:space="preserve"> whether her ex-husband should have to split the bill.</w:t>
      </w:r>
    </w:p>
    <w:p w:rsidR="00D66261" w:rsidRDefault="00D66261" w:rsidP="000859C2">
      <w:pPr>
        <w:ind w:left="1440" w:right="1080"/>
        <w:rPr>
          <w:rFonts w:eastAsia="Calibri"/>
          <w:sz w:val="24"/>
          <w:szCs w:val="24"/>
        </w:rPr>
      </w:pPr>
    </w:p>
    <w:p w:rsidR="00D66261" w:rsidRDefault="00D66261" w:rsidP="000859C2">
      <w:pPr>
        <w:ind w:left="1440" w:right="1080"/>
        <w:rPr>
          <w:rFonts w:eastAsia="Calibri"/>
          <w:sz w:val="24"/>
          <w:szCs w:val="24"/>
        </w:rPr>
      </w:pPr>
      <w:r>
        <w:rPr>
          <w:rFonts w:eastAsia="Calibri"/>
          <w:sz w:val="24"/>
          <w:szCs w:val="24"/>
        </w:rPr>
        <w:t>. . . .</w:t>
      </w:r>
    </w:p>
    <w:p w:rsidR="00D66261" w:rsidRDefault="00D66261" w:rsidP="000859C2">
      <w:pPr>
        <w:ind w:left="1440" w:right="1080"/>
        <w:rPr>
          <w:rFonts w:eastAsia="Calibri"/>
          <w:sz w:val="24"/>
          <w:szCs w:val="24"/>
        </w:rPr>
      </w:pPr>
    </w:p>
    <w:p w:rsidR="00D66261" w:rsidRDefault="00D66261" w:rsidP="000859C2">
      <w:pPr>
        <w:ind w:left="1440" w:right="1080"/>
        <w:rPr>
          <w:rFonts w:eastAsia="Calibri"/>
          <w:sz w:val="24"/>
          <w:szCs w:val="24"/>
        </w:rPr>
      </w:pPr>
      <w:r>
        <w:rPr>
          <w:rFonts w:eastAsia="Calibri"/>
          <w:sz w:val="24"/>
          <w:szCs w:val="24"/>
        </w:rPr>
        <w:t>18.</w:t>
      </w:r>
      <w:r>
        <w:rPr>
          <w:rFonts w:eastAsia="Calibri"/>
          <w:sz w:val="24"/>
          <w:szCs w:val="24"/>
        </w:rPr>
        <w:tab/>
        <w:t>The Pennsylvania Public Utility Commission lack jurisdiction to determine a dispute between private parties.</w:t>
      </w:r>
    </w:p>
    <w:p w:rsidR="00D66261" w:rsidRDefault="00D66261" w:rsidP="000859C2">
      <w:pPr>
        <w:ind w:left="1440" w:right="1080"/>
        <w:rPr>
          <w:rFonts w:eastAsia="Calibri"/>
          <w:sz w:val="24"/>
          <w:szCs w:val="24"/>
        </w:rPr>
      </w:pPr>
    </w:p>
    <w:p w:rsidR="00D66261" w:rsidRDefault="00D66261" w:rsidP="000859C2">
      <w:pPr>
        <w:ind w:left="1440" w:right="1080"/>
        <w:rPr>
          <w:rFonts w:eastAsia="Calibri"/>
          <w:sz w:val="24"/>
          <w:szCs w:val="24"/>
        </w:rPr>
      </w:pPr>
      <w:r>
        <w:rPr>
          <w:rFonts w:eastAsia="Calibri"/>
          <w:sz w:val="24"/>
          <w:szCs w:val="24"/>
        </w:rPr>
        <w:t>. . . .</w:t>
      </w:r>
    </w:p>
    <w:p w:rsidR="00D66261" w:rsidRDefault="00D66261" w:rsidP="000859C2">
      <w:pPr>
        <w:ind w:left="1440" w:right="1080"/>
        <w:rPr>
          <w:rFonts w:eastAsia="Calibri"/>
          <w:sz w:val="24"/>
          <w:szCs w:val="24"/>
        </w:rPr>
      </w:pPr>
    </w:p>
    <w:p w:rsidR="00D66261" w:rsidRDefault="00D66261" w:rsidP="000859C2">
      <w:pPr>
        <w:ind w:left="1440" w:right="1080"/>
        <w:rPr>
          <w:rFonts w:eastAsia="Calibri"/>
          <w:sz w:val="24"/>
          <w:szCs w:val="24"/>
        </w:rPr>
      </w:pPr>
      <w:r>
        <w:rPr>
          <w:rFonts w:eastAsia="Calibri"/>
          <w:sz w:val="24"/>
          <w:szCs w:val="24"/>
        </w:rPr>
        <w:t>20.</w:t>
      </w:r>
      <w:r>
        <w:rPr>
          <w:rFonts w:eastAsia="Calibri"/>
          <w:sz w:val="24"/>
          <w:szCs w:val="24"/>
        </w:rPr>
        <w:tab/>
        <w:t>The Public Utility Code contains a three-year statute of limitations set forth at 66 Pa.</w:t>
      </w:r>
      <w:r w:rsidR="000F0126">
        <w:rPr>
          <w:rFonts w:eastAsia="Calibri"/>
          <w:sz w:val="24"/>
          <w:szCs w:val="24"/>
        </w:rPr>
        <w:t xml:space="preserve"> </w:t>
      </w:r>
      <w:r>
        <w:rPr>
          <w:rFonts w:eastAsia="Calibri"/>
          <w:sz w:val="24"/>
          <w:szCs w:val="24"/>
        </w:rPr>
        <w:t>C.S. § 3314(a), which states: “ No action for the recovery of any penalties under the provisions of this part, and no prosecution</w:t>
      </w:r>
      <w:r w:rsidR="000F0126">
        <w:rPr>
          <w:rFonts w:eastAsia="Calibri"/>
          <w:sz w:val="24"/>
          <w:szCs w:val="24"/>
        </w:rPr>
        <w:t>s</w:t>
      </w:r>
      <w:r>
        <w:rPr>
          <w:rFonts w:eastAsia="Calibri"/>
          <w:sz w:val="24"/>
          <w:szCs w:val="24"/>
        </w:rPr>
        <w:t xml:space="preserve"> on account of any matter or thing mentioned in this part, shall be maintained unless brought within three years from the date at which the liability therefore arose, except as otherwise provided in this part.”</w:t>
      </w:r>
    </w:p>
    <w:p w:rsidR="00D66261" w:rsidRDefault="00D66261" w:rsidP="000859C2">
      <w:pPr>
        <w:ind w:left="1440" w:right="1080"/>
        <w:rPr>
          <w:rFonts w:eastAsia="Calibri"/>
          <w:sz w:val="24"/>
          <w:szCs w:val="24"/>
        </w:rPr>
      </w:pPr>
    </w:p>
    <w:p w:rsidR="00E05062" w:rsidRDefault="00E05062" w:rsidP="000859C2">
      <w:pPr>
        <w:ind w:left="1440" w:right="1080"/>
        <w:rPr>
          <w:rFonts w:eastAsia="Calibri"/>
          <w:sz w:val="24"/>
          <w:szCs w:val="24"/>
        </w:rPr>
      </w:pPr>
      <w:r>
        <w:rPr>
          <w:rFonts w:eastAsia="Calibri"/>
          <w:sz w:val="24"/>
          <w:szCs w:val="24"/>
        </w:rPr>
        <w:t>22</w:t>
      </w:r>
      <w:r w:rsidR="00853063" w:rsidRPr="00853063">
        <w:rPr>
          <w:rFonts w:eastAsia="Calibri"/>
          <w:sz w:val="24"/>
          <w:szCs w:val="24"/>
        </w:rPr>
        <w:t>.</w:t>
      </w:r>
      <w:r w:rsidR="00853063" w:rsidRPr="00853063">
        <w:rPr>
          <w:rFonts w:eastAsia="Calibri"/>
          <w:sz w:val="24"/>
          <w:szCs w:val="24"/>
        </w:rPr>
        <w:tab/>
      </w:r>
      <w:r>
        <w:rPr>
          <w:rFonts w:eastAsia="Calibri"/>
          <w:sz w:val="24"/>
          <w:szCs w:val="24"/>
        </w:rPr>
        <w:t xml:space="preserve">Complainant admits in her Complaint that the disputed balance accrued in 2012, or even earlier.  </w:t>
      </w:r>
      <w:r w:rsidRPr="00E05062">
        <w:rPr>
          <w:rFonts w:eastAsia="Calibri"/>
          <w:sz w:val="24"/>
          <w:szCs w:val="24"/>
          <w:u w:val="single"/>
        </w:rPr>
        <w:t>See</w:t>
      </w:r>
      <w:r>
        <w:rPr>
          <w:rFonts w:eastAsia="Calibri"/>
          <w:sz w:val="24"/>
          <w:szCs w:val="24"/>
        </w:rPr>
        <w:t xml:space="preserve"> Complainant Addendum.</w:t>
      </w:r>
    </w:p>
    <w:p w:rsidR="00E05062" w:rsidRDefault="00E05062" w:rsidP="000859C2">
      <w:pPr>
        <w:ind w:left="1440" w:right="1080"/>
        <w:rPr>
          <w:rFonts w:eastAsia="Calibri"/>
          <w:sz w:val="24"/>
          <w:szCs w:val="24"/>
        </w:rPr>
      </w:pPr>
    </w:p>
    <w:p w:rsidR="00E05062" w:rsidRDefault="00E05062" w:rsidP="000859C2">
      <w:pPr>
        <w:ind w:left="1440" w:right="1080"/>
        <w:rPr>
          <w:sz w:val="24"/>
          <w:szCs w:val="24"/>
        </w:rPr>
      </w:pPr>
      <w:r>
        <w:rPr>
          <w:sz w:val="24"/>
          <w:szCs w:val="24"/>
        </w:rPr>
        <w:t>23.</w:t>
      </w:r>
      <w:r>
        <w:rPr>
          <w:sz w:val="24"/>
          <w:szCs w:val="24"/>
        </w:rPr>
        <w:tab/>
        <w:t xml:space="preserve">Thus, it is undisputed that the disputed balance accrued outside the statute of limitations period. </w:t>
      </w:r>
      <w:r w:rsidR="009D11E5">
        <w:rPr>
          <w:sz w:val="24"/>
          <w:szCs w:val="24"/>
        </w:rPr>
        <w:t xml:space="preserve"> </w:t>
      </w:r>
      <w:r>
        <w:rPr>
          <w:sz w:val="24"/>
          <w:szCs w:val="24"/>
        </w:rPr>
        <w:t>Sinc</w:t>
      </w:r>
      <w:r w:rsidR="007F56C6">
        <w:rPr>
          <w:sz w:val="24"/>
          <w:szCs w:val="24"/>
        </w:rPr>
        <w:t>e Complainant did not challenge her responsibility for the balance within the statute, her claims are barred as a matter of law.</w:t>
      </w:r>
    </w:p>
    <w:p w:rsidR="00C47134" w:rsidRDefault="00C47134" w:rsidP="00C47134">
      <w:pPr>
        <w:ind w:left="1440" w:right="1080"/>
        <w:rPr>
          <w:rFonts w:eastAsia="Calibri"/>
          <w:sz w:val="24"/>
          <w:szCs w:val="24"/>
        </w:rPr>
      </w:pPr>
    </w:p>
    <w:p w:rsidR="00C47134" w:rsidRDefault="00C47134" w:rsidP="00C47134">
      <w:pPr>
        <w:spacing w:line="360" w:lineRule="auto"/>
        <w:rPr>
          <w:rFonts w:eastAsia="Calibri"/>
          <w:sz w:val="24"/>
          <w:szCs w:val="24"/>
        </w:rPr>
      </w:pPr>
      <w:r>
        <w:rPr>
          <w:rFonts w:eastAsia="Calibri"/>
          <w:sz w:val="24"/>
          <w:szCs w:val="24"/>
        </w:rPr>
        <w:tab/>
      </w:r>
      <w:r>
        <w:rPr>
          <w:rFonts w:eastAsia="Calibri"/>
          <w:sz w:val="24"/>
          <w:szCs w:val="24"/>
        </w:rPr>
        <w:tab/>
      </w:r>
      <w:r w:rsidR="0040011F">
        <w:rPr>
          <w:rFonts w:eastAsia="Calibri"/>
          <w:sz w:val="24"/>
          <w:szCs w:val="24"/>
        </w:rPr>
        <w:t xml:space="preserve">Thus, </w:t>
      </w:r>
      <w:r w:rsidR="007F56C6">
        <w:rPr>
          <w:rFonts w:eastAsia="Calibri"/>
          <w:sz w:val="24"/>
          <w:szCs w:val="24"/>
        </w:rPr>
        <w:t>Duquesne Light requests that the Commission sustain its Motion and dismis</w:t>
      </w:r>
      <w:r w:rsidR="009D11E5">
        <w:rPr>
          <w:rFonts w:eastAsia="Calibri"/>
          <w:sz w:val="24"/>
          <w:szCs w:val="24"/>
        </w:rPr>
        <w:t>s</w:t>
      </w:r>
      <w:r w:rsidR="007F56C6">
        <w:rPr>
          <w:rFonts w:eastAsia="Calibri"/>
          <w:sz w:val="24"/>
          <w:szCs w:val="24"/>
        </w:rPr>
        <w:t xml:space="preserve"> the Complaint with prejudice.</w:t>
      </w:r>
      <w:r>
        <w:rPr>
          <w:rFonts w:eastAsia="Calibri"/>
          <w:sz w:val="24"/>
          <w:szCs w:val="24"/>
        </w:rPr>
        <w:t xml:space="preserve">  Complainant did not file an answer to the Motion.  </w:t>
      </w:r>
    </w:p>
    <w:p w:rsidR="007F56C6" w:rsidRDefault="007F56C6" w:rsidP="00C47134">
      <w:pPr>
        <w:spacing w:line="360" w:lineRule="auto"/>
        <w:rPr>
          <w:rFonts w:eastAsia="Calibri"/>
          <w:sz w:val="24"/>
          <w:szCs w:val="24"/>
        </w:rPr>
      </w:pPr>
    </w:p>
    <w:p w:rsidR="00A96DEE" w:rsidRDefault="007F56C6" w:rsidP="00C47134">
      <w:pPr>
        <w:spacing w:line="360" w:lineRule="auto"/>
        <w:rPr>
          <w:rFonts w:eastAsia="Calibri"/>
          <w:sz w:val="24"/>
          <w:szCs w:val="24"/>
        </w:rPr>
      </w:pPr>
      <w:r>
        <w:rPr>
          <w:rFonts w:eastAsia="Calibri"/>
          <w:sz w:val="24"/>
          <w:szCs w:val="24"/>
        </w:rPr>
        <w:tab/>
      </w:r>
      <w:r>
        <w:rPr>
          <w:rFonts w:eastAsia="Calibri"/>
          <w:sz w:val="24"/>
          <w:szCs w:val="24"/>
        </w:rPr>
        <w:tab/>
      </w:r>
      <w:r w:rsidR="00C47134">
        <w:rPr>
          <w:rFonts w:eastAsia="Calibri"/>
          <w:sz w:val="24"/>
          <w:szCs w:val="24"/>
        </w:rPr>
        <w:t>For the reasons set forth below, the Motion must be denied.</w:t>
      </w:r>
      <w:r w:rsidR="00C47134">
        <w:rPr>
          <w:rFonts w:eastAsia="Calibri"/>
          <w:sz w:val="24"/>
          <w:szCs w:val="24"/>
        </w:rPr>
        <w:tab/>
      </w:r>
    </w:p>
    <w:p w:rsidR="0035125B" w:rsidRDefault="0035125B" w:rsidP="00FC24A1">
      <w:pPr>
        <w:spacing w:line="360" w:lineRule="auto"/>
        <w:jc w:val="center"/>
        <w:rPr>
          <w:rFonts w:eastAsia="Calibri"/>
          <w:sz w:val="24"/>
          <w:szCs w:val="24"/>
          <w:u w:val="single"/>
        </w:rPr>
      </w:pPr>
    </w:p>
    <w:p w:rsidR="00FC24A1" w:rsidRDefault="00A96DEE" w:rsidP="00FC24A1">
      <w:pPr>
        <w:spacing w:line="360" w:lineRule="auto"/>
        <w:jc w:val="center"/>
        <w:rPr>
          <w:rFonts w:eastAsia="Calibri"/>
          <w:sz w:val="24"/>
          <w:szCs w:val="24"/>
          <w:u w:val="single"/>
        </w:rPr>
      </w:pPr>
      <w:r>
        <w:rPr>
          <w:rFonts w:eastAsia="Calibri"/>
          <w:sz w:val="24"/>
          <w:szCs w:val="24"/>
          <w:u w:val="single"/>
        </w:rPr>
        <w:t>DISCUSSION</w:t>
      </w:r>
    </w:p>
    <w:p w:rsidR="00FD6D08" w:rsidRDefault="00FD6D08" w:rsidP="00FC24A1">
      <w:pPr>
        <w:spacing w:line="360" w:lineRule="auto"/>
        <w:jc w:val="center"/>
        <w:rPr>
          <w:rFonts w:eastAsia="Calibri"/>
          <w:sz w:val="24"/>
          <w:szCs w:val="24"/>
          <w:u w:val="single"/>
        </w:rPr>
      </w:pPr>
    </w:p>
    <w:p w:rsidR="00FC24A1" w:rsidRDefault="00A1345E" w:rsidP="00FC24A1">
      <w:pPr>
        <w:spacing w:line="360" w:lineRule="auto"/>
        <w:rPr>
          <w:sz w:val="24"/>
          <w:szCs w:val="24"/>
        </w:rPr>
      </w:pPr>
      <w:r>
        <w:rPr>
          <w:sz w:val="24"/>
          <w:szCs w:val="24"/>
          <w:u w:val="single"/>
        </w:rPr>
        <w:t>Applicable Legal Principles</w:t>
      </w:r>
    </w:p>
    <w:p w:rsidR="00A1345E" w:rsidRPr="00A1345E" w:rsidRDefault="00A1345E" w:rsidP="00FC24A1">
      <w:pPr>
        <w:spacing w:line="360" w:lineRule="auto"/>
        <w:rPr>
          <w:sz w:val="24"/>
          <w:szCs w:val="24"/>
        </w:rPr>
      </w:pPr>
    </w:p>
    <w:p w:rsidR="000859C2" w:rsidRDefault="00FC24A1" w:rsidP="00FC24A1">
      <w:pPr>
        <w:spacing w:line="360" w:lineRule="auto"/>
        <w:rPr>
          <w:sz w:val="24"/>
          <w:szCs w:val="24"/>
        </w:rPr>
      </w:pPr>
      <w:r>
        <w:rPr>
          <w:sz w:val="24"/>
          <w:szCs w:val="24"/>
        </w:rPr>
        <w:tab/>
      </w:r>
      <w:r>
        <w:rPr>
          <w:sz w:val="24"/>
          <w:szCs w:val="24"/>
        </w:rPr>
        <w:tab/>
      </w:r>
      <w:r w:rsidR="000859C2" w:rsidRPr="000859C2">
        <w:rPr>
          <w:sz w:val="24"/>
          <w:szCs w:val="24"/>
        </w:rPr>
        <w:t>The Commission’s Rules of Administrative Practice and Proc</w:t>
      </w:r>
      <w:r>
        <w:rPr>
          <w:sz w:val="24"/>
          <w:szCs w:val="24"/>
        </w:rPr>
        <w:t xml:space="preserve">edure, 52 </w:t>
      </w:r>
      <w:proofErr w:type="gramStart"/>
      <w:r>
        <w:rPr>
          <w:sz w:val="24"/>
          <w:szCs w:val="24"/>
        </w:rPr>
        <w:t>Pa.Code</w:t>
      </w:r>
      <w:proofErr w:type="gramEnd"/>
      <w:r>
        <w:rPr>
          <w:sz w:val="24"/>
          <w:szCs w:val="24"/>
        </w:rPr>
        <w:t xml:space="preserve"> §§ </w:t>
      </w:r>
      <w:r w:rsidR="004C2C5B">
        <w:rPr>
          <w:sz w:val="24"/>
          <w:szCs w:val="24"/>
        </w:rPr>
        <w:t> </w:t>
      </w:r>
      <w:r>
        <w:rPr>
          <w:sz w:val="24"/>
          <w:szCs w:val="24"/>
        </w:rPr>
        <w:t xml:space="preserve">1.1–5.633, </w:t>
      </w:r>
      <w:r w:rsidR="000859C2" w:rsidRPr="000859C2">
        <w:rPr>
          <w:sz w:val="24"/>
          <w:szCs w:val="24"/>
        </w:rPr>
        <w:t xml:space="preserve">provide for summary judgment, </w:t>
      </w:r>
      <w:r>
        <w:rPr>
          <w:sz w:val="24"/>
          <w:szCs w:val="24"/>
        </w:rPr>
        <w:t xml:space="preserve">in relevant part, </w:t>
      </w:r>
      <w:r w:rsidR="000859C2" w:rsidRPr="000859C2">
        <w:rPr>
          <w:sz w:val="24"/>
          <w:szCs w:val="24"/>
        </w:rPr>
        <w:t>stating</w:t>
      </w:r>
      <w:r w:rsidR="00CA58AF">
        <w:rPr>
          <w:sz w:val="24"/>
          <w:szCs w:val="24"/>
        </w:rPr>
        <w:t xml:space="preserve"> as follows</w:t>
      </w:r>
      <w:r w:rsidR="000859C2" w:rsidRPr="000859C2">
        <w:rPr>
          <w:sz w:val="24"/>
          <w:szCs w:val="24"/>
        </w:rPr>
        <w:t>:</w:t>
      </w:r>
    </w:p>
    <w:p w:rsidR="0040011F" w:rsidRPr="000859C2" w:rsidRDefault="0040011F" w:rsidP="000859C2">
      <w:pPr>
        <w:tabs>
          <w:tab w:val="left" w:pos="447"/>
          <w:tab w:val="left" w:pos="1162"/>
        </w:tabs>
        <w:autoSpaceDE w:val="0"/>
        <w:autoSpaceDN w:val="0"/>
        <w:spacing w:line="360" w:lineRule="auto"/>
        <w:ind w:firstLine="1440"/>
        <w:rPr>
          <w:sz w:val="24"/>
          <w:szCs w:val="24"/>
        </w:rPr>
      </w:pPr>
    </w:p>
    <w:p w:rsidR="000859C2" w:rsidRPr="000859C2" w:rsidRDefault="00FC24A1" w:rsidP="000859C2">
      <w:pPr>
        <w:autoSpaceDE w:val="0"/>
        <w:autoSpaceDN w:val="0"/>
        <w:adjustRightInd w:val="0"/>
        <w:ind w:left="1440" w:right="1440"/>
        <w:rPr>
          <w:b/>
          <w:sz w:val="24"/>
          <w:szCs w:val="28"/>
        </w:rPr>
      </w:pPr>
      <w:r>
        <w:rPr>
          <w:b/>
          <w:sz w:val="24"/>
          <w:szCs w:val="28"/>
        </w:rPr>
        <w:lastRenderedPageBreak/>
        <w:t xml:space="preserve">§ 5.102.  </w:t>
      </w:r>
      <w:r w:rsidR="000859C2" w:rsidRPr="000859C2">
        <w:rPr>
          <w:b/>
          <w:sz w:val="24"/>
          <w:szCs w:val="28"/>
        </w:rPr>
        <w:t>Motions for summary judgment and judgment on the pleadings.</w:t>
      </w:r>
    </w:p>
    <w:p w:rsidR="000859C2" w:rsidRPr="00FC24A1" w:rsidRDefault="000859C2" w:rsidP="000859C2">
      <w:pPr>
        <w:autoSpaceDE w:val="0"/>
        <w:autoSpaceDN w:val="0"/>
        <w:adjustRightInd w:val="0"/>
        <w:ind w:left="1440" w:right="1440"/>
        <w:rPr>
          <w:iCs/>
          <w:sz w:val="24"/>
          <w:szCs w:val="24"/>
        </w:rPr>
      </w:pPr>
    </w:p>
    <w:p w:rsidR="000859C2" w:rsidRDefault="000859C2" w:rsidP="000859C2">
      <w:pPr>
        <w:autoSpaceDE w:val="0"/>
        <w:autoSpaceDN w:val="0"/>
        <w:adjustRightInd w:val="0"/>
        <w:ind w:left="1440" w:right="1440"/>
        <w:rPr>
          <w:sz w:val="24"/>
          <w:szCs w:val="24"/>
        </w:rPr>
      </w:pPr>
      <w:r w:rsidRPr="000859C2">
        <w:rPr>
          <w:iCs/>
          <w:sz w:val="24"/>
          <w:szCs w:val="24"/>
        </w:rPr>
        <w:t>(a)</w:t>
      </w:r>
      <w:r w:rsidRPr="000859C2">
        <w:rPr>
          <w:iCs/>
          <w:sz w:val="24"/>
          <w:szCs w:val="24"/>
        </w:rPr>
        <w:tab/>
        <w:t>Ge</w:t>
      </w:r>
      <w:r w:rsidRPr="000859C2">
        <w:rPr>
          <w:i/>
          <w:iCs/>
          <w:sz w:val="24"/>
          <w:szCs w:val="24"/>
        </w:rPr>
        <w:t>nerally.</w:t>
      </w:r>
      <w:r w:rsidRPr="000859C2">
        <w:rPr>
          <w:iCs/>
          <w:sz w:val="24"/>
          <w:szCs w:val="24"/>
        </w:rPr>
        <w:t xml:space="preserve">  </w:t>
      </w:r>
      <w:r w:rsidRPr="000859C2">
        <w:rPr>
          <w:sz w:val="24"/>
          <w:szCs w:val="24"/>
        </w:rPr>
        <w:t xml:space="preserve">After the pleadings are closed, but within a time so that the hearing is not delayed, a party may move for judgment on the pleadings or summary judgment.  </w:t>
      </w:r>
      <w:r w:rsidR="009B4B9C">
        <w:rPr>
          <w:sz w:val="24"/>
          <w:szCs w:val="24"/>
        </w:rPr>
        <w:t>A motion must contain a notice which states that an answer or other responsive pleading shall be filed with in 20 days of service of the motion.</w:t>
      </w:r>
    </w:p>
    <w:p w:rsidR="0040011F" w:rsidRDefault="0040011F" w:rsidP="000859C2">
      <w:pPr>
        <w:autoSpaceDE w:val="0"/>
        <w:autoSpaceDN w:val="0"/>
        <w:adjustRightInd w:val="0"/>
        <w:ind w:left="1440" w:right="1440"/>
        <w:rPr>
          <w:sz w:val="24"/>
          <w:szCs w:val="24"/>
        </w:rPr>
      </w:pPr>
    </w:p>
    <w:p w:rsidR="00B663E2" w:rsidRDefault="000859C2" w:rsidP="000859C2">
      <w:pPr>
        <w:autoSpaceDE w:val="0"/>
        <w:autoSpaceDN w:val="0"/>
        <w:adjustRightInd w:val="0"/>
        <w:ind w:left="1440" w:right="1440"/>
        <w:rPr>
          <w:sz w:val="24"/>
          <w:szCs w:val="24"/>
        </w:rPr>
      </w:pPr>
      <w:r w:rsidRPr="000859C2">
        <w:rPr>
          <w:sz w:val="24"/>
          <w:szCs w:val="24"/>
        </w:rPr>
        <w:t>(</w:t>
      </w:r>
      <w:r w:rsidR="009B4B9C">
        <w:rPr>
          <w:sz w:val="24"/>
          <w:szCs w:val="24"/>
        </w:rPr>
        <w:t>b</w:t>
      </w:r>
      <w:r w:rsidRPr="000859C2">
        <w:rPr>
          <w:sz w:val="24"/>
          <w:szCs w:val="24"/>
        </w:rPr>
        <w:t>)</w:t>
      </w:r>
      <w:r w:rsidRPr="000859C2">
        <w:rPr>
          <w:sz w:val="24"/>
          <w:szCs w:val="24"/>
        </w:rPr>
        <w:tab/>
      </w:r>
      <w:r w:rsidR="009B4B9C" w:rsidRPr="009B4B9C">
        <w:rPr>
          <w:i/>
          <w:sz w:val="24"/>
          <w:szCs w:val="24"/>
        </w:rPr>
        <w:t>Answers</w:t>
      </w:r>
      <w:r w:rsidRPr="000859C2">
        <w:rPr>
          <w:i/>
          <w:iCs/>
          <w:sz w:val="24"/>
          <w:szCs w:val="24"/>
        </w:rPr>
        <w:t>.</w:t>
      </w:r>
      <w:r w:rsidRPr="000859C2">
        <w:rPr>
          <w:iCs/>
          <w:sz w:val="24"/>
          <w:szCs w:val="24"/>
        </w:rPr>
        <w:t xml:space="preserve">  </w:t>
      </w:r>
      <w:r w:rsidRPr="000859C2">
        <w:rPr>
          <w:sz w:val="24"/>
          <w:szCs w:val="24"/>
        </w:rPr>
        <w:t>A</w:t>
      </w:r>
      <w:r w:rsidR="009B4B9C">
        <w:rPr>
          <w:sz w:val="24"/>
          <w:szCs w:val="24"/>
        </w:rPr>
        <w:t>n answer to a motion for judgement on the pleadings or summary judgment, including an opposing affidavit or verification to a motion for summary judgment, ma</w:t>
      </w:r>
      <w:r w:rsidR="00B663E2">
        <w:rPr>
          <w:sz w:val="24"/>
          <w:szCs w:val="24"/>
        </w:rPr>
        <w:t>y</w:t>
      </w:r>
      <w:r w:rsidR="009B4B9C">
        <w:rPr>
          <w:sz w:val="24"/>
          <w:szCs w:val="24"/>
        </w:rPr>
        <w:t xml:space="preserve"> be filed within</w:t>
      </w:r>
      <w:r w:rsidR="00B663E2">
        <w:rPr>
          <w:sz w:val="24"/>
          <w:szCs w:val="24"/>
        </w:rPr>
        <w:t xml:space="preserve"> 20 days of the date of service of the motion.  . . . .</w:t>
      </w:r>
      <w:r w:rsidRPr="000859C2">
        <w:rPr>
          <w:sz w:val="24"/>
          <w:szCs w:val="24"/>
        </w:rPr>
        <w:t xml:space="preserve"> </w:t>
      </w:r>
    </w:p>
    <w:p w:rsidR="000859C2" w:rsidRPr="000859C2" w:rsidRDefault="000859C2" w:rsidP="000859C2">
      <w:pPr>
        <w:autoSpaceDE w:val="0"/>
        <w:autoSpaceDN w:val="0"/>
        <w:ind w:left="1440" w:right="1440"/>
        <w:rPr>
          <w:sz w:val="24"/>
          <w:szCs w:val="24"/>
        </w:rPr>
      </w:pPr>
    </w:p>
    <w:p w:rsidR="00B663E2" w:rsidRDefault="00B663E2" w:rsidP="00FC24A1">
      <w:pPr>
        <w:tabs>
          <w:tab w:val="left" w:pos="204"/>
        </w:tabs>
        <w:autoSpaceDE w:val="0"/>
        <w:autoSpaceDN w:val="0"/>
        <w:adjustRightInd w:val="0"/>
        <w:ind w:left="1440" w:right="1440"/>
        <w:rPr>
          <w:sz w:val="24"/>
          <w:szCs w:val="24"/>
        </w:rPr>
      </w:pPr>
      <w:r>
        <w:rPr>
          <w:sz w:val="24"/>
          <w:szCs w:val="24"/>
        </w:rPr>
        <w:t>(c)</w:t>
      </w:r>
      <w:r>
        <w:rPr>
          <w:sz w:val="24"/>
          <w:szCs w:val="24"/>
        </w:rPr>
        <w:tab/>
        <w:t>. . . .</w:t>
      </w:r>
    </w:p>
    <w:p w:rsidR="00B663E2" w:rsidRDefault="00B663E2" w:rsidP="00FC24A1">
      <w:pPr>
        <w:tabs>
          <w:tab w:val="left" w:pos="204"/>
        </w:tabs>
        <w:autoSpaceDE w:val="0"/>
        <w:autoSpaceDN w:val="0"/>
        <w:adjustRightInd w:val="0"/>
        <w:ind w:left="1440" w:right="1440"/>
        <w:rPr>
          <w:sz w:val="24"/>
          <w:szCs w:val="24"/>
        </w:rPr>
      </w:pPr>
    </w:p>
    <w:p w:rsidR="000859C2" w:rsidRPr="000859C2" w:rsidRDefault="000859C2" w:rsidP="00FC24A1">
      <w:pPr>
        <w:tabs>
          <w:tab w:val="left" w:pos="204"/>
        </w:tabs>
        <w:autoSpaceDE w:val="0"/>
        <w:autoSpaceDN w:val="0"/>
        <w:adjustRightInd w:val="0"/>
        <w:ind w:left="1440" w:right="1440"/>
        <w:rPr>
          <w:iCs/>
          <w:sz w:val="24"/>
          <w:szCs w:val="24"/>
        </w:rPr>
      </w:pPr>
      <w:r w:rsidRPr="000859C2">
        <w:rPr>
          <w:sz w:val="24"/>
          <w:szCs w:val="24"/>
        </w:rPr>
        <w:t>(d)</w:t>
      </w:r>
      <w:r w:rsidRPr="000859C2">
        <w:rPr>
          <w:sz w:val="24"/>
          <w:szCs w:val="24"/>
        </w:rPr>
        <w:tab/>
      </w:r>
      <w:r w:rsidRPr="000859C2">
        <w:rPr>
          <w:i/>
          <w:iCs/>
          <w:sz w:val="24"/>
          <w:szCs w:val="24"/>
        </w:rPr>
        <w:t>Decisions on motions.</w:t>
      </w:r>
    </w:p>
    <w:p w:rsidR="000859C2" w:rsidRPr="000859C2" w:rsidRDefault="000859C2" w:rsidP="00FC24A1">
      <w:pPr>
        <w:tabs>
          <w:tab w:val="left" w:pos="204"/>
        </w:tabs>
        <w:autoSpaceDE w:val="0"/>
        <w:autoSpaceDN w:val="0"/>
        <w:adjustRightInd w:val="0"/>
        <w:ind w:left="1440" w:right="1440"/>
        <w:rPr>
          <w:iCs/>
          <w:sz w:val="24"/>
          <w:szCs w:val="24"/>
        </w:rPr>
      </w:pPr>
    </w:p>
    <w:p w:rsidR="000859C2" w:rsidRPr="000859C2" w:rsidRDefault="000859C2" w:rsidP="00FC24A1">
      <w:pPr>
        <w:tabs>
          <w:tab w:val="left" w:pos="204"/>
        </w:tabs>
        <w:autoSpaceDE w:val="0"/>
        <w:autoSpaceDN w:val="0"/>
        <w:adjustRightInd w:val="0"/>
        <w:ind w:left="1440" w:right="1440"/>
        <w:rPr>
          <w:iCs/>
          <w:sz w:val="24"/>
          <w:szCs w:val="24"/>
        </w:rPr>
      </w:pPr>
      <w:r w:rsidRPr="000859C2">
        <w:rPr>
          <w:iCs/>
          <w:sz w:val="24"/>
          <w:szCs w:val="24"/>
        </w:rPr>
        <w:t>(1)</w:t>
      </w:r>
      <w:r w:rsidRPr="000859C2">
        <w:rPr>
          <w:iCs/>
          <w:sz w:val="24"/>
          <w:szCs w:val="24"/>
        </w:rPr>
        <w:tab/>
      </w:r>
      <w:r w:rsidRPr="000859C2">
        <w:rPr>
          <w:i/>
          <w:iCs/>
          <w:sz w:val="24"/>
          <w:szCs w:val="24"/>
        </w:rPr>
        <w:t>Standard for grant or denial on all counts.</w:t>
      </w:r>
      <w:r w:rsidRPr="000859C2">
        <w:rPr>
          <w:iCs/>
          <w:sz w:val="24"/>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0859C2" w:rsidRDefault="000859C2" w:rsidP="008144F4">
      <w:pPr>
        <w:tabs>
          <w:tab w:val="left" w:pos="0"/>
        </w:tabs>
        <w:spacing w:line="360" w:lineRule="auto"/>
        <w:rPr>
          <w:sz w:val="24"/>
        </w:rPr>
      </w:pPr>
    </w:p>
    <w:p w:rsidR="000859C2" w:rsidRPr="00FC24A1" w:rsidRDefault="00FC24A1" w:rsidP="008144F4">
      <w:pPr>
        <w:tabs>
          <w:tab w:val="left" w:pos="0"/>
        </w:tabs>
        <w:spacing w:line="360" w:lineRule="auto"/>
        <w:rPr>
          <w:sz w:val="24"/>
        </w:rPr>
      </w:pPr>
      <w:r w:rsidRPr="00FC24A1">
        <w:rPr>
          <w:sz w:val="24"/>
          <w:szCs w:val="28"/>
        </w:rPr>
        <w:t xml:space="preserve">52 </w:t>
      </w:r>
      <w:proofErr w:type="gramStart"/>
      <w:r w:rsidRPr="00FC24A1">
        <w:rPr>
          <w:sz w:val="24"/>
          <w:szCs w:val="28"/>
        </w:rPr>
        <w:t>Pa.Code</w:t>
      </w:r>
      <w:proofErr w:type="gramEnd"/>
      <w:r w:rsidRPr="00FC24A1">
        <w:rPr>
          <w:sz w:val="24"/>
          <w:szCs w:val="28"/>
        </w:rPr>
        <w:t xml:space="preserve"> § 5.102</w:t>
      </w:r>
      <w:r w:rsidR="00B663E2">
        <w:rPr>
          <w:sz w:val="24"/>
          <w:szCs w:val="28"/>
        </w:rPr>
        <w:t>(a)</w:t>
      </w:r>
      <w:r w:rsidR="0035125B">
        <w:rPr>
          <w:sz w:val="24"/>
          <w:szCs w:val="28"/>
        </w:rPr>
        <w:t>-</w:t>
      </w:r>
      <w:r w:rsidR="00B663E2">
        <w:rPr>
          <w:sz w:val="24"/>
          <w:szCs w:val="28"/>
        </w:rPr>
        <w:t>(d)(1).</w:t>
      </w:r>
    </w:p>
    <w:p w:rsidR="00FC24A1" w:rsidRDefault="00FC24A1" w:rsidP="008144F4">
      <w:pPr>
        <w:tabs>
          <w:tab w:val="left" w:pos="0"/>
        </w:tabs>
        <w:spacing w:line="360" w:lineRule="auto"/>
        <w:rPr>
          <w:sz w:val="24"/>
        </w:rPr>
      </w:pPr>
    </w:p>
    <w:p w:rsidR="00A1345E" w:rsidRPr="00BD2945" w:rsidRDefault="00A1345E" w:rsidP="00A1345E">
      <w:pPr>
        <w:spacing w:line="360" w:lineRule="auto"/>
        <w:ind w:firstLine="1440"/>
        <w:rPr>
          <w:sz w:val="24"/>
        </w:rPr>
      </w:pPr>
      <w:r w:rsidRPr="00BD2945">
        <w:rPr>
          <w:sz w:val="24"/>
        </w:rPr>
        <w:t xml:space="preserve">The standard for granting both motions is the same.  The presiding officer will grant a preliminary motion if the record shows that there is no genuine issue as to a material fact and that the moving party is entitled to judgment as a matter of law.  </w:t>
      </w:r>
      <w:r w:rsidRPr="000F0126">
        <w:rPr>
          <w:i/>
          <w:sz w:val="24"/>
        </w:rPr>
        <w:t>Id</w:t>
      </w:r>
      <w:r>
        <w:rPr>
          <w:sz w:val="24"/>
        </w:rPr>
        <w:t xml:space="preserve">. § 5.102(d)(1).  </w:t>
      </w:r>
      <w:r w:rsidRPr="00BD2945">
        <w:rPr>
          <w:sz w:val="24"/>
        </w:rPr>
        <w:t>The moving party bears the burden of showing that no genuine issue of material fact exists and that it is entitled to a judgment as a matter of law.  The Commission must view the record in the light most favorable to the non</w:t>
      </w:r>
      <w:r w:rsidR="000F0126">
        <w:rPr>
          <w:sz w:val="24"/>
        </w:rPr>
        <w:noBreakHyphen/>
      </w:r>
      <w:r w:rsidRPr="00BD2945">
        <w:rPr>
          <w:sz w:val="24"/>
        </w:rPr>
        <w:t xml:space="preserve">moving party, giving that party the benefit of all reasonable inferences.  </w:t>
      </w:r>
      <w:r w:rsidRPr="00BD2945">
        <w:rPr>
          <w:i/>
          <w:sz w:val="24"/>
        </w:rPr>
        <w:t>First Mortgage Co. of Pennsylvania v. McCall</w:t>
      </w:r>
      <w:r w:rsidRPr="00BD2945">
        <w:rPr>
          <w:sz w:val="24"/>
        </w:rPr>
        <w:t>, 459 A.2d 406 (Pa.Super.</w:t>
      </w:r>
      <w:r>
        <w:rPr>
          <w:sz w:val="24"/>
        </w:rPr>
        <w:t xml:space="preserve"> </w:t>
      </w:r>
      <w:r w:rsidRPr="00BD2945">
        <w:rPr>
          <w:sz w:val="24"/>
        </w:rPr>
        <w:t xml:space="preserve">1983); </w:t>
      </w:r>
      <w:r w:rsidRPr="00BD2945">
        <w:rPr>
          <w:i/>
          <w:sz w:val="24"/>
        </w:rPr>
        <w:t>Mertz v. Lakatos</w:t>
      </w:r>
      <w:r w:rsidRPr="00BD2945">
        <w:rPr>
          <w:sz w:val="24"/>
        </w:rPr>
        <w:t xml:space="preserve">, 381 A.2d 497 (Pa.Cmwlth. 1976).  All doubts as to the existence of a genuine issue of material fact must be resolved against the moving party.  </w:t>
      </w:r>
      <w:r w:rsidRPr="00BD2945">
        <w:rPr>
          <w:i/>
          <w:sz w:val="24"/>
        </w:rPr>
        <w:t>Thomson Coal Company v. Pike Coal Company,</w:t>
      </w:r>
      <w:r w:rsidRPr="00BD2945">
        <w:rPr>
          <w:sz w:val="24"/>
        </w:rPr>
        <w:t xml:space="preserve"> 412 A.2d 466 (Pa. 1979).  Judgment will be granted only where the right to relief is clear and free from doubt.</w:t>
      </w:r>
    </w:p>
    <w:p w:rsidR="0035125B" w:rsidRDefault="0035125B" w:rsidP="00A1345E">
      <w:pPr>
        <w:autoSpaceDE w:val="0"/>
        <w:autoSpaceDN w:val="0"/>
        <w:spacing w:line="360" w:lineRule="auto"/>
        <w:rPr>
          <w:sz w:val="24"/>
        </w:rPr>
      </w:pPr>
    </w:p>
    <w:p w:rsidR="0035125B" w:rsidRDefault="00A1345E" w:rsidP="00A1345E">
      <w:pPr>
        <w:autoSpaceDE w:val="0"/>
        <w:autoSpaceDN w:val="0"/>
        <w:spacing w:line="360" w:lineRule="auto"/>
        <w:rPr>
          <w:sz w:val="24"/>
        </w:rPr>
      </w:pPr>
      <w:r w:rsidRPr="00BD2945">
        <w:rPr>
          <w:sz w:val="24"/>
        </w:rPr>
        <w:lastRenderedPageBreak/>
        <w:tab/>
      </w:r>
      <w:r w:rsidRPr="00BD2945">
        <w:rPr>
          <w:sz w:val="24"/>
        </w:rPr>
        <w:tab/>
        <w:t xml:space="preserve">The Commission has interpreted Section 5.102 of its </w:t>
      </w:r>
      <w:r>
        <w:rPr>
          <w:sz w:val="24"/>
        </w:rPr>
        <w:t>R</w:t>
      </w:r>
      <w:r w:rsidRPr="00BD2945">
        <w:rPr>
          <w:sz w:val="24"/>
        </w:rPr>
        <w:t xml:space="preserve">egulations in conformity with </w:t>
      </w:r>
    </w:p>
    <w:p w:rsidR="00A1345E" w:rsidRPr="00BD2945" w:rsidRDefault="00A1345E" w:rsidP="00A1345E">
      <w:pPr>
        <w:autoSpaceDE w:val="0"/>
        <w:autoSpaceDN w:val="0"/>
        <w:spacing w:line="360" w:lineRule="auto"/>
        <w:rPr>
          <w:sz w:val="24"/>
        </w:rPr>
      </w:pPr>
      <w:r w:rsidRPr="00BD2945">
        <w:rPr>
          <w:sz w:val="24"/>
        </w:rPr>
        <w:t xml:space="preserve">Rule 1035 (now Rule 1035.1) of the Pennsylvania Rules of Civil Procedure.  </w:t>
      </w:r>
      <w:r w:rsidRPr="00BD2945">
        <w:rPr>
          <w:i/>
          <w:sz w:val="24"/>
        </w:rPr>
        <w:t>South River Power Partners, L.P. v. West Penn Power Company,</w:t>
      </w:r>
      <w:r w:rsidRPr="00BD2945">
        <w:rPr>
          <w:sz w:val="24"/>
        </w:rPr>
        <w:t xml:space="preserve"> Docket No. C-00935287 (Order entered November 6, 1996).  Accordingly, a non-moving party may not rest upon mere allegations or denials of the</w:t>
      </w:r>
      <w:r w:rsidR="00B663E2">
        <w:rPr>
          <w:sz w:val="24"/>
        </w:rPr>
        <w:t xml:space="preserve"> p</w:t>
      </w:r>
      <w:r w:rsidRPr="00BD2945">
        <w:rPr>
          <w:sz w:val="24"/>
        </w:rPr>
        <w:t xml:space="preserve">leadings but must submit some materials to establish that a genuine issue of material fact exists.  Pa.R.C.P. No. 1035.3; </w:t>
      </w:r>
      <w:r w:rsidRPr="00BD2945">
        <w:rPr>
          <w:i/>
          <w:sz w:val="24"/>
        </w:rPr>
        <w:t>Stover v. The United Telephone Co. of Pennsylvania</w:t>
      </w:r>
      <w:r w:rsidRPr="00BD2945">
        <w:rPr>
          <w:sz w:val="24"/>
        </w:rPr>
        <w:t xml:space="preserve">, Docket No. C-00923833 (Order entered July 21, 1992); see also </w:t>
      </w:r>
      <w:r w:rsidRPr="00BD2945">
        <w:rPr>
          <w:i/>
          <w:sz w:val="24"/>
        </w:rPr>
        <w:t>Nicastro v. Cuyler,</w:t>
      </w:r>
      <w:r w:rsidRPr="00BD2945">
        <w:rPr>
          <w:sz w:val="24"/>
        </w:rPr>
        <w:t xml:space="preserve"> 467 A.2d 1218 (Pa.Cmwlth. 1983); </w:t>
      </w:r>
      <w:r w:rsidRPr="00BD2945">
        <w:rPr>
          <w:i/>
          <w:sz w:val="24"/>
        </w:rPr>
        <w:t>Pennsylvania Gas &amp; Water Co. v. Nenna &amp; Frain, Inc.,</w:t>
      </w:r>
      <w:r w:rsidRPr="00BD2945">
        <w:rPr>
          <w:sz w:val="24"/>
        </w:rPr>
        <w:t xml:space="preserve"> 467 A.2d 330 (Pa.Super. 1983); </w:t>
      </w:r>
      <w:r w:rsidRPr="00BD2945">
        <w:rPr>
          <w:i/>
          <w:sz w:val="24"/>
        </w:rPr>
        <w:t>Geriot v.</w:t>
      </w:r>
      <w:r w:rsidR="004C2C5B">
        <w:rPr>
          <w:i/>
          <w:sz w:val="24"/>
        </w:rPr>
        <w:t> </w:t>
      </w:r>
      <w:r w:rsidRPr="00BD2945">
        <w:rPr>
          <w:i/>
          <w:sz w:val="24"/>
        </w:rPr>
        <w:t>Council of Borough of Darby</w:t>
      </w:r>
      <w:r w:rsidRPr="00BD2945">
        <w:rPr>
          <w:sz w:val="24"/>
        </w:rPr>
        <w:t>, 457 A.2d 202 (</w:t>
      </w:r>
      <w:proofErr w:type="gramStart"/>
      <w:r w:rsidRPr="00BD2945">
        <w:rPr>
          <w:sz w:val="24"/>
        </w:rPr>
        <w:t>Pa.Cmwlth</w:t>
      </w:r>
      <w:proofErr w:type="gramEnd"/>
      <w:r w:rsidRPr="00BD2945">
        <w:rPr>
          <w:sz w:val="24"/>
        </w:rPr>
        <w:t>. 1983).</w:t>
      </w:r>
    </w:p>
    <w:p w:rsidR="00A1345E" w:rsidRDefault="00A1345E" w:rsidP="00A1345E">
      <w:pPr>
        <w:tabs>
          <w:tab w:val="left" w:pos="0"/>
        </w:tabs>
        <w:spacing w:line="233" w:lineRule="auto"/>
        <w:rPr>
          <w:sz w:val="24"/>
        </w:rPr>
      </w:pPr>
    </w:p>
    <w:p w:rsidR="00A1345E" w:rsidRDefault="00A1345E" w:rsidP="00A1345E">
      <w:pPr>
        <w:tabs>
          <w:tab w:val="left" w:pos="0"/>
        </w:tabs>
        <w:spacing w:line="360" w:lineRule="auto"/>
        <w:rPr>
          <w:sz w:val="24"/>
          <w:u w:val="single"/>
        </w:rPr>
      </w:pPr>
      <w:r>
        <w:rPr>
          <w:sz w:val="24"/>
          <w:u w:val="single"/>
        </w:rPr>
        <w:t>Analysis</w:t>
      </w:r>
    </w:p>
    <w:p w:rsidR="008E46F4" w:rsidRPr="00A1345E" w:rsidRDefault="008E46F4" w:rsidP="00A1345E">
      <w:pPr>
        <w:tabs>
          <w:tab w:val="left" w:pos="0"/>
        </w:tabs>
        <w:spacing w:line="360" w:lineRule="auto"/>
        <w:rPr>
          <w:sz w:val="24"/>
          <w:u w:val="single"/>
        </w:rPr>
      </w:pPr>
    </w:p>
    <w:p w:rsidR="00AD5A93" w:rsidRDefault="00A1345E" w:rsidP="00A1345E">
      <w:pPr>
        <w:tabs>
          <w:tab w:val="left" w:pos="0"/>
        </w:tabs>
        <w:spacing w:line="360" w:lineRule="auto"/>
        <w:rPr>
          <w:sz w:val="24"/>
        </w:rPr>
      </w:pPr>
      <w:r>
        <w:rPr>
          <w:sz w:val="24"/>
        </w:rPr>
        <w:tab/>
      </w:r>
      <w:r>
        <w:rPr>
          <w:sz w:val="24"/>
        </w:rPr>
        <w:tab/>
      </w:r>
      <w:r w:rsidR="008E46F4">
        <w:rPr>
          <w:sz w:val="24"/>
        </w:rPr>
        <w:t>Duquesne Light’s Motion essentially raises two issues</w:t>
      </w:r>
      <w:r w:rsidR="007E023B">
        <w:rPr>
          <w:sz w:val="24"/>
        </w:rPr>
        <w:t>.  First,</w:t>
      </w:r>
      <w:r w:rsidR="008E46F4">
        <w:rPr>
          <w:sz w:val="24"/>
        </w:rPr>
        <w:t xml:space="preserve"> </w:t>
      </w:r>
      <w:r w:rsidR="007E023B">
        <w:rPr>
          <w:sz w:val="24"/>
        </w:rPr>
        <w:t xml:space="preserve">Complainant admits she is responsible for an outstanding bill dating back to 2010 or 2012, but she wants her ex-husband to be held responsible for half of the bill.  Duquesne Light argues that the relief Compliant seeks, i.e. attribution of half of the outstanding bill to her ex-husband, is a private action for damages and beyond the Commission’s jurisdiction. </w:t>
      </w:r>
      <w:r w:rsidR="00303B6D">
        <w:rPr>
          <w:sz w:val="24"/>
        </w:rPr>
        <w:t xml:space="preserve"> </w:t>
      </w:r>
      <w:r w:rsidR="007E023B">
        <w:rPr>
          <w:sz w:val="24"/>
        </w:rPr>
        <w:t xml:space="preserve"> </w:t>
      </w:r>
      <w:r w:rsidR="00B663E2" w:rsidRPr="00B663E2">
        <w:rPr>
          <w:i/>
          <w:sz w:val="24"/>
          <w:szCs w:val="24"/>
        </w:rPr>
        <w:t xml:space="preserve">See Poorbaugh v. Pa. Pub. Util. Comm’n, </w:t>
      </w:r>
      <w:r w:rsidR="00B663E2" w:rsidRPr="00B663E2">
        <w:rPr>
          <w:sz w:val="24"/>
          <w:szCs w:val="24"/>
        </w:rPr>
        <w:t>666 A.2d 744 (</w:t>
      </w:r>
      <w:proofErr w:type="gramStart"/>
      <w:r w:rsidR="00B663E2" w:rsidRPr="00B663E2">
        <w:rPr>
          <w:sz w:val="24"/>
          <w:szCs w:val="24"/>
        </w:rPr>
        <w:t>Pa.Cmwlth</w:t>
      </w:r>
      <w:proofErr w:type="gramEnd"/>
      <w:r w:rsidR="00B663E2" w:rsidRPr="00B663E2">
        <w:rPr>
          <w:sz w:val="24"/>
          <w:szCs w:val="24"/>
        </w:rPr>
        <w:t>. 1995)</w:t>
      </w:r>
      <w:r w:rsidR="00B663E2" w:rsidRPr="00B663E2">
        <w:rPr>
          <w:i/>
          <w:sz w:val="24"/>
          <w:szCs w:val="24"/>
        </w:rPr>
        <w:t>.</w:t>
      </w:r>
      <w:r w:rsidR="00303B6D">
        <w:rPr>
          <w:sz w:val="24"/>
          <w:szCs w:val="24"/>
        </w:rPr>
        <w:t xml:space="preserve">  </w:t>
      </w:r>
      <w:r w:rsidR="007E023B">
        <w:rPr>
          <w:sz w:val="24"/>
        </w:rPr>
        <w:t>Second</w:t>
      </w:r>
      <w:r w:rsidR="00303B6D">
        <w:rPr>
          <w:sz w:val="24"/>
        </w:rPr>
        <w:t>,</w:t>
      </w:r>
      <w:r w:rsidR="007E023B">
        <w:rPr>
          <w:sz w:val="24"/>
        </w:rPr>
        <w:t xml:space="preserve"> </w:t>
      </w:r>
      <w:r w:rsidR="00DE42D7">
        <w:rPr>
          <w:sz w:val="24"/>
        </w:rPr>
        <w:t>Complainant is seeking to prosecute a claim dating back to 2012 or earlier</w:t>
      </w:r>
      <w:r w:rsidR="007E023B">
        <w:rPr>
          <w:sz w:val="24"/>
        </w:rPr>
        <w:t xml:space="preserve">.  However, Section 3314 of the Public Utility Code requires prosecution of a claim within three years from the date the liability arose.  </w:t>
      </w:r>
      <w:r w:rsidR="00303B6D" w:rsidRPr="00303B6D">
        <w:rPr>
          <w:i/>
          <w:sz w:val="24"/>
        </w:rPr>
        <w:t>See</w:t>
      </w:r>
      <w:r w:rsidR="00303B6D" w:rsidRPr="00303B6D">
        <w:rPr>
          <w:sz w:val="24"/>
        </w:rPr>
        <w:t xml:space="preserve"> 66 Pa.C.S. § 3314(a).</w:t>
      </w:r>
      <w:r w:rsidR="00303B6D">
        <w:rPr>
          <w:sz w:val="24"/>
        </w:rPr>
        <w:t xml:space="preserve">  </w:t>
      </w:r>
      <w:r w:rsidR="007E023B">
        <w:rPr>
          <w:sz w:val="24"/>
        </w:rPr>
        <w:t xml:space="preserve">Since Complainant did not </w:t>
      </w:r>
      <w:r w:rsidR="00AD5A93">
        <w:rPr>
          <w:sz w:val="24"/>
        </w:rPr>
        <w:t xml:space="preserve">seek to begin the prosecution of her claim until the filling of her informal </w:t>
      </w:r>
      <w:r w:rsidR="007E023B">
        <w:rPr>
          <w:sz w:val="24"/>
        </w:rPr>
        <w:t xml:space="preserve">complaint </w:t>
      </w:r>
      <w:r w:rsidR="00AD5A93">
        <w:rPr>
          <w:sz w:val="24"/>
        </w:rPr>
        <w:t>on August 31, 2017, the Complaint is time barred.  Thus, Duquesne Light’s Motion infers the Company is entitled to judgment as matter of law.</w:t>
      </w:r>
    </w:p>
    <w:p w:rsidR="00AD5A93" w:rsidRDefault="00AD5A93" w:rsidP="00A1345E">
      <w:pPr>
        <w:tabs>
          <w:tab w:val="left" w:pos="0"/>
        </w:tabs>
        <w:spacing w:line="360" w:lineRule="auto"/>
        <w:rPr>
          <w:sz w:val="24"/>
        </w:rPr>
      </w:pPr>
    </w:p>
    <w:p w:rsidR="004E5FF0" w:rsidRDefault="00A1345E" w:rsidP="00A1345E">
      <w:pPr>
        <w:tabs>
          <w:tab w:val="left" w:pos="0"/>
        </w:tabs>
        <w:spacing w:line="360" w:lineRule="auto"/>
        <w:rPr>
          <w:sz w:val="24"/>
        </w:rPr>
      </w:pPr>
      <w:r>
        <w:rPr>
          <w:sz w:val="24"/>
        </w:rPr>
        <w:tab/>
      </w:r>
      <w:r>
        <w:rPr>
          <w:sz w:val="24"/>
        </w:rPr>
        <w:tab/>
      </w:r>
      <w:r w:rsidR="00AD5A93">
        <w:rPr>
          <w:sz w:val="24"/>
        </w:rPr>
        <w:t>While Duquesne Light’s argument that the relief Complainant seeks is beyond the Commission’s jurisdiction</w:t>
      </w:r>
      <w:r w:rsidR="004E5FF0">
        <w:rPr>
          <w:sz w:val="24"/>
        </w:rPr>
        <w:t xml:space="preserve"> has merit</w:t>
      </w:r>
      <w:r w:rsidR="00AD5A93">
        <w:rPr>
          <w:sz w:val="24"/>
        </w:rPr>
        <w:t xml:space="preserve">, </w:t>
      </w:r>
      <w:r w:rsidR="004E5FF0">
        <w:rPr>
          <w:sz w:val="24"/>
        </w:rPr>
        <w:t xml:space="preserve">as explained below, </w:t>
      </w:r>
      <w:r w:rsidR="00AD5A93">
        <w:rPr>
          <w:sz w:val="24"/>
        </w:rPr>
        <w:t>the filings viewed in the light most favorable to Complainant present questions of fact that prevent the granting of the Motion.</w:t>
      </w:r>
    </w:p>
    <w:p w:rsidR="004E5FF0" w:rsidRDefault="004E5FF0" w:rsidP="00A1345E">
      <w:pPr>
        <w:tabs>
          <w:tab w:val="left" w:pos="0"/>
        </w:tabs>
        <w:spacing w:line="360" w:lineRule="auto"/>
        <w:rPr>
          <w:sz w:val="24"/>
        </w:rPr>
      </w:pPr>
    </w:p>
    <w:p w:rsidR="00FD6D08" w:rsidRDefault="00FD6D08" w:rsidP="00A1345E">
      <w:pPr>
        <w:tabs>
          <w:tab w:val="left" w:pos="0"/>
        </w:tabs>
        <w:spacing w:line="360" w:lineRule="auto"/>
        <w:rPr>
          <w:sz w:val="24"/>
        </w:rPr>
      </w:pPr>
    </w:p>
    <w:p w:rsidR="00FD6D08" w:rsidRDefault="00FD6D08" w:rsidP="00A1345E">
      <w:pPr>
        <w:tabs>
          <w:tab w:val="left" w:pos="0"/>
        </w:tabs>
        <w:spacing w:line="360" w:lineRule="auto"/>
        <w:rPr>
          <w:sz w:val="24"/>
        </w:rPr>
      </w:pPr>
    </w:p>
    <w:p w:rsidR="004E5FF0" w:rsidRDefault="004E5FF0" w:rsidP="00A1345E">
      <w:pPr>
        <w:tabs>
          <w:tab w:val="left" w:pos="0"/>
        </w:tabs>
        <w:spacing w:line="360" w:lineRule="auto"/>
        <w:rPr>
          <w:sz w:val="24"/>
        </w:rPr>
      </w:pPr>
      <w:r>
        <w:rPr>
          <w:sz w:val="24"/>
        </w:rPr>
        <w:lastRenderedPageBreak/>
        <w:tab/>
      </w:r>
      <w:r>
        <w:rPr>
          <w:sz w:val="24"/>
        </w:rPr>
        <w:tab/>
        <w:t xml:space="preserve">The Complaint and Answer suggest there </w:t>
      </w:r>
      <w:r w:rsidR="001C490C">
        <w:rPr>
          <w:sz w:val="24"/>
        </w:rPr>
        <w:t xml:space="preserve">are </w:t>
      </w:r>
      <w:r>
        <w:rPr>
          <w:sz w:val="24"/>
        </w:rPr>
        <w:t>four addresses involved in this proceeding:</w:t>
      </w:r>
    </w:p>
    <w:p w:rsidR="00FD6D08" w:rsidRDefault="00FD6D08" w:rsidP="00A1345E">
      <w:pPr>
        <w:tabs>
          <w:tab w:val="left" w:pos="0"/>
        </w:tabs>
        <w:spacing w:line="360" w:lineRule="auto"/>
        <w:rPr>
          <w:sz w:val="24"/>
        </w:rPr>
      </w:pPr>
    </w:p>
    <w:p w:rsidR="004E5FF0" w:rsidRDefault="005A12B4" w:rsidP="00A1345E">
      <w:pPr>
        <w:tabs>
          <w:tab w:val="left" w:pos="0"/>
        </w:tabs>
        <w:spacing w:line="360" w:lineRule="auto"/>
        <w:rPr>
          <w:sz w:val="24"/>
        </w:rPr>
      </w:pPr>
      <w:r>
        <w:rPr>
          <w:sz w:val="24"/>
        </w:rPr>
        <w:tab/>
      </w:r>
      <w:r>
        <w:rPr>
          <w:sz w:val="24"/>
        </w:rPr>
        <w:tab/>
        <w:t>444 Taylor Street, Pittsburgh, PA 15224 – Answer ¶4; Exhibit A</w:t>
      </w:r>
    </w:p>
    <w:p w:rsidR="005A12B4" w:rsidRDefault="005A12B4" w:rsidP="00A1345E">
      <w:pPr>
        <w:tabs>
          <w:tab w:val="left" w:pos="0"/>
        </w:tabs>
        <w:spacing w:line="360" w:lineRule="auto"/>
        <w:rPr>
          <w:sz w:val="24"/>
        </w:rPr>
      </w:pPr>
      <w:r>
        <w:rPr>
          <w:sz w:val="24"/>
        </w:rPr>
        <w:tab/>
      </w:r>
      <w:r>
        <w:rPr>
          <w:sz w:val="24"/>
        </w:rPr>
        <w:tab/>
        <w:t>318 Washington Road, Pittsburgh, PA 15216 – Answer ¶4; Exhibit B</w:t>
      </w:r>
      <w:r>
        <w:rPr>
          <w:sz w:val="24"/>
        </w:rPr>
        <w:tab/>
      </w:r>
      <w:r>
        <w:rPr>
          <w:sz w:val="24"/>
        </w:rPr>
        <w:tab/>
      </w:r>
    </w:p>
    <w:p w:rsidR="005A12B4" w:rsidRDefault="005A12B4" w:rsidP="00A1345E">
      <w:pPr>
        <w:tabs>
          <w:tab w:val="left" w:pos="0"/>
        </w:tabs>
        <w:spacing w:line="360" w:lineRule="auto"/>
        <w:rPr>
          <w:sz w:val="24"/>
        </w:rPr>
      </w:pPr>
      <w:r>
        <w:rPr>
          <w:sz w:val="24"/>
        </w:rPr>
        <w:tab/>
      </w:r>
      <w:r>
        <w:rPr>
          <w:sz w:val="24"/>
        </w:rPr>
        <w:tab/>
        <w:t>4316 Penn Avenue, 2</w:t>
      </w:r>
      <w:r w:rsidRPr="005A12B4">
        <w:rPr>
          <w:sz w:val="24"/>
          <w:vertAlign w:val="superscript"/>
        </w:rPr>
        <w:t>nd</w:t>
      </w:r>
      <w:r>
        <w:rPr>
          <w:sz w:val="24"/>
        </w:rPr>
        <w:t xml:space="preserve"> Floor, Pittsburgh, PA – </w:t>
      </w:r>
      <w:r w:rsidR="001C490C">
        <w:rPr>
          <w:sz w:val="24"/>
        </w:rPr>
        <w:t>Attachment to Complaint</w:t>
      </w:r>
    </w:p>
    <w:p w:rsidR="005A12B4" w:rsidRDefault="005A12B4" w:rsidP="005A12B4">
      <w:pPr>
        <w:tabs>
          <w:tab w:val="left" w:pos="0"/>
        </w:tabs>
        <w:spacing w:line="360" w:lineRule="auto"/>
        <w:rPr>
          <w:sz w:val="24"/>
        </w:rPr>
      </w:pPr>
      <w:r>
        <w:rPr>
          <w:sz w:val="24"/>
        </w:rPr>
        <w:tab/>
      </w:r>
      <w:r>
        <w:rPr>
          <w:sz w:val="24"/>
        </w:rPr>
        <w:tab/>
        <w:t>375 Rodi Road, Apartment 302, Pittsburgh, PA 15235</w:t>
      </w:r>
      <w:r w:rsidR="001C490C">
        <w:rPr>
          <w:sz w:val="24"/>
        </w:rPr>
        <w:t xml:space="preserve"> – Complaint ¶1.</w:t>
      </w:r>
    </w:p>
    <w:p w:rsidR="001C490C" w:rsidRDefault="001C490C" w:rsidP="005A12B4">
      <w:pPr>
        <w:tabs>
          <w:tab w:val="left" w:pos="0"/>
        </w:tabs>
        <w:spacing w:line="360" w:lineRule="auto"/>
        <w:rPr>
          <w:sz w:val="24"/>
        </w:rPr>
      </w:pPr>
    </w:p>
    <w:p w:rsidR="003E653A" w:rsidRDefault="001C490C" w:rsidP="005A12B4">
      <w:pPr>
        <w:tabs>
          <w:tab w:val="left" w:pos="0"/>
        </w:tabs>
        <w:spacing w:line="360" w:lineRule="auto"/>
        <w:rPr>
          <w:sz w:val="24"/>
        </w:rPr>
      </w:pPr>
      <w:r>
        <w:rPr>
          <w:sz w:val="24"/>
        </w:rPr>
        <w:tab/>
      </w:r>
      <w:r>
        <w:rPr>
          <w:sz w:val="24"/>
        </w:rPr>
        <w:tab/>
      </w:r>
      <w:r w:rsidR="003E653A">
        <w:rPr>
          <w:sz w:val="24"/>
        </w:rPr>
        <w:t xml:space="preserve">Although </w:t>
      </w:r>
      <w:r>
        <w:rPr>
          <w:sz w:val="24"/>
        </w:rPr>
        <w:t>Complainant alleges the outstanding bill was from 2010 or 2012</w:t>
      </w:r>
      <w:r w:rsidR="003E653A">
        <w:rPr>
          <w:sz w:val="24"/>
        </w:rPr>
        <w:t>,</w:t>
      </w:r>
      <w:r>
        <w:rPr>
          <w:sz w:val="24"/>
        </w:rPr>
        <w:t xml:space="preserve"> she also alleges she is uncertain as to the address where the bill was accumulated.  Complainant asserts, “I lived at 444 Taylor Street and 4316 Penn Avenue, 2</w:t>
      </w:r>
      <w:r w:rsidRPr="001C490C">
        <w:rPr>
          <w:sz w:val="24"/>
          <w:vertAlign w:val="superscript"/>
        </w:rPr>
        <w:t>nd</w:t>
      </w:r>
      <w:r>
        <w:rPr>
          <w:sz w:val="24"/>
        </w:rPr>
        <w:t xml:space="preserve"> </w:t>
      </w:r>
      <w:r w:rsidR="003E653A">
        <w:rPr>
          <w:sz w:val="24"/>
        </w:rPr>
        <w:t>Fl</w:t>
      </w:r>
      <w:r>
        <w:rPr>
          <w:sz w:val="24"/>
        </w:rPr>
        <w:t>oor</w:t>
      </w:r>
      <w:r w:rsidR="003E653A">
        <w:rPr>
          <w:sz w:val="24"/>
        </w:rPr>
        <w:t xml:space="preserve">.  I don’t remember what address the bill was accumulated from. </w:t>
      </w:r>
      <w:r w:rsidR="0046324F">
        <w:rPr>
          <w:sz w:val="24"/>
        </w:rPr>
        <w:t xml:space="preserve"> </w:t>
      </w:r>
      <w:r w:rsidR="003E653A">
        <w:rPr>
          <w:sz w:val="24"/>
        </w:rPr>
        <w:t>But I think it was 4316 Penn Avenue, 2nd Floor.”  Attachment to Complaint.</w:t>
      </w:r>
    </w:p>
    <w:p w:rsidR="00E65482" w:rsidRDefault="00E65482" w:rsidP="005A12B4">
      <w:pPr>
        <w:tabs>
          <w:tab w:val="left" w:pos="0"/>
        </w:tabs>
        <w:spacing w:line="360" w:lineRule="auto"/>
        <w:rPr>
          <w:sz w:val="24"/>
        </w:rPr>
      </w:pPr>
      <w:r>
        <w:rPr>
          <w:sz w:val="24"/>
        </w:rPr>
        <w:t xml:space="preserve">There is no reference to the Penn Avenue address in </w:t>
      </w:r>
      <w:r w:rsidR="00217DBB">
        <w:rPr>
          <w:sz w:val="24"/>
        </w:rPr>
        <w:t>Duquesne Light’s Motion.  Instead, Duquesne Light contends the outstanding balance accrued at Taylor Street and Washington Road Properties</w:t>
      </w:r>
      <w:r w:rsidR="004C2C5B">
        <w:rPr>
          <w:sz w:val="24"/>
        </w:rPr>
        <w:t xml:space="preserve">.  </w:t>
      </w:r>
      <w:r w:rsidR="00217DBB">
        <w:rPr>
          <w:sz w:val="24"/>
        </w:rPr>
        <w:t xml:space="preserve">Thus, there are questions of fact as to whether any portion of the outstanding balance accrued at the Penn Avenue address and during what time periods.  </w:t>
      </w:r>
    </w:p>
    <w:p w:rsidR="00217DBB" w:rsidRDefault="00217DBB" w:rsidP="005A12B4">
      <w:pPr>
        <w:tabs>
          <w:tab w:val="left" w:pos="0"/>
        </w:tabs>
        <w:spacing w:line="360" w:lineRule="auto"/>
        <w:rPr>
          <w:sz w:val="24"/>
        </w:rPr>
      </w:pPr>
    </w:p>
    <w:p w:rsidR="00C217E2" w:rsidRDefault="00217DBB" w:rsidP="005A12B4">
      <w:pPr>
        <w:tabs>
          <w:tab w:val="left" w:pos="0"/>
        </w:tabs>
        <w:spacing w:line="360" w:lineRule="auto"/>
        <w:rPr>
          <w:sz w:val="24"/>
        </w:rPr>
      </w:pPr>
      <w:r>
        <w:rPr>
          <w:sz w:val="24"/>
        </w:rPr>
        <w:tab/>
      </w:r>
      <w:r>
        <w:rPr>
          <w:sz w:val="24"/>
        </w:rPr>
        <w:tab/>
      </w:r>
      <w:r w:rsidRPr="0046324F">
        <w:rPr>
          <w:sz w:val="24"/>
        </w:rPr>
        <w:t xml:space="preserve">Furthermore, </w:t>
      </w:r>
      <w:r w:rsidR="0046324F">
        <w:rPr>
          <w:sz w:val="24"/>
        </w:rPr>
        <w:t xml:space="preserve">Complainant </w:t>
      </w:r>
      <w:r w:rsidRPr="0046324F">
        <w:rPr>
          <w:sz w:val="24"/>
        </w:rPr>
        <w:t>specifically asserts, “I did not want service at 372 Rodi Road, Apt. 302.</w:t>
      </w:r>
      <w:r w:rsidR="0046324F">
        <w:rPr>
          <w:sz w:val="24"/>
        </w:rPr>
        <w:t>”</w:t>
      </w:r>
      <w:r w:rsidR="00B2143E">
        <w:rPr>
          <w:rStyle w:val="FootnoteReference"/>
          <w:sz w:val="24"/>
        </w:rPr>
        <w:footnoteReference w:id="2"/>
      </w:r>
      <w:r w:rsidR="0046324F">
        <w:rPr>
          <w:sz w:val="24"/>
        </w:rPr>
        <w:t xml:space="preserve">  Attachment to Complaint.  Duquesne Light responds</w:t>
      </w:r>
      <w:r w:rsidR="00C217E2">
        <w:rPr>
          <w:sz w:val="24"/>
        </w:rPr>
        <w:t xml:space="preserve"> as follows:</w:t>
      </w:r>
    </w:p>
    <w:p w:rsidR="00C217E2" w:rsidRDefault="00C217E2" w:rsidP="005A12B4">
      <w:pPr>
        <w:tabs>
          <w:tab w:val="left" w:pos="0"/>
        </w:tabs>
        <w:spacing w:line="360" w:lineRule="auto"/>
        <w:rPr>
          <w:sz w:val="24"/>
        </w:rPr>
      </w:pPr>
    </w:p>
    <w:p w:rsidR="00C217E2" w:rsidRDefault="0046324F" w:rsidP="00C217E2">
      <w:pPr>
        <w:ind w:left="1440" w:right="1530"/>
        <w:rPr>
          <w:rFonts w:eastAsia="Calibri"/>
          <w:sz w:val="24"/>
          <w:szCs w:val="24"/>
        </w:rPr>
      </w:pPr>
      <w:r>
        <w:rPr>
          <w:sz w:val="24"/>
        </w:rPr>
        <w:t xml:space="preserve"> </w:t>
      </w:r>
      <w:r w:rsidR="00C217E2">
        <w:rPr>
          <w:rFonts w:eastAsia="Calibri"/>
          <w:sz w:val="24"/>
          <w:szCs w:val="24"/>
        </w:rPr>
        <w:t xml:space="preserve">Subsequently, on June 1, 2017, Complainant called Duquesne Light to inquire into the requirements to establish service in her name at a different property, 375 Rodi Road, Pittsburgh, Pennsylvania (the “Rodi Road Property”).  At that time, Complainant was advised that she would need to pay her outstanding balance before service could be place in her name. </w:t>
      </w:r>
      <w:r w:rsidR="00584B2B">
        <w:rPr>
          <w:rFonts w:eastAsia="Calibri"/>
          <w:sz w:val="24"/>
          <w:szCs w:val="24"/>
        </w:rPr>
        <w:t xml:space="preserve"> </w:t>
      </w:r>
      <w:r w:rsidR="00C217E2">
        <w:rPr>
          <w:rFonts w:eastAsia="Calibri"/>
          <w:sz w:val="24"/>
          <w:szCs w:val="24"/>
        </w:rPr>
        <w:t xml:space="preserve">Duquesne Light’s position is supported by the Commission’s regulations at 52 Pa. Code § 56.35(b)(1), and by its Tariff, . . . </w:t>
      </w:r>
    </w:p>
    <w:p w:rsidR="00217DBB" w:rsidRDefault="0046324F" w:rsidP="00C217E2">
      <w:pPr>
        <w:spacing w:line="360" w:lineRule="auto"/>
        <w:ind w:left="1440" w:right="1530"/>
        <w:rPr>
          <w:sz w:val="24"/>
        </w:rPr>
      </w:pPr>
      <w:r>
        <w:rPr>
          <w:sz w:val="24"/>
        </w:rPr>
        <w:t xml:space="preserve"> </w:t>
      </w:r>
      <w:r w:rsidR="00217DBB">
        <w:rPr>
          <w:sz w:val="24"/>
        </w:rPr>
        <w:t xml:space="preserve"> </w:t>
      </w:r>
    </w:p>
    <w:p w:rsidR="005D2CAC" w:rsidRDefault="00C217E2" w:rsidP="007122D7">
      <w:pPr>
        <w:tabs>
          <w:tab w:val="left" w:pos="0"/>
        </w:tabs>
        <w:spacing w:line="360" w:lineRule="auto"/>
        <w:rPr>
          <w:sz w:val="26"/>
          <w:szCs w:val="26"/>
        </w:rPr>
      </w:pPr>
      <w:r>
        <w:rPr>
          <w:sz w:val="24"/>
        </w:rPr>
        <w:lastRenderedPageBreak/>
        <w:tab/>
      </w:r>
      <w:r>
        <w:rPr>
          <w:sz w:val="24"/>
        </w:rPr>
        <w:tab/>
        <w:t xml:space="preserve">Whether Complainant requested service at the Rodi Road Property raises a question of fact, in addition to whether Duquesne Light improperly required Complainant to pay her outstanding balance in contravention of the Commission’s regulation at 52 Pa.Code § 56.35(a).   Under Section 56.35(a), a utility may not condition the furnishing of residential service to an applicant upon the payment of an outstanding balance that accrued more than four years from the </w:t>
      </w:r>
      <w:r w:rsidR="002619E8">
        <w:rPr>
          <w:sz w:val="24"/>
        </w:rPr>
        <w:t xml:space="preserve">date the applicant is legally responsible for the bill.  </w:t>
      </w:r>
      <w:r w:rsidR="005D2CAC">
        <w:rPr>
          <w:i/>
          <w:sz w:val="24"/>
        </w:rPr>
        <w:t>See Beth Trivelpiece v. PECO Energy Company,</w:t>
      </w:r>
      <w:r w:rsidR="005D2CAC">
        <w:rPr>
          <w:sz w:val="24"/>
        </w:rPr>
        <w:t xml:space="preserve"> Docket No. C-2015-2462644 (Opinion and Order entered September 22, 2016) at </w:t>
      </w:r>
      <w:r w:rsidR="007122D7">
        <w:rPr>
          <w:sz w:val="24"/>
        </w:rPr>
        <w:t>19.</w:t>
      </w:r>
      <w:r w:rsidR="005D2CAC">
        <w:rPr>
          <w:sz w:val="24"/>
        </w:rPr>
        <w:t xml:space="preserve"> </w:t>
      </w:r>
      <w:r w:rsidR="007122D7">
        <w:rPr>
          <w:sz w:val="24"/>
        </w:rPr>
        <w:t xml:space="preserve">  </w:t>
      </w:r>
    </w:p>
    <w:p w:rsidR="005A12B4" w:rsidRDefault="005A12B4" w:rsidP="00A1345E">
      <w:pPr>
        <w:tabs>
          <w:tab w:val="left" w:pos="0"/>
        </w:tabs>
        <w:spacing w:line="360" w:lineRule="auto"/>
        <w:rPr>
          <w:sz w:val="24"/>
        </w:rPr>
      </w:pPr>
    </w:p>
    <w:p w:rsidR="00A1345E" w:rsidRPr="00F274E1" w:rsidRDefault="00A1345E" w:rsidP="00A1345E">
      <w:pPr>
        <w:tabs>
          <w:tab w:val="left" w:pos="0"/>
        </w:tabs>
        <w:spacing w:line="360" w:lineRule="auto"/>
        <w:rPr>
          <w:sz w:val="24"/>
        </w:rPr>
      </w:pPr>
      <w:r>
        <w:rPr>
          <w:sz w:val="24"/>
        </w:rPr>
        <w:tab/>
      </w:r>
      <w:r>
        <w:rPr>
          <w:sz w:val="24"/>
        </w:rPr>
        <w:tab/>
      </w:r>
      <w:r w:rsidR="007122D7">
        <w:rPr>
          <w:sz w:val="24"/>
        </w:rPr>
        <w:t xml:space="preserve">Duquesne Light </w:t>
      </w:r>
      <w:r>
        <w:rPr>
          <w:sz w:val="24"/>
        </w:rPr>
        <w:t xml:space="preserve">also seems to argue that Complainant’s failure to reply to </w:t>
      </w:r>
      <w:r w:rsidR="00CE4567">
        <w:rPr>
          <w:sz w:val="24"/>
        </w:rPr>
        <w:t>N</w:t>
      </w:r>
      <w:r>
        <w:rPr>
          <w:sz w:val="24"/>
        </w:rPr>
        <w:t xml:space="preserve">ew </w:t>
      </w:r>
      <w:r w:rsidR="00CE4567">
        <w:rPr>
          <w:sz w:val="24"/>
        </w:rPr>
        <w:t>M</w:t>
      </w:r>
      <w:r>
        <w:rPr>
          <w:sz w:val="24"/>
        </w:rPr>
        <w:t xml:space="preserve">atter may be deemed as an admission of </w:t>
      </w:r>
      <w:r w:rsidR="00CE4567">
        <w:rPr>
          <w:sz w:val="24"/>
        </w:rPr>
        <w:t>the facts stated in the New Matter</w:t>
      </w:r>
      <w:r>
        <w:rPr>
          <w:sz w:val="24"/>
        </w:rPr>
        <w:t xml:space="preserve"> under Section 5.63 of the Code.  52 Pa.Code § 5.63.  Because Complainant is a </w:t>
      </w:r>
      <w:r w:rsidRPr="003F3434">
        <w:rPr>
          <w:i/>
          <w:sz w:val="24"/>
        </w:rPr>
        <w:t>pro se</w:t>
      </w:r>
      <w:r>
        <w:rPr>
          <w:i/>
          <w:sz w:val="24"/>
        </w:rPr>
        <w:t xml:space="preserve"> </w:t>
      </w:r>
      <w:r>
        <w:rPr>
          <w:sz w:val="24"/>
        </w:rPr>
        <w:t>litigant, I do not deem h</w:t>
      </w:r>
      <w:r w:rsidR="007122D7">
        <w:rPr>
          <w:sz w:val="24"/>
        </w:rPr>
        <w:t>er</w:t>
      </w:r>
      <w:r>
        <w:rPr>
          <w:sz w:val="24"/>
        </w:rPr>
        <w:t xml:space="preserve"> lack of a reply as an admission.  The Commission has been hesitant to rule unfavorably against </w:t>
      </w:r>
      <w:r w:rsidRPr="00F274E1">
        <w:rPr>
          <w:i/>
          <w:sz w:val="24"/>
        </w:rPr>
        <w:t>pro se</w:t>
      </w:r>
      <w:r>
        <w:rPr>
          <w:sz w:val="24"/>
        </w:rPr>
        <w:t xml:space="preserve"> litigants in procedural matters.  See </w:t>
      </w:r>
      <w:r>
        <w:rPr>
          <w:i/>
          <w:sz w:val="24"/>
        </w:rPr>
        <w:t xml:space="preserve">Destefano v. Peoples Natural Gas Company, </w:t>
      </w:r>
      <w:r>
        <w:rPr>
          <w:sz w:val="24"/>
        </w:rPr>
        <w:t>56 Pa. PUC. 489 (1982).</w:t>
      </w:r>
    </w:p>
    <w:p w:rsidR="00A1345E" w:rsidRDefault="00A1345E" w:rsidP="00A1345E">
      <w:pPr>
        <w:tabs>
          <w:tab w:val="left" w:pos="0"/>
        </w:tabs>
        <w:spacing w:line="360" w:lineRule="auto"/>
        <w:rPr>
          <w:sz w:val="24"/>
        </w:rPr>
      </w:pPr>
    </w:p>
    <w:p w:rsidR="007122D7" w:rsidRPr="007122D7" w:rsidRDefault="007122D7" w:rsidP="00A1345E">
      <w:pPr>
        <w:tabs>
          <w:tab w:val="left" w:pos="0"/>
        </w:tabs>
        <w:spacing w:line="360" w:lineRule="auto"/>
        <w:rPr>
          <w:sz w:val="24"/>
          <w:u w:val="single"/>
        </w:rPr>
      </w:pPr>
      <w:r w:rsidRPr="007122D7">
        <w:rPr>
          <w:sz w:val="24"/>
          <w:u w:val="single"/>
        </w:rPr>
        <w:t>Ruling</w:t>
      </w:r>
    </w:p>
    <w:p w:rsidR="007122D7" w:rsidRDefault="007122D7" w:rsidP="00A1345E">
      <w:pPr>
        <w:tabs>
          <w:tab w:val="left" w:pos="0"/>
        </w:tabs>
        <w:spacing w:line="360" w:lineRule="auto"/>
        <w:rPr>
          <w:sz w:val="24"/>
        </w:rPr>
      </w:pPr>
    </w:p>
    <w:p w:rsidR="007122D7" w:rsidRDefault="007122D7" w:rsidP="007122D7">
      <w:pPr>
        <w:tabs>
          <w:tab w:val="left" w:pos="0"/>
        </w:tabs>
        <w:spacing w:line="360" w:lineRule="auto"/>
        <w:rPr>
          <w:sz w:val="24"/>
        </w:rPr>
      </w:pPr>
      <w:r>
        <w:rPr>
          <w:sz w:val="24"/>
        </w:rPr>
        <w:tab/>
      </w:r>
      <w:r>
        <w:rPr>
          <w:sz w:val="24"/>
        </w:rPr>
        <w:tab/>
        <w:t>As demonstrated above, there are genuine questions of fact that go to the heart of the complaint, which cannot be resolved in a preliminary motion.  Accordingly, the Motion will be denied in the ordering paragraphs below.</w:t>
      </w:r>
    </w:p>
    <w:p w:rsidR="00A1345E" w:rsidRDefault="00A1345E" w:rsidP="00A1345E">
      <w:pPr>
        <w:tabs>
          <w:tab w:val="left" w:pos="-720"/>
        </w:tabs>
        <w:suppressAutoHyphens/>
        <w:autoSpaceDE w:val="0"/>
        <w:autoSpaceDN w:val="0"/>
        <w:spacing w:line="360" w:lineRule="auto"/>
        <w:rPr>
          <w:spacing w:val="-3"/>
          <w:sz w:val="24"/>
          <w:szCs w:val="24"/>
        </w:rPr>
      </w:pPr>
    </w:p>
    <w:p w:rsidR="00A1345E" w:rsidRDefault="00A1345E" w:rsidP="00A1345E">
      <w:pPr>
        <w:tabs>
          <w:tab w:val="left" w:pos="-720"/>
        </w:tabs>
        <w:suppressAutoHyphens/>
        <w:autoSpaceDE w:val="0"/>
        <w:autoSpaceDN w:val="0"/>
        <w:spacing w:line="360" w:lineRule="auto"/>
        <w:rPr>
          <w:spacing w:val="-3"/>
          <w:sz w:val="24"/>
          <w:szCs w:val="24"/>
        </w:rPr>
      </w:pPr>
      <w:r w:rsidRPr="00756C95">
        <w:rPr>
          <w:spacing w:val="-3"/>
          <w:sz w:val="24"/>
          <w:szCs w:val="24"/>
        </w:rPr>
        <w:tab/>
      </w:r>
      <w:r w:rsidRPr="00756C95">
        <w:rPr>
          <w:spacing w:val="-3"/>
          <w:sz w:val="24"/>
          <w:szCs w:val="24"/>
        </w:rPr>
        <w:tab/>
      </w:r>
      <w:r w:rsidRPr="00696D94">
        <w:rPr>
          <w:spacing w:val="-3"/>
          <w:sz w:val="24"/>
          <w:szCs w:val="24"/>
        </w:rPr>
        <w:t>The parties are encouraged</w:t>
      </w:r>
      <w:r w:rsidRPr="00756C95">
        <w:rPr>
          <w:spacing w:val="-3"/>
          <w:sz w:val="24"/>
          <w:szCs w:val="24"/>
        </w:rPr>
        <w:t xml:space="preserve"> to talk with each other to resolve this matter or some portion thereof.  It is the Commission’s policy to</w:t>
      </w:r>
      <w:r>
        <w:rPr>
          <w:spacing w:val="-3"/>
          <w:sz w:val="24"/>
          <w:szCs w:val="24"/>
        </w:rPr>
        <w:t xml:space="preserve"> encourage settlements.  52 Pa.</w:t>
      </w:r>
      <w:r w:rsidRPr="00756C95">
        <w:rPr>
          <w:spacing w:val="-3"/>
          <w:sz w:val="24"/>
          <w:szCs w:val="24"/>
        </w:rPr>
        <w:t>Code §</w:t>
      </w:r>
      <w:r>
        <w:rPr>
          <w:spacing w:val="-3"/>
          <w:sz w:val="24"/>
          <w:szCs w:val="24"/>
        </w:rPr>
        <w:t> </w:t>
      </w:r>
      <w:r w:rsidRPr="00756C95">
        <w:rPr>
          <w:spacing w:val="-3"/>
          <w:sz w:val="24"/>
          <w:szCs w:val="24"/>
        </w:rPr>
        <w:t xml:space="preserve">5.231. </w:t>
      </w:r>
    </w:p>
    <w:p w:rsidR="0035125B" w:rsidRDefault="0035125B" w:rsidP="00A1345E">
      <w:pPr>
        <w:tabs>
          <w:tab w:val="left" w:pos="-720"/>
        </w:tabs>
        <w:suppressAutoHyphens/>
        <w:autoSpaceDE w:val="0"/>
        <w:autoSpaceDN w:val="0"/>
        <w:spacing w:line="360" w:lineRule="auto"/>
        <w:rPr>
          <w:spacing w:val="-3"/>
          <w:sz w:val="24"/>
          <w:szCs w:val="24"/>
        </w:rPr>
      </w:pPr>
    </w:p>
    <w:p w:rsidR="00FD6D08" w:rsidRDefault="00FD6D08" w:rsidP="00A1345E">
      <w:pPr>
        <w:tabs>
          <w:tab w:val="left" w:pos="-720"/>
        </w:tabs>
        <w:suppressAutoHyphens/>
        <w:autoSpaceDE w:val="0"/>
        <w:autoSpaceDN w:val="0"/>
        <w:spacing w:line="360" w:lineRule="auto"/>
        <w:rPr>
          <w:spacing w:val="-3"/>
          <w:sz w:val="24"/>
          <w:szCs w:val="24"/>
        </w:rPr>
      </w:pPr>
    </w:p>
    <w:p w:rsidR="00FD6D08" w:rsidRDefault="00FD6D08" w:rsidP="00A1345E">
      <w:pPr>
        <w:tabs>
          <w:tab w:val="left" w:pos="-720"/>
        </w:tabs>
        <w:suppressAutoHyphens/>
        <w:autoSpaceDE w:val="0"/>
        <w:autoSpaceDN w:val="0"/>
        <w:spacing w:line="360" w:lineRule="auto"/>
        <w:rPr>
          <w:spacing w:val="-3"/>
          <w:sz w:val="24"/>
          <w:szCs w:val="24"/>
        </w:rPr>
      </w:pPr>
    </w:p>
    <w:p w:rsidR="00FD6D08" w:rsidRDefault="00FD6D08" w:rsidP="00A1345E">
      <w:pPr>
        <w:tabs>
          <w:tab w:val="left" w:pos="-720"/>
        </w:tabs>
        <w:suppressAutoHyphens/>
        <w:autoSpaceDE w:val="0"/>
        <w:autoSpaceDN w:val="0"/>
        <w:spacing w:line="360" w:lineRule="auto"/>
        <w:rPr>
          <w:spacing w:val="-3"/>
          <w:sz w:val="24"/>
          <w:szCs w:val="24"/>
        </w:rPr>
      </w:pPr>
    </w:p>
    <w:p w:rsidR="00FD6D08" w:rsidRDefault="00FD6D08" w:rsidP="00A1345E">
      <w:pPr>
        <w:tabs>
          <w:tab w:val="left" w:pos="-720"/>
        </w:tabs>
        <w:suppressAutoHyphens/>
        <w:autoSpaceDE w:val="0"/>
        <w:autoSpaceDN w:val="0"/>
        <w:spacing w:line="360" w:lineRule="auto"/>
        <w:rPr>
          <w:spacing w:val="-3"/>
          <w:sz w:val="24"/>
          <w:szCs w:val="24"/>
        </w:rPr>
      </w:pPr>
    </w:p>
    <w:p w:rsidR="00FD6D08" w:rsidRDefault="00FD6D08" w:rsidP="00A1345E">
      <w:pPr>
        <w:tabs>
          <w:tab w:val="left" w:pos="-720"/>
        </w:tabs>
        <w:suppressAutoHyphens/>
        <w:autoSpaceDE w:val="0"/>
        <w:autoSpaceDN w:val="0"/>
        <w:spacing w:line="360" w:lineRule="auto"/>
        <w:rPr>
          <w:spacing w:val="-3"/>
          <w:sz w:val="24"/>
          <w:szCs w:val="24"/>
        </w:rPr>
      </w:pPr>
    </w:p>
    <w:p w:rsidR="00FD6D08" w:rsidRDefault="00FD6D08" w:rsidP="00A1345E">
      <w:pPr>
        <w:tabs>
          <w:tab w:val="left" w:pos="-720"/>
        </w:tabs>
        <w:suppressAutoHyphens/>
        <w:autoSpaceDE w:val="0"/>
        <w:autoSpaceDN w:val="0"/>
        <w:spacing w:line="360" w:lineRule="auto"/>
        <w:rPr>
          <w:spacing w:val="-3"/>
          <w:sz w:val="24"/>
          <w:szCs w:val="24"/>
        </w:rPr>
      </w:pPr>
    </w:p>
    <w:p w:rsidR="00FD6D08" w:rsidRDefault="00FD6D08" w:rsidP="00A1345E">
      <w:pPr>
        <w:tabs>
          <w:tab w:val="left" w:pos="-720"/>
        </w:tabs>
        <w:suppressAutoHyphens/>
        <w:autoSpaceDE w:val="0"/>
        <w:autoSpaceDN w:val="0"/>
        <w:spacing w:line="360" w:lineRule="auto"/>
        <w:rPr>
          <w:spacing w:val="-3"/>
          <w:sz w:val="24"/>
          <w:szCs w:val="24"/>
        </w:rPr>
      </w:pPr>
    </w:p>
    <w:p w:rsidR="00FD6D08" w:rsidRDefault="00FD6D08" w:rsidP="00A1345E">
      <w:pPr>
        <w:tabs>
          <w:tab w:val="left" w:pos="-720"/>
        </w:tabs>
        <w:suppressAutoHyphens/>
        <w:autoSpaceDE w:val="0"/>
        <w:autoSpaceDN w:val="0"/>
        <w:spacing w:line="360" w:lineRule="auto"/>
        <w:rPr>
          <w:spacing w:val="-3"/>
          <w:sz w:val="24"/>
          <w:szCs w:val="24"/>
        </w:rPr>
      </w:pPr>
    </w:p>
    <w:p w:rsidR="0035125B" w:rsidRDefault="0035125B" w:rsidP="00FD6D08">
      <w:pPr>
        <w:spacing w:line="360" w:lineRule="auto"/>
        <w:jc w:val="center"/>
        <w:rPr>
          <w:rFonts w:eastAsia="Calibri"/>
          <w:sz w:val="24"/>
          <w:u w:val="single"/>
        </w:rPr>
      </w:pPr>
      <w:r w:rsidRPr="00614949">
        <w:rPr>
          <w:rFonts w:eastAsia="Calibri"/>
          <w:sz w:val="24"/>
          <w:u w:val="single"/>
        </w:rPr>
        <w:lastRenderedPageBreak/>
        <w:t>ORDER</w:t>
      </w:r>
    </w:p>
    <w:p w:rsidR="00FD6D08" w:rsidRPr="000F31B2" w:rsidRDefault="00FD6D08" w:rsidP="00FD6D08">
      <w:pPr>
        <w:spacing w:line="360" w:lineRule="auto"/>
        <w:jc w:val="center"/>
        <w:rPr>
          <w:sz w:val="24"/>
          <w:szCs w:val="24"/>
        </w:rPr>
      </w:pPr>
    </w:p>
    <w:p w:rsidR="0090599C" w:rsidRDefault="0090599C" w:rsidP="00FD6D08">
      <w:pPr>
        <w:spacing w:line="360" w:lineRule="auto"/>
        <w:ind w:left="720" w:firstLine="720"/>
        <w:rPr>
          <w:spacing w:val="-3"/>
          <w:sz w:val="24"/>
          <w:szCs w:val="24"/>
        </w:rPr>
      </w:pPr>
      <w:r w:rsidRPr="0090599C">
        <w:rPr>
          <w:spacing w:val="-3"/>
          <w:sz w:val="24"/>
          <w:szCs w:val="24"/>
        </w:rPr>
        <w:t>THEREFORE,</w:t>
      </w:r>
    </w:p>
    <w:p w:rsidR="00FD6D08" w:rsidRPr="0090599C" w:rsidRDefault="00FD6D08" w:rsidP="00FD6D08">
      <w:pPr>
        <w:spacing w:line="360" w:lineRule="auto"/>
        <w:ind w:left="720" w:firstLine="720"/>
        <w:rPr>
          <w:spacing w:val="-3"/>
          <w:sz w:val="24"/>
          <w:szCs w:val="24"/>
        </w:rPr>
      </w:pPr>
    </w:p>
    <w:p w:rsidR="0090599C" w:rsidRDefault="0090599C" w:rsidP="00FD6D08">
      <w:pPr>
        <w:tabs>
          <w:tab w:val="left" w:pos="-720"/>
        </w:tabs>
        <w:suppressAutoHyphens/>
        <w:autoSpaceDE w:val="0"/>
        <w:autoSpaceDN w:val="0"/>
        <w:spacing w:line="360" w:lineRule="auto"/>
        <w:ind w:firstLine="1440"/>
        <w:rPr>
          <w:spacing w:val="-3"/>
          <w:sz w:val="24"/>
          <w:szCs w:val="24"/>
        </w:rPr>
      </w:pPr>
      <w:r w:rsidRPr="0090599C">
        <w:rPr>
          <w:spacing w:val="-3"/>
          <w:sz w:val="24"/>
          <w:szCs w:val="24"/>
        </w:rPr>
        <w:t>IT IS ORDERED:</w:t>
      </w:r>
    </w:p>
    <w:p w:rsidR="00696D94" w:rsidRPr="0090599C" w:rsidRDefault="00696D94" w:rsidP="00FD6D08">
      <w:pPr>
        <w:tabs>
          <w:tab w:val="left" w:pos="-720"/>
        </w:tabs>
        <w:suppressAutoHyphens/>
        <w:autoSpaceDE w:val="0"/>
        <w:autoSpaceDN w:val="0"/>
        <w:spacing w:line="360" w:lineRule="auto"/>
        <w:ind w:firstLine="1440"/>
        <w:rPr>
          <w:spacing w:val="-3"/>
          <w:sz w:val="24"/>
          <w:szCs w:val="24"/>
        </w:rPr>
      </w:pPr>
    </w:p>
    <w:p w:rsidR="00696D94" w:rsidRPr="00696D94" w:rsidRDefault="00696D94" w:rsidP="00696D94">
      <w:pPr>
        <w:spacing w:line="360" w:lineRule="auto"/>
        <w:rPr>
          <w:rFonts w:eastAsiaTheme="minorHAnsi" w:cstheme="minorBidi"/>
          <w:sz w:val="24"/>
          <w:szCs w:val="22"/>
        </w:rPr>
      </w:pPr>
      <w:r w:rsidRPr="00696D94">
        <w:rPr>
          <w:rFonts w:eastAsiaTheme="minorHAnsi" w:cstheme="minorBidi"/>
          <w:sz w:val="24"/>
          <w:szCs w:val="22"/>
        </w:rPr>
        <w:tab/>
      </w:r>
      <w:r w:rsidRPr="00696D94">
        <w:rPr>
          <w:rFonts w:eastAsiaTheme="minorHAnsi" w:cstheme="minorBidi"/>
          <w:sz w:val="24"/>
          <w:szCs w:val="22"/>
        </w:rPr>
        <w:tab/>
        <w:t>1.</w:t>
      </w:r>
      <w:r w:rsidRPr="00696D94">
        <w:rPr>
          <w:rFonts w:eastAsiaTheme="minorHAnsi" w:cstheme="minorBidi"/>
          <w:sz w:val="24"/>
          <w:szCs w:val="22"/>
        </w:rPr>
        <w:tab/>
        <w:t xml:space="preserve">That </w:t>
      </w:r>
      <w:r>
        <w:rPr>
          <w:rFonts w:eastAsiaTheme="minorHAnsi" w:cstheme="minorBidi"/>
          <w:sz w:val="24"/>
          <w:szCs w:val="22"/>
        </w:rPr>
        <w:t xml:space="preserve">Respondent </w:t>
      </w:r>
      <w:r w:rsidR="00667A44">
        <w:rPr>
          <w:rFonts w:eastAsiaTheme="minorHAnsi" w:cstheme="minorBidi"/>
          <w:sz w:val="24"/>
          <w:szCs w:val="22"/>
        </w:rPr>
        <w:t xml:space="preserve">Duquesne Light </w:t>
      </w:r>
      <w:r>
        <w:rPr>
          <w:rFonts w:eastAsiaTheme="minorHAnsi" w:cstheme="minorBidi"/>
          <w:sz w:val="24"/>
          <w:szCs w:val="22"/>
        </w:rPr>
        <w:t xml:space="preserve">Company’s Motion </w:t>
      </w:r>
      <w:r w:rsidRPr="00696D94">
        <w:rPr>
          <w:rFonts w:eastAsiaTheme="minorHAnsi" w:cstheme="minorBidi"/>
          <w:sz w:val="24"/>
          <w:szCs w:val="22"/>
        </w:rPr>
        <w:t xml:space="preserve">for Judgment </w:t>
      </w:r>
      <w:r w:rsidR="00667A44">
        <w:rPr>
          <w:rFonts w:eastAsiaTheme="minorHAnsi" w:cstheme="minorBidi"/>
          <w:sz w:val="24"/>
          <w:szCs w:val="22"/>
        </w:rPr>
        <w:t xml:space="preserve">on the Pleadings </w:t>
      </w:r>
      <w:r w:rsidRPr="00696D94">
        <w:rPr>
          <w:rFonts w:eastAsiaTheme="minorHAnsi" w:cstheme="minorBidi"/>
          <w:sz w:val="24"/>
          <w:szCs w:val="22"/>
        </w:rPr>
        <w:t xml:space="preserve">filed </w:t>
      </w:r>
      <w:r w:rsidR="00667A44">
        <w:rPr>
          <w:rFonts w:eastAsiaTheme="minorHAnsi" w:cstheme="minorBidi"/>
          <w:sz w:val="24"/>
          <w:szCs w:val="22"/>
        </w:rPr>
        <w:t xml:space="preserve">in the case of Melissa Johnson v. Duquesne Light Company </w:t>
      </w:r>
      <w:r w:rsidRPr="00696D94">
        <w:rPr>
          <w:rFonts w:eastAsiaTheme="minorHAnsi" w:cstheme="minorBidi"/>
          <w:sz w:val="24"/>
          <w:szCs w:val="22"/>
        </w:rPr>
        <w:t xml:space="preserve">at Docket No. </w:t>
      </w:r>
      <w:r>
        <w:rPr>
          <w:rFonts w:eastAsiaTheme="minorHAnsi" w:cstheme="minorBidi"/>
          <w:sz w:val="24"/>
          <w:szCs w:val="22"/>
        </w:rPr>
        <w:t>F</w:t>
      </w:r>
      <w:r w:rsidRPr="00696D94">
        <w:rPr>
          <w:rFonts w:eastAsiaTheme="minorHAnsi" w:cstheme="minorBidi"/>
          <w:sz w:val="24"/>
          <w:szCs w:val="22"/>
        </w:rPr>
        <w:t>-201</w:t>
      </w:r>
      <w:r w:rsidR="00667A44">
        <w:rPr>
          <w:rFonts w:eastAsiaTheme="minorHAnsi" w:cstheme="minorBidi"/>
          <w:sz w:val="24"/>
          <w:szCs w:val="22"/>
        </w:rPr>
        <w:t>7</w:t>
      </w:r>
      <w:r w:rsidRPr="00696D94">
        <w:rPr>
          <w:rFonts w:eastAsiaTheme="minorHAnsi" w:cstheme="minorBidi"/>
          <w:sz w:val="24"/>
          <w:szCs w:val="22"/>
        </w:rPr>
        <w:t>-2</w:t>
      </w:r>
      <w:r w:rsidR="00667A44">
        <w:rPr>
          <w:rFonts w:eastAsiaTheme="minorHAnsi" w:cstheme="minorBidi"/>
          <w:sz w:val="24"/>
          <w:szCs w:val="22"/>
        </w:rPr>
        <w:t>638955</w:t>
      </w:r>
      <w:r w:rsidRPr="00696D94">
        <w:rPr>
          <w:rFonts w:eastAsiaTheme="minorHAnsi" w:cstheme="minorBidi"/>
          <w:sz w:val="24"/>
          <w:szCs w:val="22"/>
        </w:rPr>
        <w:t xml:space="preserve"> is denied.</w:t>
      </w:r>
    </w:p>
    <w:p w:rsidR="00FD6D08" w:rsidRDefault="00FD6D08" w:rsidP="00696D94">
      <w:pPr>
        <w:spacing w:line="360" w:lineRule="auto"/>
        <w:rPr>
          <w:rFonts w:eastAsiaTheme="minorHAnsi" w:cstheme="minorBidi"/>
          <w:sz w:val="24"/>
          <w:szCs w:val="22"/>
        </w:rPr>
      </w:pPr>
      <w:bookmarkStart w:id="1" w:name="_GoBack"/>
      <w:bookmarkEnd w:id="1"/>
    </w:p>
    <w:p w:rsidR="00CA27DC" w:rsidRDefault="00696D94" w:rsidP="00696D94">
      <w:pPr>
        <w:spacing w:line="360" w:lineRule="auto"/>
        <w:rPr>
          <w:rFonts w:eastAsiaTheme="minorHAnsi" w:cstheme="minorBidi"/>
          <w:sz w:val="24"/>
          <w:szCs w:val="22"/>
        </w:rPr>
      </w:pPr>
      <w:r w:rsidRPr="00696D94">
        <w:rPr>
          <w:rFonts w:eastAsiaTheme="minorHAnsi" w:cstheme="minorBidi"/>
          <w:sz w:val="24"/>
          <w:szCs w:val="22"/>
        </w:rPr>
        <w:tab/>
      </w:r>
      <w:r w:rsidRPr="00696D94">
        <w:rPr>
          <w:rFonts w:eastAsiaTheme="minorHAnsi" w:cstheme="minorBidi"/>
          <w:sz w:val="24"/>
          <w:szCs w:val="22"/>
        </w:rPr>
        <w:tab/>
        <w:t>2.</w:t>
      </w:r>
      <w:r w:rsidRPr="00696D94">
        <w:rPr>
          <w:rFonts w:eastAsiaTheme="minorHAnsi" w:cstheme="minorBidi"/>
          <w:sz w:val="24"/>
          <w:szCs w:val="22"/>
        </w:rPr>
        <w:tab/>
        <w:t xml:space="preserve">That the </w:t>
      </w:r>
      <w:r w:rsidR="00667A44">
        <w:rPr>
          <w:rFonts w:eastAsiaTheme="minorHAnsi" w:cstheme="minorBidi"/>
          <w:sz w:val="24"/>
          <w:szCs w:val="22"/>
        </w:rPr>
        <w:t xml:space="preserve">Initial </w:t>
      </w:r>
      <w:r>
        <w:rPr>
          <w:rFonts w:eastAsiaTheme="minorHAnsi" w:cstheme="minorBidi"/>
          <w:sz w:val="24"/>
          <w:szCs w:val="22"/>
        </w:rPr>
        <w:t xml:space="preserve">Hearing </w:t>
      </w:r>
      <w:r w:rsidR="00FC24A1">
        <w:rPr>
          <w:rFonts w:eastAsiaTheme="minorHAnsi" w:cstheme="minorBidi"/>
          <w:sz w:val="24"/>
          <w:szCs w:val="22"/>
        </w:rPr>
        <w:t>shall proceed as scheduled on</w:t>
      </w:r>
      <w:r w:rsidR="00667A44">
        <w:rPr>
          <w:rFonts w:eastAsiaTheme="minorHAnsi" w:cstheme="minorBidi"/>
          <w:sz w:val="24"/>
          <w:szCs w:val="22"/>
        </w:rPr>
        <w:t xml:space="preserve"> Wednesday</w:t>
      </w:r>
      <w:r w:rsidR="00FC24A1">
        <w:rPr>
          <w:rFonts w:eastAsiaTheme="minorHAnsi" w:cstheme="minorBidi"/>
          <w:sz w:val="24"/>
          <w:szCs w:val="22"/>
        </w:rPr>
        <w:t>, A</w:t>
      </w:r>
      <w:r w:rsidR="00667A44">
        <w:rPr>
          <w:rFonts w:eastAsiaTheme="minorHAnsi" w:cstheme="minorBidi"/>
          <w:sz w:val="24"/>
          <w:szCs w:val="22"/>
        </w:rPr>
        <w:t>pril 11</w:t>
      </w:r>
      <w:r w:rsidR="00FC24A1">
        <w:rPr>
          <w:rFonts w:eastAsiaTheme="minorHAnsi" w:cstheme="minorBidi"/>
          <w:sz w:val="24"/>
          <w:szCs w:val="22"/>
        </w:rPr>
        <w:t>, 201</w:t>
      </w:r>
      <w:r w:rsidR="00667A44">
        <w:rPr>
          <w:rFonts w:eastAsiaTheme="minorHAnsi" w:cstheme="minorBidi"/>
          <w:sz w:val="24"/>
          <w:szCs w:val="22"/>
        </w:rPr>
        <w:t>8</w:t>
      </w:r>
      <w:r w:rsidR="00FC24A1">
        <w:rPr>
          <w:rFonts w:eastAsiaTheme="minorHAnsi" w:cstheme="minorBidi"/>
          <w:sz w:val="24"/>
          <w:szCs w:val="22"/>
        </w:rPr>
        <w:t>, at 10:00 a.m.</w:t>
      </w:r>
      <w:r w:rsidR="0035125B">
        <w:rPr>
          <w:rFonts w:eastAsiaTheme="minorHAnsi" w:cstheme="minorBidi"/>
          <w:sz w:val="24"/>
          <w:szCs w:val="22"/>
        </w:rPr>
        <w:t xml:space="preserve"> consistent with the reasoning in this Order.</w:t>
      </w:r>
    </w:p>
    <w:p w:rsidR="00696D94" w:rsidRPr="00696D94" w:rsidRDefault="00FC24A1" w:rsidP="00696D94">
      <w:pPr>
        <w:spacing w:line="360" w:lineRule="auto"/>
        <w:rPr>
          <w:rFonts w:eastAsiaTheme="minorHAnsi" w:cstheme="minorBidi"/>
          <w:sz w:val="24"/>
          <w:szCs w:val="22"/>
        </w:rPr>
      </w:pPr>
      <w:r>
        <w:rPr>
          <w:rFonts w:eastAsiaTheme="minorHAnsi" w:cstheme="minorBidi"/>
          <w:sz w:val="24"/>
          <w:szCs w:val="22"/>
        </w:rPr>
        <w:t xml:space="preserve"> </w:t>
      </w:r>
    </w:p>
    <w:p w:rsidR="00696D94" w:rsidRPr="00696D94" w:rsidRDefault="00696D94" w:rsidP="00696D94">
      <w:pPr>
        <w:spacing w:line="360" w:lineRule="auto"/>
        <w:rPr>
          <w:rFonts w:eastAsiaTheme="minorHAnsi" w:cstheme="minorBidi"/>
          <w:sz w:val="24"/>
          <w:szCs w:val="22"/>
        </w:rPr>
      </w:pPr>
      <w:r w:rsidRPr="00696D94">
        <w:rPr>
          <w:rFonts w:ascii="CG Times" w:hAnsi="CG Times" w:cs="CG Times"/>
          <w:noProof/>
          <w:sz w:val="24"/>
          <w:szCs w:val="24"/>
        </w:rPr>
        <w:drawing>
          <wp:anchor distT="0" distB="0" distL="114300" distR="114300" simplePos="0" relativeHeight="251661312" behindDoc="1" locked="0" layoutInCell="1" allowOverlap="1" wp14:anchorId="78BB58A9" wp14:editId="46454228">
            <wp:simplePos x="0" y="0"/>
            <wp:positionH relativeFrom="column">
              <wp:posOffset>2857500</wp:posOffset>
            </wp:positionH>
            <wp:positionV relativeFrom="paragraph">
              <wp:posOffset>75565</wp:posOffset>
            </wp:positionV>
            <wp:extent cx="2333625" cy="978742"/>
            <wp:effectExtent l="0" t="0" r="0" b="0"/>
            <wp:wrapNone/>
            <wp:docPr id="1" name="Picture 0"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9787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D94" w:rsidRDefault="00696D94" w:rsidP="00696D94">
      <w:pPr>
        <w:spacing w:line="276" w:lineRule="auto"/>
        <w:rPr>
          <w:rFonts w:eastAsiaTheme="minorHAnsi" w:cstheme="minorBidi"/>
          <w:sz w:val="24"/>
          <w:szCs w:val="22"/>
          <w:u w:val="single"/>
        </w:rPr>
      </w:pPr>
      <w:r w:rsidRPr="00696D94">
        <w:rPr>
          <w:rFonts w:eastAsiaTheme="minorHAnsi" w:cstheme="minorBidi"/>
          <w:sz w:val="24"/>
          <w:szCs w:val="22"/>
        </w:rPr>
        <w:t xml:space="preserve">Date: </w:t>
      </w:r>
      <w:r w:rsidR="0035125B" w:rsidRPr="0035125B">
        <w:rPr>
          <w:rFonts w:eastAsiaTheme="minorHAnsi" w:cstheme="minorBidi"/>
          <w:sz w:val="24"/>
          <w:szCs w:val="22"/>
          <w:u w:val="single"/>
        </w:rPr>
        <w:t>March 8, 2018</w:t>
      </w:r>
    </w:p>
    <w:p w:rsidR="004C2C5B" w:rsidRDefault="004C2C5B" w:rsidP="00696D94">
      <w:pPr>
        <w:spacing w:line="276" w:lineRule="auto"/>
        <w:rPr>
          <w:rFonts w:eastAsiaTheme="minorHAnsi" w:cstheme="minorBidi"/>
          <w:sz w:val="24"/>
          <w:szCs w:val="22"/>
          <w:u w:val="single"/>
        </w:rPr>
      </w:pPr>
    </w:p>
    <w:p w:rsidR="004C2C5B" w:rsidRDefault="004C2C5B" w:rsidP="00696D94">
      <w:pPr>
        <w:spacing w:line="276" w:lineRule="auto"/>
        <w:rPr>
          <w:rFonts w:eastAsiaTheme="minorHAnsi" w:cstheme="minorBidi"/>
          <w:sz w:val="24"/>
          <w:szCs w:val="22"/>
          <w:u w:val="single"/>
        </w:rPr>
      </w:pPr>
    </w:p>
    <w:p w:rsidR="004C2C5B" w:rsidRDefault="004C2C5B" w:rsidP="00696D94">
      <w:pPr>
        <w:spacing w:line="276" w:lineRule="auto"/>
        <w:rPr>
          <w:rFonts w:eastAsiaTheme="minorHAnsi" w:cstheme="minorBidi"/>
          <w:sz w:val="24"/>
          <w:szCs w:val="22"/>
          <w:u w:val="single"/>
        </w:rPr>
        <w:sectPr w:rsidR="004C2C5B" w:rsidSect="0035125B">
          <w:footerReference w:type="even" r:id="rId9"/>
          <w:footerReference w:type="default" r:id="rId10"/>
          <w:pgSz w:w="12240" w:h="15840"/>
          <w:pgMar w:top="1440" w:right="1080" w:bottom="1440" w:left="1350" w:header="720" w:footer="720" w:gutter="0"/>
          <w:cols w:space="720"/>
          <w:noEndnote/>
          <w:titlePg/>
          <w:docGrid w:linePitch="272"/>
        </w:sectPr>
      </w:pPr>
    </w:p>
    <w:p w:rsidR="004C2C5B" w:rsidRPr="004C2C5B" w:rsidRDefault="004C2C5B" w:rsidP="004C2C5B">
      <w:pPr>
        <w:spacing w:after="160" w:line="259" w:lineRule="auto"/>
        <w:rPr>
          <w:rFonts w:ascii="Calibri" w:hAnsi="Calibri"/>
          <w:sz w:val="22"/>
          <w:szCs w:val="22"/>
        </w:rPr>
      </w:pPr>
      <w:r w:rsidRPr="004C2C5B">
        <w:rPr>
          <w:rFonts w:ascii="Microsoft Sans Serif" w:hAnsi="Calibri"/>
          <w:b/>
          <w:sz w:val="24"/>
          <w:szCs w:val="22"/>
          <w:u w:val="single"/>
        </w:rPr>
        <w:lastRenderedPageBreak/>
        <w:t>F-2017-2638955 - MELISSA JOHNSON v. DUQUESNE LIGHT COMPANY</w:t>
      </w:r>
      <w:r w:rsidRPr="004C2C5B">
        <w:rPr>
          <w:rFonts w:ascii="Microsoft Sans Serif" w:hAnsi="Calibri"/>
          <w:b/>
          <w:sz w:val="24"/>
          <w:szCs w:val="22"/>
          <w:u w:val="single"/>
        </w:rPr>
        <w:cr/>
      </w:r>
      <w:r w:rsidRPr="004C2C5B">
        <w:rPr>
          <w:rFonts w:ascii="Microsoft Sans Serif" w:hAnsi="Calibri"/>
          <w:b/>
          <w:sz w:val="24"/>
          <w:szCs w:val="22"/>
          <w:u w:val="single"/>
        </w:rPr>
        <w:cr/>
      </w:r>
      <w:r w:rsidRPr="004C2C5B">
        <w:rPr>
          <w:rFonts w:ascii="Microsoft Sans Serif" w:hAnsi="Calibri"/>
          <w:sz w:val="24"/>
          <w:szCs w:val="22"/>
        </w:rPr>
        <w:t>MELISSA JOHNSON</w:t>
      </w:r>
      <w:r w:rsidRPr="004C2C5B">
        <w:rPr>
          <w:rFonts w:ascii="Microsoft Sans Serif" w:hAnsi="Calibri"/>
          <w:sz w:val="24"/>
          <w:szCs w:val="22"/>
        </w:rPr>
        <w:cr/>
        <w:t>375 RODI ROAD APT 302</w:t>
      </w:r>
      <w:r w:rsidRPr="004C2C5B">
        <w:rPr>
          <w:rFonts w:ascii="Microsoft Sans Serif" w:hAnsi="Calibri"/>
          <w:sz w:val="24"/>
          <w:szCs w:val="22"/>
        </w:rPr>
        <w:cr/>
        <w:t>PITTSBURGH PA 15235</w:t>
      </w:r>
      <w:r w:rsidRPr="004C2C5B">
        <w:rPr>
          <w:rFonts w:ascii="Microsoft Sans Serif" w:hAnsi="Calibri"/>
          <w:sz w:val="24"/>
          <w:szCs w:val="22"/>
        </w:rPr>
        <w:cr/>
      </w:r>
      <w:r w:rsidRPr="004C2C5B">
        <w:rPr>
          <w:rFonts w:ascii="Microsoft Sans Serif" w:hAnsi="Calibri"/>
          <w:b/>
          <w:sz w:val="24"/>
          <w:szCs w:val="22"/>
        </w:rPr>
        <w:t>412.545.2110</w:t>
      </w:r>
      <w:r w:rsidRPr="004C2C5B">
        <w:rPr>
          <w:rFonts w:ascii="Microsoft Sans Serif" w:hAnsi="Calibri"/>
          <w:sz w:val="24"/>
          <w:szCs w:val="22"/>
        </w:rPr>
        <w:cr/>
      </w:r>
      <w:r w:rsidRPr="004C2C5B">
        <w:rPr>
          <w:rFonts w:ascii="Microsoft Sans Serif" w:hAnsi="Calibri"/>
          <w:sz w:val="24"/>
          <w:szCs w:val="22"/>
        </w:rPr>
        <w:cr/>
        <w:t>JEREMY V FARRELL ESQUIRE</w:t>
      </w:r>
      <w:r w:rsidRPr="004C2C5B">
        <w:rPr>
          <w:rFonts w:ascii="Microsoft Sans Serif" w:hAnsi="Calibri"/>
          <w:sz w:val="24"/>
          <w:szCs w:val="22"/>
        </w:rPr>
        <w:cr/>
        <w:t xml:space="preserve">TUCKER </w:t>
      </w:r>
      <w:proofErr w:type="spellStart"/>
      <w:r w:rsidRPr="004C2C5B">
        <w:rPr>
          <w:rFonts w:ascii="Microsoft Sans Serif" w:hAnsi="Calibri"/>
          <w:sz w:val="24"/>
          <w:szCs w:val="22"/>
        </w:rPr>
        <w:t>ARENSBERG</w:t>
      </w:r>
      <w:proofErr w:type="spellEnd"/>
      <w:r w:rsidRPr="004C2C5B">
        <w:rPr>
          <w:rFonts w:ascii="Microsoft Sans Serif" w:hAnsi="Calibri"/>
          <w:sz w:val="24"/>
          <w:szCs w:val="22"/>
        </w:rPr>
        <w:t xml:space="preserve"> PC</w:t>
      </w:r>
      <w:r w:rsidRPr="004C2C5B">
        <w:rPr>
          <w:rFonts w:ascii="Microsoft Sans Serif" w:hAnsi="Calibri"/>
          <w:sz w:val="24"/>
          <w:szCs w:val="22"/>
        </w:rPr>
        <w:cr/>
        <w:t>1500 ONE PPG PLACE</w:t>
      </w:r>
      <w:r w:rsidRPr="004C2C5B">
        <w:rPr>
          <w:rFonts w:ascii="Microsoft Sans Serif" w:hAnsi="Calibri"/>
          <w:sz w:val="24"/>
          <w:szCs w:val="22"/>
        </w:rPr>
        <w:cr/>
        <w:t>PITTSBURGH PA  15222</w:t>
      </w:r>
      <w:r w:rsidRPr="004C2C5B">
        <w:rPr>
          <w:rFonts w:ascii="Microsoft Sans Serif" w:hAnsi="Calibri"/>
          <w:sz w:val="24"/>
          <w:szCs w:val="22"/>
        </w:rPr>
        <w:cr/>
      </w:r>
      <w:r w:rsidRPr="004C2C5B">
        <w:rPr>
          <w:rFonts w:ascii="Microsoft Sans Serif" w:hAnsi="Calibri"/>
          <w:b/>
          <w:sz w:val="24"/>
          <w:szCs w:val="22"/>
        </w:rPr>
        <w:t>412.594.3938</w:t>
      </w:r>
      <w:r w:rsidRPr="004C2C5B">
        <w:rPr>
          <w:rFonts w:ascii="Microsoft Sans Serif" w:hAnsi="Calibri"/>
          <w:sz w:val="24"/>
          <w:szCs w:val="22"/>
        </w:rPr>
        <w:cr/>
      </w:r>
      <w:r w:rsidRPr="004C2C5B">
        <w:rPr>
          <w:rFonts w:ascii="Microsoft Sans Serif" w:hAnsi="Calibri"/>
          <w:b/>
          <w:i/>
          <w:sz w:val="24"/>
          <w:szCs w:val="22"/>
          <w:u w:val="single"/>
        </w:rPr>
        <w:t>E-SERVICE</w:t>
      </w:r>
    </w:p>
    <w:p w:rsidR="004C2C5B" w:rsidRPr="00696D94" w:rsidRDefault="004C2C5B" w:rsidP="00696D94">
      <w:pPr>
        <w:spacing w:line="276" w:lineRule="auto"/>
        <w:rPr>
          <w:rFonts w:eastAsiaTheme="minorHAnsi" w:cstheme="minorBidi"/>
          <w:sz w:val="24"/>
          <w:szCs w:val="22"/>
          <w:u w:val="single"/>
        </w:rPr>
      </w:pPr>
    </w:p>
    <w:sectPr w:rsidR="004C2C5B" w:rsidRPr="00696D94" w:rsidSect="0035125B">
      <w:pgSz w:w="12240" w:h="15840"/>
      <w:pgMar w:top="1440" w:right="1080" w:bottom="1440" w:left="135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7F3" w:rsidRDefault="002767F3">
      <w:r>
        <w:separator/>
      </w:r>
    </w:p>
  </w:endnote>
  <w:endnote w:type="continuationSeparator" w:id="0">
    <w:p w:rsidR="002767F3" w:rsidRDefault="0027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B4" w:rsidRDefault="005A1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A12B4" w:rsidRDefault="005A1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175392"/>
      <w:docPartObj>
        <w:docPartGallery w:val="Page Numbers (Bottom of Page)"/>
        <w:docPartUnique/>
      </w:docPartObj>
    </w:sdtPr>
    <w:sdtEndPr>
      <w:rPr>
        <w:noProof/>
      </w:rPr>
    </w:sdtEndPr>
    <w:sdtContent>
      <w:p w:rsidR="005A12B4" w:rsidRDefault="005A12B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A12B4" w:rsidRDefault="005A1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7F3" w:rsidRDefault="002767F3">
      <w:r>
        <w:separator/>
      </w:r>
    </w:p>
  </w:footnote>
  <w:footnote w:type="continuationSeparator" w:id="0">
    <w:p w:rsidR="002767F3" w:rsidRDefault="002767F3">
      <w:r>
        <w:continuationSeparator/>
      </w:r>
    </w:p>
  </w:footnote>
  <w:footnote w:id="1">
    <w:p w:rsidR="0005031B" w:rsidRPr="0005031B" w:rsidRDefault="0005031B">
      <w:pPr>
        <w:pStyle w:val="FootnoteText"/>
        <w:rPr>
          <w:rStyle w:val="FootnoteReference"/>
          <w:rFonts w:ascii="Times New Roman" w:hAnsi="Times New Roman"/>
          <w:vertAlign w:val="baseline"/>
        </w:rPr>
      </w:pPr>
      <w:r w:rsidRPr="0005031B">
        <w:rPr>
          <w:rStyle w:val="FootnoteReference"/>
          <w:rFonts w:ascii="Times New Roman" w:hAnsi="Times New Roman"/>
        </w:rPr>
        <w:footnoteRef/>
      </w:r>
      <w:r>
        <w:rPr>
          <w:rFonts w:ascii="Times New Roman" w:hAnsi="Times New Roman"/>
        </w:rPr>
        <w:t xml:space="preserve"> </w:t>
      </w:r>
      <w:r w:rsidR="000F0126">
        <w:rPr>
          <w:rFonts w:ascii="Times New Roman" w:hAnsi="Times New Roman"/>
        </w:rPr>
        <w:tab/>
      </w:r>
      <w:r>
        <w:rPr>
          <w:rFonts w:ascii="Times New Roman" w:hAnsi="Times New Roman"/>
        </w:rPr>
        <w:t xml:space="preserve">There is no allegation in the filings that Complainant was applying for service </w:t>
      </w:r>
      <w:r w:rsidR="009D11E5">
        <w:rPr>
          <w:rFonts w:ascii="Times New Roman" w:hAnsi="Times New Roman"/>
        </w:rPr>
        <w:t xml:space="preserve">at the property </w:t>
      </w:r>
      <w:r>
        <w:rPr>
          <w:rFonts w:ascii="Times New Roman" w:hAnsi="Times New Roman"/>
        </w:rPr>
        <w:t>where the outstanding balance had accrued.  Therefore, Respondent’s reliance on Secti</w:t>
      </w:r>
      <w:r w:rsidR="009D11E5">
        <w:rPr>
          <w:rFonts w:ascii="Times New Roman" w:hAnsi="Times New Roman"/>
        </w:rPr>
        <w:t>o</w:t>
      </w:r>
      <w:r>
        <w:rPr>
          <w:rFonts w:ascii="Times New Roman" w:hAnsi="Times New Roman"/>
        </w:rPr>
        <w:t>n 56.35(b)(1)</w:t>
      </w:r>
      <w:r w:rsidR="009D11E5">
        <w:rPr>
          <w:rFonts w:ascii="Times New Roman" w:hAnsi="Times New Roman"/>
        </w:rPr>
        <w:t xml:space="preserve"> is misplaced</w:t>
      </w:r>
      <w:r>
        <w:rPr>
          <w:rFonts w:ascii="Times New Roman" w:hAnsi="Times New Roman"/>
        </w:rPr>
        <w:t>.</w:t>
      </w:r>
      <w:r w:rsidR="009D11E5">
        <w:rPr>
          <w:rFonts w:ascii="Times New Roman" w:hAnsi="Times New Roman"/>
        </w:rPr>
        <w:t xml:space="preserve">  However, Respondent’s misapprehension of Section 56.35(b)(1) is not determinative of the outcome of the Motion.</w:t>
      </w:r>
    </w:p>
    <w:p w:rsidR="0005031B" w:rsidRPr="0005031B" w:rsidRDefault="0005031B">
      <w:pPr>
        <w:pStyle w:val="FootnoteText"/>
        <w:rPr>
          <w:rStyle w:val="FootnoteReference"/>
        </w:rPr>
      </w:pPr>
      <w:r w:rsidRPr="0005031B">
        <w:rPr>
          <w:rStyle w:val="FootnoteReference"/>
          <w:rFonts w:ascii="Times New Roman" w:hAnsi="Times New Roman"/>
          <w:vertAlign w:val="baseline"/>
        </w:rPr>
        <w:t xml:space="preserve"> </w:t>
      </w:r>
      <w:r w:rsidRPr="0005031B">
        <w:rPr>
          <w:rStyle w:val="FootnoteReference"/>
        </w:rPr>
        <w:t xml:space="preserve">  </w:t>
      </w:r>
    </w:p>
  </w:footnote>
  <w:footnote w:id="2">
    <w:p w:rsidR="00667A44" w:rsidRPr="00667A44" w:rsidRDefault="00B2143E" w:rsidP="00667A44">
      <w:r w:rsidRPr="00B2143E">
        <w:rPr>
          <w:rStyle w:val="FootnoteReference"/>
        </w:rPr>
        <w:footnoteRef/>
      </w:r>
      <w:r w:rsidRPr="00B2143E">
        <w:t xml:space="preserve"> </w:t>
      </w:r>
      <w:r w:rsidR="000F0126">
        <w:tab/>
      </w:r>
      <w:r w:rsidRPr="00B2143E">
        <w:t>While</w:t>
      </w:r>
      <w:r>
        <w:t xml:space="preserve"> the relief that Complainant seeks is beyond the Commission’s jurisdiction</w:t>
      </w:r>
      <w:r w:rsidRPr="00B2143E">
        <w:t>,</w:t>
      </w:r>
      <w:r>
        <w:t xml:space="preserve"> the Complaint raises other issues which cannot be ignored. </w:t>
      </w:r>
      <w:r w:rsidR="00667A44">
        <w:t xml:space="preserve"> </w:t>
      </w:r>
      <w:r w:rsidR="00667A44" w:rsidRPr="00667A44">
        <w:t>“[R]egardless of the form of the pleading in which the allegations are couched, it is for the PUC initially to determine whether the service provided by the utility has fallen short of the statutory standard required of it.” (Citations omitted)</w:t>
      </w:r>
      <w:r w:rsidR="004C2C5B">
        <w:t>.</w:t>
      </w:r>
      <w:r w:rsidR="00667A44" w:rsidRPr="00667A44">
        <w:t xml:space="preserve"> </w:t>
      </w:r>
      <w:r w:rsidR="004C2C5B">
        <w:t xml:space="preserve"> </w:t>
      </w:r>
      <w:r w:rsidR="00667A44" w:rsidRPr="00667A44">
        <w:rPr>
          <w:i/>
        </w:rPr>
        <w:t>DiSanto v Dauphin Consolidated Water Supply Company</w:t>
      </w:r>
      <w:r w:rsidR="00667A44" w:rsidRPr="00667A44">
        <w:t>, 291 Pa.Super. 440,</w:t>
      </w:r>
      <w:r w:rsidR="00667A44">
        <w:t xml:space="preserve"> 445,</w:t>
      </w:r>
      <w:r w:rsidR="00667A44" w:rsidRPr="00667A44">
        <w:t xml:space="preserve"> 436 A.2d 197</w:t>
      </w:r>
      <w:r w:rsidR="00667A44">
        <w:t>, 199</w:t>
      </w:r>
      <w:r w:rsidR="00667A44" w:rsidRPr="00667A44">
        <w:t xml:space="preserve"> (1981).</w:t>
      </w:r>
    </w:p>
    <w:p w:rsidR="00B2143E" w:rsidRPr="00B2143E" w:rsidRDefault="00B2143E">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95"/>
    <w:rsid w:val="0005031B"/>
    <w:rsid w:val="000859C2"/>
    <w:rsid w:val="000F0126"/>
    <w:rsid w:val="00102CF7"/>
    <w:rsid w:val="0011638B"/>
    <w:rsid w:val="001227D5"/>
    <w:rsid w:val="00122E5F"/>
    <w:rsid w:val="001246C9"/>
    <w:rsid w:val="00172A5F"/>
    <w:rsid w:val="00180DB2"/>
    <w:rsid w:val="001A3674"/>
    <w:rsid w:val="001B19BC"/>
    <w:rsid w:val="001C38DD"/>
    <w:rsid w:val="001C490C"/>
    <w:rsid w:val="00217DBB"/>
    <w:rsid w:val="002404EE"/>
    <w:rsid w:val="0024588A"/>
    <w:rsid w:val="002507BD"/>
    <w:rsid w:val="002619E8"/>
    <w:rsid w:val="002767F3"/>
    <w:rsid w:val="00284701"/>
    <w:rsid w:val="00290D96"/>
    <w:rsid w:val="002C7C4F"/>
    <w:rsid w:val="002E1B6C"/>
    <w:rsid w:val="00303B6D"/>
    <w:rsid w:val="00304EAF"/>
    <w:rsid w:val="0035125B"/>
    <w:rsid w:val="0035231F"/>
    <w:rsid w:val="0035629C"/>
    <w:rsid w:val="003E653A"/>
    <w:rsid w:val="0040011F"/>
    <w:rsid w:val="004328C1"/>
    <w:rsid w:val="00437DDC"/>
    <w:rsid w:val="0046324F"/>
    <w:rsid w:val="00465838"/>
    <w:rsid w:val="004B1CF1"/>
    <w:rsid w:val="004B3213"/>
    <w:rsid w:val="004C2C5B"/>
    <w:rsid w:val="004D7D53"/>
    <w:rsid w:val="004E5FF0"/>
    <w:rsid w:val="00524052"/>
    <w:rsid w:val="005355EA"/>
    <w:rsid w:val="0053789E"/>
    <w:rsid w:val="00541FEA"/>
    <w:rsid w:val="00584B2B"/>
    <w:rsid w:val="005A12B4"/>
    <w:rsid w:val="005B0E1E"/>
    <w:rsid w:val="005C0937"/>
    <w:rsid w:val="005D2CAC"/>
    <w:rsid w:val="00617089"/>
    <w:rsid w:val="00637EDA"/>
    <w:rsid w:val="00667A44"/>
    <w:rsid w:val="0069270F"/>
    <w:rsid w:val="006928A9"/>
    <w:rsid w:val="00696D94"/>
    <w:rsid w:val="006B1286"/>
    <w:rsid w:val="007122D7"/>
    <w:rsid w:val="007253E4"/>
    <w:rsid w:val="00741888"/>
    <w:rsid w:val="00745E76"/>
    <w:rsid w:val="00756C95"/>
    <w:rsid w:val="007622AA"/>
    <w:rsid w:val="00796021"/>
    <w:rsid w:val="007D5F18"/>
    <w:rsid w:val="007E023B"/>
    <w:rsid w:val="007F56C6"/>
    <w:rsid w:val="00804821"/>
    <w:rsid w:val="008144F4"/>
    <w:rsid w:val="00824677"/>
    <w:rsid w:val="00836FC2"/>
    <w:rsid w:val="00851F94"/>
    <w:rsid w:val="00853063"/>
    <w:rsid w:val="008703C6"/>
    <w:rsid w:val="00896D42"/>
    <w:rsid w:val="008B2568"/>
    <w:rsid w:val="008E1F8E"/>
    <w:rsid w:val="008E46F4"/>
    <w:rsid w:val="008E5574"/>
    <w:rsid w:val="00902DEF"/>
    <w:rsid w:val="0090599C"/>
    <w:rsid w:val="00922A9F"/>
    <w:rsid w:val="00964E93"/>
    <w:rsid w:val="00966044"/>
    <w:rsid w:val="0098697B"/>
    <w:rsid w:val="009A13EA"/>
    <w:rsid w:val="009B4B9C"/>
    <w:rsid w:val="009D11E5"/>
    <w:rsid w:val="009D3899"/>
    <w:rsid w:val="009D58FE"/>
    <w:rsid w:val="00A05FFE"/>
    <w:rsid w:val="00A1345E"/>
    <w:rsid w:val="00A27781"/>
    <w:rsid w:val="00A71162"/>
    <w:rsid w:val="00A96DEE"/>
    <w:rsid w:val="00AC3EA1"/>
    <w:rsid w:val="00AC5222"/>
    <w:rsid w:val="00AD5A93"/>
    <w:rsid w:val="00B06DC2"/>
    <w:rsid w:val="00B2111E"/>
    <w:rsid w:val="00B2143E"/>
    <w:rsid w:val="00B663E2"/>
    <w:rsid w:val="00B70287"/>
    <w:rsid w:val="00B7678F"/>
    <w:rsid w:val="00BA2830"/>
    <w:rsid w:val="00BB5667"/>
    <w:rsid w:val="00BC5D76"/>
    <w:rsid w:val="00C17E2E"/>
    <w:rsid w:val="00C217E2"/>
    <w:rsid w:val="00C259DD"/>
    <w:rsid w:val="00C47134"/>
    <w:rsid w:val="00C50F4D"/>
    <w:rsid w:val="00C65DDC"/>
    <w:rsid w:val="00C84040"/>
    <w:rsid w:val="00CA27DC"/>
    <w:rsid w:val="00CA58AF"/>
    <w:rsid w:val="00CE4567"/>
    <w:rsid w:val="00D539C4"/>
    <w:rsid w:val="00D63591"/>
    <w:rsid w:val="00D66261"/>
    <w:rsid w:val="00D973DB"/>
    <w:rsid w:val="00DC6FC2"/>
    <w:rsid w:val="00DE42D7"/>
    <w:rsid w:val="00E05062"/>
    <w:rsid w:val="00E65482"/>
    <w:rsid w:val="00E66EE7"/>
    <w:rsid w:val="00E94ABD"/>
    <w:rsid w:val="00E94CFB"/>
    <w:rsid w:val="00F020D0"/>
    <w:rsid w:val="00F02736"/>
    <w:rsid w:val="00FC24A1"/>
    <w:rsid w:val="00FC3E48"/>
    <w:rsid w:val="00FD6D08"/>
    <w:rsid w:val="00FE1C2C"/>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8E0D9F"/>
  <w15:docId w15:val="{5780FF8F-DC37-439B-B5FC-37A3484E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C95"/>
    <w:pPr>
      <w:spacing w:after="0"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6C95"/>
    <w:pPr>
      <w:tabs>
        <w:tab w:val="center" w:pos="4320"/>
        <w:tab w:val="right" w:pos="8640"/>
      </w:tabs>
    </w:pPr>
  </w:style>
  <w:style w:type="character" w:customStyle="1" w:styleId="FooterChar">
    <w:name w:val="Footer Char"/>
    <w:basedOn w:val="DefaultParagraphFont"/>
    <w:link w:val="Footer"/>
    <w:uiPriority w:val="99"/>
    <w:rsid w:val="00756C95"/>
    <w:rPr>
      <w:rFonts w:eastAsia="Times New Roman"/>
      <w:sz w:val="20"/>
      <w:szCs w:val="20"/>
    </w:rPr>
  </w:style>
  <w:style w:type="paragraph" w:styleId="Title">
    <w:name w:val="Title"/>
    <w:basedOn w:val="Normal"/>
    <w:link w:val="TitleChar"/>
    <w:qFormat/>
    <w:rsid w:val="00756C95"/>
    <w:pPr>
      <w:tabs>
        <w:tab w:val="left" w:pos="360"/>
      </w:tabs>
      <w:spacing w:line="233" w:lineRule="auto"/>
      <w:jc w:val="center"/>
    </w:pPr>
    <w:rPr>
      <w:b/>
      <w:sz w:val="24"/>
    </w:rPr>
  </w:style>
  <w:style w:type="character" w:customStyle="1" w:styleId="TitleChar">
    <w:name w:val="Title Char"/>
    <w:basedOn w:val="DefaultParagraphFont"/>
    <w:link w:val="Title"/>
    <w:rsid w:val="00756C95"/>
    <w:rPr>
      <w:rFonts w:eastAsia="Times New Roman"/>
      <w:b/>
      <w:szCs w:val="20"/>
    </w:rPr>
  </w:style>
  <w:style w:type="paragraph" w:styleId="ListParagraph">
    <w:name w:val="List Paragraph"/>
    <w:basedOn w:val="Normal"/>
    <w:uiPriority w:val="34"/>
    <w:qFormat/>
    <w:rsid w:val="00756C95"/>
    <w:pPr>
      <w:ind w:left="720"/>
      <w:contextualSpacing/>
    </w:pPr>
  </w:style>
  <w:style w:type="paragraph" w:styleId="Header">
    <w:name w:val="header"/>
    <w:basedOn w:val="Normal"/>
    <w:link w:val="HeaderChar"/>
    <w:rsid w:val="00756C95"/>
    <w:pPr>
      <w:widowControl w:val="0"/>
      <w:tabs>
        <w:tab w:val="center" w:pos="4680"/>
        <w:tab w:val="right" w:pos="9360"/>
      </w:tabs>
      <w:autoSpaceDE w:val="0"/>
      <w:autoSpaceDN w:val="0"/>
      <w:adjustRightInd w:val="0"/>
    </w:pPr>
    <w:rPr>
      <w:rFonts w:ascii="Courier New" w:hAnsi="Courier New" w:cs="Courier New"/>
    </w:rPr>
  </w:style>
  <w:style w:type="character" w:customStyle="1" w:styleId="HeaderChar">
    <w:name w:val="Header Char"/>
    <w:basedOn w:val="DefaultParagraphFont"/>
    <w:link w:val="Header"/>
    <w:rsid w:val="00756C95"/>
    <w:rPr>
      <w:rFonts w:ascii="Courier New" w:eastAsia="Times New Roman" w:hAnsi="Courier New" w:cs="Courier New"/>
      <w:sz w:val="20"/>
      <w:szCs w:val="20"/>
    </w:rPr>
  </w:style>
  <w:style w:type="paragraph" w:customStyle="1" w:styleId="ParaTab1">
    <w:name w:val="ParaTab 1"/>
    <w:rsid w:val="00756C95"/>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character" w:styleId="PageNumber">
    <w:name w:val="page number"/>
    <w:basedOn w:val="DefaultParagraphFont"/>
    <w:rsid w:val="00A71162"/>
  </w:style>
  <w:style w:type="paragraph" w:styleId="BalloonText">
    <w:name w:val="Balloon Text"/>
    <w:basedOn w:val="Normal"/>
    <w:link w:val="BalloonTextChar"/>
    <w:uiPriority w:val="99"/>
    <w:semiHidden/>
    <w:unhideWhenUsed/>
    <w:rsid w:val="00A71162"/>
    <w:rPr>
      <w:rFonts w:ascii="Tahoma" w:hAnsi="Tahoma" w:cs="Tahoma"/>
      <w:sz w:val="16"/>
      <w:szCs w:val="16"/>
    </w:rPr>
  </w:style>
  <w:style w:type="character" w:customStyle="1" w:styleId="BalloonTextChar">
    <w:name w:val="Balloon Text Char"/>
    <w:basedOn w:val="DefaultParagraphFont"/>
    <w:link w:val="BalloonText"/>
    <w:uiPriority w:val="99"/>
    <w:semiHidden/>
    <w:rsid w:val="00A71162"/>
    <w:rPr>
      <w:rFonts w:ascii="Tahoma" w:eastAsia="Times New Roman" w:hAnsi="Tahoma" w:cs="Tahoma"/>
      <w:sz w:val="16"/>
      <w:szCs w:val="16"/>
    </w:rPr>
  </w:style>
  <w:style w:type="paragraph" w:styleId="FootnoteText">
    <w:name w:val="footnote text"/>
    <w:basedOn w:val="Normal"/>
    <w:link w:val="FootnoteTextChar"/>
    <w:unhideWhenUsed/>
    <w:rsid w:val="00B2111E"/>
    <w:rPr>
      <w:rFonts w:ascii="Calibri" w:eastAsia="Calibri" w:hAnsi="Calibri"/>
    </w:rPr>
  </w:style>
  <w:style w:type="character" w:customStyle="1" w:styleId="FootnoteTextChar">
    <w:name w:val="Footnote Text Char"/>
    <w:basedOn w:val="DefaultParagraphFont"/>
    <w:link w:val="FootnoteText"/>
    <w:rsid w:val="00B2111E"/>
    <w:rPr>
      <w:rFonts w:ascii="Calibri" w:eastAsia="Calibri" w:hAnsi="Calibri"/>
      <w:sz w:val="20"/>
      <w:szCs w:val="20"/>
    </w:rPr>
  </w:style>
  <w:style w:type="character" w:styleId="FootnoteReference">
    <w:name w:val="footnote reference"/>
    <w:unhideWhenUsed/>
    <w:rsid w:val="00B2111E"/>
    <w:rPr>
      <w:vertAlign w:val="superscript"/>
    </w:rPr>
  </w:style>
  <w:style w:type="table" w:styleId="TableGrid">
    <w:name w:val="Table Grid"/>
    <w:basedOn w:val="TableNormal"/>
    <w:uiPriority w:val="59"/>
    <w:rsid w:val="005D2CAC"/>
    <w:pPr>
      <w:spacing w:after="0" w:line="240" w:lineRule="auto"/>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18D59-427E-4464-9A62-6626C6FD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Pallas, Dan</cp:lastModifiedBy>
  <cp:revision>4</cp:revision>
  <cp:lastPrinted>2014-05-27T15:27:00Z</cp:lastPrinted>
  <dcterms:created xsi:type="dcterms:W3CDTF">2018-03-08T18:23:00Z</dcterms:created>
  <dcterms:modified xsi:type="dcterms:W3CDTF">2018-03-08T20:02:00Z</dcterms:modified>
</cp:coreProperties>
</file>