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3B677" w14:textId="77777777" w:rsidR="00021C47" w:rsidRDefault="00CF4780" w:rsidP="00CF4780">
      <w:pPr>
        <w:jc w:val="center"/>
        <w:rPr>
          <w:b/>
        </w:rPr>
      </w:pPr>
      <w:r>
        <w:rPr>
          <w:b/>
        </w:rPr>
        <w:t>BEFORE THE</w:t>
      </w:r>
    </w:p>
    <w:p w14:paraId="64EBBA7C" w14:textId="77777777"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14:paraId="425E1D49" w14:textId="77777777" w:rsidR="00CF4780" w:rsidRDefault="00CF4780" w:rsidP="00CF4780">
      <w:pPr>
        <w:jc w:val="center"/>
        <w:rPr>
          <w:b/>
        </w:rPr>
      </w:pPr>
    </w:p>
    <w:p w14:paraId="2F964520" w14:textId="51813EF4" w:rsidR="00CF4780" w:rsidRDefault="00CF4780" w:rsidP="00CF4780"/>
    <w:p w14:paraId="66590814" w14:textId="77777777" w:rsidR="00F55EE5" w:rsidRDefault="00F55EE5" w:rsidP="00CF4780"/>
    <w:p w14:paraId="32E69AAB" w14:textId="77777777" w:rsidR="00601F5F" w:rsidRDefault="00FF5420" w:rsidP="00CF4780">
      <w:r>
        <w:t>Henry Yang</w:t>
      </w:r>
      <w:r>
        <w:tab/>
      </w:r>
      <w:r w:rsidR="00AA04D1">
        <w:tab/>
      </w:r>
      <w:r w:rsidR="00AA04D1">
        <w:tab/>
      </w:r>
      <w:r w:rsidR="00601F5F">
        <w:tab/>
      </w:r>
      <w:r w:rsidR="00601F5F">
        <w:tab/>
        <w:t>:</w:t>
      </w:r>
    </w:p>
    <w:p w14:paraId="53C854E2" w14:textId="77777777" w:rsidR="00CF4780" w:rsidRDefault="00CF4780" w:rsidP="00CF4780">
      <w:r>
        <w:tab/>
      </w:r>
      <w:r>
        <w:tab/>
      </w:r>
      <w:r>
        <w:tab/>
      </w:r>
      <w:r>
        <w:tab/>
      </w:r>
      <w:r>
        <w:tab/>
      </w:r>
      <w:r>
        <w:tab/>
        <w:t>:</w:t>
      </w:r>
    </w:p>
    <w:p w14:paraId="476D35DF" w14:textId="77777777" w:rsidR="00CF4780" w:rsidRDefault="00CF4780" w:rsidP="00CF4780">
      <w:r>
        <w:tab/>
        <w:t>v.</w:t>
      </w:r>
      <w:r>
        <w:tab/>
      </w:r>
      <w:r>
        <w:tab/>
      </w:r>
      <w:r>
        <w:tab/>
      </w:r>
      <w:r>
        <w:tab/>
      </w:r>
      <w:r>
        <w:tab/>
        <w:t>:</w:t>
      </w:r>
      <w:r>
        <w:tab/>
      </w:r>
      <w:r>
        <w:tab/>
      </w:r>
      <w:r w:rsidR="00FF5420">
        <w:t>F</w:t>
      </w:r>
      <w:r w:rsidR="000962F2">
        <w:t>-201</w:t>
      </w:r>
      <w:r w:rsidR="00FF5420">
        <w:t>7</w:t>
      </w:r>
      <w:r w:rsidR="000962F2">
        <w:t>-2</w:t>
      </w:r>
      <w:r w:rsidR="00FF5420">
        <w:t>635567</w:t>
      </w:r>
    </w:p>
    <w:p w14:paraId="43B888B3" w14:textId="77777777" w:rsidR="00CF4780" w:rsidRDefault="00CF4780" w:rsidP="00CF4780">
      <w:r>
        <w:tab/>
      </w:r>
      <w:r>
        <w:tab/>
      </w:r>
      <w:r>
        <w:tab/>
      </w:r>
      <w:r>
        <w:tab/>
      </w:r>
      <w:r>
        <w:tab/>
      </w:r>
      <w:r>
        <w:tab/>
        <w:t>:</w:t>
      </w:r>
    </w:p>
    <w:p w14:paraId="196108F5" w14:textId="77777777" w:rsidR="00CF4780" w:rsidRDefault="00601F5F" w:rsidP="00CF4780">
      <w:r>
        <w:t>P</w:t>
      </w:r>
      <w:r w:rsidR="00FF5420">
        <w:t>hiladelphia Gas Works</w:t>
      </w:r>
      <w:r>
        <w:tab/>
      </w:r>
      <w:r w:rsidR="00CF4780">
        <w:tab/>
      </w:r>
      <w:r w:rsidR="00CF4780">
        <w:tab/>
        <w:t>:</w:t>
      </w:r>
    </w:p>
    <w:p w14:paraId="3AA14EE2" w14:textId="77777777" w:rsidR="00CF4780" w:rsidRDefault="00CF4780" w:rsidP="00CF4780"/>
    <w:p w14:paraId="595C1090" w14:textId="0097E79F" w:rsidR="00CF4780" w:rsidRDefault="00CF4780" w:rsidP="00CF4780"/>
    <w:p w14:paraId="5E9D7801" w14:textId="77777777" w:rsidR="00F55EE5" w:rsidRDefault="00F55EE5" w:rsidP="00CF4780"/>
    <w:p w14:paraId="3BF443B2" w14:textId="77777777" w:rsidR="00841336" w:rsidRPr="00F83F79" w:rsidRDefault="00AA1D53" w:rsidP="00AA1D53">
      <w:pPr>
        <w:tabs>
          <w:tab w:val="center" w:pos="0"/>
        </w:tabs>
        <w:suppressAutoHyphens/>
        <w:ind w:right="-720"/>
        <w:jc w:val="center"/>
        <w:rPr>
          <w:b/>
          <w:bCs/>
          <w:spacing w:val="-3"/>
        </w:rPr>
      </w:pPr>
      <w:r>
        <w:rPr>
          <w:b/>
          <w:bCs/>
          <w:spacing w:val="-3"/>
          <w:u w:val="single"/>
        </w:rPr>
        <w:t>ORDER DENYING PRELIMINARY OBJECTION</w:t>
      </w:r>
    </w:p>
    <w:p w14:paraId="24D5E646" w14:textId="5A11B5E0" w:rsidR="00F83F79" w:rsidRDefault="00F83F79" w:rsidP="00F55EE5">
      <w:pPr>
        <w:tabs>
          <w:tab w:val="left" w:pos="-720"/>
        </w:tabs>
        <w:suppressAutoHyphens/>
        <w:autoSpaceDE w:val="0"/>
        <w:autoSpaceDN w:val="0"/>
        <w:ind w:firstLine="1440"/>
        <w:rPr>
          <w:spacing w:val="-3"/>
        </w:rPr>
      </w:pPr>
    </w:p>
    <w:p w14:paraId="747B2CD0" w14:textId="77777777" w:rsidR="00F55EE5" w:rsidRDefault="00F55EE5" w:rsidP="00F55EE5">
      <w:pPr>
        <w:tabs>
          <w:tab w:val="left" w:pos="-720"/>
        </w:tabs>
        <w:suppressAutoHyphens/>
        <w:autoSpaceDE w:val="0"/>
        <w:autoSpaceDN w:val="0"/>
        <w:ind w:firstLine="1440"/>
        <w:rPr>
          <w:spacing w:val="-3"/>
        </w:rPr>
      </w:pPr>
    </w:p>
    <w:p w14:paraId="3CEFC068" w14:textId="4572E038" w:rsidR="00F83F79" w:rsidRDefault="00F83F79" w:rsidP="008B22BE">
      <w:pPr>
        <w:tabs>
          <w:tab w:val="left" w:pos="-720"/>
        </w:tabs>
        <w:suppressAutoHyphens/>
        <w:autoSpaceDE w:val="0"/>
        <w:autoSpaceDN w:val="0"/>
        <w:spacing w:line="360" w:lineRule="auto"/>
      </w:pPr>
      <w:r w:rsidRPr="00F83F79">
        <w:tab/>
      </w:r>
      <w:r w:rsidRPr="00F83F79">
        <w:tab/>
      </w:r>
      <w:r w:rsidR="00113287">
        <w:t xml:space="preserve">This </w:t>
      </w:r>
      <w:r w:rsidR="001F2162">
        <w:t>Order</w:t>
      </w:r>
      <w:r w:rsidR="00113287">
        <w:t xml:space="preserve"> </w:t>
      </w:r>
      <w:r w:rsidR="00AA1D53">
        <w:t>denies</w:t>
      </w:r>
      <w:r w:rsidR="00113287">
        <w:t xml:space="preserve"> the </w:t>
      </w:r>
      <w:r w:rsidR="00AF7F9A">
        <w:t>P</w:t>
      </w:r>
      <w:r w:rsidR="00841336">
        <w:t xml:space="preserve">reliminary </w:t>
      </w:r>
      <w:r w:rsidR="00AF7F9A">
        <w:t>O</w:t>
      </w:r>
      <w:r w:rsidR="00841336">
        <w:t>bjection</w:t>
      </w:r>
      <w:r w:rsidRPr="00F83F79">
        <w:t xml:space="preserve"> filed by </w:t>
      </w:r>
      <w:r w:rsidR="00FF5420" w:rsidRPr="00FF5420">
        <w:t xml:space="preserve">Philadelphia Gas Works </w:t>
      </w:r>
      <w:r w:rsidRPr="00F83F79">
        <w:t>(</w:t>
      </w:r>
      <w:r w:rsidR="00601F5F">
        <w:t>P</w:t>
      </w:r>
      <w:r w:rsidR="00FF5420">
        <w:t>GW</w:t>
      </w:r>
      <w:r w:rsidRPr="00F83F79">
        <w:t xml:space="preserve"> or Respondent) in this case </w:t>
      </w:r>
      <w:r w:rsidR="00AA1D53">
        <w:t xml:space="preserve">relative to </w:t>
      </w:r>
      <w:r w:rsidR="00F05EAC">
        <w:t xml:space="preserve">the formal Complaint filed </w:t>
      </w:r>
      <w:r w:rsidR="00A75964">
        <w:t xml:space="preserve">at this docket </w:t>
      </w:r>
      <w:r w:rsidR="00F05EAC">
        <w:t xml:space="preserve">by </w:t>
      </w:r>
      <w:r w:rsidR="00FF5420">
        <w:t xml:space="preserve">Henry Yang </w:t>
      </w:r>
      <w:r w:rsidR="00F05EAC" w:rsidRPr="00F05EAC">
        <w:t>(Complainant)</w:t>
      </w:r>
      <w:r w:rsidRPr="00F83F79">
        <w:t>.</w:t>
      </w:r>
    </w:p>
    <w:p w14:paraId="54B5195E" w14:textId="77777777" w:rsidR="00113287" w:rsidRDefault="00113287" w:rsidP="008B22BE">
      <w:pPr>
        <w:tabs>
          <w:tab w:val="left" w:pos="-720"/>
        </w:tabs>
        <w:suppressAutoHyphens/>
        <w:autoSpaceDE w:val="0"/>
        <w:autoSpaceDN w:val="0"/>
        <w:spacing w:line="360" w:lineRule="auto"/>
      </w:pPr>
    </w:p>
    <w:p w14:paraId="429AFED8" w14:textId="77777777" w:rsidR="00113287" w:rsidRPr="00113287" w:rsidRDefault="00113287" w:rsidP="00113287">
      <w:pPr>
        <w:tabs>
          <w:tab w:val="left" w:pos="-720"/>
        </w:tabs>
        <w:suppressAutoHyphens/>
        <w:autoSpaceDE w:val="0"/>
        <w:autoSpaceDN w:val="0"/>
        <w:spacing w:line="360" w:lineRule="auto"/>
        <w:jc w:val="center"/>
      </w:pPr>
      <w:r>
        <w:rPr>
          <w:u w:val="single"/>
        </w:rPr>
        <w:t>HISTORY</w:t>
      </w:r>
    </w:p>
    <w:p w14:paraId="4F2F7A30" w14:textId="77777777" w:rsidR="00F83F79" w:rsidRDefault="00F83F79" w:rsidP="000962F2">
      <w:pPr>
        <w:spacing w:line="360" w:lineRule="auto"/>
        <w:ind w:firstLine="1440"/>
      </w:pPr>
    </w:p>
    <w:p w14:paraId="6B6F557B" w14:textId="532E2243" w:rsidR="0055692C" w:rsidRDefault="00A75964" w:rsidP="000962F2">
      <w:pPr>
        <w:spacing w:line="360" w:lineRule="auto"/>
        <w:ind w:firstLine="1440"/>
      </w:pPr>
      <w:r>
        <w:t xml:space="preserve">This matter is a timely appeal of a determination by the Commission’s Bureau of Consumer Services (BCS) at Case No. 3571365.  </w:t>
      </w:r>
      <w:r w:rsidR="00113287">
        <w:t>O</w:t>
      </w:r>
      <w:r w:rsidR="000962F2" w:rsidRPr="007F27A1">
        <w:t xml:space="preserve">n </w:t>
      </w:r>
      <w:r w:rsidR="00FF5420">
        <w:t>November 20, 2017</w:t>
      </w:r>
      <w:r w:rsidR="00FC016D">
        <w:t xml:space="preserve">, </w:t>
      </w:r>
      <w:r w:rsidR="00841336">
        <w:t>Complainant</w:t>
      </w:r>
      <w:r w:rsidR="00FC016D">
        <w:t xml:space="preserve"> </w:t>
      </w:r>
      <w:r w:rsidR="000962F2" w:rsidRPr="007F27A1">
        <w:t>filed a formal</w:t>
      </w:r>
      <w:r w:rsidR="00841336">
        <w:t xml:space="preserve"> Complaint in which he d</w:t>
      </w:r>
      <w:r w:rsidR="00FF5420">
        <w:t xml:space="preserve">emanded that PGW install a gas meter and restore service </w:t>
      </w:r>
      <w:r w:rsidR="0055692C">
        <w:t xml:space="preserve">to 5428 Howland Street, Philadelphia, Pennsylvania.  However, in that Complaint Mr. </w:t>
      </w:r>
      <w:r>
        <w:t>Yang</w:t>
      </w:r>
      <w:r w:rsidR="0055692C">
        <w:t xml:space="preserve"> has listed the name of Bao Chen as the occupant.</w:t>
      </w:r>
      <w:r w:rsidR="0038483B">
        <w:rPr>
          <w:rStyle w:val="FootnoteReference"/>
        </w:rPr>
        <w:footnoteReference w:id="1"/>
      </w:r>
    </w:p>
    <w:p w14:paraId="292F4BEB" w14:textId="77777777" w:rsidR="0055692C" w:rsidRDefault="0055692C" w:rsidP="000962F2">
      <w:pPr>
        <w:spacing w:line="360" w:lineRule="auto"/>
        <w:ind w:firstLine="1440"/>
      </w:pPr>
    </w:p>
    <w:p w14:paraId="16803025" w14:textId="73E0F376" w:rsidR="0055692C" w:rsidRDefault="0055692C" w:rsidP="000962F2">
      <w:pPr>
        <w:spacing w:line="360" w:lineRule="auto"/>
        <w:ind w:firstLine="1440"/>
      </w:pPr>
      <w:r>
        <w:t>On December 19, 2017, PGW f</w:t>
      </w:r>
      <w:r w:rsidR="00D82CCD">
        <w:t>iled an Answer</w:t>
      </w:r>
      <w:r>
        <w:t xml:space="preserve"> and New Matter denying that it has ever terminated natural gas service to the residence and contending that </w:t>
      </w:r>
      <w:r w:rsidR="0038483B">
        <w:t xml:space="preserve">Mr. </w:t>
      </w:r>
      <w:r>
        <w:t>Bao Chen, not Complainant, is the customer of record.</w:t>
      </w:r>
    </w:p>
    <w:p w14:paraId="4EC3B0A4" w14:textId="77777777" w:rsidR="008C0E60" w:rsidRDefault="008C0E60" w:rsidP="000962F2">
      <w:pPr>
        <w:spacing w:line="360" w:lineRule="auto"/>
        <w:ind w:firstLine="1440"/>
      </w:pPr>
    </w:p>
    <w:p w14:paraId="4C4EC272" w14:textId="77777777" w:rsidR="00F55EE5" w:rsidRDefault="00D82CCD" w:rsidP="000962F2">
      <w:pPr>
        <w:spacing w:line="360" w:lineRule="auto"/>
        <w:ind w:firstLine="1440"/>
        <w:sectPr w:rsidR="00F55EE5">
          <w:footerReference w:type="even" r:id="rId8"/>
          <w:footerReference w:type="default" r:id="rId9"/>
          <w:pgSz w:w="12240" w:h="15840"/>
          <w:pgMar w:top="1440" w:right="1440" w:bottom="1440" w:left="1440" w:header="720" w:footer="720" w:gutter="0"/>
          <w:cols w:space="720"/>
          <w:docGrid w:linePitch="360"/>
        </w:sectPr>
      </w:pPr>
      <w:proofErr w:type="gramStart"/>
      <w:r>
        <w:t>Also</w:t>
      </w:r>
      <w:proofErr w:type="gramEnd"/>
      <w:r>
        <w:t xml:space="preserve"> on </w:t>
      </w:r>
      <w:r w:rsidR="0055692C">
        <w:t>December 19, 2017</w:t>
      </w:r>
      <w:r>
        <w:t xml:space="preserve">, </w:t>
      </w:r>
      <w:r w:rsidR="00DC155E">
        <w:t>P</w:t>
      </w:r>
      <w:r w:rsidR="0055692C">
        <w:t xml:space="preserve">GW </w:t>
      </w:r>
      <w:r>
        <w:t xml:space="preserve">filed </w:t>
      </w:r>
      <w:r w:rsidR="008C0E60">
        <w:t xml:space="preserve">a </w:t>
      </w:r>
      <w:r w:rsidR="0055692C">
        <w:t xml:space="preserve">Motion for Summary Judgment </w:t>
      </w:r>
      <w:r w:rsidR="0038483B">
        <w:t>on</w:t>
      </w:r>
      <w:r>
        <w:t xml:space="preserve"> the Complaint</w:t>
      </w:r>
      <w:r w:rsidR="0055692C">
        <w:t xml:space="preserve">, </w:t>
      </w:r>
      <w:r>
        <w:t xml:space="preserve">properly endorsed with a Notice to Plead.  </w:t>
      </w:r>
      <w:r w:rsidR="0055692C">
        <w:t xml:space="preserve">In that Motion, PGW asserts that Bao </w:t>
      </w:r>
    </w:p>
    <w:p w14:paraId="445C5C12" w14:textId="529C2BF2" w:rsidR="006B1EA3" w:rsidRDefault="0055692C" w:rsidP="00F55EE5">
      <w:pPr>
        <w:spacing w:line="360" w:lineRule="auto"/>
      </w:pPr>
      <w:r>
        <w:lastRenderedPageBreak/>
        <w:t>Chen is the tenant of Complainant and that Complainant thereby lacks standing to bring a Complaint on Mr. Chen’s behalf.</w:t>
      </w:r>
    </w:p>
    <w:p w14:paraId="2644E5DF" w14:textId="77777777" w:rsidR="0055692C" w:rsidRDefault="0055692C" w:rsidP="000962F2">
      <w:pPr>
        <w:spacing w:line="360" w:lineRule="auto"/>
        <w:ind w:firstLine="1440"/>
      </w:pPr>
    </w:p>
    <w:p w14:paraId="3C3372DB" w14:textId="5DE8AB7A" w:rsidR="0055692C" w:rsidRDefault="0055692C" w:rsidP="000962F2">
      <w:pPr>
        <w:spacing w:line="360" w:lineRule="auto"/>
        <w:ind w:firstLine="1440"/>
      </w:pPr>
      <w:r>
        <w:t xml:space="preserve">On January 9, 2018, Complainant filed a Letter/Answer to New Matter, in which he </w:t>
      </w:r>
      <w:r w:rsidR="0038483B">
        <w:t>implies</w:t>
      </w:r>
      <w:r>
        <w:t xml:space="preserve"> that he, not Mr. Chen, is the customer of record, repeats his complaint that the gas meter at the residence has been removed</w:t>
      </w:r>
      <w:r w:rsidR="00D8455D">
        <w:t>, and contends that there is no other occupant at the residence.</w:t>
      </w:r>
    </w:p>
    <w:p w14:paraId="1CCA030B" w14:textId="77777777" w:rsidR="0055692C" w:rsidRDefault="0055692C" w:rsidP="000962F2">
      <w:pPr>
        <w:spacing w:line="360" w:lineRule="auto"/>
        <w:ind w:firstLine="1440"/>
      </w:pPr>
    </w:p>
    <w:p w14:paraId="0CE37B6A" w14:textId="77777777" w:rsidR="006C095B" w:rsidRDefault="006C095B" w:rsidP="000962F2">
      <w:pPr>
        <w:spacing w:line="360" w:lineRule="auto"/>
        <w:ind w:firstLine="1440"/>
      </w:pPr>
      <w:r w:rsidRPr="006C095B">
        <w:t>This case was assigned to me as Motion Judge on</w:t>
      </w:r>
      <w:r>
        <w:t xml:space="preserve"> </w:t>
      </w:r>
      <w:r w:rsidR="00D8455D">
        <w:t>January 22, 2018</w:t>
      </w:r>
      <w:r>
        <w:t>.</w:t>
      </w:r>
    </w:p>
    <w:p w14:paraId="0E0250C0" w14:textId="77777777" w:rsidR="006B1EA3" w:rsidRDefault="006B1EA3" w:rsidP="000962F2">
      <w:pPr>
        <w:spacing w:line="360" w:lineRule="auto"/>
        <w:ind w:firstLine="1440"/>
      </w:pPr>
    </w:p>
    <w:p w14:paraId="09E094EB" w14:textId="77777777" w:rsidR="006B1EA3" w:rsidRDefault="00434EFE" w:rsidP="00AA1D53">
      <w:pPr>
        <w:autoSpaceDE w:val="0"/>
        <w:autoSpaceDN w:val="0"/>
        <w:spacing w:line="360" w:lineRule="auto"/>
      </w:pPr>
      <w:r>
        <w:rPr>
          <w:spacing w:val="-3"/>
        </w:rPr>
        <w:tab/>
      </w:r>
    </w:p>
    <w:p w14:paraId="07BDB392" w14:textId="77777777" w:rsidR="002B2FD2" w:rsidRDefault="00113287" w:rsidP="006B1EA3">
      <w:pPr>
        <w:spacing w:line="360" w:lineRule="auto"/>
        <w:jc w:val="center"/>
      </w:pPr>
      <w:r>
        <w:rPr>
          <w:u w:val="single"/>
        </w:rPr>
        <w:t>DISCUSSION</w:t>
      </w:r>
    </w:p>
    <w:p w14:paraId="139EA45C" w14:textId="77777777" w:rsidR="00113287" w:rsidRDefault="00113287" w:rsidP="00113287">
      <w:pPr>
        <w:spacing w:line="360" w:lineRule="auto"/>
      </w:pPr>
    </w:p>
    <w:p w14:paraId="4814195D" w14:textId="02462A0D" w:rsidR="00D8455D" w:rsidRDefault="006B1EA3" w:rsidP="00D8455D">
      <w:pPr>
        <w:autoSpaceDE w:val="0"/>
        <w:autoSpaceDN w:val="0"/>
        <w:spacing w:line="360" w:lineRule="auto"/>
        <w:rPr>
          <w:spacing w:val="-3"/>
        </w:rPr>
      </w:pPr>
      <w:r>
        <w:rPr>
          <w:spacing w:val="-3"/>
        </w:rPr>
        <w:tab/>
      </w:r>
      <w:r>
        <w:rPr>
          <w:spacing w:val="-3"/>
        </w:rPr>
        <w:tab/>
      </w:r>
      <w:r w:rsidR="00D8455D">
        <w:rPr>
          <w:spacing w:val="-3"/>
        </w:rPr>
        <w:t>While PGW originally filed a Motion for Summary Judgment, which means that the court should rule for PGW because there are no facts in issue and that by law the court could only rule for the moving party</w:t>
      </w:r>
      <w:r w:rsidR="0038483B">
        <w:rPr>
          <w:spacing w:val="-3"/>
        </w:rPr>
        <w:t>, s</w:t>
      </w:r>
      <w:r w:rsidR="00D8455D">
        <w:rPr>
          <w:spacing w:val="-3"/>
        </w:rPr>
        <w:t>uch is not the case, here, where facts are in dispute and PGW is arguing that Complainant lack</w:t>
      </w:r>
      <w:r w:rsidR="0038483B">
        <w:rPr>
          <w:spacing w:val="-3"/>
        </w:rPr>
        <w:t>s the</w:t>
      </w:r>
      <w:r w:rsidR="00D8455D">
        <w:rPr>
          <w:spacing w:val="-3"/>
        </w:rPr>
        <w:t xml:space="preserve"> legal standing to bring the Complaint.  PGW’s pleading is, in fact, a Preliminary Objection and shall be decided as such.  See, </w:t>
      </w:r>
      <w:r w:rsidR="00D8455D" w:rsidRPr="00D8455D">
        <w:rPr>
          <w:spacing w:val="-3"/>
        </w:rPr>
        <w:t>52 Pa. Code § 5.101(a)</w:t>
      </w:r>
      <w:r w:rsidR="00D8455D">
        <w:rPr>
          <w:spacing w:val="-3"/>
        </w:rPr>
        <w:t>(7).</w:t>
      </w:r>
    </w:p>
    <w:p w14:paraId="461DEA9D" w14:textId="77777777" w:rsidR="00D8455D" w:rsidRDefault="00D8455D" w:rsidP="006B1EA3">
      <w:pPr>
        <w:autoSpaceDE w:val="0"/>
        <w:autoSpaceDN w:val="0"/>
        <w:spacing w:line="360" w:lineRule="auto"/>
        <w:rPr>
          <w:spacing w:val="-3"/>
        </w:rPr>
      </w:pPr>
    </w:p>
    <w:p w14:paraId="04BE5D1C" w14:textId="77777777" w:rsidR="001F2162" w:rsidRDefault="00D8455D" w:rsidP="006B1EA3">
      <w:pPr>
        <w:autoSpaceDE w:val="0"/>
        <w:autoSpaceDN w:val="0"/>
        <w:spacing w:line="360" w:lineRule="auto"/>
        <w:rPr>
          <w:spacing w:val="-3"/>
        </w:rPr>
      </w:pPr>
      <w:r>
        <w:rPr>
          <w:spacing w:val="-3"/>
        </w:rPr>
        <w:tab/>
      </w:r>
      <w:r>
        <w:rPr>
          <w:spacing w:val="-3"/>
        </w:rPr>
        <w:tab/>
      </w:r>
      <w:r w:rsidR="006B1EA3" w:rsidRPr="006B1EA3">
        <w:rPr>
          <w:spacing w:val="-3"/>
        </w:rPr>
        <w:t xml:space="preserve">The Commission's Rules of Practice and Procedure permit parties to file </w:t>
      </w:r>
      <w:r w:rsidR="006B1EA3" w:rsidRPr="006B1EA3">
        <w:rPr>
          <w:bCs/>
          <w:spacing w:val="-3"/>
        </w:rPr>
        <w:t>preliminary objections.</w:t>
      </w:r>
      <w:r w:rsidR="006B1EA3" w:rsidRPr="006B1EA3">
        <w:rPr>
          <w:spacing w:val="-3"/>
        </w:rPr>
        <w:t xml:space="preserve">   The grounds for </w:t>
      </w:r>
      <w:r w:rsidR="006B1EA3" w:rsidRPr="006B1EA3">
        <w:rPr>
          <w:bCs/>
          <w:spacing w:val="-3"/>
        </w:rPr>
        <w:t>preliminary objections</w:t>
      </w:r>
      <w:r w:rsidR="006B1EA3" w:rsidRPr="006B1EA3">
        <w:rPr>
          <w:spacing w:val="-3"/>
        </w:rPr>
        <w:t xml:space="preserve"> are limited to those set forth in 52 Pa. Code </w:t>
      </w:r>
    </w:p>
    <w:p w14:paraId="1606A702" w14:textId="77777777" w:rsidR="006B1EA3" w:rsidRPr="006B1EA3" w:rsidRDefault="006B1EA3" w:rsidP="006B1EA3">
      <w:pPr>
        <w:autoSpaceDE w:val="0"/>
        <w:autoSpaceDN w:val="0"/>
        <w:spacing w:line="360" w:lineRule="auto"/>
        <w:rPr>
          <w:spacing w:val="-3"/>
        </w:rPr>
      </w:pPr>
      <w:r w:rsidRPr="006B1EA3">
        <w:rPr>
          <w:spacing w:val="-3"/>
        </w:rPr>
        <w:t xml:space="preserve">§ 5.101(a) as follows: </w:t>
      </w:r>
    </w:p>
    <w:p w14:paraId="1841B52C" w14:textId="77777777" w:rsidR="006B1EA3" w:rsidRPr="006B1EA3" w:rsidRDefault="006B1EA3" w:rsidP="006B1EA3">
      <w:pPr>
        <w:autoSpaceDE w:val="0"/>
        <w:autoSpaceDN w:val="0"/>
        <w:spacing w:line="360" w:lineRule="auto"/>
        <w:rPr>
          <w:spacing w:val="-3"/>
        </w:rPr>
      </w:pPr>
    </w:p>
    <w:p w14:paraId="2BD00A5D" w14:textId="77777777" w:rsidR="006B1EA3" w:rsidRDefault="006B1EA3" w:rsidP="006B1EA3">
      <w:pPr>
        <w:autoSpaceDE w:val="0"/>
        <w:autoSpaceDN w:val="0"/>
        <w:ind w:left="1440" w:right="1440"/>
        <w:rPr>
          <w:spacing w:val="-3"/>
        </w:rPr>
      </w:pPr>
      <w:r w:rsidRPr="006B1EA3">
        <w:rPr>
          <w:spacing w:val="-3"/>
        </w:rPr>
        <w:t>(1) Lack of Commission jurisdiction or improper service of the pleading initiating the proceeding.</w:t>
      </w:r>
      <w:r w:rsidRPr="006B1EA3">
        <w:rPr>
          <w:spacing w:val="-3"/>
        </w:rPr>
        <w:br/>
        <w:t> </w:t>
      </w:r>
      <w:r w:rsidRPr="006B1EA3">
        <w:rPr>
          <w:spacing w:val="-3"/>
        </w:rPr>
        <w:br/>
        <w:t>(2) Failure of a pleading to conform to this chapter or the inclusion of scandalous or impertinent matter.</w:t>
      </w:r>
      <w:r w:rsidRPr="006B1EA3">
        <w:rPr>
          <w:spacing w:val="-3"/>
        </w:rPr>
        <w:br/>
        <w:t> </w:t>
      </w:r>
      <w:r w:rsidRPr="006B1EA3">
        <w:rPr>
          <w:spacing w:val="-3"/>
        </w:rPr>
        <w:br/>
        <w:t>(3) Insufficient specificity of a pleading.</w:t>
      </w:r>
      <w:r w:rsidRPr="006B1EA3">
        <w:rPr>
          <w:spacing w:val="-3"/>
        </w:rPr>
        <w:br/>
        <w:t> </w:t>
      </w:r>
      <w:r w:rsidRPr="006B1EA3">
        <w:rPr>
          <w:spacing w:val="-3"/>
        </w:rPr>
        <w:br/>
        <w:t>(4) Legal insufficiency of a pleading.</w:t>
      </w:r>
      <w:r w:rsidRPr="006B1EA3">
        <w:rPr>
          <w:spacing w:val="-3"/>
        </w:rPr>
        <w:br/>
        <w:t> </w:t>
      </w:r>
      <w:r w:rsidRPr="006B1EA3">
        <w:rPr>
          <w:spacing w:val="-3"/>
        </w:rPr>
        <w:br/>
        <w:t>(5) Lack of capacity to sue, nonjoinder of a necessary party or misjoinder of a cause of action.</w:t>
      </w:r>
      <w:r w:rsidRPr="006B1EA3">
        <w:rPr>
          <w:spacing w:val="-3"/>
        </w:rPr>
        <w:br/>
        <w:t> </w:t>
      </w:r>
      <w:r w:rsidRPr="006B1EA3">
        <w:rPr>
          <w:spacing w:val="-3"/>
        </w:rPr>
        <w:br/>
        <w:t>(6) Pendency of a prior proceeding or agreement for alternative dispute resolution.</w:t>
      </w:r>
    </w:p>
    <w:p w14:paraId="672A6028" w14:textId="77777777" w:rsidR="00C14FD7" w:rsidRDefault="00C14FD7" w:rsidP="006B1EA3">
      <w:pPr>
        <w:autoSpaceDE w:val="0"/>
        <w:autoSpaceDN w:val="0"/>
        <w:ind w:left="1440" w:right="1440"/>
        <w:rPr>
          <w:spacing w:val="-3"/>
        </w:rPr>
      </w:pPr>
    </w:p>
    <w:p w14:paraId="5FB7DE95" w14:textId="77777777" w:rsidR="00C14FD7" w:rsidRPr="006B1EA3" w:rsidRDefault="00C14FD7" w:rsidP="006B1EA3">
      <w:pPr>
        <w:autoSpaceDE w:val="0"/>
        <w:autoSpaceDN w:val="0"/>
        <w:ind w:left="1440" w:right="1440"/>
        <w:rPr>
          <w:spacing w:val="-3"/>
        </w:rPr>
      </w:pPr>
      <w:r w:rsidRPr="00C14FD7">
        <w:rPr>
          <w:spacing w:val="-3"/>
        </w:rPr>
        <w:t>(7)  Standing of a party to participate in the proceeding.</w:t>
      </w:r>
    </w:p>
    <w:p w14:paraId="2BE2E43B" w14:textId="04F61D2C" w:rsidR="006B1EA3" w:rsidRPr="006B1EA3" w:rsidRDefault="006B1EA3" w:rsidP="006B1EA3">
      <w:pPr>
        <w:autoSpaceDE w:val="0"/>
        <w:autoSpaceDN w:val="0"/>
        <w:spacing w:line="360" w:lineRule="auto"/>
        <w:rPr>
          <w:spacing w:val="-3"/>
        </w:rPr>
      </w:pPr>
      <w:r w:rsidRPr="006B1EA3">
        <w:rPr>
          <w:spacing w:val="-3"/>
        </w:rPr>
        <w:br/>
      </w:r>
      <w:r w:rsidRPr="006B1EA3">
        <w:rPr>
          <w:spacing w:val="-3"/>
        </w:rPr>
        <w:tab/>
      </w:r>
      <w:r w:rsidRPr="006B1EA3">
        <w:rPr>
          <w:spacing w:val="-3"/>
        </w:rPr>
        <w:tab/>
      </w:r>
      <w:r w:rsidR="00D8455D">
        <w:rPr>
          <w:spacing w:val="-3"/>
        </w:rPr>
        <w:t xml:space="preserve">PGW’s </w:t>
      </w:r>
      <w:r w:rsidRPr="006B1EA3">
        <w:rPr>
          <w:spacing w:val="-3"/>
        </w:rPr>
        <w:t>P</w:t>
      </w:r>
      <w:r w:rsidRPr="006B1EA3">
        <w:rPr>
          <w:bCs/>
          <w:spacing w:val="-3"/>
        </w:rPr>
        <w:t>reliminary Objection</w:t>
      </w:r>
      <w:r w:rsidRPr="006B1EA3">
        <w:rPr>
          <w:spacing w:val="-3"/>
        </w:rPr>
        <w:t xml:space="preserve"> asserts </w:t>
      </w:r>
      <w:r w:rsidR="00D8455D">
        <w:rPr>
          <w:spacing w:val="-3"/>
        </w:rPr>
        <w:t>that as the landlord, Complainant lacks the requisite standing to bring a complaint on behalf of a tenant, whom PGW also insists is the customer of record</w:t>
      </w:r>
      <w:r w:rsidR="0038483B">
        <w:rPr>
          <w:spacing w:val="-3"/>
        </w:rPr>
        <w:t xml:space="preserve"> (i.e. Mr. Chen)</w:t>
      </w:r>
      <w:r w:rsidR="00D8455D">
        <w:rPr>
          <w:spacing w:val="-3"/>
        </w:rPr>
        <w:t xml:space="preserve">.  Complainant has answered that </w:t>
      </w:r>
      <w:r w:rsidR="00B57F2C">
        <w:rPr>
          <w:spacing w:val="-3"/>
        </w:rPr>
        <w:t>there is no resident at the service address and that service has been disconnected.  PGW denies that there has been a disconnection.  Complainant asserts that a gas meter has been removed.  PGW does not address that contention in its pleadings</w:t>
      </w:r>
      <w:r w:rsidRPr="006B1EA3">
        <w:rPr>
          <w:spacing w:val="-3"/>
        </w:rPr>
        <w:t>.</w:t>
      </w:r>
      <w:r w:rsidR="0038483B">
        <w:rPr>
          <w:spacing w:val="-3"/>
        </w:rPr>
        <w:t xml:space="preserve">  In short, the facts in this case are in dispute.</w:t>
      </w:r>
    </w:p>
    <w:p w14:paraId="3A5A66B4" w14:textId="77777777" w:rsidR="006B1EA3" w:rsidRPr="006B1EA3" w:rsidRDefault="006B1EA3" w:rsidP="006B1EA3">
      <w:pPr>
        <w:autoSpaceDE w:val="0"/>
        <w:autoSpaceDN w:val="0"/>
        <w:spacing w:line="360" w:lineRule="auto"/>
        <w:rPr>
          <w:spacing w:val="-3"/>
        </w:rPr>
      </w:pPr>
    </w:p>
    <w:p w14:paraId="3922D4DE" w14:textId="77777777" w:rsidR="006B1EA3" w:rsidRDefault="006B1EA3" w:rsidP="00113287">
      <w:pPr>
        <w:spacing w:line="360" w:lineRule="auto"/>
      </w:pPr>
      <w:r w:rsidRPr="006B1EA3">
        <w:rPr>
          <w:spacing w:val="-3"/>
        </w:rPr>
        <w:tab/>
      </w:r>
      <w:r w:rsidRPr="006B1EA3">
        <w:rPr>
          <w:spacing w:val="-3"/>
        </w:rPr>
        <w:tab/>
        <w:t xml:space="preserve">Commission </w:t>
      </w:r>
      <w:r w:rsidRPr="006B1EA3">
        <w:rPr>
          <w:bCs/>
          <w:spacing w:val="-3"/>
        </w:rPr>
        <w:t>preliminary objection</w:t>
      </w:r>
      <w:r w:rsidRPr="006B1EA3">
        <w:rPr>
          <w:spacing w:val="-3"/>
        </w:rPr>
        <w:t xml:space="preserve"> practice is analogous to Pennsylvania civil practice regarding </w:t>
      </w:r>
      <w:r w:rsidRPr="006B1EA3">
        <w:rPr>
          <w:bCs/>
          <w:spacing w:val="-3"/>
        </w:rPr>
        <w:t>preliminary objections.</w:t>
      </w:r>
      <w:r w:rsidRPr="006B1EA3">
        <w:rPr>
          <w:spacing w:val="-3"/>
        </w:rPr>
        <w:t xml:space="preserve">  </w:t>
      </w:r>
      <w:r w:rsidRPr="006B1EA3">
        <w:rPr>
          <w:i/>
          <w:spacing w:val="-3"/>
        </w:rPr>
        <w:t>Equitable Small Transportation Intervenors v. Equitable Gas Company</w:t>
      </w:r>
      <w:r w:rsidRPr="006B1EA3">
        <w:rPr>
          <w:spacing w:val="-3"/>
        </w:rPr>
        <w:t xml:space="preserve">, 1994 Pa PUC LEXIS 69, Docket No. C-00935435 (July 18, 1994).  </w:t>
      </w:r>
      <w:r w:rsidRPr="006B1EA3">
        <w:rPr>
          <w:bCs/>
          <w:spacing w:val="-3"/>
        </w:rPr>
        <w:t>Preliminary objections</w:t>
      </w:r>
      <w:r w:rsidRPr="006B1EA3">
        <w:rPr>
          <w:spacing w:val="-3"/>
        </w:rPr>
        <w:t xml:space="preserve"> in civil practice requesting dismissal of a pleading will be granted only where the right to relief is clearly warranted and free from doubt.  </w:t>
      </w:r>
      <w:r w:rsidRPr="006B1EA3">
        <w:rPr>
          <w:i/>
          <w:spacing w:val="-3"/>
        </w:rPr>
        <w:t xml:space="preserve">Interstate </w:t>
      </w:r>
      <w:proofErr w:type="spellStart"/>
      <w:r w:rsidRPr="006B1EA3">
        <w:rPr>
          <w:i/>
          <w:spacing w:val="-3"/>
        </w:rPr>
        <w:t>Traveller</w:t>
      </w:r>
      <w:proofErr w:type="spellEnd"/>
      <w:r w:rsidRPr="006B1EA3">
        <w:rPr>
          <w:i/>
          <w:spacing w:val="-3"/>
        </w:rPr>
        <w:t xml:space="preserve"> Services, Inc. v. Pa. Dept. of Environment Resources</w:t>
      </w:r>
      <w:r w:rsidRPr="006B1EA3">
        <w:rPr>
          <w:spacing w:val="-3"/>
        </w:rPr>
        <w:t xml:space="preserve">, 406 A.2d 1020 (Pa. 1979);  </w:t>
      </w:r>
      <w:r w:rsidRPr="006B1EA3">
        <w:rPr>
          <w:i/>
          <w:spacing w:val="-3"/>
        </w:rPr>
        <w:t>Rivera v. Philadelphia Theological Seminary of St. Charles Borromeo, Inc</w:t>
      </w:r>
      <w:r w:rsidRPr="006B1EA3">
        <w:rPr>
          <w:spacing w:val="-3"/>
        </w:rPr>
        <w:t xml:space="preserve">., 595 A.2d 172 (Pa. Super. 1991).  The Commission follows this standard.  </w:t>
      </w:r>
      <w:r w:rsidRPr="006B1EA3">
        <w:rPr>
          <w:i/>
          <w:spacing w:val="-3"/>
        </w:rPr>
        <w:t>Montague v. Philadelphia Electric Company</w:t>
      </w:r>
      <w:r w:rsidRPr="006B1EA3">
        <w:rPr>
          <w:spacing w:val="-3"/>
        </w:rPr>
        <w:t>, 66 Pa. PUC 24 (1988).</w:t>
      </w:r>
      <w:r w:rsidRPr="006B1EA3">
        <w:rPr>
          <w:spacing w:val="-3"/>
        </w:rPr>
        <w:br/>
      </w:r>
      <w:r w:rsidRPr="006B1EA3">
        <w:rPr>
          <w:spacing w:val="-3"/>
        </w:rPr>
        <w:br/>
      </w:r>
      <w:r w:rsidRPr="006B1EA3">
        <w:rPr>
          <w:spacing w:val="-3"/>
        </w:rPr>
        <w:tab/>
      </w:r>
      <w:r w:rsidRPr="006B1EA3">
        <w:rPr>
          <w:spacing w:val="-3"/>
        </w:rPr>
        <w:tab/>
        <w:t xml:space="preserve">The Commission may not rely upon the factual assertions of the moving party but must accept as true for purposes of disposing of the motion all well pleaded, material facts of the nonmoving party, as well as every inference from those facts.  </w:t>
      </w:r>
      <w:r w:rsidRPr="006B1EA3">
        <w:rPr>
          <w:i/>
          <w:spacing w:val="-3"/>
        </w:rPr>
        <w:t>County of Allegheny v. Commonwealth of Pennsylvania</w:t>
      </w:r>
      <w:r w:rsidRPr="006B1EA3">
        <w:rPr>
          <w:spacing w:val="-3"/>
        </w:rPr>
        <w:t xml:space="preserve">, 490 A. 2d 402 (Pa. 1985);  </w:t>
      </w:r>
      <w:r w:rsidRPr="006B1EA3">
        <w:rPr>
          <w:i/>
          <w:spacing w:val="-3"/>
        </w:rPr>
        <w:t>Commonwealth of Pennsylvania v. Bell Telephone Co. of Pa</w:t>
      </w:r>
      <w:r w:rsidRPr="006B1EA3">
        <w:rPr>
          <w:spacing w:val="-3"/>
        </w:rPr>
        <w:t>., 551 A.2d 602 (Pa. Cmwlth. 1988).  The Commission must view the Complaint in this case in the light most favorable to the Complainant and should dismiss the Complaint only if it appears that the Complainant would not be entitled to relief under any circumstances as a matter of law</w:t>
      </w:r>
      <w:r w:rsidRPr="006B1EA3">
        <w:rPr>
          <w:i/>
          <w:spacing w:val="-3"/>
        </w:rPr>
        <w:t>.  Equitable Small Transportation Intervenors v. Equitable Gas Company</w:t>
      </w:r>
      <w:r w:rsidRPr="006B1EA3">
        <w:rPr>
          <w:spacing w:val="-3"/>
        </w:rPr>
        <w:t>, 1994 Pa PUC LEXIS 69, Docket No. C-00935435 (July 18, 1994)</w:t>
      </w:r>
      <w:r w:rsidRPr="006B1EA3">
        <w:rPr>
          <w:spacing w:val="-3"/>
        </w:rPr>
        <w:br/>
      </w:r>
    </w:p>
    <w:p w14:paraId="55A21CFB" w14:textId="15F59FA0" w:rsidR="00C52EBE" w:rsidRDefault="006B1EA3" w:rsidP="00113287">
      <w:pPr>
        <w:spacing w:line="360" w:lineRule="auto"/>
      </w:pPr>
      <w:r>
        <w:tab/>
      </w:r>
      <w:r>
        <w:tab/>
      </w:r>
      <w:r w:rsidRPr="006B1EA3">
        <w:t xml:space="preserve">In its Preliminary Objection, </w:t>
      </w:r>
      <w:r w:rsidR="00B57F2C">
        <w:t xml:space="preserve">PGW </w:t>
      </w:r>
      <w:r w:rsidRPr="006B1EA3">
        <w:t>request</w:t>
      </w:r>
      <w:r w:rsidR="00B57F2C">
        <w:t>s</w:t>
      </w:r>
      <w:r w:rsidRPr="006B1EA3">
        <w:t xml:space="preserve"> that the Complainant be dismissed on grounds of lack of </w:t>
      </w:r>
      <w:r w:rsidR="00B57F2C">
        <w:t>standing on the part of the Complainant</w:t>
      </w:r>
      <w:r w:rsidRPr="006B1EA3">
        <w:t>.  52 Pa. Code</w:t>
      </w:r>
      <w:r w:rsidR="00B57F2C">
        <w:t xml:space="preserve"> </w:t>
      </w:r>
      <w:r w:rsidRPr="006B1EA3">
        <w:t>§ 5.101(a)(</w:t>
      </w:r>
      <w:r w:rsidR="00B57F2C">
        <w:t>7</w:t>
      </w:r>
      <w:r w:rsidRPr="006B1EA3">
        <w:t>).</w:t>
      </w:r>
      <w:r w:rsidR="00B57F2C">
        <w:t xml:space="preserve">  </w:t>
      </w:r>
      <w:r w:rsidR="00C52EBE" w:rsidRPr="00C52EBE">
        <w:t xml:space="preserve">The Commission must view </w:t>
      </w:r>
      <w:r w:rsidR="00C52EBE">
        <w:t xml:space="preserve">a </w:t>
      </w:r>
      <w:r w:rsidR="00C52EBE" w:rsidRPr="00C52EBE">
        <w:t>Complaint in the light most favorable to the Complainant and should dismiss the Complaint only if it appears that the Complainant would not be entitled to relief under any circumstances as a matter of law.</w:t>
      </w:r>
      <w:r w:rsidR="00C52EBE">
        <w:t xml:space="preserve">  </w:t>
      </w:r>
      <w:r w:rsidR="00B57F2C">
        <w:t xml:space="preserve">Given the factual disputes and to an extent the absence of </w:t>
      </w:r>
      <w:r w:rsidR="0038483B">
        <w:t xml:space="preserve">relevant </w:t>
      </w:r>
      <w:r w:rsidR="00B57F2C">
        <w:t>material facts pleaded in this case, t</w:t>
      </w:r>
      <w:r w:rsidR="00C52EBE">
        <w:t>he Preliminary Objection do</w:t>
      </w:r>
      <w:r w:rsidR="00501145">
        <w:t>es</w:t>
      </w:r>
      <w:r w:rsidR="00C52EBE">
        <w:t xml:space="preserve"> not warrant dismissal of the Complaint.</w:t>
      </w:r>
    </w:p>
    <w:p w14:paraId="3F80AA10" w14:textId="77777777" w:rsidR="00611D3A" w:rsidRDefault="00611D3A" w:rsidP="00C52EBE">
      <w:pPr>
        <w:spacing w:line="360" w:lineRule="auto"/>
      </w:pPr>
    </w:p>
    <w:p w14:paraId="4608FB22" w14:textId="77777777" w:rsidR="00C52EBE" w:rsidRPr="00C52EBE" w:rsidRDefault="00C52EBE" w:rsidP="00C52EBE">
      <w:pPr>
        <w:spacing w:line="360" w:lineRule="auto"/>
        <w:jc w:val="center"/>
        <w:rPr>
          <w:u w:val="single"/>
        </w:rPr>
      </w:pPr>
      <w:r w:rsidRPr="00C52EBE">
        <w:rPr>
          <w:u w:val="single"/>
        </w:rPr>
        <w:t>ORDER</w:t>
      </w:r>
    </w:p>
    <w:p w14:paraId="61972097" w14:textId="3542B8A3" w:rsidR="00C52EBE" w:rsidRDefault="00C52EBE" w:rsidP="00C52EBE">
      <w:pPr>
        <w:spacing w:line="360" w:lineRule="auto"/>
      </w:pPr>
    </w:p>
    <w:p w14:paraId="5BB21516" w14:textId="77777777" w:rsidR="00F55EE5" w:rsidRPr="00C52EBE" w:rsidRDefault="00F55EE5" w:rsidP="00C52EBE">
      <w:pPr>
        <w:spacing w:line="360" w:lineRule="auto"/>
      </w:pPr>
    </w:p>
    <w:p w14:paraId="7DCA2781" w14:textId="6238511C" w:rsidR="000806AD" w:rsidRDefault="00C52EBE" w:rsidP="000806AD">
      <w:pPr>
        <w:spacing w:line="360" w:lineRule="auto"/>
      </w:pPr>
      <w:r w:rsidRPr="00C52EBE">
        <w:tab/>
      </w:r>
      <w:r w:rsidRPr="00C52EBE">
        <w:tab/>
        <w:t>THEREFORE,</w:t>
      </w:r>
      <w:r w:rsidRPr="00C52EBE">
        <w:br/>
      </w:r>
      <w:r w:rsidRPr="00C52EBE">
        <w:br/>
      </w:r>
      <w:r w:rsidRPr="00C52EBE">
        <w:tab/>
      </w:r>
      <w:r w:rsidRPr="00C52EBE">
        <w:tab/>
        <w:t>IT IS ORDERED:</w:t>
      </w:r>
      <w:r w:rsidRPr="00C52EBE">
        <w:br/>
      </w:r>
      <w:r w:rsidRPr="00C52EBE">
        <w:br/>
      </w:r>
      <w:r w:rsidRPr="00C52EBE">
        <w:tab/>
      </w:r>
      <w:r w:rsidRPr="00C52EBE">
        <w:tab/>
        <w:t xml:space="preserve">1. </w:t>
      </w:r>
      <w:r w:rsidRPr="00C52EBE">
        <w:tab/>
        <w:t xml:space="preserve">That the Preliminary Objection filed on </w:t>
      </w:r>
      <w:r w:rsidR="00B57F2C">
        <w:t>December 19, 2017</w:t>
      </w:r>
      <w:r w:rsidRPr="00C52EBE">
        <w:t xml:space="preserve"> by P</w:t>
      </w:r>
      <w:r w:rsidR="00B57F2C">
        <w:t xml:space="preserve">hiladelphia Gas Works </w:t>
      </w:r>
      <w:r w:rsidR="000806AD">
        <w:t xml:space="preserve">at Docket No. </w:t>
      </w:r>
      <w:r w:rsidR="00B57F2C">
        <w:t>F</w:t>
      </w:r>
      <w:r w:rsidR="000806AD">
        <w:t>-201</w:t>
      </w:r>
      <w:r w:rsidR="00B57F2C">
        <w:t>7</w:t>
      </w:r>
      <w:r w:rsidR="000806AD">
        <w:t>-2</w:t>
      </w:r>
      <w:r w:rsidR="00B57F2C">
        <w:t>635567</w:t>
      </w:r>
      <w:r w:rsidRPr="00C52EBE">
        <w:t xml:space="preserve"> is denied.</w:t>
      </w:r>
      <w:r w:rsidRPr="00C52EBE">
        <w:br/>
      </w:r>
      <w:r w:rsidRPr="00C52EBE">
        <w:br/>
      </w:r>
      <w:r w:rsidRPr="00C52EBE">
        <w:tab/>
      </w:r>
      <w:r w:rsidRPr="00C52EBE">
        <w:tab/>
        <w:t xml:space="preserve">2. </w:t>
      </w:r>
      <w:r w:rsidRPr="00C52EBE">
        <w:tab/>
      </w:r>
      <w:r w:rsidR="000806AD">
        <w:t>That this matter be set for hearing.</w:t>
      </w:r>
    </w:p>
    <w:p w14:paraId="4F5A7A38" w14:textId="77777777" w:rsidR="000806AD" w:rsidRDefault="000806AD" w:rsidP="000806AD">
      <w:pPr>
        <w:spacing w:line="360" w:lineRule="auto"/>
      </w:pPr>
    </w:p>
    <w:p w14:paraId="5D0FA802" w14:textId="77777777" w:rsidR="000806AD" w:rsidRPr="00C52EBE" w:rsidRDefault="000806AD" w:rsidP="000806AD">
      <w:pPr>
        <w:spacing w:line="360" w:lineRule="auto"/>
      </w:pPr>
    </w:p>
    <w:p w14:paraId="3CAD439F" w14:textId="1C0C6445" w:rsidR="00C52EBE" w:rsidRPr="00F55EE5" w:rsidRDefault="00C52EBE" w:rsidP="000806AD">
      <w:pPr>
        <w:rPr>
          <w:rStyle w:val="Emphasis"/>
          <w:i w:val="0"/>
          <w:u w:val="single"/>
        </w:rPr>
      </w:pPr>
      <w:r w:rsidRPr="00C52EBE">
        <w:br/>
      </w:r>
      <w:r w:rsidRPr="00C52EBE">
        <w:tab/>
      </w:r>
      <w:r w:rsidRPr="00C52EBE">
        <w:tab/>
      </w:r>
      <w:r w:rsidRPr="00C52EBE">
        <w:br/>
      </w:r>
      <w:r w:rsidRPr="000806AD">
        <w:rPr>
          <w:rStyle w:val="Emphasis"/>
          <w:i w:val="0"/>
        </w:rPr>
        <w:t>Date:</w:t>
      </w:r>
      <w:r w:rsidRPr="000806AD">
        <w:rPr>
          <w:rStyle w:val="Emphasis"/>
          <w:i w:val="0"/>
        </w:rPr>
        <w:tab/>
      </w:r>
      <w:r w:rsidR="00B57F2C">
        <w:rPr>
          <w:rStyle w:val="Emphasis"/>
          <w:i w:val="0"/>
          <w:u w:val="single"/>
        </w:rPr>
        <w:t>March 9, 2018</w:t>
      </w:r>
      <w:r w:rsidR="00B57F2C">
        <w:rPr>
          <w:rStyle w:val="Emphasis"/>
          <w:i w:val="0"/>
          <w:u w:val="single"/>
        </w:rPr>
        <w:tab/>
      </w:r>
      <w:r w:rsidRPr="000806AD">
        <w:rPr>
          <w:rStyle w:val="Emphasis"/>
          <w:i w:val="0"/>
        </w:rPr>
        <w:tab/>
      </w:r>
      <w:r w:rsidRPr="000806AD">
        <w:rPr>
          <w:rStyle w:val="Emphasis"/>
          <w:i w:val="0"/>
        </w:rPr>
        <w:tab/>
      </w:r>
      <w:r w:rsidR="00B57F2C">
        <w:rPr>
          <w:rStyle w:val="Emphasis"/>
          <w:i w:val="0"/>
        </w:rPr>
        <w:tab/>
      </w:r>
      <w:r w:rsidRPr="000806AD">
        <w:rPr>
          <w:rStyle w:val="Emphasis"/>
          <w:i w:val="0"/>
        </w:rPr>
        <w:tab/>
      </w:r>
      <w:r w:rsidR="00F55EE5">
        <w:rPr>
          <w:rStyle w:val="Emphasis"/>
          <w:i w:val="0"/>
          <w:u w:val="single"/>
        </w:rPr>
        <w:tab/>
      </w:r>
      <w:r w:rsidR="00F55EE5">
        <w:rPr>
          <w:rStyle w:val="Emphasis"/>
          <w:i w:val="0"/>
          <w:u w:val="single"/>
        </w:rPr>
        <w:tab/>
        <w:t>/s/</w:t>
      </w:r>
      <w:r w:rsidR="00F55EE5">
        <w:rPr>
          <w:rStyle w:val="Emphasis"/>
          <w:i w:val="0"/>
          <w:u w:val="single"/>
        </w:rPr>
        <w:tab/>
      </w:r>
      <w:r w:rsidR="00F55EE5">
        <w:rPr>
          <w:rStyle w:val="Emphasis"/>
          <w:i w:val="0"/>
          <w:u w:val="single"/>
        </w:rPr>
        <w:tab/>
      </w:r>
    </w:p>
    <w:p w14:paraId="5E07FE01" w14:textId="77777777" w:rsidR="00C52EBE" w:rsidRPr="000806AD" w:rsidRDefault="00C52EBE" w:rsidP="000806AD">
      <w:pPr>
        <w:rPr>
          <w:rStyle w:val="Emphasis"/>
          <w:i w:val="0"/>
        </w:rPr>
      </w:pP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t>Dennis J. Buckley</w:t>
      </w:r>
    </w:p>
    <w:p w14:paraId="73A864FF" w14:textId="77777777" w:rsidR="00C52EBE" w:rsidRPr="000806AD" w:rsidRDefault="00C52EBE" w:rsidP="000806AD">
      <w:pPr>
        <w:rPr>
          <w:rStyle w:val="Emphasis"/>
          <w:i w:val="0"/>
        </w:rPr>
      </w:pP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t>Administrative Law Judge</w:t>
      </w:r>
    </w:p>
    <w:p w14:paraId="1E377569" w14:textId="77777777" w:rsidR="00113287" w:rsidRPr="00113287" w:rsidRDefault="00113287" w:rsidP="00113287">
      <w:pPr>
        <w:spacing w:line="360" w:lineRule="auto"/>
      </w:pPr>
    </w:p>
    <w:p w14:paraId="50A010D7" w14:textId="77777777" w:rsidR="00E256FA" w:rsidRDefault="00E256FA" w:rsidP="00E256FA">
      <w:pPr>
        <w:spacing w:line="360" w:lineRule="auto"/>
      </w:pPr>
    </w:p>
    <w:p w14:paraId="27B2DDD3" w14:textId="77777777" w:rsidR="00E256FA" w:rsidRPr="00E256FA" w:rsidRDefault="00E256FA" w:rsidP="000806AD">
      <w:pPr>
        <w:spacing w:line="360" w:lineRule="auto"/>
        <w:rPr>
          <w:rStyle w:val="Emphasis"/>
          <w:i w:val="0"/>
        </w:rPr>
      </w:pPr>
      <w:r>
        <w:tab/>
      </w:r>
      <w:r>
        <w:tab/>
      </w:r>
    </w:p>
    <w:p w14:paraId="292582A8" w14:textId="77777777" w:rsidR="00F55EE5" w:rsidRDefault="00F55EE5" w:rsidP="006C095B">
      <w:pPr>
        <w:spacing w:line="360" w:lineRule="auto"/>
        <w:sectPr w:rsidR="00F55EE5">
          <w:footerReference w:type="default" r:id="rId10"/>
          <w:pgSz w:w="12240" w:h="15840"/>
          <w:pgMar w:top="1440" w:right="1440" w:bottom="1440" w:left="1440" w:header="720" w:footer="720" w:gutter="0"/>
          <w:cols w:space="720"/>
          <w:docGrid w:linePitch="360"/>
        </w:sectPr>
      </w:pPr>
    </w:p>
    <w:p w14:paraId="58FDCD3D" w14:textId="77777777" w:rsidR="00F55EE5" w:rsidRDefault="00F55EE5" w:rsidP="00F55EE5">
      <w:pPr>
        <w:contextualSpacing/>
      </w:pPr>
      <w:r>
        <w:rPr>
          <w:rFonts w:ascii="Microsoft Sans Serif"/>
          <w:b/>
          <w:u w:val="single"/>
        </w:rPr>
        <w:t>F-2017-2635567 - HENRY YANG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Hlk508610081"/>
      <w:r>
        <w:rPr>
          <w:rFonts w:ascii="Microsoft Sans Serif"/>
        </w:rPr>
        <w:t>HENRY YANG</w:t>
      </w:r>
      <w:r>
        <w:rPr>
          <w:rFonts w:ascii="Microsoft Sans Serif"/>
        </w:rPr>
        <w:cr/>
        <w:t>13 PARK ST</w:t>
      </w:r>
      <w:r>
        <w:rPr>
          <w:rFonts w:ascii="Microsoft Sans Serif"/>
        </w:rPr>
        <w:cr/>
        <w:t>LITTLE FERRY NJ  07643</w:t>
      </w:r>
      <w:bookmarkEnd w:id="0"/>
      <w:r>
        <w:rPr>
          <w:rFonts w:ascii="Microsoft Sans Serif"/>
        </w:rPr>
        <w:cr/>
      </w:r>
      <w:r w:rsidRPr="0099208E">
        <w:rPr>
          <w:rFonts w:ascii="Microsoft Sans Serif"/>
          <w:b/>
        </w:rPr>
        <w:t>201.575.9755</w:t>
      </w:r>
      <w:r>
        <w:rPr>
          <w:rFonts w:ascii="Microsoft Sans Serif"/>
        </w:rPr>
        <w:cr/>
      </w:r>
    </w:p>
    <w:p w14:paraId="1BB794E6" w14:textId="77777777" w:rsidR="00F55EE5" w:rsidRPr="00602203" w:rsidRDefault="00F55EE5" w:rsidP="00F55EE5">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99208E">
        <w:rPr>
          <w:rFonts w:ascii="Microsoft Sans Serif"/>
          <w:b/>
        </w:rPr>
        <w:t>215.684.6164</w:t>
      </w:r>
      <w:r>
        <w:rPr>
          <w:rFonts w:ascii="Microsoft Sans Serif"/>
        </w:rPr>
        <w:cr/>
      </w:r>
      <w:r>
        <w:rPr>
          <w:rFonts w:ascii="Microsoft Sans Serif"/>
          <w:b/>
          <w:i/>
          <w:u w:val="single"/>
        </w:rPr>
        <w:t>-E-SERVE-</w:t>
      </w:r>
    </w:p>
    <w:p w14:paraId="13F4B9B4" w14:textId="226F7699" w:rsidR="00E256FA" w:rsidRDefault="00E256FA" w:rsidP="006C095B">
      <w:pPr>
        <w:spacing w:line="360" w:lineRule="auto"/>
      </w:pPr>
      <w:bookmarkStart w:id="1" w:name="_GoBack"/>
      <w:bookmarkEnd w:id="1"/>
    </w:p>
    <w:sectPr w:rsidR="00E256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E1D8" w14:textId="77777777" w:rsidR="00B0721A" w:rsidRDefault="00B0721A">
      <w:r>
        <w:separator/>
      </w:r>
    </w:p>
  </w:endnote>
  <w:endnote w:type="continuationSeparator" w:id="0">
    <w:p w14:paraId="01BA8E7A" w14:textId="77777777" w:rsidR="00B0721A" w:rsidRDefault="00B0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CD80" w14:textId="77777777"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14:paraId="74748F0C" w14:textId="77777777" w:rsidR="004E0FB7" w:rsidRDefault="004E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0740" w14:textId="77777777"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426881">
      <w:rPr>
        <w:rStyle w:val="PageNumber"/>
        <w:noProof/>
      </w:rPr>
      <w:t>7</w:t>
    </w:r>
    <w:r>
      <w:rPr>
        <w:rStyle w:val="PageNumber"/>
      </w:rPr>
      <w:fldChar w:fldCharType="end"/>
    </w:r>
  </w:p>
  <w:p w14:paraId="2BC4EF47" w14:textId="77777777" w:rsidR="004E0FB7" w:rsidRDefault="004E0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4FE9" w14:textId="77777777" w:rsidR="00F55EE5" w:rsidRPr="00F55EE5" w:rsidRDefault="00F55EE5" w:rsidP="005629D6">
    <w:pPr>
      <w:pStyle w:val="Footer"/>
      <w:framePr w:wrap="around" w:vAnchor="text" w:hAnchor="margin" w:xAlign="center" w:y="1"/>
      <w:rPr>
        <w:rStyle w:val="PageNumber"/>
        <w:sz w:val="20"/>
        <w:szCs w:val="20"/>
      </w:rPr>
    </w:pPr>
    <w:r w:rsidRPr="00F55EE5">
      <w:rPr>
        <w:rStyle w:val="PageNumber"/>
        <w:sz w:val="20"/>
        <w:szCs w:val="20"/>
      </w:rPr>
      <w:fldChar w:fldCharType="begin"/>
    </w:r>
    <w:r w:rsidRPr="00F55EE5">
      <w:rPr>
        <w:rStyle w:val="PageNumber"/>
        <w:sz w:val="20"/>
        <w:szCs w:val="20"/>
      </w:rPr>
      <w:instrText xml:space="preserve">PAGE  </w:instrText>
    </w:r>
    <w:r w:rsidRPr="00F55EE5">
      <w:rPr>
        <w:rStyle w:val="PageNumber"/>
        <w:sz w:val="20"/>
        <w:szCs w:val="20"/>
      </w:rPr>
      <w:fldChar w:fldCharType="separate"/>
    </w:r>
    <w:r w:rsidRPr="00F55EE5">
      <w:rPr>
        <w:rStyle w:val="PageNumber"/>
        <w:noProof/>
        <w:sz w:val="20"/>
        <w:szCs w:val="20"/>
      </w:rPr>
      <w:t>7</w:t>
    </w:r>
    <w:r w:rsidRPr="00F55EE5">
      <w:rPr>
        <w:rStyle w:val="PageNumber"/>
        <w:sz w:val="20"/>
        <w:szCs w:val="20"/>
      </w:rPr>
      <w:fldChar w:fldCharType="end"/>
    </w:r>
  </w:p>
  <w:p w14:paraId="2EC96B0C" w14:textId="77777777" w:rsidR="00F55EE5" w:rsidRPr="00F55EE5" w:rsidRDefault="00F55EE5" w:rsidP="00F55EE5">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5AE5" w14:textId="77777777" w:rsidR="00F55EE5" w:rsidRPr="00F55EE5" w:rsidRDefault="00F55EE5" w:rsidP="00F55EE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5EAE8" w14:textId="77777777" w:rsidR="00B0721A" w:rsidRDefault="00B0721A">
      <w:r>
        <w:separator/>
      </w:r>
    </w:p>
  </w:footnote>
  <w:footnote w:type="continuationSeparator" w:id="0">
    <w:p w14:paraId="49935FE0" w14:textId="77777777" w:rsidR="00B0721A" w:rsidRDefault="00B0721A">
      <w:r>
        <w:continuationSeparator/>
      </w:r>
    </w:p>
  </w:footnote>
  <w:footnote w:id="1">
    <w:p w14:paraId="2BE54932" w14:textId="794A5BC1" w:rsidR="0038483B" w:rsidRDefault="0038483B">
      <w:pPr>
        <w:pStyle w:val="FootnoteText"/>
      </w:pPr>
      <w:r>
        <w:rPr>
          <w:rStyle w:val="FootnoteReference"/>
        </w:rPr>
        <w:footnoteRef/>
      </w:r>
      <w:r>
        <w:t xml:space="preserve"> </w:t>
      </w:r>
      <w:r>
        <w:tab/>
        <w:t>I note that in his Answer to PGW’s Preliminary Objection, Complainant claims that there is no permanent resident at the service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566E7"/>
    <w:rsid w:val="00061CCC"/>
    <w:rsid w:val="0007460B"/>
    <w:rsid w:val="0007524A"/>
    <w:rsid w:val="000757AD"/>
    <w:rsid w:val="00076C46"/>
    <w:rsid w:val="00077E32"/>
    <w:rsid w:val="000806AD"/>
    <w:rsid w:val="000831AA"/>
    <w:rsid w:val="00085155"/>
    <w:rsid w:val="00085C0D"/>
    <w:rsid w:val="000868D6"/>
    <w:rsid w:val="000901CB"/>
    <w:rsid w:val="000928E5"/>
    <w:rsid w:val="000936AA"/>
    <w:rsid w:val="00093F1C"/>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287"/>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2A1C"/>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162"/>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47836"/>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2FD2"/>
    <w:rsid w:val="002B406F"/>
    <w:rsid w:val="002B4D3C"/>
    <w:rsid w:val="002B5408"/>
    <w:rsid w:val="002B69F6"/>
    <w:rsid w:val="002B725F"/>
    <w:rsid w:val="002B7335"/>
    <w:rsid w:val="002B78DD"/>
    <w:rsid w:val="002C0106"/>
    <w:rsid w:val="002C0B24"/>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1D84"/>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83B"/>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1C3"/>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881"/>
    <w:rsid w:val="00426CEB"/>
    <w:rsid w:val="0043010B"/>
    <w:rsid w:val="00430E36"/>
    <w:rsid w:val="00434EFE"/>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1DEB"/>
    <w:rsid w:val="00472CC3"/>
    <w:rsid w:val="00474243"/>
    <w:rsid w:val="00475928"/>
    <w:rsid w:val="00475949"/>
    <w:rsid w:val="00475D83"/>
    <w:rsid w:val="00475F0B"/>
    <w:rsid w:val="00480441"/>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3F84"/>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45"/>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5692C"/>
    <w:rsid w:val="00561908"/>
    <w:rsid w:val="005624B6"/>
    <w:rsid w:val="005629D6"/>
    <w:rsid w:val="00562D3A"/>
    <w:rsid w:val="0056496B"/>
    <w:rsid w:val="00566FDB"/>
    <w:rsid w:val="00567200"/>
    <w:rsid w:val="005675B1"/>
    <w:rsid w:val="00567A3A"/>
    <w:rsid w:val="00572CAC"/>
    <w:rsid w:val="005747F6"/>
    <w:rsid w:val="00574E2F"/>
    <w:rsid w:val="00582597"/>
    <w:rsid w:val="005829ED"/>
    <w:rsid w:val="00582F1E"/>
    <w:rsid w:val="00583043"/>
    <w:rsid w:val="0058421D"/>
    <w:rsid w:val="00586449"/>
    <w:rsid w:val="00586718"/>
    <w:rsid w:val="00586AEE"/>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3559"/>
    <w:rsid w:val="005F4E63"/>
    <w:rsid w:val="005F6022"/>
    <w:rsid w:val="005F68FF"/>
    <w:rsid w:val="00600512"/>
    <w:rsid w:val="00601F5F"/>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1D3A"/>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E1B"/>
    <w:rsid w:val="00641FBD"/>
    <w:rsid w:val="0064320C"/>
    <w:rsid w:val="00644547"/>
    <w:rsid w:val="00644B43"/>
    <w:rsid w:val="006472F6"/>
    <w:rsid w:val="00647C81"/>
    <w:rsid w:val="0065008E"/>
    <w:rsid w:val="00651754"/>
    <w:rsid w:val="00652798"/>
    <w:rsid w:val="00652BC4"/>
    <w:rsid w:val="00653C1A"/>
    <w:rsid w:val="0065425D"/>
    <w:rsid w:val="00654315"/>
    <w:rsid w:val="006546E3"/>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1EA3"/>
    <w:rsid w:val="006B252A"/>
    <w:rsid w:val="006B3FBF"/>
    <w:rsid w:val="006B4635"/>
    <w:rsid w:val="006C06F9"/>
    <w:rsid w:val="006C095B"/>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192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1DC5"/>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5EDC"/>
    <w:rsid w:val="00807663"/>
    <w:rsid w:val="00807959"/>
    <w:rsid w:val="00807D17"/>
    <w:rsid w:val="00812D1B"/>
    <w:rsid w:val="00814C30"/>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1336"/>
    <w:rsid w:val="00842A09"/>
    <w:rsid w:val="00843710"/>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2E30"/>
    <w:rsid w:val="008A36CB"/>
    <w:rsid w:val="008A3980"/>
    <w:rsid w:val="008A3ACC"/>
    <w:rsid w:val="008A3F67"/>
    <w:rsid w:val="008A70B4"/>
    <w:rsid w:val="008A7B2B"/>
    <w:rsid w:val="008A7DB0"/>
    <w:rsid w:val="008B1335"/>
    <w:rsid w:val="008B22BE"/>
    <w:rsid w:val="008B56B6"/>
    <w:rsid w:val="008C0E60"/>
    <w:rsid w:val="008C0EE5"/>
    <w:rsid w:val="008C0F6E"/>
    <w:rsid w:val="008C1B33"/>
    <w:rsid w:val="008C20EC"/>
    <w:rsid w:val="008C2807"/>
    <w:rsid w:val="008C290A"/>
    <w:rsid w:val="008C6208"/>
    <w:rsid w:val="008D11BB"/>
    <w:rsid w:val="008D1CD4"/>
    <w:rsid w:val="008D35DF"/>
    <w:rsid w:val="008D4696"/>
    <w:rsid w:val="008D5922"/>
    <w:rsid w:val="008D601F"/>
    <w:rsid w:val="008D7AE4"/>
    <w:rsid w:val="008E30E5"/>
    <w:rsid w:val="008E34FE"/>
    <w:rsid w:val="008E5B6A"/>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26B12"/>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48D0"/>
    <w:rsid w:val="00965150"/>
    <w:rsid w:val="00965596"/>
    <w:rsid w:val="00971270"/>
    <w:rsid w:val="00972005"/>
    <w:rsid w:val="00975481"/>
    <w:rsid w:val="0097747F"/>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066"/>
    <w:rsid w:val="009C6899"/>
    <w:rsid w:val="009D22F4"/>
    <w:rsid w:val="009D315A"/>
    <w:rsid w:val="009E1321"/>
    <w:rsid w:val="009E54F2"/>
    <w:rsid w:val="009F0BEF"/>
    <w:rsid w:val="009F3737"/>
    <w:rsid w:val="009F611D"/>
    <w:rsid w:val="009F6E81"/>
    <w:rsid w:val="009F7E45"/>
    <w:rsid w:val="00A008DB"/>
    <w:rsid w:val="00A00AA7"/>
    <w:rsid w:val="00A00F2D"/>
    <w:rsid w:val="00A0260B"/>
    <w:rsid w:val="00A02A5D"/>
    <w:rsid w:val="00A03B08"/>
    <w:rsid w:val="00A056DB"/>
    <w:rsid w:val="00A066B5"/>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964"/>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04D1"/>
    <w:rsid w:val="00AA1646"/>
    <w:rsid w:val="00AA1D53"/>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AF7F9A"/>
    <w:rsid w:val="00B0721A"/>
    <w:rsid w:val="00B0780B"/>
    <w:rsid w:val="00B07A6C"/>
    <w:rsid w:val="00B07B2E"/>
    <w:rsid w:val="00B103BF"/>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2DBB"/>
    <w:rsid w:val="00B43E27"/>
    <w:rsid w:val="00B44BF7"/>
    <w:rsid w:val="00B44BF8"/>
    <w:rsid w:val="00B4523E"/>
    <w:rsid w:val="00B46B86"/>
    <w:rsid w:val="00B46BFF"/>
    <w:rsid w:val="00B51AB1"/>
    <w:rsid w:val="00B51B4D"/>
    <w:rsid w:val="00B521DC"/>
    <w:rsid w:val="00B5348C"/>
    <w:rsid w:val="00B54ABC"/>
    <w:rsid w:val="00B5703C"/>
    <w:rsid w:val="00B5707C"/>
    <w:rsid w:val="00B57F2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DE3"/>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4FD7"/>
    <w:rsid w:val="00C1698C"/>
    <w:rsid w:val="00C16E89"/>
    <w:rsid w:val="00C21E65"/>
    <w:rsid w:val="00C24FB3"/>
    <w:rsid w:val="00C26934"/>
    <w:rsid w:val="00C27176"/>
    <w:rsid w:val="00C2720B"/>
    <w:rsid w:val="00C275DF"/>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2EBE"/>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2DC0"/>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214"/>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455D"/>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A7CD3"/>
    <w:rsid w:val="00DB09EB"/>
    <w:rsid w:val="00DB0E1A"/>
    <w:rsid w:val="00DB303E"/>
    <w:rsid w:val="00DB4421"/>
    <w:rsid w:val="00DB6F9D"/>
    <w:rsid w:val="00DC0281"/>
    <w:rsid w:val="00DC058A"/>
    <w:rsid w:val="00DC155E"/>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256FA"/>
    <w:rsid w:val="00E31EC6"/>
    <w:rsid w:val="00E31FEE"/>
    <w:rsid w:val="00E3214D"/>
    <w:rsid w:val="00E347FD"/>
    <w:rsid w:val="00E34978"/>
    <w:rsid w:val="00E37207"/>
    <w:rsid w:val="00E40952"/>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6BC3"/>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A6E21"/>
    <w:rsid w:val="00EB1169"/>
    <w:rsid w:val="00EB3B29"/>
    <w:rsid w:val="00EB6E59"/>
    <w:rsid w:val="00EB782E"/>
    <w:rsid w:val="00EC0DF2"/>
    <w:rsid w:val="00EC283A"/>
    <w:rsid w:val="00EC28DF"/>
    <w:rsid w:val="00EC2942"/>
    <w:rsid w:val="00EC47BC"/>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5EAC"/>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247"/>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5EE5"/>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16D"/>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420"/>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9FBE7F6"/>
  <w15:docId w15:val="{1521372C-E74C-4BF5-B420-35B6A1A9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unhideWhenUsed/>
    <w:rsid w:val="00F55EE5"/>
    <w:pPr>
      <w:tabs>
        <w:tab w:val="center" w:pos="4680"/>
        <w:tab w:val="right" w:pos="9360"/>
      </w:tabs>
    </w:pPr>
  </w:style>
  <w:style w:type="character" w:customStyle="1" w:styleId="HeaderChar">
    <w:name w:val="Header Char"/>
    <w:basedOn w:val="DefaultParagraphFont"/>
    <w:link w:val="Header"/>
    <w:rsid w:val="00F55E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65A23-6C5C-4C6C-B5F6-F18E0609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Williams, Bobbie Jo</cp:lastModifiedBy>
  <cp:revision>2</cp:revision>
  <cp:lastPrinted>2018-03-12T13:27:00Z</cp:lastPrinted>
  <dcterms:created xsi:type="dcterms:W3CDTF">2018-03-12T13:27:00Z</dcterms:created>
  <dcterms:modified xsi:type="dcterms:W3CDTF">2018-03-12T13:27:00Z</dcterms:modified>
</cp:coreProperties>
</file>