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C95" w:rsidRDefault="00756C95" w:rsidP="00756C95">
      <w:pPr>
        <w:pStyle w:val="Title"/>
        <w:tabs>
          <w:tab w:val="clear" w:pos="360"/>
          <w:tab w:val="left" w:pos="0"/>
        </w:tabs>
      </w:pPr>
      <w:r>
        <w:t>BEFORE THE</w:t>
      </w:r>
    </w:p>
    <w:p w:rsidR="00756C95" w:rsidRDefault="00756C95" w:rsidP="00756C95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756C95" w:rsidRDefault="00756C95" w:rsidP="00756C9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756C95" w:rsidRDefault="00756C95" w:rsidP="00756C9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756C95" w:rsidRDefault="00756C95" w:rsidP="00756C9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756C95" w:rsidRDefault="00540016" w:rsidP="00756C95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 xml:space="preserve">Karen </w:t>
      </w:r>
      <w:proofErr w:type="spellStart"/>
      <w:r>
        <w:rPr>
          <w:sz w:val="24"/>
        </w:rPr>
        <w:t>Feitt</w:t>
      </w:r>
      <w:proofErr w:type="spellEnd"/>
      <w:r>
        <w:rPr>
          <w:sz w:val="24"/>
        </w:rPr>
        <w:t xml:space="preserve"> </w:t>
      </w:r>
      <w:r w:rsidR="004E6367">
        <w:rPr>
          <w:sz w:val="24"/>
        </w:rPr>
        <w:t>and H. Mendoza, Jr.</w:t>
      </w:r>
      <w:r w:rsidR="00756C95">
        <w:rPr>
          <w:sz w:val="24"/>
        </w:rPr>
        <w:tab/>
      </w:r>
      <w:r w:rsidR="00756C95">
        <w:rPr>
          <w:sz w:val="24"/>
        </w:rPr>
        <w:tab/>
      </w:r>
      <w:r w:rsidR="00756C95">
        <w:rPr>
          <w:sz w:val="24"/>
        </w:rPr>
        <w:tab/>
      </w:r>
      <w:r w:rsidR="00756C95" w:rsidRPr="00560DC5">
        <w:rPr>
          <w:sz w:val="24"/>
        </w:rPr>
        <w:t>:</w:t>
      </w:r>
    </w:p>
    <w:p w:rsidR="00756C95" w:rsidRPr="00560DC5" w:rsidRDefault="00756C95" w:rsidP="00756C95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60DC5">
        <w:rPr>
          <w:sz w:val="24"/>
        </w:rPr>
        <w:t>:</w:t>
      </w:r>
    </w:p>
    <w:p w:rsidR="00756C95" w:rsidRDefault="00756C95" w:rsidP="00756C95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507BD" w:rsidRPr="00A71162">
        <w:rPr>
          <w:sz w:val="24"/>
        </w:rPr>
        <w:t>F</w:t>
      </w:r>
      <w:r w:rsidRPr="00A71162">
        <w:rPr>
          <w:sz w:val="24"/>
        </w:rPr>
        <w:t>-</w:t>
      </w:r>
      <w:r>
        <w:rPr>
          <w:sz w:val="24"/>
        </w:rPr>
        <w:t>201</w:t>
      </w:r>
      <w:r w:rsidR="00541FEA">
        <w:rPr>
          <w:sz w:val="24"/>
        </w:rPr>
        <w:t>7</w:t>
      </w:r>
      <w:r>
        <w:rPr>
          <w:sz w:val="24"/>
        </w:rPr>
        <w:t>-</w:t>
      </w:r>
      <w:r w:rsidR="001B19BC">
        <w:rPr>
          <w:sz w:val="24"/>
        </w:rPr>
        <w:t>2</w:t>
      </w:r>
      <w:r w:rsidR="00541FEA">
        <w:rPr>
          <w:sz w:val="24"/>
        </w:rPr>
        <w:t>63</w:t>
      </w:r>
      <w:r w:rsidR="004E6367">
        <w:rPr>
          <w:sz w:val="24"/>
        </w:rPr>
        <w:t>6316</w:t>
      </w:r>
    </w:p>
    <w:p w:rsidR="00756C95" w:rsidRPr="00560DC5" w:rsidRDefault="00756C95" w:rsidP="00756C95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</w:p>
    <w:p w:rsidR="00756C95" w:rsidRDefault="00541FEA" w:rsidP="00756C95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Duquesne Light Company</w:t>
      </w:r>
      <w:r w:rsidR="00756C95">
        <w:rPr>
          <w:sz w:val="24"/>
        </w:rPr>
        <w:tab/>
      </w:r>
      <w:r w:rsidR="00756C95">
        <w:rPr>
          <w:sz w:val="24"/>
        </w:rPr>
        <w:tab/>
      </w:r>
      <w:r w:rsidR="00756C95">
        <w:rPr>
          <w:sz w:val="24"/>
        </w:rPr>
        <w:tab/>
      </w:r>
      <w:r w:rsidR="00756C95">
        <w:rPr>
          <w:sz w:val="24"/>
        </w:rPr>
        <w:tab/>
      </w:r>
      <w:r w:rsidR="00756C95" w:rsidRPr="00560DC5">
        <w:rPr>
          <w:sz w:val="24"/>
        </w:rPr>
        <w:t>:</w:t>
      </w:r>
    </w:p>
    <w:p w:rsidR="00756C95" w:rsidRDefault="00756C95" w:rsidP="00756C95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756C95" w:rsidRDefault="00756C95" w:rsidP="00756C9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756C95" w:rsidRDefault="00756C95" w:rsidP="00756C9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8B2568" w:rsidRPr="00174F1D" w:rsidRDefault="00122E5F" w:rsidP="00756C95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174F1D">
        <w:rPr>
          <w:b/>
          <w:sz w:val="24"/>
        </w:rPr>
        <w:t xml:space="preserve">FIRST </w:t>
      </w:r>
      <w:r w:rsidR="00C84040" w:rsidRPr="00174F1D">
        <w:rPr>
          <w:b/>
          <w:sz w:val="24"/>
        </w:rPr>
        <w:t xml:space="preserve">INTERIM </w:t>
      </w:r>
      <w:r w:rsidR="009D3899" w:rsidRPr="00174F1D">
        <w:rPr>
          <w:b/>
          <w:sz w:val="24"/>
        </w:rPr>
        <w:t>ORDER</w:t>
      </w:r>
    </w:p>
    <w:p w:rsidR="004B29E6" w:rsidRPr="00174F1D" w:rsidRDefault="004E6367" w:rsidP="004B29E6">
      <w:pPr>
        <w:jc w:val="center"/>
        <w:rPr>
          <w:rFonts w:cs="CG Times (W1)"/>
          <w:b/>
          <w:bCs/>
          <w:sz w:val="24"/>
          <w:szCs w:val="24"/>
        </w:rPr>
      </w:pPr>
      <w:r w:rsidRPr="00174F1D">
        <w:rPr>
          <w:b/>
          <w:sz w:val="24"/>
        </w:rPr>
        <w:t>SUSTAINING</w:t>
      </w:r>
      <w:r w:rsidR="00C84040" w:rsidRPr="00174F1D">
        <w:rPr>
          <w:b/>
          <w:sz w:val="24"/>
        </w:rPr>
        <w:t xml:space="preserve"> </w:t>
      </w:r>
      <w:r w:rsidRPr="00174F1D">
        <w:rPr>
          <w:b/>
          <w:sz w:val="24"/>
        </w:rPr>
        <w:t>PRELIMINARY OBJECTIONS</w:t>
      </w:r>
      <w:r w:rsidR="004B29E6" w:rsidRPr="00174F1D">
        <w:rPr>
          <w:rFonts w:cs="CG Times (W1)"/>
          <w:b/>
          <w:bCs/>
          <w:sz w:val="24"/>
          <w:szCs w:val="24"/>
        </w:rPr>
        <w:t xml:space="preserve"> AND DENYING</w:t>
      </w:r>
    </w:p>
    <w:p w:rsidR="004B29E6" w:rsidRPr="004B29E6" w:rsidRDefault="004B29E6" w:rsidP="004B29E6">
      <w:pPr>
        <w:autoSpaceDE w:val="0"/>
        <w:autoSpaceDN w:val="0"/>
        <w:jc w:val="center"/>
        <w:rPr>
          <w:rFonts w:cs="CG Times (W1)"/>
          <w:b/>
          <w:bCs/>
          <w:sz w:val="24"/>
          <w:szCs w:val="24"/>
          <w:u w:val="single"/>
        </w:rPr>
      </w:pPr>
      <w:r>
        <w:rPr>
          <w:rFonts w:cs="CG Times (W1)"/>
          <w:b/>
          <w:bCs/>
          <w:sz w:val="24"/>
          <w:szCs w:val="24"/>
          <w:u w:val="single"/>
        </w:rPr>
        <w:t>RESPONDENT’</w:t>
      </w:r>
      <w:r w:rsidRPr="004B29E6">
        <w:rPr>
          <w:rFonts w:cs="CG Times (W1)"/>
          <w:b/>
          <w:bCs/>
          <w:sz w:val="24"/>
          <w:szCs w:val="24"/>
          <w:u w:val="single"/>
        </w:rPr>
        <w:t>S REQUEST FOR DISMISSAL OF THE COMPLAINT</w:t>
      </w:r>
    </w:p>
    <w:p w:rsidR="00756C95" w:rsidRPr="004E6367" w:rsidRDefault="00756C95" w:rsidP="00756C95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</w:p>
    <w:p w:rsidR="00756C95" w:rsidRDefault="00756C95" w:rsidP="00174F1D">
      <w:pPr>
        <w:tabs>
          <w:tab w:val="left" w:pos="0"/>
        </w:tabs>
        <w:jc w:val="both"/>
        <w:rPr>
          <w:sz w:val="24"/>
        </w:rPr>
      </w:pPr>
    </w:p>
    <w:p w:rsidR="00B2111E" w:rsidRDefault="00B2111E" w:rsidP="00BF3B76">
      <w:pPr>
        <w:spacing w:line="360" w:lineRule="auto"/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HISTORY OF THE PROCEEDING</w:t>
      </w:r>
    </w:p>
    <w:p w:rsidR="00BF3B76" w:rsidRDefault="00BF3B76" w:rsidP="00BF3B76">
      <w:pPr>
        <w:spacing w:line="360" w:lineRule="auto"/>
        <w:jc w:val="center"/>
        <w:rPr>
          <w:rFonts w:eastAsia="Calibri"/>
          <w:sz w:val="24"/>
          <w:szCs w:val="24"/>
          <w:u w:val="single"/>
        </w:rPr>
      </w:pPr>
    </w:p>
    <w:p w:rsidR="00BF3B76" w:rsidRDefault="00B2111E" w:rsidP="004039F0">
      <w:pPr>
        <w:spacing w:line="360" w:lineRule="auto"/>
        <w:rPr>
          <w:snapToGrid w:val="0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On </w:t>
      </w:r>
      <w:r w:rsidR="00D5288E">
        <w:rPr>
          <w:rFonts w:eastAsia="Calibri"/>
          <w:sz w:val="24"/>
          <w:szCs w:val="24"/>
        </w:rPr>
        <w:t>Novem</w:t>
      </w:r>
      <w:r w:rsidR="0011638B">
        <w:rPr>
          <w:rFonts w:eastAsia="Calibri"/>
          <w:sz w:val="24"/>
          <w:szCs w:val="24"/>
        </w:rPr>
        <w:t xml:space="preserve">ber </w:t>
      </w:r>
      <w:r w:rsidR="00D5288E">
        <w:rPr>
          <w:rFonts w:eastAsia="Calibri"/>
          <w:sz w:val="24"/>
          <w:szCs w:val="24"/>
        </w:rPr>
        <w:t>2</w:t>
      </w:r>
      <w:r w:rsidR="0011638B">
        <w:rPr>
          <w:rFonts w:eastAsia="Calibri"/>
          <w:sz w:val="24"/>
          <w:szCs w:val="24"/>
        </w:rPr>
        <w:t>8,</w:t>
      </w:r>
      <w:r>
        <w:rPr>
          <w:rFonts w:eastAsia="Calibri"/>
          <w:sz w:val="24"/>
          <w:szCs w:val="24"/>
        </w:rPr>
        <w:t xml:space="preserve"> 201</w:t>
      </w:r>
      <w:r w:rsidR="0011638B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, </w:t>
      </w:r>
      <w:r w:rsidR="000D5C90">
        <w:rPr>
          <w:rFonts w:eastAsia="Calibri"/>
          <w:sz w:val="24"/>
          <w:szCs w:val="24"/>
        </w:rPr>
        <w:t xml:space="preserve">Karen </w:t>
      </w:r>
      <w:proofErr w:type="spellStart"/>
      <w:r w:rsidR="000D5C90">
        <w:rPr>
          <w:rFonts w:eastAsia="Calibri"/>
          <w:sz w:val="24"/>
          <w:szCs w:val="24"/>
        </w:rPr>
        <w:t>Feitt</w:t>
      </w:r>
      <w:proofErr w:type="spellEnd"/>
      <w:r w:rsidR="000D5C90">
        <w:rPr>
          <w:rFonts w:eastAsia="Calibri"/>
          <w:sz w:val="24"/>
          <w:szCs w:val="24"/>
        </w:rPr>
        <w:t xml:space="preserve"> and H. Mendoza, Jr. (</w:t>
      </w:r>
      <w:r>
        <w:rPr>
          <w:rFonts w:eastAsia="Calibri"/>
          <w:sz w:val="24"/>
          <w:szCs w:val="24"/>
        </w:rPr>
        <w:t>Complainant</w:t>
      </w:r>
      <w:r w:rsidR="000D5C90">
        <w:rPr>
          <w:rFonts w:eastAsia="Calibri"/>
          <w:sz w:val="24"/>
          <w:szCs w:val="24"/>
        </w:rPr>
        <w:t>s)</w:t>
      </w:r>
      <w:r w:rsidR="005355EA">
        <w:rPr>
          <w:rFonts w:eastAsia="Calibri"/>
          <w:sz w:val="24"/>
          <w:szCs w:val="24"/>
        </w:rPr>
        <w:t xml:space="preserve"> </w:t>
      </w:r>
      <w:r w:rsidR="00FC3E48">
        <w:rPr>
          <w:rFonts w:eastAsia="Calibri"/>
          <w:sz w:val="24"/>
          <w:szCs w:val="24"/>
        </w:rPr>
        <w:t xml:space="preserve">filed a </w:t>
      </w:r>
      <w:r w:rsidR="006928A9">
        <w:rPr>
          <w:rFonts w:eastAsia="Calibri"/>
          <w:sz w:val="24"/>
          <w:szCs w:val="24"/>
        </w:rPr>
        <w:t xml:space="preserve">Formal </w:t>
      </w:r>
      <w:r w:rsidR="00122E5F">
        <w:rPr>
          <w:rFonts w:eastAsia="Calibri"/>
          <w:sz w:val="24"/>
          <w:szCs w:val="24"/>
        </w:rPr>
        <w:t>C</w:t>
      </w:r>
      <w:r w:rsidR="00FC3E48">
        <w:rPr>
          <w:rFonts w:eastAsia="Calibri"/>
          <w:sz w:val="24"/>
          <w:szCs w:val="24"/>
        </w:rPr>
        <w:t>omplaint</w:t>
      </w:r>
      <w:r w:rsidR="005B3104">
        <w:rPr>
          <w:rFonts w:eastAsia="Calibri"/>
          <w:sz w:val="24"/>
          <w:szCs w:val="24"/>
        </w:rPr>
        <w:t>,</w:t>
      </w:r>
      <w:r w:rsidR="00FC3E48">
        <w:rPr>
          <w:rFonts w:eastAsia="Calibri"/>
          <w:sz w:val="24"/>
          <w:szCs w:val="24"/>
        </w:rPr>
        <w:t xml:space="preserve"> </w:t>
      </w:r>
      <w:r w:rsidR="005355EA" w:rsidRPr="009E7B03">
        <w:rPr>
          <w:snapToGrid w:val="0"/>
          <w:sz w:val="24"/>
          <w:szCs w:val="24"/>
        </w:rPr>
        <w:t xml:space="preserve">seeking </w:t>
      </w:r>
      <w:r w:rsidR="00AC5222">
        <w:rPr>
          <w:snapToGrid w:val="0"/>
          <w:sz w:val="24"/>
          <w:szCs w:val="24"/>
        </w:rPr>
        <w:t xml:space="preserve">timely </w:t>
      </w:r>
      <w:r w:rsidR="005355EA" w:rsidRPr="009E7B03">
        <w:rPr>
          <w:snapToGrid w:val="0"/>
          <w:sz w:val="24"/>
          <w:szCs w:val="24"/>
        </w:rPr>
        <w:t>review of the Commission’s Bureau of Consumer Services’ (BCS)</w:t>
      </w:r>
      <w:r w:rsidR="005355EA" w:rsidRPr="005355EA">
        <w:rPr>
          <w:snapToGrid w:val="0"/>
          <w:sz w:val="24"/>
          <w:szCs w:val="24"/>
        </w:rPr>
        <w:t xml:space="preserve"> </w:t>
      </w:r>
      <w:r w:rsidR="000D5C90">
        <w:rPr>
          <w:snapToGrid w:val="0"/>
          <w:sz w:val="24"/>
          <w:szCs w:val="24"/>
        </w:rPr>
        <w:t>October 17, 2017</w:t>
      </w:r>
      <w:r w:rsidR="0011638B">
        <w:rPr>
          <w:snapToGrid w:val="0"/>
          <w:sz w:val="24"/>
          <w:szCs w:val="24"/>
        </w:rPr>
        <w:t xml:space="preserve"> </w:t>
      </w:r>
      <w:r w:rsidR="005355EA" w:rsidRPr="009E7B03">
        <w:rPr>
          <w:snapToGrid w:val="0"/>
          <w:sz w:val="24"/>
          <w:szCs w:val="24"/>
        </w:rPr>
        <w:t xml:space="preserve">denial of </w:t>
      </w:r>
      <w:r w:rsidR="000D5C90">
        <w:rPr>
          <w:snapToGrid w:val="0"/>
          <w:sz w:val="24"/>
          <w:szCs w:val="24"/>
        </w:rPr>
        <w:t>their</w:t>
      </w:r>
      <w:r w:rsidR="0011638B">
        <w:rPr>
          <w:snapToGrid w:val="0"/>
          <w:sz w:val="24"/>
          <w:szCs w:val="24"/>
        </w:rPr>
        <w:t xml:space="preserve"> </w:t>
      </w:r>
      <w:r w:rsidR="005355EA" w:rsidRPr="009E7B03">
        <w:rPr>
          <w:snapToGrid w:val="0"/>
          <w:sz w:val="24"/>
          <w:szCs w:val="24"/>
        </w:rPr>
        <w:t>informal complaint</w:t>
      </w:r>
      <w:r w:rsidR="005355EA">
        <w:rPr>
          <w:snapToGrid w:val="0"/>
          <w:sz w:val="24"/>
          <w:szCs w:val="24"/>
        </w:rPr>
        <w:t xml:space="preserve"> against </w:t>
      </w:r>
      <w:r w:rsidR="005355EA">
        <w:rPr>
          <w:rFonts w:eastAsia="Calibri"/>
          <w:sz w:val="24"/>
          <w:szCs w:val="24"/>
        </w:rPr>
        <w:t xml:space="preserve">Respondent </w:t>
      </w:r>
      <w:r w:rsidR="0011638B">
        <w:rPr>
          <w:rFonts w:eastAsia="Calibri"/>
          <w:sz w:val="24"/>
          <w:szCs w:val="24"/>
        </w:rPr>
        <w:t>Duquesne Light Company</w:t>
      </w:r>
      <w:r w:rsidR="005355EA">
        <w:rPr>
          <w:rFonts w:eastAsia="Calibri"/>
          <w:sz w:val="24"/>
          <w:szCs w:val="24"/>
        </w:rPr>
        <w:t xml:space="preserve"> (</w:t>
      </w:r>
      <w:r w:rsidR="0011638B">
        <w:rPr>
          <w:rFonts w:eastAsia="Calibri"/>
          <w:sz w:val="24"/>
          <w:szCs w:val="24"/>
        </w:rPr>
        <w:t>Duquesne Light</w:t>
      </w:r>
      <w:r w:rsidR="005355EA">
        <w:rPr>
          <w:rFonts w:eastAsia="Calibri"/>
          <w:sz w:val="24"/>
          <w:szCs w:val="24"/>
        </w:rPr>
        <w:t>)</w:t>
      </w:r>
      <w:r w:rsidR="005355EA">
        <w:rPr>
          <w:snapToGrid w:val="0"/>
          <w:sz w:val="24"/>
          <w:szCs w:val="24"/>
        </w:rPr>
        <w:t xml:space="preserve"> at BCS No. 3</w:t>
      </w:r>
      <w:r w:rsidR="009A13EA">
        <w:rPr>
          <w:snapToGrid w:val="0"/>
          <w:sz w:val="24"/>
          <w:szCs w:val="24"/>
        </w:rPr>
        <w:t>54</w:t>
      </w:r>
      <w:r w:rsidR="000D5C90">
        <w:rPr>
          <w:snapToGrid w:val="0"/>
          <w:sz w:val="24"/>
          <w:szCs w:val="24"/>
        </w:rPr>
        <w:t>5710</w:t>
      </w:r>
      <w:r w:rsidR="005355EA">
        <w:rPr>
          <w:snapToGrid w:val="0"/>
          <w:sz w:val="24"/>
          <w:szCs w:val="24"/>
        </w:rPr>
        <w:t xml:space="preserve">.  </w:t>
      </w:r>
      <w:r w:rsidR="00437DDC">
        <w:rPr>
          <w:snapToGrid w:val="0"/>
          <w:sz w:val="24"/>
          <w:szCs w:val="24"/>
        </w:rPr>
        <w:t>Utilizing the Commission’s</w:t>
      </w:r>
      <w:r w:rsidR="006928A9">
        <w:rPr>
          <w:snapToGrid w:val="0"/>
          <w:sz w:val="24"/>
          <w:szCs w:val="24"/>
        </w:rPr>
        <w:t xml:space="preserve"> standard form</w:t>
      </w:r>
      <w:r w:rsidR="00290D96">
        <w:rPr>
          <w:snapToGrid w:val="0"/>
          <w:sz w:val="24"/>
          <w:szCs w:val="24"/>
        </w:rPr>
        <w:t xml:space="preserve"> listing various choices for the reason for the </w:t>
      </w:r>
      <w:r w:rsidR="005B3104">
        <w:rPr>
          <w:snapToGrid w:val="0"/>
          <w:sz w:val="24"/>
          <w:szCs w:val="24"/>
        </w:rPr>
        <w:t>C</w:t>
      </w:r>
      <w:r w:rsidR="00290D96">
        <w:rPr>
          <w:snapToGrid w:val="0"/>
          <w:sz w:val="24"/>
          <w:szCs w:val="24"/>
        </w:rPr>
        <w:t>omplaint</w:t>
      </w:r>
      <w:r w:rsidR="006928A9">
        <w:rPr>
          <w:snapToGrid w:val="0"/>
          <w:sz w:val="24"/>
          <w:szCs w:val="24"/>
        </w:rPr>
        <w:t>, Complain</w:t>
      </w:r>
      <w:r w:rsidR="007438ED">
        <w:rPr>
          <w:snapToGrid w:val="0"/>
          <w:sz w:val="24"/>
          <w:szCs w:val="24"/>
        </w:rPr>
        <w:t>ant</w:t>
      </w:r>
      <w:r w:rsidR="00233666">
        <w:rPr>
          <w:snapToGrid w:val="0"/>
          <w:sz w:val="24"/>
          <w:szCs w:val="24"/>
        </w:rPr>
        <w:t>s</w:t>
      </w:r>
      <w:r w:rsidR="006928A9">
        <w:rPr>
          <w:snapToGrid w:val="0"/>
          <w:sz w:val="24"/>
          <w:szCs w:val="24"/>
        </w:rPr>
        <w:t xml:space="preserve"> checked </w:t>
      </w:r>
      <w:r w:rsidR="004039F0">
        <w:rPr>
          <w:snapToGrid w:val="0"/>
          <w:sz w:val="24"/>
          <w:szCs w:val="24"/>
        </w:rPr>
        <w:t>two boxes:</w:t>
      </w:r>
      <w:r w:rsidR="00D55F57">
        <w:rPr>
          <w:snapToGrid w:val="0"/>
          <w:sz w:val="24"/>
          <w:szCs w:val="24"/>
        </w:rPr>
        <w:t xml:space="preserve"> </w:t>
      </w:r>
      <w:r w:rsidR="004039F0">
        <w:rPr>
          <w:snapToGrid w:val="0"/>
          <w:sz w:val="24"/>
          <w:szCs w:val="24"/>
        </w:rPr>
        <w:t xml:space="preserve"> I would like a payment arrangement and </w:t>
      </w:r>
      <w:r w:rsidR="006928A9">
        <w:rPr>
          <w:snapToGrid w:val="0"/>
          <w:sz w:val="24"/>
          <w:szCs w:val="24"/>
        </w:rPr>
        <w:t>Other</w:t>
      </w:r>
      <w:r w:rsidR="00290D96">
        <w:rPr>
          <w:snapToGrid w:val="0"/>
          <w:sz w:val="24"/>
          <w:szCs w:val="24"/>
        </w:rPr>
        <w:t xml:space="preserve"> (explain).</w:t>
      </w:r>
      <w:r w:rsidR="006928A9">
        <w:rPr>
          <w:snapToGrid w:val="0"/>
          <w:sz w:val="24"/>
          <w:szCs w:val="24"/>
        </w:rPr>
        <w:t xml:space="preserve"> </w:t>
      </w:r>
      <w:r w:rsidR="00290D96">
        <w:rPr>
          <w:snapToGrid w:val="0"/>
          <w:sz w:val="24"/>
          <w:szCs w:val="24"/>
        </w:rPr>
        <w:t xml:space="preserve"> </w:t>
      </w:r>
      <w:r w:rsidR="00922A9F">
        <w:rPr>
          <w:snapToGrid w:val="0"/>
          <w:sz w:val="24"/>
          <w:szCs w:val="24"/>
        </w:rPr>
        <w:t xml:space="preserve">Complaint ¶4.  </w:t>
      </w:r>
      <w:r w:rsidR="00627B31">
        <w:rPr>
          <w:snapToGrid w:val="0"/>
          <w:sz w:val="24"/>
          <w:szCs w:val="24"/>
        </w:rPr>
        <w:t xml:space="preserve">Complainants explained the reasons for their Complaint </w:t>
      </w:r>
      <w:r w:rsidR="00BF3B76">
        <w:rPr>
          <w:snapToGrid w:val="0"/>
          <w:sz w:val="24"/>
          <w:szCs w:val="24"/>
        </w:rPr>
        <w:t>as follows:</w:t>
      </w:r>
    </w:p>
    <w:p w:rsidR="00E94ABD" w:rsidRDefault="00E94ABD" w:rsidP="004039F0">
      <w:pPr>
        <w:spacing w:line="360" w:lineRule="auto"/>
        <w:rPr>
          <w:snapToGrid w:val="0"/>
          <w:sz w:val="24"/>
          <w:szCs w:val="24"/>
        </w:rPr>
      </w:pPr>
    </w:p>
    <w:p w:rsidR="00922A9F" w:rsidRDefault="007A4F96" w:rsidP="00BF3B76">
      <w:pPr>
        <w:ind w:left="1440" w:right="1526"/>
        <w:rPr>
          <w:rFonts w:eastAsia="Calibri"/>
          <w:sz w:val="24"/>
          <w:szCs w:val="24"/>
        </w:rPr>
      </w:pPr>
      <w:r>
        <w:rPr>
          <w:snapToGrid w:val="0"/>
          <w:sz w:val="24"/>
          <w:szCs w:val="24"/>
        </w:rPr>
        <w:t xml:space="preserve">#1.   </w:t>
      </w:r>
      <w:r w:rsidR="00BF3B76">
        <w:rPr>
          <w:snapToGrid w:val="0"/>
          <w:sz w:val="24"/>
          <w:szCs w:val="24"/>
        </w:rPr>
        <w:t>Furthermore, the return of overpayment, regarding arrears, that which Steve Robinson (investigator) was mediating a dispute for settlement.  More importantly, the failure t</w:t>
      </w:r>
      <w:r w:rsidR="000155AF">
        <w:rPr>
          <w:snapToGrid w:val="0"/>
          <w:sz w:val="24"/>
          <w:szCs w:val="24"/>
        </w:rPr>
        <w:t>o</w:t>
      </w:r>
      <w:r w:rsidR="00BF3B76">
        <w:rPr>
          <w:snapToGrid w:val="0"/>
          <w:sz w:val="24"/>
          <w:szCs w:val="24"/>
        </w:rPr>
        <w:t xml:space="preserve"> disclose the debts, appears as theft by deception, extortion pursuant to 73</w:t>
      </w:r>
      <w:r w:rsidR="00BF3B76" w:rsidRPr="00BF3B76">
        <w:rPr>
          <w:snapToGrid w:val="0"/>
          <w:sz w:val="24"/>
          <w:szCs w:val="24"/>
          <w:vertAlign w:val="superscript"/>
        </w:rPr>
        <w:t>rd</w:t>
      </w:r>
      <w:r w:rsidR="00BF3B76">
        <w:rPr>
          <w:snapToGrid w:val="0"/>
          <w:sz w:val="24"/>
          <w:szCs w:val="24"/>
        </w:rPr>
        <w:t xml:space="preserve"> Congress Session 1</w:t>
      </w:r>
      <w:r w:rsidR="000155AF">
        <w:rPr>
          <w:snapToGrid w:val="0"/>
          <w:sz w:val="24"/>
          <w:szCs w:val="24"/>
        </w:rPr>
        <w:t xml:space="preserve"> CHS. 48-49, June 5, 6, 1933, HJR 192, HR 1491, Public Law 1-48, Stat 1, Public Law 10, Chap. 48. Stat 112, Public Law 73-10-40 Stat 411 Trading with the Enemy Act (TWEA) Oct</w:t>
      </w:r>
      <w:r w:rsidR="007438ED">
        <w:rPr>
          <w:snapToGrid w:val="0"/>
          <w:sz w:val="24"/>
          <w:szCs w:val="24"/>
        </w:rPr>
        <w:t>.</w:t>
      </w:r>
      <w:r w:rsidR="000155AF">
        <w:rPr>
          <w:snapToGrid w:val="0"/>
          <w:sz w:val="24"/>
          <w:szCs w:val="24"/>
        </w:rPr>
        <w:t xml:space="preserve"> 6,</w:t>
      </w:r>
      <w:r w:rsidR="007438ED">
        <w:rPr>
          <w:snapToGrid w:val="0"/>
          <w:sz w:val="24"/>
          <w:szCs w:val="24"/>
        </w:rPr>
        <w:t xml:space="preserve"> </w:t>
      </w:r>
      <w:r w:rsidR="000155AF">
        <w:rPr>
          <w:snapToGrid w:val="0"/>
          <w:sz w:val="24"/>
          <w:szCs w:val="24"/>
        </w:rPr>
        <w:t xml:space="preserve">1917, but </w:t>
      </w:r>
      <w:r w:rsidR="00627B31">
        <w:rPr>
          <w:snapToGrid w:val="0"/>
          <w:sz w:val="24"/>
          <w:szCs w:val="24"/>
        </w:rPr>
        <w:t xml:space="preserve">not </w:t>
      </w:r>
      <w:r w:rsidR="000155AF">
        <w:rPr>
          <w:snapToGrid w:val="0"/>
          <w:sz w:val="24"/>
          <w:szCs w:val="24"/>
        </w:rPr>
        <w:t>limited to</w:t>
      </w:r>
      <w:r w:rsidR="00627B31">
        <w:rPr>
          <w:snapToGrid w:val="0"/>
          <w:sz w:val="24"/>
          <w:szCs w:val="24"/>
        </w:rPr>
        <w:t>:</w:t>
      </w:r>
      <w:r w:rsidR="00BF3B76">
        <w:rPr>
          <w:snapToGrid w:val="0"/>
          <w:sz w:val="24"/>
          <w:szCs w:val="24"/>
        </w:rPr>
        <w:tab/>
      </w:r>
      <w:r w:rsidR="00BF3B76">
        <w:rPr>
          <w:snapToGrid w:val="0"/>
          <w:sz w:val="24"/>
          <w:szCs w:val="24"/>
        </w:rPr>
        <w:tab/>
      </w:r>
    </w:p>
    <w:p w:rsidR="00C259DD" w:rsidRDefault="00C259DD" w:rsidP="007A4F96">
      <w:pPr>
        <w:spacing w:line="360" w:lineRule="auto"/>
        <w:ind w:left="1440" w:right="1526"/>
        <w:rPr>
          <w:rFonts w:eastAsia="Calibri"/>
          <w:sz w:val="24"/>
          <w:szCs w:val="24"/>
        </w:rPr>
      </w:pPr>
    </w:p>
    <w:p w:rsidR="007A4F96" w:rsidRDefault="007A4F96" w:rsidP="007A4F96">
      <w:pPr>
        <w:ind w:left="1440" w:right="15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#2.   This misappropriation of the process constitutes probable cause for reporting to you the </w:t>
      </w:r>
      <w:r w:rsidR="00627B31">
        <w:rPr>
          <w:rFonts w:eastAsia="Calibri"/>
          <w:sz w:val="24"/>
          <w:szCs w:val="24"/>
        </w:rPr>
        <w:t>authorities</w:t>
      </w:r>
      <w:r>
        <w:rPr>
          <w:rFonts w:eastAsia="Calibri"/>
          <w:sz w:val="24"/>
          <w:szCs w:val="24"/>
        </w:rPr>
        <w:t xml:space="preserve"> </w:t>
      </w:r>
      <w:r w:rsidR="00627B31">
        <w:rPr>
          <w:rFonts w:eastAsia="Calibri"/>
          <w:sz w:val="24"/>
          <w:szCs w:val="24"/>
        </w:rPr>
        <w:t xml:space="preserve">the </w:t>
      </w:r>
      <w:r>
        <w:rPr>
          <w:rFonts w:eastAsia="Calibri"/>
          <w:sz w:val="24"/>
          <w:szCs w:val="24"/>
        </w:rPr>
        <w:t xml:space="preserve">appearances consisting of a crime regarding </w:t>
      </w:r>
      <w:r w:rsidR="0099160F">
        <w:rPr>
          <w:rFonts w:eastAsia="Calibri"/>
          <w:sz w:val="24"/>
          <w:szCs w:val="24"/>
        </w:rPr>
        <w:t xml:space="preserve">embezzlement of public money, compliance with </w:t>
      </w:r>
      <w:r w:rsidR="0099160F">
        <w:rPr>
          <w:rFonts w:eastAsia="Calibri"/>
          <w:sz w:val="24"/>
          <w:szCs w:val="24"/>
        </w:rPr>
        <w:lastRenderedPageBreak/>
        <w:t>18</w:t>
      </w:r>
      <w:r w:rsidR="00D55F57">
        <w:rPr>
          <w:rFonts w:eastAsia="Calibri"/>
          <w:sz w:val="24"/>
          <w:szCs w:val="24"/>
        </w:rPr>
        <w:t> </w:t>
      </w:r>
      <w:r w:rsidR="0099160F">
        <w:rPr>
          <w:rFonts w:eastAsia="Calibri"/>
          <w:sz w:val="24"/>
          <w:szCs w:val="24"/>
        </w:rPr>
        <w:t>USC 4 and 641. A very clear and comprehensive explanation of this with 12 USC 411 FRA (remedy) can be seen.</w:t>
      </w:r>
    </w:p>
    <w:p w:rsidR="0099160F" w:rsidRDefault="0099160F" w:rsidP="007A4F96">
      <w:pPr>
        <w:ind w:left="1440" w:right="1526"/>
        <w:rPr>
          <w:rFonts w:eastAsia="Calibri"/>
          <w:sz w:val="24"/>
          <w:szCs w:val="24"/>
        </w:rPr>
      </w:pPr>
    </w:p>
    <w:p w:rsidR="0074196A" w:rsidRDefault="00AC5222" w:rsidP="001B728A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Complaint.</w:t>
      </w:r>
      <w:r w:rsidR="0099160F">
        <w:rPr>
          <w:rFonts w:eastAsia="Calibri"/>
          <w:sz w:val="24"/>
          <w:szCs w:val="24"/>
        </w:rPr>
        <w:t xml:space="preserve"> ¶</w:t>
      </w:r>
      <w:r w:rsidR="0074196A">
        <w:rPr>
          <w:rFonts w:eastAsia="Calibri"/>
          <w:sz w:val="24"/>
          <w:szCs w:val="24"/>
        </w:rPr>
        <w:t>4</w:t>
      </w:r>
      <w:r w:rsidR="0099160F">
        <w:rPr>
          <w:rFonts w:eastAsia="Calibri"/>
          <w:sz w:val="24"/>
          <w:szCs w:val="24"/>
        </w:rPr>
        <w:t>.</w:t>
      </w:r>
      <w:r w:rsidR="001B728A">
        <w:rPr>
          <w:rFonts w:eastAsia="Calibri"/>
          <w:sz w:val="24"/>
          <w:szCs w:val="24"/>
        </w:rPr>
        <w:t xml:space="preserve">  </w:t>
      </w:r>
      <w:r w:rsidR="0074196A">
        <w:rPr>
          <w:rFonts w:eastAsia="Calibri"/>
          <w:sz w:val="24"/>
          <w:szCs w:val="24"/>
        </w:rPr>
        <w:t>For relief, Complainants request a payment arrangement and</w:t>
      </w:r>
      <w:r w:rsidR="001B728A">
        <w:rPr>
          <w:rFonts w:eastAsia="Calibri"/>
          <w:sz w:val="24"/>
          <w:szCs w:val="24"/>
        </w:rPr>
        <w:t xml:space="preserve"> “t</w:t>
      </w:r>
      <w:r w:rsidR="0074196A">
        <w:rPr>
          <w:rFonts w:eastAsia="Calibri"/>
          <w:sz w:val="24"/>
          <w:szCs w:val="24"/>
        </w:rPr>
        <w:t>he return of arrears, billing refunds and considerations.</w:t>
      </w:r>
      <w:r w:rsidR="001B728A">
        <w:rPr>
          <w:rFonts w:eastAsia="Calibri"/>
          <w:sz w:val="24"/>
          <w:szCs w:val="24"/>
        </w:rPr>
        <w:t xml:space="preserve">”  </w:t>
      </w:r>
      <w:r w:rsidR="0074196A">
        <w:rPr>
          <w:rFonts w:eastAsia="Calibri"/>
          <w:sz w:val="24"/>
          <w:szCs w:val="24"/>
        </w:rPr>
        <w:t>Complaint ¶5.</w:t>
      </w:r>
    </w:p>
    <w:p w:rsidR="00AC5222" w:rsidRDefault="00AC5222" w:rsidP="001B728A">
      <w:pPr>
        <w:spacing w:line="360" w:lineRule="auto"/>
        <w:ind w:hanging="1440"/>
        <w:rPr>
          <w:rFonts w:eastAsia="Calibri"/>
          <w:sz w:val="24"/>
          <w:szCs w:val="24"/>
        </w:rPr>
      </w:pPr>
    </w:p>
    <w:p w:rsidR="00DC6FC2" w:rsidRDefault="005C0937" w:rsidP="007B12DF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On </w:t>
      </w:r>
      <w:r w:rsidR="0099160F">
        <w:rPr>
          <w:rFonts w:eastAsia="Calibri"/>
          <w:sz w:val="24"/>
          <w:szCs w:val="24"/>
        </w:rPr>
        <w:t xml:space="preserve">December 21, 2017, </w:t>
      </w:r>
      <w:r w:rsidR="00AC5222">
        <w:rPr>
          <w:rFonts w:eastAsia="Calibri"/>
          <w:sz w:val="24"/>
          <w:szCs w:val="24"/>
        </w:rPr>
        <w:t>Duquesne Light f</w:t>
      </w:r>
      <w:r>
        <w:rPr>
          <w:rFonts w:eastAsia="Calibri"/>
          <w:sz w:val="24"/>
          <w:szCs w:val="24"/>
        </w:rPr>
        <w:t>iled an Answer</w:t>
      </w:r>
      <w:r w:rsidR="007B12DF">
        <w:rPr>
          <w:rFonts w:eastAsia="Calibri"/>
          <w:sz w:val="24"/>
          <w:szCs w:val="24"/>
        </w:rPr>
        <w:t xml:space="preserve">, denying the </w:t>
      </w:r>
      <w:r w:rsidR="006235C5">
        <w:rPr>
          <w:rFonts w:eastAsia="Calibri"/>
          <w:sz w:val="24"/>
          <w:szCs w:val="24"/>
        </w:rPr>
        <w:t>material allegations of the C</w:t>
      </w:r>
      <w:r w:rsidR="007B12DF">
        <w:rPr>
          <w:rFonts w:eastAsia="Calibri"/>
          <w:sz w:val="24"/>
          <w:szCs w:val="24"/>
        </w:rPr>
        <w:t xml:space="preserve">omplaint and averring in part that Complainants were responsible for an outstanding balance on their account in the amount of $623.84. </w:t>
      </w:r>
      <w:bookmarkStart w:id="0" w:name="_Hlk508272075"/>
      <w:r w:rsidR="007B12DF">
        <w:rPr>
          <w:rFonts w:eastAsia="Calibri"/>
          <w:sz w:val="24"/>
          <w:szCs w:val="24"/>
        </w:rPr>
        <w:t xml:space="preserve"> </w:t>
      </w:r>
      <w:bookmarkEnd w:id="0"/>
      <w:r w:rsidR="00745E76">
        <w:rPr>
          <w:rFonts w:eastAsia="Calibri"/>
          <w:sz w:val="24"/>
          <w:szCs w:val="24"/>
        </w:rPr>
        <w:t>Answer ¶4</w:t>
      </w:r>
      <w:r w:rsidR="007B12DF">
        <w:rPr>
          <w:rFonts w:eastAsia="Calibri"/>
          <w:sz w:val="24"/>
          <w:szCs w:val="24"/>
        </w:rPr>
        <w:t>; Exhibit A</w:t>
      </w:r>
      <w:r w:rsidR="00745E76">
        <w:rPr>
          <w:rFonts w:eastAsia="Calibri"/>
          <w:sz w:val="24"/>
          <w:szCs w:val="24"/>
        </w:rPr>
        <w:t>.</w:t>
      </w:r>
      <w:r w:rsidR="007B12DF">
        <w:rPr>
          <w:rFonts w:eastAsia="Calibri"/>
          <w:sz w:val="24"/>
          <w:szCs w:val="24"/>
        </w:rPr>
        <w:t xml:space="preserve">  </w:t>
      </w:r>
    </w:p>
    <w:p w:rsidR="00836FC2" w:rsidRDefault="007622AA" w:rsidP="008E5574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As relief, </w:t>
      </w:r>
      <w:r w:rsidR="00DC6FC2">
        <w:rPr>
          <w:rFonts w:eastAsia="Calibri"/>
          <w:sz w:val="24"/>
          <w:szCs w:val="24"/>
        </w:rPr>
        <w:t xml:space="preserve">Duquesne Light </w:t>
      </w:r>
      <w:r>
        <w:rPr>
          <w:rFonts w:eastAsia="Calibri"/>
          <w:sz w:val="24"/>
          <w:szCs w:val="24"/>
        </w:rPr>
        <w:t xml:space="preserve">requested that the </w:t>
      </w:r>
      <w:r w:rsidR="00DC6FC2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omplaint be dismissed</w:t>
      </w:r>
      <w:r w:rsidR="008E227B">
        <w:rPr>
          <w:rFonts w:eastAsia="Calibri"/>
          <w:sz w:val="24"/>
          <w:szCs w:val="24"/>
        </w:rPr>
        <w:t xml:space="preserve"> with prejudice</w:t>
      </w:r>
      <w:r>
        <w:rPr>
          <w:rFonts w:eastAsia="Calibri"/>
          <w:sz w:val="24"/>
          <w:szCs w:val="24"/>
        </w:rPr>
        <w:t>.</w:t>
      </w:r>
      <w:r w:rsidR="00BA2830">
        <w:rPr>
          <w:rFonts w:eastAsia="Calibri"/>
          <w:sz w:val="24"/>
          <w:szCs w:val="24"/>
        </w:rPr>
        <w:t xml:space="preserve"> </w:t>
      </w:r>
    </w:p>
    <w:p w:rsidR="007622AA" w:rsidRDefault="00836FC2" w:rsidP="00836FC2"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BA2830">
        <w:rPr>
          <w:rFonts w:eastAsia="Calibri"/>
          <w:sz w:val="24"/>
          <w:szCs w:val="24"/>
        </w:rPr>
        <w:t xml:space="preserve"> </w:t>
      </w:r>
    </w:p>
    <w:p w:rsidR="00CE5022" w:rsidRDefault="007622AA" w:rsidP="008E5574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8E227B">
        <w:rPr>
          <w:rFonts w:eastAsia="Calibri"/>
          <w:sz w:val="24"/>
          <w:szCs w:val="24"/>
        </w:rPr>
        <w:t>Contemporaneous with the filing of its Answer, Duquesne Light filed Preliminary Objections (PO)</w:t>
      </w:r>
      <w:r w:rsidR="00CE5022">
        <w:rPr>
          <w:rFonts w:eastAsia="Calibri"/>
          <w:sz w:val="24"/>
          <w:szCs w:val="24"/>
        </w:rPr>
        <w:t xml:space="preserve"> and averred as follows:</w:t>
      </w:r>
    </w:p>
    <w:p w:rsidR="00CE5022" w:rsidRDefault="00CE5022" w:rsidP="00D55F57">
      <w:pPr>
        <w:rPr>
          <w:rFonts w:eastAsia="Calibri"/>
          <w:sz w:val="24"/>
          <w:szCs w:val="24"/>
        </w:rPr>
      </w:pPr>
    </w:p>
    <w:p w:rsidR="00E64A0B" w:rsidRDefault="008E227B" w:rsidP="00CE5022">
      <w:pPr>
        <w:ind w:left="1440" w:right="15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CE5022">
        <w:rPr>
          <w:rFonts w:eastAsia="Calibri"/>
          <w:sz w:val="24"/>
          <w:szCs w:val="24"/>
        </w:rPr>
        <w:t xml:space="preserve">2. </w:t>
      </w:r>
      <w:r w:rsidR="00CE5022">
        <w:rPr>
          <w:rFonts w:eastAsia="Calibri"/>
          <w:sz w:val="24"/>
          <w:szCs w:val="24"/>
        </w:rPr>
        <w:tab/>
        <w:t xml:space="preserve">Although the contents of the Complaint are not completely legible or comprehensible, it appears that the gist of Complainants’ </w:t>
      </w:r>
      <w:r w:rsidR="00E64A0B">
        <w:rPr>
          <w:rFonts w:eastAsia="Calibri"/>
          <w:sz w:val="24"/>
          <w:szCs w:val="24"/>
        </w:rPr>
        <w:t xml:space="preserve">claim is that Duquesne Light failed to honor an unspecified “payment agreement” and failed to “discharge the debts.”  (Complaint, </w:t>
      </w:r>
      <w:r w:rsidR="00C10EB0">
        <w:rPr>
          <w:rFonts w:eastAsia="Calibri"/>
          <w:sz w:val="24"/>
          <w:szCs w:val="24"/>
        </w:rPr>
        <w:t>P</w:t>
      </w:r>
      <w:r w:rsidR="00E64A0B">
        <w:rPr>
          <w:rFonts w:eastAsia="Calibri"/>
          <w:sz w:val="24"/>
          <w:szCs w:val="24"/>
        </w:rPr>
        <w:t>aragrap</w:t>
      </w:r>
      <w:r w:rsidR="00C10EB0">
        <w:rPr>
          <w:rFonts w:eastAsia="Calibri"/>
          <w:sz w:val="24"/>
          <w:szCs w:val="24"/>
        </w:rPr>
        <w:t>h</w:t>
      </w:r>
      <w:r w:rsidR="00E64A0B">
        <w:rPr>
          <w:rFonts w:eastAsia="Calibri"/>
          <w:sz w:val="24"/>
          <w:szCs w:val="24"/>
        </w:rPr>
        <w:t xml:space="preserve"> 5).  Complainants allege tha</w:t>
      </w:r>
      <w:r w:rsidR="00C10EB0">
        <w:rPr>
          <w:rFonts w:eastAsia="Calibri"/>
          <w:sz w:val="24"/>
          <w:szCs w:val="24"/>
        </w:rPr>
        <w:t>t</w:t>
      </w:r>
      <w:r w:rsidR="00E64A0B">
        <w:rPr>
          <w:rFonts w:eastAsia="Calibri"/>
          <w:sz w:val="24"/>
          <w:szCs w:val="24"/>
        </w:rPr>
        <w:t xml:space="preserve"> the actions by Duquesne</w:t>
      </w:r>
      <w:r w:rsidR="00C10EB0">
        <w:rPr>
          <w:rFonts w:eastAsia="Calibri"/>
          <w:sz w:val="24"/>
          <w:szCs w:val="24"/>
        </w:rPr>
        <w:t xml:space="preserve"> </w:t>
      </w:r>
      <w:r w:rsidR="00E64A0B">
        <w:rPr>
          <w:rFonts w:eastAsia="Calibri"/>
          <w:sz w:val="24"/>
          <w:szCs w:val="24"/>
        </w:rPr>
        <w:t>L</w:t>
      </w:r>
      <w:r w:rsidR="00C10EB0">
        <w:rPr>
          <w:rFonts w:eastAsia="Calibri"/>
          <w:sz w:val="24"/>
          <w:szCs w:val="24"/>
        </w:rPr>
        <w:t>i</w:t>
      </w:r>
      <w:r w:rsidR="00E64A0B">
        <w:rPr>
          <w:rFonts w:eastAsia="Calibri"/>
          <w:sz w:val="24"/>
          <w:szCs w:val="24"/>
        </w:rPr>
        <w:t>ght constitute crime</w:t>
      </w:r>
      <w:r w:rsidR="00C10EB0">
        <w:rPr>
          <w:rFonts w:eastAsia="Calibri"/>
          <w:sz w:val="24"/>
          <w:szCs w:val="24"/>
        </w:rPr>
        <w:t>s</w:t>
      </w:r>
      <w:r w:rsidR="00E64A0B">
        <w:rPr>
          <w:rFonts w:eastAsia="Calibri"/>
          <w:sz w:val="24"/>
          <w:szCs w:val="24"/>
        </w:rPr>
        <w:t xml:space="preserve"> including theft by deception, extortion, and </w:t>
      </w:r>
      <w:r w:rsidR="00C10EB0">
        <w:rPr>
          <w:rFonts w:eastAsia="Calibri"/>
          <w:sz w:val="24"/>
          <w:szCs w:val="24"/>
        </w:rPr>
        <w:t>embezzlement of public money.  (Complaint, Paragraph 5).</w:t>
      </w:r>
    </w:p>
    <w:p w:rsidR="00C10EB0" w:rsidRDefault="00C10EB0" w:rsidP="00CE5022">
      <w:pPr>
        <w:ind w:left="1440" w:right="1526"/>
        <w:rPr>
          <w:rFonts w:eastAsia="Calibri"/>
          <w:sz w:val="24"/>
          <w:szCs w:val="24"/>
        </w:rPr>
      </w:pPr>
    </w:p>
    <w:p w:rsidR="00594F0E" w:rsidRDefault="00C10EB0" w:rsidP="00CE5022">
      <w:pPr>
        <w:ind w:left="1440" w:right="15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ab/>
        <w:t xml:space="preserve">In support of their claims, Complainants cite to federal criminal statutes under the United States Code (18 USC § 4 - </w:t>
      </w:r>
      <w:proofErr w:type="spellStart"/>
      <w:r>
        <w:rPr>
          <w:rFonts w:eastAsia="Calibri"/>
          <w:sz w:val="24"/>
          <w:szCs w:val="24"/>
        </w:rPr>
        <w:t>Misprison</w:t>
      </w:r>
      <w:proofErr w:type="spellEnd"/>
      <w:r>
        <w:rPr>
          <w:rFonts w:eastAsia="Calibri"/>
          <w:sz w:val="24"/>
          <w:szCs w:val="24"/>
        </w:rPr>
        <w:t xml:space="preserve"> of Felony, and 18 USC § 641 – Public Money, Property or Records) as well as a statute under the federal bank</w:t>
      </w:r>
      <w:r w:rsidR="009B2F5E">
        <w:rPr>
          <w:rFonts w:eastAsia="Calibri"/>
          <w:sz w:val="24"/>
          <w:szCs w:val="24"/>
        </w:rPr>
        <w:t>ing</w:t>
      </w:r>
      <w:r>
        <w:rPr>
          <w:rFonts w:eastAsia="Calibri"/>
          <w:sz w:val="24"/>
          <w:szCs w:val="24"/>
        </w:rPr>
        <w:t xml:space="preserve"> laws (12 USC § 411 – Issuance to Reserve Banks; Nature of Obligation</w:t>
      </w:r>
      <w:r w:rsidR="009B2F5E">
        <w:rPr>
          <w:rFonts w:eastAsia="Calibri"/>
          <w:sz w:val="24"/>
          <w:szCs w:val="24"/>
        </w:rPr>
        <w:t>;</w:t>
      </w:r>
      <w:r>
        <w:rPr>
          <w:rFonts w:eastAsia="Calibri"/>
          <w:sz w:val="24"/>
          <w:szCs w:val="24"/>
        </w:rPr>
        <w:t xml:space="preserve"> Redemption). </w:t>
      </w:r>
      <w:r w:rsidR="0093071D">
        <w:rPr>
          <w:rFonts w:eastAsia="Calibri"/>
          <w:sz w:val="24"/>
          <w:szCs w:val="24"/>
        </w:rPr>
        <w:t>Complainants also cite to other legal authority to support their claims; however, Duquesne Light is not able to decipher the citations in or</w:t>
      </w:r>
      <w:r w:rsidR="009B2F5E">
        <w:rPr>
          <w:rFonts w:eastAsia="Calibri"/>
          <w:sz w:val="24"/>
          <w:szCs w:val="24"/>
        </w:rPr>
        <w:t>der</w:t>
      </w:r>
      <w:r w:rsidR="0093071D">
        <w:rPr>
          <w:rFonts w:eastAsia="Calibri"/>
          <w:sz w:val="24"/>
          <w:szCs w:val="24"/>
        </w:rPr>
        <w:t xml:space="preserve"> to determine what laws they refer to.  That being said, these other citations clearly do not refer to the Pennsylvania Public Utility Code or any associated regulations.</w:t>
      </w:r>
    </w:p>
    <w:p w:rsidR="00594F0E" w:rsidRDefault="00594F0E" w:rsidP="00CE5022">
      <w:pPr>
        <w:ind w:left="1440" w:right="1526"/>
        <w:rPr>
          <w:rFonts w:eastAsia="Calibri"/>
          <w:sz w:val="24"/>
          <w:szCs w:val="24"/>
        </w:rPr>
      </w:pPr>
    </w:p>
    <w:p w:rsidR="00594F0E" w:rsidRDefault="00594F0E" w:rsidP="00CE5022">
      <w:pPr>
        <w:ind w:left="1440" w:right="15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</w:t>
      </w:r>
      <w:r>
        <w:rPr>
          <w:rFonts w:eastAsia="Calibri"/>
          <w:sz w:val="24"/>
          <w:szCs w:val="24"/>
        </w:rPr>
        <w:tab/>
        <w:t>Complainants seek the return of arrears, a billing refund, and other “consideration” as damages in this case.</w:t>
      </w:r>
    </w:p>
    <w:p w:rsidR="00594F0E" w:rsidRDefault="00594F0E" w:rsidP="00CE5022">
      <w:pPr>
        <w:ind w:left="1440" w:right="1526"/>
        <w:rPr>
          <w:rFonts w:eastAsia="Calibri"/>
          <w:sz w:val="24"/>
          <w:szCs w:val="24"/>
        </w:rPr>
      </w:pPr>
    </w:p>
    <w:p w:rsidR="00C10EB0" w:rsidRDefault="00594F0E" w:rsidP="00CE5022">
      <w:pPr>
        <w:ind w:left="1440" w:right="15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</w:t>
      </w:r>
      <w:r>
        <w:rPr>
          <w:rFonts w:eastAsia="Calibri"/>
          <w:sz w:val="24"/>
          <w:szCs w:val="24"/>
        </w:rPr>
        <w:tab/>
        <w:t xml:space="preserve">Duquesne Light files these Preliminary Objections </w:t>
      </w:r>
      <w:proofErr w:type="gramStart"/>
      <w:r>
        <w:rPr>
          <w:rFonts w:eastAsia="Calibri"/>
          <w:sz w:val="24"/>
          <w:szCs w:val="24"/>
        </w:rPr>
        <w:t>on the gr</w:t>
      </w:r>
      <w:r w:rsidR="001933A1">
        <w:rPr>
          <w:rFonts w:eastAsia="Calibri"/>
          <w:sz w:val="24"/>
          <w:szCs w:val="24"/>
        </w:rPr>
        <w:t>ou</w:t>
      </w:r>
      <w:r>
        <w:rPr>
          <w:rFonts w:eastAsia="Calibri"/>
          <w:sz w:val="24"/>
          <w:szCs w:val="24"/>
        </w:rPr>
        <w:t>nds that</w:t>
      </w:r>
      <w:proofErr w:type="gramEnd"/>
      <w:r>
        <w:rPr>
          <w:rFonts w:eastAsia="Calibri"/>
          <w:sz w:val="24"/>
          <w:szCs w:val="24"/>
        </w:rPr>
        <w:t xml:space="preserve"> this Commission lacks jurisdiction over Complain</w:t>
      </w:r>
      <w:r w:rsidR="00AA498F">
        <w:rPr>
          <w:rFonts w:eastAsia="Calibri"/>
          <w:sz w:val="24"/>
          <w:szCs w:val="24"/>
        </w:rPr>
        <w:t>an</w:t>
      </w:r>
      <w:r>
        <w:rPr>
          <w:rFonts w:eastAsia="Calibri"/>
          <w:sz w:val="24"/>
          <w:szCs w:val="24"/>
        </w:rPr>
        <w:t xml:space="preserve">ts’ claim as they invoke criminal statutes, and also </w:t>
      </w:r>
      <w:bookmarkStart w:id="1" w:name="_Hlk508621964"/>
      <w:r>
        <w:rPr>
          <w:rFonts w:eastAsia="Calibri"/>
          <w:sz w:val="24"/>
          <w:szCs w:val="24"/>
        </w:rPr>
        <w:t>potentially Pennsylvania Law relating to contra</w:t>
      </w:r>
      <w:r w:rsidR="00064C57">
        <w:rPr>
          <w:rFonts w:eastAsia="Calibri"/>
          <w:sz w:val="24"/>
          <w:szCs w:val="24"/>
        </w:rPr>
        <w:t xml:space="preserve">cts, debt collection, or unfair </w:t>
      </w:r>
      <w:r w:rsidR="009B2F5E">
        <w:rPr>
          <w:rFonts w:eastAsia="Calibri"/>
          <w:sz w:val="24"/>
          <w:szCs w:val="24"/>
        </w:rPr>
        <w:t>trade</w:t>
      </w:r>
      <w:r w:rsidR="00064C57">
        <w:rPr>
          <w:rFonts w:eastAsia="Calibri"/>
          <w:sz w:val="24"/>
          <w:szCs w:val="24"/>
        </w:rPr>
        <w:t xml:space="preserve"> practices.</w:t>
      </w:r>
      <w:r w:rsidR="0093071D">
        <w:rPr>
          <w:rFonts w:eastAsia="Calibri"/>
          <w:sz w:val="24"/>
          <w:szCs w:val="24"/>
        </w:rPr>
        <w:t xml:space="preserve"> </w:t>
      </w:r>
    </w:p>
    <w:bookmarkEnd w:id="1"/>
    <w:p w:rsidR="00064C57" w:rsidRDefault="00064C57" w:rsidP="00064C57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PO ¶¶ 2-5.</w:t>
      </w:r>
      <w:r w:rsidR="005B3104">
        <w:rPr>
          <w:rFonts w:eastAsia="Calibri"/>
          <w:sz w:val="24"/>
          <w:szCs w:val="24"/>
        </w:rPr>
        <w:t xml:space="preserve">  For relief, Duquesne Light asked the Commission to sustain its PO an</w:t>
      </w:r>
      <w:r w:rsidR="00AA498F">
        <w:rPr>
          <w:rFonts w:eastAsia="Calibri"/>
          <w:sz w:val="24"/>
          <w:szCs w:val="24"/>
        </w:rPr>
        <w:t>d</w:t>
      </w:r>
      <w:r w:rsidR="005B3104">
        <w:rPr>
          <w:rFonts w:eastAsia="Calibri"/>
          <w:sz w:val="24"/>
          <w:szCs w:val="24"/>
        </w:rPr>
        <w:t xml:space="preserve"> dismiss the Complaint with prejudice and/or strike Complainants</w:t>
      </w:r>
      <w:r w:rsidR="00AA498F">
        <w:rPr>
          <w:rFonts w:eastAsia="Calibri"/>
          <w:sz w:val="24"/>
          <w:szCs w:val="24"/>
        </w:rPr>
        <w:t>’</w:t>
      </w:r>
      <w:r w:rsidR="005B3104">
        <w:rPr>
          <w:rFonts w:eastAsia="Calibri"/>
          <w:sz w:val="24"/>
          <w:szCs w:val="24"/>
        </w:rPr>
        <w:t xml:space="preserve"> request for relief as impertinent.</w:t>
      </w:r>
    </w:p>
    <w:p w:rsidR="00AB18D0" w:rsidRDefault="00AB18D0" w:rsidP="00064C57">
      <w:pPr>
        <w:spacing w:line="360" w:lineRule="auto"/>
        <w:rPr>
          <w:rFonts w:eastAsia="Calibri"/>
          <w:sz w:val="24"/>
          <w:szCs w:val="24"/>
        </w:rPr>
      </w:pPr>
    </w:p>
    <w:p w:rsidR="00064C57" w:rsidRDefault="00192313" w:rsidP="00064C57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Duquesne Light served its pleadings upon Complainants on December 21, 2017.  Complainants did not file a response to the PO</w:t>
      </w:r>
      <w:r w:rsidR="004D1A9E">
        <w:rPr>
          <w:rFonts w:eastAsia="Calibri"/>
          <w:sz w:val="24"/>
          <w:szCs w:val="24"/>
        </w:rPr>
        <w:t>.</w:t>
      </w:r>
      <w:r w:rsidR="004D1A9E" w:rsidRPr="00674B91">
        <w:rPr>
          <w:sz w:val="24"/>
          <w:szCs w:val="24"/>
          <w:vertAlign w:val="superscript"/>
        </w:rPr>
        <w:footnoteReference w:id="1"/>
      </w:r>
      <w:r>
        <w:rPr>
          <w:rFonts w:eastAsia="Calibri"/>
          <w:sz w:val="24"/>
          <w:szCs w:val="24"/>
        </w:rPr>
        <w:t xml:space="preserve">  On December 28, 2017, Complainants filed a rebuttal to Duquesne Light’s Answer</w:t>
      </w:r>
      <w:r w:rsidR="004B29E6">
        <w:rPr>
          <w:rFonts w:eastAsia="Calibri"/>
          <w:sz w:val="24"/>
          <w:szCs w:val="24"/>
        </w:rPr>
        <w:t xml:space="preserve"> captioned “Response to Answers of Formal Complaint.”</w:t>
      </w:r>
    </w:p>
    <w:p w:rsidR="0035125B" w:rsidRDefault="004B29E6" w:rsidP="004D1A9E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However, the Commission’s Rules of Administrative Practice and Procedure do not provide for the filling o</w:t>
      </w:r>
      <w:r w:rsidR="004D1A9E">
        <w:rPr>
          <w:rFonts w:eastAsia="Calibri"/>
          <w:sz w:val="24"/>
          <w:szCs w:val="24"/>
        </w:rPr>
        <w:t>f</w:t>
      </w:r>
      <w:r>
        <w:rPr>
          <w:rFonts w:eastAsia="Calibri"/>
          <w:sz w:val="24"/>
          <w:szCs w:val="24"/>
        </w:rPr>
        <w:t xml:space="preserve"> a rebuttal </w:t>
      </w:r>
      <w:r w:rsidR="00E96A3D">
        <w:rPr>
          <w:rFonts w:eastAsia="Calibri"/>
          <w:sz w:val="24"/>
          <w:szCs w:val="24"/>
        </w:rPr>
        <w:t xml:space="preserve">or response </w:t>
      </w:r>
      <w:r>
        <w:rPr>
          <w:rFonts w:eastAsia="Calibri"/>
          <w:sz w:val="24"/>
          <w:szCs w:val="24"/>
        </w:rPr>
        <w:t>to an answer.</w:t>
      </w:r>
      <w:r w:rsidR="004D1A9E">
        <w:rPr>
          <w:rStyle w:val="FootnoteReference"/>
          <w:rFonts w:eastAsia="Calibri"/>
          <w:sz w:val="24"/>
          <w:szCs w:val="24"/>
        </w:rPr>
        <w:footnoteReference w:id="2"/>
      </w:r>
      <w:r>
        <w:rPr>
          <w:rFonts w:eastAsia="Calibri"/>
          <w:sz w:val="24"/>
          <w:szCs w:val="24"/>
        </w:rPr>
        <w:t xml:space="preserve">  </w:t>
      </w:r>
    </w:p>
    <w:p w:rsidR="004D1A9E" w:rsidRDefault="004D1A9E" w:rsidP="004D1A9E">
      <w:pPr>
        <w:spacing w:line="360" w:lineRule="auto"/>
        <w:rPr>
          <w:rFonts w:eastAsia="Calibri"/>
          <w:sz w:val="24"/>
          <w:szCs w:val="24"/>
          <w:u w:val="single"/>
        </w:rPr>
      </w:pPr>
    </w:p>
    <w:p w:rsidR="00FC24A1" w:rsidRDefault="00A96DEE" w:rsidP="00FC24A1">
      <w:pPr>
        <w:spacing w:line="360" w:lineRule="auto"/>
        <w:jc w:val="center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DISCUSSION</w:t>
      </w:r>
    </w:p>
    <w:p w:rsidR="004F7203" w:rsidRDefault="004F7203" w:rsidP="004F7203">
      <w:pPr>
        <w:rPr>
          <w:sz w:val="24"/>
          <w:szCs w:val="24"/>
          <w:u w:val="single"/>
        </w:rPr>
      </w:pPr>
    </w:p>
    <w:p w:rsidR="004D1A9E" w:rsidRPr="00102C6C" w:rsidRDefault="004D1A9E" w:rsidP="004D1A9E">
      <w:pPr>
        <w:spacing w:line="360" w:lineRule="auto"/>
        <w:rPr>
          <w:sz w:val="24"/>
          <w:szCs w:val="24"/>
          <w:u w:val="single"/>
        </w:rPr>
      </w:pPr>
      <w:r w:rsidRPr="00102C6C">
        <w:rPr>
          <w:sz w:val="24"/>
          <w:szCs w:val="24"/>
          <w:u w:val="single"/>
        </w:rPr>
        <w:t>Complaint and Objection</w:t>
      </w:r>
      <w:r w:rsidR="00AA498F">
        <w:rPr>
          <w:sz w:val="24"/>
          <w:szCs w:val="24"/>
          <w:u w:val="single"/>
        </w:rPr>
        <w:t>s</w:t>
      </w:r>
    </w:p>
    <w:p w:rsidR="004D1A9E" w:rsidRDefault="004D1A9E" w:rsidP="004D1A9E">
      <w:pPr>
        <w:spacing w:line="360" w:lineRule="auto"/>
        <w:rPr>
          <w:sz w:val="24"/>
          <w:szCs w:val="24"/>
        </w:rPr>
      </w:pPr>
    </w:p>
    <w:p w:rsidR="004D1A9E" w:rsidRDefault="004D1A9E" w:rsidP="004D1A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Complainants allege</w:t>
      </w:r>
      <w:r w:rsidR="001933A1">
        <w:rPr>
          <w:sz w:val="24"/>
          <w:szCs w:val="24"/>
        </w:rPr>
        <w:t xml:space="preserve"> (1) they are seeking a payment arrangement; (2) Respondent has violated federal laws</w:t>
      </w:r>
      <w:r w:rsidR="00B40332">
        <w:rPr>
          <w:sz w:val="24"/>
          <w:szCs w:val="24"/>
        </w:rPr>
        <w:t xml:space="preserve">; and (3) they are requesting a “return of arrears, billing refunds, and considerations.”  Duquesne Light objects </w:t>
      </w:r>
      <w:r w:rsidR="00E93B09">
        <w:rPr>
          <w:sz w:val="24"/>
          <w:szCs w:val="24"/>
        </w:rPr>
        <w:t xml:space="preserve">to these allegations </w:t>
      </w:r>
      <w:r w:rsidRPr="004D1544">
        <w:rPr>
          <w:sz w:val="24"/>
          <w:szCs w:val="24"/>
        </w:rPr>
        <w:t xml:space="preserve">on the </w:t>
      </w:r>
      <w:r w:rsidR="00F46E5A">
        <w:rPr>
          <w:sz w:val="24"/>
          <w:szCs w:val="24"/>
        </w:rPr>
        <w:t>bases</w:t>
      </w:r>
      <w:r w:rsidRPr="004D1544">
        <w:rPr>
          <w:sz w:val="24"/>
          <w:szCs w:val="24"/>
        </w:rPr>
        <w:t xml:space="preserve"> that the Commission lacks the </w:t>
      </w:r>
      <w:r w:rsidR="00B40332">
        <w:rPr>
          <w:sz w:val="24"/>
          <w:szCs w:val="24"/>
        </w:rPr>
        <w:t xml:space="preserve">jurisdiction </w:t>
      </w:r>
      <w:r w:rsidR="00E7543B">
        <w:rPr>
          <w:sz w:val="24"/>
          <w:szCs w:val="24"/>
        </w:rPr>
        <w:t xml:space="preserve">“over federal criminal statutes and other laws that are clearly not part of the Pennsylvania Public Utility </w:t>
      </w:r>
      <w:r w:rsidR="005B3104">
        <w:rPr>
          <w:sz w:val="24"/>
          <w:szCs w:val="24"/>
        </w:rPr>
        <w:t>C</w:t>
      </w:r>
      <w:r w:rsidR="00E7543B">
        <w:rPr>
          <w:sz w:val="24"/>
          <w:szCs w:val="24"/>
        </w:rPr>
        <w:t xml:space="preserve">ode or associated regulations” </w:t>
      </w:r>
      <w:r w:rsidR="00B469BE">
        <w:rPr>
          <w:sz w:val="24"/>
          <w:szCs w:val="24"/>
        </w:rPr>
        <w:t>as well as “potentially Pennsylvania laws relating to contracts, debt collection, or unfair trade practices” or damages.</w:t>
      </w:r>
    </w:p>
    <w:p w:rsidR="00B469BE" w:rsidRDefault="00B469BE" w:rsidP="004D1A9E">
      <w:pPr>
        <w:spacing w:line="360" w:lineRule="auto"/>
        <w:rPr>
          <w:sz w:val="24"/>
          <w:szCs w:val="24"/>
        </w:rPr>
      </w:pPr>
    </w:p>
    <w:p w:rsidR="004D1A9E" w:rsidRPr="00102C6C" w:rsidRDefault="004D1A9E" w:rsidP="004D1A9E">
      <w:pPr>
        <w:spacing w:line="360" w:lineRule="auto"/>
        <w:outlineLvl w:val="0"/>
        <w:rPr>
          <w:sz w:val="24"/>
          <w:szCs w:val="24"/>
        </w:rPr>
      </w:pPr>
      <w:r w:rsidRPr="00102C6C">
        <w:rPr>
          <w:sz w:val="24"/>
          <w:szCs w:val="24"/>
          <w:u w:val="single"/>
        </w:rPr>
        <w:t xml:space="preserve">Applicable Rules of Procedure </w:t>
      </w:r>
    </w:p>
    <w:p w:rsidR="004D1A9E" w:rsidRPr="00102C6C" w:rsidRDefault="004D1A9E" w:rsidP="004D1A9E">
      <w:pPr>
        <w:spacing w:line="360" w:lineRule="auto"/>
        <w:outlineLvl w:val="0"/>
        <w:rPr>
          <w:sz w:val="24"/>
          <w:szCs w:val="24"/>
        </w:rPr>
      </w:pPr>
    </w:p>
    <w:p w:rsidR="00DA3E60" w:rsidRDefault="004D1A9E" w:rsidP="004D1A9E">
      <w:pPr>
        <w:spacing w:line="360" w:lineRule="auto"/>
        <w:ind w:firstLine="1440"/>
        <w:rPr>
          <w:sz w:val="24"/>
          <w:szCs w:val="24"/>
        </w:rPr>
      </w:pPr>
      <w:r w:rsidRPr="00102C6C">
        <w:rPr>
          <w:sz w:val="24"/>
          <w:szCs w:val="24"/>
        </w:rPr>
        <w:t xml:space="preserve">The Commission’s Rules of Administrative Practice and Procedure authorize a person to file a formal complaint claiming violation of a statute, which the Commission has jurisdiction to administer, or of a regulation or order of the Commission.  52 </w:t>
      </w:r>
      <w:proofErr w:type="spellStart"/>
      <w:proofErr w:type="gramStart"/>
      <w:r w:rsidRPr="00102C6C">
        <w:rPr>
          <w:sz w:val="24"/>
          <w:szCs w:val="24"/>
        </w:rPr>
        <w:t>Pa.Code</w:t>
      </w:r>
      <w:proofErr w:type="spellEnd"/>
      <w:proofErr w:type="gramEnd"/>
      <w:r w:rsidRPr="00102C6C">
        <w:rPr>
          <w:sz w:val="24"/>
          <w:szCs w:val="24"/>
        </w:rPr>
        <w:t xml:space="preserve"> § 5.21(a).  Preliminary objections to a formal complaint are available to a party under the Commission’s Rules.  52 </w:t>
      </w:r>
      <w:proofErr w:type="spellStart"/>
      <w:proofErr w:type="gramStart"/>
      <w:r w:rsidRPr="00102C6C">
        <w:rPr>
          <w:sz w:val="24"/>
          <w:szCs w:val="24"/>
        </w:rPr>
        <w:t>Pa.Code</w:t>
      </w:r>
      <w:proofErr w:type="spellEnd"/>
      <w:proofErr w:type="gramEnd"/>
      <w:r w:rsidRPr="00102C6C">
        <w:rPr>
          <w:sz w:val="24"/>
          <w:szCs w:val="24"/>
        </w:rPr>
        <w:t xml:space="preserve"> § 5.101. </w:t>
      </w:r>
    </w:p>
    <w:p w:rsidR="004D1A9E" w:rsidRPr="00102C6C" w:rsidRDefault="004D1A9E" w:rsidP="004D1A9E">
      <w:pPr>
        <w:spacing w:line="360" w:lineRule="auto"/>
        <w:ind w:firstLine="1440"/>
        <w:rPr>
          <w:sz w:val="24"/>
          <w:szCs w:val="24"/>
        </w:rPr>
      </w:pPr>
      <w:r w:rsidRPr="00102C6C">
        <w:rPr>
          <w:sz w:val="24"/>
          <w:szCs w:val="24"/>
        </w:rPr>
        <w:t xml:space="preserve"> </w:t>
      </w:r>
    </w:p>
    <w:p w:rsidR="004D1A9E" w:rsidRPr="00102C6C" w:rsidRDefault="004D1A9E" w:rsidP="004D1A9E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102C6C">
        <w:rPr>
          <w:spacing w:val="-3"/>
          <w:sz w:val="24"/>
          <w:szCs w:val="24"/>
        </w:rPr>
        <w:lastRenderedPageBreak/>
        <w:t>Section 5.101 of the Commission</w:t>
      </w:r>
      <w:r w:rsidR="00AA498F">
        <w:rPr>
          <w:spacing w:val="-3"/>
          <w:sz w:val="24"/>
          <w:szCs w:val="24"/>
        </w:rPr>
        <w:t>’</w:t>
      </w:r>
      <w:r w:rsidRPr="00102C6C">
        <w:rPr>
          <w:spacing w:val="-3"/>
          <w:sz w:val="24"/>
          <w:szCs w:val="24"/>
        </w:rPr>
        <w:t>s Rules</w:t>
      </w:r>
      <w:r w:rsidRPr="00102C6C">
        <w:rPr>
          <w:sz w:val="24"/>
          <w:szCs w:val="24"/>
        </w:rPr>
        <w:t xml:space="preserve"> provides in relevant part:</w:t>
      </w:r>
    </w:p>
    <w:p w:rsidR="004D1A9E" w:rsidRDefault="004D1A9E" w:rsidP="004D1A9E">
      <w:pPr>
        <w:adjustRightInd w:val="0"/>
        <w:ind w:left="1440" w:right="1440"/>
        <w:rPr>
          <w:sz w:val="24"/>
        </w:rPr>
      </w:pPr>
    </w:p>
    <w:p w:rsidR="004D1A9E" w:rsidRPr="00102C6C" w:rsidRDefault="004D1A9E" w:rsidP="004D1A9E">
      <w:pPr>
        <w:adjustRightInd w:val="0"/>
        <w:ind w:left="1440" w:right="1440"/>
        <w:rPr>
          <w:sz w:val="24"/>
        </w:rPr>
      </w:pPr>
      <w:r w:rsidRPr="00102C6C">
        <w:rPr>
          <w:sz w:val="24"/>
        </w:rPr>
        <w:t>(a)</w:t>
      </w:r>
      <w:r w:rsidRPr="00102C6C">
        <w:rPr>
          <w:sz w:val="24"/>
        </w:rPr>
        <w:tab/>
      </w:r>
      <w:r w:rsidRPr="00102C6C">
        <w:rPr>
          <w:i/>
          <w:iCs/>
          <w:sz w:val="24"/>
        </w:rPr>
        <w:t xml:space="preserve">Grounds.  </w:t>
      </w:r>
      <w:r w:rsidRPr="00102C6C">
        <w:rPr>
          <w:sz w:val="24"/>
        </w:rPr>
        <w:t>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:rsidR="004D1A9E" w:rsidRPr="00102C6C" w:rsidRDefault="004D1A9E" w:rsidP="004D1A9E">
      <w:pPr>
        <w:adjustRightInd w:val="0"/>
        <w:ind w:left="1440" w:right="1440"/>
        <w:rPr>
          <w:sz w:val="24"/>
        </w:rPr>
      </w:pPr>
    </w:p>
    <w:p w:rsidR="004D1A9E" w:rsidRPr="00102C6C" w:rsidRDefault="00DA3E60" w:rsidP="004D1A9E">
      <w:pPr>
        <w:adjustRightInd w:val="0"/>
        <w:ind w:left="1440" w:right="1440"/>
        <w:rPr>
          <w:sz w:val="24"/>
          <w:szCs w:val="24"/>
        </w:rPr>
      </w:pPr>
      <w:r>
        <w:rPr>
          <w:sz w:val="24"/>
        </w:rPr>
        <w:tab/>
      </w:r>
      <w:r w:rsidR="004D1A9E" w:rsidRPr="00102C6C">
        <w:rPr>
          <w:sz w:val="24"/>
        </w:rPr>
        <w:t>(1)</w:t>
      </w:r>
      <w:r w:rsidR="004D1A9E" w:rsidRPr="00102C6C">
        <w:rPr>
          <w:sz w:val="24"/>
        </w:rPr>
        <w:tab/>
        <w:t xml:space="preserve">Lack of Commission jurisdiction </w:t>
      </w:r>
      <w:r w:rsidR="004D1A9E" w:rsidRPr="00102C6C">
        <w:rPr>
          <w:sz w:val="24"/>
          <w:szCs w:val="24"/>
        </w:rPr>
        <w:t>….</w:t>
      </w:r>
    </w:p>
    <w:p w:rsidR="004D1A9E" w:rsidRPr="00102C6C" w:rsidRDefault="004D1A9E" w:rsidP="004D1A9E">
      <w:pPr>
        <w:adjustRightInd w:val="0"/>
        <w:ind w:right="1440"/>
        <w:rPr>
          <w:sz w:val="24"/>
          <w:szCs w:val="24"/>
        </w:rPr>
      </w:pPr>
    </w:p>
    <w:p w:rsidR="004D1A9E" w:rsidRPr="00102C6C" w:rsidRDefault="004D1A9E" w:rsidP="004D1A9E">
      <w:pPr>
        <w:tabs>
          <w:tab w:val="left" w:pos="-720"/>
        </w:tabs>
        <w:suppressAutoHyphens/>
        <w:spacing w:line="360" w:lineRule="auto"/>
        <w:rPr>
          <w:rFonts w:cs="CG Times"/>
          <w:sz w:val="24"/>
          <w:szCs w:val="24"/>
        </w:rPr>
      </w:pPr>
      <w:r w:rsidRPr="00102C6C">
        <w:rPr>
          <w:sz w:val="24"/>
          <w:szCs w:val="24"/>
        </w:rPr>
        <w:t xml:space="preserve">52 </w:t>
      </w:r>
      <w:proofErr w:type="spellStart"/>
      <w:r w:rsidRPr="00102C6C">
        <w:rPr>
          <w:sz w:val="24"/>
          <w:szCs w:val="24"/>
        </w:rPr>
        <w:t>Pa.Code</w:t>
      </w:r>
      <w:proofErr w:type="spellEnd"/>
      <w:r w:rsidRPr="00102C6C">
        <w:rPr>
          <w:sz w:val="24"/>
          <w:szCs w:val="24"/>
        </w:rPr>
        <w:t xml:space="preserve"> </w:t>
      </w:r>
      <w:r w:rsidRPr="00102C6C">
        <w:rPr>
          <w:rFonts w:cs="CG Times"/>
          <w:sz w:val="24"/>
          <w:szCs w:val="24"/>
        </w:rPr>
        <w:t>§ 5.101(a)(1).</w:t>
      </w:r>
    </w:p>
    <w:p w:rsidR="004D1A9E" w:rsidRPr="00102C6C" w:rsidRDefault="004D1A9E" w:rsidP="004D1A9E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</w:p>
    <w:p w:rsidR="004D1A9E" w:rsidRPr="00102C6C" w:rsidRDefault="004D1A9E" w:rsidP="002C2398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  <w:r w:rsidRPr="00102C6C">
        <w:rPr>
          <w:sz w:val="24"/>
          <w:szCs w:val="24"/>
        </w:rPr>
        <w:tab/>
      </w:r>
      <w:r w:rsidRPr="00102C6C">
        <w:rPr>
          <w:sz w:val="24"/>
          <w:szCs w:val="24"/>
        </w:rPr>
        <w:tab/>
        <w:t xml:space="preserve">Commission procedure regarding the disposition of preliminary objections is </w:t>
      </w:r>
      <w:r w:rsidR="005B3104">
        <w:rPr>
          <w:sz w:val="24"/>
          <w:szCs w:val="24"/>
        </w:rPr>
        <w:t>comparable</w:t>
      </w:r>
      <w:r w:rsidRPr="00102C6C">
        <w:rPr>
          <w:sz w:val="24"/>
          <w:szCs w:val="24"/>
        </w:rPr>
        <w:t xml:space="preserve"> to</w:t>
      </w:r>
      <w:r w:rsidR="005B3104">
        <w:rPr>
          <w:sz w:val="24"/>
          <w:szCs w:val="24"/>
        </w:rPr>
        <w:t xml:space="preserve"> </w:t>
      </w:r>
      <w:r w:rsidRPr="00102C6C">
        <w:rPr>
          <w:sz w:val="24"/>
          <w:szCs w:val="24"/>
        </w:rPr>
        <w:t xml:space="preserve">Pennsylvania civil practice.  </w:t>
      </w:r>
      <w:r w:rsidRPr="00102C6C">
        <w:rPr>
          <w:i/>
          <w:sz w:val="24"/>
          <w:szCs w:val="24"/>
        </w:rPr>
        <w:t>Equitable Small Transportation Interveners v. Equitable Gas Company</w:t>
      </w:r>
      <w:r w:rsidRPr="00102C6C">
        <w:rPr>
          <w:sz w:val="24"/>
          <w:szCs w:val="24"/>
        </w:rPr>
        <w:t xml:space="preserve">, 1994 Pa. PUC LEXIS 69, Docket No. C-00935435 (July 18, 1994).  A preliminary objection in civil practice seeking dismissal of a pleading will be granted only where relief is clearly warranted and free from doubt.  </w:t>
      </w:r>
      <w:r w:rsidRPr="00102C6C">
        <w:rPr>
          <w:i/>
          <w:sz w:val="24"/>
          <w:szCs w:val="24"/>
        </w:rPr>
        <w:t xml:space="preserve">Interstate </w:t>
      </w:r>
      <w:proofErr w:type="spellStart"/>
      <w:r w:rsidRPr="00102C6C">
        <w:rPr>
          <w:i/>
          <w:sz w:val="24"/>
          <w:szCs w:val="24"/>
        </w:rPr>
        <w:t>Traveller</w:t>
      </w:r>
      <w:proofErr w:type="spellEnd"/>
      <w:r w:rsidRPr="00102C6C">
        <w:rPr>
          <w:i/>
          <w:sz w:val="24"/>
          <w:szCs w:val="24"/>
        </w:rPr>
        <w:t xml:space="preserve"> Services, Inc. v. Pa. Dept. of Environmental Resources</w:t>
      </w:r>
      <w:r w:rsidRPr="00102C6C">
        <w:rPr>
          <w:sz w:val="24"/>
          <w:szCs w:val="24"/>
        </w:rPr>
        <w:t xml:space="preserve">, 406 A.2d 1020 (Pa. 1979); </w:t>
      </w:r>
      <w:r w:rsidRPr="00102C6C">
        <w:rPr>
          <w:i/>
          <w:sz w:val="24"/>
          <w:szCs w:val="24"/>
        </w:rPr>
        <w:t>Rivera v. Philadelphia Theological Seminary of St. Charles Borromeo, Inc</w:t>
      </w:r>
      <w:r w:rsidRPr="00102C6C">
        <w:rPr>
          <w:sz w:val="24"/>
          <w:szCs w:val="24"/>
        </w:rPr>
        <w:t>., 595 A.2d 172 (</w:t>
      </w:r>
      <w:proofErr w:type="spellStart"/>
      <w:r w:rsidRPr="00102C6C">
        <w:rPr>
          <w:sz w:val="24"/>
          <w:szCs w:val="24"/>
        </w:rPr>
        <w:t>Pa.Super</w:t>
      </w:r>
      <w:proofErr w:type="spellEnd"/>
      <w:r w:rsidRPr="00102C6C">
        <w:rPr>
          <w:sz w:val="24"/>
          <w:szCs w:val="24"/>
        </w:rPr>
        <w:t xml:space="preserve">. 1991).  The Commission has adopted this standard.  </w:t>
      </w:r>
      <w:r w:rsidRPr="00102C6C">
        <w:rPr>
          <w:i/>
          <w:sz w:val="24"/>
          <w:szCs w:val="24"/>
        </w:rPr>
        <w:t>Montague v. Philadelphia Electric Company</w:t>
      </w:r>
      <w:r w:rsidRPr="00102C6C">
        <w:rPr>
          <w:sz w:val="24"/>
          <w:szCs w:val="24"/>
        </w:rPr>
        <w:t xml:space="preserve">, 66 Pa. PUC 24 (1988).  </w:t>
      </w:r>
    </w:p>
    <w:p w:rsidR="004D1A9E" w:rsidRPr="00102C6C" w:rsidRDefault="004D1A9E" w:rsidP="004D1A9E">
      <w:pPr>
        <w:spacing w:line="360" w:lineRule="auto"/>
        <w:ind w:firstLine="1440"/>
        <w:rPr>
          <w:sz w:val="24"/>
          <w:szCs w:val="24"/>
        </w:rPr>
      </w:pPr>
    </w:p>
    <w:p w:rsidR="0036463E" w:rsidRDefault="004D1A9E" w:rsidP="005B3104">
      <w:pPr>
        <w:spacing w:line="360" w:lineRule="auto"/>
        <w:ind w:firstLine="1440"/>
        <w:rPr>
          <w:sz w:val="24"/>
          <w:u w:val="single"/>
        </w:rPr>
      </w:pPr>
      <w:r w:rsidRPr="00102C6C">
        <w:rPr>
          <w:sz w:val="24"/>
          <w:szCs w:val="24"/>
        </w:rPr>
        <w:t>The moving party may not rely on its own factual assertions</w:t>
      </w:r>
      <w:r w:rsidR="002C2398">
        <w:rPr>
          <w:sz w:val="24"/>
          <w:szCs w:val="24"/>
        </w:rPr>
        <w:t xml:space="preserve"> </w:t>
      </w:r>
      <w:r w:rsidRPr="00102C6C">
        <w:rPr>
          <w:sz w:val="24"/>
          <w:szCs w:val="24"/>
        </w:rPr>
        <w:t>but must accept for the purposes of disposition of the preliminary objection</w:t>
      </w:r>
      <w:r w:rsidR="007438ED">
        <w:rPr>
          <w:sz w:val="24"/>
          <w:szCs w:val="24"/>
        </w:rPr>
        <w:t>s</w:t>
      </w:r>
      <w:r w:rsidRPr="00102C6C">
        <w:rPr>
          <w:sz w:val="24"/>
          <w:szCs w:val="24"/>
        </w:rPr>
        <w:t xml:space="preserve">, all well-pleaded, material facts of the other party, </w:t>
      </w:r>
      <w:r w:rsidR="002C2398">
        <w:rPr>
          <w:sz w:val="24"/>
          <w:szCs w:val="24"/>
        </w:rPr>
        <w:t xml:space="preserve">including inferences </w:t>
      </w:r>
      <w:r w:rsidRPr="00102C6C">
        <w:rPr>
          <w:sz w:val="24"/>
          <w:szCs w:val="24"/>
        </w:rPr>
        <w:t xml:space="preserve">deducible </w:t>
      </w:r>
      <w:r w:rsidR="002C2398">
        <w:rPr>
          <w:sz w:val="24"/>
          <w:szCs w:val="24"/>
        </w:rPr>
        <w:t xml:space="preserve">fairly </w:t>
      </w:r>
      <w:r w:rsidRPr="00102C6C">
        <w:rPr>
          <w:sz w:val="24"/>
          <w:szCs w:val="24"/>
        </w:rPr>
        <w:t xml:space="preserve">from those facts.  </w:t>
      </w:r>
      <w:r w:rsidRPr="00102C6C">
        <w:rPr>
          <w:i/>
          <w:sz w:val="24"/>
          <w:szCs w:val="24"/>
        </w:rPr>
        <w:t xml:space="preserve">County of Allegheny v. </w:t>
      </w:r>
      <w:proofErr w:type="spellStart"/>
      <w:r w:rsidRPr="00102C6C">
        <w:rPr>
          <w:i/>
          <w:sz w:val="24"/>
          <w:szCs w:val="24"/>
        </w:rPr>
        <w:t>Commw</w:t>
      </w:r>
      <w:proofErr w:type="spellEnd"/>
      <w:r w:rsidRPr="00102C6C">
        <w:rPr>
          <w:i/>
          <w:sz w:val="24"/>
          <w:szCs w:val="24"/>
        </w:rPr>
        <w:t>. of Pa.</w:t>
      </w:r>
      <w:r w:rsidRPr="00102C6C">
        <w:rPr>
          <w:sz w:val="24"/>
          <w:szCs w:val="24"/>
        </w:rPr>
        <w:t>, 490 A.2d 402 (Pa. 1985).  Therefore, in ruling on a preliminary objection</w:t>
      </w:r>
      <w:r w:rsidR="003F785F">
        <w:rPr>
          <w:sz w:val="24"/>
          <w:szCs w:val="24"/>
        </w:rPr>
        <w:t>s</w:t>
      </w:r>
      <w:bookmarkStart w:id="2" w:name="_GoBack"/>
      <w:bookmarkEnd w:id="2"/>
      <w:r w:rsidRPr="00102C6C">
        <w:rPr>
          <w:sz w:val="24"/>
          <w:szCs w:val="24"/>
        </w:rPr>
        <w:t xml:space="preserve">, the Commission must assume, for decisional purposes only, that the factual allegations of the complaint are true.  </w:t>
      </w:r>
      <w:r w:rsidRPr="00102C6C">
        <w:rPr>
          <w:i/>
          <w:sz w:val="24"/>
          <w:szCs w:val="24"/>
        </w:rPr>
        <w:t>Id</w:t>
      </w:r>
      <w:r w:rsidRPr="00102C6C">
        <w:rPr>
          <w:sz w:val="24"/>
          <w:szCs w:val="24"/>
        </w:rPr>
        <w:t>.  The preliminary objection</w:t>
      </w:r>
      <w:r w:rsidR="00AA498F">
        <w:rPr>
          <w:sz w:val="24"/>
          <w:szCs w:val="24"/>
        </w:rPr>
        <w:t>s</w:t>
      </w:r>
      <w:r w:rsidRPr="00102C6C">
        <w:rPr>
          <w:sz w:val="24"/>
          <w:szCs w:val="24"/>
        </w:rPr>
        <w:t xml:space="preserve"> may be granted only if the moving party prevails as a matter of law.  </w:t>
      </w:r>
      <w:r w:rsidRPr="00102C6C">
        <w:rPr>
          <w:i/>
          <w:sz w:val="24"/>
          <w:szCs w:val="24"/>
        </w:rPr>
        <w:t>Roc v. Flaherty</w:t>
      </w:r>
      <w:r w:rsidRPr="00102C6C">
        <w:rPr>
          <w:sz w:val="24"/>
          <w:szCs w:val="24"/>
        </w:rPr>
        <w:t>, 527 A.2d 211 (</w:t>
      </w:r>
      <w:proofErr w:type="spellStart"/>
      <w:r w:rsidRPr="00102C6C">
        <w:rPr>
          <w:sz w:val="24"/>
          <w:szCs w:val="24"/>
        </w:rPr>
        <w:t>Pa.Cmwlth</w:t>
      </w:r>
      <w:proofErr w:type="spellEnd"/>
      <w:r w:rsidRPr="00102C6C">
        <w:rPr>
          <w:sz w:val="24"/>
          <w:szCs w:val="24"/>
        </w:rPr>
        <w:t xml:space="preserve">. 1985).  Any doubt must be resolved in favor of the non-moving party by refusing to sustain the preliminary objections.  </w:t>
      </w:r>
      <w:r w:rsidRPr="00102C6C">
        <w:rPr>
          <w:i/>
          <w:sz w:val="24"/>
          <w:szCs w:val="24"/>
        </w:rPr>
        <w:t>Dept. of Auditor General, et al. v. State Employees’ Retirement System, et al</w:t>
      </w:r>
      <w:r w:rsidRPr="00102C6C">
        <w:rPr>
          <w:sz w:val="24"/>
          <w:szCs w:val="24"/>
        </w:rPr>
        <w:t>., 836 A.2d 1053, 1064 (</w:t>
      </w:r>
      <w:proofErr w:type="spellStart"/>
      <w:r w:rsidRPr="00102C6C">
        <w:rPr>
          <w:sz w:val="24"/>
          <w:szCs w:val="24"/>
        </w:rPr>
        <w:t>Pa.Cmwlth</w:t>
      </w:r>
      <w:proofErr w:type="spellEnd"/>
      <w:r w:rsidRPr="00102C6C">
        <w:rPr>
          <w:sz w:val="24"/>
          <w:szCs w:val="24"/>
        </w:rPr>
        <w:t xml:space="preserve">. 2003) citing, </w:t>
      </w:r>
      <w:r w:rsidRPr="00102C6C">
        <w:rPr>
          <w:i/>
          <w:sz w:val="24"/>
          <w:szCs w:val="24"/>
        </w:rPr>
        <w:t>Boyd v. Ward</w:t>
      </w:r>
      <w:r w:rsidRPr="00102C6C">
        <w:rPr>
          <w:sz w:val="24"/>
          <w:szCs w:val="24"/>
        </w:rPr>
        <w:t>, 802 A.2d 705 (</w:t>
      </w:r>
      <w:proofErr w:type="spellStart"/>
      <w:r w:rsidRPr="00102C6C">
        <w:rPr>
          <w:sz w:val="24"/>
          <w:szCs w:val="24"/>
        </w:rPr>
        <w:t>Pa.Cmwlth</w:t>
      </w:r>
      <w:proofErr w:type="spellEnd"/>
      <w:r w:rsidRPr="00102C6C">
        <w:rPr>
          <w:sz w:val="24"/>
          <w:szCs w:val="24"/>
        </w:rPr>
        <w:t xml:space="preserve">. 2002).  </w:t>
      </w:r>
    </w:p>
    <w:p w:rsidR="005B3104" w:rsidRDefault="005B3104" w:rsidP="00632ED6">
      <w:pPr>
        <w:tabs>
          <w:tab w:val="left" w:pos="0"/>
        </w:tabs>
        <w:spacing w:line="360" w:lineRule="auto"/>
        <w:rPr>
          <w:sz w:val="24"/>
          <w:u w:val="single"/>
        </w:rPr>
      </w:pPr>
    </w:p>
    <w:p w:rsidR="005B3104" w:rsidRDefault="005B3104" w:rsidP="00632ED6">
      <w:pPr>
        <w:tabs>
          <w:tab w:val="left" w:pos="0"/>
        </w:tabs>
        <w:spacing w:line="360" w:lineRule="auto"/>
        <w:rPr>
          <w:sz w:val="24"/>
          <w:u w:val="single"/>
        </w:rPr>
      </w:pPr>
    </w:p>
    <w:p w:rsidR="005B3104" w:rsidRDefault="005B3104" w:rsidP="00632ED6">
      <w:pPr>
        <w:tabs>
          <w:tab w:val="left" w:pos="0"/>
        </w:tabs>
        <w:spacing w:line="360" w:lineRule="auto"/>
        <w:rPr>
          <w:sz w:val="24"/>
          <w:u w:val="single"/>
        </w:rPr>
      </w:pPr>
    </w:p>
    <w:p w:rsidR="00A1345E" w:rsidRDefault="00A1345E" w:rsidP="00C547AE">
      <w:pPr>
        <w:tabs>
          <w:tab w:val="left" w:pos="0"/>
        </w:tabs>
        <w:rPr>
          <w:sz w:val="24"/>
          <w:u w:val="single"/>
        </w:rPr>
      </w:pPr>
      <w:r>
        <w:rPr>
          <w:sz w:val="24"/>
          <w:u w:val="single"/>
        </w:rPr>
        <w:lastRenderedPageBreak/>
        <w:t>Analysis</w:t>
      </w:r>
    </w:p>
    <w:p w:rsidR="00C547AE" w:rsidRDefault="00C547AE" w:rsidP="00632ED6">
      <w:pPr>
        <w:tabs>
          <w:tab w:val="left" w:pos="0"/>
        </w:tabs>
        <w:spacing w:line="360" w:lineRule="auto"/>
        <w:rPr>
          <w:sz w:val="24"/>
          <w:u w:val="single"/>
        </w:rPr>
      </w:pPr>
    </w:p>
    <w:p w:rsidR="00632ED6" w:rsidRPr="00632ED6" w:rsidRDefault="00632ED6" w:rsidP="00D71F0B">
      <w:pPr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F4323D">
        <w:rPr>
          <w:snapToGrid w:val="0"/>
          <w:sz w:val="24"/>
          <w:u w:val="single"/>
        </w:rPr>
        <w:t>Criminal Allegations</w:t>
      </w:r>
      <w:r w:rsidR="00D71F0B" w:rsidRPr="00F4323D">
        <w:rPr>
          <w:snapToGrid w:val="0"/>
          <w:sz w:val="24"/>
          <w:u w:val="single"/>
        </w:rPr>
        <w:t>,</w:t>
      </w:r>
      <w:r w:rsidRPr="00F4323D">
        <w:rPr>
          <w:snapToGrid w:val="0"/>
          <w:sz w:val="24"/>
          <w:u w:val="single"/>
        </w:rPr>
        <w:t xml:space="preserve"> Federal Statutes</w:t>
      </w:r>
      <w:r w:rsidR="00D71F0B" w:rsidRPr="00F4323D">
        <w:rPr>
          <w:snapToGrid w:val="0"/>
          <w:sz w:val="24"/>
          <w:u w:val="single"/>
        </w:rPr>
        <w:t xml:space="preserve"> and Private Disput</w:t>
      </w:r>
      <w:r w:rsidR="00F46E5A" w:rsidRPr="00F4323D">
        <w:rPr>
          <w:snapToGrid w:val="0"/>
          <w:sz w:val="24"/>
          <w:u w:val="single"/>
        </w:rPr>
        <w:t>e</w:t>
      </w:r>
      <w:r w:rsidR="005B3104">
        <w:rPr>
          <w:snapToGrid w:val="0"/>
          <w:sz w:val="24"/>
          <w:u w:val="single"/>
        </w:rPr>
        <w:t>s</w:t>
      </w:r>
    </w:p>
    <w:p w:rsidR="0036463E" w:rsidRDefault="0036463E" w:rsidP="00D71F0B">
      <w:pPr>
        <w:spacing w:line="360" w:lineRule="auto"/>
        <w:ind w:firstLine="1440"/>
        <w:jc w:val="both"/>
        <w:rPr>
          <w:snapToGrid w:val="0"/>
          <w:sz w:val="24"/>
        </w:rPr>
      </w:pPr>
    </w:p>
    <w:p w:rsidR="00015417" w:rsidRDefault="00D71F0B" w:rsidP="00AA498F">
      <w:pPr>
        <w:spacing w:line="360" w:lineRule="auto"/>
        <w:ind w:firstLine="1440"/>
        <w:rPr>
          <w:snapToGrid w:val="0"/>
          <w:sz w:val="24"/>
        </w:rPr>
      </w:pPr>
      <w:r>
        <w:rPr>
          <w:snapToGrid w:val="0"/>
          <w:sz w:val="24"/>
        </w:rPr>
        <w:t xml:space="preserve">Here, Complainants raise criminal allegations against </w:t>
      </w:r>
      <w:r w:rsidR="00F46E5A">
        <w:rPr>
          <w:snapToGrid w:val="0"/>
          <w:sz w:val="24"/>
        </w:rPr>
        <w:t xml:space="preserve">Respondent, i.e., theft by deception, extortion and embezzlement of public monies, and they </w:t>
      </w:r>
      <w:r w:rsidR="00DA3E60">
        <w:rPr>
          <w:snapToGrid w:val="0"/>
          <w:sz w:val="24"/>
        </w:rPr>
        <w:t xml:space="preserve">rely upon </w:t>
      </w:r>
      <w:r w:rsidR="00F46E5A">
        <w:rPr>
          <w:snapToGrid w:val="0"/>
          <w:sz w:val="24"/>
        </w:rPr>
        <w:t>federal</w:t>
      </w:r>
      <w:r w:rsidR="00AA498F">
        <w:rPr>
          <w:snapToGrid w:val="0"/>
          <w:sz w:val="24"/>
        </w:rPr>
        <w:t>,</w:t>
      </w:r>
      <w:r w:rsidR="00F46E5A">
        <w:rPr>
          <w:snapToGrid w:val="0"/>
          <w:sz w:val="24"/>
        </w:rPr>
        <w:t xml:space="preserve"> civil and criminal statutes.  Respondent objects that </w:t>
      </w:r>
      <w:r w:rsidR="00AE4B92">
        <w:rPr>
          <w:snapToGrid w:val="0"/>
          <w:sz w:val="24"/>
        </w:rPr>
        <w:t xml:space="preserve">(1) </w:t>
      </w:r>
      <w:r w:rsidR="00F46E5A">
        <w:rPr>
          <w:snapToGrid w:val="0"/>
          <w:sz w:val="24"/>
        </w:rPr>
        <w:t xml:space="preserve">the Commission lacks jurisdiction over criminal allegations </w:t>
      </w:r>
      <w:r w:rsidR="00AE4B92">
        <w:rPr>
          <w:snapToGrid w:val="0"/>
          <w:sz w:val="24"/>
        </w:rPr>
        <w:t>and (2) the Complaint improperly invokes federal crimes and banking laws</w:t>
      </w:r>
      <w:r w:rsidR="00015417">
        <w:rPr>
          <w:snapToGrid w:val="0"/>
          <w:sz w:val="24"/>
        </w:rPr>
        <w:t>.</w:t>
      </w:r>
    </w:p>
    <w:p w:rsidR="00015417" w:rsidRDefault="00015417" w:rsidP="00D71F0B">
      <w:pPr>
        <w:spacing w:line="360" w:lineRule="auto"/>
        <w:ind w:firstLine="1440"/>
        <w:jc w:val="both"/>
        <w:rPr>
          <w:snapToGrid w:val="0"/>
          <w:sz w:val="24"/>
        </w:rPr>
      </w:pPr>
    </w:p>
    <w:p w:rsidR="00015417" w:rsidRDefault="00015417" w:rsidP="00015417">
      <w:pPr>
        <w:tabs>
          <w:tab w:val="left" w:pos="1584"/>
        </w:tabs>
        <w:autoSpaceDE w:val="0"/>
        <w:autoSpaceDN w:val="0"/>
        <w:spacing w:line="360" w:lineRule="auto"/>
        <w:ind w:firstLine="1440"/>
        <w:rPr>
          <w:rFonts w:ascii="CG Times" w:hAnsi="CG Times" w:cs="CG Times"/>
          <w:sz w:val="24"/>
          <w:szCs w:val="24"/>
        </w:rPr>
      </w:pPr>
      <w:r w:rsidRPr="00015417">
        <w:rPr>
          <w:rFonts w:ascii="CG Times" w:hAnsi="CG Times" w:cs="CG Times"/>
          <w:sz w:val="24"/>
          <w:szCs w:val="24"/>
        </w:rPr>
        <w:t>As in every case coming before this forum, the Commission must decide initially whether it has jurisdiction over the parties and the subject matter of th</w:t>
      </w:r>
      <w:r w:rsidR="00DA3E60">
        <w:rPr>
          <w:rFonts w:ascii="CG Times" w:hAnsi="CG Times" w:cs="CG Times"/>
          <w:sz w:val="24"/>
          <w:szCs w:val="24"/>
        </w:rPr>
        <w:t>e</w:t>
      </w:r>
      <w:r w:rsidRPr="00015417">
        <w:rPr>
          <w:rFonts w:ascii="CG Times" w:hAnsi="CG Times" w:cs="CG Times"/>
          <w:sz w:val="24"/>
          <w:szCs w:val="24"/>
        </w:rPr>
        <w:t xml:space="preserve"> dispute.  As a creature of legislation, the Commission possesses only the authority the state legislature has specifically granted to it in the Public Utility Code (Code).  66 </w:t>
      </w:r>
      <w:proofErr w:type="spellStart"/>
      <w:r w:rsidRPr="00015417">
        <w:rPr>
          <w:rFonts w:ascii="CG Times" w:hAnsi="CG Times" w:cs="CG Times"/>
          <w:sz w:val="24"/>
          <w:szCs w:val="24"/>
        </w:rPr>
        <w:t>Pa.C.S</w:t>
      </w:r>
      <w:proofErr w:type="spellEnd"/>
      <w:r w:rsidRPr="00015417">
        <w:rPr>
          <w:rFonts w:ascii="CG Times" w:hAnsi="CG Times" w:cs="CG Times"/>
          <w:sz w:val="24"/>
          <w:szCs w:val="24"/>
        </w:rPr>
        <w:t xml:space="preserve">. § 101, et seq.  </w:t>
      </w:r>
      <w:r w:rsidR="00DA3E60">
        <w:rPr>
          <w:rFonts w:ascii="CG Times" w:hAnsi="CG Times" w:cs="CG Times"/>
          <w:sz w:val="24"/>
          <w:szCs w:val="24"/>
        </w:rPr>
        <w:t xml:space="preserve">The Commission’s </w:t>
      </w:r>
      <w:r w:rsidRPr="00015417">
        <w:rPr>
          <w:rFonts w:ascii="CG Times" w:hAnsi="CG Times" w:cs="CG Times"/>
          <w:sz w:val="24"/>
          <w:szCs w:val="24"/>
        </w:rPr>
        <w:t xml:space="preserve">jurisdiction must arise from the express language of the pertinent enabling legislation or by strong and necessary implication therefrom.  </w:t>
      </w:r>
      <w:r w:rsidRPr="00015417">
        <w:rPr>
          <w:rFonts w:ascii="CG Times" w:hAnsi="CG Times" w:cs="CG Times"/>
          <w:i/>
          <w:sz w:val="24"/>
          <w:szCs w:val="24"/>
        </w:rPr>
        <w:t>Feingold v. Bell of Pa.</w:t>
      </w:r>
      <w:r w:rsidRPr="00015417">
        <w:rPr>
          <w:rFonts w:ascii="CG Times" w:hAnsi="CG Times" w:cs="CG Times"/>
          <w:sz w:val="24"/>
          <w:szCs w:val="24"/>
        </w:rPr>
        <w:t xml:space="preserve">, 383 A.2d 791 (Pa. 1967).   </w:t>
      </w:r>
    </w:p>
    <w:p w:rsidR="00015417" w:rsidRDefault="00015417" w:rsidP="00015417">
      <w:pPr>
        <w:tabs>
          <w:tab w:val="left" w:pos="1584"/>
        </w:tabs>
        <w:autoSpaceDE w:val="0"/>
        <w:autoSpaceDN w:val="0"/>
        <w:spacing w:line="360" w:lineRule="auto"/>
        <w:ind w:firstLine="1440"/>
        <w:rPr>
          <w:rFonts w:ascii="CG Times" w:hAnsi="CG Times" w:cs="CG Times"/>
          <w:sz w:val="24"/>
          <w:szCs w:val="24"/>
        </w:rPr>
      </w:pPr>
    </w:p>
    <w:p w:rsidR="007A15E4" w:rsidRDefault="00015417" w:rsidP="00DA3E60">
      <w:pPr>
        <w:tabs>
          <w:tab w:val="left" w:pos="1584"/>
        </w:tabs>
        <w:autoSpaceDE w:val="0"/>
        <w:autoSpaceDN w:val="0"/>
        <w:spacing w:line="360" w:lineRule="auto"/>
        <w:ind w:firstLine="1440"/>
        <w:rPr>
          <w:sz w:val="24"/>
          <w:szCs w:val="24"/>
        </w:rPr>
      </w:pPr>
      <w:r>
        <w:rPr>
          <w:rFonts w:ascii="CG Times" w:hAnsi="CG Times" w:cs="CG Times"/>
          <w:sz w:val="24"/>
          <w:szCs w:val="24"/>
        </w:rPr>
        <w:t xml:space="preserve">There is nothing in the Commission enabling legislation authorizing the Commission </w:t>
      </w:r>
      <w:r w:rsidR="00DA3E60">
        <w:rPr>
          <w:rFonts w:ascii="CG Times" w:hAnsi="CG Times" w:cs="CG Times"/>
          <w:sz w:val="24"/>
          <w:szCs w:val="24"/>
        </w:rPr>
        <w:t xml:space="preserve">to </w:t>
      </w:r>
      <w:r>
        <w:rPr>
          <w:rFonts w:ascii="CG Times" w:hAnsi="CG Times" w:cs="CG Times"/>
          <w:sz w:val="24"/>
          <w:szCs w:val="24"/>
        </w:rPr>
        <w:t xml:space="preserve">consider criminal allegations or to adjudicate issues arising under federal banking laws.   </w:t>
      </w:r>
      <w:r w:rsidR="007A15E4">
        <w:rPr>
          <w:rFonts w:ascii="CG Times" w:hAnsi="CG Times" w:cs="CG Times"/>
          <w:sz w:val="24"/>
          <w:szCs w:val="24"/>
        </w:rPr>
        <w:t>Therefore,</w:t>
      </w:r>
      <w:r w:rsidR="00DA3E60">
        <w:rPr>
          <w:rFonts w:ascii="CG Times" w:hAnsi="CG Times" w:cs="CG Times"/>
          <w:sz w:val="24"/>
          <w:szCs w:val="24"/>
        </w:rPr>
        <w:t xml:space="preserve"> </w:t>
      </w:r>
      <w:r w:rsidR="007A15E4" w:rsidRPr="002C2398">
        <w:rPr>
          <w:sz w:val="24"/>
          <w:szCs w:val="24"/>
        </w:rPr>
        <w:t>as the moving party, D</w:t>
      </w:r>
      <w:r w:rsidR="007A15E4">
        <w:rPr>
          <w:sz w:val="24"/>
          <w:szCs w:val="24"/>
        </w:rPr>
        <w:t xml:space="preserve">uquesne Light </w:t>
      </w:r>
      <w:r w:rsidR="007A15E4" w:rsidRPr="002C2398">
        <w:rPr>
          <w:sz w:val="24"/>
          <w:szCs w:val="24"/>
        </w:rPr>
        <w:t>prevails o</w:t>
      </w:r>
      <w:r w:rsidR="007A15E4">
        <w:rPr>
          <w:sz w:val="24"/>
          <w:szCs w:val="24"/>
        </w:rPr>
        <w:t xml:space="preserve">n its objections that the Commission lacks jurisdiction </w:t>
      </w:r>
      <w:r w:rsidR="00DA3E60">
        <w:rPr>
          <w:sz w:val="24"/>
          <w:szCs w:val="24"/>
        </w:rPr>
        <w:t xml:space="preserve">to adjudicate </w:t>
      </w:r>
      <w:r w:rsidR="007A15E4">
        <w:rPr>
          <w:sz w:val="24"/>
          <w:szCs w:val="24"/>
        </w:rPr>
        <w:t xml:space="preserve">criminal allegations </w:t>
      </w:r>
      <w:r w:rsidR="00DA3E60">
        <w:rPr>
          <w:sz w:val="24"/>
          <w:szCs w:val="24"/>
        </w:rPr>
        <w:t xml:space="preserve">or issues arising under </w:t>
      </w:r>
      <w:r w:rsidR="007A15E4">
        <w:rPr>
          <w:sz w:val="24"/>
          <w:szCs w:val="24"/>
        </w:rPr>
        <w:t>federal bank</w:t>
      </w:r>
      <w:r w:rsidR="00DA3E60">
        <w:rPr>
          <w:sz w:val="24"/>
          <w:szCs w:val="24"/>
        </w:rPr>
        <w:t>ing</w:t>
      </w:r>
      <w:r w:rsidR="007A15E4">
        <w:rPr>
          <w:sz w:val="24"/>
          <w:szCs w:val="24"/>
        </w:rPr>
        <w:t xml:space="preserve"> laws.</w:t>
      </w:r>
    </w:p>
    <w:p w:rsidR="007A15E4" w:rsidRDefault="007A15E4" w:rsidP="007A15E4">
      <w:pPr>
        <w:autoSpaceDE w:val="0"/>
        <w:autoSpaceDN w:val="0"/>
        <w:spacing w:line="360" w:lineRule="auto"/>
        <w:rPr>
          <w:sz w:val="24"/>
          <w:szCs w:val="24"/>
        </w:rPr>
      </w:pPr>
    </w:p>
    <w:p w:rsidR="001919E6" w:rsidRDefault="00E8730F" w:rsidP="007A15E4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Duquesne Light’s also objects that the Complaint </w:t>
      </w:r>
      <w:r w:rsidRPr="00E8730F">
        <w:rPr>
          <w:sz w:val="24"/>
          <w:szCs w:val="24"/>
        </w:rPr>
        <w:t xml:space="preserve">potentially </w:t>
      </w:r>
      <w:r>
        <w:rPr>
          <w:sz w:val="24"/>
          <w:szCs w:val="24"/>
        </w:rPr>
        <w:t xml:space="preserve">relates to </w:t>
      </w:r>
      <w:r w:rsidRPr="00E8730F">
        <w:rPr>
          <w:sz w:val="24"/>
          <w:szCs w:val="24"/>
        </w:rPr>
        <w:t xml:space="preserve">Pennsylvania Law </w:t>
      </w:r>
      <w:r>
        <w:rPr>
          <w:sz w:val="24"/>
          <w:szCs w:val="24"/>
        </w:rPr>
        <w:t xml:space="preserve">concerning </w:t>
      </w:r>
      <w:r w:rsidRPr="00E8730F">
        <w:rPr>
          <w:sz w:val="24"/>
          <w:szCs w:val="24"/>
        </w:rPr>
        <w:t>contracts, debt collection, unfair trade practices</w:t>
      </w:r>
      <w:r w:rsidR="005D64FF">
        <w:rPr>
          <w:sz w:val="24"/>
          <w:szCs w:val="24"/>
        </w:rPr>
        <w:t xml:space="preserve"> or damages</w:t>
      </w:r>
      <w:r w:rsidRPr="00E8730F">
        <w:rPr>
          <w:sz w:val="24"/>
          <w:szCs w:val="24"/>
        </w:rPr>
        <w:t>.</w:t>
      </w:r>
      <w:r>
        <w:rPr>
          <w:sz w:val="24"/>
          <w:szCs w:val="24"/>
        </w:rPr>
        <w:t xml:space="preserve">  Apparently, Duquesne Light has gleaned this objection from Complainants’ allegations</w:t>
      </w:r>
      <w:proofErr w:type="gramStart"/>
      <w:r>
        <w:rPr>
          <w:sz w:val="24"/>
          <w:szCs w:val="24"/>
        </w:rPr>
        <w:t xml:space="preserve">: </w:t>
      </w:r>
      <w:r w:rsidR="00AA498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1) failing to discharge the debts and (2) the return of arrears, billing refunds and considerations.  </w:t>
      </w:r>
      <w:r w:rsidR="005D64FF">
        <w:rPr>
          <w:sz w:val="24"/>
          <w:szCs w:val="24"/>
        </w:rPr>
        <w:t>To the extent that Complainants are alleging contractual matters concerning consideration, debt collection, unfair trade practices or damages, such matters pertain to private disputes, over which the Commission lack</w:t>
      </w:r>
      <w:r w:rsidR="001919E6">
        <w:rPr>
          <w:sz w:val="24"/>
          <w:szCs w:val="24"/>
        </w:rPr>
        <w:t>s</w:t>
      </w:r>
      <w:r w:rsidR="005D64FF">
        <w:rPr>
          <w:sz w:val="24"/>
          <w:szCs w:val="24"/>
        </w:rPr>
        <w:t xml:space="preserve"> jurisdiction.  </w:t>
      </w:r>
    </w:p>
    <w:p w:rsidR="001919E6" w:rsidRDefault="001919E6" w:rsidP="00D35041">
      <w:pPr>
        <w:tabs>
          <w:tab w:val="left" w:pos="0"/>
        </w:tabs>
        <w:spacing w:line="360" w:lineRule="auto"/>
        <w:rPr>
          <w:bCs/>
          <w:color w:val="000000"/>
          <w:sz w:val="24"/>
          <w:szCs w:val="24"/>
        </w:rPr>
      </w:pPr>
      <w:r w:rsidRPr="00B663E2">
        <w:rPr>
          <w:i/>
          <w:sz w:val="24"/>
          <w:szCs w:val="24"/>
        </w:rPr>
        <w:t>See</w:t>
      </w:r>
      <w:r w:rsidR="00AA498F">
        <w:rPr>
          <w:i/>
          <w:sz w:val="24"/>
          <w:szCs w:val="24"/>
        </w:rPr>
        <w:t>,</w:t>
      </w:r>
      <w:r w:rsidRPr="00B663E2">
        <w:rPr>
          <w:i/>
          <w:sz w:val="24"/>
          <w:szCs w:val="24"/>
        </w:rPr>
        <w:t xml:space="preserve"> </w:t>
      </w:r>
      <w:proofErr w:type="spellStart"/>
      <w:r w:rsidRPr="00B663E2">
        <w:rPr>
          <w:i/>
          <w:sz w:val="24"/>
          <w:szCs w:val="24"/>
        </w:rPr>
        <w:t>Poorbaugh</w:t>
      </w:r>
      <w:proofErr w:type="spellEnd"/>
      <w:r w:rsidRPr="00B663E2">
        <w:rPr>
          <w:i/>
          <w:sz w:val="24"/>
          <w:szCs w:val="24"/>
        </w:rPr>
        <w:t xml:space="preserve"> v. Pa. Pub. Util. Comm’n, </w:t>
      </w:r>
      <w:r w:rsidRPr="00B663E2">
        <w:rPr>
          <w:sz w:val="24"/>
          <w:szCs w:val="24"/>
        </w:rPr>
        <w:t>666 A.2d 744 (</w:t>
      </w:r>
      <w:proofErr w:type="spellStart"/>
      <w:proofErr w:type="gramStart"/>
      <w:r w:rsidRPr="00B663E2">
        <w:rPr>
          <w:sz w:val="24"/>
          <w:szCs w:val="24"/>
        </w:rPr>
        <w:t>Pa.Cmwlth</w:t>
      </w:r>
      <w:proofErr w:type="spellEnd"/>
      <w:proofErr w:type="gramEnd"/>
      <w:r w:rsidRPr="00B663E2">
        <w:rPr>
          <w:sz w:val="24"/>
          <w:szCs w:val="24"/>
        </w:rPr>
        <w:t>. 1995)</w:t>
      </w:r>
      <w:r w:rsidR="00D35041">
        <w:rPr>
          <w:sz w:val="24"/>
          <w:szCs w:val="24"/>
        </w:rPr>
        <w:t>.  In</w:t>
      </w:r>
      <w:r w:rsidR="00D35041">
        <w:rPr>
          <w:i/>
          <w:sz w:val="24"/>
          <w:szCs w:val="24"/>
        </w:rPr>
        <w:t xml:space="preserve"> </w:t>
      </w:r>
      <w:proofErr w:type="spellStart"/>
      <w:r w:rsidR="00D35041">
        <w:rPr>
          <w:i/>
          <w:sz w:val="24"/>
          <w:szCs w:val="24"/>
        </w:rPr>
        <w:t>Poorbaugh</w:t>
      </w:r>
      <w:proofErr w:type="spellEnd"/>
      <w:r w:rsidR="00D35041">
        <w:rPr>
          <w:sz w:val="24"/>
          <w:szCs w:val="24"/>
        </w:rPr>
        <w:t xml:space="preserve">, </w:t>
      </w:r>
      <w:r w:rsidR="00AA498F">
        <w:rPr>
          <w:sz w:val="24"/>
          <w:szCs w:val="24"/>
        </w:rPr>
        <w:t>t</w:t>
      </w:r>
      <w:r w:rsidR="00D35041">
        <w:rPr>
          <w:sz w:val="24"/>
          <w:szCs w:val="24"/>
        </w:rPr>
        <w:t xml:space="preserve">he Court held </w:t>
      </w:r>
      <w:r w:rsidR="00DA3E60">
        <w:rPr>
          <w:sz w:val="24"/>
          <w:szCs w:val="24"/>
        </w:rPr>
        <w:t xml:space="preserve">the </w:t>
      </w:r>
      <w:r w:rsidR="00D35041">
        <w:rPr>
          <w:sz w:val="24"/>
          <w:szCs w:val="24"/>
        </w:rPr>
        <w:t xml:space="preserve">Commission is </w:t>
      </w:r>
      <w:r w:rsidR="00D35041">
        <w:rPr>
          <w:bCs/>
          <w:color w:val="000000"/>
          <w:sz w:val="24"/>
          <w:szCs w:val="24"/>
        </w:rPr>
        <w:t xml:space="preserve">not empowered to award damages or to litigate a private action for damages on behalf of a complainant.  </w:t>
      </w:r>
      <w:r w:rsidR="00D35041">
        <w:rPr>
          <w:sz w:val="24"/>
          <w:szCs w:val="24"/>
        </w:rPr>
        <w:t xml:space="preserve">Respondent is also correct </w:t>
      </w:r>
      <w:r>
        <w:rPr>
          <w:bCs/>
          <w:color w:val="000000"/>
          <w:sz w:val="24"/>
          <w:szCs w:val="24"/>
        </w:rPr>
        <w:t>that the Commission does not have jurisdiction to enforce the Unfair Trade Practices Consumer Protection Law</w:t>
      </w:r>
      <w:r w:rsidR="00D35041">
        <w:rPr>
          <w:bCs/>
          <w:color w:val="000000"/>
          <w:sz w:val="24"/>
          <w:szCs w:val="24"/>
        </w:rPr>
        <w:t xml:space="preserve">, </w:t>
      </w:r>
      <w:r w:rsidR="00D35041" w:rsidRPr="00D35041">
        <w:rPr>
          <w:rStyle w:val="tgc"/>
          <w:color w:val="222222"/>
          <w:sz w:val="24"/>
          <w:szCs w:val="24"/>
        </w:rPr>
        <w:t>73 P.S. § 201-1 et seq.</w:t>
      </w:r>
      <w:r w:rsidR="00D35041">
        <w:rPr>
          <w:rStyle w:val="tgc"/>
          <w:color w:val="222222"/>
          <w:sz w:val="24"/>
          <w:szCs w:val="24"/>
        </w:rPr>
        <w:t xml:space="preserve">  </w:t>
      </w:r>
      <w:r>
        <w:rPr>
          <w:bCs/>
          <w:i/>
          <w:color w:val="000000"/>
          <w:sz w:val="24"/>
          <w:szCs w:val="24"/>
        </w:rPr>
        <w:lastRenderedPageBreak/>
        <w:t>See</w:t>
      </w:r>
      <w:r>
        <w:rPr>
          <w:bCs/>
          <w:color w:val="000000"/>
          <w:sz w:val="24"/>
          <w:szCs w:val="24"/>
        </w:rPr>
        <w:t xml:space="preserve">, </w:t>
      </w:r>
      <w:r w:rsidRPr="00D35041">
        <w:rPr>
          <w:bCs/>
          <w:i/>
          <w:color w:val="000000"/>
          <w:sz w:val="24"/>
          <w:szCs w:val="24"/>
        </w:rPr>
        <w:t>Mid-Atlantic Power Supply Assoc. v. PECO Energy Co.</w:t>
      </w:r>
      <w:r>
        <w:rPr>
          <w:bCs/>
          <w:color w:val="000000"/>
          <w:sz w:val="24"/>
          <w:szCs w:val="24"/>
        </w:rPr>
        <w:t>, Docket No. P-00981615, 1999 Pa</w:t>
      </w:r>
      <w:r w:rsidR="007438ED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PUC LEXIS 30 (</w:t>
      </w:r>
      <w:r w:rsidR="00D35041">
        <w:rPr>
          <w:bCs/>
          <w:color w:val="000000"/>
          <w:sz w:val="24"/>
          <w:szCs w:val="24"/>
        </w:rPr>
        <w:t xml:space="preserve">Opinion and Order </w:t>
      </w:r>
      <w:r>
        <w:rPr>
          <w:bCs/>
          <w:color w:val="000000"/>
          <w:sz w:val="24"/>
          <w:szCs w:val="24"/>
        </w:rPr>
        <w:t xml:space="preserve">entered May 19, 1999); </w:t>
      </w:r>
      <w:r w:rsidRPr="00D35041">
        <w:rPr>
          <w:bCs/>
          <w:i/>
          <w:color w:val="000000"/>
          <w:sz w:val="24"/>
          <w:szCs w:val="24"/>
        </w:rPr>
        <w:t>Pa. P</w:t>
      </w:r>
      <w:r w:rsidR="00AA498F">
        <w:rPr>
          <w:bCs/>
          <w:i/>
          <w:color w:val="000000"/>
          <w:sz w:val="24"/>
          <w:szCs w:val="24"/>
        </w:rPr>
        <w:t>ub. Util. Comm’n</w:t>
      </w:r>
      <w:r w:rsidRPr="00D35041">
        <w:rPr>
          <w:bCs/>
          <w:i/>
          <w:color w:val="000000"/>
          <w:sz w:val="24"/>
          <w:szCs w:val="24"/>
        </w:rPr>
        <w:t>, et al. v. The Bell Telephone Co. of Pa.</w:t>
      </w:r>
      <w:r>
        <w:rPr>
          <w:bCs/>
          <w:color w:val="000000"/>
          <w:sz w:val="24"/>
          <w:szCs w:val="24"/>
        </w:rPr>
        <w:t>, 71 Pa. PUC 338, 341 (1989).</w:t>
      </w:r>
    </w:p>
    <w:p w:rsidR="001919E6" w:rsidRDefault="001919E6" w:rsidP="007A15E4">
      <w:pPr>
        <w:autoSpaceDE w:val="0"/>
        <w:autoSpaceDN w:val="0"/>
        <w:spacing w:line="360" w:lineRule="auto"/>
        <w:rPr>
          <w:sz w:val="24"/>
          <w:szCs w:val="24"/>
        </w:rPr>
      </w:pPr>
    </w:p>
    <w:p w:rsidR="002C2398" w:rsidRPr="002C2398" w:rsidRDefault="00F4323D" w:rsidP="002C2398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2B2A">
        <w:rPr>
          <w:sz w:val="24"/>
          <w:szCs w:val="24"/>
          <w:u w:val="single"/>
        </w:rPr>
        <w:t xml:space="preserve">Overpayment, </w:t>
      </w:r>
      <w:r w:rsidR="00E03843">
        <w:rPr>
          <w:sz w:val="24"/>
          <w:szCs w:val="24"/>
          <w:u w:val="single"/>
        </w:rPr>
        <w:t>Billing Refund and Payment Arrangement</w:t>
      </w:r>
    </w:p>
    <w:p w:rsidR="002C2398" w:rsidRPr="002C2398" w:rsidRDefault="002C2398" w:rsidP="002C2398">
      <w:pPr>
        <w:autoSpaceDE w:val="0"/>
        <w:autoSpaceDN w:val="0"/>
        <w:spacing w:line="360" w:lineRule="auto"/>
        <w:rPr>
          <w:sz w:val="24"/>
          <w:szCs w:val="24"/>
        </w:rPr>
      </w:pPr>
    </w:p>
    <w:p w:rsidR="002C2398" w:rsidRPr="002C2398" w:rsidRDefault="002C2398" w:rsidP="00F4323D">
      <w:pPr>
        <w:autoSpaceDE w:val="0"/>
        <w:autoSpaceDN w:val="0"/>
        <w:spacing w:line="360" w:lineRule="auto"/>
        <w:rPr>
          <w:rFonts w:ascii="CG Times (W1)" w:hAnsi="CG Times (W1)" w:cs="CG Times (W1)"/>
          <w:sz w:val="24"/>
          <w:szCs w:val="24"/>
        </w:rPr>
      </w:pPr>
      <w:r w:rsidRPr="002C2398">
        <w:rPr>
          <w:sz w:val="24"/>
          <w:szCs w:val="24"/>
        </w:rPr>
        <w:tab/>
      </w:r>
      <w:r w:rsidRPr="002C2398">
        <w:rPr>
          <w:sz w:val="24"/>
          <w:szCs w:val="24"/>
        </w:rPr>
        <w:tab/>
      </w:r>
      <w:r w:rsidR="00852B2A">
        <w:rPr>
          <w:sz w:val="24"/>
          <w:szCs w:val="24"/>
        </w:rPr>
        <w:t xml:space="preserve">In ruling on Respondent’s </w:t>
      </w:r>
      <w:r w:rsidR="002A2F6B">
        <w:rPr>
          <w:sz w:val="24"/>
          <w:szCs w:val="24"/>
        </w:rPr>
        <w:t>request for dismissal of the Complaint in its entirety,</w:t>
      </w:r>
      <w:r w:rsidR="00852B2A">
        <w:rPr>
          <w:sz w:val="24"/>
          <w:szCs w:val="24"/>
        </w:rPr>
        <w:t xml:space="preserve"> </w:t>
      </w:r>
      <w:r w:rsidR="00E03843">
        <w:rPr>
          <w:sz w:val="24"/>
          <w:szCs w:val="24"/>
        </w:rPr>
        <w:t>Complainants</w:t>
      </w:r>
      <w:r w:rsidR="00852B2A">
        <w:rPr>
          <w:sz w:val="24"/>
          <w:szCs w:val="24"/>
        </w:rPr>
        <w:t>’ allegation, “return of overpayment</w:t>
      </w:r>
      <w:r w:rsidR="002A2F6B">
        <w:rPr>
          <w:sz w:val="24"/>
          <w:szCs w:val="24"/>
        </w:rPr>
        <w:t>,” must be accepted a</w:t>
      </w:r>
      <w:r w:rsidR="00AA498F">
        <w:rPr>
          <w:sz w:val="24"/>
          <w:szCs w:val="24"/>
        </w:rPr>
        <w:t>s</w:t>
      </w:r>
      <w:r w:rsidR="002A2F6B">
        <w:rPr>
          <w:sz w:val="24"/>
          <w:szCs w:val="24"/>
        </w:rPr>
        <w:t xml:space="preserve"> true.  This allegation suggests that Respondent over billed Complain</w:t>
      </w:r>
      <w:r w:rsidR="00F4323D">
        <w:rPr>
          <w:sz w:val="24"/>
          <w:szCs w:val="24"/>
        </w:rPr>
        <w:t>an</w:t>
      </w:r>
      <w:r w:rsidR="002A2F6B">
        <w:rPr>
          <w:sz w:val="24"/>
          <w:szCs w:val="24"/>
        </w:rPr>
        <w:t>t</w:t>
      </w:r>
      <w:r w:rsidR="00F4323D">
        <w:rPr>
          <w:sz w:val="24"/>
          <w:szCs w:val="24"/>
        </w:rPr>
        <w:t>s</w:t>
      </w:r>
      <w:r w:rsidR="002A2F6B">
        <w:rPr>
          <w:sz w:val="24"/>
          <w:szCs w:val="24"/>
        </w:rPr>
        <w:t>, and if so the allegation cannot be summarily dismissed on PO.</w:t>
      </w:r>
      <w:r w:rsidR="00E03843">
        <w:rPr>
          <w:sz w:val="24"/>
          <w:szCs w:val="24"/>
        </w:rPr>
        <w:t xml:space="preserve">  Under Section 1312 of the Public Utility Code (Code), 66 </w:t>
      </w:r>
      <w:proofErr w:type="spellStart"/>
      <w:r w:rsidR="00E03843">
        <w:rPr>
          <w:sz w:val="24"/>
          <w:szCs w:val="24"/>
        </w:rPr>
        <w:t>Pa.C.S</w:t>
      </w:r>
      <w:proofErr w:type="spellEnd"/>
      <w:r w:rsidR="00E03843">
        <w:rPr>
          <w:sz w:val="24"/>
          <w:szCs w:val="24"/>
        </w:rPr>
        <w:t xml:space="preserve">. </w:t>
      </w:r>
      <w:bookmarkStart w:id="3" w:name="_Hlk508629054"/>
      <w:r w:rsidR="00E03843">
        <w:rPr>
          <w:sz w:val="24"/>
          <w:szCs w:val="24"/>
        </w:rPr>
        <w:t>§ 1312</w:t>
      </w:r>
      <w:bookmarkEnd w:id="3"/>
      <w:r w:rsidR="00E03843">
        <w:rPr>
          <w:sz w:val="24"/>
          <w:szCs w:val="24"/>
        </w:rPr>
        <w:t>, the Commission is authorized to make an order requiring a publi</w:t>
      </w:r>
      <w:r w:rsidR="00852B2A">
        <w:rPr>
          <w:sz w:val="24"/>
          <w:szCs w:val="24"/>
        </w:rPr>
        <w:t>c</w:t>
      </w:r>
      <w:r w:rsidR="00E03843">
        <w:rPr>
          <w:sz w:val="24"/>
          <w:szCs w:val="24"/>
        </w:rPr>
        <w:t xml:space="preserve"> utility to re</w:t>
      </w:r>
      <w:r w:rsidR="00852B2A">
        <w:rPr>
          <w:sz w:val="24"/>
          <w:szCs w:val="24"/>
        </w:rPr>
        <w:t>f</w:t>
      </w:r>
      <w:r w:rsidR="00E03843">
        <w:rPr>
          <w:sz w:val="24"/>
          <w:szCs w:val="24"/>
        </w:rPr>
        <w:t>und an</w:t>
      </w:r>
      <w:r w:rsidR="002A2F6B">
        <w:rPr>
          <w:sz w:val="24"/>
          <w:szCs w:val="24"/>
        </w:rPr>
        <w:t>y</w:t>
      </w:r>
      <w:r w:rsidR="00E03843">
        <w:rPr>
          <w:sz w:val="24"/>
          <w:szCs w:val="24"/>
        </w:rPr>
        <w:t xml:space="preserve"> amount exce</w:t>
      </w:r>
      <w:r w:rsidR="002A2F6B">
        <w:rPr>
          <w:sz w:val="24"/>
          <w:szCs w:val="24"/>
        </w:rPr>
        <w:t>eding</w:t>
      </w:r>
      <w:r w:rsidR="00E03843">
        <w:rPr>
          <w:sz w:val="24"/>
          <w:szCs w:val="24"/>
        </w:rPr>
        <w:t xml:space="preserve"> the applicable r</w:t>
      </w:r>
      <w:r w:rsidR="00852B2A">
        <w:rPr>
          <w:sz w:val="24"/>
          <w:szCs w:val="24"/>
        </w:rPr>
        <w:t xml:space="preserve">ate within four years prior to the filing of the complaint.  </w:t>
      </w:r>
      <w:r w:rsidR="00F4323D">
        <w:rPr>
          <w:sz w:val="24"/>
          <w:szCs w:val="24"/>
        </w:rPr>
        <w:t xml:space="preserve">Complainants also allege they are seeking a payment arrangement.  </w:t>
      </w:r>
      <w:r w:rsidR="00852B2A">
        <w:rPr>
          <w:sz w:val="24"/>
          <w:szCs w:val="24"/>
        </w:rPr>
        <w:t xml:space="preserve">Under Section 1405 of the Code, </w:t>
      </w:r>
      <w:r w:rsidR="00852B2A">
        <w:rPr>
          <w:i/>
          <w:sz w:val="24"/>
          <w:szCs w:val="24"/>
        </w:rPr>
        <w:t>Id.</w:t>
      </w:r>
      <w:r w:rsidR="00852B2A">
        <w:rPr>
          <w:sz w:val="24"/>
          <w:szCs w:val="24"/>
        </w:rPr>
        <w:t xml:space="preserve"> § 1405, the Commission is authorized to establish a payment arrangement for an eligible customer or applicant. </w:t>
      </w:r>
      <w:r w:rsidR="00852B2A">
        <w:rPr>
          <w:i/>
          <w:sz w:val="24"/>
          <w:szCs w:val="24"/>
        </w:rPr>
        <w:t xml:space="preserve"> </w:t>
      </w:r>
      <w:r w:rsidRPr="002C2398">
        <w:rPr>
          <w:sz w:val="24"/>
          <w:szCs w:val="24"/>
        </w:rPr>
        <w:t>Therefore</w:t>
      </w:r>
      <w:r w:rsidR="00F4323D">
        <w:rPr>
          <w:sz w:val="24"/>
          <w:szCs w:val="24"/>
        </w:rPr>
        <w:t>,</w:t>
      </w:r>
      <w:r w:rsidRPr="002C2398">
        <w:rPr>
          <w:sz w:val="24"/>
          <w:szCs w:val="24"/>
        </w:rPr>
        <w:t xml:space="preserve"> </w:t>
      </w:r>
      <w:r w:rsidR="00F4323D">
        <w:rPr>
          <w:sz w:val="24"/>
          <w:szCs w:val="24"/>
        </w:rPr>
        <w:t xml:space="preserve">Respondent’s request to dismiss the Complaint </w:t>
      </w:r>
      <w:r w:rsidR="0036463E">
        <w:rPr>
          <w:sz w:val="24"/>
          <w:szCs w:val="24"/>
        </w:rPr>
        <w:t>with prejudice cannot be granted</w:t>
      </w:r>
      <w:r w:rsidR="00F4323D">
        <w:rPr>
          <w:sz w:val="24"/>
          <w:szCs w:val="24"/>
        </w:rPr>
        <w:t xml:space="preserve">. </w:t>
      </w:r>
    </w:p>
    <w:p w:rsidR="002C2398" w:rsidRPr="002C2398" w:rsidRDefault="002C2398" w:rsidP="002C2398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2C2398">
      <w:pPr>
        <w:autoSpaceDE w:val="0"/>
        <w:autoSpaceDN w:val="0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Disposition</w:t>
      </w:r>
    </w:p>
    <w:p w:rsidR="0036463E" w:rsidRDefault="0036463E" w:rsidP="002C2398">
      <w:pPr>
        <w:autoSpaceDE w:val="0"/>
        <w:autoSpaceDN w:val="0"/>
        <w:spacing w:line="360" w:lineRule="auto"/>
        <w:rPr>
          <w:sz w:val="24"/>
          <w:szCs w:val="24"/>
        </w:rPr>
      </w:pPr>
    </w:p>
    <w:p w:rsidR="002C2398" w:rsidRDefault="002C2398" w:rsidP="002C2398">
      <w:pPr>
        <w:autoSpaceDE w:val="0"/>
        <w:autoSpaceDN w:val="0"/>
        <w:spacing w:line="360" w:lineRule="auto"/>
        <w:rPr>
          <w:sz w:val="24"/>
          <w:szCs w:val="24"/>
        </w:rPr>
      </w:pPr>
      <w:r w:rsidRPr="002C2398">
        <w:rPr>
          <w:sz w:val="24"/>
          <w:szCs w:val="24"/>
        </w:rPr>
        <w:tab/>
      </w:r>
      <w:r w:rsidRPr="002C2398">
        <w:rPr>
          <w:sz w:val="24"/>
          <w:szCs w:val="24"/>
        </w:rPr>
        <w:tab/>
        <w:t>If Complainants</w:t>
      </w:r>
      <w:r w:rsidR="00AA498F">
        <w:rPr>
          <w:sz w:val="24"/>
          <w:szCs w:val="24"/>
        </w:rPr>
        <w:t>’</w:t>
      </w:r>
      <w:r w:rsidRPr="002C2398">
        <w:rPr>
          <w:sz w:val="24"/>
          <w:szCs w:val="24"/>
        </w:rPr>
        <w:t xml:space="preserve"> allegations are proven by a preponderance of evidence at a hearing, the allegations may well constitute a violation of the Code.  </w:t>
      </w:r>
      <w:r w:rsidRPr="002C2398">
        <w:rPr>
          <w:i/>
          <w:sz w:val="24"/>
          <w:szCs w:val="24"/>
        </w:rPr>
        <w:t xml:space="preserve">Honey Brook Water Co. v. Pa. Pub. Util. Comm’n, </w:t>
      </w:r>
      <w:r w:rsidRPr="002C2398">
        <w:rPr>
          <w:sz w:val="24"/>
          <w:szCs w:val="24"/>
        </w:rPr>
        <w:t xml:space="preserve">167 </w:t>
      </w:r>
      <w:proofErr w:type="spellStart"/>
      <w:r w:rsidRPr="002C2398">
        <w:rPr>
          <w:sz w:val="24"/>
          <w:szCs w:val="24"/>
        </w:rPr>
        <w:t>Pa.Cmwlth</w:t>
      </w:r>
      <w:proofErr w:type="spellEnd"/>
      <w:r w:rsidRPr="002C2398">
        <w:rPr>
          <w:sz w:val="24"/>
          <w:szCs w:val="24"/>
        </w:rPr>
        <w:t xml:space="preserve">. 140, 647 A.2d 653 (1994), </w:t>
      </w:r>
      <w:r w:rsidRPr="002C2398">
        <w:rPr>
          <w:i/>
          <w:sz w:val="24"/>
          <w:szCs w:val="24"/>
        </w:rPr>
        <w:t>app. denied</w:t>
      </w:r>
      <w:r w:rsidRPr="002C2398">
        <w:rPr>
          <w:sz w:val="24"/>
          <w:szCs w:val="24"/>
        </w:rPr>
        <w:t>, 540 Pa. 587, 655 A.2d 518 (1995).  Further</w:t>
      </w:r>
      <w:r w:rsidR="0036463E">
        <w:rPr>
          <w:sz w:val="24"/>
          <w:szCs w:val="24"/>
        </w:rPr>
        <w:t>more, Duquesne Light m</w:t>
      </w:r>
      <w:r w:rsidRPr="002C2398">
        <w:rPr>
          <w:sz w:val="24"/>
          <w:szCs w:val="24"/>
        </w:rPr>
        <w:t>ay ultimately face a civil penalty and/or an order to take remedial action, in the event Complainant</w:t>
      </w:r>
      <w:r w:rsidR="00AA498F">
        <w:rPr>
          <w:sz w:val="24"/>
          <w:szCs w:val="24"/>
        </w:rPr>
        <w:t>s</w:t>
      </w:r>
      <w:r w:rsidRPr="002C2398">
        <w:rPr>
          <w:sz w:val="24"/>
          <w:szCs w:val="24"/>
        </w:rPr>
        <w:t xml:space="preserve"> prevail in establishing </w:t>
      </w:r>
      <w:r w:rsidR="0036463E">
        <w:rPr>
          <w:sz w:val="24"/>
          <w:szCs w:val="24"/>
        </w:rPr>
        <w:t xml:space="preserve">their burden of proving that Duquesne Light violated the Code, a Commission regulation or order. </w:t>
      </w:r>
      <w:r w:rsidRPr="002C2398">
        <w:rPr>
          <w:sz w:val="24"/>
          <w:szCs w:val="24"/>
        </w:rPr>
        <w:t xml:space="preserve">  </w:t>
      </w:r>
    </w:p>
    <w:p w:rsidR="0036463E" w:rsidRDefault="0036463E" w:rsidP="002C2398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z w:val="24"/>
          <w:szCs w:val="24"/>
        </w:rPr>
      </w:pPr>
      <w:r w:rsidRPr="0036463E">
        <w:rPr>
          <w:sz w:val="24"/>
          <w:szCs w:val="24"/>
        </w:rPr>
        <w:t xml:space="preserve">Under the Commission-approved pleading standards applied to </w:t>
      </w:r>
      <w:r w:rsidRPr="0036463E">
        <w:rPr>
          <w:i/>
          <w:sz w:val="24"/>
          <w:szCs w:val="24"/>
        </w:rPr>
        <w:t>pro se</w:t>
      </w:r>
      <w:r w:rsidRPr="0036463E">
        <w:rPr>
          <w:sz w:val="24"/>
          <w:szCs w:val="24"/>
        </w:rPr>
        <w:t xml:space="preserve"> complainants, the instant </w:t>
      </w:r>
      <w:r>
        <w:rPr>
          <w:sz w:val="24"/>
          <w:szCs w:val="24"/>
        </w:rPr>
        <w:t>C</w:t>
      </w:r>
      <w:r w:rsidRPr="0036463E">
        <w:rPr>
          <w:sz w:val="24"/>
          <w:szCs w:val="24"/>
        </w:rPr>
        <w:t>omplaint is sufficient to set forth a claim upon which the Commission can grant relief even though that relief may not be compensatory damages</w:t>
      </w:r>
      <w:r>
        <w:rPr>
          <w:sz w:val="24"/>
          <w:szCs w:val="24"/>
        </w:rPr>
        <w:t>, nor resolution of a private dispute</w:t>
      </w:r>
      <w:r w:rsidRPr="0036463E">
        <w:rPr>
          <w:sz w:val="24"/>
          <w:szCs w:val="24"/>
        </w:rPr>
        <w:t xml:space="preserve">.  This is all that is necessary to survive the preliminary objection of lack of jurisdiction to grant </w:t>
      </w:r>
      <w:r w:rsidRPr="0036463E">
        <w:rPr>
          <w:i/>
          <w:sz w:val="24"/>
          <w:szCs w:val="24"/>
        </w:rPr>
        <w:t>any</w:t>
      </w:r>
      <w:r w:rsidRPr="0036463E">
        <w:rPr>
          <w:sz w:val="24"/>
          <w:szCs w:val="24"/>
        </w:rPr>
        <w:t xml:space="preserve"> relief.</w:t>
      </w:r>
    </w:p>
    <w:p w:rsidR="0036463E" w:rsidRPr="0036463E" w:rsidRDefault="0036463E" w:rsidP="0036463E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lastRenderedPageBreak/>
        <w:tab/>
      </w:r>
      <w:r w:rsidRPr="0036463E">
        <w:rPr>
          <w:sz w:val="24"/>
          <w:szCs w:val="24"/>
        </w:rPr>
        <w:tab/>
        <w:t xml:space="preserve">While the ultimate determination of facts will guide the outcome of the case, a factual </w:t>
      </w:r>
      <w:r w:rsidRPr="0036463E">
        <w:rPr>
          <w:i/>
          <w:sz w:val="24"/>
          <w:szCs w:val="24"/>
        </w:rPr>
        <w:t>dispute</w:t>
      </w:r>
      <w:r w:rsidRPr="0036463E">
        <w:rPr>
          <w:sz w:val="24"/>
          <w:szCs w:val="24"/>
        </w:rPr>
        <w:t xml:space="preserve"> will prevent the </w:t>
      </w:r>
      <w:r w:rsidR="00245B5D">
        <w:rPr>
          <w:sz w:val="24"/>
          <w:szCs w:val="24"/>
        </w:rPr>
        <w:t>dismissal of the Complaint because</w:t>
      </w:r>
      <w:r w:rsidRPr="0036463E">
        <w:rPr>
          <w:sz w:val="24"/>
          <w:szCs w:val="24"/>
        </w:rPr>
        <w:t xml:space="preserve"> any doubt must be assumed in favor of the non-moving party.  </w:t>
      </w:r>
      <w:r w:rsidR="00245B5D">
        <w:rPr>
          <w:sz w:val="24"/>
          <w:szCs w:val="24"/>
        </w:rPr>
        <w:t>Thus</w:t>
      </w:r>
      <w:r w:rsidRPr="0036463E">
        <w:rPr>
          <w:sz w:val="24"/>
          <w:szCs w:val="24"/>
        </w:rPr>
        <w:t>, Duquesne</w:t>
      </w:r>
      <w:r>
        <w:rPr>
          <w:sz w:val="24"/>
          <w:szCs w:val="24"/>
        </w:rPr>
        <w:t xml:space="preserve"> Light</w:t>
      </w:r>
      <w:r w:rsidRPr="0036463E">
        <w:rPr>
          <w:sz w:val="24"/>
          <w:szCs w:val="24"/>
        </w:rPr>
        <w:t xml:space="preserve">’s </w:t>
      </w:r>
      <w:r w:rsidR="00245B5D">
        <w:rPr>
          <w:sz w:val="24"/>
          <w:szCs w:val="24"/>
        </w:rPr>
        <w:t>PO</w:t>
      </w:r>
      <w:r w:rsidRPr="0036463E">
        <w:rPr>
          <w:sz w:val="24"/>
          <w:szCs w:val="24"/>
        </w:rPr>
        <w:t xml:space="preserve"> </w:t>
      </w:r>
      <w:r w:rsidR="00245B5D">
        <w:rPr>
          <w:sz w:val="24"/>
          <w:szCs w:val="24"/>
        </w:rPr>
        <w:t xml:space="preserve">suggesting </w:t>
      </w:r>
      <w:r w:rsidRPr="0036463E">
        <w:rPr>
          <w:sz w:val="24"/>
          <w:szCs w:val="24"/>
        </w:rPr>
        <w:t xml:space="preserve">that the Commission lacks jurisdiction to grant any relief </w:t>
      </w:r>
      <w:r w:rsidR="00245B5D">
        <w:rPr>
          <w:sz w:val="24"/>
          <w:szCs w:val="24"/>
        </w:rPr>
        <w:t>must be denied</w:t>
      </w:r>
      <w:r w:rsidRPr="0036463E">
        <w:rPr>
          <w:sz w:val="24"/>
          <w:szCs w:val="24"/>
        </w:rPr>
        <w:t>.  This matter shall proceed to hearing.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Complainants are cautioned that Duquesne</w:t>
      </w:r>
      <w:r>
        <w:rPr>
          <w:sz w:val="24"/>
          <w:szCs w:val="24"/>
        </w:rPr>
        <w:t xml:space="preserve"> Light</w:t>
      </w:r>
      <w:r w:rsidRPr="0036463E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request to dismiss the </w:t>
      </w:r>
      <w:proofErr w:type="gramStart"/>
      <w:r>
        <w:rPr>
          <w:sz w:val="24"/>
          <w:szCs w:val="24"/>
        </w:rPr>
        <w:t>Complaint  with</w:t>
      </w:r>
      <w:proofErr w:type="gramEnd"/>
      <w:r>
        <w:rPr>
          <w:sz w:val="24"/>
          <w:szCs w:val="24"/>
        </w:rPr>
        <w:t xml:space="preserve"> prejudice is denied</w:t>
      </w:r>
      <w:r w:rsidRPr="0036463E">
        <w:rPr>
          <w:sz w:val="24"/>
          <w:szCs w:val="24"/>
        </w:rPr>
        <w:t xml:space="preserve"> on purely procedural grounds.  The denial does not, in any way, give credence to either the substance of the </w:t>
      </w:r>
      <w:r>
        <w:rPr>
          <w:sz w:val="24"/>
          <w:szCs w:val="24"/>
        </w:rPr>
        <w:t>C</w:t>
      </w:r>
      <w:r w:rsidRPr="0036463E">
        <w:rPr>
          <w:sz w:val="24"/>
          <w:szCs w:val="24"/>
        </w:rPr>
        <w:t xml:space="preserve">omplaint or to the likelihood of Complainants’ success on the merits.  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C</w:t>
      </w:r>
      <w:r w:rsidRPr="0036463E">
        <w:rPr>
          <w:spacing w:val="-3"/>
          <w:sz w:val="24"/>
          <w:szCs w:val="24"/>
        </w:rPr>
        <w:t xml:space="preserve">omplainants have the burden of showing that the named utility is responsible or accountable for the problem described in the complaint in order to prevail.  </w:t>
      </w:r>
      <w:r w:rsidRPr="0036463E">
        <w:rPr>
          <w:i/>
          <w:spacing w:val="-3"/>
          <w:sz w:val="24"/>
          <w:szCs w:val="24"/>
        </w:rPr>
        <w:t>Patterson v. Bell Telephone Company of Pennsylvania</w:t>
      </w:r>
      <w:r w:rsidRPr="0036463E">
        <w:rPr>
          <w:spacing w:val="-3"/>
          <w:sz w:val="24"/>
          <w:szCs w:val="24"/>
        </w:rPr>
        <w:t xml:space="preserve">, 72 Pa. PUC 196 (1990); </w:t>
      </w:r>
      <w:r w:rsidRPr="0036463E">
        <w:rPr>
          <w:i/>
          <w:spacing w:val="-3"/>
          <w:sz w:val="24"/>
          <w:szCs w:val="24"/>
        </w:rPr>
        <w:t>Feinstein v. Philadelphia Suburban Water Company</w:t>
      </w:r>
      <w:r w:rsidRPr="0036463E">
        <w:rPr>
          <w:spacing w:val="-3"/>
          <w:sz w:val="24"/>
          <w:szCs w:val="24"/>
        </w:rPr>
        <w:t xml:space="preserve">, 50 Pa. PUC 300 (1976).  This must be shown by a preponderance of the evidence.  </w:t>
      </w:r>
      <w:r w:rsidRPr="0036463E">
        <w:rPr>
          <w:i/>
          <w:spacing w:val="-3"/>
          <w:sz w:val="24"/>
          <w:szCs w:val="24"/>
        </w:rPr>
        <w:t xml:space="preserve">Samuel J. </w:t>
      </w:r>
      <w:proofErr w:type="spellStart"/>
      <w:r w:rsidRPr="0036463E">
        <w:rPr>
          <w:i/>
          <w:spacing w:val="-3"/>
          <w:sz w:val="24"/>
          <w:szCs w:val="24"/>
        </w:rPr>
        <w:t>Lansberry</w:t>
      </w:r>
      <w:proofErr w:type="spellEnd"/>
      <w:r w:rsidRPr="0036463E">
        <w:rPr>
          <w:i/>
          <w:spacing w:val="-3"/>
          <w:sz w:val="24"/>
          <w:szCs w:val="24"/>
        </w:rPr>
        <w:t>, Inc. v. Pa. Pub. Util. Comm’n</w:t>
      </w:r>
      <w:r w:rsidRPr="0036463E">
        <w:rPr>
          <w:spacing w:val="-3"/>
          <w:sz w:val="24"/>
          <w:szCs w:val="24"/>
        </w:rPr>
        <w:t xml:space="preserve">, 578 A.2d 600 (1990), </w:t>
      </w:r>
      <w:proofErr w:type="spellStart"/>
      <w:r w:rsidRPr="0036463E">
        <w:rPr>
          <w:i/>
          <w:spacing w:val="-3"/>
          <w:sz w:val="24"/>
          <w:szCs w:val="24"/>
        </w:rPr>
        <w:t>alloc</w:t>
      </w:r>
      <w:proofErr w:type="spellEnd"/>
      <w:r w:rsidRPr="0036463E">
        <w:rPr>
          <w:i/>
          <w:spacing w:val="-3"/>
          <w:sz w:val="24"/>
          <w:szCs w:val="24"/>
        </w:rPr>
        <w:t>. den.</w:t>
      </w:r>
      <w:r w:rsidRPr="0036463E">
        <w:rPr>
          <w:spacing w:val="-3"/>
          <w:sz w:val="24"/>
          <w:szCs w:val="24"/>
        </w:rPr>
        <w:t xml:space="preserve">, 602 A.2d 863 (1992).  That is, by presenting evidence more convincing, by even the smallest amount, than that presented by the other party.  </w:t>
      </w:r>
      <w:r w:rsidRPr="0036463E">
        <w:rPr>
          <w:i/>
          <w:spacing w:val="-3"/>
          <w:sz w:val="24"/>
          <w:szCs w:val="24"/>
        </w:rPr>
        <w:t xml:space="preserve">Se-Ling Hosiery v. </w:t>
      </w:r>
      <w:proofErr w:type="spellStart"/>
      <w:r w:rsidRPr="0036463E">
        <w:rPr>
          <w:i/>
          <w:spacing w:val="-3"/>
          <w:sz w:val="24"/>
          <w:szCs w:val="24"/>
        </w:rPr>
        <w:t>Marqulies</w:t>
      </w:r>
      <w:proofErr w:type="spellEnd"/>
      <w:r w:rsidRPr="0036463E">
        <w:rPr>
          <w:spacing w:val="-3"/>
          <w:sz w:val="24"/>
          <w:szCs w:val="24"/>
        </w:rPr>
        <w:t xml:space="preserve">, 70 A.2d 854 (1950).  </w:t>
      </w:r>
    </w:p>
    <w:p w:rsidR="0036463E" w:rsidRPr="0036463E" w:rsidRDefault="0036463E" w:rsidP="0036463E">
      <w:pPr>
        <w:autoSpaceDE w:val="0"/>
        <w:autoSpaceDN w:val="0"/>
        <w:spacing w:line="360" w:lineRule="auto"/>
        <w:ind w:firstLine="1440"/>
        <w:rPr>
          <w:spacing w:val="-3"/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ind w:firstLine="1440"/>
        <w:rPr>
          <w:spacing w:val="-3"/>
          <w:sz w:val="24"/>
          <w:szCs w:val="24"/>
        </w:rPr>
      </w:pPr>
      <w:r w:rsidRPr="0036463E">
        <w:rPr>
          <w:spacing w:val="-3"/>
          <w:sz w:val="24"/>
          <w:szCs w:val="24"/>
        </w:rPr>
        <w:t xml:space="preserve">Additionally, any finding of fact necessary to support the Commission’s adjudication must be based upon substantial evidence.  </w:t>
      </w:r>
      <w:r w:rsidRPr="0036463E">
        <w:rPr>
          <w:i/>
          <w:spacing w:val="-3"/>
          <w:sz w:val="24"/>
          <w:szCs w:val="24"/>
        </w:rPr>
        <w:t xml:space="preserve">Mill v. </w:t>
      </w:r>
      <w:proofErr w:type="spellStart"/>
      <w:r w:rsidRPr="0036463E">
        <w:rPr>
          <w:i/>
          <w:spacing w:val="-3"/>
          <w:sz w:val="24"/>
          <w:szCs w:val="24"/>
        </w:rPr>
        <w:t>Comm’w</w:t>
      </w:r>
      <w:proofErr w:type="spellEnd"/>
      <w:r w:rsidRPr="0036463E">
        <w:rPr>
          <w:i/>
          <w:spacing w:val="-3"/>
          <w:sz w:val="24"/>
          <w:szCs w:val="24"/>
        </w:rPr>
        <w:t>., Pa. Pub. Util. Comm’n</w:t>
      </w:r>
      <w:r w:rsidRPr="0036463E">
        <w:rPr>
          <w:spacing w:val="-3"/>
          <w:sz w:val="24"/>
          <w:szCs w:val="24"/>
        </w:rPr>
        <w:t xml:space="preserve">, 447 A.2d 1100 (1982); </w:t>
      </w:r>
      <w:r w:rsidRPr="0036463E">
        <w:rPr>
          <w:i/>
          <w:spacing w:val="-3"/>
          <w:sz w:val="24"/>
          <w:szCs w:val="24"/>
        </w:rPr>
        <w:t>Edan Transportation Corp. v. Pa. Pub. Util. Comm’n,</w:t>
      </w:r>
      <w:r w:rsidRPr="0036463E">
        <w:rPr>
          <w:spacing w:val="-3"/>
          <w:sz w:val="24"/>
          <w:szCs w:val="24"/>
        </w:rPr>
        <w:t xml:space="preserve"> 623 A.2d 6 (1993), 2 </w:t>
      </w:r>
      <w:proofErr w:type="spellStart"/>
      <w:r w:rsidRPr="0036463E">
        <w:rPr>
          <w:spacing w:val="-3"/>
          <w:sz w:val="24"/>
          <w:szCs w:val="24"/>
        </w:rPr>
        <w:t>Pa.C.S</w:t>
      </w:r>
      <w:proofErr w:type="spellEnd"/>
      <w:r w:rsidRPr="0036463E">
        <w:rPr>
          <w:spacing w:val="-3"/>
          <w:sz w:val="24"/>
          <w:szCs w:val="24"/>
        </w:rPr>
        <w:t xml:space="preserve">. § 704.  More is required than a mere trace of evidence or a suspicion of the existence of a fact sought to be established.  </w:t>
      </w:r>
      <w:r w:rsidRPr="0036463E">
        <w:rPr>
          <w:i/>
          <w:spacing w:val="-3"/>
          <w:sz w:val="24"/>
          <w:szCs w:val="24"/>
        </w:rPr>
        <w:t>Norfolk and Western Ry. v. Pa. Pub. Util. Comm’n</w:t>
      </w:r>
      <w:r w:rsidRPr="0036463E">
        <w:rPr>
          <w:spacing w:val="-3"/>
          <w:sz w:val="24"/>
          <w:szCs w:val="24"/>
        </w:rPr>
        <w:t xml:space="preserve">, 413 A.2d 1037 (1980); </w:t>
      </w:r>
      <w:r w:rsidRPr="0036463E">
        <w:rPr>
          <w:i/>
          <w:spacing w:val="-3"/>
          <w:sz w:val="24"/>
          <w:szCs w:val="24"/>
        </w:rPr>
        <w:t>Erie Resistor Corp. v. Unemployment Compensation Bd. of Review</w:t>
      </w:r>
      <w:r w:rsidRPr="0036463E">
        <w:rPr>
          <w:spacing w:val="-3"/>
          <w:sz w:val="24"/>
          <w:szCs w:val="24"/>
        </w:rPr>
        <w:t xml:space="preserve">, 166 A.2d 96 (1960); </w:t>
      </w:r>
      <w:r w:rsidRPr="0036463E">
        <w:rPr>
          <w:i/>
          <w:spacing w:val="-3"/>
          <w:sz w:val="24"/>
          <w:szCs w:val="24"/>
        </w:rPr>
        <w:t>Murphy v. Commonwealth, Dep’t. of Public Welfare, White Haven Center</w:t>
      </w:r>
      <w:r w:rsidRPr="0036463E">
        <w:rPr>
          <w:spacing w:val="-3"/>
          <w:sz w:val="24"/>
          <w:szCs w:val="24"/>
        </w:rPr>
        <w:t>, 480 A.2d 382 (1984).</w:t>
      </w:r>
    </w:p>
    <w:p w:rsidR="0036463E" w:rsidRPr="0036463E" w:rsidRDefault="0036463E" w:rsidP="0036463E">
      <w:pPr>
        <w:autoSpaceDE w:val="0"/>
        <w:autoSpaceDN w:val="0"/>
        <w:spacing w:line="360" w:lineRule="auto"/>
        <w:ind w:firstLine="1440"/>
        <w:rPr>
          <w:spacing w:val="-3"/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 xml:space="preserve">The utility company’s offense must be a violation of the Public Utility Code, the Commission’s regulations, or an outstanding order of the Commission.  66 </w:t>
      </w:r>
      <w:proofErr w:type="spellStart"/>
      <w:r w:rsidRPr="0036463E">
        <w:rPr>
          <w:sz w:val="24"/>
          <w:szCs w:val="24"/>
        </w:rPr>
        <w:t>Pa.C.S</w:t>
      </w:r>
      <w:proofErr w:type="spellEnd"/>
      <w:r w:rsidRPr="0036463E">
        <w:rPr>
          <w:sz w:val="24"/>
          <w:szCs w:val="24"/>
        </w:rPr>
        <w:t xml:space="preserve">. § 701.  Complainants are responsible for proving that the utility has acted improperly, </w:t>
      </w:r>
      <w:r w:rsidR="00245B5D">
        <w:rPr>
          <w:sz w:val="24"/>
          <w:szCs w:val="24"/>
        </w:rPr>
        <w:t>by</w:t>
      </w:r>
      <w:r w:rsidRPr="0036463E">
        <w:rPr>
          <w:sz w:val="24"/>
          <w:szCs w:val="24"/>
        </w:rPr>
        <w:t xml:space="preserve"> providing testimony and documentary evidence, such as expert reports, photographs and any other relevant </w:t>
      </w:r>
      <w:r w:rsidRPr="0036463E">
        <w:rPr>
          <w:sz w:val="24"/>
          <w:szCs w:val="24"/>
        </w:rPr>
        <w:lastRenderedPageBreak/>
        <w:t>materials necessary to support that finding, and that the Commission has the jurisdiction to provide the remedy.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For the reasons stated above, Duquesne</w:t>
      </w:r>
      <w:r w:rsidR="00AA498F">
        <w:rPr>
          <w:sz w:val="24"/>
          <w:szCs w:val="24"/>
        </w:rPr>
        <w:t xml:space="preserve"> Light</w:t>
      </w:r>
      <w:r w:rsidRPr="0036463E">
        <w:rPr>
          <w:sz w:val="24"/>
          <w:szCs w:val="24"/>
        </w:rPr>
        <w:t xml:space="preserve">’s </w:t>
      </w:r>
      <w:r w:rsidR="00245B5D">
        <w:rPr>
          <w:sz w:val="24"/>
          <w:szCs w:val="24"/>
        </w:rPr>
        <w:t>PO</w:t>
      </w:r>
      <w:r w:rsidRPr="0036463E">
        <w:rPr>
          <w:sz w:val="24"/>
          <w:szCs w:val="24"/>
        </w:rPr>
        <w:t xml:space="preserve"> will be </w:t>
      </w:r>
      <w:r w:rsidR="00245B5D">
        <w:rPr>
          <w:sz w:val="24"/>
          <w:szCs w:val="24"/>
        </w:rPr>
        <w:t>sustained</w:t>
      </w:r>
      <w:r w:rsidRPr="0036463E">
        <w:rPr>
          <w:sz w:val="24"/>
          <w:szCs w:val="24"/>
        </w:rPr>
        <w:t xml:space="preserve"> with respect to any claim </w:t>
      </w:r>
      <w:r w:rsidR="00C419DC">
        <w:rPr>
          <w:sz w:val="24"/>
          <w:szCs w:val="24"/>
        </w:rPr>
        <w:t>relating to criminal matters, damages, contractual matters or federal statutes</w:t>
      </w:r>
      <w:r w:rsidR="00245B5D">
        <w:rPr>
          <w:sz w:val="24"/>
          <w:szCs w:val="24"/>
        </w:rPr>
        <w:t>,</w:t>
      </w:r>
      <w:r w:rsidRPr="0036463E">
        <w:rPr>
          <w:sz w:val="24"/>
          <w:szCs w:val="24"/>
        </w:rPr>
        <w:t xml:space="preserve"> and </w:t>
      </w:r>
      <w:r w:rsidR="00245B5D">
        <w:rPr>
          <w:sz w:val="24"/>
          <w:szCs w:val="24"/>
        </w:rPr>
        <w:t>Duquesne Light’s request for dismissal of the Complaint with prejudice will be denied</w:t>
      </w:r>
      <w:r w:rsidRPr="0036463E">
        <w:rPr>
          <w:sz w:val="24"/>
          <w:szCs w:val="24"/>
        </w:rPr>
        <w:t xml:space="preserve"> with respect to Complainants’ allegations </w:t>
      </w:r>
      <w:r w:rsidR="00245B5D">
        <w:rPr>
          <w:sz w:val="24"/>
          <w:szCs w:val="24"/>
        </w:rPr>
        <w:t xml:space="preserve">concerning </w:t>
      </w:r>
      <w:r w:rsidR="00C419DC">
        <w:rPr>
          <w:sz w:val="24"/>
          <w:szCs w:val="24"/>
        </w:rPr>
        <w:t>overbilling and a payment arrangement</w:t>
      </w:r>
      <w:r w:rsidRPr="0036463E">
        <w:rPr>
          <w:sz w:val="24"/>
          <w:szCs w:val="24"/>
        </w:rPr>
        <w:t>.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 xml:space="preserve">The parties are directed to attempt to resolve this matter themselves and are 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 xml:space="preserve">strongly encouraged to participate in settlement negotiations.  Settlement discussions are consistent with the Commission’s regulations.  See 52 </w:t>
      </w:r>
      <w:proofErr w:type="spellStart"/>
      <w:r w:rsidRPr="0036463E">
        <w:rPr>
          <w:sz w:val="24"/>
          <w:szCs w:val="24"/>
        </w:rPr>
        <w:t>Pa.Code</w:t>
      </w:r>
      <w:proofErr w:type="spellEnd"/>
      <w:r w:rsidRPr="0036463E">
        <w:rPr>
          <w:sz w:val="24"/>
          <w:szCs w:val="24"/>
        </w:rPr>
        <w:t xml:space="preserve"> § 5.231.</w:t>
      </w:r>
    </w:p>
    <w:p w:rsidR="00245B5D" w:rsidRPr="0036463E" w:rsidRDefault="00245B5D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jc w:val="center"/>
        <w:rPr>
          <w:sz w:val="24"/>
          <w:szCs w:val="24"/>
          <w:u w:val="single"/>
        </w:rPr>
      </w:pPr>
      <w:r w:rsidRPr="0036463E">
        <w:rPr>
          <w:sz w:val="24"/>
          <w:szCs w:val="24"/>
          <w:u w:val="single"/>
        </w:rPr>
        <w:t>CONCLUSIONS OF LAW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1.</w:t>
      </w:r>
      <w:r w:rsidRPr="0036463E">
        <w:rPr>
          <w:sz w:val="24"/>
          <w:szCs w:val="24"/>
        </w:rPr>
        <w:tab/>
        <w:t>The Commission’s Rules of Administrative Practice and Procedure permit the filing of preliminary motions.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2.</w:t>
      </w:r>
      <w:r w:rsidRPr="0036463E">
        <w:rPr>
          <w:sz w:val="24"/>
          <w:szCs w:val="24"/>
        </w:rPr>
        <w:tab/>
        <w:t>The Commission has been granted broad powers to regulate all public utilities doing business within the Commonwealth.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3.</w:t>
      </w:r>
      <w:r w:rsidRPr="0036463E">
        <w:rPr>
          <w:sz w:val="24"/>
          <w:szCs w:val="24"/>
        </w:rPr>
        <w:tab/>
        <w:t xml:space="preserve">The Commission is empowered to determine whether a public utility is </w:t>
      </w:r>
      <w:r w:rsidR="00C419DC">
        <w:rPr>
          <w:sz w:val="24"/>
          <w:szCs w:val="24"/>
        </w:rPr>
        <w:t xml:space="preserve">in violation of the Public Utility Code, a Commission regulation or a Commission order. </w:t>
      </w:r>
    </w:p>
    <w:p w:rsidR="00C419DC" w:rsidRPr="0036463E" w:rsidRDefault="00C419DC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C419DC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4.</w:t>
      </w:r>
      <w:r w:rsidRPr="0036463E">
        <w:rPr>
          <w:sz w:val="24"/>
          <w:szCs w:val="24"/>
        </w:rPr>
        <w:tab/>
      </w:r>
      <w:r w:rsidR="00C419DC">
        <w:rPr>
          <w:sz w:val="24"/>
          <w:szCs w:val="24"/>
        </w:rPr>
        <w:t>The Commission lack</w:t>
      </w:r>
      <w:r w:rsidR="00AA498F">
        <w:rPr>
          <w:sz w:val="24"/>
          <w:szCs w:val="24"/>
        </w:rPr>
        <w:t>s</w:t>
      </w:r>
      <w:r w:rsidR="00C419DC">
        <w:rPr>
          <w:sz w:val="24"/>
          <w:szCs w:val="24"/>
        </w:rPr>
        <w:t xml:space="preserve"> the authority to adjudicate a private dispute.</w:t>
      </w:r>
    </w:p>
    <w:p w:rsidR="00C419DC" w:rsidRDefault="00C419DC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Default="00C419DC" w:rsidP="0036463E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 w:rsidR="0036463E" w:rsidRPr="0036463E">
        <w:rPr>
          <w:sz w:val="24"/>
          <w:szCs w:val="24"/>
        </w:rPr>
        <w:t>The Commissions lacks the authority to award monetary damages.</w:t>
      </w:r>
    </w:p>
    <w:p w:rsidR="00C419DC" w:rsidRDefault="00C419DC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C419DC" w:rsidRDefault="00C419DC" w:rsidP="0036463E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382A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The Commission has the authority to order a public utility to issue a refund.</w:t>
      </w:r>
    </w:p>
    <w:p w:rsidR="00C419DC" w:rsidRDefault="00C419DC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C419DC" w:rsidRPr="0036463E" w:rsidRDefault="00C419DC" w:rsidP="0036463E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382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The Commission has the authority to establish a payment arrangement for an applicant or customer.</w:t>
      </w:r>
    </w:p>
    <w:p w:rsidR="0036463E" w:rsidRPr="0036463E" w:rsidRDefault="0036463E" w:rsidP="0036463E">
      <w:pPr>
        <w:autoSpaceDE w:val="0"/>
        <w:autoSpaceDN w:val="0"/>
        <w:spacing w:line="360" w:lineRule="auto"/>
        <w:jc w:val="center"/>
        <w:rPr>
          <w:sz w:val="24"/>
          <w:szCs w:val="24"/>
          <w:u w:val="single"/>
        </w:rPr>
      </w:pPr>
      <w:r w:rsidRPr="0036463E">
        <w:rPr>
          <w:sz w:val="24"/>
          <w:szCs w:val="24"/>
          <w:u w:val="single"/>
        </w:rPr>
        <w:lastRenderedPageBreak/>
        <w:t>ORDER</w:t>
      </w:r>
    </w:p>
    <w:p w:rsidR="0036463E" w:rsidRDefault="0036463E" w:rsidP="0036463E">
      <w:pPr>
        <w:autoSpaceDE w:val="0"/>
        <w:autoSpaceDN w:val="0"/>
        <w:spacing w:line="360" w:lineRule="auto"/>
        <w:jc w:val="center"/>
        <w:rPr>
          <w:b/>
          <w:sz w:val="24"/>
          <w:szCs w:val="24"/>
        </w:rPr>
      </w:pPr>
    </w:p>
    <w:p w:rsidR="001744B3" w:rsidRPr="0036463E" w:rsidRDefault="001744B3" w:rsidP="0036463E">
      <w:pPr>
        <w:autoSpaceDE w:val="0"/>
        <w:autoSpaceDN w:val="0"/>
        <w:spacing w:line="360" w:lineRule="auto"/>
        <w:jc w:val="center"/>
        <w:rPr>
          <w:b/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THEREFORE,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IT IS ORDERED: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1.</w:t>
      </w:r>
      <w:r w:rsidRPr="0036463E">
        <w:rPr>
          <w:sz w:val="24"/>
          <w:szCs w:val="24"/>
        </w:rPr>
        <w:tab/>
        <w:t>That the Preliminary Objection</w:t>
      </w:r>
      <w:r w:rsidR="00C419DC">
        <w:rPr>
          <w:sz w:val="24"/>
          <w:szCs w:val="24"/>
        </w:rPr>
        <w:t>s</w:t>
      </w:r>
      <w:r w:rsidRPr="0036463E">
        <w:rPr>
          <w:sz w:val="24"/>
          <w:szCs w:val="24"/>
        </w:rPr>
        <w:t xml:space="preserve"> filed by Duquesne Light Company to the Complaint filed by </w:t>
      </w:r>
      <w:bookmarkStart w:id="4" w:name="_Hlk508632139"/>
      <w:r w:rsidR="00C419DC">
        <w:rPr>
          <w:sz w:val="24"/>
          <w:szCs w:val="24"/>
        </w:rPr>
        <w:t xml:space="preserve">Karen </w:t>
      </w:r>
      <w:proofErr w:type="spellStart"/>
      <w:r w:rsidR="00C419DC">
        <w:rPr>
          <w:sz w:val="24"/>
          <w:szCs w:val="24"/>
        </w:rPr>
        <w:t>Feitt</w:t>
      </w:r>
      <w:proofErr w:type="spellEnd"/>
      <w:r w:rsidR="00C419DC">
        <w:rPr>
          <w:sz w:val="24"/>
          <w:szCs w:val="24"/>
        </w:rPr>
        <w:t xml:space="preserve"> and H. Mendoza, Jr. </w:t>
      </w:r>
      <w:r w:rsidR="001C60A7">
        <w:rPr>
          <w:sz w:val="24"/>
          <w:szCs w:val="24"/>
        </w:rPr>
        <w:t xml:space="preserve">against Duquesne Light Company </w:t>
      </w:r>
      <w:r w:rsidR="00C419DC">
        <w:rPr>
          <w:sz w:val="24"/>
          <w:szCs w:val="24"/>
        </w:rPr>
        <w:t xml:space="preserve">at </w:t>
      </w:r>
      <w:r w:rsidRPr="0036463E">
        <w:rPr>
          <w:sz w:val="24"/>
          <w:szCs w:val="24"/>
        </w:rPr>
        <w:t xml:space="preserve">Docket No. </w:t>
      </w:r>
      <w:r w:rsidR="00C419DC">
        <w:rPr>
          <w:sz w:val="24"/>
          <w:szCs w:val="24"/>
        </w:rPr>
        <w:t>F</w:t>
      </w:r>
      <w:r w:rsidRPr="0036463E">
        <w:rPr>
          <w:sz w:val="24"/>
          <w:szCs w:val="24"/>
        </w:rPr>
        <w:t>-201</w:t>
      </w:r>
      <w:r w:rsidR="00C419DC">
        <w:rPr>
          <w:sz w:val="24"/>
          <w:szCs w:val="24"/>
        </w:rPr>
        <w:t>7</w:t>
      </w:r>
      <w:r w:rsidRPr="0036463E">
        <w:rPr>
          <w:sz w:val="24"/>
          <w:szCs w:val="24"/>
        </w:rPr>
        <w:t>-26</w:t>
      </w:r>
      <w:r w:rsidR="00C419DC">
        <w:rPr>
          <w:sz w:val="24"/>
          <w:szCs w:val="24"/>
        </w:rPr>
        <w:t>36316</w:t>
      </w:r>
      <w:r w:rsidRPr="0036463E">
        <w:rPr>
          <w:sz w:val="24"/>
          <w:szCs w:val="24"/>
        </w:rPr>
        <w:t xml:space="preserve"> </w:t>
      </w:r>
      <w:bookmarkEnd w:id="4"/>
      <w:r w:rsidR="00245B5D">
        <w:rPr>
          <w:sz w:val="24"/>
          <w:szCs w:val="24"/>
        </w:rPr>
        <w:t>are sustained</w:t>
      </w:r>
      <w:r w:rsidRPr="0036463E">
        <w:rPr>
          <w:sz w:val="24"/>
          <w:szCs w:val="24"/>
        </w:rPr>
        <w:t xml:space="preserve"> with respect to any claim of Complainants for monetary relief</w:t>
      </w:r>
      <w:r w:rsidR="00C419DC">
        <w:rPr>
          <w:sz w:val="24"/>
          <w:szCs w:val="24"/>
        </w:rPr>
        <w:t>, alleged violation of criminal laws</w:t>
      </w:r>
      <w:r w:rsidR="001C60A7">
        <w:rPr>
          <w:sz w:val="24"/>
          <w:szCs w:val="24"/>
        </w:rPr>
        <w:t xml:space="preserve">, </w:t>
      </w:r>
      <w:r w:rsidR="00C419DC">
        <w:rPr>
          <w:sz w:val="24"/>
          <w:szCs w:val="24"/>
        </w:rPr>
        <w:t>federal banking</w:t>
      </w:r>
      <w:r w:rsidR="001C60A7">
        <w:rPr>
          <w:sz w:val="24"/>
          <w:szCs w:val="24"/>
        </w:rPr>
        <w:t xml:space="preserve"> laws or private contractual matters</w:t>
      </w:r>
      <w:r w:rsidRPr="0036463E">
        <w:rPr>
          <w:sz w:val="24"/>
          <w:szCs w:val="24"/>
        </w:rPr>
        <w:t>.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CE5F45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  <w:t>2.</w:t>
      </w:r>
      <w:r w:rsidRPr="0036463E">
        <w:rPr>
          <w:sz w:val="24"/>
          <w:szCs w:val="24"/>
        </w:rPr>
        <w:tab/>
        <w:t>That Duquesne Light Company</w:t>
      </w:r>
      <w:r w:rsidR="00245B5D">
        <w:rPr>
          <w:sz w:val="24"/>
          <w:szCs w:val="24"/>
        </w:rPr>
        <w:t xml:space="preserve">’s request </w:t>
      </w:r>
      <w:r w:rsidRPr="0036463E">
        <w:rPr>
          <w:sz w:val="24"/>
          <w:szCs w:val="24"/>
        </w:rPr>
        <w:t xml:space="preserve">to dismiss the Complaint filed by </w:t>
      </w:r>
      <w:r w:rsidR="001C60A7">
        <w:rPr>
          <w:sz w:val="24"/>
          <w:szCs w:val="24"/>
        </w:rPr>
        <w:t xml:space="preserve">Karen </w:t>
      </w:r>
      <w:proofErr w:type="spellStart"/>
      <w:r w:rsidR="001C60A7">
        <w:rPr>
          <w:sz w:val="24"/>
          <w:szCs w:val="24"/>
        </w:rPr>
        <w:t>Feitt</w:t>
      </w:r>
      <w:proofErr w:type="spellEnd"/>
      <w:r w:rsidR="001C60A7">
        <w:rPr>
          <w:sz w:val="24"/>
          <w:szCs w:val="24"/>
        </w:rPr>
        <w:t xml:space="preserve"> and H. Mendoza, Jr. against Duquesne Light at </w:t>
      </w:r>
      <w:r w:rsidR="001C60A7" w:rsidRPr="0036463E">
        <w:rPr>
          <w:sz w:val="24"/>
          <w:szCs w:val="24"/>
        </w:rPr>
        <w:t xml:space="preserve">Docket No. </w:t>
      </w:r>
      <w:r w:rsidR="001C60A7">
        <w:rPr>
          <w:sz w:val="24"/>
          <w:szCs w:val="24"/>
        </w:rPr>
        <w:t>F</w:t>
      </w:r>
      <w:r w:rsidR="001C60A7" w:rsidRPr="0036463E">
        <w:rPr>
          <w:sz w:val="24"/>
          <w:szCs w:val="24"/>
        </w:rPr>
        <w:t>-201</w:t>
      </w:r>
      <w:r w:rsidR="001C60A7">
        <w:rPr>
          <w:sz w:val="24"/>
          <w:szCs w:val="24"/>
        </w:rPr>
        <w:t>7</w:t>
      </w:r>
      <w:r w:rsidR="001C60A7" w:rsidRPr="0036463E">
        <w:rPr>
          <w:sz w:val="24"/>
          <w:szCs w:val="24"/>
        </w:rPr>
        <w:t>-26</w:t>
      </w:r>
      <w:r w:rsidR="001C60A7">
        <w:rPr>
          <w:sz w:val="24"/>
          <w:szCs w:val="24"/>
        </w:rPr>
        <w:t>36316</w:t>
      </w:r>
      <w:r w:rsidR="001C60A7" w:rsidRPr="0036463E">
        <w:rPr>
          <w:sz w:val="24"/>
          <w:szCs w:val="24"/>
        </w:rPr>
        <w:t xml:space="preserve"> </w:t>
      </w:r>
      <w:r w:rsidRPr="0036463E">
        <w:rPr>
          <w:sz w:val="24"/>
          <w:szCs w:val="24"/>
        </w:rPr>
        <w:t xml:space="preserve">is denied with respect to Complainants’ allegations </w:t>
      </w:r>
      <w:r w:rsidR="00245B5D">
        <w:rPr>
          <w:sz w:val="24"/>
          <w:szCs w:val="24"/>
        </w:rPr>
        <w:t>concerning</w:t>
      </w:r>
      <w:r w:rsidRPr="0036463E">
        <w:rPr>
          <w:sz w:val="24"/>
          <w:szCs w:val="24"/>
        </w:rPr>
        <w:t xml:space="preserve"> </w:t>
      </w:r>
      <w:r w:rsidR="001C60A7">
        <w:rPr>
          <w:sz w:val="24"/>
          <w:szCs w:val="24"/>
        </w:rPr>
        <w:t>overbilling and a request for a payment arrangement.</w:t>
      </w:r>
    </w:p>
    <w:p w:rsidR="00CE5F45" w:rsidRDefault="00CE5F45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CE5F45" w:rsidP="0036463E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That this matter shall proceed to hearing consistent with the reasoning in this Order.</w:t>
      </w:r>
      <w:r w:rsidR="001C60A7">
        <w:rPr>
          <w:sz w:val="24"/>
          <w:szCs w:val="24"/>
        </w:rPr>
        <w:t xml:space="preserve"> </w:t>
      </w:r>
      <w:r w:rsidR="0036463E" w:rsidRPr="0036463E">
        <w:rPr>
          <w:sz w:val="24"/>
          <w:szCs w:val="24"/>
        </w:rPr>
        <w:t xml:space="preserve"> </w:t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sz w:val="24"/>
          <w:szCs w:val="24"/>
        </w:rPr>
        <w:tab/>
      </w:r>
      <w:r w:rsidRPr="0036463E">
        <w:rPr>
          <w:sz w:val="24"/>
          <w:szCs w:val="24"/>
        </w:rPr>
        <w:tab/>
      </w:r>
      <w:r w:rsidR="00CE5F45">
        <w:rPr>
          <w:sz w:val="24"/>
          <w:szCs w:val="24"/>
        </w:rPr>
        <w:t>4</w:t>
      </w:r>
      <w:r w:rsidRPr="0036463E">
        <w:rPr>
          <w:sz w:val="24"/>
          <w:szCs w:val="24"/>
        </w:rPr>
        <w:t>.</w:t>
      </w:r>
      <w:r w:rsidRPr="0036463E">
        <w:rPr>
          <w:sz w:val="24"/>
          <w:szCs w:val="24"/>
        </w:rPr>
        <w:tab/>
        <w:t xml:space="preserve">That this case shall </w:t>
      </w:r>
      <w:r w:rsidR="001C60A7">
        <w:rPr>
          <w:sz w:val="24"/>
          <w:szCs w:val="24"/>
        </w:rPr>
        <w:t xml:space="preserve">be scheduled for </w:t>
      </w:r>
      <w:r w:rsidRPr="0036463E">
        <w:rPr>
          <w:sz w:val="24"/>
          <w:szCs w:val="24"/>
        </w:rPr>
        <w:t xml:space="preserve">hearing </w:t>
      </w:r>
      <w:r w:rsidR="001C60A7">
        <w:rPr>
          <w:sz w:val="24"/>
          <w:szCs w:val="24"/>
        </w:rPr>
        <w:t xml:space="preserve">by the Scheduling Staff of the Office of Administrative Law Judge for the next available hearing date </w:t>
      </w:r>
      <w:r w:rsidRPr="0036463E">
        <w:rPr>
          <w:sz w:val="24"/>
          <w:szCs w:val="24"/>
        </w:rPr>
        <w:t xml:space="preserve">before the undersigned presiding officer. </w:t>
      </w:r>
    </w:p>
    <w:p w:rsidR="004C1C66" w:rsidRDefault="004C1C66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4C1C66" w:rsidRDefault="004C1C66" w:rsidP="0036463E">
      <w:pPr>
        <w:autoSpaceDE w:val="0"/>
        <w:autoSpaceDN w:val="0"/>
        <w:spacing w:line="360" w:lineRule="auto"/>
        <w:rPr>
          <w:sz w:val="24"/>
          <w:szCs w:val="24"/>
        </w:rPr>
      </w:pP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rFonts w:ascii="CG Times (W1)" w:hAnsi="CG Times (W1)" w:cs="CG Times (W1)"/>
          <w:noProof/>
        </w:rPr>
        <w:drawing>
          <wp:anchor distT="0" distB="0" distL="114300" distR="114300" simplePos="0" relativeHeight="251665408" behindDoc="1" locked="0" layoutInCell="1" allowOverlap="1" wp14:anchorId="360E95BB" wp14:editId="6892F109">
            <wp:simplePos x="0" y="0"/>
            <wp:positionH relativeFrom="column">
              <wp:posOffset>3112770</wp:posOffset>
            </wp:positionH>
            <wp:positionV relativeFrom="paragraph">
              <wp:posOffset>4445</wp:posOffset>
            </wp:positionV>
            <wp:extent cx="2821305" cy="1073785"/>
            <wp:effectExtent l="0" t="0" r="0" b="0"/>
            <wp:wrapNone/>
            <wp:docPr id="3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63E" w:rsidRPr="0036463E" w:rsidRDefault="0036463E" w:rsidP="0036463E">
      <w:pPr>
        <w:autoSpaceDE w:val="0"/>
        <w:autoSpaceDN w:val="0"/>
        <w:spacing w:line="360" w:lineRule="auto"/>
        <w:rPr>
          <w:sz w:val="24"/>
          <w:szCs w:val="24"/>
        </w:rPr>
      </w:pPr>
      <w:r w:rsidRPr="0036463E">
        <w:rPr>
          <w:rFonts w:cs="CG Times (W1)"/>
          <w:sz w:val="24"/>
          <w:szCs w:val="24"/>
        </w:rPr>
        <w:t>Date:</w:t>
      </w:r>
      <w:r w:rsidR="0010288C">
        <w:rPr>
          <w:rFonts w:cs="CG Times (W1)"/>
          <w:sz w:val="24"/>
          <w:szCs w:val="24"/>
        </w:rPr>
        <w:t xml:space="preserve">  </w:t>
      </w:r>
      <w:r w:rsidR="001C60A7" w:rsidRPr="001C60A7">
        <w:rPr>
          <w:rFonts w:cs="CG Times (W1)"/>
          <w:sz w:val="24"/>
          <w:szCs w:val="24"/>
          <w:u w:val="single"/>
        </w:rPr>
        <w:t>March 13, 2018</w:t>
      </w:r>
      <w:r w:rsidRPr="0036463E">
        <w:rPr>
          <w:rFonts w:cs="CG Times (W1)"/>
          <w:sz w:val="24"/>
          <w:szCs w:val="24"/>
        </w:rPr>
        <w:tab/>
      </w:r>
      <w:r w:rsidRPr="0036463E">
        <w:rPr>
          <w:rFonts w:cs="CG Times (W1)"/>
          <w:sz w:val="24"/>
          <w:szCs w:val="24"/>
        </w:rPr>
        <w:tab/>
      </w:r>
      <w:r w:rsidRPr="0036463E">
        <w:rPr>
          <w:rFonts w:cs="CG Times (W1)"/>
          <w:sz w:val="24"/>
          <w:szCs w:val="24"/>
        </w:rPr>
        <w:tab/>
      </w:r>
      <w:r w:rsidRPr="0036463E">
        <w:rPr>
          <w:rFonts w:cs="CG Times (W1)"/>
          <w:sz w:val="24"/>
          <w:szCs w:val="24"/>
        </w:rPr>
        <w:tab/>
      </w:r>
      <w:r w:rsidRPr="0036463E">
        <w:rPr>
          <w:rFonts w:cs="CG Times (W1)"/>
          <w:sz w:val="24"/>
          <w:szCs w:val="24"/>
        </w:rPr>
        <w:tab/>
        <w:t xml:space="preserve"> </w:t>
      </w:r>
    </w:p>
    <w:p w:rsidR="0036463E" w:rsidRPr="002C2398" w:rsidRDefault="0036463E" w:rsidP="002C2398">
      <w:pPr>
        <w:autoSpaceDE w:val="0"/>
        <w:autoSpaceDN w:val="0"/>
        <w:spacing w:line="360" w:lineRule="auto"/>
        <w:rPr>
          <w:sz w:val="24"/>
          <w:szCs w:val="24"/>
        </w:rPr>
      </w:pPr>
    </w:p>
    <w:p w:rsidR="001C60A7" w:rsidRDefault="001C60A7" w:rsidP="004C2C5B">
      <w:pPr>
        <w:spacing w:after="160" w:line="259" w:lineRule="auto"/>
        <w:rPr>
          <w:rFonts w:ascii="Microsoft Sans Serif" w:hAnsi="Calibri"/>
          <w:b/>
          <w:sz w:val="24"/>
          <w:szCs w:val="22"/>
          <w:u w:val="single"/>
        </w:rPr>
      </w:pPr>
    </w:p>
    <w:p w:rsidR="004C1C66" w:rsidRDefault="004C1C66" w:rsidP="001C60A7">
      <w:pPr>
        <w:spacing w:line="259" w:lineRule="auto"/>
        <w:contextualSpacing/>
        <w:rPr>
          <w:rFonts w:ascii="Microsoft Sans Serif" w:hAnsi="Calibri"/>
          <w:b/>
          <w:sz w:val="24"/>
          <w:szCs w:val="22"/>
          <w:u w:val="single"/>
        </w:rPr>
        <w:sectPr w:rsidR="004C1C66" w:rsidSect="0035125B">
          <w:footerReference w:type="even" r:id="rId9"/>
          <w:footerReference w:type="default" r:id="rId10"/>
          <w:pgSz w:w="12240" w:h="15840"/>
          <w:pgMar w:top="1440" w:right="1080" w:bottom="1440" w:left="1350" w:header="720" w:footer="720" w:gutter="0"/>
          <w:cols w:space="720"/>
          <w:noEndnote/>
          <w:titlePg/>
          <w:docGrid w:linePitch="272"/>
        </w:sectPr>
      </w:pPr>
    </w:p>
    <w:p w:rsidR="001C60A7" w:rsidRDefault="004C2C5B" w:rsidP="001C60A7">
      <w:pPr>
        <w:spacing w:line="259" w:lineRule="auto"/>
        <w:contextualSpacing/>
        <w:rPr>
          <w:rFonts w:ascii="Microsoft Sans Serif" w:hAnsi="Calibri"/>
          <w:sz w:val="24"/>
          <w:szCs w:val="22"/>
        </w:rPr>
      </w:pPr>
      <w:r w:rsidRPr="004C2C5B">
        <w:rPr>
          <w:rFonts w:ascii="Microsoft Sans Serif" w:hAnsi="Calibri"/>
          <w:b/>
          <w:sz w:val="24"/>
          <w:szCs w:val="22"/>
          <w:u w:val="single"/>
        </w:rPr>
        <w:lastRenderedPageBreak/>
        <w:t>F-2017-263</w:t>
      </w:r>
      <w:r w:rsidR="001C60A7">
        <w:rPr>
          <w:rFonts w:ascii="Microsoft Sans Serif" w:hAnsi="Calibri"/>
          <w:b/>
          <w:sz w:val="24"/>
          <w:szCs w:val="22"/>
          <w:u w:val="single"/>
        </w:rPr>
        <w:t>6316</w:t>
      </w:r>
      <w:r w:rsidRPr="004C2C5B">
        <w:rPr>
          <w:rFonts w:ascii="Microsoft Sans Serif" w:hAnsi="Calibri"/>
          <w:b/>
          <w:sz w:val="24"/>
          <w:szCs w:val="22"/>
          <w:u w:val="single"/>
        </w:rPr>
        <w:t xml:space="preserve"> </w:t>
      </w:r>
      <w:r w:rsidR="001C60A7">
        <w:rPr>
          <w:rFonts w:ascii="Microsoft Sans Serif" w:hAnsi="Calibri"/>
          <w:b/>
          <w:sz w:val="24"/>
          <w:szCs w:val="22"/>
          <w:u w:val="single"/>
        </w:rPr>
        <w:t>–</w:t>
      </w:r>
      <w:r w:rsidRPr="004C2C5B">
        <w:rPr>
          <w:rFonts w:ascii="Microsoft Sans Serif" w:hAnsi="Calibri"/>
          <w:b/>
          <w:sz w:val="24"/>
          <w:szCs w:val="22"/>
          <w:u w:val="single"/>
        </w:rPr>
        <w:t xml:space="preserve"> </w:t>
      </w:r>
      <w:r w:rsidR="001C60A7">
        <w:rPr>
          <w:rFonts w:ascii="Microsoft Sans Serif" w:hAnsi="Calibri"/>
          <w:b/>
          <w:sz w:val="24"/>
          <w:szCs w:val="22"/>
          <w:u w:val="single"/>
        </w:rPr>
        <w:t>KAREN FEITT AND H.  MENDOZA, JR.</w:t>
      </w:r>
      <w:r w:rsidRPr="004C2C5B">
        <w:rPr>
          <w:rFonts w:ascii="Microsoft Sans Serif" w:hAnsi="Calibri"/>
          <w:b/>
          <w:sz w:val="24"/>
          <w:szCs w:val="22"/>
          <w:u w:val="single"/>
        </w:rPr>
        <w:t xml:space="preserve"> v. DUQUESNE LIGHT COMPANY</w:t>
      </w:r>
      <w:r w:rsidRPr="004C2C5B">
        <w:rPr>
          <w:rFonts w:ascii="Microsoft Sans Serif" w:hAnsi="Calibri"/>
          <w:b/>
          <w:sz w:val="24"/>
          <w:szCs w:val="22"/>
          <w:u w:val="single"/>
        </w:rPr>
        <w:cr/>
      </w:r>
      <w:r w:rsidRPr="004C2C5B">
        <w:rPr>
          <w:rFonts w:ascii="Microsoft Sans Serif" w:hAnsi="Calibri"/>
          <w:b/>
          <w:sz w:val="24"/>
          <w:szCs w:val="22"/>
          <w:u w:val="single"/>
        </w:rPr>
        <w:cr/>
      </w:r>
      <w:r w:rsidR="001C60A7">
        <w:rPr>
          <w:rFonts w:ascii="Microsoft Sans Serif" w:hAnsi="Calibri"/>
          <w:sz w:val="24"/>
          <w:szCs w:val="22"/>
        </w:rPr>
        <w:t xml:space="preserve">KAREN </w:t>
      </w:r>
      <w:r w:rsidR="00040489">
        <w:rPr>
          <w:rFonts w:ascii="Microsoft Sans Serif" w:hAnsi="Calibri"/>
          <w:sz w:val="24"/>
          <w:szCs w:val="22"/>
        </w:rPr>
        <w:t>F</w:t>
      </w:r>
      <w:r w:rsidR="001C60A7">
        <w:rPr>
          <w:rFonts w:ascii="Microsoft Sans Serif" w:hAnsi="Calibri"/>
          <w:sz w:val="24"/>
          <w:szCs w:val="22"/>
        </w:rPr>
        <w:t>EITT</w:t>
      </w:r>
      <w:r w:rsidRPr="004C2C5B">
        <w:rPr>
          <w:rFonts w:ascii="Microsoft Sans Serif" w:hAnsi="Calibri"/>
          <w:sz w:val="24"/>
          <w:szCs w:val="22"/>
        </w:rPr>
        <w:cr/>
      </w:r>
      <w:r w:rsidR="001C60A7">
        <w:rPr>
          <w:rFonts w:ascii="Microsoft Sans Serif" w:hAnsi="Calibri"/>
          <w:sz w:val="24"/>
          <w:szCs w:val="22"/>
        </w:rPr>
        <w:t>H MENDOZA JR</w:t>
      </w:r>
    </w:p>
    <w:p w:rsidR="001C60A7" w:rsidRDefault="001C60A7" w:rsidP="001C60A7">
      <w:pPr>
        <w:spacing w:line="259" w:lineRule="auto"/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1036 JACKMAN AVENUE</w:t>
      </w:r>
    </w:p>
    <w:p w:rsidR="001C60A7" w:rsidRDefault="001C60A7" w:rsidP="001C60A7">
      <w:pPr>
        <w:spacing w:line="259" w:lineRule="auto"/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AVALON PA 15202</w:t>
      </w:r>
    </w:p>
    <w:p w:rsidR="001C60A7" w:rsidRPr="00CB5FB9" w:rsidRDefault="00CB5FB9" w:rsidP="001C60A7">
      <w:pPr>
        <w:spacing w:line="259" w:lineRule="auto"/>
        <w:contextualSpacing/>
        <w:rPr>
          <w:rFonts w:ascii="Microsoft Sans Serif" w:hAnsi="Calibri"/>
          <w:b/>
          <w:sz w:val="24"/>
          <w:szCs w:val="22"/>
        </w:rPr>
      </w:pPr>
      <w:r>
        <w:rPr>
          <w:rFonts w:ascii="Microsoft Sans Serif" w:hAnsi="Calibri"/>
          <w:b/>
          <w:sz w:val="24"/>
          <w:szCs w:val="22"/>
        </w:rPr>
        <w:t>412.499.1822</w:t>
      </w:r>
    </w:p>
    <w:p w:rsidR="004C2C5B" w:rsidRPr="004C2C5B" w:rsidRDefault="004C2C5B" w:rsidP="004C2C5B">
      <w:pPr>
        <w:spacing w:after="160" w:line="259" w:lineRule="auto"/>
        <w:rPr>
          <w:rFonts w:ascii="Calibri" w:hAnsi="Calibri"/>
          <w:sz w:val="22"/>
          <w:szCs w:val="22"/>
        </w:rPr>
      </w:pPr>
      <w:r w:rsidRPr="004C2C5B">
        <w:rPr>
          <w:rFonts w:ascii="Microsoft Sans Serif" w:hAnsi="Calibri"/>
          <w:sz w:val="24"/>
          <w:szCs w:val="22"/>
        </w:rPr>
        <w:cr/>
      </w:r>
      <w:r w:rsidR="001C60A7">
        <w:rPr>
          <w:rFonts w:ascii="Microsoft Sans Serif" w:hAnsi="Calibri"/>
          <w:sz w:val="24"/>
          <w:szCs w:val="22"/>
        </w:rPr>
        <w:t>LAUREN N</w:t>
      </w:r>
      <w:r w:rsidRPr="004C2C5B">
        <w:rPr>
          <w:rFonts w:ascii="Microsoft Sans Serif" w:hAnsi="Calibri"/>
          <w:sz w:val="24"/>
          <w:szCs w:val="22"/>
        </w:rPr>
        <w:t xml:space="preserve"> </w:t>
      </w:r>
      <w:r w:rsidR="001C60A7">
        <w:rPr>
          <w:rFonts w:ascii="Microsoft Sans Serif" w:hAnsi="Calibri"/>
          <w:sz w:val="24"/>
          <w:szCs w:val="22"/>
        </w:rPr>
        <w:t>RULI</w:t>
      </w:r>
      <w:r w:rsidRPr="004C2C5B">
        <w:rPr>
          <w:rFonts w:ascii="Microsoft Sans Serif" w:hAnsi="Calibri"/>
          <w:sz w:val="24"/>
          <w:szCs w:val="22"/>
        </w:rPr>
        <w:t xml:space="preserve"> ESQUIRE</w:t>
      </w:r>
      <w:r w:rsidRPr="004C2C5B">
        <w:rPr>
          <w:rFonts w:ascii="Microsoft Sans Serif" w:hAnsi="Calibri"/>
          <w:sz w:val="24"/>
          <w:szCs w:val="22"/>
        </w:rPr>
        <w:cr/>
        <w:t>TUCKER ARENSBERG PC</w:t>
      </w:r>
      <w:r w:rsidRPr="004C2C5B">
        <w:rPr>
          <w:rFonts w:ascii="Microsoft Sans Serif" w:hAnsi="Calibri"/>
          <w:sz w:val="24"/>
          <w:szCs w:val="22"/>
        </w:rPr>
        <w:cr/>
        <w:t>1500 ONE PPG PLACE</w:t>
      </w:r>
      <w:r w:rsidRPr="004C2C5B">
        <w:rPr>
          <w:rFonts w:ascii="Microsoft Sans Serif" w:hAnsi="Calibri"/>
          <w:sz w:val="24"/>
          <w:szCs w:val="22"/>
        </w:rPr>
        <w:cr/>
        <w:t>PITTSBURGH PA  15222</w:t>
      </w:r>
      <w:r w:rsidRPr="004C2C5B">
        <w:rPr>
          <w:rFonts w:ascii="Microsoft Sans Serif" w:hAnsi="Calibri"/>
          <w:sz w:val="24"/>
          <w:szCs w:val="22"/>
        </w:rPr>
        <w:cr/>
      </w:r>
      <w:r w:rsidRPr="004C2C5B">
        <w:rPr>
          <w:rFonts w:ascii="Microsoft Sans Serif" w:hAnsi="Calibri"/>
          <w:b/>
          <w:sz w:val="24"/>
          <w:szCs w:val="22"/>
        </w:rPr>
        <w:t>412.594.</w:t>
      </w:r>
      <w:r w:rsidR="00CB5FB9">
        <w:rPr>
          <w:rFonts w:ascii="Microsoft Sans Serif" w:hAnsi="Calibri"/>
          <w:b/>
          <w:sz w:val="24"/>
          <w:szCs w:val="22"/>
        </w:rPr>
        <w:t>5510</w:t>
      </w:r>
      <w:r w:rsidRPr="004C2C5B">
        <w:rPr>
          <w:rFonts w:ascii="Microsoft Sans Serif" w:hAnsi="Calibri"/>
          <w:sz w:val="24"/>
          <w:szCs w:val="22"/>
        </w:rPr>
        <w:cr/>
      </w:r>
      <w:r w:rsidRPr="004C2C5B">
        <w:rPr>
          <w:rFonts w:ascii="Microsoft Sans Serif" w:hAnsi="Calibri"/>
          <w:b/>
          <w:i/>
          <w:sz w:val="24"/>
          <w:szCs w:val="22"/>
          <w:u w:val="single"/>
        </w:rPr>
        <w:t>E-SERVICE</w:t>
      </w:r>
    </w:p>
    <w:p w:rsidR="004C2C5B" w:rsidRPr="00696D94" w:rsidRDefault="004C2C5B" w:rsidP="00696D94">
      <w:pPr>
        <w:spacing w:line="276" w:lineRule="auto"/>
        <w:rPr>
          <w:rFonts w:eastAsiaTheme="minorHAnsi" w:cstheme="minorBidi"/>
          <w:sz w:val="24"/>
          <w:szCs w:val="22"/>
          <w:u w:val="single"/>
        </w:rPr>
      </w:pPr>
    </w:p>
    <w:sectPr w:rsidR="004C2C5B" w:rsidRPr="00696D94" w:rsidSect="0035125B">
      <w:pgSz w:w="12240" w:h="15840"/>
      <w:pgMar w:top="1440" w:right="1080" w:bottom="1440" w:left="135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12" w:rsidRDefault="007B2A12">
      <w:r>
        <w:separator/>
      </w:r>
    </w:p>
  </w:endnote>
  <w:endnote w:type="continuationSeparator" w:id="0">
    <w:p w:rsidR="007B2A12" w:rsidRDefault="007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2B4" w:rsidRDefault="005A12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A12B4" w:rsidRDefault="005A1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8175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12B4" w:rsidRDefault="005A12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12B4" w:rsidRDefault="005A1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12" w:rsidRDefault="007B2A12">
      <w:r>
        <w:separator/>
      </w:r>
    </w:p>
  </w:footnote>
  <w:footnote w:type="continuationSeparator" w:id="0">
    <w:p w:rsidR="007B2A12" w:rsidRDefault="007B2A12">
      <w:r>
        <w:continuationSeparator/>
      </w:r>
    </w:p>
  </w:footnote>
  <w:footnote w:id="1">
    <w:p w:rsidR="004D1A9E" w:rsidRPr="004D1A9E" w:rsidRDefault="004D1A9E" w:rsidP="0035684F">
      <w:pPr>
        <w:pStyle w:val="FootnoteText"/>
        <w:ind w:left="720" w:hanging="720"/>
        <w:rPr>
          <w:rFonts w:ascii="Times New Roman" w:hAnsi="Times New Roman"/>
        </w:rPr>
      </w:pPr>
      <w:r w:rsidRPr="004D1A9E">
        <w:rPr>
          <w:rStyle w:val="FootnoteReference"/>
          <w:rFonts w:ascii="Times New Roman" w:hAnsi="Times New Roman"/>
        </w:rPr>
        <w:footnoteRef/>
      </w:r>
      <w:r w:rsidR="0035684F">
        <w:rPr>
          <w:rFonts w:ascii="Times New Roman" w:hAnsi="Times New Roman"/>
        </w:rPr>
        <w:tab/>
      </w:r>
      <w:r w:rsidRPr="004D1A9E">
        <w:rPr>
          <w:rFonts w:ascii="Times New Roman" w:hAnsi="Times New Roman"/>
        </w:rPr>
        <w:t xml:space="preserve">An answer to a preliminary objection may be filed within 10 days of date of service. </w:t>
      </w:r>
      <w:r w:rsidR="00AA498F">
        <w:rPr>
          <w:rFonts w:ascii="Times New Roman" w:hAnsi="Times New Roman"/>
        </w:rPr>
        <w:t xml:space="preserve"> </w:t>
      </w:r>
      <w:r w:rsidRPr="004D1A9E">
        <w:rPr>
          <w:rFonts w:ascii="Times New Roman" w:hAnsi="Times New Roman"/>
        </w:rPr>
        <w:t xml:space="preserve">52 </w:t>
      </w:r>
      <w:proofErr w:type="spellStart"/>
      <w:proofErr w:type="gramStart"/>
      <w:r w:rsidRPr="004D1A9E">
        <w:rPr>
          <w:rFonts w:ascii="Times New Roman" w:hAnsi="Times New Roman"/>
        </w:rPr>
        <w:t>Pa.Code</w:t>
      </w:r>
      <w:proofErr w:type="spellEnd"/>
      <w:proofErr w:type="gramEnd"/>
      <w:r w:rsidRPr="004D1A9E">
        <w:rPr>
          <w:rFonts w:ascii="Times New Roman" w:hAnsi="Times New Roman"/>
        </w:rPr>
        <w:t xml:space="preserve"> § 5.101(f)(1).  </w:t>
      </w:r>
    </w:p>
    <w:p w:rsidR="004D1A9E" w:rsidRDefault="004D1A9E" w:rsidP="004D1A9E">
      <w:pPr>
        <w:pStyle w:val="FootnoteText"/>
      </w:pPr>
    </w:p>
  </w:footnote>
  <w:footnote w:id="2">
    <w:p w:rsidR="004D1A9E" w:rsidRPr="00192313" w:rsidRDefault="004D1A9E" w:rsidP="004D1A9E">
      <w:pPr>
        <w:spacing w:line="360" w:lineRule="auto"/>
        <w:rPr>
          <w:rFonts w:eastAsia="Calibri"/>
          <w:sz w:val="24"/>
          <w:szCs w:val="24"/>
        </w:rPr>
      </w:pPr>
      <w:r w:rsidRPr="004D1A9E">
        <w:rPr>
          <w:rStyle w:val="FootnoteReference"/>
        </w:rPr>
        <w:footnoteRef/>
      </w:r>
      <w:r w:rsidR="0035684F">
        <w:tab/>
      </w:r>
      <w:r w:rsidRPr="004D1A9E">
        <w:rPr>
          <w:rFonts w:eastAsia="Calibri"/>
          <w:i/>
        </w:rPr>
        <w:t>See</w:t>
      </w:r>
      <w:r w:rsidRPr="004D1A9E">
        <w:rPr>
          <w:rFonts w:eastAsia="Calibri"/>
        </w:rPr>
        <w:t xml:space="preserve"> 52 </w:t>
      </w:r>
      <w:proofErr w:type="spellStart"/>
      <w:proofErr w:type="gramStart"/>
      <w:r w:rsidRPr="004D1A9E">
        <w:rPr>
          <w:rFonts w:eastAsia="Calibri"/>
        </w:rPr>
        <w:t>Pa.Code</w:t>
      </w:r>
      <w:proofErr w:type="spellEnd"/>
      <w:proofErr w:type="gramEnd"/>
      <w:r w:rsidRPr="004D1A9E">
        <w:rPr>
          <w:rFonts w:eastAsia="Calibri"/>
        </w:rPr>
        <w:t xml:space="preserve"> § 5.1.</w:t>
      </w:r>
      <w:r>
        <w:rPr>
          <w:rFonts w:eastAsia="Calibri"/>
        </w:rPr>
        <w:t xml:space="preserve">  Pleadings Allowed.</w:t>
      </w:r>
    </w:p>
    <w:p w:rsidR="004D1A9E" w:rsidRPr="004D1A9E" w:rsidRDefault="004D1A9E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abstractNum w:abstractNumId="1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95"/>
    <w:rsid w:val="00015417"/>
    <w:rsid w:val="000155AF"/>
    <w:rsid w:val="00040489"/>
    <w:rsid w:val="0005031B"/>
    <w:rsid w:val="00064C57"/>
    <w:rsid w:val="000859C2"/>
    <w:rsid w:val="000D5C90"/>
    <w:rsid w:val="000F0126"/>
    <w:rsid w:val="0010288C"/>
    <w:rsid w:val="00102CF7"/>
    <w:rsid w:val="0011638B"/>
    <w:rsid w:val="001227D5"/>
    <w:rsid w:val="00122E5F"/>
    <w:rsid w:val="001246C9"/>
    <w:rsid w:val="00125B72"/>
    <w:rsid w:val="00164F49"/>
    <w:rsid w:val="00172A5F"/>
    <w:rsid w:val="001744B3"/>
    <w:rsid w:val="00174F1D"/>
    <w:rsid w:val="00180DB2"/>
    <w:rsid w:val="001919E6"/>
    <w:rsid w:val="00192313"/>
    <w:rsid w:val="001933A1"/>
    <w:rsid w:val="001A3674"/>
    <w:rsid w:val="001B19BC"/>
    <w:rsid w:val="001B728A"/>
    <w:rsid w:val="001C38DD"/>
    <w:rsid w:val="001C490C"/>
    <w:rsid w:val="001C60A7"/>
    <w:rsid w:val="001D6E81"/>
    <w:rsid w:val="00217DBB"/>
    <w:rsid w:val="00233666"/>
    <w:rsid w:val="002404EE"/>
    <w:rsid w:val="0024588A"/>
    <w:rsid w:val="00245B5D"/>
    <w:rsid w:val="002507BD"/>
    <w:rsid w:val="002527F1"/>
    <w:rsid w:val="002619E8"/>
    <w:rsid w:val="002767F3"/>
    <w:rsid w:val="00284701"/>
    <w:rsid w:val="00290D96"/>
    <w:rsid w:val="002A2F6B"/>
    <w:rsid w:val="002C2398"/>
    <w:rsid w:val="002C7C4F"/>
    <w:rsid w:val="002D3A79"/>
    <w:rsid w:val="002E1B6C"/>
    <w:rsid w:val="00303B6D"/>
    <w:rsid w:val="00304EAF"/>
    <w:rsid w:val="003275BE"/>
    <w:rsid w:val="0035125B"/>
    <w:rsid w:val="0035231F"/>
    <w:rsid w:val="0035629C"/>
    <w:rsid w:val="0035684F"/>
    <w:rsid w:val="0036463E"/>
    <w:rsid w:val="003E653A"/>
    <w:rsid w:val="003F785F"/>
    <w:rsid w:val="0040011F"/>
    <w:rsid w:val="004039F0"/>
    <w:rsid w:val="004328C1"/>
    <w:rsid w:val="00437DDC"/>
    <w:rsid w:val="00453D04"/>
    <w:rsid w:val="0046324F"/>
    <w:rsid w:val="00465838"/>
    <w:rsid w:val="004B1CF1"/>
    <w:rsid w:val="004B29E6"/>
    <w:rsid w:val="004B3213"/>
    <w:rsid w:val="004C1C66"/>
    <w:rsid w:val="004C2C5B"/>
    <w:rsid w:val="004D1A9E"/>
    <w:rsid w:val="004D7D53"/>
    <w:rsid w:val="004E5FF0"/>
    <w:rsid w:val="004E6367"/>
    <w:rsid w:val="004F7203"/>
    <w:rsid w:val="00524052"/>
    <w:rsid w:val="0053291C"/>
    <w:rsid w:val="005355EA"/>
    <w:rsid w:val="0053789E"/>
    <w:rsid w:val="00540016"/>
    <w:rsid w:val="00541FEA"/>
    <w:rsid w:val="00584B2B"/>
    <w:rsid w:val="005903D8"/>
    <w:rsid w:val="00594F0E"/>
    <w:rsid w:val="005A12B4"/>
    <w:rsid w:val="005B0E1E"/>
    <w:rsid w:val="005B3104"/>
    <w:rsid w:val="005C0937"/>
    <w:rsid w:val="005C3499"/>
    <w:rsid w:val="005D2CAC"/>
    <w:rsid w:val="005D64FF"/>
    <w:rsid w:val="00617089"/>
    <w:rsid w:val="006235C5"/>
    <w:rsid w:val="00627B31"/>
    <w:rsid w:val="00632ED6"/>
    <w:rsid w:val="00637EDA"/>
    <w:rsid w:val="00667A44"/>
    <w:rsid w:val="0069270F"/>
    <w:rsid w:val="006928A9"/>
    <w:rsid w:val="00696D94"/>
    <w:rsid w:val="006B1286"/>
    <w:rsid w:val="006D02F2"/>
    <w:rsid w:val="007122D7"/>
    <w:rsid w:val="007253E4"/>
    <w:rsid w:val="00741888"/>
    <w:rsid w:val="0074196A"/>
    <w:rsid w:val="007438ED"/>
    <w:rsid w:val="00745E76"/>
    <w:rsid w:val="00756C95"/>
    <w:rsid w:val="007622AA"/>
    <w:rsid w:val="00772622"/>
    <w:rsid w:val="00794BD3"/>
    <w:rsid w:val="00796021"/>
    <w:rsid w:val="007A15E4"/>
    <w:rsid w:val="007A4F96"/>
    <w:rsid w:val="007B12DF"/>
    <w:rsid w:val="007B2A12"/>
    <w:rsid w:val="007D5F18"/>
    <w:rsid w:val="007E023B"/>
    <w:rsid w:val="007F56C6"/>
    <w:rsid w:val="00804821"/>
    <w:rsid w:val="008144F4"/>
    <w:rsid w:val="00824677"/>
    <w:rsid w:val="00832420"/>
    <w:rsid w:val="00836FC2"/>
    <w:rsid w:val="00851F94"/>
    <w:rsid w:val="00852B2A"/>
    <w:rsid w:val="00853063"/>
    <w:rsid w:val="008703C6"/>
    <w:rsid w:val="00873735"/>
    <w:rsid w:val="00892F3A"/>
    <w:rsid w:val="0089382A"/>
    <w:rsid w:val="00896D42"/>
    <w:rsid w:val="008B2568"/>
    <w:rsid w:val="008E1F8E"/>
    <w:rsid w:val="008E227B"/>
    <w:rsid w:val="008E46F4"/>
    <w:rsid w:val="008E5574"/>
    <w:rsid w:val="00902DEF"/>
    <w:rsid w:val="0090599C"/>
    <w:rsid w:val="00922A9F"/>
    <w:rsid w:val="0093071D"/>
    <w:rsid w:val="00964E93"/>
    <w:rsid w:val="00966044"/>
    <w:rsid w:val="0098697B"/>
    <w:rsid w:val="0099160F"/>
    <w:rsid w:val="009A13EA"/>
    <w:rsid w:val="009B2F5E"/>
    <w:rsid w:val="009B4B9C"/>
    <w:rsid w:val="009D11E5"/>
    <w:rsid w:val="009D3899"/>
    <w:rsid w:val="009D58FE"/>
    <w:rsid w:val="00A05FFE"/>
    <w:rsid w:val="00A1345E"/>
    <w:rsid w:val="00A27781"/>
    <w:rsid w:val="00A71162"/>
    <w:rsid w:val="00A96DEE"/>
    <w:rsid w:val="00AA498F"/>
    <w:rsid w:val="00AB18D0"/>
    <w:rsid w:val="00AC3EA1"/>
    <w:rsid w:val="00AC5222"/>
    <w:rsid w:val="00AD5A93"/>
    <w:rsid w:val="00AE4B92"/>
    <w:rsid w:val="00B06DC2"/>
    <w:rsid w:val="00B2111E"/>
    <w:rsid w:val="00B2143E"/>
    <w:rsid w:val="00B40332"/>
    <w:rsid w:val="00B469BE"/>
    <w:rsid w:val="00B663E2"/>
    <w:rsid w:val="00B70287"/>
    <w:rsid w:val="00B7678F"/>
    <w:rsid w:val="00BA2830"/>
    <w:rsid w:val="00BB5667"/>
    <w:rsid w:val="00BC5D76"/>
    <w:rsid w:val="00BF3B76"/>
    <w:rsid w:val="00C10EB0"/>
    <w:rsid w:val="00C17E2E"/>
    <w:rsid w:val="00C217E2"/>
    <w:rsid w:val="00C259DD"/>
    <w:rsid w:val="00C419DC"/>
    <w:rsid w:val="00C47134"/>
    <w:rsid w:val="00C50F4D"/>
    <w:rsid w:val="00C547AE"/>
    <w:rsid w:val="00C61BA2"/>
    <w:rsid w:val="00C65DDC"/>
    <w:rsid w:val="00C84040"/>
    <w:rsid w:val="00CA27DC"/>
    <w:rsid w:val="00CA58AF"/>
    <w:rsid w:val="00CB5FB9"/>
    <w:rsid w:val="00CE4567"/>
    <w:rsid w:val="00CE5022"/>
    <w:rsid w:val="00CE5F45"/>
    <w:rsid w:val="00D328B8"/>
    <w:rsid w:val="00D35041"/>
    <w:rsid w:val="00D5288E"/>
    <w:rsid w:val="00D539C4"/>
    <w:rsid w:val="00D55F3B"/>
    <w:rsid w:val="00D55F57"/>
    <w:rsid w:val="00D63591"/>
    <w:rsid w:val="00D66261"/>
    <w:rsid w:val="00D71F0B"/>
    <w:rsid w:val="00D973DB"/>
    <w:rsid w:val="00DA3E60"/>
    <w:rsid w:val="00DC6FC2"/>
    <w:rsid w:val="00DE42D7"/>
    <w:rsid w:val="00E03843"/>
    <w:rsid w:val="00E05062"/>
    <w:rsid w:val="00E64A0B"/>
    <w:rsid w:val="00E65482"/>
    <w:rsid w:val="00E66EE7"/>
    <w:rsid w:val="00E7543B"/>
    <w:rsid w:val="00E823E7"/>
    <w:rsid w:val="00E8730F"/>
    <w:rsid w:val="00E93B09"/>
    <w:rsid w:val="00E94ABD"/>
    <w:rsid w:val="00E94CFB"/>
    <w:rsid w:val="00E96A3D"/>
    <w:rsid w:val="00F020D0"/>
    <w:rsid w:val="00F02736"/>
    <w:rsid w:val="00F4323D"/>
    <w:rsid w:val="00F46E5A"/>
    <w:rsid w:val="00F76976"/>
    <w:rsid w:val="00FC24A1"/>
    <w:rsid w:val="00FC3E48"/>
    <w:rsid w:val="00FD6D08"/>
    <w:rsid w:val="00FE1C2C"/>
    <w:rsid w:val="00FF2259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BED84"/>
  <w15:docId w15:val="{5780FF8F-DC37-439B-B5FC-37A3484E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C95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56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C95"/>
    <w:rPr>
      <w:rFonts w:eastAsia="Times New Roman"/>
      <w:sz w:val="20"/>
      <w:szCs w:val="20"/>
    </w:rPr>
  </w:style>
  <w:style w:type="paragraph" w:styleId="Title">
    <w:name w:val="Title"/>
    <w:basedOn w:val="Normal"/>
    <w:link w:val="TitleChar"/>
    <w:qFormat/>
    <w:rsid w:val="00756C95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56C95"/>
    <w:rPr>
      <w:rFonts w:eastAsia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756C95"/>
    <w:pPr>
      <w:ind w:left="720"/>
      <w:contextualSpacing/>
    </w:pPr>
  </w:style>
  <w:style w:type="paragraph" w:styleId="Header">
    <w:name w:val="header"/>
    <w:basedOn w:val="Normal"/>
    <w:link w:val="HeaderChar"/>
    <w:rsid w:val="00756C95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756C95"/>
    <w:rPr>
      <w:rFonts w:ascii="Courier New" w:eastAsia="Times New Roman" w:hAnsi="Courier New" w:cs="Courier New"/>
      <w:sz w:val="20"/>
      <w:szCs w:val="20"/>
    </w:rPr>
  </w:style>
  <w:style w:type="paragraph" w:customStyle="1" w:styleId="ParaTab1">
    <w:name w:val="ParaTab 1"/>
    <w:rsid w:val="00756C9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A71162"/>
  </w:style>
  <w:style w:type="paragraph" w:styleId="BalloonText">
    <w:name w:val="Balloon Text"/>
    <w:basedOn w:val="Normal"/>
    <w:link w:val="BalloonTextChar"/>
    <w:uiPriority w:val="99"/>
    <w:semiHidden/>
    <w:unhideWhenUsed/>
    <w:rsid w:val="00A71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62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B2111E"/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111E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unhideWhenUsed/>
    <w:rsid w:val="00B2111E"/>
    <w:rPr>
      <w:vertAlign w:val="superscript"/>
    </w:rPr>
  </w:style>
  <w:style w:type="table" w:styleId="TableGrid">
    <w:name w:val="Table Grid"/>
    <w:basedOn w:val="TableNormal"/>
    <w:uiPriority w:val="59"/>
    <w:rsid w:val="005D2CAC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gc">
    <w:name w:val="_tgc"/>
    <w:basedOn w:val="DefaultParagraphFont"/>
    <w:rsid w:val="0063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2871-F9F7-42AD-A6E8-CFEA5F0B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Oldynski, Sandra</cp:lastModifiedBy>
  <cp:revision>18</cp:revision>
  <cp:lastPrinted>2018-03-13T15:24:00Z</cp:lastPrinted>
  <dcterms:created xsi:type="dcterms:W3CDTF">2018-03-13T15:19:00Z</dcterms:created>
  <dcterms:modified xsi:type="dcterms:W3CDTF">2018-03-13T16:15:00Z</dcterms:modified>
</cp:coreProperties>
</file>