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3B677" w14:textId="77777777" w:rsidR="00021C47" w:rsidRDefault="00CF4780" w:rsidP="00CF4780">
      <w:pPr>
        <w:jc w:val="center"/>
        <w:rPr>
          <w:b/>
        </w:rPr>
      </w:pPr>
      <w:r>
        <w:rPr>
          <w:b/>
        </w:rPr>
        <w:t>BEFORE THE</w:t>
      </w:r>
    </w:p>
    <w:p w14:paraId="64EBBA7C" w14:textId="77777777"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14:paraId="425E1D49" w14:textId="77777777" w:rsidR="00CF4780" w:rsidRDefault="00CF4780" w:rsidP="00CF4780">
      <w:pPr>
        <w:jc w:val="center"/>
        <w:rPr>
          <w:b/>
        </w:rPr>
      </w:pPr>
    </w:p>
    <w:p w14:paraId="2F964520" w14:textId="6AE7792A" w:rsidR="00CF4780" w:rsidRDefault="00CF4780" w:rsidP="00CF4780"/>
    <w:p w14:paraId="4D2024E3" w14:textId="77777777" w:rsidR="00B221E7" w:rsidRDefault="00B221E7" w:rsidP="00CF4780"/>
    <w:p w14:paraId="32E69AAB" w14:textId="6533F034" w:rsidR="00601F5F" w:rsidRDefault="00AA2D2A" w:rsidP="00CF4780">
      <w:r>
        <w:t>Maxine Crooks</w:t>
      </w:r>
      <w:r w:rsidR="00AA04D1">
        <w:tab/>
      </w:r>
      <w:r w:rsidR="00AA04D1">
        <w:tab/>
      </w:r>
      <w:r w:rsidR="00601F5F">
        <w:tab/>
      </w:r>
      <w:r w:rsidR="00601F5F">
        <w:tab/>
      </w:r>
      <w:r w:rsidR="00B221E7">
        <w:tab/>
      </w:r>
      <w:r w:rsidR="00601F5F">
        <w:t>:</w:t>
      </w:r>
    </w:p>
    <w:p w14:paraId="53C854E2" w14:textId="1492EFA2" w:rsidR="00CF4780" w:rsidRDefault="00CF4780" w:rsidP="00CF4780">
      <w:r>
        <w:tab/>
      </w:r>
      <w:r>
        <w:tab/>
      </w:r>
      <w:r>
        <w:tab/>
      </w:r>
      <w:r>
        <w:tab/>
      </w:r>
      <w:r>
        <w:tab/>
      </w:r>
      <w:r>
        <w:tab/>
      </w:r>
      <w:r w:rsidR="00B221E7">
        <w:tab/>
      </w:r>
      <w:r>
        <w:t>:</w:t>
      </w:r>
    </w:p>
    <w:p w14:paraId="476D35DF" w14:textId="57060D89" w:rsidR="00CF4780" w:rsidRDefault="00CF4780" w:rsidP="00CF4780">
      <w:r>
        <w:tab/>
        <w:t>v.</w:t>
      </w:r>
      <w:r>
        <w:tab/>
      </w:r>
      <w:r>
        <w:tab/>
      </w:r>
      <w:r>
        <w:tab/>
      </w:r>
      <w:r>
        <w:tab/>
      </w:r>
      <w:r>
        <w:tab/>
      </w:r>
      <w:r w:rsidR="00B221E7">
        <w:tab/>
      </w:r>
      <w:r>
        <w:t>:</w:t>
      </w:r>
      <w:r>
        <w:tab/>
      </w:r>
      <w:r>
        <w:tab/>
      </w:r>
      <w:r w:rsidR="00AA2D2A">
        <w:t>C</w:t>
      </w:r>
      <w:r w:rsidR="000962F2">
        <w:t>-201</w:t>
      </w:r>
      <w:r w:rsidR="00FF5420">
        <w:t>7</w:t>
      </w:r>
      <w:r w:rsidR="000962F2">
        <w:t>-2</w:t>
      </w:r>
      <w:r w:rsidR="00FF5420">
        <w:t>63</w:t>
      </w:r>
      <w:r w:rsidR="00AA2D2A">
        <w:t>3739</w:t>
      </w:r>
    </w:p>
    <w:p w14:paraId="43B888B3" w14:textId="2D62F40C" w:rsidR="00CF4780" w:rsidRDefault="00CF4780" w:rsidP="00CF4780">
      <w:r>
        <w:tab/>
      </w:r>
      <w:r>
        <w:tab/>
      </w:r>
      <w:r>
        <w:tab/>
      </w:r>
      <w:r>
        <w:tab/>
      </w:r>
      <w:r>
        <w:tab/>
      </w:r>
      <w:r>
        <w:tab/>
      </w:r>
      <w:r w:rsidR="00B221E7">
        <w:tab/>
      </w:r>
      <w:r>
        <w:t>:</w:t>
      </w:r>
    </w:p>
    <w:p w14:paraId="196108F5" w14:textId="48393DD6" w:rsidR="00CF4780" w:rsidRDefault="00601F5F" w:rsidP="00CF4780">
      <w:r>
        <w:t>P</w:t>
      </w:r>
      <w:r w:rsidR="00AA2D2A">
        <w:t>ECO Energy Company</w:t>
      </w:r>
      <w:r>
        <w:tab/>
      </w:r>
      <w:r w:rsidR="00CF4780">
        <w:tab/>
      </w:r>
      <w:r w:rsidR="00CF4780">
        <w:tab/>
      </w:r>
      <w:r w:rsidR="00B221E7">
        <w:tab/>
      </w:r>
      <w:r w:rsidR="00CF4780">
        <w:t>:</w:t>
      </w:r>
    </w:p>
    <w:p w14:paraId="3AA14EE2" w14:textId="77777777" w:rsidR="00CF4780" w:rsidRDefault="00CF4780" w:rsidP="00CF4780"/>
    <w:p w14:paraId="595C1090" w14:textId="1E4235F6" w:rsidR="00CF4780" w:rsidRDefault="00CF4780" w:rsidP="00CF4780"/>
    <w:p w14:paraId="6D1CD523" w14:textId="77777777" w:rsidR="00B221E7" w:rsidRDefault="00B221E7" w:rsidP="00CF4780"/>
    <w:p w14:paraId="3BF443B2" w14:textId="77777777" w:rsidR="00841336" w:rsidRPr="00F83F79" w:rsidRDefault="00AA1D53" w:rsidP="00AA1D53">
      <w:pPr>
        <w:tabs>
          <w:tab w:val="center" w:pos="0"/>
        </w:tabs>
        <w:suppressAutoHyphens/>
        <w:ind w:right="-720"/>
        <w:jc w:val="center"/>
        <w:rPr>
          <w:b/>
          <w:bCs/>
          <w:spacing w:val="-3"/>
        </w:rPr>
      </w:pPr>
      <w:r>
        <w:rPr>
          <w:b/>
          <w:bCs/>
          <w:spacing w:val="-3"/>
          <w:u w:val="single"/>
        </w:rPr>
        <w:t>ORDER DENYING PRELIMINARY OBJECTION</w:t>
      </w:r>
    </w:p>
    <w:p w14:paraId="24D5E646" w14:textId="06299774" w:rsidR="00F83F79" w:rsidRDefault="00F83F79" w:rsidP="00F83F79">
      <w:pPr>
        <w:tabs>
          <w:tab w:val="left" w:pos="-720"/>
        </w:tabs>
        <w:suppressAutoHyphens/>
        <w:autoSpaceDE w:val="0"/>
        <w:autoSpaceDN w:val="0"/>
        <w:spacing w:line="360" w:lineRule="auto"/>
        <w:ind w:firstLine="1440"/>
        <w:rPr>
          <w:spacing w:val="-3"/>
        </w:rPr>
      </w:pPr>
    </w:p>
    <w:p w14:paraId="04A3FAD0" w14:textId="77777777" w:rsidR="00B221E7" w:rsidRDefault="00B221E7" w:rsidP="00F83F79">
      <w:pPr>
        <w:tabs>
          <w:tab w:val="left" w:pos="-720"/>
        </w:tabs>
        <w:suppressAutoHyphens/>
        <w:autoSpaceDE w:val="0"/>
        <w:autoSpaceDN w:val="0"/>
        <w:spacing w:line="360" w:lineRule="auto"/>
        <w:ind w:firstLine="1440"/>
        <w:rPr>
          <w:spacing w:val="-3"/>
        </w:rPr>
      </w:pPr>
    </w:p>
    <w:p w14:paraId="3CEFC068" w14:textId="1921C576" w:rsidR="00F83F79" w:rsidRDefault="00F83F79" w:rsidP="008B22BE">
      <w:pPr>
        <w:tabs>
          <w:tab w:val="left" w:pos="-720"/>
        </w:tabs>
        <w:suppressAutoHyphens/>
        <w:autoSpaceDE w:val="0"/>
        <w:autoSpaceDN w:val="0"/>
        <w:spacing w:line="360" w:lineRule="auto"/>
      </w:pPr>
      <w:r w:rsidRPr="00F83F79">
        <w:tab/>
      </w:r>
      <w:r w:rsidRPr="00F83F79">
        <w:tab/>
      </w:r>
      <w:r w:rsidR="00113287">
        <w:t xml:space="preserve">This </w:t>
      </w:r>
      <w:r w:rsidR="001F2162">
        <w:t>Order</w:t>
      </w:r>
      <w:r w:rsidR="00113287">
        <w:t xml:space="preserve"> </w:t>
      </w:r>
      <w:r w:rsidR="00AA1D53">
        <w:t>denies</w:t>
      </w:r>
      <w:r w:rsidR="00113287">
        <w:t xml:space="preserve"> the </w:t>
      </w:r>
      <w:r w:rsidR="00AF7F9A">
        <w:t>P</w:t>
      </w:r>
      <w:r w:rsidR="00841336">
        <w:t xml:space="preserve">reliminary </w:t>
      </w:r>
      <w:r w:rsidR="00AF7F9A">
        <w:t>O</w:t>
      </w:r>
      <w:r w:rsidR="00841336">
        <w:t>bjection</w:t>
      </w:r>
      <w:r w:rsidRPr="00F83F79">
        <w:t xml:space="preserve"> filed by </w:t>
      </w:r>
      <w:r w:rsidR="00FF5420" w:rsidRPr="00FF5420">
        <w:t>P</w:t>
      </w:r>
      <w:r w:rsidR="00AA2D2A">
        <w:t>ECO Energy Company</w:t>
      </w:r>
      <w:r w:rsidR="00FF5420" w:rsidRPr="00FF5420">
        <w:t xml:space="preserve"> </w:t>
      </w:r>
      <w:r w:rsidRPr="00F83F79">
        <w:t>(</w:t>
      </w:r>
      <w:r w:rsidR="00601F5F">
        <w:t>P</w:t>
      </w:r>
      <w:r w:rsidR="00AA2D2A">
        <w:t>ECO</w:t>
      </w:r>
      <w:r w:rsidRPr="00F83F79">
        <w:t xml:space="preserve"> or Respondent) </w:t>
      </w:r>
      <w:r w:rsidR="002012DC">
        <w:t>on December 1, 2017</w:t>
      </w:r>
      <w:r w:rsidRPr="00F83F79">
        <w:t xml:space="preserve"> </w:t>
      </w:r>
      <w:r w:rsidR="00AA1D53">
        <w:t xml:space="preserve">relative to </w:t>
      </w:r>
      <w:r w:rsidR="00F05EAC">
        <w:t xml:space="preserve">the formal Complaint filed </w:t>
      </w:r>
      <w:r w:rsidR="00A75964">
        <w:t xml:space="preserve">at this docket </w:t>
      </w:r>
      <w:r w:rsidR="00F05EAC">
        <w:t xml:space="preserve">by </w:t>
      </w:r>
      <w:r w:rsidR="00AA2D2A">
        <w:t>Maxine Crooks</w:t>
      </w:r>
      <w:r w:rsidR="00FF5420">
        <w:t xml:space="preserve"> </w:t>
      </w:r>
      <w:r w:rsidR="00F05EAC" w:rsidRPr="00F05EAC">
        <w:t>(Complainant)</w:t>
      </w:r>
      <w:r w:rsidRPr="00F83F79">
        <w:t>.</w:t>
      </w:r>
      <w:r w:rsidR="00AA2D2A">
        <w:t xml:space="preserve">  As there are unresolved issues of fact, this case must be set for an evidentiary hearing.</w:t>
      </w:r>
    </w:p>
    <w:p w14:paraId="54B5195E" w14:textId="77777777" w:rsidR="00113287" w:rsidRDefault="00113287" w:rsidP="008B22BE">
      <w:pPr>
        <w:tabs>
          <w:tab w:val="left" w:pos="-720"/>
        </w:tabs>
        <w:suppressAutoHyphens/>
        <w:autoSpaceDE w:val="0"/>
        <w:autoSpaceDN w:val="0"/>
        <w:spacing w:line="360" w:lineRule="auto"/>
      </w:pPr>
    </w:p>
    <w:p w14:paraId="429AFED8" w14:textId="77777777" w:rsidR="00113287" w:rsidRPr="00113287" w:rsidRDefault="00113287" w:rsidP="00113287">
      <w:pPr>
        <w:tabs>
          <w:tab w:val="left" w:pos="-720"/>
        </w:tabs>
        <w:suppressAutoHyphens/>
        <w:autoSpaceDE w:val="0"/>
        <w:autoSpaceDN w:val="0"/>
        <w:spacing w:line="360" w:lineRule="auto"/>
        <w:jc w:val="center"/>
      </w:pPr>
      <w:r>
        <w:rPr>
          <w:u w:val="single"/>
        </w:rPr>
        <w:t>HISTORY</w:t>
      </w:r>
    </w:p>
    <w:p w14:paraId="4F2F7A30" w14:textId="77777777" w:rsidR="00F83F79" w:rsidRDefault="00F83F79" w:rsidP="000962F2">
      <w:pPr>
        <w:spacing w:line="360" w:lineRule="auto"/>
        <w:ind w:firstLine="1440"/>
      </w:pPr>
    </w:p>
    <w:p w14:paraId="292F4BEB" w14:textId="610F3315" w:rsidR="0055692C" w:rsidRDefault="00AA2D2A" w:rsidP="000962F2">
      <w:pPr>
        <w:spacing w:line="360" w:lineRule="auto"/>
        <w:ind w:firstLine="1440"/>
      </w:pPr>
      <w:r>
        <w:t>On November 9, 2017, Complainant filed a formal Complaint alleging that PECO is attempting to transfer an outstanding account balance to her for which she is not responsible.  Complainant also contends that PECO is threatening to terminate her service.  This matter was addressed in a determination by the Commission’s Bureau of Consumer Services (BCS) at Case No. 3537952; however, Complainant denies having filed or prosecuted that Complaint, averring that the responsible party is an individual named Melvin Brown with whom Complainant previously owned the service address at 26 North 54</w:t>
      </w:r>
      <w:r w:rsidRPr="00AA2D2A">
        <w:rPr>
          <w:vertAlign w:val="superscript"/>
        </w:rPr>
        <w:t>th</w:t>
      </w:r>
      <w:r>
        <w:t xml:space="preserve"> Street, Philadelphia, Pennsylvania.</w:t>
      </w:r>
      <w:r w:rsidR="00086E09">
        <w:t xml:space="preserve">  Complainant claims that she sold the property to Mr. Brown.</w:t>
      </w:r>
    </w:p>
    <w:p w14:paraId="708BB6EA" w14:textId="77777777" w:rsidR="00AA2D2A" w:rsidRDefault="00AA2D2A" w:rsidP="000962F2">
      <w:pPr>
        <w:spacing w:line="360" w:lineRule="auto"/>
        <w:ind w:firstLine="1440"/>
      </w:pPr>
    </w:p>
    <w:p w14:paraId="41388727" w14:textId="77777777" w:rsidR="00B221E7" w:rsidRDefault="0055692C" w:rsidP="000962F2">
      <w:pPr>
        <w:spacing w:line="360" w:lineRule="auto"/>
        <w:ind w:firstLine="1440"/>
        <w:sectPr w:rsidR="00B221E7">
          <w:footerReference w:type="even" r:id="rId8"/>
          <w:pgSz w:w="12240" w:h="15840"/>
          <w:pgMar w:top="1440" w:right="1440" w:bottom="1440" w:left="1440" w:header="720" w:footer="720" w:gutter="0"/>
          <w:cols w:space="720"/>
          <w:docGrid w:linePitch="360"/>
        </w:sectPr>
      </w:pPr>
      <w:r>
        <w:t>On December 1, 2017, P</w:t>
      </w:r>
      <w:r w:rsidR="008A5B58">
        <w:t>ECO</w:t>
      </w:r>
      <w:r>
        <w:t xml:space="preserve"> f</w:t>
      </w:r>
      <w:r w:rsidR="00D82CCD">
        <w:t>iled an Answer</w:t>
      </w:r>
      <w:r w:rsidR="008A5B58">
        <w:t xml:space="preserve"> to the Complaint</w:t>
      </w:r>
      <w:r>
        <w:t>.</w:t>
      </w:r>
      <w:r w:rsidR="008A5B58">
        <w:t xml:space="preserve">  PECO maintains that Complainant does own the service address, and that a tenant of Complainant’s, one Erik Dixon, called in a high bill inquiry on February 6, 2017.   PECO states that it investigated, found a foreign wiring situation (with a porch light), and established a new account transferring the </w:t>
      </w:r>
    </w:p>
    <w:p w14:paraId="16803025" w14:textId="059BB341" w:rsidR="0055692C" w:rsidRDefault="008A5B58" w:rsidP="00B221E7">
      <w:pPr>
        <w:spacing w:line="360" w:lineRule="auto"/>
      </w:pPr>
      <w:r>
        <w:lastRenderedPageBreak/>
        <w:t>balance of the account to Complainant</w:t>
      </w:r>
      <w:r w:rsidR="002012DC">
        <w:t xml:space="preserve"> as required by law</w:t>
      </w:r>
      <w:r>
        <w:t>.  PECO states that as of April 7, 2017, the foreign wiring problem had been corrected.  PECO asserts that Complainant did file the informal Complaint with BCS.  PECO argues that 66 Pa. C.S. §§1529(a</w:t>
      </w:r>
      <w:proofErr w:type="gramStart"/>
      <w:r>
        <w:t>),(</w:t>
      </w:r>
      <w:proofErr w:type="gramEnd"/>
      <w:r>
        <w:t>c) requires that PECO transfer the foreign load balance to Complainant as owner of the rental property.</w:t>
      </w:r>
    </w:p>
    <w:p w14:paraId="2A195B86" w14:textId="29D8E372" w:rsidR="008A5B58" w:rsidRDefault="008A5B58" w:rsidP="000962F2">
      <w:pPr>
        <w:spacing w:line="360" w:lineRule="auto"/>
        <w:ind w:firstLine="1440"/>
      </w:pPr>
    </w:p>
    <w:p w14:paraId="297B96B3" w14:textId="2A45F940" w:rsidR="008A5B58" w:rsidRDefault="00D82CCD" w:rsidP="000962F2">
      <w:pPr>
        <w:spacing w:line="360" w:lineRule="auto"/>
        <w:ind w:firstLine="1440"/>
      </w:pPr>
      <w:proofErr w:type="gramStart"/>
      <w:r>
        <w:t>Also</w:t>
      </w:r>
      <w:proofErr w:type="gramEnd"/>
      <w:r>
        <w:t xml:space="preserve"> on </w:t>
      </w:r>
      <w:r w:rsidR="0055692C">
        <w:t>December 1, 2017</w:t>
      </w:r>
      <w:r>
        <w:t xml:space="preserve">, </w:t>
      </w:r>
      <w:r w:rsidR="00DC155E">
        <w:t>P</w:t>
      </w:r>
      <w:r w:rsidR="008A5B58">
        <w:t>ECO filed a Preliminary Objection arguing that it had transferred the foreign load balance to Complainant as required by law and Commission precedent.</w:t>
      </w:r>
      <w:r w:rsidR="00086E09">
        <w:t xml:space="preserve">  PECO acknowledges that Complainant contends that she and Melvin Brown were co-owners of the property at the service address.  PECO asks that the Compla</w:t>
      </w:r>
      <w:r w:rsidR="002012DC">
        <w:t>i</w:t>
      </w:r>
      <w:r w:rsidR="00086E09">
        <w:t>nt be dismissed for legal insufficiency.</w:t>
      </w:r>
    </w:p>
    <w:p w14:paraId="16E25F27" w14:textId="056918D6" w:rsidR="00086E09" w:rsidRDefault="00086E09" w:rsidP="000962F2">
      <w:pPr>
        <w:spacing w:line="360" w:lineRule="auto"/>
        <w:ind w:firstLine="1440"/>
      </w:pPr>
    </w:p>
    <w:p w14:paraId="2BEA9007" w14:textId="6FE38BA2" w:rsidR="00086E09" w:rsidRDefault="00086E09" w:rsidP="000962F2">
      <w:pPr>
        <w:spacing w:line="360" w:lineRule="auto"/>
        <w:ind w:firstLine="1440"/>
      </w:pPr>
      <w:r>
        <w:t xml:space="preserve">On December 29, 2017, Complainant filed an Answer to PECO’s Preliminary Objection contending that she is not responsible for the foreign load balance and asserting that she never requested PECO for electric service at the service address.  Complainant states that she is not the landlord of the property and denies that Erik Dixon (tenant) </w:t>
      </w:r>
      <w:proofErr w:type="gramStart"/>
      <w:r>
        <w:t>entered into</w:t>
      </w:r>
      <w:proofErr w:type="gramEnd"/>
      <w:r>
        <w:t xml:space="preserve"> a lease with her.  Complainant again claims that the property is owned by Melvin Brown and that Mr. Brown is the landlord with whom Mr. Dixon signed a lease.</w:t>
      </w:r>
    </w:p>
    <w:p w14:paraId="13EF4EF5" w14:textId="77777777" w:rsidR="008A5B58" w:rsidRDefault="008A5B58" w:rsidP="000962F2">
      <w:pPr>
        <w:spacing w:line="360" w:lineRule="auto"/>
        <w:ind w:firstLine="1440"/>
      </w:pPr>
    </w:p>
    <w:p w14:paraId="0CE37B6A" w14:textId="0AE54E2C" w:rsidR="006C095B" w:rsidRDefault="006C095B" w:rsidP="000962F2">
      <w:pPr>
        <w:spacing w:line="360" w:lineRule="auto"/>
        <w:ind w:firstLine="1440"/>
      </w:pPr>
      <w:r w:rsidRPr="006C095B">
        <w:t>This case was assigned to me as Motion Judge on</w:t>
      </w:r>
      <w:r>
        <w:t xml:space="preserve"> </w:t>
      </w:r>
      <w:r w:rsidR="00086E09">
        <w:t>February 21,</w:t>
      </w:r>
      <w:r w:rsidR="00D8455D">
        <w:t xml:space="preserve"> 2018</w:t>
      </w:r>
      <w:r>
        <w:t>.</w:t>
      </w:r>
    </w:p>
    <w:p w14:paraId="0E0250C0" w14:textId="77777777" w:rsidR="006B1EA3" w:rsidRDefault="006B1EA3" w:rsidP="000962F2">
      <w:pPr>
        <w:spacing w:line="360" w:lineRule="auto"/>
        <w:ind w:firstLine="1440"/>
      </w:pPr>
    </w:p>
    <w:p w14:paraId="07BDB392" w14:textId="77777777" w:rsidR="002B2FD2" w:rsidRDefault="00113287" w:rsidP="006B1EA3">
      <w:pPr>
        <w:spacing w:line="360" w:lineRule="auto"/>
        <w:jc w:val="center"/>
      </w:pPr>
      <w:r>
        <w:rPr>
          <w:u w:val="single"/>
        </w:rPr>
        <w:t>DISCUSSION</w:t>
      </w:r>
    </w:p>
    <w:p w14:paraId="139EA45C" w14:textId="77777777" w:rsidR="00113287" w:rsidRDefault="00113287" w:rsidP="00113287">
      <w:pPr>
        <w:spacing w:line="360" w:lineRule="auto"/>
      </w:pPr>
    </w:p>
    <w:p w14:paraId="04BE5D1C" w14:textId="2183398F" w:rsidR="001F2162" w:rsidRDefault="006B1EA3" w:rsidP="006B1EA3">
      <w:pPr>
        <w:autoSpaceDE w:val="0"/>
        <w:autoSpaceDN w:val="0"/>
        <w:spacing w:line="360" w:lineRule="auto"/>
        <w:rPr>
          <w:spacing w:val="-3"/>
        </w:rPr>
      </w:pPr>
      <w:r>
        <w:rPr>
          <w:spacing w:val="-3"/>
        </w:rPr>
        <w:tab/>
      </w:r>
      <w:r>
        <w:rPr>
          <w:spacing w:val="-3"/>
        </w:rPr>
        <w:tab/>
      </w:r>
      <w:r w:rsidRPr="006B1EA3">
        <w:rPr>
          <w:spacing w:val="-3"/>
        </w:rPr>
        <w:t xml:space="preserve">The Commission's Rules of Practice and Procedure permit parties to file </w:t>
      </w:r>
      <w:r w:rsidRPr="006B1EA3">
        <w:rPr>
          <w:bCs/>
          <w:spacing w:val="-3"/>
        </w:rPr>
        <w:t>preliminary objections.</w:t>
      </w:r>
      <w:r w:rsidRPr="006B1EA3">
        <w:rPr>
          <w:spacing w:val="-3"/>
        </w:rPr>
        <w:t xml:space="preserve">   The grounds for </w:t>
      </w:r>
      <w:r w:rsidRPr="006B1EA3">
        <w:rPr>
          <w:bCs/>
          <w:spacing w:val="-3"/>
        </w:rPr>
        <w:t>preliminary objections</w:t>
      </w:r>
      <w:r w:rsidRPr="006B1EA3">
        <w:rPr>
          <w:spacing w:val="-3"/>
        </w:rPr>
        <w:t xml:space="preserve"> are limited to those set forth in 52 Pa. Code </w:t>
      </w:r>
    </w:p>
    <w:p w14:paraId="1606A702" w14:textId="77777777" w:rsidR="006B1EA3" w:rsidRPr="006B1EA3" w:rsidRDefault="006B1EA3" w:rsidP="006B1EA3">
      <w:pPr>
        <w:autoSpaceDE w:val="0"/>
        <w:autoSpaceDN w:val="0"/>
        <w:spacing w:line="360" w:lineRule="auto"/>
        <w:rPr>
          <w:spacing w:val="-3"/>
        </w:rPr>
      </w:pPr>
      <w:r w:rsidRPr="006B1EA3">
        <w:rPr>
          <w:spacing w:val="-3"/>
        </w:rPr>
        <w:t xml:space="preserve">§ 5.101(a) as follows: </w:t>
      </w:r>
    </w:p>
    <w:p w14:paraId="1841B52C" w14:textId="77777777" w:rsidR="006B1EA3" w:rsidRPr="006B1EA3" w:rsidRDefault="006B1EA3" w:rsidP="006B1EA3">
      <w:pPr>
        <w:autoSpaceDE w:val="0"/>
        <w:autoSpaceDN w:val="0"/>
        <w:spacing w:line="360" w:lineRule="auto"/>
        <w:rPr>
          <w:spacing w:val="-3"/>
        </w:rPr>
      </w:pPr>
    </w:p>
    <w:p w14:paraId="2BD00A5D" w14:textId="77777777" w:rsidR="006B1EA3" w:rsidRDefault="006B1EA3" w:rsidP="006B1EA3">
      <w:pPr>
        <w:autoSpaceDE w:val="0"/>
        <w:autoSpaceDN w:val="0"/>
        <w:ind w:left="1440" w:right="1440"/>
        <w:rPr>
          <w:spacing w:val="-3"/>
        </w:rPr>
      </w:pPr>
      <w:r w:rsidRPr="006B1EA3">
        <w:rPr>
          <w:spacing w:val="-3"/>
        </w:rPr>
        <w:t>(1) Lack of Commission jurisdiction or improper service of the pleading initiating the proceeding.</w:t>
      </w:r>
      <w:r w:rsidRPr="006B1EA3">
        <w:rPr>
          <w:spacing w:val="-3"/>
        </w:rPr>
        <w:br/>
        <w:t> </w:t>
      </w:r>
      <w:r w:rsidRPr="006B1EA3">
        <w:rPr>
          <w:spacing w:val="-3"/>
        </w:rPr>
        <w:br/>
        <w:t>(2) Failure of a pleading to conform to this chapter or the inclusion of scandalous or impertinent matter.</w:t>
      </w:r>
      <w:r w:rsidRPr="006B1EA3">
        <w:rPr>
          <w:spacing w:val="-3"/>
        </w:rPr>
        <w:br/>
        <w:t> </w:t>
      </w:r>
      <w:r w:rsidRPr="006B1EA3">
        <w:rPr>
          <w:spacing w:val="-3"/>
        </w:rPr>
        <w:br/>
        <w:t>(3) Insufficient specificity of a pleading.</w:t>
      </w:r>
      <w:r w:rsidRPr="006B1EA3">
        <w:rPr>
          <w:spacing w:val="-3"/>
        </w:rPr>
        <w:br/>
        <w:t> </w:t>
      </w:r>
      <w:r w:rsidRPr="006B1EA3">
        <w:rPr>
          <w:spacing w:val="-3"/>
        </w:rPr>
        <w:br/>
        <w:t>(4) Legal insufficiency of a pleading.</w:t>
      </w:r>
      <w:r w:rsidRPr="006B1EA3">
        <w:rPr>
          <w:spacing w:val="-3"/>
        </w:rPr>
        <w:br/>
        <w:t> </w:t>
      </w:r>
      <w:r w:rsidRPr="006B1EA3">
        <w:rPr>
          <w:spacing w:val="-3"/>
        </w:rPr>
        <w:br/>
        <w:t>(5) Lack of capacity to sue, nonjoinder of a necessary party or misjoinder of a cause of action.</w:t>
      </w:r>
      <w:r w:rsidRPr="006B1EA3">
        <w:rPr>
          <w:spacing w:val="-3"/>
        </w:rPr>
        <w:br/>
        <w:t> </w:t>
      </w:r>
      <w:r w:rsidRPr="006B1EA3">
        <w:rPr>
          <w:spacing w:val="-3"/>
        </w:rPr>
        <w:br/>
        <w:t>(6) Pendency of a prior proceeding or agreement for alternative dispute resolution.</w:t>
      </w:r>
    </w:p>
    <w:p w14:paraId="672A6028" w14:textId="77777777" w:rsidR="00C14FD7" w:rsidRDefault="00C14FD7" w:rsidP="006B1EA3">
      <w:pPr>
        <w:autoSpaceDE w:val="0"/>
        <w:autoSpaceDN w:val="0"/>
        <w:ind w:left="1440" w:right="1440"/>
        <w:rPr>
          <w:spacing w:val="-3"/>
        </w:rPr>
      </w:pPr>
    </w:p>
    <w:p w14:paraId="5FB7DE95" w14:textId="77777777" w:rsidR="00C14FD7" w:rsidRPr="006B1EA3" w:rsidRDefault="00C14FD7" w:rsidP="006B1EA3">
      <w:pPr>
        <w:autoSpaceDE w:val="0"/>
        <w:autoSpaceDN w:val="0"/>
        <w:ind w:left="1440" w:right="1440"/>
        <w:rPr>
          <w:spacing w:val="-3"/>
        </w:rPr>
      </w:pPr>
      <w:r w:rsidRPr="00C14FD7">
        <w:rPr>
          <w:spacing w:val="-3"/>
        </w:rPr>
        <w:t>(7)  Standing of a party to participate in the proceeding.</w:t>
      </w:r>
    </w:p>
    <w:p w14:paraId="3922D4DE" w14:textId="6B6C7ABC" w:rsidR="006B1EA3" w:rsidRDefault="006B1EA3" w:rsidP="002012DC">
      <w:pPr>
        <w:autoSpaceDE w:val="0"/>
        <w:autoSpaceDN w:val="0"/>
        <w:spacing w:line="360" w:lineRule="auto"/>
      </w:pPr>
      <w:r w:rsidRPr="006B1EA3">
        <w:rPr>
          <w:spacing w:val="-3"/>
        </w:rPr>
        <w:br/>
      </w:r>
      <w:r w:rsidRPr="006B1EA3">
        <w:rPr>
          <w:spacing w:val="-3"/>
        </w:rPr>
        <w:tab/>
      </w:r>
      <w:r w:rsidRPr="006B1EA3">
        <w:rPr>
          <w:spacing w:val="-3"/>
        </w:rPr>
        <w:tab/>
        <w:t xml:space="preserve">Commission </w:t>
      </w:r>
      <w:r w:rsidRPr="006B1EA3">
        <w:rPr>
          <w:bCs/>
          <w:spacing w:val="-3"/>
        </w:rPr>
        <w:t>preliminary objection</w:t>
      </w:r>
      <w:r w:rsidRPr="006B1EA3">
        <w:rPr>
          <w:spacing w:val="-3"/>
        </w:rPr>
        <w:t xml:space="preserve"> practice is analogous to Pennsylvania civil practice regarding </w:t>
      </w:r>
      <w:r w:rsidRPr="006B1EA3">
        <w:rPr>
          <w:bCs/>
          <w:spacing w:val="-3"/>
        </w:rPr>
        <w:t>preliminary objections.</w:t>
      </w:r>
      <w:r w:rsidRPr="006B1EA3">
        <w:rPr>
          <w:spacing w:val="-3"/>
        </w:rPr>
        <w:t xml:space="preserve">  </w:t>
      </w:r>
      <w:r w:rsidRPr="006B1EA3">
        <w:rPr>
          <w:i/>
          <w:spacing w:val="-3"/>
        </w:rPr>
        <w:t>Equitable Small Transportation Intervenors v. Equitable Gas Company</w:t>
      </w:r>
      <w:r w:rsidRPr="006B1EA3">
        <w:rPr>
          <w:spacing w:val="-3"/>
        </w:rPr>
        <w:t xml:space="preserve">, 1994 Pa PUC LEXIS 69, Docket No. C-00935435 (July 18, 1994).  </w:t>
      </w:r>
      <w:r w:rsidRPr="006B1EA3">
        <w:rPr>
          <w:bCs/>
          <w:spacing w:val="-3"/>
        </w:rPr>
        <w:t>Preliminary objections</w:t>
      </w:r>
      <w:r w:rsidRPr="006B1EA3">
        <w:rPr>
          <w:spacing w:val="-3"/>
        </w:rPr>
        <w:t xml:space="preserve"> in civil practice requesting dismissal of a pleading will be granted only where the right to relief is clearly warranted and free from doubt.  </w:t>
      </w:r>
      <w:r w:rsidRPr="006B1EA3">
        <w:rPr>
          <w:i/>
          <w:spacing w:val="-3"/>
        </w:rPr>
        <w:t xml:space="preserve">Interstate </w:t>
      </w:r>
      <w:proofErr w:type="spellStart"/>
      <w:r w:rsidRPr="006B1EA3">
        <w:rPr>
          <w:i/>
          <w:spacing w:val="-3"/>
        </w:rPr>
        <w:t>Traveller</w:t>
      </w:r>
      <w:proofErr w:type="spellEnd"/>
      <w:r w:rsidRPr="006B1EA3">
        <w:rPr>
          <w:i/>
          <w:spacing w:val="-3"/>
        </w:rPr>
        <w:t xml:space="preserve"> Services, Inc. v. Pa. Dept. of Environment Resources</w:t>
      </w:r>
      <w:r w:rsidRPr="006B1EA3">
        <w:rPr>
          <w:spacing w:val="-3"/>
        </w:rPr>
        <w:t xml:space="preserve">, 406 A.2d 1020 (Pa. 1979);  </w:t>
      </w:r>
      <w:r w:rsidRPr="006B1EA3">
        <w:rPr>
          <w:i/>
          <w:spacing w:val="-3"/>
        </w:rPr>
        <w:t>Rivera v. Philadelphia Theological Seminary of St. Charles Borromeo, Inc</w:t>
      </w:r>
      <w:r w:rsidRPr="006B1EA3">
        <w:rPr>
          <w:spacing w:val="-3"/>
        </w:rPr>
        <w:t xml:space="preserve">., 595 A.2d 172 (Pa. Super. 1991).  The Commission follows this standard.  </w:t>
      </w:r>
      <w:r w:rsidRPr="006B1EA3">
        <w:rPr>
          <w:i/>
          <w:spacing w:val="-3"/>
        </w:rPr>
        <w:t>Montague v. Philadelphia Electric Company</w:t>
      </w:r>
      <w:r w:rsidRPr="006B1EA3">
        <w:rPr>
          <w:spacing w:val="-3"/>
        </w:rPr>
        <w:t>, 66 Pa. PUC 24 (1988).</w:t>
      </w:r>
      <w:r w:rsidRPr="006B1EA3">
        <w:rPr>
          <w:spacing w:val="-3"/>
        </w:rPr>
        <w:br/>
      </w:r>
      <w:r w:rsidRPr="006B1EA3">
        <w:rPr>
          <w:spacing w:val="-3"/>
        </w:rPr>
        <w:br/>
      </w:r>
      <w:r w:rsidRPr="006B1EA3">
        <w:rPr>
          <w:spacing w:val="-3"/>
        </w:rPr>
        <w:tab/>
      </w:r>
      <w:r w:rsidRPr="006B1EA3">
        <w:rPr>
          <w:spacing w:val="-3"/>
        </w:rPr>
        <w:tab/>
        <w:t xml:space="preserve">The Commission may not rely upon the factual assertions of the moving party but must accept as true for purposes of disposing of the motion all well pleaded, material facts of the nonmoving party, as well as every inference from those facts.  </w:t>
      </w:r>
      <w:r w:rsidRPr="006B1EA3">
        <w:rPr>
          <w:i/>
          <w:spacing w:val="-3"/>
        </w:rPr>
        <w:t>County of Allegheny v. Commonwealth of Pennsylvania</w:t>
      </w:r>
      <w:r w:rsidRPr="006B1EA3">
        <w:rPr>
          <w:spacing w:val="-3"/>
        </w:rPr>
        <w:t xml:space="preserve">, 490 A. 2d 402 (Pa. 1985);  </w:t>
      </w:r>
      <w:r w:rsidRPr="006B1EA3">
        <w:rPr>
          <w:i/>
          <w:spacing w:val="-3"/>
        </w:rPr>
        <w:t>Commonwealth of Pennsylvania v. Bell Telephone Co. of Pa</w:t>
      </w:r>
      <w:r w:rsidRPr="006B1EA3">
        <w:rPr>
          <w:spacing w:val="-3"/>
        </w:rPr>
        <w:t>., 551 A.2d 602 (Pa. Cmwlth. 1988).  The Commission must view the Complaint in this case in the light most favorable to the Complainant and should dismiss the Complaint only if it appears that the Complainant would not be entitled to relief under any circumstances as a matter of law</w:t>
      </w:r>
      <w:r w:rsidRPr="006B1EA3">
        <w:rPr>
          <w:i/>
          <w:spacing w:val="-3"/>
        </w:rPr>
        <w:t>.  Equitable Small Transportation Intervenors v. Equitable Gas Company</w:t>
      </w:r>
      <w:r w:rsidRPr="006B1EA3">
        <w:rPr>
          <w:spacing w:val="-3"/>
        </w:rPr>
        <w:t>, 1994 Pa PUC LEXIS 69, Docket No. C-00935435 (July 18, 1994)</w:t>
      </w:r>
      <w:r w:rsidRPr="006B1EA3">
        <w:rPr>
          <w:spacing w:val="-3"/>
        </w:rPr>
        <w:br/>
      </w:r>
    </w:p>
    <w:p w14:paraId="435F871C" w14:textId="1D53C408" w:rsidR="002012DC" w:rsidRDefault="006B1EA3" w:rsidP="002012DC">
      <w:pPr>
        <w:autoSpaceDE w:val="0"/>
        <w:autoSpaceDN w:val="0"/>
        <w:spacing w:line="360" w:lineRule="auto"/>
        <w:rPr>
          <w:spacing w:val="-3"/>
        </w:rPr>
      </w:pPr>
      <w:r>
        <w:tab/>
      </w:r>
      <w:r w:rsidR="002012DC">
        <w:tab/>
      </w:r>
      <w:r w:rsidR="002012DC">
        <w:rPr>
          <w:spacing w:val="-3"/>
        </w:rPr>
        <w:t xml:space="preserve">PECO’s </w:t>
      </w:r>
      <w:r w:rsidR="002012DC" w:rsidRPr="006B1EA3">
        <w:rPr>
          <w:spacing w:val="-3"/>
        </w:rPr>
        <w:t>P</w:t>
      </w:r>
      <w:r w:rsidR="002012DC" w:rsidRPr="006B1EA3">
        <w:rPr>
          <w:bCs/>
          <w:spacing w:val="-3"/>
        </w:rPr>
        <w:t>reliminary Objection</w:t>
      </w:r>
      <w:r w:rsidR="002012DC" w:rsidRPr="006B1EA3">
        <w:rPr>
          <w:spacing w:val="-3"/>
        </w:rPr>
        <w:t xml:space="preserve"> asserts </w:t>
      </w:r>
      <w:r w:rsidR="002012DC">
        <w:rPr>
          <w:spacing w:val="-3"/>
        </w:rPr>
        <w:t>that as the landlord, Complainant is responsible for the transferred account balance associated with a foreign load situation at the rental address.  In support of its contention, PECO cites both the Public Utility Code and Commission precedent arguing that PECO is required by law to transfer the account balance to the landlord.  PECO is correct as to the law.</w:t>
      </w:r>
      <w:r w:rsidR="002012DC">
        <w:rPr>
          <w:rStyle w:val="FootnoteReference"/>
          <w:spacing w:val="-3"/>
        </w:rPr>
        <w:footnoteReference w:id="1"/>
      </w:r>
    </w:p>
    <w:p w14:paraId="05687977" w14:textId="77777777" w:rsidR="002012DC" w:rsidRDefault="006B1EA3" w:rsidP="00113287">
      <w:pPr>
        <w:spacing w:line="360" w:lineRule="auto"/>
      </w:pPr>
      <w:r>
        <w:tab/>
      </w:r>
    </w:p>
    <w:p w14:paraId="55A21CFB" w14:textId="3616F206" w:rsidR="00C52EBE" w:rsidRDefault="002012DC" w:rsidP="00113287">
      <w:pPr>
        <w:spacing w:line="360" w:lineRule="auto"/>
      </w:pPr>
      <w:r>
        <w:tab/>
      </w:r>
      <w:r>
        <w:tab/>
      </w:r>
      <w:r w:rsidR="00C52EBE" w:rsidRPr="00C52EBE">
        <w:t>The Commission</w:t>
      </w:r>
      <w:r>
        <w:t>, however,</w:t>
      </w:r>
      <w:r w:rsidR="00C52EBE" w:rsidRPr="00C52EBE">
        <w:t xml:space="preserve"> must view </w:t>
      </w:r>
      <w:r w:rsidR="00C52EBE">
        <w:t xml:space="preserve">a </w:t>
      </w:r>
      <w:r w:rsidR="00C52EBE" w:rsidRPr="00C52EBE">
        <w:t>Complaint in the light most favorable to the Complainant and should dismiss the Complaint only if it appears that the Complainant would not be entitled to relief under any circumstances as a matter of law.</w:t>
      </w:r>
      <w:r w:rsidR="00C52EBE">
        <w:t xml:space="preserve">  </w:t>
      </w:r>
      <w:r w:rsidR="00B57F2C">
        <w:t xml:space="preserve">Given the factual disputes </w:t>
      </w:r>
      <w:r>
        <w:t xml:space="preserve">with respect to the ownership of the service address and the landlord/tenant relationship, </w:t>
      </w:r>
      <w:r w:rsidR="00B57F2C">
        <w:t xml:space="preserve">and to an extent the absence of </w:t>
      </w:r>
      <w:r w:rsidR="0038483B">
        <w:t xml:space="preserve">relevant </w:t>
      </w:r>
      <w:r w:rsidR="00B57F2C">
        <w:t>material facts pleaded in this case</w:t>
      </w:r>
      <w:r>
        <w:t xml:space="preserve"> (such as the date of sale of the property and verification of the same)</w:t>
      </w:r>
      <w:r w:rsidR="00B57F2C">
        <w:t>, t</w:t>
      </w:r>
      <w:r w:rsidR="00C52EBE">
        <w:t>he Preliminary Objection do</w:t>
      </w:r>
      <w:r w:rsidR="00501145">
        <w:t>es</w:t>
      </w:r>
      <w:r w:rsidR="00C52EBE">
        <w:t xml:space="preserve"> not warrant dismissal of the Complaint.</w:t>
      </w:r>
    </w:p>
    <w:p w14:paraId="3F80AA10" w14:textId="77777777" w:rsidR="00611D3A" w:rsidRDefault="00611D3A" w:rsidP="00C52EBE">
      <w:pPr>
        <w:spacing w:line="360" w:lineRule="auto"/>
      </w:pPr>
    </w:p>
    <w:p w14:paraId="4608FB22" w14:textId="77777777" w:rsidR="00C52EBE" w:rsidRPr="00C52EBE" w:rsidRDefault="00C52EBE" w:rsidP="00C52EBE">
      <w:pPr>
        <w:spacing w:line="360" w:lineRule="auto"/>
        <w:jc w:val="center"/>
        <w:rPr>
          <w:u w:val="single"/>
        </w:rPr>
      </w:pPr>
      <w:r w:rsidRPr="00C52EBE">
        <w:rPr>
          <w:u w:val="single"/>
        </w:rPr>
        <w:t>ORDER</w:t>
      </w:r>
    </w:p>
    <w:p w14:paraId="61972097" w14:textId="3B0DA1B2" w:rsidR="00C52EBE" w:rsidRDefault="00C52EBE" w:rsidP="00C52EBE">
      <w:pPr>
        <w:spacing w:line="360" w:lineRule="auto"/>
      </w:pPr>
    </w:p>
    <w:p w14:paraId="1500F532" w14:textId="77777777" w:rsidR="00B221E7" w:rsidRPr="00C52EBE" w:rsidRDefault="00B221E7" w:rsidP="00C52EBE">
      <w:pPr>
        <w:spacing w:line="360" w:lineRule="auto"/>
      </w:pPr>
    </w:p>
    <w:p w14:paraId="7DCA2781" w14:textId="32C7D3D0" w:rsidR="000806AD" w:rsidRDefault="00C52EBE" w:rsidP="000806AD">
      <w:pPr>
        <w:spacing w:line="360" w:lineRule="auto"/>
      </w:pPr>
      <w:r w:rsidRPr="00C52EBE">
        <w:tab/>
      </w:r>
      <w:r w:rsidRPr="00C52EBE">
        <w:tab/>
        <w:t>THEREFORE,</w:t>
      </w:r>
      <w:r w:rsidRPr="00C52EBE">
        <w:br/>
      </w:r>
      <w:r w:rsidRPr="00C52EBE">
        <w:br/>
      </w:r>
      <w:r w:rsidRPr="00C52EBE">
        <w:tab/>
      </w:r>
      <w:r w:rsidRPr="00C52EBE">
        <w:tab/>
        <w:t>IT IS ORDERED:</w:t>
      </w:r>
      <w:r w:rsidRPr="00C52EBE">
        <w:br/>
      </w:r>
      <w:r w:rsidRPr="00C52EBE">
        <w:br/>
      </w:r>
      <w:r w:rsidRPr="00C52EBE">
        <w:tab/>
      </w:r>
      <w:r w:rsidRPr="00C52EBE">
        <w:tab/>
        <w:t xml:space="preserve">1. </w:t>
      </w:r>
      <w:r w:rsidRPr="00C52EBE">
        <w:tab/>
        <w:t xml:space="preserve">That the Preliminary Objection filed on </w:t>
      </w:r>
      <w:r w:rsidR="00B57F2C">
        <w:t>December 1, 2017</w:t>
      </w:r>
      <w:r w:rsidRPr="00C52EBE">
        <w:t xml:space="preserve"> by P</w:t>
      </w:r>
      <w:r w:rsidR="002012DC">
        <w:t>ECO Energy Company</w:t>
      </w:r>
      <w:r w:rsidR="00B57F2C">
        <w:t xml:space="preserve"> </w:t>
      </w:r>
      <w:r w:rsidR="000806AD">
        <w:t xml:space="preserve">at Docket No. </w:t>
      </w:r>
      <w:r w:rsidR="002012DC">
        <w:t>C</w:t>
      </w:r>
      <w:r w:rsidR="000806AD">
        <w:t>-201</w:t>
      </w:r>
      <w:r w:rsidR="00B57F2C">
        <w:t>7</w:t>
      </w:r>
      <w:r w:rsidR="000806AD">
        <w:t>-2</w:t>
      </w:r>
      <w:r w:rsidR="00B57F2C">
        <w:t>63</w:t>
      </w:r>
      <w:r w:rsidR="002012DC">
        <w:t xml:space="preserve">3739 is </w:t>
      </w:r>
      <w:r w:rsidR="008A3E5F">
        <w:t>denied</w:t>
      </w:r>
      <w:r w:rsidRPr="00C52EBE">
        <w:t>.</w:t>
      </w:r>
      <w:r w:rsidRPr="00C52EBE">
        <w:br/>
      </w:r>
      <w:r w:rsidRPr="00C52EBE">
        <w:br/>
      </w:r>
      <w:r w:rsidRPr="00C52EBE">
        <w:tab/>
      </w:r>
      <w:r w:rsidRPr="00C52EBE">
        <w:tab/>
        <w:t xml:space="preserve">2. </w:t>
      </w:r>
      <w:r w:rsidRPr="00C52EBE">
        <w:tab/>
      </w:r>
      <w:r w:rsidR="000806AD">
        <w:t>That this matter be set for hearing.</w:t>
      </w:r>
    </w:p>
    <w:p w14:paraId="4F5A7A38" w14:textId="77777777" w:rsidR="000806AD" w:rsidRDefault="000806AD" w:rsidP="000806AD">
      <w:pPr>
        <w:spacing w:line="360" w:lineRule="auto"/>
      </w:pPr>
    </w:p>
    <w:p w14:paraId="5D0FA802" w14:textId="77777777" w:rsidR="000806AD" w:rsidRPr="00C52EBE" w:rsidRDefault="000806AD" w:rsidP="000806AD">
      <w:pPr>
        <w:spacing w:line="360" w:lineRule="auto"/>
      </w:pPr>
    </w:p>
    <w:p w14:paraId="3CAD439F" w14:textId="6CE6665E" w:rsidR="00C52EBE" w:rsidRPr="000806AD" w:rsidRDefault="00C52EBE" w:rsidP="000806AD">
      <w:pPr>
        <w:rPr>
          <w:rStyle w:val="Emphasis"/>
          <w:i w:val="0"/>
        </w:rPr>
      </w:pPr>
      <w:r w:rsidRPr="00C52EBE">
        <w:br/>
      </w:r>
      <w:r w:rsidRPr="00C52EBE">
        <w:tab/>
      </w:r>
      <w:r w:rsidRPr="00C52EBE">
        <w:tab/>
      </w:r>
      <w:r w:rsidRPr="00C52EBE">
        <w:br/>
      </w:r>
      <w:r w:rsidRPr="000806AD">
        <w:rPr>
          <w:rStyle w:val="Emphasis"/>
          <w:i w:val="0"/>
        </w:rPr>
        <w:t>Date:</w:t>
      </w:r>
      <w:r w:rsidRPr="000806AD">
        <w:rPr>
          <w:rStyle w:val="Emphasis"/>
          <w:i w:val="0"/>
        </w:rPr>
        <w:tab/>
      </w:r>
      <w:r w:rsidR="00B57F2C">
        <w:rPr>
          <w:rStyle w:val="Emphasis"/>
          <w:i w:val="0"/>
          <w:u w:val="single"/>
        </w:rPr>
        <w:t xml:space="preserve">March </w:t>
      </w:r>
      <w:r w:rsidR="002012DC">
        <w:rPr>
          <w:rStyle w:val="Emphasis"/>
          <w:i w:val="0"/>
          <w:u w:val="single"/>
        </w:rPr>
        <w:t>12</w:t>
      </w:r>
      <w:r w:rsidR="00B57F2C">
        <w:rPr>
          <w:rStyle w:val="Emphasis"/>
          <w:i w:val="0"/>
          <w:u w:val="single"/>
        </w:rPr>
        <w:t>, 2018</w:t>
      </w:r>
      <w:r w:rsidR="00B57F2C">
        <w:rPr>
          <w:rStyle w:val="Emphasis"/>
          <w:i w:val="0"/>
          <w:u w:val="single"/>
        </w:rPr>
        <w:tab/>
      </w:r>
      <w:r w:rsidRPr="000806AD">
        <w:rPr>
          <w:rStyle w:val="Emphasis"/>
          <w:i w:val="0"/>
        </w:rPr>
        <w:tab/>
      </w:r>
      <w:r w:rsidR="00B57F2C">
        <w:rPr>
          <w:rStyle w:val="Emphasis"/>
          <w:i w:val="0"/>
        </w:rPr>
        <w:tab/>
      </w:r>
      <w:r w:rsidRPr="000806AD">
        <w:rPr>
          <w:rStyle w:val="Emphasis"/>
          <w:i w:val="0"/>
        </w:rPr>
        <w:tab/>
        <w:t>____</w:t>
      </w:r>
      <w:r w:rsidR="00B57F2C">
        <w:rPr>
          <w:rStyle w:val="Emphasis"/>
          <w:i w:val="0"/>
          <w:u w:val="single"/>
        </w:rPr>
        <w:t>/s/</w:t>
      </w:r>
      <w:r w:rsidRPr="000806AD">
        <w:rPr>
          <w:rStyle w:val="Emphasis"/>
          <w:i w:val="0"/>
        </w:rPr>
        <w:t>_________________________</w:t>
      </w:r>
    </w:p>
    <w:p w14:paraId="5E07FE01" w14:textId="77777777" w:rsidR="00C52EBE" w:rsidRPr="000806AD" w:rsidRDefault="00C52EBE" w:rsidP="000806AD">
      <w:pPr>
        <w:rPr>
          <w:rStyle w:val="Emphasis"/>
          <w:i w:val="0"/>
        </w:rPr>
      </w:pP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t>Dennis J. Buckley</w:t>
      </w:r>
    </w:p>
    <w:p w14:paraId="1E377569" w14:textId="37159C85" w:rsidR="00113287" w:rsidRPr="00113287" w:rsidRDefault="00C52EBE" w:rsidP="008A3E5F">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t>Administrative Law Judge</w:t>
      </w:r>
    </w:p>
    <w:p w14:paraId="50A010D7" w14:textId="77777777" w:rsidR="00E256FA" w:rsidRDefault="00E256FA" w:rsidP="00E256FA">
      <w:pPr>
        <w:spacing w:line="360" w:lineRule="auto"/>
      </w:pPr>
    </w:p>
    <w:p w14:paraId="27B2DDD3" w14:textId="77777777" w:rsidR="00E256FA" w:rsidRPr="00E256FA" w:rsidRDefault="00E256FA" w:rsidP="000806AD">
      <w:pPr>
        <w:spacing w:line="360" w:lineRule="auto"/>
        <w:rPr>
          <w:rStyle w:val="Emphasis"/>
          <w:i w:val="0"/>
        </w:rPr>
      </w:pPr>
      <w:r>
        <w:tab/>
      </w:r>
      <w:r>
        <w:tab/>
      </w:r>
      <w:bookmarkStart w:id="0" w:name="_GoBack"/>
      <w:bookmarkEnd w:id="0"/>
    </w:p>
    <w:p w14:paraId="3CBA0F04" w14:textId="77777777" w:rsidR="00B221E7" w:rsidRDefault="00B221E7" w:rsidP="00B221E7">
      <w:pPr>
        <w:contextualSpacing/>
      </w:pPr>
      <w:r>
        <w:rPr>
          <w:rFonts w:ascii="Microsoft Sans Serif"/>
          <w:b/>
          <w:u w:val="single"/>
        </w:rPr>
        <w:t>C-2017-2633739 - MAXINE CROOKS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1" w:name="_Hlk508783620"/>
      <w:r>
        <w:rPr>
          <w:rFonts w:ascii="Microsoft Sans Serif"/>
        </w:rPr>
        <w:t>MAXINE CROOKS</w:t>
      </w:r>
      <w:r>
        <w:rPr>
          <w:rFonts w:ascii="Microsoft Sans Serif"/>
        </w:rPr>
        <w:cr/>
        <w:t>834 N 65TH ST</w:t>
      </w:r>
      <w:r>
        <w:rPr>
          <w:rFonts w:ascii="Microsoft Sans Serif"/>
        </w:rPr>
        <w:cr/>
        <w:t>PHILADELPHIA PA  19151</w:t>
      </w:r>
      <w:bookmarkEnd w:id="1"/>
      <w:r>
        <w:rPr>
          <w:rFonts w:ascii="Microsoft Sans Serif"/>
        </w:rPr>
        <w:cr/>
      </w:r>
      <w:r w:rsidRPr="00467CC0">
        <w:rPr>
          <w:rFonts w:ascii="Microsoft Sans Serif"/>
          <w:b/>
        </w:rPr>
        <w:t>215.205.6257</w:t>
      </w:r>
      <w:r>
        <w:rPr>
          <w:rFonts w:ascii="Microsoft Sans Serif"/>
        </w:rPr>
        <w:cr/>
      </w:r>
    </w:p>
    <w:p w14:paraId="48DED25C" w14:textId="77777777" w:rsidR="00B221E7" w:rsidRPr="003155FA" w:rsidRDefault="00B221E7" w:rsidP="00B221E7">
      <w:pPr>
        <w:contextualSpacing/>
        <w:rPr>
          <w:b/>
          <w:i/>
          <w:u w:val="single"/>
        </w:rPr>
      </w:pPr>
      <w:r>
        <w:rPr>
          <w:rFonts w:ascii="Microsoft Sans Serif"/>
        </w:rP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r>
      <w:r w:rsidRPr="00467CC0">
        <w:rPr>
          <w:rFonts w:ascii="Microsoft Sans Serif"/>
          <w:b/>
        </w:rPr>
        <w:t>215.841.6841</w:t>
      </w:r>
      <w:r>
        <w:rPr>
          <w:rFonts w:ascii="Microsoft Sans Serif"/>
        </w:rPr>
        <w:cr/>
      </w:r>
      <w:r>
        <w:rPr>
          <w:rFonts w:ascii="Microsoft Sans Serif"/>
          <w:b/>
          <w:i/>
          <w:u w:val="single"/>
        </w:rPr>
        <w:t>-E-SERVE-</w:t>
      </w:r>
    </w:p>
    <w:p w14:paraId="13F4B9B4" w14:textId="77777777" w:rsidR="00E256FA" w:rsidRDefault="00E256FA" w:rsidP="006C095B">
      <w:pPr>
        <w:spacing w:line="360" w:lineRule="auto"/>
      </w:pPr>
    </w:p>
    <w:sectPr w:rsidR="00E256F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8C46C" w14:textId="77777777" w:rsidR="007A0C04" w:rsidRDefault="007A0C04">
      <w:r>
        <w:separator/>
      </w:r>
    </w:p>
  </w:endnote>
  <w:endnote w:type="continuationSeparator" w:id="0">
    <w:p w14:paraId="083CD079" w14:textId="77777777" w:rsidR="007A0C04" w:rsidRDefault="007A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CD80" w14:textId="77777777"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14:paraId="74748F0C" w14:textId="77777777" w:rsidR="004E0FB7" w:rsidRDefault="004E0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8AA1" w14:textId="77777777" w:rsidR="00B221E7" w:rsidRPr="00B221E7" w:rsidRDefault="00B221E7" w:rsidP="005629D6">
    <w:pPr>
      <w:pStyle w:val="Footer"/>
      <w:framePr w:wrap="around" w:vAnchor="text" w:hAnchor="margin" w:xAlign="center" w:y="1"/>
      <w:rPr>
        <w:rStyle w:val="PageNumber"/>
        <w:sz w:val="20"/>
        <w:szCs w:val="20"/>
      </w:rPr>
    </w:pPr>
    <w:r w:rsidRPr="00B221E7">
      <w:rPr>
        <w:rStyle w:val="PageNumber"/>
        <w:sz w:val="20"/>
        <w:szCs w:val="20"/>
      </w:rPr>
      <w:fldChar w:fldCharType="begin"/>
    </w:r>
    <w:r w:rsidRPr="00B221E7">
      <w:rPr>
        <w:rStyle w:val="PageNumber"/>
        <w:sz w:val="20"/>
        <w:szCs w:val="20"/>
      </w:rPr>
      <w:instrText xml:space="preserve">PAGE  </w:instrText>
    </w:r>
    <w:r w:rsidRPr="00B221E7">
      <w:rPr>
        <w:rStyle w:val="PageNumber"/>
        <w:sz w:val="20"/>
        <w:szCs w:val="20"/>
      </w:rPr>
      <w:fldChar w:fldCharType="separate"/>
    </w:r>
    <w:r w:rsidRPr="00B221E7">
      <w:rPr>
        <w:rStyle w:val="PageNumber"/>
        <w:noProof/>
        <w:sz w:val="20"/>
        <w:szCs w:val="20"/>
      </w:rPr>
      <w:t>7</w:t>
    </w:r>
    <w:r w:rsidRPr="00B221E7">
      <w:rPr>
        <w:rStyle w:val="PageNumber"/>
        <w:sz w:val="20"/>
        <w:szCs w:val="20"/>
      </w:rPr>
      <w:fldChar w:fldCharType="end"/>
    </w:r>
  </w:p>
  <w:p w14:paraId="3253270B" w14:textId="77777777" w:rsidR="00B221E7" w:rsidRDefault="00B22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EEC0E" w14:textId="77777777" w:rsidR="007A0C04" w:rsidRDefault="007A0C04">
      <w:r>
        <w:separator/>
      </w:r>
    </w:p>
  </w:footnote>
  <w:footnote w:type="continuationSeparator" w:id="0">
    <w:p w14:paraId="29273AD9" w14:textId="77777777" w:rsidR="007A0C04" w:rsidRDefault="007A0C04">
      <w:r>
        <w:continuationSeparator/>
      </w:r>
    </w:p>
  </w:footnote>
  <w:footnote w:id="1">
    <w:p w14:paraId="42CF148A" w14:textId="77777777" w:rsidR="002012DC" w:rsidRDefault="002012DC" w:rsidP="002012DC">
      <w:pPr>
        <w:pStyle w:val="FootnoteText"/>
      </w:pPr>
      <w:r>
        <w:rPr>
          <w:rStyle w:val="FootnoteReference"/>
        </w:rPr>
        <w:footnoteRef/>
      </w:r>
      <w:r>
        <w:t xml:space="preserve"> </w:t>
      </w:r>
      <w:r>
        <w:tab/>
        <w:t xml:space="preserve">See, </w:t>
      </w:r>
      <w:r w:rsidRPr="00952177">
        <w:rPr>
          <w:i/>
        </w:rPr>
        <w:t>Ace Check Cashing Inc. v. Philadelphia Gas Works</w:t>
      </w:r>
      <w:r>
        <w:t xml:space="preserve">, Docket No. C-2008-2056428 (Order entered May 21, 2010); </w:t>
      </w:r>
      <w:r w:rsidRPr="00952177">
        <w:t>66 Pa. C.S. §§1529</w:t>
      </w:r>
      <w:r>
        <w:t xml:space="preserve">, </w:t>
      </w:r>
      <w:r w:rsidRPr="00952177">
        <w:rPr>
          <w:i/>
        </w:rPr>
        <w:t>et seq</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566E7"/>
    <w:rsid w:val="00061CCC"/>
    <w:rsid w:val="0007460B"/>
    <w:rsid w:val="0007524A"/>
    <w:rsid w:val="000757AD"/>
    <w:rsid w:val="00076C46"/>
    <w:rsid w:val="00077E32"/>
    <w:rsid w:val="000806AD"/>
    <w:rsid w:val="000831AA"/>
    <w:rsid w:val="00085155"/>
    <w:rsid w:val="00085C0D"/>
    <w:rsid w:val="000868D6"/>
    <w:rsid w:val="00086E09"/>
    <w:rsid w:val="000901CB"/>
    <w:rsid w:val="000928E5"/>
    <w:rsid w:val="000936AA"/>
    <w:rsid w:val="00093F1C"/>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287"/>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2A1C"/>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EBA"/>
    <w:rsid w:val="001973E5"/>
    <w:rsid w:val="001A039F"/>
    <w:rsid w:val="001A225A"/>
    <w:rsid w:val="001A4C79"/>
    <w:rsid w:val="001A4DCA"/>
    <w:rsid w:val="001A7526"/>
    <w:rsid w:val="001A77D3"/>
    <w:rsid w:val="001B009E"/>
    <w:rsid w:val="001B0B41"/>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162"/>
    <w:rsid w:val="001F2E47"/>
    <w:rsid w:val="001F38DD"/>
    <w:rsid w:val="001F627F"/>
    <w:rsid w:val="001F6805"/>
    <w:rsid w:val="001F7426"/>
    <w:rsid w:val="002012DC"/>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1794"/>
    <w:rsid w:val="00232EF1"/>
    <w:rsid w:val="00233425"/>
    <w:rsid w:val="002336DD"/>
    <w:rsid w:val="00234AF5"/>
    <w:rsid w:val="00234ECC"/>
    <w:rsid w:val="0023608D"/>
    <w:rsid w:val="002415F2"/>
    <w:rsid w:val="0024317F"/>
    <w:rsid w:val="00244CBE"/>
    <w:rsid w:val="00244D31"/>
    <w:rsid w:val="00244F8C"/>
    <w:rsid w:val="0024513C"/>
    <w:rsid w:val="002452E3"/>
    <w:rsid w:val="00247836"/>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2FD2"/>
    <w:rsid w:val="002B406F"/>
    <w:rsid w:val="002B4D3C"/>
    <w:rsid w:val="002B5408"/>
    <w:rsid w:val="002B69F6"/>
    <w:rsid w:val="002B725F"/>
    <w:rsid w:val="002B7335"/>
    <w:rsid w:val="002B78DD"/>
    <w:rsid w:val="002C0106"/>
    <w:rsid w:val="002C0B24"/>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1D84"/>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83B"/>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1C3"/>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881"/>
    <w:rsid w:val="00426CEB"/>
    <w:rsid w:val="0043010B"/>
    <w:rsid w:val="00430E36"/>
    <w:rsid w:val="00434EFE"/>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1DEB"/>
    <w:rsid w:val="00472CC3"/>
    <w:rsid w:val="00474243"/>
    <w:rsid w:val="00475928"/>
    <w:rsid w:val="00475949"/>
    <w:rsid w:val="00475D83"/>
    <w:rsid w:val="00475F0B"/>
    <w:rsid w:val="00480441"/>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3F84"/>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45"/>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5692C"/>
    <w:rsid w:val="00561908"/>
    <w:rsid w:val="005624B6"/>
    <w:rsid w:val="005629D6"/>
    <w:rsid w:val="00562D3A"/>
    <w:rsid w:val="0056496B"/>
    <w:rsid w:val="00566FDB"/>
    <w:rsid w:val="00567200"/>
    <w:rsid w:val="005675B1"/>
    <w:rsid w:val="00567A3A"/>
    <w:rsid w:val="00572CAC"/>
    <w:rsid w:val="005747F6"/>
    <w:rsid w:val="00574E2F"/>
    <w:rsid w:val="00582597"/>
    <w:rsid w:val="005829ED"/>
    <w:rsid w:val="00582F1E"/>
    <w:rsid w:val="00583043"/>
    <w:rsid w:val="0058421D"/>
    <w:rsid w:val="00586449"/>
    <w:rsid w:val="00586718"/>
    <w:rsid w:val="00586AEE"/>
    <w:rsid w:val="005901BD"/>
    <w:rsid w:val="00590C92"/>
    <w:rsid w:val="0059326C"/>
    <w:rsid w:val="00593772"/>
    <w:rsid w:val="00593B6D"/>
    <w:rsid w:val="00594827"/>
    <w:rsid w:val="005948F4"/>
    <w:rsid w:val="00594AE8"/>
    <w:rsid w:val="00594B84"/>
    <w:rsid w:val="005A3ABC"/>
    <w:rsid w:val="005A6157"/>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3559"/>
    <w:rsid w:val="005F4E63"/>
    <w:rsid w:val="005F6022"/>
    <w:rsid w:val="005F68FF"/>
    <w:rsid w:val="00600512"/>
    <w:rsid w:val="00601F5F"/>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1D3A"/>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E1B"/>
    <w:rsid w:val="00641FBD"/>
    <w:rsid w:val="0064320C"/>
    <w:rsid w:val="00644547"/>
    <w:rsid w:val="00644B43"/>
    <w:rsid w:val="006472F6"/>
    <w:rsid w:val="00647C81"/>
    <w:rsid w:val="0065008E"/>
    <w:rsid w:val="00651754"/>
    <w:rsid w:val="00652798"/>
    <w:rsid w:val="00652BC4"/>
    <w:rsid w:val="00653C1A"/>
    <w:rsid w:val="0065425D"/>
    <w:rsid w:val="00654315"/>
    <w:rsid w:val="006546E3"/>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1EA3"/>
    <w:rsid w:val="006B252A"/>
    <w:rsid w:val="006B3FBF"/>
    <w:rsid w:val="006B4635"/>
    <w:rsid w:val="006C06F9"/>
    <w:rsid w:val="006C095B"/>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192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0C04"/>
    <w:rsid w:val="007A1DC5"/>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5EDC"/>
    <w:rsid w:val="00807663"/>
    <w:rsid w:val="00807959"/>
    <w:rsid w:val="00807D17"/>
    <w:rsid w:val="00812D1B"/>
    <w:rsid w:val="00814C30"/>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1336"/>
    <w:rsid w:val="00842A09"/>
    <w:rsid w:val="00843710"/>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2E30"/>
    <w:rsid w:val="008A36CB"/>
    <w:rsid w:val="008A3980"/>
    <w:rsid w:val="008A3ACC"/>
    <w:rsid w:val="008A3E5F"/>
    <w:rsid w:val="008A3F67"/>
    <w:rsid w:val="008A5B58"/>
    <w:rsid w:val="008A70B4"/>
    <w:rsid w:val="008A7B2B"/>
    <w:rsid w:val="008A7DB0"/>
    <w:rsid w:val="008B1335"/>
    <w:rsid w:val="008B22BE"/>
    <w:rsid w:val="008B56B6"/>
    <w:rsid w:val="008C0E60"/>
    <w:rsid w:val="008C0EE5"/>
    <w:rsid w:val="008C0F6E"/>
    <w:rsid w:val="008C1B33"/>
    <w:rsid w:val="008C20EC"/>
    <w:rsid w:val="008C2807"/>
    <w:rsid w:val="008C290A"/>
    <w:rsid w:val="008C6208"/>
    <w:rsid w:val="008D11BB"/>
    <w:rsid w:val="008D1CD4"/>
    <w:rsid w:val="008D35DF"/>
    <w:rsid w:val="008D4696"/>
    <w:rsid w:val="008D5922"/>
    <w:rsid w:val="008D601F"/>
    <w:rsid w:val="008D7AE4"/>
    <w:rsid w:val="008E30E5"/>
    <w:rsid w:val="008E34FE"/>
    <w:rsid w:val="008E5B6A"/>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26B12"/>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2177"/>
    <w:rsid w:val="00953659"/>
    <w:rsid w:val="00953B78"/>
    <w:rsid w:val="00953C11"/>
    <w:rsid w:val="00953C14"/>
    <w:rsid w:val="00954FC5"/>
    <w:rsid w:val="0095679C"/>
    <w:rsid w:val="00962711"/>
    <w:rsid w:val="0096285C"/>
    <w:rsid w:val="00962F73"/>
    <w:rsid w:val="009648D0"/>
    <w:rsid w:val="00965150"/>
    <w:rsid w:val="00965596"/>
    <w:rsid w:val="00971270"/>
    <w:rsid w:val="00972005"/>
    <w:rsid w:val="00975481"/>
    <w:rsid w:val="0097747F"/>
    <w:rsid w:val="00980066"/>
    <w:rsid w:val="0098185A"/>
    <w:rsid w:val="009822A5"/>
    <w:rsid w:val="00983EA0"/>
    <w:rsid w:val="00985E51"/>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066"/>
    <w:rsid w:val="009C6899"/>
    <w:rsid w:val="009D22F4"/>
    <w:rsid w:val="009D315A"/>
    <w:rsid w:val="009E1321"/>
    <w:rsid w:val="009E54F2"/>
    <w:rsid w:val="009F0BEF"/>
    <w:rsid w:val="009F3737"/>
    <w:rsid w:val="009F611D"/>
    <w:rsid w:val="009F6E81"/>
    <w:rsid w:val="009F7E45"/>
    <w:rsid w:val="00A008DB"/>
    <w:rsid w:val="00A00AA7"/>
    <w:rsid w:val="00A00F2D"/>
    <w:rsid w:val="00A0260B"/>
    <w:rsid w:val="00A02A5D"/>
    <w:rsid w:val="00A03B08"/>
    <w:rsid w:val="00A056DB"/>
    <w:rsid w:val="00A066B5"/>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964"/>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04D1"/>
    <w:rsid w:val="00AA1646"/>
    <w:rsid w:val="00AA1D53"/>
    <w:rsid w:val="00AA213E"/>
    <w:rsid w:val="00AA2D2A"/>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AF7F9A"/>
    <w:rsid w:val="00B0780B"/>
    <w:rsid w:val="00B07A6C"/>
    <w:rsid w:val="00B07B2E"/>
    <w:rsid w:val="00B103BF"/>
    <w:rsid w:val="00B13271"/>
    <w:rsid w:val="00B1367F"/>
    <w:rsid w:val="00B137C9"/>
    <w:rsid w:val="00B14E5D"/>
    <w:rsid w:val="00B205EC"/>
    <w:rsid w:val="00B21863"/>
    <w:rsid w:val="00B21E57"/>
    <w:rsid w:val="00B221E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2DBB"/>
    <w:rsid w:val="00B43E27"/>
    <w:rsid w:val="00B44BF7"/>
    <w:rsid w:val="00B44BF8"/>
    <w:rsid w:val="00B4523E"/>
    <w:rsid w:val="00B46B86"/>
    <w:rsid w:val="00B46BFF"/>
    <w:rsid w:val="00B51AB1"/>
    <w:rsid w:val="00B51B4D"/>
    <w:rsid w:val="00B521DC"/>
    <w:rsid w:val="00B5348C"/>
    <w:rsid w:val="00B54ABC"/>
    <w:rsid w:val="00B5703C"/>
    <w:rsid w:val="00B5707C"/>
    <w:rsid w:val="00B57F2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DE3"/>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4FD7"/>
    <w:rsid w:val="00C1698C"/>
    <w:rsid w:val="00C16E89"/>
    <w:rsid w:val="00C21E65"/>
    <w:rsid w:val="00C24FB3"/>
    <w:rsid w:val="00C26934"/>
    <w:rsid w:val="00C27176"/>
    <w:rsid w:val="00C2720B"/>
    <w:rsid w:val="00C275DF"/>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2EBE"/>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2DC0"/>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214"/>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455D"/>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734C"/>
    <w:rsid w:val="00DA7CD3"/>
    <w:rsid w:val="00DB09EB"/>
    <w:rsid w:val="00DB0E1A"/>
    <w:rsid w:val="00DB303E"/>
    <w:rsid w:val="00DB4421"/>
    <w:rsid w:val="00DB6F9D"/>
    <w:rsid w:val="00DC0281"/>
    <w:rsid w:val="00DC058A"/>
    <w:rsid w:val="00DC155E"/>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256FA"/>
    <w:rsid w:val="00E31EC6"/>
    <w:rsid w:val="00E31FEE"/>
    <w:rsid w:val="00E3214D"/>
    <w:rsid w:val="00E347FD"/>
    <w:rsid w:val="00E34978"/>
    <w:rsid w:val="00E37207"/>
    <w:rsid w:val="00E40952"/>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6BC3"/>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A6E21"/>
    <w:rsid w:val="00EB1169"/>
    <w:rsid w:val="00EB3B29"/>
    <w:rsid w:val="00EB6E59"/>
    <w:rsid w:val="00EB782E"/>
    <w:rsid w:val="00EC0DF2"/>
    <w:rsid w:val="00EC283A"/>
    <w:rsid w:val="00EC28DF"/>
    <w:rsid w:val="00EC2942"/>
    <w:rsid w:val="00EC47BC"/>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5EAC"/>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247"/>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16D"/>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420"/>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9FBE7F6"/>
  <w15:docId w15:val="{1521372C-E74C-4BF5-B420-35B6A1A9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E256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character" w:customStyle="1" w:styleId="Heading1Char">
    <w:name w:val="Heading 1 Char"/>
    <w:basedOn w:val="DefaultParagraphFont"/>
    <w:link w:val="Heading1"/>
    <w:rsid w:val="00E256F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E256FA"/>
    <w:rPr>
      <w:i/>
      <w:iCs/>
    </w:rPr>
  </w:style>
  <w:style w:type="paragraph" w:styleId="Header">
    <w:name w:val="header"/>
    <w:basedOn w:val="Normal"/>
    <w:link w:val="HeaderChar"/>
    <w:unhideWhenUsed/>
    <w:rsid w:val="00B221E7"/>
    <w:pPr>
      <w:tabs>
        <w:tab w:val="center" w:pos="4680"/>
        <w:tab w:val="right" w:pos="9360"/>
      </w:tabs>
    </w:pPr>
  </w:style>
  <w:style w:type="character" w:customStyle="1" w:styleId="HeaderChar">
    <w:name w:val="Header Char"/>
    <w:basedOn w:val="DefaultParagraphFont"/>
    <w:link w:val="Header"/>
    <w:rsid w:val="00B221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56953-C266-4BAB-B126-8E9C4498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Williams, Bobbie Jo</cp:lastModifiedBy>
  <cp:revision>2</cp:revision>
  <cp:lastPrinted>2018-03-14T13:46:00Z</cp:lastPrinted>
  <dcterms:created xsi:type="dcterms:W3CDTF">2018-03-14T13:48:00Z</dcterms:created>
  <dcterms:modified xsi:type="dcterms:W3CDTF">2018-03-14T13:48:00Z</dcterms:modified>
</cp:coreProperties>
</file>