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2448"/>
        <w:gridCol w:w="2250"/>
        <w:gridCol w:w="1260"/>
        <w:gridCol w:w="720"/>
        <w:gridCol w:w="2160"/>
        <w:gridCol w:w="720"/>
      </w:tblGrid>
      <w:tr w:rsidR="00DF7EBB" w:rsidRPr="00A05F32" w14:paraId="567B55D8" w14:textId="77777777" w:rsidTr="009413C4">
        <w:tc>
          <w:tcPr>
            <w:tcW w:w="2448" w:type="dxa"/>
          </w:tcPr>
          <w:p w14:paraId="21475830" w14:textId="77777777" w:rsidR="00DF7EBB" w:rsidRPr="00A05F32" w:rsidRDefault="00DF7EBB" w:rsidP="009413C4">
            <w:pPr>
              <w:rPr>
                <w:color w:val="000000"/>
                <w:sz w:val="26"/>
                <w:szCs w:val="26"/>
              </w:rPr>
            </w:pPr>
          </w:p>
        </w:tc>
        <w:tc>
          <w:tcPr>
            <w:tcW w:w="4230" w:type="dxa"/>
            <w:gridSpan w:val="3"/>
          </w:tcPr>
          <w:p w14:paraId="490EDD23" w14:textId="77777777" w:rsidR="00DF7EBB" w:rsidRPr="00A05F32" w:rsidRDefault="00DF7EBB" w:rsidP="009413C4">
            <w:pPr>
              <w:jc w:val="center"/>
              <w:rPr>
                <w:b/>
                <w:color w:val="000000"/>
                <w:sz w:val="26"/>
                <w:szCs w:val="26"/>
              </w:rPr>
            </w:pPr>
            <w:r w:rsidRPr="00A05F32">
              <w:rPr>
                <w:b/>
                <w:color w:val="000000"/>
                <w:sz w:val="26"/>
                <w:szCs w:val="26"/>
              </w:rPr>
              <w:t>PENNSYLVANIA</w:t>
            </w:r>
          </w:p>
          <w:p w14:paraId="5A466E4A" w14:textId="77777777" w:rsidR="00DF7EBB" w:rsidRPr="00A05F32" w:rsidRDefault="00DF7EBB" w:rsidP="009413C4">
            <w:pPr>
              <w:jc w:val="center"/>
              <w:rPr>
                <w:b/>
                <w:color w:val="000000"/>
                <w:sz w:val="26"/>
                <w:szCs w:val="26"/>
              </w:rPr>
            </w:pPr>
            <w:r w:rsidRPr="00A05F32">
              <w:rPr>
                <w:b/>
                <w:color w:val="000000"/>
                <w:sz w:val="26"/>
                <w:szCs w:val="26"/>
              </w:rPr>
              <w:t>PUBLIC UTILITY COMMISSION</w:t>
            </w:r>
          </w:p>
          <w:p w14:paraId="5B020045" w14:textId="77777777" w:rsidR="00DF7EBB" w:rsidRPr="00A05F32" w:rsidRDefault="00DF7EBB" w:rsidP="009413C4">
            <w:pPr>
              <w:jc w:val="center"/>
              <w:rPr>
                <w:color w:val="000000"/>
                <w:sz w:val="26"/>
                <w:szCs w:val="26"/>
              </w:rPr>
            </w:pPr>
            <w:r w:rsidRPr="00A05F32">
              <w:rPr>
                <w:b/>
                <w:color w:val="000000"/>
                <w:sz w:val="26"/>
                <w:szCs w:val="26"/>
              </w:rPr>
              <w:t>Harrisburg</w:t>
            </w:r>
            <w:r w:rsidR="00091554" w:rsidRPr="00A05F32">
              <w:rPr>
                <w:b/>
                <w:color w:val="000000"/>
                <w:sz w:val="26"/>
                <w:szCs w:val="26"/>
              </w:rPr>
              <w:t>, PA</w:t>
            </w:r>
            <w:r w:rsidRPr="00A05F32">
              <w:rPr>
                <w:b/>
                <w:color w:val="000000"/>
                <w:sz w:val="26"/>
                <w:szCs w:val="26"/>
              </w:rPr>
              <w:t xml:space="preserve">  17105-3265</w:t>
            </w:r>
          </w:p>
        </w:tc>
        <w:tc>
          <w:tcPr>
            <w:tcW w:w="2880" w:type="dxa"/>
            <w:gridSpan w:val="2"/>
          </w:tcPr>
          <w:p w14:paraId="76D14CC7" w14:textId="77777777" w:rsidR="00DF7EBB" w:rsidRPr="00A05F32" w:rsidRDefault="00DF7EBB" w:rsidP="009413C4">
            <w:pPr>
              <w:rPr>
                <w:color w:val="000000"/>
                <w:sz w:val="26"/>
                <w:szCs w:val="26"/>
              </w:rPr>
            </w:pPr>
          </w:p>
        </w:tc>
      </w:tr>
      <w:tr w:rsidR="00C9585E" w:rsidRPr="00A05F32" w14:paraId="5DD27563" w14:textId="77777777" w:rsidTr="009413C4">
        <w:tc>
          <w:tcPr>
            <w:tcW w:w="2448" w:type="dxa"/>
          </w:tcPr>
          <w:p w14:paraId="54991A81" w14:textId="77777777" w:rsidR="00C9585E" w:rsidRPr="00A05F32" w:rsidRDefault="00C9585E" w:rsidP="009413C4">
            <w:pPr>
              <w:rPr>
                <w:color w:val="000000"/>
                <w:sz w:val="26"/>
                <w:szCs w:val="26"/>
              </w:rPr>
            </w:pPr>
          </w:p>
        </w:tc>
        <w:tc>
          <w:tcPr>
            <w:tcW w:w="4230" w:type="dxa"/>
            <w:gridSpan w:val="3"/>
          </w:tcPr>
          <w:p w14:paraId="109ABB4E" w14:textId="77777777" w:rsidR="00C9585E" w:rsidRPr="00A05F32" w:rsidRDefault="00C9585E" w:rsidP="009413C4">
            <w:pPr>
              <w:jc w:val="center"/>
              <w:rPr>
                <w:b/>
                <w:color w:val="000000"/>
                <w:sz w:val="26"/>
                <w:szCs w:val="26"/>
              </w:rPr>
            </w:pPr>
          </w:p>
        </w:tc>
        <w:tc>
          <w:tcPr>
            <w:tcW w:w="2880" w:type="dxa"/>
            <w:gridSpan w:val="2"/>
          </w:tcPr>
          <w:p w14:paraId="1B105D28" w14:textId="77777777" w:rsidR="00C9585E" w:rsidRPr="00A05F32" w:rsidRDefault="00C9585E" w:rsidP="009413C4">
            <w:pPr>
              <w:rPr>
                <w:color w:val="000000"/>
                <w:sz w:val="26"/>
                <w:szCs w:val="26"/>
              </w:rPr>
            </w:pPr>
          </w:p>
        </w:tc>
      </w:tr>
      <w:tr w:rsidR="00DF7EBB" w:rsidRPr="00A05F32" w14:paraId="1EADB395" w14:textId="77777777" w:rsidTr="009413C4">
        <w:tc>
          <w:tcPr>
            <w:tcW w:w="4698" w:type="dxa"/>
            <w:gridSpan w:val="2"/>
          </w:tcPr>
          <w:p w14:paraId="6DEE3718" w14:textId="77777777" w:rsidR="00DF7EBB" w:rsidRPr="00A05F32" w:rsidRDefault="00DF7EBB" w:rsidP="009413C4">
            <w:pPr>
              <w:rPr>
                <w:color w:val="000000"/>
                <w:sz w:val="26"/>
                <w:szCs w:val="26"/>
              </w:rPr>
            </w:pPr>
          </w:p>
        </w:tc>
        <w:tc>
          <w:tcPr>
            <w:tcW w:w="4860" w:type="dxa"/>
            <w:gridSpan w:val="4"/>
          </w:tcPr>
          <w:p w14:paraId="66C495A4" w14:textId="77777777" w:rsidR="00DF7EBB" w:rsidRPr="00A05F32" w:rsidRDefault="00DF7EBB" w:rsidP="00D41912">
            <w:pPr>
              <w:jc w:val="right"/>
              <w:rPr>
                <w:color w:val="000000"/>
                <w:sz w:val="26"/>
                <w:szCs w:val="26"/>
              </w:rPr>
            </w:pPr>
            <w:r w:rsidRPr="00A05F32">
              <w:rPr>
                <w:color w:val="000000"/>
                <w:sz w:val="26"/>
                <w:szCs w:val="26"/>
              </w:rPr>
              <w:t>Public Meeting held</w:t>
            </w:r>
            <w:r w:rsidR="00265290">
              <w:rPr>
                <w:color w:val="000000"/>
                <w:sz w:val="26"/>
                <w:szCs w:val="26"/>
              </w:rPr>
              <w:t xml:space="preserve"> </w:t>
            </w:r>
            <w:r w:rsidR="00576EC4">
              <w:rPr>
                <w:color w:val="000000"/>
                <w:sz w:val="26"/>
                <w:szCs w:val="26"/>
              </w:rPr>
              <w:t>March 1</w:t>
            </w:r>
            <w:r w:rsidR="00C657D9">
              <w:rPr>
                <w:color w:val="000000"/>
                <w:sz w:val="26"/>
                <w:szCs w:val="26"/>
              </w:rPr>
              <w:t>5</w:t>
            </w:r>
            <w:r w:rsidR="00576EC4">
              <w:rPr>
                <w:color w:val="000000"/>
                <w:sz w:val="26"/>
                <w:szCs w:val="26"/>
              </w:rPr>
              <w:t xml:space="preserve">, </w:t>
            </w:r>
            <w:r w:rsidR="00A72D48">
              <w:rPr>
                <w:color w:val="000000"/>
                <w:sz w:val="26"/>
                <w:szCs w:val="26"/>
              </w:rPr>
              <w:t>201</w:t>
            </w:r>
            <w:r w:rsidR="00C657D9">
              <w:rPr>
                <w:color w:val="000000"/>
                <w:sz w:val="26"/>
                <w:szCs w:val="26"/>
              </w:rPr>
              <w:t>8</w:t>
            </w:r>
            <w:r w:rsidR="008A3E3A">
              <w:rPr>
                <w:color w:val="000000"/>
                <w:sz w:val="26"/>
                <w:szCs w:val="26"/>
              </w:rPr>
              <w:t xml:space="preserve"> </w:t>
            </w:r>
          </w:p>
        </w:tc>
      </w:tr>
      <w:tr w:rsidR="00DF7EBB" w:rsidRPr="00A05F32" w14:paraId="50E10043" w14:textId="77777777" w:rsidTr="009413C4">
        <w:tc>
          <w:tcPr>
            <w:tcW w:w="4698" w:type="dxa"/>
            <w:gridSpan w:val="2"/>
          </w:tcPr>
          <w:p w14:paraId="08CF3067" w14:textId="77777777" w:rsidR="00DF7EBB" w:rsidRPr="00A05F32" w:rsidRDefault="00DF7EBB" w:rsidP="009413C4">
            <w:pPr>
              <w:rPr>
                <w:color w:val="000000"/>
                <w:sz w:val="26"/>
                <w:szCs w:val="26"/>
              </w:rPr>
            </w:pPr>
            <w:r w:rsidRPr="00A05F32">
              <w:rPr>
                <w:color w:val="000000"/>
                <w:sz w:val="26"/>
                <w:szCs w:val="26"/>
              </w:rPr>
              <w:t>Commissioners Present:</w:t>
            </w:r>
          </w:p>
        </w:tc>
        <w:tc>
          <w:tcPr>
            <w:tcW w:w="4860" w:type="dxa"/>
            <w:gridSpan w:val="4"/>
          </w:tcPr>
          <w:p w14:paraId="0F8087A8" w14:textId="77777777" w:rsidR="00DF7EBB" w:rsidRPr="00A05F32" w:rsidRDefault="00DF7EBB" w:rsidP="009413C4">
            <w:pPr>
              <w:rPr>
                <w:color w:val="000000"/>
                <w:sz w:val="26"/>
                <w:szCs w:val="26"/>
              </w:rPr>
            </w:pPr>
          </w:p>
        </w:tc>
      </w:tr>
      <w:tr w:rsidR="00C9585E" w:rsidRPr="00A05F32" w14:paraId="68482D4E" w14:textId="77777777" w:rsidTr="009413C4">
        <w:tc>
          <w:tcPr>
            <w:tcW w:w="4698" w:type="dxa"/>
            <w:gridSpan w:val="2"/>
          </w:tcPr>
          <w:p w14:paraId="62D3E813" w14:textId="77777777" w:rsidR="00C9585E" w:rsidRPr="00A05F32" w:rsidRDefault="00C9585E" w:rsidP="009413C4">
            <w:pPr>
              <w:rPr>
                <w:color w:val="000000"/>
                <w:sz w:val="26"/>
                <w:szCs w:val="26"/>
              </w:rPr>
            </w:pPr>
          </w:p>
        </w:tc>
        <w:tc>
          <w:tcPr>
            <w:tcW w:w="4860" w:type="dxa"/>
            <w:gridSpan w:val="4"/>
          </w:tcPr>
          <w:p w14:paraId="767B03A8" w14:textId="77777777" w:rsidR="00C9585E" w:rsidRPr="00A05F32" w:rsidRDefault="00C9585E" w:rsidP="009413C4">
            <w:pPr>
              <w:rPr>
                <w:color w:val="000000"/>
                <w:sz w:val="26"/>
                <w:szCs w:val="26"/>
              </w:rPr>
            </w:pPr>
          </w:p>
        </w:tc>
      </w:tr>
      <w:tr w:rsidR="00DF7EBB" w:rsidRPr="00A05F32" w14:paraId="31445804" w14:textId="77777777" w:rsidTr="009413C4">
        <w:tc>
          <w:tcPr>
            <w:tcW w:w="8838" w:type="dxa"/>
            <w:gridSpan w:val="5"/>
          </w:tcPr>
          <w:p w14:paraId="33FEEB1E" w14:textId="5DBD784B" w:rsidR="00695ED6" w:rsidRPr="00663C02" w:rsidRDefault="000B5D39" w:rsidP="00695ED6">
            <w:pPr>
              <w:rPr>
                <w:color w:val="auto"/>
                <w:sz w:val="26"/>
                <w:szCs w:val="26"/>
              </w:rPr>
            </w:pPr>
            <w:r w:rsidRPr="00837A78">
              <w:rPr>
                <w:color w:val="000000"/>
                <w:sz w:val="26"/>
                <w:szCs w:val="26"/>
              </w:rPr>
              <w:tab/>
            </w:r>
            <w:r w:rsidR="00695ED6" w:rsidRPr="00663C02">
              <w:rPr>
                <w:color w:val="auto"/>
                <w:sz w:val="26"/>
                <w:szCs w:val="26"/>
              </w:rPr>
              <w:t>Gladys M. Brown, Chairman</w:t>
            </w:r>
            <w:r w:rsidR="004B21FE">
              <w:rPr>
                <w:color w:val="auto"/>
                <w:sz w:val="26"/>
                <w:szCs w:val="26"/>
              </w:rPr>
              <w:t>, recusal</w:t>
            </w:r>
          </w:p>
          <w:p w14:paraId="558EB94F" w14:textId="77777777" w:rsidR="00695ED6" w:rsidRPr="00663C02" w:rsidRDefault="00695ED6" w:rsidP="00695ED6">
            <w:pPr>
              <w:rPr>
                <w:color w:val="auto"/>
                <w:sz w:val="26"/>
                <w:szCs w:val="26"/>
              </w:rPr>
            </w:pPr>
            <w:r w:rsidRPr="00663C02">
              <w:rPr>
                <w:color w:val="auto"/>
                <w:sz w:val="26"/>
                <w:szCs w:val="26"/>
              </w:rPr>
              <w:tab/>
              <w:t xml:space="preserve">Andrew G. Place, Vice Chairman </w:t>
            </w:r>
          </w:p>
          <w:p w14:paraId="5F67FC9D" w14:textId="77777777" w:rsidR="00695ED6" w:rsidRPr="00663C02" w:rsidRDefault="00695ED6" w:rsidP="00695ED6">
            <w:pPr>
              <w:rPr>
                <w:color w:val="auto"/>
                <w:sz w:val="26"/>
                <w:szCs w:val="26"/>
              </w:rPr>
            </w:pPr>
            <w:r w:rsidRPr="00663C02">
              <w:rPr>
                <w:color w:val="auto"/>
                <w:sz w:val="26"/>
                <w:szCs w:val="26"/>
              </w:rPr>
              <w:tab/>
              <w:t xml:space="preserve">Norman J. Kennard </w:t>
            </w:r>
          </w:p>
          <w:p w14:paraId="335308F9" w14:textId="77777777" w:rsidR="00695ED6" w:rsidRPr="00663C02" w:rsidRDefault="00695ED6" w:rsidP="00695ED6">
            <w:pPr>
              <w:rPr>
                <w:color w:val="auto"/>
                <w:sz w:val="26"/>
                <w:szCs w:val="26"/>
              </w:rPr>
            </w:pPr>
            <w:r w:rsidRPr="00663C02">
              <w:rPr>
                <w:color w:val="auto"/>
                <w:sz w:val="26"/>
                <w:szCs w:val="26"/>
              </w:rPr>
              <w:tab/>
              <w:t xml:space="preserve">David W. Sweet </w:t>
            </w:r>
          </w:p>
          <w:p w14:paraId="138C0E8D" w14:textId="77777777" w:rsidR="00C9585E" w:rsidRPr="00A05F32" w:rsidRDefault="00695ED6" w:rsidP="00695ED6">
            <w:pPr>
              <w:rPr>
                <w:color w:val="000000"/>
                <w:sz w:val="26"/>
                <w:szCs w:val="26"/>
              </w:rPr>
            </w:pPr>
            <w:r w:rsidRPr="00663C02">
              <w:rPr>
                <w:color w:val="auto"/>
                <w:sz w:val="26"/>
                <w:szCs w:val="26"/>
              </w:rPr>
              <w:tab/>
              <w:t>John F. Coleman, Jr.</w:t>
            </w:r>
          </w:p>
        </w:tc>
        <w:tc>
          <w:tcPr>
            <w:tcW w:w="720" w:type="dxa"/>
          </w:tcPr>
          <w:p w14:paraId="7F1705BE" w14:textId="77777777" w:rsidR="00DF7EBB" w:rsidRPr="00A05F32" w:rsidRDefault="00DF7EBB" w:rsidP="009413C4">
            <w:pPr>
              <w:rPr>
                <w:color w:val="000000"/>
                <w:sz w:val="26"/>
                <w:szCs w:val="26"/>
              </w:rPr>
            </w:pPr>
          </w:p>
        </w:tc>
      </w:tr>
      <w:tr w:rsidR="00BE4EA8" w:rsidRPr="00A05F32" w14:paraId="596E0DEE" w14:textId="77777777" w:rsidTr="009413C4">
        <w:tc>
          <w:tcPr>
            <w:tcW w:w="8838" w:type="dxa"/>
            <w:gridSpan w:val="5"/>
          </w:tcPr>
          <w:p w14:paraId="25F14D06" w14:textId="77777777" w:rsidR="00BE4EA8" w:rsidRPr="00A05F32" w:rsidRDefault="00BE4EA8" w:rsidP="009413C4">
            <w:pPr>
              <w:rPr>
                <w:color w:val="000000"/>
                <w:sz w:val="26"/>
                <w:szCs w:val="26"/>
              </w:rPr>
            </w:pPr>
          </w:p>
        </w:tc>
        <w:tc>
          <w:tcPr>
            <w:tcW w:w="720" w:type="dxa"/>
          </w:tcPr>
          <w:p w14:paraId="3524A22B" w14:textId="77777777" w:rsidR="00BE4EA8" w:rsidRPr="00A05F32" w:rsidRDefault="00BE4EA8" w:rsidP="009413C4">
            <w:pPr>
              <w:rPr>
                <w:color w:val="000000"/>
                <w:sz w:val="26"/>
                <w:szCs w:val="26"/>
              </w:rPr>
            </w:pPr>
          </w:p>
        </w:tc>
      </w:tr>
      <w:tr w:rsidR="00CD4D39" w:rsidRPr="00A05F32" w14:paraId="7030F036" w14:textId="77777777" w:rsidTr="009413C4">
        <w:tc>
          <w:tcPr>
            <w:tcW w:w="5958" w:type="dxa"/>
            <w:gridSpan w:val="3"/>
          </w:tcPr>
          <w:p w14:paraId="6E195A25" w14:textId="77777777" w:rsidR="00CD4D39" w:rsidRDefault="00CD4D39" w:rsidP="00191287">
            <w:pPr>
              <w:rPr>
                <w:color w:val="000000"/>
                <w:sz w:val="26"/>
                <w:szCs w:val="26"/>
              </w:rPr>
            </w:pPr>
            <w:r>
              <w:rPr>
                <w:color w:val="000000"/>
                <w:sz w:val="26"/>
                <w:szCs w:val="26"/>
              </w:rPr>
              <w:t xml:space="preserve">Commonwealth Telephone Company d/b/a </w:t>
            </w:r>
            <w:r w:rsidRPr="00A05F32">
              <w:rPr>
                <w:color w:val="000000"/>
                <w:sz w:val="26"/>
                <w:szCs w:val="26"/>
              </w:rPr>
              <w:t>Frontier Com</w:t>
            </w:r>
            <w:r>
              <w:rPr>
                <w:color w:val="000000"/>
                <w:sz w:val="26"/>
                <w:szCs w:val="26"/>
              </w:rPr>
              <w:t>munications Commonwealth Telephone Company</w:t>
            </w:r>
          </w:p>
          <w:p w14:paraId="5DA432DA" w14:textId="77777777" w:rsidR="00CD4D39" w:rsidRDefault="00BF311B" w:rsidP="00191287">
            <w:pPr>
              <w:rPr>
                <w:color w:val="000000"/>
                <w:sz w:val="26"/>
                <w:szCs w:val="26"/>
              </w:rPr>
            </w:pPr>
            <w:r>
              <w:rPr>
                <w:color w:val="000000"/>
                <w:sz w:val="26"/>
                <w:szCs w:val="26"/>
              </w:rPr>
              <w:t>201</w:t>
            </w:r>
            <w:r w:rsidR="00C657D9">
              <w:rPr>
                <w:color w:val="000000"/>
                <w:sz w:val="26"/>
                <w:szCs w:val="26"/>
              </w:rPr>
              <w:t>8</w:t>
            </w:r>
            <w:r w:rsidR="00CD4D39">
              <w:rPr>
                <w:color w:val="000000"/>
                <w:sz w:val="26"/>
                <w:szCs w:val="26"/>
              </w:rPr>
              <w:t xml:space="preserve"> </w:t>
            </w:r>
            <w:r w:rsidR="00CD4D39" w:rsidRPr="00A05F32">
              <w:rPr>
                <w:color w:val="000000"/>
                <w:sz w:val="26"/>
                <w:szCs w:val="26"/>
              </w:rPr>
              <w:t>Price Stab</w:t>
            </w:r>
            <w:r w:rsidR="00CD4D39">
              <w:rPr>
                <w:color w:val="000000"/>
                <w:sz w:val="26"/>
                <w:szCs w:val="26"/>
              </w:rPr>
              <w:t>ility Index/Service Price Index Report Filing</w:t>
            </w:r>
          </w:p>
          <w:p w14:paraId="7F3FC74F" w14:textId="77777777" w:rsidR="00CD4D39" w:rsidRPr="00A05F32" w:rsidRDefault="00CD4D39" w:rsidP="00191287">
            <w:pPr>
              <w:spacing w:after="120"/>
              <w:rPr>
                <w:color w:val="000000"/>
                <w:sz w:val="26"/>
                <w:szCs w:val="26"/>
              </w:rPr>
            </w:pPr>
          </w:p>
        </w:tc>
        <w:tc>
          <w:tcPr>
            <w:tcW w:w="3600" w:type="dxa"/>
            <w:gridSpan w:val="3"/>
          </w:tcPr>
          <w:p w14:paraId="4CCE140A" w14:textId="77777777" w:rsidR="00CD4D39" w:rsidRDefault="00CD4D39" w:rsidP="009413C4">
            <w:pPr>
              <w:jc w:val="right"/>
              <w:rPr>
                <w:color w:val="000000"/>
                <w:sz w:val="26"/>
                <w:szCs w:val="26"/>
              </w:rPr>
            </w:pPr>
            <w:r>
              <w:rPr>
                <w:color w:val="000000"/>
                <w:sz w:val="26"/>
                <w:szCs w:val="26"/>
              </w:rPr>
              <w:t>R-</w:t>
            </w:r>
            <w:r w:rsidR="00C657D9">
              <w:rPr>
                <w:color w:val="000000"/>
                <w:sz w:val="26"/>
                <w:szCs w:val="26"/>
              </w:rPr>
              <w:t>2018</w:t>
            </w:r>
            <w:r w:rsidR="00576EC4">
              <w:rPr>
                <w:color w:val="000000"/>
                <w:sz w:val="26"/>
                <w:szCs w:val="26"/>
              </w:rPr>
              <w:t>-</w:t>
            </w:r>
            <w:r w:rsidR="00C657D9">
              <w:rPr>
                <w:color w:val="000000"/>
                <w:sz w:val="26"/>
                <w:szCs w:val="26"/>
              </w:rPr>
              <w:t>2642777</w:t>
            </w:r>
          </w:p>
          <w:p w14:paraId="18E3A4AB" w14:textId="77777777" w:rsidR="00CD4D39" w:rsidRPr="00A05F32" w:rsidRDefault="00CD4D39" w:rsidP="009413C4">
            <w:pPr>
              <w:jc w:val="right"/>
              <w:rPr>
                <w:color w:val="000000"/>
                <w:sz w:val="26"/>
                <w:szCs w:val="26"/>
              </w:rPr>
            </w:pPr>
          </w:p>
        </w:tc>
      </w:tr>
      <w:tr w:rsidR="00CD4D39" w:rsidRPr="007539F1" w14:paraId="467730C7" w14:textId="77777777" w:rsidTr="009413C4">
        <w:trPr>
          <w:trHeight w:val="1464"/>
        </w:trPr>
        <w:tc>
          <w:tcPr>
            <w:tcW w:w="5958" w:type="dxa"/>
            <w:gridSpan w:val="3"/>
          </w:tcPr>
          <w:p w14:paraId="207C3B62" w14:textId="77777777" w:rsidR="00CD4D39" w:rsidRPr="0083457C" w:rsidRDefault="00CD4D39" w:rsidP="00191287">
            <w:pPr>
              <w:rPr>
                <w:color w:val="000000"/>
                <w:sz w:val="26"/>
                <w:szCs w:val="26"/>
              </w:rPr>
            </w:pPr>
            <w:r w:rsidRPr="00A05F32">
              <w:rPr>
                <w:color w:val="000000"/>
                <w:sz w:val="26"/>
                <w:szCs w:val="26"/>
              </w:rPr>
              <w:t>Petition for</w:t>
            </w:r>
            <w:r>
              <w:rPr>
                <w:color w:val="000000"/>
                <w:sz w:val="26"/>
                <w:szCs w:val="26"/>
              </w:rPr>
              <w:t xml:space="preserve"> Alternative Regulation and Network Modernization Plan of Commonwealth Telephone Company d/b/a Frontier Communications Commonwealth Telephone Company</w:t>
            </w:r>
          </w:p>
        </w:tc>
        <w:tc>
          <w:tcPr>
            <w:tcW w:w="3600" w:type="dxa"/>
            <w:gridSpan w:val="3"/>
          </w:tcPr>
          <w:p w14:paraId="58FEEA81" w14:textId="77777777" w:rsidR="00CD4D39" w:rsidRPr="0083457C" w:rsidRDefault="00CD4D39" w:rsidP="009413C4">
            <w:pPr>
              <w:jc w:val="right"/>
              <w:rPr>
                <w:color w:val="000000"/>
                <w:sz w:val="26"/>
                <w:szCs w:val="26"/>
              </w:rPr>
            </w:pPr>
            <w:r w:rsidRPr="00F4408D">
              <w:rPr>
                <w:color w:val="000000"/>
                <w:sz w:val="26"/>
                <w:szCs w:val="26"/>
              </w:rPr>
              <w:t>P</w:t>
            </w:r>
            <w:r w:rsidRPr="00F4408D">
              <w:rPr>
                <w:color w:val="000000"/>
                <w:sz w:val="26"/>
                <w:szCs w:val="26"/>
              </w:rPr>
              <w:noBreakHyphen/>
              <w:t>00961024F1000</w:t>
            </w:r>
          </w:p>
        </w:tc>
      </w:tr>
    </w:tbl>
    <w:p w14:paraId="65971AEE" w14:textId="77777777" w:rsidR="00257D8D" w:rsidRDefault="00257D8D" w:rsidP="00257D8D">
      <w:pPr>
        <w:jc w:val="center"/>
        <w:rPr>
          <w:b/>
          <w:color w:val="000000"/>
          <w:sz w:val="26"/>
          <w:szCs w:val="26"/>
        </w:rPr>
      </w:pPr>
    </w:p>
    <w:p w14:paraId="70F11817" w14:textId="77777777" w:rsidR="00DF7EBB" w:rsidRDefault="00DF7EBB" w:rsidP="00257D8D">
      <w:pPr>
        <w:jc w:val="center"/>
        <w:rPr>
          <w:b/>
          <w:color w:val="000000"/>
          <w:sz w:val="26"/>
          <w:szCs w:val="26"/>
        </w:rPr>
      </w:pPr>
      <w:r w:rsidRPr="00A05F32">
        <w:rPr>
          <w:b/>
          <w:color w:val="000000"/>
          <w:sz w:val="26"/>
          <w:szCs w:val="26"/>
        </w:rPr>
        <w:t>ORDER</w:t>
      </w:r>
    </w:p>
    <w:p w14:paraId="6C361F51" w14:textId="77777777" w:rsidR="00257D8D" w:rsidRPr="00A05F32" w:rsidRDefault="00257D8D" w:rsidP="00257D8D">
      <w:pPr>
        <w:jc w:val="center"/>
        <w:rPr>
          <w:b/>
          <w:color w:val="000000"/>
          <w:sz w:val="26"/>
          <w:szCs w:val="26"/>
        </w:rPr>
      </w:pPr>
    </w:p>
    <w:p w14:paraId="735C5518" w14:textId="77777777" w:rsidR="00DF7EBB" w:rsidRDefault="00DF7EBB" w:rsidP="00257D8D">
      <w:pPr>
        <w:rPr>
          <w:b/>
          <w:color w:val="000000"/>
          <w:sz w:val="26"/>
          <w:szCs w:val="26"/>
        </w:rPr>
      </w:pPr>
      <w:r w:rsidRPr="00A05F32">
        <w:rPr>
          <w:b/>
          <w:color w:val="000000"/>
          <w:sz w:val="26"/>
          <w:szCs w:val="26"/>
        </w:rPr>
        <w:t>BY THE COMMISSION:</w:t>
      </w:r>
    </w:p>
    <w:p w14:paraId="38395E80" w14:textId="77777777" w:rsidR="00257D8D" w:rsidRPr="00A05F32" w:rsidRDefault="00257D8D" w:rsidP="00257D8D">
      <w:pPr>
        <w:rPr>
          <w:color w:val="000000"/>
          <w:sz w:val="26"/>
          <w:szCs w:val="26"/>
        </w:rPr>
      </w:pPr>
    </w:p>
    <w:p w14:paraId="0BEB13D1" w14:textId="77777777" w:rsidR="001D0FBE" w:rsidRDefault="003228D7" w:rsidP="00257D8D">
      <w:pPr>
        <w:rPr>
          <w:b/>
          <w:color w:val="000000"/>
          <w:sz w:val="26"/>
          <w:szCs w:val="26"/>
        </w:rPr>
      </w:pPr>
      <w:r w:rsidRPr="00014F2B">
        <w:rPr>
          <w:b/>
          <w:color w:val="000000"/>
          <w:sz w:val="26"/>
          <w:szCs w:val="26"/>
        </w:rPr>
        <w:t>I.</w:t>
      </w:r>
      <w:r w:rsidR="001D0FBE" w:rsidRPr="00014F2B">
        <w:rPr>
          <w:b/>
          <w:color w:val="000000"/>
          <w:sz w:val="26"/>
          <w:szCs w:val="26"/>
        </w:rPr>
        <w:tab/>
        <w:t>B</w:t>
      </w:r>
      <w:r w:rsidR="001D193C">
        <w:rPr>
          <w:b/>
          <w:color w:val="000000"/>
          <w:sz w:val="26"/>
          <w:szCs w:val="26"/>
        </w:rPr>
        <w:t>ackground</w:t>
      </w:r>
    </w:p>
    <w:p w14:paraId="5463FF0F" w14:textId="77777777" w:rsidR="001A0918" w:rsidRPr="00014F2B" w:rsidRDefault="001A0918" w:rsidP="00257D8D">
      <w:pPr>
        <w:rPr>
          <w:b/>
          <w:color w:val="000000"/>
          <w:sz w:val="26"/>
          <w:szCs w:val="26"/>
        </w:rPr>
      </w:pPr>
    </w:p>
    <w:p w14:paraId="1B3CBCE4" w14:textId="77777777" w:rsidR="009413C4" w:rsidRPr="0023229D" w:rsidRDefault="001D0FBE" w:rsidP="00D56715">
      <w:pPr>
        <w:spacing w:after="240" w:line="360" w:lineRule="auto"/>
        <w:rPr>
          <w:color w:val="auto"/>
          <w:sz w:val="26"/>
          <w:szCs w:val="26"/>
        </w:rPr>
      </w:pPr>
      <w:r w:rsidRPr="00A05F32">
        <w:rPr>
          <w:color w:val="000000"/>
          <w:sz w:val="26"/>
          <w:szCs w:val="26"/>
        </w:rPr>
        <w:tab/>
      </w:r>
      <w:r w:rsidR="009413C4" w:rsidRPr="009413C4">
        <w:rPr>
          <w:color w:val="000000"/>
          <w:sz w:val="26"/>
          <w:szCs w:val="26"/>
        </w:rPr>
        <w:t xml:space="preserve">Before us for disposition are </w:t>
      </w:r>
      <w:r w:rsidR="009413C4" w:rsidRPr="003E72EA">
        <w:rPr>
          <w:color w:val="000000"/>
          <w:sz w:val="26"/>
          <w:szCs w:val="26"/>
        </w:rPr>
        <w:t xml:space="preserve">the </w:t>
      </w:r>
      <w:r w:rsidR="001225BD" w:rsidRPr="003E72EA">
        <w:rPr>
          <w:color w:val="000000"/>
          <w:sz w:val="26"/>
          <w:szCs w:val="26"/>
        </w:rPr>
        <w:t>201</w:t>
      </w:r>
      <w:r w:rsidR="00C657D9">
        <w:rPr>
          <w:color w:val="000000"/>
          <w:sz w:val="26"/>
          <w:szCs w:val="26"/>
        </w:rPr>
        <w:t>8</w:t>
      </w:r>
      <w:r w:rsidR="00D56715" w:rsidRPr="003E72EA">
        <w:rPr>
          <w:color w:val="000000"/>
          <w:sz w:val="26"/>
          <w:szCs w:val="26"/>
        </w:rPr>
        <w:t xml:space="preserve"> Price Stability Index/Service Price Index Report Filing of </w:t>
      </w:r>
      <w:r w:rsidR="009413C4" w:rsidRPr="003E72EA">
        <w:rPr>
          <w:color w:val="000000"/>
          <w:sz w:val="26"/>
          <w:szCs w:val="26"/>
        </w:rPr>
        <w:t>Commonwealth Telephone Company d/b/a Frontier Communications Commonwealth Telephone Compan</w:t>
      </w:r>
      <w:r w:rsidR="00D56715" w:rsidRPr="003E72EA">
        <w:rPr>
          <w:color w:val="000000"/>
          <w:sz w:val="26"/>
          <w:szCs w:val="26"/>
        </w:rPr>
        <w:t>y (</w:t>
      </w:r>
      <w:r w:rsidR="00D56715">
        <w:rPr>
          <w:color w:val="000000"/>
          <w:sz w:val="26"/>
          <w:szCs w:val="26"/>
        </w:rPr>
        <w:t>Frontier Commonwealth or the Company)</w:t>
      </w:r>
      <w:r w:rsidR="00DD1C3A">
        <w:rPr>
          <w:color w:val="000000"/>
          <w:sz w:val="26"/>
          <w:szCs w:val="26"/>
        </w:rPr>
        <w:t xml:space="preserve"> and associated revenue increases</w:t>
      </w:r>
      <w:r w:rsidR="009413C4" w:rsidRPr="009413C4">
        <w:rPr>
          <w:color w:val="000000"/>
          <w:sz w:val="26"/>
          <w:szCs w:val="26"/>
        </w:rPr>
        <w:t>.</w:t>
      </w:r>
      <w:r w:rsidR="00BC3D29">
        <w:rPr>
          <w:color w:val="000000"/>
          <w:sz w:val="26"/>
          <w:szCs w:val="26"/>
        </w:rPr>
        <w:t xml:space="preserve">  </w:t>
      </w:r>
      <w:r w:rsidR="00DD1C3A">
        <w:rPr>
          <w:color w:val="000000"/>
          <w:sz w:val="26"/>
          <w:szCs w:val="26"/>
        </w:rPr>
        <w:t>T</w:t>
      </w:r>
      <w:r w:rsidR="00DD1C3A" w:rsidRPr="00B16C7A">
        <w:rPr>
          <w:color w:val="000000"/>
          <w:sz w:val="26"/>
          <w:szCs w:val="26"/>
        </w:rPr>
        <w:t xml:space="preserve">he Company’s </w:t>
      </w:r>
      <w:r w:rsidR="00DD1C3A">
        <w:rPr>
          <w:color w:val="000000"/>
          <w:sz w:val="26"/>
          <w:szCs w:val="26"/>
        </w:rPr>
        <w:t>annual P</w:t>
      </w:r>
      <w:r w:rsidR="00DD1C3A" w:rsidRPr="00B16C7A">
        <w:rPr>
          <w:color w:val="000000"/>
          <w:sz w:val="26"/>
          <w:szCs w:val="26"/>
        </w:rPr>
        <w:t>rice Stability Index/Service Price Index (PSI/SPI)</w:t>
      </w:r>
      <w:r w:rsidR="00DD1C3A">
        <w:rPr>
          <w:color w:val="000000"/>
          <w:sz w:val="26"/>
          <w:szCs w:val="26"/>
        </w:rPr>
        <w:t xml:space="preserve"> filing was made under the provisions of </w:t>
      </w:r>
      <w:r w:rsidR="00DD1C3A" w:rsidRPr="00F4408D">
        <w:rPr>
          <w:color w:val="000000"/>
          <w:sz w:val="26"/>
          <w:szCs w:val="26"/>
        </w:rPr>
        <w:t xml:space="preserve">Act 183 of 2004, P.L. 1398 (66 Pa. C.S. §§ 3011-3019) (Chapter 30) </w:t>
      </w:r>
      <w:r w:rsidR="00DD1C3A">
        <w:rPr>
          <w:color w:val="000000"/>
          <w:sz w:val="26"/>
          <w:szCs w:val="26"/>
        </w:rPr>
        <w:t xml:space="preserve">and pursuant to the Company’s approved </w:t>
      </w:r>
      <w:r w:rsidR="00DD1C3A" w:rsidRPr="00B16C7A">
        <w:rPr>
          <w:color w:val="000000"/>
          <w:sz w:val="26"/>
          <w:szCs w:val="26"/>
        </w:rPr>
        <w:lastRenderedPageBreak/>
        <w:t>Streamlined Regulation and Network Modern</w:t>
      </w:r>
      <w:r w:rsidR="00DD1C3A">
        <w:rPr>
          <w:color w:val="000000"/>
          <w:sz w:val="26"/>
          <w:szCs w:val="26"/>
        </w:rPr>
        <w:t xml:space="preserve">ization Plan (Chapter 30 Plan) that this </w:t>
      </w:r>
      <w:r w:rsidR="00DD1C3A" w:rsidRPr="0093734F">
        <w:rPr>
          <w:color w:val="auto"/>
          <w:sz w:val="26"/>
          <w:szCs w:val="26"/>
        </w:rPr>
        <w:t xml:space="preserve">Commission approved </w:t>
      </w:r>
      <w:r w:rsidR="00DD1C3A" w:rsidRPr="0023229D">
        <w:rPr>
          <w:color w:val="auto"/>
          <w:sz w:val="26"/>
          <w:szCs w:val="26"/>
        </w:rPr>
        <w:t>at Docket No. P-00961024F1000.</w:t>
      </w:r>
      <w:r w:rsidR="00DD1C3A" w:rsidRPr="0023229D">
        <w:rPr>
          <w:color w:val="auto"/>
          <w:sz w:val="26"/>
          <w:szCs w:val="26"/>
          <w:vertAlign w:val="superscript"/>
        </w:rPr>
        <w:footnoteReference w:id="1"/>
      </w:r>
    </w:p>
    <w:p w14:paraId="04273386" w14:textId="77777777" w:rsidR="00DD1C3A" w:rsidRPr="0023229D" w:rsidRDefault="00DD1C3A" w:rsidP="00DD1C3A">
      <w:pPr>
        <w:spacing w:after="240" w:line="360" w:lineRule="auto"/>
        <w:rPr>
          <w:color w:val="auto"/>
          <w:sz w:val="26"/>
          <w:szCs w:val="26"/>
        </w:rPr>
      </w:pPr>
      <w:r w:rsidRPr="0023229D">
        <w:rPr>
          <w:color w:val="auto"/>
          <w:sz w:val="26"/>
          <w:szCs w:val="26"/>
        </w:rPr>
        <w:tab/>
        <w:t>The Company possesses the statutory right under 66 Pa. C.S. § 3015(a)(1)(iii) and its approved Chapter 30 Plan to seek and obtain an automatic revenue and rate increase as contemplated by Chapter 30.  Under the Company’s Price Stability Plan (PSP), the PSI calculates the allowable change in noncompetitive rates based, in part, on the annual change in the Gross Domestic Product Price Index (GDP</w:t>
      </w:r>
      <w:r w:rsidRPr="0023229D">
        <w:rPr>
          <w:color w:val="auto"/>
          <w:sz w:val="26"/>
          <w:szCs w:val="26"/>
        </w:rPr>
        <w:noBreakHyphen/>
        <w:t>PI).  The SPI tracks the prior rate changes for noncompetitive services related to the PSI.  The PSP also contains special provisions for protected services and addresses revenue neutral rate adjustments for noncompetitive services.  The PSP set forth in the Company’s Chapter 30 Plan is a complete substitution of the rate base/rate of return regulation.  Further, the Company’s Chapter 30 Plan acknowledges that nothing in its Plan shall be construed to limit the requirement under 66 Pa. C.S. § 1301 that rates shall be just and reasonable.</w:t>
      </w:r>
    </w:p>
    <w:p w14:paraId="6EF05419" w14:textId="77777777" w:rsidR="00DD1C3A" w:rsidRPr="0023229D" w:rsidRDefault="00B16C7A" w:rsidP="00257D8D">
      <w:pPr>
        <w:spacing w:line="360" w:lineRule="auto"/>
        <w:rPr>
          <w:color w:val="auto"/>
          <w:sz w:val="26"/>
          <w:szCs w:val="26"/>
        </w:rPr>
      </w:pPr>
      <w:r w:rsidRPr="0023229D">
        <w:rPr>
          <w:color w:val="auto"/>
          <w:sz w:val="26"/>
          <w:szCs w:val="26"/>
        </w:rPr>
        <w:tab/>
        <w:t>Frontier Commonwealth, utility code 310800, is a rural telephone company serving customers in all of Wyoming County and portions of Berks, Bradford, Bucks, Carbon, Chester, Columbia, Dauphin, Lackawa</w:t>
      </w:r>
      <w:r w:rsidR="008A79B7" w:rsidRPr="0023229D">
        <w:rPr>
          <w:color w:val="auto"/>
          <w:sz w:val="26"/>
          <w:szCs w:val="26"/>
        </w:rPr>
        <w:t>n</w:t>
      </w:r>
      <w:r w:rsidRPr="0023229D">
        <w:rPr>
          <w:color w:val="auto"/>
          <w:sz w:val="26"/>
          <w:szCs w:val="26"/>
        </w:rPr>
        <w:t xml:space="preserve">na, Lancaster, Lehigh, Luzerne, Lycoming, Monroe, Northampton, Schuylkill, Sullivan, Susquehanna, Tioga and York Counties.  </w:t>
      </w:r>
      <w:r w:rsidR="000F3620" w:rsidRPr="0023229D">
        <w:rPr>
          <w:color w:val="auto"/>
          <w:sz w:val="26"/>
          <w:szCs w:val="26"/>
        </w:rPr>
        <w:t>Frontier Commonwealth has operated under Chapter 30</w:t>
      </w:r>
      <w:r w:rsidR="00943934" w:rsidRPr="0023229D">
        <w:rPr>
          <w:rStyle w:val="FootnoteReference"/>
          <w:color w:val="auto"/>
          <w:sz w:val="26"/>
          <w:szCs w:val="26"/>
        </w:rPr>
        <w:footnoteReference w:id="2"/>
      </w:r>
      <w:r w:rsidR="000F3620" w:rsidRPr="0023229D">
        <w:rPr>
          <w:color w:val="auto"/>
          <w:sz w:val="26"/>
          <w:szCs w:val="26"/>
        </w:rPr>
        <w:t xml:space="preserve"> since 1997 and achieved 100% broadband deployment in 2008.  </w:t>
      </w:r>
    </w:p>
    <w:p w14:paraId="14D73AAC" w14:textId="77777777" w:rsidR="00257D8D" w:rsidRPr="0023229D" w:rsidRDefault="00257D8D" w:rsidP="00257D8D">
      <w:pPr>
        <w:rPr>
          <w:color w:val="auto"/>
          <w:sz w:val="26"/>
          <w:szCs w:val="26"/>
        </w:rPr>
      </w:pPr>
    </w:p>
    <w:p w14:paraId="1FF28811" w14:textId="77777777" w:rsidR="000F3620" w:rsidRPr="0023229D" w:rsidRDefault="000F3620" w:rsidP="00257D8D">
      <w:pPr>
        <w:rPr>
          <w:b/>
          <w:color w:val="auto"/>
          <w:sz w:val="26"/>
          <w:szCs w:val="26"/>
        </w:rPr>
      </w:pPr>
      <w:r w:rsidRPr="0023229D">
        <w:rPr>
          <w:b/>
          <w:color w:val="auto"/>
          <w:sz w:val="26"/>
          <w:szCs w:val="26"/>
        </w:rPr>
        <w:t>II.</w:t>
      </w:r>
      <w:r w:rsidRPr="0023229D">
        <w:rPr>
          <w:b/>
          <w:color w:val="auto"/>
          <w:sz w:val="26"/>
          <w:szCs w:val="26"/>
        </w:rPr>
        <w:tab/>
      </w:r>
      <w:r w:rsidR="00DD1C3A" w:rsidRPr="0023229D">
        <w:rPr>
          <w:b/>
          <w:color w:val="auto"/>
          <w:sz w:val="26"/>
          <w:szCs w:val="26"/>
        </w:rPr>
        <w:t>Company’s Filing</w:t>
      </w:r>
    </w:p>
    <w:p w14:paraId="365AB4C4" w14:textId="77777777" w:rsidR="00257D8D" w:rsidRPr="0023229D" w:rsidRDefault="00257D8D" w:rsidP="00257D8D">
      <w:pPr>
        <w:rPr>
          <w:b/>
          <w:color w:val="auto"/>
          <w:sz w:val="26"/>
          <w:szCs w:val="26"/>
        </w:rPr>
      </w:pPr>
    </w:p>
    <w:p w14:paraId="50D58CB5" w14:textId="77777777" w:rsidR="007F4BBC" w:rsidRPr="00C657D9" w:rsidRDefault="00EF74DA" w:rsidP="00DD1C3A">
      <w:pPr>
        <w:spacing w:after="240" w:line="360" w:lineRule="auto"/>
        <w:rPr>
          <w:color w:val="FF0000"/>
          <w:sz w:val="26"/>
          <w:szCs w:val="26"/>
        </w:rPr>
      </w:pPr>
      <w:r w:rsidRPr="0023229D">
        <w:rPr>
          <w:color w:val="auto"/>
          <w:sz w:val="26"/>
          <w:szCs w:val="26"/>
        </w:rPr>
        <w:tab/>
      </w:r>
      <w:r w:rsidR="00F4408D" w:rsidRPr="0023229D">
        <w:rPr>
          <w:color w:val="auto"/>
          <w:sz w:val="26"/>
          <w:szCs w:val="26"/>
        </w:rPr>
        <w:t xml:space="preserve">Pursuant to the Company’s Chapter 30 Plan, </w:t>
      </w:r>
      <w:proofErr w:type="gramStart"/>
      <w:r w:rsidR="00F4408D" w:rsidRPr="0023229D">
        <w:rPr>
          <w:color w:val="auto"/>
          <w:sz w:val="26"/>
          <w:szCs w:val="26"/>
        </w:rPr>
        <w:t>Advance Notice</w:t>
      </w:r>
      <w:proofErr w:type="gramEnd"/>
      <w:r w:rsidR="00F4408D" w:rsidRPr="0023229D">
        <w:rPr>
          <w:color w:val="auto"/>
          <w:sz w:val="26"/>
          <w:szCs w:val="26"/>
        </w:rPr>
        <w:t xml:space="preserve"> was issued on </w:t>
      </w:r>
      <w:r w:rsidR="00DD1C3A" w:rsidRPr="0023229D">
        <w:rPr>
          <w:color w:val="auto"/>
          <w:sz w:val="26"/>
          <w:szCs w:val="26"/>
        </w:rPr>
        <w:t>January 1</w:t>
      </w:r>
      <w:r w:rsidR="0023229D" w:rsidRPr="0023229D">
        <w:rPr>
          <w:color w:val="auto"/>
          <w:sz w:val="26"/>
          <w:szCs w:val="26"/>
        </w:rPr>
        <w:t>1</w:t>
      </w:r>
      <w:r w:rsidR="0093734F" w:rsidRPr="0023229D">
        <w:rPr>
          <w:color w:val="auto"/>
          <w:sz w:val="26"/>
          <w:szCs w:val="26"/>
        </w:rPr>
        <w:t>, 201</w:t>
      </w:r>
      <w:r w:rsidR="0023229D" w:rsidRPr="0023229D">
        <w:rPr>
          <w:color w:val="auto"/>
          <w:sz w:val="26"/>
          <w:szCs w:val="26"/>
        </w:rPr>
        <w:t>8</w:t>
      </w:r>
      <w:r w:rsidR="00F4408D" w:rsidRPr="0023229D">
        <w:rPr>
          <w:color w:val="auto"/>
          <w:sz w:val="26"/>
          <w:szCs w:val="26"/>
        </w:rPr>
        <w:t xml:space="preserve">, </w:t>
      </w:r>
      <w:r w:rsidR="00F4408D" w:rsidRPr="00BF1A44">
        <w:rPr>
          <w:color w:val="auto"/>
          <w:sz w:val="26"/>
          <w:szCs w:val="26"/>
        </w:rPr>
        <w:t>informing the Commission of the forthcoming filing</w:t>
      </w:r>
      <w:r w:rsidR="00DD1C3A" w:rsidRPr="00BF1A44">
        <w:rPr>
          <w:color w:val="auto"/>
          <w:sz w:val="26"/>
          <w:szCs w:val="26"/>
        </w:rPr>
        <w:t>.  On February 1, 201</w:t>
      </w:r>
      <w:r w:rsidR="00BF1A44" w:rsidRPr="00BF1A44">
        <w:rPr>
          <w:color w:val="auto"/>
          <w:sz w:val="26"/>
          <w:szCs w:val="26"/>
        </w:rPr>
        <w:t>8</w:t>
      </w:r>
      <w:r w:rsidR="00F4408D" w:rsidRPr="00BF1A44">
        <w:rPr>
          <w:color w:val="auto"/>
          <w:sz w:val="26"/>
          <w:szCs w:val="26"/>
        </w:rPr>
        <w:t>, Frontier Commonwealth filed its annual PSI/</w:t>
      </w:r>
      <w:smartTag w:uri="urn:schemas-microsoft-com:office:smarttags" w:element="stockticker">
        <w:r w:rsidR="00F4408D" w:rsidRPr="00BF1A44">
          <w:rPr>
            <w:color w:val="auto"/>
            <w:sz w:val="26"/>
            <w:szCs w:val="26"/>
          </w:rPr>
          <w:t>SPI</w:t>
        </w:r>
      </w:smartTag>
      <w:r w:rsidR="00F4408D" w:rsidRPr="00BF1A44">
        <w:rPr>
          <w:color w:val="auto"/>
          <w:sz w:val="26"/>
          <w:szCs w:val="26"/>
        </w:rPr>
        <w:t xml:space="preserve"> Report </w:t>
      </w:r>
      <w:r w:rsidR="00F4408D" w:rsidRPr="0023229D">
        <w:rPr>
          <w:color w:val="auto"/>
          <w:sz w:val="26"/>
          <w:szCs w:val="26"/>
        </w:rPr>
        <w:t>us</w:t>
      </w:r>
      <w:r w:rsidR="00DD1C3A" w:rsidRPr="0023229D">
        <w:rPr>
          <w:color w:val="auto"/>
          <w:sz w:val="26"/>
          <w:szCs w:val="26"/>
        </w:rPr>
        <w:t>ing the change in 201</w:t>
      </w:r>
      <w:r w:rsidR="0023229D" w:rsidRPr="0023229D">
        <w:rPr>
          <w:color w:val="auto"/>
          <w:sz w:val="26"/>
          <w:szCs w:val="26"/>
        </w:rPr>
        <w:t>6</w:t>
      </w:r>
      <w:r w:rsidR="00F4408D" w:rsidRPr="0023229D">
        <w:rPr>
          <w:color w:val="auto"/>
          <w:sz w:val="26"/>
          <w:szCs w:val="26"/>
        </w:rPr>
        <w:t xml:space="preserve"> </w:t>
      </w:r>
      <w:r w:rsidR="00B34A66" w:rsidRPr="0023229D">
        <w:rPr>
          <w:color w:val="auto"/>
          <w:sz w:val="26"/>
          <w:szCs w:val="26"/>
        </w:rPr>
        <w:lastRenderedPageBreak/>
        <w:t>and 201</w:t>
      </w:r>
      <w:r w:rsidR="0023229D" w:rsidRPr="0023229D">
        <w:rPr>
          <w:color w:val="auto"/>
          <w:sz w:val="26"/>
          <w:szCs w:val="26"/>
        </w:rPr>
        <w:t>7</w:t>
      </w:r>
      <w:r w:rsidR="00F4408D" w:rsidRPr="0023229D">
        <w:rPr>
          <w:color w:val="auto"/>
          <w:sz w:val="26"/>
          <w:szCs w:val="26"/>
        </w:rPr>
        <w:t xml:space="preserve"> third quarter </w:t>
      </w:r>
      <w:smartTag w:uri="urn:schemas-microsoft-com:office:smarttags" w:element="stockticker">
        <w:r w:rsidR="00F4408D" w:rsidRPr="0023229D">
          <w:rPr>
            <w:color w:val="auto"/>
            <w:sz w:val="26"/>
            <w:szCs w:val="26"/>
          </w:rPr>
          <w:t>GDP</w:t>
        </w:r>
      </w:smartTag>
      <w:r w:rsidR="00973C4D" w:rsidRPr="0023229D">
        <w:rPr>
          <w:color w:val="auto"/>
          <w:sz w:val="26"/>
          <w:szCs w:val="26"/>
        </w:rPr>
        <w:t>-PI</w:t>
      </w:r>
      <w:r w:rsidR="00DD1C3A" w:rsidRPr="0023229D">
        <w:rPr>
          <w:color w:val="auto"/>
          <w:sz w:val="26"/>
          <w:szCs w:val="26"/>
        </w:rPr>
        <w:t xml:space="preserve">, which equates to a </w:t>
      </w:r>
      <w:r w:rsidR="0093734F" w:rsidRPr="0023229D">
        <w:rPr>
          <w:color w:val="auto"/>
          <w:sz w:val="26"/>
          <w:szCs w:val="26"/>
        </w:rPr>
        <w:t>1.</w:t>
      </w:r>
      <w:r w:rsidR="0023229D" w:rsidRPr="0023229D">
        <w:rPr>
          <w:color w:val="auto"/>
          <w:sz w:val="26"/>
          <w:szCs w:val="26"/>
        </w:rPr>
        <w:t>78</w:t>
      </w:r>
      <w:r w:rsidR="00F4408D" w:rsidRPr="0023229D">
        <w:rPr>
          <w:color w:val="auto"/>
          <w:sz w:val="26"/>
          <w:szCs w:val="26"/>
        </w:rPr>
        <w:t xml:space="preserve">% </w:t>
      </w:r>
      <w:r w:rsidR="00F4408D" w:rsidRPr="00BF6619">
        <w:rPr>
          <w:color w:val="auto"/>
          <w:sz w:val="26"/>
          <w:szCs w:val="26"/>
        </w:rPr>
        <w:t>increase in the PSI.</w:t>
      </w:r>
      <w:r w:rsidR="00FB2D76" w:rsidRPr="00BF6619">
        <w:rPr>
          <w:color w:val="auto"/>
          <w:sz w:val="26"/>
          <w:szCs w:val="26"/>
        </w:rPr>
        <w:t xml:space="preserve"> </w:t>
      </w:r>
      <w:r w:rsidR="00F4408D" w:rsidRPr="00BF6619">
        <w:rPr>
          <w:color w:val="auto"/>
          <w:sz w:val="26"/>
          <w:szCs w:val="26"/>
        </w:rPr>
        <w:t xml:space="preserve"> When appli</w:t>
      </w:r>
      <w:r w:rsidR="00CE2F4F" w:rsidRPr="00BF6619">
        <w:rPr>
          <w:color w:val="auto"/>
          <w:sz w:val="26"/>
          <w:szCs w:val="26"/>
        </w:rPr>
        <w:t>ed to the p</w:t>
      </w:r>
      <w:r w:rsidR="005F6B97" w:rsidRPr="00BF6619">
        <w:rPr>
          <w:color w:val="auto"/>
          <w:sz w:val="26"/>
          <w:szCs w:val="26"/>
        </w:rPr>
        <w:t>revious PSI of 1.</w:t>
      </w:r>
      <w:r w:rsidR="00BF6619" w:rsidRPr="00BF6619">
        <w:rPr>
          <w:color w:val="auto"/>
          <w:sz w:val="26"/>
          <w:szCs w:val="26"/>
        </w:rPr>
        <w:t>2167</w:t>
      </w:r>
      <w:r w:rsidR="00F4408D" w:rsidRPr="00BF6619">
        <w:rPr>
          <w:color w:val="auto"/>
          <w:sz w:val="26"/>
          <w:szCs w:val="26"/>
        </w:rPr>
        <w:t>, t</w:t>
      </w:r>
      <w:r w:rsidR="00DD1C3A" w:rsidRPr="00BF6619">
        <w:rPr>
          <w:color w:val="auto"/>
          <w:sz w:val="26"/>
          <w:szCs w:val="26"/>
        </w:rPr>
        <w:t>his prod</w:t>
      </w:r>
      <w:r w:rsidR="00DD1C3A" w:rsidRPr="00BF1A44">
        <w:rPr>
          <w:color w:val="auto"/>
          <w:sz w:val="26"/>
          <w:szCs w:val="26"/>
        </w:rPr>
        <w:t>uces a new PSI of 1.</w:t>
      </w:r>
      <w:r w:rsidR="00BF6619" w:rsidRPr="00BF1A44">
        <w:rPr>
          <w:color w:val="auto"/>
          <w:sz w:val="26"/>
          <w:szCs w:val="26"/>
        </w:rPr>
        <w:t>2384</w:t>
      </w:r>
      <w:r w:rsidR="00F4408D" w:rsidRPr="00BF1A44">
        <w:rPr>
          <w:color w:val="auto"/>
          <w:sz w:val="26"/>
          <w:szCs w:val="26"/>
        </w:rPr>
        <w:t xml:space="preserve">. Applying this change to current </w:t>
      </w:r>
      <w:r w:rsidR="0038393E" w:rsidRPr="00BF1A44">
        <w:rPr>
          <w:color w:val="auto"/>
          <w:sz w:val="26"/>
          <w:szCs w:val="26"/>
        </w:rPr>
        <w:t>noncompetitive</w:t>
      </w:r>
      <w:r w:rsidR="00F4408D" w:rsidRPr="00BF1A44">
        <w:rPr>
          <w:color w:val="auto"/>
          <w:sz w:val="26"/>
          <w:szCs w:val="26"/>
        </w:rPr>
        <w:t xml:space="preserve"> revenues of $</w:t>
      </w:r>
      <w:r w:rsidR="00BF1A44" w:rsidRPr="00BF1A44">
        <w:rPr>
          <w:color w:val="auto"/>
          <w:sz w:val="26"/>
          <w:szCs w:val="26"/>
        </w:rPr>
        <w:t>39</w:t>
      </w:r>
      <w:r w:rsidR="00DD1C3A" w:rsidRPr="00BF1A44">
        <w:rPr>
          <w:color w:val="auto"/>
          <w:sz w:val="26"/>
          <w:szCs w:val="26"/>
        </w:rPr>
        <w:t>,</w:t>
      </w:r>
      <w:r w:rsidR="00BF1A44" w:rsidRPr="00BF1A44">
        <w:rPr>
          <w:color w:val="auto"/>
          <w:sz w:val="26"/>
          <w:szCs w:val="26"/>
        </w:rPr>
        <w:t>424</w:t>
      </w:r>
      <w:r w:rsidR="00DD1C3A" w:rsidRPr="00BF1A44">
        <w:rPr>
          <w:color w:val="auto"/>
          <w:sz w:val="26"/>
          <w:szCs w:val="26"/>
        </w:rPr>
        <w:t>,</w:t>
      </w:r>
      <w:r w:rsidR="00BF1A44" w:rsidRPr="00BF1A44">
        <w:rPr>
          <w:color w:val="auto"/>
          <w:sz w:val="26"/>
          <w:szCs w:val="26"/>
        </w:rPr>
        <w:t>610</w:t>
      </w:r>
      <w:r w:rsidR="00F4408D" w:rsidRPr="00BF1A44">
        <w:rPr>
          <w:color w:val="auto"/>
          <w:sz w:val="26"/>
          <w:szCs w:val="26"/>
        </w:rPr>
        <w:t xml:space="preserve"> produces a</w:t>
      </w:r>
      <w:r w:rsidR="0093734F" w:rsidRPr="00BF1A44">
        <w:rPr>
          <w:color w:val="auto"/>
          <w:sz w:val="26"/>
          <w:szCs w:val="26"/>
        </w:rPr>
        <w:t xml:space="preserve"> 201</w:t>
      </w:r>
      <w:r w:rsidR="00BF6619" w:rsidRPr="00BF1A44">
        <w:rPr>
          <w:color w:val="auto"/>
          <w:sz w:val="26"/>
          <w:szCs w:val="26"/>
        </w:rPr>
        <w:t>8</w:t>
      </w:r>
      <w:r w:rsidR="00F4408D" w:rsidRPr="00BF1A44">
        <w:rPr>
          <w:color w:val="auto"/>
          <w:sz w:val="26"/>
          <w:szCs w:val="26"/>
        </w:rPr>
        <w:t xml:space="preserve"> maximum allowed </w:t>
      </w:r>
      <w:r w:rsidR="0038393E" w:rsidRPr="00BF1A44">
        <w:rPr>
          <w:color w:val="auto"/>
          <w:sz w:val="26"/>
          <w:szCs w:val="26"/>
        </w:rPr>
        <w:t>noncompetitive</w:t>
      </w:r>
      <w:r w:rsidR="00F4408D" w:rsidRPr="00BF1A44">
        <w:rPr>
          <w:color w:val="auto"/>
          <w:sz w:val="26"/>
          <w:szCs w:val="26"/>
        </w:rPr>
        <w:t xml:space="preserve"> revenue increase of $</w:t>
      </w:r>
      <w:r w:rsidR="00BF1A44" w:rsidRPr="00BF1A44">
        <w:rPr>
          <w:color w:val="auto"/>
          <w:sz w:val="26"/>
          <w:szCs w:val="26"/>
        </w:rPr>
        <w:t>701</w:t>
      </w:r>
      <w:r w:rsidR="00DD1C3A" w:rsidRPr="00BF1A44">
        <w:rPr>
          <w:color w:val="auto"/>
          <w:sz w:val="26"/>
          <w:szCs w:val="26"/>
        </w:rPr>
        <w:t>,</w:t>
      </w:r>
      <w:r w:rsidR="00BF1A44" w:rsidRPr="00BF1A44">
        <w:rPr>
          <w:color w:val="auto"/>
          <w:sz w:val="26"/>
          <w:szCs w:val="26"/>
        </w:rPr>
        <w:t>758</w:t>
      </w:r>
      <w:r w:rsidR="00943934" w:rsidRPr="00BF1A44">
        <w:rPr>
          <w:color w:val="auto"/>
          <w:sz w:val="26"/>
          <w:szCs w:val="26"/>
        </w:rPr>
        <w:t>.</w:t>
      </w:r>
      <w:r w:rsidR="00F62BC6" w:rsidRPr="00BF1A44">
        <w:rPr>
          <w:color w:val="auto"/>
          <w:sz w:val="26"/>
          <w:szCs w:val="26"/>
        </w:rPr>
        <w:t xml:space="preserve">  </w:t>
      </w:r>
    </w:p>
    <w:p w14:paraId="2B83DCDD" w14:textId="77777777" w:rsidR="00943934" w:rsidRPr="00BF1A44" w:rsidRDefault="00DD1C3A" w:rsidP="00DD1C3A">
      <w:pPr>
        <w:spacing w:after="240" w:line="360" w:lineRule="auto"/>
        <w:rPr>
          <w:color w:val="auto"/>
          <w:sz w:val="26"/>
          <w:szCs w:val="26"/>
        </w:rPr>
      </w:pPr>
      <w:r w:rsidRPr="00C657D9">
        <w:rPr>
          <w:color w:val="FF0000"/>
          <w:sz w:val="26"/>
          <w:szCs w:val="26"/>
        </w:rPr>
        <w:tab/>
      </w:r>
      <w:r w:rsidRPr="00BF6619">
        <w:rPr>
          <w:color w:val="auto"/>
          <w:sz w:val="26"/>
          <w:szCs w:val="26"/>
        </w:rPr>
        <w:t>In its 201</w:t>
      </w:r>
      <w:r w:rsidR="00BF6619" w:rsidRPr="00BF6619">
        <w:rPr>
          <w:color w:val="auto"/>
          <w:sz w:val="26"/>
          <w:szCs w:val="26"/>
        </w:rPr>
        <w:t>8</w:t>
      </w:r>
      <w:r w:rsidRPr="00BF6619">
        <w:rPr>
          <w:color w:val="auto"/>
          <w:sz w:val="26"/>
          <w:szCs w:val="26"/>
        </w:rPr>
        <w:t xml:space="preserve"> filing, </w:t>
      </w:r>
      <w:r w:rsidRPr="00BF1A44">
        <w:rPr>
          <w:color w:val="auto"/>
          <w:sz w:val="26"/>
          <w:szCs w:val="26"/>
        </w:rPr>
        <w:t>the Company is implementing a total of $</w:t>
      </w:r>
      <w:r w:rsidR="00BF1A44" w:rsidRPr="00BF1A44">
        <w:rPr>
          <w:color w:val="auto"/>
          <w:sz w:val="26"/>
          <w:szCs w:val="26"/>
        </w:rPr>
        <w:t>281</w:t>
      </w:r>
      <w:r w:rsidRPr="00BF1A44">
        <w:rPr>
          <w:color w:val="auto"/>
          <w:sz w:val="26"/>
          <w:szCs w:val="26"/>
        </w:rPr>
        <w:t>,</w:t>
      </w:r>
      <w:r w:rsidR="00BF1A44" w:rsidRPr="00BF1A44">
        <w:rPr>
          <w:color w:val="auto"/>
          <w:sz w:val="26"/>
          <w:szCs w:val="26"/>
        </w:rPr>
        <w:t>620</w:t>
      </w:r>
      <w:r w:rsidRPr="00BF1A44">
        <w:rPr>
          <w:color w:val="auto"/>
          <w:sz w:val="26"/>
          <w:szCs w:val="26"/>
        </w:rPr>
        <w:t xml:space="preserve"> in actual rate increases.  </w:t>
      </w:r>
      <w:r w:rsidR="00886BB2" w:rsidRPr="00BF1A44">
        <w:rPr>
          <w:color w:val="auto"/>
          <w:sz w:val="26"/>
          <w:szCs w:val="26"/>
        </w:rPr>
        <w:t xml:space="preserve">The SPI indicates the cumulative price changes from current and prior years and tracks the actual total price changes for </w:t>
      </w:r>
      <w:r w:rsidR="0038393E" w:rsidRPr="00BF1A44">
        <w:rPr>
          <w:color w:val="auto"/>
          <w:sz w:val="26"/>
          <w:szCs w:val="26"/>
        </w:rPr>
        <w:t>noncompetitive</w:t>
      </w:r>
      <w:r w:rsidR="00886BB2" w:rsidRPr="00BF1A44">
        <w:rPr>
          <w:color w:val="auto"/>
          <w:sz w:val="26"/>
          <w:szCs w:val="26"/>
        </w:rPr>
        <w:t xml:space="preserve"> services.</w:t>
      </w:r>
      <w:r w:rsidR="00943934" w:rsidRPr="00BF1A44">
        <w:rPr>
          <w:color w:val="auto"/>
          <w:sz w:val="26"/>
          <w:szCs w:val="26"/>
        </w:rPr>
        <w:t xml:space="preserve">  A</w:t>
      </w:r>
      <w:r w:rsidRPr="00BF1A44">
        <w:rPr>
          <w:color w:val="auto"/>
          <w:sz w:val="26"/>
          <w:szCs w:val="26"/>
        </w:rPr>
        <w:t>pplied to its current SPI of 1.</w:t>
      </w:r>
      <w:r w:rsidR="00BF1A44" w:rsidRPr="00BF1A44">
        <w:rPr>
          <w:color w:val="auto"/>
          <w:sz w:val="26"/>
          <w:szCs w:val="26"/>
        </w:rPr>
        <w:t>1410</w:t>
      </w:r>
      <w:r w:rsidRPr="00BF1A44">
        <w:rPr>
          <w:color w:val="auto"/>
          <w:sz w:val="26"/>
          <w:szCs w:val="26"/>
        </w:rPr>
        <w:t>, the Company’s rate increases produce a new SPI of 1.</w:t>
      </w:r>
      <w:r w:rsidR="00BF1A44" w:rsidRPr="00BF1A44">
        <w:rPr>
          <w:color w:val="auto"/>
          <w:sz w:val="26"/>
          <w:szCs w:val="26"/>
        </w:rPr>
        <w:t>1492</w:t>
      </w:r>
      <w:r w:rsidRPr="00BF1A44">
        <w:rPr>
          <w:color w:val="auto"/>
          <w:sz w:val="26"/>
          <w:szCs w:val="26"/>
        </w:rPr>
        <w:t>.</w:t>
      </w:r>
    </w:p>
    <w:p w14:paraId="7CBCCD58" w14:textId="77777777" w:rsidR="00CD3FEC" w:rsidRPr="00BF1A44" w:rsidRDefault="007F4BBC" w:rsidP="00CD3FEC">
      <w:pPr>
        <w:overflowPunct w:val="0"/>
        <w:autoSpaceDE w:val="0"/>
        <w:autoSpaceDN w:val="0"/>
        <w:adjustRightInd w:val="0"/>
        <w:spacing w:after="240" w:line="360" w:lineRule="auto"/>
        <w:textAlignment w:val="baseline"/>
        <w:rPr>
          <w:color w:val="auto"/>
          <w:sz w:val="26"/>
          <w:szCs w:val="26"/>
        </w:rPr>
      </w:pPr>
      <w:r w:rsidRPr="00BF1A44">
        <w:rPr>
          <w:color w:val="auto"/>
          <w:sz w:val="26"/>
          <w:szCs w:val="26"/>
        </w:rPr>
        <w:tab/>
        <w:t>Consistent with the Commission approved Protective Order entered March 27, 2008</w:t>
      </w:r>
      <w:r w:rsidR="00807535" w:rsidRPr="00BF1A44">
        <w:rPr>
          <w:color w:val="auto"/>
          <w:sz w:val="26"/>
          <w:szCs w:val="26"/>
        </w:rPr>
        <w:t>,</w:t>
      </w:r>
      <w:r w:rsidRPr="00BF1A44">
        <w:rPr>
          <w:color w:val="auto"/>
          <w:sz w:val="26"/>
          <w:szCs w:val="26"/>
        </w:rPr>
        <w:t xml:space="preserve"> at P-2008-2022840 and pursuant to 52 Pa.</w:t>
      </w:r>
      <w:r w:rsidR="001C6F3A" w:rsidRPr="00BF1A44">
        <w:rPr>
          <w:color w:val="auto"/>
          <w:sz w:val="26"/>
          <w:szCs w:val="26"/>
        </w:rPr>
        <w:t xml:space="preserve"> </w:t>
      </w:r>
      <w:r w:rsidRPr="00BF1A44">
        <w:rPr>
          <w:color w:val="auto"/>
          <w:sz w:val="26"/>
          <w:szCs w:val="26"/>
        </w:rPr>
        <w:t>Co</w:t>
      </w:r>
      <w:r w:rsidR="004B231F" w:rsidRPr="00BF1A44">
        <w:rPr>
          <w:color w:val="auto"/>
          <w:sz w:val="26"/>
          <w:szCs w:val="26"/>
        </w:rPr>
        <w:t>de § 5.365</w:t>
      </w:r>
      <w:r w:rsidRPr="00BF1A44">
        <w:rPr>
          <w:color w:val="auto"/>
          <w:sz w:val="26"/>
          <w:szCs w:val="26"/>
        </w:rPr>
        <w:t>, the Company has marked specific informati</w:t>
      </w:r>
      <w:r w:rsidR="00CD3FEC" w:rsidRPr="00BF1A44">
        <w:rPr>
          <w:color w:val="auto"/>
          <w:sz w:val="26"/>
          <w:szCs w:val="26"/>
        </w:rPr>
        <w:t>on in its filing as proprietary.</w:t>
      </w:r>
    </w:p>
    <w:p w14:paraId="721E989C" w14:textId="77777777" w:rsidR="00DD1C3A" w:rsidRPr="00BF1A44" w:rsidRDefault="00257D8D" w:rsidP="00DD1C3A">
      <w:pPr>
        <w:overflowPunct w:val="0"/>
        <w:autoSpaceDE w:val="0"/>
        <w:autoSpaceDN w:val="0"/>
        <w:adjustRightInd w:val="0"/>
        <w:spacing w:after="240" w:line="360" w:lineRule="auto"/>
        <w:textAlignment w:val="baseline"/>
        <w:rPr>
          <w:color w:val="auto"/>
          <w:sz w:val="26"/>
          <w:szCs w:val="26"/>
        </w:rPr>
      </w:pPr>
      <w:r w:rsidRPr="00BF1A44">
        <w:rPr>
          <w:color w:val="auto"/>
          <w:sz w:val="26"/>
          <w:szCs w:val="26"/>
        </w:rPr>
        <w:tab/>
      </w:r>
      <w:r w:rsidR="00DD1C3A" w:rsidRPr="00BF1A44">
        <w:rPr>
          <w:color w:val="auto"/>
          <w:sz w:val="26"/>
          <w:szCs w:val="26"/>
        </w:rPr>
        <w:t>On February 1, 201</w:t>
      </w:r>
      <w:r w:rsidR="00BF1A44" w:rsidRPr="00BF1A44">
        <w:rPr>
          <w:color w:val="auto"/>
          <w:sz w:val="26"/>
          <w:szCs w:val="26"/>
        </w:rPr>
        <w:t>8</w:t>
      </w:r>
      <w:r w:rsidR="00DD1C3A" w:rsidRPr="00BF1A44">
        <w:rPr>
          <w:color w:val="auto"/>
          <w:sz w:val="26"/>
          <w:szCs w:val="26"/>
        </w:rPr>
        <w:t xml:space="preserve">, the Company served a copy of its PSI/SPI Report on the Office of Small Business Advocate, the Office of Consumer Advocate and the Bureau of Investigation and Enforcement.  No complaints were filed and no hearings were held.  </w:t>
      </w:r>
    </w:p>
    <w:p w14:paraId="1AD18B64" w14:textId="44D52217" w:rsidR="00257D8D" w:rsidRDefault="00257D8D" w:rsidP="00257D8D">
      <w:pPr>
        <w:overflowPunct w:val="0"/>
        <w:autoSpaceDE w:val="0"/>
        <w:autoSpaceDN w:val="0"/>
        <w:adjustRightInd w:val="0"/>
        <w:spacing w:after="240" w:line="360" w:lineRule="auto"/>
        <w:textAlignment w:val="baseline"/>
        <w:rPr>
          <w:color w:val="auto"/>
          <w:sz w:val="26"/>
          <w:szCs w:val="26"/>
        </w:rPr>
      </w:pPr>
      <w:r w:rsidRPr="00BF1A44">
        <w:rPr>
          <w:color w:val="auto"/>
          <w:sz w:val="26"/>
          <w:szCs w:val="26"/>
        </w:rPr>
        <w:tab/>
        <w:t xml:space="preserve">As noted in more detail in the </w:t>
      </w:r>
      <w:r w:rsidRPr="002A1802">
        <w:rPr>
          <w:color w:val="auto"/>
          <w:sz w:val="26"/>
          <w:szCs w:val="26"/>
        </w:rPr>
        <w:t>following table, in its 201</w:t>
      </w:r>
      <w:r w:rsidR="00BF1A44" w:rsidRPr="002A1802">
        <w:rPr>
          <w:color w:val="auto"/>
          <w:sz w:val="26"/>
          <w:szCs w:val="26"/>
        </w:rPr>
        <w:t>8</w:t>
      </w:r>
      <w:r w:rsidRPr="002A1802">
        <w:rPr>
          <w:color w:val="auto"/>
          <w:sz w:val="26"/>
          <w:szCs w:val="26"/>
        </w:rPr>
        <w:t xml:space="preserve"> filing, the Company proposes to increase local residential and </w:t>
      </w:r>
      <w:r w:rsidRPr="00A555A4">
        <w:rPr>
          <w:color w:val="auto"/>
          <w:sz w:val="26"/>
          <w:szCs w:val="26"/>
        </w:rPr>
        <w:t>business dial tone line rates by between $0.</w:t>
      </w:r>
      <w:r w:rsidR="00A555A4" w:rsidRPr="00A555A4">
        <w:rPr>
          <w:color w:val="auto"/>
          <w:sz w:val="26"/>
          <w:szCs w:val="26"/>
        </w:rPr>
        <w:t>2</w:t>
      </w:r>
      <w:r w:rsidR="006376FF" w:rsidRPr="00A555A4">
        <w:rPr>
          <w:color w:val="auto"/>
          <w:sz w:val="26"/>
          <w:szCs w:val="26"/>
        </w:rPr>
        <w:t>5</w:t>
      </w:r>
      <w:r w:rsidRPr="00A555A4">
        <w:rPr>
          <w:color w:val="auto"/>
          <w:sz w:val="26"/>
          <w:szCs w:val="26"/>
        </w:rPr>
        <w:t xml:space="preserve"> and $</w:t>
      </w:r>
      <w:r w:rsidR="006376FF" w:rsidRPr="00A555A4">
        <w:rPr>
          <w:color w:val="auto"/>
          <w:sz w:val="26"/>
          <w:szCs w:val="26"/>
        </w:rPr>
        <w:t>1</w:t>
      </w:r>
      <w:r w:rsidRPr="00A555A4">
        <w:rPr>
          <w:color w:val="auto"/>
          <w:sz w:val="26"/>
          <w:szCs w:val="26"/>
        </w:rPr>
        <w:t>.</w:t>
      </w:r>
      <w:r w:rsidR="00A555A4" w:rsidRPr="00A555A4">
        <w:rPr>
          <w:color w:val="auto"/>
          <w:sz w:val="26"/>
          <w:szCs w:val="26"/>
        </w:rPr>
        <w:t>2</w:t>
      </w:r>
      <w:r w:rsidR="006376FF" w:rsidRPr="00A555A4">
        <w:rPr>
          <w:color w:val="auto"/>
          <w:sz w:val="26"/>
          <w:szCs w:val="26"/>
        </w:rPr>
        <w:t>5</w:t>
      </w:r>
      <w:r w:rsidRPr="00A555A4">
        <w:rPr>
          <w:color w:val="auto"/>
          <w:sz w:val="26"/>
          <w:szCs w:val="26"/>
        </w:rPr>
        <w:t xml:space="preserve"> monthly.  The Company’s proposed rate increases will be implemented through Supplement No. 12</w:t>
      </w:r>
      <w:r w:rsidR="00A555A4" w:rsidRPr="00A555A4">
        <w:rPr>
          <w:color w:val="auto"/>
          <w:sz w:val="26"/>
          <w:szCs w:val="26"/>
        </w:rPr>
        <w:t>7</w:t>
      </w:r>
      <w:r w:rsidRPr="00A555A4">
        <w:rPr>
          <w:color w:val="auto"/>
          <w:sz w:val="26"/>
          <w:szCs w:val="26"/>
        </w:rPr>
        <w:t xml:space="preserve"> to Tariff Telephone - PA P.U.C. No. 24, which carries an effective date of April 1</w:t>
      </w:r>
      <w:r w:rsidRPr="00A555A4">
        <w:rPr>
          <w:color w:val="auto"/>
          <w:sz w:val="22"/>
          <w:szCs w:val="26"/>
        </w:rPr>
        <w:t>,</w:t>
      </w:r>
      <w:r w:rsidR="0093734F" w:rsidRPr="00A555A4">
        <w:rPr>
          <w:color w:val="auto"/>
          <w:sz w:val="26"/>
          <w:szCs w:val="26"/>
        </w:rPr>
        <w:t xml:space="preserve"> 201</w:t>
      </w:r>
      <w:r w:rsidR="00A555A4" w:rsidRPr="00A555A4">
        <w:rPr>
          <w:color w:val="auto"/>
          <w:sz w:val="26"/>
          <w:szCs w:val="26"/>
        </w:rPr>
        <w:t>8</w:t>
      </w:r>
      <w:r w:rsidRPr="00A555A4">
        <w:rPr>
          <w:color w:val="auto"/>
          <w:sz w:val="26"/>
          <w:szCs w:val="26"/>
        </w:rPr>
        <w:t xml:space="preserve">.  </w:t>
      </w:r>
    </w:p>
    <w:p w14:paraId="3F89AA17" w14:textId="37AFAA1F" w:rsidR="005503ED" w:rsidRDefault="005503ED" w:rsidP="00257D8D">
      <w:pPr>
        <w:overflowPunct w:val="0"/>
        <w:autoSpaceDE w:val="0"/>
        <w:autoSpaceDN w:val="0"/>
        <w:adjustRightInd w:val="0"/>
        <w:spacing w:after="240" w:line="360" w:lineRule="auto"/>
        <w:textAlignment w:val="baseline"/>
        <w:rPr>
          <w:color w:val="auto"/>
          <w:sz w:val="26"/>
          <w:szCs w:val="26"/>
        </w:rPr>
      </w:pPr>
    </w:p>
    <w:p w14:paraId="691E3EED" w14:textId="432F1C84" w:rsidR="005503ED" w:rsidRDefault="005503ED" w:rsidP="00257D8D">
      <w:pPr>
        <w:overflowPunct w:val="0"/>
        <w:autoSpaceDE w:val="0"/>
        <w:autoSpaceDN w:val="0"/>
        <w:adjustRightInd w:val="0"/>
        <w:spacing w:after="240" w:line="360" w:lineRule="auto"/>
        <w:textAlignment w:val="baseline"/>
        <w:rPr>
          <w:color w:val="auto"/>
          <w:sz w:val="26"/>
          <w:szCs w:val="26"/>
        </w:rPr>
      </w:pPr>
    </w:p>
    <w:p w14:paraId="0165CDDF" w14:textId="01B5425F" w:rsidR="005503ED" w:rsidRDefault="005503ED" w:rsidP="00257D8D">
      <w:pPr>
        <w:overflowPunct w:val="0"/>
        <w:autoSpaceDE w:val="0"/>
        <w:autoSpaceDN w:val="0"/>
        <w:adjustRightInd w:val="0"/>
        <w:spacing w:after="240" w:line="360" w:lineRule="auto"/>
        <w:textAlignment w:val="baseline"/>
        <w:rPr>
          <w:color w:val="auto"/>
          <w:sz w:val="26"/>
          <w:szCs w:val="26"/>
        </w:rPr>
      </w:pPr>
    </w:p>
    <w:p w14:paraId="21BFF2AE" w14:textId="07A1031D" w:rsidR="005503ED" w:rsidRDefault="005503ED" w:rsidP="00257D8D">
      <w:pPr>
        <w:overflowPunct w:val="0"/>
        <w:autoSpaceDE w:val="0"/>
        <w:autoSpaceDN w:val="0"/>
        <w:adjustRightInd w:val="0"/>
        <w:spacing w:after="240" w:line="360" w:lineRule="auto"/>
        <w:textAlignment w:val="baseline"/>
        <w:rPr>
          <w:color w:val="auto"/>
          <w:sz w:val="26"/>
          <w:szCs w:val="26"/>
        </w:rPr>
      </w:pPr>
    </w:p>
    <w:p w14:paraId="47011DFE" w14:textId="77777777" w:rsidR="005503ED" w:rsidRDefault="005503ED" w:rsidP="00257D8D">
      <w:pPr>
        <w:overflowPunct w:val="0"/>
        <w:autoSpaceDE w:val="0"/>
        <w:autoSpaceDN w:val="0"/>
        <w:adjustRightInd w:val="0"/>
        <w:spacing w:after="240" w:line="360" w:lineRule="auto"/>
        <w:textAlignment w:val="baseline"/>
        <w:rPr>
          <w:color w:val="auto"/>
          <w:sz w:val="26"/>
          <w:szCs w:val="26"/>
        </w:rPr>
      </w:pPr>
    </w:p>
    <w:tbl>
      <w:tblPr>
        <w:tblW w:w="9330" w:type="dxa"/>
        <w:tblLook w:val="04A0" w:firstRow="1" w:lastRow="0" w:firstColumn="1" w:lastColumn="0" w:noHBand="0" w:noVBand="1"/>
      </w:tblPr>
      <w:tblGrid>
        <w:gridCol w:w="2282"/>
        <w:gridCol w:w="222"/>
        <w:gridCol w:w="1801"/>
        <w:gridCol w:w="1620"/>
        <w:gridCol w:w="1710"/>
        <w:gridCol w:w="1695"/>
      </w:tblGrid>
      <w:tr w:rsidR="005503ED" w:rsidRPr="005503ED" w14:paraId="18A23651" w14:textId="77777777" w:rsidTr="005503ED">
        <w:trPr>
          <w:trHeight w:val="330"/>
        </w:trPr>
        <w:tc>
          <w:tcPr>
            <w:tcW w:w="9330" w:type="dxa"/>
            <w:gridSpan w:val="6"/>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3B111011" w14:textId="77777777" w:rsidR="005503ED" w:rsidRPr="005503ED" w:rsidRDefault="005503ED" w:rsidP="005503ED">
            <w:pPr>
              <w:jc w:val="center"/>
              <w:rPr>
                <w:color w:val="auto"/>
                <w:sz w:val="22"/>
                <w:szCs w:val="22"/>
              </w:rPr>
            </w:pPr>
            <w:r w:rsidRPr="005503ED">
              <w:rPr>
                <w:color w:val="auto"/>
                <w:sz w:val="22"/>
                <w:szCs w:val="22"/>
              </w:rPr>
              <w:lastRenderedPageBreak/>
              <w:t>Summary of Rate Changes for Frontier Commonwealth</w:t>
            </w:r>
          </w:p>
        </w:tc>
      </w:tr>
      <w:tr w:rsidR="00752434" w:rsidRPr="005503ED" w14:paraId="3D816171" w14:textId="77777777" w:rsidTr="00752434">
        <w:trPr>
          <w:trHeight w:val="315"/>
        </w:trPr>
        <w:tc>
          <w:tcPr>
            <w:tcW w:w="4305" w:type="dxa"/>
            <w:gridSpan w:val="3"/>
            <w:vMerge w:val="restart"/>
            <w:tcBorders>
              <w:top w:val="single" w:sz="12" w:space="0" w:color="auto"/>
              <w:left w:val="single" w:sz="12" w:space="0" w:color="auto"/>
              <w:right w:val="single" w:sz="12" w:space="0" w:color="000000"/>
            </w:tcBorders>
            <w:shd w:val="clear" w:color="auto" w:fill="auto"/>
            <w:noWrap/>
            <w:vAlign w:val="center"/>
            <w:hideMark/>
          </w:tcPr>
          <w:p w14:paraId="271051E6" w14:textId="77777777" w:rsidR="00752434" w:rsidRPr="005503ED" w:rsidRDefault="00752434" w:rsidP="00752434">
            <w:pPr>
              <w:jc w:val="center"/>
              <w:rPr>
                <w:color w:val="auto"/>
                <w:sz w:val="22"/>
                <w:szCs w:val="22"/>
              </w:rPr>
            </w:pPr>
            <w:r w:rsidRPr="005503ED">
              <w:rPr>
                <w:color w:val="auto"/>
                <w:sz w:val="22"/>
                <w:szCs w:val="22"/>
              </w:rPr>
              <w:t>Service Description</w:t>
            </w:r>
          </w:p>
          <w:p w14:paraId="220A889C" w14:textId="2BE7CDCB" w:rsidR="00752434" w:rsidRPr="005503ED" w:rsidRDefault="00752434" w:rsidP="00752434">
            <w:pPr>
              <w:jc w:val="center"/>
              <w:rPr>
                <w:color w:val="auto"/>
                <w:sz w:val="22"/>
                <w:szCs w:val="22"/>
              </w:rPr>
            </w:pPr>
          </w:p>
        </w:tc>
        <w:tc>
          <w:tcPr>
            <w:tcW w:w="3330" w:type="dxa"/>
            <w:gridSpan w:val="2"/>
            <w:tcBorders>
              <w:top w:val="single" w:sz="12" w:space="0" w:color="auto"/>
              <w:left w:val="nil"/>
              <w:bottom w:val="nil"/>
              <w:right w:val="single" w:sz="12" w:space="0" w:color="000000"/>
            </w:tcBorders>
            <w:shd w:val="clear" w:color="auto" w:fill="auto"/>
            <w:noWrap/>
            <w:vAlign w:val="center"/>
            <w:hideMark/>
          </w:tcPr>
          <w:p w14:paraId="09279195" w14:textId="77777777" w:rsidR="00752434" w:rsidRPr="005503ED" w:rsidRDefault="00752434" w:rsidP="005503ED">
            <w:pPr>
              <w:jc w:val="center"/>
              <w:rPr>
                <w:color w:val="auto"/>
                <w:sz w:val="22"/>
                <w:szCs w:val="22"/>
              </w:rPr>
            </w:pPr>
            <w:r w:rsidRPr="005503ED">
              <w:rPr>
                <w:color w:val="auto"/>
                <w:sz w:val="22"/>
                <w:szCs w:val="22"/>
              </w:rPr>
              <w:t>Rates</w:t>
            </w:r>
          </w:p>
        </w:tc>
        <w:tc>
          <w:tcPr>
            <w:tcW w:w="1695" w:type="dxa"/>
            <w:tcBorders>
              <w:top w:val="nil"/>
              <w:left w:val="nil"/>
              <w:bottom w:val="nil"/>
              <w:right w:val="single" w:sz="12" w:space="0" w:color="auto"/>
            </w:tcBorders>
            <w:shd w:val="clear" w:color="auto" w:fill="auto"/>
            <w:noWrap/>
            <w:vAlign w:val="center"/>
            <w:hideMark/>
          </w:tcPr>
          <w:p w14:paraId="4E08AA7D" w14:textId="77777777" w:rsidR="00752434" w:rsidRPr="005503ED" w:rsidRDefault="00752434" w:rsidP="005503ED">
            <w:pPr>
              <w:jc w:val="center"/>
              <w:rPr>
                <w:color w:val="auto"/>
                <w:sz w:val="22"/>
                <w:szCs w:val="22"/>
              </w:rPr>
            </w:pPr>
            <w:r w:rsidRPr="005503ED">
              <w:rPr>
                <w:color w:val="auto"/>
                <w:sz w:val="22"/>
                <w:szCs w:val="22"/>
              </w:rPr>
              <w:t>Net</w:t>
            </w:r>
          </w:p>
        </w:tc>
      </w:tr>
      <w:tr w:rsidR="00752434" w:rsidRPr="005503ED" w14:paraId="4E004688" w14:textId="77777777" w:rsidTr="00E4377B">
        <w:trPr>
          <w:trHeight w:val="315"/>
        </w:trPr>
        <w:tc>
          <w:tcPr>
            <w:tcW w:w="4305" w:type="dxa"/>
            <w:gridSpan w:val="3"/>
            <w:vMerge/>
            <w:tcBorders>
              <w:left w:val="single" w:sz="12" w:space="0" w:color="auto"/>
              <w:bottom w:val="single" w:sz="12" w:space="0" w:color="auto"/>
              <w:right w:val="single" w:sz="12" w:space="0" w:color="000000"/>
            </w:tcBorders>
            <w:shd w:val="clear" w:color="auto" w:fill="auto"/>
            <w:noWrap/>
            <w:vAlign w:val="center"/>
            <w:hideMark/>
          </w:tcPr>
          <w:p w14:paraId="2783F256" w14:textId="59302535" w:rsidR="00752434" w:rsidRPr="005503ED" w:rsidRDefault="00752434" w:rsidP="005503ED">
            <w:pPr>
              <w:jc w:val="center"/>
              <w:rPr>
                <w:color w:val="auto"/>
                <w:sz w:val="22"/>
                <w:szCs w:val="22"/>
              </w:rPr>
            </w:pPr>
          </w:p>
        </w:tc>
        <w:tc>
          <w:tcPr>
            <w:tcW w:w="1620" w:type="dxa"/>
            <w:tcBorders>
              <w:top w:val="nil"/>
              <w:left w:val="nil"/>
              <w:bottom w:val="single" w:sz="12" w:space="0" w:color="auto"/>
              <w:right w:val="nil"/>
            </w:tcBorders>
            <w:shd w:val="clear" w:color="auto" w:fill="auto"/>
            <w:noWrap/>
            <w:vAlign w:val="center"/>
            <w:hideMark/>
          </w:tcPr>
          <w:p w14:paraId="0BF48F42" w14:textId="77777777" w:rsidR="00752434" w:rsidRPr="005503ED" w:rsidRDefault="00752434" w:rsidP="005503ED">
            <w:pPr>
              <w:jc w:val="center"/>
              <w:rPr>
                <w:color w:val="auto"/>
                <w:sz w:val="22"/>
                <w:szCs w:val="22"/>
              </w:rPr>
            </w:pPr>
            <w:r w:rsidRPr="005503ED">
              <w:rPr>
                <w:color w:val="auto"/>
                <w:sz w:val="22"/>
                <w:szCs w:val="22"/>
              </w:rPr>
              <w:t>Existing</w:t>
            </w:r>
          </w:p>
        </w:tc>
        <w:tc>
          <w:tcPr>
            <w:tcW w:w="1710" w:type="dxa"/>
            <w:tcBorders>
              <w:top w:val="nil"/>
              <w:left w:val="nil"/>
              <w:bottom w:val="single" w:sz="12" w:space="0" w:color="auto"/>
              <w:right w:val="nil"/>
            </w:tcBorders>
            <w:shd w:val="clear" w:color="auto" w:fill="auto"/>
            <w:noWrap/>
            <w:vAlign w:val="center"/>
            <w:hideMark/>
          </w:tcPr>
          <w:p w14:paraId="40288B6D" w14:textId="77777777" w:rsidR="00752434" w:rsidRPr="005503ED" w:rsidRDefault="00752434" w:rsidP="005503ED">
            <w:pPr>
              <w:jc w:val="center"/>
              <w:rPr>
                <w:color w:val="auto"/>
                <w:sz w:val="22"/>
                <w:szCs w:val="22"/>
              </w:rPr>
            </w:pPr>
            <w:r w:rsidRPr="005503ED">
              <w:rPr>
                <w:color w:val="auto"/>
                <w:sz w:val="22"/>
                <w:szCs w:val="22"/>
              </w:rPr>
              <w:t>Proposed</w:t>
            </w:r>
          </w:p>
        </w:tc>
        <w:tc>
          <w:tcPr>
            <w:tcW w:w="1695" w:type="dxa"/>
            <w:tcBorders>
              <w:top w:val="nil"/>
              <w:left w:val="single" w:sz="12" w:space="0" w:color="auto"/>
              <w:bottom w:val="single" w:sz="12" w:space="0" w:color="auto"/>
              <w:right w:val="single" w:sz="12" w:space="0" w:color="auto"/>
            </w:tcBorders>
            <w:shd w:val="clear" w:color="auto" w:fill="auto"/>
            <w:noWrap/>
            <w:vAlign w:val="center"/>
            <w:hideMark/>
          </w:tcPr>
          <w:p w14:paraId="6E79B421" w14:textId="77777777" w:rsidR="00752434" w:rsidRPr="005503ED" w:rsidRDefault="00752434" w:rsidP="005503ED">
            <w:pPr>
              <w:jc w:val="center"/>
              <w:rPr>
                <w:color w:val="auto"/>
                <w:sz w:val="22"/>
                <w:szCs w:val="22"/>
              </w:rPr>
            </w:pPr>
            <w:r w:rsidRPr="005503ED">
              <w:rPr>
                <w:color w:val="auto"/>
                <w:sz w:val="22"/>
                <w:szCs w:val="22"/>
              </w:rPr>
              <w:t>Increase</w:t>
            </w:r>
          </w:p>
        </w:tc>
      </w:tr>
      <w:tr w:rsidR="005503ED" w:rsidRPr="005503ED" w14:paraId="27979F71" w14:textId="77777777" w:rsidTr="00752434">
        <w:trPr>
          <w:trHeight w:val="315"/>
        </w:trPr>
        <w:tc>
          <w:tcPr>
            <w:tcW w:w="4305" w:type="dxa"/>
            <w:gridSpan w:val="3"/>
            <w:tcBorders>
              <w:top w:val="single" w:sz="12" w:space="0" w:color="auto"/>
              <w:left w:val="single" w:sz="12" w:space="0" w:color="auto"/>
              <w:bottom w:val="nil"/>
              <w:right w:val="nil"/>
            </w:tcBorders>
            <w:shd w:val="clear" w:color="auto" w:fill="auto"/>
            <w:noWrap/>
            <w:vAlign w:val="center"/>
            <w:hideMark/>
          </w:tcPr>
          <w:p w14:paraId="7B9EA2A6" w14:textId="77777777" w:rsidR="005503ED" w:rsidRPr="005503ED" w:rsidRDefault="005503ED" w:rsidP="005503ED">
            <w:pPr>
              <w:jc w:val="right"/>
              <w:rPr>
                <w:color w:val="auto"/>
                <w:sz w:val="22"/>
                <w:szCs w:val="22"/>
              </w:rPr>
            </w:pPr>
            <w:r w:rsidRPr="005503ED">
              <w:rPr>
                <w:color w:val="auto"/>
                <w:sz w:val="22"/>
                <w:szCs w:val="22"/>
              </w:rPr>
              <w:t>Dallas Measured Service, R-1</w:t>
            </w:r>
          </w:p>
        </w:tc>
        <w:tc>
          <w:tcPr>
            <w:tcW w:w="1620" w:type="dxa"/>
            <w:tcBorders>
              <w:top w:val="nil"/>
              <w:left w:val="single" w:sz="12" w:space="0" w:color="auto"/>
              <w:bottom w:val="nil"/>
              <w:right w:val="single" w:sz="12" w:space="0" w:color="auto"/>
            </w:tcBorders>
            <w:shd w:val="clear" w:color="auto" w:fill="auto"/>
            <w:noWrap/>
            <w:vAlign w:val="center"/>
            <w:hideMark/>
          </w:tcPr>
          <w:p w14:paraId="0FD2B2F1" w14:textId="77777777" w:rsidR="005503ED" w:rsidRPr="005503ED" w:rsidRDefault="005503ED" w:rsidP="005503ED">
            <w:pPr>
              <w:jc w:val="right"/>
              <w:rPr>
                <w:color w:val="auto"/>
                <w:sz w:val="22"/>
                <w:szCs w:val="22"/>
              </w:rPr>
            </w:pPr>
            <w:r w:rsidRPr="005503ED">
              <w:rPr>
                <w:color w:val="auto"/>
                <w:sz w:val="22"/>
                <w:szCs w:val="22"/>
              </w:rPr>
              <w:t xml:space="preserve">$16.00 </w:t>
            </w:r>
          </w:p>
        </w:tc>
        <w:tc>
          <w:tcPr>
            <w:tcW w:w="1710" w:type="dxa"/>
            <w:tcBorders>
              <w:top w:val="nil"/>
              <w:left w:val="nil"/>
              <w:bottom w:val="nil"/>
              <w:right w:val="single" w:sz="12" w:space="0" w:color="auto"/>
            </w:tcBorders>
            <w:shd w:val="clear" w:color="auto" w:fill="auto"/>
            <w:noWrap/>
            <w:vAlign w:val="center"/>
            <w:hideMark/>
          </w:tcPr>
          <w:p w14:paraId="21278C1D" w14:textId="77777777" w:rsidR="005503ED" w:rsidRPr="005503ED" w:rsidRDefault="005503ED" w:rsidP="005503ED">
            <w:pPr>
              <w:jc w:val="right"/>
              <w:rPr>
                <w:color w:val="auto"/>
                <w:sz w:val="22"/>
                <w:szCs w:val="22"/>
              </w:rPr>
            </w:pPr>
            <w:r w:rsidRPr="005503ED">
              <w:rPr>
                <w:color w:val="auto"/>
                <w:sz w:val="22"/>
                <w:szCs w:val="22"/>
              </w:rPr>
              <w:t xml:space="preserve">$16.75 </w:t>
            </w:r>
          </w:p>
        </w:tc>
        <w:tc>
          <w:tcPr>
            <w:tcW w:w="1695" w:type="dxa"/>
            <w:tcBorders>
              <w:top w:val="nil"/>
              <w:left w:val="nil"/>
              <w:bottom w:val="nil"/>
              <w:right w:val="single" w:sz="12" w:space="0" w:color="auto"/>
            </w:tcBorders>
            <w:shd w:val="clear" w:color="auto" w:fill="auto"/>
            <w:noWrap/>
            <w:vAlign w:val="center"/>
            <w:hideMark/>
          </w:tcPr>
          <w:p w14:paraId="0536EFBC" w14:textId="77777777" w:rsidR="005503ED" w:rsidRPr="005503ED" w:rsidRDefault="005503ED" w:rsidP="005503ED">
            <w:pPr>
              <w:jc w:val="right"/>
              <w:rPr>
                <w:color w:val="auto"/>
                <w:sz w:val="22"/>
                <w:szCs w:val="22"/>
              </w:rPr>
            </w:pPr>
            <w:r w:rsidRPr="005503ED">
              <w:rPr>
                <w:color w:val="auto"/>
                <w:sz w:val="22"/>
                <w:szCs w:val="22"/>
              </w:rPr>
              <w:t xml:space="preserve">$0.75 </w:t>
            </w:r>
          </w:p>
        </w:tc>
      </w:tr>
      <w:tr w:rsidR="005503ED" w:rsidRPr="005503ED" w14:paraId="2BE0DA7D"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7ECC88F7" w14:textId="77777777" w:rsidR="005503ED" w:rsidRPr="005503ED" w:rsidRDefault="005503ED" w:rsidP="005503ED">
            <w:pPr>
              <w:jc w:val="right"/>
              <w:rPr>
                <w:color w:val="auto"/>
                <w:sz w:val="22"/>
                <w:szCs w:val="22"/>
              </w:rPr>
            </w:pPr>
            <w:r w:rsidRPr="005503ED">
              <w:rPr>
                <w:color w:val="auto"/>
                <w:sz w:val="22"/>
                <w:szCs w:val="22"/>
              </w:rPr>
              <w:t>Dallas Measured Service, B-1</w:t>
            </w:r>
          </w:p>
        </w:tc>
        <w:tc>
          <w:tcPr>
            <w:tcW w:w="1620" w:type="dxa"/>
            <w:tcBorders>
              <w:top w:val="nil"/>
              <w:left w:val="single" w:sz="12" w:space="0" w:color="auto"/>
              <w:bottom w:val="nil"/>
              <w:right w:val="single" w:sz="12" w:space="0" w:color="auto"/>
            </w:tcBorders>
            <w:shd w:val="clear" w:color="auto" w:fill="auto"/>
            <w:noWrap/>
            <w:vAlign w:val="center"/>
            <w:hideMark/>
          </w:tcPr>
          <w:p w14:paraId="07AF608C" w14:textId="77777777" w:rsidR="005503ED" w:rsidRPr="005503ED" w:rsidRDefault="005503ED" w:rsidP="005503ED">
            <w:pPr>
              <w:jc w:val="right"/>
              <w:rPr>
                <w:color w:val="auto"/>
                <w:sz w:val="22"/>
                <w:szCs w:val="22"/>
              </w:rPr>
            </w:pPr>
            <w:r w:rsidRPr="005503ED">
              <w:rPr>
                <w:color w:val="auto"/>
                <w:sz w:val="22"/>
                <w:szCs w:val="22"/>
              </w:rPr>
              <w:t xml:space="preserve">$17.00 </w:t>
            </w:r>
          </w:p>
        </w:tc>
        <w:tc>
          <w:tcPr>
            <w:tcW w:w="1710" w:type="dxa"/>
            <w:tcBorders>
              <w:top w:val="nil"/>
              <w:left w:val="nil"/>
              <w:bottom w:val="nil"/>
              <w:right w:val="single" w:sz="12" w:space="0" w:color="auto"/>
            </w:tcBorders>
            <w:shd w:val="clear" w:color="auto" w:fill="auto"/>
            <w:noWrap/>
            <w:vAlign w:val="center"/>
            <w:hideMark/>
          </w:tcPr>
          <w:p w14:paraId="6E17953A" w14:textId="77777777" w:rsidR="005503ED" w:rsidRPr="005503ED" w:rsidRDefault="005503ED" w:rsidP="005503ED">
            <w:pPr>
              <w:jc w:val="right"/>
              <w:rPr>
                <w:color w:val="auto"/>
                <w:sz w:val="22"/>
                <w:szCs w:val="22"/>
              </w:rPr>
            </w:pPr>
            <w:r w:rsidRPr="005503ED">
              <w:rPr>
                <w:color w:val="auto"/>
                <w:sz w:val="22"/>
                <w:szCs w:val="22"/>
              </w:rPr>
              <w:t xml:space="preserve">$17.75 </w:t>
            </w:r>
          </w:p>
        </w:tc>
        <w:tc>
          <w:tcPr>
            <w:tcW w:w="1695" w:type="dxa"/>
            <w:tcBorders>
              <w:top w:val="nil"/>
              <w:left w:val="nil"/>
              <w:bottom w:val="nil"/>
              <w:right w:val="single" w:sz="12" w:space="0" w:color="auto"/>
            </w:tcBorders>
            <w:shd w:val="clear" w:color="auto" w:fill="auto"/>
            <w:noWrap/>
            <w:vAlign w:val="center"/>
            <w:hideMark/>
          </w:tcPr>
          <w:p w14:paraId="19C4BF05" w14:textId="77777777" w:rsidR="005503ED" w:rsidRPr="005503ED" w:rsidRDefault="005503ED" w:rsidP="005503ED">
            <w:pPr>
              <w:jc w:val="right"/>
              <w:rPr>
                <w:color w:val="auto"/>
                <w:sz w:val="22"/>
                <w:szCs w:val="22"/>
              </w:rPr>
            </w:pPr>
            <w:r w:rsidRPr="005503ED">
              <w:rPr>
                <w:color w:val="auto"/>
                <w:sz w:val="22"/>
                <w:szCs w:val="22"/>
              </w:rPr>
              <w:t xml:space="preserve">$0.75 </w:t>
            </w:r>
          </w:p>
        </w:tc>
      </w:tr>
      <w:tr w:rsidR="005503ED" w:rsidRPr="005503ED" w14:paraId="7011919E" w14:textId="77777777" w:rsidTr="00752434">
        <w:trPr>
          <w:trHeight w:val="300"/>
        </w:trPr>
        <w:tc>
          <w:tcPr>
            <w:tcW w:w="2282" w:type="dxa"/>
            <w:tcBorders>
              <w:top w:val="nil"/>
              <w:left w:val="single" w:sz="12" w:space="0" w:color="auto"/>
              <w:bottom w:val="nil"/>
              <w:right w:val="nil"/>
            </w:tcBorders>
            <w:shd w:val="clear" w:color="auto" w:fill="auto"/>
            <w:noWrap/>
            <w:vAlign w:val="center"/>
            <w:hideMark/>
          </w:tcPr>
          <w:p w14:paraId="6C2AC5AC" w14:textId="77777777" w:rsidR="005503ED" w:rsidRPr="005503ED" w:rsidRDefault="005503ED" w:rsidP="005503ED">
            <w:pPr>
              <w:jc w:val="right"/>
              <w:rPr>
                <w:color w:val="auto"/>
                <w:sz w:val="22"/>
                <w:szCs w:val="22"/>
              </w:rPr>
            </w:pPr>
            <w:r w:rsidRPr="005503ED">
              <w:rPr>
                <w:color w:val="auto"/>
                <w:sz w:val="22"/>
                <w:szCs w:val="22"/>
              </w:rPr>
              <w:t> </w:t>
            </w:r>
          </w:p>
        </w:tc>
        <w:tc>
          <w:tcPr>
            <w:tcW w:w="222" w:type="dxa"/>
            <w:tcBorders>
              <w:top w:val="nil"/>
              <w:left w:val="nil"/>
              <w:bottom w:val="nil"/>
              <w:right w:val="nil"/>
            </w:tcBorders>
            <w:shd w:val="clear" w:color="auto" w:fill="auto"/>
            <w:noWrap/>
            <w:vAlign w:val="center"/>
            <w:hideMark/>
          </w:tcPr>
          <w:p w14:paraId="3FEE56A3" w14:textId="77777777" w:rsidR="005503ED" w:rsidRPr="005503ED" w:rsidRDefault="005503ED" w:rsidP="005503ED">
            <w:pPr>
              <w:jc w:val="right"/>
              <w:rPr>
                <w:color w:val="auto"/>
                <w:sz w:val="22"/>
                <w:szCs w:val="22"/>
              </w:rPr>
            </w:pPr>
          </w:p>
        </w:tc>
        <w:tc>
          <w:tcPr>
            <w:tcW w:w="1801" w:type="dxa"/>
            <w:tcBorders>
              <w:top w:val="nil"/>
              <w:left w:val="nil"/>
              <w:bottom w:val="nil"/>
              <w:right w:val="nil"/>
            </w:tcBorders>
            <w:shd w:val="clear" w:color="auto" w:fill="auto"/>
            <w:noWrap/>
            <w:vAlign w:val="center"/>
            <w:hideMark/>
          </w:tcPr>
          <w:p w14:paraId="357E8E7F" w14:textId="77777777" w:rsidR="005503ED" w:rsidRPr="005503ED" w:rsidRDefault="005503ED" w:rsidP="005503ED">
            <w:pPr>
              <w:rPr>
                <w:color w:val="auto"/>
                <w:sz w:val="20"/>
              </w:rPr>
            </w:pPr>
          </w:p>
        </w:tc>
        <w:tc>
          <w:tcPr>
            <w:tcW w:w="1620" w:type="dxa"/>
            <w:tcBorders>
              <w:top w:val="nil"/>
              <w:left w:val="single" w:sz="12" w:space="0" w:color="auto"/>
              <w:bottom w:val="nil"/>
              <w:right w:val="single" w:sz="12" w:space="0" w:color="auto"/>
            </w:tcBorders>
            <w:shd w:val="clear" w:color="auto" w:fill="auto"/>
            <w:noWrap/>
            <w:vAlign w:val="center"/>
            <w:hideMark/>
          </w:tcPr>
          <w:p w14:paraId="532D6B76" w14:textId="77777777" w:rsidR="005503ED" w:rsidRPr="005503ED" w:rsidRDefault="005503ED" w:rsidP="005503ED">
            <w:pPr>
              <w:jc w:val="right"/>
              <w:rPr>
                <w:color w:val="auto"/>
                <w:sz w:val="22"/>
                <w:szCs w:val="22"/>
              </w:rPr>
            </w:pPr>
            <w:r w:rsidRPr="005503ED">
              <w:rPr>
                <w:color w:val="auto"/>
                <w:sz w:val="22"/>
                <w:szCs w:val="22"/>
              </w:rPr>
              <w:t> </w:t>
            </w:r>
          </w:p>
        </w:tc>
        <w:tc>
          <w:tcPr>
            <w:tcW w:w="1710" w:type="dxa"/>
            <w:tcBorders>
              <w:top w:val="nil"/>
              <w:left w:val="nil"/>
              <w:bottom w:val="nil"/>
              <w:right w:val="single" w:sz="12" w:space="0" w:color="auto"/>
            </w:tcBorders>
            <w:shd w:val="clear" w:color="auto" w:fill="auto"/>
            <w:noWrap/>
            <w:vAlign w:val="center"/>
            <w:hideMark/>
          </w:tcPr>
          <w:p w14:paraId="10807918" w14:textId="77777777" w:rsidR="005503ED" w:rsidRPr="005503ED" w:rsidRDefault="005503ED" w:rsidP="005503ED">
            <w:pPr>
              <w:rPr>
                <w:color w:val="auto"/>
                <w:sz w:val="22"/>
                <w:szCs w:val="22"/>
              </w:rPr>
            </w:pPr>
            <w:r w:rsidRPr="005503ED">
              <w:rPr>
                <w:color w:val="auto"/>
                <w:sz w:val="22"/>
                <w:szCs w:val="22"/>
              </w:rPr>
              <w:t> </w:t>
            </w:r>
          </w:p>
        </w:tc>
        <w:tc>
          <w:tcPr>
            <w:tcW w:w="1695" w:type="dxa"/>
            <w:tcBorders>
              <w:top w:val="nil"/>
              <w:left w:val="nil"/>
              <w:bottom w:val="nil"/>
              <w:right w:val="single" w:sz="12" w:space="0" w:color="auto"/>
            </w:tcBorders>
            <w:shd w:val="clear" w:color="auto" w:fill="auto"/>
            <w:noWrap/>
            <w:vAlign w:val="center"/>
            <w:hideMark/>
          </w:tcPr>
          <w:p w14:paraId="2BB23E6C" w14:textId="77777777" w:rsidR="005503ED" w:rsidRPr="005503ED" w:rsidRDefault="005503ED" w:rsidP="005503ED">
            <w:pPr>
              <w:jc w:val="right"/>
              <w:rPr>
                <w:color w:val="auto"/>
                <w:sz w:val="22"/>
                <w:szCs w:val="22"/>
              </w:rPr>
            </w:pPr>
            <w:r w:rsidRPr="005503ED">
              <w:rPr>
                <w:color w:val="auto"/>
                <w:sz w:val="22"/>
                <w:szCs w:val="22"/>
              </w:rPr>
              <w:t> </w:t>
            </w:r>
          </w:p>
        </w:tc>
      </w:tr>
      <w:tr w:rsidR="005503ED" w:rsidRPr="005503ED" w14:paraId="2074AA75"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6D0C592D" w14:textId="77777777" w:rsidR="005503ED" w:rsidRPr="005503ED" w:rsidRDefault="005503ED" w:rsidP="005503ED">
            <w:pPr>
              <w:jc w:val="right"/>
              <w:rPr>
                <w:color w:val="auto"/>
                <w:sz w:val="22"/>
                <w:szCs w:val="22"/>
              </w:rPr>
            </w:pPr>
            <w:r w:rsidRPr="005503ED">
              <w:rPr>
                <w:color w:val="auto"/>
                <w:sz w:val="22"/>
                <w:szCs w:val="22"/>
              </w:rPr>
              <w:t>Lewisberry Measured Service, R-1</w:t>
            </w:r>
          </w:p>
        </w:tc>
        <w:tc>
          <w:tcPr>
            <w:tcW w:w="1620" w:type="dxa"/>
            <w:tcBorders>
              <w:top w:val="nil"/>
              <w:left w:val="single" w:sz="12" w:space="0" w:color="auto"/>
              <w:bottom w:val="nil"/>
              <w:right w:val="single" w:sz="12" w:space="0" w:color="auto"/>
            </w:tcBorders>
            <w:shd w:val="clear" w:color="auto" w:fill="auto"/>
            <w:noWrap/>
            <w:vAlign w:val="center"/>
            <w:hideMark/>
          </w:tcPr>
          <w:p w14:paraId="0DC5FA14" w14:textId="77777777" w:rsidR="005503ED" w:rsidRPr="005503ED" w:rsidRDefault="005503ED" w:rsidP="005503ED">
            <w:pPr>
              <w:jc w:val="right"/>
              <w:rPr>
                <w:color w:val="auto"/>
                <w:sz w:val="22"/>
                <w:szCs w:val="22"/>
              </w:rPr>
            </w:pPr>
            <w:r w:rsidRPr="005503ED">
              <w:rPr>
                <w:color w:val="auto"/>
                <w:sz w:val="22"/>
                <w:szCs w:val="22"/>
              </w:rPr>
              <w:t xml:space="preserve">$16.00 </w:t>
            </w:r>
          </w:p>
        </w:tc>
        <w:tc>
          <w:tcPr>
            <w:tcW w:w="1710" w:type="dxa"/>
            <w:tcBorders>
              <w:top w:val="nil"/>
              <w:left w:val="nil"/>
              <w:bottom w:val="nil"/>
              <w:right w:val="single" w:sz="12" w:space="0" w:color="auto"/>
            </w:tcBorders>
            <w:shd w:val="clear" w:color="auto" w:fill="auto"/>
            <w:noWrap/>
            <w:vAlign w:val="center"/>
            <w:hideMark/>
          </w:tcPr>
          <w:p w14:paraId="7F1785F0" w14:textId="77777777" w:rsidR="005503ED" w:rsidRPr="005503ED" w:rsidRDefault="005503ED" w:rsidP="005503ED">
            <w:pPr>
              <w:jc w:val="right"/>
              <w:rPr>
                <w:color w:val="auto"/>
                <w:sz w:val="22"/>
                <w:szCs w:val="22"/>
              </w:rPr>
            </w:pPr>
            <w:r w:rsidRPr="005503ED">
              <w:rPr>
                <w:color w:val="auto"/>
                <w:sz w:val="22"/>
                <w:szCs w:val="22"/>
              </w:rPr>
              <w:t xml:space="preserve">$16.75 </w:t>
            </w:r>
          </w:p>
        </w:tc>
        <w:tc>
          <w:tcPr>
            <w:tcW w:w="1695" w:type="dxa"/>
            <w:tcBorders>
              <w:top w:val="nil"/>
              <w:left w:val="nil"/>
              <w:bottom w:val="nil"/>
              <w:right w:val="single" w:sz="12" w:space="0" w:color="auto"/>
            </w:tcBorders>
            <w:shd w:val="clear" w:color="auto" w:fill="auto"/>
            <w:noWrap/>
            <w:vAlign w:val="center"/>
            <w:hideMark/>
          </w:tcPr>
          <w:p w14:paraId="447A3CA0" w14:textId="77777777" w:rsidR="005503ED" w:rsidRPr="005503ED" w:rsidRDefault="005503ED" w:rsidP="005503ED">
            <w:pPr>
              <w:jc w:val="right"/>
              <w:rPr>
                <w:color w:val="auto"/>
                <w:sz w:val="22"/>
                <w:szCs w:val="22"/>
              </w:rPr>
            </w:pPr>
            <w:r w:rsidRPr="005503ED">
              <w:rPr>
                <w:color w:val="auto"/>
                <w:sz w:val="22"/>
                <w:szCs w:val="22"/>
              </w:rPr>
              <w:t xml:space="preserve">$0.75 </w:t>
            </w:r>
          </w:p>
        </w:tc>
      </w:tr>
      <w:tr w:rsidR="005503ED" w:rsidRPr="005503ED" w14:paraId="179C0794"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36BC064C" w14:textId="77777777" w:rsidR="005503ED" w:rsidRPr="005503ED" w:rsidRDefault="005503ED" w:rsidP="005503ED">
            <w:pPr>
              <w:jc w:val="right"/>
              <w:rPr>
                <w:color w:val="auto"/>
                <w:sz w:val="22"/>
                <w:szCs w:val="22"/>
              </w:rPr>
            </w:pPr>
            <w:r w:rsidRPr="005503ED">
              <w:rPr>
                <w:color w:val="auto"/>
                <w:sz w:val="22"/>
                <w:szCs w:val="22"/>
              </w:rPr>
              <w:t>Lewisberry Measured Service, B-1</w:t>
            </w:r>
          </w:p>
        </w:tc>
        <w:tc>
          <w:tcPr>
            <w:tcW w:w="1620" w:type="dxa"/>
            <w:tcBorders>
              <w:top w:val="nil"/>
              <w:left w:val="single" w:sz="12" w:space="0" w:color="auto"/>
              <w:bottom w:val="nil"/>
              <w:right w:val="single" w:sz="12" w:space="0" w:color="auto"/>
            </w:tcBorders>
            <w:shd w:val="clear" w:color="auto" w:fill="auto"/>
            <w:noWrap/>
            <w:vAlign w:val="center"/>
            <w:hideMark/>
          </w:tcPr>
          <w:p w14:paraId="664A6980" w14:textId="77777777" w:rsidR="005503ED" w:rsidRPr="005503ED" w:rsidRDefault="005503ED" w:rsidP="005503ED">
            <w:pPr>
              <w:jc w:val="right"/>
              <w:rPr>
                <w:color w:val="auto"/>
                <w:sz w:val="22"/>
                <w:szCs w:val="22"/>
              </w:rPr>
            </w:pPr>
            <w:r w:rsidRPr="005503ED">
              <w:rPr>
                <w:color w:val="auto"/>
                <w:sz w:val="22"/>
                <w:szCs w:val="22"/>
              </w:rPr>
              <w:t xml:space="preserve">$17.00 </w:t>
            </w:r>
          </w:p>
        </w:tc>
        <w:tc>
          <w:tcPr>
            <w:tcW w:w="1710" w:type="dxa"/>
            <w:tcBorders>
              <w:top w:val="nil"/>
              <w:left w:val="nil"/>
              <w:bottom w:val="nil"/>
              <w:right w:val="single" w:sz="12" w:space="0" w:color="auto"/>
            </w:tcBorders>
            <w:shd w:val="clear" w:color="auto" w:fill="auto"/>
            <w:noWrap/>
            <w:vAlign w:val="center"/>
            <w:hideMark/>
          </w:tcPr>
          <w:p w14:paraId="4FBE2FD0" w14:textId="77777777" w:rsidR="005503ED" w:rsidRPr="005503ED" w:rsidRDefault="005503ED" w:rsidP="005503ED">
            <w:pPr>
              <w:jc w:val="right"/>
              <w:rPr>
                <w:color w:val="auto"/>
                <w:sz w:val="22"/>
                <w:szCs w:val="22"/>
              </w:rPr>
            </w:pPr>
            <w:r w:rsidRPr="005503ED">
              <w:rPr>
                <w:color w:val="auto"/>
                <w:sz w:val="22"/>
                <w:szCs w:val="22"/>
              </w:rPr>
              <w:t xml:space="preserve">$17.75 </w:t>
            </w:r>
          </w:p>
        </w:tc>
        <w:tc>
          <w:tcPr>
            <w:tcW w:w="1695" w:type="dxa"/>
            <w:tcBorders>
              <w:top w:val="nil"/>
              <w:left w:val="nil"/>
              <w:bottom w:val="nil"/>
              <w:right w:val="single" w:sz="12" w:space="0" w:color="auto"/>
            </w:tcBorders>
            <w:shd w:val="clear" w:color="auto" w:fill="auto"/>
            <w:noWrap/>
            <w:vAlign w:val="center"/>
            <w:hideMark/>
          </w:tcPr>
          <w:p w14:paraId="4E3D1002" w14:textId="77777777" w:rsidR="005503ED" w:rsidRPr="005503ED" w:rsidRDefault="005503ED" w:rsidP="005503ED">
            <w:pPr>
              <w:jc w:val="right"/>
              <w:rPr>
                <w:color w:val="auto"/>
                <w:sz w:val="22"/>
                <w:szCs w:val="22"/>
              </w:rPr>
            </w:pPr>
            <w:r w:rsidRPr="005503ED">
              <w:rPr>
                <w:color w:val="auto"/>
                <w:sz w:val="22"/>
                <w:szCs w:val="22"/>
              </w:rPr>
              <w:t xml:space="preserve">$0.75 </w:t>
            </w:r>
          </w:p>
        </w:tc>
      </w:tr>
      <w:tr w:rsidR="005503ED" w:rsidRPr="005503ED" w14:paraId="7B387BD7" w14:textId="77777777" w:rsidTr="00752434">
        <w:trPr>
          <w:trHeight w:val="300"/>
        </w:trPr>
        <w:tc>
          <w:tcPr>
            <w:tcW w:w="2282" w:type="dxa"/>
            <w:tcBorders>
              <w:top w:val="nil"/>
              <w:left w:val="single" w:sz="12" w:space="0" w:color="auto"/>
              <w:bottom w:val="nil"/>
              <w:right w:val="nil"/>
            </w:tcBorders>
            <w:shd w:val="clear" w:color="auto" w:fill="auto"/>
            <w:noWrap/>
            <w:vAlign w:val="center"/>
            <w:hideMark/>
          </w:tcPr>
          <w:p w14:paraId="57DB6CFD" w14:textId="77777777" w:rsidR="005503ED" w:rsidRPr="005503ED" w:rsidRDefault="005503ED" w:rsidP="005503ED">
            <w:pPr>
              <w:jc w:val="right"/>
              <w:rPr>
                <w:color w:val="auto"/>
                <w:sz w:val="22"/>
                <w:szCs w:val="22"/>
              </w:rPr>
            </w:pPr>
            <w:r w:rsidRPr="005503ED">
              <w:rPr>
                <w:color w:val="auto"/>
                <w:sz w:val="22"/>
                <w:szCs w:val="22"/>
              </w:rPr>
              <w:t> </w:t>
            </w:r>
          </w:p>
        </w:tc>
        <w:tc>
          <w:tcPr>
            <w:tcW w:w="222" w:type="dxa"/>
            <w:tcBorders>
              <w:top w:val="nil"/>
              <w:left w:val="nil"/>
              <w:bottom w:val="nil"/>
              <w:right w:val="nil"/>
            </w:tcBorders>
            <w:shd w:val="clear" w:color="auto" w:fill="auto"/>
            <w:noWrap/>
            <w:vAlign w:val="center"/>
            <w:hideMark/>
          </w:tcPr>
          <w:p w14:paraId="17F116E8" w14:textId="77777777" w:rsidR="005503ED" w:rsidRPr="005503ED" w:rsidRDefault="005503ED" w:rsidP="005503ED">
            <w:pPr>
              <w:jc w:val="right"/>
              <w:rPr>
                <w:color w:val="auto"/>
                <w:sz w:val="22"/>
                <w:szCs w:val="22"/>
              </w:rPr>
            </w:pPr>
          </w:p>
        </w:tc>
        <w:tc>
          <w:tcPr>
            <w:tcW w:w="1801" w:type="dxa"/>
            <w:tcBorders>
              <w:top w:val="nil"/>
              <w:left w:val="nil"/>
              <w:bottom w:val="nil"/>
              <w:right w:val="nil"/>
            </w:tcBorders>
            <w:shd w:val="clear" w:color="auto" w:fill="auto"/>
            <w:noWrap/>
            <w:vAlign w:val="center"/>
            <w:hideMark/>
          </w:tcPr>
          <w:p w14:paraId="17087277" w14:textId="77777777" w:rsidR="005503ED" w:rsidRPr="005503ED" w:rsidRDefault="005503ED" w:rsidP="005503ED">
            <w:pPr>
              <w:rPr>
                <w:color w:val="auto"/>
                <w:sz w:val="20"/>
              </w:rPr>
            </w:pPr>
          </w:p>
        </w:tc>
        <w:tc>
          <w:tcPr>
            <w:tcW w:w="1620" w:type="dxa"/>
            <w:tcBorders>
              <w:top w:val="nil"/>
              <w:left w:val="single" w:sz="12" w:space="0" w:color="auto"/>
              <w:bottom w:val="nil"/>
              <w:right w:val="single" w:sz="12" w:space="0" w:color="auto"/>
            </w:tcBorders>
            <w:shd w:val="clear" w:color="auto" w:fill="auto"/>
            <w:noWrap/>
            <w:vAlign w:val="center"/>
            <w:hideMark/>
          </w:tcPr>
          <w:p w14:paraId="3A1BEAD7" w14:textId="77777777" w:rsidR="005503ED" w:rsidRPr="005503ED" w:rsidRDefault="005503ED" w:rsidP="005503ED">
            <w:pPr>
              <w:jc w:val="right"/>
              <w:rPr>
                <w:color w:val="auto"/>
                <w:sz w:val="22"/>
                <w:szCs w:val="22"/>
              </w:rPr>
            </w:pPr>
            <w:r w:rsidRPr="005503ED">
              <w:rPr>
                <w:color w:val="auto"/>
                <w:sz w:val="22"/>
                <w:szCs w:val="22"/>
              </w:rPr>
              <w:t> </w:t>
            </w:r>
          </w:p>
        </w:tc>
        <w:tc>
          <w:tcPr>
            <w:tcW w:w="1710" w:type="dxa"/>
            <w:tcBorders>
              <w:top w:val="nil"/>
              <w:left w:val="nil"/>
              <w:bottom w:val="nil"/>
              <w:right w:val="single" w:sz="12" w:space="0" w:color="auto"/>
            </w:tcBorders>
            <w:shd w:val="clear" w:color="auto" w:fill="auto"/>
            <w:noWrap/>
            <w:vAlign w:val="center"/>
            <w:hideMark/>
          </w:tcPr>
          <w:p w14:paraId="5C0D0901" w14:textId="77777777" w:rsidR="005503ED" w:rsidRPr="005503ED" w:rsidRDefault="005503ED" w:rsidP="005503ED">
            <w:pPr>
              <w:rPr>
                <w:color w:val="auto"/>
                <w:sz w:val="22"/>
                <w:szCs w:val="22"/>
              </w:rPr>
            </w:pPr>
            <w:r w:rsidRPr="005503ED">
              <w:rPr>
                <w:color w:val="auto"/>
                <w:sz w:val="22"/>
                <w:szCs w:val="22"/>
              </w:rPr>
              <w:t> </w:t>
            </w:r>
          </w:p>
        </w:tc>
        <w:tc>
          <w:tcPr>
            <w:tcW w:w="1695" w:type="dxa"/>
            <w:tcBorders>
              <w:top w:val="nil"/>
              <w:left w:val="nil"/>
              <w:bottom w:val="nil"/>
              <w:right w:val="single" w:sz="12" w:space="0" w:color="auto"/>
            </w:tcBorders>
            <w:shd w:val="clear" w:color="auto" w:fill="auto"/>
            <w:noWrap/>
            <w:vAlign w:val="center"/>
            <w:hideMark/>
          </w:tcPr>
          <w:p w14:paraId="7B1F4F77" w14:textId="77777777" w:rsidR="005503ED" w:rsidRPr="005503ED" w:rsidRDefault="005503ED" w:rsidP="005503ED">
            <w:pPr>
              <w:jc w:val="right"/>
              <w:rPr>
                <w:color w:val="auto"/>
                <w:sz w:val="22"/>
                <w:szCs w:val="22"/>
              </w:rPr>
            </w:pPr>
            <w:r w:rsidRPr="005503ED">
              <w:rPr>
                <w:color w:val="auto"/>
                <w:sz w:val="22"/>
                <w:szCs w:val="22"/>
              </w:rPr>
              <w:t> </w:t>
            </w:r>
          </w:p>
        </w:tc>
      </w:tr>
      <w:tr w:rsidR="005503ED" w:rsidRPr="005503ED" w14:paraId="6627070E"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40F3F1CC" w14:textId="77777777" w:rsidR="005503ED" w:rsidRPr="005503ED" w:rsidRDefault="005503ED" w:rsidP="005503ED">
            <w:pPr>
              <w:jc w:val="right"/>
              <w:rPr>
                <w:color w:val="auto"/>
                <w:sz w:val="22"/>
                <w:szCs w:val="22"/>
              </w:rPr>
            </w:pPr>
            <w:r w:rsidRPr="005503ED">
              <w:rPr>
                <w:color w:val="auto"/>
                <w:sz w:val="22"/>
                <w:szCs w:val="22"/>
              </w:rPr>
              <w:t>Dallas Metered Service, R-1</w:t>
            </w:r>
          </w:p>
        </w:tc>
        <w:tc>
          <w:tcPr>
            <w:tcW w:w="1620" w:type="dxa"/>
            <w:tcBorders>
              <w:top w:val="nil"/>
              <w:left w:val="single" w:sz="12" w:space="0" w:color="auto"/>
              <w:bottom w:val="nil"/>
              <w:right w:val="single" w:sz="12" w:space="0" w:color="auto"/>
            </w:tcBorders>
            <w:shd w:val="clear" w:color="auto" w:fill="auto"/>
            <w:noWrap/>
            <w:vAlign w:val="center"/>
            <w:hideMark/>
          </w:tcPr>
          <w:p w14:paraId="69900157" w14:textId="77777777" w:rsidR="005503ED" w:rsidRPr="005503ED" w:rsidRDefault="005503ED" w:rsidP="005503ED">
            <w:pPr>
              <w:jc w:val="right"/>
              <w:rPr>
                <w:color w:val="auto"/>
                <w:sz w:val="22"/>
                <w:szCs w:val="22"/>
              </w:rPr>
            </w:pPr>
            <w:r w:rsidRPr="005503ED">
              <w:rPr>
                <w:color w:val="auto"/>
                <w:sz w:val="22"/>
                <w:szCs w:val="22"/>
              </w:rPr>
              <w:t xml:space="preserve">$16.00 </w:t>
            </w:r>
          </w:p>
        </w:tc>
        <w:tc>
          <w:tcPr>
            <w:tcW w:w="1710" w:type="dxa"/>
            <w:tcBorders>
              <w:top w:val="nil"/>
              <w:left w:val="nil"/>
              <w:bottom w:val="nil"/>
              <w:right w:val="single" w:sz="12" w:space="0" w:color="auto"/>
            </w:tcBorders>
            <w:shd w:val="clear" w:color="auto" w:fill="auto"/>
            <w:noWrap/>
            <w:vAlign w:val="center"/>
            <w:hideMark/>
          </w:tcPr>
          <w:p w14:paraId="54904577" w14:textId="77777777" w:rsidR="005503ED" w:rsidRPr="005503ED" w:rsidRDefault="005503ED" w:rsidP="005503ED">
            <w:pPr>
              <w:jc w:val="right"/>
              <w:rPr>
                <w:color w:val="auto"/>
                <w:sz w:val="22"/>
                <w:szCs w:val="22"/>
              </w:rPr>
            </w:pPr>
            <w:r w:rsidRPr="005503ED">
              <w:rPr>
                <w:color w:val="auto"/>
                <w:sz w:val="22"/>
                <w:szCs w:val="22"/>
              </w:rPr>
              <w:t xml:space="preserve">$16.75 </w:t>
            </w:r>
          </w:p>
        </w:tc>
        <w:tc>
          <w:tcPr>
            <w:tcW w:w="1695" w:type="dxa"/>
            <w:tcBorders>
              <w:top w:val="nil"/>
              <w:left w:val="nil"/>
              <w:bottom w:val="nil"/>
              <w:right w:val="single" w:sz="12" w:space="0" w:color="auto"/>
            </w:tcBorders>
            <w:shd w:val="clear" w:color="auto" w:fill="auto"/>
            <w:noWrap/>
            <w:vAlign w:val="center"/>
            <w:hideMark/>
          </w:tcPr>
          <w:p w14:paraId="3DC5BE6C" w14:textId="77777777" w:rsidR="005503ED" w:rsidRPr="005503ED" w:rsidRDefault="005503ED" w:rsidP="005503ED">
            <w:pPr>
              <w:jc w:val="right"/>
              <w:rPr>
                <w:color w:val="auto"/>
                <w:sz w:val="22"/>
                <w:szCs w:val="22"/>
              </w:rPr>
            </w:pPr>
            <w:r w:rsidRPr="005503ED">
              <w:rPr>
                <w:color w:val="auto"/>
                <w:sz w:val="22"/>
                <w:szCs w:val="22"/>
              </w:rPr>
              <w:t xml:space="preserve">$0.75 </w:t>
            </w:r>
          </w:p>
        </w:tc>
      </w:tr>
      <w:tr w:rsidR="005503ED" w:rsidRPr="005503ED" w14:paraId="71355EE6"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02468B6B" w14:textId="77777777" w:rsidR="005503ED" w:rsidRPr="005503ED" w:rsidRDefault="005503ED" w:rsidP="005503ED">
            <w:pPr>
              <w:jc w:val="right"/>
              <w:rPr>
                <w:color w:val="auto"/>
                <w:sz w:val="22"/>
                <w:szCs w:val="22"/>
              </w:rPr>
            </w:pPr>
            <w:r w:rsidRPr="005503ED">
              <w:rPr>
                <w:color w:val="auto"/>
                <w:sz w:val="22"/>
                <w:szCs w:val="22"/>
              </w:rPr>
              <w:t>Dallas Metered Service, B-1</w:t>
            </w:r>
          </w:p>
        </w:tc>
        <w:tc>
          <w:tcPr>
            <w:tcW w:w="1620" w:type="dxa"/>
            <w:tcBorders>
              <w:top w:val="nil"/>
              <w:left w:val="single" w:sz="12" w:space="0" w:color="auto"/>
              <w:bottom w:val="nil"/>
              <w:right w:val="single" w:sz="12" w:space="0" w:color="auto"/>
            </w:tcBorders>
            <w:shd w:val="clear" w:color="auto" w:fill="auto"/>
            <w:noWrap/>
            <w:vAlign w:val="center"/>
            <w:hideMark/>
          </w:tcPr>
          <w:p w14:paraId="675F277D" w14:textId="77777777" w:rsidR="005503ED" w:rsidRPr="005503ED" w:rsidRDefault="005503ED" w:rsidP="005503ED">
            <w:pPr>
              <w:jc w:val="right"/>
              <w:rPr>
                <w:color w:val="auto"/>
                <w:sz w:val="22"/>
                <w:szCs w:val="22"/>
              </w:rPr>
            </w:pPr>
            <w:r w:rsidRPr="005503ED">
              <w:rPr>
                <w:color w:val="auto"/>
                <w:sz w:val="22"/>
                <w:szCs w:val="22"/>
              </w:rPr>
              <w:t xml:space="preserve">$17.00 </w:t>
            </w:r>
          </w:p>
        </w:tc>
        <w:tc>
          <w:tcPr>
            <w:tcW w:w="1710" w:type="dxa"/>
            <w:tcBorders>
              <w:top w:val="nil"/>
              <w:left w:val="nil"/>
              <w:bottom w:val="nil"/>
              <w:right w:val="single" w:sz="12" w:space="0" w:color="auto"/>
            </w:tcBorders>
            <w:shd w:val="clear" w:color="auto" w:fill="auto"/>
            <w:noWrap/>
            <w:vAlign w:val="center"/>
            <w:hideMark/>
          </w:tcPr>
          <w:p w14:paraId="487AD947" w14:textId="77777777" w:rsidR="005503ED" w:rsidRPr="005503ED" w:rsidRDefault="005503ED" w:rsidP="005503ED">
            <w:pPr>
              <w:jc w:val="right"/>
              <w:rPr>
                <w:color w:val="auto"/>
                <w:sz w:val="22"/>
                <w:szCs w:val="22"/>
              </w:rPr>
            </w:pPr>
            <w:r w:rsidRPr="005503ED">
              <w:rPr>
                <w:color w:val="auto"/>
                <w:sz w:val="22"/>
                <w:szCs w:val="22"/>
              </w:rPr>
              <w:t xml:space="preserve">$17.75 </w:t>
            </w:r>
          </w:p>
        </w:tc>
        <w:tc>
          <w:tcPr>
            <w:tcW w:w="1695" w:type="dxa"/>
            <w:tcBorders>
              <w:top w:val="nil"/>
              <w:left w:val="nil"/>
              <w:bottom w:val="nil"/>
              <w:right w:val="single" w:sz="12" w:space="0" w:color="auto"/>
            </w:tcBorders>
            <w:shd w:val="clear" w:color="auto" w:fill="auto"/>
            <w:noWrap/>
            <w:vAlign w:val="center"/>
            <w:hideMark/>
          </w:tcPr>
          <w:p w14:paraId="2BEE54BB" w14:textId="77777777" w:rsidR="005503ED" w:rsidRPr="005503ED" w:rsidRDefault="005503ED" w:rsidP="005503ED">
            <w:pPr>
              <w:jc w:val="right"/>
              <w:rPr>
                <w:color w:val="auto"/>
                <w:sz w:val="22"/>
                <w:szCs w:val="22"/>
              </w:rPr>
            </w:pPr>
            <w:r w:rsidRPr="005503ED">
              <w:rPr>
                <w:color w:val="auto"/>
                <w:sz w:val="22"/>
                <w:szCs w:val="22"/>
              </w:rPr>
              <w:t xml:space="preserve">$0.75 </w:t>
            </w:r>
          </w:p>
        </w:tc>
      </w:tr>
      <w:tr w:rsidR="005503ED" w:rsidRPr="005503ED" w14:paraId="5DCD3B71" w14:textId="77777777" w:rsidTr="00752434">
        <w:trPr>
          <w:trHeight w:val="300"/>
        </w:trPr>
        <w:tc>
          <w:tcPr>
            <w:tcW w:w="2282" w:type="dxa"/>
            <w:tcBorders>
              <w:top w:val="nil"/>
              <w:left w:val="single" w:sz="12" w:space="0" w:color="auto"/>
              <w:bottom w:val="nil"/>
              <w:right w:val="nil"/>
            </w:tcBorders>
            <w:shd w:val="clear" w:color="auto" w:fill="auto"/>
            <w:noWrap/>
            <w:vAlign w:val="center"/>
            <w:hideMark/>
          </w:tcPr>
          <w:p w14:paraId="27869D02" w14:textId="77777777" w:rsidR="005503ED" w:rsidRPr="005503ED" w:rsidRDefault="005503ED" w:rsidP="005503ED">
            <w:pPr>
              <w:jc w:val="right"/>
              <w:rPr>
                <w:color w:val="auto"/>
                <w:sz w:val="22"/>
                <w:szCs w:val="22"/>
              </w:rPr>
            </w:pPr>
            <w:r w:rsidRPr="005503ED">
              <w:rPr>
                <w:color w:val="auto"/>
                <w:sz w:val="22"/>
                <w:szCs w:val="22"/>
              </w:rPr>
              <w:t> </w:t>
            </w:r>
          </w:p>
        </w:tc>
        <w:tc>
          <w:tcPr>
            <w:tcW w:w="222" w:type="dxa"/>
            <w:tcBorders>
              <w:top w:val="nil"/>
              <w:left w:val="nil"/>
              <w:bottom w:val="nil"/>
              <w:right w:val="nil"/>
            </w:tcBorders>
            <w:shd w:val="clear" w:color="auto" w:fill="auto"/>
            <w:noWrap/>
            <w:vAlign w:val="center"/>
            <w:hideMark/>
          </w:tcPr>
          <w:p w14:paraId="72422E84" w14:textId="77777777" w:rsidR="005503ED" w:rsidRPr="005503ED" w:rsidRDefault="005503ED" w:rsidP="005503ED">
            <w:pPr>
              <w:jc w:val="right"/>
              <w:rPr>
                <w:color w:val="auto"/>
                <w:sz w:val="22"/>
                <w:szCs w:val="22"/>
              </w:rPr>
            </w:pPr>
          </w:p>
        </w:tc>
        <w:tc>
          <w:tcPr>
            <w:tcW w:w="1801" w:type="dxa"/>
            <w:tcBorders>
              <w:top w:val="nil"/>
              <w:left w:val="nil"/>
              <w:bottom w:val="nil"/>
              <w:right w:val="nil"/>
            </w:tcBorders>
            <w:shd w:val="clear" w:color="auto" w:fill="auto"/>
            <w:noWrap/>
            <w:vAlign w:val="center"/>
            <w:hideMark/>
          </w:tcPr>
          <w:p w14:paraId="6FFF6128" w14:textId="77777777" w:rsidR="005503ED" w:rsidRPr="005503ED" w:rsidRDefault="005503ED" w:rsidP="005503ED">
            <w:pPr>
              <w:rPr>
                <w:color w:val="auto"/>
                <w:sz w:val="20"/>
              </w:rPr>
            </w:pPr>
          </w:p>
        </w:tc>
        <w:tc>
          <w:tcPr>
            <w:tcW w:w="1620" w:type="dxa"/>
            <w:tcBorders>
              <w:top w:val="nil"/>
              <w:left w:val="single" w:sz="12" w:space="0" w:color="auto"/>
              <w:bottom w:val="nil"/>
              <w:right w:val="single" w:sz="12" w:space="0" w:color="auto"/>
            </w:tcBorders>
            <w:shd w:val="clear" w:color="auto" w:fill="auto"/>
            <w:noWrap/>
            <w:vAlign w:val="center"/>
            <w:hideMark/>
          </w:tcPr>
          <w:p w14:paraId="333F2841" w14:textId="77777777" w:rsidR="005503ED" w:rsidRPr="005503ED" w:rsidRDefault="005503ED" w:rsidP="005503ED">
            <w:pPr>
              <w:jc w:val="right"/>
              <w:rPr>
                <w:color w:val="auto"/>
                <w:sz w:val="22"/>
                <w:szCs w:val="22"/>
              </w:rPr>
            </w:pPr>
            <w:r w:rsidRPr="005503ED">
              <w:rPr>
                <w:color w:val="auto"/>
                <w:sz w:val="22"/>
                <w:szCs w:val="22"/>
              </w:rPr>
              <w:t> </w:t>
            </w:r>
          </w:p>
        </w:tc>
        <w:tc>
          <w:tcPr>
            <w:tcW w:w="1710" w:type="dxa"/>
            <w:tcBorders>
              <w:top w:val="nil"/>
              <w:left w:val="nil"/>
              <w:bottom w:val="nil"/>
              <w:right w:val="single" w:sz="12" w:space="0" w:color="auto"/>
            </w:tcBorders>
            <w:shd w:val="clear" w:color="auto" w:fill="auto"/>
            <w:noWrap/>
            <w:vAlign w:val="center"/>
            <w:hideMark/>
          </w:tcPr>
          <w:p w14:paraId="18F80EAC" w14:textId="77777777" w:rsidR="005503ED" w:rsidRPr="005503ED" w:rsidRDefault="005503ED" w:rsidP="005503ED">
            <w:pPr>
              <w:rPr>
                <w:color w:val="auto"/>
                <w:sz w:val="22"/>
                <w:szCs w:val="22"/>
              </w:rPr>
            </w:pPr>
            <w:r w:rsidRPr="005503ED">
              <w:rPr>
                <w:color w:val="auto"/>
                <w:sz w:val="22"/>
                <w:szCs w:val="22"/>
              </w:rPr>
              <w:t> </w:t>
            </w:r>
          </w:p>
        </w:tc>
        <w:tc>
          <w:tcPr>
            <w:tcW w:w="1695" w:type="dxa"/>
            <w:tcBorders>
              <w:top w:val="nil"/>
              <w:left w:val="nil"/>
              <w:bottom w:val="nil"/>
              <w:right w:val="single" w:sz="12" w:space="0" w:color="auto"/>
            </w:tcBorders>
            <w:shd w:val="clear" w:color="auto" w:fill="auto"/>
            <w:noWrap/>
            <w:vAlign w:val="center"/>
            <w:hideMark/>
          </w:tcPr>
          <w:p w14:paraId="7F5793C7" w14:textId="77777777" w:rsidR="005503ED" w:rsidRPr="005503ED" w:rsidRDefault="005503ED" w:rsidP="005503ED">
            <w:pPr>
              <w:jc w:val="right"/>
              <w:rPr>
                <w:color w:val="auto"/>
                <w:sz w:val="22"/>
                <w:szCs w:val="22"/>
              </w:rPr>
            </w:pPr>
            <w:r w:rsidRPr="005503ED">
              <w:rPr>
                <w:color w:val="auto"/>
                <w:sz w:val="22"/>
                <w:szCs w:val="22"/>
              </w:rPr>
              <w:t> </w:t>
            </w:r>
          </w:p>
        </w:tc>
      </w:tr>
      <w:tr w:rsidR="005503ED" w:rsidRPr="005503ED" w14:paraId="1EE91685"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256E4B86" w14:textId="77777777" w:rsidR="005503ED" w:rsidRPr="005503ED" w:rsidRDefault="005503ED" w:rsidP="005503ED">
            <w:pPr>
              <w:jc w:val="right"/>
              <w:rPr>
                <w:color w:val="auto"/>
                <w:sz w:val="22"/>
                <w:szCs w:val="22"/>
              </w:rPr>
            </w:pPr>
            <w:r w:rsidRPr="005503ED">
              <w:rPr>
                <w:color w:val="auto"/>
                <w:sz w:val="22"/>
                <w:szCs w:val="22"/>
              </w:rPr>
              <w:t>Lewisberry Metered Service, R-1</w:t>
            </w:r>
          </w:p>
        </w:tc>
        <w:tc>
          <w:tcPr>
            <w:tcW w:w="1620" w:type="dxa"/>
            <w:tcBorders>
              <w:top w:val="nil"/>
              <w:left w:val="single" w:sz="12" w:space="0" w:color="auto"/>
              <w:bottom w:val="nil"/>
              <w:right w:val="single" w:sz="12" w:space="0" w:color="auto"/>
            </w:tcBorders>
            <w:shd w:val="clear" w:color="auto" w:fill="auto"/>
            <w:noWrap/>
            <w:vAlign w:val="center"/>
            <w:hideMark/>
          </w:tcPr>
          <w:p w14:paraId="1354159F" w14:textId="77777777" w:rsidR="005503ED" w:rsidRPr="005503ED" w:rsidRDefault="005503ED" w:rsidP="005503ED">
            <w:pPr>
              <w:jc w:val="right"/>
              <w:rPr>
                <w:color w:val="auto"/>
                <w:sz w:val="22"/>
                <w:szCs w:val="22"/>
              </w:rPr>
            </w:pPr>
            <w:r w:rsidRPr="005503ED">
              <w:rPr>
                <w:color w:val="auto"/>
                <w:sz w:val="22"/>
                <w:szCs w:val="22"/>
              </w:rPr>
              <w:t xml:space="preserve">$16.00 </w:t>
            </w:r>
          </w:p>
        </w:tc>
        <w:tc>
          <w:tcPr>
            <w:tcW w:w="1710" w:type="dxa"/>
            <w:tcBorders>
              <w:top w:val="nil"/>
              <w:left w:val="nil"/>
              <w:bottom w:val="nil"/>
              <w:right w:val="single" w:sz="12" w:space="0" w:color="auto"/>
            </w:tcBorders>
            <w:shd w:val="clear" w:color="auto" w:fill="auto"/>
            <w:noWrap/>
            <w:vAlign w:val="center"/>
            <w:hideMark/>
          </w:tcPr>
          <w:p w14:paraId="1BCE223F" w14:textId="77777777" w:rsidR="005503ED" w:rsidRPr="005503ED" w:rsidRDefault="005503ED" w:rsidP="005503ED">
            <w:pPr>
              <w:jc w:val="right"/>
              <w:rPr>
                <w:color w:val="auto"/>
                <w:sz w:val="22"/>
                <w:szCs w:val="22"/>
              </w:rPr>
            </w:pPr>
            <w:r w:rsidRPr="005503ED">
              <w:rPr>
                <w:color w:val="auto"/>
                <w:sz w:val="22"/>
                <w:szCs w:val="22"/>
              </w:rPr>
              <w:t xml:space="preserve">$16.75 </w:t>
            </w:r>
          </w:p>
        </w:tc>
        <w:tc>
          <w:tcPr>
            <w:tcW w:w="1695" w:type="dxa"/>
            <w:tcBorders>
              <w:top w:val="nil"/>
              <w:left w:val="nil"/>
              <w:bottom w:val="nil"/>
              <w:right w:val="single" w:sz="12" w:space="0" w:color="auto"/>
            </w:tcBorders>
            <w:shd w:val="clear" w:color="auto" w:fill="auto"/>
            <w:noWrap/>
            <w:vAlign w:val="center"/>
            <w:hideMark/>
          </w:tcPr>
          <w:p w14:paraId="4E04882D" w14:textId="77777777" w:rsidR="005503ED" w:rsidRPr="005503ED" w:rsidRDefault="005503ED" w:rsidP="005503ED">
            <w:pPr>
              <w:jc w:val="right"/>
              <w:rPr>
                <w:color w:val="auto"/>
                <w:sz w:val="22"/>
                <w:szCs w:val="22"/>
              </w:rPr>
            </w:pPr>
            <w:r w:rsidRPr="005503ED">
              <w:rPr>
                <w:color w:val="auto"/>
                <w:sz w:val="22"/>
                <w:szCs w:val="22"/>
              </w:rPr>
              <w:t xml:space="preserve">$0.75 </w:t>
            </w:r>
          </w:p>
        </w:tc>
      </w:tr>
      <w:tr w:rsidR="005503ED" w:rsidRPr="005503ED" w14:paraId="1D24AD74"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6F119C91" w14:textId="77777777" w:rsidR="005503ED" w:rsidRPr="005503ED" w:rsidRDefault="005503ED" w:rsidP="005503ED">
            <w:pPr>
              <w:jc w:val="right"/>
              <w:rPr>
                <w:color w:val="auto"/>
                <w:sz w:val="22"/>
                <w:szCs w:val="22"/>
              </w:rPr>
            </w:pPr>
            <w:r w:rsidRPr="005503ED">
              <w:rPr>
                <w:color w:val="auto"/>
                <w:sz w:val="22"/>
                <w:szCs w:val="22"/>
              </w:rPr>
              <w:t>Lewisberry Metered Service, B-1</w:t>
            </w:r>
          </w:p>
        </w:tc>
        <w:tc>
          <w:tcPr>
            <w:tcW w:w="1620" w:type="dxa"/>
            <w:tcBorders>
              <w:top w:val="nil"/>
              <w:left w:val="single" w:sz="12" w:space="0" w:color="auto"/>
              <w:bottom w:val="nil"/>
              <w:right w:val="single" w:sz="12" w:space="0" w:color="auto"/>
            </w:tcBorders>
            <w:shd w:val="clear" w:color="auto" w:fill="auto"/>
            <w:noWrap/>
            <w:vAlign w:val="center"/>
            <w:hideMark/>
          </w:tcPr>
          <w:p w14:paraId="11B065FB" w14:textId="77777777" w:rsidR="005503ED" w:rsidRPr="005503ED" w:rsidRDefault="005503ED" w:rsidP="005503ED">
            <w:pPr>
              <w:jc w:val="right"/>
              <w:rPr>
                <w:color w:val="auto"/>
                <w:sz w:val="22"/>
                <w:szCs w:val="22"/>
              </w:rPr>
            </w:pPr>
            <w:r w:rsidRPr="005503ED">
              <w:rPr>
                <w:color w:val="auto"/>
                <w:sz w:val="22"/>
                <w:szCs w:val="22"/>
              </w:rPr>
              <w:t xml:space="preserve">$17.00 </w:t>
            </w:r>
          </w:p>
        </w:tc>
        <w:tc>
          <w:tcPr>
            <w:tcW w:w="1710" w:type="dxa"/>
            <w:tcBorders>
              <w:top w:val="nil"/>
              <w:left w:val="nil"/>
              <w:bottom w:val="nil"/>
              <w:right w:val="single" w:sz="12" w:space="0" w:color="auto"/>
            </w:tcBorders>
            <w:shd w:val="clear" w:color="auto" w:fill="auto"/>
            <w:noWrap/>
            <w:vAlign w:val="center"/>
            <w:hideMark/>
          </w:tcPr>
          <w:p w14:paraId="3745190A" w14:textId="77777777" w:rsidR="005503ED" w:rsidRPr="005503ED" w:rsidRDefault="005503ED" w:rsidP="005503ED">
            <w:pPr>
              <w:jc w:val="right"/>
              <w:rPr>
                <w:color w:val="auto"/>
                <w:sz w:val="22"/>
                <w:szCs w:val="22"/>
              </w:rPr>
            </w:pPr>
            <w:r w:rsidRPr="005503ED">
              <w:rPr>
                <w:color w:val="auto"/>
                <w:sz w:val="22"/>
                <w:szCs w:val="22"/>
              </w:rPr>
              <w:t xml:space="preserve">$17.75 </w:t>
            </w:r>
          </w:p>
        </w:tc>
        <w:tc>
          <w:tcPr>
            <w:tcW w:w="1695" w:type="dxa"/>
            <w:tcBorders>
              <w:top w:val="nil"/>
              <w:left w:val="nil"/>
              <w:bottom w:val="nil"/>
              <w:right w:val="single" w:sz="12" w:space="0" w:color="auto"/>
            </w:tcBorders>
            <w:shd w:val="clear" w:color="auto" w:fill="auto"/>
            <w:noWrap/>
            <w:vAlign w:val="center"/>
            <w:hideMark/>
          </w:tcPr>
          <w:p w14:paraId="70DE59B7" w14:textId="77777777" w:rsidR="005503ED" w:rsidRPr="005503ED" w:rsidRDefault="005503ED" w:rsidP="005503ED">
            <w:pPr>
              <w:jc w:val="right"/>
              <w:rPr>
                <w:color w:val="auto"/>
                <w:sz w:val="22"/>
                <w:szCs w:val="22"/>
              </w:rPr>
            </w:pPr>
            <w:r w:rsidRPr="005503ED">
              <w:rPr>
                <w:color w:val="auto"/>
                <w:sz w:val="22"/>
                <w:szCs w:val="22"/>
              </w:rPr>
              <w:t xml:space="preserve">$0.75 </w:t>
            </w:r>
          </w:p>
        </w:tc>
      </w:tr>
      <w:tr w:rsidR="005503ED" w:rsidRPr="005503ED" w14:paraId="4811C0E1" w14:textId="77777777" w:rsidTr="00752434">
        <w:trPr>
          <w:trHeight w:val="300"/>
        </w:trPr>
        <w:tc>
          <w:tcPr>
            <w:tcW w:w="2282" w:type="dxa"/>
            <w:tcBorders>
              <w:top w:val="nil"/>
              <w:left w:val="single" w:sz="12" w:space="0" w:color="auto"/>
              <w:bottom w:val="nil"/>
              <w:right w:val="nil"/>
            </w:tcBorders>
            <w:shd w:val="clear" w:color="auto" w:fill="auto"/>
            <w:noWrap/>
            <w:vAlign w:val="center"/>
            <w:hideMark/>
          </w:tcPr>
          <w:p w14:paraId="231F0B3E" w14:textId="77777777" w:rsidR="005503ED" w:rsidRPr="005503ED" w:rsidRDefault="005503ED" w:rsidP="005503ED">
            <w:pPr>
              <w:jc w:val="right"/>
              <w:rPr>
                <w:color w:val="auto"/>
                <w:sz w:val="22"/>
                <w:szCs w:val="22"/>
              </w:rPr>
            </w:pPr>
            <w:r w:rsidRPr="005503ED">
              <w:rPr>
                <w:color w:val="auto"/>
                <w:sz w:val="22"/>
                <w:szCs w:val="22"/>
              </w:rPr>
              <w:t> </w:t>
            </w:r>
          </w:p>
        </w:tc>
        <w:tc>
          <w:tcPr>
            <w:tcW w:w="222" w:type="dxa"/>
            <w:tcBorders>
              <w:top w:val="nil"/>
              <w:left w:val="nil"/>
              <w:bottom w:val="nil"/>
              <w:right w:val="nil"/>
            </w:tcBorders>
            <w:shd w:val="clear" w:color="auto" w:fill="auto"/>
            <w:noWrap/>
            <w:vAlign w:val="center"/>
            <w:hideMark/>
          </w:tcPr>
          <w:p w14:paraId="78FF03AA" w14:textId="77777777" w:rsidR="005503ED" w:rsidRPr="005503ED" w:rsidRDefault="005503ED" w:rsidP="005503ED">
            <w:pPr>
              <w:jc w:val="right"/>
              <w:rPr>
                <w:color w:val="auto"/>
                <w:sz w:val="22"/>
                <w:szCs w:val="22"/>
              </w:rPr>
            </w:pPr>
          </w:p>
        </w:tc>
        <w:tc>
          <w:tcPr>
            <w:tcW w:w="1801" w:type="dxa"/>
            <w:tcBorders>
              <w:top w:val="nil"/>
              <w:left w:val="nil"/>
              <w:bottom w:val="nil"/>
              <w:right w:val="nil"/>
            </w:tcBorders>
            <w:shd w:val="clear" w:color="auto" w:fill="auto"/>
            <w:noWrap/>
            <w:vAlign w:val="center"/>
            <w:hideMark/>
          </w:tcPr>
          <w:p w14:paraId="6A3C8F29" w14:textId="77777777" w:rsidR="005503ED" w:rsidRPr="005503ED" w:rsidRDefault="005503ED" w:rsidP="005503ED">
            <w:pPr>
              <w:rPr>
                <w:color w:val="auto"/>
                <w:sz w:val="20"/>
              </w:rPr>
            </w:pPr>
          </w:p>
        </w:tc>
        <w:tc>
          <w:tcPr>
            <w:tcW w:w="1620" w:type="dxa"/>
            <w:tcBorders>
              <w:top w:val="nil"/>
              <w:left w:val="single" w:sz="12" w:space="0" w:color="auto"/>
              <w:bottom w:val="nil"/>
              <w:right w:val="single" w:sz="12" w:space="0" w:color="auto"/>
            </w:tcBorders>
            <w:shd w:val="clear" w:color="auto" w:fill="auto"/>
            <w:noWrap/>
            <w:vAlign w:val="center"/>
            <w:hideMark/>
          </w:tcPr>
          <w:p w14:paraId="304D0238" w14:textId="77777777" w:rsidR="005503ED" w:rsidRPr="005503ED" w:rsidRDefault="005503ED" w:rsidP="005503ED">
            <w:pPr>
              <w:jc w:val="right"/>
              <w:rPr>
                <w:color w:val="auto"/>
                <w:sz w:val="22"/>
                <w:szCs w:val="22"/>
              </w:rPr>
            </w:pPr>
            <w:r w:rsidRPr="005503ED">
              <w:rPr>
                <w:color w:val="auto"/>
                <w:sz w:val="22"/>
                <w:szCs w:val="22"/>
              </w:rPr>
              <w:t> </w:t>
            </w:r>
          </w:p>
        </w:tc>
        <w:tc>
          <w:tcPr>
            <w:tcW w:w="1710" w:type="dxa"/>
            <w:tcBorders>
              <w:top w:val="nil"/>
              <w:left w:val="nil"/>
              <w:bottom w:val="nil"/>
              <w:right w:val="single" w:sz="12" w:space="0" w:color="auto"/>
            </w:tcBorders>
            <w:shd w:val="clear" w:color="auto" w:fill="auto"/>
            <w:noWrap/>
            <w:vAlign w:val="center"/>
            <w:hideMark/>
          </w:tcPr>
          <w:p w14:paraId="155AEE85" w14:textId="77777777" w:rsidR="005503ED" w:rsidRPr="005503ED" w:rsidRDefault="005503ED" w:rsidP="005503ED">
            <w:pPr>
              <w:rPr>
                <w:color w:val="auto"/>
                <w:sz w:val="22"/>
                <w:szCs w:val="22"/>
              </w:rPr>
            </w:pPr>
            <w:r w:rsidRPr="005503ED">
              <w:rPr>
                <w:color w:val="auto"/>
                <w:sz w:val="22"/>
                <w:szCs w:val="22"/>
              </w:rPr>
              <w:t> </w:t>
            </w:r>
          </w:p>
        </w:tc>
        <w:tc>
          <w:tcPr>
            <w:tcW w:w="1695" w:type="dxa"/>
            <w:tcBorders>
              <w:top w:val="nil"/>
              <w:left w:val="nil"/>
              <w:bottom w:val="nil"/>
              <w:right w:val="single" w:sz="12" w:space="0" w:color="auto"/>
            </w:tcBorders>
            <w:shd w:val="clear" w:color="auto" w:fill="auto"/>
            <w:noWrap/>
            <w:vAlign w:val="center"/>
            <w:hideMark/>
          </w:tcPr>
          <w:p w14:paraId="5C7D256D" w14:textId="77777777" w:rsidR="005503ED" w:rsidRPr="005503ED" w:rsidRDefault="005503ED" w:rsidP="005503ED">
            <w:pPr>
              <w:jc w:val="right"/>
              <w:rPr>
                <w:color w:val="auto"/>
                <w:sz w:val="22"/>
                <w:szCs w:val="22"/>
              </w:rPr>
            </w:pPr>
            <w:r w:rsidRPr="005503ED">
              <w:rPr>
                <w:color w:val="auto"/>
                <w:sz w:val="22"/>
                <w:szCs w:val="22"/>
              </w:rPr>
              <w:t> </w:t>
            </w:r>
          </w:p>
        </w:tc>
      </w:tr>
      <w:tr w:rsidR="005503ED" w:rsidRPr="005503ED" w14:paraId="5523BAF6"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6C21625C" w14:textId="77777777" w:rsidR="005503ED" w:rsidRPr="005503ED" w:rsidRDefault="005503ED" w:rsidP="005503ED">
            <w:pPr>
              <w:jc w:val="right"/>
              <w:rPr>
                <w:color w:val="auto"/>
                <w:sz w:val="22"/>
                <w:szCs w:val="22"/>
              </w:rPr>
            </w:pPr>
            <w:r w:rsidRPr="005503ED">
              <w:rPr>
                <w:color w:val="auto"/>
                <w:sz w:val="22"/>
                <w:szCs w:val="22"/>
              </w:rPr>
              <w:t xml:space="preserve">Unlimited Residential Local Exchange Service </w:t>
            </w:r>
          </w:p>
        </w:tc>
        <w:tc>
          <w:tcPr>
            <w:tcW w:w="1620" w:type="dxa"/>
            <w:tcBorders>
              <w:top w:val="nil"/>
              <w:left w:val="single" w:sz="12" w:space="0" w:color="auto"/>
              <w:bottom w:val="nil"/>
              <w:right w:val="single" w:sz="12" w:space="0" w:color="auto"/>
            </w:tcBorders>
            <w:shd w:val="clear" w:color="auto" w:fill="auto"/>
            <w:noWrap/>
            <w:vAlign w:val="center"/>
            <w:hideMark/>
          </w:tcPr>
          <w:p w14:paraId="57C74F78" w14:textId="77777777" w:rsidR="005503ED" w:rsidRPr="005503ED" w:rsidRDefault="005503ED" w:rsidP="005503ED">
            <w:pPr>
              <w:jc w:val="right"/>
              <w:rPr>
                <w:color w:val="auto"/>
                <w:sz w:val="22"/>
                <w:szCs w:val="22"/>
              </w:rPr>
            </w:pPr>
            <w:r w:rsidRPr="005503ED">
              <w:rPr>
                <w:color w:val="auto"/>
                <w:sz w:val="22"/>
                <w:szCs w:val="22"/>
              </w:rPr>
              <w:t> </w:t>
            </w:r>
          </w:p>
        </w:tc>
        <w:tc>
          <w:tcPr>
            <w:tcW w:w="1710" w:type="dxa"/>
            <w:tcBorders>
              <w:top w:val="nil"/>
              <w:left w:val="nil"/>
              <w:bottom w:val="nil"/>
              <w:right w:val="single" w:sz="12" w:space="0" w:color="auto"/>
            </w:tcBorders>
            <w:shd w:val="clear" w:color="auto" w:fill="auto"/>
            <w:noWrap/>
            <w:vAlign w:val="center"/>
            <w:hideMark/>
          </w:tcPr>
          <w:p w14:paraId="144085BD" w14:textId="77777777" w:rsidR="005503ED" w:rsidRPr="005503ED" w:rsidRDefault="005503ED" w:rsidP="005503ED">
            <w:pPr>
              <w:jc w:val="right"/>
              <w:rPr>
                <w:color w:val="auto"/>
                <w:sz w:val="22"/>
                <w:szCs w:val="22"/>
              </w:rPr>
            </w:pPr>
            <w:r w:rsidRPr="005503ED">
              <w:rPr>
                <w:color w:val="auto"/>
                <w:sz w:val="22"/>
                <w:szCs w:val="22"/>
              </w:rPr>
              <w:t> </w:t>
            </w:r>
          </w:p>
        </w:tc>
        <w:tc>
          <w:tcPr>
            <w:tcW w:w="1695" w:type="dxa"/>
            <w:tcBorders>
              <w:top w:val="nil"/>
              <w:left w:val="nil"/>
              <w:bottom w:val="nil"/>
              <w:right w:val="single" w:sz="12" w:space="0" w:color="auto"/>
            </w:tcBorders>
            <w:shd w:val="clear" w:color="auto" w:fill="auto"/>
            <w:noWrap/>
            <w:vAlign w:val="center"/>
            <w:hideMark/>
          </w:tcPr>
          <w:p w14:paraId="0A5760A8" w14:textId="77777777" w:rsidR="005503ED" w:rsidRPr="005503ED" w:rsidRDefault="005503ED" w:rsidP="005503ED">
            <w:pPr>
              <w:jc w:val="right"/>
              <w:rPr>
                <w:color w:val="auto"/>
                <w:sz w:val="22"/>
                <w:szCs w:val="22"/>
              </w:rPr>
            </w:pPr>
            <w:r w:rsidRPr="005503ED">
              <w:rPr>
                <w:color w:val="auto"/>
                <w:sz w:val="22"/>
                <w:szCs w:val="22"/>
              </w:rPr>
              <w:t> </w:t>
            </w:r>
          </w:p>
        </w:tc>
      </w:tr>
      <w:tr w:rsidR="005503ED" w:rsidRPr="005503ED" w14:paraId="5DA14E47"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56C85678" w14:textId="77777777" w:rsidR="005503ED" w:rsidRPr="005503ED" w:rsidRDefault="005503ED" w:rsidP="005503ED">
            <w:pPr>
              <w:jc w:val="right"/>
              <w:rPr>
                <w:color w:val="auto"/>
                <w:sz w:val="22"/>
                <w:szCs w:val="22"/>
              </w:rPr>
            </w:pPr>
            <w:r w:rsidRPr="005503ED">
              <w:rPr>
                <w:color w:val="auto"/>
                <w:sz w:val="22"/>
                <w:szCs w:val="22"/>
              </w:rPr>
              <w:t>Rate Group 1 - (First Line)</w:t>
            </w:r>
          </w:p>
        </w:tc>
        <w:tc>
          <w:tcPr>
            <w:tcW w:w="1620" w:type="dxa"/>
            <w:tcBorders>
              <w:top w:val="nil"/>
              <w:left w:val="single" w:sz="12" w:space="0" w:color="auto"/>
              <w:bottom w:val="nil"/>
              <w:right w:val="single" w:sz="12" w:space="0" w:color="auto"/>
            </w:tcBorders>
            <w:shd w:val="clear" w:color="auto" w:fill="auto"/>
            <w:noWrap/>
            <w:vAlign w:val="center"/>
            <w:hideMark/>
          </w:tcPr>
          <w:p w14:paraId="5EAA1109" w14:textId="77777777" w:rsidR="005503ED" w:rsidRPr="005503ED" w:rsidRDefault="005503ED" w:rsidP="005503ED">
            <w:pPr>
              <w:jc w:val="right"/>
              <w:rPr>
                <w:color w:val="auto"/>
                <w:sz w:val="22"/>
                <w:szCs w:val="22"/>
              </w:rPr>
            </w:pPr>
            <w:r w:rsidRPr="005503ED">
              <w:rPr>
                <w:color w:val="auto"/>
                <w:sz w:val="22"/>
                <w:szCs w:val="22"/>
              </w:rPr>
              <w:t xml:space="preserve">$19.99 </w:t>
            </w:r>
          </w:p>
        </w:tc>
        <w:tc>
          <w:tcPr>
            <w:tcW w:w="1710" w:type="dxa"/>
            <w:tcBorders>
              <w:top w:val="nil"/>
              <w:left w:val="nil"/>
              <w:bottom w:val="nil"/>
              <w:right w:val="single" w:sz="12" w:space="0" w:color="auto"/>
            </w:tcBorders>
            <w:shd w:val="clear" w:color="auto" w:fill="auto"/>
            <w:noWrap/>
            <w:vAlign w:val="center"/>
            <w:hideMark/>
          </w:tcPr>
          <w:p w14:paraId="3D5C5F23" w14:textId="77777777" w:rsidR="005503ED" w:rsidRPr="005503ED" w:rsidRDefault="005503ED" w:rsidP="005503ED">
            <w:pPr>
              <w:jc w:val="right"/>
              <w:rPr>
                <w:color w:val="auto"/>
                <w:sz w:val="22"/>
                <w:szCs w:val="22"/>
              </w:rPr>
            </w:pPr>
            <w:r w:rsidRPr="005503ED">
              <w:rPr>
                <w:color w:val="auto"/>
                <w:sz w:val="22"/>
                <w:szCs w:val="22"/>
              </w:rPr>
              <w:t xml:space="preserve">$20.75 </w:t>
            </w:r>
          </w:p>
        </w:tc>
        <w:tc>
          <w:tcPr>
            <w:tcW w:w="1695" w:type="dxa"/>
            <w:tcBorders>
              <w:top w:val="nil"/>
              <w:left w:val="nil"/>
              <w:bottom w:val="nil"/>
              <w:right w:val="single" w:sz="12" w:space="0" w:color="auto"/>
            </w:tcBorders>
            <w:shd w:val="clear" w:color="auto" w:fill="auto"/>
            <w:noWrap/>
            <w:vAlign w:val="center"/>
            <w:hideMark/>
          </w:tcPr>
          <w:p w14:paraId="1BBA8587" w14:textId="77777777" w:rsidR="005503ED" w:rsidRPr="005503ED" w:rsidRDefault="005503ED" w:rsidP="005503ED">
            <w:pPr>
              <w:jc w:val="right"/>
              <w:rPr>
                <w:color w:val="auto"/>
                <w:sz w:val="22"/>
                <w:szCs w:val="22"/>
              </w:rPr>
            </w:pPr>
            <w:r w:rsidRPr="005503ED">
              <w:rPr>
                <w:color w:val="auto"/>
                <w:sz w:val="22"/>
                <w:szCs w:val="22"/>
              </w:rPr>
              <w:t xml:space="preserve">$0.76 </w:t>
            </w:r>
          </w:p>
        </w:tc>
      </w:tr>
      <w:tr w:rsidR="005503ED" w:rsidRPr="005503ED" w14:paraId="1E60EBB4"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1044E984" w14:textId="77777777" w:rsidR="005503ED" w:rsidRPr="005503ED" w:rsidRDefault="005503ED" w:rsidP="005503ED">
            <w:pPr>
              <w:jc w:val="right"/>
              <w:rPr>
                <w:color w:val="auto"/>
                <w:sz w:val="22"/>
                <w:szCs w:val="22"/>
              </w:rPr>
            </w:pPr>
            <w:r w:rsidRPr="005503ED">
              <w:rPr>
                <w:color w:val="auto"/>
                <w:sz w:val="22"/>
                <w:szCs w:val="22"/>
              </w:rPr>
              <w:t>(Each Additional Line)</w:t>
            </w:r>
          </w:p>
        </w:tc>
        <w:tc>
          <w:tcPr>
            <w:tcW w:w="1620" w:type="dxa"/>
            <w:tcBorders>
              <w:top w:val="nil"/>
              <w:left w:val="single" w:sz="12" w:space="0" w:color="auto"/>
              <w:bottom w:val="nil"/>
              <w:right w:val="single" w:sz="12" w:space="0" w:color="auto"/>
            </w:tcBorders>
            <w:shd w:val="clear" w:color="auto" w:fill="auto"/>
            <w:noWrap/>
            <w:vAlign w:val="center"/>
            <w:hideMark/>
          </w:tcPr>
          <w:p w14:paraId="3EBF19C3" w14:textId="77777777" w:rsidR="005503ED" w:rsidRPr="005503ED" w:rsidRDefault="005503ED" w:rsidP="005503ED">
            <w:pPr>
              <w:jc w:val="right"/>
              <w:rPr>
                <w:color w:val="auto"/>
                <w:sz w:val="22"/>
                <w:szCs w:val="22"/>
              </w:rPr>
            </w:pPr>
            <w:r w:rsidRPr="005503ED">
              <w:rPr>
                <w:color w:val="auto"/>
                <w:sz w:val="22"/>
                <w:szCs w:val="22"/>
              </w:rPr>
              <w:t xml:space="preserve">$15.34 </w:t>
            </w:r>
          </w:p>
        </w:tc>
        <w:tc>
          <w:tcPr>
            <w:tcW w:w="1710" w:type="dxa"/>
            <w:tcBorders>
              <w:top w:val="nil"/>
              <w:left w:val="nil"/>
              <w:bottom w:val="nil"/>
              <w:right w:val="single" w:sz="12" w:space="0" w:color="auto"/>
            </w:tcBorders>
            <w:shd w:val="clear" w:color="auto" w:fill="auto"/>
            <w:noWrap/>
            <w:vAlign w:val="center"/>
            <w:hideMark/>
          </w:tcPr>
          <w:p w14:paraId="444C1925" w14:textId="77777777" w:rsidR="005503ED" w:rsidRPr="005503ED" w:rsidRDefault="005503ED" w:rsidP="005503ED">
            <w:pPr>
              <w:jc w:val="right"/>
              <w:rPr>
                <w:color w:val="auto"/>
                <w:sz w:val="22"/>
                <w:szCs w:val="22"/>
              </w:rPr>
            </w:pPr>
            <w:r w:rsidRPr="005503ED">
              <w:rPr>
                <w:color w:val="auto"/>
                <w:sz w:val="22"/>
                <w:szCs w:val="22"/>
              </w:rPr>
              <w:t xml:space="preserve">$16.10 </w:t>
            </w:r>
          </w:p>
        </w:tc>
        <w:tc>
          <w:tcPr>
            <w:tcW w:w="1695" w:type="dxa"/>
            <w:tcBorders>
              <w:top w:val="nil"/>
              <w:left w:val="nil"/>
              <w:bottom w:val="nil"/>
              <w:right w:val="single" w:sz="12" w:space="0" w:color="auto"/>
            </w:tcBorders>
            <w:shd w:val="clear" w:color="auto" w:fill="auto"/>
            <w:noWrap/>
            <w:vAlign w:val="center"/>
            <w:hideMark/>
          </w:tcPr>
          <w:p w14:paraId="366D68F9" w14:textId="77777777" w:rsidR="005503ED" w:rsidRPr="005503ED" w:rsidRDefault="005503ED" w:rsidP="005503ED">
            <w:pPr>
              <w:jc w:val="right"/>
              <w:rPr>
                <w:color w:val="auto"/>
                <w:sz w:val="22"/>
                <w:szCs w:val="22"/>
              </w:rPr>
            </w:pPr>
            <w:r w:rsidRPr="005503ED">
              <w:rPr>
                <w:color w:val="auto"/>
                <w:sz w:val="22"/>
                <w:szCs w:val="22"/>
              </w:rPr>
              <w:t xml:space="preserve">$0.76 </w:t>
            </w:r>
          </w:p>
        </w:tc>
      </w:tr>
      <w:tr w:rsidR="005503ED" w:rsidRPr="005503ED" w14:paraId="478D1599"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073F2AAA" w14:textId="77777777" w:rsidR="005503ED" w:rsidRPr="005503ED" w:rsidRDefault="005503ED" w:rsidP="005503ED">
            <w:pPr>
              <w:jc w:val="right"/>
              <w:rPr>
                <w:color w:val="auto"/>
                <w:sz w:val="22"/>
                <w:szCs w:val="22"/>
              </w:rPr>
            </w:pPr>
            <w:r w:rsidRPr="005503ED">
              <w:rPr>
                <w:color w:val="auto"/>
                <w:sz w:val="22"/>
                <w:szCs w:val="22"/>
              </w:rPr>
              <w:t>Rate Group 2 - (First Line)</w:t>
            </w:r>
          </w:p>
        </w:tc>
        <w:tc>
          <w:tcPr>
            <w:tcW w:w="1620" w:type="dxa"/>
            <w:tcBorders>
              <w:top w:val="nil"/>
              <w:left w:val="single" w:sz="12" w:space="0" w:color="auto"/>
              <w:bottom w:val="nil"/>
              <w:right w:val="single" w:sz="12" w:space="0" w:color="auto"/>
            </w:tcBorders>
            <w:shd w:val="clear" w:color="auto" w:fill="auto"/>
            <w:noWrap/>
            <w:vAlign w:val="center"/>
            <w:hideMark/>
          </w:tcPr>
          <w:p w14:paraId="1D54802B" w14:textId="77777777" w:rsidR="005503ED" w:rsidRPr="005503ED" w:rsidRDefault="005503ED" w:rsidP="005503ED">
            <w:pPr>
              <w:jc w:val="right"/>
              <w:rPr>
                <w:color w:val="auto"/>
                <w:sz w:val="22"/>
                <w:szCs w:val="22"/>
              </w:rPr>
            </w:pPr>
            <w:r w:rsidRPr="005503ED">
              <w:rPr>
                <w:color w:val="auto"/>
                <w:sz w:val="22"/>
                <w:szCs w:val="22"/>
              </w:rPr>
              <w:t xml:space="preserve">$19.99 </w:t>
            </w:r>
          </w:p>
        </w:tc>
        <w:tc>
          <w:tcPr>
            <w:tcW w:w="1710" w:type="dxa"/>
            <w:tcBorders>
              <w:top w:val="nil"/>
              <w:left w:val="nil"/>
              <w:bottom w:val="nil"/>
              <w:right w:val="single" w:sz="12" w:space="0" w:color="auto"/>
            </w:tcBorders>
            <w:shd w:val="clear" w:color="auto" w:fill="auto"/>
            <w:noWrap/>
            <w:vAlign w:val="center"/>
            <w:hideMark/>
          </w:tcPr>
          <w:p w14:paraId="4DC5C53E" w14:textId="77777777" w:rsidR="005503ED" w:rsidRPr="005503ED" w:rsidRDefault="005503ED" w:rsidP="005503ED">
            <w:pPr>
              <w:jc w:val="right"/>
              <w:rPr>
                <w:color w:val="auto"/>
                <w:sz w:val="22"/>
                <w:szCs w:val="22"/>
              </w:rPr>
            </w:pPr>
            <w:r w:rsidRPr="005503ED">
              <w:rPr>
                <w:color w:val="auto"/>
                <w:sz w:val="22"/>
                <w:szCs w:val="22"/>
              </w:rPr>
              <w:t xml:space="preserve">$20.75 </w:t>
            </w:r>
          </w:p>
        </w:tc>
        <w:tc>
          <w:tcPr>
            <w:tcW w:w="1695" w:type="dxa"/>
            <w:tcBorders>
              <w:top w:val="nil"/>
              <w:left w:val="nil"/>
              <w:bottom w:val="nil"/>
              <w:right w:val="single" w:sz="12" w:space="0" w:color="auto"/>
            </w:tcBorders>
            <w:shd w:val="clear" w:color="auto" w:fill="auto"/>
            <w:noWrap/>
            <w:vAlign w:val="center"/>
            <w:hideMark/>
          </w:tcPr>
          <w:p w14:paraId="372CAA46" w14:textId="77777777" w:rsidR="005503ED" w:rsidRPr="005503ED" w:rsidRDefault="005503ED" w:rsidP="005503ED">
            <w:pPr>
              <w:jc w:val="right"/>
              <w:rPr>
                <w:color w:val="auto"/>
                <w:sz w:val="22"/>
                <w:szCs w:val="22"/>
              </w:rPr>
            </w:pPr>
            <w:r w:rsidRPr="005503ED">
              <w:rPr>
                <w:color w:val="auto"/>
                <w:sz w:val="22"/>
                <w:szCs w:val="22"/>
              </w:rPr>
              <w:t xml:space="preserve">$0.76 </w:t>
            </w:r>
          </w:p>
        </w:tc>
      </w:tr>
      <w:tr w:rsidR="005503ED" w:rsidRPr="005503ED" w14:paraId="0FDE3779"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0A826414" w14:textId="77777777" w:rsidR="005503ED" w:rsidRPr="005503ED" w:rsidRDefault="005503ED" w:rsidP="005503ED">
            <w:pPr>
              <w:jc w:val="right"/>
              <w:rPr>
                <w:color w:val="auto"/>
                <w:sz w:val="22"/>
                <w:szCs w:val="22"/>
              </w:rPr>
            </w:pPr>
            <w:r w:rsidRPr="005503ED">
              <w:rPr>
                <w:color w:val="auto"/>
                <w:sz w:val="22"/>
                <w:szCs w:val="22"/>
              </w:rPr>
              <w:t>(Each Additional Line)</w:t>
            </w:r>
          </w:p>
        </w:tc>
        <w:tc>
          <w:tcPr>
            <w:tcW w:w="1620" w:type="dxa"/>
            <w:tcBorders>
              <w:top w:val="nil"/>
              <w:left w:val="single" w:sz="12" w:space="0" w:color="auto"/>
              <w:bottom w:val="nil"/>
              <w:right w:val="single" w:sz="12" w:space="0" w:color="auto"/>
            </w:tcBorders>
            <w:shd w:val="clear" w:color="auto" w:fill="auto"/>
            <w:noWrap/>
            <w:vAlign w:val="center"/>
            <w:hideMark/>
          </w:tcPr>
          <w:p w14:paraId="47461068" w14:textId="77777777" w:rsidR="005503ED" w:rsidRPr="005503ED" w:rsidRDefault="005503ED" w:rsidP="005503ED">
            <w:pPr>
              <w:jc w:val="right"/>
              <w:rPr>
                <w:color w:val="auto"/>
                <w:sz w:val="22"/>
                <w:szCs w:val="22"/>
              </w:rPr>
            </w:pPr>
            <w:r w:rsidRPr="005503ED">
              <w:rPr>
                <w:color w:val="auto"/>
                <w:sz w:val="22"/>
                <w:szCs w:val="22"/>
              </w:rPr>
              <w:t xml:space="preserve">$15.34 </w:t>
            </w:r>
          </w:p>
        </w:tc>
        <w:tc>
          <w:tcPr>
            <w:tcW w:w="1710" w:type="dxa"/>
            <w:tcBorders>
              <w:top w:val="nil"/>
              <w:left w:val="nil"/>
              <w:bottom w:val="nil"/>
              <w:right w:val="single" w:sz="12" w:space="0" w:color="auto"/>
            </w:tcBorders>
            <w:shd w:val="clear" w:color="auto" w:fill="auto"/>
            <w:noWrap/>
            <w:vAlign w:val="center"/>
            <w:hideMark/>
          </w:tcPr>
          <w:p w14:paraId="65F04803" w14:textId="77777777" w:rsidR="005503ED" w:rsidRPr="005503ED" w:rsidRDefault="005503ED" w:rsidP="005503ED">
            <w:pPr>
              <w:jc w:val="right"/>
              <w:rPr>
                <w:color w:val="auto"/>
                <w:sz w:val="22"/>
                <w:szCs w:val="22"/>
              </w:rPr>
            </w:pPr>
            <w:r w:rsidRPr="005503ED">
              <w:rPr>
                <w:color w:val="auto"/>
                <w:sz w:val="22"/>
                <w:szCs w:val="22"/>
              </w:rPr>
              <w:t xml:space="preserve">$16.10 </w:t>
            </w:r>
          </w:p>
        </w:tc>
        <w:tc>
          <w:tcPr>
            <w:tcW w:w="1695" w:type="dxa"/>
            <w:tcBorders>
              <w:top w:val="nil"/>
              <w:left w:val="nil"/>
              <w:bottom w:val="nil"/>
              <w:right w:val="single" w:sz="12" w:space="0" w:color="auto"/>
            </w:tcBorders>
            <w:shd w:val="clear" w:color="auto" w:fill="auto"/>
            <w:noWrap/>
            <w:vAlign w:val="center"/>
            <w:hideMark/>
          </w:tcPr>
          <w:p w14:paraId="4E0779F3" w14:textId="77777777" w:rsidR="005503ED" w:rsidRPr="005503ED" w:rsidRDefault="005503ED" w:rsidP="005503ED">
            <w:pPr>
              <w:jc w:val="right"/>
              <w:rPr>
                <w:color w:val="auto"/>
                <w:sz w:val="22"/>
                <w:szCs w:val="22"/>
              </w:rPr>
            </w:pPr>
            <w:r w:rsidRPr="005503ED">
              <w:rPr>
                <w:color w:val="auto"/>
                <w:sz w:val="22"/>
                <w:szCs w:val="22"/>
              </w:rPr>
              <w:t xml:space="preserve">$0.76 </w:t>
            </w:r>
          </w:p>
        </w:tc>
      </w:tr>
      <w:tr w:rsidR="005503ED" w:rsidRPr="005503ED" w14:paraId="77A31DE9"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5B02C86A" w14:textId="77777777" w:rsidR="005503ED" w:rsidRPr="005503ED" w:rsidRDefault="005503ED" w:rsidP="005503ED">
            <w:pPr>
              <w:jc w:val="right"/>
              <w:rPr>
                <w:color w:val="auto"/>
                <w:sz w:val="22"/>
                <w:szCs w:val="22"/>
              </w:rPr>
            </w:pPr>
            <w:r w:rsidRPr="005503ED">
              <w:rPr>
                <w:color w:val="auto"/>
                <w:sz w:val="22"/>
                <w:szCs w:val="22"/>
              </w:rPr>
              <w:t>Rate Group 3 - (First Line)</w:t>
            </w:r>
          </w:p>
        </w:tc>
        <w:tc>
          <w:tcPr>
            <w:tcW w:w="1620" w:type="dxa"/>
            <w:tcBorders>
              <w:top w:val="nil"/>
              <w:left w:val="single" w:sz="12" w:space="0" w:color="auto"/>
              <w:bottom w:val="nil"/>
              <w:right w:val="single" w:sz="12" w:space="0" w:color="auto"/>
            </w:tcBorders>
            <w:shd w:val="clear" w:color="auto" w:fill="auto"/>
            <w:noWrap/>
            <w:vAlign w:val="center"/>
            <w:hideMark/>
          </w:tcPr>
          <w:p w14:paraId="14CF71D6" w14:textId="77777777" w:rsidR="005503ED" w:rsidRPr="005503ED" w:rsidRDefault="005503ED" w:rsidP="005503ED">
            <w:pPr>
              <w:jc w:val="right"/>
              <w:rPr>
                <w:color w:val="auto"/>
                <w:sz w:val="22"/>
                <w:szCs w:val="22"/>
              </w:rPr>
            </w:pPr>
            <w:r w:rsidRPr="005503ED">
              <w:rPr>
                <w:color w:val="auto"/>
                <w:sz w:val="22"/>
                <w:szCs w:val="22"/>
              </w:rPr>
              <w:t xml:space="preserve">$19.99 </w:t>
            </w:r>
          </w:p>
        </w:tc>
        <w:tc>
          <w:tcPr>
            <w:tcW w:w="1710" w:type="dxa"/>
            <w:tcBorders>
              <w:top w:val="nil"/>
              <w:left w:val="nil"/>
              <w:bottom w:val="nil"/>
              <w:right w:val="single" w:sz="12" w:space="0" w:color="auto"/>
            </w:tcBorders>
            <w:shd w:val="clear" w:color="auto" w:fill="auto"/>
            <w:noWrap/>
            <w:vAlign w:val="center"/>
            <w:hideMark/>
          </w:tcPr>
          <w:p w14:paraId="754EE4B9" w14:textId="77777777" w:rsidR="005503ED" w:rsidRPr="005503ED" w:rsidRDefault="005503ED" w:rsidP="005503ED">
            <w:pPr>
              <w:jc w:val="right"/>
              <w:rPr>
                <w:color w:val="auto"/>
                <w:sz w:val="22"/>
                <w:szCs w:val="22"/>
              </w:rPr>
            </w:pPr>
            <w:r w:rsidRPr="005503ED">
              <w:rPr>
                <w:color w:val="auto"/>
                <w:sz w:val="22"/>
                <w:szCs w:val="22"/>
              </w:rPr>
              <w:t xml:space="preserve">$20.75 </w:t>
            </w:r>
          </w:p>
        </w:tc>
        <w:tc>
          <w:tcPr>
            <w:tcW w:w="1695" w:type="dxa"/>
            <w:tcBorders>
              <w:top w:val="nil"/>
              <w:left w:val="nil"/>
              <w:bottom w:val="nil"/>
              <w:right w:val="single" w:sz="12" w:space="0" w:color="auto"/>
            </w:tcBorders>
            <w:shd w:val="clear" w:color="auto" w:fill="auto"/>
            <w:noWrap/>
            <w:vAlign w:val="center"/>
            <w:hideMark/>
          </w:tcPr>
          <w:p w14:paraId="6EA98012" w14:textId="77777777" w:rsidR="005503ED" w:rsidRPr="005503ED" w:rsidRDefault="005503ED" w:rsidP="005503ED">
            <w:pPr>
              <w:jc w:val="right"/>
              <w:rPr>
                <w:color w:val="auto"/>
                <w:sz w:val="22"/>
                <w:szCs w:val="22"/>
              </w:rPr>
            </w:pPr>
            <w:r w:rsidRPr="005503ED">
              <w:rPr>
                <w:color w:val="auto"/>
                <w:sz w:val="22"/>
                <w:szCs w:val="22"/>
              </w:rPr>
              <w:t xml:space="preserve">$0.76 </w:t>
            </w:r>
          </w:p>
        </w:tc>
      </w:tr>
      <w:tr w:rsidR="005503ED" w:rsidRPr="005503ED" w14:paraId="1EB9F67D"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47BF58B9" w14:textId="77777777" w:rsidR="005503ED" w:rsidRPr="005503ED" w:rsidRDefault="005503ED" w:rsidP="005503ED">
            <w:pPr>
              <w:jc w:val="right"/>
              <w:rPr>
                <w:color w:val="auto"/>
                <w:sz w:val="22"/>
                <w:szCs w:val="22"/>
              </w:rPr>
            </w:pPr>
            <w:r w:rsidRPr="005503ED">
              <w:rPr>
                <w:color w:val="auto"/>
                <w:sz w:val="22"/>
                <w:szCs w:val="22"/>
              </w:rPr>
              <w:t>(Each Additional Line)</w:t>
            </w:r>
          </w:p>
        </w:tc>
        <w:tc>
          <w:tcPr>
            <w:tcW w:w="1620" w:type="dxa"/>
            <w:tcBorders>
              <w:top w:val="nil"/>
              <w:left w:val="single" w:sz="12" w:space="0" w:color="auto"/>
              <w:bottom w:val="nil"/>
              <w:right w:val="single" w:sz="12" w:space="0" w:color="auto"/>
            </w:tcBorders>
            <w:shd w:val="clear" w:color="auto" w:fill="auto"/>
            <w:noWrap/>
            <w:vAlign w:val="center"/>
            <w:hideMark/>
          </w:tcPr>
          <w:p w14:paraId="12BB8C66" w14:textId="77777777" w:rsidR="005503ED" w:rsidRPr="005503ED" w:rsidRDefault="005503ED" w:rsidP="005503ED">
            <w:pPr>
              <w:jc w:val="right"/>
              <w:rPr>
                <w:color w:val="auto"/>
                <w:sz w:val="22"/>
                <w:szCs w:val="22"/>
              </w:rPr>
            </w:pPr>
            <w:r w:rsidRPr="005503ED">
              <w:rPr>
                <w:color w:val="auto"/>
                <w:sz w:val="22"/>
                <w:szCs w:val="22"/>
              </w:rPr>
              <w:t xml:space="preserve">$15.34 </w:t>
            </w:r>
          </w:p>
        </w:tc>
        <w:tc>
          <w:tcPr>
            <w:tcW w:w="1710" w:type="dxa"/>
            <w:tcBorders>
              <w:top w:val="nil"/>
              <w:left w:val="nil"/>
              <w:bottom w:val="nil"/>
              <w:right w:val="single" w:sz="12" w:space="0" w:color="auto"/>
            </w:tcBorders>
            <w:shd w:val="clear" w:color="auto" w:fill="auto"/>
            <w:noWrap/>
            <w:vAlign w:val="center"/>
            <w:hideMark/>
          </w:tcPr>
          <w:p w14:paraId="4005DAB4" w14:textId="77777777" w:rsidR="005503ED" w:rsidRPr="005503ED" w:rsidRDefault="005503ED" w:rsidP="005503ED">
            <w:pPr>
              <w:jc w:val="right"/>
              <w:rPr>
                <w:color w:val="auto"/>
                <w:sz w:val="22"/>
                <w:szCs w:val="22"/>
              </w:rPr>
            </w:pPr>
            <w:r w:rsidRPr="005503ED">
              <w:rPr>
                <w:color w:val="auto"/>
                <w:sz w:val="22"/>
                <w:szCs w:val="22"/>
              </w:rPr>
              <w:t xml:space="preserve">$16.10 </w:t>
            </w:r>
          </w:p>
        </w:tc>
        <w:tc>
          <w:tcPr>
            <w:tcW w:w="1695" w:type="dxa"/>
            <w:tcBorders>
              <w:top w:val="nil"/>
              <w:left w:val="nil"/>
              <w:bottom w:val="nil"/>
              <w:right w:val="single" w:sz="12" w:space="0" w:color="auto"/>
            </w:tcBorders>
            <w:shd w:val="clear" w:color="auto" w:fill="auto"/>
            <w:noWrap/>
            <w:vAlign w:val="center"/>
            <w:hideMark/>
          </w:tcPr>
          <w:p w14:paraId="3BA40754" w14:textId="77777777" w:rsidR="005503ED" w:rsidRPr="005503ED" w:rsidRDefault="005503ED" w:rsidP="005503ED">
            <w:pPr>
              <w:jc w:val="right"/>
              <w:rPr>
                <w:color w:val="auto"/>
                <w:sz w:val="22"/>
                <w:szCs w:val="22"/>
              </w:rPr>
            </w:pPr>
            <w:r w:rsidRPr="005503ED">
              <w:rPr>
                <w:color w:val="auto"/>
                <w:sz w:val="22"/>
                <w:szCs w:val="22"/>
              </w:rPr>
              <w:t xml:space="preserve">$0.76 </w:t>
            </w:r>
          </w:p>
        </w:tc>
      </w:tr>
      <w:tr w:rsidR="005503ED" w:rsidRPr="005503ED" w14:paraId="75037F54"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5F31CC23" w14:textId="77777777" w:rsidR="005503ED" w:rsidRPr="005503ED" w:rsidRDefault="005503ED" w:rsidP="005503ED">
            <w:pPr>
              <w:jc w:val="right"/>
              <w:rPr>
                <w:color w:val="auto"/>
                <w:sz w:val="22"/>
                <w:szCs w:val="22"/>
              </w:rPr>
            </w:pPr>
            <w:r w:rsidRPr="005503ED">
              <w:rPr>
                <w:color w:val="auto"/>
                <w:sz w:val="22"/>
                <w:szCs w:val="22"/>
              </w:rPr>
              <w:t>Rate Group 4 - (First Line)</w:t>
            </w:r>
          </w:p>
        </w:tc>
        <w:tc>
          <w:tcPr>
            <w:tcW w:w="1620" w:type="dxa"/>
            <w:tcBorders>
              <w:top w:val="nil"/>
              <w:left w:val="single" w:sz="12" w:space="0" w:color="auto"/>
              <w:bottom w:val="nil"/>
              <w:right w:val="single" w:sz="12" w:space="0" w:color="auto"/>
            </w:tcBorders>
            <w:shd w:val="clear" w:color="auto" w:fill="auto"/>
            <w:noWrap/>
            <w:vAlign w:val="center"/>
            <w:hideMark/>
          </w:tcPr>
          <w:p w14:paraId="1471336F" w14:textId="77777777" w:rsidR="005503ED" w:rsidRPr="005503ED" w:rsidRDefault="005503ED" w:rsidP="005503ED">
            <w:pPr>
              <w:jc w:val="right"/>
              <w:rPr>
                <w:color w:val="auto"/>
                <w:sz w:val="22"/>
                <w:szCs w:val="22"/>
              </w:rPr>
            </w:pPr>
            <w:r w:rsidRPr="005503ED">
              <w:rPr>
                <w:color w:val="auto"/>
                <w:sz w:val="22"/>
                <w:szCs w:val="22"/>
              </w:rPr>
              <w:t xml:space="preserve">$19.99 </w:t>
            </w:r>
          </w:p>
        </w:tc>
        <w:tc>
          <w:tcPr>
            <w:tcW w:w="1710" w:type="dxa"/>
            <w:tcBorders>
              <w:top w:val="nil"/>
              <w:left w:val="nil"/>
              <w:bottom w:val="nil"/>
              <w:right w:val="single" w:sz="12" w:space="0" w:color="auto"/>
            </w:tcBorders>
            <w:shd w:val="clear" w:color="auto" w:fill="auto"/>
            <w:noWrap/>
            <w:vAlign w:val="center"/>
            <w:hideMark/>
          </w:tcPr>
          <w:p w14:paraId="55CEDF32" w14:textId="77777777" w:rsidR="005503ED" w:rsidRPr="005503ED" w:rsidRDefault="005503ED" w:rsidP="005503ED">
            <w:pPr>
              <w:jc w:val="right"/>
              <w:rPr>
                <w:color w:val="auto"/>
                <w:sz w:val="22"/>
                <w:szCs w:val="22"/>
              </w:rPr>
            </w:pPr>
            <w:r w:rsidRPr="005503ED">
              <w:rPr>
                <w:color w:val="auto"/>
                <w:sz w:val="22"/>
                <w:szCs w:val="22"/>
              </w:rPr>
              <w:t xml:space="preserve">$20.75 </w:t>
            </w:r>
          </w:p>
        </w:tc>
        <w:tc>
          <w:tcPr>
            <w:tcW w:w="1695" w:type="dxa"/>
            <w:tcBorders>
              <w:top w:val="nil"/>
              <w:left w:val="nil"/>
              <w:bottom w:val="nil"/>
              <w:right w:val="single" w:sz="12" w:space="0" w:color="auto"/>
            </w:tcBorders>
            <w:shd w:val="clear" w:color="auto" w:fill="auto"/>
            <w:noWrap/>
            <w:vAlign w:val="center"/>
            <w:hideMark/>
          </w:tcPr>
          <w:p w14:paraId="7C557201" w14:textId="77777777" w:rsidR="005503ED" w:rsidRPr="005503ED" w:rsidRDefault="005503ED" w:rsidP="005503ED">
            <w:pPr>
              <w:jc w:val="right"/>
              <w:rPr>
                <w:color w:val="auto"/>
                <w:sz w:val="22"/>
                <w:szCs w:val="22"/>
              </w:rPr>
            </w:pPr>
            <w:r w:rsidRPr="005503ED">
              <w:rPr>
                <w:color w:val="auto"/>
                <w:sz w:val="22"/>
                <w:szCs w:val="22"/>
              </w:rPr>
              <w:t xml:space="preserve">$0.76 </w:t>
            </w:r>
          </w:p>
        </w:tc>
      </w:tr>
      <w:tr w:rsidR="005503ED" w:rsidRPr="005503ED" w14:paraId="616E5255"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2238BA2B" w14:textId="77777777" w:rsidR="005503ED" w:rsidRPr="005503ED" w:rsidRDefault="005503ED" w:rsidP="005503ED">
            <w:pPr>
              <w:jc w:val="right"/>
              <w:rPr>
                <w:color w:val="auto"/>
                <w:sz w:val="22"/>
                <w:szCs w:val="22"/>
              </w:rPr>
            </w:pPr>
            <w:r w:rsidRPr="005503ED">
              <w:rPr>
                <w:color w:val="auto"/>
                <w:sz w:val="22"/>
                <w:szCs w:val="22"/>
              </w:rPr>
              <w:t>(Each Additional Line)</w:t>
            </w:r>
          </w:p>
        </w:tc>
        <w:tc>
          <w:tcPr>
            <w:tcW w:w="1620" w:type="dxa"/>
            <w:tcBorders>
              <w:top w:val="nil"/>
              <w:left w:val="single" w:sz="12" w:space="0" w:color="auto"/>
              <w:bottom w:val="nil"/>
              <w:right w:val="single" w:sz="12" w:space="0" w:color="auto"/>
            </w:tcBorders>
            <w:shd w:val="clear" w:color="auto" w:fill="auto"/>
            <w:noWrap/>
            <w:vAlign w:val="center"/>
            <w:hideMark/>
          </w:tcPr>
          <w:p w14:paraId="754AD8D0" w14:textId="77777777" w:rsidR="005503ED" w:rsidRPr="005503ED" w:rsidRDefault="005503ED" w:rsidP="005503ED">
            <w:pPr>
              <w:jc w:val="right"/>
              <w:rPr>
                <w:color w:val="auto"/>
                <w:sz w:val="22"/>
                <w:szCs w:val="22"/>
              </w:rPr>
            </w:pPr>
            <w:r w:rsidRPr="005503ED">
              <w:rPr>
                <w:color w:val="auto"/>
                <w:sz w:val="22"/>
                <w:szCs w:val="22"/>
              </w:rPr>
              <w:t xml:space="preserve">$15.34 </w:t>
            </w:r>
          </w:p>
        </w:tc>
        <w:tc>
          <w:tcPr>
            <w:tcW w:w="1710" w:type="dxa"/>
            <w:tcBorders>
              <w:top w:val="nil"/>
              <w:left w:val="nil"/>
              <w:bottom w:val="nil"/>
              <w:right w:val="single" w:sz="12" w:space="0" w:color="auto"/>
            </w:tcBorders>
            <w:shd w:val="clear" w:color="auto" w:fill="auto"/>
            <w:noWrap/>
            <w:vAlign w:val="center"/>
            <w:hideMark/>
          </w:tcPr>
          <w:p w14:paraId="536C918E" w14:textId="77777777" w:rsidR="005503ED" w:rsidRPr="005503ED" w:rsidRDefault="005503ED" w:rsidP="005503ED">
            <w:pPr>
              <w:jc w:val="right"/>
              <w:rPr>
                <w:color w:val="auto"/>
                <w:sz w:val="22"/>
                <w:szCs w:val="22"/>
              </w:rPr>
            </w:pPr>
            <w:r w:rsidRPr="005503ED">
              <w:rPr>
                <w:color w:val="auto"/>
                <w:sz w:val="22"/>
                <w:szCs w:val="22"/>
              </w:rPr>
              <w:t xml:space="preserve">$16.10 </w:t>
            </w:r>
          </w:p>
        </w:tc>
        <w:tc>
          <w:tcPr>
            <w:tcW w:w="1695" w:type="dxa"/>
            <w:tcBorders>
              <w:top w:val="nil"/>
              <w:left w:val="nil"/>
              <w:bottom w:val="nil"/>
              <w:right w:val="single" w:sz="12" w:space="0" w:color="auto"/>
            </w:tcBorders>
            <w:shd w:val="clear" w:color="auto" w:fill="auto"/>
            <w:noWrap/>
            <w:vAlign w:val="center"/>
            <w:hideMark/>
          </w:tcPr>
          <w:p w14:paraId="0718E74E" w14:textId="77777777" w:rsidR="005503ED" w:rsidRPr="005503ED" w:rsidRDefault="005503ED" w:rsidP="005503ED">
            <w:pPr>
              <w:jc w:val="right"/>
              <w:rPr>
                <w:color w:val="auto"/>
                <w:sz w:val="22"/>
                <w:szCs w:val="22"/>
              </w:rPr>
            </w:pPr>
            <w:r w:rsidRPr="005503ED">
              <w:rPr>
                <w:color w:val="auto"/>
                <w:sz w:val="22"/>
                <w:szCs w:val="22"/>
              </w:rPr>
              <w:t xml:space="preserve">$0.76 </w:t>
            </w:r>
          </w:p>
        </w:tc>
      </w:tr>
      <w:tr w:rsidR="005503ED" w:rsidRPr="005503ED" w14:paraId="3E81F42C"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60596D28" w14:textId="77777777" w:rsidR="005503ED" w:rsidRPr="005503ED" w:rsidRDefault="005503ED" w:rsidP="005503ED">
            <w:pPr>
              <w:jc w:val="right"/>
              <w:rPr>
                <w:color w:val="auto"/>
                <w:sz w:val="22"/>
                <w:szCs w:val="22"/>
              </w:rPr>
            </w:pPr>
            <w:r w:rsidRPr="005503ED">
              <w:rPr>
                <w:color w:val="auto"/>
                <w:sz w:val="22"/>
                <w:szCs w:val="22"/>
              </w:rPr>
              <w:t>Rate Group 5 - (First Line)</w:t>
            </w:r>
          </w:p>
        </w:tc>
        <w:tc>
          <w:tcPr>
            <w:tcW w:w="1620" w:type="dxa"/>
            <w:tcBorders>
              <w:top w:val="nil"/>
              <w:left w:val="single" w:sz="12" w:space="0" w:color="auto"/>
              <w:bottom w:val="nil"/>
              <w:right w:val="single" w:sz="12" w:space="0" w:color="auto"/>
            </w:tcBorders>
            <w:shd w:val="clear" w:color="auto" w:fill="auto"/>
            <w:noWrap/>
            <w:vAlign w:val="center"/>
            <w:hideMark/>
          </w:tcPr>
          <w:p w14:paraId="61BD6F0C" w14:textId="77777777" w:rsidR="005503ED" w:rsidRPr="005503ED" w:rsidRDefault="005503ED" w:rsidP="005503ED">
            <w:pPr>
              <w:jc w:val="right"/>
              <w:rPr>
                <w:color w:val="auto"/>
                <w:sz w:val="22"/>
                <w:szCs w:val="22"/>
              </w:rPr>
            </w:pPr>
            <w:r w:rsidRPr="005503ED">
              <w:rPr>
                <w:color w:val="auto"/>
                <w:sz w:val="22"/>
                <w:szCs w:val="22"/>
              </w:rPr>
              <w:t xml:space="preserve">$19.99 </w:t>
            </w:r>
          </w:p>
        </w:tc>
        <w:tc>
          <w:tcPr>
            <w:tcW w:w="1710" w:type="dxa"/>
            <w:tcBorders>
              <w:top w:val="nil"/>
              <w:left w:val="nil"/>
              <w:bottom w:val="nil"/>
              <w:right w:val="single" w:sz="12" w:space="0" w:color="auto"/>
            </w:tcBorders>
            <w:shd w:val="clear" w:color="auto" w:fill="auto"/>
            <w:noWrap/>
            <w:vAlign w:val="center"/>
            <w:hideMark/>
          </w:tcPr>
          <w:p w14:paraId="3B59FF31" w14:textId="77777777" w:rsidR="005503ED" w:rsidRPr="005503ED" w:rsidRDefault="005503ED" w:rsidP="005503ED">
            <w:pPr>
              <w:jc w:val="right"/>
              <w:rPr>
                <w:color w:val="auto"/>
                <w:sz w:val="22"/>
                <w:szCs w:val="22"/>
              </w:rPr>
            </w:pPr>
            <w:r w:rsidRPr="005503ED">
              <w:rPr>
                <w:color w:val="auto"/>
                <w:sz w:val="22"/>
                <w:szCs w:val="22"/>
              </w:rPr>
              <w:t xml:space="preserve">$20.75 </w:t>
            </w:r>
          </w:p>
        </w:tc>
        <w:tc>
          <w:tcPr>
            <w:tcW w:w="1695" w:type="dxa"/>
            <w:tcBorders>
              <w:top w:val="nil"/>
              <w:left w:val="nil"/>
              <w:bottom w:val="nil"/>
              <w:right w:val="single" w:sz="12" w:space="0" w:color="auto"/>
            </w:tcBorders>
            <w:shd w:val="clear" w:color="auto" w:fill="auto"/>
            <w:noWrap/>
            <w:vAlign w:val="center"/>
            <w:hideMark/>
          </w:tcPr>
          <w:p w14:paraId="069FE0DB" w14:textId="77777777" w:rsidR="005503ED" w:rsidRPr="005503ED" w:rsidRDefault="005503ED" w:rsidP="005503ED">
            <w:pPr>
              <w:jc w:val="right"/>
              <w:rPr>
                <w:color w:val="auto"/>
                <w:sz w:val="22"/>
                <w:szCs w:val="22"/>
              </w:rPr>
            </w:pPr>
            <w:r w:rsidRPr="005503ED">
              <w:rPr>
                <w:color w:val="auto"/>
                <w:sz w:val="22"/>
                <w:szCs w:val="22"/>
              </w:rPr>
              <w:t xml:space="preserve">$0.76 </w:t>
            </w:r>
          </w:p>
        </w:tc>
      </w:tr>
      <w:tr w:rsidR="005503ED" w:rsidRPr="005503ED" w14:paraId="359E6570"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1A8101D2" w14:textId="77777777" w:rsidR="005503ED" w:rsidRPr="005503ED" w:rsidRDefault="005503ED" w:rsidP="005503ED">
            <w:pPr>
              <w:jc w:val="right"/>
              <w:rPr>
                <w:color w:val="auto"/>
                <w:sz w:val="22"/>
                <w:szCs w:val="22"/>
              </w:rPr>
            </w:pPr>
            <w:r w:rsidRPr="005503ED">
              <w:rPr>
                <w:color w:val="auto"/>
                <w:sz w:val="22"/>
                <w:szCs w:val="22"/>
              </w:rPr>
              <w:t>(Each Additional Line)</w:t>
            </w:r>
          </w:p>
        </w:tc>
        <w:tc>
          <w:tcPr>
            <w:tcW w:w="1620" w:type="dxa"/>
            <w:tcBorders>
              <w:top w:val="nil"/>
              <w:left w:val="single" w:sz="12" w:space="0" w:color="auto"/>
              <w:bottom w:val="nil"/>
              <w:right w:val="single" w:sz="12" w:space="0" w:color="auto"/>
            </w:tcBorders>
            <w:shd w:val="clear" w:color="auto" w:fill="auto"/>
            <w:noWrap/>
            <w:vAlign w:val="center"/>
            <w:hideMark/>
          </w:tcPr>
          <w:p w14:paraId="622F93DA" w14:textId="77777777" w:rsidR="005503ED" w:rsidRPr="005503ED" w:rsidRDefault="005503ED" w:rsidP="005503ED">
            <w:pPr>
              <w:jc w:val="right"/>
              <w:rPr>
                <w:color w:val="auto"/>
                <w:sz w:val="22"/>
                <w:szCs w:val="22"/>
              </w:rPr>
            </w:pPr>
            <w:r w:rsidRPr="005503ED">
              <w:rPr>
                <w:color w:val="auto"/>
                <w:sz w:val="22"/>
                <w:szCs w:val="22"/>
              </w:rPr>
              <w:t xml:space="preserve">$15.34 </w:t>
            </w:r>
          </w:p>
        </w:tc>
        <w:tc>
          <w:tcPr>
            <w:tcW w:w="1710" w:type="dxa"/>
            <w:tcBorders>
              <w:top w:val="nil"/>
              <w:left w:val="nil"/>
              <w:bottom w:val="nil"/>
              <w:right w:val="single" w:sz="12" w:space="0" w:color="auto"/>
            </w:tcBorders>
            <w:shd w:val="clear" w:color="auto" w:fill="auto"/>
            <w:noWrap/>
            <w:vAlign w:val="center"/>
            <w:hideMark/>
          </w:tcPr>
          <w:p w14:paraId="564805BC" w14:textId="77777777" w:rsidR="005503ED" w:rsidRPr="005503ED" w:rsidRDefault="005503ED" w:rsidP="005503ED">
            <w:pPr>
              <w:jc w:val="right"/>
              <w:rPr>
                <w:color w:val="auto"/>
                <w:sz w:val="22"/>
                <w:szCs w:val="22"/>
              </w:rPr>
            </w:pPr>
            <w:r w:rsidRPr="005503ED">
              <w:rPr>
                <w:color w:val="auto"/>
                <w:sz w:val="22"/>
                <w:szCs w:val="22"/>
              </w:rPr>
              <w:t xml:space="preserve">$16.10 </w:t>
            </w:r>
          </w:p>
        </w:tc>
        <w:tc>
          <w:tcPr>
            <w:tcW w:w="1695" w:type="dxa"/>
            <w:tcBorders>
              <w:top w:val="nil"/>
              <w:left w:val="nil"/>
              <w:bottom w:val="nil"/>
              <w:right w:val="single" w:sz="12" w:space="0" w:color="auto"/>
            </w:tcBorders>
            <w:shd w:val="clear" w:color="auto" w:fill="auto"/>
            <w:noWrap/>
            <w:vAlign w:val="center"/>
            <w:hideMark/>
          </w:tcPr>
          <w:p w14:paraId="2410DA96" w14:textId="77777777" w:rsidR="005503ED" w:rsidRPr="005503ED" w:rsidRDefault="005503ED" w:rsidP="005503ED">
            <w:pPr>
              <w:jc w:val="right"/>
              <w:rPr>
                <w:color w:val="auto"/>
                <w:sz w:val="22"/>
                <w:szCs w:val="22"/>
              </w:rPr>
            </w:pPr>
            <w:r w:rsidRPr="005503ED">
              <w:rPr>
                <w:color w:val="auto"/>
                <w:sz w:val="22"/>
                <w:szCs w:val="22"/>
              </w:rPr>
              <w:t xml:space="preserve">$0.76 </w:t>
            </w:r>
          </w:p>
        </w:tc>
      </w:tr>
      <w:tr w:rsidR="005503ED" w:rsidRPr="005503ED" w14:paraId="272E01C5"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18A65554" w14:textId="77777777" w:rsidR="005503ED" w:rsidRPr="005503ED" w:rsidRDefault="005503ED" w:rsidP="005503ED">
            <w:pPr>
              <w:jc w:val="right"/>
              <w:rPr>
                <w:color w:val="auto"/>
                <w:sz w:val="22"/>
                <w:szCs w:val="22"/>
              </w:rPr>
            </w:pPr>
            <w:r w:rsidRPr="005503ED">
              <w:rPr>
                <w:color w:val="auto"/>
                <w:sz w:val="22"/>
                <w:szCs w:val="22"/>
              </w:rPr>
              <w:t>Rate Group 6 - (First Line)</w:t>
            </w:r>
          </w:p>
        </w:tc>
        <w:tc>
          <w:tcPr>
            <w:tcW w:w="1620" w:type="dxa"/>
            <w:tcBorders>
              <w:top w:val="nil"/>
              <w:left w:val="single" w:sz="12" w:space="0" w:color="auto"/>
              <w:bottom w:val="nil"/>
              <w:right w:val="single" w:sz="12" w:space="0" w:color="auto"/>
            </w:tcBorders>
            <w:shd w:val="clear" w:color="auto" w:fill="auto"/>
            <w:noWrap/>
            <w:vAlign w:val="center"/>
            <w:hideMark/>
          </w:tcPr>
          <w:p w14:paraId="4024309C" w14:textId="77777777" w:rsidR="005503ED" w:rsidRPr="005503ED" w:rsidRDefault="005503ED" w:rsidP="005503ED">
            <w:pPr>
              <w:jc w:val="right"/>
              <w:rPr>
                <w:color w:val="auto"/>
                <w:sz w:val="22"/>
                <w:szCs w:val="22"/>
              </w:rPr>
            </w:pPr>
            <w:r w:rsidRPr="005503ED">
              <w:rPr>
                <w:color w:val="auto"/>
                <w:sz w:val="22"/>
                <w:szCs w:val="22"/>
              </w:rPr>
              <w:t xml:space="preserve">$19.99 </w:t>
            </w:r>
          </w:p>
        </w:tc>
        <w:tc>
          <w:tcPr>
            <w:tcW w:w="1710" w:type="dxa"/>
            <w:tcBorders>
              <w:top w:val="nil"/>
              <w:left w:val="nil"/>
              <w:bottom w:val="nil"/>
              <w:right w:val="single" w:sz="12" w:space="0" w:color="auto"/>
            </w:tcBorders>
            <w:shd w:val="clear" w:color="auto" w:fill="auto"/>
            <w:noWrap/>
            <w:vAlign w:val="center"/>
            <w:hideMark/>
          </w:tcPr>
          <w:p w14:paraId="4769BA3F" w14:textId="77777777" w:rsidR="005503ED" w:rsidRPr="005503ED" w:rsidRDefault="005503ED" w:rsidP="005503ED">
            <w:pPr>
              <w:jc w:val="right"/>
              <w:rPr>
                <w:color w:val="auto"/>
                <w:sz w:val="22"/>
                <w:szCs w:val="22"/>
              </w:rPr>
            </w:pPr>
            <w:r w:rsidRPr="005503ED">
              <w:rPr>
                <w:color w:val="auto"/>
                <w:sz w:val="22"/>
                <w:szCs w:val="22"/>
              </w:rPr>
              <w:t xml:space="preserve">$20.75 </w:t>
            </w:r>
          </w:p>
        </w:tc>
        <w:tc>
          <w:tcPr>
            <w:tcW w:w="1695" w:type="dxa"/>
            <w:tcBorders>
              <w:top w:val="nil"/>
              <w:left w:val="nil"/>
              <w:bottom w:val="nil"/>
              <w:right w:val="single" w:sz="12" w:space="0" w:color="auto"/>
            </w:tcBorders>
            <w:shd w:val="clear" w:color="auto" w:fill="auto"/>
            <w:noWrap/>
            <w:vAlign w:val="center"/>
            <w:hideMark/>
          </w:tcPr>
          <w:p w14:paraId="3E1ADA1B" w14:textId="77777777" w:rsidR="005503ED" w:rsidRPr="005503ED" w:rsidRDefault="005503ED" w:rsidP="005503ED">
            <w:pPr>
              <w:jc w:val="right"/>
              <w:rPr>
                <w:color w:val="auto"/>
                <w:sz w:val="22"/>
                <w:szCs w:val="22"/>
              </w:rPr>
            </w:pPr>
            <w:r w:rsidRPr="005503ED">
              <w:rPr>
                <w:color w:val="auto"/>
                <w:sz w:val="22"/>
                <w:szCs w:val="22"/>
              </w:rPr>
              <w:t xml:space="preserve">$0.76 </w:t>
            </w:r>
          </w:p>
        </w:tc>
      </w:tr>
      <w:tr w:rsidR="005503ED" w:rsidRPr="005503ED" w14:paraId="20957102"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2B06B2BE" w14:textId="77777777" w:rsidR="005503ED" w:rsidRPr="005503ED" w:rsidRDefault="005503ED" w:rsidP="005503ED">
            <w:pPr>
              <w:jc w:val="right"/>
              <w:rPr>
                <w:color w:val="auto"/>
                <w:sz w:val="22"/>
                <w:szCs w:val="22"/>
              </w:rPr>
            </w:pPr>
            <w:r w:rsidRPr="005503ED">
              <w:rPr>
                <w:color w:val="auto"/>
                <w:sz w:val="22"/>
                <w:szCs w:val="22"/>
              </w:rPr>
              <w:t>(Each Additional Line)</w:t>
            </w:r>
          </w:p>
        </w:tc>
        <w:tc>
          <w:tcPr>
            <w:tcW w:w="1620" w:type="dxa"/>
            <w:tcBorders>
              <w:top w:val="nil"/>
              <w:left w:val="single" w:sz="12" w:space="0" w:color="auto"/>
              <w:bottom w:val="nil"/>
              <w:right w:val="single" w:sz="12" w:space="0" w:color="auto"/>
            </w:tcBorders>
            <w:shd w:val="clear" w:color="auto" w:fill="auto"/>
            <w:noWrap/>
            <w:vAlign w:val="center"/>
            <w:hideMark/>
          </w:tcPr>
          <w:p w14:paraId="3B03E423" w14:textId="77777777" w:rsidR="005503ED" w:rsidRPr="005503ED" w:rsidRDefault="005503ED" w:rsidP="005503ED">
            <w:pPr>
              <w:jc w:val="right"/>
              <w:rPr>
                <w:color w:val="auto"/>
                <w:sz w:val="22"/>
                <w:szCs w:val="22"/>
              </w:rPr>
            </w:pPr>
            <w:r w:rsidRPr="005503ED">
              <w:rPr>
                <w:color w:val="auto"/>
                <w:sz w:val="22"/>
                <w:szCs w:val="22"/>
              </w:rPr>
              <w:t xml:space="preserve">$15.34 </w:t>
            </w:r>
          </w:p>
        </w:tc>
        <w:tc>
          <w:tcPr>
            <w:tcW w:w="1710" w:type="dxa"/>
            <w:tcBorders>
              <w:top w:val="nil"/>
              <w:left w:val="nil"/>
              <w:bottom w:val="nil"/>
              <w:right w:val="single" w:sz="12" w:space="0" w:color="auto"/>
            </w:tcBorders>
            <w:shd w:val="clear" w:color="auto" w:fill="auto"/>
            <w:noWrap/>
            <w:vAlign w:val="center"/>
            <w:hideMark/>
          </w:tcPr>
          <w:p w14:paraId="1F53E6A3" w14:textId="77777777" w:rsidR="005503ED" w:rsidRPr="005503ED" w:rsidRDefault="005503ED" w:rsidP="005503ED">
            <w:pPr>
              <w:jc w:val="right"/>
              <w:rPr>
                <w:color w:val="auto"/>
                <w:sz w:val="22"/>
                <w:szCs w:val="22"/>
              </w:rPr>
            </w:pPr>
            <w:r w:rsidRPr="005503ED">
              <w:rPr>
                <w:color w:val="auto"/>
                <w:sz w:val="22"/>
                <w:szCs w:val="22"/>
              </w:rPr>
              <w:t xml:space="preserve">$16.10 </w:t>
            </w:r>
          </w:p>
        </w:tc>
        <w:tc>
          <w:tcPr>
            <w:tcW w:w="1695" w:type="dxa"/>
            <w:tcBorders>
              <w:top w:val="nil"/>
              <w:left w:val="nil"/>
              <w:bottom w:val="nil"/>
              <w:right w:val="single" w:sz="12" w:space="0" w:color="auto"/>
            </w:tcBorders>
            <w:shd w:val="clear" w:color="auto" w:fill="auto"/>
            <w:noWrap/>
            <w:vAlign w:val="center"/>
            <w:hideMark/>
          </w:tcPr>
          <w:p w14:paraId="70C3BF79" w14:textId="77777777" w:rsidR="005503ED" w:rsidRPr="005503ED" w:rsidRDefault="005503ED" w:rsidP="005503ED">
            <w:pPr>
              <w:jc w:val="right"/>
              <w:rPr>
                <w:color w:val="auto"/>
                <w:sz w:val="22"/>
                <w:szCs w:val="22"/>
              </w:rPr>
            </w:pPr>
            <w:r w:rsidRPr="005503ED">
              <w:rPr>
                <w:color w:val="auto"/>
                <w:sz w:val="22"/>
                <w:szCs w:val="22"/>
              </w:rPr>
              <w:t xml:space="preserve">$0.76 </w:t>
            </w:r>
          </w:p>
        </w:tc>
      </w:tr>
      <w:tr w:rsidR="005503ED" w:rsidRPr="005503ED" w14:paraId="3A3DB8DE"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201D0A82" w14:textId="77777777" w:rsidR="005503ED" w:rsidRPr="005503ED" w:rsidRDefault="005503ED" w:rsidP="005503ED">
            <w:pPr>
              <w:rPr>
                <w:color w:val="auto"/>
                <w:sz w:val="20"/>
              </w:rPr>
            </w:pPr>
            <w:r w:rsidRPr="005503ED">
              <w:rPr>
                <w:color w:val="auto"/>
                <w:sz w:val="20"/>
              </w:rPr>
              <w:t> </w:t>
            </w:r>
          </w:p>
        </w:tc>
        <w:tc>
          <w:tcPr>
            <w:tcW w:w="1620" w:type="dxa"/>
            <w:tcBorders>
              <w:top w:val="nil"/>
              <w:left w:val="single" w:sz="12" w:space="0" w:color="auto"/>
              <w:bottom w:val="nil"/>
              <w:right w:val="single" w:sz="12" w:space="0" w:color="auto"/>
            </w:tcBorders>
            <w:shd w:val="clear" w:color="auto" w:fill="auto"/>
            <w:noWrap/>
            <w:vAlign w:val="center"/>
            <w:hideMark/>
          </w:tcPr>
          <w:p w14:paraId="1528DA39" w14:textId="77777777" w:rsidR="005503ED" w:rsidRPr="005503ED" w:rsidRDefault="005503ED" w:rsidP="005503ED">
            <w:pPr>
              <w:rPr>
                <w:color w:val="auto"/>
                <w:sz w:val="20"/>
              </w:rPr>
            </w:pPr>
            <w:r w:rsidRPr="005503ED">
              <w:rPr>
                <w:color w:val="auto"/>
                <w:sz w:val="20"/>
              </w:rPr>
              <w:t> </w:t>
            </w:r>
          </w:p>
        </w:tc>
        <w:tc>
          <w:tcPr>
            <w:tcW w:w="1710" w:type="dxa"/>
            <w:tcBorders>
              <w:top w:val="nil"/>
              <w:left w:val="nil"/>
              <w:bottom w:val="nil"/>
              <w:right w:val="single" w:sz="12" w:space="0" w:color="auto"/>
            </w:tcBorders>
            <w:shd w:val="clear" w:color="auto" w:fill="auto"/>
            <w:noWrap/>
            <w:vAlign w:val="center"/>
            <w:hideMark/>
          </w:tcPr>
          <w:p w14:paraId="5B486AA3" w14:textId="77777777" w:rsidR="005503ED" w:rsidRPr="005503ED" w:rsidRDefault="005503ED" w:rsidP="005503ED">
            <w:pPr>
              <w:rPr>
                <w:color w:val="auto"/>
                <w:sz w:val="20"/>
              </w:rPr>
            </w:pPr>
            <w:r w:rsidRPr="005503ED">
              <w:rPr>
                <w:color w:val="auto"/>
                <w:sz w:val="20"/>
              </w:rPr>
              <w:t> </w:t>
            </w:r>
          </w:p>
        </w:tc>
        <w:tc>
          <w:tcPr>
            <w:tcW w:w="1695" w:type="dxa"/>
            <w:tcBorders>
              <w:top w:val="nil"/>
              <w:left w:val="nil"/>
              <w:bottom w:val="nil"/>
              <w:right w:val="single" w:sz="12" w:space="0" w:color="auto"/>
            </w:tcBorders>
            <w:shd w:val="clear" w:color="auto" w:fill="auto"/>
            <w:noWrap/>
            <w:vAlign w:val="center"/>
            <w:hideMark/>
          </w:tcPr>
          <w:p w14:paraId="042FD652" w14:textId="77777777" w:rsidR="005503ED" w:rsidRPr="005503ED" w:rsidRDefault="005503ED" w:rsidP="005503ED">
            <w:pPr>
              <w:jc w:val="right"/>
              <w:rPr>
                <w:color w:val="auto"/>
                <w:sz w:val="22"/>
                <w:szCs w:val="22"/>
              </w:rPr>
            </w:pPr>
            <w:r w:rsidRPr="005503ED">
              <w:rPr>
                <w:color w:val="auto"/>
                <w:sz w:val="22"/>
                <w:szCs w:val="22"/>
              </w:rPr>
              <w:t> </w:t>
            </w:r>
          </w:p>
        </w:tc>
      </w:tr>
      <w:tr w:rsidR="005503ED" w:rsidRPr="005503ED" w14:paraId="0BBE4FD9"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6CE9F583" w14:textId="77777777" w:rsidR="005503ED" w:rsidRPr="005503ED" w:rsidRDefault="005503ED" w:rsidP="005503ED">
            <w:pPr>
              <w:jc w:val="right"/>
              <w:rPr>
                <w:color w:val="auto"/>
                <w:sz w:val="22"/>
                <w:szCs w:val="22"/>
              </w:rPr>
            </w:pPr>
            <w:r w:rsidRPr="005503ED">
              <w:rPr>
                <w:color w:val="auto"/>
                <w:sz w:val="22"/>
                <w:szCs w:val="22"/>
              </w:rPr>
              <w:t xml:space="preserve">Unlimited Business Local Exchange Service </w:t>
            </w:r>
          </w:p>
        </w:tc>
        <w:tc>
          <w:tcPr>
            <w:tcW w:w="1620" w:type="dxa"/>
            <w:tcBorders>
              <w:top w:val="nil"/>
              <w:left w:val="single" w:sz="12" w:space="0" w:color="auto"/>
              <w:bottom w:val="nil"/>
              <w:right w:val="single" w:sz="12" w:space="0" w:color="auto"/>
            </w:tcBorders>
            <w:shd w:val="clear" w:color="auto" w:fill="auto"/>
            <w:noWrap/>
            <w:vAlign w:val="center"/>
            <w:hideMark/>
          </w:tcPr>
          <w:p w14:paraId="667C8CC3" w14:textId="77777777" w:rsidR="005503ED" w:rsidRPr="005503ED" w:rsidRDefault="005503ED" w:rsidP="005503ED">
            <w:pPr>
              <w:jc w:val="right"/>
              <w:rPr>
                <w:color w:val="auto"/>
                <w:sz w:val="22"/>
                <w:szCs w:val="22"/>
              </w:rPr>
            </w:pPr>
            <w:r w:rsidRPr="005503ED">
              <w:rPr>
                <w:color w:val="auto"/>
                <w:sz w:val="22"/>
                <w:szCs w:val="22"/>
              </w:rPr>
              <w:t> </w:t>
            </w:r>
          </w:p>
        </w:tc>
        <w:tc>
          <w:tcPr>
            <w:tcW w:w="1710" w:type="dxa"/>
            <w:tcBorders>
              <w:top w:val="nil"/>
              <w:left w:val="nil"/>
              <w:bottom w:val="nil"/>
              <w:right w:val="single" w:sz="12" w:space="0" w:color="auto"/>
            </w:tcBorders>
            <w:shd w:val="clear" w:color="auto" w:fill="auto"/>
            <w:noWrap/>
            <w:vAlign w:val="center"/>
            <w:hideMark/>
          </w:tcPr>
          <w:p w14:paraId="5330FD84" w14:textId="77777777" w:rsidR="005503ED" w:rsidRPr="005503ED" w:rsidRDefault="005503ED" w:rsidP="005503ED">
            <w:pPr>
              <w:jc w:val="right"/>
              <w:rPr>
                <w:color w:val="auto"/>
                <w:sz w:val="22"/>
                <w:szCs w:val="22"/>
              </w:rPr>
            </w:pPr>
            <w:r w:rsidRPr="005503ED">
              <w:rPr>
                <w:color w:val="auto"/>
                <w:sz w:val="22"/>
                <w:szCs w:val="22"/>
              </w:rPr>
              <w:t> </w:t>
            </w:r>
          </w:p>
        </w:tc>
        <w:tc>
          <w:tcPr>
            <w:tcW w:w="1695" w:type="dxa"/>
            <w:tcBorders>
              <w:top w:val="nil"/>
              <w:left w:val="nil"/>
              <w:bottom w:val="nil"/>
              <w:right w:val="single" w:sz="12" w:space="0" w:color="auto"/>
            </w:tcBorders>
            <w:shd w:val="clear" w:color="auto" w:fill="auto"/>
            <w:noWrap/>
            <w:vAlign w:val="center"/>
            <w:hideMark/>
          </w:tcPr>
          <w:p w14:paraId="197A8147" w14:textId="77777777" w:rsidR="005503ED" w:rsidRPr="005503ED" w:rsidRDefault="005503ED" w:rsidP="005503ED">
            <w:pPr>
              <w:jc w:val="right"/>
              <w:rPr>
                <w:color w:val="auto"/>
                <w:sz w:val="22"/>
                <w:szCs w:val="22"/>
              </w:rPr>
            </w:pPr>
            <w:r w:rsidRPr="005503ED">
              <w:rPr>
                <w:color w:val="auto"/>
                <w:sz w:val="22"/>
                <w:szCs w:val="22"/>
              </w:rPr>
              <w:t> </w:t>
            </w:r>
          </w:p>
        </w:tc>
      </w:tr>
      <w:tr w:rsidR="005503ED" w:rsidRPr="005503ED" w14:paraId="09BB3275"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1F09DD26" w14:textId="77777777" w:rsidR="005503ED" w:rsidRPr="005503ED" w:rsidRDefault="005503ED" w:rsidP="005503ED">
            <w:pPr>
              <w:jc w:val="right"/>
              <w:rPr>
                <w:color w:val="auto"/>
                <w:sz w:val="22"/>
                <w:szCs w:val="22"/>
              </w:rPr>
            </w:pPr>
            <w:r w:rsidRPr="005503ED">
              <w:rPr>
                <w:color w:val="auto"/>
                <w:sz w:val="22"/>
                <w:szCs w:val="22"/>
              </w:rPr>
              <w:t>Rate Group 1 - (One Party)</w:t>
            </w:r>
          </w:p>
        </w:tc>
        <w:tc>
          <w:tcPr>
            <w:tcW w:w="1620" w:type="dxa"/>
            <w:tcBorders>
              <w:top w:val="nil"/>
              <w:left w:val="single" w:sz="12" w:space="0" w:color="auto"/>
              <w:bottom w:val="nil"/>
              <w:right w:val="single" w:sz="12" w:space="0" w:color="auto"/>
            </w:tcBorders>
            <w:shd w:val="clear" w:color="auto" w:fill="auto"/>
            <w:noWrap/>
            <w:vAlign w:val="center"/>
            <w:hideMark/>
          </w:tcPr>
          <w:p w14:paraId="5875BFD0" w14:textId="77777777" w:rsidR="005503ED" w:rsidRPr="005503ED" w:rsidRDefault="005503ED" w:rsidP="005503ED">
            <w:pPr>
              <w:jc w:val="right"/>
              <w:rPr>
                <w:color w:val="auto"/>
                <w:sz w:val="22"/>
                <w:szCs w:val="22"/>
              </w:rPr>
            </w:pPr>
            <w:r w:rsidRPr="005503ED">
              <w:rPr>
                <w:color w:val="auto"/>
                <w:sz w:val="22"/>
                <w:szCs w:val="22"/>
              </w:rPr>
              <w:t xml:space="preserve">$21.95 </w:t>
            </w:r>
          </w:p>
        </w:tc>
        <w:tc>
          <w:tcPr>
            <w:tcW w:w="1710" w:type="dxa"/>
            <w:tcBorders>
              <w:top w:val="nil"/>
              <w:left w:val="nil"/>
              <w:bottom w:val="nil"/>
              <w:right w:val="single" w:sz="12" w:space="0" w:color="auto"/>
            </w:tcBorders>
            <w:shd w:val="clear" w:color="auto" w:fill="auto"/>
            <w:noWrap/>
            <w:vAlign w:val="center"/>
            <w:hideMark/>
          </w:tcPr>
          <w:p w14:paraId="384C7391" w14:textId="77777777" w:rsidR="005503ED" w:rsidRPr="005503ED" w:rsidRDefault="005503ED" w:rsidP="005503ED">
            <w:pPr>
              <w:jc w:val="right"/>
              <w:rPr>
                <w:color w:val="auto"/>
                <w:sz w:val="22"/>
                <w:szCs w:val="22"/>
              </w:rPr>
            </w:pPr>
            <w:r w:rsidRPr="005503ED">
              <w:rPr>
                <w:color w:val="auto"/>
                <w:sz w:val="22"/>
                <w:szCs w:val="22"/>
              </w:rPr>
              <w:t xml:space="preserve">$23.20 </w:t>
            </w:r>
          </w:p>
        </w:tc>
        <w:tc>
          <w:tcPr>
            <w:tcW w:w="1695" w:type="dxa"/>
            <w:tcBorders>
              <w:top w:val="nil"/>
              <w:left w:val="nil"/>
              <w:bottom w:val="nil"/>
              <w:right w:val="single" w:sz="12" w:space="0" w:color="auto"/>
            </w:tcBorders>
            <w:shd w:val="clear" w:color="auto" w:fill="auto"/>
            <w:noWrap/>
            <w:vAlign w:val="center"/>
            <w:hideMark/>
          </w:tcPr>
          <w:p w14:paraId="67FA55D1" w14:textId="77777777" w:rsidR="005503ED" w:rsidRPr="005503ED" w:rsidRDefault="005503ED" w:rsidP="005503ED">
            <w:pPr>
              <w:jc w:val="right"/>
              <w:rPr>
                <w:color w:val="auto"/>
                <w:sz w:val="22"/>
                <w:szCs w:val="22"/>
              </w:rPr>
            </w:pPr>
            <w:r w:rsidRPr="005503ED">
              <w:rPr>
                <w:color w:val="auto"/>
                <w:sz w:val="22"/>
                <w:szCs w:val="22"/>
              </w:rPr>
              <w:t xml:space="preserve">$1.25 </w:t>
            </w:r>
          </w:p>
        </w:tc>
      </w:tr>
      <w:tr w:rsidR="005503ED" w:rsidRPr="005503ED" w14:paraId="6F0C2C65"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6D8B6BD2" w14:textId="77777777" w:rsidR="005503ED" w:rsidRPr="005503ED" w:rsidRDefault="005503ED" w:rsidP="005503ED">
            <w:pPr>
              <w:jc w:val="right"/>
              <w:rPr>
                <w:color w:val="auto"/>
                <w:sz w:val="22"/>
                <w:szCs w:val="22"/>
              </w:rPr>
            </w:pPr>
            <w:r w:rsidRPr="005503ED">
              <w:rPr>
                <w:color w:val="auto"/>
                <w:sz w:val="22"/>
                <w:szCs w:val="22"/>
              </w:rPr>
              <w:t>Rate Group 1 – (PBX Trunk)</w:t>
            </w:r>
          </w:p>
        </w:tc>
        <w:tc>
          <w:tcPr>
            <w:tcW w:w="1620" w:type="dxa"/>
            <w:tcBorders>
              <w:top w:val="nil"/>
              <w:left w:val="single" w:sz="12" w:space="0" w:color="auto"/>
              <w:bottom w:val="nil"/>
              <w:right w:val="single" w:sz="12" w:space="0" w:color="auto"/>
            </w:tcBorders>
            <w:shd w:val="clear" w:color="auto" w:fill="auto"/>
            <w:noWrap/>
            <w:vAlign w:val="center"/>
            <w:hideMark/>
          </w:tcPr>
          <w:p w14:paraId="18B455C5" w14:textId="77777777" w:rsidR="005503ED" w:rsidRPr="005503ED" w:rsidRDefault="005503ED" w:rsidP="005503ED">
            <w:pPr>
              <w:jc w:val="right"/>
              <w:rPr>
                <w:color w:val="auto"/>
                <w:sz w:val="22"/>
                <w:szCs w:val="22"/>
              </w:rPr>
            </w:pPr>
            <w:r w:rsidRPr="005503ED">
              <w:rPr>
                <w:color w:val="auto"/>
                <w:sz w:val="22"/>
                <w:szCs w:val="22"/>
              </w:rPr>
              <w:t xml:space="preserve">$26.02 </w:t>
            </w:r>
          </w:p>
        </w:tc>
        <w:tc>
          <w:tcPr>
            <w:tcW w:w="1710" w:type="dxa"/>
            <w:tcBorders>
              <w:top w:val="nil"/>
              <w:left w:val="nil"/>
              <w:bottom w:val="nil"/>
              <w:right w:val="single" w:sz="12" w:space="0" w:color="auto"/>
            </w:tcBorders>
            <w:shd w:val="clear" w:color="auto" w:fill="auto"/>
            <w:noWrap/>
            <w:vAlign w:val="center"/>
            <w:hideMark/>
          </w:tcPr>
          <w:p w14:paraId="594B316B" w14:textId="77777777" w:rsidR="005503ED" w:rsidRPr="005503ED" w:rsidRDefault="005503ED" w:rsidP="005503ED">
            <w:pPr>
              <w:jc w:val="right"/>
              <w:rPr>
                <w:color w:val="auto"/>
                <w:sz w:val="22"/>
                <w:szCs w:val="22"/>
              </w:rPr>
            </w:pPr>
            <w:r w:rsidRPr="005503ED">
              <w:rPr>
                <w:color w:val="auto"/>
                <w:sz w:val="22"/>
                <w:szCs w:val="22"/>
              </w:rPr>
              <w:t xml:space="preserve">$27.27 </w:t>
            </w:r>
          </w:p>
        </w:tc>
        <w:tc>
          <w:tcPr>
            <w:tcW w:w="1695" w:type="dxa"/>
            <w:tcBorders>
              <w:top w:val="nil"/>
              <w:left w:val="nil"/>
              <w:bottom w:val="nil"/>
              <w:right w:val="single" w:sz="12" w:space="0" w:color="auto"/>
            </w:tcBorders>
            <w:shd w:val="clear" w:color="auto" w:fill="auto"/>
            <w:noWrap/>
            <w:vAlign w:val="center"/>
            <w:hideMark/>
          </w:tcPr>
          <w:p w14:paraId="34B3C152" w14:textId="77777777" w:rsidR="005503ED" w:rsidRPr="005503ED" w:rsidRDefault="005503ED" w:rsidP="005503ED">
            <w:pPr>
              <w:jc w:val="right"/>
              <w:rPr>
                <w:color w:val="auto"/>
                <w:sz w:val="22"/>
                <w:szCs w:val="22"/>
              </w:rPr>
            </w:pPr>
            <w:r w:rsidRPr="005503ED">
              <w:rPr>
                <w:color w:val="auto"/>
                <w:sz w:val="22"/>
                <w:szCs w:val="22"/>
              </w:rPr>
              <w:t xml:space="preserve">$1.25 </w:t>
            </w:r>
          </w:p>
        </w:tc>
      </w:tr>
      <w:tr w:rsidR="005503ED" w:rsidRPr="005503ED" w14:paraId="1DBD7552"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41101514" w14:textId="77777777" w:rsidR="005503ED" w:rsidRPr="005503ED" w:rsidRDefault="005503ED" w:rsidP="005503ED">
            <w:pPr>
              <w:jc w:val="right"/>
              <w:rPr>
                <w:color w:val="auto"/>
                <w:sz w:val="22"/>
                <w:szCs w:val="22"/>
              </w:rPr>
            </w:pPr>
            <w:r w:rsidRPr="005503ED">
              <w:rPr>
                <w:color w:val="auto"/>
                <w:sz w:val="22"/>
                <w:szCs w:val="22"/>
              </w:rPr>
              <w:t>Rate Group 2 - (One Party)</w:t>
            </w:r>
          </w:p>
        </w:tc>
        <w:tc>
          <w:tcPr>
            <w:tcW w:w="1620" w:type="dxa"/>
            <w:tcBorders>
              <w:top w:val="nil"/>
              <w:left w:val="single" w:sz="12" w:space="0" w:color="auto"/>
              <w:bottom w:val="nil"/>
              <w:right w:val="single" w:sz="12" w:space="0" w:color="auto"/>
            </w:tcBorders>
            <w:shd w:val="clear" w:color="auto" w:fill="auto"/>
            <w:noWrap/>
            <w:vAlign w:val="center"/>
            <w:hideMark/>
          </w:tcPr>
          <w:p w14:paraId="210579CF" w14:textId="77777777" w:rsidR="005503ED" w:rsidRPr="005503ED" w:rsidRDefault="005503ED" w:rsidP="005503ED">
            <w:pPr>
              <w:jc w:val="right"/>
              <w:rPr>
                <w:color w:val="auto"/>
                <w:sz w:val="22"/>
                <w:szCs w:val="22"/>
              </w:rPr>
            </w:pPr>
            <w:r w:rsidRPr="005503ED">
              <w:rPr>
                <w:color w:val="auto"/>
                <w:sz w:val="22"/>
                <w:szCs w:val="22"/>
              </w:rPr>
              <w:t xml:space="preserve">$21.95 </w:t>
            </w:r>
          </w:p>
        </w:tc>
        <w:tc>
          <w:tcPr>
            <w:tcW w:w="1710" w:type="dxa"/>
            <w:tcBorders>
              <w:top w:val="nil"/>
              <w:left w:val="nil"/>
              <w:bottom w:val="nil"/>
              <w:right w:val="single" w:sz="12" w:space="0" w:color="auto"/>
            </w:tcBorders>
            <w:shd w:val="clear" w:color="auto" w:fill="auto"/>
            <w:noWrap/>
            <w:vAlign w:val="center"/>
            <w:hideMark/>
          </w:tcPr>
          <w:p w14:paraId="6A1EAFFF" w14:textId="77777777" w:rsidR="005503ED" w:rsidRPr="005503ED" w:rsidRDefault="005503ED" w:rsidP="005503ED">
            <w:pPr>
              <w:jc w:val="right"/>
              <w:rPr>
                <w:color w:val="auto"/>
                <w:sz w:val="22"/>
                <w:szCs w:val="22"/>
              </w:rPr>
            </w:pPr>
            <w:r w:rsidRPr="005503ED">
              <w:rPr>
                <w:color w:val="auto"/>
                <w:sz w:val="22"/>
                <w:szCs w:val="22"/>
              </w:rPr>
              <w:t xml:space="preserve">$23.20 </w:t>
            </w:r>
          </w:p>
        </w:tc>
        <w:tc>
          <w:tcPr>
            <w:tcW w:w="1695" w:type="dxa"/>
            <w:tcBorders>
              <w:top w:val="nil"/>
              <w:left w:val="nil"/>
              <w:bottom w:val="nil"/>
              <w:right w:val="single" w:sz="12" w:space="0" w:color="auto"/>
            </w:tcBorders>
            <w:shd w:val="clear" w:color="auto" w:fill="auto"/>
            <w:noWrap/>
            <w:vAlign w:val="center"/>
            <w:hideMark/>
          </w:tcPr>
          <w:p w14:paraId="3652B383" w14:textId="77777777" w:rsidR="005503ED" w:rsidRPr="005503ED" w:rsidRDefault="005503ED" w:rsidP="005503ED">
            <w:pPr>
              <w:jc w:val="right"/>
              <w:rPr>
                <w:color w:val="auto"/>
                <w:sz w:val="22"/>
                <w:szCs w:val="22"/>
              </w:rPr>
            </w:pPr>
            <w:r w:rsidRPr="005503ED">
              <w:rPr>
                <w:color w:val="auto"/>
                <w:sz w:val="22"/>
                <w:szCs w:val="22"/>
              </w:rPr>
              <w:t xml:space="preserve">$1.25 </w:t>
            </w:r>
          </w:p>
        </w:tc>
      </w:tr>
      <w:tr w:rsidR="005503ED" w:rsidRPr="005503ED" w14:paraId="2872C037"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084A7E45" w14:textId="77777777" w:rsidR="005503ED" w:rsidRPr="005503ED" w:rsidRDefault="005503ED" w:rsidP="005503ED">
            <w:pPr>
              <w:jc w:val="right"/>
              <w:rPr>
                <w:color w:val="auto"/>
                <w:sz w:val="22"/>
                <w:szCs w:val="22"/>
              </w:rPr>
            </w:pPr>
            <w:r w:rsidRPr="005503ED">
              <w:rPr>
                <w:color w:val="auto"/>
                <w:sz w:val="22"/>
                <w:szCs w:val="22"/>
              </w:rPr>
              <w:t>Rate Group 2 – (PBX Trunk)</w:t>
            </w:r>
          </w:p>
        </w:tc>
        <w:tc>
          <w:tcPr>
            <w:tcW w:w="1620" w:type="dxa"/>
            <w:tcBorders>
              <w:top w:val="nil"/>
              <w:left w:val="single" w:sz="12" w:space="0" w:color="auto"/>
              <w:bottom w:val="nil"/>
              <w:right w:val="single" w:sz="12" w:space="0" w:color="auto"/>
            </w:tcBorders>
            <w:shd w:val="clear" w:color="auto" w:fill="auto"/>
            <w:noWrap/>
            <w:vAlign w:val="center"/>
            <w:hideMark/>
          </w:tcPr>
          <w:p w14:paraId="2CDAC860" w14:textId="77777777" w:rsidR="005503ED" w:rsidRPr="005503ED" w:rsidRDefault="005503ED" w:rsidP="005503ED">
            <w:pPr>
              <w:jc w:val="right"/>
              <w:rPr>
                <w:color w:val="auto"/>
                <w:sz w:val="22"/>
                <w:szCs w:val="22"/>
              </w:rPr>
            </w:pPr>
            <w:r w:rsidRPr="005503ED">
              <w:rPr>
                <w:color w:val="auto"/>
                <w:sz w:val="22"/>
                <w:szCs w:val="22"/>
              </w:rPr>
              <w:t xml:space="preserve">$26.02 </w:t>
            </w:r>
          </w:p>
        </w:tc>
        <w:tc>
          <w:tcPr>
            <w:tcW w:w="1710" w:type="dxa"/>
            <w:tcBorders>
              <w:top w:val="nil"/>
              <w:left w:val="nil"/>
              <w:bottom w:val="nil"/>
              <w:right w:val="single" w:sz="12" w:space="0" w:color="auto"/>
            </w:tcBorders>
            <w:shd w:val="clear" w:color="auto" w:fill="auto"/>
            <w:noWrap/>
            <w:vAlign w:val="center"/>
            <w:hideMark/>
          </w:tcPr>
          <w:p w14:paraId="6045E443" w14:textId="77777777" w:rsidR="005503ED" w:rsidRPr="005503ED" w:rsidRDefault="005503ED" w:rsidP="005503ED">
            <w:pPr>
              <w:jc w:val="right"/>
              <w:rPr>
                <w:color w:val="auto"/>
                <w:sz w:val="22"/>
                <w:szCs w:val="22"/>
              </w:rPr>
            </w:pPr>
            <w:r w:rsidRPr="005503ED">
              <w:rPr>
                <w:color w:val="auto"/>
                <w:sz w:val="22"/>
                <w:szCs w:val="22"/>
              </w:rPr>
              <w:t xml:space="preserve">$27.27 </w:t>
            </w:r>
          </w:p>
        </w:tc>
        <w:tc>
          <w:tcPr>
            <w:tcW w:w="1695" w:type="dxa"/>
            <w:tcBorders>
              <w:top w:val="nil"/>
              <w:left w:val="nil"/>
              <w:bottom w:val="nil"/>
              <w:right w:val="single" w:sz="12" w:space="0" w:color="auto"/>
            </w:tcBorders>
            <w:shd w:val="clear" w:color="auto" w:fill="auto"/>
            <w:noWrap/>
            <w:vAlign w:val="center"/>
            <w:hideMark/>
          </w:tcPr>
          <w:p w14:paraId="7452D2ED" w14:textId="77777777" w:rsidR="005503ED" w:rsidRPr="005503ED" w:rsidRDefault="005503ED" w:rsidP="005503ED">
            <w:pPr>
              <w:jc w:val="right"/>
              <w:rPr>
                <w:color w:val="auto"/>
                <w:sz w:val="22"/>
                <w:szCs w:val="22"/>
              </w:rPr>
            </w:pPr>
            <w:r w:rsidRPr="005503ED">
              <w:rPr>
                <w:color w:val="auto"/>
                <w:sz w:val="22"/>
                <w:szCs w:val="22"/>
              </w:rPr>
              <w:t xml:space="preserve">$1.25 </w:t>
            </w:r>
          </w:p>
        </w:tc>
      </w:tr>
      <w:tr w:rsidR="005503ED" w:rsidRPr="005503ED" w14:paraId="40033340"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5544CA08" w14:textId="77777777" w:rsidR="005503ED" w:rsidRPr="005503ED" w:rsidRDefault="005503ED" w:rsidP="005503ED">
            <w:pPr>
              <w:jc w:val="right"/>
              <w:rPr>
                <w:color w:val="auto"/>
                <w:sz w:val="22"/>
                <w:szCs w:val="22"/>
              </w:rPr>
            </w:pPr>
            <w:r w:rsidRPr="005503ED">
              <w:rPr>
                <w:color w:val="auto"/>
                <w:sz w:val="22"/>
                <w:szCs w:val="22"/>
              </w:rPr>
              <w:t>Rate Group 3 - (One Party)</w:t>
            </w:r>
          </w:p>
        </w:tc>
        <w:tc>
          <w:tcPr>
            <w:tcW w:w="1620" w:type="dxa"/>
            <w:tcBorders>
              <w:top w:val="nil"/>
              <w:left w:val="single" w:sz="12" w:space="0" w:color="auto"/>
              <w:bottom w:val="nil"/>
              <w:right w:val="single" w:sz="12" w:space="0" w:color="auto"/>
            </w:tcBorders>
            <w:shd w:val="clear" w:color="auto" w:fill="auto"/>
            <w:noWrap/>
            <w:vAlign w:val="center"/>
            <w:hideMark/>
          </w:tcPr>
          <w:p w14:paraId="4B077CC2" w14:textId="77777777" w:rsidR="005503ED" w:rsidRPr="005503ED" w:rsidRDefault="005503ED" w:rsidP="005503ED">
            <w:pPr>
              <w:jc w:val="right"/>
              <w:rPr>
                <w:color w:val="auto"/>
                <w:sz w:val="22"/>
                <w:szCs w:val="22"/>
              </w:rPr>
            </w:pPr>
            <w:r w:rsidRPr="005503ED">
              <w:rPr>
                <w:color w:val="auto"/>
                <w:sz w:val="22"/>
                <w:szCs w:val="22"/>
              </w:rPr>
              <w:t xml:space="preserve">$21.95 </w:t>
            </w:r>
          </w:p>
        </w:tc>
        <w:tc>
          <w:tcPr>
            <w:tcW w:w="1710" w:type="dxa"/>
            <w:tcBorders>
              <w:top w:val="nil"/>
              <w:left w:val="nil"/>
              <w:bottom w:val="nil"/>
              <w:right w:val="single" w:sz="12" w:space="0" w:color="auto"/>
            </w:tcBorders>
            <w:shd w:val="clear" w:color="auto" w:fill="auto"/>
            <w:noWrap/>
            <w:vAlign w:val="center"/>
            <w:hideMark/>
          </w:tcPr>
          <w:p w14:paraId="7949EEDF" w14:textId="77777777" w:rsidR="005503ED" w:rsidRPr="005503ED" w:rsidRDefault="005503ED" w:rsidP="005503ED">
            <w:pPr>
              <w:jc w:val="right"/>
              <w:rPr>
                <w:color w:val="auto"/>
                <w:sz w:val="22"/>
                <w:szCs w:val="22"/>
              </w:rPr>
            </w:pPr>
            <w:r w:rsidRPr="005503ED">
              <w:rPr>
                <w:color w:val="auto"/>
                <w:sz w:val="22"/>
                <w:szCs w:val="22"/>
              </w:rPr>
              <w:t xml:space="preserve">$23.20 </w:t>
            </w:r>
          </w:p>
        </w:tc>
        <w:tc>
          <w:tcPr>
            <w:tcW w:w="1695" w:type="dxa"/>
            <w:tcBorders>
              <w:top w:val="nil"/>
              <w:left w:val="nil"/>
              <w:bottom w:val="nil"/>
              <w:right w:val="single" w:sz="12" w:space="0" w:color="auto"/>
            </w:tcBorders>
            <w:shd w:val="clear" w:color="auto" w:fill="auto"/>
            <w:noWrap/>
            <w:vAlign w:val="center"/>
            <w:hideMark/>
          </w:tcPr>
          <w:p w14:paraId="245DDD65" w14:textId="77777777" w:rsidR="005503ED" w:rsidRPr="005503ED" w:rsidRDefault="005503ED" w:rsidP="005503ED">
            <w:pPr>
              <w:jc w:val="right"/>
              <w:rPr>
                <w:color w:val="auto"/>
                <w:sz w:val="22"/>
                <w:szCs w:val="22"/>
              </w:rPr>
            </w:pPr>
            <w:r w:rsidRPr="005503ED">
              <w:rPr>
                <w:color w:val="auto"/>
                <w:sz w:val="22"/>
                <w:szCs w:val="22"/>
              </w:rPr>
              <w:t xml:space="preserve">$1.25 </w:t>
            </w:r>
          </w:p>
        </w:tc>
      </w:tr>
      <w:tr w:rsidR="005503ED" w:rsidRPr="005503ED" w14:paraId="506B6EBD"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55D1E3A2" w14:textId="77777777" w:rsidR="005503ED" w:rsidRPr="005503ED" w:rsidRDefault="005503ED" w:rsidP="005503ED">
            <w:pPr>
              <w:jc w:val="right"/>
              <w:rPr>
                <w:color w:val="auto"/>
                <w:sz w:val="22"/>
                <w:szCs w:val="22"/>
              </w:rPr>
            </w:pPr>
            <w:r w:rsidRPr="005503ED">
              <w:rPr>
                <w:color w:val="auto"/>
                <w:sz w:val="22"/>
                <w:szCs w:val="22"/>
              </w:rPr>
              <w:t>Rate Group 3 - (PBX Trunk)</w:t>
            </w:r>
          </w:p>
        </w:tc>
        <w:tc>
          <w:tcPr>
            <w:tcW w:w="1620" w:type="dxa"/>
            <w:tcBorders>
              <w:top w:val="nil"/>
              <w:left w:val="single" w:sz="12" w:space="0" w:color="auto"/>
              <w:bottom w:val="nil"/>
              <w:right w:val="single" w:sz="12" w:space="0" w:color="auto"/>
            </w:tcBorders>
            <w:shd w:val="clear" w:color="auto" w:fill="auto"/>
            <w:noWrap/>
            <w:vAlign w:val="center"/>
            <w:hideMark/>
          </w:tcPr>
          <w:p w14:paraId="70169F55" w14:textId="77777777" w:rsidR="005503ED" w:rsidRPr="005503ED" w:rsidRDefault="005503ED" w:rsidP="005503ED">
            <w:pPr>
              <w:jc w:val="right"/>
              <w:rPr>
                <w:color w:val="auto"/>
                <w:sz w:val="22"/>
                <w:szCs w:val="22"/>
              </w:rPr>
            </w:pPr>
            <w:r w:rsidRPr="005503ED">
              <w:rPr>
                <w:color w:val="auto"/>
                <w:sz w:val="22"/>
                <w:szCs w:val="22"/>
              </w:rPr>
              <w:t xml:space="preserve">$27.02 </w:t>
            </w:r>
          </w:p>
        </w:tc>
        <w:tc>
          <w:tcPr>
            <w:tcW w:w="1710" w:type="dxa"/>
            <w:tcBorders>
              <w:top w:val="nil"/>
              <w:left w:val="nil"/>
              <w:bottom w:val="nil"/>
              <w:right w:val="single" w:sz="12" w:space="0" w:color="auto"/>
            </w:tcBorders>
            <w:shd w:val="clear" w:color="auto" w:fill="auto"/>
            <w:noWrap/>
            <w:vAlign w:val="center"/>
            <w:hideMark/>
          </w:tcPr>
          <w:p w14:paraId="2EEB65C8" w14:textId="77777777" w:rsidR="005503ED" w:rsidRPr="005503ED" w:rsidRDefault="005503ED" w:rsidP="005503ED">
            <w:pPr>
              <w:jc w:val="right"/>
              <w:rPr>
                <w:color w:val="auto"/>
                <w:sz w:val="22"/>
                <w:szCs w:val="22"/>
              </w:rPr>
            </w:pPr>
            <w:r w:rsidRPr="005503ED">
              <w:rPr>
                <w:color w:val="auto"/>
                <w:sz w:val="22"/>
                <w:szCs w:val="22"/>
              </w:rPr>
              <w:t xml:space="preserve">$27.27 </w:t>
            </w:r>
          </w:p>
        </w:tc>
        <w:tc>
          <w:tcPr>
            <w:tcW w:w="1695" w:type="dxa"/>
            <w:tcBorders>
              <w:top w:val="nil"/>
              <w:left w:val="nil"/>
              <w:bottom w:val="nil"/>
              <w:right w:val="single" w:sz="12" w:space="0" w:color="auto"/>
            </w:tcBorders>
            <w:shd w:val="clear" w:color="auto" w:fill="auto"/>
            <w:noWrap/>
            <w:vAlign w:val="center"/>
            <w:hideMark/>
          </w:tcPr>
          <w:p w14:paraId="17AC84B2" w14:textId="77777777" w:rsidR="005503ED" w:rsidRPr="005503ED" w:rsidRDefault="005503ED" w:rsidP="005503ED">
            <w:pPr>
              <w:jc w:val="right"/>
              <w:rPr>
                <w:color w:val="auto"/>
                <w:sz w:val="22"/>
                <w:szCs w:val="22"/>
              </w:rPr>
            </w:pPr>
            <w:r w:rsidRPr="005503ED">
              <w:rPr>
                <w:color w:val="auto"/>
                <w:sz w:val="22"/>
                <w:szCs w:val="22"/>
              </w:rPr>
              <w:t xml:space="preserve">$0.25 </w:t>
            </w:r>
          </w:p>
        </w:tc>
      </w:tr>
      <w:tr w:rsidR="005503ED" w:rsidRPr="005503ED" w14:paraId="5CCA121E" w14:textId="77777777" w:rsidTr="00752434">
        <w:trPr>
          <w:trHeight w:val="300"/>
        </w:trPr>
        <w:tc>
          <w:tcPr>
            <w:tcW w:w="4305" w:type="dxa"/>
            <w:gridSpan w:val="3"/>
            <w:tcBorders>
              <w:top w:val="nil"/>
              <w:left w:val="single" w:sz="12" w:space="0" w:color="auto"/>
              <w:bottom w:val="nil"/>
              <w:right w:val="nil"/>
            </w:tcBorders>
            <w:shd w:val="clear" w:color="auto" w:fill="auto"/>
            <w:noWrap/>
            <w:vAlign w:val="center"/>
            <w:hideMark/>
          </w:tcPr>
          <w:p w14:paraId="44842CD7" w14:textId="77777777" w:rsidR="005503ED" w:rsidRPr="005503ED" w:rsidRDefault="005503ED" w:rsidP="005503ED">
            <w:pPr>
              <w:jc w:val="right"/>
              <w:rPr>
                <w:color w:val="auto"/>
                <w:sz w:val="22"/>
                <w:szCs w:val="22"/>
              </w:rPr>
            </w:pPr>
            <w:r w:rsidRPr="005503ED">
              <w:rPr>
                <w:color w:val="auto"/>
                <w:sz w:val="22"/>
                <w:szCs w:val="22"/>
              </w:rPr>
              <w:t>Rate Group 4 - (PBX Trunk)</w:t>
            </w:r>
          </w:p>
        </w:tc>
        <w:tc>
          <w:tcPr>
            <w:tcW w:w="1620" w:type="dxa"/>
            <w:tcBorders>
              <w:top w:val="nil"/>
              <w:left w:val="single" w:sz="12" w:space="0" w:color="auto"/>
              <w:bottom w:val="nil"/>
              <w:right w:val="single" w:sz="12" w:space="0" w:color="auto"/>
            </w:tcBorders>
            <w:shd w:val="clear" w:color="auto" w:fill="auto"/>
            <w:noWrap/>
            <w:vAlign w:val="center"/>
            <w:hideMark/>
          </w:tcPr>
          <w:p w14:paraId="1DB90854" w14:textId="77777777" w:rsidR="005503ED" w:rsidRPr="005503ED" w:rsidRDefault="005503ED" w:rsidP="005503ED">
            <w:pPr>
              <w:jc w:val="right"/>
              <w:rPr>
                <w:color w:val="auto"/>
                <w:sz w:val="22"/>
                <w:szCs w:val="22"/>
              </w:rPr>
            </w:pPr>
            <w:r w:rsidRPr="005503ED">
              <w:rPr>
                <w:color w:val="auto"/>
                <w:sz w:val="22"/>
                <w:szCs w:val="22"/>
              </w:rPr>
              <w:t xml:space="preserve">$34.02 </w:t>
            </w:r>
          </w:p>
        </w:tc>
        <w:tc>
          <w:tcPr>
            <w:tcW w:w="1710" w:type="dxa"/>
            <w:tcBorders>
              <w:top w:val="nil"/>
              <w:left w:val="nil"/>
              <w:bottom w:val="nil"/>
              <w:right w:val="single" w:sz="12" w:space="0" w:color="auto"/>
            </w:tcBorders>
            <w:shd w:val="clear" w:color="auto" w:fill="auto"/>
            <w:noWrap/>
            <w:vAlign w:val="center"/>
            <w:hideMark/>
          </w:tcPr>
          <w:p w14:paraId="5E813849" w14:textId="77777777" w:rsidR="005503ED" w:rsidRPr="005503ED" w:rsidRDefault="005503ED" w:rsidP="005503ED">
            <w:pPr>
              <w:jc w:val="right"/>
              <w:rPr>
                <w:color w:val="auto"/>
                <w:sz w:val="22"/>
                <w:szCs w:val="22"/>
              </w:rPr>
            </w:pPr>
            <w:r w:rsidRPr="005503ED">
              <w:rPr>
                <w:color w:val="auto"/>
                <w:sz w:val="22"/>
                <w:szCs w:val="22"/>
              </w:rPr>
              <w:t xml:space="preserve">$35.27 </w:t>
            </w:r>
          </w:p>
        </w:tc>
        <w:tc>
          <w:tcPr>
            <w:tcW w:w="1695" w:type="dxa"/>
            <w:tcBorders>
              <w:top w:val="nil"/>
              <w:left w:val="nil"/>
              <w:bottom w:val="nil"/>
              <w:right w:val="single" w:sz="12" w:space="0" w:color="auto"/>
            </w:tcBorders>
            <w:shd w:val="clear" w:color="auto" w:fill="auto"/>
            <w:noWrap/>
            <w:vAlign w:val="center"/>
            <w:hideMark/>
          </w:tcPr>
          <w:p w14:paraId="1E592416" w14:textId="77777777" w:rsidR="005503ED" w:rsidRPr="005503ED" w:rsidRDefault="005503ED" w:rsidP="005503ED">
            <w:pPr>
              <w:jc w:val="right"/>
              <w:rPr>
                <w:color w:val="auto"/>
                <w:sz w:val="22"/>
                <w:szCs w:val="22"/>
              </w:rPr>
            </w:pPr>
            <w:r w:rsidRPr="005503ED">
              <w:rPr>
                <w:color w:val="auto"/>
                <w:sz w:val="22"/>
                <w:szCs w:val="22"/>
              </w:rPr>
              <w:t xml:space="preserve">$1.25 </w:t>
            </w:r>
          </w:p>
        </w:tc>
      </w:tr>
      <w:tr w:rsidR="00752434" w:rsidRPr="005503ED" w14:paraId="47212699" w14:textId="77777777" w:rsidTr="00752434">
        <w:trPr>
          <w:trHeight w:val="315"/>
        </w:trPr>
        <w:tc>
          <w:tcPr>
            <w:tcW w:w="4305" w:type="dxa"/>
            <w:gridSpan w:val="3"/>
            <w:tcBorders>
              <w:top w:val="nil"/>
              <w:left w:val="single" w:sz="12" w:space="0" w:color="auto"/>
              <w:bottom w:val="single" w:sz="12" w:space="0" w:color="auto"/>
              <w:right w:val="single" w:sz="12" w:space="0" w:color="000000"/>
            </w:tcBorders>
            <w:shd w:val="clear" w:color="auto" w:fill="auto"/>
            <w:noWrap/>
            <w:vAlign w:val="center"/>
            <w:hideMark/>
          </w:tcPr>
          <w:p w14:paraId="4F25F698" w14:textId="77777777" w:rsidR="005503ED" w:rsidRPr="005503ED" w:rsidRDefault="005503ED" w:rsidP="005503ED">
            <w:pPr>
              <w:jc w:val="right"/>
              <w:rPr>
                <w:color w:val="auto"/>
                <w:sz w:val="22"/>
                <w:szCs w:val="22"/>
              </w:rPr>
            </w:pPr>
            <w:r w:rsidRPr="005503ED">
              <w:rPr>
                <w:color w:val="auto"/>
                <w:sz w:val="22"/>
                <w:szCs w:val="22"/>
              </w:rPr>
              <w:t>Rate Group 5 - (PBX Trunk)</w:t>
            </w:r>
          </w:p>
        </w:tc>
        <w:tc>
          <w:tcPr>
            <w:tcW w:w="1620" w:type="dxa"/>
            <w:tcBorders>
              <w:top w:val="nil"/>
              <w:left w:val="nil"/>
              <w:bottom w:val="single" w:sz="12" w:space="0" w:color="auto"/>
              <w:right w:val="single" w:sz="12" w:space="0" w:color="auto"/>
            </w:tcBorders>
            <w:shd w:val="clear" w:color="auto" w:fill="auto"/>
            <w:noWrap/>
            <w:vAlign w:val="center"/>
            <w:hideMark/>
          </w:tcPr>
          <w:p w14:paraId="7E71FC0F" w14:textId="77777777" w:rsidR="005503ED" w:rsidRPr="005503ED" w:rsidRDefault="005503ED" w:rsidP="005503ED">
            <w:pPr>
              <w:jc w:val="right"/>
              <w:rPr>
                <w:color w:val="auto"/>
                <w:sz w:val="22"/>
                <w:szCs w:val="22"/>
              </w:rPr>
            </w:pPr>
            <w:r w:rsidRPr="005503ED">
              <w:rPr>
                <w:color w:val="auto"/>
                <w:sz w:val="22"/>
                <w:szCs w:val="22"/>
              </w:rPr>
              <w:t xml:space="preserve">$34.02 </w:t>
            </w:r>
          </w:p>
        </w:tc>
        <w:tc>
          <w:tcPr>
            <w:tcW w:w="1710" w:type="dxa"/>
            <w:tcBorders>
              <w:top w:val="nil"/>
              <w:left w:val="nil"/>
              <w:bottom w:val="single" w:sz="12" w:space="0" w:color="auto"/>
              <w:right w:val="single" w:sz="12" w:space="0" w:color="auto"/>
            </w:tcBorders>
            <w:shd w:val="clear" w:color="auto" w:fill="auto"/>
            <w:noWrap/>
            <w:vAlign w:val="center"/>
            <w:hideMark/>
          </w:tcPr>
          <w:p w14:paraId="75DFB94B" w14:textId="77777777" w:rsidR="005503ED" w:rsidRPr="005503ED" w:rsidRDefault="005503ED" w:rsidP="005503ED">
            <w:pPr>
              <w:jc w:val="right"/>
              <w:rPr>
                <w:color w:val="auto"/>
                <w:sz w:val="22"/>
                <w:szCs w:val="22"/>
              </w:rPr>
            </w:pPr>
            <w:r w:rsidRPr="005503ED">
              <w:rPr>
                <w:color w:val="auto"/>
                <w:sz w:val="22"/>
                <w:szCs w:val="22"/>
              </w:rPr>
              <w:t xml:space="preserve">$35.27 </w:t>
            </w:r>
          </w:p>
        </w:tc>
        <w:tc>
          <w:tcPr>
            <w:tcW w:w="1695" w:type="dxa"/>
            <w:tcBorders>
              <w:top w:val="nil"/>
              <w:left w:val="nil"/>
              <w:bottom w:val="single" w:sz="12" w:space="0" w:color="auto"/>
              <w:right w:val="single" w:sz="12" w:space="0" w:color="auto"/>
            </w:tcBorders>
            <w:shd w:val="clear" w:color="auto" w:fill="auto"/>
            <w:noWrap/>
            <w:vAlign w:val="center"/>
            <w:hideMark/>
          </w:tcPr>
          <w:p w14:paraId="22D4572D" w14:textId="77777777" w:rsidR="005503ED" w:rsidRPr="005503ED" w:rsidRDefault="005503ED" w:rsidP="005503ED">
            <w:pPr>
              <w:jc w:val="right"/>
              <w:rPr>
                <w:color w:val="auto"/>
                <w:sz w:val="22"/>
                <w:szCs w:val="22"/>
              </w:rPr>
            </w:pPr>
            <w:r w:rsidRPr="005503ED">
              <w:rPr>
                <w:color w:val="auto"/>
                <w:sz w:val="22"/>
                <w:szCs w:val="22"/>
              </w:rPr>
              <w:t xml:space="preserve">$1.25 </w:t>
            </w:r>
          </w:p>
        </w:tc>
      </w:tr>
    </w:tbl>
    <w:p w14:paraId="61319C5E" w14:textId="5345084C" w:rsidR="00653032" w:rsidRPr="00752434" w:rsidRDefault="00653032" w:rsidP="00257D8D">
      <w:pPr>
        <w:overflowPunct w:val="0"/>
        <w:autoSpaceDE w:val="0"/>
        <w:autoSpaceDN w:val="0"/>
        <w:adjustRightInd w:val="0"/>
        <w:spacing w:after="240" w:line="360" w:lineRule="auto"/>
        <w:textAlignment w:val="baseline"/>
        <w:rPr>
          <w:color w:val="auto"/>
          <w:sz w:val="26"/>
          <w:szCs w:val="26"/>
        </w:rPr>
      </w:pPr>
    </w:p>
    <w:p w14:paraId="1A5C2CA5" w14:textId="77777777" w:rsidR="00752434" w:rsidRPr="00752434" w:rsidRDefault="00752434" w:rsidP="00257D8D">
      <w:pPr>
        <w:overflowPunct w:val="0"/>
        <w:autoSpaceDE w:val="0"/>
        <w:autoSpaceDN w:val="0"/>
        <w:adjustRightInd w:val="0"/>
        <w:spacing w:after="240" w:line="360" w:lineRule="auto"/>
        <w:textAlignment w:val="baseline"/>
        <w:rPr>
          <w:color w:val="auto"/>
          <w:sz w:val="26"/>
          <w:szCs w:val="26"/>
        </w:rPr>
      </w:pPr>
    </w:p>
    <w:p w14:paraId="4748BDA1" w14:textId="77777777" w:rsidR="00CD3FEC" w:rsidRPr="0053658B" w:rsidRDefault="00CD3FEC" w:rsidP="00257D8D">
      <w:pPr>
        <w:pStyle w:val="ListParagraph"/>
        <w:numPr>
          <w:ilvl w:val="0"/>
          <w:numId w:val="14"/>
        </w:numPr>
        <w:overflowPunct w:val="0"/>
        <w:autoSpaceDE w:val="0"/>
        <w:autoSpaceDN w:val="0"/>
        <w:adjustRightInd w:val="0"/>
        <w:spacing w:before="240"/>
        <w:ind w:firstLine="0"/>
        <w:textAlignment w:val="baseline"/>
        <w:rPr>
          <w:b/>
          <w:color w:val="auto"/>
          <w:sz w:val="26"/>
          <w:szCs w:val="26"/>
        </w:rPr>
      </w:pPr>
      <w:r w:rsidRPr="00752434">
        <w:rPr>
          <w:b/>
          <w:color w:val="auto"/>
          <w:sz w:val="26"/>
          <w:szCs w:val="26"/>
        </w:rPr>
        <w:lastRenderedPageBreak/>
        <w:t>Discus</w:t>
      </w:r>
      <w:r w:rsidRPr="0053658B">
        <w:rPr>
          <w:b/>
          <w:color w:val="auto"/>
          <w:sz w:val="26"/>
          <w:szCs w:val="26"/>
        </w:rPr>
        <w:t>sion</w:t>
      </w:r>
    </w:p>
    <w:p w14:paraId="4C9FB084" w14:textId="77777777" w:rsidR="00DC605F" w:rsidRPr="0053658B" w:rsidRDefault="00DC605F" w:rsidP="00DC605F">
      <w:pPr>
        <w:pStyle w:val="ListParagraph"/>
        <w:overflowPunct w:val="0"/>
        <w:autoSpaceDE w:val="0"/>
        <w:autoSpaceDN w:val="0"/>
        <w:adjustRightInd w:val="0"/>
        <w:textAlignment w:val="baseline"/>
        <w:rPr>
          <w:b/>
          <w:color w:val="auto"/>
          <w:sz w:val="26"/>
          <w:szCs w:val="26"/>
        </w:rPr>
      </w:pPr>
    </w:p>
    <w:p w14:paraId="2543886E" w14:textId="77777777" w:rsidR="00CD3FEC" w:rsidRPr="0053658B" w:rsidRDefault="00CD3FEC" w:rsidP="00DC605F">
      <w:pPr>
        <w:pStyle w:val="ListParagraph"/>
        <w:numPr>
          <w:ilvl w:val="0"/>
          <w:numId w:val="15"/>
        </w:numPr>
        <w:overflowPunct w:val="0"/>
        <w:autoSpaceDE w:val="0"/>
        <w:autoSpaceDN w:val="0"/>
        <w:adjustRightInd w:val="0"/>
        <w:textAlignment w:val="baseline"/>
        <w:rPr>
          <w:b/>
          <w:color w:val="auto"/>
          <w:sz w:val="26"/>
          <w:szCs w:val="26"/>
        </w:rPr>
      </w:pPr>
      <w:r w:rsidRPr="0053658B">
        <w:rPr>
          <w:b/>
          <w:color w:val="auto"/>
          <w:sz w:val="26"/>
          <w:szCs w:val="26"/>
        </w:rPr>
        <w:tab/>
        <w:t>Plan Provisions</w:t>
      </w:r>
    </w:p>
    <w:p w14:paraId="2AD59A96" w14:textId="77777777" w:rsidR="00DC605F" w:rsidRPr="0053658B" w:rsidRDefault="00DC605F" w:rsidP="00DC605F">
      <w:pPr>
        <w:pStyle w:val="ListParagraph"/>
        <w:overflowPunct w:val="0"/>
        <w:autoSpaceDE w:val="0"/>
        <w:autoSpaceDN w:val="0"/>
        <w:adjustRightInd w:val="0"/>
        <w:ind w:left="1800"/>
        <w:textAlignment w:val="baseline"/>
        <w:rPr>
          <w:b/>
          <w:color w:val="auto"/>
          <w:sz w:val="26"/>
          <w:szCs w:val="26"/>
        </w:rPr>
      </w:pPr>
    </w:p>
    <w:p w14:paraId="5F982FED" w14:textId="77777777" w:rsidR="00F4408D" w:rsidRPr="0053658B" w:rsidRDefault="00CD3FEC" w:rsidP="009413C4">
      <w:pPr>
        <w:overflowPunct w:val="0"/>
        <w:autoSpaceDE w:val="0"/>
        <w:autoSpaceDN w:val="0"/>
        <w:adjustRightInd w:val="0"/>
        <w:spacing w:after="240" w:line="360" w:lineRule="auto"/>
        <w:textAlignment w:val="baseline"/>
        <w:rPr>
          <w:color w:val="auto"/>
          <w:sz w:val="26"/>
          <w:szCs w:val="26"/>
        </w:rPr>
      </w:pPr>
      <w:r w:rsidRPr="0053658B">
        <w:rPr>
          <w:color w:val="auto"/>
          <w:sz w:val="26"/>
          <w:szCs w:val="26"/>
        </w:rPr>
        <w:tab/>
      </w:r>
      <w:r w:rsidR="00F4408D" w:rsidRPr="0053658B">
        <w:rPr>
          <w:color w:val="auto"/>
          <w:sz w:val="26"/>
          <w:szCs w:val="26"/>
        </w:rPr>
        <w:t xml:space="preserve">Part 3.A.7-9 of Frontier Commonwealth’s Approved Amended Chapter 30 Plan states the following: “On February 1st of each year, . . . the Company shall file with the Commission a PSI and SPI Report . . . Each such annual filing may be accompanied by tariffs to implement any required or authorized SPI. </w:t>
      </w:r>
      <w:r w:rsidR="00857FD1" w:rsidRPr="0053658B">
        <w:rPr>
          <w:color w:val="auto"/>
          <w:sz w:val="26"/>
          <w:szCs w:val="26"/>
        </w:rPr>
        <w:t xml:space="preserve"> </w:t>
      </w:r>
      <w:r w:rsidR="00F4408D" w:rsidRPr="0053658B">
        <w:rPr>
          <w:color w:val="auto"/>
          <w:sz w:val="26"/>
          <w:szCs w:val="26"/>
        </w:rPr>
        <w:t>The proposed tariff rates will become effective within 60 days of filing. . . . A Commission Order must be entered within sixty (60) days of the filing, otherwise the tariff(s) shall become effective as filed.”</w:t>
      </w:r>
    </w:p>
    <w:p w14:paraId="6C738337" w14:textId="77777777" w:rsidR="00CD3FEC" w:rsidRPr="0053658B" w:rsidRDefault="004B357F" w:rsidP="00257D8D">
      <w:pPr>
        <w:overflowPunct w:val="0"/>
        <w:autoSpaceDE w:val="0"/>
        <w:autoSpaceDN w:val="0"/>
        <w:adjustRightInd w:val="0"/>
        <w:textAlignment w:val="baseline"/>
        <w:rPr>
          <w:b/>
          <w:color w:val="auto"/>
          <w:sz w:val="26"/>
          <w:szCs w:val="26"/>
        </w:rPr>
      </w:pPr>
      <w:r w:rsidRPr="0053658B">
        <w:rPr>
          <w:color w:val="auto"/>
          <w:sz w:val="26"/>
          <w:szCs w:val="26"/>
        </w:rPr>
        <w:tab/>
      </w:r>
      <w:r w:rsidR="00257D8D" w:rsidRPr="0053658B">
        <w:rPr>
          <w:color w:val="auto"/>
          <w:sz w:val="26"/>
          <w:szCs w:val="26"/>
        </w:rPr>
        <w:tab/>
      </w:r>
      <w:r w:rsidR="00CD3FEC" w:rsidRPr="0053658B">
        <w:rPr>
          <w:b/>
          <w:color w:val="auto"/>
          <w:sz w:val="26"/>
          <w:szCs w:val="26"/>
        </w:rPr>
        <w:t>2.</w:t>
      </w:r>
      <w:r w:rsidR="00CD3FEC" w:rsidRPr="0053658B">
        <w:rPr>
          <w:b/>
          <w:color w:val="auto"/>
          <w:sz w:val="26"/>
          <w:szCs w:val="26"/>
        </w:rPr>
        <w:tab/>
        <w:t>PSI/SPI Calculations</w:t>
      </w:r>
    </w:p>
    <w:p w14:paraId="267DD94E" w14:textId="77777777" w:rsidR="00DC605F" w:rsidRPr="0053658B" w:rsidRDefault="00DC605F" w:rsidP="00DC605F">
      <w:pPr>
        <w:overflowPunct w:val="0"/>
        <w:autoSpaceDE w:val="0"/>
        <w:autoSpaceDN w:val="0"/>
        <w:adjustRightInd w:val="0"/>
        <w:textAlignment w:val="baseline"/>
        <w:rPr>
          <w:b/>
          <w:color w:val="auto"/>
          <w:sz w:val="26"/>
          <w:szCs w:val="26"/>
        </w:rPr>
      </w:pPr>
    </w:p>
    <w:p w14:paraId="450656C8" w14:textId="77777777" w:rsidR="00CD3FEC" w:rsidRPr="0053658B" w:rsidRDefault="00F62BC6" w:rsidP="00CD3FEC">
      <w:pPr>
        <w:overflowPunct w:val="0"/>
        <w:autoSpaceDE w:val="0"/>
        <w:autoSpaceDN w:val="0"/>
        <w:adjustRightInd w:val="0"/>
        <w:spacing w:after="240" w:line="360" w:lineRule="auto"/>
        <w:textAlignment w:val="baseline"/>
        <w:rPr>
          <w:color w:val="auto"/>
          <w:sz w:val="26"/>
          <w:szCs w:val="26"/>
        </w:rPr>
      </w:pPr>
      <w:r w:rsidRPr="0053658B">
        <w:rPr>
          <w:color w:val="auto"/>
          <w:sz w:val="26"/>
          <w:szCs w:val="26"/>
        </w:rPr>
        <w:tab/>
      </w:r>
      <w:r w:rsidR="00CD3FEC" w:rsidRPr="0053658B">
        <w:rPr>
          <w:color w:val="auto"/>
          <w:sz w:val="26"/>
          <w:szCs w:val="26"/>
        </w:rPr>
        <w:t>Our review of the calculations submitted by Frontier Commonwealth indicates that they are accurate and consistent with the terms of the Company’s Price Stability Plan formula approved in its Chapter 30 Plan.  Therefore, we shall approve Frontier Commonwealth’s 201</w:t>
      </w:r>
      <w:r w:rsidR="0053658B" w:rsidRPr="0053658B">
        <w:rPr>
          <w:color w:val="auto"/>
          <w:sz w:val="26"/>
          <w:szCs w:val="26"/>
        </w:rPr>
        <w:t>8</w:t>
      </w:r>
      <w:r w:rsidR="00CD3FEC" w:rsidRPr="0053658B">
        <w:rPr>
          <w:color w:val="auto"/>
          <w:sz w:val="26"/>
          <w:szCs w:val="26"/>
        </w:rPr>
        <w:t xml:space="preserve"> PSI/SPI filing.</w:t>
      </w:r>
    </w:p>
    <w:p w14:paraId="1F3C2182" w14:textId="77777777" w:rsidR="00CD3FEC" w:rsidRPr="00963E57" w:rsidRDefault="00F62BC6" w:rsidP="007F6AD3">
      <w:pPr>
        <w:overflowPunct w:val="0"/>
        <w:autoSpaceDE w:val="0"/>
        <w:autoSpaceDN w:val="0"/>
        <w:adjustRightInd w:val="0"/>
        <w:textAlignment w:val="baseline"/>
        <w:rPr>
          <w:b/>
          <w:color w:val="auto"/>
          <w:sz w:val="26"/>
          <w:szCs w:val="26"/>
        </w:rPr>
      </w:pPr>
      <w:r w:rsidRPr="0053658B">
        <w:rPr>
          <w:color w:val="auto"/>
          <w:sz w:val="26"/>
          <w:szCs w:val="26"/>
        </w:rPr>
        <w:tab/>
      </w:r>
      <w:r w:rsidR="00257D8D" w:rsidRPr="0053658B">
        <w:rPr>
          <w:color w:val="auto"/>
          <w:sz w:val="26"/>
          <w:szCs w:val="26"/>
        </w:rPr>
        <w:tab/>
      </w:r>
      <w:r w:rsidR="00CD3FEC" w:rsidRPr="00963E57">
        <w:rPr>
          <w:b/>
          <w:color w:val="auto"/>
          <w:sz w:val="26"/>
          <w:szCs w:val="26"/>
        </w:rPr>
        <w:t>3.</w:t>
      </w:r>
      <w:r w:rsidR="00CD3FEC" w:rsidRPr="00963E57">
        <w:rPr>
          <w:b/>
          <w:color w:val="auto"/>
          <w:sz w:val="26"/>
          <w:szCs w:val="26"/>
        </w:rPr>
        <w:tab/>
        <w:t>Banked Revenues</w:t>
      </w:r>
    </w:p>
    <w:p w14:paraId="60DE2C73" w14:textId="77777777" w:rsidR="007F6AD3" w:rsidRPr="00963E57" w:rsidRDefault="007F6AD3" w:rsidP="007F6AD3">
      <w:pPr>
        <w:overflowPunct w:val="0"/>
        <w:autoSpaceDE w:val="0"/>
        <w:autoSpaceDN w:val="0"/>
        <w:adjustRightInd w:val="0"/>
        <w:textAlignment w:val="baseline"/>
        <w:rPr>
          <w:b/>
          <w:color w:val="auto"/>
          <w:sz w:val="26"/>
          <w:szCs w:val="26"/>
        </w:rPr>
      </w:pPr>
    </w:p>
    <w:p w14:paraId="465C28C5" w14:textId="3C8AFC9E" w:rsidR="00687738" w:rsidRPr="00752434" w:rsidRDefault="00F62BC6" w:rsidP="00687738">
      <w:pPr>
        <w:overflowPunct w:val="0"/>
        <w:autoSpaceDE w:val="0"/>
        <w:autoSpaceDN w:val="0"/>
        <w:adjustRightInd w:val="0"/>
        <w:spacing w:after="240" w:line="360" w:lineRule="auto"/>
        <w:textAlignment w:val="baseline"/>
        <w:rPr>
          <w:color w:val="auto"/>
          <w:sz w:val="26"/>
          <w:szCs w:val="26"/>
        </w:rPr>
      </w:pPr>
      <w:r w:rsidRPr="00963E57">
        <w:rPr>
          <w:color w:val="auto"/>
          <w:sz w:val="26"/>
          <w:szCs w:val="26"/>
        </w:rPr>
        <w:tab/>
      </w:r>
      <w:r w:rsidR="00CD3FEC" w:rsidRPr="00963E57">
        <w:rPr>
          <w:color w:val="auto"/>
          <w:sz w:val="26"/>
          <w:szCs w:val="26"/>
        </w:rPr>
        <w:t>The banking methods Frontier Commonwealth uses in its 201</w:t>
      </w:r>
      <w:r w:rsidR="00963E57" w:rsidRPr="00963E57">
        <w:rPr>
          <w:color w:val="auto"/>
          <w:sz w:val="26"/>
          <w:szCs w:val="26"/>
        </w:rPr>
        <w:t>8</w:t>
      </w:r>
      <w:r w:rsidR="00A75768" w:rsidRPr="00963E57">
        <w:rPr>
          <w:color w:val="auto"/>
          <w:sz w:val="26"/>
          <w:szCs w:val="26"/>
        </w:rPr>
        <w:t xml:space="preserve"> PSI/SPI</w:t>
      </w:r>
      <w:r w:rsidR="00CD3FEC" w:rsidRPr="00963E57">
        <w:rPr>
          <w:color w:val="auto"/>
          <w:sz w:val="26"/>
          <w:szCs w:val="26"/>
        </w:rPr>
        <w:t xml:space="preserve"> filing are consistent</w:t>
      </w:r>
      <w:r w:rsidRPr="00963E57">
        <w:rPr>
          <w:color w:val="auto"/>
          <w:sz w:val="26"/>
          <w:szCs w:val="26"/>
        </w:rPr>
        <w:t xml:space="preserve"> with its </w:t>
      </w:r>
      <w:r w:rsidR="00CD3FEC" w:rsidRPr="00963E57">
        <w:rPr>
          <w:color w:val="auto"/>
          <w:sz w:val="26"/>
          <w:szCs w:val="26"/>
        </w:rPr>
        <w:t xml:space="preserve">Chapter </w:t>
      </w:r>
      <w:r w:rsidR="00CD3FEC" w:rsidRPr="00752434">
        <w:rPr>
          <w:color w:val="auto"/>
          <w:sz w:val="26"/>
          <w:szCs w:val="26"/>
        </w:rPr>
        <w:t xml:space="preserve">30 Plan.  </w:t>
      </w:r>
      <w:r w:rsidR="00687738" w:rsidRPr="00752434">
        <w:rPr>
          <w:color w:val="auto"/>
          <w:sz w:val="26"/>
          <w:szCs w:val="26"/>
        </w:rPr>
        <w:t>In its 201</w:t>
      </w:r>
      <w:r w:rsidR="00752434" w:rsidRPr="00752434">
        <w:rPr>
          <w:color w:val="auto"/>
          <w:sz w:val="26"/>
          <w:szCs w:val="26"/>
        </w:rPr>
        <w:t>7</w:t>
      </w:r>
      <w:r w:rsidR="00687738" w:rsidRPr="00752434">
        <w:rPr>
          <w:color w:val="auto"/>
          <w:sz w:val="26"/>
          <w:szCs w:val="26"/>
        </w:rPr>
        <w:t xml:space="preserve"> PSI/SPI filing, the Company was authorized a rate increase amount of $</w:t>
      </w:r>
      <w:r w:rsidR="00466BC8">
        <w:rPr>
          <w:color w:val="auto"/>
          <w:sz w:val="26"/>
          <w:szCs w:val="26"/>
        </w:rPr>
        <w:t>528,238</w:t>
      </w:r>
      <w:r w:rsidR="00687738" w:rsidRPr="00752434">
        <w:rPr>
          <w:color w:val="auto"/>
          <w:sz w:val="26"/>
          <w:szCs w:val="26"/>
        </w:rPr>
        <w:t>.  The Company is banking the full amount authorized in its 201</w:t>
      </w:r>
      <w:r w:rsidR="00752434" w:rsidRPr="00752434">
        <w:rPr>
          <w:color w:val="auto"/>
          <w:sz w:val="26"/>
          <w:szCs w:val="26"/>
        </w:rPr>
        <w:t>7</w:t>
      </w:r>
      <w:r w:rsidR="00687738" w:rsidRPr="00752434">
        <w:rPr>
          <w:color w:val="auto"/>
          <w:sz w:val="26"/>
          <w:szCs w:val="26"/>
        </w:rPr>
        <w:t xml:space="preserve"> PSI/SPI filing for future use.  In accordance with its Chapter 30 Plan, the Company will bank any unused amount authorized to it under its 201</w:t>
      </w:r>
      <w:r w:rsidR="00752434" w:rsidRPr="00752434">
        <w:rPr>
          <w:color w:val="auto"/>
          <w:sz w:val="26"/>
          <w:szCs w:val="26"/>
        </w:rPr>
        <w:t>8</w:t>
      </w:r>
      <w:r w:rsidR="00687738" w:rsidRPr="00752434">
        <w:rPr>
          <w:color w:val="auto"/>
          <w:sz w:val="26"/>
          <w:szCs w:val="26"/>
        </w:rPr>
        <w:t xml:space="preserve"> PSI/SPI filing at the end of the 201</w:t>
      </w:r>
      <w:r w:rsidR="00752434" w:rsidRPr="00752434">
        <w:rPr>
          <w:color w:val="auto"/>
          <w:sz w:val="26"/>
          <w:szCs w:val="26"/>
        </w:rPr>
        <w:t>8</w:t>
      </w:r>
      <w:r w:rsidR="00687738" w:rsidRPr="00752434">
        <w:rPr>
          <w:color w:val="auto"/>
          <w:sz w:val="26"/>
          <w:szCs w:val="26"/>
        </w:rPr>
        <w:t xml:space="preserve"> PSI period.  </w:t>
      </w:r>
    </w:p>
    <w:p w14:paraId="5894E41B" w14:textId="27C4A24B" w:rsidR="00C21B36" w:rsidRPr="00752434" w:rsidRDefault="00687738" w:rsidP="00B00482">
      <w:pPr>
        <w:overflowPunct w:val="0"/>
        <w:autoSpaceDE w:val="0"/>
        <w:autoSpaceDN w:val="0"/>
        <w:adjustRightInd w:val="0"/>
        <w:spacing w:after="240" w:line="360" w:lineRule="auto"/>
        <w:textAlignment w:val="baseline"/>
        <w:rPr>
          <w:color w:val="auto"/>
          <w:sz w:val="26"/>
          <w:szCs w:val="26"/>
        </w:rPr>
      </w:pPr>
      <w:r w:rsidRPr="00752434">
        <w:rPr>
          <w:color w:val="auto"/>
          <w:sz w:val="26"/>
          <w:szCs w:val="26"/>
        </w:rPr>
        <w:tab/>
        <w:t>On January 1</w:t>
      </w:r>
      <w:r w:rsidR="00E56D8D" w:rsidRPr="00752434">
        <w:rPr>
          <w:color w:val="auto"/>
          <w:sz w:val="26"/>
          <w:szCs w:val="26"/>
        </w:rPr>
        <w:t>1</w:t>
      </w:r>
      <w:r w:rsidRPr="00752434">
        <w:rPr>
          <w:color w:val="auto"/>
          <w:sz w:val="26"/>
          <w:szCs w:val="26"/>
        </w:rPr>
        <w:t>, 201</w:t>
      </w:r>
      <w:r w:rsidR="00E56D8D" w:rsidRPr="00752434">
        <w:rPr>
          <w:color w:val="auto"/>
          <w:sz w:val="26"/>
          <w:szCs w:val="26"/>
        </w:rPr>
        <w:t>8</w:t>
      </w:r>
      <w:r w:rsidR="00B00482" w:rsidRPr="00752434">
        <w:rPr>
          <w:color w:val="auto"/>
          <w:sz w:val="26"/>
          <w:szCs w:val="26"/>
        </w:rPr>
        <w:t xml:space="preserve">, the Company </w:t>
      </w:r>
      <w:r w:rsidR="00B00482" w:rsidRPr="00E56D8D">
        <w:rPr>
          <w:color w:val="auto"/>
          <w:sz w:val="26"/>
          <w:szCs w:val="26"/>
        </w:rPr>
        <w:t xml:space="preserve">filed an updated banking report to reflect the amounts retired from the </w:t>
      </w:r>
      <w:r w:rsidR="00B00482" w:rsidRPr="00752434">
        <w:rPr>
          <w:color w:val="auto"/>
          <w:sz w:val="26"/>
          <w:szCs w:val="26"/>
        </w:rPr>
        <w:t>Company’s bank</w:t>
      </w:r>
      <w:r w:rsidR="00C21B36" w:rsidRPr="00752434">
        <w:rPr>
          <w:color w:val="auto"/>
          <w:sz w:val="26"/>
          <w:szCs w:val="26"/>
        </w:rPr>
        <w:t xml:space="preserve"> </w:t>
      </w:r>
      <w:r w:rsidR="00A12A10">
        <w:rPr>
          <w:color w:val="000000"/>
          <w:sz w:val="26"/>
          <w:szCs w:val="26"/>
        </w:rPr>
        <w:t>as a result of State Tax Adjustment Surcharge (STAS) recalculations.  The Company’s bank was reduced to account for the cumulative impact of its 2015 ($19,710) and 2016 ($57,064) STAS recalculations</w:t>
      </w:r>
      <w:r w:rsidR="00C21B36" w:rsidRPr="00752434">
        <w:rPr>
          <w:color w:val="auto"/>
          <w:sz w:val="26"/>
          <w:szCs w:val="26"/>
        </w:rPr>
        <w:t>.</w:t>
      </w:r>
      <w:r w:rsidR="00C21B36" w:rsidRPr="00752434">
        <w:rPr>
          <w:rStyle w:val="FootnoteReference"/>
          <w:color w:val="auto"/>
          <w:sz w:val="26"/>
          <w:szCs w:val="26"/>
        </w:rPr>
        <w:footnoteReference w:id="3"/>
      </w:r>
      <w:r w:rsidR="00CA58FB" w:rsidRPr="00752434">
        <w:rPr>
          <w:color w:val="auto"/>
          <w:sz w:val="26"/>
          <w:szCs w:val="26"/>
        </w:rPr>
        <w:t xml:space="preserve">  These </w:t>
      </w:r>
      <w:r w:rsidR="00A12A10">
        <w:rPr>
          <w:color w:val="auto"/>
          <w:sz w:val="26"/>
          <w:szCs w:val="26"/>
        </w:rPr>
        <w:t>amounts</w:t>
      </w:r>
      <w:r w:rsidR="00CA58FB" w:rsidRPr="00752434">
        <w:rPr>
          <w:color w:val="auto"/>
          <w:sz w:val="26"/>
          <w:szCs w:val="26"/>
        </w:rPr>
        <w:t xml:space="preserve"> </w:t>
      </w:r>
      <w:r w:rsidR="00CA58FB" w:rsidRPr="00752434">
        <w:rPr>
          <w:color w:val="auto"/>
          <w:sz w:val="26"/>
          <w:szCs w:val="26"/>
        </w:rPr>
        <w:lastRenderedPageBreak/>
        <w:t xml:space="preserve">were </w:t>
      </w:r>
      <w:r w:rsidR="00B66D10" w:rsidRPr="00752434">
        <w:rPr>
          <w:color w:val="auto"/>
          <w:sz w:val="26"/>
          <w:szCs w:val="26"/>
        </w:rPr>
        <w:t xml:space="preserve">subtracted </w:t>
      </w:r>
      <w:r w:rsidR="00CA58FB" w:rsidRPr="00752434">
        <w:rPr>
          <w:color w:val="auto"/>
          <w:sz w:val="26"/>
          <w:szCs w:val="26"/>
        </w:rPr>
        <w:t>from the</w:t>
      </w:r>
      <w:r w:rsidR="00ED77CD" w:rsidRPr="00752434">
        <w:rPr>
          <w:color w:val="auto"/>
          <w:sz w:val="26"/>
          <w:szCs w:val="26"/>
        </w:rPr>
        <w:t xml:space="preserve"> banked amounts remaining from the</w:t>
      </w:r>
      <w:r w:rsidR="00CA58FB" w:rsidRPr="00752434">
        <w:rPr>
          <w:color w:val="auto"/>
          <w:sz w:val="26"/>
          <w:szCs w:val="26"/>
        </w:rPr>
        <w:t xml:space="preserve"> Company’s 201</w:t>
      </w:r>
      <w:r w:rsidR="00752434" w:rsidRPr="00752434">
        <w:rPr>
          <w:color w:val="auto"/>
          <w:sz w:val="26"/>
          <w:szCs w:val="26"/>
        </w:rPr>
        <w:t>4</w:t>
      </w:r>
      <w:r w:rsidR="00CA58FB" w:rsidRPr="00752434">
        <w:rPr>
          <w:color w:val="auto"/>
          <w:sz w:val="26"/>
          <w:szCs w:val="26"/>
        </w:rPr>
        <w:t xml:space="preserve"> PSI period</w:t>
      </w:r>
      <w:r w:rsidR="00CA58FB" w:rsidRPr="0063153F">
        <w:rPr>
          <w:color w:val="auto"/>
          <w:sz w:val="26"/>
          <w:szCs w:val="26"/>
        </w:rPr>
        <w:t>.</w:t>
      </w:r>
      <w:r w:rsidR="00FD6B0A" w:rsidRPr="0063153F">
        <w:rPr>
          <w:color w:val="auto"/>
          <w:sz w:val="26"/>
          <w:szCs w:val="26"/>
        </w:rPr>
        <w:t xml:space="preserve">  </w:t>
      </w:r>
      <w:r w:rsidR="00B75347" w:rsidRPr="0063153F">
        <w:rPr>
          <w:color w:val="auto"/>
          <w:sz w:val="26"/>
          <w:szCs w:val="26"/>
        </w:rPr>
        <w:t>T</w:t>
      </w:r>
      <w:r w:rsidR="00FD6B0A" w:rsidRPr="0063153F">
        <w:rPr>
          <w:color w:val="auto"/>
          <w:sz w:val="26"/>
          <w:szCs w:val="26"/>
        </w:rPr>
        <w:t xml:space="preserve">he banked amounts remaining from </w:t>
      </w:r>
      <w:r w:rsidR="00535367" w:rsidRPr="0063153F">
        <w:rPr>
          <w:color w:val="auto"/>
          <w:sz w:val="26"/>
          <w:szCs w:val="26"/>
        </w:rPr>
        <w:t>the Company’s</w:t>
      </w:r>
      <w:r w:rsidR="00FD6B0A" w:rsidRPr="0063153F">
        <w:rPr>
          <w:color w:val="auto"/>
          <w:sz w:val="26"/>
          <w:szCs w:val="26"/>
        </w:rPr>
        <w:t xml:space="preserve"> 2014 PSI period also were reduced by $383,834 to reflect the amount of the actual rate increases </w:t>
      </w:r>
      <w:r w:rsidR="00D2399A" w:rsidRPr="0063153F">
        <w:rPr>
          <w:color w:val="auto"/>
          <w:sz w:val="26"/>
          <w:szCs w:val="26"/>
        </w:rPr>
        <w:t xml:space="preserve">implemented </w:t>
      </w:r>
      <w:r w:rsidR="00FD6B0A" w:rsidRPr="0063153F">
        <w:rPr>
          <w:color w:val="auto"/>
          <w:sz w:val="26"/>
          <w:szCs w:val="26"/>
        </w:rPr>
        <w:t>under its 2017 PSI/SPI filing.</w:t>
      </w:r>
      <w:r w:rsidR="00D23D48" w:rsidRPr="0063153F">
        <w:rPr>
          <w:rStyle w:val="FootnoteReference"/>
          <w:color w:val="auto"/>
          <w:sz w:val="26"/>
          <w:szCs w:val="26"/>
        </w:rPr>
        <w:footnoteReference w:id="4"/>
      </w:r>
      <w:r w:rsidR="00FD6B0A">
        <w:rPr>
          <w:color w:val="auto"/>
          <w:sz w:val="26"/>
          <w:szCs w:val="26"/>
        </w:rPr>
        <w:t xml:space="preserve"> </w:t>
      </w:r>
      <w:r w:rsidR="00CA58FB" w:rsidRPr="00752434">
        <w:rPr>
          <w:color w:val="auto"/>
          <w:sz w:val="26"/>
          <w:szCs w:val="26"/>
        </w:rPr>
        <w:t xml:space="preserve"> </w:t>
      </w:r>
    </w:p>
    <w:p w14:paraId="0C13D258" w14:textId="2D9BC92A" w:rsidR="00CD3FEC" w:rsidRPr="00F874B6" w:rsidRDefault="00CA58FB" w:rsidP="006F4DF6">
      <w:pPr>
        <w:overflowPunct w:val="0"/>
        <w:autoSpaceDE w:val="0"/>
        <w:autoSpaceDN w:val="0"/>
        <w:adjustRightInd w:val="0"/>
        <w:spacing w:after="240" w:line="360" w:lineRule="auto"/>
        <w:textAlignment w:val="baseline"/>
        <w:rPr>
          <w:color w:val="auto"/>
          <w:sz w:val="26"/>
          <w:szCs w:val="26"/>
        </w:rPr>
      </w:pPr>
      <w:r w:rsidRPr="00752434">
        <w:rPr>
          <w:color w:val="auto"/>
          <w:sz w:val="26"/>
          <w:szCs w:val="26"/>
        </w:rPr>
        <w:tab/>
        <w:t xml:space="preserve"> </w:t>
      </w:r>
      <w:r w:rsidR="00B00482" w:rsidRPr="00752434">
        <w:rPr>
          <w:color w:val="auto"/>
          <w:sz w:val="26"/>
          <w:szCs w:val="26"/>
        </w:rPr>
        <w:t xml:space="preserve">The table below summarizes the </w:t>
      </w:r>
      <w:r w:rsidR="00B00482" w:rsidRPr="00F874B6">
        <w:rPr>
          <w:color w:val="auto"/>
          <w:sz w:val="26"/>
          <w:szCs w:val="26"/>
        </w:rPr>
        <w:t>banking report included with Frontier Commonwealth’s</w:t>
      </w:r>
      <w:r w:rsidRPr="00F874B6">
        <w:rPr>
          <w:color w:val="auto"/>
          <w:sz w:val="26"/>
          <w:szCs w:val="26"/>
        </w:rPr>
        <w:t xml:space="preserve"> 201</w:t>
      </w:r>
      <w:r w:rsidR="00F874B6" w:rsidRPr="00F874B6">
        <w:rPr>
          <w:color w:val="auto"/>
          <w:sz w:val="26"/>
          <w:szCs w:val="26"/>
        </w:rPr>
        <w:t>8</w:t>
      </w:r>
      <w:r w:rsidR="00B00482" w:rsidRPr="00F874B6">
        <w:rPr>
          <w:color w:val="auto"/>
          <w:sz w:val="26"/>
          <w:szCs w:val="26"/>
        </w:rPr>
        <w:t xml:space="preserve"> PSI/SPI</w:t>
      </w:r>
      <w:r w:rsidRPr="00F874B6">
        <w:rPr>
          <w:color w:val="auto"/>
          <w:sz w:val="26"/>
          <w:szCs w:val="26"/>
        </w:rPr>
        <w:t xml:space="preserve"> filing</w:t>
      </w:r>
      <w:r w:rsidR="00B00482" w:rsidRPr="00F874B6">
        <w:rPr>
          <w:color w:val="auto"/>
          <w:sz w:val="26"/>
          <w:szCs w:val="26"/>
        </w:rPr>
        <w:t>.</w:t>
      </w:r>
      <w:r w:rsidR="00257D8D" w:rsidRPr="00F874B6">
        <w:rPr>
          <w:color w:val="auto"/>
          <w:sz w:val="26"/>
          <w:szCs w:val="26"/>
        </w:rPr>
        <w:t xml:space="preserve"> </w:t>
      </w:r>
    </w:p>
    <w:p w14:paraId="6F7937B5" w14:textId="77777777" w:rsidR="00257D8D" w:rsidRPr="00C657D9" w:rsidRDefault="00257D8D" w:rsidP="00257D8D">
      <w:pPr>
        <w:overflowPunct w:val="0"/>
        <w:autoSpaceDE w:val="0"/>
        <w:autoSpaceDN w:val="0"/>
        <w:adjustRightInd w:val="0"/>
        <w:textAlignment w:val="baseline"/>
        <w:rPr>
          <w:color w:val="FF0000"/>
          <w:sz w:val="26"/>
          <w:szCs w:val="26"/>
        </w:rPr>
      </w:pPr>
    </w:p>
    <w:tbl>
      <w:tblPr>
        <w:tblW w:w="10071" w:type="dxa"/>
        <w:jc w:val="center"/>
        <w:tblLook w:val="04A0" w:firstRow="1" w:lastRow="0" w:firstColumn="1" w:lastColumn="0" w:noHBand="0" w:noVBand="1"/>
      </w:tblPr>
      <w:tblGrid>
        <w:gridCol w:w="2442"/>
        <w:gridCol w:w="1811"/>
        <w:gridCol w:w="1121"/>
        <w:gridCol w:w="1822"/>
        <w:gridCol w:w="1324"/>
        <w:gridCol w:w="1551"/>
      </w:tblGrid>
      <w:tr w:rsidR="004B1CF7" w:rsidRPr="004B1CF7" w14:paraId="78431079" w14:textId="77777777" w:rsidTr="00653032">
        <w:trPr>
          <w:trHeight w:val="264"/>
          <w:jc w:val="center"/>
        </w:trPr>
        <w:tc>
          <w:tcPr>
            <w:tcW w:w="1007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5B0E5F" w14:textId="07F3DFA8" w:rsidR="00CA58FB" w:rsidRPr="004B1CF7" w:rsidRDefault="0028553B" w:rsidP="00CA58FB">
            <w:pPr>
              <w:jc w:val="center"/>
              <w:rPr>
                <w:b/>
                <w:bCs/>
                <w:color w:val="auto"/>
                <w:sz w:val="22"/>
                <w:szCs w:val="22"/>
              </w:rPr>
            </w:pPr>
            <w:r w:rsidRPr="004B1CF7">
              <w:rPr>
                <w:b/>
                <w:bCs/>
                <w:color w:val="auto"/>
                <w:sz w:val="22"/>
                <w:szCs w:val="22"/>
              </w:rPr>
              <w:t>201</w:t>
            </w:r>
            <w:r w:rsidR="004B1CF7" w:rsidRPr="004B1CF7">
              <w:rPr>
                <w:b/>
                <w:bCs/>
                <w:color w:val="auto"/>
                <w:sz w:val="22"/>
                <w:szCs w:val="22"/>
              </w:rPr>
              <w:t>8</w:t>
            </w:r>
            <w:r w:rsidR="00895415">
              <w:rPr>
                <w:b/>
                <w:bCs/>
                <w:color w:val="auto"/>
                <w:sz w:val="22"/>
                <w:szCs w:val="22"/>
              </w:rPr>
              <w:t xml:space="preserve"> PSI PERIOD</w:t>
            </w:r>
            <w:r w:rsidR="00CA58FB" w:rsidRPr="004B1CF7">
              <w:rPr>
                <w:b/>
                <w:bCs/>
                <w:color w:val="auto"/>
                <w:sz w:val="22"/>
                <w:szCs w:val="22"/>
              </w:rPr>
              <w:t xml:space="preserve"> BANKING REPORT</w:t>
            </w:r>
          </w:p>
        </w:tc>
      </w:tr>
      <w:tr w:rsidR="004B1CF7" w:rsidRPr="004B1CF7" w14:paraId="0DC0759E" w14:textId="77777777" w:rsidTr="00653032">
        <w:trPr>
          <w:trHeight w:val="341"/>
          <w:jc w:val="center"/>
        </w:trPr>
        <w:tc>
          <w:tcPr>
            <w:tcW w:w="2442" w:type="dxa"/>
            <w:tcBorders>
              <w:top w:val="nil"/>
              <w:left w:val="single" w:sz="4" w:space="0" w:color="auto"/>
              <w:bottom w:val="nil"/>
              <w:right w:val="nil"/>
            </w:tcBorders>
            <w:shd w:val="clear" w:color="auto" w:fill="auto"/>
            <w:noWrap/>
            <w:vAlign w:val="bottom"/>
            <w:hideMark/>
          </w:tcPr>
          <w:p w14:paraId="3FDBFA7A" w14:textId="77777777" w:rsidR="00CA58FB" w:rsidRPr="004B1CF7" w:rsidRDefault="00CA58FB" w:rsidP="00CA58FB">
            <w:pPr>
              <w:jc w:val="center"/>
              <w:rPr>
                <w:color w:val="auto"/>
                <w:sz w:val="22"/>
                <w:szCs w:val="22"/>
                <w:u w:val="single"/>
              </w:rPr>
            </w:pPr>
            <w:r w:rsidRPr="004B1CF7">
              <w:rPr>
                <w:color w:val="auto"/>
                <w:sz w:val="22"/>
                <w:szCs w:val="22"/>
                <w:u w:val="single"/>
              </w:rPr>
              <w:t>PSI Period</w:t>
            </w:r>
          </w:p>
        </w:tc>
        <w:tc>
          <w:tcPr>
            <w:tcW w:w="1811" w:type="dxa"/>
            <w:tcBorders>
              <w:top w:val="nil"/>
              <w:left w:val="nil"/>
              <w:bottom w:val="nil"/>
              <w:right w:val="nil"/>
            </w:tcBorders>
            <w:shd w:val="clear" w:color="auto" w:fill="auto"/>
            <w:noWrap/>
            <w:vAlign w:val="bottom"/>
            <w:hideMark/>
          </w:tcPr>
          <w:p w14:paraId="7524F25C" w14:textId="77777777" w:rsidR="00CA58FB" w:rsidRPr="004B1CF7" w:rsidRDefault="00CA58FB" w:rsidP="00CA58FB">
            <w:pPr>
              <w:jc w:val="center"/>
              <w:rPr>
                <w:color w:val="auto"/>
                <w:sz w:val="22"/>
                <w:szCs w:val="22"/>
                <w:u w:val="single"/>
              </w:rPr>
            </w:pPr>
            <w:r w:rsidRPr="004B1CF7">
              <w:rPr>
                <w:color w:val="auto"/>
                <w:sz w:val="22"/>
                <w:szCs w:val="22"/>
                <w:u w:val="single"/>
              </w:rPr>
              <w:t>Principal</w:t>
            </w:r>
          </w:p>
        </w:tc>
        <w:tc>
          <w:tcPr>
            <w:tcW w:w="1121" w:type="dxa"/>
            <w:tcBorders>
              <w:top w:val="nil"/>
              <w:left w:val="nil"/>
              <w:bottom w:val="nil"/>
              <w:right w:val="nil"/>
            </w:tcBorders>
            <w:shd w:val="clear" w:color="auto" w:fill="auto"/>
            <w:noWrap/>
            <w:vAlign w:val="bottom"/>
            <w:hideMark/>
          </w:tcPr>
          <w:p w14:paraId="25729DAC" w14:textId="77777777" w:rsidR="00CA58FB" w:rsidRPr="004B1CF7" w:rsidRDefault="00CA58FB" w:rsidP="00CA58FB">
            <w:pPr>
              <w:jc w:val="center"/>
              <w:rPr>
                <w:color w:val="auto"/>
                <w:sz w:val="22"/>
                <w:szCs w:val="22"/>
                <w:u w:val="single"/>
              </w:rPr>
            </w:pPr>
            <w:r w:rsidRPr="004B1CF7">
              <w:rPr>
                <w:color w:val="auto"/>
                <w:sz w:val="22"/>
                <w:szCs w:val="22"/>
                <w:u w:val="single"/>
              </w:rPr>
              <w:t>Interest</w:t>
            </w:r>
          </w:p>
        </w:tc>
        <w:tc>
          <w:tcPr>
            <w:tcW w:w="1822" w:type="dxa"/>
            <w:tcBorders>
              <w:top w:val="nil"/>
              <w:left w:val="nil"/>
              <w:bottom w:val="nil"/>
              <w:right w:val="nil"/>
            </w:tcBorders>
            <w:shd w:val="clear" w:color="auto" w:fill="auto"/>
            <w:noWrap/>
            <w:vAlign w:val="bottom"/>
            <w:hideMark/>
          </w:tcPr>
          <w:p w14:paraId="391798D7" w14:textId="77777777" w:rsidR="00CA58FB" w:rsidRPr="004B1CF7" w:rsidRDefault="00CA58FB" w:rsidP="00CA58FB">
            <w:pPr>
              <w:jc w:val="center"/>
              <w:rPr>
                <w:color w:val="auto"/>
                <w:sz w:val="22"/>
                <w:szCs w:val="22"/>
                <w:u w:val="single"/>
              </w:rPr>
            </w:pPr>
            <w:proofErr w:type="spellStart"/>
            <w:r w:rsidRPr="004B1CF7">
              <w:rPr>
                <w:color w:val="auto"/>
                <w:sz w:val="22"/>
                <w:szCs w:val="22"/>
                <w:u w:val="single"/>
              </w:rPr>
              <w:t>Princ</w:t>
            </w:r>
            <w:proofErr w:type="spellEnd"/>
            <w:r w:rsidR="00257D8D" w:rsidRPr="004B1CF7">
              <w:rPr>
                <w:color w:val="auto"/>
                <w:sz w:val="22"/>
                <w:szCs w:val="22"/>
                <w:u w:val="single"/>
              </w:rPr>
              <w:t xml:space="preserve"> </w:t>
            </w:r>
            <w:r w:rsidRPr="004B1CF7">
              <w:rPr>
                <w:color w:val="auto"/>
                <w:sz w:val="22"/>
                <w:szCs w:val="22"/>
                <w:u w:val="single"/>
              </w:rPr>
              <w:t>+</w:t>
            </w:r>
            <w:r w:rsidR="00257D8D" w:rsidRPr="004B1CF7">
              <w:rPr>
                <w:color w:val="auto"/>
                <w:sz w:val="22"/>
                <w:szCs w:val="22"/>
                <w:u w:val="single"/>
              </w:rPr>
              <w:t xml:space="preserve"> </w:t>
            </w:r>
            <w:proofErr w:type="spellStart"/>
            <w:r w:rsidRPr="004B1CF7">
              <w:rPr>
                <w:color w:val="auto"/>
                <w:sz w:val="22"/>
                <w:szCs w:val="22"/>
                <w:u w:val="single"/>
              </w:rPr>
              <w:t>I</w:t>
            </w:r>
            <w:r w:rsidR="00257D8D" w:rsidRPr="004B1CF7">
              <w:rPr>
                <w:color w:val="auto"/>
                <w:sz w:val="22"/>
                <w:szCs w:val="22"/>
                <w:u w:val="single"/>
              </w:rPr>
              <w:t>n</w:t>
            </w:r>
            <w:r w:rsidRPr="004B1CF7">
              <w:rPr>
                <w:color w:val="auto"/>
                <w:sz w:val="22"/>
                <w:szCs w:val="22"/>
                <w:u w:val="single"/>
              </w:rPr>
              <w:t>trst</w:t>
            </w:r>
            <w:proofErr w:type="spellEnd"/>
          </w:p>
        </w:tc>
        <w:tc>
          <w:tcPr>
            <w:tcW w:w="1324" w:type="dxa"/>
            <w:tcBorders>
              <w:top w:val="nil"/>
              <w:left w:val="nil"/>
              <w:bottom w:val="nil"/>
              <w:right w:val="nil"/>
            </w:tcBorders>
            <w:shd w:val="clear" w:color="auto" w:fill="auto"/>
            <w:noWrap/>
            <w:vAlign w:val="bottom"/>
            <w:hideMark/>
          </w:tcPr>
          <w:p w14:paraId="594F4346" w14:textId="77777777" w:rsidR="00CA58FB" w:rsidRPr="004B1CF7" w:rsidRDefault="00CA58FB" w:rsidP="00CA58FB">
            <w:pPr>
              <w:jc w:val="center"/>
              <w:rPr>
                <w:color w:val="auto"/>
                <w:sz w:val="22"/>
                <w:szCs w:val="22"/>
                <w:u w:val="single"/>
              </w:rPr>
            </w:pPr>
            <w:r w:rsidRPr="004B1CF7">
              <w:rPr>
                <w:color w:val="auto"/>
                <w:sz w:val="22"/>
                <w:szCs w:val="22"/>
                <w:u w:val="single"/>
              </w:rPr>
              <w:t>Retired Amt</w:t>
            </w:r>
          </w:p>
        </w:tc>
        <w:tc>
          <w:tcPr>
            <w:tcW w:w="1551" w:type="dxa"/>
            <w:tcBorders>
              <w:top w:val="nil"/>
              <w:left w:val="nil"/>
              <w:bottom w:val="nil"/>
              <w:right w:val="single" w:sz="4" w:space="0" w:color="auto"/>
            </w:tcBorders>
            <w:shd w:val="clear" w:color="auto" w:fill="auto"/>
            <w:noWrap/>
            <w:vAlign w:val="bottom"/>
            <w:hideMark/>
          </w:tcPr>
          <w:p w14:paraId="50D4C618" w14:textId="77777777" w:rsidR="00CA58FB" w:rsidRPr="004B1CF7" w:rsidRDefault="00CA58FB" w:rsidP="00CA58FB">
            <w:pPr>
              <w:jc w:val="center"/>
              <w:rPr>
                <w:color w:val="auto"/>
                <w:sz w:val="22"/>
                <w:szCs w:val="22"/>
                <w:u w:val="single"/>
              </w:rPr>
            </w:pPr>
            <w:r w:rsidRPr="004B1CF7">
              <w:rPr>
                <w:color w:val="auto"/>
                <w:sz w:val="22"/>
                <w:szCs w:val="22"/>
                <w:u w:val="single"/>
              </w:rPr>
              <w:t>Net Bank</w:t>
            </w:r>
          </w:p>
        </w:tc>
      </w:tr>
      <w:tr w:rsidR="004B1CF7" w:rsidRPr="004B1CF7" w14:paraId="6B390987" w14:textId="77777777" w:rsidTr="00653032">
        <w:trPr>
          <w:trHeight w:val="264"/>
          <w:jc w:val="center"/>
        </w:trPr>
        <w:tc>
          <w:tcPr>
            <w:tcW w:w="2442" w:type="dxa"/>
            <w:tcBorders>
              <w:top w:val="nil"/>
              <w:left w:val="single" w:sz="4" w:space="0" w:color="auto"/>
              <w:bottom w:val="nil"/>
              <w:right w:val="nil"/>
            </w:tcBorders>
            <w:shd w:val="clear" w:color="auto" w:fill="auto"/>
            <w:noWrap/>
            <w:vAlign w:val="bottom"/>
            <w:hideMark/>
          </w:tcPr>
          <w:p w14:paraId="2B6CDB48" w14:textId="65226C7A" w:rsidR="00CA58FB" w:rsidRPr="004B1CF7" w:rsidRDefault="0028553B" w:rsidP="00CA58FB">
            <w:pPr>
              <w:rPr>
                <w:color w:val="auto"/>
                <w:sz w:val="22"/>
                <w:szCs w:val="22"/>
              </w:rPr>
            </w:pPr>
            <w:r w:rsidRPr="004B1CF7">
              <w:rPr>
                <w:color w:val="auto"/>
                <w:sz w:val="22"/>
                <w:szCs w:val="22"/>
              </w:rPr>
              <w:t>201</w:t>
            </w:r>
            <w:r w:rsidR="004B1CF7" w:rsidRPr="004B1CF7">
              <w:rPr>
                <w:color w:val="auto"/>
                <w:sz w:val="22"/>
                <w:szCs w:val="22"/>
              </w:rPr>
              <w:t>7</w:t>
            </w:r>
            <w:r w:rsidRPr="004B1CF7">
              <w:rPr>
                <w:color w:val="auto"/>
                <w:sz w:val="22"/>
                <w:szCs w:val="22"/>
              </w:rPr>
              <w:t xml:space="preserve"> (4/1/1</w:t>
            </w:r>
            <w:r w:rsidR="004B1CF7" w:rsidRPr="004B1CF7">
              <w:rPr>
                <w:color w:val="auto"/>
                <w:sz w:val="22"/>
                <w:szCs w:val="22"/>
              </w:rPr>
              <w:t>7</w:t>
            </w:r>
            <w:r w:rsidRPr="004B1CF7">
              <w:rPr>
                <w:color w:val="auto"/>
                <w:sz w:val="22"/>
                <w:szCs w:val="22"/>
              </w:rPr>
              <w:t xml:space="preserve"> - 3/31/1</w:t>
            </w:r>
            <w:r w:rsidR="004B1CF7" w:rsidRPr="004B1CF7">
              <w:rPr>
                <w:color w:val="auto"/>
                <w:sz w:val="22"/>
                <w:szCs w:val="22"/>
              </w:rPr>
              <w:t>8</w:t>
            </w:r>
            <w:r w:rsidR="00CA58FB" w:rsidRPr="004B1CF7">
              <w:rPr>
                <w:color w:val="auto"/>
                <w:sz w:val="22"/>
                <w:szCs w:val="22"/>
              </w:rPr>
              <w:t>)</w:t>
            </w:r>
          </w:p>
        </w:tc>
        <w:tc>
          <w:tcPr>
            <w:tcW w:w="1811" w:type="dxa"/>
            <w:tcBorders>
              <w:top w:val="nil"/>
              <w:left w:val="nil"/>
              <w:bottom w:val="nil"/>
              <w:right w:val="nil"/>
            </w:tcBorders>
            <w:shd w:val="clear" w:color="auto" w:fill="auto"/>
            <w:noWrap/>
            <w:vAlign w:val="bottom"/>
            <w:hideMark/>
          </w:tcPr>
          <w:p w14:paraId="0A252B6E" w14:textId="6DBFCB67" w:rsidR="00CA58FB" w:rsidRPr="004B1CF7" w:rsidRDefault="00CA58FB" w:rsidP="0028553B">
            <w:pPr>
              <w:rPr>
                <w:color w:val="auto"/>
                <w:sz w:val="22"/>
                <w:szCs w:val="22"/>
              </w:rPr>
            </w:pPr>
            <w:r w:rsidRPr="004B1CF7">
              <w:rPr>
                <w:color w:val="auto"/>
                <w:sz w:val="22"/>
                <w:szCs w:val="22"/>
              </w:rPr>
              <w:t xml:space="preserve"> $       </w:t>
            </w:r>
            <w:r w:rsidR="004B1CF7" w:rsidRPr="004B1CF7">
              <w:rPr>
                <w:color w:val="auto"/>
                <w:sz w:val="22"/>
                <w:szCs w:val="22"/>
              </w:rPr>
              <w:t>528</w:t>
            </w:r>
            <w:r w:rsidR="0028553B" w:rsidRPr="004B1CF7">
              <w:rPr>
                <w:color w:val="auto"/>
                <w:sz w:val="22"/>
                <w:szCs w:val="22"/>
              </w:rPr>
              <w:t>,</w:t>
            </w:r>
            <w:r w:rsidR="004B1CF7" w:rsidRPr="004B1CF7">
              <w:rPr>
                <w:color w:val="auto"/>
                <w:sz w:val="22"/>
                <w:szCs w:val="22"/>
              </w:rPr>
              <w:t>238</w:t>
            </w:r>
            <w:r w:rsidRPr="004B1CF7">
              <w:rPr>
                <w:color w:val="auto"/>
                <w:sz w:val="22"/>
                <w:szCs w:val="22"/>
              </w:rPr>
              <w:t xml:space="preserve"> </w:t>
            </w:r>
          </w:p>
        </w:tc>
        <w:tc>
          <w:tcPr>
            <w:tcW w:w="1121" w:type="dxa"/>
            <w:tcBorders>
              <w:top w:val="nil"/>
              <w:left w:val="nil"/>
              <w:bottom w:val="nil"/>
              <w:right w:val="nil"/>
            </w:tcBorders>
            <w:shd w:val="clear" w:color="auto" w:fill="auto"/>
            <w:noWrap/>
            <w:vAlign w:val="bottom"/>
            <w:hideMark/>
          </w:tcPr>
          <w:p w14:paraId="4EFFDF5F" w14:textId="77777777" w:rsidR="00CA58FB" w:rsidRPr="004B1CF7" w:rsidRDefault="00CA58FB" w:rsidP="00CA58FB">
            <w:pPr>
              <w:rPr>
                <w:color w:val="auto"/>
                <w:sz w:val="22"/>
                <w:szCs w:val="22"/>
              </w:rPr>
            </w:pPr>
            <w:r w:rsidRPr="004B1CF7">
              <w:rPr>
                <w:color w:val="auto"/>
                <w:sz w:val="22"/>
                <w:szCs w:val="22"/>
              </w:rPr>
              <w:t xml:space="preserve"> $            -  </w:t>
            </w:r>
          </w:p>
        </w:tc>
        <w:tc>
          <w:tcPr>
            <w:tcW w:w="1822" w:type="dxa"/>
            <w:tcBorders>
              <w:top w:val="nil"/>
              <w:left w:val="nil"/>
              <w:bottom w:val="nil"/>
              <w:right w:val="nil"/>
            </w:tcBorders>
            <w:shd w:val="clear" w:color="auto" w:fill="auto"/>
            <w:noWrap/>
            <w:vAlign w:val="bottom"/>
            <w:hideMark/>
          </w:tcPr>
          <w:p w14:paraId="49291322" w14:textId="2C61DD40" w:rsidR="00CA58FB" w:rsidRPr="004B1CF7" w:rsidRDefault="00CA58FB" w:rsidP="0028553B">
            <w:pPr>
              <w:rPr>
                <w:color w:val="auto"/>
                <w:sz w:val="22"/>
                <w:szCs w:val="22"/>
              </w:rPr>
            </w:pPr>
            <w:r w:rsidRPr="004B1CF7">
              <w:rPr>
                <w:color w:val="auto"/>
                <w:sz w:val="22"/>
                <w:szCs w:val="22"/>
              </w:rPr>
              <w:t xml:space="preserve"> $       </w:t>
            </w:r>
            <w:r w:rsidR="004B1CF7" w:rsidRPr="004B1CF7">
              <w:rPr>
                <w:color w:val="auto"/>
                <w:sz w:val="22"/>
                <w:szCs w:val="22"/>
              </w:rPr>
              <w:t>528</w:t>
            </w:r>
            <w:r w:rsidR="0028553B" w:rsidRPr="004B1CF7">
              <w:rPr>
                <w:color w:val="auto"/>
                <w:sz w:val="22"/>
                <w:szCs w:val="22"/>
              </w:rPr>
              <w:t>,</w:t>
            </w:r>
            <w:r w:rsidR="004B1CF7" w:rsidRPr="004B1CF7">
              <w:rPr>
                <w:color w:val="auto"/>
                <w:sz w:val="22"/>
                <w:szCs w:val="22"/>
              </w:rPr>
              <w:t>238</w:t>
            </w:r>
            <w:r w:rsidRPr="004B1CF7">
              <w:rPr>
                <w:color w:val="auto"/>
                <w:sz w:val="22"/>
                <w:szCs w:val="22"/>
              </w:rPr>
              <w:t xml:space="preserve"> </w:t>
            </w:r>
          </w:p>
        </w:tc>
        <w:tc>
          <w:tcPr>
            <w:tcW w:w="1324" w:type="dxa"/>
            <w:tcBorders>
              <w:top w:val="nil"/>
              <w:left w:val="nil"/>
              <w:bottom w:val="nil"/>
              <w:right w:val="nil"/>
            </w:tcBorders>
            <w:shd w:val="clear" w:color="auto" w:fill="auto"/>
            <w:noWrap/>
            <w:vAlign w:val="bottom"/>
            <w:hideMark/>
          </w:tcPr>
          <w:p w14:paraId="47CFCE1A" w14:textId="77777777" w:rsidR="00CA58FB" w:rsidRPr="004B1CF7" w:rsidRDefault="00CA58FB" w:rsidP="00CA58FB">
            <w:pPr>
              <w:rPr>
                <w:color w:val="auto"/>
                <w:sz w:val="22"/>
                <w:szCs w:val="22"/>
              </w:rPr>
            </w:pPr>
            <w:r w:rsidRPr="004B1CF7">
              <w:rPr>
                <w:color w:val="auto"/>
                <w:sz w:val="22"/>
                <w:szCs w:val="22"/>
              </w:rPr>
              <w:t xml:space="preserve">$                -   </w:t>
            </w:r>
          </w:p>
        </w:tc>
        <w:tc>
          <w:tcPr>
            <w:tcW w:w="1551" w:type="dxa"/>
            <w:tcBorders>
              <w:top w:val="nil"/>
              <w:left w:val="nil"/>
              <w:bottom w:val="nil"/>
              <w:right w:val="single" w:sz="4" w:space="0" w:color="auto"/>
            </w:tcBorders>
            <w:shd w:val="clear" w:color="auto" w:fill="auto"/>
            <w:noWrap/>
            <w:vAlign w:val="bottom"/>
            <w:hideMark/>
          </w:tcPr>
          <w:p w14:paraId="0A22919E" w14:textId="22B4279D" w:rsidR="00CA58FB" w:rsidRPr="004B1CF7" w:rsidRDefault="00C670F2" w:rsidP="00CA58FB">
            <w:pPr>
              <w:rPr>
                <w:color w:val="auto"/>
                <w:sz w:val="22"/>
                <w:szCs w:val="22"/>
              </w:rPr>
            </w:pPr>
            <w:r w:rsidRPr="004B1CF7">
              <w:rPr>
                <w:color w:val="auto"/>
                <w:sz w:val="22"/>
                <w:szCs w:val="22"/>
              </w:rPr>
              <w:t xml:space="preserve"> $        </w:t>
            </w:r>
            <w:r w:rsidR="004B1CF7" w:rsidRPr="004B1CF7">
              <w:rPr>
                <w:color w:val="auto"/>
                <w:sz w:val="22"/>
                <w:szCs w:val="22"/>
              </w:rPr>
              <w:t>528</w:t>
            </w:r>
            <w:r w:rsidRPr="004B1CF7">
              <w:rPr>
                <w:color w:val="auto"/>
                <w:sz w:val="22"/>
                <w:szCs w:val="22"/>
              </w:rPr>
              <w:t>,</w:t>
            </w:r>
            <w:r w:rsidR="004B1CF7" w:rsidRPr="004B1CF7">
              <w:rPr>
                <w:color w:val="auto"/>
                <w:sz w:val="22"/>
                <w:szCs w:val="22"/>
              </w:rPr>
              <w:t>238</w:t>
            </w:r>
            <w:r w:rsidR="00CA58FB" w:rsidRPr="004B1CF7">
              <w:rPr>
                <w:color w:val="auto"/>
                <w:sz w:val="22"/>
                <w:szCs w:val="22"/>
              </w:rPr>
              <w:t xml:space="preserve"> </w:t>
            </w:r>
          </w:p>
        </w:tc>
      </w:tr>
      <w:tr w:rsidR="004B1CF7" w:rsidRPr="004B1CF7" w14:paraId="0F594352" w14:textId="77777777" w:rsidTr="00653032">
        <w:trPr>
          <w:trHeight w:val="264"/>
          <w:jc w:val="center"/>
        </w:trPr>
        <w:tc>
          <w:tcPr>
            <w:tcW w:w="2442" w:type="dxa"/>
            <w:tcBorders>
              <w:top w:val="nil"/>
              <w:left w:val="single" w:sz="4" w:space="0" w:color="auto"/>
              <w:bottom w:val="nil"/>
              <w:right w:val="nil"/>
            </w:tcBorders>
            <w:shd w:val="clear" w:color="auto" w:fill="auto"/>
            <w:noWrap/>
            <w:vAlign w:val="bottom"/>
            <w:hideMark/>
          </w:tcPr>
          <w:p w14:paraId="062F638D" w14:textId="1DF5CFF2" w:rsidR="00CA58FB" w:rsidRPr="004B1CF7" w:rsidRDefault="0028553B" w:rsidP="00CA58FB">
            <w:pPr>
              <w:rPr>
                <w:color w:val="auto"/>
                <w:sz w:val="22"/>
                <w:szCs w:val="22"/>
              </w:rPr>
            </w:pPr>
            <w:r w:rsidRPr="004B1CF7">
              <w:rPr>
                <w:color w:val="auto"/>
                <w:sz w:val="22"/>
                <w:szCs w:val="22"/>
              </w:rPr>
              <w:t>201</w:t>
            </w:r>
            <w:r w:rsidR="004B1CF7" w:rsidRPr="004B1CF7">
              <w:rPr>
                <w:color w:val="auto"/>
                <w:sz w:val="22"/>
                <w:szCs w:val="22"/>
              </w:rPr>
              <w:t>6</w:t>
            </w:r>
            <w:r w:rsidRPr="004B1CF7">
              <w:rPr>
                <w:color w:val="auto"/>
                <w:sz w:val="22"/>
                <w:szCs w:val="22"/>
              </w:rPr>
              <w:t xml:space="preserve"> (4/1/1</w:t>
            </w:r>
            <w:r w:rsidR="004B1CF7" w:rsidRPr="004B1CF7">
              <w:rPr>
                <w:color w:val="auto"/>
                <w:sz w:val="22"/>
                <w:szCs w:val="22"/>
              </w:rPr>
              <w:t>6</w:t>
            </w:r>
            <w:r w:rsidRPr="004B1CF7">
              <w:rPr>
                <w:color w:val="auto"/>
                <w:sz w:val="22"/>
                <w:szCs w:val="22"/>
              </w:rPr>
              <w:t xml:space="preserve"> - 3/31/1</w:t>
            </w:r>
            <w:r w:rsidR="004B1CF7" w:rsidRPr="004B1CF7">
              <w:rPr>
                <w:color w:val="auto"/>
                <w:sz w:val="22"/>
                <w:szCs w:val="22"/>
              </w:rPr>
              <w:t>7</w:t>
            </w:r>
            <w:r w:rsidR="00CA58FB" w:rsidRPr="004B1CF7">
              <w:rPr>
                <w:color w:val="auto"/>
                <w:sz w:val="22"/>
                <w:szCs w:val="22"/>
              </w:rPr>
              <w:t>)</w:t>
            </w:r>
          </w:p>
        </w:tc>
        <w:tc>
          <w:tcPr>
            <w:tcW w:w="1811" w:type="dxa"/>
            <w:tcBorders>
              <w:top w:val="nil"/>
              <w:left w:val="nil"/>
              <w:bottom w:val="nil"/>
              <w:right w:val="nil"/>
            </w:tcBorders>
            <w:shd w:val="clear" w:color="auto" w:fill="auto"/>
            <w:noWrap/>
            <w:vAlign w:val="bottom"/>
            <w:hideMark/>
          </w:tcPr>
          <w:p w14:paraId="630AD417" w14:textId="2482A56F" w:rsidR="00CA58FB" w:rsidRPr="004B1CF7" w:rsidRDefault="00CA58FB" w:rsidP="0028553B">
            <w:pPr>
              <w:rPr>
                <w:color w:val="auto"/>
                <w:sz w:val="22"/>
                <w:szCs w:val="22"/>
              </w:rPr>
            </w:pPr>
            <w:r w:rsidRPr="004B1CF7">
              <w:rPr>
                <w:color w:val="auto"/>
                <w:sz w:val="22"/>
                <w:szCs w:val="22"/>
              </w:rPr>
              <w:t xml:space="preserve"> $    </w:t>
            </w:r>
            <w:r w:rsidR="0028553B" w:rsidRPr="004B1CF7">
              <w:rPr>
                <w:color w:val="auto"/>
                <w:sz w:val="22"/>
                <w:szCs w:val="22"/>
              </w:rPr>
              <w:t xml:space="preserve">   </w:t>
            </w:r>
            <w:r w:rsidR="004B1CF7" w:rsidRPr="004B1CF7">
              <w:rPr>
                <w:color w:val="auto"/>
                <w:sz w:val="22"/>
                <w:szCs w:val="22"/>
              </w:rPr>
              <w:t>434</w:t>
            </w:r>
            <w:r w:rsidR="0028553B" w:rsidRPr="004B1CF7">
              <w:rPr>
                <w:color w:val="auto"/>
                <w:sz w:val="22"/>
                <w:szCs w:val="22"/>
              </w:rPr>
              <w:t>,</w:t>
            </w:r>
            <w:r w:rsidR="004B1CF7" w:rsidRPr="004B1CF7">
              <w:rPr>
                <w:color w:val="auto"/>
                <w:sz w:val="22"/>
                <w:szCs w:val="22"/>
              </w:rPr>
              <w:t>567</w:t>
            </w:r>
            <w:r w:rsidRPr="004B1CF7">
              <w:rPr>
                <w:color w:val="auto"/>
                <w:sz w:val="22"/>
                <w:szCs w:val="22"/>
              </w:rPr>
              <w:t xml:space="preserve"> </w:t>
            </w:r>
          </w:p>
        </w:tc>
        <w:tc>
          <w:tcPr>
            <w:tcW w:w="1121" w:type="dxa"/>
            <w:tcBorders>
              <w:top w:val="nil"/>
              <w:left w:val="nil"/>
              <w:bottom w:val="nil"/>
              <w:right w:val="nil"/>
            </w:tcBorders>
            <w:shd w:val="clear" w:color="auto" w:fill="auto"/>
            <w:noWrap/>
            <w:vAlign w:val="bottom"/>
            <w:hideMark/>
          </w:tcPr>
          <w:p w14:paraId="31775537" w14:textId="77777777" w:rsidR="00CA58FB" w:rsidRPr="004B1CF7" w:rsidRDefault="00CA58FB" w:rsidP="00CA58FB">
            <w:pPr>
              <w:rPr>
                <w:color w:val="auto"/>
                <w:sz w:val="22"/>
                <w:szCs w:val="22"/>
              </w:rPr>
            </w:pPr>
            <w:r w:rsidRPr="004B1CF7">
              <w:rPr>
                <w:color w:val="auto"/>
                <w:sz w:val="22"/>
                <w:szCs w:val="22"/>
              </w:rPr>
              <w:t xml:space="preserve"> $            -   </w:t>
            </w:r>
          </w:p>
        </w:tc>
        <w:tc>
          <w:tcPr>
            <w:tcW w:w="1822" w:type="dxa"/>
            <w:tcBorders>
              <w:top w:val="nil"/>
              <w:left w:val="nil"/>
              <w:bottom w:val="nil"/>
              <w:right w:val="nil"/>
            </w:tcBorders>
            <w:shd w:val="clear" w:color="auto" w:fill="auto"/>
            <w:noWrap/>
            <w:vAlign w:val="bottom"/>
            <w:hideMark/>
          </w:tcPr>
          <w:p w14:paraId="4A0CF72C" w14:textId="47DC423B" w:rsidR="00CA58FB" w:rsidRPr="004B1CF7" w:rsidRDefault="00CA58FB" w:rsidP="0028553B">
            <w:pPr>
              <w:rPr>
                <w:color w:val="auto"/>
                <w:sz w:val="22"/>
                <w:szCs w:val="22"/>
              </w:rPr>
            </w:pPr>
            <w:r w:rsidRPr="004B1CF7">
              <w:rPr>
                <w:color w:val="auto"/>
                <w:sz w:val="22"/>
                <w:szCs w:val="22"/>
              </w:rPr>
              <w:t xml:space="preserve"> $    </w:t>
            </w:r>
            <w:r w:rsidR="0028553B" w:rsidRPr="004B1CF7">
              <w:rPr>
                <w:color w:val="auto"/>
                <w:sz w:val="22"/>
                <w:szCs w:val="22"/>
              </w:rPr>
              <w:t xml:space="preserve">   </w:t>
            </w:r>
            <w:r w:rsidR="004B1CF7" w:rsidRPr="004B1CF7">
              <w:rPr>
                <w:color w:val="auto"/>
                <w:sz w:val="22"/>
                <w:szCs w:val="22"/>
              </w:rPr>
              <w:t>434</w:t>
            </w:r>
            <w:r w:rsidR="0028553B" w:rsidRPr="004B1CF7">
              <w:rPr>
                <w:color w:val="auto"/>
                <w:sz w:val="22"/>
                <w:szCs w:val="22"/>
              </w:rPr>
              <w:t>,</w:t>
            </w:r>
            <w:r w:rsidR="004B1CF7" w:rsidRPr="004B1CF7">
              <w:rPr>
                <w:color w:val="auto"/>
                <w:sz w:val="22"/>
                <w:szCs w:val="22"/>
              </w:rPr>
              <w:t>567</w:t>
            </w:r>
            <w:r w:rsidRPr="004B1CF7">
              <w:rPr>
                <w:color w:val="auto"/>
                <w:sz w:val="22"/>
                <w:szCs w:val="22"/>
              </w:rPr>
              <w:t xml:space="preserve"> </w:t>
            </w:r>
          </w:p>
        </w:tc>
        <w:tc>
          <w:tcPr>
            <w:tcW w:w="1324" w:type="dxa"/>
            <w:tcBorders>
              <w:top w:val="nil"/>
              <w:left w:val="nil"/>
              <w:bottom w:val="nil"/>
              <w:right w:val="nil"/>
            </w:tcBorders>
            <w:shd w:val="clear" w:color="auto" w:fill="auto"/>
            <w:noWrap/>
            <w:vAlign w:val="bottom"/>
            <w:hideMark/>
          </w:tcPr>
          <w:p w14:paraId="6E7324CE" w14:textId="77777777" w:rsidR="00CA58FB" w:rsidRPr="004B1CF7" w:rsidRDefault="00CA58FB" w:rsidP="00CA58FB">
            <w:pPr>
              <w:rPr>
                <w:color w:val="auto"/>
                <w:sz w:val="22"/>
                <w:szCs w:val="22"/>
              </w:rPr>
            </w:pPr>
            <w:r w:rsidRPr="004B1CF7">
              <w:rPr>
                <w:color w:val="auto"/>
                <w:sz w:val="22"/>
                <w:szCs w:val="22"/>
              </w:rPr>
              <w:t xml:space="preserve">$                -   </w:t>
            </w:r>
          </w:p>
        </w:tc>
        <w:tc>
          <w:tcPr>
            <w:tcW w:w="1551" w:type="dxa"/>
            <w:tcBorders>
              <w:top w:val="nil"/>
              <w:left w:val="nil"/>
              <w:bottom w:val="nil"/>
              <w:right w:val="single" w:sz="4" w:space="0" w:color="auto"/>
            </w:tcBorders>
            <w:shd w:val="clear" w:color="auto" w:fill="auto"/>
            <w:noWrap/>
            <w:vAlign w:val="bottom"/>
            <w:hideMark/>
          </w:tcPr>
          <w:p w14:paraId="5257DA29" w14:textId="7CB63BC7" w:rsidR="00CA58FB" w:rsidRPr="004B1CF7" w:rsidRDefault="00CA58FB" w:rsidP="00C670F2">
            <w:pPr>
              <w:rPr>
                <w:color w:val="auto"/>
                <w:sz w:val="22"/>
                <w:szCs w:val="22"/>
              </w:rPr>
            </w:pPr>
            <w:r w:rsidRPr="004B1CF7">
              <w:rPr>
                <w:color w:val="auto"/>
                <w:sz w:val="22"/>
                <w:szCs w:val="22"/>
              </w:rPr>
              <w:t xml:space="preserve"> $     </w:t>
            </w:r>
            <w:r w:rsidR="00C670F2" w:rsidRPr="004B1CF7">
              <w:rPr>
                <w:color w:val="auto"/>
                <w:sz w:val="22"/>
                <w:szCs w:val="22"/>
              </w:rPr>
              <w:t xml:space="preserve">   </w:t>
            </w:r>
            <w:r w:rsidR="004B1CF7" w:rsidRPr="004B1CF7">
              <w:rPr>
                <w:color w:val="auto"/>
                <w:sz w:val="22"/>
                <w:szCs w:val="22"/>
              </w:rPr>
              <w:t>434</w:t>
            </w:r>
            <w:r w:rsidR="00C670F2" w:rsidRPr="004B1CF7">
              <w:rPr>
                <w:color w:val="auto"/>
                <w:sz w:val="22"/>
                <w:szCs w:val="22"/>
              </w:rPr>
              <w:t>,</w:t>
            </w:r>
            <w:r w:rsidR="004B1CF7" w:rsidRPr="004B1CF7">
              <w:rPr>
                <w:color w:val="auto"/>
                <w:sz w:val="22"/>
                <w:szCs w:val="22"/>
              </w:rPr>
              <w:t>567</w:t>
            </w:r>
            <w:r w:rsidRPr="004B1CF7">
              <w:rPr>
                <w:color w:val="auto"/>
                <w:sz w:val="22"/>
                <w:szCs w:val="22"/>
              </w:rPr>
              <w:t xml:space="preserve"> </w:t>
            </w:r>
          </w:p>
        </w:tc>
      </w:tr>
      <w:tr w:rsidR="004B1CF7" w:rsidRPr="004B1CF7" w14:paraId="5A1B8D46" w14:textId="77777777" w:rsidTr="00653032">
        <w:trPr>
          <w:trHeight w:val="270"/>
          <w:jc w:val="center"/>
        </w:trPr>
        <w:tc>
          <w:tcPr>
            <w:tcW w:w="2442" w:type="dxa"/>
            <w:tcBorders>
              <w:top w:val="nil"/>
              <w:left w:val="single" w:sz="4" w:space="0" w:color="auto"/>
              <w:bottom w:val="nil"/>
              <w:right w:val="nil"/>
            </w:tcBorders>
            <w:shd w:val="clear" w:color="auto" w:fill="auto"/>
            <w:noWrap/>
            <w:vAlign w:val="bottom"/>
            <w:hideMark/>
          </w:tcPr>
          <w:p w14:paraId="6E784DE5" w14:textId="2F1F3695" w:rsidR="00CA58FB" w:rsidRPr="004B1CF7" w:rsidRDefault="0028553B" w:rsidP="00CA58FB">
            <w:pPr>
              <w:rPr>
                <w:color w:val="auto"/>
                <w:sz w:val="22"/>
                <w:szCs w:val="22"/>
              </w:rPr>
            </w:pPr>
            <w:r w:rsidRPr="004B1CF7">
              <w:rPr>
                <w:color w:val="auto"/>
                <w:sz w:val="22"/>
                <w:szCs w:val="22"/>
              </w:rPr>
              <w:t>201</w:t>
            </w:r>
            <w:r w:rsidR="004B1CF7" w:rsidRPr="004B1CF7">
              <w:rPr>
                <w:color w:val="auto"/>
                <w:sz w:val="22"/>
                <w:szCs w:val="22"/>
              </w:rPr>
              <w:t>5</w:t>
            </w:r>
            <w:r w:rsidRPr="004B1CF7">
              <w:rPr>
                <w:color w:val="auto"/>
                <w:sz w:val="22"/>
                <w:szCs w:val="22"/>
              </w:rPr>
              <w:t xml:space="preserve"> (4/1/1</w:t>
            </w:r>
            <w:r w:rsidR="004B1CF7" w:rsidRPr="004B1CF7">
              <w:rPr>
                <w:color w:val="auto"/>
                <w:sz w:val="22"/>
                <w:szCs w:val="22"/>
              </w:rPr>
              <w:t>5</w:t>
            </w:r>
            <w:r w:rsidR="00CA58FB" w:rsidRPr="004B1CF7">
              <w:rPr>
                <w:color w:val="auto"/>
                <w:sz w:val="22"/>
                <w:szCs w:val="22"/>
              </w:rPr>
              <w:t xml:space="preserve"> - </w:t>
            </w:r>
            <w:r w:rsidRPr="004B1CF7">
              <w:rPr>
                <w:color w:val="auto"/>
                <w:sz w:val="22"/>
                <w:szCs w:val="22"/>
              </w:rPr>
              <w:t>3/31/1</w:t>
            </w:r>
            <w:r w:rsidR="004B1CF7" w:rsidRPr="004B1CF7">
              <w:rPr>
                <w:color w:val="auto"/>
                <w:sz w:val="22"/>
                <w:szCs w:val="22"/>
              </w:rPr>
              <w:t>6</w:t>
            </w:r>
            <w:r w:rsidR="00CA58FB" w:rsidRPr="004B1CF7">
              <w:rPr>
                <w:color w:val="auto"/>
                <w:sz w:val="22"/>
                <w:szCs w:val="22"/>
              </w:rPr>
              <w:t>)</w:t>
            </w:r>
          </w:p>
        </w:tc>
        <w:tc>
          <w:tcPr>
            <w:tcW w:w="1811" w:type="dxa"/>
            <w:tcBorders>
              <w:top w:val="nil"/>
              <w:left w:val="nil"/>
              <w:bottom w:val="nil"/>
              <w:right w:val="nil"/>
            </w:tcBorders>
            <w:shd w:val="clear" w:color="auto" w:fill="auto"/>
            <w:noWrap/>
            <w:vAlign w:val="bottom"/>
            <w:hideMark/>
          </w:tcPr>
          <w:p w14:paraId="1851315F" w14:textId="7FC62D2B" w:rsidR="00CA58FB" w:rsidRPr="004B1CF7" w:rsidRDefault="00CA58FB" w:rsidP="0028553B">
            <w:pPr>
              <w:rPr>
                <w:color w:val="auto"/>
                <w:sz w:val="22"/>
                <w:szCs w:val="22"/>
              </w:rPr>
            </w:pPr>
            <w:r w:rsidRPr="004B1CF7">
              <w:rPr>
                <w:color w:val="auto"/>
                <w:sz w:val="22"/>
                <w:szCs w:val="22"/>
              </w:rPr>
              <w:t xml:space="preserve"> $   </w:t>
            </w:r>
            <w:r w:rsidR="004B1CF7" w:rsidRPr="004B1CF7">
              <w:rPr>
                <w:color w:val="auto"/>
                <w:sz w:val="22"/>
                <w:szCs w:val="22"/>
              </w:rPr>
              <w:t xml:space="preserve">   </w:t>
            </w:r>
            <w:r w:rsidRPr="004B1CF7">
              <w:rPr>
                <w:color w:val="auto"/>
                <w:sz w:val="22"/>
                <w:szCs w:val="22"/>
              </w:rPr>
              <w:t xml:space="preserve"> </w:t>
            </w:r>
            <w:r w:rsidR="004B1CF7" w:rsidRPr="004B1CF7">
              <w:rPr>
                <w:color w:val="auto"/>
                <w:sz w:val="22"/>
                <w:szCs w:val="22"/>
              </w:rPr>
              <w:t>942,493</w:t>
            </w:r>
          </w:p>
        </w:tc>
        <w:tc>
          <w:tcPr>
            <w:tcW w:w="1121" w:type="dxa"/>
            <w:tcBorders>
              <w:top w:val="nil"/>
              <w:left w:val="nil"/>
              <w:bottom w:val="nil"/>
              <w:right w:val="nil"/>
            </w:tcBorders>
            <w:shd w:val="clear" w:color="auto" w:fill="auto"/>
            <w:noWrap/>
            <w:vAlign w:val="bottom"/>
            <w:hideMark/>
          </w:tcPr>
          <w:p w14:paraId="7DDFC1A1" w14:textId="77777777" w:rsidR="00CA58FB" w:rsidRPr="004B1CF7" w:rsidRDefault="00CA58FB" w:rsidP="00CA58FB">
            <w:pPr>
              <w:rPr>
                <w:color w:val="auto"/>
                <w:sz w:val="22"/>
                <w:szCs w:val="22"/>
              </w:rPr>
            </w:pPr>
            <w:r w:rsidRPr="004B1CF7">
              <w:rPr>
                <w:color w:val="auto"/>
                <w:sz w:val="22"/>
                <w:szCs w:val="22"/>
              </w:rPr>
              <w:t xml:space="preserve"> $            -   </w:t>
            </w:r>
          </w:p>
        </w:tc>
        <w:tc>
          <w:tcPr>
            <w:tcW w:w="1822" w:type="dxa"/>
            <w:tcBorders>
              <w:top w:val="nil"/>
              <w:left w:val="nil"/>
              <w:bottom w:val="nil"/>
              <w:right w:val="nil"/>
            </w:tcBorders>
            <w:shd w:val="clear" w:color="auto" w:fill="auto"/>
            <w:noWrap/>
            <w:vAlign w:val="bottom"/>
            <w:hideMark/>
          </w:tcPr>
          <w:p w14:paraId="0C143F91" w14:textId="20D320C2" w:rsidR="00CA58FB" w:rsidRPr="004B1CF7" w:rsidRDefault="00CA58FB" w:rsidP="0028553B">
            <w:pPr>
              <w:rPr>
                <w:color w:val="auto"/>
                <w:sz w:val="22"/>
                <w:szCs w:val="22"/>
              </w:rPr>
            </w:pPr>
            <w:r w:rsidRPr="004B1CF7">
              <w:rPr>
                <w:color w:val="auto"/>
                <w:sz w:val="22"/>
                <w:szCs w:val="22"/>
              </w:rPr>
              <w:t xml:space="preserve"> $    </w:t>
            </w:r>
            <w:r w:rsidR="004B1CF7" w:rsidRPr="004B1CF7">
              <w:rPr>
                <w:color w:val="auto"/>
                <w:sz w:val="22"/>
                <w:szCs w:val="22"/>
              </w:rPr>
              <w:t xml:space="preserve">   942,493</w:t>
            </w:r>
          </w:p>
        </w:tc>
        <w:tc>
          <w:tcPr>
            <w:tcW w:w="1324" w:type="dxa"/>
            <w:tcBorders>
              <w:top w:val="nil"/>
              <w:left w:val="nil"/>
              <w:bottom w:val="nil"/>
              <w:right w:val="nil"/>
            </w:tcBorders>
            <w:shd w:val="clear" w:color="auto" w:fill="auto"/>
            <w:noWrap/>
            <w:vAlign w:val="bottom"/>
            <w:hideMark/>
          </w:tcPr>
          <w:p w14:paraId="7FD75DBC" w14:textId="77777777" w:rsidR="00CA58FB" w:rsidRPr="004B1CF7" w:rsidRDefault="00CA58FB" w:rsidP="00CA58FB">
            <w:pPr>
              <w:rPr>
                <w:color w:val="auto"/>
                <w:sz w:val="22"/>
                <w:szCs w:val="22"/>
              </w:rPr>
            </w:pPr>
            <w:r w:rsidRPr="004B1CF7">
              <w:rPr>
                <w:color w:val="auto"/>
                <w:sz w:val="22"/>
                <w:szCs w:val="22"/>
              </w:rPr>
              <w:t xml:space="preserve">$                -   </w:t>
            </w:r>
          </w:p>
        </w:tc>
        <w:tc>
          <w:tcPr>
            <w:tcW w:w="1551" w:type="dxa"/>
            <w:tcBorders>
              <w:top w:val="nil"/>
              <w:left w:val="nil"/>
              <w:bottom w:val="nil"/>
              <w:right w:val="single" w:sz="4" w:space="0" w:color="auto"/>
            </w:tcBorders>
            <w:shd w:val="clear" w:color="auto" w:fill="auto"/>
            <w:noWrap/>
            <w:vAlign w:val="bottom"/>
            <w:hideMark/>
          </w:tcPr>
          <w:p w14:paraId="0434011E" w14:textId="6CBA5CE1" w:rsidR="00CA58FB" w:rsidRPr="004B1CF7" w:rsidRDefault="003C02C5" w:rsidP="00CA58FB">
            <w:pPr>
              <w:rPr>
                <w:color w:val="auto"/>
                <w:sz w:val="22"/>
                <w:szCs w:val="22"/>
              </w:rPr>
            </w:pPr>
            <w:r w:rsidRPr="004B1CF7">
              <w:rPr>
                <w:color w:val="auto"/>
                <w:sz w:val="22"/>
                <w:szCs w:val="22"/>
              </w:rPr>
              <w:t xml:space="preserve"> $     </w:t>
            </w:r>
            <w:r w:rsidR="004B1CF7" w:rsidRPr="004B1CF7">
              <w:rPr>
                <w:color w:val="auto"/>
                <w:sz w:val="22"/>
                <w:szCs w:val="22"/>
              </w:rPr>
              <w:t xml:space="preserve">   942,493</w:t>
            </w:r>
            <w:r w:rsidR="00CA58FB" w:rsidRPr="004B1CF7">
              <w:rPr>
                <w:color w:val="auto"/>
                <w:sz w:val="22"/>
                <w:szCs w:val="22"/>
              </w:rPr>
              <w:t xml:space="preserve"> </w:t>
            </w:r>
          </w:p>
        </w:tc>
      </w:tr>
      <w:tr w:rsidR="004B1CF7" w:rsidRPr="004B1CF7" w14:paraId="205B7DCE" w14:textId="77777777" w:rsidTr="00653032">
        <w:trPr>
          <w:trHeight w:val="264"/>
          <w:jc w:val="center"/>
        </w:trPr>
        <w:tc>
          <w:tcPr>
            <w:tcW w:w="2442" w:type="dxa"/>
            <w:tcBorders>
              <w:top w:val="nil"/>
              <w:left w:val="single" w:sz="4" w:space="0" w:color="auto"/>
              <w:bottom w:val="single" w:sz="4" w:space="0" w:color="auto"/>
              <w:right w:val="nil"/>
            </w:tcBorders>
            <w:shd w:val="clear" w:color="auto" w:fill="auto"/>
            <w:noWrap/>
            <w:vAlign w:val="bottom"/>
            <w:hideMark/>
          </w:tcPr>
          <w:p w14:paraId="6E07AB2A" w14:textId="1924CB5C" w:rsidR="00CA58FB" w:rsidRPr="004B1CF7" w:rsidRDefault="00CA58FB" w:rsidP="0028553B">
            <w:pPr>
              <w:rPr>
                <w:color w:val="auto"/>
                <w:sz w:val="22"/>
                <w:szCs w:val="22"/>
              </w:rPr>
            </w:pPr>
            <w:r w:rsidRPr="004B1CF7">
              <w:rPr>
                <w:color w:val="auto"/>
                <w:sz w:val="22"/>
                <w:szCs w:val="22"/>
              </w:rPr>
              <w:t>201</w:t>
            </w:r>
            <w:r w:rsidR="004B1CF7" w:rsidRPr="004B1CF7">
              <w:rPr>
                <w:color w:val="auto"/>
                <w:sz w:val="22"/>
                <w:szCs w:val="22"/>
              </w:rPr>
              <w:t>4</w:t>
            </w:r>
            <w:r w:rsidRPr="004B1CF7">
              <w:rPr>
                <w:color w:val="auto"/>
                <w:sz w:val="22"/>
                <w:szCs w:val="22"/>
              </w:rPr>
              <w:t xml:space="preserve"> (4/1/1</w:t>
            </w:r>
            <w:r w:rsidR="004B1CF7" w:rsidRPr="004B1CF7">
              <w:rPr>
                <w:color w:val="auto"/>
                <w:sz w:val="22"/>
                <w:szCs w:val="22"/>
              </w:rPr>
              <w:t>4</w:t>
            </w:r>
            <w:r w:rsidR="0028553B" w:rsidRPr="004B1CF7">
              <w:rPr>
                <w:color w:val="auto"/>
                <w:sz w:val="22"/>
                <w:szCs w:val="22"/>
              </w:rPr>
              <w:t xml:space="preserve"> - 3/31/1</w:t>
            </w:r>
            <w:r w:rsidR="004B1CF7" w:rsidRPr="004B1CF7">
              <w:rPr>
                <w:color w:val="auto"/>
                <w:sz w:val="22"/>
                <w:szCs w:val="22"/>
              </w:rPr>
              <w:t>5</w:t>
            </w:r>
            <w:r w:rsidRPr="004B1CF7">
              <w:rPr>
                <w:color w:val="auto"/>
                <w:sz w:val="22"/>
                <w:szCs w:val="22"/>
              </w:rPr>
              <w:t>)</w:t>
            </w:r>
          </w:p>
        </w:tc>
        <w:tc>
          <w:tcPr>
            <w:tcW w:w="1811" w:type="dxa"/>
            <w:tcBorders>
              <w:top w:val="nil"/>
              <w:left w:val="nil"/>
              <w:bottom w:val="single" w:sz="4" w:space="0" w:color="auto"/>
              <w:right w:val="nil"/>
            </w:tcBorders>
            <w:shd w:val="clear" w:color="auto" w:fill="auto"/>
            <w:noWrap/>
            <w:vAlign w:val="bottom"/>
            <w:hideMark/>
          </w:tcPr>
          <w:p w14:paraId="373E6A50" w14:textId="3188DFA8" w:rsidR="00CA58FB" w:rsidRPr="004B1CF7" w:rsidRDefault="0028553B" w:rsidP="00CA58FB">
            <w:pPr>
              <w:rPr>
                <w:color w:val="auto"/>
                <w:sz w:val="22"/>
                <w:szCs w:val="22"/>
              </w:rPr>
            </w:pPr>
            <w:r w:rsidRPr="004B1CF7">
              <w:rPr>
                <w:color w:val="auto"/>
                <w:sz w:val="22"/>
                <w:szCs w:val="22"/>
              </w:rPr>
              <w:t xml:space="preserve"> $    </w:t>
            </w:r>
            <w:r w:rsidR="00ED77CD" w:rsidRPr="004B1CF7">
              <w:rPr>
                <w:color w:val="auto"/>
                <w:sz w:val="22"/>
                <w:szCs w:val="22"/>
              </w:rPr>
              <w:t xml:space="preserve">   </w:t>
            </w:r>
            <w:r w:rsidR="00C31B03" w:rsidRPr="004B1CF7">
              <w:rPr>
                <w:color w:val="auto"/>
                <w:sz w:val="22"/>
                <w:szCs w:val="22"/>
              </w:rPr>
              <w:t>557</w:t>
            </w:r>
            <w:r w:rsidR="00ED77CD" w:rsidRPr="004B1CF7">
              <w:rPr>
                <w:color w:val="auto"/>
                <w:sz w:val="22"/>
                <w:szCs w:val="22"/>
              </w:rPr>
              <w:t>,</w:t>
            </w:r>
            <w:r w:rsidR="004B1CF7" w:rsidRPr="004B1CF7">
              <w:rPr>
                <w:color w:val="auto"/>
                <w:sz w:val="22"/>
                <w:szCs w:val="22"/>
              </w:rPr>
              <w:t>766</w:t>
            </w:r>
          </w:p>
        </w:tc>
        <w:tc>
          <w:tcPr>
            <w:tcW w:w="1121" w:type="dxa"/>
            <w:tcBorders>
              <w:top w:val="nil"/>
              <w:left w:val="nil"/>
              <w:bottom w:val="single" w:sz="4" w:space="0" w:color="auto"/>
              <w:right w:val="nil"/>
            </w:tcBorders>
            <w:shd w:val="clear" w:color="auto" w:fill="auto"/>
            <w:noWrap/>
            <w:vAlign w:val="bottom"/>
            <w:hideMark/>
          </w:tcPr>
          <w:p w14:paraId="708142DF" w14:textId="77777777" w:rsidR="00CA58FB" w:rsidRPr="004B1CF7" w:rsidRDefault="00CA58FB" w:rsidP="00CA58FB">
            <w:pPr>
              <w:rPr>
                <w:color w:val="auto"/>
                <w:sz w:val="22"/>
                <w:szCs w:val="22"/>
              </w:rPr>
            </w:pPr>
            <w:r w:rsidRPr="004B1CF7">
              <w:rPr>
                <w:color w:val="auto"/>
                <w:sz w:val="22"/>
                <w:szCs w:val="22"/>
              </w:rPr>
              <w:t xml:space="preserve"> $            -   </w:t>
            </w:r>
          </w:p>
        </w:tc>
        <w:tc>
          <w:tcPr>
            <w:tcW w:w="1822" w:type="dxa"/>
            <w:tcBorders>
              <w:top w:val="nil"/>
              <w:left w:val="nil"/>
              <w:bottom w:val="single" w:sz="4" w:space="0" w:color="auto"/>
              <w:right w:val="nil"/>
            </w:tcBorders>
            <w:shd w:val="clear" w:color="auto" w:fill="auto"/>
            <w:noWrap/>
            <w:vAlign w:val="bottom"/>
            <w:hideMark/>
          </w:tcPr>
          <w:p w14:paraId="29EF4D9D" w14:textId="58F94DEA" w:rsidR="00CA58FB" w:rsidRPr="004B1CF7" w:rsidRDefault="0028553B" w:rsidP="00695ED6">
            <w:pPr>
              <w:rPr>
                <w:color w:val="auto"/>
                <w:sz w:val="22"/>
                <w:szCs w:val="22"/>
              </w:rPr>
            </w:pPr>
            <w:r w:rsidRPr="004B1CF7">
              <w:rPr>
                <w:color w:val="auto"/>
                <w:sz w:val="22"/>
                <w:szCs w:val="22"/>
              </w:rPr>
              <w:t xml:space="preserve"> $    </w:t>
            </w:r>
            <w:r w:rsidR="00ED77CD" w:rsidRPr="004B1CF7">
              <w:rPr>
                <w:color w:val="auto"/>
                <w:sz w:val="22"/>
                <w:szCs w:val="22"/>
              </w:rPr>
              <w:t xml:space="preserve">   </w:t>
            </w:r>
            <w:r w:rsidR="004B1CF7" w:rsidRPr="004B1CF7">
              <w:rPr>
                <w:color w:val="auto"/>
                <w:sz w:val="22"/>
                <w:szCs w:val="22"/>
              </w:rPr>
              <w:t>557</w:t>
            </w:r>
            <w:r w:rsidR="00ED77CD" w:rsidRPr="004B1CF7">
              <w:rPr>
                <w:color w:val="auto"/>
                <w:sz w:val="22"/>
                <w:szCs w:val="22"/>
              </w:rPr>
              <w:t>,</w:t>
            </w:r>
            <w:r w:rsidR="004B1CF7" w:rsidRPr="004B1CF7">
              <w:rPr>
                <w:color w:val="auto"/>
                <w:sz w:val="22"/>
                <w:szCs w:val="22"/>
              </w:rPr>
              <w:t>766</w:t>
            </w:r>
          </w:p>
        </w:tc>
        <w:tc>
          <w:tcPr>
            <w:tcW w:w="1324" w:type="dxa"/>
            <w:tcBorders>
              <w:top w:val="nil"/>
              <w:left w:val="nil"/>
              <w:bottom w:val="single" w:sz="4" w:space="0" w:color="auto"/>
              <w:right w:val="nil"/>
            </w:tcBorders>
            <w:shd w:val="clear" w:color="auto" w:fill="auto"/>
            <w:noWrap/>
            <w:vAlign w:val="bottom"/>
            <w:hideMark/>
          </w:tcPr>
          <w:p w14:paraId="5C814963" w14:textId="77777777" w:rsidR="00CA58FB" w:rsidRPr="004B1CF7" w:rsidRDefault="003C02C5" w:rsidP="003C02C5">
            <w:pPr>
              <w:rPr>
                <w:color w:val="auto"/>
                <w:sz w:val="22"/>
                <w:szCs w:val="22"/>
              </w:rPr>
            </w:pPr>
            <w:r w:rsidRPr="004B1CF7">
              <w:rPr>
                <w:color w:val="auto"/>
                <w:sz w:val="22"/>
                <w:szCs w:val="22"/>
              </w:rPr>
              <w:t xml:space="preserve">$       </w:t>
            </w:r>
            <w:r w:rsidR="00ED77CD" w:rsidRPr="004B1CF7">
              <w:rPr>
                <w:color w:val="auto"/>
                <w:sz w:val="22"/>
                <w:szCs w:val="22"/>
              </w:rPr>
              <w:t xml:space="preserve">         -  </w:t>
            </w:r>
            <w:r w:rsidR="00CA58FB" w:rsidRPr="004B1CF7">
              <w:rPr>
                <w:color w:val="auto"/>
                <w:sz w:val="22"/>
                <w:szCs w:val="22"/>
              </w:rPr>
              <w:t xml:space="preserve">   </w:t>
            </w:r>
          </w:p>
        </w:tc>
        <w:tc>
          <w:tcPr>
            <w:tcW w:w="1551" w:type="dxa"/>
            <w:tcBorders>
              <w:top w:val="nil"/>
              <w:left w:val="nil"/>
              <w:bottom w:val="single" w:sz="4" w:space="0" w:color="auto"/>
              <w:right w:val="single" w:sz="4" w:space="0" w:color="auto"/>
            </w:tcBorders>
            <w:shd w:val="clear" w:color="auto" w:fill="auto"/>
            <w:noWrap/>
            <w:vAlign w:val="bottom"/>
            <w:hideMark/>
          </w:tcPr>
          <w:p w14:paraId="66E9547F" w14:textId="16DC995D" w:rsidR="00CA58FB" w:rsidRPr="004B1CF7" w:rsidRDefault="003C02C5" w:rsidP="00CA58FB">
            <w:pPr>
              <w:rPr>
                <w:color w:val="auto"/>
                <w:sz w:val="22"/>
                <w:szCs w:val="22"/>
              </w:rPr>
            </w:pPr>
            <w:r w:rsidRPr="004B1CF7">
              <w:rPr>
                <w:color w:val="auto"/>
                <w:sz w:val="22"/>
                <w:szCs w:val="22"/>
              </w:rPr>
              <w:t xml:space="preserve"> $        </w:t>
            </w:r>
            <w:r w:rsidR="004B1CF7" w:rsidRPr="004B1CF7">
              <w:rPr>
                <w:color w:val="auto"/>
                <w:sz w:val="22"/>
                <w:szCs w:val="22"/>
              </w:rPr>
              <w:t>557</w:t>
            </w:r>
            <w:r w:rsidRPr="004B1CF7">
              <w:rPr>
                <w:color w:val="auto"/>
                <w:sz w:val="22"/>
                <w:szCs w:val="22"/>
              </w:rPr>
              <w:t>,</w:t>
            </w:r>
            <w:r w:rsidR="004B1CF7" w:rsidRPr="004B1CF7">
              <w:rPr>
                <w:color w:val="auto"/>
                <w:sz w:val="22"/>
                <w:szCs w:val="22"/>
              </w:rPr>
              <w:t>766</w:t>
            </w:r>
            <w:r w:rsidR="00CA58FB" w:rsidRPr="004B1CF7">
              <w:rPr>
                <w:color w:val="auto"/>
                <w:sz w:val="22"/>
                <w:szCs w:val="22"/>
              </w:rPr>
              <w:t xml:space="preserve"> </w:t>
            </w:r>
          </w:p>
        </w:tc>
      </w:tr>
      <w:tr w:rsidR="00ED77CD" w:rsidRPr="004B1CF7" w14:paraId="010155D5" w14:textId="77777777" w:rsidTr="00653032">
        <w:trPr>
          <w:trHeight w:val="264"/>
          <w:jc w:val="center"/>
        </w:trPr>
        <w:tc>
          <w:tcPr>
            <w:tcW w:w="2442" w:type="dxa"/>
            <w:tcBorders>
              <w:top w:val="single" w:sz="4" w:space="0" w:color="auto"/>
              <w:left w:val="single" w:sz="4" w:space="0" w:color="auto"/>
              <w:bottom w:val="single" w:sz="4" w:space="0" w:color="auto"/>
              <w:right w:val="nil"/>
            </w:tcBorders>
            <w:shd w:val="clear" w:color="auto" w:fill="auto"/>
            <w:noWrap/>
            <w:vAlign w:val="bottom"/>
            <w:hideMark/>
          </w:tcPr>
          <w:p w14:paraId="70F6105D" w14:textId="77777777" w:rsidR="00CA58FB" w:rsidRPr="004B1CF7" w:rsidRDefault="00CA58FB" w:rsidP="00CA58FB">
            <w:pPr>
              <w:rPr>
                <w:b/>
                <w:bCs/>
                <w:color w:val="auto"/>
                <w:sz w:val="22"/>
                <w:szCs w:val="22"/>
              </w:rPr>
            </w:pPr>
            <w:r w:rsidRPr="004B1CF7">
              <w:rPr>
                <w:b/>
                <w:bCs/>
                <w:color w:val="auto"/>
                <w:sz w:val="22"/>
                <w:szCs w:val="22"/>
              </w:rPr>
              <w:t>Total all PSI Periods</w:t>
            </w:r>
          </w:p>
        </w:tc>
        <w:tc>
          <w:tcPr>
            <w:tcW w:w="1811" w:type="dxa"/>
            <w:tcBorders>
              <w:top w:val="single" w:sz="4" w:space="0" w:color="auto"/>
              <w:left w:val="nil"/>
              <w:bottom w:val="single" w:sz="4" w:space="0" w:color="auto"/>
              <w:right w:val="nil"/>
            </w:tcBorders>
            <w:shd w:val="clear" w:color="auto" w:fill="auto"/>
            <w:noWrap/>
            <w:vAlign w:val="bottom"/>
            <w:hideMark/>
          </w:tcPr>
          <w:p w14:paraId="2ADEB965" w14:textId="53AA2E03" w:rsidR="00CA58FB" w:rsidRPr="004B1CF7" w:rsidRDefault="003C02C5">
            <w:pPr>
              <w:rPr>
                <w:color w:val="auto"/>
                <w:sz w:val="22"/>
                <w:szCs w:val="22"/>
              </w:rPr>
            </w:pPr>
            <w:r w:rsidRPr="004B1CF7">
              <w:rPr>
                <w:color w:val="auto"/>
                <w:sz w:val="22"/>
                <w:szCs w:val="22"/>
              </w:rPr>
              <w:t xml:space="preserve"> $   </w:t>
            </w:r>
            <w:r w:rsidR="00ED77CD" w:rsidRPr="004B1CF7">
              <w:rPr>
                <w:color w:val="auto"/>
                <w:sz w:val="22"/>
                <w:szCs w:val="22"/>
              </w:rPr>
              <w:t xml:space="preserve"> </w:t>
            </w:r>
            <w:r w:rsidR="004B1CF7" w:rsidRPr="004B1CF7">
              <w:rPr>
                <w:color w:val="auto"/>
                <w:sz w:val="22"/>
                <w:szCs w:val="22"/>
              </w:rPr>
              <w:t>2</w:t>
            </w:r>
            <w:r w:rsidR="00ED77CD" w:rsidRPr="004B1CF7">
              <w:rPr>
                <w:color w:val="auto"/>
                <w:sz w:val="22"/>
                <w:szCs w:val="22"/>
              </w:rPr>
              <w:t>,</w:t>
            </w:r>
            <w:r w:rsidR="004B1CF7" w:rsidRPr="004B1CF7">
              <w:rPr>
                <w:color w:val="auto"/>
                <w:sz w:val="22"/>
                <w:szCs w:val="22"/>
              </w:rPr>
              <w:t>463</w:t>
            </w:r>
            <w:r w:rsidR="00ED77CD" w:rsidRPr="004B1CF7">
              <w:rPr>
                <w:color w:val="auto"/>
                <w:sz w:val="22"/>
                <w:szCs w:val="22"/>
              </w:rPr>
              <w:t>,</w:t>
            </w:r>
            <w:r w:rsidR="004B1CF7" w:rsidRPr="004B1CF7">
              <w:rPr>
                <w:color w:val="auto"/>
                <w:sz w:val="22"/>
                <w:szCs w:val="22"/>
              </w:rPr>
              <w:t>064</w:t>
            </w:r>
          </w:p>
        </w:tc>
        <w:tc>
          <w:tcPr>
            <w:tcW w:w="1121" w:type="dxa"/>
            <w:tcBorders>
              <w:top w:val="single" w:sz="4" w:space="0" w:color="auto"/>
              <w:left w:val="nil"/>
              <w:bottom w:val="single" w:sz="4" w:space="0" w:color="auto"/>
              <w:right w:val="nil"/>
            </w:tcBorders>
            <w:shd w:val="clear" w:color="auto" w:fill="auto"/>
            <w:noWrap/>
            <w:vAlign w:val="bottom"/>
            <w:hideMark/>
          </w:tcPr>
          <w:p w14:paraId="3D7B2A0A" w14:textId="77777777" w:rsidR="00CA58FB" w:rsidRPr="004B1CF7" w:rsidRDefault="00CA58FB" w:rsidP="00CA58FB">
            <w:pPr>
              <w:rPr>
                <w:color w:val="auto"/>
                <w:sz w:val="22"/>
                <w:szCs w:val="22"/>
              </w:rPr>
            </w:pPr>
            <w:r w:rsidRPr="004B1CF7">
              <w:rPr>
                <w:color w:val="auto"/>
                <w:sz w:val="22"/>
                <w:szCs w:val="22"/>
              </w:rPr>
              <w:t xml:space="preserve"> $            -   </w:t>
            </w:r>
          </w:p>
        </w:tc>
        <w:tc>
          <w:tcPr>
            <w:tcW w:w="1822" w:type="dxa"/>
            <w:tcBorders>
              <w:top w:val="single" w:sz="4" w:space="0" w:color="auto"/>
              <w:left w:val="nil"/>
              <w:bottom w:val="single" w:sz="4" w:space="0" w:color="auto"/>
              <w:right w:val="nil"/>
            </w:tcBorders>
            <w:shd w:val="clear" w:color="auto" w:fill="auto"/>
            <w:noWrap/>
            <w:vAlign w:val="bottom"/>
            <w:hideMark/>
          </w:tcPr>
          <w:p w14:paraId="39088D03" w14:textId="26DAA596" w:rsidR="00CA58FB" w:rsidRPr="004B1CF7" w:rsidRDefault="003C02C5">
            <w:pPr>
              <w:rPr>
                <w:color w:val="auto"/>
                <w:sz w:val="22"/>
                <w:szCs w:val="22"/>
              </w:rPr>
            </w:pPr>
            <w:r w:rsidRPr="004B1CF7">
              <w:rPr>
                <w:color w:val="auto"/>
                <w:sz w:val="22"/>
                <w:szCs w:val="22"/>
              </w:rPr>
              <w:t xml:space="preserve"> $    </w:t>
            </w:r>
            <w:r w:rsidR="004B1CF7" w:rsidRPr="004B1CF7">
              <w:rPr>
                <w:color w:val="auto"/>
                <w:sz w:val="22"/>
                <w:szCs w:val="22"/>
              </w:rPr>
              <w:t>2</w:t>
            </w:r>
            <w:r w:rsidR="00ED77CD" w:rsidRPr="004B1CF7">
              <w:rPr>
                <w:color w:val="auto"/>
                <w:sz w:val="22"/>
                <w:szCs w:val="22"/>
              </w:rPr>
              <w:t>,</w:t>
            </w:r>
            <w:r w:rsidR="004B1CF7" w:rsidRPr="004B1CF7">
              <w:rPr>
                <w:color w:val="auto"/>
                <w:sz w:val="22"/>
                <w:szCs w:val="22"/>
              </w:rPr>
              <w:t>463</w:t>
            </w:r>
            <w:r w:rsidR="00ED77CD" w:rsidRPr="004B1CF7">
              <w:rPr>
                <w:color w:val="auto"/>
                <w:sz w:val="22"/>
                <w:szCs w:val="22"/>
              </w:rPr>
              <w:t>,</w:t>
            </w:r>
            <w:r w:rsidR="004B1CF7" w:rsidRPr="004B1CF7">
              <w:rPr>
                <w:color w:val="auto"/>
                <w:sz w:val="22"/>
                <w:szCs w:val="22"/>
              </w:rPr>
              <w:t>064</w:t>
            </w:r>
          </w:p>
        </w:tc>
        <w:tc>
          <w:tcPr>
            <w:tcW w:w="1324" w:type="dxa"/>
            <w:tcBorders>
              <w:top w:val="single" w:sz="4" w:space="0" w:color="auto"/>
              <w:left w:val="nil"/>
              <w:bottom w:val="single" w:sz="4" w:space="0" w:color="auto"/>
              <w:right w:val="nil"/>
            </w:tcBorders>
            <w:shd w:val="clear" w:color="auto" w:fill="auto"/>
            <w:noWrap/>
            <w:vAlign w:val="bottom"/>
            <w:hideMark/>
          </w:tcPr>
          <w:p w14:paraId="18167B97" w14:textId="77777777" w:rsidR="00CA58FB" w:rsidRPr="004B1CF7" w:rsidRDefault="00CA58FB" w:rsidP="00CA58FB">
            <w:pPr>
              <w:rPr>
                <w:color w:val="auto"/>
                <w:sz w:val="22"/>
                <w:szCs w:val="22"/>
              </w:rPr>
            </w:pPr>
            <w:r w:rsidRPr="004B1CF7">
              <w:rPr>
                <w:color w:val="auto"/>
                <w:sz w:val="22"/>
                <w:szCs w:val="22"/>
              </w:rPr>
              <w:t xml:space="preserve">$       </w:t>
            </w:r>
          </w:p>
        </w:tc>
        <w:tc>
          <w:tcPr>
            <w:tcW w:w="1551" w:type="dxa"/>
            <w:tcBorders>
              <w:top w:val="single" w:sz="4" w:space="0" w:color="auto"/>
              <w:left w:val="nil"/>
              <w:bottom w:val="single" w:sz="4" w:space="0" w:color="auto"/>
              <w:right w:val="single" w:sz="4" w:space="0" w:color="auto"/>
            </w:tcBorders>
            <w:shd w:val="clear" w:color="auto" w:fill="auto"/>
            <w:noWrap/>
            <w:vAlign w:val="bottom"/>
            <w:hideMark/>
          </w:tcPr>
          <w:p w14:paraId="31901EFB" w14:textId="21420872" w:rsidR="00CA58FB" w:rsidRPr="004B1CF7" w:rsidRDefault="003C02C5" w:rsidP="00CA58FB">
            <w:pPr>
              <w:rPr>
                <w:color w:val="auto"/>
                <w:sz w:val="22"/>
                <w:szCs w:val="22"/>
              </w:rPr>
            </w:pPr>
            <w:r w:rsidRPr="004B1CF7">
              <w:rPr>
                <w:color w:val="auto"/>
                <w:sz w:val="22"/>
                <w:szCs w:val="22"/>
              </w:rPr>
              <w:t xml:space="preserve"> $     </w:t>
            </w:r>
            <w:r w:rsidR="004B1CF7" w:rsidRPr="004B1CF7">
              <w:rPr>
                <w:color w:val="auto"/>
                <w:sz w:val="22"/>
                <w:szCs w:val="22"/>
              </w:rPr>
              <w:t>2</w:t>
            </w:r>
            <w:r w:rsidRPr="004B1CF7">
              <w:rPr>
                <w:color w:val="auto"/>
                <w:sz w:val="22"/>
                <w:szCs w:val="22"/>
              </w:rPr>
              <w:t>,</w:t>
            </w:r>
            <w:r w:rsidR="004B1CF7" w:rsidRPr="004B1CF7">
              <w:rPr>
                <w:color w:val="auto"/>
                <w:sz w:val="22"/>
                <w:szCs w:val="22"/>
              </w:rPr>
              <w:t>463</w:t>
            </w:r>
            <w:r w:rsidRPr="004B1CF7">
              <w:rPr>
                <w:color w:val="auto"/>
                <w:sz w:val="22"/>
                <w:szCs w:val="22"/>
              </w:rPr>
              <w:t>,</w:t>
            </w:r>
            <w:r w:rsidR="004B1CF7" w:rsidRPr="004B1CF7">
              <w:rPr>
                <w:color w:val="auto"/>
                <w:sz w:val="22"/>
                <w:szCs w:val="22"/>
              </w:rPr>
              <w:t>064</w:t>
            </w:r>
            <w:r w:rsidR="00CA58FB" w:rsidRPr="004B1CF7">
              <w:rPr>
                <w:color w:val="auto"/>
                <w:sz w:val="22"/>
                <w:szCs w:val="22"/>
              </w:rPr>
              <w:t xml:space="preserve"> </w:t>
            </w:r>
          </w:p>
        </w:tc>
      </w:tr>
    </w:tbl>
    <w:p w14:paraId="2B468D45" w14:textId="1F3D8241" w:rsidR="0064011F" w:rsidRDefault="0064011F" w:rsidP="00FD6B0A">
      <w:pPr>
        <w:overflowPunct w:val="0"/>
        <w:autoSpaceDE w:val="0"/>
        <w:autoSpaceDN w:val="0"/>
        <w:adjustRightInd w:val="0"/>
        <w:spacing w:line="360" w:lineRule="auto"/>
        <w:textAlignment w:val="baseline"/>
        <w:rPr>
          <w:b/>
          <w:color w:val="auto"/>
          <w:sz w:val="26"/>
          <w:szCs w:val="26"/>
        </w:rPr>
      </w:pPr>
    </w:p>
    <w:p w14:paraId="6CE465D9" w14:textId="79A6E30E" w:rsidR="00FD6B0A" w:rsidRPr="006F4DF6" w:rsidRDefault="00FD6B0A" w:rsidP="00FD6B0A">
      <w:pPr>
        <w:spacing w:line="360" w:lineRule="auto"/>
        <w:ind w:firstLine="720"/>
        <w:rPr>
          <w:color w:val="auto"/>
          <w:sz w:val="26"/>
          <w:szCs w:val="26"/>
        </w:rPr>
      </w:pPr>
      <w:r w:rsidRPr="0063153F">
        <w:rPr>
          <w:color w:val="auto"/>
          <w:sz w:val="26"/>
          <w:szCs w:val="26"/>
        </w:rPr>
        <w:t>We note that under its Chapter 30 Plan, the Company does not account for a given</w:t>
      </w:r>
      <w:r w:rsidR="00535367" w:rsidRPr="0063153F">
        <w:rPr>
          <w:color w:val="auto"/>
          <w:sz w:val="26"/>
          <w:szCs w:val="26"/>
        </w:rPr>
        <w:t xml:space="preserve"> </w:t>
      </w:r>
      <w:r w:rsidRPr="0063153F">
        <w:rPr>
          <w:color w:val="auto"/>
          <w:sz w:val="26"/>
          <w:szCs w:val="26"/>
        </w:rPr>
        <w:t xml:space="preserve">year’s authorized revenue increase and any actual rate increases until the </w:t>
      </w:r>
      <w:r w:rsidR="00AC2587" w:rsidRPr="0063153F">
        <w:rPr>
          <w:color w:val="auto"/>
          <w:sz w:val="26"/>
          <w:szCs w:val="26"/>
        </w:rPr>
        <w:t xml:space="preserve">following </w:t>
      </w:r>
      <w:r w:rsidRPr="0063153F">
        <w:rPr>
          <w:color w:val="auto"/>
          <w:sz w:val="26"/>
          <w:szCs w:val="26"/>
        </w:rPr>
        <w:t xml:space="preserve">year’s PSI/SPI filing.  Consequently, </w:t>
      </w:r>
      <w:r w:rsidR="00C440EC" w:rsidRPr="0063153F">
        <w:rPr>
          <w:color w:val="auto"/>
          <w:sz w:val="26"/>
          <w:szCs w:val="26"/>
        </w:rPr>
        <w:t>t</w:t>
      </w:r>
      <w:r w:rsidRPr="0063153F">
        <w:rPr>
          <w:color w:val="auto"/>
          <w:sz w:val="26"/>
          <w:szCs w:val="26"/>
        </w:rPr>
        <w:t xml:space="preserve">he revenue for the $281,620 in rate increases included with the instant filing will be </w:t>
      </w:r>
      <w:r w:rsidR="008208C1" w:rsidRPr="0063153F">
        <w:rPr>
          <w:color w:val="auto"/>
          <w:sz w:val="26"/>
          <w:szCs w:val="26"/>
        </w:rPr>
        <w:t>reflected on</w:t>
      </w:r>
      <w:r w:rsidRPr="0063153F">
        <w:rPr>
          <w:color w:val="auto"/>
          <w:sz w:val="26"/>
          <w:szCs w:val="26"/>
        </w:rPr>
        <w:t xml:space="preserve"> the </w:t>
      </w:r>
      <w:r w:rsidR="00F504EF" w:rsidRPr="0063153F">
        <w:rPr>
          <w:color w:val="auto"/>
          <w:sz w:val="26"/>
          <w:szCs w:val="26"/>
        </w:rPr>
        <w:t xml:space="preserve">updated </w:t>
      </w:r>
      <w:r w:rsidRPr="0063153F">
        <w:rPr>
          <w:color w:val="auto"/>
          <w:sz w:val="26"/>
          <w:szCs w:val="26"/>
        </w:rPr>
        <w:t xml:space="preserve">banking report </w:t>
      </w:r>
      <w:r w:rsidR="00FD28CC" w:rsidRPr="0063153F">
        <w:rPr>
          <w:color w:val="auto"/>
          <w:sz w:val="26"/>
          <w:szCs w:val="26"/>
        </w:rPr>
        <w:t xml:space="preserve">filed by the Company </w:t>
      </w:r>
      <w:r w:rsidR="00332F96" w:rsidRPr="0063153F">
        <w:rPr>
          <w:color w:val="auto"/>
          <w:sz w:val="26"/>
          <w:szCs w:val="26"/>
        </w:rPr>
        <w:t xml:space="preserve">in January 2019 and </w:t>
      </w:r>
      <w:r w:rsidR="00E97D0F" w:rsidRPr="0063153F">
        <w:rPr>
          <w:color w:val="auto"/>
          <w:sz w:val="26"/>
          <w:szCs w:val="26"/>
        </w:rPr>
        <w:t>included with</w:t>
      </w:r>
      <w:r w:rsidR="00F504EF" w:rsidRPr="0063153F">
        <w:rPr>
          <w:color w:val="auto"/>
          <w:sz w:val="26"/>
          <w:szCs w:val="26"/>
        </w:rPr>
        <w:t xml:space="preserve"> </w:t>
      </w:r>
      <w:r w:rsidRPr="0063153F">
        <w:rPr>
          <w:color w:val="auto"/>
          <w:sz w:val="26"/>
          <w:szCs w:val="26"/>
        </w:rPr>
        <w:t>the Company’s 2019 PSI/SPI filing</w:t>
      </w:r>
      <w:r w:rsidR="00B47155" w:rsidRPr="0063153F">
        <w:rPr>
          <w:color w:val="auto"/>
          <w:sz w:val="26"/>
          <w:szCs w:val="26"/>
        </w:rPr>
        <w:t xml:space="preserve">, at which time the Company </w:t>
      </w:r>
      <w:r w:rsidR="00A17A41" w:rsidRPr="0063153F">
        <w:rPr>
          <w:color w:val="auto"/>
          <w:sz w:val="26"/>
          <w:szCs w:val="26"/>
        </w:rPr>
        <w:t xml:space="preserve">may withdraw any </w:t>
      </w:r>
      <w:r w:rsidR="00FA45C7" w:rsidRPr="0063153F">
        <w:rPr>
          <w:color w:val="auto"/>
          <w:sz w:val="26"/>
          <w:szCs w:val="26"/>
        </w:rPr>
        <w:t>increases from the banked amount remaining from the Company’s 2014 P</w:t>
      </w:r>
      <w:r w:rsidR="00E97D0F" w:rsidRPr="0063153F">
        <w:rPr>
          <w:color w:val="auto"/>
          <w:sz w:val="26"/>
          <w:szCs w:val="26"/>
        </w:rPr>
        <w:t>SI</w:t>
      </w:r>
      <w:r w:rsidR="00FA45C7" w:rsidRPr="0063153F">
        <w:rPr>
          <w:color w:val="auto"/>
          <w:sz w:val="26"/>
          <w:szCs w:val="26"/>
        </w:rPr>
        <w:t xml:space="preserve"> period</w:t>
      </w:r>
      <w:r w:rsidRPr="0063153F">
        <w:rPr>
          <w:color w:val="auto"/>
          <w:sz w:val="26"/>
          <w:szCs w:val="26"/>
        </w:rPr>
        <w:t xml:space="preserve">.  Additionally, the </w:t>
      </w:r>
      <w:r w:rsidR="002C752B" w:rsidRPr="0063153F">
        <w:rPr>
          <w:color w:val="auto"/>
          <w:sz w:val="26"/>
          <w:szCs w:val="26"/>
        </w:rPr>
        <w:t xml:space="preserve">updated </w:t>
      </w:r>
      <w:r w:rsidRPr="0063153F">
        <w:rPr>
          <w:color w:val="auto"/>
          <w:sz w:val="26"/>
          <w:szCs w:val="26"/>
        </w:rPr>
        <w:t xml:space="preserve">banking report </w:t>
      </w:r>
      <w:r w:rsidR="009933A0" w:rsidRPr="0063153F">
        <w:rPr>
          <w:color w:val="auto"/>
          <w:sz w:val="26"/>
          <w:szCs w:val="26"/>
        </w:rPr>
        <w:t xml:space="preserve">filed in 2019 </w:t>
      </w:r>
      <w:r w:rsidRPr="0063153F">
        <w:rPr>
          <w:color w:val="auto"/>
          <w:sz w:val="26"/>
          <w:szCs w:val="26"/>
        </w:rPr>
        <w:t>will reflect the addition of the authorized revenue increase amount of $701,758 from its 2018 PSI/SPI filing.</w:t>
      </w:r>
      <w:r w:rsidRPr="006F4DF6">
        <w:rPr>
          <w:color w:val="auto"/>
          <w:sz w:val="26"/>
          <w:szCs w:val="26"/>
        </w:rPr>
        <w:t xml:space="preserve">  </w:t>
      </w:r>
    </w:p>
    <w:p w14:paraId="15BAC0D2" w14:textId="3883FD86" w:rsidR="00FD6B0A" w:rsidRPr="006F4DF6" w:rsidRDefault="00FD6B0A" w:rsidP="00794263">
      <w:pPr>
        <w:overflowPunct w:val="0"/>
        <w:autoSpaceDE w:val="0"/>
        <w:autoSpaceDN w:val="0"/>
        <w:adjustRightInd w:val="0"/>
        <w:textAlignment w:val="baseline"/>
        <w:rPr>
          <w:b/>
          <w:color w:val="auto"/>
          <w:sz w:val="26"/>
          <w:szCs w:val="26"/>
        </w:rPr>
      </w:pPr>
    </w:p>
    <w:p w14:paraId="3AA1D13A" w14:textId="77777777" w:rsidR="00FD6B0A" w:rsidRPr="006F4DF6" w:rsidRDefault="00FD6B0A" w:rsidP="00794263">
      <w:pPr>
        <w:overflowPunct w:val="0"/>
        <w:autoSpaceDE w:val="0"/>
        <w:autoSpaceDN w:val="0"/>
        <w:adjustRightInd w:val="0"/>
        <w:textAlignment w:val="baseline"/>
        <w:rPr>
          <w:b/>
          <w:color w:val="auto"/>
          <w:sz w:val="26"/>
          <w:szCs w:val="26"/>
        </w:rPr>
      </w:pPr>
    </w:p>
    <w:p w14:paraId="11A9303A" w14:textId="77777777" w:rsidR="006F4DF6" w:rsidRPr="006F4DF6" w:rsidRDefault="006F4DF6">
      <w:pPr>
        <w:rPr>
          <w:b/>
          <w:color w:val="auto"/>
          <w:sz w:val="26"/>
          <w:szCs w:val="26"/>
        </w:rPr>
      </w:pPr>
      <w:r w:rsidRPr="006F4DF6">
        <w:rPr>
          <w:b/>
          <w:color w:val="auto"/>
          <w:sz w:val="26"/>
          <w:szCs w:val="26"/>
        </w:rPr>
        <w:br w:type="page"/>
      </w:r>
    </w:p>
    <w:p w14:paraId="4CA64F15" w14:textId="4C81265A" w:rsidR="00A25A2C" w:rsidRPr="0053658B" w:rsidRDefault="00A25A2C" w:rsidP="00794263">
      <w:pPr>
        <w:overflowPunct w:val="0"/>
        <w:autoSpaceDE w:val="0"/>
        <w:autoSpaceDN w:val="0"/>
        <w:adjustRightInd w:val="0"/>
        <w:textAlignment w:val="baseline"/>
        <w:rPr>
          <w:b/>
          <w:color w:val="auto"/>
          <w:sz w:val="26"/>
          <w:szCs w:val="26"/>
        </w:rPr>
      </w:pPr>
      <w:r w:rsidRPr="0053658B">
        <w:rPr>
          <w:b/>
          <w:color w:val="auto"/>
          <w:sz w:val="26"/>
          <w:szCs w:val="26"/>
        </w:rPr>
        <w:lastRenderedPageBreak/>
        <w:t>III.</w:t>
      </w:r>
      <w:r w:rsidRPr="0053658B">
        <w:rPr>
          <w:b/>
          <w:color w:val="auto"/>
          <w:sz w:val="26"/>
          <w:szCs w:val="26"/>
        </w:rPr>
        <w:tab/>
      </w:r>
      <w:r w:rsidR="0064011F" w:rsidRPr="0053658B">
        <w:rPr>
          <w:b/>
          <w:color w:val="auto"/>
          <w:sz w:val="26"/>
          <w:szCs w:val="26"/>
        </w:rPr>
        <w:t>Conclusion</w:t>
      </w:r>
    </w:p>
    <w:p w14:paraId="2334B4C1" w14:textId="77777777" w:rsidR="00794263" w:rsidRPr="0053658B" w:rsidRDefault="00794263" w:rsidP="00794263">
      <w:pPr>
        <w:overflowPunct w:val="0"/>
        <w:autoSpaceDE w:val="0"/>
        <w:autoSpaceDN w:val="0"/>
        <w:adjustRightInd w:val="0"/>
        <w:textAlignment w:val="baseline"/>
        <w:rPr>
          <w:b/>
          <w:color w:val="auto"/>
          <w:sz w:val="26"/>
          <w:szCs w:val="26"/>
        </w:rPr>
      </w:pPr>
    </w:p>
    <w:p w14:paraId="38072349" w14:textId="437FF3E9" w:rsidR="003E72EA" w:rsidRPr="0053658B" w:rsidRDefault="00A25A2C" w:rsidP="00D41912">
      <w:pPr>
        <w:spacing w:after="240" w:line="360" w:lineRule="auto"/>
        <w:rPr>
          <w:b/>
          <w:color w:val="auto"/>
          <w:sz w:val="26"/>
          <w:szCs w:val="26"/>
        </w:rPr>
      </w:pPr>
      <w:r w:rsidRPr="0053658B">
        <w:rPr>
          <w:color w:val="auto"/>
          <w:sz w:val="26"/>
          <w:szCs w:val="26"/>
        </w:rPr>
        <w:tab/>
      </w:r>
      <w:r w:rsidR="0064011F" w:rsidRPr="0053658B">
        <w:rPr>
          <w:color w:val="auto"/>
          <w:sz w:val="26"/>
          <w:szCs w:val="26"/>
        </w:rPr>
        <w:t>Our review of the Company’s 201</w:t>
      </w:r>
      <w:r w:rsidR="0053658B" w:rsidRPr="0053658B">
        <w:rPr>
          <w:color w:val="auto"/>
          <w:sz w:val="26"/>
          <w:szCs w:val="26"/>
        </w:rPr>
        <w:t>8</w:t>
      </w:r>
      <w:r w:rsidR="0064011F" w:rsidRPr="0053658B">
        <w:rPr>
          <w:color w:val="auto"/>
          <w:sz w:val="26"/>
          <w:szCs w:val="26"/>
        </w:rPr>
        <w:t xml:space="preserve"> PSI/SPI Report indicates the PSI/SPI calculations, banked revenue calculations and proposed rate increases are reasonable, consistent and in conformance with the terms of the Company’s Commission-approved Amended Chapter 30</w:t>
      </w:r>
      <w:r w:rsidR="00895415">
        <w:rPr>
          <w:color w:val="auto"/>
          <w:sz w:val="26"/>
          <w:szCs w:val="26"/>
        </w:rPr>
        <w:t xml:space="preserve"> Plan</w:t>
      </w:r>
      <w:r w:rsidR="0064011F" w:rsidRPr="0053658B">
        <w:rPr>
          <w:color w:val="auto"/>
          <w:sz w:val="26"/>
          <w:szCs w:val="26"/>
        </w:rPr>
        <w:t xml:space="preserve">.  We note that in accordance with its Chapter 30 Plan, deferred rate increases shall accrue no interest; </w:t>
      </w:r>
      <w:r w:rsidR="0064011F" w:rsidRPr="0053658B">
        <w:rPr>
          <w:b/>
          <w:color w:val="auto"/>
          <w:sz w:val="26"/>
          <w:szCs w:val="26"/>
        </w:rPr>
        <w:t>THEREFORE,</w:t>
      </w:r>
    </w:p>
    <w:p w14:paraId="04E172D4" w14:textId="77777777" w:rsidR="0064011F" w:rsidRPr="0053658B" w:rsidRDefault="00D41912" w:rsidP="00417530">
      <w:pPr>
        <w:keepNext/>
        <w:spacing w:after="240" w:line="360" w:lineRule="auto"/>
        <w:rPr>
          <w:color w:val="auto"/>
          <w:sz w:val="26"/>
          <w:szCs w:val="26"/>
        </w:rPr>
      </w:pPr>
      <w:r w:rsidRPr="0053658B">
        <w:rPr>
          <w:color w:val="auto"/>
          <w:sz w:val="26"/>
          <w:szCs w:val="26"/>
        </w:rPr>
        <w:tab/>
      </w:r>
      <w:r w:rsidR="0064011F" w:rsidRPr="0053658B">
        <w:rPr>
          <w:b/>
          <w:color w:val="auto"/>
          <w:sz w:val="26"/>
          <w:szCs w:val="26"/>
        </w:rPr>
        <w:t>IT IS ORDERED:</w:t>
      </w:r>
    </w:p>
    <w:p w14:paraId="57FED12F" w14:textId="77777777" w:rsidR="0064011F" w:rsidRPr="0053658B" w:rsidRDefault="0064011F" w:rsidP="00417530">
      <w:pPr>
        <w:keepNext/>
        <w:spacing w:after="240" w:line="360" w:lineRule="auto"/>
        <w:ind w:firstLine="720"/>
        <w:rPr>
          <w:color w:val="auto"/>
          <w:sz w:val="26"/>
          <w:szCs w:val="26"/>
        </w:rPr>
      </w:pPr>
      <w:r w:rsidRPr="0053658B">
        <w:rPr>
          <w:color w:val="auto"/>
          <w:sz w:val="26"/>
          <w:szCs w:val="26"/>
        </w:rPr>
        <w:t>1.</w:t>
      </w:r>
      <w:r w:rsidRPr="0053658B">
        <w:rPr>
          <w:color w:val="auto"/>
          <w:sz w:val="26"/>
          <w:szCs w:val="26"/>
        </w:rPr>
        <w:tab/>
        <w:t>That the Company’s 201</w:t>
      </w:r>
      <w:r w:rsidR="0023229D" w:rsidRPr="0053658B">
        <w:rPr>
          <w:color w:val="auto"/>
          <w:sz w:val="26"/>
          <w:szCs w:val="26"/>
        </w:rPr>
        <w:t>8</w:t>
      </w:r>
      <w:r w:rsidRPr="0053658B">
        <w:rPr>
          <w:color w:val="auto"/>
          <w:sz w:val="26"/>
          <w:szCs w:val="26"/>
        </w:rPr>
        <w:t xml:space="preserve"> PSI/SPI </w:t>
      </w:r>
      <w:r w:rsidRPr="0023229D">
        <w:rPr>
          <w:color w:val="auto"/>
          <w:sz w:val="26"/>
          <w:szCs w:val="26"/>
        </w:rPr>
        <w:t xml:space="preserve">Report is consistent with their Commission-approved Amended Streamlined Regulation and Network Modernization Plan and is </w:t>
      </w:r>
      <w:r w:rsidRPr="0053658B">
        <w:rPr>
          <w:color w:val="auto"/>
          <w:sz w:val="26"/>
          <w:szCs w:val="26"/>
        </w:rPr>
        <w:t>therefore approved as filed.</w:t>
      </w:r>
    </w:p>
    <w:p w14:paraId="65ABCB51" w14:textId="77777777" w:rsidR="0064011F" w:rsidRPr="0053658B" w:rsidRDefault="0064011F" w:rsidP="0064011F">
      <w:pPr>
        <w:spacing w:after="240" w:line="360" w:lineRule="auto"/>
        <w:ind w:firstLine="720"/>
        <w:rPr>
          <w:color w:val="auto"/>
          <w:sz w:val="26"/>
          <w:szCs w:val="26"/>
        </w:rPr>
      </w:pPr>
      <w:r w:rsidRPr="0053658B">
        <w:rPr>
          <w:color w:val="auto"/>
          <w:sz w:val="26"/>
          <w:szCs w:val="26"/>
        </w:rPr>
        <w:t>2.</w:t>
      </w:r>
      <w:r w:rsidRPr="0053658B">
        <w:rPr>
          <w:color w:val="auto"/>
          <w:sz w:val="26"/>
          <w:szCs w:val="26"/>
        </w:rPr>
        <w:tab/>
        <w:t>That the rate increases proposed by the Company and included in Supplement No. 12</w:t>
      </w:r>
      <w:r w:rsidR="0053658B" w:rsidRPr="0053658B">
        <w:rPr>
          <w:color w:val="auto"/>
          <w:sz w:val="26"/>
          <w:szCs w:val="26"/>
        </w:rPr>
        <w:t>7</w:t>
      </w:r>
      <w:r w:rsidRPr="0053658B">
        <w:rPr>
          <w:color w:val="auto"/>
          <w:sz w:val="26"/>
          <w:szCs w:val="26"/>
        </w:rPr>
        <w:t xml:space="preserve"> to Tariff Telephone - PA P.U.C. No. 24 be permitted to go into effect as filed.</w:t>
      </w:r>
    </w:p>
    <w:p w14:paraId="0AA3DB10" w14:textId="77777777" w:rsidR="0064011F" w:rsidRPr="0023229D" w:rsidRDefault="0064011F" w:rsidP="0064011F">
      <w:pPr>
        <w:spacing w:after="240" w:line="360" w:lineRule="auto"/>
        <w:ind w:firstLine="720"/>
        <w:rPr>
          <w:color w:val="auto"/>
          <w:sz w:val="26"/>
          <w:szCs w:val="26"/>
        </w:rPr>
      </w:pPr>
      <w:r w:rsidRPr="0053658B">
        <w:rPr>
          <w:color w:val="auto"/>
          <w:sz w:val="26"/>
          <w:szCs w:val="26"/>
        </w:rPr>
        <w:t>3.</w:t>
      </w:r>
      <w:r w:rsidRPr="0053658B">
        <w:rPr>
          <w:color w:val="auto"/>
          <w:sz w:val="26"/>
          <w:szCs w:val="26"/>
        </w:rPr>
        <w:tab/>
        <w:t xml:space="preserve">That a copy of this </w:t>
      </w:r>
      <w:r w:rsidRPr="0023229D">
        <w:rPr>
          <w:color w:val="auto"/>
          <w:sz w:val="26"/>
          <w:szCs w:val="26"/>
        </w:rPr>
        <w:t xml:space="preserve">Order be served on the Office of Consumer Advocate, the Office of Small Business Advocate and the Bureau of Investigation and Enforcement. </w:t>
      </w:r>
    </w:p>
    <w:p w14:paraId="4B17B939" w14:textId="51019FD7" w:rsidR="0064011F" w:rsidRPr="0023229D" w:rsidRDefault="0064011F" w:rsidP="0064011F">
      <w:pPr>
        <w:spacing w:after="240" w:line="360" w:lineRule="auto"/>
        <w:ind w:firstLine="720"/>
        <w:rPr>
          <w:color w:val="auto"/>
          <w:sz w:val="26"/>
          <w:szCs w:val="26"/>
        </w:rPr>
      </w:pPr>
      <w:r w:rsidRPr="0023229D">
        <w:rPr>
          <w:color w:val="auto"/>
          <w:sz w:val="26"/>
          <w:szCs w:val="26"/>
        </w:rPr>
        <w:t>4.</w:t>
      </w:r>
      <w:r w:rsidRPr="0023229D">
        <w:rPr>
          <w:color w:val="auto"/>
          <w:sz w:val="26"/>
          <w:szCs w:val="26"/>
        </w:rPr>
        <w:tab/>
        <w:t>That the case be marked closed.</w:t>
      </w:r>
    </w:p>
    <w:p w14:paraId="2BCF5482" w14:textId="465DD313" w:rsidR="004B21FE" w:rsidRDefault="000C2AC4" w:rsidP="004B21FE">
      <w:pPr>
        <w:overflowPunct w:val="0"/>
        <w:autoSpaceDE w:val="0"/>
        <w:autoSpaceDN w:val="0"/>
        <w:adjustRightInd w:val="0"/>
        <w:spacing w:after="240" w:line="360" w:lineRule="auto"/>
        <w:textAlignment w:val="baseline"/>
      </w:pPr>
      <w:r>
        <w:rPr>
          <w:noProof/>
        </w:rPr>
        <w:drawing>
          <wp:anchor distT="0" distB="0" distL="114300" distR="114300" simplePos="0" relativeHeight="251659264" behindDoc="1" locked="0" layoutInCell="1" allowOverlap="1" wp14:anchorId="4BE9CFED" wp14:editId="2EEF3255">
            <wp:simplePos x="0" y="0"/>
            <wp:positionH relativeFrom="column">
              <wp:posOffset>2724150</wp:posOffset>
            </wp:positionH>
            <wp:positionV relativeFrom="paragraph">
              <wp:posOffset>189230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03FD8" w:rsidRPr="0023229D">
        <w:rPr>
          <w:color w:val="auto"/>
          <w:sz w:val="26"/>
          <w:szCs w:val="26"/>
        </w:rPr>
        <w:tab/>
      </w:r>
      <w:r w:rsidR="0064011F" w:rsidRPr="0023229D">
        <w:rPr>
          <w:color w:val="auto"/>
          <w:sz w:val="26"/>
          <w:szCs w:val="26"/>
        </w:rPr>
        <w:tab/>
      </w:r>
      <w:r w:rsidR="0064011F" w:rsidRPr="0023229D">
        <w:rPr>
          <w:color w:val="auto"/>
          <w:sz w:val="26"/>
          <w:szCs w:val="26"/>
        </w:rPr>
        <w:tab/>
      </w:r>
      <w:r w:rsidR="0064011F" w:rsidRPr="0023229D">
        <w:rPr>
          <w:color w:val="auto"/>
          <w:sz w:val="26"/>
          <w:szCs w:val="26"/>
        </w:rPr>
        <w:tab/>
      </w:r>
      <w:r w:rsidR="0064011F" w:rsidRPr="0023229D">
        <w:rPr>
          <w:color w:val="auto"/>
          <w:sz w:val="26"/>
          <w:szCs w:val="26"/>
        </w:rPr>
        <w:tab/>
      </w:r>
      <w:r w:rsidR="0064011F" w:rsidRPr="0023229D">
        <w:rPr>
          <w:color w:val="auto"/>
          <w:sz w:val="26"/>
          <w:szCs w:val="26"/>
        </w:rPr>
        <w:tab/>
      </w:r>
      <w:r w:rsidR="00DF7EBB" w:rsidRPr="0023229D">
        <w:rPr>
          <w:b/>
          <w:color w:val="auto"/>
          <w:sz w:val="26"/>
          <w:szCs w:val="26"/>
        </w:rPr>
        <w:t>BY THE COMMISSION</w:t>
      </w:r>
      <w:r w:rsidR="00DF7EBB" w:rsidRPr="00A05F32">
        <w:rPr>
          <w:b/>
          <w:color w:val="000000"/>
          <w:sz w:val="26"/>
          <w:szCs w:val="26"/>
        </w:rPr>
        <w:t>,</w:t>
      </w:r>
    </w:p>
    <w:p w14:paraId="1E05CC45" w14:textId="77777777" w:rsidR="00DF7EBB" w:rsidRPr="00A05F32" w:rsidRDefault="00DF7EBB" w:rsidP="009413C4">
      <w:pPr>
        <w:tabs>
          <w:tab w:val="left" w:pos="4320"/>
        </w:tabs>
        <w:rPr>
          <w:b/>
          <w:color w:val="000000"/>
          <w:sz w:val="26"/>
          <w:szCs w:val="26"/>
        </w:rPr>
      </w:pPr>
    </w:p>
    <w:p w14:paraId="5F7A22DE" w14:textId="77777777" w:rsidR="007539F1" w:rsidRPr="00A05F32" w:rsidRDefault="00897A60" w:rsidP="00897A60">
      <w:pPr>
        <w:tabs>
          <w:tab w:val="left" w:pos="3636"/>
        </w:tabs>
        <w:rPr>
          <w:b/>
          <w:color w:val="000000"/>
          <w:sz w:val="26"/>
          <w:szCs w:val="26"/>
        </w:rPr>
      </w:pPr>
      <w:r>
        <w:rPr>
          <w:b/>
          <w:color w:val="000000"/>
          <w:sz w:val="26"/>
          <w:szCs w:val="26"/>
        </w:rPr>
        <w:tab/>
      </w:r>
    </w:p>
    <w:p w14:paraId="6B989A81" w14:textId="77777777" w:rsidR="007539F1" w:rsidRPr="00A05F32" w:rsidRDefault="007539F1" w:rsidP="009413C4">
      <w:pPr>
        <w:tabs>
          <w:tab w:val="left" w:pos="4320"/>
        </w:tabs>
        <w:rPr>
          <w:b/>
          <w:color w:val="000000"/>
          <w:sz w:val="26"/>
          <w:szCs w:val="26"/>
        </w:rPr>
      </w:pPr>
    </w:p>
    <w:p w14:paraId="586C2A5E" w14:textId="77777777" w:rsidR="00DF7EBB" w:rsidRPr="00A05F32" w:rsidRDefault="00A03FD8" w:rsidP="009413C4">
      <w:pPr>
        <w:tabs>
          <w:tab w:val="left" w:pos="4320"/>
        </w:tabs>
        <w:rPr>
          <w:color w:val="000000"/>
          <w:sz w:val="26"/>
          <w:szCs w:val="26"/>
        </w:rPr>
      </w:pPr>
      <w:r w:rsidRPr="00A05F32">
        <w:rPr>
          <w:b/>
          <w:color w:val="000000"/>
          <w:sz w:val="26"/>
          <w:szCs w:val="26"/>
        </w:rPr>
        <w:tab/>
      </w:r>
      <w:r w:rsidR="00E300E3" w:rsidRPr="004929EB">
        <w:rPr>
          <w:color w:val="auto"/>
          <w:sz w:val="26"/>
          <w:szCs w:val="26"/>
        </w:rPr>
        <w:t>Rosemary Chiavetta</w:t>
      </w:r>
    </w:p>
    <w:p w14:paraId="12A67A1A" w14:textId="252D82A0" w:rsidR="00F85EEA" w:rsidRPr="00A05F32" w:rsidRDefault="00DF7EBB" w:rsidP="004B21FE">
      <w:pPr>
        <w:tabs>
          <w:tab w:val="left" w:pos="4320"/>
        </w:tabs>
        <w:spacing w:after="320"/>
        <w:rPr>
          <w:color w:val="000000"/>
          <w:sz w:val="26"/>
          <w:szCs w:val="26"/>
        </w:rPr>
      </w:pPr>
      <w:r w:rsidRPr="00A05F32">
        <w:rPr>
          <w:color w:val="000000"/>
          <w:sz w:val="26"/>
          <w:szCs w:val="26"/>
        </w:rPr>
        <w:tab/>
        <w:t>Secretary</w:t>
      </w:r>
    </w:p>
    <w:p w14:paraId="17A6E947" w14:textId="77777777" w:rsidR="007539F1" w:rsidRDefault="00DF7EBB" w:rsidP="009413C4">
      <w:pPr>
        <w:tabs>
          <w:tab w:val="left" w:pos="4320"/>
        </w:tabs>
        <w:spacing w:after="320" w:line="360" w:lineRule="auto"/>
        <w:rPr>
          <w:color w:val="000000"/>
          <w:sz w:val="26"/>
          <w:szCs w:val="26"/>
        </w:rPr>
      </w:pPr>
      <w:r w:rsidRPr="00A05F32">
        <w:rPr>
          <w:color w:val="000000"/>
          <w:sz w:val="26"/>
          <w:szCs w:val="26"/>
        </w:rPr>
        <w:t>(SEAL)</w:t>
      </w:r>
    </w:p>
    <w:p w14:paraId="794FF440" w14:textId="77777777" w:rsidR="00DF7EBB" w:rsidRPr="00A05F32" w:rsidRDefault="00DF7EBB" w:rsidP="009413C4">
      <w:pPr>
        <w:tabs>
          <w:tab w:val="left" w:pos="4320"/>
        </w:tabs>
        <w:spacing w:line="360" w:lineRule="auto"/>
        <w:rPr>
          <w:color w:val="000000"/>
          <w:sz w:val="26"/>
          <w:szCs w:val="26"/>
        </w:rPr>
      </w:pPr>
      <w:r w:rsidRPr="00A05F32">
        <w:rPr>
          <w:color w:val="000000"/>
          <w:sz w:val="26"/>
          <w:szCs w:val="26"/>
        </w:rPr>
        <w:t xml:space="preserve">ORDER ADOPTED: </w:t>
      </w:r>
      <w:r w:rsidR="007539F1" w:rsidRPr="00A05F32">
        <w:rPr>
          <w:color w:val="000000"/>
          <w:sz w:val="26"/>
          <w:szCs w:val="26"/>
        </w:rPr>
        <w:t xml:space="preserve"> </w:t>
      </w:r>
      <w:r w:rsidR="00576EC4">
        <w:rPr>
          <w:color w:val="000000"/>
          <w:sz w:val="26"/>
          <w:szCs w:val="26"/>
        </w:rPr>
        <w:t>March 1</w:t>
      </w:r>
      <w:r w:rsidR="00D801E0">
        <w:rPr>
          <w:color w:val="000000"/>
          <w:sz w:val="26"/>
          <w:szCs w:val="26"/>
        </w:rPr>
        <w:t>5</w:t>
      </w:r>
      <w:r w:rsidR="00576EC4">
        <w:rPr>
          <w:color w:val="000000"/>
          <w:sz w:val="26"/>
          <w:szCs w:val="26"/>
        </w:rPr>
        <w:t>, 201</w:t>
      </w:r>
      <w:r w:rsidR="00D801E0">
        <w:rPr>
          <w:color w:val="000000"/>
          <w:sz w:val="26"/>
          <w:szCs w:val="26"/>
        </w:rPr>
        <w:t>8</w:t>
      </w:r>
    </w:p>
    <w:p w14:paraId="0B5A2294" w14:textId="5398AEF0" w:rsidR="0040590D" w:rsidRPr="0045526C" w:rsidRDefault="00DF7EBB" w:rsidP="009413C4">
      <w:pPr>
        <w:tabs>
          <w:tab w:val="left" w:pos="4320"/>
        </w:tabs>
        <w:spacing w:line="360" w:lineRule="auto"/>
        <w:rPr>
          <w:color w:val="000000"/>
          <w:sz w:val="26"/>
          <w:szCs w:val="26"/>
        </w:rPr>
      </w:pPr>
      <w:r w:rsidRPr="00A05F32">
        <w:rPr>
          <w:color w:val="000000"/>
          <w:sz w:val="26"/>
          <w:szCs w:val="26"/>
        </w:rPr>
        <w:t>ORDE</w:t>
      </w:r>
      <w:r w:rsidR="001A3ED9" w:rsidRPr="00A05F32">
        <w:rPr>
          <w:color w:val="000000"/>
          <w:sz w:val="26"/>
          <w:szCs w:val="26"/>
        </w:rPr>
        <w:t>R ENTERED</w:t>
      </w:r>
      <w:r w:rsidR="003A5456" w:rsidRPr="00A05F32">
        <w:rPr>
          <w:color w:val="000000"/>
          <w:sz w:val="26"/>
          <w:szCs w:val="26"/>
        </w:rPr>
        <w:t>:</w:t>
      </w:r>
      <w:r w:rsidR="00FF3EF7" w:rsidRPr="00A05F32">
        <w:rPr>
          <w:color w:val="000000"/>
          <w:sz w:val="26"/>
          <w:szCs w:val="26"/>
        </w:rPr>
        <w:t xml:space="preserve">  </w:t>
      </w:r>
      <w:r w:rsidR="000C2AC4">
        <w:rPr>
          <w:color w:val="000000"/>
          <w:sz w:val="26"/>
          <w:szCs w:val="26"/>
        </w:rPr>
        <w:t>March 15, 2018</w:t>
      </w:r>
      <w:bookmarkStart w:id="0" w:name="_GoBack"/>
      <w:bookmarkEnd w:id="0"/>
    </w:p>
    <w:sectPr w:rsidR="0040590D" w:rsidRPr="0045526C" w:rsidSect="00B60F9D">
      <w:footerReference w:type="even" r:id="rId9"/>
      <w:footerReference w:type="default" r:id="rId10"/>
      <w:pgSz w:w="12240" w:h="15840" w:code="1"/>
      <w:pgMar w:top="1440" w:right="1440" w:bottom="129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16386" w14:textId="77777777" w:rsidR="00F05E1D" w:rsidRDefault="00F05E1D">
      <w:r>
        <w:separator/>
      </w:r>
    </w:p>
  </w:endnote>
  <w:endnote w:type="continuationSeparator" w:id="0">
    <w:p w14:paraId="164F1228" w14:textId="77777777" w:rsidR="00F05E1D" w:rsidRDefault="00F0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2BAC9" w14:textId="77777777" w:rsidR="00BF6619" w:rsidRDefault="00BF6619" w:rsidP="00536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E49F78" w14:textId="77777777" w:rsidR="00BF6619" w:rsidRDefault="00BF6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77F48" w14:textId="30D62078" w:rsidR="00BF6619" w:rsidRPr="00A05F32" w:rsidRDefault="00BF6619" w:rsidP="00536787">
    <w:pPr>
      <w:pStyle w:val="Footer"/>
      <w:framePr w:wrap="around" w:vAnchor="text" w:hAnchor="margin" w:xAlign="center" w:y="1"/>
      <w:rPr>
        <w:rStyle w:val="PageNumber"/>
        <w:color w:val="000000"/>
      </w:rPr>
    </w:pPr>
    <w:r w:rsidRPr="00A05F32">
      <w:rPr>
        <w:rStyle w:val="PageNumber"/>
        <w:color w:val="000000"/>
      </w:rPr>
      <w:fldChar w:fldCharType="begin"/>
    </w:r>
    <w:r w:rsidRPr="00A05F32">
      <w:rPr>
        <w:rStyle w:val="PageNumber"/>
        <w:color w:val="000000"/>
      </w:rPr>
      <w:instrText xml:space="preserve">PAGE  </w:instrText>
    </w:r>
    <w:r w:rsidRPr="00A05F32">
      <w:rPr>
        <w:rStyle w:val="PageNumber"/>
        <w:color w:val="000000"/>
      </w:rPr>
      <w:fldChar w:fldCharType="separate"/>
    </w:r>
    <w:r w:rsidR="00895415">
      <w:rPr>
        <w:rStyle w:val="PageNumber"/>
        <w:noProof/>
        <w:color w:val="000000"/>
      </w:rPr>
      <w:t>6</w:t>
    </w:r>
    <w:r w:rsidRPr="00A05F32">
      <w:rPr>
        <w:rStyle w:val="PageNumber"/>
        <w:color w:val="000000"/>
      </w:rPr>
      <w:fldChar w:fldCharType="end"/>
    </w:r>
  </w:p>
  <w:p w14:paraId="3EFACD71" w14:textId="77777777" w:rsidR="00BF6619" w:rsidRPr="00A05F32" w:rsidRDefault="00BF6619" w:rsidP="005754EE">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9E34C" w14:textId="77777777" w:rsidR="00F05E1D" w:rsidRPr="00014F2B" w:rsidRDefault="00F05E1D">
      <w:pPr>
        <w:rPr>
          <w:color w:val="000000"/>
        </w:rPr>
      </w:pPr>
      <w:r w:rsidRPr="00014F2B">
        <w:rPr>
          <w:color w:val="000000"/>
        </w:rPr>
        <w:separator/>
      </w:r>
    </w:p>
  </w:footnote>
  <w:footnote w:type="continuationSeparator" w:id="0">
    <w:p w14:paraId="548529E4" w14:textId="77777777" w:rsidR="00F05E1D" w:rsidRDefault="00F05E1D">
      <w:r>
        <w:continuationSeparator/>
      </w:r>
    </w:p>
  </w:footnote>
  <w:footnote w:id="1">
    <w:p w14:paraId="105A4806" w14:textId="77777777" w:rsidR="00BF6619" w:rsidRPr="00DD1C3A" w:rsidRDefault="00BF6619" w:rsidP="00DD1C3A">
      <w:pPr>
        <w:pStyle w:val="FootnoteText"/>
        <w:spacing w:after="120"/>
      </w:pPr>
      <w:r w:rsidRPr="00DD1C3A">
        <w:rPr>
          <w:rStyle w:val="FootnoteReference"/>
          <w:color w:val="000000" w:themeColor="text1"/>
        </w:rPr>
        <w:footnoteRef/>
      </w:r>
      <w:r w:rsidRPr="00DD1C3A">
        <w:rPr>
          <w:color w:val="000000" w:themeColor="text1"/>
        </w:rPr>
        <w:t xml:space="preserve"> </w:t>
      </w:r>
      <w:r w:rsidRPr="00653032">
        <w:rPr>
          <w:i/>
          <w:color w:val="000000" w:themeColor="text1"/>
        </w:rPr>
        <w:t xml:space="preserve">See </w:t>
      </w:r>
      <w:r w:rsidRPr="00DD1C3A">
        <w:rPr>
          <w:i/>
          <w:color w:val="000000" w:themeColor="text1"/>
        </w:rPr>
        <w:t>Petition for Amended Alternative Regulation and Network Modernization Plan of Commonwealth Telephone Company</w:t>
      </w:r>
      <w:r w:rsidRPr="00DD1C3A">
        <w:rPr>
          <w:color w:val="000000" w:themeColor="text1"/>
        </w:rPr>
        <w:t>, Docket No. P-00961024F1000 (Order entered March 3, 2005).</w:t>
      </w:r>
    </w:p>
  </w:footnote>
  <w:footnote w:id="2">
    <w:p w14:paraId="7289B7C3" w14:textId="77777777" w:rsidR="00BF6619" w:rsidRPr="00DD1C3A" w:rsidRDefault="00BF6619" w:rsidP="00AE26E9">
      <w:pPr>
        <w:pStyle w:val="FootnoteText"/>
        <w:rPr>
          <w:color w:val="000000" w:themeColor="text1"/>
        </w:rPr>
      </w:pPr>
      <w:r w:rsidRPr="00DD1C3A">
        <w:rPr>
          <w:rStyle w:val="FootnoteReference"/>
          <w:color w:val="000000" w:themeColor="text1"/>
        </w:rPr>
        <w:footnoteRef/>
      </w:r>
      <w:r w:rsidRPr="00DD1C3A">
        <w:rPr>
          <w:color w:val="000000" w:themeColor="text1"/>
        </w:rPr>
        <w:t xml:space="preserve"> Act 67 of 1993, P.L. 456 (66 Pa. C.S. §§ 3001</w:t>
      </w:r>
      <w:r w:rsidRPr="00DD1C3A">
        <w:rPr>
          <w:color w:val="000000" w:themeColor="text1"/>
        </w:rPr>
        <w:noBreakHyphen/>
        <w:t xml:space="preserve">3009) replaced by Act 183 of 2004, P.L. 1398 </w:t>
      </w:r>
    </w:p>
    <w:p w14:paraId="285BACC7" w14:textId="77777777" w:rsidR="00BF6619" w:rsidRPr="00DD1C3A" w:rsidRDefault="00BF6619" w:rsidP="00AE26E9">
      <w:pPr>
        <w:pStyle w:val="FootnoteText"/>
        <w:rPr>
          <w:color w:val="000000" w:themeColor="text1"/>
        </w:rPr>
      </w:pPr>
      <w:r w:rsidRPr="00DD1C3A">
        <w:rPr>
          <w:color w:val="000000" w:themeColor="text1"/>
        </w:rPr>
        <w:t>(66 Pa. C.S. §§ 3011-3019).</w:t>
      </w:r>
    </w:p>
    <w:p w14:paraId="6000085C" w14:textId="77777777" w:rsidR="00BF6619" w:rsidRPr="00826A35" w:rsidRDefault="00BF6619" w:rsidP="00AE26E9">
      <w:pPr>
        <w:pStyle w:val="FootnoteText"/>
        <w:rPr>
          <w:sz w:val="22"/>
          <w:szCs w:val="22"/>
        </w:rPr>
      </w:pPr>
    </w:p>
  </w:footnote>
  <w:footnote w:id="3">
    <w:p w14:paraId="7C4DA8DB" w14:textId="77777777" w:rsidR="00BF6619" w:rsidRPr="00C21B36" w:rsidRDefault="00BF6619" w:rsidP="00C21B36">
      <w:r w:rsidRPr="00C21B36">
        <w:rPr>
          <w:rStyle w:val="FootnoteReference"/>
          <w:color w:val="000000" w:themeColor="text1"/>
          <w:sz w:val="20"/>
        </w:rPr>
        <w:footnoteRef/>
      </w:r>
      <w:r w:rsidRPr="00C21B36">
        <w:rPr>
          <w:rStyle w:val="FootnoteReference"/>
          <w:color w:val="000000" w:themeColor="text1"/>
          <w:sz w:val="20"/>
        </w:rPr>
        <w:t xml:space="preserve"> </w:t>
      </w:r>
      <w:r w:rsidRPr="00C21B36">
        <w:rPr>
          <w:i/>
          <w:color w:val="000000" w:themeColor="text1"/>
          <w:sz w:val="20"/>
        </w:rPr>
        <w:t>See</w:t>
      </w:r>
      <w:r>
        <w:rPr>
          <w:color w:val="000000" w:themeColor="text1"/>
          <w:sz w:val="20"/>
        </w:rPr>
        <w:t xml:space="preserve"> Docket Numbers</w:t>
      </w:r>
      <w:r w:rsidRPr="00C21B36">
        <w:rPr>
          <w:color w:val="000000" w:themeColor="text1"/>
          <w:sz w:val="20"/>
        </w:rPr>
        <w:t xml:space="preserve"> R-2015-2501253</w:t>
      </w:r>
      <w:r>
        <w:rPr>
          <w:color w:val="000000" w:themeColor="text1"/>
          <w:sz w:val="20"/>
        </w:rPr>
        <w:t xml:space="preserve"> &amp; R-2016-2564103</w:t>
      </w:r>
      <w:r w:rsidRPr="00C21B36">
        <w:rPr>
          <w:color w:val="000000" w:themeColor="text1"/>
          <w:sz w:val="20"/>
        </w:rPr>
        <w:t>, Secretarial Letter</w:t>
      </w:r>
      <w:r>
        <w:rPr>
          <w:color w:val="000000" w:themeColor="text1"/>
          <w:sz w:val="20"/>
        </w:rPr>
        <w:t>s</w:t>
      </w:r>
      <w:r w:rsidRPr="00C21B36">
        <w:rPr>
          <w:color w:val="000000" w:themeColor="text1"/>
          <w:sz w:val="20"/>
        </w:rPr>
        <w:t xml:space="preserve"> issued September 4, 2015</w:t>
      </w:r>
      <w:r>
        <w:rPr>
          <w:color w:val="000000" w:themeColor="text1"/>
          <w:sz w:val="20"/>
        </w:rPr>
        <w:t xml:space="preserve"> and January 4, 2017, respectively</w:t>
      </w:r>
      <w:r w:rsidRPr="00C21B36">
        <w:rPr>
          <w:color w:val="000000" w:themeColor="text1"/>
          <w:sz w:val="20"/>
        </w:rPr>
        <w:t>.</w:t>
      </w:r>
    </w:p>
  </w:footnote>
  <w:footnote w:id="4">
    <w:p w14:paraId="52FBB164" w14:textId="74F942C6" w:rsidR="00D23D48" w:rsidRDefault="00D23D48">
      <w:pPr>
        <w:pStyle w:val="FootnoteText"/>
      </w:pPr>
      <w:r w:rsidRPr="0063153F">
        <w:rPr>
          <w:rStyle w:val="FootnoteReference"/>
          <w:color w:val="auto"/>
        </w:rPr>
        <w:footnoteRef/>
      </w:r>
      <w:r w:rsidRPr="0063153F">
        <w:rPr>
          <w:color w:val="auto"/>
        </w:rPr>
        <w:t xml:space="preserve"> </w:t>
      </w:r>
      <w:r w:rsidR="00A23631" w:rsidRPr="0063153F">
        <w:rPr>
          <w:color w:val="auto"/>
        </w:rPr>
        <w:t xml:space="preserve">Pursuant to the Company’s Chapter 30 Plan, unused banked amounts expire after a four-year banking period. </w:t>
      </w:r>
      <w:r w:rsidR="00D11AEA" w:rsidRPr="0063153F">
        <w:rPr>
          <w:color w:val="auto"/>
        </w:rPr>
        <w:t xml:space="preserve">The Company </w:t>
      </w:r>
      <w:r w:rsidR="00D2399A" w:rsidRPr="0063153F">
        <w:rPr>
          <w:color w:val="auto"/>
        </w:rPr>
        <w:t>with</w:t>
      </w:r>
      <w:r w:rsidR="00D11AEA" w:rsidRPr="0063153F">
        <w:rPr>
          <w:color w:val="auto"/>
        </w:rPr>
        <w:t>drew this reduction from its 2014 PSI period</w:t>
      </w:r>
      <w:r w:rsidR="00EB48C8" w:rsidRPr="0063153F">
        <w:rPr>
          <w:color w:val="auto"/>
        </w:rPr>
        <w:t>, even though the Company was permitted</w:t>
      </w:r>
      <w:r w:rsidR="00D11AEA" w:rsidRPr="0063153F">
        <w:rPr>
          <w:color w:val="auto"/>
        </w:rPr>
        <w:t xml:space="preserve"> </w:t>
      </w:r>
      <w:r w:rsidR="00EB48C8" w:rsidRPr="0063153F">
        <w:rPr>
          <w:color w:val="auto"/>
        </w:rPr>
        <w:t xml:space="preserve">to </w:t>
      </w:r>
      <w:r w:rsidR="0096215E" w:rsidRPr="0063153F">
        <w:rPr>
          <w:color w:val="auto"/>
        </w:rPr>
        <w:t>with</w:t>
      </w:r>
      <w:r w:rsidR="00EB48C8" w:rsidRPr="0063153F">
        <w:rPr>
          <w:color w:val="auto"/>
        </w:rPr>
        <w:t>draw</w:t>
      </w:r>
      <w:r w:rsidR="00E873F9" w:rsidRPr="0063153F">
        <w:rPr>
          <w:color w:val="auto"/>
        </w:rPr>
        <w:t xml:space="preserve"> it</w:t>
      </w:r>
      <w:r w:rsidR="00EB48C8" w:rsidRPr="0063153F">
        <w:rPr>
          <w:color w:val="auto"/>
        </w:rPr>
        <w:t xml:space="preserve"> from the 2013 PSI period as per</w:t>
      </w:r>
      <w:r w:rsidR="00D11AEA" w:rsidRPr="0063153F">
        <w:rPr>
          <w:color w:val="auto"/>
        </w:rPr>
        <w:t xml:space="preserve"> the Commission</w:t>
      </w:r>
      <w:r w:rsidR="00EB48C8" w:rsidRPr="0063153F">
        <w:rPr>
          <w:color w:val="auto"/>
        </w:rPr>
        <w:t xml:space="preserve">’s </w:t>
      </w:r>
      <w:r w:rsidR="00D11AEA" w:rsidRPr="0063153F">
        <w:rPr>
          <w:color w:val="auto"/>
        </w:rPr>
        <w:t>Order entered on March 16, 2017</w:t>
      </w:r>
      <w:r w:rsidR="0096215E" w:rsidRPr="0063153F">
        <w:rPr>
          <w:color w:val="auto"/>
        </w:rPr>
        <w:t>,</w:t>
      </w:r>
      <w:r w:rsidR="00D11AEA" w:rsidRPr="0063153F">
        <w:rPr>
          <w:color w:val="auto"/>
        </w:rPr>
        <w:t xml:space="preserve"> at Docket Nos. R-2017-2584549, et al. adjudicating the Company’s 2017 PSI/SPI filing.  </w:t>
      </w:r>
      <w:r w:rsidR="00EA7E18" w:rsidRPr="0063153F">
        <w:rPr>
          <w:color w:val="auto"/>
        </w:rPr>
        <w:t>In any event, b</w:t>
      </w:r>
      <w:r w:rsidR="00D11AEA" w:rsidRPr="0063153F">
        <w:rPr>
          <w:color w:val="auto"/>
        </w:rPr>
        <w:t xml:space="preserve">oth </w:t>
      </w:r>
      <w:r w:rsidRPr="0063153F">
        <w:rPr>
          <w:color w:val="auto"/>
        </w:rPr>
        <w:t>reductions total $460,608 and reduce the banked amounts remaining from the Company’s 2014 PSI period from $1,018,374 to $557,766.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19F43A1"/>
    <w:multiLevelType w:val="hybridMultilevel"/>
    <w:tmpl w:val="13EA519A"/>
    <w:lvl w:ilvl="0" w:tplc="348075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954DCD"/>
    <w:multiLevelType w:val="hybridMultilevel"/>
    <w:tmpl w:val="A4025CD8"/>
    <w:lvl w:ilvl="0" w:tplc="2CC603FE">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7EF6150"/>
    <w:multiLevelType w:val="hybridMultilevel"/>
    <w:tmpl w:val="77D0DA02"/>
    <w:lvl w:ilvl="0" w:tplc="060C4538">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F20D24"/>
    <w:multiLevelType w:val="hybridMultilevel"/>
    <w:tmpl w:val="E2FA3AE6"/>
    <w:lvl w:ilvl="0" w:tplc="991E8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BE5EE6"/>
    <w:multiLevelType w:val="hybridMultilevel"/>
    <w:tmpl w:val="D7F45DD8"/>
    <w:lvl w:ilvl="0" w:tplc="80D85318">
      <w:numFmt w:val="bullet"/>
      <w:lvlText w:val=""/>
      <w:lvlJc w:val="left"/>
      <w:pPr>
        <w:tabs>
          <w:tab w:val="num" w:pos="1728"/>
        </w:tabs>
        <w:ind w:left="1728" w:hanging="288"/>
      </w:pPr>
      <w:rPr>
        <w:rFonts w:ascii="Symbol" w:hAnsi="Symbol" w:hint="default"/>
        <w:b w:val="0"/>
        <w:i w:val="0"/>
        <w:color w:val="000000"/>
        <w:sz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99E52B0"/>
    <w:multiLevelType w:val="hybridMultilevel"/>
    <w:tmpl w:val="7CE018CA"/>
    <w:lvl w:ilvl="0" w:tplc="C2909ACE">
      <w:start w:val="3"/>
      <w:numFmt w:val="lowerRoman"/>
      <w:lvlText w:val="%1."/>
      <w:lvlJc w:val="left"/>
      <w:pPr>
        <w:tabs>
          <w:tab w:val="num" w:pos="2250"/>
        </w:tabs>
        <w:ind w:left="2250" w:hanging="72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7" w15:restartNumberingAfterBreak="0">
    <w:nsid w:val="305D2CE1"/>
    <w:multiLevelType w:val="hybridMultilevel"/>
    <w:tmpl w:val="C9066A10"/>
    <w:lvl w:ilvl="0" w:tplc="4CB676E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6E3A14"/>
    <w:multiLevelType w:val="hybridMultilevel"/>
    <w:tmpl w:val="7CC6431C"/>
    <w:lvl w:ilvl="0" w:tplc="A1BE893E">
      <w:start w:val="4"/>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475421"/>
    <w:multiLevelType w:val="hybridMultilevel"/>
    <w:tmpl w:val="05FC0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11" w15:restartNumberingAfterBreak="0">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15:restartNumberingAfterBreak="0">
    <w:nsid w:val="5AF2345C"/>
    <w:multiLevelType w:val="hybridMultilevel"/>
    <w:tmpl w:val="4306B962"/>
    <w:lvl w:ilvl="0" w:tplc="1068B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3E4C5E"/>
    <w:multiLevelType w:val="hybridMultilevel"/>
    <w:tmpl w:val="64AA291C"/>
    <w:lvl w:ilvl="0" w:tplc="569034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11"/>
  </w:num>
  <w:num w:numId="3">
    <w:abstractNumId w:val="10"/>
  </w:num>
  <w:num w:numId="4">
    <w:abstractNumId w:val="14"/>
  </w:num>
  <w:num w:numId="5">
    <w:abstractNumId w:val="3"/>
  </w:num>
  <w:num w:numId="6">
    <w:abstractNumId w:val="2"/>
  </w:num>
  <w:num w:numId="7">
    <w:abstractNumId w:val="6"/>
  </w:num>
  <w:num w:numId="8">
    <w:abstractNumId w:val="7"/>
  </w:num>
  <w:num w:numId="9">
    <w:abstractNumId w:val="8"/>
  </w:num>
  <w:num w:numId="10">
    <w:abstractNumId w:val="5"/>
  </w:num>
  <w:num w:numId="11">
    <w:abstractNumId w:val="12"/>
  </w:num>
  <w:num w:numId="12">
    <w:abstractNumId w:val="4"/>
  </w:num>
  <w:num w:numId="13">
    <w:abstractNumId w:val="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BB"/>
    <w:rsid w:val="00014F2B"/>
    <w:rsid w:val="00020D91"/>
    <w:rsid w:val="00021254"/>
    <w:rsid w:val="00030873"/>
    <w:rsid w:val="00030AD5"/>
    <w:rsid w:val="000452EB"/>
    <w:rsid w:val="00047A5C"/>
    <w:rsid w:val="00051AE1"/>
    <w:rsid w:val="00052ADD"/>
    <w:rsid w:val="000552D0"/>
    <w:rsid w:val="00055826"/>
    <w:rsid w:val="000602B3"/>
    <w:rsid w:val="00065987"/>
    <w:rsid w:val="000672A5"/>
    <w:rsid w:val="00070E36"/>
    <w:rsid w:val="00073D48"/>
    <w:rsid w:val="00075388"/>
    <w:rsid w:val="00075A8A"/>
    <w:rsid w:val="00076C0F"/>
    <w:rsid w:val="00091554"/>
    <w:rsid w:val="000918CB"/>
    <w:rsid w:val="00092FE0"/>
    <w:rsid w:val="0009437F"/>
    <w:rsid w:val="00095C62"/>
    <w:rsid w:val="00096E51"/>
    <w:rsid w:val="000A4F7F"/>
    <w:rsid w:val="000A6320"/>
    <w:rsid w:val="000B44AF"/>
    <w:rsid w:val="000B5D39"/>
    <w:rsid w:val="000B7E27"/>
    <w:rsid w:val="000C2AC4"/>
    <w:rsid w:val="000C34B8"/>
    <w:rsid w:val="000C5354"/>
    <w:rsid w:val="000D1D57"/>
    <w:rsid w:val="000D1DB0"/>
    <w:rsid w:val="000D559B"/>
    <w:rsid w:val="000E2577"/>
    <w:rsid w:val="000F3620"/>
    <w:rsid w:val="000F431D"/>
    <w:rsid w:val="00102317"/>
    <w:rsid w:val="001067E9"/>
    <w:rsid w:val="00106AF5"/>
    <w:rsid w:val="0011062C"/>
    <w:rsid w:val="00110E6C"/>
    <w:rsid w:val="00110FA6"/>
    <w:rsid w:val="00111839"/>
    <w:rsid w:val="00117EB4"/>
    <w:rsid w:val="00117EFD"/>
    <w:rsid w:val="00120E17"/>
    <w:rsid w:val="001210B5"/>
    <w:rsid w:val="001225BD"/>
    <w:rsid w:val="00123960"/>
    <w:rsid w:val="00124C56"/>
    <w:rsid w:val="00127AF1"/>
    <w:rsid w:val="00133BE1"/>
    <w:rsid w:val="00134534"/>
    <w:rsid w:val="001408BB"/>
    <w:rsid w:val="001426AA"/>
    <w:rsid w:val="001434B8"/>
    <w:rsid w:val="00143556"/>
    <w:rsid w:val="001464E7"/>
    <w:rsid w:val="00146F08"/>
    <w:rsid w:val="00147AB2"/>
    <w:rsid w:val="00151366"/>
    <w:rsid w:val="00152B43"/>
    <w:rsid w:val="00153E30"/>
    <w:rsid w:val="0015408B"/>
    <w:rsid w:val="00162DF7"/>
    <w:rsid w:val="00166486"/>
    <w:rsid w:val="001674E8"/>
    <w:rsid w:val="00171851"/>
    <w:rsid w:val="00181290"/>
    <w:rsid w:val="00185651"/>
    <w:rsid w:val="00186B99"/>
    <w:rsid w:val="00191287"/>
    <w:rsid w:val="0019489E"/>
    <w:rsid w:val="001A0918"/>
    <w:rsid w:val="001A3ED9"/>
    <w:rsid w:val="001A5570"/>
    <w:rsid w:val="001A5B48"/>
    <w:rsid w:val="001B0333"/>
    <w:rsid w:val="001B1A60"/>
    <w:rsid w:val="001B35AF"/>
    <w:rsid w:val="001B6FB8"/>
    <w:rsid w:val="001C2804"/>
    <w:rsid w:val="001C2FD9"/>
    <w:rsid w:val="001C6F3A"/>
    <w:rsid w:val="001D0FBE"/>
    <w:rsid w:val="001D193C"/>
    <w:rsid w:val="001D27C8"/>
    <w:rsid w:val="001D32C6"/>
    <w:rsid w:val="001D379B"/>
    <w:rsid w:val="001D4548"/>
    <w:rsid w:val="001D6FDB"/>
    <w:rsid w:val="001E1CFA"/>
    <w:rsid w:val="001E67DB"/>
    <w:rsid w:val="001F0F0B"/>
    <w:rsid w:val="001F286F"/>
    <w:rsid w:val="001F3805"/>
    <w:rsid w:val="001F4FD9"/>
    <w:rsid w:val="001F5943"/>
    <w:rsid w:val="002041EC"/>
    <w:rsid w:val="00204784"/>
    <w:rsid w:val="00206AF3"/>
    <w:rsid w:val="00217678"/>
    <w:rsid w:val="00217D01"/>
    <w:rsid w:val="00223089"/>
    <w:rsid w:val="00224879"/>
    <w:rsid w:val="0023229D"/>
    <w:rsid w:val="002367E9"/>
    <w:rsid w:val="002412C9"/>
    <w:rsid w:val="0024370B"/>
    <w:rsid w:val="00252603"/>
    <w:rsid w:val="002526D1"/>
    <w:rsid w:val="00255B65"/>
    <w:rsid w:val="00257D8D"/>
    <w:rsid w:val="002607FB"/>
    <w:rsid w:val="00262824"/>
    <w:rsid w:val="00264DD1"/>
    <w:rsid w:val="00265290"/>
    <w:rsid w:val="00273D16"/>
    <w:rsid w:val="002757B4"/>
    <w:rsid w:val="00282418"/>
    <w:rsid w:val="0028553B"/>
    <w:rsid w:val="00290614"/>
    <w:rsid w:val="00290D88"/>
    <w:rsid w:val="0029336F"/>
    <w:rsid w:val="002933BD"/>
    <w:rsid w:val="002951BC"/>
    <w:rsid w:val="002A1802"/>
    <w:rsid w:val="002A3C17"/>
    <w:rsid w:val="002B0146"/>
    <w:rsid w:val="002C3CD9"/>
    <w:rsid w:val="002C4079"/>
    <w:rsid w:val="002C48A5"/>
    <w:rsid w:val="002C672C"/>
    <w:rsid w:val="002C752B"/>
    <w:rsid w:val="002D4D34"/>
    <w:rsid w:val="002E4081"/>
    <w:rsid w:val="002E4366"/>
    <w:rsid w:val="002E4F4F"/>
    <w:rsid w:val="002E5720"/>
    <w:rsid w:val="002E7B80"/>
    <w:rsid w:val="002F1CB0"/>
    <w:rsid w:val="002F2A24"/>
    <w:rsid w:val="002F4031"/>
    <w:rsid w:val="002F5E67"/>
    <w:rsid w:val="002F7088"/>
    <w:rsid w:val="00302029"/>
    <w:rsid w:val="0030244B"/>
    <w:rsid w:val="003047C7"/>
    <w:rsid w:val="00310215"/>
    <w:rsid w:val="00313E12"/>
    <w:rsid w:val="00314586"/>
    <w:rsid w:val="00314AC5"/>
    <w:rsid w:val="003228D7"/>
    <w:rsid w:val="0032299E"/>
    <w:rsid w:val="00325275"/>
    <w:rsid w:val="00327D24"/>
    <w:rsid w:val="00330E8B"/>
    <w:rsid w:val="00332F96"/>
    <w:rsid w:val="00333D4F"/>
    <w:rsid w:val="00335318"/>
    <w:rsid w:val="00336D22"/>
    <w:rsid w:val="00342FE2"/>
    <w:rsid w:val="00350453"/>
    <w:rsid w:val="0035685F"/>
    <w:rsid w:val="00362B62"/>
    <w:rsid w:val="00366F1C"/>
    <w:rsid w:val="0036702E"/>
    <w:rsid w:val="0037453A"/>
    <w:rsid w:val="003801D9"/>
    <w:rsid w:val="00382581"/>
    <w:rsid w:val="0038393E"/>
    <w:rsid w:val="00383B4E"/>
    <w:rsid w:val="00383B59"/>
    <w:rsid w:val="003909C8"/>
    <w:rsid w:val="0039736C"/>
    <w:rsid w:val="003A5456"/>
    <w:rsid w:val="003A7044"/>
    <w:rsid w:val="003A768F"/>
    <w:rsid w:val="003B05E8"/>
    <w:rsid w:val="003C02C5"/>
    <w:rsid w:val="003C09AC"/>
    <w:rsid w:val="003C23A5"/>
    <w:rsid w:val="003C2400"/>
    <w:rsid w:val="003C2EEF"/>
    <w:rsid w:val="003C35B8"/>
    <w:rsid w:val="003C4E6C"/>
    <w:rsid w:val="003C5172"/>
    <w:rsid w:val="003C6F92"/>
    <w:rsid w:val="003D3DA4"/>
    <w:rsid w:val="003D3F17"/>
    <w:rsid w:val="003D5BA1"/>
    <w:rsid w:val="003E4555"/>
    <w:rsid w:val="003E72EA"/>
    <w:rsid w:val="003E7558"/>
    <w:rsid w:val="003F0018"/>
    <w:rsid w:val="004016C3"/>
    <w:rsid w:val="004018D5"/>
    <w:rsid w:val="004053D7"/>
    <w:rsid w:val="0040590D"/>
    <w:rsid w:val="00416881"/>
    <w:rsid w:val="00417530"/>
    <w:rsid w:val="00421E0A"/>
    <w:rsid w:val="00422C20"/>
    <w:rsid w:val="00425010"/>
    <w:rsid w:val="0042748F"/>
    <w:rsid w:val="004335FD"/>
    <w:rsid w:val="00442C90"/>
    <w:rsid w:val="00442FB3"/>
    <w:rsid w:val="0044315E"/>
    <w:rsid w:val="0044373D"/>
    <w:rsid w:val="004505C3"/>
    <w:rsid w:val="00451C97"/>
    <w:rsid w:val="00454256"/>
    <w:rsid w:val="0045526C"/>
    <w:rsid w:val="00455EAD"/>
    <w:rsid w:val="0046101E"/>
    <w:rsid w:val="00463DAB"/>
    <w:rsid w:val="00466BC8"/>
    <w:rsid w:val="00466E8F"/>
    <w:rsid w:val="00475F57"/>
    <w:rsid w:val="00486CAD"/>
    <w:rsid w:val="004A51EB"/>
    <w:rsid w:val="004A6A15"/>
    <w:rsid w:val="004A6EFA"/>
    <w:rsid w:val="004B1CF7"/>
    <w:rsid w:val="004B21FE"/>
    <w:rsid w:val="004B231F"/>
    <w:rsid w:val="004B357F"/>
    <w:rsid w:val="004B40B2"/>
    <w:rsid w:val="004C3136"/>
    <w:rsid w:val="004C57D0"/>
    <w:rsid w:val="004C5D71"/>
    <w:rsid w:val="004D1E3D"/>
    <w:rsid w:val="004D288D"/>
    <w:rsid w:val="004D4BA4"/>
    <w:rsid w:val="004D7D30"/>
    <w:rsid w:val="004E0F1E"/>
    <w:rsid w:val="004E781A"/>
    <w:rsid w:val="004F1A01"/>
    <w:rsid w:val="004F301C"/>
    <w:rsid w:val="004F522F"/>
    <w:rsid w:val="004F61E5"/>
    <w:rsid w:val="00501F5B"/>
    <w:rsid w:val="0050239E"/>
    <w:rsid w:val="00502B29"/>
    <w:rsid w:val="0050502A"/>
    <w:rsid w:val="00511F0E"/>
    <w:rsid w:val="00512948"/>
    <w:rsid w:val="00512F59"/>
    <w:rsid w:val="005202F7"/>
    <w:rsid w:val="005324FD"/>
    <w:rsid w:val="00533FD3"/>
    <w:rsid w:val="00535367"/>
    <w:rsid w:val="0053658B"/>
    <w:rsid w:val="00536787"/>
    <w:rsid w:val="00537F09"/>
    <w:rsid w:val="005503ED"/>
    <w:rsid w:val="0055128D"/>
    <w:rsid w:val="005515DB"/>
    <w:rsid w:val="0055182B"/>
    <w:rsid w:val="00554FF8"/>
    <w:rsid w:val="0056204D"/>
    <w:rsid w:val="00562440"/>
    <w:rsid w:val="005643BF"/>
    <w:rsid w:val="00564729"/>
    <w:rsid w:val="0056785C"/>
    <w:rsid w:val="00567FA7"/>
    <w:rsid w:val="00570623"/>
    <w:rsid w:val="00571A2E"/>
    <w:rsid w:val="005754EE"/>
    <w:rsid w:val="00576EC4"/>
    <w:rsid w:val="00577268"/>
    <w:rsid w:val="00584ED6"/>
    <w:rsid w:val="00585DDC"/>
    <w:rsid w:val="00590306"/>
    <w:rsid w:val="00591D9C"/>
    <w:rsid w:val="0059512E"/>
    <w:rsid w:val="0059571A"/>
    <w:rsid w:val="00597E2A"/>
    <w:rsid w:val="005A2323"/>
    <w:rsid w:val="005A337F"/>
    <w:rsid w:val="005A7837"/>
    <w:rsid w:val="005B2E37"/>
    <w:rsid w:val="005B47E2"/>
    <w:rsid w:val="005B4838"/>
    <w:rsid w:val="005C2DD0"/>
    <w:rsid w:val="005D05CC"/>
    <w:rsid w:val="005D54D3"/>
    <w:rsid w:val="005D71B6"/>
    <w:rsid w:val="005E183C"/>
    <w:rsid w:val="005E1F34"/>
    <w:rsid w:val="005F28F5"/>
    <w:rsid w:val="005F6B97"/>
    <w:rsid w:val="005F74CC"/>
    <w:rsid w:val="00602457"/>
    <w:rsid w:val="00602F3C"/>
    <w:rsid w:val="00604AED"/>
    <w:rsid w:val="00605460"/>
    <w:rsid w:val="00605947"/>
    <w:rsid w:val="00610145"/>
    <w:rsid w:val="00614BBC"/>
    <w:rsid w:val="00615EAC"/>
    <w:rsid w:val="00620479"/>
    <w:rsid w:val="006204D3"/>
    <w:rsid w:val="006207AB"/>
    <w:rsid w:val="006233DE"/>
    <w:rsid w:val="00625D45"/>
    <w:rsid w:val="0063153F"/>
    <w:rsid w:val="006341CB"/>
    <w:rsid w:val="006376FF"/>
    <w:rsid w:val="00637E81"/>
    <w:rsid w:val="0064011F"/>
    <w:rsid w:val="006503C9"/>
    <w:rsid w:val="00650A6C"/>
    <w:rsid w:val="00653032"/>
    <w:rsid w:val="00653AB0"/>
    <w:rsid w:val="0065690E"/>
    <w:rsid w:val="00670A94"/>
    <w:rsid w:val="00675714"/>
    <w:rsid w:val="00677ACA"/>
    <w:rsid w:val="00682F26"/>
    <w:rsid w:val="00686E9B"/>
    <w:rsid w:val="00687738"/>
    <w:rsid w:val="00694DE5"/>
    <w:rsid w:val="00695ED6"/>
    <w:rsid w:val="00697160"/>
    <w:rsid w:val="006A4E1B"/>
    <w:rsid w:val="006A572B"/>
    <w:rsid w:val="006A6AFE"/>
    <w:rsid w:val="006B0F08"/>
    <w:rsid w:val="006C14E4"/>
    <w:rsid w:val="006C1714"/>
    <w:rsid w:val="006C3DD2"/>
    <w:rsid w:val="006D2520"/>
    <w:rsid w:val="006D3C20"/>
    <w:rsid w:val="006D5301"/>
    <w:rsid w:val="006D6218"/>
    <w:rsid w:val="006D64AD"/>
    <w:rsid w:val="006F001E"/>
    <w:rsid w:val="006F19A6"/>
    <w:rsid w:val="006F4DF6"/>
    <w:rsid w:val="006F79D1"/>
    <w:rsid w:val="007001CA"/>
    <w:rsid w:val="00702C48"/>
    <w:rsid w:val="007073A0"/>
    <w:rsid w:val="00710228"/>
    <w:rsid w:val="00713484"/>
    <w:rsid w:val="007141D6"/>
    <w:rsid w:val="00717EB6"/>
    <w:rsid w:val="00722AEA"/>
    <w:rsid w:val="00727FB8"/>
    <w:rsid w:val="00733279"/>
    <w:rsid w:val="00734094"/>
    <w:rsid w:val="00734EE6"/>
    <w:rsid w:val="00740834"/>
    <w:rsid w:val="00741B49"/>
    <w:rsid w:val="00743576"/>
    <w:rsid w:val="00743672"/>
    <w:rsid w:val="00743682"/>
    <w:rsid w:val="007460ED"/>
    <w:rsid w:val="0074628B"/>
    <w:rsid w:val="00746490"/>
    <w:rsid w:val="007470A6"/>
    <w:rsid w:val="00752434"/>
    <w:rsid w:val="007539F1"/>
    <w:rsid w:val="00754B06"/>
    <w:rsid w:val="007603A8"/>
    <w:rsid w:val="00765FEE"/>
    <w:rsid w:val="00766E2A"/>
    <w:rsid w:val="00767395"/>
    <w:rsid w:val="007714CD"/>
    <w:rsid w:val="007728FE"/>
    <w:rsid w:val="0077512A"/>
    <w:rsid w:val="00775973"/>
    <w:rsid w:val="00777689"/>
    <w:rsid w:val="007842BB"/>
    <w:rsid w:val="00786833"/>
    <w:rsid w:val="0079117C"/>
    <w:rsid w:val="0079278F"/>
    <w:rsid w:val="00794263"/>
    <w:rsid w:val="00795433"/>
    <w:rsid w:val="007A05C1"/>
    <w:rsid w:val="007A1B0F"/>
    <w:rsid w:val="007A33E0"/>
    <w:rsid w:val="007A404C"/>
    <w:rsid w:val="007A44A0"/>
    <w:rsid w:val="007B3549"/>
    <w:rsid w:val="007B490C"/>
    <w:rsid w:val="007B5A8D"/>
    <w:rsid w:val="007C35AA"/>
    <w:rsid w:val="007D09F1"/>
    <w:rsid w:val="007E1113"/>
    <w:rsid w:val="007E5469"/>
    <w:rsid w:val="007E5E21"/>
    <w:rsid w:val="007E7ECC"/>
    <w:rsid w:val="007F2066"/>
    <w:rsid w:val="007F236C"/>
    <w:rsid w:val="007F3759"/>
    <w:rsid w:val="007F4BBC"/>
    <w:rsid w:val="007F6AD3"/>
    <w:rsid w:val="00804EBC"/>
    <w:rsid w:val="00805E46"/>
    <w:rsid w:val="0080704D"/>
    <w:rsid w:val="00807535"/>
    <w:rsid w:val="00813B02"/>
    <w:rsid w:val="00816021"/>
    <w:rsid w:val="008166D3"/>
    <w:rsid w:val="00816D74"/>
    <w:rsid w:val="00817887"/>
    <w:rsid w:val="00817D76"/>
    <w:rsid w:val="008208C1"/>
    <w:rsid w:val="00822CFD"/>
    <w:rsid w:val="00822FC7"/>
    <w:rsid w:val="00825255"/>
    <w:rsid w:val="00826A35"/>
    <w:rsid w:val="00826A63"/>
    <w:rsid w:val="0082766D"/>
    <w:rsid w:val="0083477E"/>
    <w:rsid w:val="00837962"/>
    <w:rsid w:val="00837A78"/>
    <w:rsid w:val="00842778"/>
    <w:rsid w:val="008453B2"/>
    <w:rsid w:val="0085027E"/>
    <w:rsid w:val="00854D8B"/>
    <w:rsid w:val="008557A9"/>
    <w:rsid w:val="00857FD1"/>
    <w:rsid w:val="00861A06"/>
    <w:rsid w:val="00866719"/>
    <w:rsid w:val="0087183F"/>
    <w:rsid w:val="00871880"/>
    <w:rsid w:val="00871924"/>
    <w:rsid w:val="0087323C"/>
    <w:rsid w:val="00873F92"/>
    <w:rsid w:val="008776D9"/>
    <w:rsid w:val="00877E48"/>
    <w:rsid w:val="00880B30"/>
    <w:rsid w:val="00884D59"/>
    <w:rsid w:val="00886BB2"/>
    <w:rsid w:val="0088796C"/>
    <w:rsid w:val="008913E4"/>
    <w:rsid w:val="00892936"/>
    <w:rsid w:val="00895415"/>
    <w:rsid w:val="008968D2"/>
    <w:rsid w:val="00897A60"/>
    <w:rsid w:val="008A22CD"/>
    <w:rsid w:val="008A3E3A"/>
    <w:rsid w:val="008A4FA9"/>
    <w:rsid w:val="008A5D03"/>
    <w:rsid w:val="008A79B7"/>
    <w:rsid w:val="008B0596"/>
    <w:rsid w:val="008B4138"/>
    <w:rsid w:val="008C15D9"/>
    <w:rsid w:val="008C2B38"/>
    <w:rsid w:val="008C3353"/>
    <w:rsid w:val="008D50D1"/>
    <w:rsid w:val="008E000F"/>
    <w:rsid w:val="008E350E"/>
    <w:rsid w:val="008F2CB8"/>
    <w:rsid w:val="00900BB5"/>
    <w:rsid w:val="0090256D"/>
    <w:rsid w:val="00910F98"/>
    <w:rsid w:val="0091115B"/>
    <w:rsid w:val="00931059"/>
    <w:rsid w:val="009335E6"/>
    <w:rsid w:val="00933668"/>
    <w:rsid w:val="00933BDC"/>
    <w:rsid w:val="00936709"/>
    <w:rsid w:val="00936D67"/>
    <w:rsid w:val="0093734F"/>
    <w:rsid w:val="009413C4"/>
    <w:rsid w:val="00943424"/>
    <w:rsid w:val="00943934"/>
    <w:rsid w:val="009503C3"/>
    <w:rsid w:val="00950A43"/>
    <w:rsid w:val="00953241"/>
    <w:rsid w:val="00953534"/>
    <w:rsid w:val="00961756"/>
    <w:rsid w:val="00961D1A"/>
    <w:rsid w:val="0096215E"/>
    <w:rsid w:val="009630A2"/>
    <w:rsid w:val="00963E57"/>
    <w:rsid w:val="00964993"/>
    <w:rsid w:val="00965E57"/>
    <w:rsid w:val="00971EAC"/>
    <w:rsid w:val="00972840"/>
    <w:rsid w:val="00973C4D"/>
    <w:rsid w:val="00975DF1"/>
    <w:rsid w:val="00981A18"/>
    <w:rsid w:val="009875C5"/>
    <w:rsid w:val="009933A0"/>
    <w:rsid w:val="009936BA"/>
    <w:rsid w:val="009950AA"/>
    <w:rsid w:val="0099735A"/>
    <w:rsid w:val="009A3FAD"/>
    <w:rsid w:val="009A5FF6"/>
    <w:rsid w:val="009A74D2"/>
    <w:rsid w:val="009B00B7"/>
    <w:rsid w:val="009B0693"/>
    <w:rsid w:val="009B1DBD"/>
    <w:rsid w:val="009B7317"/>
    <w:rsid w:val="009C0431"/>
    <w:rsid w:val="009C0F81"/>
    <w:rsid w:val="009C572A"/>
    <w:rsid w:val="009D3AAC"/>
    <w:rsid w:val="009D7775"/>
    <w:rsid w:val="009E2A7A"/>
    <w:rsid w:val="009E2C53"/>
    <w:rsid w:val="009E30E8"/>
    <w:rsid w:val="009E6813"/>
    <w:rsid w:val="009E788D"/>
    <w:rsid w:val="00A03FD8"/>
    <w:rsid w:val="00A05F32"/>
    <w:rsid w:val="00A11D0E"/>
    <w:rsid w:val="00A123DE"/>
    <w:rsid w:val="00A12A10"/>
    <w:rsid w:val="00A17A41"/>
    <w:rsid w:val="00A2000C"/>
    <w:rsid w:val="00A23631"/>
    <w:rsid w:val="00A23EA2"/>
    <w:rsid w:val="00A25A2C"/>
    <w:rsid w:val="00A3089C"/>
    <w:rsid w:val="00A30D04"/>
    <w:rsid w:val="00A3127B"/>
    <w:rsid w:val="00A31D1A"/>
    <w:rsid w:val="00A32159"/>
    <w:rsid w:val="00A32E5E"/>
    <w:rsid w:val="00A33253"/>
    <w:rsid w:val="00A37C47"/>
    <w:rsid w:val="00A40254"/>
    <w:rsid w:val="00A409FF"/>
    <w:rsid w:val="00A42C8D"/>
    <w:rsid w:val="00A555A4"/>
    <w:rsid w:val="00A563F6"/>
    <w:rsid w:val="00A57AF0"/>
    <w:rsid w:val="00A60AE2"/>
    <w:rsid w:val="00A638D4"/>
    <w:rsid w:val="00A64802"/>
    <w:rsid w:val="00A65FF1"/>
    <w:rsid w:val="00A6765C"/>
    <w:rsid w:val="00A70984"/>
    <w:rsid w:val="00A72D48"/>
    <w:rsid w:val="00A74D64"/>
    <w:rsid w:val="00A75768"/>
    <w:rsid w:val="00A75FE2"/>
    <w:rsid w:val="00A776BC"/>
    <w:rsid w:val="00A80C44"/>
    <w:rsid w:val="00A81108"/>
    <w:rsid w:val="00A847B7"/>
    <w:rsid w:val="00A85568"/>
    <w:rsid w:val="00A8565D"/>
    <w:rsid w:val="00A86891"/>
    <w:rsid w:val="00A967E0"/>
    <w:rsid w:val="00AA0CC3"/>
    <w:rsid w:val="00AA20DF"/>
    <w:rsid w:val="00AA2FFC"/>
    <w:rsid w:val="00AA450C"/>
    <w:rsid w:val="00AB1278"/>
    <w:rsid w:val="00AB2D9B"/>
    <w:rsid w:val="00AB3419"/>
    <w:rsid w:val="00AB3990"/>
    <w:rsid w:val="00AC2587"/>
    <w:rsid w:val="00AC4B9D"/>
    <w:rsid w:val="00AD2931"/>
    <w:rsid w:val="00AD4679"/>
    <w:rsid w:val="00AD6DF1"/>
    <w:rsid w:val="00AD7BF4"/>
    <w:rsid w:val="00AE0650"/>
    <w:rsid w:val="00AE26E9"/>
    <w:rsid w:val="00AE2FF1"/>
    <w:rsid w:val="00AF3953"/>
    <w:rsid w:val="00AF7849"/>
    <w:rsid w:val="00B00482"/>
    <w:rsid w:val="00B04B95"/>
    <w:rsid w:val="00B04C82"/>
    <w:rsid w:val="00B05832"/>
    <w:rsid w:val="00B11443"/>
    <w:rsid w:val="00B116E6"/>
    <w:rsid w:val="00B12D59"/>
    <w:rsid w:val="00B16C7A"/>
    <w:rsid w:val="00B21E50"/>
    <w:rsid w:val="00B24DD0"/>
    <w:rsid w:val="00B32D72"/>
    <w:rsid w:val="00B32E7D"/>
    <w:rsid w:val="00B345DB"/>
    <w:rsid w:val="00B347E8"/>
    <w:rsid w:val="00B34A66"/>
    <w:rsid w:val="00B4122C"/>
    <w:rsid w:val="00B44843"/>
    <w:rsid w:val="00B47155"/>
    <w:rsid w:val="00B55C17"/>
    <w:rsid w:val="00B573C3"/>
    <w:rsid w:val="00B60F9D"/>
    <w:rsid w:val="00B626D7"/>
    <w:rsid w:val="00B64452"/>
    <w:rsid w:val="00B66D10"/>
    <w:rsid w:val="00B75347"/>
    <w:rsid w:val="00B807F2"/>
    <w:rsid w:val="00B83ECC"/>
    <w:rsid w:val="00B84B64"/>
    <w:rsid w:val="00B84F2E"/>
    <w:rsid w:val="00B900EF"/>
    <w:rsid w:val="00B919FF"/>
    <w:rsid w:val="00B932E2"/>
    <w:rsid w:val="00BA3750"/>
    <w:rsid w:val="00BA3DA0"/>
    <w:rsid w:val="00BA6A27"/>
    <w:rsid w:val="00BB1EEB"/>
    <w:rsid w:val="00BB2D38"/>
    <w:rsid w:val="00BB63AB"/>
    <w:rsid w:val="00BC3A51"/>
    <w:rsid w:val="00BC3D29"/>
    <w:rsid w:val="00BC3D8C"/>
    <w:rsid w:val="00BC4D77"/>
    <w:rsid w:val="00BC5AB7"/>
    <w:rsid w:val="00BD26E7"/>
    <w:rsid w:val="00BD2E0A"/>
    <w:rsid w:val="00BD4EFE"/>
    <w:rsid w:val="00BD68A8"/>
    <w:rsid w:val="00BE0A85"/>
    <w:rsid w:val="00BE42F8"/>
    <w:rsid w:val="00BE4EA8"/>
    <w:rsid w:val="00BE6135"/>
    <w:rsid w:val="00BF0C82"/>
    <w:rsid w:val="00BF0E3D"/>
    <w:rsid w:val="00BF0FAE"/>
    <w:rsid w:val="00BF15A0"/>
    <w:rsid w:val="00BF1A44"/>
    <w:rsid w:val="00BF1F2F"/>
    <w:rsid w:val="00BF2DCA"/>
    <w:rsid w:val="00BF311B"/>
    <w:rsid w:val="00BF314E"/>
    <w:rsid w:val="00BF6619"/>
    <w:rsid w:val="00C0346E"/>
    <w:rsid w:val="00C04908"/>
    <w:rsid w:val="00C0527C"/>
    <w:rsid w:val="00C11FAC"/>
    <w:rsid w:val="00C13C62"/>
    <w:rsid w:val="00C14DCF"/>
    <w:rsid w:val="00C21B36"/>
    <w:rsid w:val="00C2337D"/>
    <w:rsid w:val="00C239FE"/>
    <w:rsid w:val="00C27E0E"/>
    <w:rsid w:val="00C30191"/>
    <w:rsid w:val="00C302BB"/>
    <w:rsid w:val="00C31B03"/>
    <w:rsid w:val="00C35105"/>
    <w:rsid w:val="00C36105"/>
    <w:rsid w:val="00C376D3"/>
    <w:rsid w:val="00C4137A"/>
    <w:rsid w:val="00C42775"/>
    <w:rsid w:val="00C440EC"/>
    <w:rsid w:val="00C448C8"/>
    <w:rsid w:val="00C462A7"/>
    <w:rsid w:val="00C50AB9"/>
    <w:rsid w:val="00C53746"/>
    <w:rsid w:val="00C5408D"/>
    <w:rsid w:val="00C62DA6"/>
    <w:rsid w:val="00C657D9"/>
    <w:rsid w:val="00C6581A"/>
    <w:rsid w:val="00C670F2"/>
    <w:rsid w:val="00C71462"/>
    <w:rsid w:val="00C728BE"/>
    <w:rsid w:val="00C73C6E"/>
    <w:rsid w:val="00C847A1"/>
    <w:rsid w:val="00C86CFC"/>
    <w:rsid w:val="00C87555"/>
    <w:rsid w:val="00C92024"/>
    <w:rsid w:val="00C9585E"/>
    <w:rsid w:val="00C962EE"/>
    <w:rsid w:val="00CA29FD"/>
    <w:rsid w:val="00CA53ED"/>
    <w:rsid w:val="00CA58FB"/>
    <w:rsid w:val="00CA6190"/>
    <w:rsid w:val="00CA6A11"/>
    <w:rsid w:val="00CB33C6"/>
    <w:rsid w:val="00CC21C3"/>
    <w:rsid w:val="00CC2FF9"/>
    <w:rsid w:val="00CC4AE2"/>
    <w:rsid w:val="00CD3FEC"/>
    <w:rsid w:val="00CD4D39"/>
    <w:rsid w:val="00CD5F2A"/>
    <w:rsid w:val="00CD7E2D"/>
    <w:rsid w:val="00CE0822"/>
    <w:rsid w:val="00CE2F4F"/>
    <w:rsid w:val="00CF2DE2"/>
    <w:rsid w:val="00D00098"/>
    <w:rsid w:val="00D01421"/>
    <w:rsid w:val="00D0717C"/>
    <w:rsid w:val="00D075A2"/>
    <w:rsid w:val="00D11AEA"/>
    <w:rsid w:val="00D2399A"/>
    <w:rsid w:val="00D23D48"/>
    <w:rsid w:val="00D24217"/>
    <w:rsid w:val="00D26315"/>
    <w:rsid w:val="00D27DBF"/>
    <w:rsid w:val="00D41582"/>
    <w:rsid w:val="00D41912"/>
    <w:rsid w:val="00D42312"/>
    <w:rsid w:val="00D44B84"/>
    <w:rsid w:val="00D464F6"/>
    <w:rsid w:val="00D51BB7"/>
    <w:rsid w:val="00D56715"/>
    <w:rsid w:val="00D63A62"/>
    <w:rsid w:val="00D66ED1"/>
    <w:rsid w:val="00D801E0"/>
    <w:rsid w:val="00D8090A"/>
    <w:rsid w:val="00D86AAF"/>
    <w:rsid w:val="00D93396"/>
    <w:rsid w:val="00DA7728"/>
    <w:rsid w:val="00DB17DD"/>
    <w:rsid w:val="00DB5E26"/>
    <w:rsid w:val="00DC3BAC"/>
    <w:rsid w:val="00DC5DC7"/>
    <w:rsid w:val="00DC605F"/>
    <w:rsid w:val="00DC7265"/>
    <w:rsid w:val="00DD1C3A"/>
    <w:rsid w:val="00DD3489"/>
    <w:rsid w:val="00DE572B"/>
    <w:rsid w:val="00DF0161"/>
    <w:rsid w:val="00DF2A1C"/>
    <w:rsid w:val="00DF7EBB"/>
    <w:rsid w:val="00E00447"/>
    <w:rsid w:val="00E028A7"/>
    <w:rsid w:val="00E02F1E"/>
    <w:rsid w:val="00E04F0D"/>
    <w:rsid w:val="00E068E7"/>
    <w:rsid w:val="00E12E5D"/>
    <w:rsid w:val="00E15D82"/>
    <w:rsid w:val="00E21A32"/>
    <w:rsid w:val="00E23264"/>
    <w:rsid w:val="00E23D74"/>
    <w:rsid w:val="00E24784"/>
    <w:rsid w:val="00E25825"/>
    <w:rsid w:val="00E300E3"/>
    <w:rsid w:val="00E373D1"/>
    <w:rsid w:val="00E409F4"/>
    <w:rsid w:val="00E419B1"/>
    <w:rsid w:val="00E45845"/>
    <w:rsid w:val="00E45D16"/>
    <w:rsid w:val="00E47B78"/>
    <w:rsid w:val="00E523C7"/>
    <w:rsid w:val="00E56D8D"/>
    <w:rsid w:val="00E57CB6"/>
    <w:rsid w:val="00E744DA"/>
    <w:rsid w:val="00E748A4"/>
    <w:rsid w:val="00E7749D"/>
    <w:rsid w:val="00E774DE"/>
    <w:rsid w:val="00E812B8"/>
    <w:rsid w:val="00E8410D"/>
    <w:rsid w:val="00E8534E"/>
    <w:rsid w:val="00E858AC"/>
    <w:rsid w:val="00E873F9"/>
    <w:rsid w:val="00E93489"/>
    <w:rsid w:val="00E961CF"/>
    <w:rsid w:val="00E97D0F"/>
    <w:rsid w:val="00EA02ED"/>
    <w:rsid w:val="00EA0BF0"/>
    <w:rsid w:val="00EA299D"/>
    <w:rsid w:val="00EA3832"/>
    <w:rsid w:val="00EA4870"/>
    <w:rsid w:val="00EA4F46"/>
    <w:rsid w:val="00EA685B"/>
    <w:rsid w:val="00EA7086"/>
    <w:rsid w:val="00EA7564"/>
    <w:rsid w:val="00EA7E18"/>
    <w:rsid w:val="00EB48C8"/>
    <w:rsid w:val="00EB4C05"/>
    <w:rsid w:val="00EB5B9B"/>
    <w:rsid w:val="00EB702F"/>
    <w:rsid w:val="00EB71D0"/>
    <w:rsid w:val="00ED77CD"/>
    <w:rsid w:val="00EE01D9"/>
    <w:rsid w:val="00EE1C12"/>
    <w:rsid w:val="00EE4C47"/>
    <w:rsid w:val="00EE57D0"/>
    <w:rsid w:val="00EE5E02"/>
    <w:rsid w:val="00EF1290"/>
    <w:rsid w:val="00EF404C"/>
    <w:rsid w:val="00EF5D99"/>
    <w:rsid w:val="00EF6489"/>
    <w:rsid w:val="00EF74DA"/>
    <w:rsid w:val="00F01FC4"/>
    <w:rsid w:val="00F020B4"/>
    <w:rsid w:val="00F05E1D"/>
    <w:rsid w:val="00F11AE4"/>
    <w:rsid w:val="00F127C8"/>
    <w:rsid w:val="00F2174E"/>
    <w:rsid w:val="00F21C5D"/>
    <w:rsid w:val="00F21D4D"/>
    <w:rsid w:val="00F26AA0"/>
    <w:rsid w:val="00F331CB"/>
    <w:rsid w:val="00F40BFF"/>
    <w:rsid w:val="00F41EAA"/>
    <w:rsid w:val="00F4408D"/>
    <w:rsid w:val="00F448A6"/>
    <w:rsid w:val="00F504EF"/>
    <w:rsid w:val="00F5392A"/>
    <w:rsid w:val="00F54873"/>
    <w:rsid w:val="00F57D51"/>
    <w:rsid w:val="00F62BC6"/>
    <w:rsid w:val="00F66EB0"/>
    <w:rsid w:val="00F85EEA"/>
    <w:rsid w:val="00F874B6"/>
    <w:rsid w:val="00F87D8A"/>
    <w:rsid w:val="00F9170A"/>
    <w:rsid w:val="00F95213"/>
    <w:rsid w:val="00F96027"/>
    <w:rsid w:val="00FA04B2"/>
    <w:rsid w:val="00FA45C7"/>
    <w:rsid w:val="00FA52CB"/>
    <w:rsid w:val="00FA64F8"/>
    <w:rsid w:val="00FA73E7"/>
    <w:rsid w:val="00FB0213"/>
    <w:rsid w:val="00FB0FFE"/>
    <w:rsid w:val="00FB2D76"/>
    <w:rsid w:val="00FB56F4"/>
    <w:rsid w:val="00FC5257"/>
    <w:rsid w:val="00FD28CC"/>
    <w:rsid w:val="00FD49D0"/>
    <w:rsid w:val="00FD5F98"/>
    <w:rsid w:val="00FD69AE"/>
    <w:rsid w:val="00FD6B0A"/>
    <w:rsid w:val="00FE2C1C"/>
    <w:rsid w:val="00FE4D78"/>
    <w:rsid w:val="00FE5485"/>
    <w:rsid w:val="00FE5800"/>
    <w:rsid w:val="00FF2F98"/>
    <w:rsid w:val="00FF3EF7"/>
    <w:rsid w:val="00FF4AE3"/>
    <w:rsid w:val="00FF5AF0"/>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A50F8FE"/>
  <w15:docId w15:val="{DE66EDDD-4E78-49F5-8313-09E22B35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semiHidden/>
    <w:rsid w:val="00B932E2"/>
    <w:rPr>
      <w:sz w:val="20"/>
    </w:rPr>
  </w:style>
  <w:style w:type="character" w:styleId="FootnoteReference">
    <w:name w:val="footnote reference"/>
    <w:semiHidden/>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 w:type="paragraph" w:styleId="ListParagraph">
    <w:name w:val="List Paragraph"/>
    <w:basedOn w:val="Normal"/>
    <w:uiPriority w:val="34"/>
    <w:qFormat/>
    <w:rsid w:val="00CD3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194276076">
      <w:bodyDiv w:val="1"/>
      <w:marLeft w:val="0"/>
      <w:marRight w:val="0"/>
      <w:marTop w:val="0"/>
      <w:marBottom w:val="0"/>
      <w:divBdr>
        <w:top w:val="none" w:sz="0" w:space="0" w:color="auto"/>
        <w:left w:val="none" w:sz="0" w:space="0" w:color="auto"/>
        <w:bottom w:val="none" w:sz="0" w:space="0" w:color="auto"/>
        <w:right w:val="none" w:sz="0" w:space="0" w:color="auto"/>
      </w:divBdr>
    </w:div>
    <w:div w:id="270356180">
      <w:bodyDiv w:val="1"/>
      <w:marLeft w:val="0"/>
      <w:marRight w:val="0"/>
      <w:marTop w:val="0"/>
      <w:marBottom w:val="0"/>
      <w:divBdr>
        <w:top w:val="none" w:sz="0" w:space="0" w:color="auto"/>
        <w:left w:val="none" w:sz="0" w:space="0" w:color="auto"/>
        <w:bottom w:val="none" w:sz="0" w:space="0" w:color="auto"/>
        <w:right w:val="none" w:sz="0" w:space="0" w:color="auto"/>
      </w:divBdr>
    </w:div>
    <w:div w:id="275989466">
      <w:bodyDiv w:val="1"/>
      <w:marLeft w:val="0"/>
      <w:marRight w:val="0"/>
      <w:marTop w:val="0"/>
      <w:marBottom w:val="0"/>
      <w:divBdr>
        <w:top w:val="none" w:sz="0" w:space="0" w:color="auto"/>
        <w:left w:val="none" w:sz="0" w:space="0" w:color="auto"/>
        <w:bottom w:val="none" w:sz="0" w:space="0" w:color="auto"/>
        <w:right w:val="none" w:sz="0" w:space="0" w:color="auto"/>
      </w:divBdr>
    </w:div>
    <w:div w:id="298919556">
      <w:bodyDiv w:val="1"/>
      <w:marLeft w:val="0"/>
      <w:marRight w:val="0"/>
      <w:marTop w:val="0"/>
      <w:marBottom w:val="0"/>
      <w:divBdr>
        <w:top w:val="none" w:sz="0" w:space="0" w:color="auto"/>
        <w:left w:val="none" w:sz="0" w:space="0" w:color="auto"/>
        <w:bottom w:val="none" w:sz="0" w:space="0" w:color="auto"/>
        <w:right w:val="none" w:sz="0" w:space="0" w:color="auto"/>
      </w:divBdr>
    </w:div>
    <w:div w:id="332033075">
      <w:bodyDiv w:val="1"/>
      <w:marLeft w:val="0"/>
      <w:marRight w:val="0"/>
      <w:marTop w:val="0"/>
      <w:marBottom w:val="0"/>
      <w:divBdr>
        <w:top w:val="none" w:sz="0" w:space="0" w:color="auto"/>
        <w:left w:val="none" w:sz="0" w:space="0" w:color="auto"/>
        <w:bottom w:val="none" w:sz="0" w:space="0" w:color="auto"/>
        <w:right w:val="none" w:sz="0" w:space="0" w:color="auto"/>
      </w:divBdr>
    </w:div>
    <w:div w:id="445083028">
      <w:bodyDiv w:val="1"/>
      <w:marLeft w:val="0"/>
      <w:marRight w:val="0"/>
      <w:marTop w:val="0"/>
      <w:marBottom w:val="0"/>
      <w:divBdr>
        <w:top w:val="none" w:sz="0" w:space="0" w:color="auto"/>
        <w:left w:val="none" w:sz="0" w:space="0" w:color="auto"/>
        <w:bottom w:val="none" w:sz="0" w:space="0" w:color="auto"/>
        <w:right w:val="none" w:sz="0" w:space="0" w:color="auto"/>
      </w:divBdr>
    </w:div>
    <w:div w:id="523715617">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773282367">
      <w:bodyDiv w:val="1"/>
      <w:marLeft w:val="0"/>
      <w:marRight w:val="0"/>
      <w:marTop w:val="0"/>
      <w:marBottom w:val="0"/>
      <w:divBdr>
        <w:top w:val="none" w:sz="0" w:space="0" w:color="auto"/>
        <w:left w:val="none" w:sz="0" w:space="0" w:color="auto"/>
        <w:bottom w:val="none" w:sz="0" w:space="0" w:color="auto"/>
        <w:right w:val="none" w:sz="0" w:space="0" w:color="auto"/>
      </w:divBdr>
    </w:div>
    <w:div w:id="814639527">
      <w:bodyDiv w:val="1"/>
      <w:marLeft w:val="0"/>
      <w:marRight w:val="0"/>
      <w:marTop w:val="0"/>
      <w:marBottom w:val="0"/>
      <w:divBdr>
        <w:top w:val="none" w:sz="0" w:space="0" w:color="auto"/>
        <w:left w:val="none" w:sz="0" w:space="0" w:color="auto"/>
        <w:bottom w:val="none" w:sz="0" w:space="0" w:color="auto"/>
        <w:right w:val="none" w:sz="0" w:space="0" w:color="auto"/>
      </w:divBdr>
    </w:div>
    <w:div w:id="830872240">
      <w:bodyDiv w:val="1"/>
      <w:marLeft w:val="0"/>
      <w:marRight w:val="0"/>
      <w:marTop w:val="0"/>
      <w:marBottom w:val="0"/>
      <w:divBdr>
        <w:top w:val="none" w:sz="0" w:space="0" w:color="auto"/>
        <w:left w:val="none" w:sz="0" w:space="0" w:color="auto"/>
        <w:bottom w:val="none" w:sz="0" w:space="0" w:color="auto"/>
        <w:right w:val="none" w:sz="0" w:space="0" w:color="auto"/>
      </w:divBdr>
    </w:div>
    <w:div w:id="835849261">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049107071">
      <w:bodyDiv w:val="1"/>
      <w:marLeft w:val="0"/>
      <w:marRight w:val="0"/>
      <w:marTop w:val="0"/>
      <w:marBottom w:val="0"/>
      <w:divBdr>
        <w:top w:val="none" w:sz="0" w:space="0" w:color="auto"/>
        <w:left w:val="none" w:sz="0" w:space="0" w:color="auto"/>
        <w:bottom w:val="none" w:sz="0" w:space="0" w:color="auto"/>
        <w:right w:val="none" w:sz="0" w:space="0" w:color="auto"/>
      </w:divBdr>
    </w:div>
    <w:div w:id="1137720837">
      <w:bodyDiv w:val="1"/>
      <w:marLeft w:val="0"/>
      <w:marRight w:val="0"/>
      <w:marTop w:val="0"/>
      <w:marBottom w:val="0"/>
      <w:divBdr>
        <w:top w:val="none" w:sz="0" w:space="0" w:color="auto"/>
        <w:left w:val="none" w:sz="0" w:space="0" w:color="auto"/>
        <w:bottom w:val="none" w:sz="0" w:space="0" w:color="auto"/>
        <w:right w:val="none" w:sz="0" w:space="0" w:color="auto"/>
      </w:divBdr>
    </w:div>
    <w:div w:id="1285232351">
      <w:bodyDiv w:val="1"/>
      <w:marLeft w:val="0"/>
      <w:marRight w:val="0"/>
      <w:marTop w:val="0"/>
      <w:marBottom w:val="0"/>
      <w:divBdr>
        <w:top w:val="none" w:sz="0" w:space="0" w:color="auto"/>
        <w:left w:val="none" w:sz="0" w:space="0" w:color="auto"/>
        <w:bottom w:val="none" w:sz="0" w:space="0" w:color="auto"/>
        <w:right w:val="none" w:sz="0" w:space="0" w:color="auto"/>
      </w:divBdr>
    </w:div>
    <w:div w:id="1439906688">
      <w:bodyDiv w:val="1"/>
      <w:marLeft w:val="0"/>
      <w:marRight w:val="0"/>
      <w:marTop w:val="0"/>
      <w:marBottom w:val="0"/>
      <w:divBdr>
        <w:top w:val="none" w:sz="0" w:space="0" w:color="auto"/>
        <w:left w:val="none" w:sz="0" w:space="0" w:color="auto"/>
        <w:bottom w:val="none" w:sz="0" w:space="0" w:color="auto"/>
        <w:right w:val="none" w:sz="0" w:space="0" w:color="auto"/>
      </w:divBdr>
    </w:div>
    <w:div w:id="1569804164">
      <w:bodyDiv w:val="1"/>
      <w:marLeft w:val="0"/>
      <w:marRight w:val="0"/>
      <w:marTop w:val="0"/>
      <w:marBottom w:val="0"/>
      <w:divBdr>
        <w:top w:val="none" w:sz="0" w:space="0" w:color="auto"/>
        <w:left w:val="none" w:sz="0" w:space="0" w:color="auto"/>
        <w:bottom w:val="none" w:sz="0" w:space="0" w:color="auto"/>
        <w:right w:val="none" w:sz="0" w:space="0" w:color="auto"/>
      </w:divBdr>
    </w:div>
    <w:div w:id="1578443142">
      <w:bodyDiv w:val="1"/>
      <w:marLeft w:val="0"/>
      <w:marRight w:val="0"/>
      <w:marTop w:val="0"/>
      <w:marBottom w:val="0"/>
      <w:divBdr>
        <w:top w:val="none" w:sz="0" w:space="0" w:color="auto"/>
        <w:left w:val="none" w:sz="0" w:space="0" w:color="auto"/>
        <w:bottom w:val="none" w:sz="0" w:space="0" w:color="auto"/>
        <w:right w:val="none" w:sz="0" w:space="0" w:color="auto"/>
      </w:divBdr>
    </w:div>
    <w:div w:id="1614287973">
      <w:bodyDiv w:val="1"/>
      <w:marLeft w:val="0"/>
      <w:marRight w:val="0"/>
      <w:marTop w:val="0"/>
      <w:marBottom w:val="0"/>
      <w:divBdr>
        <w:top w:val="none" w:sz="0" w:space="0" w:color="auto"/>
        <w:left w:val="none" w:sz="0" w:space="0" w:color="auto"/>
        <w:bottom w:val="none" w:sz="0" w:space="0" w:color="auto"/>
        <w:right w:val="none" w:sz="0" w:space="0" w:color="auto"/>
      </w:divBdr>
    </w:div>
    <w:div w:id="1775707091">
      <w:bodyDiv w:val="1"/>
      <w:marLeft w:val="0"/>
      <w:marRight w:val="0"/>
      <w:marTop w:val="0"/>
      <w:marBottom w:val="0"/>
      <w:divBdr>
        <w:top w:val="none" w:sz="0" w:space="0" w:color="auto"/>
        <w:left w:val="none" w:sz="0" w:space="0" w:color="auto"/>
        <w:bottom w:val="none" w:sz="0" w:space="0" w:color="auto"/>
        <w:right w:val="none" w:sz="0" w:space="0" w:color="auto"/>
      </w:divBdr>
    </w:div>
    <w:div w:id="1802265661">
      <w:bodyDiv w:val="1"/>
      <w:marLeft w:val="0"/>
      <w:marRight w:val="0"/>
      <w:marTop w:val="0"/>
      <w:marBottom w:val="0"/>
      <w:divBdr>
        <w:top w:val="none" w:sz="0" w:space="0" w:color="auto"/>
        <w:left w:val="none" w:sz="0" w:space="0" w:color="auto"/>
        <w:bottom w:val="none" w:sz="0" w:space="0" w:color="auto"/>
        <w:right w:val="none" w:sz="0" w:space="0" w:color="auto"/>
      </w:divBdr>
    </w:div>
    <w:div w:id="1823228852">
      <w:bodyDiv w:val="1"/>
      <w:marLeft w:val="0"/>
      <w:marRight w:val="0"/>
      <w:marTop w:val="0"/>
      <w:marBottom w:val="0"/>
      <w:divBdr>
        <w:top w:val="none" w:sz="0" w:space="0" w:color="auto"/>
        <w:left w:val="none" w:sz="0" w:space="0" w:color="auto"/>
        <w:bottom w:val="none" w:sz="0" w:space="0" w:color="auto"/>
        <w:right w:val="none" w:sz="0" w:space="0" w:color="auto"/>
      </w:divBdr>
    </w:div>
    <w:div w:id="1828201410">
      <w:bodyDiv w:val="1"/>
      <w:marLeft w:val="0"/>
      <w:marRight w:val="0"/>
      <w:marTop w:val="0"/>
      <w:marBottom w:val="0"/>
      <w:divBdr>
        <w:top w:val="none" w:sz="0" w:space="0" w:color="auto"/>
        <w:left w:val="none" w:sz="0" w:space="0" w:color="auto"/>
        <w:bottom w:val="none" w:sz="0" w:space="0" w:color="auto"/>
        <w:right w:val="none" w:sz="0" w:space="0" w:color="auto"/>
      </w:divBdr>
    </w:div>
    <w:div w:id="1899197890">
      <w:bodyDiv w:val="1"/>
      <w:marLeft w:val="0"/>
      <w:marRight w:val="0"/>
      <w:marTop w:val="0"/>
      <w:marBottom w:val="0"/>
      <w:divBdr>
        <w:top w:val="none" w:sz="0" w:space="0" w:color="auto"/>
        <w:left w:val="none" w:sz="0" w:space="0" w:color="auto"/>
        <w:bottom w:val="none" w:sz="0" w:space="0" w:color="auto"/>
        <w:right w:val="none" w:sz="0" w:space="0" w:color="auto"/>
      </w:divBdr>
    </w:div>
    <w:div w:id="1902671626">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85349324">
      <w:bodyDiv w:val="1"/>
      <w:marLeft w:val="0"/>
      <w:marRight w:val="0"/>
      <w:marTop w:val="0"/>
      <w:marBottom w:val="0"/>
      <w:divBdr>
        <w:top w:val="none" w:sz="0" w:space="0" w:color="auto"/>
        <w:left w:val="none" w:sz="0" w:space="0" w:color="auto"/>
        <w:bottom w:val="none" w:sz="0" w:space="0" w:color="auto"/>
        <w:right w:val="none" w:sz="0" w:space="0" w:color="auto"/>
      </w:divBdr>
    </w:div>
    <w:div w:id="2039625626">
      <w:bodyDiv w:val="1"/>
      <w:marLeft w:val="0"/>
      <w:marRight w:val="0"/>
      <w:marTop w:val="0"/>
      <w:marBottom w:val="0"/>
      <w:divBdr>
        <w:top w:val="none" w:sz="0" w:space="0" w:color="auto"/>
        <w:left w:val="none" w:sz="0" w:space="0" w:color="auto"/>
        <w:bottom w:val="none" w:sz="0" w:space="0" w:color="auto"/>
        <w:right w:val="none" w:sz="0" w:space="0" w:color="auto"/>
      </w:divBdr>
    </w:div>
    <w:div w:id="207227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98CBF-943C-4BFB-B910-BBCFA105F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2015 PSI Frontier Commonwealth</vt:lpstr>
    </vt:vector>
  </TitlesOfParts>
  <Company>PA PUC</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PSI Frontier Commonwealth</dc:title>
  <dc:creator>Derek Vogelsong</dc:creator>
  <cp:lastModifiedBy>Wagner, Nathan R</cp:lastModifiedBy>
  <cp:revision>2</cp:revision>
  <cp:lastPrinted>2018-03-15T15:09:00Z</cp:lastPrinted>
  <dcterms:created xsi:type="dcterms:W3CDTF">2018-03-15T15:38:00Z</dcterms:created>
  <dcterms:modified xsi:type="dcterms:W3CDTF">2018-03-15T15:38:00Z</dcterms:modified>
</cp:coreProperties>
</file>