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A0A" w:rsidRDefault="00222A0A" w:rsidP="000C3A70">
      <w:pPr>
        <w:widowControl/>
        <w:tabs>
          <w:tab w:val="center" w:pos="4680"/>
        </w:tabs>
        <w:contextualSpacing/>
        <w:jc w:val="center"/>
        <w:rPr>
          <w:b/>
          <w:sz w:val="26"/>
          <w:szCs w:val="26"/>
        </w:rPr>
      </w:pPr>
      <w:r>
        <w:rPr>
          <w:b/>
          <w:sz w:val="26"/>
          <w:szCs w:val="26"/>
        </w:rPr>
        <w:t>PENNSYLVANIA</w:t>
      </w:r>
    </w:p>
    <w:p w:rsidR="00222A0A" w:rsidRDefault="00222A0A" w:rsidP="000C3A70">
      <w:pPr>
        <w:widowControl/>
        <w:tabs>
          <w:tab w:val="center" w:pos="4680"/>
        </w:tabs>
        <w:contextualSpacing/>
        <w:jc w:val="center"/>
        <w:rPr>
          <w:sz w:val="26"/>
          <w:szCs w:val="26"/>
        </w:rPr>
      </w:pPr>
      <w:r>
        <w:rPr>
          <w:b/>
          <w:sz w:val="26"/>
          <w:szCs w:val="26"/>
        </w:rPr>
        <w:t>PUBLIC UTILITY COMMISSION</w:t>
      </w:r>
    </w:p>
    <w:p w:rsidR="00222A0A" w:rsidRDefault="00222A0A" w:rsidP="000C3A70">
      <w:pPr>
        <w:widowControl/>
        <w:tabs>
          <w:tab w:val="center" w:pos="4680"/>
        </w:tabs>
        <w:contextualSpacing/>
        <w:jc w:val="center"/>
        <w:rPr>
          <w:sz w:val="26"/>
          <w:szCs w:val="26"/>
        </w:rPr>
      </w:pPr>
      <w:r>
        <w:rPr>
          <w:b/>
          <w:sz w:val="26"/>
          <w:szCs w:val="26"/>
        </w:rPr>
        <w:t>Harrisburg, PA 17105-3265</w:t>
      </w:r>
    </w:p>
    <w:p w:rsidR="00222A0A" w:rsidRDefault="00222A0A" w:rsidP="000C3A70">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40"/>
      </w:tblGrid>
      <w:tr w:rsidR="00222A0A" w:rsidTr="00222A0A">
        <w:tc>
          <w:tcPr>
            <w:tcW w:w="4878" w:type="dxa"/>
          </w:tcPr>
          <w:p w:rsidR="00222A0A" w:rsidRDefault="00222A0A" w:rsidP="000C3A70">
            <w:pPr>
              <w:widowControl/>
              <w:contextualSpacing/>
              <w:rPr>
                <w:sz w:val="26"/>
                <w:szCs w:val="26"/>
              </w:rPr>
            </w:pPr>
          </w:p>
        </w:tc>
        <w:tc>
          <w:tcPr>
            <w:tcW w:w="4608" w:type="dxa"/>
            <w:hideMark/>
          </w:tcPr>
          <w:p w:rsidR="00222A0A" w:rsidRDefault="009A35B4" w:rsidP="000C3A70">
            <w:pPr>
              <w:widowControl/>
              <w:contextualSpacing/>
              <w:jc w:val="right"/>
              <w:rPr>
                <w:sz w:val="26"/>
                <w:szCs w:val="26"/>
              </w:rPr>
            </w:pPr>
            <w:r>
              <w:rPr>
                <w:sz w:val="26"/>
                <w:szCs w:val="26"/>
              </w:rPr>
              <w:t xml:space="preserve">Public Meeting held </w:t>
            </w:r>
            <w:r w:rsidR="002F2620">
              <w:rPr>
                <w:sz w:val="26"/>
                <w:szCs w:val="26"/>
              </w:rPr>
              <w:t xml:space="preserve">February </w:t>
            </w:r>
            <w:r w:rsidR="0054614D">
              <w:rPr>
                <w:sz w:val="26"/>
                <w:szCs w:val="26"/>
              </w:rPr>
              <w:t>8</w:t>
            </w:r>
            <w:r w:rsidR="00222A0A">
              <w:rPr>
                <w:sz w:val="26"/>
                <w:szCs w:val="26"/>
              </w:rPr>
              <w:t>, 201</w:t>
            </w:r>
            <w:r w:rsidR="0054614D">
              <w:rPr>
                <w:sz w:val="26"/>
                <w:szCs w:val="26"/>
              </w:rPr>
              <w:t>8</w:t>
            </w:r>
          </w:p>
        </w:tc>
      </w:tr>
      <w:tr w:rsidR="00222A0A" w:rsidTr="00222A0A">
        <w:tc>
          <w:tcPr>
            <w:tcW w:w="4878" w:type="dxa"/>
          </w:tcPr>
          <w:p w:rsidR="00222A0A" w:rsidRDefault="00222A0A" w:rsidP="000C3A70">
            <w:pPr>
              <w:widowControl/>
              <w:contextualSpacing/>
              <w:rPr>
                <w:sz w:val="26"/>
                <w:szCs w:val="26"/>
              </w:rPr>
            </w:pPr>
          </w:p>
          <w:p w:rsidR="00222A0A" w:rsidRDefault="00222A0A" w:rsidP="000C3A70">
            <w:pPr>
              <w:widowControl/>
              <w:contextualSpacing/>
              <w:rPr>
                <w:sz w:val="26"/>
                <w:szCs w:val="26"/>
              </w:rPr>
            </w:pPr>
            <w:r>
              <w:rPr>
                <w:sz w:val="26"/>
                <w:szCs w:val="26"/>
              </w:rPr>
              <w:t>Commissioners Present:</w:t>
            </w:r>
          </w:p>
          <w:p w:rsidR="00222A0A" w:rsidRDefault="00222A0A" w:rsidP="000C3A70">
            <w:pPr>
              <w:widowControl/>
              <w:contextualSpacing/>
              <w:rPr>
                <w:sz w:val="26"/>
                <w:szCs w:val="26"/>
              </w:rPr>
            </w:pPr>
          </w:p>
          <w:p w:rsidR="00BA1869" w:rsidRPr="002262C4" w:rsidRDefault="00BA1869" w:rsidP="000C3A70">
            <w:pPr>
              <w:widowControl/>
              <w:tabs>
                <w:tab w:val="left" w:pos="-720"/>
              </w:tabs>
              <w:ind w:left="720"/>
              <w:contextualSpacing/>
              <w:rPr>
                <w:sz w:val="26"/>
                <w:szCs w:val="26"/>
              </w:rPr>
            </w:pPr>
            <w:r w:rsidRPr="002262C4">
              <w:rPr>
                <w:sz w:val="26"/>
                <w:szCs w:val="26"/>
              </w:rPr>
              <w:t>Gladys M. Brown, Chairman</w:t>
            </w:r>
          </w:p>
          <w:p w:rsidR="00BA1869" w:rsidRDefault="00BA1869" w:rsidP="000C3A70">
            <w:pPr>
              <w:widowControl/>
              <w:tabs>
                <w:tab w:val="left" w:pos="-720"/>
              </w:tabs>
              <w:ind w:left="720"/>
              <w:contextualSpacing/>
              <w:rPr>
                <w:sz w:val="26"/>
                <w:szCs w:val="26"/>
              </w:rPr>
            </w:pPr>
            <w:r w:rsidRPr="002262C4">
              <w:rPr>
                <w:sz w:val="26"/>
                <w:szCs w:val="26"/>
              </w:rPr>
              <w:t>Andrew G. Place, Vice Chairman</w:t>
            </w:r>
          </w:p>
          <w:p w:rsidR="00BA1869" w:rsidRPr="00D44DB2" w:rsidRDefault="00BA1869" w:rsidP="000C3A70">
            <w:pPr>
              <w:widowControl/>
              <w:tabs>
                <w:tab w:val="left" w:pos="-720"/>
              </w:tabs>
              <w:ind w:left="720"/>
              <w:contextualSpacing/>
              <w:rPr>
                <w:sz w:val="26"/>
                <w:szCs w:val="26"/>
              </w:rPr>
            </w:pPr>
            <w:r w:rsidRPr="00D44DB2">
              <w:rPr>
                <w:sz w:val="26"/>
                <w:szCs w:val="26"/>
              </w:rPr>
              <w:t>Norman J. Kennard</w:t>
            </w:r>
          </w:p>
          <w:p w:rsidR="00BA1869" w:rsidRPr="002262C4" w:rsidRDefault="00BA1869" w:rsidP="000C3A70">
            <w:pPr>
              <w:widowControl/>
              <w:tabs>
                <w:tab w:val="left" w:pos="-720"/>
              </w:tabs>
              <w:ind w:left="720"/>
              <w:contextualSpacing/>
              <w:rPr>
                <w:sz w:val="26"/>
                <w:szCs w:val="26"/>
              </w:rPr>
            </w:pPr>
            <w:r w:rsidRPr="002262C4">
              <w:rPr>
                <w:sz w:val="26"/>
                <w:szCs w:val="26"/>
              </w:rPr>
              <w:t>David W. Sweet</w:t>
            </w:r>
          </w:p>
          <w:p w:rsidR="00BA1869" w:rsidRPr="002262C4" w:rsidRDefault="00BA1869" w:rsidP="000C3A70">
            <w:pPr>
              <w:widowControl/>
              <w:tabs>
                <w:tab w:val="left" w:pos="-720"/>
              </w:tabs>
              <w:ind w:left="720"/>
              <w:contextualSpacing/>
              <w:rPr>
                <w:sz w:val="26"/>
                <w:szCs w:val="26"/>
              </w:rPr>
            </w:pPr>
            <w:r w:rsidRPr="002262C4">
              <w:rPr>
                <w:sz w:val="26"/>
                <w:szCs w:val="26"/>
              </w:rPr>
              <w:t xml:space="preserve">John F. Coleman, Jr. </w:t>
            </w:r>
          </w:p>
          <w:p w:rsidR="00222A0A" w:rsidRDefault="00222A0A" w:rsidP="000C3A70">
            <w:pPr>
              <w:widowControl/>
              <w:contextualSpacing/>
              <w:rPr>
                <w:sz w:val="26"/>
                <w:szCs w:val="26"/>
              </w:rPr>
            </w:pPr>
          </w:p>
        </w:tc>
        <w:tc>
          <w:tcPr>
            <w:tcW w:w="4608" w:type="dxa"/>
          </w:tcPr>
          <w:p w:rsidR="00222A0A" w:rsidRDefault="00222A0A" w:rsidP="000C3A70">
            <w:pPr>
              <w:widowControl/>
              <w:contextualSpacing/>
              <w:jc w:val="right"/>
              <w:rPr>
                <w:sz w:val="26"/>
                <w:szCs w:val="26"/>
              </w:rPr>
            </w:pPr>
          </w:p>
          <w:p w:rsidR="00222A0A" w:rsidRDefault="00222A0A" w:rsidP="000C3A70">
            <w:pPr>
              <w:widowControl/>
              <w:contextualSpacing/>
              <w:jc w:val="right"/>
              <w:rPr>
                <w:sz w:val="26"/>
                <w:szCs w:val="26"/>
              </w:rPr>
            </w:pPr>
          </w:p>
        </w:tc>
      </w:tr>
      <w:tr w:rsidR="00222A0A" w:rsidTr="00222A0A">
        <w:tc>
          <w:tcPr>
            <w:tcW w:w="4878" w:type="dxa"/>
          </w:tcPr>
          <w:p w:rsidR="00506EF3" w:rsidRDefault="00506EF3" w:rsidP="000C3A70">
            <w:pPr>
              <w:widowControl/>
              <w:contextualSpacing/>
              <w:rPr>
                <w:sz w:val="26"/>
                <w:szCs w:val="26"/>
              </w:rPr>
            </w:pPr>
          </w:p>
          <w:p w:rsidR="00222A0A" w:rsidRDefault="007E3865" w:rsidP="000C3A70">
            <w:pPr>
              <w:widowControl/>
              <w:contextualSpacing/>
              <w:rPr>
                <w:sz w:val="26"/>
                <w:szCs w:val="26"/>
              </w:rPr>
            </w:pPr>
            <w:r>
              <w:rPr>
                <w:sz w:val="26"/>
                <w:szCs w:val="26"/>
              </w:rPr>
              <w:t>Richard Dina</w:t>
            </w:r>
          </w:p>
          <w:p w:rsidR="00222A0A" w:rsidRDefault="00222A0A" w:rsidP="000C3A70">
            <w:pPr>
              <w:widowControl/>
              <w:contextualSpacing/>
              <w:rPr>
                <w:sz w:val="26"/>
                <w:szCs w:val="26"/>
              </w:rPr>
            </w:pPr>
          </w:p>
        </w:tc>
        <w:tc>
          <w:tcPr>
            <w:tcW w:w="4608" w:type="dxa"/>
            <w:hideMark/>
          </w:tcPr>
          <w:p w:rsidR="00506EF3" w:rsidRDefault="00506EF3" w:rsidP="000C3A70">
            <w:pPr>
              <w:widowControl/>
              <w:contextualSpacing/>
              <w:jc w:val="right"/>
              <w:rPr>
                <w:sz w:val="26"/>
                <w:szCs w:val="26"/>
              </w:rPr>
            </w:pPr>
          </w:p>
          <w:p w:rsidR="00222A0A" w:rsidRDefault="007E3865" w:rsidP="000C3A70">
            <w:pPr>
              <w:widowControl/>
              <w:contextualSpacing/>
              <w:jc w:val="right"/>
              <w:rPr>
                <w:sz w:val="26"/>
                <w:szCs w:val="26"/>
              </w:rPr>
            </w:pPr>
            <w:r>
              <w:rPr>
                <w:sz w:val="26"/>
                <w:szCs w:val="26"/>
              </w:rPr>
              <w:t>F-2017-2592410</w:t>
            </w:r>
          </w:p>
        </w:tc>
      </w:tr>
      <w:tr w:rsidR="00222A0A" w:rsidTr="00222A0A">
        <w:tc>
          <w:tcPr>
            <w:tcW w:w="4878" w:type="dxa"/>
          </w:tcPr>
          <w:p w:rsidR="00222A0A" w:rsidRDefault="00222A0A" w:rsidP="000C3A70">
            <w:pPr>
              <w:widowControl/>
              <w:ind w:firstLine="720"/>
              <w:contextualSpacing/>
              <w:rPr>
                <w:sz w:val="26"/>
                <w:szCs w:val="26"/>
              </w:rPr>
            </w:pPr>
            <w:r>
              <w:rPr>
                <w:sz w:val="26"/>
                <w:szCs w:val="26"/>
              </w:rPr>
              <w:t>v.</w:t>
            </w:r>
          </w:p>
          <w:p w:rsidR="00222A0A" w:rsidRDefault="00222A0A" w:rsidP="000C3A70">
            <w:pPr>
              <w:widowControl/>
              <w:ind w:firstLine="1440"/>
              <w:contextualSpacing/>
              <w:rPr>
                <w:sz w:val="26"/>
                <w:szCs w:val="26"/>
              </w:rPr>
            </w:pPr>
          </w:p>
        </w:tc>
        <w:tc>
          <w:tcPr>
            <w:tcW w:w="4608" w:type="dxa"/>
          </w:tcPr>
          <w:p w:rsidR="00222A0A" w:rsidRDefault="00222A0A" w:rsidP="000C3A70">
            <w:pPr>
              <w:widowControl/>
              <w:contextualSpacing/>
              <w:rPr>
                <w:sz w:val="26"/>
                <w:szCs w:val="26"/>
              </w:rPr>
            </w:pPr>
          </w:p>
        </w:tc>
      </w:tr>
      <w:tr w:rsidR="00222A0A" w:rsidTr="00222A0A">
        <w:tc>
          <w:tcPr>
            <w:tcW w:w="4878" w:type="dxa"/>
          </w:tcPr>
          <w:p w:rsidR="00222A0A" w:rsidRDefault="007E3865" w:rsidP="000C3A70">
            <w:pPr>
              <w:widowControl/>
              <w:contextualSpacing/>
              <w:rPr>
                <w:sz w:val="26"/>
                <w:szCs w:val="26"/>
              </w:rPr>
            </w:pPr>
            <w:r>
              <w:rPr>
                <w:sz w:val="26"/>
                <w:szCs w:val="26"/>
              </w:rPr>
              <w:t>PECO Energy Company</w:t>
            </w:r>
          </w:p>
          <w:p w:rsidR="00222A0A" w:rsidRDefault="00222A0A" w:rsidP="000C3A70">
            <w:pPr>
              <w:widowControl/>
              <w:contextualSpacing/>
              <w:rPr>
                <w:sz w:val="26"/>
                <w:szCs w:val="26"/>
              </w:rPr>
            </w:pPr>
          </w:p>
        </w:tc>
        <w:tc>
          <w:tcPr>
            <w:tcW w:w="4608" w:type="dxa"/>
          </w:tcPr>
          <w:p w:rsidR="00222A0A" w:rsidRDefault="00222A0A" w:rsidP="000C3A70">
            <w:pPr>
              <w:widowControl/>
              <w:contextualSpacing/>
              <w:rPr>
                <w:sz w:val="26"/>
                <w:szCs w:val="26"/>
              </w:rPr>
            </w:pPr>
          </w:p>
        </w:tc>
      </w:tr>
    </w:tbl>
    <w:p w:rsidR="00222A0A" w:rsidRDefault="00222A0A" w:rsidP="000C3A70">
      <w:pPr>
        <w:widowControl/>
        <w:contextualSpacing/>
        <w:rPr>
          <w:sz w:val="26"/>
          <w:szCs w:val="26"/>
        </w:rPr>
      </w:pPr>
    </w:p>
    <w:p w:rsidR="00222A0A" w:rsidRDefault="00222A0A" w:rsidP="000C3A70">
      <w:pPr>
        <w:widowControl/>
        <w:spacing w:line="360" w:lineRule="auto"/>
        <w:contextualSpacing/>
        <w:jc w:val="center"/>
        <w:rPr>
          <w:b/>
          <w:sz w:val="26"/>
          <w:szCs w:val="26"/>
        </w:rPr>
      </w:pPr>
      <w:r>
        <w:rPr>
          <w:b/>
          <w:sz w:val="26"/>
          <w:szCs w:val="26"/>
        </w:rPr>
        <w:t>OPINION AND ORDER</w:t>
      </w:r>
    </w:p>
    <w:p w:rsidR="00222A0A" w:rsidRDefault="00222A0A" w:rsidP="000C3A70">
      <w:pPr>
        <w:widowControl/>
        <w:spacing w:line="360" w:lineRule="auto"/>
        <w:contextualSpacing/>
        <w:rPr>
          <w:sz w:val="26"/>
          <w:szCs w:val="26"/>
        </w:rPr>
      </w:pPr>
    </w:p>
    <w:p w:rsidR="00222A0A" w:rsidRDefault="00222A0A" w:rsidP="000C3A70">
      <w:pPr>
        <w:keepNext/>
        <w:widowControl/>
        <w:spacing w:line="360" w:lineRule="auto"/>
        <w:contextualSpacing/>
        <w:rPr>
          <w:b/>
          <w:sz w:val="26"/>
          <w:szCs w:val="26"/>
        </w:rPr>
      </w:pPr>
      <w:r>
        <w:rPr>
          <w:b/>
          <w:sz w:val="26"/>
          <w:szCs w:val="26"/>
        </w:rPr>
        <w:t>BY THE COMMISSION:</w:t>
      </w:r>
    </w:p>
    <w:p w:rsidR="00222A0A" w:rsidRDefault="00222A0A" w:rsidP="000C3A70">
      <w:pPr>
        <w:widowControl/>
        <w:spacing w:line="360" w:lineRule="auto"/>
        <w:contextualSpacing/>
        <w:rPr>
          <w:b/>
          <w:sz w:val="26"/>
          <w:szCs w:val="26"/>
        </w:rPr>
      </w:pPr>
    </w:p>
    <w:p w:rsidR="00CA43A5" w:rsidRDefault="00CA43A5" w:rsidP="000C3A70">
      <w:pPr>
        <w:widowControl/>
        <w:spacing w:line="360" w:lineRule="auto"/>
        <w:ind w:firstLine="1440"/>
        <w:contextualSpacing/>
        <w:rPr>
          <w:sz w:val="26"/>
          <w:szCs w:val="26"/>
        </w:rPr>
      </w:pPr>
      <w:r w:rsidRPr="00CA43A5">
        <w:rPr>
          <w:sz w:val="26"/>
          <w:szCs w:val="26"/>
        </w:rPr>
        <w:t xml:space="preserve">Before the Pennsylvania Public Utility Commission (Commission) for consideration and disposition </w:t>
      </w:r>
      <w:r w:rsidR="00671E4C">
        <w:rPr>
          <w:color w:val="000000"/>
          <w:sz w:val="26"/>
        </w:rPr>
        <w:t>are the Exceptions (Exceptions) of</w:t>
      </w:r>
      <w:r w:rsidR="00222A0A">
        <w:rPr>
          <w:color w:val="000000"/>
          <w:sz w:val="26"/>
        </w:rPr>
        <w:t xml:space="preserve"> </w:t>
      </w:r>
      <w:r w:rsidR="007E3865">
        <w:rPr>
          <w:color w:val="000000"/>
          <w:sz w:val="26"/>
        </w:rPr>
        <w:t>Richard Dina</w:t>
      </w:r>
      <w:r w:rsidR="00C374D9">
        <w:rPr>
          <w:color w:val="000000"/>
          <w:sz w:val="26"/>
        </w:rPr>
        <w:t xml:space="preserve"> (</w:t>
      </w:r>
      <w:r w:rsidR="00786E6C">
        <w:rPr>
          <w:color w:val="000000"/>
          <w:sz w:val="26"/>
        </w:rPr>
        <w:t xml:space="preserve">the </w:t>
      </w:r>
      <w:r w:rsidR="00222A0A">
        <w:rPr>
          <w:color w:val="000000"/>
          <w:sz w:val="26"/>
        </w:rPr>
        <w:t xml:space="preserve">Complainant) </w:t>
      </w:r>
      <w:r w:rsidR="00671E4C">
        <w:rPr>
          <w:color w:val="000000"/>
          <w:sz w:val="26"/>
        </w:rPr>
        <w:t xml:space="preserve">filed on </w:t>
      </w:r>
      <w:r w:rsidR="007E3865">
        <w:rPr>
          <w:color w:val="000000"/>
          <w:sz w:val="26"/>
        </w:rPr>
        <w:t>June 19, 2017</w:t>
      </w:r>
      <w:r w:rsidR="00671E4C">
        <w:rPr>
          <w:color w:val="000000"/>
          <w:sz w:val="26"/>
        </w:rPr>
        <w:t>, to the Initial Decision (</w:t>
      </w:r>
      <w:r w:rsidR="007E3865">
        <w:rPr>
          <w:color w:val="000000"/>
          <w:sz w:val="26"/>
        </w:rPr>
        <w:t xml:space="preserve">Initial Decision or </w:t>
      </w:r>
      <w:r w:rsidR="00671E4C">
        <w:rPr>
          <w:color w:val="000000"/>
          <w:sz w:val="26"/>
        </w:rPr>
        <w:t xml:space="preserve">I.D.) of </w:t>
      </w:r>
      <w:r w:rsidR="00C374D9">
        <w:rPr>
          <w:color w:val="000000"/>
          <w:sz w:val="26"/>
        </w:rPr>
        <w:t xml:space="preserve">Administrative Law Judge (ALJ) </w:t>
      </w:r>
      <w:r w:rsidR="007E3865">
        <w:rPr>
          <w:color w:val="000000"/>
          <w:sz w:val="26"/>
        </w:rPr>
        <w:t>David A. Salapa</w:t>
      </w:r>
      <w:r w:rsidR="00222A0A">
        <w:rPr>
          <w:color w:val="000000"/>
          <w:sz w:val="26"/>
        </w:rPr>
        <w:t>,</w:t>
      </w:r>
      <w:r w:rsidR="00671E4C">
        <w:rPr>
          <w:color w:val="000000"/>
          <w:sz w:val="26"/>
        </w:rPr>
        <w:t xml:space="preserve"> which was issued on </w:t>
      </w:r>
      <w:r w:rsidR="00915E9B">
        <w:rPr>
          <w:color w:val="000000"/>
          <w:sz w:val="26"/>
        </w:rPr>
        <w:t>June 12</w:t>
      </w:r>
      <w:r w:rsidR="00222A0A">
        <w:rPr>
          <w:color w:val="000000"/>
          <w:sz w:val="26"/>
        </w:rPr>
        <w:t xml:space="preserve">, 2017, </w:t>
      </w:r>
      <w:r w:rsidR="00671E4C">
        <w:rPr>
          <w:color w:val="000000"/>
          <w:sz w:val="26"/>
        </w:rPr>
        <w:t>in</w:t>
      </w:r>
      <w:r w:rsidR="00222A0A">
        <w:rPr>
          <w:color w:val="000000"/>
          <w:sz w:val="26"/>
        </w:rPr>
        <w:t xml:space="preserve"> the above-captioned proceeding</w:t>
      </w:r>
      <w:r w:rsidR="007B531E">
        <w:rPr>
          <w:color w:val="000000"/>
          <w:sz w:val="26"/>
        </w:rPr>
        <w:t xml:space="preserve">.  </w:t>
      </w:r>
      <w:bookmarkStart w:id="0" w:name="_Hlk505935162"/>
      <w:r w:rsidR="007E3865">
        <w:rPr>
          <w:color w:val="000000"/>
          <w:sz w:val="26"/>
        </w:rPr>
        <w:t>PECO Energy Company</w:t>
      </w:r>
      <w:r w:rsidR="00C374D9">
        <w:rPr>
          <w:color w:val="000000"/>
          <w:sz w:val="26"/>
        </w:rPr>
        <w:t xml:space="preserve"> </w:t>
      </w:r>
      <w:r w:rsidR="003E0FD0">
        <w:rPr>
          <w:color w:val="000000"/>
          <w:sz w:val="26"/>
        </w:rPr>
        <w:t>(P</w:t>
      </w:r>
      <w:r w:rsidR="007E3865">
        <w:rPr>
          <w:color w:val="000000"/>
          <w:sz w:val="26"/>
        </w:rPr>
        <w:t>ECO</w:t>
      </w:r>
      <w:r w:rsidR="003E0FD0">
        <w:rPr>
          <w:color w:val="000000"/>
          <w:sz w:val="26"/>
        </w:rPr>
        <w:t xml:space="preserve"> or</w:t>
      </w:r>
      <w:r w:rsidR="00E94CF8">
        <w:rPr>
          <w:color w:val="000000"/>
          <w:sz w:val="26"/>
        </w:rPr>
        <w:t xml:space="preserve"> the</w:t>
      </w:r>
      <w:r w:rsidR="003E0FD0">
        <w:rPr>
          <w:color w:val="000000"/>
          <w:sz w:val="26"/>
        </w:rPr>
        <w:t xml:space="preserve"> Respondent)</w:t>
      </w:r>
      <w:r w:rsidR="006D3762">
        <w:rPr>
          <w:color w:val="000000"/>
          <w:sz w:val="26"/>
        </w:rPr>
        <w:t xml:space="preserve"> filed Replies to Exceptions</w:t>
      </w:r>
      <w:r w:rsidR="00671E4C">
        <w:rPr>
          <w:color w:val="000000"/>
          <w:sz w:val="26"/>
        </w:rPr>
        <w:t xml:space="preserve">.  </w:t>
      </w:r>
      <w:bookmarkEnd w:id="0"/>
      <w:r w:rsidR="004A2F50">
        <w:rPr>
          <w:sz w:val="26"/>
          <w:szCs w:val="26"/>
        </w:rPr>
        <w:t>For the reasons discusse</w:t>
      </w:r>
      <w:r w:rsidR="004A2F50" w:rsidRPr="0009240C">
        <w:rPr>
          <w:sz w:val="26"/>
          <w:szCs w:val="26"/>
        </w:rPr>
        <w:t xml:space="preserve">d below, we </w:t>
      </w:r>
      <w:r w:rsidR="004A2F50">
        <w:rPr>
          <w:sz w:val="26"/>
          <w:szCs w:val="26"/>
        </w:rPr>
        <w:t xml:space="preserve">shall </w:t>
      </w:r>
      <w:r w:rsidR="004A2F50" w:rsidRPr="0009240C">
        <w:rPr>
          <w:sz w:val="26"/>
          <w:szCs w:val="26"/>
        </w:rPr>
        <w:t>grant, in part, and deny, in part, the Exceptions</w:t>
      </w:r>
      <w:r w:rsidR="004A2F50">
        <w:rPr>
          <w:sz w:val="26"/>
          <w:szCs w:val="26"/>
        </w:rPr>
        <w:t>.  We also shall adopt, in part, and reverse, in part, the Initial Decision, and remand this proceeding for further fact finding, consistent with this Opinion and Order.</w:t>
      </w:r>
    </w:p>
    <w:p w:rsidR="003E0FD0" w:rsidRDefault="003E0FD0" w:rsidP="000C3A70">
      <w:pPr>
        <w:widowControl/>
        <w:spacing w:line="360" w:lineRule="auto"/>
        <w:contextualSpacing/>
        <w:jc w:val="center"/>
        <w:rPr>
          <w:rFonts w:ascii="Arial" w:hAnsi="Arial" w:cs="Arial"/>
          <w:color w:val="212121"/>
          <w:sz w:val="21"/>
          <w:szCs w:val="21"/>
        </w:rPr>
      </w:pPr>
      <w:bookmarkStart w:id="1" w:name="OLE_LINK1"/>
      <w:bookmarkStart w:id="2" w:name="OLE_LINK2"/>
    </w:p>
    <w:p w:rsidR="00CA43A5" w:rsidRPr="00CA43A5" w:rsidRDefault="00CA43A5" w:rsidP="000C3A70">
      <w:pPr>
        <w:keepNext/>
        <w:keepLines/>
        <w:widowControl/>
        <w:spacing w:line="360" w:lineRule="auto"/>
        <w:contextualSpacing/>
        <w:jc w:val="center"/>
        <w:rPr>
          <w:b/>
          <w:sz w:val="26"/>
          <w:szCs w:val="26"/>
        </w:rPr>
      </w:pPr>
      <w:r w:rsidRPr="00CA43A5">
        <w:rPr>
          <w:b/>
          <w:sz w:val="26"/>
          <w:szCs w:val="26"/>
        </w:rPr>
        <w:lastRenderedPageBreak/>
        <w:t>History of the Proceeding</w:t>
      </w:r>
    </w:p>
    <w:bookmarkEnd w:id="1"/>
    <w:bookmarkEnd w:id="2"/>
    <w:p w:rsidR="007B531E" w:rsidRDefault="007B531E" w:rsidP="000C3A70">
      <w:pPr>
        <w:keepNext/>
        <w:keepLines/>
        <w:widowControl/>
        <w:spacing w:line="360" w:lineRule="auto"/>
        <w:ind w:firstLine="1440"/>
        <w:contextualSpacing/>
        <w:rPr>
          <w:color w:val="212121"/>
          <w:sz w:val="26"/>
          <w:szCs w:val="26"/>
        </w:rPr>
      </w:pPr>
    </w:p>
    <w:p w:rsidR="008156B4" w:rsidRPr="007E3865" w:rsidRDefault="007E3865" w:rsidP="000C3A70">
      <w:pPr>
        <w:widowControl/>
        <w:spacing w:line="360" w:lineRule="auto"/>
        <w:ind w:firstLine="1440"/>
        <w:contextualSpacing/>
        <w:rPr>
          <w:sz w:val="26"/>
          <w:szCs w:val="26"/>
        </w:rPr>
      </w:pPr>
      <w:r w:rsidRPr="007E3865">
        <w:rPr>
          <w:sz w:val="26"/>
          <w:szCs w:val="26"/>
        </w:rPr>
        <w:t xml:space="preserve">On March 2, 2017, the Complainant filed a </w:t>
      </w:r>
      <w:r w:rsidR="00A5001F">
        <w:rPr>
          <w:sz w:val="26"/>
          <w:szCs w:val="26"/>
        </w:rPr>
        <w:t>Formal C</w:t>
      </w:r>
      <w:r w:rsidRPr="007E3865">
        <w:rPr>
          <w:sz w:val="26"/>
          <w:szCs w:val="26"/>
        </w:rPr>
        <w:t>omplaint (Complaint) with the Commission against PECO</w:t>
      </w:r>
      <w:r w:rsidR="00692043">
        <w:rPr>
          <w:sz w:val="26"/>
          <w:szCs w:val="26"/>
        </w:rPr>
        <w:t xml:space="preserve">, disputing charges on the Complainant’s bill related to </w:t>
      </w:r>
      <w:r w:rsidR="003020E8">
        <w:rPr>
          <w:sz w:val="26"/>
          <w:szCs w:val="26"/>
        </w:rPr>
        <w:t xml:space="preserve">a </w:t>
      </w:r>
      <w:r w:rsidR="00692043">
        <w:rPr>
          <w:sz w:val="26"/>
          <w:szCs w:val="26"/>
        </w:rPr>
        <w:t>foreign load</w:t>
      </w:r>
      <w:r w:rsidRPr="007E3865">
        <w:rPr>
          <w:sz w:val="26"/>
          <w:szCs w:val="26"/>
        </w:rPr>
        <w:t xml:space="preserve">. </w:t>
      </w:r>
      <w:r w:rsidR="00692043">
        <w:rPr>
          <w:sz w:val="26"/>
          <w:szCs w:val="26"/>
        </w:rPr>
        <w:t xml:space="preserve"> </w:t>
      </w:r>
      <w:r w:rsidRPr="007E3865">
        <w:rPr>
          <w:sz w:val="26"/>
          <w:szCs w:val="26"/>
        </w:rPr>
        <w:t xml:space="preserve">The Complaint is a timely appeal of the Commission’s Bureau of Consumer Services (BCS) </w:t>
      </w:r>
      <w:r w:rsidR="00B66066">
        <w:rPr>
          <w:sz w:val="26"/>
          <w:szCs w:val="26"/>
        </w:rPr>
        <w:t xml:space="preserve">informal </w:t>
      </w:r>
      <w:r w:rsidRPr="007E3865">
        <w:rPr>
          <w:sz w:val="26"/>
          <w:szCs w:val="26"/>
        </w:rPr>
        <w:t>decision, dated January 24, 2017 at BCS No.</w:t>
      </w:r>
      <w:r w:rsidR="00A5001F">
        <w:rPr>
          <w:sz w:val="26"/>
          <w:szCs w:val="26"/>
        </w:rPr>
        <w:t> 3</w:t>
      </w:r>
      <w:r w:rsidRPr="007E3865">
        <w:rPr>
          <w:sz w:val="26"/>
          <w:szCs w:val="26"/>
        </w:rPr>
        <w:t>486291, dismissing the Complainant’s informal complaint.</w:t>
      </w:r>
      <w:r w:rsidR="00692043">
        <w:rPr>
          <w:sz w:val="26"/>
          <w:szCs w:val="26"/>
        </w:rPr>
        <w:t xml:space="preserve">  I.D. at 1.</w:t>
      </w:r>
    </w:p>
    <w:p w:rsidR="007E3865" w:rsidRPr="007E3865" w:rsidRDefault="007E3865" w:rsidP="000C3A70">
      <w:pPr>
        <w:widowControl/>
        <w:spacing w:line="360" w:lineRule="auto"/>
        <w:ind w:firstLine="1440"/>
        <w:contextualSpacing/>
        <w:rPr>
          <w:sz w:val="26"/>
          <w:szCs w:val="26"/>
        </w:rPr>
      </w:pPr>
    </w:p>
    <w:p w:rsidR="009B7971" w:rsidRDefault="007E3865" w:rsidP="000C3A70">
      <w:pPr>
        <w:pStyle w:val="Default"/>
        <w:spacing w:line="360" w:lineRule="auto"/>
        <w:ind w:firstLine="1440"/>
        <w:contextualSpacing/>
        <w:rPr>
          <w:sz w:val="26"/>
          <w:szCs w:val="26"/>
        </w:rPr>
      </w:pPr>
      <w:r w:rsidRPr="007E3865">
        <w:rPr>
          <w:sz w:val="26"/>
          <w:szCs w:val="26"/>
        </w:rPr>
        <w:t>On March 9,</w:t>
      </w:r>
      <w:r w:rsidR="00692043">
        <w:rPr>
          <w:sz w:val="26"/>
          <w:szCs w:val="26"/>
        </w:rPr>
        <w:t xml:space="preserve"> 2017, the Respondent filed an Answer and Preliminary O</w:t>
      </w:r>
      <w:r w:rsidRPr="007E3865">
        <w:rPr>
          <w:sz w:val="26"/>
          <w:szCs w:val="26"/>
        </w:rPr>
        <w:t>bjections.</w:t>
      </w:r>
      <w:r w:rsidR="00692043">
        <w:rPr>
          <w:sz w:val="26"/>
          <w:szCs w:val="26"/>
        </w:rPr>
        <w:t xml:space="preserve"> </w:t>
      </w:r>
      <w:r w:rsidR="009B7971">
        <w:rPr>
          <w:sz w:val="26"/>
          <w:szCs w:val="26"/>
        </w:rPr>
        <w:t xml:space="preserve"> </w:t>
      </w:r>
      <w:r w:rsidR="00E125BC">
        <w:rPr>
          <w:sz w:val="26"/>
          <w:szCs w:val="26"/>
        </w:rPr>
        <w:t xml:space="preserve">I.D. at 2.  </w:t>
      </w:r>
      <w:r w:rsidR="009B7971">
        <w:rPr>
          <w:sz w:val="26"/>
          <w:szCs w:val="26"/>
        </w:rPr>
        <w:t xml:space="preserve">On March 23, 2017, the Respondent filed amended Preliminary Objections. </w:t>
      </w:r>
      <w:r w:rsidR="00E125BC">
        <w:rPr>
          <w:sz w:val="26"/>
          <w:szCs w:val="26"/>
        </w:rPr>
        <w:t xml:space="preserve"> </w:t>
      </w:r>
      <w:r w:rsidR="00E125BC" w:rsidRPr="00945E86">
        <w:rPr>
          <w:sz w:val="26"/>
          <w:szCs w:val="26"/>
        </w:rPr>
        <w:t>I.D.</w:t>
      </w:r>
      <w:r w:rsidR="00E125BC">
        <w:rPr>
          <w:sz w:val="26"/>
          <w:szCs w:val="26"/>
        </w:rPr>
        <w:t xml:space="preserve"> at 3.  </w:t>
      </w:r>
      <w:r w:rsidR="009B7971">
        <w:rPr>
          <w:sz w:val="26"/>
          <w:szCs w:val="26"/>
        </w:rPr>
        <w:t xml:space="preserve">On April 19, 2017, the Complainant filed an answer to the Respondent’s Preliminary </w:t>
      </w:r>
      <w:r w:rsidR="009B7971" w:rsidRPr="00E125BC">
        <w:rPr>
          <w:sz w:val="26"/>
          <w:szCs w:val="26"/>
        </w:rPr>
        <w:t>Objections.</w:t>
      </w:r>
      <w:r w:rsidR="003020E8" w:rsidRPr="00E125BC">
        <w:rPr>
          <w:sz w:val="26"/>
          <w:szCs w:val="26"/>
        </w:rPr>
        <w:t xml:space="preserve">  </w:t>
      </w:r>
      <w:r w:rsidR="00E125BC" w:rsidRPr="00945E86">
        <w:rPr>
          <w:sz w:val="26"/>
          <w:szCs w:val="26"/>
        </w:rPr>
        <w:t>I.D. at 3</w:t>
      </w:r>
      <w:r w:rsidR="00E125BC" w:rsidRPr="00E125BC">
        <w:rPr>
          <w:sz w:val="26"/>
          <w:szCs w:val="26"/>
        </w:rPr>
        <w:t>.</w:t>
      </w:r>
    </w:p>
    <w:p w:rsidR="009B7971" w:rsidRDefault="009B7971" w:rsidP="000C3A70">
      <w:pPr>
        <w:pStyle w:val="Default"/>
        <w:spacing w:line="360" w:lineRule="auto"/>
        <w:contextualSpacing/>
        <w:rPr>
          <w:sz w:val="26"/>
          <w:szCs w:val="26"/>
        </w:rPr>
      </w:pPr>
    </w:p>
    <w:p w:rsidR="00C2663C" w:rsidRDefault="009B7971" w:rsidP="000C3A70">
      <w:pPr>
        <w:pStyle w:val="Default"/>
        <w:spacing w:line="360" w:lineRule="auto"/>
        <w:ind w:firstLine="1440"/>
        <w:contextualSpacing/>
        <w:rPr>
          <w:sz w:val="26"/>
          <w:szCs w:val="26"/>
        </w:rPr>
      </w:pPr>
      <w:r>
        <w:rPr>
          <w:sz w:val="26"/>
          <w:szCs w:val="26"/>
        </w:rPr>
        <w:t xml:space="preserve">By notice dated May 12, 2017, the Commission notified the </w:t>
      </w:r>
      <w:r w:rsidR="00522C51">
        <w:rPr>
          <w:sz w:val="26"/>
          <w:szCs w:val="26"/>
        </w:rPr>
        <w:t>P</w:t>
      </w:r>
      <w:r>
        <w:rPr>
          <w:sz w:val="26"/>
          <w:szCs w:val="26"/>
        </w:rPr>
        <w:t xml:space="preserve">arties that it had assigned the case to </w:t>
      </w:r>
      <w:r w:rsidR="003020E8">
        <w:rPr>
          <w:sz w:val="26"/>
          <w:szCs w:val="26"/>
        </w:rPr>
        <w:t>ALJ Salapa</w:t>
      </w:r>
      <w:r>
        <w:rPr>
          <w:sz w:val="26"/>
          <w:szCs w:val="26"/>
        </w:rPr>
        <w:t xml:space="preserve"> as motion judge. </w:t>
      </w:r>
      <w:r w:rsidR="00C2663C">
        <w:rPr>
          <w:sz w:val="26"/>
          <w:szCs w:val="26"/>
        </w:rPr>
        <w:t xml:space="preserve"> I.D. at 3.</w:t>
      </w:r>
    </w:p>
    <w:p w:rsidR="00C2663C" w:rsidRDefault="00C2663C" w:rsidP="000C3A70">
      <w:pPr>
        <w:pStyle w:val="Default"/>
        <w:spacing w:line="360" w:lineRule="auto"/>
        <w:ind w:firstLine="1440"/>
        <w:contextualSpacing/>
        <w:rPr>
          <w:sz w:val="26"/>
          <w:szCs w:val="26"/>
        </w:rPr>
      </w:pPr>
    </w:p>
    <w:p w:rsidR="003020E8" w:rsidRDefault="009B7971" w:rsidP="000C3A70">
      <w:pPr>
        <w:pStyle w:val="Default"/>
        <w:spacing w:line="360" w:lineRule="auto"/>
        <w:ind w:firstLine="1440"/>
        <w:contextualSpacing/>
        <w:rPr>
          <w:sz w:val="26"/>
          <w:szCs w:val="26"/>
        </w:rPr>
      </w:pPr>
      <w:r>
        <w:rPr>
          <w:sz w:val="26"/>
          <w:szCs w:val="26"/>
        </w:rPr>
        <w:t xml:space="preserve">On </w:t>
      </w:r>
      <w:r w:rsidR="00915E9B">
        <w:rPr>
          <w:sz w:val="26"/>
          <w:szCs w:val="26"/>
        </w:rPr>
        <w:t>June 12</w:t>
      </w:r>
      <w:r>
        <w:rPr>
          <w:sz w:val="26"/>
          <w:szCs w:val="26"/>
        </w:rPr>
        <w:t>, 2017, the Commission issued the Initial Decision of ALJ Salapa, which sustained the Preliminary Objections</w:t>
      </w:r>
      <w:r w:rsidR="003020E8">
        <w:rPr>
          <w:sz w:val="26"/>
          <w:szCs w:val="26"/>
        </w:rPr>
        <w:t xml:space="preserve"> and dismissed the Complaint.  </w:t>
      </w:r>
    </w:p>
    <w:p w:rsidR="003020E8" w:rsidRDefault="003020E8" w:rsidP="000C3A70">
      <w:pPr>
        <w:pStyle w:val="Default"/>
        <w:spacing w:line="360" w:lineRule="auto"/>
        <w:ind w:firstLine="1440"/>
        <w:contextualSpacing/>
        <w:rPr>
          <w:sz w:val="26"/>
          <w:szCs w:val="26"/>
        </w:rPr>
      </w:pPr>
    </w:p>
    <w:p w:rsidR="009B7971" w:rsidRPr="007E3865" w:rsidRDefault="003020E8" w:rsidP="000C3A70">
      <w:pPr>
        <w:pStyle w:val="Default"/>
        <w:spacing w:line="360" w:lineRule="auto"/>
        <w:ind w:firstLine="1440"/>
        <w:contextualSpacing/>
        <w:rPr>
          <w:color w:val="212121"/>
          <w:sz w:val="26"/>
          <w:szCs w:val="26"/>
        </w:rPr>
      </w:pPr>
      <w:r>
        <w:rPr>
          <w:sz w:val="26"/>
          <w:szCs w:val="26"/>
        </w:rPr>
        <w:t>On June 19, 2017, the Complainant filed Exceptions</w:t>
      </w:r>
      <w:r w:rsidR="00945E86" w:rsidRPr="00A75365">
        <w:rPr>
          <w:sz w:val="26"/>
          <w:szCs w:val="26"/>
          <w:vertAlign w:val="superscript"/>
        </w:rPr>
        <w:footnoteReference w:id="1"/>
      </w:r>
      <w:r w:rsidR="00945E86" w:rsidRPr="00A75365">
        <w:rPr>
          <w:sz w:val="26"/>
          <w:szCs w:val="26"/>
        </w:rPr>
        <w:t xml:space="preserve"> </w:t>
      </w:r>
      <w:r>
        <w:rPr>
          <w:sz w:val="26"/>
          <w:szCs w:val="26"/>
        </w:rPr>
        <w:t>to the Initial Decision of ALJ Salapa.  On June 20, 2017, the Respondent filed Replies to Exceptions.</w:t>
      </w:r>
    </w:p>
    <w:p w:rsidR="00EA0680" w:rsidRDefault="00EA0680" w:rsidP="000C3A70">
      <w:pPr>
        <w:widowControl/>
        <w:spacing w:line="360" w:lineRule="auto"/>
        <w:ind w:firstLine="1440"/>
        <w:contextualSpacing/>
        <w:rPr>
          <w:color w:val="212121"/>
          <w:sz w:val="26"/>
          <w:szCs w:val="26"/>
        </w:rPr>
      </w:pPr>
    </w:p>
    <w:p w:rsidR="00CA43A5" w:rsidRDefault="00CA43A5" w:rsidP="000C3A70">
      <w:pPr>
        <w:keepNext/>
        <w:keepLines/>
        <w:widowControl/>
        <w:spacing w:line="360" w:lineRule="auto"/>
        <w:contextualSpacing/>
        <w:jc w:val="center"/>
        <w:rPr>
          <w:b/>
          <w:sz w:val="26"/>
          <w:szCs w:val="26"/>
        </w:rPr>
      </w:pPr>
      <w:r w:rsidRPr="00CA43A5">
        <w:rPr>
          <w:b/>
          <w:sz w:val="26"/>
          <w:szCs w:val="26"/>
        </w:rPr>
        <w:lastRenderedPageBreak/>
        <w:t>Discussion</w:t>
      </w:r>
    </w:p>
    <w:p w:rsidR="009B7971" w:rsidRDefault="009B7971" w:rsidP="000C3A70">
      <w:pPr>
        <w:keepNext/>
        <w:keepLines/>
        <w:widowControl/>
        <w:spacing w:line="360" w:lineRule="auto"/>
        <w:ind w:firstLine="1440"/>
        <w:contextualSpacing/>
        <w:rPr>
          <w:sz w:val="26"/>
          <w:szCs w:val="26"/>
        </w:rPr>
      </w:pPr>
    </w:p>
    <w:p w:rsidR="009B7971" w:rsidRDefault="009B7971" w:rsidP="000C3A70">
      <w:pPr>
        <w:widowControl/>
        <w:spacing w:line="360" w:lineRule="auto"/>
        <w:ind w:firstLine="1440"/>
        <w:contextualSpacing/>
        <w:rPr>
          <w:sz w:val="26"/>
          <w:szCs w:val="26"/>
        </w:rPr>
      </w:pPr>
      <w:r>
        <w:rPr>
          <w:sz w:val="26"/>
          <w:szCs w:val="26"/>
        </w:rPr>
        <w:t>As a preliminary matter, we note that we are</w:t>
      </w:r>
      <w:r w:rsidRPr="002A6750">
        <w:rPr>
          <w:sz w:val="26"/>
          <w:szCs w:val="26"/>
        </w:rPr>
        <w:t xml:space="preserve"> not required to consider expressly or at length each contention or argument raised by the parties.  </w:t>
      </w:r>
      <w:hyperlink r:id="rId8" w:history="1">
        <w:r w:rsidRPr="002A6750">
          <w:rPr>
            <w:rStyle w:val="Emphasis"/>
            <w:color w:val="000000"/>
            <w:sz w:val="26"/>
            <w:szCs w:val="26"/>
          </w:rPr>
          <w:t xml:space="preserve">Consolidated Rail Corp. v. Pa. PUC, </w:t>
        </w:r>
        <w:r w:rsidRPr="002A6750">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9" w:history="1">
        <w:r w:rsidRPr="002A6750">
          <w:rPr>
            <w:rStyle w:val="Emphasis"/>
            <w:color w:val="000000"/>
            <w:sz w:val="26"/>
            <w:szCs w:val="26"/>
          </w:rPr>
          <w:t>University of Pennsylvania v. Pa. PUC</w:t>
        </w:r>
        <w:r w:rsidRPr="002A6750">
          <w:rPr>
            <w:rStyle w:val="Hyperlink"/>
            <w:color w:val="000000"/>
            <w:sz w:val="26"/>
            <w:szCs w:val="26"/>
            <w:u w:val="none"/>
          </w:rPr>
          <w:t>, 485 A.2d 1217 (Pa. Cmwlth. 1984).</w:t>
        </w:r>
      </w:hyperlink>
      <w:r>
        <w:rPr>
          <w:rStyle w:val="Hyperlink"/>
          <w:color w:val="000000"/>
          <w:sz w:val="26"/>
          <w:szCs w:val="26"/>
          <w:u w:val="none"/>
        </w:rPr>
        <w:t xml:space="preserve">  Therefore,</w:t>
      </w:r>
      <w:r w:rsidRPr="002A6750">
        <w:rPr>
          <w:sz w:val="26"/>
          <w:szCs w:val="26"/>
        </w:rPr>
        <w:t xml:space="preserve"> </w:t>
      </w:r>
      <w:r>
        <w:rPr>
          <w:sz w:val="26"/>
          <w:szCs w:val="26"/>
        </w:rPr>
        <w:t>a</w:t>
      </w:r>
      <w:r w:rsidRPr="002A6750">
        <w:rPr>
          <w:sz w:val="26"/>
          <w:szCs w:val="26"/>
        </w:rPr>
        <w:t xml:space="preserve">ny issue that </w:t>
      </w:r>
      <w:r>
        <w:rPr>
          <w:sz w:val="26"/>
          <w:szCs w:val="26"/>
        </w:rPr>
        <w:t>the Commission</w:t>
      </w:r>
      <w:r w:rsidRPr="002A6750">
        <w:rPr>
          <w:sz w:val="26"/>
          <w:szCs w:val="26"/>
        </w:rPr>
        <w:t xml:space="preserve"> do</w:t>
      </w:r>
      <w:r>
        <w:rPr>
          <w:sz w:val="26"/>
          <w:szCs w:val="26"/>
        </w:rPr>
        <w:t>es</w:t>
      </w:r>
      <w:r w:rsidRPr="002A6750">
        <w:rPr>
          <w:sz w:val="26"/>
          <w:szCs w:val="26"/>
        </w:rPr>
        <w:t xml:space="preserve"> not specifically</w:t>
      </w:r>
      <w:r>
        <w:rPr>
          <w:sz w:val="26"/>
          <w:szCs w:val="26"/>
        </w:rPr>
        <w:t xml:space="preserve"> address or</w:t>
      </w:r>
      <w:r w:rsidRPr="002A6750">
        <w:rPr>
          <w:sz w:val="26"/>
          <w:szCs w:val="26"/>
        </w:rPr>
        <w:t xml:space="preserve"> delineate </w:t>
      </w:r>
      <w:r>
        <w:rPr>
          <w:sz w:val="26"/>
          <w:szCs w:val="26"/>
        </w:rPr>
        <w:t xml:space="preserve">in its decision </w:t>
      </w:r>
      <w:r w:rsidRPr="002A6750">
        <w:rPr>
          <w:sz w:val="26"/>
          <w:szCs w:val="26"/>
        </w:rPr>
        <w:t>shall be deemed to have been duly considered and denied without further discussion.</w:t>
      </w:r>
    </w:p>
    <w:p w:rsidR="00037078" w:rsidRDefault="00037078" w:rsidP="000C3A70">
      <w:pPr>
        <w:widowControl/>
        <w:spacing w:line="360" w:lineRule="auto"/>
        <w:ind w:firstLine="1440"/>
        <w:contextualSpacing/>
        <w:rPr>
          <w:sz w:val="26"/>
          <w:szCs w:val="26"/>
        </w:rPr>
      </w:pPr>
    </w:p>
    <w:p w:rsidR="00523F5A" w:rsidRDefault="00523F5A" w:rsidP="000C3A70">
      <w:pPr>
        <w:keepNext/>
        <w:widowControl/>
        <w:spacing w:line="360" w:lineRule="auto"/>
        <w:contextualSpacing/>
        <w:rPr>
          <w:sz w:val="26"/>
          <w:szCs w:val="26"/>
        </w:rPr>
      </w:pPr>
      <w:r>
        <w:rPr>
          <w:b/>
          <w:sz w:val="26"/>
          <w:szCs w:val="26"/>
        </w:rPr>
        <w:t>Legal Standard</w:t>
      </w:r>
      <w:r w:rsidR="00037078">
        <w:rPr>
          <w:b/>
          <w:sz w:val="26"/>
          <w:szCs w:val="26"/>
        </w:rPr>
        <w:t>s</w:t>
      </w:r>
      <w:r w:rsidR="00F37CB2">
        <w:rPr>
          <w:b/>
          <w:sz w:val="26"/>
          <w:szCs w:val="26"/>
        </w:rPr>
        <w:t xml:space="preserve"> </w:t>
      </w:r>
    </w:p>
    <w:p w:rsidR="00E34567" w:rsidRDefault="00E34567" w:rsidP="000C3A70">
      <w:pPr>
        <w:keepNext/>
        <w:widowControl/>
        <w:spacing w:line="360" w:lineRule="auto"/>
        <w:contextualSpacing/>
        <w:rPr>
          <w:sz w:val="26"/>
          <w:szCs w:val="26"/>
        </w:rPr>
      </w:pPr>
    </w:p>
    <w:p w:rsidR="00E34567" w:rsidRPr="00E34567" w:rsidRDefault="00E34567" w:rsidP="000C3A70">
      <w:pPr>
        <w:keepNext/>
        <w:widowControl/>
        <w:spacing w:line="360" w:lineRule="auto"/>
        <w:contextualSpacing/>
        <w:rPr>
          <w:b/>
          <w:sz w:val="26"/>
          <w:szCs w:val="26"/>
        </w:rPr>
      </w:pPr>
      <w:r>
        <w:rPr>
          <w:sz w:val="26"/>
          <w:szCs w:val="26"/>
        </w:rPr>
        <w:tab/>
      </w:r>
      <w:r w:rsidRPr="00E34567">
        <w:rPr>
          <w:b/>
          <w:sz w:val="26"/>
          <w:szCs w:val="26"/>
        </w:rPr>
        <w:t>Preliminary Objections</w:t>
      </w:r>
    </w:p>
    <w:p w:rsidR="00E34567" w:rsidRDefault="00E34567" w:rsidP="000C3A70">
      <w:pPr>
        <w:keepNext/>
        <w:widowControl/>
        <w:spacing w:line="360" w:lineRule="auto"/>
        <w:contextualSpacing/>
        <w:rPr>
          <w:sz w:val="26"/>
          <w:szCs w:val="26"/>
        </w:rPr>
      </w:pPr>
    </w:p>
    <w:p w:rsidR="00523F5A" w:rsidRDefault="00523F5A" w:rsidP="000C3A70">
      <w:pPr>
        <w:pStyle w:val="Default"/>
        <w:spacing w:line="360" w:lineRule="auto"/>
        <w:ind w:firstLine="1440"/>
        <w:contextualSpacing/>
        <w:rPr>
          <w:sz w:val="26"/>
          <w:szCs w:val="26"/>
        </w:rPr>
      </w:pPr>
      <w:r>
        <w:rPr>
          <w:sz w:val="26"/>
          <w:szCs w:val="26"/>
        </w:rPr>
        <w:t>Section 5.101(a) of our Rules of Practice and Procedure states that preliminary objections are available to parties and may be filed in response to a pleading.  52 Pa. Code § 5.101(a).  Preliminary objections must be accompanied by a notice to plead, and must state specifically the legal and factual grounds relied upon, and be</w:t>
      </w:r>
      <w:r w:rsidRPr="006824C2">
        <w:rPr>
          <w:sz w:val="26"/>
          <w:szCs w:val="26"/>
        </w:rPr>
        <w:t xml:space="preserve"> limited to </w:t>
      </w:r>
      <w:r>
        <w:rPr>
          <w:sz w:val="26"/>
          <w:szCs w:val="26"/>
        </w:rPr>
        <w:t>the following</w:t>
      </w:r>
      <w:r w:rsidRPr="006824C2">
        <w:rPr>
          <w:sz w:val="26"/>
          <w:szCs w:val="26"/>
        </w:rPr>
        <w:t xml:space="preserve">: </w:t>
      </w:r>
    </w:p>
    <w:p w:rsidR="00523F5A" w:rsidRPr="006824C2" w:rsidRDefault="00523F5A" w:rsidP="000C3A70">
      <w:pPr>
        <w:pStyle w:val="Default"/>
        <w:spacing w:line="360" w:lineRule="auto"/>
        <w:ind w:firstLine="720"/>
        <w:contextualSpacing/>
        <w:rPr>
          <w:sz w:val="26"/>
          <w:szCs w:val="26"/>
        </w:rPr>
      </w:pPr>
    </w:p>
    <w:p w:rsidR="00523F5A" w:rsidRPr="006824C2" w:rsidRDefault="00523F5A" w:rsidP="000C3A70">
      <w:pPr>
        <w:pStyle w:val="Default"/>
        <w:ind w:left="2160" w:right="1440"/>
        <w:contextualSpacing/>
        <w:rPr>
          <w:sz w:val="26"/>
          <w:szCs w:val="26"/>
        </w:rPr>
      </w:pPr>
      <w:r w:rsidRPr="006824C2">
        <w:rPr>
          <w:sz w:val="26"/>
          <w:szCs w:val="26"/>
        </w:rPr>
        <w:t xml:space="preserve">1. Lack of Commission jurisdiction or improper service of the pleading initiating the proceeding. </w:t>
      </w:r>
    </w:p>
    <w:p w:rsidR="00523F5A" w:rsidRPr="006824C2" w:rsidRDefault="00523F5A" w:rsidP="000C3A70">
      <w:pPr>
        <w:pStyle w:val="Default"/>
        <w:ind w:left="1440" w:right="1440" w:firstLine="720"/>
        <w:contextualSpacing/>
        <w:rPr>
          <w:sz w:val="26"/>
          <w:szCs w:val="26"/>
        </w:rPr>
      </w:pPr>
    </w:p>
    <w:p w:rsidR="00523F5A" w:rsidRPr="006824C2" w:rsidRDefault="00523F5A" w:rsidP="000C3A70">
      <w:pPr>
        <w:pStyle w:val="Default"/>
        <w:ind w:left="2160" w:right="1440"/>
        <w:contextualSpacing/>
        <w:rPr>
          <w:sz w:val="26"/>
          <w:szCs w:val="26"/>
        </w:rPr>
      </w:pPr>
      <w:r w:rsidRPr="006824C2">
        <w:rPr>
          <w:sz w:val="26"/>
          <w:szCs w:val="26"/>
        </w:rPr>
        <w:t xml:space="preserve">2. Failure of a pleading to conform to this chapter or the inclusion of scandalous or impertinent matter. </w:t>
      </w:r>
    </w:p>
    <w:p w:rsidR="00523F5A" w:rsidRPr="006824C2" w:rsidRDefault="00523F5A" w:rsidP="000C3A70">
      <w:pPr>
        <w:pStyle w:val="Default"/>
        <w:ind w:left="1440" w:right="1440" w:firstLine="720"/>
        <w:contextualSpacing/>
        <w:rPr>
          <w:sz w:val="26"/>
          <w:szCs w:val="26"/>
        </w:rPr>
      </w:pPr>
    </w:p>
    <w:p w:rsidR="00523F5A" w:rsidRPr="006824C2" w:rsidRDefault="00523F5A" w:rsidP="000C3A70">
      <w:pPr>
        <w:pStyle w:val="Default"/>
        <w:ind w:left="1440" w:right="1440" w:firstLine="720"/>
        <w:contextualSpacing/>
        <w:rPr>
          <w:sz w:val="26"/>
          <w:szCs w:val="26"/>
        </w:rPr>
      </w:pPr>
      <w:r w:rsidRPr="006824C2">
        <w:rPr>
          <w:sz w:val="26"/>
          <w:szCs w:val="26"/>
        </w:rPr>
        <w:t xml:space="preserve">3. Insufficient specificity of a pleading. </w:t>
      </w:r>
    </w:p>
    <w:p w:rsidR="00523F5A" w:rsidRPr="006824C2" w:rsidRDefault="00523F5A" w:rsidP="000C3A70">
      <w:pPr>
        <w:pStyle w:val="Default"/>
        <w:ind w:left="1440" w:right="1440" w:firstLine="720"/>
        <w:contextualSpacing/>
        <w:rPr>
          <w:sz w:val="26"/>
          <w:szCs w:val="26"/>
        </w:rPr>
      </w:pPr>
    </w:p>
    <w:p w:rsidR="00523F5A" w:rsidRPr="006824C2" w:rsidRDefault="00523F5A" w:rsidP="000C3A70">
      <w:pPr>
        <w:pStyle w:val="Default"/>
        <w:ind w:left="1440" w:right="1440" w:firstLine="720"/>
        <w:contextualSpacing/>
        <w:rPr>
          <w:sz w:val="26"/>
          <w:szCs w:val="26"/>
        </w:rPr>
      </w:pPr>
      <w:r w:rsidRPr="006824C2">
        <w:rPr>
          <w:sz w:val="26"/>
          <w:szCs w:val="26"/>
        </w:rPr>
        <w:t xml:space="preserve">4. Legal insufficiency of a pleading. </w:t>
      </w:r>
    </w:p>
    <w:p w:rsidR="00523F5A" w:rsidRPr="006824C2" w:rsidRDefault="00523F5A" w:rsidP="000C3A70">
      <w:pPr>
        <w:pStyle w:val="Default"/>
        <w:ind w:left="1440" w:right="1440" w:firstLine="720"/>
        <w:contextualSpacing/>
        <w:rPr>
          <w:sz w:val="26"/>
          <w:szCs w:val="26"/>
        </w:rPr>
      </w:pPr>
    </w:p>
    <w:p w:rsidR="00523F5A" w:rsidRPr="006824C2" w:rsidRDefault="00523F5A" w:rsidP="000C3A70">
      <w:pPr>
        <w:pStyle w:val="Default"/>
        <w:ind w:left="2160" w:right="1440"/>
        <w:contextualSpacing/>
        <w:rPr>
          <w:sz w:val="26"/>
          <w:szCs w:val="26"/>
        </w:rPr>
      </w:pPr>
      <w:r w:rsidRPr="006824C2">
        <w:rPr>
          <w:sz w:val="26"/>
          <w:szCs w:val="26"/>
        </w:rPr>
        <w:t xml:space="preserve">5. Lack of capacity to sue, nonjoinder of a necessary party or misjoinder of a cause of action. </w:t>
      </w:r>
    </w:p>
    <w:p w:rsidR="00523F5A" w:rsidRPr="006824C2" w:rsidRDefault="00523F5A" w:rsidP="000C3A70">
      <w:pPr>
        <w:pStyle w:val="Default"/>
        <w:ind w:left="1440" w:right="1440" w:firstLine="720"/>
        <w:contextualSpacing/>
        <w:rPr>
          <w:sz w:val="26"/>
          <w:szCs w:val="26"/>
        </w:rPr>
      </w:pPr>
    </w:p>
    <w:p w:rsidR="00523F5A" w:rsidRPr="006824C2" w:rsidRDefault="00523F5A" w:rsidP="000C3A70">
      <w:pPr>
        <w:pStyle w:val="Default"/>
        <w:ind w:left="2160" w:right="1440"/>
        <w:contextualSpacing/>
        <w:rPr>
          <w:sz w:val="26"/>
          <w:szCs w:val="26"/>
        </w:rPr>
      </w:pPr>
      <w:r w:rsidRPr="006824C2">
        <w:rPr>
          <w:sz w:val="26"/>
          <w:szCs w:val="26"/>
        </w:rPr>
        <w:lastRenderedPageBreak/>
        <w:t xml:space="preserve">6. Pendency of a prior proceeding or agreement for alternative dispute resolution. </w:t>
      </w:r>
    </w:p>
    <w:p w:rsidR="00523F5A" w:rsidRPr="006824C2" w:rsidRDefault="00523F5A" w:rsidP="000C3A70">
      <w:pPr>
        <w:pStyle w:val="Default"/>
        <w:ind w:left="1440" w:right="1440" w:firstLine="720"/>
        <w:contextualSpacing/>
        <w:rPr>
          <w:sz w:val="26"/>
          <w:szCs w:val="26"/>
        </w:rPr>
      </w:pPr>
    </w:p>
    <w:p w:rsidR="00523F5A" w:rsidRDefault="00523F5A" w:rsidP="000C3A70">
      <w:pPr>
        <w:keepNext/>
        <w:keepLines/>
        <w:widowControl/>
        <w:ind w:left="1440" w:right="1440" w:firstLine="720"/>
        <w:contextualSpacing/>
        <w:rPr>
          <w:sz w:val="26"/>
          <w:szCs w:val="26"/>
        </w:rPr>
      </w:pPr>
      <w:r w:rsidRPr="006824C2">
        <w:rPr>
          <w:sz w:val="26"/>
          <w:szCs w:val="26"/>
        </w:rPr>
        <w:t>7. Standing of a party to participate in the proceeding.</w:t>
      </w:r>
    </w:p>
    <w:p w:rsidR="00A5001F" w:rsidRDefault="00A5001F" w:rsidP="000C3A70">
      <w:pPr>
        <w:keepNext/>
        <w:keepLines/>
        <w:widowControl/>
        <w:ind w:left="1440" w:right="1440" w:firstLine="720"/>
        <w:contextualSpacing/>
        <w:rPr>
          <w:sz w:val="26"/>
          <w:szCs w:val="26"/>
        </w:rPr>
      </w:pPr>
    </w:p>
    <w:p w:rsidR="00A5001F" w:rsidRPr="006824C2" w:rsidRDefault="00A5001F" w:rsidP="000C3A70">
      <w:pPr>
        <w:keepNext/>
        <w:keepLines/>
        <w:widowControl/>
        <w:ind w:left="1440" w:right="1440" w:firstLine="720"/>
        <w:contextualSpacing/>
        <w:rPr>
          <w:color w:val="000000"/>
          <w:spacing w:val="-3"/>
          <w:sz w:val="26"/>
          <w:szCs w:val="26"/>
          <w:u w:color="000000"/>
        </w:rPr>
      </w:pPr>
    </w:p>
    <w:p w:rsidR="00523F5A" w:rsidRDefault="00523F5A" w:rsidP="000C3A70">
      <w:pPr>
        <w:widowControl/>
        <w:spacing w:line="360" w:lineRule="auto"/>
        <w:contextualSpacing/>
        <w:rPr>
          <w:sz w:val="26"/>
          <w:szCs w:val="26"/>
        </w:rPr>
      </w:pPr>
      <w:r w:rsidRPr="006824C2">
        <w:rPr>
          <w:sz w:val="26"/>
          <w:szCs w:val="26"/>
        </w:rPr>
        <w:t>52 Pa.</w:t>
      </w:r>
      <w:r>
        <w:rPr>
          <w:sz w:val="26"/>
          <w:szCs w:val="26"/>
        </w:rPr>
        <w:t xml:space="preserve"> </w:t>
      </w:r>
      <w:r w:rsidRPr="006824C2">
        <w:rPr>
          <w:sz w:val="26"/>
          <w:szCs w:val="26"/>
        </w:rPr>
        <w:t>Code § 5.101(a)</w:t>
      </w:r>
      <w:r>
        <w:rPr>
          <w:sz w:val="26"/>
          <w:szCs w:val="26"/>
        </w:rPr>
        <w:t>.</w:t>
      </w:r>
    </w:p>
    <w:p w:rsidR="00523F5A" w:rsidRPr="006824C2" w:rsidRDefault="00523F5A" w:rsidP="000C3A70">
      <w:pPr>
        <w:widowControl/>
        <w:spacing w:line="360" w:lineRule="auto"/>
        <w:contextualSpacing/>
        <w:rPr>
          <w:sz w:val="26"/>
          <w:szCs w:val="26"/>
        </w:rPr>
      </w:pPr>
    </w:p>
    <w:p w:rsidR="00523F5A" w:rsidRDefault="00523F5A" w:rsidP="000C3A70">
      <w:pPr>
        <w:widowControl/>
        <w:spacing w:line="360" w:lineRule="auto"/>
        <w:ind w:firstLine="1440"/>
        <w:contextualSpacing/>
        <w:rPr>
          <w:sz w:val="26"/>
          <w:szCs w:val="26"/>
        </w:rPr>
      </w:pPr>
      <w:r>
        <w:rPr>
          <w:sz w:val="26"/>
          <w:szCs w:val="26"/>
        </w:rPr>
        <w:t xml:space="preserve">The </w:t>
      </w:r>
      <w:r w:rsidRPr="006824C2">
        <w:rPr>
          <w:sz w:val="26"/>
          <w:szCs w:val="26"/>
        </w:rPr>
        <w:t>Commission</w:t>
      </w:r>
      <w:r>
        <w:rPr>
          <w:sz w:val="26"/>
          <w:szCs w:val="26"/>
        </w:rPr>
        <w:t>’s</w:t>
      </w:r>
      <w:r w:rsidRPr="006824C2">
        <w:rPr>
          <w:sz w:val="26"/>
          <w:szCs w:val="26"/>
        </w:rPr>
        <w:t xml:space="preserve"> preliminary objection practice is analogous to Pennsylvania civil practice regarding preliminary objections. </w:t>
      </w:r>
      <w:r>
        <w:rPr>
          <w:sz w:val="26"/>
          <w:szCs w:val="26"/>
        </w:rPr>
        <w:t xml:space="preserve"> </w:t>
      </w:r>
      <w:r w:rsidRPr="00E26597">
        <w:rPr>
          <w:i/>
          <w:sz w:val="26"/>
          <w:szCs w:val="26"/>
        </w:rPr>
        <w:t>Equitable Small Transportation Intervenors v. Equitable Gas Company</w:t>
      </w:r>
      <w:r w:rsidRPr="006824C2">
        <w:rPr>
          <w:sz w:val="26"/>
          <w:szCs w:val="26"/>
        </w:rPr>
        <w:t>, 1994 Pa PUC LEXIS 69, Docket No. C-00935435 (July 18, 1994).  Preliminary objections in civil practice requesting dismissal of a pleading will be granted only where the right to relief is clearly warranted and free from doubt.</w:t>
      </w:r>
      <w:r>
        <w:rPr>
          <w:sz w:val="26"/>
          <w:szCs w:val="26"/>
        </w:rPr>
        <w:t xml:space="preserve">  </w:t>
      </w:r>
      <w:r w:rsidRPr="00E26597">
        <w:rPr>
          <w:i/>
          <w:sz w:val="26"/>
          <w:szCs w:val="26"/>
        </w:rPr>
        <w:t>Interstate Traveller Services, Inc. v. Pa. Dept. of Environment Resources</w:t>
      </w:r>
      <w:r w:rsidRPr="006824C2">
        <w:rPr>
          <w:sz w:val="26"/>
          <w:szCs w:val="26"/>
        </w:rPr>
        <w:t xml:space="preserve">, 406 A.2d 1020 (Pa. 1979); </w:t>
      </w:r>
      <w:r w:rsidRPr="00E26597">
        <w:rPr>
          <w:i/>
          <w:sz w:val="26"/>
          <w:szCs w:val="26"/>
        </w:rPr>
        <w:t>Rivera v. Philadelphia Theological Seminary of St. Charles Borromeo, Inc</w:t>
      </w:r>
      <w:r w:rsidRPr="006824C2">
        <w:rPr>
          <w:sz w:val="26"/>
          <w:szCs w:val="26"/>
        </w:rPr>
        <w:t xml:space="preserve">., 595 A.2d 172 (Pa. Super. 1991). </w:t>
      </w:r>
      <w:r>
        <w:rPr>
          <w:sz w:val="26"/>
          <w:szCs w:val="26"/>
        </w:rPr>
        <w:t xml:space="preserve">  </w:t>
      </w:r>
      <w:r w:rsidRPr="006824C2">
        <w:rPr>
          <w:sz w:val="26"/>
          <w:szCs w:val="26"/>
        </w:rPr>
        <w:t xml:space="preserve">The Commission follows this standard. </w:t>
      </w:r>
      <w:r>
        <w:rPr>
          <w:sz w:val="26"/>
          <w:szCs w:val="26"/>
        </w:rPr>
        <w:t xml:space="preserve"> </w:t>
      </w:r>
      <w:r w:rsidRPr="00E26597">
        <w:rPr>
          <w:i/>
          <w:sz w:val="26"/>
          <w:szCs w:val="26"/>
        </w:rPr>
        <w:t>Montague v. Philadelphia Electric Company</w:t>
      </w:r>
      <w:r w:rsidRPr="006824C2">
        <w:rPr>
          <w:sz w:val="26"/>
          <w:szCs w:val="26"/>
        </w:rPr>
        <w:t>, 66 Pa. PUC 24 (1988).</w:t>
      </w:r>
    </w:p>
    <w:p w:rsidR="00523F5A" w:rsidRDefault="00523F5A" w:rsidP="000C3A70">
      <w:pPr>
        <w:widowControl/>
        <w:spacing w:line="360" w:lineRule="auto"/>
        <w:ind w:firstLine="1440"/>
        <w:contextualSpacing/>
        <w:rPr>
          <w:sz w:val="26"/>
          <w:szCs w:val="26"/>
        </w:rPr>
      </w:pPr>
    </w:p>
    <w:p w:rsidR="00523F5A" w:rsidRDefault="00523F5A" w:rsidP="000C3A70">
      <w:pPr>
        <w:widowControl/>
        <w:spacing w:line="360" w:lineRule="auto"/>
        <w:ind w:firstLine="1440"/>
        <w:contextualSpacing/>
        <w:rPr>
          <w:sz w:val="26"/>
          <w:szCs w:val="26"/>
        </w:rPr>
      </w:pPr>
      <w:r w:rsidRPr="006824C2">
        <w:rPr>
          <w:sz w:val="26"/>
          <w:szCs w:val="26"/>
        </w:rPr>
        <w:t>The Commission may not rely upon the factual assertions of the moving party but must accept as true for purposes of disposing of the motion, all well</w:t>
      </w:r>
      <w:r>
        <w:rPr>
          <w:sz w:val="26"/>
          <w:szCs w:val="26"/>
        </w:rPr>
        <w:t>-</w:t>
      </w:r>
      <w:r w:rsidRPr="006824C2">
        <w:rPr>
          <w:sz w:val="26"/>
          <w:szCs w:val="26"/>
        </w:rPr>
        <w:t xml:space="preserve">pleaded, material facts of the nonmoving party, as well as every inference from those facts. </w:t>
      </w:r>
      <w:r w:rsidRPr="00E26597">
        <w:rPr>
          <w:i/>
          <w:sz w:val="26"/>
          <w:szCs w:val="26"/>
        </w:rPr>
        <w:t>County of Allegheny v. Commonwealth of Pennsylvania</w:t>
      </w:r>
      <w:r w:rsidRPr="006824C2">
        <w:rPr>
          <w:sz w:val="26"/>
          <w:szCs w:val="26"/>
        </w:rPr>
        <w:t xml:space="preserve">, 490 A. 2d 402 (Pa. 1985); </w:t>
      </w:r>
      <w:r w:rsidRPr="00E26597">
        <w:rPr>
          <w:i/>
          <w:sz w:val="26"/>
          <w:szCs w:val="26"/>
        </w:rPr>
        <w:t>Commonwealth of Pennsylvania v. Bell Telephone Co. of Pa</w:t>
      </w:r>
      <w:r w:rsidRPr="006824C2">
        <w:rPr>
          <w:sz w:val="26"/>
          <w:szCs w:val="26"/>
        </w:rPr>
        <w:t xml:space="preserve">., 551 A.2d 602 (Pa. Cmwlth. 1988). </w:t>
      </w:r>
      <w:r>
        <w:rPr>
          <w:sz w:val="26"/>
          <w:szCs w:val="26"/>
        </w:rPr>
        <w:t xml:space="preserve"> Thus, the Commission must view </w:t>
      </w:r>
      <w:r w:rsidR="000017A1">
        <w:rPr>
          <w:sz w:val="26"/>
          <w:szCs w:val="26"/>
        </w:rPr>
        <w:t>a c</w:t>
      </w:r>
      <w:r w:rsidRPr="006824C2">
        <w:rPr>
          <w:sz w:val="26"/>
          <w:szCs w:val="26"/>
        </w:rPr>
        <w:t>omplaint in t</w:t>
      </w:r>
      <w:r w:rsidR="000017A1">
        <w:rPr>
          <w:sz w:val="26"/>
          <w:szCs w:val="26"/>
        </w:rPr>
        <w:t>he light most favorable to the c</w:t>
      </w:r>
      <w:r w:rsidRPr="006824C2">
        <w:rPr>
          <w:sz w:val="26"/>
          <w:szCs w:val="26"/>
        </w:rPr>
        <w:t>omp</w:t>
      </w:r>
      <w:r>
        <w:rPr>
          <w:sz w:val="26"/>
          <w:szCs w:val="26"/>
        </w:rPr>
        <w:t xml:space="preserve">lainant and should dismiss the </w:t>
      </w:r>
      <w:r w:rsidR="000017A1">
        <w:rPr>
          <w:sz w:val="26"/>
          <w:szCs w:val="26"/>
        </w:rPr>
        <w:t>c</w:t>
      </w:r>
      <w:r w:rsidRPr="006824C2">
        <w:rPr>
          <w:sz w:val="26"/>
          <w:szCs w:val="26"/>
        </w:rPr>
        <w:t xml:space="preserve">omplaint only if it appears that the </w:t>
      </w:r>
      <w:r w:rsidR="000017A1">
        <w:rPr>
          <w:sz w:val="26"/>
          <w:szCs w:val="26"/>
        </w:rPr>
        <w:t>c</w:t>
      </w:r>
      <w:r w:rsidRPr="006824C2">
        <w:rPr>
          <w:sz w:val="26"/>
          <w:szCs w:val="26"/>
        </w:rPr>
        <w:t xml:space="preserve">omplainant would not be entitled to relief under any circumstances as a matter of law. </w:t>
      </w:r>
      <w:r w:rsidRPr="00E26597">
        <w:rPr>
          <w:i/>
          <w:sz w:val="26"/>
          <w:szCs w:val="26"/>
        </w:rPr>
        <w:t>Equitable Small Transportation Intervenors v. Equitable Gas Company</w:t>
      </w:r>
      <w:r w:rsidRPr="006824C2">
        <w:rPr>
          <w:sz w:val="26"/>
          <w:szCs w:val="26"/>
        </w:rPr>
        <w:t>, 1994 Pa PUC LEXIS 69, Docket No. C-00935435 (July 18, 1994).</w:t>
      </w:r>
    </w:p>
    <w:p w:rsidR="00523F5A" w:rsidRDefault="00523F5A" w:rsidP="000C3A70">
      <w:pPr>
        <w:widowControl/>
        <w:spacing w:line="360" w:lineRule="auto"/>
        <w:ind w:firstLine="1440"/>
        <w:contextualSpacing/>
        <w:rPr>
          <w:sz w:val="26"/>
          <w:szCs w:val="26"/>
        </w:rPr>
      </w:pPr>
    </w:p>
    <w:p w:rsidR="00523F5A" w:rsidRDefault="00523F5A" w:rsidP="000C3A70">
      <w:pPr>
        <w:widowControl/>
        <w:spacing w:line="360" w:lineRule="auto"/>
        <w:ind w:firstLine="1440"/>
        <w:rPr>
          <w:sz w:val="26"/>
          <w:szCs w:val="26"/>
        </w:rPr>
      </w:pPr>
      <w:r w:rsidRPr="00DF57FE">
        <w:rPr>
          <w:sz w:val="26"/>
          <w:szCs w:val="26"/>
        </w:rPr>
        <w:t xml:space="preserve">Here, </w:t>
      </w:r>
      <w:r w:rsidR="00B31FDA">
        <w:rPr>
          <w:sz w:val="26"/>
          <w:szCs w:val="26"/>
        </w:rPr>
        <w:t xml:space="preserve">PECO’s </w:t>
      </w:r>
      <w:r w:rsidRPr="00DF57FE">
        <w:rPr>
          <w:sz w:val="26"/>
          <w:szCs w:val="26"/>
        </w:rPr>
        <w:t>Preliminary Objections assert</w:t>
      </w:r>
      <w:r>
        <w:rPr>
          <w:sz w:val="26"/>
          <w:szCs w:val="26"/>
        </w:rPr>
        <w:t>ed</w:t>
      </w:r>
      <w:r w:rsidRPr="00DF57FE">
        <w:rPr>
          <w:sz w:val="26"/>
          <w:szCs w:val="26"/>
        </w:rPr>
        <w:t xml:space="preserve"> that the Complaint is legally insufficient pursuant to 52 Pa.</w:t>
      </w:r>
      <w:r w:rsidR="003A701B">
        <w:rPr>
          <w:sz w:val="26"/>
          <w:szCs w:val="26"/>
        </w:rPr>
        <w:t xml:space="preserve"> </w:t>
      </w:r>
      <w:r w:rsidRPr="00DF57FE">
        <w:rPr>
          <w:sz w:val="26"/>
          <w:szCs w:val="26"/>
        </w:rPr>
        <w:t xml:space="preserve">Code § 5.101(a)(4), in that the Complaint fails to allege </w:t>
      </w:r>
      <w:r w:rsidRPr="00DF57FE">
        <w:rPr>
          <w:sz w:val="26"/>
          <w:szCs w:val="26"/>
        </w:rPr>
        <w:lastRenderedPageBreak/>
        <w:t>that the Respondent violated the P</w:t>
      </w:r>
      <w:r w:rsidR="002B7D09">
        <w:rPr>
          <w:sz w:val="26"/>
          <w:szCs w:val="26"/>
        </w:rPr>
        <w:t>ublic Utility Code</w:t>
      </w:r>
      <w:r w:rsidR="0060511E">
        <w:rPr>
          <w:sz w:val="26"/>
          <w:szCs w:val="26"/>
        </w:rPr>
        <w:t xml:space="preserve"> (Code)</w:t>
      </w:r>
      <w:r w:rsidR="002B7D09">
        <w:rPr>
          <w:sz w:val="26"/>
          <w:szCs w:val="26"/>
        </w:rPr>
        <w:t>, Commission R</w:t>
      </w:r>
      <w:r w:rsidR="001F65A2">
        <w:rPr>
          <w:sz w:val="26"/>
          <w:szCs w:val="26"/>
        </w:rPr>
        <w:t>egulations or O</w:t>
      </w:r>
      <w:r w:rsidRPr="00DF57FE">
        <w:rPr>
          <w:sz w:val="26"/>
          <w:szCs w:val="26"/>
        </w:rPr>
        <w:t xml:space="preserve">rders or its tariff provisions.  </w:t>
      </w:r>
      <w:r w:rsidRPr="006824C2">
        <w:rPr>
          <w:sz w:val="26"/>
          <w:szCs w:val="26"/>
        </w:rPr>
        <w:t xml:space="preserve">The </w:t>
      </w:r>
      <w:r>
        <w:rPr>
          <w:sz w:val="26"/>
          <w:szCs w:val="26"/>
        </w:rPr>
        <w:t>provision</w:t>
      </w:r>
      <w:r w:rsidRPr="006824C2">
        <w:rPr>
          <w:sz w:val="26"/>
          <w:szCs w:val="26"/>
        </w:rPr>
        <w:t xml:space="preserve"> at 52 Pa.</w:t>
      </w:r>
      <w:r w:rsidR="003A701B">
        <w:rPr>
          <w:sz w:val="26"/>
          <w:szCs w:val="26"/>
        </w:rPr>
        <w:t xml:space="preserve"> </w:t>
      </w:r>
      <w:r w:rsidRPr="006824C2">
        <w:rPr>
          <w:sz w:val="26"/>
          <w:szCs w:val="26"/>
        </w:rPr>
        <w:t xml:space="preserve">Code § 5.101(a)(4) permits the filing of a preliminary objection to dismiss a pleading for legal insufficiency. </w:t>
      </w:r>
      <w:r>
        <w:rPr>
          <w:sz w:val="26"/>
          <w:szCs w:val="26"/>
        </w:rPr>
        <w:t xml:space="preserve"> </w:t>
      </w:r>
      <w:r w:rsidRPr="006824C2">
        <w:rPr>
          <w:sz w:val="26"/>
          <w:szCs w:val="26"/>
        </w:rPr>
        <w:t>The provision at 52</w:t>
      </w:r>
      <w:r w:rsidR="001F65A2">
        <w:rPr>
          <w:sz w:val="26"/>
          <w:szCs w:val="26"/>
        </w:rPr>
        <w:t> </w:t>
      </w:r>
      <w:r w:rsidRPr="006824C2">
        <w:rPr>
          <w:sz w:val="26"/>
          <w:szCs w:val="26"/>
        </w:rPr>
        <w:t>Pa.</w:t>
      </w:r>
      <w:r w:rsidR="003A701B">
        <w:rPr>
          <w:sz w:val="26"/>
          <w:szCs w:val="26"/>
        </w:rPr>
        <w:t xml:space="preserve"> </w:t>
      </w:r>
      <w:r w:rsidRPr="006824C2">
        <w:rPr>
          <w:sz w:val="26"/>
          <w:szCs w:val="26"/>
        </w:rPr>
        <w:t>Code § 5.101(a)(4) serves judicial economy by avoiding a hearing where no factual dispute exists</w:t>
      </w:r>
      <w:r>
        <w:rPr>
          <w:sz w:val="26"/>
          <w:szCs w:val="26"/>
        </w:rPr>
        <w:t>, and the matter in dispute is purely a legal question</w:t>
      </w:r>
      <w:r w:rsidRPr="006824C2">
        <w:rPr>
          <w:sz w:val="26"/>
          <w:szCs w:val="26"/>
        </w:rPr>
        <w:t xml:space="preserve">. </w:t>
      </w:r>
      <w:r>
        <w:rPr>
          <w:sz w:val="26"/>
          <w:szCs w:val="26"/>
        </w:rPr>
        <w:t xml:space="preserve"> </w:t>
      </w:r>
      <w:r w:rsidRPr="006824C2">
        <w:rPr>
          <w:sz w:val="26"/>
          <w:szCs w:val="26"/>
        </w:rPr>
        <w:t xml:space="preserve">If no factual issue pertinent to the resolution of a case exists, a hearing is unnecessary. </w:t>
      </w:r>
      <w:r>
        <w:rPr>
          <w:sz w:val="26"/>
          <w:szCs w:val="26"/>
        </w:rPr>
        <w:t xml:space="preserve"> </w:t>
      </w:r>
      <w:r w:rsidRPr="006824C2">
        <w:rPr>
          <w:sz w:val="26"/>
          <w:szCs w:val="26"/>
        </w:rPr>
        <w:t>66 Pa.</w:t>
      </w:r>
      <w:r w:rsidR="000C3A70">
        <w:rPr>
          <w:sz w:val="26"/>
          <w:szCs w:val="26"/>
        </w:rPr>
        <w:t xml:space="preserve"> </w:t>
      </w:r>
      <w:r w:rsidRPr="006824C2">
        <w:rPr>
          <w:sz w:val="26"/>
          <w:szCs w:val="26"/>
        </w:rPr>
        <w:t>C.S. §</w:t>
      </w:r>
      <w:r w:rsidR="001F65A2">
        <w:rPr>
          <w:sz w:val="26"/>
          <w:szCs w:val="26"/>
        </w:rPr>
        <w:t> </w:t>
      </w:r>
      <w:r w:rsidRPr="006824C2">
        <w:rPr>
          <w:sz w:val="26"/>
          <w:szCs w:val="26"/>
        </w:rPr>
        <w:t xml:space="preserve">703(a); </w:t>
      </w:r>
      <w:r w:rsidRPr="00E26597">
        <w:rPr>
          <w:i/>
          <w:sz w:val="26"/>
          <w:szCs w:val="26"/>
        </w:rPr>
        <w:t>Lehigh Valley Power Committee v. P</w:t>
      </w:r>
      <w:r>
        <w:rPr>
          <w:i/>
          <w:sz w:val="26"/>
          <w:szCs w:val="26"/>
        </w:rPr>
        <w:t>a. PUC</w:t>
      </w:r>
      <w:r w:rsidRPr="006824C2">
        <w:rPr>
          <w:sz w:val="26"/>
          <w:szCs w:val="26"/>
        </w:rPr>
        <w:t>, 563 A.2d 557</w:t>
      </w:r>
      <w:r>
        <w:rPr>
          <w:sz w:val="26"/>
          <w:szCs w:val="26"/>
        </w:rPr>
        <w:t>, 564</w:t>
      </w:r>
      <w:r w:rsidRPr="006824C2">
        <w:rPr>
          <w:sz w:val="26"/>
          <w:szCs w:val="26"/>
        </w:rPr>
        <w:t xml:space="preserve"> (Pa.</w:t>
      </w:r>
      <w:r>
        <w:rPr>
          <w:sz w:val="26"/>
          <w:szCs w:val="26"/>
        </w:rPr>
        <w:t xml:space="preserve"> </w:t>
      </w:r>
      <w:r w:rsidRPr="006824C2">
        <w:rPr>
          <w:sz w:val="26"/>
          <w:szCs w:val="26"/>
        </w:rPr>
        <w:t xml:space="preserve">Cmwlth. 1989); </w:t>
      </w:r>
      <w:r w:rsidRPr="00E26597">
        <w:rPr>
          <w:i/>
          <w:sz w:val="26"/>
          <w:szCs w:val="26"/>
        </w:rPr>
        <w:t>Lehigh Valley Power Committee v. Pa. PUC</w:t>
      </w:r>
      <w:r>
        <w:rPr>
          <w:sz w:val="26"/>
          <w:szCs w:val="26"/>
        </w:rPr>
        <w:t>,</w:t>
      </w:r>
      <w:r w:rsidRPr="006824C2">
        <w:rPr>
          <w:sz w:val="26"/>
          <w:szCs w:val="26"/>
        </w:rPr>
        <w:t xml:space="preserve"> 563 A.2d 548</w:t>
      </w:r>
      <w:r>
        <w:rPr>
          <w:sz w:val="26"/>
          <w:szCs w:val="26"/>
        </w:rPr>
        <w:t>, 556-557</w:t>
      </w:r>
      <w:r w:rsidRPr="006824C2">
        <w:rPr>
          <w:sz w:val="26"/>
          <w:szCs w:val="26"/>
        </w:rPr>
        <w:t xml:space="preserve"> (Pa.</w:t>
      </w:r>
      <w:r>
        <w:rPr>
          <w:sz w:val="26"/>
          <w:szCs w:val="26"/>
        </w:rPr>
        <w:t xml:space="preserve"> </w:t>
      </w:r>
      <w:r w:rsidRPr="006824C2">
        <w:rPr>
          <w:sz w:val="26"/>
          <w:szCs w:val="26"/>
        </w:rPr>
        <w:t xml:space="preserve">Cmwlth. 1989); </w:t>
      </w:r>
      <w:r w:rsidRPr="00E26597">
        <w:rPr>
          <w:i/>
          <w:sz w:val="26"/>
          <w:szCs w:val="26"/>
        </w:rPr>
        <w:t>S.M.E. Bessemer Cement, Inc. v. Pa. PUC</w:t>
      </w:r>
      <w:r>
        <w:rPr>
          <w:sz w:val="26"/>
          <w:szCs w:val="26"/>
        </w:rPr>
        <w:t>,</w:t>
      </w:r>
      <w:r w:rsidRPr="006824C2">
        <w:rPr>
          <w:sz w:val="26"/>
          <w:szCs w:val="26"/>
        </w:rPr>
        <w:t xml:space="preserve"> 540 A.2d 1006</w:t>
      </w:r>
      <w:r>
        <w:rPr>
          <w:sz w:val="26"/>
          <w:szCs w:val="26"/>
        </w:rPr>
        <w:t>, 1008-9</w:t>
      </w:r>
      <w:r w:rsidRPr="006824C2">
        <w:rPr>
          <w:sz w:val="26"/>
          <w:szCs w:val="26"/>
        </w:rPr>
        <w:t xml:space="preserve"> (Pa.</w:t>
      </w:r>
      <w:r>
        <w:rPr>
          <w:sz w:val="26"/>
          <w:szCs w:val="26"/>
        </w:rPr>
        <w:t xml:space="preserve"> </w:t>
      </w:r>
      <w:r w:rsidRPr="006824C2">
        <w:rPr>
          <w:sz w:val="26"/>
          <w:szCs w:val="26"/>
        </w:rPr>
        <w:t xml:space="preserve">Cmwlth. 1988); </w:t>
      </w:r>
      <w:r w:rsidRPr="00E26597">
        <w:rPr>
          <w:i/>
          <w:sz w:val="26"/>
          <w:szCs w:val="26"/>
        </w:rPr>
        <w:t>White Oak Borough Authority v. Pa. PUC</w:t>
      </w:r>
      <w:r w:rsidRPr="006824C2">
        <w:rPr>
          <w:sz w:val="26"/>
          <w:szCs w:val="26"/>
        </w:rPr>
        <w:t>, 103 A.2d 502</w:t>
      </w:r>
      <w:r>
        <w:rPr>
          <w:sz w:val="26"/>
          <w:szCs w:val="26"/>
        </w:rPr>
        <w:t>, 507</w:t>
      </w:r>
      <w:r w:rsidRPr="006824C2">
        <w:rPr>
          <w:sz w:val="26"/>
          <w:szCs w:val="26"/>
        </w:rPr>
        <w:t xml:space="preserve"> (Pa.</w:t>
      </w:r>
      <w:r>
        <w:rPr>
          <w:sz w:val="26"/>
          <w:szCs w:val="26"/>
        </w:rPr>
        <w:t xml:space="preserve"> </w:t>
      </w:r>
      <w:r w:rsidRPr="006824C2">
        <w:rPr>
          <w:sz w:val="26"/>
          <w:szCs w:val="26"/>
        </w:rPr>
        <w:t>Super. 1954).</w:t>
      </w:r>
    </w:p>
    <w:p w:rsidR="0003360E" w:rsidRDefault="0003360E" w:rsidP="000C3A70">
      <w:pPr>
        <w:widowControl/>
        <w:spacing w:line="360" w:lineRule="auto"/>
        <w:ind w:firstLine="1440"/>
        <w:rPr>
          <w:sz w:val="26"/>
          <w:szCs w:val="26"/>
        </w:rPr>
      </w:pPr>
    </w:p>
    <w:p w:rsidR="00E34567" w:rsidRPr="00D937F3" w:rsidRDefault="00E34567" w:rsidP="00AF083F">
      <w:pPr>
        <w:keepNext/>
        <w:keepLines/>
        <w:widowControl/>
        <w:spacing w:line="360" w:lineRule="auto"/>
        <w:ind w:firstLine="720"/>
        <w:rPr>
          <w:b/>
          <w:sz w:val="26"/>
          <w:szCs w:val="26"/>
        </w:rPr>
      </w:pPr>
      <w:r w:rsidRPr="00D937F3">
        <w:rPr>
          <w:b/>
          <w:sz w:val="26"/>
          <w:szCs w:val="26"/>
        </w:rPr>
        <w:t>Foreign Load</w:t>
      </w:r>
    </w:p>
    <w:p w:rsidR="00E34567" w:rsidRDefault="00E34567" w:rsidP="00AF083F">
      <w:pPr>
        <w:keepNext/>
        <w:keepLines/>
        <w:widowControl/>
        <w:spacing w:line="360" w:lineRule="auto"/>
        <w:rPr>
          <w:sz w:val="26"/>
          <w:szCs w:val="26"/>
        </w:rPr>
      </w:pPr>
    </w:p>
    <w:p w:rsidR="00687B34" w:rsidRDefault="00687B34" w:rsidP="000C3A70">
      <w:pPr>
        <w:widowControl/>
        <w:spacing w:line="360" w:lineRule="auto"/>
        <w:ind w:firstLine="1440"/>
        <w:rPr>
          <w:sz w:val="26"/>
          <w:szCs w:val="26"/>
        </w:rPr>
      </w:pPr>
      <w:bookmarkStart w:id="3" w:name="_Hlk505935272"/>
      <w:r>
        <w:rPr>
          <w:sz w:val="26"/>
          <w:szCs w:val="26"/>
        </w:rPr>
        <w:t>The term “f</w:t>
      </w:r>
      <w:r w:rsidRPr="00687B34">
        <w:rPr>
          <w:sz w:val="26"/>
          <w:szCs w:val="26"/>
        </w:rPr>
        <w:t>oreign load</w:t>
      </w:r>
      <w:r>
        <w:rPr>
          <w:sz w:val="26"/>
          <w:szCs w:val="26"/>
        </w:rPr>
        <w:t>”</w:t>
      </w:r>
      <w:r w:rsidRPr="00687B34">
        <w:rPr>
          <w:sz w:val="26"/>
          <w:szCs w:val="26"/>
        </w:rPr>
        <w:t xml:space="preserve"> refers to the situation </w:t>
      </w:r>
      <w:r w:rsidRPr="00687B34">
        <w:rPr>
          <w:color w:val="000000"/>
          <w:sz w:val="26"/>
          <w:szCs w:val="26"/>
        </w:rPr>
        <w:t xml:space="preserve">where a </w:t>
      </w:r>
      <w:r w:rsidR="00B31FDA">
        <w:rPr>
          <w:color w:val="000000"/>
          <w:sz w:val="26"/>
          <w:szCs w:val="26"/>
        </w:rPr>
        <w:t>customer</w:t>
      </w:r>
      <w:r w:rsidRPr="00687B34">
        <w:rPr>
          <w:color w:val="000000"/>
          <w:sz w:val="26"/>
          <w:szCs w:val="26"/>
        </w:rPr>
        <w:t xml:space="preserve">’s meter registers utility usage not </w:t>
      </w:r>
      <w:r w:rsidRPr="00687B34">
        <w:rPr>
          <w:sz w:val="26"/>
          <w:szCs w:val="26"/>
        </w:rPr>
        <w:t xml:space="preserve">exclusive to the </w:t>
      </w:r>
      <w:r w:rsidR="00B31FDA">
        <w:rPr>
          <w:sz w:val="26"/>
          <w:szCs w:val="26"/>
        </w:rPr>
        <w:t>customer</w:t>
      </w:r>
      <w:r w:rsidRPr="00687B34">
        <w:rPr>
          <w:sz w:val="26"/>
          <w:szCs w:val="26"/>
        </w:rPr>
        <w:t>’s dwelling unit or its occupants.  In 1993, the General Assembly amended the Code to include 66 Pa. C.S. §1529.1 to address foreign load issues.</w:t>
      </w:r>
      <w:r w:rsidRPr="00687B34">
        <w:rPr>
          <w:rStyle w:val="FootnoteReference"/>
          <w:sz w:val="26"/>
          <w:szCs w:val="26"/>
        </w:rPr>
        <w:footnoteReference w:id="2"/>
      </w:r>
      <w:r w:rsidRPr="00687B34">
        <w:rPr>
          <w:sz w:val="26"/>
          <w:szCs w:val="26"/>
        </w:rPr>
        <w:t xml:space="preserve">  Prior to 1993, the Commission resolved foreign load high bill complaints by directing the utility to remove the charges attributable to the foreign load from the customer’s bill and to issue a bill for the foreign load in the property owner’s name.  </w:t>
      </w:r>
      <w:r w:rsidRPr="00687B34">
        <w:rPr>
          <w:i/>
          <w:sz w:val="26"/>
          <w:szCs w:val="26"/>
        </w:rPr>
        <w:t xml:space="preserve">See </w:t>
      </w:r>
      <w:r w:rsidRPr="00687B34">
        <w:rPr>
          <w:i/>
          <w:iCs/>
          <w:sz w:val="26"/>
          <w:szCs w:val="26"/>
        </w:rPr>
        <w:t>Albright v. UGI Penn Natural Gas Co., Inc.,</w:t>
      </w:r>
      <w:r w:rsidRPr="00687B34">
        <w:rPr>
          <w:sz w:val="26"/>
          <w:szCs w:val="26"/>
        </w:rPr>
        <w:t xml:space="preserve"> Docket No. F</w:t>
      </w:r>
      <w:r w:rsidR="001F65A2">
        <w:rPr>
          <w:sz w:val="26"/>
          <w:szCs w:val="26"/>
        </w:rPr>
        <w:noBreakHyphen/>
      </w:r>
      <w:r w:rsidRPr="00687B34">
        <w:rPr>
          <w:sz w:val="26"/>
          <w:szCs w:val="26"/>
        </w:rPr>
        <w:t>2009-2139408 (Initial Decision Issued September 29, 2010) (</w:t>
      </w:r>
      <w:r w:rsidRPr="00687B34">
        <w:rPr>
          <w:i/>
          <w:sz w:val="26"/>
          <w:szCs w:val="26"/>
        </w:rPr>
        <w:t>Albright</w:t>
      </w:r>
      <w:r w:rsidRPr="00687B34">
        <w:rPr>
          <w:sz w:val="26"/>
          <w:szCs w:val="26"/>
        </w:rPr>
        <w:t xml:space="preserve">).   Section 1529.1 changed this by mandating that the account registering foreign load be listed in the name of the property owner and that the owner be thereafter responsible for the payment of utility services rendered to such account.   </w:t>
      </w:r>
    </w:p>
    <w:p w:rsidR="004E404C" w:rsidRDefault="004E404C" w:rsidP="000C3A70">
      <w:pPr>
        <w:widowControl/>
        <w:spacing w:line="360" w:lineRule="auto"/>
        <w:ind w:firstLine="1440"/>
        <w:rPr>
          <w:sz w:val="26"/>
          <w:szCs w:val="26"/>
        </w:rPr>
      </w:pPr>
    </w:p>
    <w:p w:rsidR="00B055A8" w:rsidRDefault="00687B34" w:rsidP="000C3A70">
      <w:pPr>
        <w:widowControl/>
        <w:spacing w:line="360" w:lineRule="auto"/>
        <w:ind w:firstLine="1440"/>
        <w:rPr>
          <w:sz w:val="26"/>
          <w:szCs w:val="26"/>
        </w:rPr>
      </w:pPr>
      <w:r>
        <w:rPr>
          <w:sz w:val="26"/>
          <w:szCs w:val="26"/>
        </w:rPr>
        <w:lastRenderedPageBreak/>
        <w:t>T</w:t>
      </w:r>
      <w:r w:rsidRPr="00687B34">
        <w:rPr>
          <w:sz w:val="26"/>
          <w:szCs w:val="26"/>
        </w:rPr>
        <w:t xml:space="preserve">he addition of Section 1529.1 to the Code was intended to extend the existing protections to tenants whose utility service is dependent on continued service to another tenant or the landlord.  In sum, the Subsection attempts to protect residential tenants from the loss of utility service because another party has service terminated by the utility.  </w:t>
      </w:r>
      <w:r w:rsidR="002D268B" w:rsidRPr="00D73351">
        <w:rPr>
          <w:i/>
          <w:sz w:val="26"/>
          <w:szCs w:val="26"/>
        </w:rPr>
        <w:t>See Elizabeth</w:t>
      </w:r>
      <w:r w:rsidR="002D268B" w:rsidRPr="00D73351">
        <w:rPr>
          <w:sz w:val="26"/>
          <w:szCs w:val="26"/>
        </w:rPr>
        <w:t xml:space="preserve"> </w:t>
      </w:r>
      <w:r w:rsidR="002D268B" w:rsidRPr="00D73351">
        <w:rPr>
          <w:i/>
          <w:sz w:val="26"/>
          <w:szCs w:val="26"/>
        </w:rPr>
        <w:t>Santos v. Metropolitan Edison Company</w:t>
      </w:r>
      <w:r w:rsidR="002D268B" w:rsidRPr="00D73351">
        <w:rPr>
          <w:sz w:val="26"/>
          <w:szCs w:val="26"/>
        </w:rPr>
        <w:t>, Docket No. C-00967757 (Order entered August 7, 1997) (</w:t>
      </w:r>
      <w:r w:rsidR="002D268B" w:rsidRPr="00D73351">
        <w:rPr>
          <w:i/>
          <w:sz w:val="26"/>
          <w:szCs w:val="26"/>
        </w:rPr>
        <w:t>Santos</w:t>
      </w:r>
      <w:r w:rsidR="002D268B" w:rsidRPr="00D73351">
        <w:rPr>
          <w:sz w:val="26"/>
          <w:szCs w:val="26"/>
        </w:rPr>
        <w:t>).</w:t>
      </w:r>
      <w:r w:rsidR="002D268B">
        <w:rPr>
          <w:sz w:val="24"/>
          <w:szCs w:val="24"/>
        </w:rPr>
        <w:t xml:space="preserve">  </w:t>
      </w:r>
      <w:r w:rsidR="002D268B">
        <w:rPr>
          <w:sz w:val="26"/>
          <w:szCs w:val="26"/>
        </w:rPr>
        <w:t xml:space="preserve">Additionally, </w:t>
      </w:r>
      <w:r w:rsidR="002D268B" w:rsidRPr="00687B34">
        <w:rPr>
          <w:sz w:val="26"/>
          <w:szCs w:val="26"/>
        </w:rPr>
        <w:t xml:space="preserve">the policy behind the change is that the property owner is in a better position to know about and correct the existence of the foreign load than a tenant.  </w:t>
      </w:r>
      <w:r w:rsidR="002D268B" w:rsidRPr="00687B34">
        <w:rPr>
          <w:i/>
          <w:sz w:val="26"/>
          <w:szCs w:val="26"/>
        </w:rPr>
        <w:t xml:space="preserve">See </w:t>
      </w:r>
      <w:r w:rsidR="002D268B" w:rsidRPr="00D73351">
        <w:rPr>
          <w:i/>
          <w:sz w:val="26"/>
          <w:szCs w:val="26"/>
        </w:rPr>
        <w:t>Albright</w:t>
      </w:r>
      <w:r w:rsidR="002D268B" w:rsidRPr="00D73351">
        <w:rPr>
          <w:sz w:val="26"/>
          <w:szCs w:val="26"/>
        </w:rPr>
        <w:t xml:space="preserve">; </w:t>
      </w:r>
      <w:r w:rsidR="002D268B" w:rsidRPr="00D73351">
        <w:rPr>
          <w:i/>
          <w:sz w:val="26"/>
          <w:szCs w:val="26"/>
        </w:rPr>
        <w:t>Ace Check Cashing, Inc. v. Philadelphia Gas Works</w:t>
      </w:r>
      <w:r w:rsidR="002D268B" w:rsidRPr="00D73351">
        <w:rPr>
          <w:sz w:val="26"/>
          <w:szCs w:val="26"/>
        </w:rPr>
        <w:t>, Docket No. C-2008-2056428 (Order entered May 21, 2010) (</w:t>
      </w:r>
      <w:r w:rsidR="002D268B" w:rsidRPr="00D73351">
        <w:rPr>
          <w:i/>
          <w:sz w:val="26"/>
          <w:szCs w:val="26"/>
        </w:rPr>
        <w:t>Ace Check Cashing</w:t>
      </w:r>
      <w:r w:rsidR="002D268B" w:rsidRPr="00D73351">
        <w:rPr>
          <w:sz w:val="26"/>
          <w:szCs w:val="26"/>
        </w:rPr>
        <w:t>).</w:t>
      </w:r>
      <w:r w:rsidR="002D268B" w:rsidRPr="00687B34">
        <w:rPr>
          <w:sz w:val="26"/>
          <w:szCs w:val="26"/>
        </w:rPr>
        <w:t xml:space="preserve">  </w:t>
      </w:r>
      <w:r w:rsidRPr="00687B34">
        <w:rPr>
          <w:sz w:val="26"/>
          <w:szCs w:val="26"/>
        </w:rPr>
        <w:t>The operation of Section 1529.1 provides an incentive for the landlord to correct the foreign load situation resulting from the wiring, plum</w:t>
      </w:r>
      <w:r w:rsidR="001F65A2">
        <w:rPr>
          <w:sz w:val="26"/>
          <w:szCs w:val="26"/>
        </w:rPr>
        <w:t>b</w:t>
      </w:r>
      <w:r w:rsidRPr="00687B34">
        <w:rPr>
          <w:sz w:val="26"/>
          <w:szCs w:val="26"/>
        </w:rPr>
        <w:t xml:space="preserve">ing or piping for which the landlord is responsible.  </w:t>
      </w:r>
      <w:r w:rsidRPr="00687B34">
        <w:rPr>
          <w:i/>
          <w:sz w:val="26"/>
          <w:szCs w:val="26"/>
        </w:rPr>
        <w:t>See</w:t>
      </w:r>
      <w:r w:rsidRPr="00687B34">
        <w:rPr>
          <w:sz w:val="26"/>
          <w:szCs w:val="26"/>
        </w:rPr>
        <w:t xml:space="preserve"> </w:t>
      </w:r>
      <w:r w:rsidRPr="00687B34">
        <w:rPr>
          <w:i/>
          <w:sz w:val="26"/>
          <w:szCs w:val="26"/>
        </w:rPr>
        <w:t>Ace Check Cashing</w:t>
      </w:r>
      <w:r w:rsidRPr="00687B34">
        <w:rPr>
          <w:sz w:val="26"/>
          <w:szCs w:val="26"/>
        </w:rPr>
        <w:t xml:space="preserve">.   </w:t>
      </w:r>
    </w:p>
    <w:p w:rsidR="00B055A8" w:rsidRDefault="00B055A8" w:rsidP="000C3A70">
      <w:pPr>
        <w:widowControl/>
        <w:spacing w:line="360" w:lineRule="auto"/>
        <w:ind w:firstLine="1440"/>
        <w:rPr>
          <w:sz w:val="26"/>
          <w:szCs w:val="26"/>
        </w:rPr>
      </w:pPr>
    </w:p>
    <w:p w:rsidR="001E6995" w:rsidRDefault="00D616A4" w:rsidP="000C3A70">
      <w:pPr>
        <w:widowControl/>
        <w:spacing w:line="360" w:lineRule="auto"/>
        <w:ind w:firstLine="1440"/>
        <w:rPr>
          <w:sz w:val="26"/>
          <w:szCs w:val="26"/>
        </w:rPr>
      </w:pPr>
      <w:r>
        <w:rPr>
          <w:sz w:val="26"/>
          <w:szCs w:val="26"/>
        </w:rPr>
        <w:t>Section 1529.1 provides as follows</w:t>
      </w:r>
      <w:r w:rsidR="001E6995">
        <w:rPr>
          <w:sz w:val="26"/>
          <w:szCs w:val="26"/>
        </w:rPr>
        <w:t xml:space="preserve"> (emphasis added)</w:t>
      </w:r>
      <w:r>
        <w:rPr>
          <w:sz w:val="26"/>
          <w:szCs w:val="26"/>
        </w:rPr>
        <w:t>:</w:t>
      </w:r>
    </w:p>
    <w:p w:rsidR="001E6995" w:rsidRPr="00687B34" w:rsidRDefault="001E6995" w:rsidP="000C3A70">
      <w:pPr>
        <w:widowControl/>
        <w:spacing w:line="360" w:lineRule="auto"/>
        <w:ind w:firstLine="1440"/>
        <w:rPr>
          <w:sz w:val="26"/>
          <w:szCs w:val="26"/>
        </w:rPr>
      </w:pPr>
    </w:p>
    <w:p w:rsidR="00687B34" w:rsidRPr="00687B34" w:rsidRDefault="00687B34" w:rsidP="000C3A70">
      <w:pPr>
        <w:pStyle w:val="Default"/>
        <w:spacing w:after="240"/>
        <w:ind w:left="1440" w:right="1440"/>
        <w:rPr>
          <w:sz w:val="26"/>
          <w:szCs w:val="26"/>
        </w:rPr>
      </w:pPr>
      <w:r w:rsidRPr="00687B34">
        <w:rPr>
          <w:sz w:val="26"/>
          <w:szCs w:val="26"/>
        </w:rPr>
        <w:t xml:space="preserve">§ 1529.1. Duty of owners of rental property </w:t>
      </w:r>
    </w:p>
    <w:p w:rsidR="00687B34" w:rsidRPr="001F65A2" w:rsidRDefault="00687B34" w:rsidP="000C3A70">
      <w:pPr>
        <w:pStyle w:val="Default"/>
        <w:spacing w:after="240"/>
        <w:ind w:left="1440" w:right="1440"/>
        <w:rPr>
          <w:i/>
          <w:iCs/>
          <w:sz w:val="26"/>
          <w:szCs w:val="26"/>
        </w:rPr>
      </w:pPr>
      <w:bookmarkStart w:id="4" w:name="_Hlk505937745"/>
      <w:r w:rsidRPr="00687B34">
        <w:rPr>
          <w:sz w:val="26"/>
          <w:szCs w:val="26"/>
        </w:rPr>
        <w:t xml:space="preserve">(a) </w:t>
      </w:r>
      <w:r w:rsidRPr="00687B34">
        <w:rPr>
          <w:b/>
          <w:iCs/>
          <w:sz w:val="26"/>
          <w:szCs w:val="26"/>
        </w:rPr>
        <w:t>Notice to public utility</w:t>
      </w:r>
      <w:r w:rsidRPr="00687B34">
        <w:rPr>
          <w:i/>
          <w:iCs/>
          <w:sz w:val="26"/>
          <w:szCs w:val="26"/>
        </w:rPr>
        <w:t>.</w:t>
      </w:r>
      <w:r w:rsidR="001F65A2">
        <w:rPr>
          <w:i/>
          <w:iCs/>
          <w:sz w:val="26"/>
          <w:szCs w:val="26"/>
        </w:rPr>
        <w:t>—</w:t>
      </w:r>
      <w:r w:rsidRPr="00687B34">
        <w:rPr>
          <w:sz w:val="26"/>
          <w:szCs w:val="26"/>
        </w:rPr>
        <w:t>It is the duty of every owner of a residential building</w:t>
      </w:r>
      <w:r w:rsidR="001F65A2">
        <w:rPr>
          <w:sz w:val="26"/>
          <w:szCs w:val="26"/>
        </w:rPr>
        <w:t xml:space="preserve"> . . .</w:t>
      </w:r>
      <w:r w:rsidRPr="00687B34">
        <w:rPr>
          <w:sz w:val="26"/>
          <w:szCs w:val="26"/>
        </w:rPr>
        <w:t xml:space="preserve">, which contains one or more dwelling units, </w:t>
      </w:r>
      <w:r w:rsidRPr="00687B34">
        <w:rPr>
          <w:bCs/>
          <w:i/>
          <w:sz w:val="26"/>
          <w:szCs w:val="26"/>
        </w:rPr>
        <w:t>not individually metered</w:t>
      </w:r>
      <w:r w:rsidRPr="00687B34">
        <w:rPr>
          <w:bCs/>
          <w:sz w:val="26"/>
          <w:szCs w:val="26"/>
        </w:rPr>
        <w:t>, to notify each public utility from whom utility service is received of their ownership and the fact that the premises served are used for rental purposes</w:t>
      </w:r>
      <w:r w:rsidRPr="00687B34">
        <w:rPr>
          <w:bCs/>
          <w:i/>
          <w:sz w:val="26"/>
          <w:szCs w:val="26"/>
        </w:rPr>
        <w:t>.</w:t>
      </w:r>
    </w:p>
    <w:p w:rsidR="00687B34" w:rsidRPr="00310EC4" w:rsidRDefault="00687B34" w:rsidP="000C3A70">
      <w:pPr>
        <w:pStyle w:val="Default"/>
        <w:spacing w:after="240"/>
        <w:ind w:left="1440" w:right="1440"/>
        <w:rPr>
          <w:i/>
          <w:iCs/>
          <w:sz w:val="26"/>
          <w:szCs w:val="26"/>
        </w:rPr>
      </w:pPr>
      <w:r w:rsidRPr="00687B34">
        <w:rPr>
          <w:sz w:val="26"/>
          <w:szCs w:val="26"/>
        </w:rPr>
        <w:t xml:space="preserve">(b) </w:t>
      </w:r>
      <w:r w:rsidRPr="00687B34">
        <w:rPr>
          <w:b/>
          <w:sz w:val="26"/>
          <w:szCs w:val="26"/>
        </w:rPr>
        <w:t>H</w:t>
      </w:r>
      <w:r w:rsidRPr="00687B34">
        <w:rPr>
          <w:b/>
          <w:iCs/>
          <w:sz w:val="26"/>
          <w:szCs w:val="26"/>
        </w:rPr>
        <w:t>istory of account</w:t>
      </w:r>
      <w:r w:rsidRPr="00687B34">
        <w:rPr>
          <w:i/>
          <w:iCs/>
          <w:sz w:val="26"/>
          <w:szCs w:val="26"/>
        </w:rPr>
        <w:t>.</w:t>
      </w:r>
      <w:r w:rsidR="00310EC4">
        <w:rPr>
          <w:i/>
          <w:iCs/>
          <w:sz w:val="26"/>
          <w:szCs w:val="26"/>
        </w:rPr>
        <w:t>—</w:t>
      </w:r>
      <w:r w:rsidRPr="00687B34">
        <w:rPr>
          <w:sz w:val="26"/>
          <w:szCs w:val="26"/>
        </w:rPr>
        <w:t>Upon receipt of the notice provided in this section, if the</w:t>
      </w:r>
      <w:r w:rsidR="00310EC4">
        <w:rPr>
          <w:sz w:val="26"/>
          <w:szCs w:val="26"/>
        </w:rPr>
        <w:t xml:space="preserve"> . . .</w:t>
      </w:r>
      <w:r w:rsidRPr="00687B34">
        <w:rPr>
          <w:sz w:val="26"/>
          <w:szCs w:val="26"/>
        </w:rPr>
        <w:t xml:space="preserve"> residential building contains </w:t>
      </w:r>
      <w:r w:rsidRPr="00687B34">
        <w:rPr>
          <w:bCs/>
          <w:sz w:val="26"/>
          <w:szCs w:val="26"/>
        </w:rPr>
        <w:t xml:space="preserve">one or more dwelling units </w:t>
      </w:r>
      <w:r w:rsidRPr="001E6995">
        <w:rPr>
          <w:bCs/>
          <w:i/>
          <w:sz w:val="26"/>
          <w:szCs w:val="26"/>
        </w:rPr>
        <w:t>not individually metered</w:t>
      </w:r>
      <w:r w:rsidRPr="00687B34">
        <w:rPr>
          <w:bCs/>
          <w:sz w:val="26"/>
          <w:szCs w:val="26"/>
        </w:rPr>
        <w:t>, an affected public utility shall forthwith list the account for the premises in question in the name of the owner, and the owner shall thereafter be responsible for the payment for the utility ser</w:t>
      </w:r>
      <w:r w:rsidR="00310EC4">
        <w:rPr>
          <w:bCs/>
          <w:sz w:val="26"/>
          <w:szCs w:val="26"/>
        </w:rPr>
        <w:t>vices rendered thereunto . . .</w:t>
      </w:r>
    </w:p>
    <w:p w:rsidR="00687B34" w:rsidRDefault="00687B34" w:rsidP="000C3A70">
      <w:pPr>
        <w:pStyle w:val="Default"/>
        <w:ind w:left="1440" w:right="1440"/>
        <w:rPr>
          <w:bCs/>
          <w:i/>
          <w:sz w:val="26"/>
          <w:szCs w:val="26"/>
        </w:rPr>
      </w:pPr>
      <w:r w:rsidRPr="00687B34">
        <w:rPr>
          <w:sz w:val="26"/>
          <w:szCs w:val="26"/>
        </w:rPr>
        <w:t xml:space="preserve">(c) </w:t>
      </w:r>
      <w:r w:rsidRPr="00687B34">
        <w:rPr>
          <w:b/>
          <w:iCs/>
          <w:sz w:val="26"/>
          <w:szCs w:val="26"/>
        </w:rPr>
        <w:t>Failure to give notice</w:t>
      </w:r>
      <w:r w:rsidRPr="00687B34">
        <w:rPr>
          <w:i/>
          <w:iCs/>
          <w:sz w:val="26"/>
          <w:szCs w:val="26"/>
        </w:rPr>
        <w:t>.</w:t>
      </w:r>
      <w:r w:rsidR="00310EC4">
        <w:rPr>
          <w:i/>
          <w:iCs/>
          <w:sz w:val="26"/>
          <w:szCs w:val="26"/>
        </w:rPr>
        <w:t>—</w:t>
      </w:r>
      <w:r w:rsidRPr="00687B34">
        <w:rPr>
          <w:bCs/>
          <w:sz w:val="26"/>
          <w:szCs w:val="26"/>
        </w:rPr>
        <w:t>Any owner of a residential building</w:t>
      </w:r>
      <w:r w:rsidR="00310EC4">
        <w:rPr>
          <w:bCs/>
          <w:sz w:val="26"/>
          <w:szCs w:val="26"/>
        </w:rPr>
        <w:t xml:space="preserve"> . . . </w:t>
      </w:r>
      <w:r w:rsidRPr="00687B34">
        <w:rPr>
          <w:bCs/>
          <w:sz w:val="26"/>
          <w:szCs w:val="26"/>
        </w:rPr>
        <w:t xml:space="preserve">failing to notify affected public utilities as required by this section shall nonetheless be responsible for </w:t>
      </w:r>
      <w:r w:rsidRPr="00687B34">
        <w:rPr>
          <w:bCs/>
          <w:sz w:val="26"/>
          <w:szCs w:val="26"/>
        </w:rPr>
        <w:lastRenderedPageBreak/>
        <w:t>payment of the utility services as if the required notice had been given</w:t>
      </w:r>
      <w:r w:rsidRPr="00687B34">
        <w:rPr>
          <w:bCs/>
          <w:i/>
          <w:sz w:val="26"/>
          <w:szCs w:val="26"/>
        </w:rPr>
        <w:t>.</w:t>
      </w:r>
    </w:p>
    <w:p w:rsidR="00310EC4" w:rsidRDefault="00310EC4" w:rsidP="000C3A70">
      <w:pPr>
        <w:pStyle w:val="Default"/>
        <w:ind w:left="1440" w:right="1440"/>
        <w:rPr>
          <w:i/>
          <w:iCs/>
          <w:sz w:val="26"/>
          <w:szCs w:val="26"/>
        </w:rPr>
      </w:pPr>
    </w:p>
    <w:p w:rsidR="00310EC4" w:rsidRPr="00310EC4" w:rsidRDefault="00310EC4" w:rsidP="000C3A70">
      <w:pPr>
        <w:pStyle w:val="Default"/>
        <w:ind w:left="1440" w:right="1440"/>
        <w:rPr>
          <w:i/>
          <w:iCs/>
          <w:sz w:val="26"/>
          <w:szCs w:val="26"/>
        </w:rPr>
      </w:pPr>
    </w:p>
    <w:bookmarkEnd w:id="4"/>
    <w:p w:rsidR="00687B34" w:rsidRDefault="00687B34" w:rsidP="000C3A70">
      <w:pPr>
        <w:widowControl/>
        <w:spacing w:line="360" w:lineRule="auto"/>
        <w:ind w:firstLine="1440"/>
        <w:rPr>
          <w:sz w:val="26"/>
          <w:szCs w:val="26"/>
        </w:rPr>
      </w:pPr>
      <w:r w:rsidRPr="00687B34">
        <w:rPr>
          <w:sz w:val="26"/>
          <w:szCs w:val="26"/>
        </w:rPr>
        <w:t xml:space="preserve">The phrase “not individually metered,” as used in Section 1529.1, is not defined in the Code or the Commission’s Regulations.  </w:t>
      </w:r>
      <w:r w:rsidRPr="00687B34">
        <w:rPr>
          <w:i/>
          <w:sz w:val="26"/>
          <w:szCs w:val="26"/>
        </w:rPr>
        <w:t>See 1-A Realty v. Pa. PUC</w:t>
      </w:r>
      <w:r w:rsidRPr="00687B34">
        <w:rPr>
          <w:sz w:val="26"/>
          <w:szCs w:val="26"/>
        </w:rPr>
        <w:t>, 63 A.3d 480, 483 (Pa. Cmwlth. 2013).  However, s</w:t>
      </w:r>
      <w:r w:rsidRPr="00687B34">
        <w:rPr>
          <w:color w:val="000000"/>
          <w:sz w:val="26"/>
          <w:szCs w:val="26"/>
        </w:rPr>
        <w:t xml:space="preserve">ince the enactment of Section 1529.1 of the Code in 1993, the Commission has consistently defined “not individually metered” in its decisions as the “utility meter for the unit is registering a foreign load, or usage not </w:t>
      </w:r>
      <w:r w:rsidRPr="00687B34">
        <w:rPr>
          <w:sz w:val="26"/>
          <w:szCs w:val="26"/>
        </w:rPr>
        <w:t xml:space="preserve">exclusive to the dwelling unit or its occupants.”  </w:t>
      </w:r>
      <w:r w:rsidRPr="00687B34">
        <w:rPr>
          <w:i/>
          <w:sz w:val="26"/>
          <w:szCs w:val="26"/>
        </w:rPr>
        <w:t>Id</w:t>
      </w:r>
      <w:r w:rsidRPr="00687B34">
        <w:rPr>
          <w:sz w:val="26"/>
          <w:szCs w:val="26"/>
        </w:rPr>
        <w:t>. at 483 (citations omitted).</w:t>
      </w:r>
      <w:r w:rsidRPr="00687B34">
        <w:rPr>
          <w:rStyle w:val="FootnoteReference"/>
          <w:sz w:val="26"/>
          <w:szCs w:val="26"/>
        </w:rPr>
        <w:footnoteReference w:id="3"/>
      </w:r>
    </w:p>
    <w:p w:rsidR="00D616A4" w:rsidRDefault="00D616A4" w:rsidP="000C3A70">
      <w:pPr>
        <w:widowControl/>
        <w:spacing w:line="360" w:lineRule="auto"/>
        <w:ind w:firstLine="1440"/>
        <w:rPr>
          <w:sz w:val="26"/>
          <w:szCs w:val="26"/>
        </w:rPr>
      </w:pPr>
    </w:p>
    <w:p w:rsidR="00687B34" w:rsidRDefault="00687B34" w:rsidP="000C3A70">
      <w:pPr>
        <w:widowControl/>
        <w:spacing w:line="360" w:lineRule="auto"/>
        <w:ind w:firstLine="1440"/>
        <w:rPr>
          <w:sz w:val="26"/>
          <w:szCs w:val="26"/>
        </w:rPr>
      </w:pPr>
      <w:bookmarkStart w:id="5" w:name="_Hlk505159165"/>
      <w:r w:rsidRPr="00687B34">
        <w:rPr>
          <w:i/>
          <w:sz w:val="26"/>
          <w:szCs w:val="26"/>
        </w:rPr>
        <w:t>In Ace Check Cashing</w:t>
      </w:r>
      <w:r w:rsidRPr="00687B34">
        <w:rPr>
          <w:sz w:val="26"/>
          <w:szCs w:val="26"/>
        </w:rPr>
        <w:t xml:space="preserve">, the Commission explained the operation of Section 1529.1.  Specifically, Subsection (a) of Section 1529.1 establishes an affirmative duty on the owner of a property to notify the utility if a residential building contains “one or more dwelling units, not individually metered.”   If the landlord provides the required notice, Subsection (b) requires the utility to list the account with the foreign load in the landlord’s name and makes the landlord responsible for the payment for utility services rendered to the account.  If the landlord fails to provide the required notice, Subsection (c) provides a statutory remedy in that the utility must proceed as if the notice had been provided.  Thus, if the utility discovers the presence of a foreign load (usually after receiving a high bill complaint from the tenant), the utility is required to follow Subsection (b) and list the account in the landlord’s name and hold the landlord responsible for the payment for utility services rendered to the account.  </w:t>
      </w:r>
      <w:bookmarkStart w:id="6" w:name="_Hlk505164331"/>
      <w:r w:rsidRPr="00687B34">
        <w:rPr>
          <w:i/>
          <w:sz w:val="26"/>
          <w:szCs w:val="26"/>
        </w:rPr>
        <w:t>See Ace Check Cashing</w:t>
      </w:r>
      <w:r w:rsidRPr="00687B34">
        <w:rPr>
          <w:sz w:val="26"/>
          <w:szCs w:val="26"/>
        </w:rPr>
        <w:t>.</w:t>
      </w:r>
      <w:bookmarkEnd w:id="6"/>
      <w:r w:rsidRPr="00687B34">
        <w:rPr>
          <w:sz w:val="26"/>
          <w:szCs w:val="26"/>
        </w:rPr>
        <w:t xml:space="preserve">  </w:t>
      </w:r>
    </w:p>
    <w:p w:rsidR="00687B34" w:rsidRPr="00687B34" w:rsidRDefault="00687B34" w:rsidP="000C3A70">
      <w:pPr>
        <w:widowControl/>
        <w:spacing w:line="360" w:lineRule="auto"/>
        <w:ind w:firstLine="1440"/>
        <w:rPr>
          <w:sz w:val="26"/>
          <w:szCs w:val="26"/>
        </w:rPr>
      </w:pPr>
    </w:p>
    <w:bookmarkEnd w:id="5"/>
    <w:p w:rsidR="009F0D75" w:rsidRDefault="00497494" w:rsidP="000C3A70">
      <w:pPr>
        <w:widowControl/>
        <w:spacing w:line="360" w:lineRule="auto"/>
        <w:ind w:firstLine="1440"/>
        <w:contextualSpacing/>
        <w:rPr>
          <w:sz w:val="26"/>
          <w:szCs w:val="26"/>
        </w:rPr>
      </w:pPr>
      <w:r>
        <w:rPr>
          <w:sz w:val="26"/>
          <w:szCs w:val="26"/>
        </w:rPr>
        <w:t>O</w:t>
      </w:r>
      <w:r w:rsidR="009F0D75">
        <w:rPr>
          <w:sz w:val="26"/>
          <w:szCs w:val="26"/>
        </w:rPr>
        <w:t>nce</w:t>
      </w:r>
      <w:r w:rsidR="00EC7444">
        <w:rPr>
          <w:sz w:val="26"/>
          <w:szCs w:val="26"/>
        </w:rPr>
        <w:t xml:space="preserve"> a</w:t>
      </w:r>
      <w:r w:rsidR="009F0D75">
        <w:rPr>
          <w:sz w:val="26"/>
          <w:szCs w:val="26"/>
        </w:rPr>
        <w:t xml:space="preserve"> foreign load is verified on the tenant’s service,</w:t>
      </w:r>
      <w:r w:rsidR="00D937F3">
        <w:rPr>
          <w:sz w:val="26"/>
          <w:szCs w:val="26"/>
        </w:rPr>
        <w:t xml:space="preserve"> </w:t>
      </w:r>
      <w:r w:rsidR="002918AC">
        <w:rPr>
          <w:sz w:val="26"/>
          <w:szCs w:val="26"/>
        </w:rPr>
        <w:t xml:space="preserve">the </w:t>
      </w:r>
      <w:r w:rsidR="00D937F3">
        <w:rPr>
          <w:sz w:val="26"/>
          <w:szCs w:val="26"/>
        </w:rPr>
        <w:t xml:space="preserve">property owner </w:t>
      </w:r>
      <w:r w:rsidR="002918AC">
        <w:rPr>
          <w:sz w:val="26"/>
          <w:szCs w:val="26"/>
        </w:rPr>
        <w:t xml:space="preserve">is </w:t>
      </w:r>
      <w:r w:rsidR="00D937F3">
        <w:rPr>
          <w:sz w:val="26"/>
          <w:szCs w:val="26"/>
        </w:rPr>
        <w:t>financially responsibl</w:t>
      </w:r>
      <w:r w:rsidR="00EC7444">
        <w:rPr>
          <w:sz w:val="26"/>
          <w:szCs w:val="26"/>
        </w:rPr>
        <w:t xml:space="preserve">e for the </w:t>
      </w:r>
      <w:r w:rsidR="009F0D75">
        <w:rPr>
          <w:sz w:val="26"/>
          <w:szCs w:val="26"/>
        </w:rPr>
        <w:t>tenant’s entire account</w:t>
      </w:r>
      <w:r w:rsidR="00D937F3">
        <w:rPr>
          <w:sz w:val="26"/>
          <w:szCs w:val="26"/>
        </w:rPr>
        <w:t>.  T</w:t>
      </w:r>
      <w:r w:rsidR="002918AC">
        <w:rPr>
          <w:sz w:val="26"/>
          <w:szCs w:val="26"/>
        </w:rPr>
        <w:t xml:space="preserve">here is </w:t>
      </w:r>
      <w:r w:rsidR="00D937F3" w:rsidRPr="002918AC">
        <w:rPr>
          <w:sz w:val="26"/>
          <w:szCs w:val="26"/>
        </w:rPr>
        <w:t xml:space="preserve">no </w:t>
      </w:r>
      <w:r w:rsidR="00D937F3" w:rsidRPr="00497494">
        <w:rPr>
          <w:i/>
          <w:sz w:val="26"/>
          <w:szCs w:val="26"/>
        </w:rPr>
        <w:t>de minimus</w:t>
      </w:r>
      <w:r w:rsidR="00D937F3" w:rsidRPr="002918AC">
        <w:rPr>
          <w:sz w:val="26"/>
          <w:szCs w:val="26"/>
        </w:rPr>
        <w:t xml:space="preserve"> exception</w:t>
      </w:r>
      <w:r>
        <w:rPr>
          <w:sz w:val="26"/>
          <w:szCs w:val="26"/>
        </w:rPr>
        <w:t>.</w:t>
      </w:r>
      <w:r w:rsidR="00D937F3">
        <w:rPr>
          <w:sz w:val="26"/>
          <w:szCs w:val="26"/>
        </w:rPr>
        <w:t xml:space="preserve">  </w:t>
      </w:r>
      <w:r w:rsidR="00A55132">
        <w:rPr>
          <w:i/>
          <w:sz w:val="26"/>
          <w:szCs w:val="26"/>
        </w:rPr>
        <w:t>Ace Check</w:t>
      </w:r>
      <w:r w:rsidR="00687B34">
        <w:rPr>
          <w:i/>
          <w:sz w:val="26"/>
          <w:szCs w:val="26"/>
        </w:rPr>
        <w:t xml:space="preserve"> Cashing</w:t>
      </w:r>
      <w:r w:rsidR="00D937F3">
        <w:rPr>
          <w:sz w:val="26"/>
          <w:szCs w:val="26"/>
        </w:rPr>
        <w:t>.</w:t>
      </w:r>
      <w:r w:rsidR="00EC7444">
        <w:rPr>
          <w:sz w:val="26"/>
          <w:szCs w:val="26"/>
        </w:rPr>
        <w:t xml:space="preserve"> </w:t>
      </w:r>
      <w:r w:rsidR="00687B34">
        <w:rPr>
          <w:sz w:val="26"/>
          <w:szCs w:val="26"/>
        </w:rPr>
        <w:t xml:space="preserve"> </w:t>
      </w:r>
      <w:r w:rsidR="00EC7444">
        <w:rPr>
          <w:sz w:val="26"/>
          <w:szCs w:val="26"/>
        </w:rPr>
        <w:t xml:space="preserve">Only after the landlord corrects the foreign load, as verified by the utility, must the utility </w:t>
      </w:r>
      <w:r>
        <w:rPr>
          <w:sz w:val="26"/>
          <w:szCs w:val="26"/>
        </w:rPr>
        <w:t>re-list</w:t>
      </w:r>
      <w:r w:rsidR="00EC7444">
        <w:rPr>
          <w:sz w:val="26"/>
          <w:szCs w:val="26"/>
        </w:rPr>
        <w:t xml:space="preserve"> the account back to the name of the tenant; however, the landlord remains responsible for any arrearage on the tenant’s account</w:t>
      </w:r>
      <w:r>
        <w:rPr>
          <w:sz w:val="26"/>
          <w:szCs w:val="26"/>
        </w:rPr>
        <w:t xml:space="preserve"> that existed prior to when the utility verified that the foreign load was corrected</w:t>
      </w:r>
      <w:r w:rsidR="00EC7444">
        <w:rPr>
          <w:sz w:val="26"/>
          <w:szCs w:val="26"/>
        </w:rPr>
        <w:t xml:space="preserve">.  </w:t>
      </w:r>
      <w:r w:rsidR="00EC7444" w:rsidRPr="00EC7444">
        <w:rPr>
          <w:i/>
          <w:sz w:val="26"/>
          <w:szCs w:val="26"/>
        </w:rPr>
        <w:t>Kopf</w:t>
      </w:r>
      <w:r w:rsidR="00EC7444">
        <w:rPr>
          <w:sz w:val="26"/>
          <w:szCs w:val="26"/>
        </w:rPr>
        <w:t xml:space="preserve">; </w:t>
      </w:r>
      <w:r w:rsidR="00EC7444" w:rsidRPr="00EC7444">
        <w:rPr>
          <w:i/>
          <w:sz w:val="26"/>
          <w:szCs w:val="26"/>
        </w:rPr>
        <w:t>Ace Check</w:t>
      </w:r>
      <w:r w:rsidR="004E404C">
        <w:rPr>
          <w:i/>
          <w:sz w:val="26"/>
          <w:szCs w:val="26"/>
        </w:rPr>
        <w:t xml:space="preserve"> Cashing</w:t>
      </w:r>
      <w:r w:rsidR="00EC7444">
        <w:rPr>
          <w:sz w:val="26"/>
          <w:szCs w:val="26"/>
        </w:rPr>
        <w:t xml:space="preserve">. </w:t>
      </w:r>
      <w:r>
        <w:rPr>
          <w:sz w:val="26"/>
          <w:szCs w:val="26"/>
        </w:rPr>
        <w:t xml:space="preserve"> The utility must pursue collection of any unpaid amounts from the landlord, and not from the tenant.  </w:t>
      </w:r>
      <w:r w:rsidRPr="00A55132">
        <w:rPr>
          <w:i/>
          <w:sz w:val="26"/>
          <w:szCs w:val="26"/>
        </w:rPr>
        <w:t>Santos</w:t>
      </w:r>
      <w:r>
        <w:rPr>
          <w:sz w:val="26"/>
          <w:szCs w:val="26"/>
        </w:rPr>
        <w:t>.</w:t>
      </w:r>
    </w:p>
    <w:bookmarkEnd w:id="3"/>
    <w:p w:rsidR="00DC436E" w:rsidRDefault="00DC436E" w:rsidP="000C3A70">
      <w:pPr>
        <w:widowControl/>
        <w:spacing w:line="360" w:lineRule="auto"/>
        <w:contextualSpacing/>
        <w:rPr>
          <w:sz w:val="26"/>
          <w:szCs w:val="26"/>
        </w:rPr>
      </w:pPr>
    </w:p>
    <w:p w:rsidR="00006F35" w:rsidRDefault="00C0632B" w:rsidP="000C3A70">
      <w:pPr>
        <w:keepNext/>
        <w:widowControl/>
        <w:spacing w:line="360" w:lineRule="auto"/>
        <w:contextualSpacing/>
        <w:rPr>
          <w:b/>
          <w:sz w:val="26"/>
          <w:szCs w:val="26"/>
        </w:rPr>
      </w:pPr>
      <w:r>
        <w:rPr>
          <w:b/>
          <w:sz w:val="26"/>
          <w:szCs w:val="26"/>
        </w:rPr>
        <w:t>ALJ’s</w:t>
      </w:r>
      <w:r w:rsidR="00006F35">
        <w:rPr>
          <w:b/>
          <w:sz w:val="26"/>
          <w:szCs w:val="26"/>
        </w:rPr>
        <w:t xml:space="preserve"> </w:t>
      </w:r>
      <w:r w:rsidR="007B531E">
        <w:rPr>
          <w:b/>
          <w:sz w:val="26"/>
          <w:szCs w:val="26"/>
        </w:rPr>
        <w:t>Initial Decision</w:t>
      </w:r>
    </w:p>
    <w:p w:rsidR="007B531E" w:rsidRDefault="007B531E" w:rsidP="000C3A70">
      <w:pPr>
        <w:keepNext/>
        <w:widowControl/>
        <w:spacing w:line="360" w:lineRule="auto"/>
        <w:ind w:firstLine="1440"/>
        <w:contextualSpacing/>
        <w:rPr>
          <w:sz w:val="26"/>
          <w:szCs w:val="26"/>
        </w:rPr>
      </w:pPr>
    </w:p>
    <w:p w:rsidR="007B531E" w:rsidRDefault="00C0632B" w:rsidP="000C3A70">
      <w:pPr>
        <w:widowControl/>
        <w:spacing w:line="360" w:lineRule="auto"/>
        <w:ind w:firstLine="1440"/>
        <w:contextualSpacing/>
        <w:rPr>
          <w:sz w:val="26"/>
          <w:szCs w:val="26"/>
        </w:rPr>
      </w:pPr>
      <w:r w:rsidRPr="00CD27A2">
        <w:rPr>
          <w:sz w:val="26"/>
          <w:szCs w:val="26"/>
        </w:rPr>
        <w:t xml:space="preserve">ALJ </w:t>
      </w:r>
      <w:r w:rsidR="001F479F">
        <w:rPr>
          <w:sz w:val="26"/>
          <w:szCs w:val="26"/>
        </w:rPr>
        <w:t>Salapa</w:t>
      </w:r>
      <w:r w:rsidRPr="00CD27A2">
        <w:rPr>
          <w:sz w:val="26"/>
          <w:szCs w:val="26"/>
        </w:rPr>
        <w:t xml:space="preserve"> </w:t>
      </w:r>
      <w:r w:rsidR="007B531E" w:rsidRPr="00CD27A2">
        <w:rPr>
          <w:sz w:val="26"/>
          <w:szCs w:val="26"/>
        </w:rPr>
        <w:t>made</w:t>
      </w:r>
      <w:r w:rsidR="00D457EC" w:rsidRPr="00CD27A2">
        <w:rPr>
          <w:sz w:val="26"/>
          <w:szCs w:val="26"/>
        </w:rPr>
        <w:t xml:space="preserve"> </w:t>
      </w:r>
      <w:r w:rsidR="001F479F">
        <w:rPr>
          <w:sz w:val="26"/>
          <w:szCs w:val="26"/>
        </w:rPr>
        <w:t>seven</w:t>
      </w:r>
      <w:r w:rsidR="00D457EC" w:rsidRPr="00CD27A2">
        <w:rPr>
          <w:sz w:val="26"/>
          <w:szCs w:val="26"/>
        </w:rPr>
        <w:t xml:space="preserve"> </w:t>
      </w:r>
      <w:r w:rsidR="007B531E" w:rsidRPr="00CD27A2">
        <w:rPr>
          <w:sz w:val="26"/>
          <w:szCs w:val="26"/>
        </w:rPr>
        <w:t xml:space="preserve">Findings of Fact and reached </w:t>
      </w:r>
      <w:r w:rsidR="001F479F">
        <w:rPr>
          <w:sz w:val="26"/>
          <w:szCs w:val="26"/>
        </w:rPr>
        <w:t xml:space="preserve">four </w:t>
      </w:r>
      <w:r w:rsidR="007B531E" w:rsidRPr="00CD27A2">
        <w:rPr>
          <w:sz w:val="26"/>
          <w:szCs w:val="26"/>
        </w:rPr>
        <w:t xml:space="preserve">Conclusions of Law.  </w:t>
      </w:r>
      <w:r w:rsidR="00CD27A2" w:rsidRPr="00CD27A2">
        <w:rPr>
          <w:i/>
          <w:sz w:val="26"/>
          <w:szCs w:val="26"/>
        </w:rPr>
        <w:t>See</w:t>
      </w:r>
      <w:r w:rsidR="001F479F">
        <w:rPr>
          <w:sz w:val="26"/>
          <w:szCs w:val="26"/>
        </w:rPr>
        <w:t xml:space="preserve"> I.D. at 4</w:t>
      </w:r>
      <w:r w:rsidR="00CD27A2">
        <w:rPr>
          <w:sz w:val="26"/>
          <w:szCs w:val="26"/>
        </w:rPr>
        <w:t xml:space="preserve">-5; </w:t>
      </w:r>
      <w:r w:rsidR="001F479F">
        <w:rPr>
          <w:sz w:val="26"/>
          <w:szCs w:val="26"/>
        </w:rPr>
        <w:t>12</w:t>
      </w:r>
      <w:r w:rsidR="00600F38" w:rsidRPr="00CD27A2">
        <w:rPr>
          <w:sz w:val="26"/>
          <w:szCs w:val="26"/>
        </w:rPr>
        <w:t xml:space="preserve">. </w:t>
      </w:r>
      <w:r w:rsidR="00CD27A2">
        <w:rPr>
          <w:sz w:val="26"/>
          <w:szCs w:val="26"/>
        </w:rPr>
        <w:t xml:space="preserve"> </w:t>
      </w:r>
      <w:r w:rsidR="007B531E" w:rsidRPr="00CD27A2">
        <w:rPr>
          <w:sz w:val="26"/>
          <w:szCs w:val="26"/>
        </w:rPr>
        <w:t>The</w:t>
      </w:r>
      <w:r w:rsidR="007B531E" w:rsidRPr="00CA43A5">
        <w:rPr>
          <w:sz w:val="26"/>
          <w:szCs w:val="26"/>
        </w:rPr>
        <w:t xml:space="preserve"> Findings of Fact and Conclusions of Law are </w:t>
      </w:r>
      <w:r w:rsidR="007B531E" w:rsidRPr="00662FE0">
        <w:rPr>
          <w:sz w:val="26"/>
          <w:szCs w:val="26"/>
        </w:rPr>
        <w:t xml:space="preserve">incorporated </w:t>
      </w:r>
      <w:r w:rsidR="007B531E" w:rsidRPr="00662FE0">
        <w:rPr>
          <w:sz w:val="26"/>
          <w:szCs w:val="26"/>
        </w:rPr>
        <w:lastRenderedPageBreak/>
        <w:t>herein by reference and are adopted without comment unless they are either expressly or by necessary implication rejected or modified by this Opinion and Order.</w:t>
      </w:r>
    </w:p>
    <w:p w:rsidR="00F37CB2" w:rsidRDefault="00F37CB2" w:rsidP="000C3A70">
      <w:pPr>
        <w:widowControl/>
        <w:spacing w:line="360" w:lineRule="auto"/>
        <w:ind w:firstLine="1440"/>
        <w:contextualSpacing/>
        <w:rPr>
          <w:sz w:val="26"/>
          <w:szCs w:val="26"/>
        </w:rPr>
      </w:pPr>
    </w:p>
    <w:p w:rsidR="00F37CB2" w:rsidRDefault="00F37CB2" w:rsidP="000C3A70">
      <w:pPr>
        <w:widowControl/>
        <w:spacing w:line="360" w:lineRule="auto"/>
        <w:ind w:firstLine="1440"/>
        <w:contextualSpacing/>
        <w:rPr>
          <w:sz w:val="26"/>
          <w:szCs w:val="26"/>
        </w:rPr>
      </w:pPr>
      <w:r>
        <w:rPr>
          <w:sz w:val="26"/>
          <w:szCs w:val="26"/>
        </w:rPr>
        <w:t xml:space="preserve">The </w:t>
      </w:r>
      <w:r w:rsidR="00F015E2">
        <w:rPr>
          <w:sz w:val="26"/>
          <w:szCs w:val="26"/>
        </w:rPr>
        <w:t xml:space="preserve">ALJ </w:t>
      </w:r>
      <w:r>
        <w:rPr>
          <w:sz w:val="26"/>
          <w:szCs w:val="26"/>
        </w:rPr>
        <w:t xml:space="preserve">provided a summary of the facts </w:t>
      </w:r>
      <w:r w:rsidR="00A66FF6">
        <w:rPr>
          <w:sz w:val="26"/>
          <w:szCs w:val="26"/>
        </w:rPr>
        <w:t>plead</w:t>
      </w:r>
      <w:r w:rsidR="009915FD">
        <w:rPr>
          <w:sz w:val="26"/>
          <w:szCs w:val="26"/>
        </w:rPr>
        <w:t>ed</w:t>
      </w:r>
      <w:r>
        <w:rPr>
          <w:sz w:val="26"/>
          <w:szCs w:val="26"/>
        </w:rPr>
        <w:t xml:space="preserve"> in the Complaint.  </w:t>
      </w:r>
      <w:r w:rsidR="0094666D" w:rsidRPr="0094666D">
        <w:rPr>
          <w:i/>
          <w:sz w:val="26"/>
          <w:szCs w:val="26"/>
        </w:rPr>
        <w:t>See</w:t>
      </w:r>
      <w:r w:rsidR="0094666D">
        <w:rPr>
          <w:sz w:val="26"/>
          <w:szCs w:val="26"/>
        </w:rPr>
        <w:t xml:space="preserve"> I.D. at 2.  </w:t>
      </w:r>
      <w:r>
        <w:rPr>
          <w:sz w:val="26"/>
          <w:szCs w:val="26"/>
        </w:rPr>
        <w:t>In the Complaint, the Complainant stated he is the owner of residential rental property at 633 Andrews Avenue, 1</w:t>
      </w:r>
      <w:r w:rsidRPr="005D09DD">
        <w:rPr>
          <w:sz w:val="26"/>
          <w:szCs w:val="26"/>
          <w:vertAlign w:val="superscript"/>
        </w:rPr>
        <w:t>st</w:t>
      </w:r>
      <w:r>
        <w:rPr>
          <w:sz w:val="26"/>
          <w:szCs w:val="26"/>
        </w:rPr>
        <w:t xml:space="preserve"> F</w:t>
      </w:r>
      <w:r w:rsidR="002E3999">
        <w:rPr>
          <w:sz w:val="26"/>
          <w:szCs w:val="26"/>
        </w:rPr>
        <w:t>loor, Collingdale, Pennsylvania</w:t>
      </w:r>
      <w:r>
        <w:rPr>
          <w:sz w:val="26"/>
          <w:szCs w:val="26"/>
        </w:rPr>
        <w:t xml:space="preserve">.  </w:t>
      </w:r>
      <w:r w:rsidRPr="005D09DD">
        <w:rPr>
          <w:sz w:val="26"/>
          <w:szCs w:val="26"/>
        </w:rPr>
        <w:t>I.D.</w:t>
      </w:r>
      <w:r>
        <w:rPr>
          <w:sz w:val="26"/>
          <w:szCs w:val="26"/>
        </w:rPr>
        <w:t xml:space="preserve"> at 2, 7.  The C</w:t>
      </w:r>
      <w:r w:rsidRPr="007E3865">
        <w:rPr>
          <w:sz w:val="26"/>
          <w:szCs w:val="26"/>
        </w:rPr>
        <w:t>omplain</w:t>
      </w:r>
      <w:r>
        <w:rPr>
          <w:sz w:val="26"/>
          <w:szCs w:val="26"/>
        </w:rPr>
        <w:t>an</w:t>
      </w:r>
      <w:r w:rsidRPr="007E3865">
        <w:rPr>
          <w:sz w:val="26"/>
          <w:szCs w:val="26"/>
        </w:rPr>
        <w:t>t allege</w:t>
      </w:r>
      <w:r>
        <w:rPr>
          <w:sz w:val="26"/>
          <w:szCs w:val="26"/>
        </w:rPr>
        <w:t>d</w:t>
      </w:r>
      <w:r w:rsidRPr="007E3865">
        <w:rPr>
          <w:sz w:val="26"/>
          <w:szCs w:val="26"/>
        </w:rPr>
        <w:t xml:space="preserve"> three tenants moved into the property at 633 Andrews Avenue, 1st Floor</w:t>
      </w:r>
      <w:r w:rsidR="007029AC">
        <w:rPr>
          <w:sz w:val="26"/>
          <w:szCs w:val="26"/>
        </w:rPr>
        <w:t>,</w:t>
      </w:r>
      <w:r w:rsidRPr="007E3865">
        <w:rPr>
          <w:sz w:val="26"/>
          <w:szCs w:val="26"/>
        </w:rPr>
        <w:t xml:space="preserve"> on July 1, 2015. </w:t>
      </w:r>
      <w:r>
        <w:rPr>
          <w:sz w:val="26"/>
          <w:szCs w:val="26"/>
        </w:rPr>
        <w:t xml:space="preserve"> </w:t>
      </w:r>
      <w:r w:rsidRPr="007E3865">
        <w:rPr>
          <w:sz w:val="26"/>
          <w:szCs w:val="26"/>
        </w:rPr>
        <w:t xml:space="preserve">According to the </w:t>
      </w:r>
      <w:r>
        <w:rPr>
          <w:sz w:val="26"/>
          <w:szCs w:val="26"/>
        </w:rPr>
        <w:t>C</w:t>
      </w:r>
      <w:r w:rsidRPr="007E3865">
        <w:rPr>
          <w:sz w:val="26"/>
          <w:szCs w:val="26"/>
        </w:rPr>
        <w:t>omplaint, the Complainant informed the tenants that the basement light, hall light and sump pump were connected to th</w:t>
      </w:r>
      <w:r>
        <w:rPr>
          <w:sz w:val="26"/>
          <w:szCs w:val="26"/>
        </w:rPr>
        <w:t>eir apartment’s electric meter.  I</w:t>
      </w:r>
      <w:r w:rsidRPr="007E3865">
        <w:rPr>
          <w:sz w:val="26"/>
          <w:szCs w:val="26"/>
        </w:rPr>
        <w:t>n exchange for having the lights and sum</w:t>
      </w:r>
      <w:r w:rsidR="00F015E2">
        <w:rPr>
          <w:sz w:val="26"/>
          <w:szCs w:val="26"/>
        </w:rPr>
        <w:t>p</w:t>
      </w:r>
      <w:r w:rsidRPr="007E3865">
        <w:rPr>
          <w:sz w:val="26"/>
          <w:szCs w:val="26"/>
        </w:rPr>
        <w:t xml:space="preserve"> pump </w:t>
      </w:r>
      <w:r w:rsidRPr="005D09DD">
        <w:rPr>
          <w:sz w:val="26"/>
          <w:szCs w:val="26"/>
        </w:rPr>
        <w:t>connected to their meter, the tenants were allowed basement storage at no extra cost.</w:t>
      </w:r>
      <w:r>
        <w:rPr>
          <w:sz w:val="26"/>
          <w:szCs w:val="26"/>
        </w:rPr>
        <w:t xml:space="preserve">  </w:t>
      </w:r>
      <w:r w:rsidR="00D13756">
        <w:rPr>
          <w:sz w:val="26"/>
          <w:szCs w:val="26"/>
        </w:rPr>
        <w:t>T</w:t>
      </w:r>
      <w:r w:rsidRPr="005D09DD">
        <w:rPr>
          <w:sz w:val="26"/>
          <w:szCs w:val="26"/>
        </w:rPr>
        <w:t>he Complainant later initiated an eviction proceeding against the tenants for failure to pa</w:t>
      </w:r>
      <w:r>
        <w:rPr>
          <w:sz w:val="26"/>
          <w:szCs w:val="26"/>
        </w:rPr>
        <w:t>y their rent.</w:t>
      </w:r>
      <w:r w:rsidR="002E3999">
        <w:rPr>
          <w:sz w:val="26"/>
          <w:szCs w:val="26"/>
        </w:rPr>
        <w:t xml:space="preserve"> </w:t>
      </w:r>
      <w:r>
        <w:rPr>
          <w:sz w:val="26"/>
          <w:szCs w:val="26"/>
        </w:rPr>
        <w:t xml:space="preserve"> </w:t>
      </w:r>
      <w:r w:rsidR="00D13756">
        <w:rPr>
          <w:sz w:val="26"/>
          <w:szCs w:val="26"/>
        </w:rPr>
        <w:t>T</w:t>
      </w:r>
      <w:r w:rsidRPr="005D09DD">
        <w:rPr>
          <w:sz w:val="26"/>
          <w:szCs w:val="26"/>
        </w:rPr>
        <w:t xml:space="preserve">he tenants complained to </w:t>
      </w:r>
      <w:r w:rsidR="00D84F0D">
        <w:rPr>
          <w:sz w:val="26"/>
          <w:szCs w:val="26"/>
        </w:rPr>
        <w:t>PECO</w:t>
      </w:r>
      <w:r w:rsidRPr="005D09DD">
        <w:rPr>
          <w:sz w:val="26"/>
          <w:szCs w:val="26"/>
        </w:rPr>
        <w:t xml:space="preserve"> that their electric bills were too high.</w:t>
      </w:r>
      <w:r w:rsidR="002E3999">
        <w:rPr>
          <w:sz w:val="26"/>
          <w:szCs w:val="26"/>
        </w:rPr>
        <w:t xml:space="preserve"> </w:t>
      </w:r>
      <w:r w:rsidRPr="005D09DD">
        <w:rPr>
          <w:sz w:val="26"/>
          <w:szCs w:val="26"/>
        </w:rPr>
        <w:t xml:space="preserve"> When </w:t>
      </w:r>
      <w:r w:rsidR="00D84F0D">
        <w:rPr>
          <w:sz w:val="26"/>
          <w:szCs w:val="26"/>
        </w:rPr>
        <w:t>PECO</w:t>
      </w:r>
      <w:r w:rsidRPr="005D09DD">
        <w:rPr>
          <w:sz w:val="26"/>
          <w:szCs w:val="26"/>
        </w:rPr>
        <w:t xml:space="preserve"> investigate</w:t>
      </w:r>
      <w:r>
        <w:rPr>
          <w:sz w:val="26"/>
          <w:szCs w:val="26"/>
        </w:rPr>
        <w:t>d the tenant</w:t>
      </w:r>
      <w:r w:rsidRPr="005D09DD">
        <w:rPr>
          <w:sz w:val="26"/>
          <w:szCs w:val="26"/>
        </w:rPr>
        <w:t>s</w:t>
      </w:r>
      <w:r>
        <w:rPr>
          <w:sz w:val="26"/>
          <w:szCs w:val="26"/>
        </w:rPr>
        <w:t>’</w:t>
      </w:r>
      <w:r w:rsidRPr="005D09DD">
        <w:rPr>
          <w:sz w:val="26"/>
          <w:szCs w:val="26"/>
        </w:rPr>
        <w:t xml:space="preserve"> complaint on August 9, 2016, </w:t>
      </w:r>
      <w:r w:rsidR="00D84F0D">
        <w:rPr>
          <w:sz w:val="26"/>
          <w:szCs w:val="26"/>
        </w:rPr>
        <w:t>PECO</w:t>
      </w:r>
      <w:r w:rsidRPr="005D09DD">
        <w:rPr>
          <w:sz w:val="26"/>
          <w:szCs w:val="26"/>
        </w:rPr>
        <w:t xml:space="preserve"> found that the basement light, hall light and sump pump were c</w:t>
      </w:r>
      <w:r w:rsidR="002E3999">
        <w:rPr>
          <w:sz w:val="26"/>
          <w:szCs w:val="26"/>
        </w:rPr>
        <w:t>onnected to the tenants</w:t>
      </w:r>
      <w:r w:rsidR="00310EC4">
        <w:rPr>
          <w:sz w:val="26"/>
          <w:szCs w:val="26"/>
        </w:rPr>
        <w:t>’</w:t>
      </w:r>
      <w:r w:rsidR="002E3999">
        <w:rPr>
          <w:sz w:val="26"/>
          <w:szCs w:val="26"/>
        </w:rPr>
        <w:t xml:space="preserve"> meter.</w:t>
      </w:r>
      <w:r w:rsidR="0094666D">
        <w:rPr>
          <w:sz w:val="26"/>
          <w:szCs w:val="26"/>
        </w:rPr>
        <w:t xml:space="preserve">  </w:t>
      </w:r>
      <w:r w:rsidR="00D84F0D">
        <w:rPr>
          <w:sz w:val="26"/>
          <w:szCs w:val="26"/>
        </w:rPr>
        <w:t>PECO</w:t>
      </w:r>
      <w:r w:rsidRPr="005D09DD">
        <w:rPr>
          <w:sz w:val="26"/>
          <w:szCs w:val="26"/>
        </w:rPr>
        <w:t xml:space="preserve"> transferred the account balance of $1,718.14 for 633 Andrews Avenue, 1st Floor</w:t>
      </w:r>
      <w:r w:rsidR="007029AC">
        <w:rPr>
          <w:sz w:val="26"/>
          <w:szCs w:val="26"/>
        </w:rPr>
        <w:t>,</w:t>
      </w:r>
      <w:r w:rsidRPr="005D09DD">
        <w:rPr>
          <w:sz w:val="26"/>
          <w:szCs w:val="26"/>
        </w:rPr>
        <w:t xml:space="preserve"> from the </w:t>
      </w:r>
      <w:r>
        <w:rPr>
          <w:sz w:val="26"/>
          <w:szCs w:val="26"/>
        </w:rPr>
        <w:t xml:space="preserve">tenants to the Complainant.  </w:t>
      </w:r>
      <w:r w:rsidRPr="005D09DD">
        <w:rPr>
          <w:sz w:val="26"/>
          <w:szCs w:val="26"/>
        </w:rPr>
        <w:t xml:space="preserve">Subsequently, the Complainant corrected the foreign wiring for 633 Andrews Avenue, 1st </w:t>
      </w:r>
      <w:r>
        <w:rPr>
          <w:sz w:val="26"/>
          <w:szCs w:val="26"/>
        </w:rPr>
        <w:t>Floor.  The Complain</w:t>
      </w:r>
      <w:r w:rsidR="00123574">
        <w:rPr>
          <w:sz w:val="26"/>
          <w:szCs w:val="26"/>
        </w:rPr>
        <w:t>an</w:t>
      </w:r>
      <w:r>
        <w:rPr>
          <w:sz w:val="26"/>
          <w:szCs w:val="26"/>
        </w:rPr>
        <w:t>t asserted</w:t>
      </w:r>
      <w:r w:rsidRPr="005D09DD">
        <w:rPr>
          <w:sz w:val="26"/>
          <w:szCs w:val="26"/>
        </w:rPr>
        <w:t xml:space="preserve"> </w:t>
      </w:r>
      <w:r w:rsidR="00123574">
        <w:rPr>
          <w:sz w:val="26"/>
          <w:szCs w:val="26"/>
        </w:rPr>
        <w:t xml:space="preserve">in the Complaint </w:t>
      </w:r>
      <w:r w:rsidRPr="005D09DD">
        <w:rPr>
          <w:sz w:val="26"/>
          <w:szCs w:val="26"/>
        </w:rPr>
        <w:t>that the electricity usage for the lights and</w:t>
      </w:r>
      <w:r w:rsidR="002E3999">
        <w:rPr>
          <w:sz w:val="26"/>
          <w:szCs w:val="26"/>
        </w:rPr>
        <w:t xml:space="preserve"> sump pump is $15.00 per month</w:t>
      </w:r>
      <w:r w:rsidR="00123574">
        <w:rPr>
          <w:sz w:val="26"/>
          <w:szCs w:val="26"/>
        </w:rPr>
        <w:t xml:space="preserve"> and that he</w:t>
      </w:r>
      <w:r w:rsidRPr="005D09DD">
        <w:rPr>
          <w:sz w:val="26"/>
          <w:szCs w:val="26"/>
        </w:rPr>
        <w:t xml:space="preserve"> agrees to pay his share of the electric bill for 633 Andrews Avenue, 1st Floor. </w:t>
      </w:r>
      <w:r>
        <w:rPr>
          <w:sz w:val="26"/>
          <w:szCs w:val="26"/>
        </w:rPr>
        <w:t xml:space="preserve"> </w:t>
      </w:r>
      <w:r w:rsidRPr="005D09DD">
        <w:rPr>
          <w:sz w:val="26"/>
          <w:szCs w:val="26"/>
        </w:rPr>
        <w:t xml:space="preserve">However, the Complainant </w:t>
      </w:r>
      <w:r>
        <w:rPr>
          <w:sz w:val="26"/>
          <w:szCs w:val="26"/>
        </w:rPr>
        <w:t xml:space="preserve">stated that he </w:t>
      </w:r>
      <w:r w:rsidRPr="005D09DD">
        <w:rPr>
          <w:sz w:val="26"/>
          <w:szCs w:val="26"/>
        </w:rPr>
        <w:t>does not agree to pay the entire balance for</w:t>
      </w:r>
      <w:r w:rsidR="002E3999">
        <w:rPr>
          <w:sz w:val="26"/>
          <w:szCs w:val="26"/>
        </w:rPr>
        <w:t xml:space="preserve"> 633 Andrews Avenue, 1st Floor.</w:t>
      </w:r>
      <w:r w:rsidR="00123574">
        <w:rPr>
          <w:sz w:val="26"/>
          <w:szCs w:val="26"/>
        </w:rPr>
        <w:t xml:space="preserve">  I.D. at 2.</w:t>
      </w:r>
    </w:p>
    <w:p w:rsidR="00F37CB2" w:rsidRDefault="00F37CB2" w:rsidP="000C3A70">
      <w:pPr>
        <w:widowControl/>
        <w:spacing w:line="360" w:lineRule="auto"/>
        <w:ind w:firstLine="1440"/>
        <w:contextualSpacing/>
        <w:rPr>
          <w:sz w:val="26"/>
          <w:szCs w:val="26"/>
        </w:rPr>
      </w:pPr>
    </w:p>
    <w:p w:rsidR="00597EF4" w:rsidRPr="00597EF4" w:rsidRDefault="00F37CB2" w:rsidP="000C3A70">
      <w:pPr>
        <w:widowControl/>
        <w:spacing w:line="360" w:lineRule="auto"/>
        <w:ind w:firstLine="1440"/>
        <w:contextualSpacing/>
        <w:rPr>
          <w:sz w:val="26"/>
          <w:szCs w:val="26"/>
        </w:rPr>
      </w:pPr>
      <w:r>
        <w:rPr>
          <w:sz w:val="26"/>
          <w:szCs w:val="26"/>
        </w:rPr>
        <w:t xml:space="preserve">The </w:t>
      </w:r>
      <w:r w:rsidR="001801BA">
        <w:rPr>
          <w:sz w:val="26"/>
          <w:szCs w:val="26"/>
        </w:rPr>
        <w:t xml:space="preserve">ALJ </w:t>
      </w:r>
      <w:r>
        <w:rPr>
          <w:sz w:val="26"/>
          <w:szCs w:val="26"/>
        </w:rPr>
        <w:t xml:space="preserve">also provided a summary of the statements in PECO’s Answer to the Complaint.  </w:t>
      </w:r>
      <w:r w:rsidR="00D13756" w:rsidRPr="00D13756">
        <w:rPr>
          <w:i/>
          <w:sz w:val="26"/>
          <w:szCs w:val="26"/>
        </w:rPr>
        <w:t>See</w:t>
      </w:r>
      <w:r w:rsidR="00D13756">
        <w:rPr>
          <w:sz w:val="26"/>
          <w:szCs w:val="26"/>
        </w:rPr>
        <w:t xml:space="preserve"> </w:t>
      </w:r>
      <w:r w:rsidR="00597EF4">
        <w:rPr>
          <w:sz w:val="26"/>
          <w:szCs w:val="26"/>
        </w:rPr>
        <w:t>I.D. at 2</w:t>
      </w:r>
      <w:r w:rsidR="00D13756">
        <w:rPr>
          <w:sz w:val="26"/>
          <w:szCs w:val="26"/>
        </w:rPr>
        <w:t>-3</w:t>
      </w:r>
      <w:r w:rsidR="00597EF4">
        <w:rPr>
          <w:sz w:val="26"/>
          <w:szCs w:val="26"/>
        </w:rPr>
        <w:t xml:space="preserve">.  </w:t>
      </w:r>
      <w:r w:rsidR="001801BA">
        <w:rPr>
          <w:sz w:val="26"/>
          <w:szCs w:val="26"/>
        </w:rPr>
        <w:t xml:space="preserve">Among other things, the ALJ explained that PECO </w:t>
      </w:r>
      <w:r w:rsidR="00597EF4">
        <w:rPr>
          <w:rFonts w:eastAsiaTheme="minorHAnsi"/>
          <w:color w:val="000000"/>
          <w:sz w:val="26"/>
          <w:szCs w:val="26"/>
        </w:rPr>
        <w:t xml:space="preserve">averred </w:t>
      </w:r>
      <w:r w:rsidR="001801BA">
        <w:rPr>
          <w:rFonts w:eastAsiaTheme="minorHAnsi"/>
          <w:color w:val="000000"/>
          <w:sz w:val="26"/>
          <w:szCs w:val="26"/>
        </w:rPr>
        <w:t xml:space="preserve">in its Answer </w:t>
      </w:r>
      <w:r w:rsidR="00597EF4">
        <w:rPr>
          <w:rFonts w:eastAsiaTheme="minorHAnsi"/>
          <w:color w:val="000000"/>
          <w:sz w:val="26"/>
          <w:szCs w:val="26"/>
        </w:rPr>
        <w:t xml:space="preserve">that </w:t>
      </w:r>
      <w:r w:rsidR="00B855E3">
        <w:rPr>
          <w:rFonts w:eastAsiaTheme="minorHAnsi"/>
          <w:color w:val="000000"/>
          <w:sz w:val="26"/>
          <w:szCs w:val="26"/>
        </w:rPr>
        <w:t xml:space="preserve">it (1) </w:t>
      </w:r>
      <w:r w:rsidR="00597EF4" w:rsidRPr="00597EF4">
        <w:rPr>
          <w:rFonts w:eastAsiaTheme="minorHAnsi"/>
          <w:color w:val="000000"/>
          <w:sz w:val="26"/>
          <w:szCs w:val="26"/>
        </w:rPr>
        <w:t>notified the tenants that it discovered foreign wiring</w:t>
      </w:r>
      <w:r w:rsidR="00CA12A9">
        <w:rPr>
          <w:rFonts w:eastAsiaTheme="minorHAnsi"/>
          <w:color w:val="000000"/>
          <w:sz w:val="26"/>
          <w:szCs w:val="26"/>
        </w:rPr>
        <w:t>;</w:t>
      </w:r>
      <w:r w:rsidR="00597EF4" w:rsidRPr="00597EF4">
        <w:rPr>
          <w:rFonts w:eastAsiaTheme="minorHAnsi"/>
          <w:color w:val="000000"/>
          <w:sz w:val="26"/>
          <w:szCs w:val="26"/>
        </w:rPr>
        <w:t xml:space="preserve"> </w:t>
      </w:r>
      <w:r w:rsidR="00B855E3">
        <w:rPr>
          <w:rFonts w:eastAsiaTheme="minorHAnsi"/>
          <w:color w:val="000000"/>
          <w:sz w:val="26"/>
          <w:szCs w:val="26"/>
        </w:rPr>
        <w:t>(2)</w:t>
      </w:r>
      <w:r w:rsidR="0030664C">
        <w:rPr>
          <w:rFonts w:eastAsiaTheme="minorHAnsi"/>
          <w:color w:val="000000"/>
          <w:sz w:val="26"/>
          <w:szCs w:val="26"/>
        </w:rPr>
        <w:t> </w:t>
      </w:r>
      <w:r w:rsidR="00B855E3">
        <w:rPr>
          <w:rFonts w:eastAsiaTheme="minorHAnsi"/>
          <w:color w:val="000000"/>
          <w:sz w:val="26"/>
          <w:szCs w:val="26"/>
        </w:rPr>
        <w:t xml:space="preserve">transferred </w:t>
      </w:r>
      <w:r w:rsidR="00597EF4" w:rsidRPr="00597EF4">
        <w:rPr>
          <w:rFonts w:eastAsiaTheme="minorHAnsi"/>
          <w:color w:val="000000"/>
          <w:sz w:val="26"/>
          <w:szCs w:val="26"/>
        </w:rPr>
        <w:t>the account for 633 Andrews Avenue, 1st Floor</w:t>
      </w:r>
      <w:r w:rsidR="007029AC">
        <w:rPr>
          <w:rFonts w:eastAsiaTheme="minorHAnsi"/>
          <w:color w:val="000000"/>
          <w:sz w:val="26"/>
          <w:szCs w:val="26"/>
        </w:rPr>
        <w:t>,</w:t>
      </w:r>
      <w:r w:rsidR="00597EF4" w:rsidRPr="00597EF4">
        <w:rPr>
          <w:rFonts w:eastAsiaTheme="minorHAnsi"/>
          <w:color w:val="000000"/>
          <w:sz w:val="26"/>
          <w:szCs w:val="26"/>
        </w:rPr>
        <w:t xml:space="preserve"> to the Complainant</w:t>
      </w:r>
      <w:r w:rsidR="00CA12A9">
        <w:rPr>
          <w:rFonts w:eastAsiaTheme="minorHAnsi"/>
          <w:color w:val="000000"/>
          <w:sz w:val="26"/>
          <w:szCs w:val="26"/>
        </w:rPr>
        <w:t>;</w:t>
      </w:r>
      <w:r w:rsidR="0030664C">
        <w:rPr>
          <w:rFonts w:eastAsiaTheme="minorHAnsi"/>
          <w:color w:val="000000"/>
          <w:sz w:val="26"/>
          <w:szCs w:val="26"/>
        </w:rPr>
        <w:t xml:space="preserve"> </w:t>
      </w:r>
      <w:r w:rsidR="00597EF4" w:rsidRPr="00597EF4">
        <w:rPr>
          <w:rFonts w:eastAsiaTheme="minorHAnsi"/>
          <w:color w:val="000000"/>
          <w:sz w:val="26"/>
          <w:szCs w:val="26"/>
        </w:rPr>
        <w:t xml:space="preserve">and </w:t>
      </w:r>
      <w:r w:rsidR="0030664C">
        <w:rPr>
          <w:rFonts w:eastAsiaTheme="minorHAnsi"/>
          <w:color w:val="000000"/>
          <w:sz w:val="26"/>
          <w:szCs w:val="26"/>
        </w:rPr>
        <w:t xml:space="preserve">(3) </w:t>
      </w:r>
      <w:r w:rsidR="00597EF4" w:rsidRPr="00597EF4">
        <w:rPr>
          <w:rFonts w:eastAsiaTheme="minorHAnsi"/>
          <w:color w:val="000000"/>
          <w:sz w:val="26"/>
          <w:szCs w:val="26"/>
        </w:rPr>
        <w:t>transferred the</w:t>
      </w:r>
      <w:r w:rsidR="0030664C">
        <w:rPr>
          <w:rFonts w:eastAsiaTheme="minorHAnsi"/>
          <w:color w:val="000000"/>
          <w:sz w:val="26"/>
          <w:szCs w:val="26"/>
        </w:rPr>
        <w:t xml:space="preserve"> tenants’</w:t>
      </w:r>
      <w:r w:rsidR="00597EF4" w:rsidRPr="00597EF4">
        <w:rPr>
          <w:rFonts w:eastAsiaTheme="minorHAnsi"/>
          <w:color w:val="000000"/>
          <w:sz w:val="26"/>
          <w:szCs w:val="26"/>
        </w:rPr>
        <w:t xml:space="preserve"> outstanding account balanc</w:t>
      </w:r>
      <w:r w:rsidR="00D13756">
        <w:rPr>
          <w:rFonts w:eastAsiaTheme="minorHAnsi"/>
          <w:color w:val="000000"/>
          <w:sz w:val="26"/>
          <w:szCs w:val="26"/>
        </w:rPr>
        <w:t xml:space="preserve">e </w:t>
      </w:r>
      <w:r w:rsidR="0030664C">
        <w:rPr>
          <w:rFonts w:eastAsiaTheme="minorHAnsi"/>
          <w:color w:val="000000"/>
          <w:sz w:val="26"/>
          <w:szCs w:val="26"/>
        </w:rPr>
        <w:t xml:space="preserve">of $1,718.14 </w:t>
      </w:r>
      <w:r w:rsidR="00D13756">
        <w:rPr>
          <w:rFonts w:eastAsiaTheme="minorHAnsi"/>
          <w:color w:val="000000"/>
          <w:sz w:val="26"/>
          <w:szCs w:val="26"/>
        </w:rPr>
        <w:t>to the Complainant’s account.</w:t>
      </w:r>
      <w:r w:rsidR="00597EF4">
        <w:rPr>
          <w:rFonts w:eastAsiaTheme="minorHAnsi"/>
          <w:color w:val="000000"/>
          <w:sz w:val="26"/>
          <w:szCs w:val="26"/>
        </w:rPr>
        <w:t xml:space="preserve"> </w:t>
      </w:r>
      <w:r w:rsidR="00D13756">
        <w:rPr>
          <w:rFonts w:eastAsiaTheme="minorHAnsi"/>
          <w:color w:val="000000"/>
          <w:sz w:val="26"/>
          <w:szCs w:val="26"/>
        </w:rPr>
        <w:t xml:space="preserve"> </w:t>
      </w:r>
      <w:r w:rsidR="00E763A6">
        <w:rPr>
          <w:rFonts w:eastAsiaTheme="minorHAnsi"/>
          <w:color w:val="000000"/>
          <w:sz w:val="26"/>
          <w:szCs w:val="26"/>
        </w:rPr>
        <w:t xml:space="preserve">PECO also alleged in its </w:t>
      </w:r>
      <w:r w:rsidR="00597EF4">
        <w:rPr>
          <w:rFonts w:eastAsiaTheme="minorHAnsi"/>
          <w:color w:val="000000"/>
          <w:sz w:val="26"/>
          <w:szCs w:val="26"/>
        </w:rPr>
        <w:t>A</w:t>
      </w:r>
      <w:r w:rsidR="00597EF4" w:rsidRPr="00597EF4">
        <w:rPr>
          <w:rFonts w:eastAsiaTheme="minorHAnsi"/>
          <w:color w:val="000000"/>
          <w:sz w:val="26"/>
          <w:szCs w:val="26"/>
        </w:rPr>
        <w:t xml:space="preserve">nswer that </w:t>
      </w:r>
      <w:r w:rsidR="00E763A6">
        <w:rPr>
          <w:rFonts w:eastAsiaTheme="minorHAnsi"/>
          <w:color w:val="000000"/>
          <w:sz w:val="26"/>
          <w:szCs w:val="26"/>
        </w:rPr>
        <w:t xml:space="preserve">it </w:t>
      </w:r>
      <w:r w:rsidR="00597EF4" w:rsidRPr="00597EF4">
        <w:rPr>
          <w:rFonts w:eastAsiaTheme="minorHAnsi"/>
          <w:color w:val="000000"/>
          <w:sz w:val="26"/>
          <w:szCs w:val="26"/>
        </w:rPr>
        <w:t xml:space="preserve">acted properly in </w:t>
      </w:r>
      <w:r w:rsidR="00597EF4" w:rsidRPr="00597EF4">
        <w:rPr>
          <w:rFonts w:eastAsiaTheme="minorHAnsi"/>
          <w:color w:val="000000"/>
          <w:sz w:val="26"/>
          <w:szCs w:val="26"/>
        </w:rPr>
        <w:lastRenderedPageBreak/>
        <w:t>transferring the account for 633 Andrews Avenue</w:t>
      </w:r>
      <w:r w:rsidR="00D13756">
        <w:rPr>
          <w:rFonts w:eastAsiaTheme="minorHAnsi"/>
          <w:color w:val="000000"/>
          <w:sz w:val="26"/>
          <w:szCs w:val="26"/>
        </w:rPr>
        <w:t xml:space="preserve">, 1st Floor to the Complainant.  </w:t>
      </w:r>
      <w:r w:rsidR="004B558E">
        <w:rPr>
          <w:rFonts w:eastAsiaTheme="minorHAnsi"/>
          <w:color w:val="000000"/>
          <w:sz w:val="26"/>
          <w:szCs w:val="26"/>
        </w:rPr>
        <w:t xml:space="preserve">PECO asserted in the </w:t>
      </w:r>
      <w:r w:rsidR="00597EF4">
        <w:rPr>
          <w:rFonts w:eastAsiaTheme="minorHAnsi"/>
          <w:color w:val="000000"/>
          <w:sz w:val="26"/>
          <w:szCs w:val="26"/>
        </w:rPr>
        <w:t>A</w:t>
      </w:r>
      <w:r w:rsidR="004B558E">
        <w:rPr>
          <w:rFonts w:eastAsiaTheme="minorHAnsi"/>
          <w:color w:val="000000"/>
          <w:sz w:val="26"/>
          <w:szCs w:val="26"/>
        </w:rPr>
        <w:t>nswer that</w:t>
      </w:r>
      <w:r w:rsidR="00597EF4" w:rsidRPr="00597EF4">
        <w:rPr>
          <w:rFonts w:eastAsiaTheme="minorHAnsi"/>
          <w:color w:val="000000"/>
          <w:sz w:val="26"/>
          <w:szCs w:val="26"/>
        </w:rPr>
        <w:t xml:space="preserve"> the </w:t>
      </w:r>
      <w:r w:rsidR="004B558E">
        <w:rPr>
          <w:rFonts w:eastAsiaTheme="minorHAnsi"/>
          <w:color w:val="000000"/>
          <w:sz w:val="26"/>
          <w:szCs w:val="26"/>
        </w:rPr>
        <w:t>Code and Commission O</w:t>
      </w:r>
      <w:r w:rsidR="00597EF4" w:rsidRPr="00597EF4">
        <w:rPr>
          <w:rFonts w:eastAsiaTheme="minorHAnsi"/>
          <w:color w:val="000000"/>
          <w:sz w:val="26"/>
          <w:szCs w:val="26"/>
        </w:rPr>
        <w:t>rders require</w:t>
      </w:r>
      <w:r w:rsidR="004B558E">
        <w:rPr>
          <w:rFonts w:eastAsiaTheme="minorHAnsi"/>
          <w:color w:val="000000"/>
          <w:sz w:val="26"/>
          <w:szCs w:val="26"/>
        </w:rPr>
        <w:t xml:space="preserve"> PECO</w:t>
      </w:r>
      <w:r w:rsidR="00597EF4" w:rsidRPr="00597EF4">
        <w:rPr>
          <w:rFonts w:eastAsiaTheme="minorHAnsi"/>
          <w:color w:val="000000"/>
          <w:sz w:val="26"/>
          <w:szCs w:val="26"/>
        </w:rPr>
        <w:t xml:space="preserve"> to transfer an account from a landlord to a tenant when</w:t>
      </w:r>
      <w:r w:rsidR="004B558E">
        <w:rPr>
          <w:rFonts w:eastAsiaTheme="minorHAnsi"/>
          <w:color w:val="000000"/>
          <w:sz w:val="26"/>
          <w:szCs w:val="26"/>
        </w:rPr>
        <w:t xml:space="preserve"> it </w:t>
      </w:r>
      <w:r w:rsidR="00D13756">
        <w:rPr>
          <w:rFonts w:eastAsiaTheme="minorHAnsi"/>
          <w:color w:val="000000"/>
          <w:sz w:val="26"/>
          <w:szCs w:val="26"/>
        </w:rPr>
        <w:t>discovers foreign wiring.</w:t>
      </w:r>
      <w:r w:rsidR="00597EF4">
        <w:rPr>
          <w:rFonts w:eastAsiaTheme="minorHAnsi"/>
          <w:color w:val="000000"/>
          <w:sz w:val="26"/>
          <w:szCs w:val="26"/>
        </w:rPr>
        <w:t xml:space="preserve"> </w:t>
      </w:r>
      <w:r w:rsidR="00D13756">
        <w:rPr>
          <w:rFonts w:eastAsiaTheme="minorHAnsi"/>
          <w:color w:val="000000"/>
          <w:sz w:val="26"/>
          <w:szCs w:val="26"/>
        </w:rPr>
        <w:t xml:space="preserve"> </w:t>
      </w:r>
      <w:r w:rsidR="00597EF4">
        <w:rPr>
          <w:rFonts w:eastAsiaTheme="minorHAnsi"/>
          <w:color w:val="000000"/>
          <w:sz w:val="26"/>
          <w:szCs w:val="26"/>
        </w:rPr>
        <w:t>Th</w:t>
      </w:r>
      <w:r w:rsidR="00CA12A9">
        <w:rPr>
          <w:rFonts w:eastAsiaTheme="minorHAnsi"/>
          <w:color w:val="000000"/>
          <w:sz w:val="26"/>
          <w:szCs w:val="26"/>
        </w:rPr>
        <w:t>us, PECO</w:t>
      </w:r>
      <w:r w:rsidR="00597EF4" w:rsidRPr="00597EF4">
        <w:rPr>
          <w:rFonts w:eastAsiaTheme="minorHAnsi"/>
          <w:color w:val="000000"/>
          <w:sz w:val="26"/>
          <w:szCs w:val="26"/>
        </w:rPr>
        <w:t xml:space="preserve"> request</w:t>
      </w:r>
      <w:r w:rsidR="00597EF4">
        <w:rPr>
          <w:rFonts w:eastAsiaTheme="minorHAnsi"/>
          <w:color w:val="000000"/>
          <w:sz w:val="26"/>
          <w:szCs w:val="26"/>
        </w:rPr>
        <w:t>ed</w:t>
      </w:r>
      <w:r w:rsidR="00597EF4" w:rsidRPr="00597EF4">
        <w:rPr>
          <w:rFonts w:eastAsiaTheme="minorHAnsi"/>
          <w:color w:val="000000"/>
          <w:sz w:val="26"/>
          <w:szCs w:val="26"/>
        </w:rPr>
        <w:t xml:space="preserve"> that the Commission dismiss the complaint.</w:t>
      </w:r>
      <w:r w:rsidR="00597EF4">
        <w:rPr>
          <w:rFonts w:eastAsiaTheme="minorHAnsi"/>
          <w:color w:val="000000"/>
          <w:sz w:val="26"/>
          <w:szCs w:val="26"/>
        </w:rPr>
        <w:t xml:space="preserve">  I.D. at 3.</w:t>
      </w:r>
    </w:p>
    <w:p w:rsidR="00F37CB2" w:rsidRDefault="00F37CB2" w:rsidP="000C3A70">
      <w:pPr>
        <w:widowControl/>
        <w:spacing w:line="360" w:lineRule="auto"/>
        <w:ind w:firstLine="1440"/>
        <w:contextualSpacing/>
        <w:rPr>
          <w:sz w:val="26"/>
          <w:szCs w:val="26"/>
        </w:rPr>
      </w:pPr>
    </w:p>
    <w:p w:rsidR="00597EF4" w:rsidRDefault="00E763A6" w:rsidP="000C3A70">
      <w:pPr>
        <w:widowControl/>
        <w:spacing w:line="360" w:lineRule="auto"/>
        <w:ind w:firstLine="1440"/>
        <w:contextualSpacing/>
        <w:rPr>
          <w:sz w:val="23"/>
          <w:szCs w:val="23"/>
        </w:rPr>
      </w:pPr>
      <w:r>
        <w:rPr>
          <w:sz w:val="26"/>
          <w:szCs w:val="26"/>
        </w:rPr>
        <w:t>ALJ Salapa</w:t>
      </w:r>
      <w:r w:rsidR="00597EF4">
        <w:rPr>
          <w:sz w:val="26"/>
          <w:szCs w:val="26"/>
        </w:rPr>
        <w:t xml:space="preserve"> also provided a summary of</w:t>
      </w:r>
      <w:r w:rsidR="00E56621">
        <w:rPr>
          <w:sz w:val="26"/>
          <w:szCs w:val="26"/>
        </w:rPr>
        <w:t xml:space="preserve"> PECO’s Preliminary Objections.</w:t>
      </w:r>
      <w:r w:rsidR="00597EF4">
        <w:rPr>
          <w:sz w:val="26"/>
          <w:szCs w:val="26"/>
        </w:rPr>
        <w:t xml:space="preserve"> </w:t>
      </w:r>
      <w:r w:rsidR="00C0632B">
        <w:rPr>
          <w:sz w:val="26"/>
          <w:szCs w:val="26"/>
        </w:rPr>
        <w:t xml:space="preserve"> </w:t>
      </w:r>
      <w:r w:rsidR="00D13756" w:rsidRPr="00D13756">
        <w:rPr>
          <w:i/>
          <w:sz w:val="26"/>
          <w:szCs w:val="26"/>
        </w:rPr>
        <w:t>See</w:t>
      </w:r>
      <w:r w:rsidR="00D13756">
        <w:rPr>
          <w:sz w:val="26"/>
          <w:szCs w:val="26"/>
        </w:rPr>
        <w:t xml:space="preserve"> I.D. at 3-4.  </w:t>
      </w:r>
      <w:r w:rsidR="00D84F0D">
        <w:rPr>
          <w:sz w:val="26"/>
          <w:szCs w:val="26"/>
        </w:rPr>
        <w:t>PECO</w:t>
      </w:r>
      <w:r w:rsidR="00523F5A" w:rsidRPr="00523F5A">
        <w:rPr>
          <w:sz w:val="26"/>
          <w:szCs w:val="26"/>
        </w:rPr>
        <w:t xml:space="preserve"> contended in its Preliminary Objections that the Complaint </w:t>
      </w:r>
      <w:r w:rsidR="00597EF4">
        <w:rPr>
          <w:sz w:val="26"/>
          <w:szCs w:val="26"/>
        </w:rPr>
        <w:t xml:space="preserve">is legally insufficient, pursuant to 52 Pa. Code § 5.101(4), inasmuch it </w:t>
      </w:r>
      <w:r w:rsidR="00523F5A" w:rsidRPr="00523F5A">
        <w:rPr>
          <w:sz w:val="26"/>
          <w:szCs w:val="26"/>
        </w:rPr>
        <w:t xml:space="preserve">failed to allege that </w:t>
      </w:r>
      <w:r w:rsidR="00D84F0D">
        <w:rPr>
          <w:sz w:val="26"/>
          <w:szCs w:val="26"/>
        </w:rPr>
        <w:t>PECO</w:t>
      </w:r>
      <w:r w:rsidR="00523F5A" w:rsidRPr="00523F5A">
        <w:rPr>
          <w:sz w:val="26"/>
          <w:szCs w:val="26"/>
        </w:rPr>
        <w:t xml:space="preserve"> has violated the Code, Commission Regulations </w:t>
      </w:r>
      <w:r w:rsidR="006D2208">
        <w:rPr>
          <w:sz w:val="26"/>
          <w:szCs w:val="26"/>
        </w:rPr>
        <w:t xml:space="preserve">or </w:t>
      </w:r>
      <w:r w:rsidR="00CA12A9">
        <w:rPr>
          <w:sz w:val="26"/>
          <w:szCs w:val="26"/>
        </w:rPr>
        <w:t>O</w:t>
      </w:r>
      <w:r w:rsidR="006D2208">
        <w:rPr>
          <w:sz w:val="26"/>
          <w:szCs w:val="26"/>
        </w:rPr>
        <w:t>rders</w:t>
      </w:r>
      <w:r w:rsidR="00523F5A" w:rsidRPr="00F11D22">
        <w:rPr>
          <w:sz w:val="26"/>
          <w:szCs w:val="26"/>
        </w:rPr>
        <w:t xml:space="preserve">.   </w:t>
      </w:r>
      <w:r w:rsidR="00597EF4" w:rsidRPr="00F11D22">
        <w:rPr>
          <w:i/>
          <w:sz w:val="26"/>
          <w:szCs w:val="26"/>
        </w:rPr>
        <w:t>See</w:t>
      </w:r>
      <w:r w:rsidR="00597EF4" w:rsidRPr="00F11D22">
        <w:rPr>
          <w:sz w:val="26"/>
          <w:szCs w:val="26"/>
        </w:rPr>
        <w:t xml:space="preserve"> </w:t>
      </w:r>
      <w:r w:rsidR="00523F5A" w:rsidRPr="00F11D22">
        <w:rPr>
          <w:sz w:val="26"/>
          <w:szCs w:val="26"/>
        </w:rPr>
        <w:t xml:space="preserve">I.D. at </w:t>
      </w:r>
      <w:r w:rsidR="00597EF4" w:rsidRPr="00F11D22">
        <w:rPr>
          <w:sz w:val="26"/>
          <w:szCs w:val="26"/>
        </w:rPr>
        <w:t xml:space="preserve">3, </w:t>
      </w:r>
      <w:r w:rsidR="00523F5A" w:rsidRPr="00F11D22">
        <w:rPr>
          <w:sz w:val="26"/>
          <w:szCs w:val="26"/>
        </w:rPr>
        <w:t xml:space="preserve">7.  </w:t>
      </w:r>
      <w:r w:rsidR="00E31C44">
        <w:rPr>
          <w:sz w:val="26"/>
          <w:szCs w:val="26"/>
        </w:rPr>
        <w:t xml:space="preserve">PECO </w:t>
      </w:r>
      <w:r w:rsidR="00597EF4" w:rsidRPr="00F11D22">
        <w:rPr>
          <w:sz w:val="26"/>
          <w:szCs w:val="26"/>
        </w:rPr>
        <w:t xml:space="preserve">reiterated the assertions in </w:t>
      </w:r>
      <w:r w:rsidR="00E31C44">
        <w:rPr>
          <w:sz w:val="26"/>
          <w:szCs w:val="26"/>
        </w:rPr>
        <w:t>its</w:t>
      </w:r>
      <w:r w:rsidR="00597EF4" w:rsidRPr="00F11D22">
        <w:rPr>
          <w:sz w:val="26"/>
          <w:szCs w:val="26"/>
        </w:rPr>
        <w:t xml:space="preserve"> Answer regarding the foreign wiring at 633 Andrews Avenue, 1st Floor.  I.D. at 3.  </w:t>
      </w:r>
      <w:r w:rsidR="00E31C44">
        <w:rPr>
          <w:sz w:val="26"/>
          <w:szCs w:val="26"/>
        </w:rPr>
        <w:t xml:space="preserve">PECO </w:t>
      </w:r>
      <w:r w:rsidR="00597EF4" w:rsidRPr="00F11D22">
        <w:rPr>
          <w:sz w:val="26"/>
          <w:szCs w:val="26"/>
        </w:rPr>
        <w:t xml:space="preserve">contended that </w:t>
      </w:r>
      <w:r w:rsidR="00D84F0D">
        <w:rPr>
          <w:sz w:val="26"/>
          <w:szCs w:val="26"/>
        </w:rPr>
        <w:t>PECO</w:t>
      </w:r>
      <w:r w:rsidR="00597EF4" w:rsidRPr="00F11D22">
        <w:rPr>
          <w:sz w:val="26"/>
          <w:szCs w:val="26"/>
        </w:rPr>
        <w:t xml:space="preserve"> properly transferred the account for 633 Andrews Avenue, 1</w:t>
      </w:r>
      <w:r w:rsidR="00597EF4" w:rsidRPr="00F11D22">
        <w:rPr>
          <w:sz w:val="26"/>
          <w:szCs w:val="26"/>
          <w:vertAlign w:val="superscript"/>
        </w:rPr>
        <w:t>st</w:t>
      </w:r>
      <w:r w:rsidR="00597EF4" w:rsidRPr="00F11D22">
        <w:rPr>
          <w:sz w:val="26"/>
          <w:szCs w:val="26"/>
        </w:rPr>
        <w:t xml:space="preserve"> Floor</w:t>
      </w:r>
      <w:r w:rsidR="007029AC">
        <w:rPr>
          <w:sz w:val="26"/>
          <w:szCs w:val="26"/>
        </w:rPr>
        <w:t>,</w:t>
      </w:r>
      <w:r w:rsidR="00597EF4" w:rsidRPr="00F11D22">
        <w:rPr>
          <w:sz w:val="26"/>
          <w:szCs w:val="26"/>
        </w:rPr>
        <w:t xml:space="preserve"> to the Complainant and that its conduct is consistent with the </w:t>
      </w:r>
      <w:r w:rsidR="00CA12A9">
        <w:rPr>
          <w:sz w:val="26"/>
          <w:szCs w:val="26"/>
        </w:rPr>
        <w:t>Code and Commission O</w:t>
      </w:r>
      <w:r w:rsidR="00D13756">
        <w:rPr>
          <w:sz w:val="26"/>
          <w:szCs w:val="26"/>
        </w:rPr>
        <w:t xml:space="preserve">rders.  </w:t>
      </w:r>
      <w:r w:rsidR="00597EF4" w:rsidRPr="00F11D22">
        <w:rPr>
          <w:sz w:val="26"/>
          <w:szCs w:val="26"/>
        </w:rPr>
        <w:t>The Preliminary Objections pointed out that the C</w:t>
      </w:r>
      <w:r w:rsidR="00B922B9">
        <w:rPr>
          <w:sz w:val="26"/>
          <w:szCs w:val="26"/>
        </w:rPr>
        <w:t>omplaint asserted</w:t>
      </w:r>
      <w:r w:rsidR="00597EF4" w:rsidRPr="00F11D22">
        <w:rPr>
          <w:sz w:val="26"/>
          <w:szCs w:val="26"/>
        </w:rPr>
        <w:t xml:space="preserve"> that the Complainant’s property is a residential rental property and</w:t>
      </w:r>
      <w:r w:rsidR="00D13756">
        <w:rPr>
          <w:sz w:val="26"/>
          <w:szCs w:val="26"/>
        </w:rPr>
        <w:t xml:space="preserve"> the Complainant is the owner.</w:t>
      </w:r>
      <w:r w:rsidR="00F11D22" w:rsidRPr="00F11D22">
        <w:rPr>
          <w:sz w:val="26"/>
          <w:szCs w:val="26"/>
        </w:rPr>
        <w:t xml:space="preserve"> </w:t>
      </w:r>
      <w:r w:rsidR="00D13756">
        <w:rPr>
          <w:sz w:val="26"/>
          <w:szCs w:val="26"/>
        </w:rPr>
        <w:t xml:space="preserve"> </w:t>
      </w:r>
      <w:r w:rsidR="00597EF4" w:rsidRPr="00F11D22">
        <w:rPr>
          <w:sz w:val="26"/>
          <w:szCs w:val="26"/>
        </w:rPr>
        <w:t xml:space="preserve">The Preliminary Objections argued that the Complaint did not contend that </w:t>
      </w:r>
      <w:r w:rsidR="00D84F0D">
        <w:rPr>
          <w:sz w:val="26"/>
          <w:szCs w:val="26"/>
        </w:rPr>
        <w:t>PECO</w:t>
      </w:r>
      <w:r w:rsidR="00597EF4" w:rsidRPr="00F11D22">
        <w:rPr>
          <w:sz w:val="26"/>
          <w:szCs w:val="26"/>
        </w:rPr>
        <w:t xml:space="preserve"> incorrectly determined a foreign wiring condition existed at the property, nor alleged that </w:t>
      </w:r>
      <w:r w:rsidR="00D84F0D">
        <w:rPr>
          <w:sz w:val="26"/>
          <w:szCs w:val="26"/>
        </w:rPr>
        <w:t>PECO</w:t>
      </w:r>
      <w:r w:rsidR="00597EF4" w:rsidRPr="00F11D22">
        <w:rPr>
          <w:sz w:val="26"/>
          <w:szCs w:val="26"/>
        </w:rPr>
        <w:t xml:space="preserve"> delayed investigating the tenants’ foreign load concerns, nor alleged that </w:t>
      </w:r>
      <w:r w:rsidR="00D84F0D">
        <w:rPr>
          <w:sz w:val="26"/>
          <w:szCs w:val="26"/>
        </w:rPr>
        <w:t>PECO</w:t>
      </w:r>
      <w:r w:rsidR="00597EF4" w:rsidRPr="00F11D22">
        <w:rPr>
          <w:sz w:val="26"/>
          <w:szCs w:val="26"/>
        </w:rPr>
        <w:t xml:space="preserve"> transferred an incorrect amount to the Complaina</w:t>
      </w:r>
      <w:r w:rsidR="00F11D22" w:rsidRPr="00F11D22">
        <w:rPr>
          <w:sz w:val="26"/>
          <w:szCs w:val="26"/>
        </w:rPr>
        <w:t>nt’s account, nor</w:t>
      </w:r>
      <w:r w:rsidR="00597EF4" w:rsidRPr="00F11D22">
        <w:rPr>
          <w:sz w:val="26"/>
          <w:szCs w:val="26"/>
        </w:rPr>
        <w:t xml:space="preserve"> contend</w:t>
      </w:r>
      <w:r w:rsidR="00F11D22" w:rsidRPr="00F11D22">
        <w:rPr>
          <w:sz w:val="26"/>
          <w:szCs w:val="26"/>
        </w:rPr>
        <w:t>ed</w:t>
      </w:r>
      <w:r w:rsidR="00597EF4" w:rsidRPr="00F11D22">
        <w:rPr>
          <w:sz w:val="26"/>
          <w:szCs w:val="26"/>
        </w:rPr>
        <w:t xml:space="preserve"> that </w:t>
      </w:r>
      <w:r w:rsidR="00D84F0D">
        <w:rPr>
          <w:sz w:val="26"/>
          <w:szCs w:val="26"/>
        </w:rPr>
        <w:t>PECO</w:t>
      </w:r>
      <w:r w:rsidR="00597EF4" w:rsidRPr="00F11D22">
        <w:rPr>
          <w:sz w:val="26"/>
          <w:szCs w:val="26"/>
        </w:rPr>
        <w:t xml:space="preserve"> delayed its investigation to verify that the foreign wiring had </w:t>
      </w:r>
      <w:r w:rsidR="00597EF4" w:rsidRPr="00B922B9">
        <w:rPr>
          <w:sz w:val="26"/>
          <w:szCs w:val="26"/>
        </w:rPr>
        <w:t>been corrected.</w:t>
      </w:r>
      <w:r w:rsidR="00D13756">
        <w:rPr>
          <w:sz w:val="26"/>
          <w:szCs w:val="26"/>
        </w:rPr>
        <w:t xml:space="preserve"> </w:t>
      </w:r>
      <w:r w:rsidR="00E56621">
        <w:rPr>
          <w:sz w:val="26"/>
          <w:szCs w:val="26"/>
        </w:rPr>
        <w:t xml:space="preserve"> </w:t>
      </w:r>
      <w:r w:rsidR="00D13756">
        <w:rPr>
          <w:sz w:val="26"/>
          <w:szCs w:val="26"/>
        </w:rPr>
        <w:t xml:space="preserve">I.D. at 3.  </w:t>
      </w:r>
      <w:r w:rsidR="00B922B9" w:rsidRPr="00B922B9">
        <w:rPr>
          <w:sz w:val="26"/>
          <w:szCs w:val="26"/>
        </w:rPr>
        <w:t xml:space="preserve">The Preliminary Objections contended that the Complaint failed to state a claim that </w:t>
      </w:r>
      <w:r w:rsidR="00D84F0D">
        <w:rPr>
          <w:sz w:val="26"/>
          <w:szCs w:val="26"/>
        </w:rPr>
        <w:t>PECO</w:t>
      </w:r>
      <w:r w:rsidR="00B922B9" w:rsidRPr="00B922B9">
        <w:rPr>
          <w:sz w:val="26"/>
          <w:szCs w:val="26"/>
        </w:rPr>
        <w:t xml:space="preserve"> has violated a provision of the Code, Commission </w:t>
      </w:r>
      <w:r w:rsidR="00641B62">
        <w:rPr>
          <w:sz w:val="26"/>
          <w:szCs w:val="26"/>
        </w:rPr>
        <w:t>R</w:t>
      </w:r>
      <w:r w:rsidR="00B922B9" w:rsidRPr="00B922B9">
        <w:rPr>
          <w:sz w:val="26"/>
          <w:szCs w:val="26"/>
        </w:rPr>
        <w:t>egu</w:t>
      </w:r>
      <w:r w:rsidR="00D13756">
        <w:rPr>
          <w:sz w:val="26"/>
          <w:szCs w:val="26"/>
        </w:rPr>
        <w:t xml:space="preserve">lation or Commission </w:t>
      </w:r>
      <w:r w:rsidR="00641B62">
        <w:rPr>
          <w:sz w:val="26"/>
          <w:szCs w:val="26"/>
        </w:rPr>
        <w:t>O</w:t>
      </w:r>
      <w:r w:rsidR="00D13756">
        <w:rPr>
          <w:sz w:val="26"/>
          <w:szCs w:val="26"/>
        </w:rPr>
        <w:t xml:space="preserve">rder. </w:t>
      </w:r>
      <w:r w:rsidR="00B922B9" w:rsidRPr="00B922B9">
        <w:rPr>
          <w:sz w:val="26"/>
          <w:szCs w:val="26"/>
        </w:rPr>
        <w:t xml:space="preserve"> Therefore, the Preliminary Objections argued the Complaint has failed to state a claim upon which relief can be granted and requested that the Commission d</w:t>
      </w:r>
      <w:r w:rsidR="00D13756">
        <w:rPr>
          <w:sz w:val="26"/>
          <w:szCs w:val="26"/>
        </w:rPr>
        <w:t>ismiss the complaint.  I.D. at 4</w:t>
      </w:r>
      <w:r w:rsidR="00B922B9" w:rsidRPr="00B922B9">
        <w:rPr>
          <w:sz w:val="26"/>
          <w:szCs w:val="26"/>
        </w:rPr>
        <w:t>.</w:t>
      </w:r>
      <w:r w:rsidR="00B922B9">
        <w:rPr>
          <w:sz w:val="23"/>
          <w:szCs w:val="23"/>
        </w:rPr>
        <w:t xml:space="preserve"> </w:t>
      </w:r>
    </w:p>
    <w:p w:rsidR="00A0551D" w:rsidRDefault="00A0551D" w:rsidP="000C3A70">
      <w:pPr>
        <w:widowControl/>
        <w:spacing w:line="360" w:lineRule="auto"/>
        <w:ind w:firstLine="1440"/>
        <w:contextualSpacing/>
        <w:rPr>
          <w:sz w:val="26"/>
          <w:szCs w:val="26"/>
        </w:rPr>
      </w:pPr>
    </w:p>
    <w:p w:rsidR="00523F5A" w:rsidRPr="00D64E74" w:rsidRDefault="006D2208" w:rsidP="000C3A70">
      <w:pPr>
        <w:widowControl/>
        <w:spacing w:line="360" w:lineRule="auto"/>
        <w:ind w:firstLine="1440"/>
        <w:contextualSpacing/>
        <w:rPr>
          <w:sz w:val="23"/>
          <w:szCs w:val="23"/>
        </w:rPr>
      </w:pPr>
      <w:r>
        <w:rPr>
          <w:sz w:val="26"/>
          <w:szCs w:val="26"/>
        </w:rPr>
        <w:t>The Initial Decision then turned to a ruling on the Preliminary Objections.</w:t>
      </w:r>
      <w:r w:rsidR="00D13756">
        <w:rPr>
          <w:sz w:val="26"/>
          <w:szCs w:val="26"/>
        </w:rPr>
        <w:t xml:space="preserve">  </w:t>
      </w:r>
      <w:r w:rsidR="00D13756" w:rsidRPr="00D13756">
        <w:rPr>
          <w:i/>
          <w:sz w:val="26"/>
          <w:szCs w:val="26"/>
        </w:rPr>
        <w:t>See</w:t>
      </w:r>
      <w:r w:rsidR="00D13756">
        <w:rPr>
          <w:sz w:val="26"/>
          <w:szCs w:val="26"/>
        </w:rPr>
        <w:t xml:space="preserve"> I.D. at 7.</w:t>
      </w:r>
      <w:r>
        <w:rPr>
          <w:sz w:val="26"/>
          <w:szCs w:val="26"/>
        </w:rPr>
        <w:t xml:space="preserve">  </w:t>
      </w:r>
      <w:r w:rsidR="005F2866">
        <w:rPr>
          <w:sz w:val="26"/>
          <w:szCs w:val="26"/>
        </w:rPr>
        <w:t>The ALJ stated that a</w:t>
      </w:r>
      <w:r w:rsidR="00523F5A" w:rsidRPr="00523F5A">
        <w:rPr>
          <w:sz w:val="26"/>
          <w:szCs w:val="26"/>
        </w:rPr>
        <w:t>fter accept</w:t>
      </w:r>
      <w:r w:rsidR="00DC436E">
        <w:rPr>
          <w:sz w:val="26"/>
          <w:szCs w:val="26"/>
        </w:rPr>
        <w:t>ing</w:t>
      </w:r>
      <w:r w:rsidR="00523F5A" w:rsidRPr="00523F5A">
        <w:rPr>
          <w:sz w:val="26"/>
          <w:szCs w:val="26"/>
        </w:rPr>
        <w:t xml:space="preserve"> the facts alleged in the Complaint as true and v</w:t>
      </w:r>
      <w:r w:rsidR="00DC436E">
        <w:rPr>
          <w:sz w:val="26"/>
          <w:szCs w:val="26"/>
        </w:rPr>
        <w:t>iewing</w:t>
      </w:r>
      <w:r w:rsidR="00523F5A" w:rsidRPr="00523F5A">
        <w:rPr>
          <w:sz w:val="26"/>
          <w:szCs w:val="26"/>
        </w:rPr>
        <w:t xml:space="preserve"> the Complaint in the light most</w:t>
      </w:r>
      <w:r w:rsidR="005F2866">
        <w:rPr>
          <w:sz w:val="26"/>
          <w:szCs w:val="26"/>
        </w:rPr>
        <w:t xml:space="preserve"> favorable to the Complainant,</w:t>
      </w:r>
      <w:r w:rsidR="00523F5A" w:rsidRPr="00523F5A">
        <w:rPr>
          <w:sz w:val="26"/>
          <w:szCs w:val="26"/>
        </w:rPr>
        <w:t xml:space="preserve"> he agreed with the Respondent</w:t>
      </w:r>
      <w:r w:rsidRPr="006D2208">
        <w:rPr>
          <w:sz w:val="26"/>
          <w:szCs w:val="26"/>
        </w:rPr>
        <w:t xml:space="preserve"> </w:t>
      </w:r>
      <w:r>
        <w:rPr>
          <w:sz w:val="26"/>
          <w:szCs w:val="26"/>
        </w:rPr>
        <w:t xml:space="preserve">that </w:t>
      </w:r>
      <w:r w:rsidRPr="00523F5A">
        <w:rPr>
          <w:sz w:val="26"/>
          <w:szCs w:val="26"/>
        </w:rPr>
        <w:t xml:space="preserve">the Complaint </w:t>
      </w:r>
      <w:r>
        <w:rPr>
          <w:sz w:val="26"/>
          <w:szCs w:val="26"/>
        </w:rPr>
        <w:t xml:space="preserve">is legally insufficient, pursuant to 52 Pa. Code </w:t>
      </w:r>
      <w:r>
        <w:rPr>
          <w:sz w:val="26"/>
          <w:szCs w:val="26"/>
        </w:rPr>
        <w:lastRenderedPageBreak/>
        <w:t>§</w:t>
      </w:r>
      <w:r w:rsidR="00697CE8">
        <w:rPr>
          <w:sz w:val="26"/>
          <w:szCs w:val="26"/>
        </w:rPr>
        <w:t> </w:t>
      </w:r>
      <w:r>
        <w:rPr>
          <w:sz w:val="26"/>
          <w:szCs w:val="26"/>
        </w:rPr>
        <w:t xml:space="preserve">5.101(4), inasmuch it </w:t>
      </w:r>
      <w:r w:rsidRPr="00523F5A">
        <w:rPr>
          <w:sz w:val="26"/>
          <w:szCs w:val="26"/>
        </w:rPr>
        <w:t xml:space="preserve">failed to allege that </w:t>
      </w:r>
      <w:r w:rsidR="00D84F0D">
        <w:rPr>
          <w:sz w:val="26"/>
          <w:szCs w:val="26"/>
        </w:rPr>
        <w:t>PECO</w:t>
      </w:r>
      <w:r w:rsidRPr="00523F5A">
        <w:rPr>
          <w:sz w:val="26"/>
          <w:szCs w:val="26"/>
        </w:rPr>
        <w:t xml:space="preserve"> has violated the Code, Commission Regulations </w:t>
      </w:r>
      <w:r>
        <w:rPr>
          <w:sz w:val="26"/>
          <w:szCs w:val="26"/>
        </w:rPr>
        <w:t xml:space="preserve">or </w:t>
      </w:r>
      <w:r w:rsidR="00641B62">
        <w:rPr>
          <w:sz w:val="26"/>
          <w:szCs w:val="26"/>
        </w:rPr>
        <w:t>O</w:t>
      </w:r>
      <w:r>
        <w:rPr>
          <w:sz w:val="26"/>
          <w:szCs w:val="26"/>
        </w:rPr>
        <w:t>rders.</w:t>
      </w:r>
      <w:r w:rsidR="00523F5A" w:rsidRPr="00523F5A">
        <w:rPr>
          <w:sz w:val="26"/>
          <w:szCs w:val="26"/>
        </w:rPr>
        <w:t xml:space="preserve">  </w:t>
      </w:r>
      <w:r w:rsidRPr="00523F5A">
        <w:rPr>
          <w:sz w:val="26"/>
          <w:szCs w:val="26"/>
        </w:rPr>
        <w:t>To</w:t>
      </w:r>
      <w:r w:rsidR="00523F5A" w:rsidRPr="00523F5A">
        <w:rPr>
          <w:sz w:val="26"/>
          <w:szCs w:val="26"/>
        </w:rPr>
        <w:t xml:space="preserve"> be legally sufficient,</w:t>
      </w:r>
      <w:r w:rsidR="00D64E74">
        <w:rPr>
          <w:sz w:val="26"/>
          <w:szCs w:val="26"/>
        </w:rPr>
        <w:t xml:space="preserve"> the ALJ explained,</w:t>
      </w:r>
      <w:r w:rsidR="00523F5A" w:rsidRPr="00523F5A">
        <w:rPr>
          <w:sz w:val="26"/>
          <w:szCs w:val="26"/>
        </w:rPr>
        <w:t xml:space="preserve"> a complaint must </w:t>
      </w:r>
      <w:r w:rsidR="00ED60F6">
        <w:rPr>
          <w:sz w:val="26"/>
          <w:szCs w:val="26"/>
        </w:rPr>
        <w:t xml:space="preserve">set </w:t>
      </w:r>
      <w:r w:rsidR="00697CE8">
        <w:rPr>
          <w:sz w:val="26"/>
          <w:szCs w:val="26"/>
        </w:rPr>
        <w:t>f</w:t>
      </w:r>
      <w:r w:rsidR="00523F5A" w:rsidRPr="00523F5A">
        <w:rPr>
          <w:sz w:val="26"/>
          <w:szCs w:val="26"/>
        </w:rPr>
        <w:t xml:space="preserve">orth “an act or thing done or omitted to be done or about to be done or omitted to be done by the respondent in violation, or claimed violation, of a statute which the Commission has jurisdiction to administer, or of a </w:t>
      </w:r>
      <w:r w:rsidR="00641B62">
        <w:rPr>
          <w:sz w:val="26"/>
          <w:szCs w:val="26"/>
        </w:rPr>
        <w:t>R</w:t>
      </w:r>
      <w:r w:rsidR="00523F5A" w:rsidRPr="00523F5A">
        <w:rPr>
          <w:sz w:val="26"/>
          <w:szCs w:val="26"/>
        </w:rPr>
        <w:t xml:space="preserve">egulation or </w:t>
      </w:r>
      <w:r w:rsidR="00641B62">
        <w:rPr>
          <w:sz w:val="26"/>
          <w:szCs w:val="26"/>
        </w:rPr>
        <w:t>O</w:t>
      </w:r>
      <w:r w:rsidR="00523F5A" w:rsidRPr="00523F5A">
        <w:rPr>
          <w:sz w:val="26"/>
          <w:szCs w:val="26"/>
        </w:rPr>
        <w:t xml:space="preserve">rder of the Commission.” </w:t>
      </w:r>
      <w:r w:rsidR="00D64E74">
        <w:rPr>
          <w:sz w:val="26"/>
          <w:szCs w:val="26"/>
        </w:rPr>
        <w:t xml:space="preserve"> I.D. at 7, citing </w:t>
      </w:r>
      <w:r w:rsidR="00523F5A" w:rsidRPr="00523F5A">
        <w:rPr>
          <w:sz w:val="26"/>
          <w:szCs w:val="26"/>
        </w:rPr>
        <w:t>52 Pa.</w:t>
      </w:r>
      <w:r w:rsidR="00DC436E">
        <w:rPr>
          <w:sz w:val="26"/>
          <w:szCs w:val="26"/>
        </w:rPr>
        <w:t xml:space="preserve"> </w:t>
      </w:r>
      <w:r w:rsidR="00523F5A" w:rsidRPr="00523F5A">
        <w:rPr>
          <w:sz w:val="26"/>
          <w:szCs w:val="26"/>
        </w:rPr>
        <w:t xml:space="preserve">Code § 5.22(a)(4). </w:t>
      </w:r>
      <w:r w:rsidR="00D64E74">
        <w:rPr>
          <w:sz w:val="26"/>
          <w:szCs w:val="26"/>
        </w:rPr>
        <w:t xml:space="preserve"> </w:t>
      </w:r>
      <w:r w:rsidR="00523F5A" w:rsidRPr="00523F5A">
        <w:rPr>
          <w:sz w:val="26"/>
          <w:szCs w:val="26"/>
        </w:rPr>
        <w:t xml:space="preserve">Here, </w:t>
      </w:r>
      <w:r w:rsidR="00D64E74">
        <w:rPr>
          <w:sz w:val="26"/>
          <w:szCs w:val="26"/>
        </w:rPr>
        <w:t xml:space="preserve">the ALJ explained, </w:t>
      </w:r>
      <w:r w:rsidR="00D84F0D">
        <w:rPr>
          <w:sz w:val="26"/>
          <w:szCs w:val="26"/>
        </w:rPr>
        <w:t>PECO</w:t>
      </w:r>
      <w:r w:rsidR="00523F5A" w:rsidRPr="00523F5A">
        <w:rPr>
          <w:sz w:val="26"/>
          <w:szCs w:val="26"/>
        </w:rPr>
        <w:t xml:space="preserve"> has not violated any statute, </w:t>
      </w:r>
      <w:r w:rsidR="00641B62">
        <w:rPr>
          <w:sz w:val="26"/>
          <w:szCs w:val="26"/>
        </w:rPr>
        <w:t>R</w:t>
      </w:r>
      <w:r w:rsidR="00523F5A" w:rsidRPr="00523F5A">
        <w:rPr>
          <w:sz w:val="26"/>
          <w:szCs w:val="26"/>
        </w:rPr>
        <w:t xml:space="preserve">egulation or </w:t>
      </w:r>
      <w:r w:rsidR="00641B62">
        <w:rPr>
          <w:sz w:val="26"/>
          <w:szCs w:val="26"/>
        </w:rPr>
        <w:t>O</w:t>
      </w:r>
      <w:r w:rsidR="00523F5A" w:rsidRPr="00523F5A">
        <w:rPr>
          <w:sz w:val="26"/>
          <w:szCs w:val="26"/>
        </w:rPr>
        <w:t>rder which the Commission has jurisdiction to administer by transferring the account for the property at 633 Andrews Avenue, 1st Floor</w:t>
      </w:r>
      <w:r w:rsidR="007029AC">
        <w:rPr>
          <w:sz w:val="26"/>
          <w:szCs w:val="26"/>
        </w:rPr>
        <w:t>,</w:t>
      </w:r>
      <w:r w:rsidR="00523F5A" w:rsidRPr="00523F5A">
        <w:rPr>
          <w:sz w:val="26"/>
          <w:szCs w:val="26"/>
        </w:rPr>
        <w:t xml:space="preserve"> from the tenants to the Complainant. </w:t>
      </w:r>
      <w:r w:rsidR="00DC436E">
        <w:rPr>
          <w:sz w:val="26"/>
          <w:szCs w:val="26"/>
        </w:rPr>
        <w:t xml:space="preserve"> </w:t>
      </w:r>
      <w:r w:rsidR="00523F5A" w:rsidRPr="00523F5A">
        <w:rPr>
          <w:sz w:val="26"/>
          <w:szCs w:val="26"/>
        </w:rPr>
        <w:t>Rather</w:t>
      </w:r>
      <w:r w:rsidR="00DC436E">
        <w:rPr>
          <w:sz w:val="26"/>
          <w:szCs w:val="26"/>
        </w:rPr>
        <w:t>, the ALJ explained,</w:t>
      </w:r>
      <w:r w:rsidR="00EC7444">
        <w:rPr>
          <w:sz w:val="26"/>
          <w:szCs w:val="26"/>
        </w:rPr>
        <w:t xml:space="preserve"> </w:t>
      </w:r>
      <w:r w:rsidR="00D84F0D">
        <w:rPr>
          <w:sz w:val="26"/>
          <w:szCs w:val="26"/>
        </w:rPr>
        <w:t>PECO</w:t>
      </w:r>
      <w:r w:rsidR="00EC7444">
        <w:rPr>
          <w:sz w:val="26"/>
          <w:szCs w:val="26"/>
        </w:rPr>
        <w:t xml:space="preserve"> had complied</w:t>
      </w:r>
      <w:r w:rsidR="00523F5A" w:rsidRPr="00523F5A">
        <w:rPr>
          <w:sz w:val="26"/>
          <w:szCs w:val="26"/>
        </w:rPr>
        <w:t xml:space="preserve"> with relevant statutes, </w:t>
      </w:r>
      <w:r w:rsidR="00641B62">
        <w:rPr>
          <w:sz w:val="26"/>
          <w:szCs w:val="26"/>
        </w:rPr>
        <w:t>R</w:t>
      </w:r>
      <w:r w:rsidR="00523F5A" w:rsidRPr="00523F5A">
        <w:rPr>
          <w:sz w:val="26"/>
          <w:szCs w:val="26"/>
        </w:rPr>
        <w:t xml:space="preserve">egulations and </w:t>
      </w:r>
      <w:r w:rsidR="00641B62">
        <w:rPr>
          <w:sz w:val="26"/>
          <w:szCs w:val="26"/>
        </w:rPr>
        <w:t>O</w:t>
      </w:r>
      <w:r w:rsidR="00523F5A" w:rsidRPr="00523F5A">
        <w:rPr>
          <w:sz w:val="26"/>
          <w:szCs w:val="26"/>
        </w:rPr>
        <w:t>rders.</w:t>
      </w:r>
      <w:r w:rsidR="00D64E74">
        <w:rPr>
          <w:sz w:val="26"/>
          <w:szCs w:val="26"/>
        </w:rPr>
        <w:t xml:space="preserve">  I.D. at 7.  </w:t>
      </w:r>
      <w:r w:rsidR="009A5E3F" w:rsidRPr="000643D1">
        <w:rPr>
          <w:sz w:val="26"/>
          <w:szCs w:val="26"/>
        </w:rPr>
        <w:t xml:space="preserve">Additionally, the ALJ provided a history of the development of 66 Pa. C.S. 1529.1.  </w:t>
      </w:r>
      <w:r w:rsidR="009A5E3F" w:rsidRPr="000643D1">
        <w:rPr>
          <w:i/>
          <w:sz w:val="26"/>
          <w:szCs w:val="26"/>
        </w:rPr>
        <w:t xml:space="preserve">See </w:t>
      </w:r>
      <w:r w:rsidR="009A5E3F" w:rsidRPr="000643D1">
        <w:rPr>
          <w:sz w:val="26"/>
          <w:szCs w:val="26"/>
        </w:rPr>
        <w:t xml:space="preserve">I.D. at 7.  </w:t>
      </w:r>
    </w:p>
    <w:p w:rsidR="00C32E7D" w:rsidRDefault="00C32E7D" w:rsidP="000C3A70">
      <w:pPr>
        <w:widowControl/>
        <w:spacing w:line="360" w:lineRule="auto"/>
        <w:ind w:firstLine="1440"/>
        <w:contextualSpacing/>
        <w:rPr>
          <w:sz w:val="26"/>
          <w:szCs w:val="26"/>
        </w:rPr>
      </w:pPr>
    </w:p>
    <w:p w:rsidR="00E34567" w:rsidRPr="00A55132" w:rsidRDefault="00A42C3E" w:rsidP="000C3A70">
      <w:pPr>
        <w:pStyle w:val="Default"/>
        <w:spacing w:line="360" w:lineRule="auto"/>
        <w:ind w:firstLine="1440"/>
        <w:contextualSpacing/>
        <w:rPr>
          <w:sz w:val="26"/>
          <w:szCs w:val="26"/>
        </w:rPr>
      </w:pPr>
      <w:r>
        <w:rPr>
          <w:sz w:val="26"/>
          <w:szCs w:val="26"/>
        </w:rPr>
        <w:t xml:space="preserve">According to the ALJ, </w:t>
      </w:r>
      <w:r w:rsidR="00D43184">
        <w:rPr>
          <w:sz w:val="26"/>
          <w:szCs w:val="26"/>
        </w:rPr>
        <w:t xml:space="preserve">it appeared </w:t>
      </w:r>
      <w:r>
        <w:rPr>
          <w:sz w:val="26"/>
          <w:szCs w:val="26"/>
        </w:rPr>
        <w:t>t</w:t>
      </w:r>
      <w:r w:rsidR="00E34567" w:rsidRPr="00A55132">
        <w:rPr>
          <w:sz w:val="26"/>
          <w:szCs w:val="26"/>
        </w:rPr>
        <w:t xml:space="preserve">he Complainant </w:t>
      </w:r>
      <w:r w:rsidR="005F2866">
        <w:rPr>
          <w:sz w:val="26"/>
          <w:szCs w:val="26"/>
        </w:rPr>
        <w:t>was contending</w:t>
      </w:r>
      <w:r w:rsidR="00E34567" w:rsidRPr="00A55132">
        <w:rPr>
          <w:sz w:val="26"/>
          <w:szCs w:val="26"/>
        </w:rPr>
        <w:t xml:space="preserve"> that the statute at 66 Pa.</w:t>
      </w:r>
      <w:r w:rsidR="000C3A70">
        <w:rPr>
          <w:sz w:val="26"/>
          <w:szCs w:val="26"/>
        </w:rPr>
        <w:t xml:space="preserve"> </w:t>
      </w:r>
      <w:r w:rsidR="00E34567" w:rsidRPr="00A55132">
        <w:rPr>
          <w:sz w:val="26"/>
          <w:szCs w:val="26"/>
        </w:rPr>
        <w:t>C.S. § 1529.1 does not apply to this case.</w:t>
      </w:r>
      <w:r w:rsidR="004A2F3E">
        <w:rPr>
          <w:sz w:val="26"/>
          <w:szCs w:val="26"/>
        </w:rPr>
        <w:t xml:space="preserve"> </w:t>
      </w:r>
      <w:r w:rsidR="00E34567" w:rsidRPr="00A55132">
        <w:rPr>
          <w:sz w:val="26"/>
          <w:szCs w:val="26"/>
        </w:rPr>
        <w:t xml:space="preserve"> </w:t>
      </w:r>
      <w:r w:rsidR="004A2F3E">
        <w:rPr>
          <w:sz w:val="26"/>
          <w:szCs w:val="26"/>
        </w:rPr>
        <w:t xml:space="preserve">I.D. at 9.  </w:t>
      </w:r>
      <w:r w:rsidR="00E34567" w:rsidRPr="00A55132">
        <w:rPr>
          <w:sz w:val="26"/>
          <w:szCs w:val="26"/>
        </w:rPr>
        <w:t>The Complainant alleged that the foreign wiring at 633 Andrews Avenue, 1st Floor</w:t>
      </w:r>
      <w:r w:rsidR="00697CE8">
        <w:rPr>
          <w:sz w:val="26"/>
          <w:szCs w:val="26"/>
        </w:rPr>
        <w:t>,</w:t>
      </w:r>
      <w:r w:rsidR="00E34567" w:rsidRPr="00A55132">
        <w:rPr>
          <w:sz w:val="26"/>
          <w:szCs w:val="26"/>
        </w:rPr>
        <w:t xml:space="preserve"> had been disclosed to the tenants and that they received basement storage at no extra cost in return for paying for the foreign load.  In addition, the Complainant contended that the foreign wiring is minimal.  Therefore, the Complainant argued that the Commission should direct </w:t>
      </w:r>
      <w:r w:rsidR="00D84F0D">
        <w:rPr>
          <w:sz w:val="26"/>
          <w:szCs w:val="26"/>
        </w:rPr>
        <w:t>PECO</w:t>
      </w:r>
      <w:r w:rsidR="00E34567" w:rsidRPr="00A55132">
        <w:rPr>
          <w:sz w:val="26"/>
          <w:szCs w:val="26"/>
        </w:rPr>
        <w:t xml:space="preserve"> to collect the larger portion of the account for 633 Andrews Avenue, 1st Floor</w:t>
      </w:r>
      <w:r w:rsidR="00697CE8">
        <w:rPr>
          <w:sz w:val="26"/>
          <w:szCs w:val="26"/>
        </w:rPr>
        <w:t>,</w:t>
      </w:r>
      <w:r w:rsidR="00E34567" w:rsidRPr="00A55132">
        <w:rPr>
          <w:sz w:val="26"/>
          <w:szCs w:val="26"/>
        </w:rPr>
        <w:t xml:space="preserve"> from the tenants.  The ALJ stated that the Complainant is incorrect.</w:t>
      </w:r>
      <w:r w:rsidR="002D6C96">
        <w:rPr>
          <w:sz w:val="26"/>
          <w:szCs w:val="26"/>
        </w:rPr>
        <w:t xml:space="preserve">  I.D. at 9.</w:t>
      </w:r>
    </w:p>
    <w:p w:rsidR="00E34567" w:rsidRPr="00A55132" w:rsidRDefault="00E34567" w:rsidP="000C3A70">
      <w:pPr>
        <w:widowControl/>
        <w:spacing w:line="360" w:lineRule="auto"/>
        <w:ind w:firstLine="1440"/>
        <w:contextualSpacing/>
        <w:rPr>
          <w:sz w:val="26"/>
          <w:szCs w:val="26"/>
        </w:rPr>
      </w:pPr>
    </w:p>
    <w:p w:rsidR="00976016" w:rsidRDefault="00E34567" w:rsidP="000C3A70">
      <w:pPr>
        <w:pStyle w:val="Default"/>
        <w:spacing w:line="360" w:lineRule="auto"/>
        <w:ind w:firstLine="1440"/>
        <w:contextualSpacing/>
        <w:rPr>
          <w:sz w:val="26"/>
          <w:szCs w:val="26"/>
        </w:rPr>
      </w:pPr>
      <w:r w:rsidRPr="00A55132">
        <w:rPr>
          <w:sz w:val="26"/>
          <w:szCs w:val="26"/>
        </w:rPr>
        <w:t xml:space="preserve">In support thereof, the ALJ first addressed the Complainant’s contention that the tenants agreed to be responsible for the foreign wiring charges at 633 Andrews Avenue, 1st Floor.  </w:t>
      </w:r>
      <w:r w:rsidR="00B93DC1">
        <w:rPr>
          <w:sz w:val="26"/>
          <w:szCs w:val="26"/>
        </w:rPr>
        <w:t xml:space="preserve">I.D. at 9.  </w:t>
      </w:r>
      <w:r w:rsidR="00A0551D">
        <w:rPr>
          <w:sz w:val="26"/>
          <w:szCs w:val="26"/>
        </w:rPr>
        <w:t>In terms of a tenant accepting responsibility for foreign wiring charges, t</w:t>
      </w:r>
      <w:r w:rsidR="00037078" w:rsidRPr="00A55132">
        <w:rPr>
          <w:sz w:val="26"/>
          <w:szCs w:val="26"/>
        </w:rPr>
        <w:t xml:space="preserve">he ALJ explained </w:t>
      </w:r>
      <w:r w:rsidR="00A42C3E">
        <w:rPr>
          <w:sz w:val="26"/>
          <w:szCs w:val="26"/>
        </w:rPr>
        <w:t xml:space="preserve">the history of </w:t>
      </w:r>
      <w:r w:rsidR="00A42C3E" w:rsidRPr="00A55132">
        <w:rPr>
          <w:sz w:val="26"/>
          <w:szCs w:val="26"/>
        </w:rPr>
        <w:t>the</w:t>
      </w:r>
      <w:r w:rsidR="00A0551D">
        <w:rPr>
          <w:sz w:val="26"/>
          <w:szCs w:val="26"/>
        </w:rPr>
        <w:t xml:space="preserve"> Commission’s </w:t>
      </w:r>
      <w:r w:rsidR="00A42C3E" w:rsidRPr="00A55132">
        <w:rPr>
          <w:i/>
          <w:sz w:val="26"/>
          <w:szCs w:val="26"/>
        </w:rPr>
        <w:t>1998 Proposed Policy Statement</w:t>
      </w:r>
      <w:r w:rsidR="00A42C3E">
        <w:rPr>
          <w:i/>
          <w:sz w:val="26"/>
          <w:szCs w:val="26"/>
        </w:rPr>
        <w:t xml:space="preserve"> </w:t>
      </w:r>
      <w:r w:rsidR="00A42C3E">
        <w:rPr>
          <w:sz w:val="26"/>
          <w:szCs w:val="26"/>
        </w:rPr>
        <w:t>and</w:t>
      </w:r>
      <w:r w:rsidR="00A42C3E" w:rsidRPr="00A55132">
        <w:rPr>
          <w:sz w:val="26"/>
          <w:szCs w:val="26"/>
        </w:rPr>
        <w:t xml:space="preserve"> the </w:t>
      </w:r>
      <w:r w:rsidR="00A42C3E" w:rsidRPr="00A55132">
        <w:rPr>
          <w:i/>
          <w:sz w:val="26"/>
          <w:szCs w:val="26"/>
        </w:rPr>
        <w:t>1999 Proposed Rulemaking</w:t>
      </w:r>
      <w:r w:rsidR="00A42C3E">
        <w:rPr>
          <w:i/>
          <w:sz w:val="26"/>
          <w:szCs w:val="26"/>
        </w:rPr>
        <w:t xml:space="preserve">, </w:t>
      </w:r>
      <w:r w:rsidR="00A42C3E" w:rsidRPr="00A42C3E">
        <w:rPr>
          <w:sz w:val="26"/>
          <w:szCs w:val="26"/>
        </w:rPr>
        <w:t>and</w:t>
      </w:r>
      <w:r w:rsidR="00A42C3E">
        <w:rPr>
          <w:sz w:val="26"/>
          <w:szCs w:val="26"/>
        </w:rPr>
        <w:t xml:space="preserve"> explained how neither</w:t>
      </w:r>
      <w:r w:rsidR="00A42C3E" w:rsidRPr="00A55132">
        <w:rPr>
          <w:sz w:val="26"/>
          <w:szCs w:val="26"/>
        </w:rPr>
        <w:t xml:space="preserve"> has any relevance to this proceeding, since neither was adopted in final form by the Commission.</w:t>
      </w:r>
      <w:r w:rsidR="00A42C3E">
        <w:rPr>
          <w:sz w:val="26"/>
          <w:szCs w:val="26"/>
        </w:rPr>
        <w:t xml:space="preserve">  </w:t>
      </w:r>
      <w:r w:rsidR="00A42C3E" w:rsidRPr="00A42C3E">
        <w:rPr>
          <w:i/>
          <w:sz w:val="26"/>
          <w:szCs w:val="26"/>
        </w:rPr>
        <w:lastRenderedPageBreak/>
        <w:t>See</w:t>
      </w:r>
      <w:r w:rsidR="00A42C3E">
        <w:rPr>
          <w:sz w:val="26"/>
          <w:szCs w:val="26"/>
        </w:rPr>
        <w:t xml:space="preserve"> I.D. at </w:t>
      </w:r>
      <w:r w:rsidR="00C93C34">
        <w:rPr>
          <w:sz w:val="26"/>
          <w:szCs w:val="26"/>
        </w:rPr>
        <w:t>9-10.</w:t>
      </w:r>
      <w:r w:rsidR="00A0551D">
        <w:rPr>
          <w:rStyle w:val="FootnoteReference"/>
          <w:sz w:val="26"/>
          <w:szCs w:val="26"/>
        </w:rPr>
        <w:footnoteReference w:id="4"/>
      </w:r>
      <w:r w:rsidR="00A0551D">
        <w:rPr>
          <w:sz w:val="26"/>
          <w:szCs w:val="26"/>
        </w:rPr>
        <w:t xml:space="preserve"> </w:t>
      </w:r>
      <w:r w:rsidR="00A42C3E">
        <w:rPr>
          <w:sz w:val="26"/>
          <w:szCs w:val="26"/>
        </w:rPr>
        <w:t xml:space="preserve">  </w:t>
      </w:r>
      <w:r w:rsidR="00C93C34">
        <w:rPr>
          <w:sz w:val="26"/>
          <w:szCs w:val="26"/>
        </w:rPr>
        <w:t xml:space="preserve">Additionally, the ALJ explained </w:t>
      </w:r>
      <w:r w:rsidR="00037078" w:rsidRPr="00A55132">
        <w:rPr>
          <w:sz w:val="26"/>
          <w:szCs w:val="26"/>
        </w:rPr>
        <w:t xml:space="preserve">that </w:t>
      </w:r>
      <w:r w:rsidR="00A55132">
        <w:rPr>
          <w:sz w:val="26"/>
          <w:szCs w:val="26"/>
        </w:rPr>
        <w:t>t</w:t>
      </w:r>
      <w:r w:rsidR="00037078" w:rsidRPr="00A55132">
        <w:rPr>
          <w:sz w:val="26"/>
          <w:szCs w:val="26"/>
        </w:rPr>
        <w:t xml:space="preserve">he Commission has determined that the Code does not authorize </w:t>
      </w:r>
      <w:r w:rsidR="00D84F0D">
        <w:rPr>
          <w:sz w:val="26"/>
          <w:szCs w:val="26"/>
        </w:rPr>
        <w:t>PECO</w:t>
      </w:r>
      <w:r w:rsidR="00037078" w:rsidRPr="00A55132">
        <w:rPr>
          <w:sz w:val="26"/>
          <w:szCs w:val="26"/>
        </w:rPr>
        <w:t xml:space="preserve"> to collect foreign wiring charges from a tenant. </w:t>
      </w:r>
      <w:r w:rsidR="00EC7444">
        <w:rPr>
          <w:sz w:val="26"/>
          <w:szCs w:val="26"/>
        </w:rPr>
        <w:t xml:space="preserve"> </w:t>
      </w:r>
      <w:r w:rsidR="00EC7444" w:rsidRPr="00EC7444">
        <w:rPr>
          <w:i/>
          <w:sz w:val="26"/>
          <w:szCs w:val="26"/>
        </w:rPr>
        <w:t>See</w:t>
      </w:r>
      <w:r w:rsidR="00EC7444">
        <w:rPr>
          <w:sz w:val="26"/>
          <w:szCs w:val="26"/>
        </w:rPr>
        <w:t xml:space="preserve"> I.D. at 10, citing </w:t>
      </w:r>
      <w:r w:rsidR="00EC7444" w:rsidRPr="00EC7444">
        <w:rPr>
          <w:i/>
          <w:sz w:val="26"/>
          <w:szCs w:val="26"/>
        </w:rPr>
        <w:t>Santos</w:t>
      </w:r>
      <w:r w:rsidR="00EC7444">
        <w:rPr>
          <w:sz w:val="26"/>
          <w:szCs w:val="26"/>
        </w:rPr>
        <w:t xml:space="preserve">.  The ALJ explained that any lease or other agreement between the Complainant and the tenants where the tenants agree to pay for the electricity used in the hallway, the basement and by the sump pump cannot supersede the provisions of the statute and, therefore, has no effect on </w:t>
      </w:r>
      <w:r w:rsidR="00D84F0D">
        <w:rPr>
          <w:sz w:val="26"/>
          <w:szCs w:val="26"/>
        </w:rPr>
        <w:t>PECO</w:t>
      </w:r>
      <w:r w:rsidR="00EC7444">
        <w:rPr>
          <w:sz w:val="26"/>
          <w:szCs w:val="26"/>
        </w:rPr>
        <w:t xml:space="preserve">’s obligations to comply with 66 Pa. C.S. § 1529.1.  </w:t>
      </w:r>
      <w:r w:rsidR="00EC7444" w:rsidRPr="00B93DC1">
        <w:rPr>
          <w:i/>
          <w:sz w:val="26"/>
          <w:szCs w:val="26"/>
        </w:rPr>
        <w:t>See</w:t>
      </w:r>
      <w:r w:rsidR="00EC7444">
        <w:rPr>
          <w:sz w:val="26"/>
          <w:szCs w:val="26"/>
        </w:rPr>
        <w:t xml:space="preserve"> I.D. at 10.  Furthermore, the ALJ explained that enforcement of any agreement or lease between the Complainant and the tenants is outside the Commission’s jurisdiction.  </w:t>
      </w:r>
      <w:r w:rsidR="00EC7444" w:rsidRPr="00EC7444">
        <w:rPr>
          <w:i/>
          <w:sz w:val="26"/>
          <w:szCs w:val="26"/>
        </w:rPr>
        <w:t>See</w:t>
      </w:r>
      <w:r w:rsidR="00EC7444">
        <w:rPr>
          <w:sz w:val="26"/>
          <w:szCs w:val="26"/>
        </w:rPr>
        <w:t xml:space="preserve"> I.D. at 10</w:t>
      </w:r>
      <w:r w:rsidR="00EA00CA">
        <w:rPr>
          <w:sz w:val="26"/>
          <w:szCs w:val="26"/>
        </w:rPr>
        <w:t>-11</w:t>
      </w:r>
      <w:r w:rsidR="00EC7444">
        <w:rPr>
          <w:sz w:val="26"/>
          <w:szCs w:val="26"/>
        </w:rPr>
        <w:t xml:space="preserve">, </w:t>
      </w:r>
      <w:r w:rsidR="00EC7444" w:rsidRPr="00EC7444">
        <w:rPr>
          <w:i/>
          <w:sz w:val="26"/>
          <w:szCs w:val="26"/>
        </w:rPr>
        <w:t xml:space="preserve">citing Corazzini </w:t>
      </w:r>
      <w:r w:rsidR="00EC7444">
        <w:rPr>
          <w:sz w:val="26"/>
          <w:szCs w:val="26"/>
        </w:rPr>
        <w:t xml:space="preserve">and </w:t>
      </w:r>
      <w:r w:rsidR="00EC7444" w:rsidRPr="00EC7444">
        <w:rPr>
          <w:i/>
          <w:sz w:val="26"/>
          <w:szCs w:val="26"/>
        </w:rPr>
        <w:t>Kopf</w:t>
      </w:r>
      <w:r w:rsidR="00EC7444">
        <w:rPr>
          <w:sz w:val="26"/>
          <w:szCs w:val="26"/>
        </w:rPr>
        <w:t>.</w:t>
      </w:r>
    </w:p>
    <w:p w:rsidR="00976016" w:rsidRDefault="00976016" w:rsidP="000C3A70">
      <w:pPr>
        <w:pStyle w:val="Default"/>
        <w:spacing w:line="360" w:lineRule="auto"/>
        <w:ind w:firstLine="1440"/>
        <w:contextualSpacing/>
        <w:rPr>
          <w:sz w:val="26"/>
          <w:szCs w:val="26"/>
        </w:rPr>
      </w:pPr>
    </w:p>
    <w:p w:rsidR="00976016" w:rsidRPr="00976016" w:rsidRDefault="00976016" w:rsidP="000C3A70">
      <w:pPr>
        <w:pStyle w:val="Default"/>
        <w:spacing w:line="360" w:lineRule="auto"/>
        <w:ind w:firstLine="1440"/>
        <w:contextualSpacing/>
        <w:rPr>
          <w:sz w:val="26"/>
          <w:szCs w:val="26"/>
        </w:rPr>
      </w:pPr>
      <w:r w:rsidRPr="00976016">
        <w:rPr>
          <w:sz w:val="26"/>
          <w:szCs w:val="26"/>
        </w:rPr>
        <w:t>Next, the ALJ addressed the Complainant’s argument that the amount of usage attributable to foreign wiring at 633 Andrews A</w:t>
      </w:r>
      <w:r w:rsidR="00C25A57">
        <w:rPr>
          <w:sz w:val="26"/>
          <w:szCs w:val="26"/>
        </w:rPr>
        <w:t>venue, 1st Floor</w:t>
      </w:r>
      <w:r w:rsidR="007029AC">
        <w:rPr>
          <w:sz w:val="26"/>
          <w:szCs w:val="26"/>
        </w:rPr>
        <w:t>,</w:t>
      </w:r>
      <w:r w:rsidR="00C25A57">
        <w:rPr>
          <w:sz w:val="26"/>
          <w:szCs w:val="26"/>
        </w:rPr>
        <w:t xml:space="preserve"> is minimal and, </w:t>
      </w:r>
      <w:r w:rsidRPr="00976016">
        <w:rPr>
          <w:sz w:val="26"/>
          <w:szCs w:val="26"/>
        </w:rPr>
        <w:t>therefore, 66 Pa.</w:t>
      </w:r>
      <w:r w:rsidR="000C3A70">
        <w:rPr>
          <w:sz w:val="26"/>
          <w:szCs w:val="26"/>
        </w:rPr>
        <w:t xml:space="preserve"> </w:t>
      </w:r>
      <w:r w:rsidRPr="00976016">
        <w:rPr>
          <w:sz w:val="26"/>
          <w:szCs w:val="26"/>
        </w:rPr>
        <w:t xml:space="preserve">C.S. § 1529.1 is not applicable. </w:t>
      </w:r>
      <w:r w:rsidR="00EA00CA">
        <w:rPr>
          <w:sz w:val="26"/>
          <w:szCs w:val="26"/>
        </w:rPr>
        <w:t xml:space="preserve"> </w:t>
      </w:r>
      <w:r w:rsidR="00EA00CA" w:rsidRPr="00EA00CA">
        <w:rPr>
          <w:i/>
          <w:sz w:val="26"/>
          <w:szCs w:val="26"/>
        </w:rPr>
        <w:t>See</w:t>
      </w:r>
      <w:r w:rsidR="00EA00CA">
        <w:rPr>
          <w:sz w:val="26"/>
          <w:szCs w:val="26"/>
        </w:rPr>
        <w:t xml:space="preserve"> I.D. at 11.  </w:t>
      </w:r>
      <w:r w:rsidRPr="00976016">
        <w:rPr>
          <w:sz w:val="26"/>
          <w:szCs w:val="26"/>
        </w:rPr>
        <w:t xml:space="preserve">The ALJ stated that the Complainant’s argument is without merit.  </w:t>
      </w:r>
      <w:r w:rsidR="00EA00CA">
        <w:rPr>
          <w:sz w:val="26"/>
          <w:szCs w:val="26"/>
        </w:rPr>
        <w:t xml:space="preserve">I.D. at 11.  </w:t>
      </w:r>
      <w:r w:rsidRPr="00976016">
        <w:rPr>
          <w:sz w:val="26"/>
          <w:szCs w:val="26"/>
        </w:rPr>
        <w:t xml:space="preserve">In support thereof, the ALJ </w:t>
      </w:r>
      <w:r w:rsidRPr="00976016">
        <w:rPr>
          <w:sz w:val="26"/>
          <w:szCs w:val="26"/>
        </w:rPr>
        <w:lastRenderedPageBreak/>
        <w:t xml:space="preserve">explained that the Commission held in </w:t>
      </w:r>
      <w:r w:rsidRPr="00976016">
        <w:rPr>
          <w:i/>
          <w:sz w:val="26"/>
          <w:szCs w:val="26"/>
        </w:rPr>
        <w:t xml:space="preserve">Ace </w:t>
      </w:r>
      <w:r w:rsidRPr="00FC04C5">
        <w:rPr>
          <w:i/>
          <w:sz w:val="26"/>
          <w:szCs w:val="26"/>
        </w:rPr>
        <w:t xml:space="preserve">Check </w:t>
      </w:r>
      <w:r w:rsidR="00FC04C5" w:rsidRPr="00FC04C5">
        <w:rPr>
          <w:i/>
          <w:sz w:val="26"/>
          <w:szCs w:val="26"/>
        </w:rPr>
        <w:t>Cashing</w:t>
      </w:r>
      <w:r w:rsidR="00FC04C5">
        <w:rPr>
          <w:sz w:val="26"/>
          <w:szCs w:val="26"/>
        </w:rPr>
        <w:t xml:space="preserve"> </w:t>
      </w:r>
      <w:r w:rsidRPr="00976016">
        <w:rPr>
          <w:sz w:val="26"/>
          <w:szCs w:val="26"/>
        </w:rPr>
        <w:t xml:space="preserve">that there is no </w:t>
      </w:r>
      <w:r w:rsidRPr="002F62B2">
        <w:rPr>
          <w:i/>
          <w:sz w:val="26"/>
          <w:szCs w:val="26"/>
        </w:rPr>
        <w:t>de minimus</w:t>
      </w:r>
      <w:r w:rsidRPr="00976016">
        <w:rPr>
          <w:sz w:val="26"/>
          <w:szCs w:val="26"/>
        </w:rPr>
        <w:t xml:space="preserve"> exception to 6</w:t>
      </w:r>
      <w:r w:rsidR="00EA00CA">
        <w:rPr>
          <w:sz w:val="26"/>
          <w:szCs w:val="26"/>
        </w:rPr>
        <w:t>6 Pa.</w:t>
      </w:r>
      <w:r w:rsidR="000C3A70">
        <w:rPr>
          <w:sz w:val="26"/>
          <w:szCs w:val="26"/>
        </w:rPr>
        <w:t xml:space="preserve"> </w:t>
      </w:r>
      <w:r w:rsidR="00EA00CA">
        <w:rPr>
          <w:sz w:val="26"/>
          <w:szCs w:val="26"/>
        </w:rPr>
        <w:t xml:space="preserve">C.S. § 1529.1.  </w:t>
      </w:r>
      <w:r w:rsidR="00EA00CA" w:rsidRPr="00EA00CA">
        <w:rPr>
          <w:i/>
          <w:sz w:val="26"/>
          <w:szCs w:val="26"/>
        </w:rPr>
        <w:t>See</w:t>
      </w:r>
      <w:r w:rsidR="00EA00CA">
        <w:rPr>
          <w:sz w:val="26"/>
          <w:szCs w:val="26"/>
        </w:rPr>
        <w:t xml:space="preserve"> I.D. at 11.  Rather, </w:t>
      </w:r>
      <w:r w:rsidR="00D70CC9">
        <w:rPr>
          <w:sz w:val="26"/>
          <w:szCs w:val="26"/>
        </w:rPr>
        <w:t xml:space="preserve">the ALJ explained, </w:t>
      </w:r>
      <w:r w:rsidR="00EA00CA">
        <w:rPr>
          <w:sz w:val="26"/>
          <w:szCs w:val="26"/>
        </w:rPr>
        <w:t>u</w:t>
      </w:r>
      <w:r w:rsidRPr="00976016">
        <w:rPr>
          <w:sz w:val="26"/>
          <w:szCs w:val="26"/>
        </w:rPr>
        <w:t xml:space="preserve">pon discovering foreign wiring, the utility must transfer the account for the property from the tenant to the landlord, including any arrearages, even if the amount of usage attributable to foreign wiring is minimal. </w:t>
      </w:r>
      <w:r w:rsidR="00EA00CA">
        <w:rPr>
          <w:sz w:val="26"/>
          <w:szCs w:val="26"/>
        </w:rPr>
        <w:t xml:space="preserve"> </w:t>
      </w:r>
      <w:r w:rsidR="00EA00CA" w:rsidRPr="00EA00CA">
        <w:rPr>
          <w:i/>
          <w:sz w:val="26"/>
          <w:szCs w:val="26"/>
        </w:rPr>
        <w:t>See</w:t>
      </w:r>
      <w:r w:rsidR="00EA00CA">
        <w:rPr>
          <w:sz w:val="26"/>
          <w:szCs w:val="26"/>
        </w:rPr>
        <w:t xml:space="preserve"> </w:t>
      </w:r>
      <w:r w:rsidRPr="00976016">
        <w:rPr>
          <w:sz w:val="26"/>
          <w:szCs w:val="26"/>
        </w:rPr>
        <w:t xml:space="preserve">I.D. at 11, citing to </w:t>
      </w:r>
      <w:r w:rsidRPr="00976016">
        <w:rPr>
          <w:i/>
          <w:sz w:val="26"/>
          <w:szCs w:val="26"/>
        </w:rPr>
        <w:t>Kopf</w:t>
      </w:r>
      <w:r w:rsidRPr="00976016">
        <w:rPr>
          <w:sz w:val="26"/>
          <w:szCs w:val="26"/>
        </w:rPr>
        <w:t>.</w:t>
      </w:r>
    </w:p>
    <w:p w:rsidR="00037078" w:rsidRDefault="00037078" w:rsidP="000C3A70">
      <w:pPr>
        <w:pStyle w:val="Default"/>
        <w:spacing w:line="360" w:lineRule="auto"/>
        <w:ind w:firstLine="1440"/>
        <w:contextualSpacing/>
        <w:rPr>
          <w:sz w:val="23"/>
          <w:szCs w:val="23"/>
        </w:rPr>
      </w:pPr>
    </w:p>
    <w:p w:rsidR="00976016" w:rsidRPr="00791EDE" w:rsidRDefault="00C730EA" w:rsidP="000C3A70">
      <w:pPr>
        <w:pStyle w:val="Default"/>
        <w:spacing w:line="360" w:lineRule="auto"/>
        <w:ind w:firstLine="1440"/>
        <w:contextualSpacing/>
        <w:rPr>
          <w:sz w:val="26"/>
          <w:szCs w:val="26"/>
        </w:rPr>
      </w:pPr>
      <w:r>
        <w:rPr>
          <w:sz w:val="26"/>
          <w:szCs w:val="26"/>
        </w:rPr>
        <w:t>ALJ Salapa</w:t>
      </w:r>
      <w:r w:rsidR="00D70CC9">
        <w:rPr>
          <w:sz w:val="26"/>
          <w:szCs w:val="26"/>
        </w:rPr>
        <w:t xml:space="preserve"> then discussed the Commission’s previously expressed </w:t>
      </w:r>
      <w:r w:rsidR="00C25A57">
        <w:rPr>
          <w:sz w:val="26"/>
          <w:szCs w:val="26"/>
        </w:rPr>
        <w:t xml:space="preserve">general </w:t>
      </w:r>
      <w:r w:rsidR="00D70CC9">
        <w:rPr>
          <w:sz w:val="26"/>
          <w:szCs w:val="26"/>
        </w:rPr>
        <w:t>concern</w:t>
      </w:r>
      <w:r w:rsidR="00C25A57">
        <w:rPr>
          <w:sz w:val="26"/>
          <w:szCs w:val="26"/>
        </w:rPr>
        <w:t xml:space="preserve"> with granting pretrial motions in </w:t>
      </w:r>
      <w:r w:rsidR="00C25A57" w:rsidRPr="00C25A57">
        <w:rPr>
          <w:i/>
          <w:sz w:val="26"/>
          <w:szCs w:val="26"/>
        </w:rPr>
        <w:t>pro se</w:t>
      </w:r>
      <w:r w:rsidR="00C25A57">
        <w:rPr>
          <w:sz w:val="26"/>
          <w:szCs w:val="26"/>
        </w:rPr>
        <w:t xml:space="preserve"> complaints because </w:t>
      </w:r>
      <w:r w:rsidR="00D70CC9">
        <w:rPr>
          <w:sz w:val="26"/>
          <w:szCs w:val="26"/>
        </w:rPr>
        <w:t xml:space="preserve">unrepresented complainants may find it difficult to navigate through prehearing motions and should be given an opportunity to orally describe their basic issue and supporting facts. </w:t>
      </w:r>
      <w:r w:rsidR="00D70CC9" w:rsidRPr="00FC3806">
        <w:rPr>
          <w:sz w:val="26"/>
          <w:szCs w:val="26"/>
        </w:rPr>
        <w:t xml:space="preserve"> </w:t>
      </w:r>
      <w:r w:rsidR="00D70CC9" w:rsidRPr="00D70CC9">
        <w:rPr>
          <w:i/>
          <w:sz w:val="26"/>
          <w:szCs w:val="26"/>
        </w:rPr>
        <w:t>See</w:t>
      </w:r>
      <w:r w:rsidR="00432AE7">
        <w:rPr>
          <w:sz w:val="26"/>
          <w:szCs w:val="26"/>
        </w:rPr>
        <w:t xml:space="preserve"> I.D. at</w:t>
      </w:r>
      <w:r>
        <w:rPr>
          <w:sz w:val="26"/>
          <w:szCs w:val="26"/>
        </w:rPr>
        <w:t> </w:t>
      </w:r>
      <w:r w:rsidR="00432AE7">
        <w:rPr>
          <w:sz w:val="26"/>
          <w:szCs w:val="26"/>
        </w:rPr>
        <w:t>11</w:t>
      </w:r>
      <w:r w:rsidR="00303591">
        <w:rPr>
          <w:sz w:val="26"/>
          <w:szCs w:val="26"/>
        </w:rPr>
        <w:t>-12</w:t>
      </w:r>
      <w:r w:rsidR="00432AE7">
        <w:rPr>
          <w:sz w:val="26"/>
          <w:szCs w:val="26"/>
        </w:rPr>
        <w:t xml:space="preserve">.  Specifically, the ALJ noted that </w:t>
      </w:r>
      <w:r w:rsidR="00D70CC9">
        <w:rPr>
          <w:sz w:val="26"/>
          <w:szCs w:val="26"/>
        </w:rPr>
        <w:t>the Commission</w:t>
      </w:r>
      <w:r w:rsidR="00976016" w:rsidRPr="00976016">
        <w:rPr>
          <w:sz w:val="26"/>
          <w:szCs w:val="26"/>
        </w:rPr>
        <w:t xml:space="preserve"> has disfavor</w:t>
      </w:r>
      <w:r w:rsidR="00432AE7">
        <w:rPr>
          <w:sz w:val="26"/>
          <w:szCs w:val="26"/>
        </w:rPr>
        <w:t>ed</w:t>
      </w:r>
      <w:r w:rsidR="00976016" w:rsidRPr="00976016">
        <w:rPr>
          <w:sz w:val="26"/>
          <w:szCs w:val="26"/>
        </w:rPr>
        <w:t xml:space="preserve"> granting motions dismissing complaints filed by </w:t>
      </w:r>
      <w:r w:rsidR="00976016" w:rsidRPr="00457195">
        <w:rPr>
          <w:i/>
          <w:sz w:val="26"/>
          <w:szCs w:val="26"/>
        </w:rPr>
        <w:t>pro se</w:t>
      </w:r>
      <w:r w:rsidR="00976016" w:rsidRPr="00976016">
        <w:rPr>
          <w:sz w:val="26"/>
          <w:szCs w:val="26"/>
        </w:rPr>
        <w:t xml:space="preserve"> complainants. </w:t>
      </w:r>
      <w:r w:rsidR="00457195" w:rsidRPr="00457195">
        <w:rPr>
          <w:i/>
          <w:sz w:val="26"/>
          <w:szCs w:val="26"/>
        </w:rPr>
        <w:t>See</w:t>
      </w:r>
      <w:r w:rsidR="00457195">
        <w:rPr>
          <w:sz w:val="26"/>
          <w:szCs w:val="26"/>
        </w:rPr>
        <w:t xml:space="preserve"> I.D. at 11, citing </w:t>
      </w:r>
      <w:r w:rsidR="00976016" w:rsidRPr="00457195">
        <w:rPr>
          <w:i/>
          <w:sz w:val="26"/>
          <w:szCs w:val="26"/>
        </w:rPr>
        <w:t>Carlock v. The United Telephone Company of Pennsylvania</w:t>
      </w:r>
      <w:r w:rsidR="00976016" w:rsidRPr="00976016">
        <w:rPr>
          <w:sz w:val="26"/>
          <w:szCs w:val="26"/>
        </w:rPr>
        <w:t>, Docket No. F</w:t>
      </w:r>
      <w:r w:rsidR="00B70D85">
        <w:rPr>
          <w:sz w:val="26"/>
          <w:szCs w:val="26"/>
        </w:rPr>
        <w:noBreakHyphen/>
      </w:r>
      <w:r w:rsidR="00976016" w:rsidRPr="00976016">
        <w:rPr>
          <w:sz w:val="26"/>
          <w:szCs w:val="26"/>
        </w:rPr>
        <w:t>00163617 (Opinion and Order entered July 14, 1993) (</w:t>
      </w:r>
      <w:r w:rsidR="00976016" w:rsidRPr="00A44A20">
        <w:rPr>
          <w:i/>
          <w:sz w:val="26"/>
          <w:szCs w:val="26"/>
        </w:rPr>
        <w:t>Carlock</w:t>
      </w:r>
      <w:r w:rsidR="00976016" w:rsidRPr="00976016">
        <w:rPr>
          <w:sz w:val="26"/>
          <w:szCs w:val="26"/>
        </w:rPr>
        <w:t xml:space="preserve">); </w:t>
      </w:r>
      <w:r w:rsidR="00976016" w:rsidRPr="00457195">
        <w:rPr>
          <w:i/>
          <w:sz w:val="26"/>
          <w:szCs w:val="26"/>
        </w:rPr>
        <w:t>Brown v. PECO Energy Company</w:t>
      </w:r>
      <w:r w:rsidR="00976016" w:rsidRPr="00976016">
        <w:rPr>
          <w:sz w:val="26"/>
          <w:szCs w:val="26"/>
        </w:rPr>
        <w:t>, Docket No. C-2008-2055866 (Opinion and Order entered May 29, 2009) (</w:t>
      </w:r>
      <w:r w:rsidR="00976016" w:rsidRPr="00A44A20">
        <w:rPr>
          <w:i/>
          <w:sz w:val="26"/>
          <w:szCs w:val="26"/>
        </w:rPr>
        <w:t>Brown</w:t>
      </w:r>
      <w:r w:rsidR="00976016" w:rsidRPr="00976016">
        <w:rPr>
          <w:sz w:val="26"/>
          <w:szCs w:val="26"/>
        </w:rPr>
        <w:t xml:space="preserve">); </w:t>
      </w:r>
      <w:r w:rsidR="00976016" w:rsidRPr="00457195">
        <w:rPr>
          <w:i/>
          <w:sz w:val="26"/>
          <w:szCs w:val="26"/>
        </w:rPr>
        <w:t>Richmond v. PECO Energy Company</w:t>
      </w:r>
      <w:r w:rsidR="00976016" w:rsidRPr="00976016">
        <w:rPr>
          <w:sz w:val="26"/>
          <w:szCs w:val="26"/>
        </w:rPr>
        <w:t>, Docket No. F-2010- 2187305 (Opinion and Order entered December 7, 2011) (</w:t>
      </w:r>
      <w:r w:rsidR="00976016" w:rsidRPr="00A44A20">
        <w:rPr>
          <w:i/>
          <w:sz w:val="26"/>
          <w:szCs w:val="26"/>
        </w:rPr>
        <w:t>Richmond</w:t>
      </w:r>
      <w:r w:rsidR="00976016" w:rsidRPr="00976016">
        <w:rPr>
          <w:sz w:val="26"/>
          <w:szCs w:val="26"/>
        </w:rPr>
        <w:t xml:space="preserve">). </w:t>
      </w:r>
      <w:r w:rsidR="00457195">
        <w:rPr>
          <w:sz w:val="26"/>
          <w:szCs w:val="26"/>
        </w:rPr>
        <w:t xml:space="preserve"> The ALJ explained that, i</w:t>
      </w:r>
      <w:r w:rsidR="00976016" w:rsidRPr="00976016">
        <w:rPr>
          <w:sz w:val="26"/>
          <w:szCs w:val="26"/>
        </w:rPr>
        <w:t xml:space="preserve">n </w:t>
      </w:r>
      <w:r w:rsidR="00976016" w:rsidRPr="00457195">
        <w:rPr>
          <w:i/>
          <w:sz w:val="26"/>
          <w:szCs w:val="26"/>
        </w:rPr>
        <w:t>Carlock</w:t>
      </w:r>
      <w:r w:rsidR="00976016" w:rsidRPr="00976016">
        <w:rPr>
          <w:sz w:val="26"/>
          <w:szCs w:val="26"/>
        </w:rPr>
        <w:t xml:space="preserve">, </w:t>
      </w:r>
      <w:r w:rsidR="00976016" w:rsidRPr="00457195">
        <w:rPr>
          <w:i/>
          <w:sz w:val="26"/>
          <w:szCs w:val="26"/>
        </w:rPr>
        <w:t>Brown</w:t>
      </w:r>
      <w:r w:rsidR="00976016" w:rsidRPr="00976016">
        <w:rPr>
          <w:sz w:val="26"/>
          <w:szCs w:val="26"/>
        </w:rPr>
        <w:t xml:space="preserve">, and </w:t>
      </w:r>
      <w:r w:rsidR="00976016" w:rsidRPr="00457195">
        <w:rPr>
          <w:i/>
          <w:sz w:val="26"/>
          <w:szCs w:val="26"/>
        </w:rPr>
        <w:t>Richmond</w:t>
      </w:r>
      <w:r w:rsidR="00976016" w:rsidRPr="00976016">
        <w:rPr>
          <w:sz w:val="26"/>
          <w:szCs w:val="26"/>
        </w:rPr>
        <w:t xml:space="preserve">, the Commission indicated that a complaint filed by a </w:t>
      </w:r>
      <w:r w:rsidR="00976016" w:rsidRPr="00457195">
        <w:rPr>
          <w:i/>
          <w:sz w:val="26"/>
          <w:szCs w:val="26"/>
        </w:rPr>
        <w:t>pro se</w:t>
      </w:r>
      <w:r w:rsidR="00976016" w:rsidRPr="00976016">
        <w:rPr>
          <w:sz w:val="26"/>
          <w:szCs w:val="26"/>
        </w:rPr>
        <w:t xml:space="preserve"> complainant should not be dismissed until the Complainant has the </w:t>
      </w:r>
      <w:r w:rsidR="00976016" w:rsidRPr="00791EDE">
        <w:rPr>
          <w:sz w:val="26"/>
          <w:szCs w:val="26"/>
        </w:rPr>
        <w:t>opportunity to orally explain his or her position at a hearing.</w:t>
      </w:r>
      <w:r w:rsidR="00D70CC9">
        <w:rPr>
          <w:sz w:val="26"/>
          <w:szCs w:val="26"/>
        </w:rPr>
        <w:t xml:space="preserve">  </w:t>
      </w:r>
      <w:r w:rsidR="00D70CC9" w:rsidRPr="00457195">
        <w:rPr>
          <w:i/>
          <w:sz w:val="26"/>
          <w:szCs w:val="26"/>
        </w:rPr>
        <w:t>See</w:t>
      </w:r>
      <w:r w:rsidR="00D70CC9">
        <w:rPr>
          <w:sz w:val="26"/>
          <w:szCs w:val="26"/>
        </w:rPr>
        <w:t xml:space="preserve"> I.D. at 11.</w:t>
      </w:r>
    </w:p>
    <w:p w:rsidR="00791EDE" w:rsidRPr="00791EDE" w:rsidRDefault="00791EDE" w:rsidP="000C3A70">
      <w:pPr>
        <w:pStyle w:val="Default"/>
        <w:spacing w:line="360" w:lineRule="auto"/>
        <w:ind w:firstLine="1440"/>
        <w:contextualSpacing/>
        <w:rPr>
          <w:sz w:val="26"/>
          <w:szCs w:val="26"/>
        </w:rPr>
      </w:pPr>
    </w:p>
    <w:p w:rsidR="00791EDE" w:rsidRDefault="00457195" w:rsidP="000C3A70">
      <w:pPr>
        <w:pStyle w:val="Default"/>
        <w:spacing w:line="360" w:lineRule="auto"/>
        <w:ind w:firstLine="1440"/>
        <w:contextualSpacing/>
        <w:rPr>
          <w:sz w:val="26"/>
          <w:szCs w:val="26"/>
        </w:rPr>
      </w:pPr>
      <w:r>
        <w:rPr>
          <w:sz w:val="26"/>
          <w:szCs w:val="26"/>
        </w:rPr>
        <w:t>The ALJ compared the cases</w:t>
      </w:r>
      <w:r w:rsidR="00D70CC9">
        <w:rPr>
          <w:sz w:val="26"/>
          <w:szCs w:val="26"/>
        </w:rPr>
        <w:t xml:space="preserve"> of</w:t>
      </w:r>
      <w:r w:rsidR="00791EDE" w:rsidRPr="00791EDE">
        <w:rPr>
          <w:sz w:val="26"/>
          <w:szCs w:val="26"/>
        </w:rPr>
        <w:t xml:space="preserve"> </w:t>
      </w:r>
      <w:r w:rsidRPr="00457195">
        <w:rPr>
          <w:i/>
          <w:sz w:val="26"/>
          <w:szCs w:val="26"/>
        </w:rPr>
        <w:t>Carlock</w:t>
      </w:r>
      <w:r w:rsidRPr="00976016">
        <w:rPr>
          <w:sz w:val="26"/>
          <w:szCs w:val="26"/>
        </w:rPr>
        <w:t xml:space="preserve">, </w:t>
      </w:r>
      <w:r w:rsidRPr="00457195">
        <w:rPr>
          <w:i/>
          <w:sz w:val="26"/>
          <w:szCs w:val="26"/>
        </w:rPr>
        <w:t>Brown</w:t>
      </w:r>
      <w:r w:rsidRPr="00976016">
        <w:rPr>
          <w:sz w:val="26"/>
          <w:szCs w:val="26"/>
        </w:rPr>
        <w:t xml:space="preserve">, and </w:t>
      </w:r>
      <w:r w:rsidRPr="00457195">
        <w:rPr>
          <w:i/>
          <w:sz w:val="26"/>
          <w:szCs w:val="26"/>
        </w:rPr>
        <w:t>Richmond</w:t>
      </w:r>
      <w:r>
        <w:rPr>
          <w:sz w:val="26"/>
          <w:szCs w:val="26"/>
        </w:rPr>
        <w:t xml:space="preserve"> </w:t>
      </w:r>
      <w:r w:rsidR="00D70CC9">
        <w:rPr>
          <w:sz w:val="26"/>
          <w:szCs w:val="26"/>
        </w:rPr>
        <w:t>against</w:t>
      </w:r>
      <w:r w:rsidR="00791EDE" w:rsidRPr="00791EDE">
        <w:rPr>
          <w:sz w:val="26"/>
          <w:szCs w:val="26"/>
        </w:rPr>
        <w:t xml:space="preserve"> </w:t>
      </w:r>
      <w:r w:rsidR="00791EDE" w:rsidRPr="00457195">
        <w:rPr>
          <w:i/>
          <w:sz w:val="26"/>
          <w:szCs w:val="26"/>
        </w:rPr>
        <w:t>Lightsey v. PECO Energy Company</w:t>
      </w:r>
      <w:r w:rsidR="00791EDE" w:rsidRPr="00791EDE">
        <w:rPr>
          <w:sz w:val="26"/>
          <w:szCs w:val="26"/>
        </w:rPr>
        <w:t>, Docket No. F-2014-2412353 (Final Order entered June 13, 2014) (</w:t>
      </w:r>
      <w:r w:rsidR="00791EDE" w:rsidRPr="00457195">
        <w:rPr>
          <w:i/>
          <w:sz w:val="26"/>
          <w:szCs w:val="26"/>
        </w:rPr>
        <w:t>Lightsey</w:t>
      </w:r>
      <w:r w:rsidR="00D70CC9">
        <w:rPr>
          <w:sz w:val="26"/>
          <w:szCs w:val="26"/>
        </w:rPr>
        <w:t xml:space="preserve">). </w:t>
      </w:r>
      <w:r w:rsidR="00791EDE" w:rsidRPr="00791EDE">
        <w:rPr>
          <w:sz w:val="26"/>
          <w:szCs w:val="26"/>
        </w:rPr>
        <w:t xml:space="preserve"> </w:t>
      </w:r>
      <w:r w:rsidR="00D70CC9" w:rsidRPr="00457195">
        <w:rPr>
          <w:i/>
          <w:sz w:val="26"/>
          <w:szCs w:val="26"/>
        </w:rPr>
        <w:t>See</w:t>
      </w:r>
      <w:r w:rsidR="00D70CC9">
        <w:rPr>
          <w:sz w:val="26"/>
          <w:szCs w:val="26"/>
        </w:rPr>
        <w:t xml:space="preserve"> I.D. at 11.  In </w:t>
      </w:r>
      <w:r w:rsidR="00D70CC9" w:rsidRPr="00D70CC9">
        <w:rPr>
          <w:i/>
          <w:sz w:val="26"/>
          <w:szCs w:val="26"/>
        </w:rPr>
        <w:t>Lightsey</w:t>
      </w:r>
      <w:r w:rsidR="00D70CC9">
        <w:rPr>
          <w:sz w:val="26"/>
          <w:szCs w:val="26"/>
        </w:rPr>
        <w:t>,</w:t>
      </w:r>
      <w:r>
        <w:rPr>
          <w:sz w:val="26"/>
          <w:szCs w:val="26"/>
        </w:rPr>
        <w:t xml:space="preserve"> </w:t>
      </w:r>
      <w:r w:rsidR="00791EDE" w:rsidRPr="00791EDE">
        <w:rPr>
          <w:sz w:val="26"/>
          <w:szCs w:val="26"/>
        </w:rPr>
        <w:t xml:space="preserve">the Commission sustained preliminary objections and dismissed the complaint where the complaint requested that the Commission </w:t>
      </w:r>
      <w:r w:rsidR="00641B62">
        <w:rPr>
          <w:sz w:val="26"/>
          <w:szCs w:val="26"/>
        </w:rPr>
        <w:t>o</w:t>
      </w:r>
      <w:r w:rsidR="00791EDE" w:rsidRPr="00791EDE">
        <w:rPr>
          <w:sz w:val="26"/>
          <w:szCs w:val="26"/>
        </w:rPr>
        <w:t xml:space="preserve">rder the utility to transfer a foreign wiring account balance from the landlord back to the tenant after the landlord corrected the foreign wiring. </w:t>
      </w:r>
      <w:r>
        <w:rPr>
          <w:sz w:val="26"/>
          <w:szCs w:val="26"/>
        </w:rPr>
        <w:t xml:space="preserve"> </w:t>
      </w:r>
      <w:r w:rsidRPr="00A44A20">
        <w:rPr>
          <w:i/>
          <w:sz w:val="26"/>
          <w:szCs w:val="26"/>
        </w:rPr>
        <w:t>See</w:t>
      </w:r>
      <w:r>
        <w:rPr>
          <w:sz w:val="26"/>
          <w:szCs w:val="26"/>
        </w:rPr>
        <w:t xml:space="preserve"> I.D. at</w:t>
      </w:r>
      <w:r w:rsidR="007029AC">
        <w:rPr>
          <w:sz w:val="26"/>
          <w:szCs w:val="26"/>
        </w:rPr>
        <w:t> </w:t>
      </w:r>
      <w:r>
        <w:rPr>
          <w:sz w:val="26"/>
          <w:szCs w:val="26"/>
        </w:rPr>
        <w:t>11</w:t>
      </w:r>
      <w:r w:rsidR="000C3A70">
        <w:rPr>
          <w:sz w:val="26"/>
          <w:szCs w:val="26"/>
        </w:rPr>
        <w:noBreakHyphen/>
      </w:r>
      <w:r>
        <w:rPr>
          <w:sz w:val="26"/>
          <w:szCs w:val="26"/>
        </w:rPr>
        <w:t xml:space="preserve">12.  In </w:t>
      </w:r>
      <w:r w:rsidRPr="00457195">
        <w:rPr>
          <w:i/>
          <w:sz w:val="26"/>
          <w:szCs w:val="26"/>
        </w:rPr>
        <w:t>Lightsey</w:t>
      </w:r>
      <w:r>
        <w:rPr>
          <w:sz w:val="26"/>
          <w:szCs w:val="26"/>
        </w:rPr>
        <w:t>, the ALJ explained, t</w:t>
      </w:r>
      <w:r w:rsidR="00791EDE" w:rsidRPr="00791EDE">
        <w:rPr>
          <w:sz w:val="26"/>
          <w:szCs w:val="26"/>
        </w:rPr>
        <w:t xml:space="preserve">he Commission </w:t>
      </w:r>
      <w:r>
        <w:rPr>
          <w:sz w:val="26"/>
          <w:szCs w:val="26"/>
        </w:rPr>
        <w:t>determined</w:t>
      </w:r>
      <w:r w:rsidR="00791EDE" w:rsidRPr="00791EDE">
        <w:rPr>
          <w:sz w:val="26"/>
          <w:szCs w:val="26"/>
        </w:rPr>
        <w:t xml:space="preserve"> that it lacked the authority to issue such an order. </w:t>
      </w:r>
      <w:r>
        <w:rPr>
          <w:sz w:val="26"/>
          <w:szCs w:val="26"/>
        </w:rPr>
        <w:t xml:space="preserve"> </w:t>
      </w:r>
      <w:r w:rsidR="00D70CC9" w:rsidRPr="00D70CC9">
        <w:rPr>
          <w:i/>
          <w:sz w:val="26"/>
          <w:szCs w:val="26"/>
        </w:rPr>
        <w:t>See</w:t>
      </w:r>
      <w:r w:rsidR="00D70CC9">
        <w:rPr>
          <w:sz w:val="26"/>
          <w:szCs w:val="26"/>
        </w:rPr>
        <w:t xml:space="preserve"> </w:t>
      </w:r>
      <w:r>
        <w:rPr>
          <w:sz w:val="26"/>
          <w:szCs w:val="26"/>
        </w:rPr>
        <w:t>I.D. at 12.  S</w:t>
      </w:r>
      <w:r w:rsidR="00791EDE" w:rsidRPr="00791EDE">
        <w:rPr>
          <w:sz w:val="26"/>
          <w:szCs w:val="26"/>
        </w:rPr>
        <w:t xml:space="preserve">ince the </w:t>
      </w:r>
      <w:r>
        <w:rPr>
          <w:sz w:val="26"/>
          <w:szCs w:val="26"/>
        </w:rPr>
        <w:t>C</w:t>
      </w:r>
      <w:r w:rsidR="00791EDE" w:rsidRPr="00791EDE">
        <w:rPr>
          <w:sz w:val="26"/>
          <w:szCs w:val="26"/>
        </w:rPr>
        <w:t>omplaint in this case raise</w:t>
      </w:r>
      <w:r w:rsidR="00D70CC9">
        <w:rPr>
          <w:sz w:val="26"/>
          <w:szCs w:val="26"/>
        </w:rPr>
        <w:t>d</w:t>
      </w:r>
      <w:r w:rsidR="00791EDE" w:rsidRPr="00791EDE">
        <w:rPr>
          <w:sz w:val="26"/>
          <w:szCs w:val="26"/>
        </w:rPr>
        <w:t xml:space="preserve"> </w:t>
      </w:r>
      <w:r w:rsidR="00791EDE" w:rsidRPr="00791EDE">
        <w:rPr>
          <w:sz w:val="26"/>
          <w:szCs w:val="26"/>
        </w:rPr>
        <w:lastRenderedPageBreak/>
        <w:t xml:space="preserve">similar issues to those raised in the complaint in </w:t>
      </w:r>
      <w:r w:rsidR="00791EDE" w:rsidRPr="00457195">
        <w:rPr>
          <w:i/>
          <w:sz w:val="26"/>
          <w:szCs w:val="26"/>
        </w:rPr>
        <w:t>Lightsey</w:t>
      </w:r>
      <w:r w:rsidR="00791EDE" w:rsidRPr="00791EDE">
        <w:rPr>
          <w:sz w:val="26"/>
          <w:szCs w:val="26"/>
        </w:rPr>
        <w:t xml:space="preserve">, </w:t>
      </w:r>
      <w:r>
        <w:rPr>
          <w:sz w:val="26"/>
          <w:szCs w:val="26"/>
        </w:rPr>
        <w:t xml:space="preserve">the ALJ found </w:t>
      </w:r>
      <w:r w:rsidR="00791EDE" w:rsidRPr="00791EDE">
        <w:rPr>
          <w:sz w:val="26"/>
          <w:szCs w:val="26"/>
        </w:rPr>
        <w:t xml:space="preserve">the decision in </w:t>
      </w:r>
      <w:r w:rsidR="00791EDE" w:rsidRPr="00457195">
        <w:rPr>
          <w:i/>
          <w:sz w:val="26"/>
          <w:szCs w:val="26"/>
        </w:rPr>
        <w:t>Lightsey</w:t>
      </w:r>
      <w:r w:rsidR="00791EDE" w:rsidRPr="00791EDE">
        <w:rPr>
          <w:sz w:val="26"/>
          <w:szCs w:val="26"/>
        </w:rPr>
        <w:t xml:space="preserve"> to be more persuasive than the decisions in </w:t>
      </w:r>
      <w:r w:rsidR="00791EDE" w:rsidRPr="00457195">
        <w:rPr>
          <w:i/>
          <w:sz w:val="26"/>
          <w:szCs w:val="26"/>
        </w:rPr>
        <w:t>Carlock</w:t>
      </w:r>
      <w:r w:rsidR="00791EDE" w:rsidRPr="00791EDE">
        <w:rPr>
          <w:sz w:val="26"/>
          <w:szCs w:val="26"/>
        </w:rPr>
        <w:t xml:space="preserve">, </w:t>
      </w:r>
      <w:r w:rsidR="00791EDE" w:rsidRPr="00457195">
        <w:rPr>
          <w:i/>
          <w:sz w:val="26"/>
          <w:szCs w:val="26"/>
        </w:rPr>
        <w:t>Brown</w:t>
      </w:r>
      <w:r w:rsidR="00791EDE" w:rsidRPr="00791EDE">
        <w:rPr>
          <w:sz w:val="26"/>
          <w:szCs w:val="26"/>
        </w:rPr>
        <w:t xml:space="preserve">, and </w:t>
      </w:r>
      <w:r w:rsidR="00791EDE" w:rsidRPr="00457195">
        <w:rPr>
          <w:i/>
          <w:sz w:val="26"/>
          <w:szCs w:val="26"/>
        </w:rPr>
        <w:t>Richmond</w:t>
      </w:r>
      <w:r w:rsidR="00791EDE" w:rsidRPr="00791EDE">
        <w:rPr>
          <w:sz w:val="26"/>
          <w:szCs w:val="26"/>
        </w:rPr>
        <w:t xml:space="preserve">. </w:t>
      </w:r>
      <w:r w:rsidR="00D70CC9">
        <w:rPr>
          <w:sz w:val="26"/>
          <w:szCs w:val="26"/>
        </w:rPr>
        <w:t xml:space="preserve"> </w:t>
      </w:r>
      <w:r w:rsidR="00D70CC9" w:rsidRPr="00D70CC9">
        <w:rPr>
          <w:i/>
          <w:sz w:val="26"/>
          <w:szCs w:val="26"/>
        </w:rPr>
        <w:t xml:space="preserve">See </w:t>
      </w:r>
      <w:r w:rsidR="00D70CC9">
        <w:rPr>
          <w:sz w:val="26"/>
          <w:szCs w:val="26"/>
        </w:rPr>
        <w:t>I.D. at 12.</w:t>
      </w:r>
      <w:r>
        <w:rPr>
          <w:sz w:val="26"/>
          <w:szCs w:val="26"/>
        </w:rPr>
        <w:t xml:space="preserve"> </w:t>
      </w:r>
      <w:r w:rsidR="00D70CC9">
        <w:rPr>
          <w:sz w:val="26"/>
          <w:szCs w:val="26"/>
        </w:rPr>
        <w:t xml:space="preserve"> </w:t>
      </w:r>
      <w:r w:rsidR="00791EDE" w:rsidRPr="00791EDE">
        <w:rPr>
          <w:sz w:val="26"/>
          <w:szCs w:val="26"/>
        </w:rPr>
        <w:t xml:space="preserve">In these circumstances, </w:t>
      </w:r>
      <w:r w:rsidR="00A44A20">
        <w:rPr>
          <w:sz w:val="26"/>
          <w:szCs w:val="26"/>
        </w:rPr>
        <w:t xml:space="preserve">the ALJ explained, </w:t>
      </w:r>
      <w:r w:rsidR="00791EDE" w:rsidRPr="00791EDE">
        <w:rPr>
          <w:sz w:val="26"/>
          <w:szCs w:val="26"/>
        </w:rPr>
        <w:t>giving the Complainant the opportunity to explain his position at a hearing would be a fruitless exercise.</w:t>
      </w:r>
      <w:r w:rsidR="00A44A20">
        <w:rPr>
          <w:sz w:val="26"/>
          <w:szCs w:val="26"/>
        </w:rPr>
        <w:t xml:space="preserve">  </w:t>
      </w:r>
      <w:r w:rsidR="00D70CC9" w:rsidRPr="00D70CC9">
        <w:rPr>
          <w:i/>
          <w:sz w:val="26"/>
          <w:szCs w:val="26"/>
        </w:rPr>
        <w:t>See</w:t>
      </w:r>
      <w:r w:rsidR="00D70CC9">
        <w:rPr>
          <w:sz w:val="26"/>
          <w:szCs w:val="26"/>
        </w:rPr>
        <w:t xml:space="preserve"> </w:t>
      </w:r>
      <w:r w:rsidR="00A44A20">
        <w:rPr>
          <w:sz w:val="26"/>
          <w:szCs w:val="26"/>
        </w:rPr>
        <w:t>I.D. at</w:t>
      </w:r>
      <w:r w:rsidR="00C730EA">
        <w:rPr>
          <w:sz w:val="26"/>
          <w:szCs w:val="26"/>
        </w:rPr>
        <w:t> </w:t>
      </w:r>
      <w:r w:rsidR="00A44A20">
        <w:rPr>
          <w:sz w:val="26"/>
          <w:szCs w:val="26"/>
        </w:rPr>
        <w:t>12.</w:t>
      </w:r>
    </w:p>
    <w:p w:rsidR="00A44A20" w:rsidRDefault="00A44A20" w:rsidP="000C3A70">
      <w:pPr>
        <w:pStyle w:val="Default"/>
        <w:spacing w:line="360" w:lineRule="auto"/>
        <w:ind w:firstLine="1440"/>
        <w:contextualSpacing/>
        <w:rPr>
          <w:sz w:val="26"/>
          <w:szCs w:val="26"/>
        </w:rPr>
      </w:pPr>
    </w:p>
    <w:p w:rsidR="00A44A20" w:rsidRPr="00A44A20" w:rsidRDefault="00C730EA" w:rsidP="000C3A70">
      <w:pPr>
        <w:pStyle w:val="Default"/>
        <w:spacing w:line="360" w:lineRule="auto"/>
        <w:ind w:firstLine="1440"/>
        <w:contextualSpacing/>
        <w:rPr>
          <w:sz w:val="26"/>
          <w:szCs w:val="26"/>
        </w:rPr>
      </w:pPr>
      <w:r>
        <w:rPr>
          <w:sz w:val="26"/>
          <w:szCs w:val="26"/>
        </w:rPr>
        <w:t xml:space="preserve">ALJ Salapa </w:t>
      </w:r>
      <w:r w:rsidR="00D70CC9">
        <w:rPr>
          <w:sz w:val="26"/>
          <w:szCs w:val="26"/>
        </w:rPr>
        <w:t xml:space="preserve">concluded with </w:t>
      </w:r>
      <w:r>
        <w:rPr>
          <w:sz w:val="26"/>
          <w:szCs w:val="26"/>
        </w:rPr>
        <w:t xml:space="preserve">his </w:t>
      </w:r>
      <w:r w:rsidR="00A44A20" w:rsidRPr="00A44A20">
        <w:rPr>
          <w:sz w:val="26"/>
          <w:szCs w:val="26"/>
        </w:rPr>
        <w:t>finding</w:t>
      </w:r>
      <w:r w:rsidR="00D70CC9">
        <w:rPr>
          <w:sz w:val="26"/>
          <w:szCs w:val="26"/>
        </w:rPr>
        <w:t xml:space="preserve"> that</w:t>
      </w:r>
      <w:r w:rsidR="00A44A20" w:rsidRPr="00A44A20">
        <w:rPr>
          <w:sz w:val="26"/>
          <w:szCs w:val="26"/>
        </w:rPr>
        <w:t xml:space="preserve"> the Complaint</w:t>
      </w:r>
      <w:r w:rsidR="00D70CC9">
        <w:rPr>
          <w:sz w:val="26"/>
          <w:szCs w:val="26"/>
        </w:rPr>
        <w:t xml:space="preserve"> is</w:t>
      </w:r>
      <w:r w:rsidR="00A44A20" w:rsidRPr="00A44A20">
        <w:rPr>
          <w:sz w:val="26"/>
          <w:szCs w:val="26"/>
        </w:rPr>
        <w:t xml:space="preserve"> legally insufficient since it d</w:t>
      </w:r>
      <w:r w:rsidR="00D70CC9">
        <w:rPr>
          <w:sz w:val="26"/>
          <w:szCs w:val="26"/>
        </w:rPr>
        <w:t>id</w:t>
      </w:r>
      <w:r w:rsidR="00A44A20" w:rsidRPr="00A44A20">
        <w:rPr>
          <w:sz w:val="26"/>
          <w:szCs w:val="26"/>
        </w:rPr>
        <w:t xml:space="preserve"> not set forth any violation of a Commission </w:t>
      </w:r>
      <w:r w:rsidR="007029AC">
        <w:rPr>
          <w:sz w:val="26"/>
          <w:szCs w:val="26"/>
        </w:rPr>
        <w:t>statute, Regulation</w:t>
      </w:r>
      <w:r w:rsidR="00D70CC9">
        <w:rPr>
          <w:sz w:val="26"/>
          <w:szCs w:val="26"/>
        </w:rPr>
        <w:t xml:space="preserve"> or </w:t>
      </w:r>
      <w:r w:rsidR="007029AC">
        <w:rPr>
          <w:sz w:val="26"/>
          <w:szCs w:val="26"/>
        </w:rPr>
        <w:t>O</w:t>
      </w:r>
      <w:r w:rsidR="00D70CC9">
        <w:rPr>
          <w:sz w:val="26"/>
          <w:szCs w:val="26"/>
        </w:rPr>
        <w:t>rder, and</w:t>
      </w:r>
      <w:r w:rsidR="00A44A20" w:rsidRPr="00A44A20">
        <w:rPr>
          <w:sz w:val="26"/>
          <w:szCs w:val="26"/>
        </w:rPr>
        <w:t xml:space="preserve"> fail</w:t>
      </w:r>
      <w:r w:rsidR="00D70CC9">
        <w:rPr>
          <w:sz w:val="26"/>
          <w:szCs w:val="26"/>
        </w:rPr>
        <w:t>ed</w:t>
      </w:r>
      <w:r w:rsidR="00A44A20" w:rsidRPr="00A44A20">
        <w:rPr>
          <w:sz w:val="26"/>
          <w:szCs w:val="26"/>
        </w:rPr>
        <w:t xml:space="preserve"> to state a claim upon which relief can be granted. </w:t>
      </w:r>
      <w:r w:rsidR="00A44A20" w:rsidRPr="00A44A20">
        <w:rPr>
          <w:i/>
          <w:sz w:val="26"/>
          <w:szCs w:val="26"/>
        </w:rPr>
        <w:t xml:space="preserve"> </w:t>
      </w:r>
      <w:r w:rsidR="00A44A20" w:rsidRPr="00A44A20">
        <w:rPr>
          <w:sz w:val="26"/>
          <w:szCs w:val="26"/>
        </w:rPr>
        <w:t xml:space="preserve">Thus, the ALJ sustained </w:t>
      </w:r>
      <w:r w:rsidR="00D84F0D">
        <w:rPr>
          <w:sz w:val="26"/>
          <w:szCs w:val="26"/>
        </w:rPr>
        <w:t>PECO</w:t>
      </w:r>
      <w:r w:rsidR="00A44A20" w:rsidRPr="00A44A20">
        <w:rPr>
          <w:sz w:val="26"/>
          <w:szCs w:val="26"/>
        </w:rPr>
        <w:t xml:space="preserve">’s Preliminary Objection and dismissed the Complaint.  </w:t>
      </w:r>
      <w:r w:rsidR="00A44A20" w:rsidRPr="00A44A20">
        <w:rPr>
          <w:i/>
          <w:sz w:val="26"/>
          <w:szCs w:val="26"/>
        </w:rPr>
        <w:t>See</w:t>
      </w:r>
      <w:r w:rsidR="00A44A20" w:rsidRPr="00A44A20">
        <w:rPr>
          <w:sz w:val="26"/>
          <w:szCs w:val="26"/>
        </w:rPr>
        <w:t xml:space="preserve"> I.D. at 12; COL No. 4.</w:t>
      </w:r>
    </w:p>
    <w:p w:rsidR="00E34567" w:rsidRPr="00CA43A5" w:rsidRDefault="00E34567" w:rsidP="000C3A70">
      <w:pPr>
        <w:widowControl/>
        <w:spacing w:line="360" w:lineRule="auto"/>
        <w:contextualSpacing/>
        <w:rPr>
          <w:sz w:val="26"/>
          <w:szCs w:val="26"/>
        </w:rPr>
      </w:pPr>
    </w:p>
    <w:p w:rsidR="00CA43A5" w:rsidRDefault="00E34567" w:rsidP="000C3A70">
      <w:pPr>
        <w:keepNext/>
        <w:keepLines/>
        <w:widowControl/>
        <w:spacing w:line="360" w:lineRule="auto"/>
        <w:contextualSpacing/>
        <w:rPr>
          <w:b/>
          <w:sz w:val="26"/>
          <w:szCs w:val="26"/>
        </w:rPr>
      </w:pPr>
      <w:r>
        <w:rPr>
          <w:b/>
          <w:sz w:val="26"/>
          <w:szCs w:val="26"/>
        </w:rPr>
        <w:t>Exceptions and Replies to Exceptions</w:t>
      </w:r>
    </w:p>
    <w:p w:rsidR="00D457EC" w:rsidRDefault="00D457EC" w:rsidP="000C3A70">
      <w:pPr>
        <w:keepNext/>
        <w:keepLines/>
        <w:widowControl/>
        <w:spacing w:line="360" w:lineRule="auto"/>
        <w:contextualSpacing/>
        <w:rPr>
          <w:b/>
          <w:sz w:val="26"/>
          <w:szCs w:val="26"/>
        </w:rPr>
      </w:pPr>
    </w:p>
    <w:p w:rsidR="004D50F5" w:rsidRDefault="00B70D85" w:rsidP="000C3A70">
      <w:pPr>
        <w:widowControl/>
        <w:spacing w:line="360" w:lineRule="auto"/>
        <w:ind w:firstLine="1440"/>
        <w:contextualSpacing/>
        <w:rPr>
          <w:sz w:val="26"/>
          <w:szCs w:val="26"/>
        </w:rPr>
      </w:pPr>
      <w:r w:rsidRPr="00A75365">
        <w:rPr>
          <w:sz w:val="26"/>
          <w:szCs w:val="26"/>
        </w:rPr>
        <w:t>The Complainant’s Exceptions</w:t>
      </w:r>
      <w:r w:rsidR="00945E86">
        <w:rPr>
          <w:sz w:val="26"/>
          <w:szCs w:val="26"/>
        </w:rPr>
        <w:t xml:space="preserve"> </w:t>
      </w:r>
      <w:r w:rsidRPr="00A75365">
        <w:rPr>
          <w:sz w:val="26"/>
          <w:szCs w:val="26"/>
        </w:rPr>
        <w:t>consist of a single typewritten page in</w:t>
      </w:r>
      <w:r w:rsidR="00945E86">
        <w:rPr>
          <w:sz w:val="26"/>
          <w:szCs w:val="26"/>
        </w:rPr>
        <w:t xml:space="preserve"> which</w:t>
      </w:r>
      <w:r w:rsidRPr="00A75365">
        <w:rPr>
          <w:sz w:val="26"/>
          <w:szCs w:val="26"/>
        </w:rPr>
        <w:t xml:space="preserve"> he generally expresses h</w:t>
      </w:r>
      <w:r>
        <w:rPr>
          <w:sz w:val="26"/>
          <w:szCs w:val="26"/>
        </w:rPr>
        <w:t>is</w:t>
      </w:r>
      <w:r w:rsidRPr="00A75365">
        <w:rPr>
          <w:sz w:val="26"/>
          <w:szCs w:val="26"/>
        </w:rPr>
        <w:t xml:space="preserve"> disagreement with the ALJ’s ruling.</w:t>
      </w:r>
      <w:r w:rsidR="00945E86">
        <w:rPr>
          <w:sz w:val="26"/>
          <w:szCs w:val="26"/>
        </w:rPr>
        <w:t xml:space="preserve">  </w:t>
      </w:r>
      <w:r w:rsidR="004D50F5">
        <w:rPr>
          <w:sz w:val="26"/>
          <w:szCs w:val="26"/>
        </w:rPr>
        <w:t>In</w:t>
      </w:r>
      <w:r w:rsidR="00A44A20">
        <w:rPr>
          <w:sz w:val="26"/>
          <w:szCs w:val="26"/>
        </w:rPr>
        <w:t xml:space="preserve"> his</w:t>
      </w:r>
      <w:r w:rsidR="00E34567">
        <w:rPr>
          <w:sz w:val="26"/>
          <w:szCs w:val="26"/>
        </w:rPr>
        <w:t xml:space="preserve"> Exceptions,</w:t>
      </w:r>
      <w:r w:rsidR="00A44A20">
        <w:rPr>
          <w:sz w:val="26"/>
          <w:szCs w:val="26"/>
        </w:rPr>
        <w:t xml:space="preserve"> the Complainant state</w:t>
      </w:r>
      <w:r w:rsidR="00704C4A">
        <w:rPr>
          <w:sz w:val="26"/>
          <w:szCs w:val="26"/>
        </w:rPr>
        <w:t>s</w:t>
      </w:r>
      <w:r w:rsidR="00A44A20">
        <w:rPr>
          <w:sz w:val="26"/>
          <w:szCs w:val="26"/>
        </w:rPr>
        <w:t xml:space="preserve"> that PECO “transferred the tenants’ outstanding account balance of $1,718.14 which included a transfer balance from a previous location of $1,111.09.  The transferred balance WAS NOT paid off.”  The Complainant </w:t>
      </w:r>
      <w:r w:rsidR="006D4039">
        <w:rPr>
          <w:sz w:val="26"/>
          <w:szCs w:val="26"/>
        </w:rPr>
        <w:t xml:space="preserve">attached a document to the Exceptions, titled Account Activity Statement, which the Complainant </w:t>
      </w:r>
      <w:r w:rsidR="00A44A20">
        <w:rPr>
          <w:sz w:val="26"/>
          <w:szCs w:val="26"/>
        </w:rPr>
        <w:t>explain</w:t>
      </w:r>
      <w:r w:rsidR="00704C4A">
        <w:rPr>
          <w:sz w:val="26"/>
          <w:szCs w:val="26"/>
        </w:rPr>
        <w:t>s</w:t>
      </w:r>
      <w:r w:rsidR="006D4039">
        <w:rPr>
          <w:sz w:val="26"/>
          <w:szCs w:val="26"/>
        </w:rPr>
        <w:t xml:space="preserve"> was</w:t>
      </w:r>
      <w:r w:rsidR="00A44A20">
        <w:rPr>
          <w:sz w:val="26"/>
          <w:szCs w:val="26"/>
        </w:rPr>
        <w:t xml:space="preserve"> PECO’s Exhibit 1 attache</w:t>
      </w:r>
      <w:r w:rsidR="006D4039">
        <w:rPr>
          <w:sz w:val="26"/>
          <w:szCs w:val="26"/>
        </w:rPr>
        <w:t>d to PECO’s Answer in this case.  The Complainant asserts that, based on review of the attachment,</w:t>
      </w:r>
      <w:r w:rsidR="00A44A20">
        <w:rPr>
          <w:sz w:val="26"/>
          <w:szCs w:val="26"/>
        </w:rPr>
        <w:t xml:space="preserve"> it appears that the tenant had transferred a deb</w:t>
      </w:r>
      <w:r w:rsidR="0056074E">
        <w:rPr>
          <w:sz w:val="26"/>
          <w:szCs w:val="26"/>
        </w:rPr>
        <w:t>i</w:t>
      </w:r>
      <w:r w:rsidR="00A44A20">
        <w:rPr>
          <w:sz w:val="26"/>
          <w:szCs w:val="26"/>
        </w:rPr>
        <w:t xml:space="preserve">t on August 11, 2015, in the amount of $1,111.09, relating </w:t>
      </w:r>
      <w:r w:rsidR="006D4039">
        <w:rPr>
          <w:sz w:val="26"/>
          <w:szCs w:val="26"/>
        </w:rPr>
        <w:t xml:space="preserve">to service </w:t>
      </w:r>
      <w:r w:rsidR="00A44A20">
        <w:rPr>
          <w:sz w:val="26"/>
          <w:szCs w:val="26"/>
        </w:rPr>
        <w:t xml:space="preserve">not incurred at </w:t>
      </w:r>
      <w:r w:rsidR="0056074E">
        <w:rPr>
          <w:sz w:val="26"/>
          <w:szCs w:val="26"/>
        </w:rPr>
        <w:t>6</w:t>
      </w:r>
      <w:r w:rsidR="00A44A20">
        <w:rPr>
          <w:sz w:val="26"/>
          <w:szCs w:val="26"/>
        </w:rPr>
        <w:t>33 Andrews Avenue, 1</w:t>
      </w:r>
      <w:r w:rsidR="00A44A20" w:rsidRPr="00A44A20">
        <w:rPr>
          <w:sz w:val="26"/>
          <w:szCs w:val="26"/>
          <w:vertAlign w:val="superscript"/>
        </w:rPr>
        <w:t>st</w:t>
      </w:r>
      <w:r w:rsidR="00A44A20">
        <w:rPr>
          <w:sz w:val="26"/>
          <w:szCs w:val="26"/>
        </w:rPr>
        <w:t xml:space="preserve"> Floor.  </w:t>
      </w:r>
      <w:r w:rsidR="00704C4A">
        <w:rPr>
          <w:sz w:val="26"/>
          <w:szCs w:val="26"/>
        </w:rPr>
        <w:t xml:space="preserve">The Complainant states his tenants made six payments while they were at the premises, leaving a balance from their previous service address in the amount of $971.65.  </w:t>
      </w:r>
      <w:r w:rsidR="0056074E">
        <w:rPr>
          <w:sz w:val="26"/>
          <w:szCs w:val="26"/>
        </w:rPr>
        <w:t xml:space="preserve">The Complainant </w:t>
      </w:r>
      <w:r w:rsidR="00A44A20">
        <w:rPr>
          <w:sz w:val="26"/>
          <w:szCs w:val="26"/>
        </w:rPr>
        <w:t>assert</w:t>
      </w:r>
      <w:r w:rsidR="00704C4A">
        <w:rPr>
          <w:sz w:val="26"/>
          <w:szCs w:val="26"/>
        </w:rPr>
        <w:t>s</w:t>
      </w:r>
      <w:r w:rsidR="00A44A20">
        <w:rPr>
          <w:sz w:val="26"/>
          <w:szCs w:val="26"/>
        </w:rPr>
        <w:t xml:space="preserve"> that the outstanding account balance from 633 Andrews Avenue, 1</w:t>
      </w:r>
      <w:r w:rsidR="00A44A20" w:rsidRPr="00A44A20">
        <w:rPr>
          <w:sz w:val="26"/>
          <w:szCs w:val="26"/>
          <w:vertAlign w:val="superscript"/>
        </w:rPr>
        <w:t>st</w:t>
      </w:r>
      <w:r w:rsidR="00A44A20">
        <w:rPr>
          <w:sz w:val="26"/>
          <w:szCs w:val="26"/>
        </w:rPr>
        <w:t xml:space="preserve"> Floor, should be $746.49</w:t>
      </w:r>
      <w:r w:rsidR="007029AC">
        <w:rPr>
          <w:sz w:val="26"/>
          <w:szCs w:val="26"/>
        </w:rPr>
        <w:t>.  Exc. at 1.</w:t>
      </w:r>
    </w:p>
    <w:p w:rsidR="0056074E" w:rsidRDefault="0056074E" w:rsidP="000C3A70">
      <w:pPr>
        <w:widowControl/>
        <w:spacing w:line="360" w:lineRule="auto"/>
        <w:ind w:firstLine="1440"/>
        <w:contextualSpacing/>
        <w:rPr>
          <w:sz w:val="26"/>
          <w:szCs w:val="26"/>
        </w:rPr>
      </w:pPr>
    </w:p>
    <w:p w:rsidR="00704C4A" w:rsidRDefault="0056074E" w:rsidP="000C3A70">
      <w:pPr>
        <w:widowControl/>
        <w:spacing w:line="360" w:lineRule="auto"/>
        <w:ind w:firstLine="1440"/>
        <w:contextualSpacing/>
        <w:rPr>
          <w:sz w:val="26"/>
          <w:szCs w:val="26"/>
        </w:rPr>
      </w:pPr>
      <w:r>
        <w:rPr>
          <w:sz w:val="26"/>
          <w:szCs w:val="26"/>
        </w:rPr>
        <w:lastRenderedPageBreak/>
        <w:t xml:space="preserve">In </w:t>
      </w:r>
      <w:r w:rsidR="00312DC6">
        <w:rPr>
          <w:sz w:val="26"/>
          <w:szCs w:val="26"/>
        </w:rPr>
        <w:t xml:space="preserve">its </w:t>
      </w:r>
      <w:r>
        <w:rPr>
          <w:sz w:val="26"/>
          <w:szCs w:val="26"/>
        </w:rPr>
        <w:t>Replies to Exceptions, PECO</w:t>
      </w:r>
      <w:r w:rsidR="00704C4A">
        <w:rPr>
          <w:sz w:val="26"/>
          <w:szCs w:val="26"/>
        </w:rPr>
        <w:t xml:space="preserve"> asserts that the Commission should sustain the In</w:t>
      </w:r>
      <w:r w:rsidR="002524F6">
        <w:rPr>
          <w:sz w:val="26"/>
          <w:szCs w:val="26"/>
        </w:rPr>
        <w:t xml:space="preserve">itial Decision of ALJ Salapa.  </w:t>
      </w:r>
      <w:r w:rsidR="00704C4A">
        <w:rPr>
          <w:sz w:val="26"/>
          <w:szCs w:val="26"/>
        </w:rPr>
        <w:t xml:space="preserve">PECO asserts that ALJ Salapa’s Initial Decision is well-reasoned with ample support from the record.  As detailed in the Initial Decision, PECO asserts that the Complaint does not set forth that PECO violated any </w:t>
      </w:r>
      <w:r w:rsidR="00723580">
        <w:rPr>
          <w:sz w:val="26"/>
          <w:szCs w:val="26"/>
        </w:rPr>
        <w:t>statute or Commission R</w:t>
      </w:r>
      <w:r w:rsidR="00704C4A">
        <w:rPr>
          <w:sz w:val="26"/>
          <w:szCs w:val="26"/>
        </w:rPr>
        <w:t xml:space="preserve">egulation or </w:t>
      </w:r>
      <w:r w:rsidR="00723580">
        <w:rPr>
          <w:sz w:val="26"/>
          <w:szCs w:val="26"/>
        </w:rPr>
        <w:t>O</w:t>
      </w:r>
      <w:r w:rsidR="00704C4A">
        <w:rPr>
          <w:sz w:val="26"/>
          <w:szCs w:val="26"/>
        </w:rPr>
        <w:t>rder.  Rather, PECO avers that it complied with 66 Pa. C.S. §</w:t>
      </w:r>
      <w:r w:rsidR="007029AC">
        <w:rPr>
          <w:sz w:val="26"/>
          <w:szCs w:val="26"/>
        </w:rPr>
        <w:t> </w:t>
      </w:r>
      <w:r w:rsidR="00704C4A">
        <w:rPr>
          <w:sz w:val="26"/>
          <w:szCs w:val="26"/>
        </w:rPr>
        <w:t xml:space="preserve">1529.1 by transferring the service and the balance into the property owner’s, here the Complainant’s, name until the condition is corrected.  </w:t>
      </w:r>
      <w:r w:rsidR="00704C4A" w:rsidRPr="00945E86">
        <w:rPr>
          <w:sz w:val="26"/>
          <w:szCs w:val="26"/>
        </w:rPr>
        <w:t>R. Exc.</w:t>
      </w:r>
      <w:r w:rsidR="00704C4A">
        <w:rPr>
          <w:sz w:val="26"/>
          <w:szCs w:val="26"/>
        </w:rPr>
        <w:t xml:space="preserve"> at 2.</w:t>
      </w:r>
    </w:p>
    <w:p w:rsidR="00704C4A" w:rsidRDefault="00704C4A" w:rsidP="000C3A70">
      <w:pPr>
        <w:widowControl/>
        <w:spacing w:line="360" w:lineRule="auto"/>
        <w:ind w:firstLine="1440"/>
        <w:contextualSpacing/>
        <w:rPr>
          <w:sz w:val="26"/>
          <w:szCs w:val="26"/>
        </w:rPr>
      </w:pPr>
    </w:p>
    <w:p w:rsidR="006D4039" w:rsidRDefault="006D4039" w:rsidP="000C3A70">
      <w:pPr>
        <w:widowControl/>
        <w:spacing w:line="360" w:lineRule="auto"/>
        <w:ind w:firstLine="1440"/>
        <w:contextualSpacing/>
        <w:rPr>
          <w:sz w:val="26"/>
          <w:szCs w:val="26"/>
        </w:rPr>
      </w:pPr>
      <w:r>
        <w:rPr>
          <w:sz w:val="26"/>
          <w:szCs w:val="26"/>
        </w:rPr>
        <w:t>PECO asserts that the Complainant did not raise the tenant’s previous service address balance issue in his Complaint but is raising the issue for the first time in his Exceptions.  R. Exc. at 2.  PECO asserts that the Complain</w:t>
      </w:r>
      <w:r w:rsidR="00A77968">
        <w:rPr>
          <w:sz w:val="26"/>
          <w:szCs w:val="26"/>
        </w:rPr>
        <w:t>ant</w:t>
      </w:r>
      <w:r>
        <w:rPr>
          <w:sz w:val="26"/>
          <w:szCs w:val="26"/>
        </w:rPr>
        <w:t xml:space="preserve"> admitted that Complainant owned the rental property and that there was a foreign wiring condition found, but the Complain</w:t>
      </w:r>
      <w:r w:rsidR="00A77968">
        <w:rPr>
          <w:sz w:val="26"/>
          <w:szCs w:val="26"/>
        </w:rPr>
        <w:t>an</w:t>
      </w:r>
      <w:r>
        <w:rPr>
          <w:sz w:val="26"/>
          <w:szCs w:val="26"/>
        </w:rPr>
        <w:t xml:space="preserve">t averred that the condition was a part of a lease agreement between the parties, and in any event, the cost associated with the foreign load was </w:t>
      </w:r>
      <w:r w:rsidRPr="006D4039">
        <w:rPr>
          <w:i/>
          <w:sz w:val="26"/>
          <w:szCs w:val="26"/>
        </w:rPr>
        <w:t>de minimus</w:t>
      </w:r>
      <w:r>
        <w:rPr>
          <w:sz w:val="26"/>
          <w:szCs w:val="26"/>
        </w:rPr>
        <w:t xml:space="preserve">.  </w:t>
      </w:r>
      <w:r w:rsidR="00D13756">
        <w:rPr>
          <w:sz w:val="26"/>
          <w:szCs w:val="26"/>
        </w:rPr>
        <w:t>R. Exc. at 2-</w:t>
      </w:r>
      <w:r w:rsidRPr="00945E86">
        <w:rPr>
          <w:sz w:val="26"/>
          <w:szCs w:val="26"/>
        </w:rPr>
        <w:t>3</w:t>
      </w:r>
      <w:r>
        <w:rPr>
          <w:sz w:val="26"/>
          <w:szCs w:val="26"/>
        </w:rPr>
        <w:t xml:space="preserve">.  PECO </w:t>
      </w:r>
      <w:r w:rsidR="007029AC">
        <w:rPr>
          <w:sz w:val="26"/>
          <w:szCs w:val="26"/>
        </w:rPr>
        <w:t xml:space="preserve">contends </w:t>
      </w:r>
      <w:r>
        <w:rPr>
          <w:sz w:val="26"/>
          <w:szCs w:val="26"/>
        </w:rPr>
        <w:t xml:space="preserve">that the Complainant cannot now raise additional issues that were not plead in the Complaint.  </w:t>
      </w:r>
      <w:r w:rsidRPr="00945E86">
        <w:rPr>
          <w:sz w:val="26"/>
          <w:szCs w:val="26"/>
        </w:rPr>
        <w:t>R. Exc.</w:t>
      </w:r>
      <w:r>
        <w:rPr>
          <w:sz w:val="26"/>
          <w:szCs w:val="26"/>
        </w:rPr>
        <w:t xml:space="preserve"> at 3.  In any event, PECO argues that it transferred the amount of usage charges the tenants incurred while at the service address, and the Complainant was never held responsible for usage charges from his tenant’s prior address.  </w:t>
      </w:r>
      <w:r w:rsidRPr="00945E86">
        <w:rPr>
          <w:sz w:val="26"/>
          <w:szCs w:val="26"/>
        </w:rPr>
        <w:t>R. Exc. at 3.</w:t>
      </w:r>
      <w:r>
        <w:rPr>
          <w:sz w:val="26"/>
          <w:szCs w:val="26"/>
        </w:rPr>
        <w:t xml:space="preserve">  While residing at the Complainant’s rental property, his tenant incurred $2,059.58 in electric usage charges between July 6, 2015 and August</w:t>
      </w:r>
      <w:r w:rsidR="00CB1D48">
        <w:rPr>
          <w:sz w:val="26"/>
          <w:szCs w:val="26"/>
        </w:rPr>
        <w:t> </w:t>
      </w:r>
      <w:r>
        <w:rPr>
          <w:sz w:val="26"/>
          <w:szCs w:val="26"/>
        </w:rPr>
        <w:t xml:space="preserve">9, 2016 (the date foreign wiring was found).  </w:t>
      </w:r>
      <w:r w:rsidRPr="00945E86">
        <w:rPr>
          <w:sz w:val="26"/>
          <w:szCs w:val="26"/>
        </w:rPr>
        <w:t>R. Exc. at 3</w:t>
      </w:r>
      <w:r>
        <w:rPr>
          <w:sz w:val="26"/>
          <w:szCs w:val="26"/>
        </w:rPr>
        <w:t xml:space="preserve">, citing to the Account Activity Statement, attached to Complainant’s Exceptions.  When PECO discovered the presence of a foreign load on August 9, 2016, it transferred the $1,718.14 balance on the tenant’s account to the Complainant.  This amount is less than the usage charges his tenant incurred while living at the premises.  Further, while residing at the property, the Complainant’s </w:t>
      </w:r>
      <w:r w:rsidR="009325FC">
        <w:rPr>
          <w:sz w:val="26"/>
          <w:szCs w:val="26"/>
        </w:rPr>
        <w:t xml:space="preserve">tenant </w:t>
      </w:r>
      <w:r>
        <w:rPr>
          <w:sz w:val="26"/>
          <w:szCs w:val="26"/>
        </w:rPr>
        <w:t xml:space="preserve">paid a total of $1,290.44 in payments between the period August 10, 2015, through June 13, 2016.  </w:t>
      </w:r>
      <w:r w:rsidR="006F703A">
        <w:rPr>
          <w:sz w:val="26"/>
          <w:szCs w:val="26"/>
        </w:rPr>
        <w:t xml:space="preserve">R. Exc. at 3.  </w:t>
      </w:r>
      <w:r>
        <w:rPr>
          <w:sz w:val="26"/>
          <w:szCs w:val="26"/>
        </w:rPr>
        <w:t xml:space="preserve">Accordingly, these payments satisfied the $1,111.09 balance transferred from the tenant’s previous service </w:t>
      </w:r>
      <w:r>
        <w:rPr>
          <w:sz w:val="26"/>
          <w:szCs w:val="26"/>
        </w:rPr>
        <w:lastRenderedPageBreak/>
        <w:t>address.  R. Exc. at 3, citing Account Activity Statement, attach</w:t>
      </w:r>
      <w:r w:rsidR="00AF083F">
        <w:rPr>
          <w:sz w:val="26"/>
          <w:szCs w:val="26"/>
        </w:rPr>
        <w:t>ed to Complainant’s Exceptions.</w:t>
      </w:r>
    </w:p>
    <w:p w:rsidR="006F703A" w:rsidRDefault="006F703A" w:rsidP="000C3A70">
      <w:pPr>
        <w:widowControl/>
        <w:spacing w:line="360" w:lineRule="auto"/>
        <w:ind w:firstLine="1440"/>
        <w:contextualSpacing/>
        <w:rPr>
          <w:sz w:val="26"/>
          <w:szCs w:val="26"/>
        </w:rPr>
      </w:pPr>
    </w:p>
    <w:p w:rsidR="006F703A" w:rsidRDefault="006F703A" w:rsidP="000C3A70">
      <w:pPr>
        <w:widowControl/>
        <w:spacing w:line="360" w:lineRule="auto"/>
        <w:ind w:firstLine="1440"/>
        <w:contextualSpacing/>
        <w:rPr>
          <w:sz w:val="26"/>
          <w:szCs w:val="26"/>
        </w:rPr>
      </w:pPr>
      <w:r>
        <w:rPr>
          <w:sz w:val="26"/>
          <w:szCs w:val="26"/>
        </w:rPr>
        <w:t xml:space="preserve">PECO </w:t>
      </w:r>
      <w:r w:rsidR="007029AC">
        <w:rPr>
          <w:sz w:val="26"/>
          <w:szCs w:val="26"/>
        </w:rPr>
        <w:t>avers</w:t>
      </w:r>
      <w:r>
        <w:rPr>
          <w:sz w:val="26"/>
          <w:szCs w:val="26"/>
        </w:rPr>
        <w:t xml:space="preserve"> that it properly transferred the utility account of the tenant, including arrearages, to the Complainant’s name.  R. Exc. at 3, citing 66 Pa. C.S. §</w:t>
      </w:r>
      <w:r w:rsidR="00CB1D48">
        <w:rPr>
          <w:sz w:val="26"/>
          <w:szCs w:val="26"/>
        </w:rPr>
        <w:t> </w:t>
      </w:r>
      <w:r>
        <w:rPr>
          <w:sz w:val="26"/>
          <w:szCs w:val="26"/>
        </w:rPr>
        <w:t xml:space="preserve">1529.1, </w:t>
      </w:r>
      <w:r w:rsidRPr="006F703A">
        <w:rPr>
          <w:i/>
          <w:sz w:val="26"/>
          <w:szCs w:val="26"/>
        </w:rPr>
        <w:t>Kopf</w:t>
      </w:r>
      <w:r>
        <w:rPr>
          <w:sz w:val="26"/>
          <w:szCs w:val="26"/>
        </w:rPr>
        <w:t xml:space="preserve">.  PECO </w:t>
      </w:r>
      <w:r w:rsidR="007029AC">
        <w:rPr>
          <w:sz w:val="26"/>
          <w:szCs w:val="26"/>
        </w:rPr>
        <w:t>contends</w:t>
      </w:r>
      <w:r>
        <w:rPr>
          <w:sz w:val="26"/>
          <w:szCs w:val="26"/>
        </w:rPr>
        <w:t xml:space="preserve"> that its action</w:t>
      </w:r>
      <w:r w:rsidR="00A77968">
        <w:rPr>
          <w:sz w:val="26"/>
          <w:szCs w:val="26"/>
        </w:rPr>
        <w:t>s</w:t>
      </w:r>
      <w:r>
        <w:rPr>
          <w:sz w:val="26"/>
          <w:szCs w:val="26"/>
        </w:rPr>
        <w:t xml:space="preserve"> in this matter are consistent with Pennsylvania law</w:t>
      </w:r>
      <w:r w:rsidR="007029AC">
        <w:rPr>
          <w:sz w:val="26"/>
          <w:szCs w:val="26"/>
        </w:rPr>
        <w:t xml:space="preserve"> and that </w:t>
      </w:r>
      <w:r>
        <w:rPr>
          <w:sz w:val="26"/>
          <w:szCs w:val="26"/>
        </w:rPr>
        <w:t xml:space="preserve">the record clearly demonstrates that the issue of foreign wiring and the balance transfer at the Complainant’s rental property has been properly decided and dismissed by the ALJ.  R. Exc. at 3.  </w:t>
      </w:r>
      <w:r w:rsidR="00E35BAA">
        <w:rPr>
          <w:sz w:val="26"/>
          <w:szCs w:val="26"/>
        </w:rPr>
        <w:t>PECO submits that</w:t>
      </w:r>
      <w:r w:rsidR="00945E86">
        <w:rPr>
          <w:sz w:val="26"/>
          <w:szCs w:val="26"/>
        </w:rPr>
        <w:t xml:space="preserve"> </w:t>
      </w:r>
      <w:r w:rsidR="00E35BAA">
        <w:rPr>
          <w:sz w:val="26"/>
          <w:szCs w:val="26"/>
        </w:rPr>
        <w:t>t</w:t>
      </w:r>
      <w:r>
        <w:rPr>
          <w:sz w:val="26"/>
          <w:szCs w:val="26"/>
        </w:rPr>
        <w:t xml:space="preserve">o the extent any dispute regarding the financial responsibility of the parties exist, including balances arising from previous addresses, this is a matter to be resolved in the Court of Common Pleas as it is outside the Commission’s jurisdiction.  R. Exc. at 3-4, citing </w:t>
      </w:r>
      <w:r w:rsidRPr="006F703A">
        <w:rPr>
          <w:i/>
          <w:sz w:val="26"/>
          <w:szCs w:val="26"/>
        </w:rPr>
        <w:t>Corazzini</w:t>
      </w:r>
      <w:r w:rsidR="000643D1">
        <w:rPr>
          <w:sz w:val="26"/>
          <w:szCs w:val="26"/>
        </w:rPr>
        <w:t>.</w:t>
      </w:r>
    </w:p>
    <w:p w:rsidR="000643D1" w:rsidRDefault="000643D1" w:rsidP="000C3A70">
      <w:pPr>
        <w:widowControl/>
        <w:spacing w:line="360" w:lineRule="auto"/>
        <w:ind w:firstLine="1440"/>
        <w:contextualSpacing/>
        <w:rPr>
          <w:sz w:val="26"/>
          <w:szCs w:val="26"/>
        </w:rPr>
      </w:pPr>
    </w:p>
    <w:p w:rsidR="000643D1" w:rsidRDefault="000643D1" w:rsidP="000C3A70">
      <w:pPr>
        <w:widowControl/>
        <w:spacing w:line="360" w:lineRule="auto"/>
        <w:ind w:firstLine="1440"/>
        <w:contextualSpacing/>
        <w:rPr>
          <w:sz w:val="26"/>
          <w:szCs w:val="26"/>
        </w:rPr>
      </w:pPr>
      <w:r>
        <w:rPr>
          <w:sz w:val="26"/>
          <w:szCs w:val="26"/>
        </w:rPr>
        <w:t xml:space="preserve">PECO </w:t>
      </w:r>
      <w:r w:rsidR="00CB1D48">
        <w:rPr>
          <w:sz w:val="26"/>
          <w:szCs w:val="26"/>
        </w:rPr>
        <w:t>a</w:t>
      </w:r>
      <w:r>
        <w:rPr>
          <w:sz w:val="26"/>
          <w:szCs w:val="26"/>
        </w:rPr>
        <w:t>ssert</w:t>
      </w:r>
      <w:r w:rsidR="00CB1D48">
        <w:rPr>
          <w:sz w:val="26"/>
          <w:szCs w:val="26"/>
        </w:rPr>
        <w:t xml:space="preserve">s </w:t>
      </w:r>
      <w:r>
        <w:rPr>
          <w:sz w:val="26"/>
          <w:szCs w:val="26"/>
        </w:rPr>
        <w:t>that ALJ Salapa correctly concluded that the Complainant’s case should be dismissed as the Complaint failed to state a claim upon which relief can be granted.  Accordingly, PECO argues, ALJ Salapa’s decision to dismiss the Complainant’s case a</w:t>
      </w:r>
      <w:r w:rsidR="002524F6">
        <w:rPr>
          <w:sz w:val="26"/>
          <w:szCs w:val="26"/>
        </w:rPr>
        <w:t xml:space="preserve">gainst PECO should be upheld.  </w:t>
      </w:r>
      <w:r>
        <w:rPr>
          <w:sz w:val="26"/>
          <w:szCs w:val="26"/>
        </w:rPr>
        <w:t>PECO requests that the Commission deny the Exceptions and issue an Order upholding the Initial Decision in its entirety.  R. Exc. at 4.</w:t>
      </w:r>
    </w:p>
    <w:p w:rsidR="004D50F5" w:rsidRPr="007B531E" w:rsidRDefault="004D50F5" w:rsidP="000C3A70">
      <w:pPr>
        <w:widowControl/>
        <w:spacing w:line="360" w:lineRule="auto"/>
        <w:ind w:firstLine="1440"/>
        <w:contextualSpacing/>
        <w:rPr>
          <w:sz w:val="26"/>
          <w:szCs w:val="26"/>
        </w:rPr>
      </w:pPr>
    </w:p>
    <w:p w:rsidR="00006F35" w:rsidRPr="007B531E" w:rsidRDefault="00006F35" w:rsidP="000C3A70">
      <w:pPr>
        <w:keepNext/>
        <w:keepLines/>
        <w:widowControl/>
        <w:spacing w:line="360" w:lineRule="auto"/>
        <w:contextualSpacing/>
        <w:rPr>
          <w:b/>
          <w:sz w:val="26"/>
          <w:szCs w:val="26"/>
        </w:rPr>
      </w:pPr>
      <w:r w:rsidRPr="000643D1">
        <w:rPr>
          <w:b/>
          <w:sz w:val="26"/>
          <w:szCs w:val="26"/>
        </w:rPr>
        <w:t>Disposition</w:t>
      </w:r>
    </w:p>
    <w:p w:rsidR="00006F35" w:rsidRPr="007B531E" w:rsidRDefault="00006F35" w:rsidP="000C3A70">
      <w:pPr>
        <w:keepNext/>
        <w:keepLines/>
        <w:widowControl/>
        <w:spacing w:line="360" w:lineRule="auto"/>
        <w:contextualSpacing/>
        <w:rPr>
          <w:b/>
          <w:sz w:val="26"/>
          <w:szCs w:val="26"/>
        </w:rPr>
      </w:pPr>
    </w:p>
    <w:p w:rsidR="000017A1" w:rsidRDefault="00490877" w:rsidP="000C3A70">
      <w:pPr>
        <w:widowControl/>
        <w:spacing w:line="360" w:lineRule="auto"/>
        <w:ind w:firstLine="1440"/>
        <w:contextualSpacing/>
        <w:rPr>
          <w:sz w:val="26"/>
          <w:szCs w:val="26"/>
        </w:rPr>
      </w:pPr>
      <w:bookmarkStart w:id="7" w:name="_Hlk505935826"/>
      <w:r w:rsidRPr="00625B2B">
        <w:rPr>
          <w:sz w:val="26"/>
          <w:szCs w:val="26"/>
        </w:rPr>
        <w:t xml:space="preserve">As stated above, </w:t>
      </w:r>
      <w:r w:rsidR="000643D1">
        <w:rPr>
          <w:sz w:val="26"/>
          <w:szCs w:val="26"/>
        </w:rPr>
        <w:t>Preliminary Objections</w:t>
      </w:r>
      <w:r w:rsidR="000017A1" w:rsidRPr="000017A1">
        <w:rPr>
          <w:sz w:val="26"/>
          <w:szCs w:val="26"/>
        </w:rPr>
        <w:t xml:space="preserve"> </w:t>
      </w:r>
      <w:r w:rsidR="000017A1" w:rsidRPr="006824C2">
        <w:rPr>
          <w:sz w:val="26"/>
          <w:szCs w:val="26"/>
        </w:rPr>
        <w:t>will be granted only where the right to relief is clearly</w:t>
      </w:r>
      <w:r w:rsidR="000017A1">
        <w:rPr>
          <w:sz w:val="26"/>
          <w:szCs w:val="26"/>
        </w:rPr>
        <w:t xml:space="preserve"> warranted and free from doubt.  </w:t>
      </w:r>
      <w:r w:rsidR="000017A1" w:rsidRPr="006824C2">
        <w:rPr>
          <w:sz w:val="26"/>
          <w:szCs w:val="26"/>
        </w:rPr>
        <w:t>The Commission may not rely upon the factual assertions of the moving party but must accept as true for purposes of disposing of the motion, all well</w:t>
      </w:r>
      <w:r w:rsidR="000017A1">
        <w:rPr>
          <w:sz w:val="26"/>
          <w:szCs w:val="26"/>
        </w:rPr>
        <w:t>-</w:t>
      </w:r>
      <w:r w:rsidR="000017A1" w:rsidRPr="006824C2">
        <w:rPr>
          <w:sz w:val="26"/>
          <w:szCs w:val="26"/>
        </w:rPr>
        <w:t>pleaded, material facts of the nonmoving party, as well as every inference from those facts</w:t>
      </w:r>
      <w:r w:rsidR="00AE5C93">
        <w:rPr>
          <w:sz w:val="26"/>
          <w:szCs w:val="26"/>
        </w:rPr>
        <w:t xml:space="preserve">.  </w:t>
      </w:r>
      <w:r w:rsidR="000017A1">
        <w:rPr>
          <w:sz w:val="26"/>
          <w:szCs w:val="26"/>
        </w:rPr>
        <w:t>Thus, the Commission must view the C</w:t>
      </w:r>
      <w:r w:rsidR="000017A1" w:rsidRPr="006824C2">
        <w:rPr>
          <w:sz w:val="26"/>
          <w:szCs w:val="26"/>
        </w:rPr>
        <w:t>omplaint in this case in the light most favorable to the Comp</w:t>
      </w:r>
      <w:r w:rsidR="000017A1">
        <w:rPr>
          <w:sz w:val="26"/>
          <w:szCs w:val="26"/>
        </w:rPr>
        <w:t>lainant and should dismiss the C</w:t>
      </w:r>
      <w:r w:rsidR="000017A1" w:rsidRPr="006824C2">
        <w:rPr>
          <w:sz w:val="26"/>
          <w:szCs w:val="26"/>
        </w:rPr>
        <w:t>omplaint only if it appears that the Complainant would not be entitled to relief under any ci</w:t>
      </w:r>
      <w:r w:rsidR="00AF083F">
        <w:rPr>
          <w:sz w:val="26"/>
          <w:szCs w:val="26"/>
        </w:rPr>
        <w:t>rcumstances as a matter of law.</w:t>
      </w:r>
    </w:p>
    <w:p w:rsidR="002524F6" w:rsidRDefault="002524F6" w:rsidP="000C3A70">
      <w:pPr>
        <w:widowControl/>
        <w:spacing w:line="360" w:lineRule="auto"/>
        <w:contextualSpacing/>
        <w:rPr>
          <w:sz w:val="26"/>
          <w:szCs w:val="26"/>
        </w:rPr>
      </w:pPr>
    </w:p>
    <w:p w:rsidR="004A2F50" w:rsidRDefault="004A2F50" w:rsidP="000C3A70">
      <w:pPr>
        <w:widowControl/>
        <w:spacing w:line="360" w:lineRule="auto"/>
        <w:ind w:firstLine="1440"/>
        <w:contextualSpacing/>
        <w:rPr>
          <w:sz w:val="26"/>
          <w:szCs w:val="26"/>
        </w:rPr>
      </w:pPr>
      <w:r>
        <w:rPr>
          <w:sz w:val="26"/>
          <w:szCs w:val="26"/>
        </w:rPr>
        <w:t xml:space="preserve">The Complainant’s Exception regarding the tenants agreeing to be responsible for all utility charges to the premises under the lease agreement is denied.  The Commission has no jurisdiction over lease agreement disputes between landlords and tenants.  </w:t>
      </w:r>
      <w:r w:rsidRPr="00202A35">
        <w:rPr>
          <w:i/>
          <w:sz w:val="26"/>
          <w:szCs w:val="26"/>
        </w:rPr>
        <w:t>See Ace Check Cashing</w:t>
      </w:r>
      <w:r>
        <w:rPr>
          <w:sz w:val="26"/>
          <w:szCs w:val="26"/>
        </w:rPr>
        <w:t xml:space="preserve">; </w:t>
      </w:r>
      <w:r w:rsidRPr="00202A35">
        <w:rPr>
          <w:i/>
          <w:sz w:val="26"/>
          <w:szCs w:val="26"/>
        </w:rPr>
        <w:t>see also</w:t>
      </w:r>
      <w:r>
        <w:rPr>
          <w:sz w:val="26"/>
          <w:szCs w:val="26"/>
        </w:rPr>
        <w:t xml:space="preserve"> </w:t>
      </w:r>
      <w:r w:rsidRPr="005E1849">
        <w:rPr>
          <w:i/>
          <w:sz w:val="26"/>
          <w:szCs w:val="26"/>
        </w:rPr>
        <w:t>Afshari v. PPL Electric Utilities Corp</w:t>
      </w:r>
      <w:r w:rsidRPr="005E1849">
        <w:rPr>
          <w:sz w:val="26"/>
          <w:szCs w:val="26"/>
        </w:rPr>
        <w:t>., Docket No. C</w:t>
      </w:r>
      <w:r w:rsidR="00CC7D2C">
        <w:rPr>
          <w:sz w:val="26"/>
          <w:szCs w:val="26"/>
        </w:rPr>
        <w:noBreakHyphen/>
      </w:r>
      <w:r w:rsidRPr="005E1849">
        <w:rPr>
          <w:sz w:val="26"/>
          <w:szCs w:val="26"/>
        </w:rPr>
        <w:t>20055547 (Order entered April 9, 2008) (</w:t>
      </w:r>
      <w:r w:rsidRPr="005E1849">
        <w:rPr>
          <w:i/>
          <w:sz w:val="26"/>
          <w:szCs w:val="26"/>
        </w:rPr>
        <w:t>Afshari</w:t>
      </w:r>
      <w:r w:rsidRPr="005E1849">
        <w:rPr>
          <w:sz w:val="26"/>
          <w:szCs w:val="26"/>
        </w:rPr>
        <w:t>)</w:t>
      </w:r>
      <w:r>
        <w:rPr>
          <w:sz w:val="26"/>
          <w:szCs w:val="26"/>
        </w:rPr>
        <w:t>.</w:t>
      </w:r>
      <w:r w:rsidRPr="002A1D0F">
        <w:rPr>
          <w:rStyle w:val="FootnoteReference"/>
          <w:bCs/>
          <w:sz w:val="26"/>
          <w:szCs w:val="26"/>
        </w:rPr>
        <w:footnoteReference w:id="5"/>
      </w:r>
      <w:r>
        <w:rPr>
          <w:sz w:val="26"/>
          <w:szCs w:val="26"/>
        </w:rPr>
        <w:t xml:space="preserve">  Thus, the ALJ’s dismissal of the Complainant with r</w:t>
      </w:r>
      <w:r w:rsidR="00AF083F">
        <w:rPr>
          <w:sz w:val="26"/>
          <w:szCs w:val="26"/>
        </w:rPr>
        <w:t>egard to this issue is adopted.</w:t>
      </w:r>
    </w:p>
    <w:p w:rsidR="004A2F50" w:rsidRDefault="004A2F50" w:rsidP="000C3A70">
      <w:pPr>
        <w:widowControl/>
        <w:spacing w:line="360" w:lineRule="auto"/>
        <w:ind w:firstLine="1440"/>
        <w:contextualSpacing/>
        <w:rPr>
          <w:sz w:val="26"/>
          <w:szCs w:val="26"/>
        </w:rPr>
      </w:pPr>
    </w:p>
    <w:p w:rsidR="002E573B" w:rsidRDefault="002E573B" w:rsidP="000C3A70">
      <w:pPr>
        <w:widowControl/>
        <w:spacing w:line="360" w:lineRule="auto"/>
        <w:ind w:firstLine="1440"/>
        <w:contextualSpacing/>
        <w:rPr>
          <w:sz w:val="26"/>
          <w:szCs w:val="26"/>
        </w:rPr>
      </w:pPr>
      <w:r>
        <w:rPr>
          <w:sz w:val="26"/>
          <w:szCs w:val="26"/>
        </w:rPr>
        <w:t>T</w:t>
      </w:r>
      <w:r w:rsidR="00671D9F">
        <w:rPr>
          <w:sz w:val="26"/>
          <w:szCs w:val="26"/>
        </w:rPr>
        <w:t>he Complainant</w:t>
      </w:r>
      <w:r w:rsidR="00AB5B29">
        <w:rPr>
          <w:sz w:val="26"/>
          <w:szCs w:val="26"/>
        </w:rPr>
        <w:t>’s</w:t>
      </w:r>
      <w:r w:rsidR="004A2F50">
        <w:rPr>
          <w:sz w:val="26"/>
          <w:szCs w:val="26"/>
        </w:rPr>
        <w:t xml:space="preserve"> other</w:t>
      </w:r>
      <w:r w:rsidR="00AB5B29">
        <w:rPr>
          <w:sz w:val="26"/>
          <w:szCs w:val="26"/>
        </w:rPr>
        <w:t xml:space="preserve"> </w:t>
      </w:r>
      <w:r w:rsidR="00F9761B">
        <w:rPr>
          <w:sz w:val="26"/>
          <w:szCs w:val="26"/>
        </w:rPr>
        <w:t>Exception</w:t>
      </w:r>
      <w:r w:rsidR="00AB5B29">
        <w:rPr>
          <w:sz w:val="26"/>
          <w:szCs w:val="26"/>
        </w:rPr>
        <w:t xml:space="preserve"> raises</w:t>
      </w:r>
      <w:r w:rsidR="00671D9F">
        <w:rPr>
          <w:sz w:val="26"/>
          <w:szCs w:val="26"/>
        </w:rPr>
        <w:t>, for the first time</w:t>
      </w:r>
      <w:r w:rsidR="00F9761B">
        <w:rPr>
          <w:sz w:val="26"/>
          <w:szCs w:val="26"/>
        </w:rPr>
        <w:t xml:space="preserve"> in this proceeding</w:t>
      </w:r>
      <w:r w:rsidR="00671D9F">
        <w:rPr>
          <w:sz w:val="26"/>
          <w:szCs w:val="26"/>
        </w:rPr>
        <w:t xml:space="preserve">, an issue about a balance being transferred from the tenant’s previous service address.  Specifically, the Complainant claims that his tenants had an outstanding balance from another service address in the amount of $1,111.09, that he </w:t>
      </w:r>
      <w:r w:rsidR="00915E9B">
        <w:rPr>
          <w:sz w:val="26"/>
          <w:szCs w:val="26"/>
        </w:rPr>
        <w:t xml:space="preserve">argues </w:t>
      </w:r>
      <w:r w:rsidR="006762BF">
        <w:rPr>
          <w:sz w:val="26"/>
          <w:szCs w:val="26"/>
        </w:rPr>
        <w:t xml:space="preserve">he </w:t>
      </w:r>
      <w:r w:rsidR="00671D9F">
        <w:rPr>
          <w:sz w:val="26"/>
          <w:szCs w:val="26"/>
        </w:rPr>
        <w:t>should not be responsible for, and that the amount he should owe for the</w:t>
      </w:r>
      <w:r w:rsidR="00915E9B">
        <w:rPr>
          <w:sz w:val="26"/>
          <w:szCs w:val="26"/>
        </w:rPr>
        <w:t xml:space="preserve"> foreign wiring is $746.49, not the transferred balance of $1,718.14.</w:t>
      </w:r>
    </w:p>
    <w:p w:rsidR="002E573B" w:rsidRDefault="002E573B" w:rsidP="000C3A70">
      <w:pPr>
        <w:widowControl/>
        <w:spacing w:line="360" w:lineRule="auto"/>
        <w:ind w:firstLine="1440"/>
        <w:contextualSpacing/>
        <w:rPr>
          <w:sz w:val="26"/>
          <w:szCs w:val="26"/>
        </w:rPr>
      </w:pPr>
    </w:p>
    <w:p w:rsidR="002E573B" w:rsidRPr="002E573B" w:rsidRDefault="002E573B" w:rsidP="000C3A70">
      <w:pPr>
        <w:widowControl/>
        <w:spacing w:line="360" w:lineRule="auto"/>
        <w:ind w:firstLine="1440"/>
        <w:contextualSpacing/>
        <w:rPr>
          <w:sz w:val="26"/>
          <w:szCs w:val="26"/>
        </w:rPr>
      </w:pPr>
      <w:r w:rsidRPr="002E573B">
        <w:rPr>
          <w:sz w:val="26"/>
          <w:szCs w:val="26"/>
        </w:rPr>
        <w:t>Th</w:t>
      </w:r>
      <w:r w:rsidR="00AB5B29">
        <w:rPr>
          <w:sz w:val="26"/>
          <w:szCs w:val="26"/>
        </w:rPr>
        <w:t>is</w:t>
      </w:r>
      <w:r w:rsidRPr="002E573B">
        <w:rPr>
          <w:sz w:val="26"/>
          <w:szCs w:val="26"/>
        </w:rPr>
        <w:t xml:space="preserve"> issue involves the standard utility practice of transferring customer account balances when a customer changes residence.  The Commission’s Regulations </w:t>
      </w:r>
      <w:r w:rsidRPr="002E573B">
        <w:rPr>
          <w:sz w:val="26"/>
          <w:szCs w:val="26"/>
        </w:rPr>
        <w:lastRenderedPageBreak/>
        <w:t xml:space="preserve">permit a utility to transfer customer account balances from one service address to another in order to follow the financially responsible customer, provided such balances include only amounts originally billed not more than for years prior to the date of transfer. </w:t>
      </w:r>
      <w:r w:rsidR="00700CF0">
        <w:rPr>
          <w:sz w:val="26"/>
          <w:szCs w:val="26"/>
        </w:rPr>
        <w:t xml:space="preserve"> </w:t>
      </w:r>
      <w:r w:rsidRPr="002E573B">
        <w:rPr>
          <w:sz w:val="26"/>
          <w:szCs w:val="26"/>
        </w:rPr>
        <w:t xml:space="preserve">52 Pa. Code § 56.35; </w:t>
      </w:r>
      <w:r w:rsidRPr="002E573B">
        <w:rPr>
          <w:i/>
          <w:sz w:val="26"/>
          <w:szCs w:val="26"/>
        </w:rPr>
        <w:t>see Beth Trivelpiece v. PECO Energy Co.,</w:t>
      </w:r>
      <w:r w:rsidRPr="002E573B">
        <w:rPr>
          <w:sz w:val="26"/>
          <w:szCs w:val="26"/>
        </w:rPr>
        <w:t xml:space="preserve"> Docket No. C-2015-2462644 (Order entered September 22, 2016).  Accordingly, </w:t>
      </w:r>
      <w:r>
        <w:rPr>
          <w:sz w:val="26"/>
          <w:szCs w:val="26"/>
        </w:rPr>
        <w:t xml:space="preserve">we recognize </w:t>
      </w:r>
      <w:r w:rsidRPr="002E573B">
        <w:rPr>
          <w:sz w:val="26"/>
          <w:szCs w:val="26"/>
        </w:rPr>
        <w:t>it is entirely possible for a tenant’s account at a foreign load-affected premises to include amounts for an outstanding balance legally accrued by such tenant at a prior service address.</w:t>
      </w:r>
    </w:p>
    <w:p w:rsidR="002E573B" w:rsidRDefault="002E573B" w:rsidP="000C3A70">
      <w:pPr>
        <w:widowControl/>
        <w:spacing w:line="360" w:lineRule="auto"/>
        <w:ind w:firstLine="1440"/>
        <w:contextualSpacing/>
        <w:rPr>
          <w:sz w:val="26"/>
          <w:szCs w:val="26"/>
        </w:rPr>
      </w:pPr>
    </w:p>
    <w:p w:rsidR="00F9761B" w:rsidRDefault="00F9761B" w:rsidP="000C3A70">
      <w:pPr>
        <w:pStyle w:val="Default"/>
        <w:spacing w:line="360" w:lineRule="auto"/>
        <w:ind w:firstLine="1440"/>
        <w:rPr>
          <w:sz w:val="26"/>
          <w:szCs w:val="26"/>
        </w:rPr>
      </w:pPr>
      <w:r w:rsidRPr="00F9761B">
        <w:rPr>
          <w:sz w:val="26"/>
          <w:szCs w:val="26"/>
        </w:rPr>
        <w:t>Th</w:t>
      </w:r>
      <w:r w:rsidR="003769F5">
        <w:rPr>
          <w:sz w:val="26"/>
          <w:szCs w:val="26"/>
        </w:rPr>
        <w:t>e</w:t>
      </w:r>
      <w:r>
        <w:rPr>
          <w:sz w:val="26"/>
          <w:szCs w:val="26"/>
        </w:rPr>
        <w:t xml:space="preserve"> issue</w:t>
      </w:r>
      <w:r w:rsidRPr="00F9761B">
        <w:rPr>
          <w:sz w:val="26"/>
          <w:szCs w:val="26"/>
        </w:rPr>
        <w:t xml:space="preserve"> </w:t>
      </w:r>
      <w:r w:rsidR="003769F5">
        <w:rPr>
          <w:sz w:val="26"/>
          <w:szCs w:val="26"/>
        </w:rPr>
        <w:t xml:space="preserve">raised by the Complainant </w:t>
      </w:r>
      <w:r w:rsidRPr="00F9761B">
        <w:rPr>
          <w:sz w:val="26"/>
          <w:szCs w:val="26"/>
        </w:rPr>
        <w:t>raises the question of whether the utility’s obligation to transfer the foreign load-affected account to the property owner under 66 Pa. C.S. § 1529.1 applies to a tenant’s account balance accumulated at a prior service address.</w:t>
      </w:r>
      <w:r w:rsidR="002A1D0F">
        <w:rPr>
          <w:sz w:val="26"/>
          <w:szCs w:val="26"/>
        </w:rPr>
        <w:t xml:space="preserve">  Such a question</w:t>
      </w:r>
      <w:r w:rsidRPr="00F9761B">
        <w:rPr>
          <w:sz w:val="26"/>
          <w:szCs w:val="26"/>
        </w:rPr>
        <w:t xml:space="preserve"> involves </w:t>
      </w:r>
      <w:r w:rsidRPr="00F9761B">
        <w:rPr>
          <w:bCs/>
          <w:sz w:val="26"/>
          <w:szCs w:val="26"/>
        </w:rPr>
        <w:t>statutory</w:t>
      </w:r>
      <w:r w:rsidRPr="00F9761B">
        <w:rPr>
          <w:sz w:val="26"/>
          <w:szCs w:val="26"/>
        </w:rPr>
        <w:t xml:space="preserve"> </w:t>
      </w:r>
      <w:r w:rsidRPr="00F9761B">
        <w:rPr>
          <w:bCs/>
          <w:sz w:val="26"/>
          <w:szCs w:val="26"/>
        </w:rPr>
        <w:t>interpretation</w:t>
      </w:r>
      <w:r w:rsidRPr="00F9761B">
        <w:rPr>
          <w:sz w:val="26"/>
          <w:szCs w:val="26"/>
        </w:rPr>
        <w:t xml:space="preserve">, which is a question of law.  In such cases, the </w:t>
      </w:r>
      <w:r w:rsidRPr="00F9761B">
        <w:rPr>
          <w:bCs/>
          <w:sz w:val="26"/>
          <w:szCs w:val="26"/>
        </w:rPr>
        <w:t>Statutory</w:t>
      </w:r>
      <w:r w:rsidRPr="00F9761B">
        <w:rPr>
          <w:sz w:val="26"/>
          <w:szCs w:val="26"/>
        </w:rPr>
        <w:t xml:space="preserve"> </w:t>
      </w:r>
      <w:r w:rsidRPr="00F9761B">
        <w:rPr>
          <w:bCs/>
          <w:sz w:val="26"/>
          <w:szCs w:val="26"/>
        </w:rPr>
        <w:t>Construction</w:t>
      </w:r>
      <w:r w:rsidRPr="00F9761B">
        <w:rPr>
          <w:sz w:val="26"/>
          <w:szCs w:val="26"/>
        </w:rPr>
        <w:t xml:space="preserve"> Act provides that the object of interpretation is to ascertain and effectuate the intent of the General Assembly.  1 Pa. C.S. §</w:t>
      </w:r>
      <w:r w:rsidR="000C3A70">
        <w:rPr>
          <w:sz w:val="26"/>
          <w:szCs w:val="26"/>
        </w:rPr>
        <w:t> </w:t>
      </w:r>
      <w:r w:rsidRPr="00F9761B">
        <w:rPr>
          <w:sz w:val="26"/>
          <w:szCs w:val="26"/>
        </w:rPr>
        <w:t>1921(a)</w:t>
      </w:r>
      <w:r w:rsidR="00F26571">
        <w:rPr>
          <w:sz w:val="26"/>
          <w:szCs w:val="26"/>
        </w:rPr>
        <w:t xml:space="preserve">.  </w:t>
      </w:r>
      <w:r w:rsidR="00F26571" w:rsidRPr="00F26571">
        <w:rPr>
          <w:sz w:val="26"/>
          <w:szCs w:val="26"/>
        </w:rPr>
        <w:t>“The statute</w:t>
      </w:r>
      <w:r w:rsidR="00F26571">
        <w:rPr>
          <w:sz w:val="26"/>
          <w:szCs w:val="26"/>
        </w:rPr>
        <w:t>’</w:t>
      </w:r>
      <w:r w:rsidR="00F26571" w:rsidRPr="00F26571">
        <w:rPr>
          <w:sz w:val="26"/>
          <w:szCs w:val="26"/>
        </w:rPr>
        <w:t xml:space="preserve">s plain language generally provides the best indication of legislative intent.” </w:t>
      </w:r>
      <w:r w:rsidR="00F26571" w:rsidRPr="00F26571">
        <w:rPr>
          <w:i/>
          <w:iCs/>
          <w:sz w:val="26"/>
          <w:szCs w:val="26"/>
        </w:rPr>
        <w:t>A.S. v. Pennsylvania State Police</w:t>
      </w:r>
      <w:r w:rsidR="00F26571" w:rsidRPr="00F26571">
        <w:rPr>
          <w:sz w:val="26"/>
          <w:szCs w:val="26"/>
        </w:rPr>
        <w:t>, 636 Pa. 403, 415, 143 A. 3d 896, 903 (2016), citing</w:t>
      </w:r>
      <w:r w:rsidR="00F26571" w:rsidRPr="00F26571">
        <w:rPr>
          <w:i/>
          <w:iCs/>
          <w:sz w:val="26"/>
          <w:szCs w:val="26"/>
        </w:rPr>
        <w:t xml:space="preserve"> McGrory v. Dep't of Transp.,</w:t>
      </w:r>
      <w:r w:rsidR="00F26571" w:rsidRPr="00F26571">
        <w:rPr>
          <w:sz w:val="26"/>
          <w:szCs w:val="26"/>
        </w:rPr>
        <w:t xml:space="preserve"> 591 Pa. 56, 915 A.2d 1155, 1158 (2007) and </w:t>
      </w:r>
      <w:r w:rsidR="00F26571" w:rsidRPr="00F26571">
        <w:rPr>
          <w:i/>
          <w:iCs/>
          <w:sz w:val="26"/>
          <w:szCs w:val="26"/>
        </w:rPr>
        <w:t>Commonwealth v. Gilmour Mfg. Co.,</w:t>
      </w:r>
      <w:r w:rsidR="00F26571" w:rsidRPr="00F26571">
        <w:rPr>
          <w:sz w:val="26"/>
          <w:szCs w:val="26"/>
        </w:rPr>
        <w:t xml:space="preserve"> 573 Pa. 143, 822 A.2d 676, 679 (2003); </w:t>
      </w:r>
      <w:r w:rsidR="00F26571" w:rsidRPr="00F26571">
        <w:rPr>
          <w:i/>
          <w:iCs/>
          <w:sz w:val="26"/>
          <w:szCs w:val="26"/>
        </w:rPr>
        <w:t xml:space="preserve">see also </w:t>
      </w:r>
      <w:r w:rsidR="00F26571" w:rsidRPr="00F26571">
        <w:rPr>
          <w:sz w:val="26"/>
          <w:szCs w:val="26"/>
        </w:rPr>
        <w:t>1 Pa. C.S. § 1921(b).</w:t>
      </w:r>
      <w:r w:rsidR="00F26571">
        <w:rPr>
          <w:sz w:val="26"/>
          <w:szCs w:val="26"/>
        </w:rPr>
        <w:t xml:space="preserve">  </w:t>
      </w:r>
      <w:r w:rsidRPr="00F9761B">
        <w:rPr>
          <w:sz w:val="26"/>
          <w:szCs w:val="26"/>
        </w:rPr>
        <w:t xml:space="preserve">The Legislature is not presumed to intend an absurd or unreasonable result in interpretation of its enactments.  </w:t>
      </w:r>
      <w:r w:rsidRPr="00F9761B">
        <w:rPr>
          <w:i/>
          <w:sz w:val="26"/>
          <w:szCs w:val="26"/>
        </w:rPr>
        <w:t>See</w:t>
      </w:r>
      <w:r w:rsidRPr="00F9761B">
        <w:rPr>
          <w:sz w:val="26"/>
          <w:szCs w:val="26"/>
        </w:rPr>
        <w:t xml:space="preserve"> 1 Pa. C.S. §</w:t>
      </w:r>
      <w:r w:rsidR="00CC7D2C">
        <w:rPr>
          <w:sz w:val="26"/>
          <w:szCs w:val="26"/>
        </w:rPr>
        <w:t> </w:t>
      </w:r>
      <w:r w:rsidRPr="00F9761B">
        <w:rPr>
          <w:sz w:val="26"/>
          <w:szCs w:val="26"/>
        </w:rPr>
        <w:t xml:space="preserve">1922(1); </w:t>
      </w:r>
      <w:r w:rsidRPr="00F9761B">
        <w:rPr>
          <w:i/>
          <w:sz w:val="26"/>
          <w:szCs w:val="26"/>
        </w:rPr>
        <w:t>see also</w:t>
      </w:r>
      <w:r w:rsidRPr="00F9761B">
        <w:rPr>
          <w:sz w:val="26"/>
          <w:szCs w:val="26"/>
        </w:rPr>
        <w:t xml:space="preserve"> </w:t>
      </w:r>
      <w:r w:rsidRPr="00F9761B">
        <w:rPr>
          <w:i/>
          <w:sz w:val="26"/>
          <w:szCs w:val="26"/>
        </w:rPr>
        <w:t>PA Financial Responsibility Assigned Claims Plan v. English</w:t>
      </w:r>
      <w:r w:rsidRPr="00F9761B">
        <w:rPr>
          <w:sz w:val="26"/>
          <w:szCs w:val="26"/>
        </w:rPr>
        <w:t>, 541 Pa. 424, 430-431, 64 A.2d 84, 87 (1995).</w:t>
      </w:r>
    </w:p>
    <w:p w:rsidR="003E1CBB" w:rsidRPr="00F9761B" w:rsidRDefault="003E1CBB" w:rsidP="000C3A70">
      <w:pPr>
        <w:widowControl/>
        <w:spacing w:line="360" w:lineRule="auto"/>
        <w:ind w:firstLine="1440"/>
        <w:rPr>
          <w:sz w:val="26"/>
          <w:szCs w:val="26"/>
        </w:rPr>
      </w:pPr>
    </w:p>
    <w:p w:rsidR="00F9761B" w:rsidRDefault="00F9761B" w:rsidP="000C3A70">
      <w:pPr>
        <w:widowControl/>
        <w:spacing w:line="360" w:lineRule="auto"/>
        <w:ind w:firstLine="1440"/>
        <w:rPr>
          <w:bCs/>
          <w:sz w:val="26"/>
          <w:szCs w:val="26"/>
        </w:rPr>
      </w:pPr>
      <w:r w:rsidRPr="00F9761B">
        <w:rPr>
          <w:sz w:val="26"/>
          <w:szCs w:val="26"/>
        </w:rPr>
        <w:t xml:space="preserve">Subsection (b) </w:t>
      </w:r>
      <w:r w:rsidR="002A1D0F">
        <w:rPr>
          <w:sz w:val="26"/>
          <w:szCs w:val="26"/>
        </w:rPr>
        <w:t xml:space="preserve">of Section 1529.1 </w:t>
      </w:r>
      <w:r w:rsidRPr="00F9761B">
        <w:rPr>
          <w:sz w:val="26"/>
          <w:szCs w:val="26"/>
        </w:rPr>
        <w:t>is the operative provision to address this question.  Upon the discovery of a foreign load, Subsection (a) requires the property owner to provide notice to the utility, and Subsection (c) essentially deems the utility as having received notice.  Subsection (b) establishes the utility’s obligation to list the account in the name of the property owner and establishes the liability of the property owner for financial payment on the account.  Specifically, Subsection (b) provides:</w:t>
      </w:r>
      <w:r w:rsidRPr="00F9761B">
        <w:rPr>
          <w:bCs/>
          <w:sz w:val="26"/>
          <w:szCs w:val="26"/>
        </w:rPr>
        <w:t xml:space="preserve"> “an </w:t>
      </w:r>
      <w:r w:rsidRPr="00F9761B">
        <w:rPr>
          <w:bCs/>
          <w:sz w:val="26"/>
          <w:szCs w:val="26"/>
        </w:rPr>
        <w:lastRenderedPageBreak/>
        <w:t xml:space="preserve">affected public utility shall forthwith list </w:t>
      </w:r>
      <w:r w:rsidRPr="00F9761B">
        <w:rPr>
          <w:bCs/>
          <w:i/>
          <w:sz w:val="26"/>
          <w:szCs w:val="26"/>
        </w:rPr>
        <w:t xml:space="preserve">the account for the premises in question </w:t>
      </w:r>
      <w:r w:rsidRPr="00F9761B">
        <w:rPr>
          <w:bCs/>
          <w:sz w:val="26"/>
          <w:szCs w:val="26"/>
        </w:rPr>
        <w:t>in the name of the owner, and the owner shall thereafter be responsible for the payment</w:t>
      </w:r>
      <w:r w:rsidRPr="00F9761B">
        <w:rPr>
          <w:bCs/>
          <w:i/>
          <w:sz w:val="26"/>
          <w:szCs w:val="26"/>
        </w:rPr>
        <w:t xml:space="preserve"> for the utility services rendered thereunto</w:t>
      </w:r>
      <w:r w:rsidRPr="00F9761B">
        <w:rPr>
          <w:bCs/>
          <w:sz w:val="26"/>
          <w:szCs w:val="26"/>
        </w:rPr>
        <w:t>.” (emphasis added).</w:t>
      </w:r>
    </w:p>
    <w:p w:rsidR="00F9761B" w:rsidRPr="00F9761B" w:rsidRDefault="00F9761B" w:rsidP="000C3A70">
      <w:pPr>
        <w:widowControl/>
        <w:spacing w:line="360" w:lineRule="auto"/>
        <w:ind w:firstLine="1440"/>
        <w:rPr>
          <w:sz w:val="26"/>
          <w:szCs w:val="26"/>
        </w:rPr>
      </w:pPr>
    </w:p>
    <w:p w:rsidR="00F9761B" w:rsidRDefault="00F9761B" w:rsidP="000C3A70">
      <w:pPr>
        <w:widowControl/>
        <w:spacing w:line="360" w:lineRule="auto"/>
        <w:ind w:firstLine="1440"/>
        <w:rPr>
          <w:bCs/>
          <w:sz w:val="26"/>
          <w:szCs w:val="26"/>
        </w:rPr>
      </w:pPr>
      <w:r w:rsidRPr="00F9761B">
        <w:rPr>
          <w:bCs/>
          <w:sz w:val="26"/>
          <w:szCs w:val="26"/>
        </w:rPr>
        <w:t>“</w:t>
      </w:r>
      <w:r w:rsidRPr="00F9761B">
        <w:rPr>
          <w:bCs/>
          <w:i/>
          <w:sz w:val="26"/>
          <w:szCs w:val="26"/>
        </w:rPr>
        <w:t>[T]he account for the premises in question</w:t>
      </w:r>
      <w:r w:rsidRPr="00F9761B">
        <w:rPr>
          <w:bCs/>
          <w:sz w:val="26"/>
          <w:szCs w:val="26"/>
        </w:rPr>
        <w:t>” clearly refers to the account for the premises where the foreign load is discovered.</w:t>
      </w:r>
    </w:p>
    <w:p w:rsidR="00F9761B" w:rsidRPr="00F9761B" w:rsidRDefault="00F9761B" w:rsidP="000C3A70">
      <w:pPr>
        <w:widowControl/>
        <w:spacing w:line="360" w:lineRule="auto"/>
        <w:ind w:firstLine="1440"/>
        <w:rPr>
          <w:bCs/>
          <w:sz w:val="26"/>
          <w:szCs w:val="26"/>
        </w:rPr>
      </w:pPr>
    </w:p>
    <w:p w:rsidR="00F9761B" w:rsidRDefault="00F9761B" w:rsidP="000C3A70">
      <w:pPr>
        <w:widowControl/>
        <w:spacing w:line="360" w:lineRule="auto"/>
        <w:ind w:firstLine="1440"/>
        <w:rPr>
          <w:iCs/>
          <w:sz w:val="26"/>
          <w:szCs w:val="26"/>
        </w:rPr>
      </w:pPr>
      <w:r w:rsidRPr="00F9761B">
        <w:rPr>
          <w:bCs/>
          <w:sz w:val="26"/>
          <w:szCs w:val="26"/>
        </w:rPr>
        <w:t>“</w:t>
      </w:r>
      <w:r w:rsidRPr="00F9761B">
        <w:rPr>
          <w:bCs/>
          <w:i/>
          <w:sz w:val="26"/>
          <w:szCs w:val="26"/>
        </w:rPr>
        <w:t>[F]or the utility services rendered thereunto</w:t>
      </w:r>
      <w:r w:rsidRPr="00F9761B">
        <w:rPr>
          <w:bCs/>
          <w:sz w:val="26"/>
          <w:szCs w:val="26"/>
        </w:rPr>
        <w:t xml:space="preserve">” clearly makes the landlord responsible for payment for utility services rendered to the account for the premises where the foreign load is discovered.  This phrase makes the landlord responsible for the payment for utility services rendered to the foreign load-affected premises.  Thus, to hold the landlord responsible for payment for utility services rendered to </w:t>
      </w:r>
      <w:r w:rsidRPr="00F9761B">
        <w:rPr>
          <w:bCs/>
          <w:i/>
          <w:sz w:val="26"/>
          <w:szCs w:val="26"/>
        </w:rPr>
        <w:t>another</w:t>
      </w:r>
      <w:r w:rsidRPr="00F9761B">
        <w:rPr>
          <w:bCs/>
          <w:sz w:val="26"/>
          <w:szCs w:val="26"/>
        </w:rPr>
        <w:t xml:space="preserve"> premise would appear to contravene the plain language of Subsection (b).  </w:t>
      </w:r>
      <w:r w:rsidRPr="00F9761B">
        <w:rPr>
          <w:iCs/>
          <w:sz w:val="26"/>
          <w:szCs w:val="26"/>
        </w:rPr>
        <w:t>1 Pa. C.S. § 1921(b).</w:t>
      </w:r>
    </w:p>
    <w:p w:rsidR="002A1D0F" w:rsidRDefault="002A1D0F" w:rsidP="000C3A70">
      <w:pPr>
        <w:widowControl/>
        <w:spacing w:line="360" w:lineRule="auto"/>
        <w:ind w:firstLine="1440"/>
        <w:rPr>
          <w:bCs/>
          <w:sz w:val="26"/>
          <w:szCs w:val="26"/>
        </w:rPr>
      </w:pPr>
    </w:p>
    <w:p w:rsidR="001756DB" w:rsidRDefault="00E11537" w:rsidP="000C3A70">
      <w:pPr>
        <w:pStyle w:val="Default"/>
        <w:spacing w:line="360" w:lineRule="auto"/>
        <w:ind w:firstLine="1440"/>
        <w:rPr>
          <w:sz w:val="26"/>
          <w:szCs w:val="26"/>
        </w:rPr>
      </w:pPr>
      <w:r>
        <w:rPr>
          <w:sz w:val="26"/>
          <w:szCs w:val="26"/>
        </w:rPr>
        <w:t>Moreover, l</w:t>
      </w:r>
      <w:r w:rsidR="001756DB" w:rsidRPr="001756DB">
        <w:rPr>
          <w:sz w:val="26"/>
          <w:szCs w:val="26"/>
        </w:rPr>
        <w:t xml:space="preserve">ogic dictates that </w:t>
      </w:r>
      <w:r w:rsidR="001756DB">
        <w:rPr>
          <w:sz w:val="26"/>
          <w:szCs w:val="26"/>
        </w:rPr>
        <w:t xml:space="preserve">a tenant’s prior debt associated with utility </w:t>
      </w:r>
      <w:r w:rsidR="001756DB" w:rsidRPr="001756DB">
        <w:rPr>
          <w:sz w:val="26"/>
          <w:szCs w:val="26"/>
        </w:rPr>
        <w:t>usage</w:t>
      </w:r>
      <w:r w:rsidR="001756DB">
        <w:rPr>
          <w:sz w:val="26"/>
          <w:szCs w:val="26"/>
        </w:rPr>
        <w:t xml:space="preserve"> at another premise is usage</w:t>
      </w:r>
      <w:r w:rsidR="001756DB" w:rsidRPr="001756DB">
        <w:rPr>
          <w:sz w:val="26"/>
          <w:szCs w:val="26"/>
        </w:rPr>
        <w:t xml:space="preserve"> which is wholly unrelated to Mr. Dina’s property, usage which was not at all affected by the electric wiring of Mr. Dina’s property, and therefore, usage for which Mr. Dina bears no</w:t>
      </w:r>
      <w:r w:rsidR="001756DB">
        <w:rPr>
          <w:sz w:val="26"/>
          <w:szCs w:val="26"/>
        </w:rPr>
        <w:t xml:space="preserve"> </w:t>
      </w:r>
      <w:r w:rsidR="001756DB" w:rsidRPr="001756DB">
        <w:rPr>
          <w:sz w:val="26"/>
          <w:szCs w:val="26"/>
        </w:rPr>
        <w:t xml:space="preserve">responsibility.   </w:t>
      </w:r>
      <w:r w:rsidR="001756DB" w:rsidRPr="001756DB">
        <w:rPr>
          <w:bCs/>
          <w:sz w:val="26"/>
          <w:szCs w:val="26"/>
        </w:rPr>
        <w:t xml:space="preserve">To </w:t>
      </w:r>
      <w:r w:rsidR="003769F5" w:rsidRPr="001756DB">
        <w:rPr>
          <w:bCs/>
          <w:sz w:val="26"/>
          <w:szCs w:val="26"/>
        </w:rPr>
        <w:t xml:space="preserve">hold the </w:t>
      </w:r>
      <w:r w:rsidR="001756DB">
        <w:rPr>
          <w:bCs/>
          <w:sz w:val="26"/>
          <w:szCs w:val="26"/>
        </w:rPr>
        <w:t xml:space="preserve">property owner financially </w:t>
      </w:r>
      <w:r w:rsidR="003769F5" w:rsidRPr="001756DB">
        <w:rPr>
          <w:bCs/>
          <w:sz w:val="26"/>
          <w:szCs w:val="26"/>
        </w:rPr>
        <w:t xml:space="preserve">responsible for the tenant’s balance from another service address leads to an inequitable result in that it: (1) is overly punitive for the property owner because it would make the owner financially responsible for prior debts of the tenant incurred at another service address; and (2) creates a windfall for the tenant by relieving the tenant of prior debts incurred by the tenant at another service address.  Such an </w:t>
      </w:r>
      <w:r w:rsidR="008F1E1B">
        <w:rPr>
          <w:bCs/>
          <w:sz w:val="26"/>
          <w:szCs w:val="26"/>
        </w:rPr>
        <w:t xml:space="preserve">illogical and </w:t>
      </w:r>
      <w:r w:rsidR="003769F5" w:rsidRPr="001756DB">
        <w:rPr>
          <w:bCs/>
          <w:sz w:val="26"/>
          <w:szCs w:val="26"/>
        </w:rPr>
        <w:t>inequitable result is unreasonable</w:t>
      </w:r>
      <w:r w:rsidR="001756DB">
        <w:rPr>
          <w:bCs/>
          <w:sz w:val="26"/>
          <w:szCs w:val="26"/>
        </w:rPr>
        <w:t>, and t</w:t>
      </w:r>
      <w:r w:rsidR="003769F5" w:rsidRPr="001756DB">
        <w:rPr>
          <w:bCs/>
          <w:sz w:val="26"/>
          <w:szCs w:val="26"/>
        </w:rPr>
        <w:t xml:space="preserve">he Legislature is presumed not to have intended an unreasonable result in its enactment of a statute.  </w:t>
      </w:r>
      <w:r w:rsidR="003769F5" w:rsidRPr="001756DB">
        <w:rPr>
          <w:sz w:val="26"/>
          <w:szCs w:val="26"/>
        </w:rPr>
        <w:t>1 Pa. C.S. § 1922(1).</w:t>
      </w:r>
    </w:p>
    <w:p w:rsidR="001756DB" w:rsidRDefault="001756DB" w:rsidP="000C3A70">
      <w:pPr>
        <w:pStyle w:val="Default"/>
        <w:spacing w:line="360" w:lineRule="auto"/>
        <w:ind w:firstLine="1440"/>
        <w:rPr>
          <w:bCs/>
          <w:sz w:val="26"/>
          <w:szCs w:val="26"/>
        </w:rPr>
      </w:pPr>
    </w:p>
    <w:p w:rsidR="003769F5" w:rsidRPr="001756DB" w:rsidRDefault="003769F5" w:rsidP="000C3A70">
      <w:pPr>
        <w:pStyle w:val="Default"/>
        <w:spacing w:line="360" w:lineRule="auto"/>
        <w:ind w:firstLine="1440"/>
        <w:rPr>
          <w:bCs/>
          <w:sz w:val="26"/>
          <w:szCs w:val="26"/>
        </w:rPr>
      </w:pPr>
      <w:r w:rsidRPr="001756DB">
        <w:rPr>
          <w:bCs/>
          <w:sz w:val="26"/>
          <w:szCs w:val="26"/>
        </w:rPr>
        <w:t xml:space="preserve">Therefore, the </w:t>
      </w:r>
      <w:r w:rsidR="001756DB" w:rsidRPr="001756DB">
        <w:rPr>
          <w:bCs/>
          <w:sz w:val="26"/>
          <w:szCs w:val="26"/>
        </w:rPr>
        <w:t xml:space="preserve">reasonable </w:t>
      </w:r>
      <w:r w:rsidR="0020294E">
        <w:rPr>
          <w:bCs/>
          <w:sz w:val="26"/>
          <w:szCs w:val="26"/>
        </w:rPr>
        <w:t>statutory construction</w:t>
      </w:r>
      <w:r w:rsidRPr="001756DB">
        <w:rPr>
          <w:bCs/>
          <w:sz w:val="26"/>
          <w:szCs w:val="26"/>
        </w:rPr>
        <w:t xml:space="preserve"> of Section 1529.1(b) is the one that makes the landlord responsible for payment of the current balance and arrearages </w:t>
      </w:r>
      <w:r w:rsidRPr="001756DB">
        <w:rPr>
          <w:bCs/>
          <w:i/>
          <w:sz w:val="26"/>
          <w:szCs w:val="26"/>
        </w:rPr>
        <w:lastRenderedPageBreak/>
        <w:t xml:space="preserve">only </w:t>
      </w:r>
      <w:r w:rsidRPr="001756DB">
        <w:rPr>
          <w:bCs/>
          <w:sz w:val="26"/>
          <w:szCs w:val="26"/>
        </w:rPr>
        <w:t>for utility services rendered to the foreign load-affected premises, but not for utility services rendered to the tenant at a former address.</w:t>
      </w:r>
    </w:p>
    <w:p w:rsidR="001756DB" w:rsidRDefault="001756DB" w:rsidP="000C3A70">
      <w:pPr>
        <w:widowControl/>
        <w:spacing w:after="240" w:line="276" w:lineRule="auto"/>
        <w:ind w:firstLine="1440"/>
        <w:rPr>
          <w:bCs/>
          <w:sz w:val="24"/>
          <w:szCs w:val="24"/>
        </w:rPr>
      </w:pPr>
    </w:p>
    <w:p w:rsidR="005E1849" w:rsidRDefault="00E11537" w:rsidP="000C3A70">
      <w:pPr>
        <w:widowControl/>
        <w:spacing w:line="360" w:lineRule="auto"/>
        <w:ind w:firstLine="1440"/>
        <w:rPr>
          <w:sz w:val="26"/>
          <w:szCs w:val="26"/>
        </w:rPr>
      </w:pPr>
      <w:r>
        <w:rPr>
          <w:sz w:val="26"/>
          <w:szCs w:val="26"/>
        </w:rPr>
        <w:t>Furthermore, b</w:t>
      </w:r>
      <w:r w:rsidR="005E1849">
        <w:rPr>
          <w:sz w:val="26"/>
          <w:szCs w:val="26"/>
        </w:rPr>
        <w:t>ased on our review o</w:t>
      </w:r>
      <w:r w:rsidR="00B77201">
        <w:rPr>
          <w:sz w:val="26"/>
          <w:szCs w:val="26"/>
        </w:rPr>
        <w:t>f</w:t>
      </w:r>
      <w:r w:rsidR="005E1849">
        <w:rPr>
          <w:sz w:val="26"/>
          <w:szCs w:val="26"/>
        </w:rPr>
        <w:t xml:space="preserve"> prior cases, </w:t>
      </w:r>
      <w:r w:rsidR="00B24E23">
        <w:rPr>
          <w:sz w:val="26"/>
          <w:szCs w:val="26"/>
        </w:rPr>
        <w:t>the first time this issue has been</w:t>
      </w:r>
      <w:r w:rsidR="005E1849">
        <w:rPr>
          <w:sz w:val="26"/>
          <w:szCs w:val="26"/>
        </w:rPr>
        <w:t xml:space="preserve"> expressly challenge</w:t>
      </w:r>
      <w:r w:rsidR="00B24E23">
        <w:rPr>
          <w:sz w:val="26"/>
          <w:szCs w:val="26"/>
        </w:rPr>
        <w:t>d</w:t>
      </w:r>
      <w:r w:rsidR="005E1849">
        <w:rPr>
          <w:sz w:val="26"/>
          <w:szCs w:val="26"/>
        </w:rPr>
        <w:t xml:space="preserve"> on Exceptions </w:t>
      </w:r>
      <w:r w:rsidR="00B24E23">
        <w:rPr>
          <w:sz w:val="26"/>
          <w:szCs w:val="26"/>
        </w:rPr>
        <w:t>is in</w:t>
      </w:r>
      <w:r w:rsidR="0020294E">
        <w:rPr>
          <w:sz w:val="26"/>
          <w:szCs w:val="26"/>
        </w:rPr>
        <w:t xml:space="preserve"> </w:t>
      </w:r>
      <w:r w:rsidR="00B24E23" w:rsidRPr="0020294E">
        <w:rPr>
          <w:i/>
          <w:sz w:val="26"/>
          <w:szCs w:val="26"/>
        </w:rPr>
        <w:t>Glen DeHaven v. PECO Energy Company</w:t>
      </w:r>
      <w:r w:rsidR="0020294E">
        <w:rPr>
          <w:sz w:val="26"/>
          <w:szCs w:val="26"/>
        </w:rPr>
        <w:t>, Docket No. C-2017-2585680,</w:t>
      </w:r>
      <w:r w:rsidR="00B24E23">
        <w:rPr>
          <w:sz w:val="26"/>
          <w:szCs w:val="26"/>
        </w:rPr>
        <w:t xml:space="preserve"> </w:t>
      </w:r>
      <w:r w:rsidR="0020294E">
        <w:rPr>
          <w:sz w:val="26"/>
          <w:szCs w:val="26"/>
        </w:rPr>
        <w:t>in</w:t>
      </w:r>
      <w:r w:rsidR="00B24E23">
        <w:rPr>
          <w:sz w:val="26"/>
          <w:szCs w:val="26"/>
        </w:rPr>
        <w:t xml:space="preserve"> which we issued an Order as of the same date as this Order also remanding the matter for further fact finding.</w:t>
      </w:r>
      <w:r w:rsidR="005E1849">
        <w:rPr>
          <w:sz w:val="26"/>
          <w:szCs w:val="26"/>
        </w:rPr>
        <w:t xml:space="preserve">  </w:t>
      </w:r>
      <w:bookmarkStart w:id="8" w:name="_Hlk505938559"/>
      <w:r w:rsidR="00B24E23">
        <w:rPr>
          <w:sz w:val="26"/>
          <w:szCs w:val="26"/>
        </w:rPr>
        <w:t>Although these cases</w:t>
      </w:r>
      <w:r w:rsidR="0020294E">
        <w:rPr>
          <w:sz w:val="26"/>
          <w:szCs w:val="26"/>
        </w:rPr>
        <w:t>,</w:t>
      </w:r>
      <w:r w:rsidR="00B24E23">
        <w:rPr>
          <w:sz w:val="26"/>
          <w:szCs w:val="26"/>
        </w:rPr>
        <w:t xml:space="preserve"> </w:t>
      </w:r>
      <w:r w:rsidR="0020294E">
        <w:rPr>
          <w:sz w:val="26"/>
          <w:szCs w:val="26"/>
        </w:rPr>
        <w:t xml:space="preserve">together, </w:t>
      </w:r>
      <w:r w:rsidR="00B24E23">
        <w:rPr>
          <w:sz w:val="26"/>
          <w:szCs w:val="26"/>
        </w:rPr>
        <w:t xml:space="preserve">represent the first </w:t>
      </w:r>
      <w:r w:rsidR="0020294E">
        <w:rPr>
          <w:sz w:val="26"/>
          <w:szCs w:val="26"/>
        </w:rPr>
        <w:t>to expressly challenge</w:t>
      </w:r>
      <w:r w:rsidR="00B24E23">
        <w:rPr>
          <w:sz w:val="26"/>
          <w:szCs w:val="26"/>
        </w:rPr>
        <w:t xml:space="preserve"> the issue </w:t>
      </w:r>
      <w:r w:rsidR="00B24E23" w:rsidRPr="005E1849">
        <w:rPr>
          <w:sz w:val="26"/>
          <w:szCs w:val="26"/>
        </w:rPr>
        <w:t>of whether a tenant’s balance that accrued during the time the tenant resided at a prior service address can be transferred to the property owner of the premises when a foreign load is discovered</w:t>
      </w:r>
      <w:bookmarkStart w:id="9" w:name="_Hlk505938783"/>
      <w:r w:rsidR="0020294E">
        <w:rPr>
          <w:sz w:val="26"/>
          <w:szCs w:val="26"/>
        </w:rPr>
        <w:t xml:space="preserve">, our review of prior cases shows that </w:t>
      </w:r>
      <w:r w:rsidR="005E1849" w:rsidRPr="005E1849">
        <w:rPr>
          <w:sz w:val="26"/>
          <w:szCs w:val="26"/>
        </w:rPr>
        <w:t>the Commission has previously addressed th</w:t>
      </w:r>
      <w:r w:rsidR="005E1849">
        <w:rPr>
          <w:sz w:val="26"/>
          <w:szCs w:val="26"/>
        </w:rPr>
        <w:t>is issue</w:t>
      </w:r>
      <w:r>
        <w:rPr>
          <w:sz w:val="26"/>
          <w:szCs w:val="26"/>
        </w:rPr>
        <w:t xml:space="preserve">, </w:t>
      </w:r>
      <w:r w:rsidR="004A2F50">
        <w:rPr>
          <w:sz w:val="26"/>
          <w:szCs w:val="26"/>
        </w:rPr>
        <w:t xml:space="preserve">albeit </w:t>
      </w:r>
      <w:r w:rsidR="005E1849">
        <w:rPr>
          <w:sz w:val="26"/>
          <w:szCs w:val="26"/>
        </w:rPr>
        <w:t>indirectly</w:t>
      </w:r>
      <w:r>
        <w:rPr>
          <w:sz w:val="26"/>
          <w:szCs w:val="26"/>
        </w:rPr>
        <w:t>,</w:t>
      </w:r>
      <w:r w:rsidR="005E1849">
        <w:rPr>
          <w:sz w:val="26"/>
          <w:szCs w:val="26"/>
        </w:rPr>
        <w:t xml:space="preserve"> in </w:t>
      </w:r>
      <w:r w:rsidR="005E1849" w:rsidRPr="005E1849">
        <w:rPr>
          <w:i/>
          <w:sz w:val="26"/>
          <w:szCs w:val="26"/>
        </w:rPr>
        <w:t>Santos</w:t>
      </w:r>
      <w:r w:rsidR="005E1849">
        <w:rPr>
          <w:sz w:val="26"/>
          <w:szCs w:val="26"/>
        </w:rPr>
        <w:t>.</w:t>
      </w:r>
      <w:bookmarkEnd w:id="8"/>
    </w:p>
    <w:bookmarkEnd w:id="9"/>
    <w:p w:rsidR="005E1849" w:rsidRPr="005E1849" w:rsidRDefault="005E1849" w:rsidP="000C3A70">
      <w:pPr>
        <w:widowControl/>
        <w:spacing w:line="360" w:lineRule="auto"/>
        <w:ind w:firstLine="1440"/>
        <w:rPr>
          <w:sz w:val="26"/>
          <w:szCs w:val="26"/>
        </w:rPr>
      </w:pPr>
    </w:p>
    <w:p w:rsidR="005E1849" w:rsidRPr="005E1849" w:rsidRDefault="005E1849" w:rsidP="000C3A70">
      <w:pPr>
        <w:widowControl/>
        <w:spacing w:line="360" w:lineRule="auto"/>
        <w:ind w:firstLine="1440"/>
        <w:rPr>
          <w:sz w:val="26"/>
          <w:szCs w:val="26"/>
        </w:rPr>
      </w:pPr>
      <w:r w:rsidRPr="005E1849">
        <w:rPr>
          <w:sz w:val="26"/>
          <w:szCs w:val="26"/>
        </w:rPr>
        <w:t xml:space="preserve">In </w:t>
      </w:r>
      <w:r w:rsidRPr="005E1849">
        <w:rPr>
          <w:i/>
          <w:sz w:val="26"/>
          <w:szCs w:val="26"/>
        </w:rPr>
        <w:t>Santos</w:t>
      </w:r>
      <w:r w:rsidRPr="005E1849">
        <w:rPr>
          <w:sz w:val="26"/>
          <w:szCs w:val="26"/>
        </w:rPr>
        <w:t>, a foreign load was found to exist on the complainant-tenant’s, Ms. Santos</w:t>
      </w:r>
      <w:r w:rsidR="00623A7B">
        <w:rPr>
          <w:sz w:val="26"/>
          <w:szCs w:val="26"/>
        </w:rPr>
        <w:t>’,</w:t>
      </w:r>
      <w:r w:rsidRPr="005E1849">
        <w:rPr>
          <w:sz w:val="26"/>
          <w:szCs w:val="26"/>
        </w:rPr>
        <w:t xml:space="preserve"> account because her meter was registering electric usage to a barber shop and church located in her building.  The Commission adopted and modified, in part, the Initial Decision of ALJ Allison Turner, issued on December 24, 1996, at Docket No. C</w:t>
      </w:r>
      <w:r w:rsidR="000C3A70">
        <w:rPr>
          <w:sz w:val="26"/>
          <w:szCs w:val="26"/>
        </w:rPr>
        <w:noBreakHyphen/>
      </w:r>
      <w:r w:rsidRPr="005E1849">
        <w:rPr>
          <w:sz w:val="26"/>
          <w:szCs w:val="26"/>
        </w:rPr>
        <w:t>00967757.  The ALJ’s Initial Decision directed Met-Ed to place Ms. Santos</w:t>
      </w:r>
      <w:r w:rsidR="00623A7B">
        <w:rPr>
          <w:sz w:val="26"/>
          <w:szCs w:val="26"/>
        </w:rPr>
        <w:t>’</w:t>
      </w:r>
      <w:r w:rsidRPr="005E1849">
        <w:rPr>
          <w:sz w:val="26"/>
          <w:szCs w:val="26"/>
        </w:rPr>
        <w:t xml:space="preserve"> account in the name of the landlord for all outstanding amounts on the account that accrued as of the date that service was initiated to Ms. Santos at the location where the foreign load existed, for a total of $348.55, less an amount of $40.06, which represented an unpaid bill of Ms. Santos from another address ($348.55-$40.06 = 308.49).  The ALJ stated that she removed the $40.06 from the amount transferred to the landlord’s account since it had been incurred by the complainant at another address.  </w:t>
      </w:r>
      <w:r w:rsidRPr="00FF1675">
        <w:rPr>
          <w:sz w:val="26"/>
          <w:szCs w:val="26"/>
        </w:rPr>
        <w:t>Initial Decision at pp. 23-24.</w:t>
      </w:r>
    </w:p>
    <w:p w:rsidR="005E1849" w:rsidRDefault="005E1849" w:rsidP="000C3A70">
      <w:pPr>
        <w:widowControl/>
        <w:spacing w:line="360" w:lineRule="auto"/>
        <w:ind w:firstLine="1440"/>
        <w:rPr>
          <w:sz w:val="26"/>
          <w:szCs w:val="26"/>
        </w:rPr>
      </w:pPr>
    </w:p>
    <w:p w:rsidR="005E1849" w:rsidRDefault="005E1849" w:rsidP="000C3A70">
      <w:pPr>
        <w:widowControl/>
        <w:spacing w:line="360" w:lineRule="auto"/>
        <w:ind w:firstLine="1440"/>
        <w:rPr>
          <w:sz w:val="26"/>
          <w:szCs w:val="26"/>
        </w:rPr>
      </w:pPr>
      <w:r w:rsidRPr="005E1849">
        <w:rPr>
          <w:sz w:val="26"/>
          <w:szCs w:val="26"/>
        </w:rPr>
        <w:t xml:space="preserve">In </w:t>
      </w:r>
      <w:r w:rsidRPr="005E1849">
        <w:rPr>
          <w:i/>
          <w:sz w:val="26"/>
          <w:szCs w:val="26"/>
        </w:rPr>
        <w:t>Santos</w:t>
      </w:r>
      <w:r w:rsidR="000C3A70">
        <w:rPr>
          <w:sz w:val="26"/>
          <w:szCs w:val="26"/>
        </w:rPr>
        <w:t xml:space="preserve">, the </w:t>
      </w:r>
      <w:r w:rsidR="00046D9D">
        <w:rPr>
          <w:sz w:val="26"/>
          <w:szCs w:val="26"/>
        </w:rPr>
        <w:t>P</w:t>
      </w:r>
      <w:r w:rsidR="000C3A70">
        <w:rPr>
          <w:sz w:val="26"/>
          <w:szCs w:val="26"/>
        </w:rPr>
        <w:t>arties’ E</w:t>
      </w:r>
      <w:r w:rsidRPr="005E1849">
        <w:rPr>
          <w:sz w:val="26"/>
          <w:szCs w:val="26"/>
        </w:rPr>
        <w:t xml:space="preserve">xceptions did not address the ALJ’s decision to remove the prior account balance of $40.06.  </w:t>
      </w:r>
      <w:r w:rsidR="00A56C82">
        <w:rPr>
          <w:sz w:val="26"/>
          <w:szCs w:val="26"/>
        </w:rPr>
        <w:t>T</w:t>
      </w:r>
      <w:r w:rsidRPr="005E1849">
        <w:rPr>
          <w:sz w:val="26"/>
          <w:szCs w:val="26"/>
        </w:rPr>
        <w:t xml:space="preserve">he Commission’s Order </w:t>
      </w:r>
      <w:r w:rsidR="00A56C82">
        <w:rPr>
          <w:sz w:val="26"/>
          <w:szCs w:val="26"/>
        </w:rPr>
        <w:t xml:space="preserve">also </w:t>
      </w:r>
      <w:r w:rsidRPr="005E1849">
        <w:rPr>
          <w:sz w:val="26"/>
          <w:szCs w:val="26"/>
        </w:rPr>
        <w:t>did not expressly address the removal of the prior account balance</w:t>
      </w:r>
      <w:r w:rsidR="00A56C82">
        <w:rPr>
          <w:sz w:val="26"/>
          <w:szCs w:val="26"/>
        </w:rPr>
        <w:t>.  However,</w:t>
      </w:r>
      <w:r w:rsidRPr="005E1849">
        <w:rPr>
          <w:sz w:val="26"/>
          <w:szCs w:val="26"/>
        </w:rPr>
        <w:t xml:space="preserve"> nothing in the </w:t>
      </w:r>
      <w:r w:rsidRPr="005E1849">
        <w:rPr>
          <w:sz w:val="26"/>
          <w:szCs w:val="26"/>
        </w:rPr>
        <w:lastRenderedPageBreak/>
        <w:t xml:space="preserve">Commission’s Order overruled this part of the ALJ’s decision by necessary implication.  Therefore, </w:t>
      </w:r>
      <w:r w:rsidR="002A1D0F">
        <w:rPr>
          <w:sz w:val="26"/>
          <w:szCs w:val="26"/>
        </w:rPr>
        <w:t xml:space="preserve">in our opinion, </w:t>
      </w:r>
      <w:r w:rsidRPr="005E1849">
        <w:rPr>
          <w:sz w:val="26"/>
          <w:szCs w:val="26"/>
        </w:rPr>
        <w:t xml:space="preserve">the Commission’s Order in </w:t>
      </w:r>
      <w:r w:rsidRPr="005E1849">
        <w:rPr>
          <w:i/>
          <w:sz w:val="26"/>
          <w:szCs w:val="26"/>
        </w:rPr>
        <w:t>Santos</w:t>
      </w:r>
      <w:r w:rsidRPr="005E1849">
        <w:rPr>
          <w:sz w:val="26"/>
          <w:szCs w:val="26"/>
        </w:rPr>
        <w:t xml:space="preserve"> must be read as having adopted the ALJ’s decision to remove the $40.06, representing the balance from the tenant’s prior service address, when directing the utility to list the foreign load-affected account in </w:t>
      </w:r>
      <w:r w:rsidR="00AF083F">
        <w:rPr>
          <w:sz w:val="26"/>
          <w:szCs w:val="26"/>
        </w:rPr>
        <w:t>the name of the property owner.</w:t>
      </w:r>
    </w:p>
    <w:p w:rsidR="00A56C82" w:rsidRPr="005E1849" w:rsidRDefault="00A56C82" w:rsidP="000C3A70">
      <w:pPr>
        <w:widowControl/>
        <w:spacing w:line="360" w:lineRule="auto"/>
        <w:ind w:firstLine="1440"/>
        <w:rPr>
          <w:sz w:val="26"/>
          <w:szCs w:val="26"/>
        </w:rPr>
      </w:pPr>
    </w:p>
    <w:p w:rsidR="005E1849" w:rsidRDefault="005E1849" w:rsidP="000C3A70">
      <w:pPr>
        <w:widowControl/>
        <w:spacing w:line="360" w:lineRule="auto"/>
        <w:ind w:firstLine="1440"/>
        <w:rPr>
          <w:sz w:val="26"/>
          <w:szCs w:val="26"/>
        </w:rPr>
      </w:pPr>
      <w:r w:rsidRPr="005E1849">
        <w:rPr>
          <w:sz w:val="26"/>
          <w:szCs w:val="26"/>
        </w:rPr>
        <w:t xml:space="preserve">The </w:t>
      </w:r>
      <w:r w:rsidRPr="005E1849">
        <w:rPr>
          <w:i/>
          <w:sz w:val="26"/>
          <w:szCs w:val="26"/>
        </w:rPr>
        <w:t>Santos</w:t>
      </w:r>
      <w:r w:rsidRPr="005E1849">
        <w:rPr>
          <w:sz w:val="26"/>
          <w:szCs w:val="26"/>
        </w:rPr>
        <w:t xml:space="preserve"> decision was favorably cited by the Commission in </w:t>
      </w:r>
      <w:r w:rsidRPr="005E1849">
        <w:rPr>
          <w:i/>
          <w:sz w:val="26"/>
          <w:szCs w:val="26"/>
        </w:rPr>
        <w:t>Ace Check Cashing</w:t>
      </w:r>
      <w:r w:rsidRPr="005E1849">
        <w:rPr>
          <w:sz w:val="26"/>
          <w:szCs w:val="26"/>
        </w:rPr>
        <w:t xml:space="preserve">.  </w:t>
      </w:r>
      <w:r w:rsidR="002F7EC8" w:rsidRPr="005E1849">
        <w:rPr>
          <w:sz w:val="26"/>
          <w:szCs w:val="26"/>
        </w:rPr>
        <w:t xml:space="preserve">That decision is an important one because it overturned the Commission’s </w:t>
      </w:r>
      <w:r w:rsidR="002F7EC8">
        <w:rPr>
          <w:sz w:val="26"/>
          <w:szCs w:val="26"/>
        </w:rPr>
        <w:t>previous “</w:t>
      </w:r>
      <w:r w:rsidR="002F7EC8" w:rsidRPr="0052563E">
        <w:rPr>
          <w:i/>
          <w:sz w:val="26"/>
          <w:szCs w:val="26"/>
        </w:rPr>
        <w:t>de minimus</w:t>
      </w:r>
      <w:r w:rsidR="002F7EC8">
        <w:rPr>
          <w:sz w:val="26"/>
          <w:szCs w:val="26"/>
        </w:rPr>
        <w:t xml:space="preserve"> exception” </w:t>
      </w:r>
      <w:r w:rsidR="002F7EC8" w:rsidRPr="005E1849">
        <w:rPr>
          <w:sz w:val="26"/>
          <w:szCs w:val="26"/>
        </w:rPr>
        <w:t xml:space="preserve">policy articulated in </w:t>
      </w:r>
      <w:r w:rsidR="002F7EC8" w:rsidRPr="005E1849">
        <w:rPr>
          <w:i/>
          <w:sz w:val="26"/>
          <w:szCs w:val="26"/>
        </w:rPr>
        <w:t>Afshari</w:t>
      </w:r>
      <w:r w:rsidR="002F7EC8">
        <w:rPr>
          <w:sz w:val="26"/>
          <w:szCs w:val="26"/>
        </w:rPr>
        <w:t xml:space="preserve">.  In </w:t>
      </w:r>
      <w:r w:rsidR="002F7EC8" w:rsidRPr="0052563E">
        <w:rPr>
          <w:i/>
          <w:sz w:val="26"/>
          <w:szCs w:val="26"/>
        </w:rPr>
        <w:t>Afshari</w:t>
      </w:r>
      <w:r w:rsidR="002F7EC8">
        <w:rPr>
          <w:sz w:val="26"/>
          <w:szCs w:val="26"/>
        </w:rPr>
        <w:t>, the</w:t>
      </w:r>
      <w:r w:rsidR="002F7EC8" w:rsidRPr="005E1849">
        <w:rPr>
          <w:sz w:val="26"/>
          <w:szCs w:val="26"/>
        </w:rPr>
        <w:t xml:space="preserve"> Commission determined that a landlord cannot be held responsible for the entire arrearage on the foreign load-affected account where the foreign load usage constitutes only a </w:t>
      </w:r>
      <w:r w:rsidR="002F7EC8" w:rsidRPr="005E1849">
        <w:rPr>
          <w:i/>
          <w:sz w:val="26"/>
          <w:szCs w:val="26"/>
        </w:rPr>
        <w:t>de minimus</w:t>
      </w:r>
      <w:r w:rsidR="002F7EC8" w:rsidRPr="005E1849">
        <w:rPr>
          <w:sz w:val="26"/>
          <w:szCs w:val="26"/>
        </w:rPr>
        <w:t xml:space="preserve"> portion of the total balance.  In </w:t>
      </w:r>
      <w:r w:rsidR="002F7EC8" w:rsidRPr="005E1849">
        <w:rPr>
          <w:i/>
          <w:sz w:val="26"/>
          <w:szCs w:val="26"/>
        </w:rPr>
        <w:t>Ace Check Cashing</w:t>
      </w:r>
      <w:r w:rsidR="002F7EC8" w:rsidRPr="005E1849">
        <w:rPr>
          <w:sz w:val="26"/>
          <w:szCs w:val="26"/>
        </w:rPr>
        <w:t xml:space="preserve">, the Commission </w:t>
      </w:r>
      <w:r w:rsidR="002F7EC8">
        <w:rPr>
          <w:sz w:val="26"/>
          <w:szCs w:val="26"/>
        </w:rPr>
        <w:t xml:space="preserve">overturned itself and </w:t>
      </w:r>
      <w:r w:rsidR="002F7EC8" w:rsidRPr="005E1849">
        <w:rPr>
          <w:sz w:val="26"/>
          <w:szCs w:val="26"/>
        </w:rPr>
        <w:t xml:space="preserve">articulated its long-standing foreign load policy that existed prior to </w:t>
      </w:r>
      <w:r w:rsidR="002F7EC8" w:rsidRPr="005E1849">
        <w:rPr>
          <w:i/>
          <w:sz w:val="26"/>
          <w:szCs w:val="26"/>
        </w:rPr>
        <w:t>Afshari</w:t>
      </w:r>
      <w:r w:rsidR="002F7EC8" w:rsidRPr="005E1849">
        <w:rPr>
          <w:sz w:val="26"/>
          <w:szCs w:val="26"/>
        </w:rPr>
        <w:t>, describ</w:t>
      </w:r>
      <w:r w:rsidR="002F7EC8">
        <w:rPr>
          <w:sz w:val="26"/>
          <w:szCs w:val="26"/>
        </w:rPr>
        <w:t>ing</w:t>
      </w:r>
      <w:r w:rsidR="002F7EC8" w:rsidRPr="005E1849">
        <w:rPr>
          <w:sz w:val="26"/>
          <w:szCs w:val="26"/>
        </w:rPr>
        <w:t xml:space="preserve"> it</w:t>
      </w:r>
      <w:r w:rsidR="002F7EC8" w:rsidRPr="005E1849">
        <w:rPr>
          <w:i/>
          <w:sz w:val="26"/>
          <w:szCs w:val="26"/>
        </w:rPr>
        <w:t xml:space="preserve"> </w:t>
      </w:r>
      <w:r w:rsidR="002F7EC8" w:rsidRPr="005E1849">
        <w:rPr>
          <w:sz w:val="26"/>
          <w:szCs w:val="26"/>
        </w:rPr>
        <w:t>as being “clear and consistent with a plain reading of the statute.”</w:t>
      </w:r>
    </w:p>
    <w:p w:rsidR="00A56C82" w:rsidRPr="005E1849" w:rsidRDefault="00A56C82" w:rsidP="000C3A70">
      <w:pPr>
        <w:widowControl/>
        <w:spacing w:line="360" w:lineRule="auto"/>
        <w:ind w:firstLine="1440"/>
        <w:rPr>
          <w:sz w:val="26"/>
          <w:szCs w:val="26"/>
        </w:rPr>
      </w:pPr>
    </w:p>
    <w:p w:rsidR="005E1849" w:rsidRDefault="005E1849" w:rsidP="000C3A70">
      <w:pPr>
        <w:widowControl/>
        <w:spacing w:line="360" w:lineRule="auto"/>
        <w:ind w:firstLine="1440"/>
        <w:rPr>
          <w:sz w:val="26"/>
          <w:szCs w:val="26"/>
        </w:rPr>
      </w:pPr>
      <w:r w:rsidRPr="005E1849">
        <w:rPr>
          <w:sz w:val="26"/>
          <w:szCs w:val="26"/>
        </w:rPr>
        <w:t xml:space="preserve">That long-standing foreign load policy, as articulated in </w:t>
      </w:r>
      <w:r w:rsidRPr="005E1849">
        <w:rPr>
          <w:i/>
          <w:sz w:val="26"/>
          <w:szCs w:val="26"/>
        </w:rPr>
        <w:t>Ace Check Cashing,</w:t>
      </w:r>
      <w:r w:rsidRPr="005E1849">
        <w:rPr>
          <w:sz w:val="26"/>
          <w:szCs w:val="26"/>
        </w:rPr>
        <w:t xml:space="preserve"> is as follows</w:t>
      </w:r>
      <w:r w:rsidR="004A2F50">
        <w:rPr>
          <w:sz w:val="26"/>
          <w:szCs w:val="26"/>
        </w:rPr>
        <w:t xml:space="preserve"> (emphasis added)</w:t>
      </w:r>
      <w:r w:rsidR="00AF083F">
        <w:rPr>
          <w:sz w:val="26"/>
          <w:szCs w:val="26"/>
        </w:rPr>
        <w:t>:</w:t>
      </w:r>
    </w:p>
    <w:p w:rsidR="00A56C82" w:rsidRPr="005E1849" w:rsidRDefault="00A56C82" w:rsidP="000C3A70">
      <w:pPr>
        <w:widowControl/>
        <w:spacing w:line="360" w:lineRule="auto"/>
        <w:ind w:firstLine="1440"/>
        <w:rPr>
          <w:sz w:val="26"/>
          <w:szCs w:val="26"/>
        </w:rPr>
      </w:pPr>
    </w:p>
    <w:p w:rsidR="005E1849" w:rsidRDefault="005E1849" w:rsidP="000C3A70">
      <w:pPr>
        <w:widowControl/>
        <w:ind w:left="1440" w:right="1440"/>
        <w:rPr>
          <w:sz w:val="26"/>
          <w:szCs w:val="26"/>
        </w:rPr>
      </w:pPr>
      <w:r w:rsidRPr="005E1849">
        <w:rPr>
          <w:sz w:val="26"/>
          <w:szCs w:val="26"/>
        </w:rPr>
        <w:t xml:space="preserve">Upon the finding of foreign load, the utility would list the account, </w:t>
      </w:r>
      <w:r w:rsidRPr="004A2F50">
        <w:rPr>
          <w:i/>
          <w:sz w:val="26"/>
          <w:szCs w:val="26"/>
        </w:rPr>
        <w:t>including any arrearages</w:t>
      </w:r>
      <w:r w:rsidRPr="005E1849">
        <w:rPr>
          <w:sz w:val="26"/>
          <w:szCs w:val="26"/>
        </w:rPr>
        <w:t>, in the name of the landlord.  The landlord had the responsibility to pay the utility bills until the foreign load was corrected.  Once the foreign load was corrected by the landlord and verified by the utility, the utility would place the account back in the name of the tenant.  However, t</w:t>
      </w:r>
      <w:r w:rsidRPr="004A2F50">
        <w:rPr>
          <w:i/>
          <w:sz w:val="26"/>
          <w:szCs w:val="26"/>
        </w:rPr>
        <w:t>he arrearage, if any, was to remain with the landlord</w:t>
      </w:r>
      <w:r w:rsidRPr="005E1849">
        <w:rPr>
          <w:sz w:val="26"/>
          <w:szCs w:val="26"/>
        </w:rPr>
        <w:t xml:space="preserve">.  There was no </w:t>
      </w:r>
      <w:r w:rsidRPr="005E1849">
        <w:rPr>
          <w:i/>
          <w:sz w:val="26"/>
          <w:szCs w:val="26"/>
        </w:rPr>
        <w:t>de minimus</w:t>
      </w:r>
      <w:r w:rsidRPr="005E1849">
        <w:rPr>
          <w:sz w:val="26"/>
          <w:szCs w:val="26"/>
        </w:rPr>
        <w:t xml:space="preserve"> exception, and any dispute regarding the financial responsibilities of the parties [as between landlord and tenant] was a matter to be resolved in the Court of Common Pleas and outside this C</w:t>
      </w:r>
      <w:r w:rsidR="000C3A70">
        <w:rPr>
          <w:sz w:val="26"/>
          <w:szCs w:val="26"/>
        </w:rPr>
        <w:t>ommission’s jurisdiction.</w:t>
      </w:r>
    </w:p>
    <w:p w:rsidR="000C3A70" w:rsidRDefault="000C3A70" w:rsidP="000C3A70">
      <w:pPr>
        <w:widowControl/>
        <w:ind w:left="1440" w:right="1440"/>
        <w:rPr>
          <w:sz w:val="26"/>
          <w:szCs w:val="26"/>
        </w:rPr>
      </w:pPr>
    </w:p>
    <w:p w:rsidR="00A56C82" w:rsidRPr="005E1849" w:rsidRDefault="00A56C82" w:rsidP="000C3A70">
      <w:pPr>
        <w:widowControl/>
        <w:spacing w:line="360" w:lineRule="auto"/>
        <w:ind w:left="1440" w:right="1440"/>
        <w:rPr>
          <w:sz w:val="26"/>
          <w:szCs w:val="26"/>
        </w:rPr>
      </w:pPr>
    </w:p>
    <w:p w:rsidR="005E1849" w:rsidRDefault="005E1849" w:rsidP="000C3A70">
      <w:pPr>
        <w:widowControl/>
        <w:spacing w:line="360" w:lineRule="auto"/>
        <w:ind w:firstLine="1440"/>
        <w:rPr>
          <w:sz w:val="26"/>
          <w:szCs w:val="26"/>
        </w:rPr>
      </w:pPr>
      <w:r w:rsidRPr="005E1849">
        <w:rPr>
          <w:sz w:val="26"/>
          <w:szCs w:val="26"/>
        </w:rPr>
        <w:lastRenderedPageBreak/>
        <w:t xml:space="preserve">In discussing the reasons for overturning the policy articulated in </w:t>
      </w:r>
      <w:r w:rsidRPr="005E1849">
        <w:rPr>
          <w:i/>
          <w:sz w:val="26"/>
          <w:szCs w:val="26"/>
        </w:rPr>
        <w:t>Afshari</w:t>
      </w:r>
      <w:r w:rsidRPr="005E1849">
        <w:rPr>
          <w:sz w:val="26"/>
          <w:szCs w:val="26"/>
        </w:rPr>
        <w:t xml:space="preserve">, the Commission specifically cited to </w:t>
      </w:r>
      <w:r w:rsidRPr="005E1849">
        <w:rPr>
          <w:i/>
          <w:sz w:val="26"/>
          <w:szCs w:val="26"/>
        </w:rPr>
        <w:t xml:space="preserve">Santos </w:t>
      </w:r>
      <w:r w:rsidRPr="005E1849">
        <w:rPr>
          <w:sz w:val="26"/>
          <w:szCs w:val="26"/>
        </w:rPr>
        <w:t xml:space="preserve">as an example of the Commission’s long-standing precedent which held “that Subsection (c) [of Section 1529.1] operates to place both </w:t>
      </w:r>
      <w:r w:rsidRPr="005E1849">
        <w:rPr>
          <w:i/>
          <w:sz w:val="26"/>
          <w:szCs w:val="26"/>
        </w:rPr>
        <w:t>current bills and all arrearages</w:t>
      </w:r>
      <w:r w:rsidRPr="005E1849">
        <w:rPr>
          <w:sz w:val="26"/>
          <w:szCs w:val="26"/>
        </w:rPr>
        <w:t xml:space="preserve"> in the landlord’s name if the landlord failed to provide the notice required by Subsection (a)</w:t>
      </w:r>
      <w:r w:rsidR="002F7EC8">
        <w:rPr>
          <w:sz w:val="26"/>
          <w:szCs w:val="26"/>
        </w:rPr>
        <w:t>.</w:t>
      </w:r>
      <w:r w:rsidRPr="005E1849">
        <w:rPr>
          <w:sz w:val="26"/>
          <w:szCs w:val="26"/>
        </w:rPr>
        <w:t xml:space="preserve">” </w:t>
      </w:r>
      <w:r w:rsidR="002F7EC8">
        <w:rPr>
          <w:sz w:val="26"/>
          <w:szCs w:val="26"/>
        </w:rPr>
        <w:t xml:space="preserve"> </w:t>
      </w:r>
      <w:r w:rsidR="002F7EC8" w:rsidRPr="001C25EC">
        <w:rPr>
          <w:i/>
          <w:sz w:val="26"/>
          <w:szCs w:val="26"/>
        </w:rPr>
        <w:t>Ace Check Cashing</w:t>
      </w:r>
      <w:r w:rsidR="002F7EC8" w:rsidRPr="005E1849">
        <w:rPr>
          <w:sz w:val="26"/>
          <w:szCs w:val="26"/>
        </w:rPr>
        <w:t xml:space="preserve"> (emphasis added).</w:t>
      </w:r>
    </w:p>
    <w:p w:rsidR="003E1CBB" w:rsidRPr="005E1849" w:rsidRDefault="003E1CBB" w:rsidP="000C3A70">
      <w:pPr>
        <w:widowControl/>
        <w:spacing w:line="360" w:lineRule="auto"/>
        <w:ind w:firstLine="1440"/>
        <w:rPr>
          <w:sz w:val="26"/>
          <w:szCs w:val="26"/>
        </w:rPr>
      </w:pPr>
    </w:p>
    <w:p w:rsidR="005E1849" w:rsidRDefault="005E1849" w:rsidP="000C3A70">
      <w:pPr>
        <w:widowControl/>
        <w:spacing w:line="360" w:lineRule="auto"/>
        <w:ind w:firstLine="1440"/>
        <w:rPr>
          <w:sz w:val="26"/>
          <w:szCs w:val="26"/>
        </w:rPr>
      </w:pPr>
      <w:r w:rsidRPr="005E1849">
        <w:rPr>
          <w:sz w:val="26"/>
          <w:szCs w:val="26"/>
        </w:rPr>
        <w:t xml:space="preserve">Thus, in reading </w:t>
      </w:r>
      <w:r w:rsidRPr="005E1849">
        <w:rPr>
          <w:i/>
          <w:sz w:val="26"/>
          <w:szCs w:val="26"/>
        </w:rPr>
        <w:t xml:space="preserve">Ace Check Cashing </w:t>
      </w:r>
      <w:r w:rsidRPr="005E1849">
        <w:rPr>
          <w:sz w:val="26"/>
          <w:szCs w:val="26"/>
        </w:rPr>
        <w:t xml:space="preserve">and </w:t>
      </w:r>
      <w:r w:rsidRPr="005E1849">
        <w:rPr>
          <w:i/>
          <w:sz w:val="26"/>
          <w:szCs w:val="26"/>
        </w:rPr>
        <w:t xml:space="preserve">Santos </w:t>
      </w:r>
      <w:r w:rsidRPr="005E1849">
        <w:rPr>
          <w:sz w:val="26"/>
          <w:szCs w:val="26"/>
        </w:rPr>
        <w:t xml:space="preserve">together, it appears the Commission previously </w:t>
      </w:r>
      <w:r w:rsidR="000C3A70" w:rsidRPr="005E1849">
        <w:rPr>
          <w:sz w:val="26"/>
          <w:szCs w:val="26"/>
        </w:rPr>
        <w:t>has</w:t>
      </w:r>
      <w:r w:rsidR="000C3A70">
        <w:rPr>
          <w:sz w:val="26"/>
          <w:szCs w:val="26"/>
        </w:rPr>
        <w:t xml:space="preserve"> </w:t>
      </w:r>
      <w:r w:rsidRPr="005E1849">
        <w:rPr>
          <w:sz w:val="26"/>
          <w:szCs w:val="26"/>
        </w:rPr>
        <w:t xml:space="preserve">determined that “all arrearages” means only those arrearages accumulated at the premises/service address where the foreign load is found to exist, and </w:t>
      </w:r>
      <w:r w:rsidR="004A2F50">
        <w:rPr>
          <w:sz w:val="26"/>
          <w:szCs w:val="26"/>
        </w:rPr>
        <w:t xml:space="preserve">does not include </w:t>
      </w:r>
      <w:r w:rsidRPr="005E1849">
        <w:rPr>
          <w:sz w:val="26"/>
          <w:szCs w:val="26"/>
        </w:rPr>
        <w:t xml:space="preserve">arrearages that had accumulated while the tenant resided at another service address </w:t>
      </w:r>
      <w:r w:rsidR="004A2F50">
        <w:rPr>
          <w:sz w:val="26"/>
          <w:szCs w:val="26"/>
        </w:rPr>
        <w:t xml:space="preserve">which </w:t>
      </w:r>
      <w:r w:rsidRPr="005E1849">
        <w:rPr>
          <w:sz w:val="26"/>
          <w:szCs w:val="26"/>
        </w:rPr>
        <w:t xml:space="preserve">had been transferred </w:t>
      </w:r>
      <w:r w:rsidR="004A2F50">
        <w:rPr>
          <w:sz w:val="26"/>
          <w:szCs w:val="26"/>
        </w:rPr>
        <w:t xml:space="preserve">by the utility </w:t>
      </w:r>
      <w:r w:rsidRPr="005E1849">
        <w:rPr>
          <w:sz w:val="26"/>
          <w:szCs w:val="26"/>
        </w:rPr>
        <w:t>to follow the</w:t>
      </w:r>
      <w:r w:rsidR="004A2F50">
        <w:rPr>
          <w:sz w:val="26"/>
          <w:szCs w:val="26"/>
        </w:rPr>
        <w:t xml:space="preserve"> financially-responsible </w:t>
      </w:r>
      <w:r w:rsidRPr="005E1849">
        <w:rPr>
          <w:sz w:val="26"/>
          <w:szCs w:val="26"/>
        </w:rPr>
        <w:t>tenant to the foreign load-affected service address.</w:t>
      </w:r>
    </w:p>
    <w:p w:rsidR="001937BA" w:rsidRDefault="001937BA" w:rsidP="000C3A70">
      <w:pPr>
        <w:widowControl/>
        <w:spacing w:line="360" w:lineRule="auto"/>
        <w:ind w:firstLine="1440"/>
        <w:rPr>
          <w:sz w:val="26"/>
          <w:szCs w:val="26"/>
        </w:rPr>
      </w:pPr>
    </w:p>
    <w:p w:rsidR="001937BA" w:rsidRPr="00E67752" w:rsidRDefault="001937BA" w:rsidP="000C3A70">
      <w:pPr>
        <w:widowControl/>
        <w:spacing w:line="360" w:lineRule="auto"/>
        <w:ind w:firstLine="1440"/>
        <w:rPr>
          <w:sz w:val="26"/>
          <w:szCs w:val="26"/>
        </w:rPr>
      </w:pPr>
      <w:r w:rsidRPr="00E67752">
        <w:rPr>
          <w:bCs/>
          <w:sz w:val="26"/>
          <w:szCs w:val="26"/>
        </w:rPr>
        <w:t>Accordingly, we view our decision herein essentially</w:t>
      </w:r>
      <w:r w:rsidR="002F7EC8">
        <w:rPr>
          <w:bCs/>
          <w:sz w:val="26"/>
          <w:szCs w:val="26"/>
        </w:rPr>
        <w:t xml:space="preserve"> as</w:t>
      </w:r>
      <w:r w:rsidRPr="00E67752">
        <w:rPr>
          <w:bCs/>
          <w:sz w:val="26"/>
          <w:szCs w:val="26"/>
        </w:rPr>
        <w:t xml:space="preserve"> clarification </w:t>
      </w:r>
      <w:r>
        <w:rPr>
          <w:bCs/>
          <w:sz w:val="26"/>
          <w:szCs w:val="26"/>
        </w:rPr>
        <w:t>to</w:t>
      </w:r>
      <w:r w:rsidRPr="00E67752">
        <w:rPr>
          <w:bCs/>
          <w:sz w:val="26"/>
          <w:szCs w:val="26"/>
        </w:rPr>
        <w:t xml:space="preserve"> the Commission’s long-standing precedent in the situation where</w:t>
      </w:r>
      <w:r>
        <w:rPr>
          <w:bCs/>
          <w:sz w:val="26"/>
          <w:szCs w:val="26"/>
        </w:rPr>
        <w:t xml:space="preserve"> the foreign load-affected account includes an arrearage that</w:t>
      </w:r>
      <w:r w:rsidRPr="00E67752">
        <w:rPr>
          <w:bCs/>
          <w:sz w:val="26"/>
          <w:szCs w:val="26"/>
        </w:rPr>
        <w:t xml:space="preserve"> the tenant has carried over from a </w:t>
      </w:r>
      <w:r>
        <w:rPr>
          <w:bCs/>
          <w:sz w:val="26"/>
          <w:szCs w:val="26"/>
        </w:rPr>
        <w:t>prior</w:t>
      </w:r>
      <w:r w:rsidRPr="00E67752">
        <w:rPr>
          <w:bCs/>
          <w:sz w:val="26"/>
          <w:szCs w:val="26"/>
        </w:rPr>
        <w:t xml:space="preserve"> service address.  When the utility lists the foreign load-affected account in the name of the property owner in accordance with Subsection (b), it should only include the current balance and any arrearage accrued since the tenant established service at the foreign load-affected premises.  The utility should exclude any of the tenant’s prior account balances that accrued at another service address.  Prior account balances from another address shall remain the financial responsibility of the tenant.</w:t>
      </w:r>
    </w:p>
    <w:p w:rsidR="002A1D0F" w:rsidRDefault="002A1D0F" w:rsidP="000C3A70">
      <w:pPr>
        <w:widowControl/>
        <w:spacing w:line="360" w:lineRule="auto"/>
        <w:ind w:firstLine="1440"/>
        <w:rPr>
          <w:sz w:val="26"/>
          <w:szCs w:val="26"/>
        </w:rPr>
      </w:pPr>
    </w:p>
    <w:p w:rsidR="002A1D0F" w:rsidRDefault="002417B5" w:rsidP="000C3A70">
      <w:pPr>
        <w:widowControl/>
        <w:spacing w:line="360" w:lineRule="auto"/>
        <w:ind w:firstLine="1440"/>
        <w:rPr>
          <w:bCs/>
          <w:sz w:val="26"/>
          <w:szCs w:val="26"/>
        </w:rPr>
      </w:pPr>
      <w:bookmarkStart w:id="10" w:name="_Hlk505942787"/>
      <w:r>
        <w:rPr>
          <w:bCs/>
          <w:sz w:val="26"/>
          <w:szCs w:val="26"/>
        </w:rPr>
        <w:t xml:space="preserve">Furthermore, we believe the determination herein does not present the same legal and policy problems that were presented by </w:t>
      </w:r>
      <w:r w:rsidR="002A1D0F" w:rsidRPr="002A1D0F">
        <w:rPr>
          <w:bCs/>
          <w:sz w:val="26"/>
          <w:szCs w:val="26"/>
        </w:rPr>
        <w:t>the Commission’s previous “</w:t>
      </w:r>
      <w:r w:rsidR="002A1D0F" w:rsidRPr="002A1D0F">
        <w:rPr>
          <w:bCs/>
          <w:i/>
          <w:sz w:val="26"/>
          <w:szCs w:val="26"/>
        </w:rPr>
        <w:t>de minimus</w:t>
      </w:r>
      <w:r w:rsidR="002A1D0F" w:rsidRPr="002A1D0F">
        <w:rPr>
          <w:bCs/>
          <w:sz w:val="26"/>
          <w:szCs w:val="26"/>
        </w:rPr>
        <w:t xml:space="preserve"> exception” policy established in</w:t>
      </w:r>
      <w:r w:rsidR="002A1D0F" w:rsidRPr="002A1D0F">
        <w:rPr>
          <w:bCs/>
          <w:i/>
          <w:sz w:val="26"/>
          <w:szCs w:val="26"/>
        </w:rPr>
        <w:t xml:space="preserve"> Afshari</w:t>
      </w:r>
      <w:r>
        <w:rPr>
          <w:bCs/>
          <w:sz w:val="26"/>
          <w:szCs w:val="26"/>
        </w:rPr>
        <w:t xml:space="preserve">.  In </w:t>
      </w:r>
      <w:r w:rsidR="002A1D0F" w:rsidRPr="002A1D0F">
        <w:rPr>
          <w:bCs/>
          <w:i/>
          <w:sz w:val="26"/>
          <w:szCs w:val="26"/>
        </w:rPr>
        <w:t>Ace Check Cashing</w:t>
      </w:r>
      <w:r>
        <w:rPr>
          <w:bCs/>
          <w:sz w:val="26"/>
          <w:szCs w:val="26"/>
        </w:rPr>
        <w:t>, we explained the problems created by the “</w:t>
      </w:r>
      <w:r w:rsidRPr="002417B5">
        <w:rPr>
          <w:bCs/>
          <w:i/>
          <w:sz w:val="26"/>
          <w:szCs w:val="26"/>
        </w:rPr>
        <w:t>de minimus</w:t>
      </w:r>
      <w:r w:rsidR="000C3A70">
        <w:rPr>
          <w:bCs/>
          <w:sz w:val="26"/>
          <w:szCs w:val="26"/>
        </w:rPr>
        <w:t xml:space="preserve"> exception” as follows:</w:t>
      </w:r>
    </w:p>
    <w:bookmarkEnd w:id="10"/>
    <w:p w:rsidR="002A1D0F" w:rsidRPr="002A1D0F" w:rsidRDefault="002A1D0F" w:rsidP="000C3A70">
      <w:pPr>
        <w:widowControl/>
        <w:spacing w:line="360" w:lineRule="auto"/>
        <w:ind w:firstLine="1440"/>
        <w:rPr>
          <w:bCs/>
          <w:sz w:val="26"/>
          <w:szCs w:val="26"/>
        </w:rPr>
      </w:pPr>
    </w:p>
    <w:p w:rsidR="002A1D0F" w:rsidRDefault="002A1D0F" w:rsidP="000C3A70">
      <w:pPr>
        <w:widowControl/>
        <w:ind w:left="1440" w:right="1440"/>
        <w:rPr>
          <w:bCs/>
          <w:sz w:val="26"/>
          <w:szCs w:val="26"/>
        </w:rPr>
      </w:pPr>
      <w:r w:rsidRPr="002A1D0F">
        <w:rPr>
          <w:bCs/>
          <w:sz w:val="26"/>
          <w:szCs w:val="26"/>
        </w:rPr>
        <w:lastRenderedPageBreak/>
        <w:t>The intricacies of this case bring to the forefront two problems</w:t>
      </w:r>
      <w:r w:rsidR="000C3A70">
        <w:rPr>
          <w:bCs/>
          <w:sz w:val="26"/>
          <w:szCs w:val="26"/>
        </w:rPr>
        <w:t xml:space="preserve"> . . . </w:t>
      </w:r>
      <w:r w:rsidRPr="002A1D0F">
        <w:rPr>
          <w:bCs/>
          <w:sz w:val="26"/>
          <w:szCs w:val="26"/>
        </w:rPr>
        <w:t>(1) the Commission’s lack of jurisdiction over private disputes between non-utility parties; and (2) the lack of due process protected afforded to tenants who are joined as indispensable parties to this type of proceeding.</w:t>
      </w:r>
    </w:p>
    <w:p w:rsidR="002A1D0F" w:rsidRPr="002A1D0F" w:rsidRDefault="002A1D0F" w:rsidP="000C3A70">
      <w:pPr>
        <w:widowControl/>
        <w:ind w:left="1440" w:right="1440"/>
        <w:rPr>
          <w:bCs/>
          <w:sz w:val="26"/>
          <w:szCs w:val="26"/>
        </w:rPr>
      </w:pPr>
    </w:p>
    <w:p w:rsidR="002A1D0F" w:rsidRPr="002A1D0F" w:rsidRDefault="002A1D0F" w:rsidP="000C3A70">
      <w:pPr>
        <w:widowControl/>
        <w:ind w:left="1440" w:right="1440"/>
        <w:jc w:val="center"/>
        <w:rPr>
          <w:bCs/>
          <w:sz w:val="26"/>
          <w:szCs w:val="26"/>
        </w:rPr>
      </w:pPr>
      <w:r w:rsidRPr="002A1D0F">
        <w:rPr>
          <w:bCs/>
          <w:sz w:val="26"/>
          <w:szCs w:val="26"/>
        </w:rPr>
        <w:t>* * *</w:t>
      </w:r>
    </w:p>
    <w:p w:rsidR="002A1D0F" w:rsidRDefault="002A1D0F" w:rsidP="000C3A70">
      <w:pPr>
        <w:widowControl/>
        <w:ind w:left="1440" w:right="1440"/>
        <w:rPr>
          <w:bCs/>
          <w:sz w:val="26"/>
          <w:szCs w:val="26"/>
        </w:rPr>
      </w:pPr>
    </w:p>
    <w:p w:rsidR="002A1D0F" w:rsidRDefault="002A1D0F" w:rsidP="000C3A70">
      <w:pPr>
        <w:widowControl/>
        <w:ind w:left="1440" w:right="1440"/>
        <w:rPr>
          <w:bCs/>
          <w:sz w:val="26"/>
          <w:szCs w:val="26"/>
        </w:rPr>
      </w:pPr>
      <w:r w:rsidRPr="002A1D0F">
        <w:rPr>
          <w:bCs/>
          <w:sz w:val="26"/>
          <w:szCs w:val="26"/>
        </w:rPr>
        <w:t xml:space="preserve">[T]he decision in </w:t>
      </w:r>
      <w:r w:rsidRPr="002A1D0F">
        <w:rPr>
          <w:bCs/>
          <w:i/>
          <w:sz w:val="26"/>
          <w:szCs w:val="26"/>
        </w:rPr>
        <w:t xml:space="preserve">Afshari </w:t>
      </w:r>
      <w:r w:rsidRPr="002A1D0F">
        <w:rPr>
          <w:bCs/>
          <w:sz w:val="26"/>
          <w:szCs w:val="26"/>
        </w:rPr>
        <w:t xml:space="preserve">sought to avoid an unreasonably harsh result for the landlord in that it does not require the owner to be responsible for the tenant’s potentially large arrearages, especially where the foreign load is </w:t>
      </w:r>
      <w:r w:rsidRPr="002A1D0F">
        <w:rPr>
          <w:bCs/>
          <w:i/>
          <w:sz w:val="26"/>
          <w:szCs w:val="26"/>
        </w:rPr>
        <w:t>de minimus</w:t>
      </w:r>
      <w:r w:rsidRPr="002A1D0F">
        <w:rPr>
          <w:bCs/>
          <w:sz w:val="26"/>
          <w:szCs w:val="26"/>
        </w:rPr>
        <w:t xml:space="preserve">.  However, the approach in </w:t>
      </w:r>
      <w:r w:rsidRPr="002A1D0F">
        <w:rPr>
          <w:bCs/>
          <w:i/>
          <w:sz w:val="26"/>
          <w:szCs w:val="26"/>
        </w:rPr>
        <w:t>Afshari</w:t>
      </w:r>
      <w:r w:rsidRPr="002A1D0F">
        <w:rPr>
          <w:bCs/>
          <w:sz w:val="26"/>
          <w:szCs w:val="26"/>
        </w:rPr>
        <w:t xml:space="preserve"> lessens the incentive for the landlord to correct the foreign load situation that is due to a wiring, plumbing or piping problem for which the landlord is responsible</w:t>
      </w:r>
      <w:r w:rsidR="000C3A70">
        <w:rPr>
          <w:bCs/>
          <w:sz w:val="26"/>
          <w:szCs w:val="26"/>
        </w:rPr>
        <w:t xml:space="preserve"> . . . </w:t>
      </w:r>
      <w:r w:rsidRPr="002A1D0F">
        <w:rPr>
          <w:bCs/>
          <w:sz w:val="26"/>
          <w:szCs w:val="26"/>
        </w:rPr>
        <w:t xml:space="preserve">a determination that the landlord’s financial responsibility for arrearage is strictly limited to the foreign load portion of the arrearage is problematic. </w:t>
      </w:r>
      <w:r w:rsidR="000C3A70">
        <w:rPr>
          <w:bCs/>
          <w:sz w:val="26"/>
          <w:szCs w:val="26"/>
        </w:rPr>
        <w:t xml:space="preserve"> </w:t>
      </w:r>
      <w:r w:rsidRPr="002A1D0F">
        <w:rPr>
          <w:bCs/>
          <w:sz w:val="26"/>
          <w:szCs w:val="26"/>
        </w:rPr>
        <w:t>This is because</w:t>
      </w:r>
      <w:r w:rsidR="000C3A70">
        <w:rPr>
          <w:bCs/>
          <w:sz w:val="26"/>
          <w:szCs w:val="26"/>
        </w:rPr>
        <w:t xml:space="preserve"> . . . </w:t>
      </w:r>
      <w:r w:rsidRPr="002A1D0F">
        <w:rPr>
          <w:bCs/>
          <w:sz w:val="26"/>
          <w:szCs w:val="26"/>
        </w:rPr>
        <w:t>Subsection (b)…clearly mandates that the landlord “shall thereafter be responsible for the payment for the utility services rendered [to the rental property].”</w:t>
      </w:r>
    </w:p>
    <w:p w:rsidR="002A1D0F" w:rsidRPr="002A1D0F" w:rsidRDefault="002A1D0F" w:rsidP="000C3A70">
      <w:pPr>
        <w:widowControl/>
        <w:spacing w:line="360" w:lineRule="auto"/>
        <w:ind w:left="1440" w:right="1440"/>
        <w:rPr>
          <w:bCs/>
          <w:sz w:val="26"/>
          <w:szCs w:val="26"/>
        </w:rPr>
      </w:pPr>
    </w:p>
    <w:p w:rsidR="002417B5" w:rsidRDefault="002417B5" w:rsidP="000C3A70">
      <w:pPr>
        <w:widowControl/>
        <w:spacing w:line="360" w:lineRule="auto"/>
        <w:ind w:firstLine="1440"/>
        <w:rPr>
          <w:bCs/>
          <w:sz w:val="26"/>
          <w:szCs w:val="26"/>
        </w:rPr>
      </w:pPr>
      <w:r>
        <w:rPr>
          <w:bCs/>
          <w:sz w:val="26"/>
          <w:szCs w:val="26"/>
        </w:rPr>
        <w:t>Here,</w:t>
      </w:r>
      <w:r w:rsidRPr="002A1D0F">
        <w:rPr>
          <w:bCs/>
          <w:sz w:val="26"/>
          <w:szCs w:val="26"/>
        </w:rPr>
        <w:t xml:space="preserve"> unlike</w:t>
      </w:r>
      <w:r>
        <w:rPr>
          <w:bCs/>
          <w:sz w:val="26"/>
          <w:szCs w:val="26"/>
        </w:rPr>
        <w:t xml:space="preserve"> the</w:t>
      </w:r>
      <w:r w:rsidR="00680483">
        <w:rPr>
          <w:bCs/>
          <w:sz w:val="26"/>
          <w:szCs w:val="26"/>
        </w:rPr>
        <w:t xml:space="preserve"> previous</w:t>
      </w:r>
      <w:r>
        <w:rPr>
          <w:bCs/>
          <w:sz w:val="26"/>
          <w:szCs w:val="26"/>
        </w:rPr>
        <w:t xml:space="preserve"> “</w:t>
      </w:r>
      <w:r w:rsidRPr="001C25EC">
        <w:rPr>
          <w:bCs/>
          <w:i/>
          <w:sz w:val="26"/>
          <w:szCs w:val="26"/>
        </w:rPr>
        <w:t>de minimus</w:t>
      </w:r>
      <w:r>
        <w:rPr>
          <w:bCs/>
          <w:sz w:val="26"/>
          <w:szCs w:val="26"/>
        </w:rPr>
        <w:t xml:space="preserve"> exception</w:t>
      </w:r>
      <w:r w:rsidR="00680483">
        <w:rPr>
          <w:bCs/>
          <w:sz w:val="26"/>
          <w:szCs w:val="26"/>
        </w:rPr>
        <w:t>,</w:t>
      </w:r>
      <w:r>
        <w:rPr>
          <w:bCs/>
          <w:sz w:val="26"/>
          <w:szCs w:val="26"/>
        </w:rPr>
        <w:t>”</w:t>
      </w:r>
      <w:r w:rsidRPr="002A1D0F">
        <w:rPr>
          <w:bCs/>
          <w:sz w:val="26"/>
          <w:szCs w:val="26"/>
        </w:rPr>
        <w:t xml:space="preserve"> the interpretation discussed above would not dampen the incentive of the landlord to correct the foreign load situation because the entire balance of the foreign-load affected account will still be transferred to the owner.  Nor would this interpretation undermine the protection of the tenant from the loss of utility service due to another person’s usage (</w:t>
      </w:r>
      <w:r w:rsidRPr="002A1D0F">
        <w:rPr>
          <w:bCs/>
          <w:i/>
          <w:sz w:val="26"/>
          <w:szCs w:val="26"/>
        </w:rPr>
        <w:t>e.g.</w:t>
      </w:r>
      <w:r w:rsidRPr="002A1D0F">
        <w:rPr>
          <w:bCs/>
          <w:sz w:val="26"/>
          <w:szCs w:val="26"/>
        </w:rPr>
        <w:t xml:space="preserve"> the usage of a</w:t>
      </w:r>
      <w:r w:rsidR="00AF083F">
        <w:rPr>
          <w:bCs/>
          <w:sz w:val="26"/>
          <w:szCs w:val="26"/>
        </w:rPr>
        <w:t>nother tenant or the landlord).</w:t>
      </w:r>
    </w:p>
    <w:p w:rsidR="002417B5" w:rsidRPr="002A1D0F" w:rsidRDefault="002417B5" w:rsidP="000C3A70">
      <w:pPr>
        <w:widowControl/>
        <w:spacing w:line="360" w:lineRule="auto"/>
        <w:ind w:firstLine="1440"/>
        <w:rPr>
          <w:bCs/>
          <w:sz w:val="26"/>
          <w:szCs w:val="26"/>
        </w:rPr>
      </w:pPr>
    </w:p>
    <w:p w:rsidR="002417B5" w:rsidRDefault="002417B5" w:rsidP="000C3A70">
      <w:pPr>
        <w:widowControl/>
        <w:spacing w:line="360" w:lineRule="auto"/>
        <w:ind w:firstLine="1440"/>
        <w:rPr>
          <w:sz w:val="26"/>
          <w:szCs w:val="26"/>
        </w:rPr>
      </w:pPr>
      <w:r>
        <w:rPr>
          <w:bCs/>
          <w:sz w:val="26"/>
          <w:szCs w:val="26"/>
        </w:rPr>
        <w:t>Additionally</w:t>
      </w:r>
      <w:r w:rsidRPr="002A1D0F">
        <w:rPr>
          <w:bCs/>
          <w:sz w:val="26"/>
          <w:szCs w:val="26"/>
        </w:rPr>
        <w:t xml:space="preserve">, </w:t>
      </w:r>
      <w:r>
        <w:rPr>
          <w:bCs/>
          <w:sz w:val="26"/>
          <w:szCs w:val="26"/>
        </w:rPr>
        <w:t>in contrast with</w:t>
      </w:r>
      <w:r w:rsidR="00680483" w:rsidRPr="00680483">
        <w:rPr>
          <w:bCs/>
          <w:sz w:val="26"/>
          <w:szCs w:val="26"/>
        </w:rPr>
        <w:t xml:space="preserve"> </w:t>
      </w:r>
      <w:r w:rsidR="00680483">
        <w:rPr>
          <w:bCs/>
          <w:sz w:val="26"/>
          <w:szCs w:val="26"/>
        </w:rPr>
        <w:t>the previous “</w:t>
      </w:r>
      <w:r w:rsidR="00680483" w:rsidRPr="001C25EC">
        <w:rPr>
          <w:bCs/>
          <w:i/>
          <w:sz w:val="26"/>
          <w:szCs w:val="26"/>
        </w:rPr>
        <w:t>de minimus</w:t>
      </w:r>
      <w:r w:rsidR="00680483">
        <w:rPr>
          <w:bCs/>
          <w:sz w:val="26"/>
          <w:szCs w:val="26"/>
        </w:rPr>
        <w:t xml:space="preserve"> exception,”</w:t>
      </w:r>
      <w:r w:rsidRPr="002A1D0F">
        <w:rPr>
          <w:bCs/>
          <w:sz w:val="26"/>
          <w:szCs w:val="26"/>
        </w:rPr>
        <w:t xml:space="preserve"> the</w:t>
      </w:r>
      <w:r w:rsidR="00B37D08">
        <w:rPr>
          <w:bCs/>
          <w:sz w:val="26"/>
          <w:szCs w:val="26"/>
        </w:rPr>
        <w:t xml:space="preserve"> </w:t>
      </w:r>
      <w:r w:rsidRPr="002A1D0F">
        <w:rPr>
          <w:bCs/>
          <w:sz w:val="26"/>
          <w:szCs w:val="26"/>
        </w:rPr>
        <w:t xml:space="preserve">interpretation discussed above would not place the utility or the Commission in the position of arbiter of disputes between the landlord and tenant. </w:t>
      </w:r>
      <w:r>
        <w:rPr>
          <w:bCs/>
          <w:sz w:val="26"/>
          <w:szCs w:val="26"/>
        </w:rPr>
        <w:t xml:space="preserve"> </w:t>
      </w:r>
      <w:r w:rsidRPr="002A1D0F">
        <w:rPr>
          <w:bCs/>
          <w:sz w:val="26"/>
          <w:szCs w:val="26"/>
        </w:rPr>
        <w:t xml:space="preserve">This is because this interpretation addresses the initial question of a party’s financial responsibility </w:t>
      </w:r>
      <w:r w:rsidRPr="002A1D0F">
        <w:rPr>
          <w:bCs/>
          <w:i/>
          <w:sz w:val="26"/>
          <w:szCs w:val="26"/>
        </w:rPr>
        <w:t>to the utility</w:t>
      </w:r>
      <w:r w:rsidRPr="002A1D0F">
        <w:rPr>
          <w:bCs/>
          <w:sz w:val="26"/>
          <w:szCs w:val="26"/>
        </w:rPr>
        <w:t xml:space="preserve"> for account arrearages.  </w:t>
      </w:r>
      <w:r w:rsidRPr="002A1D0F">
        <w:rPr>
          <w:sz w:val="26"/>
          <w:szCs w:val="26"/>
        </w:rPr>
        <w:t xml:space="preserve">As to the financial responsibility between the landlord and tenant for payment for utility services rendered to the foreign load-affected premises, </w:t>
      </w:r>
      <w:r w:rsidRPr="002A1D0F">
        <w:rPr>
          <w:sz w:val="26"/>
          <w:szCs w:val="26"/>
        </w:rPr>
        <w:lastRenderedPageBreak/>
        <w:t>nothing in this interpretation would change the well-settled legal conclusion that such dispute is a matter to be decided by a c</w:t>
      </w:r>
      <w:r w:rsidR="00AF083F">
        <w:rPr>
          <w:sz w:val="26"/>
          <w:szCs w:val="26"/>
        </w:rPr>
        <w:t>ourt of competent jurisdiction.</w:t>
      </w:r>
    </w:p>
    <w:p w:rsidR="002417B5" w:rsidRDefault="002417B5" w:rsidP="000C3A70">
      <w:pPr>
        <w:widowControl/>
        <w:spacing w:line="360" w:lineRule="auto"/>
        <w:ind w:firstLine="1440"/>
        <w:rPr>
          <w:sz w:val="26"/>
          <w:szCs w:val="26"/>
        </w:rPr>
      </w:pPr>
    </w:p>
    <w:p w:rsidR="002A1D0F" w:rsidRPr="002A1D0F" w:rsidRDefault="002417B5" w:rsidP="000C3A70">
      <w:pPr>
        <w:widowControl/>
        <w:spacing w:line="360" w:lineRule="auto"/>
        <w:ind w:firstLine="1440"/>
        <w:rPr>
          <w:sz w:val="26"/>
          <w:szCs w:val="26"/>
        </w:rPr>
      </w:pPr>
      <w:r>
        <w:rPr>
          <w:bCs/>
          <w:sz w:val="26"/>
          <w:szCs w:val="26"/>
        </w:rPr>
        <w:t xml:space="preserve">That being said, we </w:t>
      </w:r>
      <w:r w:rsidR="002A1D0F">
        <w:rPr>
          <w:bCs/>
          <w:sz w:val="26"/>
          <w:szCs w:val="26"/>
        </w:rPr>
        <w:t>recognize</w:t>
      </w:r>
      <w:r w:rsidR="006B3EED">
        <w:rPr>
          <w:bCs/>
          <w:sz w:val="26"/>
          <w:szCs w:val="26"/>
        </w:rPr>
        <w:t xml:space="preserve"> </w:t>
      </w:r>
      <w:r w:rsidR="0061450E">
        <w:rPr>
          <w:bCs/>
          <w:sz w:val="26"/>
          <w:szCs w:val="26"/>
        </w:rPr>
        <w:t xml:space="preserve">that this </w:t>
      </w:r>
      <w:r w:rsidR="006B3EED">
        <w:rPr>
          <w:bCs/>
          <w:sz w:val="26"/>
          <w:szCs w:val="26"/>
        </w:rPr>
        <w:t>interpretation may produce additional burden for the utility in that it will</w:t>
      </w:r>
      <w:r w:rsidR="00F06991">
        <w:rPr>
          <w:bCs/>
          <w:sz w:val="26"/>
          <w:szCs w:val="26"/>
        </w:rPr>
        <w:t xml:space="preserve"> require</w:t>
      </w:r>
      <w:r w:rsidR="006B3EED">
        <w:rPr>
          <w:bCs/>
          <w:sz w:val="26"/>
          <w:szCs w:val="26"/>
        </w:rPr>
        <w:t xml:space="preserve"> the use of additional resources to fact find and determine the appropriate amount associated with the tenant’s prior account arrearage.  However, t</w:t>
      </w:r>
      <w:r w:rsidR="002A1D0F" w:rsidRPr="002A1D0F">
        <w:rPr>
          <w:bCs/>
          <w:sz w:val="26"/>
          <w:szCs w:val="26"/>
        </w:rPr>
        <w:t>he utility is in control of transferring the account from the tenant to the property owner, and presumably the utility’s business records will indicate the amounts of the current balance and any arrearage for the account of the foreign load-affected premises v</w:t>
      </w:r>
      <w:r w:rsidR="006B3EED">
        <w:rPr>
          <w:bCs/>
          <w:sz w:val="26"/>
          <w:szCs w:val="26"/>
        </w:rPr>
        <w:t>ersus</w:t>
      </w:r>
      <w:r w:rsidR="002A1D0F" w:rsidRPr="002A1D0F">
        <w:rPr>
          <w:bCs/>
          <w:sz w:val="26"/>
          <w:szCs w:val="26"/>
        </w:rPr>
        <w:t xml:space="preserve"> the outstanding balance that was previously transferred from the tenant’s prior service address in order to follow the tenant.  Thus, when the utility lists the foreign load-affected account in the name of the property owner</w:t>
      </w:r>
      <w:r w:rsidR="006B3EED">
        <w:rPr>
          <w:bCs/>
          <w:sz w:val="26"/>
          <w:szCs w:val="26"/>
        </w:rPr>
        <w:t>,</w:t>
      </w:r>
      <w:r w:rsidR="002A1D0F" w:rsidRPr="002A1D0F">
        <w:rPr>
          <w:bCs/>
          <w:sz w:val="26"/>
          <w:szCs w:val="26"/>
        </w:rPr>
        <w:t xml:space="preserve"> in accordance with Subsection (b), it can rely on its business records </w:t>
      </w:r>
      <w:r w:rsidR="002A1D0F" w:rsidRPr="0061450E">
        <w:rPr>
          <w:bCs/>
          <w:i/>
          <w:sz w:val="26"/>
          <w:szCs w:val="26"/>
        </w:rPr>
        <w:t>to se</w:t>
      </w:r>
      <w:r w:rsidR="00DB4B22">
        <w:rPr>
          <w:bCs/>
          <w:i/>
          <w:sz w:val="26"/>
          <w:szCs w:val="26"/>
        </w:rPr>
        <w:t>parate</w:t>
      </w:r>
      <w:r w:rsidR="002A1D0F" w:rsidRPr="0061450E">
        <w:rPr>
          <w:bCs/>
          <w:i/>
          <w:sz w:val="26"/>
          <w:szCs w:val="26"/>
        </w:rPr>
        <w:t xml:space="preserve"> the appropriate amount for which to hold the landlord responsible per Section 1529.1(b</w:t>
      </w:r>
      <w:r w:rsidR="002A1D0F" w:rsidRPr="006B3EED">
        <w:rPr>
          <w:bCs/>
          <w:sz w:val="26"/>
          <w:szCs w:val="26"/>
        </w:rPr>
        <w:t>)</w:t>
      </w:r>
      <w:r w:rsidR="002A1D0F" w:rsidRPr="002A1D0F">
        <w:rPr>
          <w:bCs/>
          <w:sz w:val="26"/>
          <w:szCs w:val="26"/>
        </w:rPr>
        <w:t xml:space="preserve"> (</w:t>
      </w:r>
      <w:r w:rsidR="002A1D0F" w:rsidRPr="002A1D0F">
        <w:rPr>
          <w:bCs/>
          <w:i/>
          <w:sz w:val="26"/>
          <w:szCs w:val="26"/>
        </w:rPr>
        <w:t>i.e</w:t>
      </w:r>
      <w:r w:rsidR="002A1D0F" w:rsidRPr="002A1D0F">
        <w:rPr>
          <w:bCs/>
          <w:sz w:val="26"/>
          <w:szCs w:val="26"/>
        </w:rPr>
        <w:t xml:space="preserve">., the current balance and all arrearages from </w:t>
      </w:r>
      <w:bookmarkStart w:id="11" w:name="_Hlk505328603"/>
      <w:r w:rsidR="002A1D0F" w:rsidRPr="002A1D0F">
        <w:rPr>
          <w:bCs/>
          <w:sz w:val="26"/>
          <w:szCs w:val="26"/>
        </w:rPr>
        <w:t>the date service was established for tenant at the foreign load-affected premises</w:t>
      </w:r>
      <w:bookmarkEnd w:id="11"/>
      <w:r w:rsidR="002A1D0F" w:rsidRPr="002A1D0F">
        <w:rPr>
          <w:bCs/>
          <w:sz w:val="26"/>
          <w:szCs w:val="26"/>
        </w:rPr>
        <w:t xml:space="preserve">) </w:t>
      </w:r>
      <w:r w:rsidR="002A1D0F" w:rsidRPr="0061450E">
        <w:rPr>
          <w:bCs/>
          <w:i/>
          <w:sz w:val="26"/>
          <w:szCs w:val="26"/>
        </w:rPr>
        <w:t>from the amount for which to hold the tenant responsible per 52 Pa. Code § 56.35</w:t>
      </w:r>
      <w:r w:rsidR="002A1D0F" w:rsidRPr="002A1D0F">
        <w:rPr>
          <w:bCs/>
          <w:sz w:val="26"/>
          <w:szCs w:val="26"/>
        </w:rPr>
        <w:t xml:space="preserve"> (</w:t>
      </w:r>
      <w:r w:rsidR="002A1D0F" w:rsidRPr="002A1D0F">
        <w:rPr>
          <w:bCs/>
          <w:i/>
          <w:sz w:val="26"/>
          <w:szCs w:val="26"/>
        </w:rPr>
        <w:t>i.e</w:t>
      </w:r>
      <w:r w:rsidR="002A1D0F" w:rsidRPr="002A1D0F">
        <w:rPr>
          <w:bCs/>
          <w:sz w:val="26"/>
          <w:szCs w:val="26"/>
        </w:rPr>
        <w:t xml:space="preserve">., </w:t>
      </w:r>
      <w:r w:rsidR="002A1D0F" w:rsidRPr="002A1D0F">
        <w:rPr>
          <w:sz w:val="26"/>
          <w:szCs w:val="26"/>
        </w:rPr>
        <w:t>any outstanding balances transferred from a prior service address, for amounts originally billed not more than fo</w:t>
      </w:r>
      <w:r w:rsidR="001005E0">
        <w:rPr>
          <w:sz w:val="26"/>
          <w:szCs w:val="26"/>
        </w:rPr>
        <w:t>u</w:t>
      </w:r>
      <w:r w:rsidR="002A1D0F" w:rsidRPr="002A1D0F">
        <w:rPr>
          <w:sz w:val="26"/>
          <w:szCs w:val="26"/>
        </w:rPr>
        <w:t>r years prior to the date of transfer/</w:t>
      </w:r>
      <w:r w:rsidR="002A1D0F" w:rsidRPr="002A1D0F">
        <w:rPr>
          <w:bCs/>
          <w:sz w:val="26"/>
          <w:szCs w:val="26"/>
        </w:rPr>
        <w:t>the date service was established for tenant at the foreign load-affected premises</w:t>
      </w:r>
      <w:r w:rsidR="002A1D0F" w:rsidRPr="002A1D0F">
        <w:rPr>
          <w:sz w:val="26"/>
          <w:szCs w:val="26"/>
        </w:rPr>
        <w:t>).</w:t>
      </w:r>
    </w:p>
    <w:p w:rsidR="005E1849" w:rsidRDefault="005E1849" w:rsidP="000C3A70">
      <w:pPr>
        <w:pStyle w:val="Default"/>
        <w:spacing w:line="360" w:lineRule="auto"/>
        <w:ind w:firstLine="1440"/>
        <w:rPr>
          <w:sz w:val="26"/>
          <w:szCs w:val="26"/>
        </w:rPr>
      </w:pPr>
    </w:p>
    <w:p w:rsidR="00400A98" w:rsidRDefault="001937BA" w:rsidP="000C3A70">
      <w:pPr>
        <w:pStyle w:val="Default"/>
        <w:spacing w:line="360" w:lineRule="auto"/>
        <w:ind w:firstLine="1440"/>
        <w:rPr>
          <w:sz w:val="26"/>
          <w:szCs w:val="26"/>
        </w:rPr>
      </w:pPr>
      <w:r>
        <w:rPr>
          <w:sz w:val="26"/>
          <w:szCs w:val="26"/>
        </w:rPr>
        <w:t xml:space="preserve">Furthermore, </w:t>
      </w:r>
      <w:r w:rsidR="002E573B">
        <w:rPr>
          <w:sz w:val="26"/>
          <w:szCs w:val="26"/>
        </w:rPr>
        <w:t>PECO argues i</w:t>
      </w:r>
      <w:r w:rsidR="00915E9B">
        <w:rPr>
          <w:sz w:val="26"/>
          <w:szCs w:val="26"/>
        </w:rPr>
        <w:t xml:space="preserve">t would be improper to allow the Complainant, through Exceptions, to now raise </w:t>
      </w:r>
      <w:r w:rsidR="00EC7004">
        <w:rPr>
          <w:sz w:val="26"/>
          <w:szCs w:val="26"/>
        </w:rPr>
        <w:t>an additional</w:t>
      </w:r>
      <w:r w:rsidR="00915E9B">
        <w:rPr>
          <w:sz w:val="26"/>
          <w:szCs w:val="26"/>
        </w:rPr>
        <w:t xml:space="preserve"> issue</w:t>
      </w:r>
      <w:r w:rsidR="00EC7004">
        <w:rPr>
          <w:sz w:val="26"/>
          <w:szCs w:val="26"/>
        </w:rPr>
        <w:t xml:space="preserve"> that was</w:t>
      </w:r>
      <w:r w:rsidR="00915E9B">
        <w:rPr>
          <w:sz w:val="26"/>
          <w:szCs w:val="26"/>
        </w:rPr>
        <w:t xml:space="preserve"> not originally </w:t>
      </w:r>
      <w:r w:rsidR="00A77968">
        <w:rPr>
          <w:sz w:val="26"/>
          <w:szCs w:val="26"/>
        </w:rPr>
        <w:t>pleade</w:t>
      </w:r>
      <w:r w:rsidR="002524F6">
        <w:rPr>
          <w:sz w:val="26"/>
          <w:szCs w:val="26"/>
        </w:rPr>
        <w:t xml:space="preserve">d in </w:t>
      </w:r>
      <w:r w:rsidR="00915E9B">
        <w:rPr>
          <w:sz w:val="26"/>
          <w:szCs w:val="26"/>
        </w:rPr>
        <w:t xml:space="preserve">the Complaint. </w:t>
      </w:r>
      <w:r w:rsidR="00F9761B">
        <w:rPr>
          <w:sz w:val="26"/>
          <w:szCs w:val="26"/>
        </w:rPr>
        <w:t xml:space="preserve"> The Complainant in this case is </w:t>
      </w:r>
      <w:r w:rsidR="00F9761B" w:rsidRPr="00F9761B">
        <w:rPr>
          <w:i/>
          <w:sz w:val="26"/>
          <w:szCs w:val="26"/>
        </w:rPr>
        <w:t>pro se</w:t>
      </w:r>
      <w:r w:rsidR="00F9761B">
        <w:rPr>
          <w:sz w:val="26"/>
          <w:szCs w:val="26"/>
        </w:rPr>
        <w:t xml:space="preserve">.  We have previously expressed our general concern with granting pretrial motions in </w:t>
      </w:r>
      <w:r w:rsidR="00F9761B" w:rsidRPr="00C25A57">
        <w:rPr>
          <w:i/>
          <w:sz w:val="26"/>
          <w:szCs w:val="26"/>
        </w:rPr>
        <w:t>pro se</w:t>
      </w:r>
      <w:r w:rsidR="00F9761B">
        <w:rPr>
          <w:sz w:val="26"/>
          <w:szCs w:val="26"/>
        </w:rPr>
        <w:t xml:space="preserve"> complaints because unrepresented complainants may find it difficult to navigate through prehearing motions and should be given an opportunity to orally describe their basic issue and supporting facts. </w:t>
      </w:r>
      <w:r w:rsidR="00F9761B" w:rsidRPr="00FC3806">
        <w:rPr>
          <w:sz w:val="26"/>
          <w:szCs w:val="26"/>
        </w:rPr>
        <w:t xml:space="preserve"> </w:t>
      </w:r>
      <w:r w:rsidR="00F9761B" w:rsidRPr="00D70CC9">
        <w:rPr>
          <w:i/>
          <w:sz w:val="26"/>
          <w:szCs w:val="26"/>
        </w:rPr>
        <w:t>See</w:t>
      </w:r>
      <w:r w:rsidR="00F9761B">
        <w:rPr>
          <w:sz w:val="26"/>
          <w:szCs w:val="26"/>
        </w:rPr>
        <w:t xml:space="preserve"> </w:t>
      </w:r>
      <w:r w:rsidR="00F9761B" w:rsidRPr="00457195">
        <w:rPr>
          <w:i/>
          <w:sz w:val="26"/>
          <w:szCs w:val="26"/>
        </w:rPr>
        <w:t>Carlock v. The United Telephone Company of Pennsylvania</w:t>
      </w:r>
      <w:r w:rsidR="00F9761B" w:rsidRPr="00976016">
        <w:rPr>
          <w:sz w:val="26"/>
          <w:szCs w:val="26"/>
        </w:rPr>
        <w:t>, Docket No. F-00163617 (Opinion and Order entered July 14, 1993) (</w:t>
      </w:r>
      <w:r w:rsidR="00F9761B" w:rsidRPr="00A44A20">
        <w:rPr>
          <w:i/>
          <w:sz w:val="26"/>
          <w:szCs w:val="26"/>
        </w:rPr>
        <w:t>Carlock</w:t>
      </w:r>
      <w:r w:rsidR="00F9761B" w:rsidRPr="00976016">
        <w:rPr>
          <w:sz w:val="26"/>
          <w:szCs w:val="26"/>
        </w:rPr>
        <w:t xml:space="preserve">); </w:t>
      </w:r>
      <w:r w:rsidR="00F9761B" w:rsidRPr="00457195">
        <w:rPr>
          <w:i/>
          <w:sz w:val="26"/>
          <w:szCs w:val="26"/>
        </w:rPr>
        <w:t>Brown v. PECO Energy Company</w:t>
      </w:r>
      <w:r w:rsidR="00F9761B" w:rsidRPr="00976016">
        <w:rPr>
          <w:sz w:val="26"/>
          <w:szCs w:val="26"/>
        </w:rPr>
        <w:t xml:space="preserve">, Docket No. C-2008-2055866 (Opinion and Order entered May 29, 2009) </w:t>
      </w:r>
      <w:r w:rsidR="00F9761B" w:rsidRPr="00976016">
        <w:rPr>
          <w:sz w:val="26"/>
          <w:szCs w:val="26"/>
        </w:rPr>
        <w:lastRenderedPageBreak/>
        <w:t>(</w:t>
      </w:r>
      <w:r w:rsidR="00F9761B" w:rsidRPr="00A44A20">
        <w:rPr>
          <w:i/>
          <w:sz w:val="26"/>
          <w:szCs w:val="26"/>
        </w:rPr>
        <w:t>Brown</w:t>
      </w:r>
      <w:r w:rsidR="00F9761B" w:rsidRPr="00976016">
        <w:rPr>
          <w:sz w:val="26"/>
          <w:szCs w:val="26"/>
        </w:rPr>
        <w:t xml:space="preserve">); </w:t>
      </w:r>
      <w:r w:rsidR="00F9761B" w:rsidRPr="00457195">
        <w:rPr>
          <w:i/>
          <w:sz w:val="26"/>
          <w:szCs w:val="26"/>
        </w:rPr>
        <w:t>Richmond v. PECO Energy Company</w:t>
      </w:r>
      <w:r w:rsidR="00F9761B" w:rsidRPr="00976016">
        <w:rPr>
          <w:sz w:val="26"/>
          <w:szCs w:val="26"/>
        </w:rPr>
        <w:t>, Docket No. F-2010- 2187305 (Opinion and Order entered December 7, 2011) (</w:t>
      </w:r>
      <w:r w:rsidR="00F9761B" w:rsidRPr="00A44A20">
        <w:rPr>
          <w:i/>
          <w:sz w:val="26"/>
          <w:szCs w:val="26"/>
        </w:rPr>
        <w:t>Richmond</w:t>
      </w:r>
      <w:r w:rsidR="00F9761B">
        <w:rPr>
          <w:sz w:val="26"/>
          <w:szCs w:val="26"/>
        </w:rPr>
        <w:t>).  Given the</w:t>
      </w:r>
      <w:r w:rsidR="006B3EED">
        <w:rPr>
          <w:sz w:val="26"/>
          <w:szCs w:val="26"/>
        </w:rPr>
        <w:t xml:space="preserve"> particular</w:t>
      </w:r>
      <w:r w:rsidR="00F9761B">
        <w:rPr>
          <w:sz w:val="26"/>
          <w:szCs w:val="26"/>
        </w:rPr>
        <w:t xml:space="preserve"> issue raised on Exceptions, </w:t>
      </w:r>
      <w:bookmarkStart w:id="12" w:name="_Hlk505940845"/>
      <w:r w:rsidR="00F9761B">
        <w:rPr>
          <w:sz w:val="26"/>
          <w:szCs w:val="26"/>
        </w:rPr>
        <w:t xml:space="preserve">and given our </w:t>
      </w:r>
      <w:r w:rsidR="006B3EED">
        <w:rPr>
          <w:sz w:val="26"/>
          <w:szCs w:val="26"/>
        </w:rPr>
        <w:t>legal conclusions regarding this issue</w:t>
      </w:r>
      <w:r w:rsidR="00F9761B">
        <w:rPr>
          <w:sz w:val="26"/>
          <w:szCs w:val="26"/>
        </w:rPr>
        <w:t>,</w:t>
      </w:r>
      <w:r>
        <w:rPr>
          <w:sz w:val="26"/>
          <w:szCs w:val="26"/>
        </w:rPr>
        <w:t xml:space="preserve"> as articulated above,</w:t>
      </w:r>
      <w:r w:rsidR="006B3EED">
        <w:rPr>
          <w:sz w:val="26"/>
          <w:szCs w:val="26"/>
        </w:rPr>
        <w:t xml:space="preserve"> we believe</w:t>
      </w:r>
      <w:r w:rsidR="00F9761B">
        <w:rPr>
          <w:sz w:val="26"/>
          <w:szCs w:val="26"/>
        </w:rPr>
        <w:t xml:space="preserve"> </w:t>
      </w:r>
      <w:r w:rsidR="004F16C9">
        <w:rPr>
          <w:sz w:val="26"/>
          <w:szCs w:val="26"/>
        </w:rPr>
        <w:t>dismissal at the pre-</w:t>
      </w:r>
      <w:r>
        <w:rPr>
          <w:sz w:val="26"/>
          <w:szCs w:val="26"/>
        </w:rPr>
        <w:t>hearing</w:t>
      </w:r>
      <w:r w:rsidR="004F16C9">
        <w:rPr>
          <w:sz w:val="26"/>
          <w:szCs w:val="26"/>
        </w:rPr>
        <w:t xml:space="preserve"> stage would not be appropriate and that </w:t>
      </w:r>
      <w:r w:rsidR="00F9761B">
        <w:rPr>
          <w:sz w:val="26"/>
          <w:szCs w:val="26"/>
        </w:rPr>
        <w:t>a hearing is required for fact finding regarding the amount of the tenants’ arrearage not related to the Complainant’s property.</w:t>
      </w:r>
      <w:bookmarkEnd w:id="7"/>
      <w:bookmarkEnd w:id="12"/>
    </w:p>
    <w:p w:rsidR="00400A98" w:rsidRDefault="00400A98" w:rsidP="000C3A70">
      <w:pPr>
        <w:pStyle w:val="Default"/>
        <w:spacing w:line="360" w:lineRule="auto"/>
        <w:ind w:firstLine="1440"/>
        <w:rPr>
          <w:sz w:val="26"/>
          <w:szCs w:val="26"/>
        </w:rPr>
      </w:pPr>
    </w:p>
    <w:p w:rsidR="006D498B" w:rsidRDefault="002C7EB0" w:rsidP="000C3A70">
      <w:pPr>
        <w:pStyle w:val="Default"/>
        <w:spacing w:line="360" w:lineRule="auto"/>
        <w:ind w:firstLine="1440"/>
        <w:rPr>
          <w:color w:val="auto"/>
          <w:sz w:val="26"/>
          <w:szCs w:val="26"/>
        </w:rPr>
      </w:pPr>
      <w:r w:rsidRPr="00400A98">
        <w:rPr>
          <w:sz w:val="26"/>
          <w:szCs w:val="26"/>
        </w:rPr>
        <w:t>Finally, w</w:t>
      </w:r>
      <w:r w:rsidR="004F16C9" w:rsidRPr="00400A98">
        <w:rPr>
          <w:sz w:val="26"/>
          <w:szCs w:val="26"/>
        </w:rPr>
        <w:t>e</w:t>
      </w:r>
      <w:r w:rsidR="004A2F50" w:rsidRPr="00400A98">
        <w:rPr>
          <w:sz w:val="26"/>
          <w:szCs w:val="26"/>
        </w:rPr>
        <w:t xml:space="preserve"> </w:t>
      </w:r>
      <w:r w:rsidRPr="00400A98">
        <w:rPr>
          <w:sz w:val="26"/>
          <w:szCs w:val="26"/>
        </w:rPr>
        <w:t xml:space="preserve">acknowledge </w:t>
      </w:r>
      <w:r w:rsidR="004F16C9" w:rsidRPr="00400A98">
        <w:rPr>
          <w:sz w:val="26"/>
          <w:szCs w:val="26"/>
        </w:rPr>
        <w:t xml:space="preserve">that PECO </w:t>
      </w:r>
      <w:r w:rsidRPr="00400A98">
        <w:rPr>
          <w:sz w:val="26"/>
          <w:szCs w:val="26"/>
        </w:rPr>
        <w:t>aver</w:t>
      </w:r>
      <w:r w:rsidR="004F16C9" w:rsidRPr="00400A98">
        <w:rPr>
          <w:sz w:val="26"/>
          <w:szCs w:val="26"/>
        </w:rPr>
        <w:t xml:space="preserve">s that it transferred the amount of usage charges the tenants incurred while at the service address, and the Complainant was never held responsible for </w:t>
      </w:r>
      <w:r w:rsidR="006D498B">
        <w:rPr>
          <w:sz w:val="26"/>
          <w:szCs w:val="26"/>
        </w:rPr>
        <w:t xml:space="preserve">the </w:t>
      </w:r>
      <w:r w:rsidR="004F16C9" w:rsidRPr="00400A98">
        <w:rPr>
          <w:sz w:val="26"/>
          <w:szCs w:val="26"/>
        </w:rPr>
        <w:t xml:space="preserve">usage charges from his tenant’s prior address.  </w:t>
      </w:r>
      <w:r w:rsidRPr="00400A98">
        <w:rPr>
          <w:sz w:val="26"/>
          <w:szCs w:val="26"/>
        </w:rPr>
        <w:t xml:space="preserve">Specifically, </w:t>
      </w:r>
      <w:r w:rsidR="006D498B">
        <w:rPr>
          <w:sz w:val="26"/>
          <w:szCs w:val="26"/>
        </w:rPr>
        <w:t xml:space="preserve">PECO avers </w:t>
      </w:r>
      <w:r w:rsidRPr="00400A98">
        <w:rPr>
          <w:sz w:val="26"/>
          <w:szCs w:val="26"/>
        </w:rPr>
        <w:t xml:space="preserve">that the tenant paid an amount that satisfied the </w:t>
      </w:r>
      <w:r w:rsidRPr="00400A98">
        <w:rPr>
          <w:color w:val="auto"/>
          <w:sz w:val="26"/>
          <w:szCs w:val="26"/>
        </w:rPr>
        <w:t xml:space="preserve">balance transferred from the tenant’s previous service address.  </w:t>
      </w:r>
      <w:r w:rsidR="00400A98" w:rsidRPr="00400A98">
        <w:rPr>
          <w:color w:val="auto"/>
          <w:sz w:val="26"/>
          <w:szCs w:val="26"/>
        </w:rPr>
        <w:t xml:space="preserve">Pursuant to </w:t>
      </w:r>
      <w:hyperlink r:id="rId10" w:history="1">
        <w:r w:rsidR="00400A98" w:rsidRPr="00400A98">
          <w:rPr>
            <w:color w:val="auto"/>
            <w:sz w:val="26"/>
            <w:szCs w:val="26"/>
          </w:rPr>
          <w:t>Section 332(c)</w:t>
        </w:r>
      </w:hyperlink>
      <w:r w:rsidR="00400A98" w:rsidRPr="00400A98">
        <w:rPr>
          <w:color w:val="auto"/>
          <w:sz w:val="26"/>
          <w:szCs w:val="26"/>
        </w:rPr>
        <w:t xml:space="preserve"> of the Code, </w:t>
      </w:r>
      <w:hyperlink r:id="rId11" w:history="1">
        <w:r w:rsidR="00400A98" w:rsidRPr="00400A98">
          <w:rPr>
            <w:color w:val="auto"/>
            <w:sz w:val="26"/>
            <w:szCs w:val="26"/>
          </w:rPr>
          <w:t>66 Pa. C.S. §</w:t>
        </w:r>
        <w:r w:rsidR="0060511E">
          <w:rPr>
            <w:color w:val="auto"/>
            <w:sz w:val="26"/>
            <w:szCs w:val="26"/>
          </w:rPr>
          <w:t> </w:t>
        </w:r>
        <w:r w:rsidR="00400A98" w:rsidRPr="00400A98">
          <w:rPr>
            <w:color w:val="auto"/>
            <w:sz w:val="26"/>
            <w:szCs w:val="26"/>
          </w:rPr>
          <w:t>332(c)</w:t>
        </w:r>
      </w:hyperlink>
      <w:r w:rsidR="00400A98" w:rsidRPr="00400A98">
        <w:rPr>
          <w:color w:val="auto"/>
          <w:sz w:val="26"/>
          <w:szCs w:val="26"/>
        </w:rPr>
        <w:t xml:space="preserve">, facts such as those proffered by PECO in its Replies to Exceptions must </w:t>
      </w:r>
      <w:r w:rsidR="00400A98" w:rsidRPr="00400A98">
        <w:rPr>
          <w:color w:val="212121"/>
          <w:sz w:val="26"/>
          <w:szCs w:val="26"/>
        </w:rPr>
        <w:t>be presented at the reception of evidence as part of the record</w:t>
      </w:r>
      <w:r w:rsidR="001937BA">
        <w:rPr>
          <w:color w:val="212121"/>
          <w:sz w:val="26"/>
          <w:szCs w:val="26"/>
        </w:rPr>
        <w:t xml:space="preserve"> and it would be procedurally inappropriate for us to consider them at this stage</w:t>
      </w:r>
      <w:r w:rsidR="00400A98" w:rsidRPr="00400A98">
        <w:rPr>
          <w:color w:val="212121"/>
          <w:sz w:val="26"/>
          <w:szCs w:val="26"/>
        </w:rPr>
        <w:t xml:space="preserve">.  </w:t>
      </w:r>
      <w:r w:rsidR="00400A98" w:rsidRPr="00400A98">
        <w:rPr>
          <w:i/>
          <w:color w:val="auto"/>
          <w:sz w:val="26"/>
          <w:szCs w:val="26"/>
        </w:rPr>
        <w:t>See</w:t>
      </w:r>
      <w:r w:rsidR="00400A98" w:rsidRPr="00400A98">
        <w:rPr>
          <w:color w:val="auto"/>
          <w:sz w:val="26"/>
          <w:szCs w:val="26"/>
        </w:rPr>
        <w:t xml:space="preserve"> </w:t>
      </w:r>
      <w:r w:rsidR="00400A98" w:rsidRPr="00400A98">
        <w:rPr>
          <w:i/>
          <w:color w:val="auto"/>
          <w:sz w:val="26"/>
          <w:szCs w:val="26"/>
        </w:rPr>
        <w:t>City of Erie v. Pa. Public Utility Comm.,</w:t>
      </w:r>
      <w:r w:rsidR="00400A98" w:rsidRPr="00400A98">
        <w:rPr>
          <w:color w:val="auto"/>
          <w:sz w:val="26"/>
          <w:szCs w:val="26"/>
        </w:rPr>
        <w:t xml:space="preserve"> 41 Pa. Commonwealth Ct. 194, 197-198, 398 A.2d 1084, 1086-1087 (1979).</w:t>
      </w:r>
      <w:r w:rsidR="006D498B">
        <w:rPr>
          <w:color w:val="auto"/>
          <w:sz w:val="26"/>
          <w:szCs w:val="26"/>
        </w:rPr>
        <w:t xml:space="preserve">  </w:t>
      </w:r>
      <w:r w:rsidR="001937BA">
        <w:rPr>
          <w:color w:val="auto"/>
          <w:sz w:val="26"/>
          <w:szCs w:val="26"/>
        </w:rPr>
        <w:t xml:space="preserve">Moreover, </w:t>
      </w:r>
      <w:r w:rsidR="006D498B">
        <w:rPr>
          <w:color w:val="auto"/>
          <w:sz w:val="26"/>
          <w:szCs w:val="26"/>
        </w:rPr>
        <w:t xml:space="preserve">PECO’s averments show that the material facts related to this </w:t>
      </w:r>
      <w:r w:rsidR="00013F00">
        <w:rPr>
          <w:color w:val="auto"/>
          <w:sz w:val="26"/>
          <w:szCs w:val="26"/>
        </w:rPr>
        <w:t xml:space="preserve">specific </w:t>
      </w:r>
      <w:r w:rsidR="006D498B">
        <w:rPr>
          <w:color w:val="auto"/>
          <w:sz w:val="26"/>
          <w:szCs w:val="26"/>
        </w:rPr>
        <w:t>issue are in dispute between the Complainant</w:t>
      </w:r>
      <w:r w:rsidR="00AF083F">
        <w:rPr>
          <w:color w:val="auto"/>
          <w:sz w:val="26"/>
          <w:szCs w:val="26"/>
        </w:rPr>
        <w:t xml:space="preserve"> and PECO, requiring a hearing.</w:t>
      </w:r>
    </w:p>
    <w:p w:rsidR="006D498B" w:rsidRDefault="006D498B" w:rsidP="000C3A70">
      <w:pPr>
        <w:pStyle w:val="Default"/>
        <w:spacing w:line="360" w:lineRule="auto"/>
        <w:ind w:firstLine="1440"/>
        <w:rPr>
          <w:color w:val="auto"/>
          <w:sz w:val="26"/>
          <w:szCs w:val="26"/>
        </w:rPr>
      </w:pPr>
    </w:p>
    <w:p w:rsidR="00400A98" w:rsidRPr="00400A98" w:rsidRDefault="006D498B" w:rsidP="000C3A70">
      <w:pPr>
        <w:pStyle w:val="Default"/>
        <w:spacing w:line="360" w:lineRule="auto"/>
        <w:ind w:firstLine="1440"/>
        <w:rPr>
          <w:sz w:val="26"/>
          <w:szCs w:val="26"/>
        </w:rPr>
      </w:pPr>
      <w:bookmarkStart w:id="13" w:name="_Hlk505940544"/>
      <w:r>
        <w:rPr>
          <w:color w:val="auto"/>
          <w:sz w:val="26"/>
          <w:szCs w:val="26"/>
        </w:rPr>
        <w:t>Accordingly, we shall reverse, in part, the Initial Decision and remand for further fact finding regarding the amount of the tenants’ arrearage not related to the pro</w:t>
      </w:r>
      <w:r w:rsidR="00AF083F">
        <w:rPr>
          <w:color w:val="auto"/>
          <w:sz w:val="26"/>
          <w:szCs w:val="26"/>
        </w:rPr>
        <w:t>perty owned by the Complainant.</w:t>
      </w:r>
    </w:p>
    <w:bookmarkEnd w:id="13"/>
    <w:p w:rsidR="000643D1" w:rsidRDefault="000643D1" w:rsidP="000C3A70">
      <w:pPr>
        <w:widowControl/>
        <w:spacing w:line="360" w:lineRule="auto"/>
        <w:contextualSpacing/>
        <w:rPr>
          <w:sz w:val="26"/>
          <w:szCs w:val="26"/>
        </w:rPr>
      </w:pPr>
    </w:p>
    <w:p w:rsidR="00CA43A5" w:rsidRPr="00CA43A5" w:rsidRDefault="00CA43A5" w:rsidP="000C3A70">
      <w:pPr>
        <w:keepNext/>
        <w:keepLines/>
        <w:widowControl/>
        <w:spacing w:line="360" w:lineRule="auto"/>
        <w:contextualSpacing/>
        <w:jc w:val="center"/>
        <w:rPr>
          <w:b/>
          <w:sz w:val="26"/>
          <w:szCs w:val="26"/>
        </w:rPr>
      </w:pPr>
      <w:r w:rsidRPr="00CA43A5">
        <w:rPr>
          <w:b/>
          <w:sz w:val="26"/>
          <w:szCs w:val="26"/>
        </w:rPr>
        <w:t>Conclusion</w:t>
      </w:r>
    </w:p>
    <w:p w:rsidR="00CA43A5" w:rsidRPr="00CA43A5" w:rsidRDefault="00CA43A5" w:rsidP="000C3A70">
      <w:pPr>
        <w:keepNext/>
        <w:keepLines/>
        <w:widowControl/>
        <w:spacing w:line="360" w:lineRule="auto"/>
        <w:ind w:firstLine="1440"/>
        <w:contextualSpacing/>
        <w:rPr>
          <w:sz w:val="26"/>
          <w:szCs w:val="26"/>
        </w:rPr>
      </w:pPr>
    </w:p>
    <w:p w:rsidR="00CA43A5" w:rsidRDefault="00CA43A5" w:rsidP="000C3A70">
      <w:pPr>
        <w:widowControl/>
        <w:spacing w:line="360" w:lineRule="auto"/>
        <w:ind w:firstLine="1440"/>
        <w:contextualSpacing/>
        <w:rPr>
          <w:b/>
          <w:sz w:val="26"/>
          <w:szCs w:val="26"/>
        </w:rPr>
      </w:pPr>
      <w:bookmarkStart w:id="14" w:name="_Hlk505940900"/>
      <w:r w:rsidRPr="00CA43A5">
        <w:rPr>
          <w:sz w:val="26"/>
          <w:szCs w:val="26"/>
        </w:rPr>
        <w:t xml:space="preserve">Based upon </w:t>
      </w:r>
      <w:r w:rsidR="006468E3">
        <w:rPr>
          <w:sz w:val="26"/>
          <w:szCs w:val="26"/>
        </w:rPr>
        <w:t>our review of the record and the applicable law</w:t>
      </w:r>
      <w:r w:rsidRPr="00CA43A5">
        <w:rPr>
          <w:sz w:val="26"/>
          <w:szCs w:val="26"/>
        </w:rPr>
        <w:t xml:space="preserve">, we shall </w:t>
      </w:r>
      <w:r w:rsidR="00400A98">
        <w:rPr>
          <w:sz w:val="26"/>
          <w:szCs w:val="26"/>
        </w:rPr>
        <w:t xml:space="preserve">grant, in part, and </w:t>
      </w:r>
      <w:r w:rsidR="00D457EC">
        <w:rPr>
          <w:sz w:val="26"/>
          <w:szCs w:val="26"/>
        </w:rPr>
        <w:t>deny</w:t>
      </w:r>
      <w:r w:rsidR="00400A98">
        <w:rPr>
          <w:sz w:val="26"/>
          <w:szCs w:val="26"/>
        </w:rPr>
        <w:t>, in part,</w:t>
      </w:r>
      <w:r w:rsidR="00D457EC">
        <w:rPr>
          <w:sz w:val="26"/>
          <w:szCs w:val="26"/>
        </w:rPr>
        <w:t xml:space="preserve"> the </w:t>
      </w:r>
      <w:r w:rsidR="00630395">
        <w:rPr>
          <w:sz w:val="26"/>
          <w:szCs w:val="26"/>
        </w:rPr>
        <w:t xml:space="preserve">Complainant’s </w:t>
      </w:r>
      <w:r w:rsidR="00915E9B">
        <w:rPr>
          <w:sz w:val="26"/>
          <w:szCs w:val="26"/>
        </w:rPr>
        <w:t>Exceptions</w:t>
      </w:r>
      <w:r w:rsidR="00400A98">
        <w:rPr>
          <w:sz w:val="26"/>
          <w:szCs w:val="26"/>
        </w:rPr>
        <w:t xml:space="preserve"> and reverse, in part,</w:t>
      </w:r>
      <w:r w:rsidR="00915E9B">
        <w:rPr>
          <w:sz w:val="26"/>
          <w:szCs w:val="26"/>
        </w:rPr>
        <w:t xml:space="preserve"> the Initial Decision</w:t>
      </w:r>
      <w:r w:rsidR="00400A98">
        <w:rPr>
          <w:sz w:val="26"/>
          <w:szCs w:val="26"/>
        </w:rPr>
        <w:t xml:space="preserve"> and remand this matter for an evidentiary hearing,</w:t>
      </w:r>
      <w:r w:rsidR="00915E9B">
        <w:rPr>
          <w:sz w:val="26"/>
          <w:szCs w:val="26"/>
        </w:rPr>
        <w:t xml:space="preserve"> consistent with this Opinion and Order</w:t>
      </w:r>
      <w:bookmarkEnd w:id="14"/>
      <w:r w:rsidRPr="00CA43A5">
        <w:rPr>
          <w:sz w:val="26"/>
          <w:szCs w:val="26"/>
        </w:rPr>
        <w:t xml:space="preserve">; </w:t>
      </w:r>
      <w:r w:rsidRPr="00CA43A5">
        <w:rPr>
          <w:b/>
          <w:sz w:val="26"/>
          <w:szCs w:val="26"/>
        </w:rPr>
        <w:t>THEREFORE,</w:t>
      </w:r>
    </w:p>
    <w:p w:rsidR="00C82A17" w:rsidRDefault="00C82A17" w:rsidP="000C3A70">
      <w:pPr>
        <w:widowControl/>
        <w:spacing w:line="360" w:lineRule="auto"/>
        <w:ind w:firstLine="1440"/>
        <w:contextualSpacing/>
        <w:rPr>
          <w:b/>
          <w:sz w:val="26"/>
          <w:szCs w:val="26"/>
        </w:rPr>
      </w:pPr>
    </w:p>
    <w:p w:rsidR="00CA43A5" w:rsidRDefault="00CA43A5" w:rsidP="009F4958">
      <w:pPr>
        <w:keepNext/>
        <w:keepLines/>
        <w:widowControl/>
        <w:ind w:firstLine="1440"/>
        <w:contextualSpacing/>
        <w:rPr>
          <w:b/>
          <w:sz w:val="26"/>
          <w:szCs w:val="26"/>
        </w:rPr>
      </w:pPr>
      <w:r w:rsidRPr="00CA43A5">
        <w:rPr>
          <w:b/>
          <w:sz w:val="26"/>
          <w:szCs w:val="26"/>
        </w:rPr>
        <w:t>IT IS ORDERED:</w:t>
      </w:r>
    </w:p>
    <w:p w:rsidR="00600F38" w:rsidRPr="00CA43A5" w:rsidRDefault="00600F38" w:rsidP="009F4958">
      <w:pPr>
        <w:keepNext/>
        <w:keepLines/>
        <w:widowControl/>
        <w:ind w:firstLine="1440"/>
        <w:contextualSpacing/>
        <w:rPr>
          <w:b/>
          <w:sz w:val="26"/>
          <w:szCs w:val="26"/>
        </w:rPr>
      </w:pPr>
    </w:p>
    <w:p w:rsidR="00CA43A5" w:rsidRPr="00CA43A5" w:rsidRDefault="00CA43A5" w:rsidP="000C3A70">
      <w:pPr>
        <w:widowControl/>
        <w:contextualSpacing/>
        <w:rPr>
          <w:sz w:val="26"/>
          <w:szCs w:val="26"/>
        </w:rPr>
      </w:pPr>
    </w:p>
    <w:p w:rsidR="009155F7" w:rsidRPr="001937BA" w:rsidRDefault="009155F7" w:rsidP="000C3A70">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w:t>
      </w:r>
      <w:r w:rsidR="00915E9B">
        <w:rPr>
          <w:sz w:val="26"/>
          <w:szCs w:val="26"/>
        </w:rPr>
        <w:t xml:space="preserve">Exceptions filed by Richard Dina, on June 19, 2017, </w:t>
      </w:r>
      <w:r w:rsidR="00DE5765">
        <w:rPr>
          <w:sz w:val="26"/>
          <w:szCs w:val="26"/>
        </w:rPr>
        <w:t>at Docket No. F-2017-2592410</w:t>
      </w:r>
      <w:r w:rsidR="00915E9B">
        <w:rPr>
          <w:sz w:val="26"/>
          <w:szCs w:val="26"/>
        </w:rPr>
        <w:t>,</w:t>
      </w:r>
      <w:r w:rsidR="00EB2CFF">
        <w:rPr>
          <w:sz w:val="26"/>
          <w:szCs w:val="26"/>
        </w:rPr>
        <w:t xml:space="preserve"> </w:t>
      </w:r>
      <w:r w:rsidR="001937BA">
        <w:rPr>
          <w:color w:val="000000"/>
          <w:sz w:val="26"/>
        </w:rPr>
        <w:t>are granted, in part, and denied, in part, consistent with this Opinion and Order.</w:t>
      </w:r>
    </w:p>
    <w:p w:rsidR="001937BA" w:rsidRPr="00915E9B" w:rsidRDefault="001937BA" w:rsidP="000C3A70">
      <w:pPr>
        <w:widowControl/>
        <w:spacing w:line="360" w:lineRule="auto"/>
        <w:ind w:left="1440"/>
        <w:contextualSpacing/>
        <w:rPr>
          <w:sz w:val="26"/>
          <w:szCs w:val="26"/>
        </w:rPr>
      </w:pPr>
    </w:p>
    <w:p w:rsidR="006530A4" w:rsidRDefault="00CA43A5" w:rsidP="000C3A70">
      <w:pPr>
        <w:widowControl/>
        <w:numPr>
          <w:ilvl w:val="0"/>
          <w:numId w:val="1"/>
        </w:numPr>
        <w:tabs>
          <w:tab w:val="clear" w:pos="2160"/>
          <w:tab w:val="num" w:pos="0"/>
        </w:tabs>
        <w:spacing w:line="360" w:lineRule="auto"/>
        <w:ind w:left="0" w:firstLine="1440"/>
        <w:contextualSpacing/>
        <w:rPr>
          <w:sz w:val="26"/>
          <w:szCs w:val="26"/>
        </w:rPr>
      </w:pPr>
      <w:r w:rsidRPr="00CA43A5">
        <w:rPr>
          <w:sz w:val="26"/>
          <w:szCs w:val="26"/>
        </w:rPr>
        <w:t xml:space="preserve">That </w:t>
      </w:r>
      <w:r w:rsidR="00915E9B">
        <w:rPr>
          <w:sz w:val="26"/>
          <w:szCs w:val="26"/>
        </w:rPr>
        <w:t>the Initial Decision of Administrative Law Judge David</w:t>
      </w:r>
      <w:r w:rsidR="00AF083F">
        <w:rPr>
          <w:sz w:val="26"/>
          <w:szCs w:val="26"/>
        </w:rPr>
        <w:t> </w:t>
      </w:r>
      <w:r w:rsidR="00915E9B">
        <w:rPr>
          <w:sz w:val="26"/>
          <w:szCs w:val="26"/>
        </w:rPr>
        <w:t>A.</w:t>
      </w:r>
      <w:r w:rsidR="00AF083F">
        <w:rPr>
          <w:sz w:val="26"/>
          <w:szCs w:val="26"/>
        </w:rPr>
        <w:t> </w:t>
      </w:r>
      <w:r w:rsidR="00915E9B">
        <w:rPr>
          <w:sz w:val="26"/>
          <w:szCs w:val="26"/>
        </w:rPr>
        <w:t>Salapa, issued on June 12, 2017,</w:t>
      </w:r>
      <w:r w:rsidR="00DE5765">
        <w:rPr>
          <w:sz w:val="26"/>
          <w:szCs w:val="26"/>
        </w:rPr>
        <w:t xml:space="preserve"> at Docket No. F-2017-2592410</w:t>
      </w:r>
      <w:r w:rsidR="00915E9B">
        <w:rPr>
          <w:sz w:val="26"/>
          <w:szCs w:val="26"/>
        </w:rPr>
        <w:t xml:space="preserve">, </w:t>
      </w:r>
      <w:bookmarkStart w:id="15" w:name="_Hlk505940948"/>
      <w:r w:rsidR="00915E9B">
        <w:rPr>
          <w:sz w:val="26"/>
          <w:szCs w:val="26"/>
        </w:rPr>
        <w:t>is adopted</w:t>
      </w:r>
      <w:r w:rsidR="001937BA">
        <w:rPr>
          <w:sz w:val="26"/>
          <w:szCs w:val="26"/>
        </w:rPr>
        <w:t>, in part, and reversed, in part, consistent with this Opinion and Order</w:t>
      </w:r>
      <w:r w:rsidR="00915E9B">
        <w:rPr>
          <w:sz w:val="26"/>
          <w:szCs w:val="26"/>
        </w:rPr>
        <w:t>.</w:t>
      </w:r>
      <w:bookmarkEnd w:id="15"/>
    </w:p>
    <w:p w:rsidR="00915E9B" w:rsidRPr="001937BA" w:rsidRDefault="00915E9B" w:rsidP="000C3A70">
      <w:pPr>
        <w:widowControl/>
        <w:rPr>
          <w:sz w:val="26"/>
          <w:szCs w:val="26"/>
        </w:rPr>
      </w:pPr>
    </w:p>
    <w:p w:rsidR="00CA43A5" w:rsidRDefault="00915E9B" w:rsidP="000C3A70">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w:t>
      </w:r>
      <w:r w:rsidR="00EB6433">
        <w:rPr>
          <w:sz w:val="26"/>
          <w:szCs w:val="26"/>
        </w:rPr>
        <w:t>Form</w:t>
      </w:r>
      <w:r w:rsidR="00DE5765">
        <w:rPr>
          <w:sz w:val="26"/>
          <w:szCs w:val="26"/>
        </w:rPr>
        <w:t xml:space="preserve">al </w:t>
      </w:r>
      <w:r>
        <w:rPr>
          <w:sz w:val="26"/>
          <w:szCs w:val="26"/>
        </w:rPr>
        <w:t>Complaint filed by Richard</w:t>
      </w:r>
      <w:r w:rsidR="00AF083F">
        <w:rPr>
          <w:sz w:val="26"/>
          <w:szCs w:val="26"/>
        </w:rPr>
        <w:t> </w:t>
      </w:r>
      <w:r>
        <w:rPr>
          <w:sz w:val="26"/>
          <w:szCs w:val="26"/>
        </w:rPr>
        <w:t xml:space="preserve">Dina, on March 2, 2017, </w:t>
      </w:r>
      <w:r w:rsidR="003A701B">
        <w:rPr>
          <w:sz w:val="26"/>
          <w:szCs w:val="26"/>
        </w:rPr>
        <w:t xml:space="preserve">at Docket No. F-2017-2592410 against PECO Energy Company </w:t>
      </w:r>
      <w:bookmarkStart w:id="16" w:name="_Hlk505941118"/>
      <w:r w:rsidR="003A701B">
        <w:rPr>
          <w:sz w:val="26"/>
          <w:szCs w:val="26"/>
        </w:rPr>
        <w:t xml:space="preserve">is </w:t>
      </w:r>
      <w:r w:rsidR="001937BA">
        <w:rPr>
          <w:sz w:val="26"/>
          <w:szCs w:val="26"/>
        </w:rPr>
        <w:t>remanded to the Office of Administrative Law Judge for a hearing and fact finding regarding the amount of the tenants’ arrearage not related to the Complainant’s property, consistent with this Opinion and Order</w:t>
      </w:r>
      <w:r w:rsidR="003A701B">
        <w:rPr>
          <w:sz w:val="26"/>
          <w:szCs w:val="26"/>
        </w:rPr>
        <w:t>.</w:t>
      </w:r>
      <w:bookmarkEnd w:id="16"/>
    </w:p>
    <w:p w:rsidR="00600F38" w:rsidRPr="004772C2" w:rsidRDefault="00600F38" w:rsidP="000C3A70">
      <w:pPr>
        <w:widowControl/>
        <w:contextualSpacing/>
        <w:rPr>
          <w:sz w:val="26"/>
          <w:szCs w:val="26"/>
        </w:rPr>
      </w:pPr>
    </w:p>
    <w:p w:rsidR="00532610" w:rsidRPr="00630395" w:rsidRDefault="00630395" w:rsidP="000C3A70">
      <w:pPr>
        <w:keepNext/>
        <w:keepLines/>
        <w:widowControl/>
        <w:numPr>
          <w:ilvl w:val="0"/>
          <w:numId w:val="1"/>
        </w:numPr>
        <w:tabs>
          <w:tab w:val="clear" w:pos="2160"/>
          <w:tab w:val="num" w:pos="0"/>
        </w:tabs>
        <w:spacing w:line="360" w:lineRule="auto"/>
        <w:ind w:left="0" w:firstLine="1440"/>
        <w:contextualSpacing/>
        <w:rPr>
          <w:sz w:val="26"/>
          <w:szCs w:val="26"/>
        </w:rPr>
      </w:pPr>
      <w:bookmarkStart w:id="17" w:name="_Hlk505941132"/>
      <w:r>
        <w:rPr>
          <w:sz w:val="26"/>
          <w:szCs w:val="26"/>
        </w:rPr>
        <w:t xml:space="preserve">That </w:t>
      </w:r>
      <w:r w:rsidR="001937BA">
        <w:rPr>
          <w:sz w:val="26"/>
          <w:szCs w:val="26"/>
        </w:rPr>
        <w:t>the Complainant, Mr. Richard Dina, shall not be billed by PECO Energy Company for usage which did not accrue at his premises.</w:t>
      </w:r>
    </w:p>
    <w:bookmarkEnd w:id="17"/>
    <w:p w:rsidR="00CA43A5" w:rsidRDefault="00CA43A5" w:rsidP="000C3A70">
      <w:pPr>
        <w:keepNext/>
        <w:keepLines/>
        <w:widowControl/>
        <w:contextualSpacing/>
        <w:rPr>
          <w:sz w:val="26"/>
          <w:szCs w:val="26"/>
        </w:rPr>
      </w:pPr>
    </w:p>
    <w:p w:rsidR="00915E9B" w:rsidRPr="00CA43A5" w:rsidRDefault="005F6849" w:rsidP="000C3A70">
      <w:pPr>
        <w:keepNext/>
        <w:keepLines/>
        <w:widowControl/>
        <w:contextualSpacing/>
        <w:rPr>
          <w:sz w:val="26"/>
          <w:szCs w:val="26"/>
        </w:rPr>
      </w:pPr>
      <w:bookmarkStart w:id="18" w:name="_GoBack"/>
      <w:r w:rsidRPr="009F01BA">
        <w:rPr>
          <w:b/>
          <w:noProof/>
        </w:rPr>
        <w:drawing>
          <wp:anchor distT="0" distB="0" distL="114300" distR="114300" simplePos="0" relativeHeight="251659264" behindDoc="1" locked="0" layoutInCell="1" allowOverlap="1" wp14:anchorId="4F387E57" wp14:editId="4553B0DD">
            <wp:simplePos x="0" y="0"/>
            <wp:positionH relativeFrom="column">
              <wp:posOffset>2905125</wp:posOffset>
            </wp:positionH>
            <wp:positionV relativeFrom="paragraph">
              <wp:posOffset>111760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8"/>
    </w:p>
    <w:p w:rsidR="00CA43A5" w:rsidRPr="00CA43A5" w:rsidRDefault="00CA43A5" w:rsidP="000C3A70">
      <w:pPr>
        <w:keepNext/>
        <w:keepLines/>
        <w:widowControl/>
        <w:tabs>
          <w:tab w:val="left" w:pos="-720"/>
        </w:tabs>
        <w:ind w:firstLine="5040"/>
        <w:contextualSpacing/>
        <w:rPr>
          <w:sz w:val="26"/>
          <w:szCs w:val="26"/>
        </w:rPr>
      </w:pPr>
      <w:r w:rsidRPr="00CA43A5">
        <w:rPr>
          <w:b/>
          <w:sz w:val="26"/>
          <w:szCs w:val="26"/>
        </w:rPr>
        <w:t>BY THE COMMISSION,</w:t>
      </w:r>
    </w:p>
    <w:p w:rsidR="00CA43A5" w:rsidRPr="00CA43A5" w:rsidRDefault="00CA43A5" w:rsidP="000C3A70">
      <w:pPr>
        <w:keepNext/>
        <w:keepLines/>
        <w:widowControl/>
        <w:tabs>
          <w:tab w:val="left" w:pos="-720"/>
        </w:tabs>
        <w:contextualSpacing/>
        <w:rPr>
          <w:sz w:val="26"/>
          <w:szCs w:val="26"/>
        </w:rPr>
      </w:pPr>
    </w:p>
    <w:p w:rsidR="006F7578" w:rsidRPr="00CA43A5" w:rsidRDefault="006F7578" w:rsidP="000C3A70">
      <w:pPr>
        <w:keepNext/>
        <w:keepLines/>
        <w:widowControl/>
        <w:tabs>
          <w:tab w:val="left" w:pos="-720"/>
        </w:tabs>
        <w:contextualSpacing/>
        <w:rPr>
          <w:sz w:val="26"/>
          <w:szCs w:val="26"/>
        </w:rPr>
      </w:pPr>
    </w:p>
    <w:p w:rsidR="00CA43A5" w:rsidRPr="00CA43A5" w:rsidRDefault="00CA43A5" w:rsidP="000C3A70">
      <w:pPr>
        <w:keepNext/>
        <w:keepLines/>
        <w:widowControl/>
        <w:tabs>
          <w:tab w:val="left" w:pos="-720"/>
        </w:tabs>
        <w:contextualSpacing/>
        <w:rPr>
          <w:sz w:val="26"/>
          <w:szCs w:val="26"/>
        </w:rPr>
      </w:pPr>
    </w:p>
    <w:p w:rsidR="00CA43A5" w:rsidRPr="00CA43A5" w:rsidRDefault="00564565" w:rsidP="000C3A70">
      <w:pPr>
        <w:keepNext/>
        <w:keepLines/>
        <w:widowControl/>
        <w:tabs>
          <w:tab w:val="left" w:pos="-720"/>
        </w:tabs>
        <w:ind w:firstLine="5040"/>
        <w:contextualSpacing/>
        <w:rPr>
          <w:b/>
          <w:sz w:val="26"/>
          <w:szCs w:val="26"/>
        </w:rPr>
      </w:pPr>
      <w:r>
        <w:rPr>
          <w:sz w:val="26"/>
          <w:szCs w:val="26"/>
        </w:rPr>
        <w:t>Rosemary Chiavetta</w:t>
      </w:r>
    </w:p>
    <w:p w:rsidR="00CA43A5" w:rsidRPr="00CA43A5" w:rsidRDefault="00CA43A5" w:rsidP="000C3A70">
      <w:pPr>
        <w:keepNext/>
        <w:keepLines/>
        <w:widowControl/>
        <w:tabs>
          <w:tab w:val="left" w:pos="-720"/>
        </w:tabs>
        <w:ind w:firstLine="5040"/>
        <w:contextualSpacing/>
        <w:rPr>
          <w:sz w:val="26"/>
          <w:szCs w:val="26"/>
        </w:rPr>
      </w:pPr>
      <w:r w:rsidRPr="00CA43A5">
        <w:rPr>
          <w:sz w:val="26"/>
          <w:szCs w:val="26"/>
        </w:rPr>
        <w:t>Secretary</w:t>
      </w:r>
    </w:p>
    <w:p w:rsidR="00CA43A5" w:rsidRPr="00CA43A5" w:rsidRDefault="00CA43A5" w:rsidP="000C3A70">
      <w:pPr>
        <w:keepNext/>
        <w:keepLines/>
        <w:widowControl/>
        <w:tabs>
          <w:tab w:val="left" w:pos="-720"/>
        </w:tabs>
        <w:contextualSpacing/>
        <w:rPr>
          <w:sz w:val="26"/>
          <w:szCs w:val="26"/>
        </w:rPr>
      </w:pPr>
    </w:p>
    <w:p w:rsidR="00CA43A5" w:rsidRPr="00CA43A5" w:rsidRDefault="00CA43A5" w:rsidP="000C3A70">
      <w:pPr>
        <w:keepNext/>
        <w:keepLines/>
        <w:widowControl/>
        <w:tabs>
          <w:tab w:val="left" w:pos="-720"/>
        </w:tabs>
        <w:contextualSpacing/>
        <w:rPr>
          <w:sz w:val="26"/>
          <w:szCs w:val="26"/>
        </w:rPr>
      </w:pPr>
      <w:r w:rsidRPr="00CA43A5">
        <w:rPr>
          <w:sz w:val="26"/>
          <w:szCs w:val="26"/>
        </w:rPr>
        <w:t>(SEAL)</w:t>
      </w:r>
    </w:p>
    <w:p w:rsidR="00CA43A5" w:rsidRPr="00CA43A5" w:rsidRDefault="00CA43A5" w:rsidP="000C3A70">
      <w:pPr>
        <w:keepNext/>
        <w:keepLines/>
        <w:widowControl/>
        <w:tabs>
          <w:tab w:val="left" w:pos="-720"/>
        </w:tabs>
        <w:contextualSpacing/>
        <w:rPr>
          <w:sz w:val="26"/>
          <w:szCs w:val="26"/>
        </w:rPr>
      </w:pPr>
    </w:p>
    <w:p w:rsidR="00CA43A5" w:rsidRPr="00CA43A5" w:rsidRDefault="00CA43A5" w:rsidP="000C3A70">
      <w:pPr>
        <w:keepNext/>
        <w:keepLines/>
        <w:widowControl/>
        <w:tabs>
          <w:tab w:val="left" w:pos="-720"/>
        </w:tabs>
        <w:contextualSpacing/>
        <w:rPr>
          <w:sz w:val="26"/>
          <w:szCs w:val="26"/>
        </w:rPr>
      </w:pPr>
      <w:r w:rsidRPr="00CA43A5">
        <w:rPr>
          <w:sz w:val="26"/>
          <w:szCs w:val="26"/>
        </w:rPr>
        <w:t xml:space="preserve">ORDER ADOPTED: </w:t>
      </w:r>
      <w:r w:rsidR="00F17AB3">
        <w:rPr>
          <w:sz w:val="26"/>
          <w:szCs w:val="26"/>
        </w:rPr>
        <w:t xml:space="preserve"> </w:t>
      </w:r>
      <w:r w:rsidR="002F2620">
        <w:rPr>
          <w:sz w:val="26"/>
          <w:szCs w:val="26"/>
        </w:rPr>
        <w:t>February 8</w:t>
      </w:r>
      <w:r w:rsidR="0054614D">
        <w:rPr>
          <w:sz w:val="26"/>
          <w:szCs w:val="26"/>
        </w:rPr>
        <w:t>, 2018</w:t>
      </w:r>
    </w:p>
    <w:p w:rsidR="00857172" w:rsidRDefault="00857172" w:rsidP="000C3A70">
      <w:pPr>
        <w:keepNext/>
        <w:keepLines/>
        <w:widowControl/>
        <w:tabs>
          <w:tab w:val="left" w:pos="-720"/>
        </w:tabs>
        <w:contextualSpacing/>
        <w:rPr>
          <w:sz w:val="26"/>
          <w:szCs w:val="26"/>
        </w:rPr>
      </w:pPr>
    </w:p>
    <w:p w:rsidR="00344804" w:rsidRPr="00CA43A5" w:rsidRDefault="002A076D" w:rsidP="000C3A70">
      <w:pPr>
        <w:keepNext/>
        <w:keepLines/>
        <w:widowControl/>
        <w:tabs>
          <w:tab w:val="left" w:pos="-720"/>
        </w:tabs>
        <w:contextualSpacing/>
        <w:rPr>
          <w:sz w:val="26"/>
          <w:szCs w:val="26"/>
        </w:rPr>
      </w:pPr>
      <w:r>
        <w:rPr>
          <w:sz w:val="26"/>
          <w:szCs w:val="26"/>
        </w:rPr>
        <w:t>ORDER ENTERED:</w:t>
      </w:r>
      <w:r w:rsidR="005F6849">
        <w:rPr>
          <w:sz w:val="26"/>
          <w:szCs w:val="26"/>
        </w:rPr>
        <w:t xml:space="preserve">  March 23, 2018</w:t>
      </w:r>
    </w:p>
    <w:sectPr w:rsidR="00344804" w:rsidRPr="00CA43A5" w:rsidSect="00360CBC">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D6A" w:rsidRDefault="001F5D6A" w:rsidP="00360CBC">
      <w:r>
        <w:separator/>
      </w:r>
    </w:p>
  </w:endnote>
  <w:endnote w:type="continuationSeparator" w:id="0">
    <w:p w:rsidR="001F5D6A" w:rsidRDefault="001F5D6A" w:rsidP="0036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60473"/>
      <w:docPartObj>
        <w:docPartGallery w:val="Page Numbers (Bottom of Page)"/>
        <w:docPartUnique/>
      </w:docPartObj>
    </w:sdtPr>
    <w:sdtEndPr>
      <w:rPr>
        <w:noProof/>
        <w:sz w:val="24"/>
        <w:szCs w:val="24"/>
      </w:rPr>
    </w:sdtEndPr>
    <w:sdtContent>
      <w:p w:rsidR="006D498B" w:rsidRPr="00360CBC" w:rsidRDefault="006D498B">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AF083F">
          <w:rPr>
            <w:noProof/>
            <w:sz w:val="24"/>
            <w:szCs w:val="24"/>
          </w:rPr>
          <w:t>26</w:t>
        </w:r>
        <w:r w:rsidRPr="00360CBC">
          <w:rPr>
            <w:noProof/>
            <w:sz w:val="24"/>
            <w:szCs w:val="24"/>
          </w:rPr>
          <w:fldChar w:fldCharType="end"/>
        </w:r>
      </w:p>
    </w:sdtContent>
  </w:sdt>
  <w:p w:rsidR="006D498B" w:rsidRDefault="006D4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D6A" w:rsidRDefault="001F5D6A" w:rsidP="00360CBC">
      <w:r>
        <w:separator/>
      </w:r>
    </w:p>
  </w:footnote>
  <w:footnote w:type="continuationSeparator" w:id="0">
    <w:p w:rsidR="001F5D6A" w:rsidRDefault="001F5D6A" w:rsidP="00360CBC">
      <w:r>
        <w:continuationSeparator/>
      </w:r>
    </w:p>
  </w:footnote>
  <w:footnote w:id="1">
    <w:p w:rsidR="006D498B" w:rsidRPr="00CC7D2C" w:rsidRDefault="006D498B" w:rsidP="00CC7D2C">
      <w:pPr>
        <w:keepNext/>
        <w:keepLines/>
        <w:widowControl/>
        <w:tabs>
          <w:tab w:val="left" w:pos="720"/>
          <w:tab w:val="left" w:pos="1440"/>
        </w:tabs>
        <w:spacing w:after="120"/>
        <w:contextualSpacing/>
        <w:rPr>
          <w:sz w:val="26"/>
          <w:szCs w:val="26"/>
        </w:rPr>
      </w:pPr>
      <w:r w:rsidRPr="00CC7D2C">
        <w:rPr>
          <w:sz w:val="26"/>
        </w:rPr>
        <w:tab/>
      </w:r>
      <w:r w:rsidRPr="00CC7D2C">
        <w:rPr>
          <w:rStyle w:val="FootnoteReference"/>
          <w:sz w:val="26"/>
          <w:szCs w:val="26"/>
        </w:rPr>
        <w:footnoteRef/>
      </w:r>
      <w:r w:rsidRPr="00CC7D2C">
        <w:rPr>
          <w:sz w:val="26"/>
          <w:szCs w:val="26"/>
        </w:rPr>
        <w:tab/>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CC7D2C">
        <w:rPr>
          <w:i/>
          <w:sz w:val="26"/>
          <w:szCs w:val="26"/>
        </w:rPr>
        <w:t>pro se</w:t>
      </w:r>
      <w:r w:rsidRPr="00CC7D2C">
        <w:rPr>
          <w:sz w:val="26"/>
          <w:szCs w:val="26"/>
        </w:rPr>
        <w:t>, we will accept the Exceptions as filed pursuant to Section 1.2(a) of our Regulations, 52 Pa. Code § 1.2(a), in order to secure a just, speedy, and inexpensive determination.</w:t>
      </w:r>
    </w:p>
    <w:p w:rsidR="006D498B" w:rsidRPr="00CC7D2C" w:rsidRDefault="006D498B" w:rsidP="00CC7D2C">
      <w:pPr>
        <w:pStyle w:val="FootnoteText"/>
        <w:keepNext/>
        <w:keepLines/>
        <w:widowControl/>
        <w:spacing w:after="120"/>
        <w:contextualSpacing/>
        <w:rPr>
          <w:sz w:val="26"/>
        </w:rPr>
      </w:pPr>
    </w:p>
  </w:footnote>
  <w:footnote w:id="2">
    <w:p w:rsidR="006D498B" w:rsidRPr="00CC7D2C" w:rsidRDefault="006D498B" w:rsidP="00CC7D2C">
      <w:pPr>
        <w:pStyle w:val="FootnoteText"/>
        <w:keepNext/>
        <w:keepLines/>
        <w:widowControl/>
        <w:spacing w:after="120"/>
        <w:ind w:firstLine="720"/>
        <w:rPr>
          <w:sz w:val="26"/>
          <w:szCs w:val="26"/>
        </w:rPr>
      </w:pPr>
      <w:r w:rsidRPr="00CC7D2C">
        <w:rPr>
          <w:rStyle w:val="FootnoteReference"/>
          <w:sz w:val="26"/>
          <w:szCs w:val="26"/>
        </w:rPr>
        <w:footnoteRef/>
      </w:r>
      <w:r w:rsidRPr="00CC7D2C">
        <w:rPr>
          <w:sz w:val="26"/>
          <w:szCs w:val="26"/>
        </w:rPr>
        <w:tab/>
        <w:t>Section 1529.1 was added to the Code by the enactment of Public Law 379, No. 54, on July 2, 1993, with an effective date of September 1, 1993.</w:t>
      </w:r>
    </w:p>
  </w:footnote>
  <w:footnote w:id="3">
    <w:p w:rsidR="006D498B" w:rsidRPr="00CC7D2C" w:rsidRDefault="006D498B" w:rsidP="00CC7D2C">
      <w:pPr>
        <w:keepNext/>
        <w:keepLines/>
        <w:widowControl/>
        <w:spacing w:after="120"/>
        <w:ind w:firstLine="720"/>
        <w:rPr>
          <w:sz w:val="26"/>
          <w:szCs w:val="26"/>
        </w:rPr>
      </w:pPr>
      <w:r w:rsidRPr="00CC7D2C">
        <w:rPr>
          <w:rStyle w:val="FootnoteReference"/>
          <w:sz w:val="26"/>
        </w:rPr>
        <w:footnoteRef/>
      </w:r>
      <w:r w:rsidRPr="00CC7D2C">
        <w:rPr>
          <w:sz w:val="26"/>
        </w:rPr>
        <w:tab/>
      </w:r>
      <w:r w:rsidRPr="00CC7D2C">
        <w:rPr>
          <w:i/>
          <w:sz w:val="26"/>
          <w:szCs w:val="26"/>
        </w:rPr>
        <w:t>See David P. Boyce v. Duquesne Light Company</w:t>
      </w:r>
      <w:r w:rsidRPr="00CC7D2C">
        <w:rPr>
          <w:sz w:val="26"/>
          <w:szCs w:val="26"/>
        </w:rPr>
        <w:t>, Docket No. Z-00223698 (Opinion and Order entered September 1, 1994) (</w:t>
      </w:r>
      <w:r w:rsidRPr="00CC7D2C">
        <w:rPr>
          <w:i/>
          <w:sz w:val="26"/>
          <w:szCs w:val="26"/>
        </w:rPr>
        <w:t>Boyce</w:t>
      </w:r>
      <w:r w:rsidRPr="00CC7D2C">
        <w:rPr>
          <w:sz w:val="26"/>
          <w:szCs w:val="26"/>
        </w:rPr>
        <w:t>) (foreign load existed where tenant’s meter registered electric service for the compressor for the air conditioning unit servicing three apartment units)</w:t>
      </w:r>
      <w:r w:rsidRPr="00CC7D2C">
        <w:rPr>
          <w:i/>
          <w:sz w:val="26"/>
          <w:szCs w:val="26"/>
        </w:rPr>
        <w:t>; see also</w:t>
      </w:r>
      <w:r w:rsidRPr="00CC7D2C">
        <w:rPr>
          <w:sz w:val="26"/>
          <w:szCs w:val="26"/>
        </w:rPr>
        <w:t xml:space="preserve"> </w:t>
      </w:r>
      <w:r w:rsidRPr="00CC7D2C">
        <w:rPr>
          <w:i/>
          <w:sz w:val="26"/>
          <w:szCs w:val="26"/>
        </w:rPr>
        <w:t>Santos</w:t>
      </w:r>
      <w:r w:rsidRPr="00CC7D2C">
        <w:rPr>
          <w:sz w:val="26"/>
          <w:szCs w:val="26"/>
        </w:rPr>
        <w:t xml:space="preserve"> (foreign load existed where tenant’s meter registered electric service to a barber shop and church located in tenant’s building); </w:t>
      </w:r>
      <w:r w:rsidRPr="00CC7D2C">
        <w:rPr>
          <w:i/>
          <w:sz w:val="26"/>
          <w:szCs w:val="26"/>
        </w:rPr>
        <w:t>see also</w:t>
      </w:r>
      <w:r w:rsidRPr="00CC7D2C">
        <w:rPr>
          <w:sz w:val="26"/>
          <w:szCs w:val="26"/>
        </w:rPr>
        <w:t xml:space="preserve"> </w:t>
      </w:r>
      <w:r w:rsidRPr="00CC7D2C">
        <w:rPr>
          <w:i/>
          <w:iCs/>
          <w:sz w:val="26"/>
          <w:szCs w:val="26"/>
        </w:rPr>
        <w:t>Del Vecchio v. PPL Elec. Utils. Corp.,</w:t>
      </w:r>
      <w:r w:rsidRPr="00CC7D2C">
        <w:rPr>
          <w:sz w:val="26"/>
          <w:szCs w:val="26"/>
        </w:rPr>
        <w:t xml:space="preserve"> Docket No. Z–01464793, 2005 WL 2277638 (Order entered September 13, 2005)(foreign load existed where tenant’s account registered electric service to well water pump and various outbuildings); </w:t>
      </w:r>
      <w:r w:rsidRPr="00CC7D2C">
        <w:rPr>
          <w:i/>
          <w:sz w:val="26"/>
          <w:szCs w:val="26"/>
        </w:rPr>
        <w:t>see also</w:t>
      </w:r>
      <w:r w:rsidRPr="00CC7D2C">
        <w:rPr>
          <w:sz w:val="26"/>
          <w:szCs w:val="26"/>
        </w:rPr>
        <w:t xml:space="preserve"> </w:t>
      </w:r>
      <w:r w:rsidRPr="00CC7D2C">
        <w:rPr>
          <w:i/>
          <w:sz w:val="26"/>
          <w:szCs w:val="26"/>
        </w:rPr>
        <w:t>Franckowiak v. PPL Electric Utilities Corp</w:t>
      </w:r>
      <w:r w:rsidRPr="00CC7D2C">
        <w:rPr>
          <w:sz w:val="26"/>
          <w:szCs w:val="26"/>
        </w:rPr>
        <w:t xml:space="preserve">., Docket No. C-2005-4687, 2006 WL 4794383 (Order entered July 3, 2006) (“the existence of foreign wiring precludes a premises from being considered ‘individually metered’ for purposes of [Section 1529.1 of the Code].”); </w:t>
      </w:r>
      <w:r w:rsidRPr="00CC7D2C">
        <w:rPr>
          <w:i/>
          <w:sz w:val="26"/>
          <w:szCs w:val="26"/>
        </w:rPr>
        <w:t>see also Shank v. PPL Electric Utilities Corporation</w:t>
      </w:r>
      <w:r w:rsidRPr="00CC7D2C">
        <w:rPr>
          <w:sz w:val="26"/>
          <w:szCs w:val="26"/>
        </w:rPr>
        <w:t>, Docket No. C-2009-2087300 (Opinion and Order entered August 31, 2009) (</w:t>
      </w:r>
      <w:r w:rsidRPr="00CC7D2C">
        <w:rPr>
          <w:i/>
          <w:sz w:val="26"/>
          <w:szCs w:val="26"/>
        </w:rPr>
        <w:t>Shank</w:t>
      </w:r>
      <w:r w:rsidRPr="00CC7D2C">
        <w:rPr>
          <w:sz w:val="26"/>
          <w:szCs w:val="26"/>
        </w:rPr>
        <w:t xml:space="preserve">) (foreign load existed where tenant’s meter registers electric service from foreign wiring); </w:t>
      </w:r>
      <w:r w:rsidRPr="00CC7D2C">
        <w:rPr>
          <w:i/>
          <w:sz w:val="26"/>
          <w:szCs w:val="26"/>
        </w:rPr>
        <w:t>see also Ace Check Cashing</w:t>
      </w:r>
      <w:r w:rsidRPr="00CC7D2C">
        <w:rPr>
          <w:sz w:val="26"/>
          <w:szCs w:val="26"/>
        </w:rPr>
        <w:t xml:space="preserve"> (foreign load existed where tenants’ gas meter registered gas service for hot water heater supply hot water to separate floor of building); </w:t>
      </w:r>
      <w:r w:rsidRPr="00CC7D2C">
        <w:rPr>
          <w:i/>
          <w:sz w:val="26"/>
          <w:szCs w:val="26"/>
        </w:rPr>
        <w:t>see also</w:t>
      </w:r>
      <w:r w:rsidRPr="00CC7D2C">
        <w:rPr>
          <w:sz w:val="26"/>
          <w:szCs w:val="26"/>
        </w:rPr>
        <w:t xml:space="preserve"> </w:t>
      </w:r>
      <w:r w:rsidRPr="00CC7D2C">
        <w:rPr>
          <w:i/>
          <w:iCs/>
          <w:sz w:val="26"/>
          <w:szCs w:val="26"/>
        </w:rPr>
        <w:t>Cosme v. PECO Energy Co.,</w:t>
      </w:r>
      <w:r w:rsidRPr="00CC7D2C">
        <w:rPr>
          <w:sz w:val="26"/>
          <w:szCs w:val="26"/>
        </w:rPr>
        <w:t xml:space="preserve"> Docket No. C–2010–2171497, 2012 WL 1794917 (Order entered March 8, 2012) (foreign load existed where tenant’s meter registered electric service for hallway electric heater and light); </w:t>
      </w:r>
      <w:r w:rsidRPr="00CC7D2C">
        <w:rPr>
          <w:i/>
          <w:sz w:val="26"/>
          <w:szCs w:val="26"/>
        </w:rPr>
        <w:t>see also</w:t>
      </w:r>
      <w:r w:rsidRPr="00CC7D2C">
        <w:rPr>
          <w:sz w:val="26"/>
          <w:szCs w:val="26"/>
        </w:rPr>
        <w:t xml:space="preserve"> </w:t>
      </w:r>
      <w:r w:rsidRPr="00CC7D2C">
        <w:rPr>
          <w:i/>
          <w:sz w:val="26"/>
          <w:szCs w:val="26"/>
        </w:rPr>
        <w:t>George W. Kopf, Jr. v. PECO Energy Co</w:t>
      </w:r>
      <w:r w:rsidRPr="00CC7D2C">
        <w:rPr>
          <w:sz w:val="26"/>
          <w:szCs w:val="26"/>
        </w:rPr>
        <w:t>., Docket No. C-2012-2332993 (Opinion and Order entered June 13, 2013) (</w:t>
      </w:r>
      <w:r w:rsidRPr="00CC7D2C">
        <w:rPr>
          <w:i/>
          <w:sz w:val="26"/>
          <w:szCs w:val="26"/>
        </w:rPr>
        <w:t>Kopf</w:t>
      </w:r>
      <w:r w:rsidRPr="00CC7D2C">
        <w:rPr>
          <w:sz w:val="26"/>
          <w:szCs w:val="26"/>
        </w:rPr>
        <w:t xml:space="preserve">) (foreign load existed where tenant’s meter registered electric service to common areas in second floor hallway, basement and outside light); </w:t>
      </w:r>
      <w:r w:rsidRPr="00CC7D2C">
        <w:rPr>
          <w:i/>
          <w:sz w:val="26"/>
          <w:szCs w:val="26"/>
        </w:rPr>
        <w:t>see also</w:t>
      </w:r>
      <w:r w:rsidRPr="00CC7D2C">
        <w:rPr>
          <w:sz w:val="26"/>
          <w:szCs w:val="26"/>
        </w:rPr>
        <w:t xml:space="preserve"> </w:t>
      </w:r>
      <w:r w:rsidRPr="00CC7D2C">
        <w:rPr>
          <w:i/>
          <w:sz w:val="26"/>
          <w:szCs w:val="26"/>
        </w:rPr>
        <w:t>1-A Realty v. PPL Electric Utilities Corp.</w:t>
      </w:r>
      <w:r w:rsidRPr="00CC7D2C">
        <w:rPr>
          <w:sz w:val="26"/>
          <w:szCs w:val="26"/>
        </w:rPr>
        <w:t>, Docket No. F-2010-2166554, et al., (Opinion and Order entered April 12, 2012), aff’d</w:t>
      </w:r>
      <w:r w:rsidRPr="00CC7D2C">
        <w:rPr>
          <w:i/>
          <w:sz w:val="26"/>
          <w:szCs w:val="26"/>
        </w:rPr>
        <w:t xml:space="preserve"> 1-A Realty v. Pa. PUC</w:t>
      </w:r>
      <w:r w:rsidRPr="00CC7D2C">
        <w:rPr>
          <w:sz w:val="26"/>
          <w:szCs w:val="26"/>
        </w:rPr>
        <w:t xml:space="preserve">, 63 A.3d 480 (Pa. Cmwlth. 2013) (foreign load existed where communal street lights in a mobile home park were connected to the electric boxes of the homes of the nearest tenants); </w:t>
      </w:r>
      <w:r w:rsidRPr="00CC7D2C">
        <w:rPr>
          <w:i/>
          <w:sz w:val="26"/>
          <w:szCs w:val="26"/>
        </w:rPr>
        <w:t>see also</w:t>
      </w:r>
      <w:r w:rsidRPr="00CC7D2C">
        <w:rPr>
          <w:sz w:val="26"/>
          <w:szCs w:val="26"/>
        </w:rPr>
        <w:t xml:space="preserve"> </w:t>
      </w:r>
      <w:r w:rsidRPr="00CC7D2C">
        <w:rPr>
          <w:i/>
          <w:sz w:val="26"/>
          <w:szCs w:val="26"/>
        </w:rPr>
        <w:t>Gnana Chinniah v. PPL Electric Utilities Corp.</w:t>
      </w:r>
      <w:r w:rsidRPr="00CC7D2C">
        <w:rPr>
          <w:sz w:val="26"/>
          <w:szCs w:val="26"/>
        </w:rPr>
        <w:t>, Docket No. F-2012-2325248 (Opinion and Order entered May 9, 2013) (foreign load existed where tenant’s meter registered electric service to a detached storage shed located in the middle of a backyard of a duplex on the boundary between the two properties).</w:t>
      </w:r>
    </w:p>
  </w:footnote>
  <w:footnote w:id="4">
    <w:p w:rsidR="006D498B" w:rsidRPr="00CC7D2C" w:rsidRDefault="006D498B" w:rsidP="00CC7D2C">
      <w:pPr>
        <w:pStyle w:val="FootnoteText"/>
        <w:keepNext/>
        <w:keepLines/>
        <w:widowControl/>
        <w:spacing w:after="120"/>
        <w:ind w:firstLine="720"/>
        <w:rPr>
          <w:sz w:val="26"/>
        </w:rPr>
      </w:pPr>
      <w:r w:rsidRPr="00CC7D2C">
        <w:rPr>
          <w:rStyle w:val="FootnoteReference"/>
          <w:sz w:val="26"/>
        </w:rPr>
        <w:footnoteRef/>
      </w:r>
      <w:r w:rsidRPr="00CC7D2C">
        <w:rPr>
          <w:sz w:val="26"/>
        </w:rPr>
        <w:tab/>
      </w:r>
      <w:r w:rsidRPr="00CC7D2C">
        <w:rPr>
          <w:sz w:val="26"/>
          <w:szCs w:val="26"/>
        </w:rPr>
        <w:t xml:space="preserve">As explained in the Initial Decision, I.D. at 9-10, the Commission previously addressed the issue of a tenant accepting minimal foreign wiring in the </w:t>
      </w:r>
      <w:r w:rsidRPr="00CC7D2C">
        <w:rPr>
          <w:i/>
          <w:sz w:val="26"/>
          <w:szCs w:val="26"/>
        </w:rPr>
        <w:t>Proposed Policy Statement Re: Resolution of Issues Common to Complaints Involving 66 Pa. C.S. § 1529.1</w:t>
      </w:r>
      <w:r w:rsidRPr="00CC7D2C">
        <w:rPr>
          <w:sz w:val="26"/>
          <w:szCs w:val="26"/>
        </w:rPr>
        <w:t>, Docket No. L-00980137 (Order entered September 23, 1998), 28 Pa. B. 5497 (October 31, 1998) (</w:t>
      </w:r>
      <w:r w:rsidRPr="00CC7D2C">
        <w:rPr>
          <w:i/>
          <w:sz w:val="26"/>
          <w:szCs w:val="26"/>
        </w:rPr>
        <w:t>1998 Proposed Policy Statement</w:t>
      </w:r>
      <w:r w:rsidRPr="00CC7D2C">
        <w:rPr>
          <w:sz w:val="26"/>
          <w:szCs w:val="26"/>
        </w:rPr>
        <w:t>).  This proposed policy statement to implement 66 Pa.</w:t>
      </w:r>
      <w:r w:rsidR="00CC7D2C" w:rsidRPr="00CC7D2C">
        <w:rPr>
          <w:sz w:val="26"/>
          <w:szCs w:val="26"/>
        </w:rPr>
        <w:t xml:space="preserve"> </w:t>
      </w:r>
      <w:r w:rsidRPr="00CC7D2C">
        <w:rPr>
          <w:sz w:val="26"/>
          <w:szCs w:val="26"/>
        </w:rPr>
        <w:t xml:space="preserve">C.S. § 1529.1 allowed foreign load that had been disclosed in writing to the tenant and for which the tenant had notified the utility that he or she would accept responsibility.  However, </w:t>
      </w:r>
      <w:r w:rsidRPr="00CC7D2C">
        <w:rPr>
          <w:i/>
          <w:sz w:val="26"/>
          <w:szCs w:val="26"/>
        </w:rPr>
        <w:t>1998 Proposed Policy Statement</w:t>
      </w:r>
      <w:r w:rsidRPr="00CC7D2C">
        <w:rPr>
          <w:sz w:val="26"/>
          <w:szCs w:val="26"/>
        </w:rPr>
        <w:t xml:space="preserve"> was withdrawn and replaced by proposed regulations through the</w:t>
      </w:r>
      <w:r w:rsidRPr="00CC7D2C">
        <w:rPr>
          <w:i/>
          <w:sz w:val="26"/>
          <w:szCs w:val="26"/>
        </w:rPr>
        <w:t xml:space="preserve"> Proposed Rulemaking Order Re: Residential Accounts Containing Charges for Foreign Load</w:t>
      </w:r>
      <w:r w:rsidRPr="00CC7D2C">
        <w:rPr>
          <w:sz w:val="26"/>
          <w:szCs w:val="26"/>
        </w:rPr>
        <w:t>, Docket No. L-00990142 (Order entered August 13, 1999) (</w:t>
      </w:r>
      <w:r w:rsidRPr="00CC7D2C">
        <w:rPr>
          <w:i/>
          <w:sz w:val="26"/>
          <w:szCs w:val="26"/>
        </w:rPr>
        <w:t>1999 Proposed Rulemaking</w:t>
      </w:r>
      <w:r w:rsidRPr="00CC7D2C">
        <w:rPr>
          <w:sz w:val="26"/>
          <w:szCs w:val="26"/>
        </w:rPr>
        <w:t xml:space="preserve">).  The Commission again proposed to allow foreign load where there was prior disclosure and provided there was a Commission finding, after notice and an opportunity to be heard, that the tenant had agreed to pay for it. The Commission discontinued the </w:t>
      </w:r>
      <w:r w:rsidRPr="00CC7D2C">
        <w:rPr>
          <w:i/>
          <w:sz w:val="26"/>
          <w:szCs w:val="26"/>
        </w:rPr>
        <w:t>1999 Proposed Rulemaking</w:t>
      </w:r>
      <w:r w:rsidRPr="00CC7D2C">
        <w:rPr>
          <w:sz w:val="26"/>
          <w:szCs w:val="26"/>
        </w:rPr>
        <w:t xml:space="preserve"> in 2005.  </w:t>
      </w:r>
      <w:r w:rsidRPr="00CC7D2C">
        <w:rPr>
          <w:i/>
          <w:sz w:val="26"/>
          <w:szCs w:val="26"/>
        </w:rPr>
        <w:t>See Discontinuance of Proposed Rulemaking Regarding Residential Accounts Containing Charges for Foreign Load</w:t>
      </w:r>
      <w:r w:rsidRPr="00CC7D2C">
        <w:rPr>
          <w:sz w:val="26"/>
          <w:szCs w:val="26"/>
        </w:rPr>
        <w:t xml:space="preserve">, Docket No. L-00990142 (Order entered October 7, 2005).  Accordingly, any reliance on either the </w:t>
      </w:r>
      <w:r w:rsidRPr="00CC7D2C">
        <w:rPr>
          <w:i/>
          <w:sz w:val="26"/>
          <w:szCs w:val="26"/>
        </w:rPr>
        <w:t>1998 Proposed Policy Statement</w:t>
      </w:r>
      <w:r w:rsidRPr="00CC7D2C">
        <w:rPr>
          <w:sz w:val="26"/>
          <w:szCs w:val="26"/>
        </w:rPr>
        <w:t xml:space="preserve"> or the </w:t>
      </w:r>
      <w:r w:rsidRPr="00CC7D2C">
        <w:rPr>
          <w:i/>
          <w:sz w:val="26"/>
          <w:szCs w:val="26"/>
        </w:rPr>
        <w:t>1999 Proposed Rulemaking</w:t>
      </w:r>
      <w:r w:rsidRPr="00CC7D2C">
        <w:rPr>
          <w:sz w:val="26"/>
          <w:szCs w:val="26"/>
        </w:rPr>
        <w:t xml:space="preserve"> would be contrary to law.  </w:t>
      </w:r>
      <w:r w:rsidRPr="00CC7D2C">
        <w:rPr>
          <w:i/>
          <w:sz w:val="26"/>
          <w:szCs w:val="26"/>
        </w:rPr>
        <w:t>See 1-A Realty v. PPL Electric Utilities Corporation</w:t>
      </w:r>
      <w:r w:rsidRPr="00CC7D2C">
        <w:rPr>
          <w:sz w:val="26"/>
          <w:szCs w:val="26"/>
        </w:rPr>
        <w:t>, Docket Nos. F-2010-2166554 and F</w:t>
      </w:r>
      <w:r w:rsidRPr="00CC7D2C">
        <w:rPr>
          <w:sz w:val="26"/>
          <w:szCs w:val="26"/>
        </w:rPr>
        <w:noBreakHyphen/>
        <w:t xml:space="preserve">2010-2166976 (Order entered April 12, 2012) at 18-19, 13, n.2; </w:t>
      </w:r>
      <w:r w:rsidRPr="00CC7D2C">
        <w:rPr>
          <w:i/>
          <w:sz w:val="26"/>
          <w:szCs w:val="26"/>
        </w:rPr>
        <w:t>see also</w:t>
      </w:r>
      <w:r w:rsidRPr="00CC7D2C">
        <w:rPr>
          <w:sz w:val="26"/>
          <w:szCs w:val="26"/>
        </w:rPr>
        <w:t xml:space="preserve"> </w:t>
      </w:r>
      <w:r w:rsidRPr="00CC7D2C">
        <w:rPr>
          <w:i/>
          <w:sz w:val="26"/>
          <w:szCs w:val="26"/>
        </w:rPr>
        <w:t>Kopf</w:t>
      </w:r>
      <w:r w:rsidRPr="00CC7D2C">
        <w:rPr>
          <w:sz w:val="26"/>
          <w:szCs w:val="26"/>
        </w:rPr>
        <w:t>.</w:t>
      </w:r>
    </w:p>
  </w:footnote>
  <w:footnote w:id="5">
    <w:p w:rsidR="006D498B" w:rsidRPr="00CC7D2C" w:rsidRDefault="006D498B" w:rsidP="00CC7D2C">
      <w:pPr>
        <w:pStyle w:val="FootnoteText"/>
        <w:keepNext/>
        <w:keepLines/>
        <w:widowControl/>
        <w:spacing w:after="120"/>
        <w:ind w:firstLine="720"/>
        <w:rPr>
          <w:sz w:val="26"/>
        </w:rPr>
      </w:pPr>
      <w:r w:rsidRPr="00CC7D2C">
        <w:rPr>
          <w:rStyle w:val="FootnoteReference"/>
          <w:sz w:val="26"/>
          <w:szCs w:val="26"/>
        </w:rPr>
        <w:footnoteRef/>
      </w:r>
      <w:r w:rsidRPr="00CC7D2C">
        <w:rPr>
          <w:sz w:val="26"/>
        </w:rPr>
        <w:tab/>
      </w:r>
      <w:r w:rsidRPr="00CC7D2C">
        <w:rPr>
          <w:sz w:val="26"/>
          <w:szCs w:val="26"/>
        </w:rPr>
        <w:t xml:space="preserve">Indeed, it is well-settled the Commission lacks jurisdiction over disputes between landlords and tenants.  </w:t>
      </w:r>
      <w:r w:rsidRPr="00CC7D2C">
        <w:rPr>
          <w:i/>
          <w:sz w:val="26"/>
          <w:szCs w:val="26"/>
        </w:rPr>
        <w:t>Ace Check Cashing;</w:t>
      </w:r>
      <w:r w:rsidRPr="00CC7D2C">
        <w:rPr>
          <w:sz w:val="26"/>
          <w:szCs w:val="26"/>
        </w:rPr>
        <w:t xml:space="preserve"> </w:t>
      </w:r>
      <w:r w:rsidRPr="00CC7D2C">
        <w:rPr>
          <w:i/>
          <w:sz w:val="26"/>
          <w:szCs w:val="26"/>
        </w:rPr>
        <w:t>Afshari</w:t>
      </w:r>
      <w:r w:rsidRPr="00CC7D2C">
        <w:rPr>
          <w:sz w:val="26"/>
          <w:szCs w:val="26"/>
        </w:rPr>
        <w:t xml:space="preserve">.  The financial responsibility of a foreign load balance as between the landlord and tenant(s), is a private matter that is between the property owner and tenants, not appropriate for the Commission to resolve.  </w:t>
      </w:r>
      <w:r w:rsidRPr="00CC7D2C">
        <w:rPr>
          <w:i/>
          <w:sz w:val="26"/>
          <w:szCs w:val="26"/>
        </w:rPr>
        <w:t>See</w:t>
      </w:r>
      <w:r w:rsidRPr="00CC7D2C">
        <w:rPr>
          <w:sz w:val="26"/>
          <w:szCs w:val="26"/>
        </w:rPr>
        <w:t xml:space="preserve"> </w:t>
      </w:r>
      <w:r w:rsidR="00FC04C5" w:rsidRPr="00CC7D2C">
        <w:rPr>
          <w:i/>
          <w:sz w:val="26"/>
          <w:szCs w:val="26"/>
        </w:rPr>
        <w:t>Ace Check Cashing</w:t>
      </w:r>
      <w:r w:rsidRPr="00CC7D2C">
        <w:rPr>
          <w:i/>
          <w:sz w:val="26"/>
          <w:szCs w:val="26"/>
        </w:rPr>
        <w:t xml:space="preserve"> </w:t>
      </w:r>
      <w:r w:rsidRPr="00CC7D2C">
        <w:rPr>
          <w:sz w:val="26"/>
          <w:szCs w:val="26"/>
        </w:rPr>
        <w:t>(in addressing the landlord’s claim that the tenants agreed to be responsible for paying all utility bills, the Commission stated “[W]hile such a dispute, arguably, may involve utility rates, when the charges owned to the utility for past service are settled [as to the landlord’s financial responsibility], the only issues to be decided is financial responsibility [as between landlord and tenant] for the charges.  That matter should be handled by the courts.)</w:t>
      </w:r>
      <w:r w:rsidRPr="00CC7D2C">
        <w:rPr>
          <w:i/>
          <w:sz w:val="26"/>
          <w:szCs w:val="26"/>
        </w:rPr>
        <w:t>; see also</w:t>
      </w:r>
      <w:r w:rsidRPr="00CC7D2C">
        <w:rPr>
          <w:sz w:val="26"/>
          <w:szCs w:val="26"/>
        </w:rPr>
        <w:t xml:space="preserve"> </w:t>
      </w:r>
      <w:r w:rsidRPr="00CC7D2C">
        <w:rPr>
          <w:i/>
          <w:sz w:val="26"/>
          <w:szCs w:val="26"/>
        </w:rPr>
        <w:t>Santos</w:t>
      </w:r>
      <w:r w:rsidRPr="00CC7D2C">
        <w:rPr>
          <w:sz w:val="26"/>
          <w:szCs w:val="26"/>
        </w:rPr>
        <w:t xml:space="preserve"> (as for landlord’s duty to reimburse tenant for amounts paid by tenant which are landlord’s responsibility, the utility is not the arbiter of such disputes and need not refund to tenant amounts already paid on the account); </w:t>
      </w:r>
      <w:r w:rsidRPr="00CC7D2C">
        <w:rPr>
          <w:i/>
          <w:sz w:val="26"/>
          <w:szCs w:val="26"/>
        </w:rPr>
        <w:t>see also</w:t>
      </w:r>
      <w:r w:rsidRPr="00CC7D2C">
        <w:rPr>
          <w:sz w:val="26"/>
          <w:szCs w:val="26"/>
        </w:rPr>
        <w:t xml:space="preserve"> </w:t>
      </w:r>
      <w:r w:rsidRPr="00CC7D2C">
        <w:rPr>
          <w:i/>
          <w:sz w:val="26"/>
          <w:szCs w:val="26"/>
        </w:rPr>
        <w:t>Edmund v. Corazzini v. UGI Penn Natural Gas, Inc</w:t>
      </w:r>
      <w:r w:rsidRPr="00CC7D2C">
        <w:rPr>
          <w:sz w:val="26"/>
          <w:szCs w:val="26"/>
        </w:rPr>
        <w:t>., Docket No. F</w:t>
      </w:r>
      <w:r w:rsidR="00FC04C5" w:rsidRPr="00CC7D2C">
        <w:rPr>
          <w:sz w:val="26"/>
          <w:szCs w:val="26"/>
        </w:rPr>
        <w:noBreakHyphen/>
      </w:r>
      <w:r w:rsidRPr="00CC7D2C">
        <w:rPr>
          <w:sz w:val="26"/>
          <w:szCs w:val="26"/>
        </w:rPr>
        <w:t>2009-2101282 (Opinion and Order entered July 16, 2010) (the landlord may seek damages from his tenant through the courts but that is a private matter that is outside the Commission’s jurisdiction) (</w:t>
      </w:r>
      <w:r w:rsidRPr="00CC7D2C">
        <w:rPr>
          <w:i/>
          <w:sz w:val="26"/>
          <w:szCs w:val="26"/>
        </w:rPr>
        <w:t>Corazzini</w:t>
      </w:r>
      <w:r w:rsidRPr="00CC7D2C">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A1F43E9"/>
    <w:multiLevelType w:val="hybridMultilevel"/>
    <w:tmpl w:val="F97CCA16"/>
    <w:lvl w:ilvl="0" w:tplc="23922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7A1"/>
    <w:rsid w:val="00001FC8"/>
    <w:rsid w:val="00006685"/>
    <w:rsid w:val="00006F35"/>
    <w:rsid w:val="00013F00"/>
    <w:rsid w:val="00016D57"/>
    <w:rsid w:val="00017852"/>
    <w:rsid w:val="00021E46"/>
    <w:rsid w:val="00022B74"/>
    <w:rsid w:val="0002524C"/>
    <w:rsid w:val="00025F3F"/>
    <w:rsid w:val="00026CD2"/>
    <w:rsid w:val="0003360E"/>
    <w:rsid w:val="00037078"/>
    <w:rsid w:val="00040A8E"/>
    <w:rsid w:val="00040AEA"/>
    <w:rsid w:val="00046C52"/>
    <w:rsid w:val="00046D9D"/>
    <w:rsid w:val="00047874"/>
    <w:rsid w:val="00047F4A"/>
    <w:rsid w:val="000523D1"/>
    <w:rsid w:val="00052B8F"/>
    <w:rsid w:val="00054612"/>
    <w:rsid w:val="0005572E"/>
    <w:rsid w:val="00056286"/>
    <w:rsid w:val="000612FD"/>
    <w:rsid w:val="000642AA"/>
    <w:rsid w:val="000643D1"/>
    <w:rsid w:val="000649EC"/>
    <w:rsid w:val="00066EE5"/>
    <w:rsid w:val="00067260"/>
    <w:rsid w:val="00072808"/>
    <w:rsid w:val="00076F35"/>
    <w:rsid w:val="00084573"/>
    <w:rsid w:val="00084AF9"/>
    <w:rsid w:val="000918D4"/>
    <w:rsid w:val="00092D9D"/>
    <w:rsid w:val="00093164"/>
    <w:rsid w:val="00095135"/>
    <w:rsid w:val="0009612D"/>
    <w:rsid w:val="00097504"/>
    <w:rsid w:val="000A141A"/>
    <w:rsid w:val="000A365D"/>
    <w:rsid w:val="000B216D"/>
    <w:rsid w:val="000B2755"/>
    <w:rsid w:val="000B4EAE"/>
    <w:rsid w:val="000B5238"/>
    <w:rsid w:val="000B607A"/>
    <w:rsid w:val="000B6B15"/>
    <w:rsid w:val="000B730E"/>
    <w:rsid w:val="000C2650"/>
    <w:rsid w:val="000C2AE3"/>
    <w:rsid w:val="000C3A70"/>
    <w:rsid w:val="000C709A"/>
    <w:rsid w:val="000D7BD8"/>
    <w:rsid w:val="000E4C0C"/>
    <w:rsid w:val="000F179E"/>
    <w:rsid w:val="000F1B79"/>
    <w:rsid w:val="000F2121"/>
    <w:rsid w:val="000F4307"/>
    <w:rsid w:val="001005E0"/>
    <w:rsid w:val="0010158F"/>
    <w:rsid w:val="00101F51"/>
    <w:rsid w:val="001026CA"/>
    <w:rsid w:val="00104D9B"/>
    <w:rsid w:val="00107D3F"/>
    <w:rsid w:val="001153B0"/>
    <w:rsid w:val="00117CB2"/>
    <w:rsid w:val="00120B39"/>
    <w:rsid w:val="00123574"/>
    <w:rsid w:val="001238E5"/>
    <w:rsid w:val="00123A2E"/>
    <w:rsid w:val="00124071"/>
    <w:rsid w:val="001251BB"/>
    <w:rsid w:val="001267D4"/>
    <w:rsid w:val="00135972"/>
    <w:rsid w:val="001360FC"/>
    <w:rsid w:val="001447A0"/>
    <w:rsid w:val="0014497F"/>
    <w:rsid w:val="00146DDD"/>
    <w:rsid w:val="00146E58"/>
    <w:rsid w:val="00147145"/>
    <w:rsid w:val="00150096"/>
    <w:rsid w:val="001508E4"/>
    <w:rsid w:val="0015380A"/>
    <w:rsid w:val="00153EB0"/>
    <w:rsid w:val="00154CB6"/>
    <w:rsid w:val="00163F7E"/>
    <w:rsid w:val="00164DA4"/>
    <w:rsid w:val="00166298"/>
    <w:rsid w:val="001663C8"/>
    <w:rsid w:val="00170779"/>
    <w:rsid w:val="00174D3D"/>
    <w:rsid w:val="001756DB"/>
    <w:rsid w:val="001801BA"/>
    <w:rsid w:val="00182478"/>
    <w:rsid w:val="00184F6A"/>
    <w:rsid w:val="00186A97"/>
    <w:rsid w:val="001937BA"/>
    <w:rsid w:val="0019530E"/>
    <w:rsid w:val="00195F2E"/>
    <w:rsid w:val="0019757B"/>
    <w:rsid w:val="001A001C"/>
    <w:rsid w:val="001A382D"/>
    <w:rsid w:val="001B1DB4"/>
    <w:rsid w:val="001B3D8C"/>
    <w:rsid w:val="001B5D52"/>
    <w:rsid w:val="001B787F"/>
    <w:rsid w:val="001C2501"/>
    <w:rsid w:val="001C4978"/>
    <w:rsid w:val="001D030D"/>
    <w:rsid w:val="001D0ED2"/>
    <w:rsid w:val="001E0B61"/>
    <w:rsid w:val="001E1276"/>
    <w:rsid w:val="001E1FFD"/>
    <w:rsid w:val="001E68D7"/>
    <w:rsid w:val="001E6995"/>
    <w:rsid w:val="001F285E"/>
    <w:rsid w:val="001F36AB"/>
    <w:rsid w:val="001F479F"/>
    <w:rsid w:val="001F5D6A"/>
    <w:rsid w:val="001F65A2"/>
    <w:rsid w:val="00202524"/>
    <w:rsid w:val="0020294E"/>
    <w:rsid w:val="00204AB0"/>
    <w:rsid w:val="0020559A"/>
    <w:rsid w:val="00210736"/>
    <w:rsid w:val="00210F81"/>
    <w:rsid w:val="00211622"/>
    <w:rsid w:val="00214B3E"/>
    <w:rsid w:val="002160AF"/>
    <w:rsid w:val="00222A0A"/>
    <w:rsid w:val="0022698E"/>
    <w:rsid w:val="00227912"/>
    <w:rsid w:val="002311EE"/>
    <w:rsid w:val="002370F5"/>
    <w:rsid w:val="00240ACA"/>
    <w:rsid w:val="00240D7B"/>
    <w:rsid w:val="00241299"/>
    <w:rsid w:val="002417B5"/>
    <w:rsid w:val="002524F6"/>
    <w:rsid w:val="00255462"/>
    <w:rsid w:val="00260957"/>
    <w:rsid w:val="00264646"/>
    <w:rsid w:val="0027232D"/>
    <w:rsid w:val="0027303F"/>
    <w:rsid w:val="00274D0F"/>
    <w:rsid w:val="00277500"/>
    <w:rsid w:val="00281A5F"/>
    <w:rsid w:val="00285F1E"/>
    <w:rsid w:val="0028706C"/>
    <w:rsid w:val="002918AC"/>
    <w:rsid w:val="00291F68"/>
    <w:rsid w:val="00293A97"/>
    <w:rsid w:val="00295CBB"/>
    <w:rsid w:val="002A060A"/>
    <w:rsid w:val="002A076D"/>
    <w:rsid w:val="002A084D"/>
    <w:rsid w:val="002A0B1A"/>
    <w:rsid w:val="002A1D0F"/>
    <w:rsid w:val="002A23A7"/>
    <w:rsid w:val="002A4450"/>
    <w:rsid w:val="002A6750"/>
    <w:rsid w:val="002B2296"/>
    <w:rsid w:val="002B4407"/>
    <w:rsid w:val="002B67B7"/>
    <w:rsid w:val="002B7D09"/>
    <w:rsid w:val="002C0429"/>
    <w:rsid w:val="002C19E4"/>
    <w:rsid w:val="002C34E3"/>
    <w:rsid w:val="002C6CC4"/>
    <w:rsid w:val="002C7EB0"/>
    <w:rsid w:val="002D13C4"/>
    <w:rsid w:val="002D268B"/>
    <w:rsid w:val="002D275E"/>
    <w:rsid w:val="002D29E1"/>
    <w:rsid w:val="002D6357"/>
    <w:rsid w:val="002D66BC"/>
    <w:rsid w:val="002D67A8"/>
    <w:rsid w:val="002D6C96"/>
    <w:rsid w:val="002D73F0"/>
    <w:rsid w:val="002D7584"/>
    <w:rsid w:val="002D7DA3"/>
    <w:rsid w:val="002E0C6D"/>
    <w:rsid w:val="002E3026"/>
    <w:rsid w:val="002E3999"/>
    <w:rsid w:val="002E3F06"/>
    <w:rsid w:val="002E4D7F"/>
    <w:rsid w:val="002E573B"/>
    <w:rsid w:val="002E6FFA"/>
    <w:rsid w:val="002E7F8F"/>
    <w:rsid w:val="002F2620"/>
    <w:rsid w:val="002F3700"/>
    <w:rsid w:val="002F3F04"/>
    <w:rsid w:val="002F41BA"/>
    <w:rsid w:val="002F62B2"/>
    <w:rsid w:val="002F7EC8"/>
    <w:rsid w:val="003018AA"/>
    <w:rsid w:val="003020E8"/>
    <w:rsid w:val="00303591"/>
    <w:rsid w:val="00303B99"/>
    <w:rsid w:val="0030664C"/>
    <w:rsid w:val="0030714F"/>
    <w:rsid w:val="003073E2"/>
    <w:rsid w:val="00307DDF"/>
    <w:rsid w:val="00310EC4"/>
    <w:rsid w:val="00311539"/>
    <w:rsid w:val="00312DC6"/>
    <w:rsid w:val="00313BAB"/>
    <w:rsid w:val="00314A43"/>
    <w:rsid w:val="003153F3"/>
    <w:rsid w:val="0031694F"/>
    <w:rsid w:val="0032041A"/>
    <w:rsid w:val="00322040"/>
    <w:rsid w:val="003240B8"/>
    <w:rsid w:val="00325422"/>
    <w:rsid w:val="00326F4F"/>
    <w:rsid w:val="00332146"/>
    <w:rsid w:val="00333FDA"/>
    <w:rsid w:val="003340DE"/>
    <w:rsid w:val="00340D19"/>
    <w:rsid w:val="00344804"/>
    <w:rsid w:val="003518C8"/>
    <w:rsid w:val="003533B5"/>
    <w:rsid w:val="00354C7D"/>
    <w:rsid w:val="00360CBC"/>
    <w:rsid w:val="003622CA"/>
    <w:rsid w:val="00363030"/>
    <w:rsid w:val="00364304"/>
    <w:rsid w:val="0036462C"/>
    <w:rsid w:val="00364A42"/>
    <w:rsid w:val="003664C1"/>
    <w:rsid w:val="003734B8"/>
    <w:rsid w:val="003755FB"/>
    <w:rsid w:val="0037577C"/>
    <w:rsid w:val="003769F5"/>
    <w:rsid w:val="00382CEC"/>
    <w:rsid w:val="00385502"/>
    <w:rsid w:val="00391A43"/>
    <w:rsid w:val="00391E8D"/>
    <w:rsid w:val="00394A10"/>
    <w:rsid w:val="003A1C60"/>
    <w:rsid w:val="003A2E75"/>
    <w:rsid w:val="003A3D9F"/>
    <w:rsid w:val="003A696D"/>
    <w:rsid w:val="003A701B"/>
    <w:rsid w:val="003B0611"/>
    <w:rsid w:val="003B42D9"/>
    <w:rsid w:val="003C1000"/>
    <w:rsid w:val="003C3140"/>
    <w:rsid w:val="003C3E02"/>
    <w:rsid w:val="003C3FE8"/>
    <w:rsid w:val="003C6621"/>
    <w:rsid w:val="003C73F9"/>
    <w:rsid w:val="003D5F07"/>
    <w:rsid w:val="003D6AB5"/>
    <w:rsid w:val="003E0FD0"/>
    <w:rsid w:val="003E1CBB"/>
    <w:rsid w:val="003E3FF5"/>
    <w:rsid w:val="003E5354"/>
    <w:rsid w:val="003F3F79"/>
    <w:rsid w:val="003F51F4"/>
    <w:rsid w:val="003F52C6"/>
    <w:rsid w:val="003F558E"/>
    <w:rsid w:val="00400A98"/>
    <w:rsid w:val="0040173E"/>
    <w:rsid w:val="00403D6E"/>
    <w:rsid w:val="00407AC0"/>
    <w:rsid w:val="00411317"/>
    <w:rsid w:val="00412E30"/>
    <w:rsid w:val="004170AF"/>
    <w:rsid w:val="00425D4B"/>
    <w:rsid w:val="00426B03"/>
    <w:rsid w:val="00432AE7"/>
    <w:rsid w:val="00432BB7"/>
    <w:rsid w:val="004331E9"/>
    <w:rsid w:val="00433E8D"/>
    <w:rsid w:val="0043592C"/>
    <w:rsid w:val="004411B9"/>
    <w:rsid w:val="00441207"/>
    <w:rsid w:val="004422CA"/>
    <w:rsid w:val="00443807"/>
    <w:rsid w:val="004462F7"/>
    <w:rsid w:val="00451679"/>
    <w:rsid w:val="004554B1"/>
    <w:rsid w:val="00457195"/>
    <w:rsid w:val="0046019D"/>
    <w:rsid w:val="00461287"/>
    <w:rsid w:val="00464536"/>
    <w:rsid w:val="0046514E"/>
    <w:rsid w:val="0046610B"/>
    <w:rsid w:val="0046623C"/>
    <w:rsid w:val="00467739"/>
    <w:rsid w:val="00470D0C"/>
    <w:rsid w:val="00474E22"/>
    <w:rsid w:val="0047608F"/>
    <w:rsid w:val="00476554"/>
    <w:rsid w:val="004772C2"/>
    <w:rsid w:val="004813D4"/>
    <w:rsid w:val="00482174"/>
    <w:rsid w:val="004831B8"/>
    <w:rsid w:val="004839D6"/>
    <w:rsid w:val="00490877"/>
    <w:rsid w:val="00491D91"/>
    <w:rsid w:val="004924F1"/>
    <w:rsid w:val="0049580C"/>
    <w:rsid w:val="00497494"/>
    <w:rsid w:val="0049768F"/>
    <w:rsid w:val="004A04E5"/>
    <w:rsid w:val="004A1495"/>
    <w:rsid w:val="004A2165"/>
    <w:rsid w:val="004A2F3E"/>
    <w:rsid w:val="004A2F50"/>
    <w:rsid w:val="004A50D7"/>
    <w:rsid w:val="004A5E8B"/>
    <w:rsid w:val="004A5F74"/>
    <w:rsid w:val="004B1052"/>
    <w:rsid w:val="004B558E"/>
    <w:rsid w:val="004B5B79"/>
    <w:rsid w:val="004B6B14"/>
    <w:rsid w:val="004D2DC9"/>
    <w:rsid w:val="004D50F5"/>
    <w:rsid w:val="004E0A65"/>
    <w:rsid w:val="004E404C"/>
    <w:rsid w:val="004E47EC"/>
    <w:rsid w:val="004E514F"/>
    <w:rsid w:val="004E737F"/>
    <w:rsid w:val="004F03DE"/>
    <w:rsid w:val="004F16C9"/>
    <w:rsid w:val="004F22DA"/>
    <w:rsid w:val="004F5D96"/>
    <w:rsid w:val="00502165"/>
    <w:rsid w:val="00504834"/>
    <w:rsid w:val="00504C7A"/>
    <w:rsid w:val="00505AEE"/>
    <w:rsid w:val="0050632E"/>
    <w:rsid w:val="00506B92"/>
    <w:rsid w:val="00506EF3"/>
    <w:rsid w:val="0050752D"/>
    <w:rsid w:val="005102B3"/>
    <w:rsid w:val="00511A26"/>
    <w:rsid w:val="00511EF3"/>
    <w:rsid w:val="00514507"/>
    <w:rsid w:val="00520011"/>
    <w:rsid w:val="00521350"/>
    <w:rsid w:val="00522C51"/>
    <w:rsid w:val="00523F5A"/>
    <w:rsid w:val="00532610"/>
    <w:rsid w:val="005351B9"/>
    <w:rsid w:val="00535813"/>
    <w:rsid w:val="00536011"/>
    <w:rsid w:val="00536361"/>
    <w:rsid w:val="0054614D"/>
    <w:rsid w:val="00550B79"/>
    <w:rsid w:val="0055150B"/>
    <w:rsid w:val="0055161E"/>
    <w:rsid w:val="0055171B"/>
    <w:rsid w:val="0055287E"/>
    <w:rsid w:val="005532F9"/>
    <w:rsid w:val="0055440B"/>
    <w:rsid w:val="0055708D"/>
    <w:rsid w:val="0056074E"/>
    <w:rsid w:val="00561CA6"/>
    <w:rsid w:val="005637B7"/>
    <w:rsid w:val="00564237"/>
    <w:rsid w:val="00564565"/>
    <w:rsid w:val="005647BE"/>
    <w:rsid w:val="00566299"/>
    <w:rsid w:val="005669C3"/>
    <w:rsid w:val="005725F6"/>
    <w:rsid w:val="00586817"/>
    <w:rsid w:val="00586D92"/>
    <w:rsid w:val="00587507"/>
    <w:rsid w:val="00596855"/>
    <w:rsid w:val="00596A0B"/>
    <w:rsid w:val="00596E05"/>
    <w:rsid w:val="00596F85"/>
    <w:rsid w:val="005970FA"/>
    <w:rsid w:val="00597EF4"/>
    <w:rsid w:val="005A0176"/>
    <w:rsid w:val="005A088E"/>
    <w:rsid w:val="005A2298"/>
    <w:rsid w:val="005A28C1"/>
    <w:rsid w:val="005A69FA"/>
    <w:rsid w:val="005A72FC"/>
    <w:rsid w:val="005B0388"/>
    <w:rsid w:val="005B109A"/>
    <w:rsid w:val="005C2FD5"/>
    <w:rsid w:val="005C339A"/>
    <w:rsid w:val="005C5378"/>
    <w:rsid w:val="005D09DD"/>
    <w:rsid w:val="005D1818"/>
    <w:rsid w:val="005D2AB9"/>
    <w:rsid w:val="005D34E2"/>
    <w:rsid w:val="005D496E"/>
    <w:rsid w:val="005D7C20"/>
    <w:rsid w:val="005E1849"/>
    <w:rsid w:val="005E6960"/>
    <w:rsid w:val="005E7EB8"/>
    <w:rsid w:val="005F18D6"/>
    <w:rsid w:val="005F2866"/>
    <w:rsid w:val="005F6849"/>
    <w:rsid w:val="00600F38"/>
    <w:rsid w:val="00603024"/>
    <w:rsid w:val="0060511E"/>
    <w:rsid w:val="00606755"/>
    <w:rsid w:val="006116E3"/>
    <w:rsid w:val="0061450E"/>
    <w:rsid w:val="00623A7B"/>
    <w:rsid w:val="00624400"/>
    <w:rsid w:val="00624E51"/>
    <w:rsid w:val="00626162"/>
    <w:rsid w:val="00630395"/>
    <w:rsid w:val="00634719"/>
    <w:rsid w:val="00641B62"/>
    <w:rsid w:val="006468E3"/>
    <w:rsid w:val="006503E8"/>
    <w:rsid w:val="00651167"/>
    <w:rsid w:val="006530A4"/>
    <w:rsid w:val="00654A4A"/>
    <w:rsid w:val="0065545A"/>
    <w:rsid w:val="00662FE0"/>
    <w:rsid w:val="006661CF"/>
    <w:rsid w:val="00670BFD"/>
    <w:rsid w:val="00671D9F"/>
    <w:rsid w:val="00671E4C"/>
    <w:rsid w:val="00674295"/>
    <w:rsid w:val="006762BF"/>
    <w:rsid w:val="00680483"/>
    <w:rsid w:val="0068064B"/>
    <w:rsid w:val="006818A8"/>
    <w:rsid w:val="00681A51"/>
    <w:rsid w:val="00682469"/>
    <w:rsid w:val="006824C2"/>
    <w:rsid w:val="00683D97"/>
    <w:rsid w:val="00684FCA"/>
    <w:rsid w:val="00686B5C"/>
    <w:rsid w:val="006875C8"/>
    <w:rsid w:val="00687B34"/>
    <w:rsid w:val="00692043"/>
    <w:rsid w:val="00692C4F"/>
    <w:rsid w:val="006965C5"/>
    <w:rsid w:val="00696997"/>
    <w:rsid w:val="00697CE8"/>
    <w:rsid w:val="006A0C4A"/>
    <w:rsid w:val="006A3DC1"/>
    <w:rsid w:val="006A4D8A"/>
    <w:rsid w:val="006A758C"/>
    <w:rsid w:val="006B3EED"/>
    <w:rsid w:val="006C1EEC"/>
    <w:rsid w:val="006C2B8C"/>
    <w:rsid w:val="006C3FEA"/>
    <w:rsid w:val="006C69E7"/>
    <w:rsid w:val="006D10AE"/>
    <w:rsid w:val="006D2208"/>
    <w:rsid w:val="006D29F2"/>
    <w:rsid w:val="006D3762"/>
    <w:rsid w:val="006D4039"/>
    <w:rsid w:val="006D498B"/>
    <w:rsid w:val="006D7CA2"/>
    <w:rsid w:val="006E065B"/>
    <w:rsid w:val="006E09D3"/>
    <w:rsid w:val="006E1E6C"/>
    <w:rsid w:val="006E2C54"/>
    <w:rsid w:val="006E5505"/>
    <w:rsid w:val="006F240A"/>
    <w:rsid w:val="006F2FB3"/>
    <w:rsid w:val="006F4182"/>
    <w:rsid w:val="006F531B"/>
    <w:rsid w:val="006F62BC"/>
    <w:rsid w:val="006F703A"/>
    <w:rsid w:val="006F7578"/>
    <w:rsid w:val="00700CF0"/>
    <w:rsid w:val="00702493"/>
    <w:rsid w:val="007029AC"/>
    <w:rsid w:val="0070425D"/>
    <w:rsid w:val="00704C4A"/>
    <w:rsid w:val="00705973"/>
    <w:rsid w:val="00714F3B"/>
    <w:rsid w:val="007166F7"/>
    <w:rsid w:val="00716AEF"/>
    <w:rsid w:val="00717076"/>
    <w:rsid w:val="00717296"/>
    <w:rsid w:val="00717464"/>
    <w:rsid w:val="00723580"/>
    <w:rsid w:val="00727370"/>
    <w:rsid w:val="0073296B"/>
    <w:rsid w:val="00733D5F"/>
    <w:rsid w:val="00735D9E"/>
    <w:rsid w:val="00737CFB"/>
    <w:rsid w:val="0074109C"/>
    <w:rsid w:val="00742335"/>
    <w:rsid w:val="00742842"/>
    <w:rsid w:val="00753376"/>
    <w:rsid w:val="007543B0"/>
    <w:rsid w:val="007568A9"/>
    <w:rsid w:val="00761514"/>
    <w:rsid w:val="00763CE7"/>
    <w:rsid w:val="00771561"/>
    <w:rsid w:val="00772177"/>
    <w:rsid w:val="00775C65"/>
    <w:rsid w:val="0077639A"/>
    <w:rsid w:val="00780803"/>
    <w:rsid w:val="0078100C"/>
    <w:rsid w:val="0078157F"/>
    <w:rsid w:val="007815CE"/>
    <w:rsid w:val="00786E6C"/>
    <w:rsid w:val="00786F48"/>
    <w:rsid w:val="0078772C"/>
    <w:rsid w:val="007878E4"/>
    <w:rsid w:val="00790745"/>
    <w:rsid w:val="00791EDE"/>
    <w:rsid w:val="00795639"/>
    <w:rsid w:val="00795EEB"/>
    <w:rsid w:val="007963BD"/>
    <w:rsid w:val="007A4783"/>
    <w:rsid w:val="007A5191"/>
    <w:rsid w:val="007B0500"/>
    <w:rsid w:val="007B111B"/>
    <w:rsid w:val="007B3AE8"/>
    <w:rsid w:val="007B4418"/>
    <w:rsid w:val="007B531E"/>
    <w:rsid w:val="007B5F62"/>
    <w:rsid w:val="007B66B3"/>
    <w:rsid w:val="007B7077"/>
    <w:rsid w:val="007C3003"/>
    <w:rsid w:val="007C5A2F"/>
    <w:rsid w:val="007C6B60"/>
    <w:rsid w:val="007C6F85"/>
    <w:rsid w:val="007D3AA0"/>
    <w:rsid w:val="007D3FE2"/>
    <w:rsid w:val="007D5690"/>
    <w:rsid w:val="007D69FA"/>
    <w:rsid w:val="007E1600"/>
    <w:rsid w:val="007E3865"/>
    <w:rsid w:val="007E50C1"/>
    <w:rsid w:val="00810603"/>
    <w:rsid w:val="00814283"/>
    <w:rsid w:val="008156B4"/>
    <w:rsid w:val="00820209"/>
    <w:rsid w:val="00820F35"/>
    <w:rsid w:val="00820FEC"/>
    <w:rsid w:val="0082393D"/>
    <w:rsid w:val="0083324D"/>
    <w:rsid w:val="00834F3C"/>
    <w:rsid w:val="00841733"/>
    <w:rsid w:val="00844D38"/>
    <w:rsid w:val="00844D85"/>
    <w:rsid w:val="008524BE"/>
    <w:rsid w:val="00853BC2"/>
    <w:rsid w:val="00854278"/>
    <w:rsid w:val="00856063"/>
    <w:rsid w:val="00857172"/>
    <w:rsid w:val="0086236A"/>
    <w:rsid w:val="0087035A"/>
    <w:rsid w:val="0087347D"/>
    <w:rsid w:val="00882DAD"/>
    <w:rsid w:val="00883B25"/>
    <w:rsid w:val="00885263"/>
    <w:rsid w:val="00892DA5"/>
    <w:rsid w:val="008949B1"/>
    <w:rsid w:val="0089713E"/>
    <w:rsid w:val="008A10F3"/>
    <w:rsid w:val="008A5C0F"/>
    <w:rsid w:val="008A5C2F"/>
    <w:rsid w:val="008B1596"/>
    <w:rsid w:val="008C09C4"/>
    <w:rsid w:val="008C1F44"/>
    <w:rsid w:val="008C254D"/>
    <w:rsid w:val="008C646F"/>
    <w:rsid w:val="008D2C8D"/>
    <w:rsid w:val="008D68AC"/>
    <w:rsid w:val="008E0751"/>
    <w:rsid w:val="008E3E4B"/>
    <w:rsid w:val="008E4EF9"/>
    <w:rsid w:val="008E6DFC"/>
    <w:rsid w:val="008E7710"/>
    <w:rsid w:val="008F1E1B"/>
    <w:rsid w:val="00900635"/>
    <w:rsid w:val="00900D4D"/>
    <w:rsid w:val="00903F34"/>
    <w:rsid w:val="00905025"/>
    <w:rsid w:val="00905C0A"/>
    <w:rsid w:val="009122F8"/>
    <w:rsid w:val="00915520"/>
    <w:rsid w:val="009155F7"/>
    <w:rsid w:val="00915E9B"/>
    <w:rsid w:val="00921131"/>
    <w:rsid w:val="00921E9B"/>
    <w:rsid w:val="009247F5"/>
    <w:rsid w:val="00926AB2"/>
    <w:rsid w:val="009325FC"/>
    <w:rsid w:val="009339FF"/>
    <w:rsid w:val="00934643"/>
    <w:rsid w:val="009407FE"/>
    <w:rsid w:val="00942436"/>
    <w:rsid w:val="00945E86"/>
    <w:rsid w:val="0094666D"/>
    <w:rsid w:val="00957603"/>
    <w:rsid w:val="00957A1D"/>
    <w:rsid w:val="00957BC0"/>
    <w:rsid w:val="0096487B"/>
    <w:rsid w:val="00972F79"/>
    <w:rsid w:val="009757A1"/>
    <w:rsid w:val="009757D1"/>
    <w:rsid w:val="00976016"/>
    <w:rsid w:val="00980754"/>
    <w:rsid w:val="00981535"/>
    <w:rsid w:val="009825C8"/>
    <w:rsid w:val="0098409F"/>
    <w:rsid w:val="00985537"/>
    <w:rsid w:val="009915FD"/>
    <w:rsid w:val="00991698"/>
    <w:rsid w:val="00991C17"/>
    <w:rsid w:val="00992D1E"/>
    <w:rsid w:val="00993F3E"/>
    <w:rsid w:val="00994ED2"/>
    <w:rsid w:val="00997EB2"/>
    <w:rsid w:val="009A06F5"/>
    <w:rsid w:val="009A0788"/>
    <w:rsid w:val="009A0E92"/>
    <w:rsid w:val="009A17EC"/>
    <w:rsid w:val="009A35B4"/>
    <w:rsid w:val="009A5E3F"/>
    <w:rsid w:val="009A6EEA"/>
    <w:rsid w:val="009A7565"/>
    <w:rsid w:val="009B03DF"/>
    <w:rsid w:val="009B53B9"/>
    <w:rsid w:val="009B6AF0"/>
    <w:rsid w:val="009B7971"/>
    <w:rsid w:val="009C2226"/>
    <w:rsid w:val="009C292D"/>
    <w:rsid w:val="009C5F0C"/>
    <w:rsid w:val="009C67C0"/>
    <w:rsid w:val="009D1035"/>
    <w:rsid w:val="009D13D0"/>
    <w:rsid w:val="009D2068"/>
    <w:rsid w:val="009D558C"/>
    <w:rsid w:val="009D7D33"/>
    <w:rsid w:val="009E4DD4"/>
    <w:rsid w:val="009E4E3F"/>
    <w:rsid w:val="009E698B"/>
    <w:rsid w:val="009F0D75"/>
    <w:rsid w:val="009F1547"/>
    <w:rsid w:val="009F4958"/>
    <w:rsid w:val="009F4ABA"/>
    <w:rsid w:val="00A0551D"/>
    <w:rsid w:val="00A066AE"/>
    <w:rsid w:val="00A10DD9"/>
    <w:rsid w:val="00A11BB5"/>
    <w:rsid w:val="00A12C6B"/>
    <w:rsid w:val="00A14117"/>
    <w:rsid w:val="00A149FA"/>
    <w:rsid w:val="00A17DF0"/>
    <w:rsid w:val="00A20F78"/>
    <w:rsid w:val="00A218F1"/>
    <w:rsid w:val="00A27DEE"/>
    <w:rsid w:val="00A31B93"/>
    <w:rsid w:val="00A3588B"/>
    <w:rsid w:val="00A375EF"/>
    <w:rsid w:val="00A42C3E"/>
    <w:rsid w:val="00A44A20"/>
    <w:rsid w:val="00A5001F"/>
    <w:rsid w:val="00A51367"/>
    <w:rsid w:val="00A528C2"/>
    <w:rsid w:val="00A54AFD"/>
    <w:rsid w:val="00A54E69"/>
    <w:rsid w:val="00A55132"/>
    <w:rsid w:val="00A56C82"/>
    <w:rsid w:val="00A61B06"/>
    <w:rsid w:val="00A62113"/>
    <w:rsid w:val="00A66FF6"/>
    <w:rsid w:val="00A6759C"/>
    <w:rsid w:val="00A67923"/>
    <w:rsid w:val="00A713ED"/>
    <w:rsid w:val="00A714B8"/>
    <w:rsid w:val="00A74901"/>
    <w:rsid w:val="00A75733"/>
    <w:rsid w:val="00A76308"/>
    <w:rsid w:val="00A77968"/>
    <w:rsid w:val="00A77C08"/>
    <w:rsid w:val="00A81527"/>
    <w:rsid w:val="00A82058"/>
    <w:rsid w:val="00A82B2D"/>
    <w:rsid w:val="00A8489D"/>
    <w:rsid w:val="00A84AE7"/>
    <w:rsid w:val="00A869B0"/>
    <w:rsid w:val="00A9289F"/>
    <w:rsid w:val="00A92C1D"/>
    <w:rsid w:val="00A933D6"/>
    <w:rsid w:val="00A95596"/>
    <w:rsid w:val="00AA0C77"/>
    <w:rsid w:val="00AA1D27"/>
    <w:rsid w:val="00AA204C"/>
    <w:rsid w:val="00AA2D57"/>
    <w:rsid w:val="00AA3941"/>
    <w:rsid w:val="00AA56D0"/>
    <w:rsid w:val="00AA6734"/>
    <w:rsid w:val="00AA7DEA"/>
    <w:rsid w:val="00AB0C9F"/>
    <w:rsid w:val="00AB143A"/>
    <w:rsid w:val="00AB36DC"/>
    <w:rsid w:val="00AB5B29"/>
    <w:rsid w:val="00AC003C"/>
    <w:rsid w:val="00AC0103"/>
    <w:rsid w:val="00AC1019"/>
    <w:rsid w:val="00AC1404"/>
    <w:rsid w:val="00AC7B32"/>
    <w:rsid w:val="00AD039F"/>
    <w:rsid w:val="00AD3902"/>
    <w:rsid w:val="00AD6010"/>
    <w:rsid w:val="00AE33FF"/>
    <w:rsid w:val="00AE5C93"/>
    <w:rsid w:val="00AF06D5"/>
    <w:rsid w:val="00AF083F"/>
    <w:rsid w:val="00AF09DD"/>
    <w:rsid w:val="00AF73E6"/>
    <w:rsid w:val="00B02655"/>
    <w:rsid w:val="00B05102"/>
    <w:rsid w:val="00B055A8"/>
    <w:rsid w:val="00B153F9"/>
    <w:rsid w:val="00B16A34"/>
    <w:rsid w:val="00B17780"/>
    <w:rsid w:val="00B24E23"/>
    <w:rsid w:val="00B25453"/>
    <w:rsid w:val="00B2558C"/>
    <w:rsid w:val="00B27FAB"/>
    <w:rsid w:val="00B30508"/>
    <w:rsid w:val="00B31B9C"/>
    <w:rsid w:val="00B31FDA"/>
    <w:rsid w:val="00B322B3"/>
    <w:rsid w:val="00B33DF8"/>
    <w:rsid w:val="00B3462F"/>
    <w:rsid w:val="00B34D6C"/>
    <w:rsid w:val="00B37D08"/>
    <w:rsid w:val="00B4395A"/>
    <w:rsid w:val="00B46CCD"/>
    <w:rsid w:val="00B5544F"/>
    <w:rsid w:val="00B55E5D"/>
    <w:rsid w:val="00B55EE5"/>
    <w:rsid w:val="00B57324"/>
    <w:rsid w:val="00B60A36"/>
    <w:rsid w:val="00B66066"/>
    <w:rsid w:val="00B663B2"/>
    <w:rsid w:val="00B66867"/>
    <w:rsid w:val="00B66994"/>
    <w:rsid w:val="00B70D85"/>
    <w:rsid w:val="00B71AFB"/>
    <w:rsid w:val="00B71CC1"/>
    <w:rsid w:val="00B71F3A"/>
    <w:rsid w:val="00B73C97"/>
    <w:rsid w:val="00B74BFB"/>
    <w:rsid w:val="00B76340"/>
    <w:rsid w:val="00B77201"/>
    <w:rsid w:val="00B80C43"/>
    <w:rsid w:val="00B82400"/>
    <w:rsid w:val="00B8436D"/>
    <w:rsid w:val="00B84B23"/>
    <w:rsid w:val="00B855E3"/>
    <w:rsid w:val="00B87649"/>
    <w:rsid w:val="00B922B9"/>
    <w:rsid w:val="00B93821"/>
    <w:rsid w:val="00B93DC1"/>
    <w:rsid w:val="00B94786"/>
    <w:rsid w:val="00BA1869"/>
    <w:rsid w:val="00BA78B6"/>
    <w:rsid w:val="00BB26AD"/>
    <w:rsid w:val="00BB79BD"/>
    <w:rsid w:val="00BC7208"/>
    <w:rsid w:val="00BD0B48"/>
    <w:rsid w:val="00BD2A0A"/>
    <w:rsid w:val="00BD5D0F"/>
    <w:rsid w:val="00BD7C68"/>
    <w:rsid w:val="00BE1CBC"/>
    <w:rsid w:val="00BE29DC"/>
    <w:rsid w:val="00BE4D74"/>
    <w:rsid w:val="00BF5C85"/>
    <w:rsid w:val="00BF697A"/>
    <w:rsid w:val="00BF6ADB"/>
    <w:rsid w:val="00C00DE0"/>
    <w:rsid w:val="00C00E8A"/>
    <w:rsid w:val="00C03776"/>
    <w:rsid w:val="00C0632B"/>
    <w:rsid w:val="00C13821"/>
    <w:rsid w:val="00C14051"/>
    <w:rsid w:val="00C14FB9"/>
    <w:rsid w:val="00C15F73"/>
    <w:rsid w:val="00C2037B"/>
    <w:rsid w:val="00C203E5"/>
    <w:rsid w:val="00C22FF7"/>
    <w:rsid w:val="00C25A57"/>
    <w:rsid w:val="00C2663C"/>
    <w:rsid w:val="00C27F76"/>
    <w:rsid w:val="00C30DA4"/>
    <w:rsid w:val="00C30FAA"/>
    <w:rsid w:val="00C32E7D"/>
    <w:rsid w:val="00C36D97"/>
    <w:rsid w:val="00C374D9"/>
    <w:rsid w:val="00C44719"/>
    <w:rsid w:val="00C45082"/>
    <w:rsid w:val="00C50108"/>
    <w:rsid w:val="00C508E2"/>
    <w:rsid w:val="00C57410"/>
    <w:rsid w:val="00C6572C"/>
    <w:rsid w:val="00C70CFF"/>
    <w:rsid w:val="00C730EA"/>
    <w:rsid w:val="00C75655"/>
    <w:rsid w:val="00C80CD2"/>
    <w:rsid w:val="00C82A17"/>
    <w:rsid w:val="00C837C3"/>
    <w:rsid w:val="00C84497"/>
    <w:rsid w:val="00C868F6"/>
    <w:rsid w:val="00C9137C"/>
    <w:rsid w:val="00C91644"/>
    <w:rsid w:val="00C9186A"/>
    <w:rsid w:val="00C93C34"/>
    <w:rsid w:val="00C9552C"/>
    <w:rsid w:val="00C9650A"/>
    <w:rsid w:val="00C9663B"/>
    <w:rsid w:val="00CA12A9"/>
    <w:rsid w:val="00CA43A5"/>
    <w:rsid w:val="00CA7C0B"/>
    <w:rsid w:val="00CB1D48"/>
    <w:rsid w:val="00CB6E2B"/>
    <w:rsid w:val="00CB6FF7"/>
    <w:rsid w:val="00CB7302"/>
    <w:rsid w:val="00CC1241"/>
    <w:rsid w:val="00CC1E9F"/>
    <w:rsid w:val="00CC399F"/>
    <w:rsid w:val="00CC5896"/>
    <w:rsid w:val="00CC7D2C"/>
    <w:rsid w:val="00CD27A2"/>
    <w:rsid w:val="00CE0C35"/>
    <w:rsid w:val="00CE226C"/>
    <w:rsid w:val="00CE3810"/>
    <w:rsid w:val="00CE52B4"/>
    <w:rsid w:val="00CE5DCD"/>
    <w:rsid w:val="00CE701C"/>
    <w:rsid w:val="00CE7599"/>
    <w:rsid w:val="00CF4053"/>
    <w:rsid w:val="00CF414A"/>
    <w:rsid w:val="00CF4FF0"/>
    <w:rsid w:val="00CF5B47"/>
    <w:rsid w:val="00D05B49"/>
    <w:rsid w:val="00D104F9"/>
    <w:rsid w:val="00D13756"/>
    <w:rsid w:val="00D14323"/>
    <w:rsid w:val="00D16008"/>
    <w:rsid w:val="00D166D4"/>
    <w:rsid w:val="00D23ABE"/>
    <w:rsid w:val="00D30254"/>
    <w:rsid w:val="00D33768"/>
    <w:rsid w:val="00D33D87"/>
    <w:rsid w:val="00D35077"/>
    <w:rsid w:val="00D35A6E"/>
    <w:rsid w:val="00D408A8"/>
    <w:rsid w:val="00D43184"/>
    <w:rsid w:val="00D457EC"/>
    <w:rsid w:val="00D46771"/>
    <w:rsid w:val="00D46DAE"/>
    <w:rsid w:val="00D51C8F"/>
    <w:rsid w:val="00D5204B"/>
    <w:rsid w:val="00D54C10"/>
    <w:rsid w:val="00D55191"/>
    <w:rsid w:val="00D55CD0"/>
    <w:rsid w:val="00D57544"/>
    <w:rsid w:val="00D57829"/>
    <w:rsid w:val="00D57973"/>
    <w:rsid w:val="00D60CE2"/>
    <w:rsid w:val="00D612EC"/>
    <w:rsid w:val="00D6153E"/>
    <w:rsid w:val="00D616A4"/>
    <w:rsid w:val="00D623C4"/>
    <w:rsid w:val="00D64E74"/>
    <w:rsid w:val="00D65853"/>
    <w:rsid w:val="00D70CC9"/>
    <w:rsid w:val="00D722DF"/>
    <w:rsid w:val="00D8205B"/>
    <w:rsid w:val="00D84675"/>
    <w:rsid w:val="00D84F0D"/>
    <w:rsid w:val="00D8526A"/>
    <w:rsid w:val="00D86252"/>
    <w:rsid w:val="00D917F3"/>
    <w:rsid w:val="00D937F3"/>
    <w:rsid w:val="00D97BAA"/>
    <w:rsid w:val="00DA24F5"/>
    <w:rsid w:val="00DA3AF3"/>
    <w:rsid w:val="00DA4F9E"/>
    <w:rsid w:val="00DA5455"/>
    <w:rsid w:val="00DA5C2B"/>
    <w:rsid w:val="00DB4B22"/>
    <w:rsid w:val="00DB5EFB"/>
    <w:rsid w:val="00DB6EF1"/>
    <w:rsid w:val="00DC017F"/>
    <w:rsid w:val="00DC19BB"/>
    <w:rsid w:val="00DC436E"/>
    <w:rsid w:val="00DC6404"/>
    <w:rsid w:val="00DD7FDF"/>
    <w:rsid w:val="00DE12EC"/>
    <w:rsid w:val="00DE1703"/>
    <w:rsid w:val="00DE177B"/>
    <w:rsid w:val="00DE25AC"/>
    <w:rsid w:val="00DE5765"/>
    <w:rsid w:val="00DF0811"/>
    <w:rsid w:val="00DF2B78"/>
    <w:rsid w:val="00DF568D"/>
    <w:rsid w:val="00DF57FE"/>
    <w:rsid w:val="00E00CCB"/>
    <w:rsid w:val="00E01BC3"/>
    <w:rsid w:val="00E028FD"/>
    <w:rsid w:val="00E042C7"/>
    <w:rsid w:val="00E0781A"/>
    <w:rsid w:val="00E11475"/>
    <w:rsid w:val="00E11537"/>
    <w:rsid w:val="00E125BC"/>
    <w:rsid w:val="00E175A7"/>
    <w:rsid w:val="00E20168"/>
    <w:rsid w:val="00E20740"/>
    <w:rsid w:val="00E20E92"/>
    <w:rsid w:val="00E245DA"/>
    <w:rsid w:val="00E24645"/>
    <w:rsid w:val="00E24726"/>
    <w:rsid w:val="00E251FF"/>
    <w:rsid w:val="00E26597"/>
    <w:rsid w:val="00E317DD"/>
    <w:rsid w:val="00E31BCB"/>
    <w:rsid w:val="00E31C44"/>
    <w:rsid w:val="00E31E79"/>
    <w:rsid w:val="00E32963"/>
    <w:rsid w:val="00E337BC"/>
    <w:rsid w:val="00E34567"/>
    <w:rsid w:val="00E350CD"/>
    <w:rsid w:val="00E35BAA"/>
    <w:rsid w:val="00E372A9"/>
    <w:rsid w:val="00E4001B"/>
    <w:rsid w:val="00E43E69"/>
    <w:rsid w:val="00E45982"/>
    <w:rsid w:val="00E4734A"/>
    <w:rsid w:val="00E51FDE"/>
    <w:rsid w:val="00E534B2"/>
    <w:rsid w:val="00E541D5"/>
    <w:rsid w:val="00E560CB"/>
    <w:rsid w:val="00E56621"/>
    <w:rsid w:val="00E56B66"/>
    <w:rsid w:val="00E56CC0"/>
    <w:rsid w:val="00E579AF"/>
    <w:rsid w:val="00E705B7"/>
    <w:rsid w:val="00E7086E"/>
    <w:rsid w:val="00E70ECC"/>
    <w:rsid w:val="00E71A89"/>
    <w:rsid w:val="00E74F6B"/>
    <w:rsid w:val="00E763A6"/>
    <w:rsid w:val="00E76C27"/>
    <w:rsid w:val="00E77197"/>
    <w:rsid w:val="00E8024F"/>
    <w:rsid w:val="00E81B1A"/>
    <w:rsid w:val="00E84FB3"/>
    <w:rsid w:val="00E87037"/>
    <w:rsid w:val="00E94CF8"/>
    <w:rsid w:val="00EA00CA"/>
    <w:rsid w:val="00EA0680"/>
    <w:rsid w:val="00EA0F03"/>
    <w:rsid w:val="00EA1EF9"/>
    <w:rsid w:val="00EA2A07"/>
    <w:rsid w:val="00EA2CA0"/>
    <w:rsid w:val="00EA597A"/>
    <w:rsid w:val="00EA7237"/>
    <w:rsid w:val="00EB055B"/>
    <w:rsid w:val="00EB112A"/>
    <w:rsid w:val="00EB2CFF"/>
    <w:rsid w:val="00EB6433"/>
    <w:rsid w:val="00EC1212"/>
    <w:rsid w:val="00EC1D3D"/>
    <w:rsid w:val="00EC3331"/>
    <w:rsid w:val="00EC677E"/>
    <w:rsid w:val="00EC7004"/>
    <w:rsid w:val="00EC7444"/>
    <w:rsid w:val="00EC7E67"/>
    <w:rsid w:val="00ED5B5C"/>
    <w:rsid w:val="00ED5DE5"/>
    <w:rsid w:val="00ED60F6"/>
    <w:rsid w:val="00ED70BD"/>
    <w:rsid w:val="00EE0B3E"/>
    <w:rsid w:val="00EE37BB"/>
    <w:rsid w:val="00EE67A7"/>
    <w:rsid w:val="00EF4099"/>
    <w:rsid w:val="00EF6BDC"/>
    <w:rsid w:val="00F015E2"/>
    <w:rsid w:val="00F01C4C"/>
    <w:rsid w:val="00F02786"/>
    <w:rsid w:val="00F0434F"/>
    <w:rsid w:val="00F058BC"/>
    <w:rsid w:val="00F0670F"/>
    <w:rsid w:val="00F06991"/>
    <w:rsid w:val="00F07FA6"/>
    <w:rsid w:val="00F11BB3"/>
    <w:rsid w:val="00F11D22"/>
    <w:rsid w:val="00F13036"/>
    <w:rsid w:val="00F14300"/>
    <w:rsid w:val="00F17AB3"/>
    <w:rsid w:val="00F21780"/>
    <w:rsid w:val="00F21D1A"/>
    <w:rsid w:val="00F22865"/>
    <w:rsid w:val="00F24442"/>
    <w:rsid w:val="00F24D75"/>
    <w:rsid w:val="00F24E33"/>
    <w:rsid w:val="00F261E3"/>
    <w:rsid w:val="00F26571"/>
    <w:rsid w:val="00F34B2F"/>
    <w:rsid w:val="00F34F33"/>
    <w:rsid w:val="00F36D1F"/>
    <w:rsid w:val="00F36FBC"/>
    <w:rsid w:val="00F3769E"/>
    <w:rsid w:val="00F37CB2"/>
    <w:rsid w:val="00F40F06"/>
    <w:rsid w:val="00F42669"/>
    <w:rsid w:val="00F4749B"/>
    <w:rsid w:val="00F50D24"/>
    <w:rsid w:val="00F514FB"/>
    <w:rsid w:val="00F547F3"/>
    <w:rsid w:val="00F56CE9"/>
    <w:rsid w:val="00F60F4E"/>
    <w:rsid w:val="00F61151"/>
    <w:rsid w:val="00F63373"/>
    <w:rsid w:val="00F64ECE"/>
    <w:rsid w:val="00F67B6E"/>
    <w:rsid w:val="00F77765"/>
    <w:rsid w:val="00F77EC3"/>
    <w:rsid w:val="00F8568B"/>
    <w:rsid w:val="00F85E98"/>
    <w:rsid w:val="00F909D7"/>
    <w:rsid w:val="00F95020"/>
    <w:rsid w:val="00F9761B"/>
    <w:rsid w:val="00FA1B23"/>
    <w:rsid w:val="00FA7C8B"/>
    <w:rsid w:val="00FB0249"/>
    <w:rsid w:val="00FB13A8"/>
    <w:rsid w:val="00FB793A"/>
    <w:rsid w:val="00FC04C5"/>
    <w:rsid w:val="00FC5915"/>
    <w:rsid w:val="00FC5D6D"/>
    <w:rsid w:val="00FD6657"/>
    <w:rsid w:val="00FF1675"/>
    <w:rsid w:val="00FF194B"/>
    <w:rsid w:val="00FF1A54"/>
    <w:rsid w:val="00FF714E"/>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4EB0"/>
  <w15:docId w15:val="{7CF36715-2FB2-4DC9-BDBF-6318D8B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ListParagraph">
    <w:name w:val="List Paragraph"/>
    <w:basedOn w:val="Normal"/>
    <w:uiPriority w:val="34"/>
    <w:qFormat/>
    <w:rsid w:val="00B17780"/>
    <w:pPr>
      <w:ind w:left="720"/>
      <w:contextualSpacing/>
    </w:pPr>
  </w:style>
  <w:style w:type="paragraph" w:styleId="Header">
    <w:name w:val="header"/>
    <w:basedOn w:val="Normal"/>
    <w:link w:val="HeaderChar"/>
    <w:uiPriority w:val="99"/>
    <w:unhideWhenUsed/>
    <w:rsid w:val="00360CBC"/>
    <w:pPr>
      <w:tabs>
        <w:tab w:val="center" w:pos="4680"/>
        <w:tab w:val="right" w:pos="9360"/>
      </w:tabs>
    </w:pPr>
  </w:style>
  <w:style w:type="character" w:customStyle="1" w:styleId="HeaderChar">
    <w:name w:val="Header Char"/>
    <w:basedOn w:val="DefaultParagraphFont"/>
    <w:link w:val="Header"/>
    <w:uiPriority w:val="99"/>
    <w:rsid w:val="00360C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60CBC"/>
    <w:pPr>
      <w:tabs>
        <w:tab w:val="center" w:pos="4680"/>
        <w:tab w:val="right" w:pos="9360"/>
      </w:tabs>
    </w:pPr>
  </w:style>
  <w:style w:type="character" w:customStyle="1" w:styleId="FooterChar">
    <w:name w:val="Footer Char"/>
    <w:basedOn w:val="DefaultParagraphFont"/>
    <w:link w:val="Footer"/>
    <w:uiPriority w:val="99"/>
    <w:rsid w:val="00360CBC"/>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A3588B"/>
  </w:style>
  <w:style w:type="character" w:customStyle="1" w:styleId="FootnoteTextChar">
    <w:name w:val="Footnote Text Char"/>
    <w:basedOn w:val="DefaultParagraphFont"/>
    <w:link w:val="FootnoteText"/>
    <w:uiPriority w:val="99"/>
    <w:rsid w:val="00A3588B"/>
    <w:rPr>
      <w:rFonts w:ascii="Times New Roman" w:eastAsia="Times New Roman" w:hAnsi="Times New Roman" w:cs="Times New Roman"/>
      <w:sz w:val="20"/>
      <w:szCs w:val="20"/>
    </w:rPr>
  </w:style>
  <w:style w:type="paragraph" w:styleId="BlockText">
    <w:name w:val="Block Text"/>
    <w:basedOn w:val="Normal"/>
    <w:rsid w:val="00E8024F"/>
    <w:pPr>
      <w:tabs>
        <w:tab w:val="left" w:pos="-720"/>
      </w:tabs>
      <w:spacing w:line="360" w:lineRule="auto"/>
      <w:ind w:left="1440" w:right="2160"/>
    </w:pPr>
    <w:rPr>
      <w:sz w:val="26"/>
    </w:rPr>
  </w:style>
  <w:style w:type="paragraph" w:customStyle="1" w:styleId="Default">
    <w:name w:val="Default"/>
    <w:rsid w:val="007E386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D29E1"/>
    <w:rPr>
      <w:sz w:val="16"/>
      <w:szCs w:val="16"/>
    </w:rPr>
  </w:style>
  <w:style w:type="paragraph" w:styleId="CommentText">
    <w:name w:val="annotation text"/>
    <w:basedOn w:val="Normal"/>
    <w:link w:val="CommentTextChar"/>
    <w:uiPriority w:val="99"/>
    <w:semiHidden/>
    <w:unhideWhenUsed/>
    <w:rsid w:val="002D29E1"/>
  </w:style>
  <w:style w:type="character" w:customStyle="1" w:styleId="CommentTextChar">
    <w:name w:val="Comment Text Char"/>
    <w:basedOn w:val="DefaultParagraphFont"/>
    <w:link w:val="CommentText"/>
    <w:uiPriority w:val="99"/>
    <w:semiHidden/>
    <w:rsid w:val="002D2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29E1"/>
    <w:rPr>
      <w:b/>
      <w:bCs/>
    </w:rPr>
  </w:style>
  <w:style w:type="character" w:customStyle="1" w:styleId="CommentSubjectChar">
    <w:name w:val="Comment Subject Char"/>
    <w:basedOn w:val="CommentTextChar"/>
    <w:link w:val="CommentSubject"/>
    <w:uiPriority w:val="99"/>
    <w:semiHidden/>
    <w:rsid w:val="002D29E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13619">
      <w:bodyDiv w:val="1"/>
      <w:marLeft w:val="0"/>
      <w:marRight w:val="0"/>
      <w:marTop w:val="0"/>
      <w:marBottom w:val="0"/>
      <w:divBdr>
        <w:top w:val="none" w:sz="0" w:space="0" w:color="auto"/>
        <w:left w:val="none" w:sz="0" w:space="0" w:color="auto"/>
        <w:bottom w:val="none" w:sz="0" w:space="0" w:color="auto"/>
        <w:right w:val="none" w:sz="0" w:space="0" w:color="auto"/>
      </w:divBdr>
      <w:divsChild>
        <w:div w:id="1920210590">
          <w:marLeft w:val="0"/>
          <w:marRight w:val="0"/>
          <w:marTop w:val="0"/>
          <w:marBottom w:val="0"/>
          <w:divBdr>
            <w:top w:val="none" w:sz="0" w:space="0" w:color="auto"/>
            <w:left w:val="single" w:sz="6" w:space="0" w:color="BBBBBB"/>
            <w:bottom w:val="single" w:sz="6" w:space="0" w:color="BBBBBB"/>
            <w:right w:val="single" w:sz="6" w:space="0" w:color="BBBBBB"/>
          </w:divBdr>
          <w:divsChild>
            <w:div w:id="1881821683">
              <w:marLeft w:val="0"/>
              <w:marRight w:val="0"/>
              <w:marTop w:val="0"/>
              <w:marBottom w:val="0"/>
              <w:divBdr>
                <w:top w:val="none" w:sz="0" w:space="0" w:color="auto"/>
                <w:left w:val="none" w:sz="0" w:space="0" w:color="auto"/>
                <w:bottom w:val="none" w:sz="0" w:space="0" w:color="auto"/>
                <w:right w:val="none" w:sz="0" w:space="0" w:color="auto"/>
              </w:divBdr>
              <w:divsChild>
                <w:div w:id="1371612716">
                  <w:marLeft w:val="0"/>
                  <w:marRight w:val="0"/>
                  <w:marTop w:val="75"/>
                  <w:marBottom w:val="0"/>
                  <w:divBdr>
                    <w:top w:val="none" w:sz="0" w:space="0" w:color="auto"/>
                    <w:left w:val="none" w:sz="0" w:space="0" w:color="auto"/>
                    <w:bottom w:val="none" w:sz="0" w:space="0" w:color="auto"/>
                    <w:right w:val="none" w:sz="0" w:space="0" w:color="auto"/>
                  </w:divBdr>
                  <w:divsChild>
                    <w:div w:id="596643816">
                      <w:marLeft w:val="0"/>
                      <w:marRight w:val="0"/>
                      <w:marTop w:val="0"/>
                      <w:marBottom w:val="0"/>
                      <w:divBdr>
                        <w:top w:val="none" w:sz="0" w:space="0" w:color="auto"/>
                        <w:left w:val="none" w:sz="0" w:space="0" w:color="auto"/>
                        <w:bottom w:val="none" w:sz="0" w:space="0" w:color="auto"/>
                        <w:right w:val="none" w:sz="0" w:space="0" w:color="auto"/>
                      </w:divBdr>
                      <w:divsChild>
                        <w:div w:id="1870795348">
                          <w:marLeft w:val="0"/>
                          <w:marRight w:val="0"/>
                          <w:marTop w:val="0"/>
                          <w:marBottom w:val="0"/>
                          <w:divBdr>
                            <w:top w:val="none" w:sz="0" w:space="0" w:color="auto"/>
                            <w:left w:val="none" w:sz="0" w:space="0" w:color="auto"/>
                            <w:bottom w:val="none" w:sz="0" w:space="0" w:color="auto"/>
                            <w:right w:val="none" w:sz="0" w:space="0" w:color="auto"/>
                          </w:divBdr>
                          <w:divsChild>
                            <w:div w:id="2113359500">
                              <w:marLeft w:val="0"/>
                              <w:marRight w:val="0"/>
                              <w:marTop w:val="0"/>
                              <w:marBottom w:val="0"/>
                              <w:divBdr>
                                <w:top w:val="none" w:sz="0" w:space="0" w:color="auto"/>
                                <w:left w:val="none" w:sz="0" w:space="0" w:color="auto"/>
                                <w:bottom w:val="none" w:sz="0" w:space="0" w:color="auto"/>
                                <w:right w:val="none" w:sz="0" w:space="0" w:color="auto"/>
                              </w:divBdr>
                              <w:divsChild>
                                <w:div w:id="766658952">
                                  <w:marLeft w:val="0"/>
                                  <w:marRight w:val="0"/>
                                  <w:marTop w:val="0"/>
                                  <w:marBottom w:val="0"/>
                                  <w:divBdr>
                                    <w:top w:val="none" w:sz="0" w:space="0" w:color="auto"/>
                                    <w:left w:val="none" w:sz="0" w:space="0" w:color="auto"/>
                                    <w:bottom w:val="none" w:sz="0" w:space="0" w:color="auto"/>
                                    <w:right w:val="none" w:sz="0" w:space="0" w:color="auto"/>
                                  </w:divBdr>
                                  <w:divsChild>
                                    <w:div w:id="235092423">
                                      <w:marLeft w:val="0"/>
                                      <w:marRight w:val="0"/>
                                      <w:marTop w:val="0"/>
                                      <w:marBottom w:val="0"/>
                                      <w:divBdr>
                                        <w:top w:val="none" w:sz="0" w:space="0" w:color="auto"/>
                                        <w:left w:val="none" w:sz="0" w:space="0" w:color="auto"/>
                                        <w:bottom w:val="none" w:sz="0" w:space="0" w:color="auto"/>
                                        <w:right w:val="none" w:sz="0" w:space="0" w:color="auto"/>
                                      </w:divBdr>
                                      <w:divsChild>
                                        <w:div w:id="1543009425">
                                          <w:marLeft w:val="1200"/>
                                          <w:marRight w:val="1200"/>
                                          <w:marTop w:val="0"/>
                                          <w:marBottom w:val="0"/>
                                          <w:divBdr>
                                            <w:top w:val="none" w:sz="0" w:space="0" w:color="auto"/>
                                            <w:left w:val="none" w:sz="0" w:space="0" w:color="auto"/>
                                            <w:bottom w:val="none" w:sz="0" w:space="0" w:color="auto"/>
                                            <w:right w:val="none" w:sz="0" w:space="0" w:color="auto"/>
                                          </w:divBdr>
                                          <w:divsChild>
                                            <w:div w:id="683826365">
                                              <w:marLeft w:val="0"/>
                                              <w:marRight w:val="0"/>
                                              <w:marTop w:val="0"/>
                                              <w:marBottom w:val="0"/>
                                              <w:divBdr>
                                                <w:top w:val="none" w:sz="0" w:space="0" w:color="auto"/>
                                                <w:left w:val="none" w:sz="0" w:space="0" w:color="auto"/>
                                                <w:bottom w:val="none" w:sz="0" w:space="0" w:color="auto"/>
                                                <w:right w:val="none" w:sz="0" w:space="0" w:color="auto"/>
                                              </w:divBdr>
                                              <w:divsChild>
                                                <w:div w:id="31273515">
                                                  <w:marLeft w:val="0"/>
                                                  <w:marRight w:val="0"/>
                                                  <w:marTop w:val="240"/>
                                                  <w:marBottom w:val="0"/>
                                                  <w:divBdr>
                                                    <w:top w:val="none" w:sz="0" w:space="0" w:color="auto"/>
                                                    <w:left w:val="none" w:sz="0" w:space="0" w:color="auto"/>
                                                    <w:bottom w:val="none" w:sz="0" w:space="0" w:color="auto"/>
                                                    <w:right w:val="none" w:sz="0" w:space="0" w:color="auto"/>
                                                  </w:divBdr>
                                                  <w:divsChild>
                                                    <w:div w:id="1739204367">
                                                      <w:marLeft w:val="0"/>
                                                      <w:marRight w:val="0"/>
                                                      <w:marTop w:val="0"/>
                                                      <w:marBottom w:val="0"/>
                                                      <w:divBdr>
                                                        <w:top w:val="none" w:sz="0" w:space="0" w:color="auto"/>
                                                        <w:left w:val="none" w:sz="0" w:space="0" w:color="auto"/>
                                                        <w:bottom w:val="none" w:sz="0" w:space="0" w:color="auto"/>
                                                        <w:right w:val="none" w:sz="0" w:space="0" w:color="auto"/>
                                                      </w:divBdr>
                                                      <w:divsChild>
                                                        <w:div w:id="1327512573">
                                                          <w:marLeft w:val="1275"/>
                                                          <w:marRight w:val="0"/>
                                                          <w:marTop w:val="0"/>
                                                          <w:marBottom w:val="0"/>
                                                          <w:divBdr>
                                                            <w:top w:val="none" w:sz="0" w:space="0" w:color="auto"/>
                                                            <w:left w:val="none" w:sz="0" w:space="0" w:color="auto"/>
                                                            <w:bottom w:val="none" w:sz="0" w:space="0" w:color="auto"/>
                                                            <w:right w:val="none" w:sz="0" w:space="0" w:color="auto"/>
                                                          </w:divBdr>
                                                          <w:divsChild>
                                                            <w:div w:id="993799400">
                                                              <w:marLeft w:val="0"/>
                                                              <w:marRight w:val="0"/>
                                                              <w:marTop w:val="0"/>
                                                              <w:marBottom w:val="0"/>
                                                              <w:divBdr>
                                                                <w:top w:val="none" w:sz="0" w:space="0" w:color="auto"/>
                                                                <w:left w:val="none" w:sz="0" w:space="0" w:color="auto"/>
                                                                <w:bottom w:val="none" w:sz="0" w:space="0" w:color="auto"/>
                                                                <w:right w:val="none" w:sz="0" w:space="0" w:color="auto"/>
                                                              </w:divBdr>
                                                              <w:divsChild>
                                                                <w:div w:id="12124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7055214">
      <w:bodyDiv w:val="1"/>
      <w:marLeft w:val="0"/>
      <w:marRight w:val="0"/>
      <w:marTop w:val="0"/>
      <w:marBottom w:val="0"/>
      <w:divBdr>
        <w:top w:val="none" w:sz="0" w:space="0" w:color="auto"/>
        <w:left w:val="none" w:sz="0" w:space="0" w:color="auto"/>
        <w:bottom w:val="none" w:sz="0" w:space="0" w:color="auto"/>
        <w:right w:val="none" w:sz="0" w:space="0" w:color="auto"/>
      </w:divBdr>
    </w:div>
    <w:div w:id="1545217665">
      <w:bodyDiv w:val="1"/>
      <w:marLeft w:val="0"/>
      <w:marRight w:val="0"/>
      <w:marTop w:val="0"/>
      <w:marBottom w:val="0"/>
      <w:divBdr>
        <w:top w:val="none" w:sz="0" w:space="0" w:color="auto"/>
        <w:left w:val="none" w:sz="0" w:space="0" w:color="auto"/>
        <w:bottom w:val="none" w:sz="0" w:space="0" w:color="auto"/>
        <w:right w:val="none" w:sz="0" w:space="0" w:color="auto"/>
      </w:divBdr>
      <w:divsChild>
        <w:div w:id="231813236">
          <w:marLeft w:val="0"/>
          <w:marRight w:val="0"/>
          <w:marTop w:val="0"/>
          <w:marBottom w:val="0"/>
          <w:divBdr>
            <w:top w:val="none" w:sz="0" w:space="0" w:color="auto"/>
            <w:left w:val="single" w:sz="6" w:space="0" w:color="BBBBBB"/>
            <w:bottom w:val="single" w:sz="6" w:space="0" w:color="BBBBBB"/>
            <w:right w:val="single" w:sz="6" w:space="0" w:color="BBBBBB"/>
          </w:divBdr>
          <w:divsChild>
            <w:div w:id="473638825">
              <w:marLeft w:val="0"/>
              <w:marRight w:val="0"/>
              <w:marTop w:val="0"/>
              <w:marBottom w:val="0"/>
              <w:divBdr>
                <w:top w:val="none" w:sz="0" w:space="0" w:color="auto"/>
                <w:left w:val="none" w:sz="0" w:space="0" w:color="auto"/>
                <w:bottom w:val="none" w:sz="0" w:space="0" w:color="auto"/>
                <w:right w:val="none" w:sz="0" w:space="0" w:color="auto"/>
              </w:divBdr>
              <w:divsChild>
                <w:div w:id="750737865">
                  <w:marLeft w:val="0"/>
                  <w:marRight w:val="0"/>
                  <w:marTop w:val="75"/>
                  <w:marBottom w:val="0"/>
                  <w:divBdr>
                    <w:top w:val="none" w:sz="0" w:space="0" w:color="auto"/>
                    <w:left w:val="none" w:sz="0" w:space="0" w:color="auto"/>
                    <w:bottom w:val="none" w:sz="0" w:space="0" w:color="auto"/>
                    <w:right w:val="none" w:sz="0" w:space="0" w:color="auto"/>
                  </w:divBdr>
                  <w:divsChild>
                    <w:div w:id="169107547">
                      <w:marLeft w:val="0"/>
                      <w:marRight w:val="0"/>
                      <w:marTop w:val="0"/>
                      <w:marBottom w:val="0"/>
                      <w:divBdr>
                        <w:top w:val="none" w:sz="0" w:space="0" w:color="auto"/>
                        <w:left w:val="none" w:sz="0" w:space="0" w:color="auto"/>
                        <w:bottom w:val="none" w:sz="0" w:space="0" w:color="auto"/>
                        <w:right w:val="none" w:sz="0" w:space="0" w:color="auto"/>
                      </w:divBdr>
                      <w:divsChild>
                        <w:div w:id="1735737122">
                          <w:marLeft w:val="0"/>
                          <w:marRight w:val="0"/>
                          <w:marTop w:val="0"/>
                          <w:marBottom w:val="0"/>
                          <w:divBdr>
                            <w:top w:val="none" w:sz="0" w:space="0" w:color="auto"/>
                            <w:left w:val="none" w:sz="0" w:space="0" w:color="auto"/>
                            <w:bottom w:val="none" w:sz="0" w:space="0" w:color="auto"/>
                            <w:right w:val="none" w:sz="0" w:space="0" w:color="auto"/>
                          </w:divBdr>
                          <w:divsChild>
                            <w:div w:id="1097601481">
                              <w:marLeft w:val="0"/>
                              <w:marRight w:val="0"/>
                              <w:marTop w:val="0"/>
                              <w:marBottom w:val="0"/>
                              <w:divBdr>
                                <w:top w:val="none" w:sz="0" w:space="0" w:color="auto"/>
                                <w:left w:val="none" w:sz="0" w:space="0" w:color="auto"/>
                                <w:bottom w:val="none" w:sz="0" w:space="0" w:color="auto"/>
                                <w:right w:val="none" w:sz="0" w:space="0" w:color="auto"/>
                              </w:divBdr>
                              <w:divsChild>
                                <w:div w:id="575165908">
                                  <w:marLeft w:val="0"/>
                                  <w:marRight w:val="0"/>
                                  <w:marTop w:val="0"/>
                                  <w:marBottom w:val="0"/>
                                  <w:divBdr>
                                    <w:top w:val="none" w:sz="0" w:space="0" w:color="auto"/>
                                    <w:left w:val="none" w:sz="0" w:space="0" w:color="auto"/>
                                    <w:bottom w:val="none" w:sz="0" w:space="0" w:color="auto"/>
                                    <w:right w:val="none" w:sz="0" w:space="0" w:color="auto"/>
                                  </w:divBdr>
                                  <w:divsChild>
                                    <w:div w:id="1761483639">
                                      <w:marLeft w:val="0"/>
                                      <w:marRight w:val="0"/>
                                      <w:marTop w:val="0"/>
                                      <w:marBottom w:val="0"/>
                                      <w:divBdr>
                                        <w:top w:val="none" w:sz="0" w:space="0" w:color="auto"/>
                                        <w:left w:val="none" w:sz="0" w:space="0" w:color="auto"/>
                                        <w:bottom w:val="none" w:sz="0" w:space="0" w:color="auto"/>
                                        <w:right w:val="none" w:sz="0" w:space="0" w:color="auto"/>
                                      </w:divBdr>
                                      <w:divsChild>
                                        <w:div w:id="1391271020">
                                          <w:marLeft w:val="1200"/>
                                          <w:marRight w:val="1200"/>
                                          <w:marTop w:val="0"/>
                                          <w:marBottom w:val="0"/>
                                          <w:divBdr>
                                            <w:top w:val="none" w:sz="0" w:space="0" w:color="auto"/>
                                            <w:left w:val="none" w:sz="0" w:space="0" w:color="auto"/>
                                            <w:bottom w:val="none" w:sz="0" w:space="0" w:color="auto"/>
                                            <w:right w:val="none" w:sz="0" w:space="0" w:color="auto"/>
                                          </w:divBdr>
                                          <w:divsChild>
                                            <w:div w:id="1677922654">
                                              <w:marLeft w:val="0"/>
                                              <w:marRight w:val="0"/>
                                              <w:marTop w:val="0"/>
                                              <w:marBottom w:val="0"/>
                                              <w:divBdr>
                                                <w:top w:val="none" w:sz="0" w:space="0" w:color="auto"/>
                                                <w:left w:val="none" w:sz="0" w:space="0" w:color="auto"/>
                                                <w:bottom w:val="none" w:sz="0" w:space="0" w:color="auto"/>
                                                <w:right w:val="none" w:sz="0" w:space="0" w:color="auto"/>
                                              </w:divBdr>
                                              <w:divsChild>
                                                <w:div w:id="1076198234">
                                                  <w:marLeft w:val="0"/>
                                                  <w:marRight w:val="0"/>
                                                  <w:marTop w:val="240"/>
                                                  <w:marBottom w:val="0"/>
                                                  <w:divBdr>
                                                    <w:top w:val="none" w:sz="0" w:space="0" w:color="auto"/>
                                                    <w:left w:val="none" w:sz="0" w:space="0" w:color="auto"/>
                                                    <w:bottom w:val="none" w:sz="0" w:space="0" w:color="auto"/>
                                                    <w:right w:val="none" w:sz="0" w:space="0" w:color="auto"/>
                                                  </w:divBdr>
                                                  <w:divsChild>
                                                    <w:div w:id="1004169038">
                                                      <w:marLeft w:val="0"/>
                                                      <w:marRight w:val="0"/>
                                                      <w:marTop w:val="0"/>
                                                      <w:marBottom w:val="0"/>
                                                      <w:divBdr>
                                                        <w:top w:val="none" w:sz="0" w:space="0" w:color="auto"/>
                                                        <w:left w:val="none" w:sz="0" w:space="0" w:color="auto"/>
                                                        <w:bottom w:val="none" w:sz="0" w:space="0" w:color="auto"/>
                                                        <w:right w:val="none" w:sz="0" w:space="0" w:color="auto"/>
                                                      </w:divBdr>
                                                      <w:divsChild>
                                                        <w:div w:id="801655057">
                                                          <w:marLeft w:val="1275"/>
                                                          <w:marRight w:val="0"/>
                                                          <w:marTop w:val="0"/>
                                                          <w:marBottom w:val="0"/>
                                                          <w:divBdr>
                                                            <w:top w:val="none" w:sz="0" w:space="0" w:color="auto"/>
                                                            <w:left w:val="none" w:sz="0" w:space="0" w:color="auto"/>
                                                            <w:bottom w:val="none" w:sz="0" w:space="0" w:color="auto"/>
                                                            <w:right w:val="none" w:sz="0" w:space="0" w:color="auto"/>
                                                          </w:divBdr>
                                                          <w:divsChild>
                                                            <w:div w:id="693920796">
                                                              <w:marLeft w:val="0"/>
                                                              <w:marRight w:val="0"/>
                                                              <w:marTop w:val="0"/>
                                                              <w:marBottom w:val="0"/>
                                                              <w:divBdr>
                                                                <w:top w:val="none" w:sz="0" w:space="0" w:color="auto"/>
                                                                <w:left w:val="none" w:sz="0" w:space="0" w:color="auto"/>
                                                                <w:bottom w:val="none" w:sz="0" w:space="0" w:color="auto"/>
                                                                <w:right w:val="none" w:sz="0" w:space="0" w:color="auto"/>
                                                              </w:divBdr>
                                                              <w:divsChild>
                                                                <w:div w:id="21263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1604078">
      <w:bodyDiv w:val="1"/>
      <w:marLeft w:val="0"/>
      <w:marRight w:val="0"/>
      <w:marTop w:val="0"/>
      <w:marBottom w:val="0"/>
      <w:divBdr>
        <w:top w:val="none" w:sz="0" w:space="0" w:color="auto"/>
        <w:left w:val="none" w:sz="0" w:space="0" w:color="auto"/>
        <w:bottom w:val="none" w:sz="0" w:space="0" w:color="auto"/>
        <w:right w:val="none" w:sz="0" w:space="0" w:color="auto"/>
      </w:divBdr>
    </w:div>
    <w:div w:id="180534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262&amp;cite=PA66S332&amp;originatingDoc=I85cf3525086711e49488c8f438320c70&amp;refType=LQ&amp;originationContext=document&amp;transitionType=DocumentItem&amp;contextData=(sc.UserEnteredCit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1.next.westlaw.com/Link/Document/FullText?findType=L&amp;pubNum=1000262&amp;cite=PA66S332&amp;originatingDoc=I85cf3525086711e49488c8f438320c70&amp;refType=LQ&amp;originationContext=document&amp;transitionType=DocumentItem&amp;contextData=(sc.UserEnteredCitation)"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E30F9-2EF8-418D-909D-5144C8C6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7073</Words>
  <Characters>40318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jnase</dc:creator>
  <cp:lastModifiedBy>Farner, Joyce</cp:lastModifiedBy>
  <cp:revision>2</cp:revision>
  <cp:lastPrinted>2018-03-23T18:16:00Z</cp:lastPrinted>
  <dcterms:created xsi:type="dcterms:W3CDTF">2018-03-23T18:16:00Z</dcterms:created>
  <dcterms:modified xsi:type="dcterms:W3CDTF">2018-03-23T18:16:00Z</dcterms:modified>
</cp:coreProperties>
</file>