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2569B9FD" w14:textId="77777777">
        <w:trPr>
          <w:trHeight w:val="990"/>
        </w:trPr>
        <w:tc>
          <w:tcPr>
            <w:tcW w:w="1363" w:type="dxa"/>
          </w:tcPr>
          <w:p w14:paraId="529DED4E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A5B1D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A5392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78DC2F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147E447F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4B1674DB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78DE2A8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93D0C7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1614FFD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EA87CB4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0C4E0CD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7BF10963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0210E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F4F442A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6EF6B55A" w14:textId="77777777" w:rsidR="00827532" w:rsidRDefault="008A5EE3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0" w:name="_Hlk509824914"/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125E62">
              <w:rPr>
                <w:rFonts w:ascii="Arial" w:hAnsi="Arial"/>
                <w:spacing w:val="-1"/>
                <w:sz w:val="16"/>
                <w:szCs w:val="16"/>
              </w:rPr>
              <w:t>5-2475726</w:t>
            </w:r>
            <w:bookmarkEnd w:id="0"/>
          </w:p>
          <w:p w14:paraId="09984372" w14:textId="77777777" w:rsidR="00125E62" w:rsidRDefault="00125E62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1" w:name="_Hlk509824976"/>
            <w:r>
              <w:rPr>
                <w:rFonts w:ascii="Arial" w:hAnsi="Arial"/>
                <w:spacing w:val="-1"/>
                <w:sz w:val="16"/>
                <w:szCs w:val="16"/>
              </w:rPr>
              <w:t>C-2016-2537666</w:t>
            </w:r>
            <w:bookmarkEnd w:id="1"/>
          </w:p>
          <w:p w14:paraId="316028BC" w14:textId="77777777" w:rsidR="00125E62" w:rsidRDefault="00125E62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2" w:name="_Hlk509824996"/>
            <w:r>
              <w:rPr>
                <w:rFonts w:ascii="Arial" w:hAnsi="Arial"/>
                <w:spacing w:val="-1"/>
                <w:sz w:val="16"/>
                <w:szCs w:val="16"/>
              </w:rPr>
              <w:t>C-2015-2475023</w:t>
            </w:r>
            <w:bookmarkEnd w:id="2"/>
          </w:p>
          <w:p w14:paraId="5107703D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6410F2FA" w14:textId="77777777" w:rsidR="00C74A51" w:rsidRDefault="00C74A51">
      <w:pPr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14:paraId="79465960" w14:textId="13941632" w:rsidR="003A072B" w:rsidRDefault="002B1EF9" w:rsidP="00113F9A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26, 2018</w:t>
      </w:r>
    </w:p>
    <w:p w14:paraId="1ADFC20C" w14:textId="77777777" w:rsidR="00430047" w:rsidRDefault="00430047" w:rsidP="00E528E4">
      <w:pPr>
        <w:rPr>
          <w:sz w:val="26"/>
          <w:szCs w:val="26"/>
        </w:rPr>
      </w:pPr>
    </w:p>
    <w:p w14:paraId="1523F7BD" w14:textId="77777777" w:rsidR="009926A4" w:rsidRPr="0008045A" w:rsidRDefault="009926A4" w:rsidP="00E528E4">
      <w:pPr>
        <w:rPr>
          <w:sz w:val="26"/>
          <w:szCs w:val="26"/>
        </w:rPr>
      </w:pPr>
    </w:p>
    <w:p w14:paraId="1FE3DC0A" w14:textId="34E21AC9" w:rsidR="006C33BC" w:rsidRDefault="00E528E4" w:rsidP="00720E32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125E62" w:rsidRPr="00CB0F1A">
        <w:rPr>
          <w:b/>
          <w:i/>
          <w:sz w:val="26"/>
          <w:szCs w:val="26"/>
        </w:rPr>
        <w:t>Laura Sunstein Murphy v. PECO Energy Company</w:t>
      </w:r>
      <w:r w:rsidR="00720E32">
        <w:rPr>
          <w:b/>
          <w:i/>
          <w:sz w:val="26"/>
          <w:szCs w:val="26"/>
        </w:rPr>
        <w:t>;</w:t>
      </w:r>
    </w:p>
    <w:p w14:paraId="037D1EF6" w14:textId="77777777" w:rsidR="00125E62" w:rsidRDefault="006C33BC" w:rsidP="003A6C49">
      <w:pPr>
        <w:ind w:left="720" w:hanging="72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i/>
          <w:sz w:val="26"/>
          <w:szCs w:val="26"/>
        </w:rPr>
        <w:t xml:space="preserve">Docket No. </w:t>
      </w:r>
      <w:r w:rsidRPr="006C33BC">
        <w:rPr>
          <w:b/>
          <w:i/>
          <w:sz w:val="26"/>
          <w:szCs w:val="26"/>
        </w:rPr>
        <w:t>C-2015-2475726</w:t>
      </w:r>
      <w:r w:rsidR="00125E62" w:rsidRPr="00CB0F1A">
        <w:rPr>
          <w:b/>
          <w:i/>
          <w:sz w:val="26"/>
          <w:szCs w:val="26"/>
        </w:rPr>
        <w:t xml:space="preserve"> </w:t>
      </w:r>
    </w:p>
    <w:p w14:paraId="7219871A" w14:textId="77777777" w:rsidR="003A6C49" w:rsidRPr="00CB0F1A" w:rsidRDefault="003A6C49" w:rsidP="003A6C49">
      <w:pPr>
        <w:ind w:left="720" w:hanging="720"/>
        <w:rPr>
          <w:b/>
          <w:bCs/>
          <w:i/>
          <w:iCs/>
          <w:sz w:val="26"/>
          <w:szCs w:val="26"/>
        </w:rPr>
      </w:pPr>
    </w:p>
    <w:p w14:paraId="5860D213" w14:textId="460449F0" w:rsidR="006C33BC" w:rsidRDefault="00125E62" w:rsidP="003A6C49">
      <w:pPr>
        <w:ind w:left="720"/>
        <w:rPr>
          <w:b/>
          <w:bCs/>
          <w:i/>
          <w:iCs/>
          <w:sz w:val="26"/>
          <w:szCs w:val="26"/>
        </w:rPr>
      </w:pPr>
      <w:r w:rsidRPr="00CB0F1A">
        <w:rPr>
          <w:b/>
          <w:bCs/>
          <w:i/>
          <w:iCs/>
          <w:sz w:val="26"/>
          <w:szCs w:val="26"/>
        </w:rPr>
        <w:t>Cynthia Randall and Paul Albrecht v. PECO Energy Company</w:t>
      </w:r>
      <w:r w:rsidR="00720E32">
        <w:rPr>
          <w:b/>
          <w:bCs/>
          <w:i/>
          <w:iCs/>
          <w:sz w:val="26"/>
          <w:szCs w:val="26"/>
        </w:rPr>
        <w:t>;</w:t>
      </w:r>
    </w:p>
    <w:p w14:paraId="156816D2" w14:textId="77777777" w:rsidR="00CB0F1A" w:rsidRPr="00CB0F1A" w:rsidRDefault="006C33BC" w:rsidP="003A6C49">
      <w:pPr>
        <w:ind w:left="720"/>
        <w:rPr>
          <w:b/>
          <w:i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Docket No. </w:t>
      </w:r>
      <w:r w:rsidRPr="006C33BC">
        <w:rPr>
          <w:b/>
          <w:bCs/>
          <w:i/>
          <w:iCs/>
          <w:sz w:val="26"/>
          <w:szCs w:val="26"/>
        </w:rPr>
        <w:t>C-2016-2537666</w:t>
      </w:r>
    </w:p>
    <w:p w14:paraId="554029B0" w14:textId="77777777" w:rsidR="003A6C49" w:rsidRDefault="003A6C49" w:rsidP="00720E32">
      <w:pPr>
        <w:ind w:left="720"/>
        <w:rPr>
          <w:b/>
          <w:bCs/>
          <w:i/>
          <w:iCs/>
          <w:sz w:val="26"/>
          <w:szCs w:val="26"/>
        </w:rPr>
      </w:pPr>
    </w:p>
    <w:p w14:paraId="198C3602" w14:textId="68558BD3" w:rsidR="00125E62" w:rsidRDefault="00125E62" w:rsidP="00720E32">
      <w:pPr>
        <w:ind w:left="720"/>
        <w:rPr>
          <w:b/>
          <w:bCs/>
          <w:i/>
          <w:iCs/>
          <w:sz w:val="26"/>
          <w:szCs w:val="26"/>
        </w:rPr>
      </w:pPr>
      <w:r w:rsidRPr="00CB0F1A">
        <w:rPr>
          <w:b/>
          <w:bCs/>
          <w:i/>
          <w:iCs/>
          <w:sz w:val="26"/>
          <w:szCs w:val="26"/>
        </w:rPr>
        <w:t>Maria Povacz v. PECO Energy Company</w:t>
      </w:r>
      <w:r w:rsidR="00437851">
        <w:rPr>
          <w:b/>
          <w:bCs/>
          <w:i/>
          <w:iCs/>
          <w:sz w:val="26"/>
          <w:szCs w:val="26"/>
        </w:rPr>
        <w:t>;</w:t>
      </w:r>
    </w:p>
    <w:p w14:paraId="3300A1E0" w14:textId="77777777" w:rsidR="006C33BC" w:rsidRPr="00CB0F1A" w:rsidRDefault="006C33BC" w:rsidP="003A6C49">
      <w:pPr>
        <w:ind w:left="72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Docket No. </w:t>
      </w:r>
      <w:r w:rsidRPr="006C33BC">
        <w:rPr>
          <w:b/>
          <w:i/>
          <w:sz w:val="26"/>
          <w:szCs w:val="26"/>
        </w:rPr>
        <w:t>C-2015-2475023</w:t>
      </w:r>
    </w:p>
    <w:p w14:paraId="3A4EDC3A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7E636C57" w14:textId="77777777" w:rsidR="00E229FE" w:rsidRPr="0008045A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47404C8D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08C59C4F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200A496F" w14:textId="7ACFDAE5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</w:t>
      </w:r>
      <w:r w:rsidR="00675C8E">
        <w:rPr>
          <w:sz w:val="26"/>
          <w:szCs w:val="26"/>
        </w:rPr>
        <w:t xml:space="preserve">separate </w:t>
      </w:r>
      <w:r w:rsidR="00EE7625">
        <w:rPr>
          <w:sz w:val="26"/>
          <w:szCs w:val="26"/>
        </w:rPr>
        <w:t>Secretarial Letter</w:t>
      </w:r>
      <w:r w:rsidR="00675C8E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dated </w:t>
      </w:r>
      <w:r w:rsidR="00CB0F1A">
        <w:rPr>
          <w:sz w:val="26"/>
          <w:szCs w:val="26"/>
        </w:rPr>
        <w:t xml:space="preserve">March </w:t>
      </w:r>
      <w:r w:rsidR="00EE7625">
        <w:rPr>
          <w:sz w:val="26"/>
          <w:szCs w:val="26"/>
        </w:rPr>
        <w:t>20, 201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>, the Commission issued the Initial Decision</w:t>
      </w:r>
      <w:r w:rsidR="00675C8E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of Administrative Law Judge </w:t>
      </w:r>
      <w:r w:rsidR="00D331A4">
        <w:rPr>
          <w:sz w:val="26"/>
          <w:szCs w:val="26"/>
        </w:rPr>
        <w:t>Darlene Heep</w:t>
      </w:r>
      <w:r w:rsidR="00EE7625">
        <w:rPr>
          <w:sz w:val="26"/>
          <w:szCs w:val="26"/>
        </w:rPr>
        <w:t xml:space="preserve">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>matter</w:t>
      </w:r>
      <w:r w:rsidR="00F06B16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.  </w:t>
      </w:r>
      <w:r w:rsidR="00054239">
        <w:rPr>
          <w:sz w:val="26"/>
          <w:szCs w:val="26"/>
        </w:rPr>
        <w:t>The Secretarial Letter</w:t>
      </w:r>
      <w:r w:rsidR="00675C8E">
        <w:rPr>
          <w:sz w:val="26"/>
          <w:szCs w:val="26"/>
        </w:rPr>
        <w:t>s</w:t>
      </w:r>
      <w:r w:rsidR="00054239">
        <w:rPr>
          <w:sz w:val="26"/>
          <w:szCs w:val="26"/>
        </w:rPr>
        <w:t xml:space="preserve"> provided, among other things, that </w:t>
      </w:r>
      <w:r w:rsidR="00EE7625">
        <w:rPr>
          <w:sz w:val="26"/>
          <w:szCs w:val="26"/>
        </w:rPr>
        <w:t xml:space="preserve">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</w:t>
      </w:r>
      <w:r w:rsidR="00B95FEF">
        <w:rPr>
          <w:sz w:val="26"/>
          <w:szCs w:val="26"/>
        </w:rPr>
        <w:t xml:space="preserve">the date of each of the </w:t>
      </w:r>
      <w:r w:rsidR="00EE7625">
        <w:rPr>
          <w:sz w:val="26"/>
          <w:szCs w:val="26"/>
        </w:rPr>
        <w:t>letter</w:t>
      </w:r>
      <w:r w:rsidR="00B95FEF">
        <w:rPr>
          <w:sz w:val="26"/>
          <w:szCs w:val="26"/>
        </w:rPr>
        <w:t>s</w:t>
      </w:r>
      <w:r w:rsidR="00EE7625">
        <w:rPr>
          <w:sz w:val="26"/>
          <w:szCs w:val="26"/>
        </w:rPr>
        <w:t xml:space="preserve">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D331A4">
        <w:rPr>
          <w:sz w:val="26"/>
          <w:szCs w:val="26"/>
        </w:rPr>
        <w:t>April 9, 2018</w:t>
      </w:r>
      <w:r w:rsidR="00EE7625">
        <w:rPr>
          <w:sz w:val="26"/>
          <w:szCs w:val="26"/>
        </w:rPr>
        <w:t xml:space="preserve">).  Reply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D331A4">
        <w:rPr>
          <w:sz w:val="26"/>
          <w:szCs w:val="26"/>
        </w:rPr>
        <w:t>April 19,</w:t>
      </w:r>
      <w:r w:rsidR="00EE7625">
        <w:rPr>
          <w:sz w:val="26"/>
          <w:szCs w:val="26"/>
        </w:rPr>
        <w:t xml:space="preserve"> 2018).</w:t>
      </w:r>
    </w:p>
    <w:p w14:paraId="45AFECC8" w14:textId="77777777" w:rsidR="00EE7625" w:rsidRDefault="00EE7625" w:rsidP="00EE7625">
      <w:pPr>
        <w:ind w:firstLine="1440"/>
        <w:rPr>
          <w:sz w:val="26"/>
          <w:szCs w:val="26"/>
        </w:rPr>
      </w:pPr>
    </w:p>
    <w:p w14:paraId="091B9D1C" w14:textId="130D8C17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D331A4">
        <w:rPr>
          <w:sz w:val="26"/>
          <w:szCs w:val="26"/>
        </w:rPr>
        <w:t>March 22 and 23, 2018</w:t>
      </w:r>
      <w:r>
        <w:rPr>
          <w:sz w:val="26"/>
          <w:szCs w:val="26"/>
        </w:rPr>
        <w:t xml:space="preserve">, </w:t>
      </w:r>
      <w:r w:rsidR="008B7B06">
        <w:rPr>
          <w:sz w:val="26"/>
          <w:szCs w:val="26"/>
        </w:rPr>
        <w:t xml:space="preserve">Mr. Steve Harvey, </w:t>
      </w:r>
      <w:r w:rsidR="00D331A4">
        <w:rPr>
          <w:sz w:val="26"/>
          <w:szCs w:val="26"/>
        </w:rPr>
        <w:t xml:space="preserve">counsel for the Complainants, </w:t>
      </w:r>
      <w:r>
        <w:rPr>
          <w:sz w:val="26"/>
          <w:szCs w:val="26"/>
        </w:rPr>
        <w:t>filed a Petition for Additional Time to File Exceptions</w:t>
      </w:r>
      <w:r w:rsidR="008B7B06">
        <w:rPr>
          <w:sz w:val="26"/>
          <w:szCs w:val="26"/>
        </w:rPr>
        <w:t xml:space="preserve"> due to personal and professional commitments.  </w:t>
      </w:r>
      <w:r w:rsidR="005A382E">
        <w:rPr>
          <w:sz w:val="26"/>
          <w:szCs w:val="26"/>
        </w:rPr>
        <w:t>The March 22, 2018, correspondence a</w:t>
      </w:r>
      <w:r w:rsidR="008B7B06">
        <w:rPr>
          <w:sz w:val="26"/>
          <w:szCs w:val="26"/>
        </w:rPr>
        <w:t>dvised that</w:t>
      </w:r>
      <w:r w:rsidR="005A382E">
        <w:rPr>
          <w:sz w:val="26"/>
          <w:szCs w:val="26"/>
        </w:rPr>
        <w:t xml:space="preserve"> Mr. Harvey</w:t>
      </w:r>
      <w:r w:rsidR="008B7B06">
        <w:rPr>
          <w:sz w:val="26"/>
          <w:szCs w:val="26"/>
        </w:rPr>
        <w:t xml:space="preserve"> had conferred with opposing counsel</w:t>
      </w:r>
      <w:r w:rsidR="005A382E">
        <w:rPr>
          <w:sz w:val="26"/>
          <w:szCs w:val="26"/>
        </w:rPr>
        <w:t xml:space="preserve"> </w:t>
      </w:r>
      <w:r w:rsidR="00AD6536">
        <w:rPr>
          <w:sz w:val="26"/>
          <w:szCs w:val="26"/>
        </w:rPr>
        <w:t xml:space="preserve">for PECO, </w:t>
      </w:r>
      <w:r w:rsidR="00054239">
        <w:rPr>
          <w:sz w:val="26"/>
          <w:szCs w:val="26"/>
        </w:rPr>
        <w:t xml:space="preserve">Mr. </w:t>
      </w:r>
      <w:r w:rsidR="005A382E">
        <w:rPr>
          <w:sz w:val="26"/>
          <w:szCs w:val="26"/>
        </w:rPr>
        <w:t xml:space="preserve">Ward Smith, and that Mr. Smith </w:t>
      </w:r>
      <w:r w:rsidR="008B7B06">
        <w:rPr>
          <w:sz w:val="26"/>
          <w:szCs w:val="26"/>
        </w:rPr>
        <w:t>did not object to a ten (10) day extension of time</w:t>
      </w:r>
      <w:r w:rsidR="005A382E">
        <w:rPr>
          <w:sz w:val="26"/>
          <w:szCs w:val="26"/>
        </w:rPr>
        <w:t>.  The M</w:t>
      </w:r>
      <w:r w:rsidR="008B7B06">
        <w:rPr>
          <w:sz w:val="26"/>
          <w:szCs w:val="26"/>
        </w:rPr>
        <w:t>arch 23, 2018</w:t>
      </w:r>
      <w:r w:rsidR="00AD6536">
        <w:rPr>
          <w:sz w:val="26"/>
          <w:szCs w:val="26"/>
        </w:rPr>
        <w:t>,</w:t>
      </w:r>
      <w:r w:rsidR="008B7B06">
        <w:rPr>
          <w:sz w:val="26"/>
          <w:szCs w:val="26"/>
        </w:rPr>
        <w:t xml:space="preserve"> correspondence </w:t>
      </w:r>
      <w:r w:rsidR="005A382E">
        <w:rPr>
          <w:sz w:val="26"/>
          <w:szCs w:val="26"/>
        </w:rPr>
        <w:t xml:space="preserve">modified the earlier correspondence and </w:t>
      </w:r>
      <w:r w:rsidR="008B7B06">
        <w:rPr>
          <w:sz w:val="26"/>
          <w:szCs w:val="26"/>
        </w:rPr>
        <w:t xml:space="preserve">advised that </w:t>
      </w:r>
      <w:r w:rsidR="005A382E">
        <w:rPr>
          <w:sz w:val="26"/>
          <w:szCs w:val="26"/>
        </w:rPr>
        <w:t xml:space="preserve">Mr. </w:t>
      </w:r>
      <w:r w:rsidR="008B7B06">
        <w:rPr>
          <w:sz w:val="26"/>
          <w:szCs w:val="26"/>
        </w:rPr>
        <w:t xml:space="preserve">Smith </w:t>
      </w:r>
      <w:r w:rsidR="005A382E">
        <w:rPr>
          <w:sz w:val="26"/>
          <w:szCs w:val="26"/>
        </w:rPr>
        <w:t xml:space="preserve">did not oppose the full twenty (20) day extension of time for </w:t>
      </w:r>
      <w:r w:rsidR="00054239">
        <w:rPr>
          <w:sz w:val="26"/>
          <w:szCs w:val="26"/>
        </w:rPr>
        <w:t>E</w:t>
      </w:r>
      <w:r w:rsidR="005A382E">
        <w:rPr>
          <w:sz w:val="26"/>
          <w:szCs w:val="26"/>
        </w:rPr>
        <w:t>xceptions.  Additionally, the March 23, 2018, correspondence requested that the Respondent be afforded a twenty (20) day period in which to file Reply Exceptions.</w:t>
      </w:r>
    </w:p>
    <w:p w14:paraId="0366F698" w14:textId="77777777" w:rsidR="00EE7625" w:rsidRDefault="00EE7625" w:rsidP="00EE7625">
      <w:pPr>
        <w:rPr>
          <w:sz w:val="26"/>
          <w:szCs w:val="26"/>
        </w:rPr>
      </w:pPr>
    </w:p>
    <w:p w14:paraId="200EDA45" w14:textId="77777777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5A382E">
        <w:rPr>
          <w:sz w:val="26"/>
          <w:szCs w:val="26"/>
        </w:rPr>
        <w:t xml:space="preserve">twenty (20)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 xml:space="preserve">to be filed no later than twenty (20) days thereafter.  </w:t>
      </w:r>
    </w:p>
    <w:p w14:paraId="3A299A9C" w14:textId="77777777" w:rsidR="00AE6F0B" w:rsidRDefault="00AE6F0B" w:rsidP="00995867">
      <w:pPr>
        <w:ind w:firstLine="720"/>
        <w:rPr>
          <w:sz w:val="26"/>
          <w:szCs w:val="26"/>
        </w:rPr>
      </w:pPr>
    </w:p>
    <w:p w14:paraId="691D355A" w14:textId="77777777" w:rsidR="00AE6F0B" w:rsidRDefault="00AE6F0B" w:rsidP="00995867">
      <w:pPr>
        <w:ind w:firstLine="720"/>
        <w:rPr>
          <w:sz w:val="26"/>
          <w:szCs w:val="26"/>
        </w:rPr>
      </w:pPr>
    </w:p>
    <w:p w14:paraId="2094A001" w14:textId="77777777" w:rsidR="00AE6F0B" w:rsidRDefault="00AE6F0B" w:rsidP="00995867">
      <w:pPr>
        <w:ind w:firstLine="720"/>
        <w:rPr>
          <w:sz w:val="26"/>
          <w:szCs w:val="26"/>
        </w:rPr>
      </w:pPr>
    </w:p>
    <w:p w14:paraId="00CB05D5" w14:textId="77777777" w:rsidR="00AE6F0B" w:rsidRDefault="00AE6F0B" w:rsidP="00995867">
      <w:pPr>
        <w:ind w:firstLine="720"/>
        <w:rPr>
          <w:sz w:val="26"/>
          <w:szCs w:val="26"/>
        </w:rPr>
      </w:pPr>
    </w:p>
    <w:p w14:paraId="07AB6A17" w14:textId="39881E29" w:rsidR="00995867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054239">
        <w:rPr>
          <w:sz w:val="26"/>
          <w:szCs w:val="26"/>
        </w:rPr>
        <w:t xml:space="preserve">Since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were to be filed by April 9, 2018, a twenty (20) day extension would result in a new deadline for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of April 29, 2018.  However, since April 29, 2018, is a Sunday, the deadline is extended further to Monday, April 30, 2018. </w:t>
      </w:r>
      <w:r w:rsidR="000878F5">
        <w:rPr>
          <w:sz w:val="26"/>
          <w:szCs w:val="26"/>
        </w:rPr>
        <w:t xml:space="preserve"> </w:t>
      </w:r>
      <w:r w:rsidR="00054239">
        <w:rPr>
          <w:sz w:val="26"/>
          <w:szCs w:val="26"/>
        </w:rPr>
        <w:t xml:space="preserve">Reply Exceptions </w:t>
      </w:r>
      <w:r w:rsidR="00055F43">
        <w:rPr>
          <w:sz w:val="26"/>
          <w:szCs w:val="26"/>
        </w:rPr>
        <w:t xml:space="preserve">shall be due </w:t>
      </w:r>
      <w:r w:rsidR="00054239">
        <w:rPr>
          <w:sz w:val="26"/>
          <w:szCs w:val="26"/>
        </w:rPr>
        <w:t xml:space="preserve">no later than twenty </w:t>
      </w:r>
      <w:r w:rsidR="00055F43">
        <w:rPr>
          <w:sz w:val="26"/>
          <w:szCs w:val="26"/>
        </w:rPr>
        <w:t>(</w:t>
      </w:r>
      <w:r w:rsidR="00054239">
        <w:rPr>
          <w:sz w:val="26"/>
          <w:szCs w:val="26"/>
        </w:rPr>
        <w:t>2</w:t>
      </w:r>
      <w:r w:rsidR="00055F43">
        <w:rPr>
          <w:sz w:val="26"/>
          <w:szCs w:val="26"/>
        </w:rPr>
        <w:t xml:space="preserve">0) days </w:t>
      </w:r>
      <w:r w:rsidR="00054239">
        <w:rPr>
          <w:sz w:val="26"/>
          <w:szCs w:val="26"/>
        </w:rPr>
        <w:t>thereaf</w:t>
      </w:r>
      <w:r>
        <w:rPr>
          <w:sz w:val="26"/>
          <w:szCs w:val="26"/>
        </w:rPr>
        <w:t>ter.  Since May 20, 2018, is a Sunday, Reply Exceptions may be filed no later than Monday, May</w:t>
      </w:r>
      <w:r w:rsidR="005336D6">
        <w:rPr>
          <w:sz w:val="26"/>
          <w:szCs w:val="26"/>
        </w:rPr>
        <w:t> </w:t>
      </w:r>
      <w:r>
        <w:rPr>
          <w:sz w:val="26"/>
          <w:szCs w:val="26"/>
        </w:rPr>
        <w:t>21, 2018.</w:t>
      </w:r>
    </w:p>
    <w:p w14:paraId="5611A030" w14:textId="77777777" w:rsidR="00995867" w:rsidRDefault="00995867" w:rsidP="00054239">
      <w:pPr>
        <w:rPr>
          <w:sz w:val="26"/>
          <w:szCs w:val="26"/>
        </w:rPr>
      </w:pPr>
    </w:p>
    <w:p w14:paraId="7D3B40BD" w14:textId="35F9EE07" w:rsidR="009926A4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  <w:t>Accordingly, the new deadlines are as follows:</w:t>
      </w:r>
    </w:p>
    <w:p w14:paraId="652F9F60" w14:textId="77777777" w:rsidR="00995867" w:rsidRDefault="00995867" w:rsidP="00995867">
      <w:pPr>
        <w:ind w:firstLine="72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867" w14:paraId="6653E7B5" w14:textId="77777777" w:rsidTr="00995867">
        <w:tc>
          <w:tcPr>
            <w:tcW w:w="4675" w:type="dxa"/>
          </w:tcPr>
          <w:p w14:paraId="6F020482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EXCEPTIONS</w:t>
            </w:r>
          </w:p>
        </w:tc>
        <w:tc>
          <w:tcPr>
            <w:tcW w:w="4675" w:type="dxa"/>
          </w:tcPr>
          <w:p w14:paraId="3B73D8E0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30, 2018</w:t>
            </w:r>
          </w:p>
        </w:tc>
      </w:tr>
      <w:tr w:rsidR="00995867" w14:paraId="7F8B6FD6" w14:textId="77777777" w:rsidTr="00995867">
        <w:tc>
          <w:tcPr>
            <w:tcW w:w="4675" w:type="dxa"/>
          </w:tcPr>
          <w:p w14:paraId="3BECFEE5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REPLY EXCEPTIONS</w:t>
            </w:r>
          </w:p>
        </w:tc>
        <w:tc>
          <w:tcPr>
            <w:tcW w:w="4675" w:type="dxa"/>
          </w:tcPr>
          <w:p w14:paraId="0DFB5F80" w14:textId="77777777" w:rsidR="00995867" w:rsidRDefault="00995867" w:rsidP="009958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MAY 21, 2018</w:t>
            </w:r>
          </w:p>
        </w:tc>
      </w:tr>
    </w:tbl>
    <w:p w14:paraId="234E69BE" w14:textId="77777777" w:rsidR="009926A4" w:rsidRDefault="009926A4" w:rsidP="00995867">
      <w:pPr>
        <w:ind w:firstLine="1440"/>
        <w:jc w:val="center"/>
        <w:rPr>
          <w:sz w:val="26"/>
          <w:szCs w:val="26"/>
        </w:rPr>
      </w:pPr>
    </w:p>
    <w:p w14:paraId="123B6163" w14:textId="77777777" w:rsidR="009926A4" w:rsidRDefault="009926A4" w:rsidP="00DF2C6D">
      <w:pPr>
        <w:ind w:firstLine="1440"/>
        <w:rPr>
          <w:sz w:val="26"/>
          <w:szCs w:val="26"/>
        </w:rPr>
      </w:pPr>
    </w:p>
    <w:p w14:paraId="0B13D1C2" w14:textId="77777777" w:rsidR="00055F43" w:rsidRDefault="00DF2C6D" w:rsidP="00F06B1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Cheryl Walker Davis, Director.  Please direct your inquiry to </w:t>
      </w:r>
      <w:r w:rsidR="00CD72FB">
        <w:rPr>
          <w:sz w:val="26"/>
          <w:szCs w:val="26"/>
        </w:rPr>
        <w:t>Jaime McClintock at (717)</w:t>
      </w:r>
      <w:r w:rsidR="00343B72">
        <w:rPr>
          <w:sz w:val="26"/>
          <w:szCs w:val="26"/>
        </w:rPr>
        <w:t xml:space="preserve"> 346-2615,</w:t>
      </w:r>
      <w:r w:rsidR="00CD72FB">
        <w:rPr>
          <w:sz w:val="26"/>
          <w:szCs w:val="26"/>
        </w:rPr>
        <w:t xml:space="preserve"> </w:t>
      </w:r>
      <w:hyperlink r:id="rId11" w:history="1">
        <w:r w:rsidR="00CD72FB" w:rsidRPr="00E140EC">
          <w:rPr>
            <w:rStyle w:val="Hyperlink"/>
            <w:sz w:val="26"/>
            <w:szCs w:val="26"/>
          </w:rPr>
          <w:t>jmcclintoc@pa.gov</w:t>
        </w:r>
      </w:hyperlink>
      <w:r w:rsidR="00CD72FB">
        <w:rPr>
          <w:sz w:val="26"/>
          <w:szCs w:val="26"/>
        </w:rPr>
        <w:t xml:space="preserve"> or </w:t>
      </w:r>
      <w:r w:rsidR="00F06B16">
        <w:rPr>
          <w:sz w:val="26"/>
          <w:szCs w:val="26"/>
        </w:rPr>
        <w:t>Jeremy Hubert</w:t>
      </w:r>
      <w:r>
        <w:rPr>
          <w:sz w:val="26"/>
          <w:szCs w:val="26"/>
        </w:rPr>
        <w:t xml:space="preserve"> at (717) </w:t>
      </w:r>
      <w:r w:rsidR="00F06B16">
        <w:rPr>
          <w:sz w:val="26"/>
          <w:szCs w:val="26"/>
        </w:rPr>
        <w:t>214-1980</w:t>
      </w:r>
      <w:r w:rsidR="00343B72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06B16">
        <w:rPr>
          <w:sz w:val="26"/>
          <w:szCs w:val="26"/>
        </w:rPr>
        <w:t xml:space="preserve"> </w:t>
      </w:r>
      <w:hyperlink r:id="rId12" w:history="1">
        <w:r w:rsidR="00F06B16" w:rsidRPr="00E140EC">
          <w:rPr>
            <w:rStyle w:val="Hyperlink"/>
            <w:sz w:val="26"/>
            <w:szCs w:val="26"/>
          </w:rPr>
          <w:t>jehubert@pa.gov</w:t>
        </w:r>
      </w:hyperlink>
      <w:r w:rsidR="00F06B16">
        <w:rPr>
          <w:sz w:val="26"/>
          <w:szCs w:val="26"/>
        </w:rPr>
        <w:t xml:space="preserve">. </w:t>
      </w:r>
    </w:p>
    <w:p w14:paraId="1262BB33" w14:textId="77777777" w:rsidR="009926A4" w:rsidRDefault="009926A4" w:rsidP="00EB6F1D">
      <w:pPr>
        <w:ind w:firstLine="4320"/>
        <w:rPr>
          <w:sz w:val="26"/>
          <w:szCs w:val="26"/>
        </w:rPr>
      </w:pPr>
    </w:p>
    <w:p w14:paraId="70B43E15" w14:textId="77777777" w:rsidR="00F06B16" w:rsidRDefault="00F06B16" w:rsidP="00F06B16">
      <w:pPr>
        <w:ind w:left="1440" w:firstLine="2880"/>
        <w:rPr>
          <w:sz w:val="26"/>
          <w:szCs w:val="26"/>
        </w:rPr>
      </w:pPr>
    </w:p>
    <w:p w14:paraId="4DBEB26D" w14:textId="77777777" w:rsidR="00F06B16" w:rsidRDefault="00F06B16" w:rsidP="00F06B16">
      <w:pPr>
        <w:ind w:left="1440" w:firstLine="2880"/>
        <w:rPr>
          <w:sz w:val="26"/>
          <w:szCs w:val="26"/>
        </w:rPr>
      </w:pPr>
    </w:p>
    <w:p w14:paraId="27CFD0BF" w14:textId="2A935528" w:rsidR="00F06B16" w:rsidRDefault="002B1EF9" w:rsidP="00F06B16">
      <w:pPr>
        <w:ind w:left="1440" w:firstLine="2880"/>
        <w:rPr>
          <w:sz w:val="26"/>
          <w:szCs w:val="26"/>
        </w:rPr>
      </w:pPr>
      <w:bookmarkStart w:id="3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2D5D6FD" wp14:editId="61926445">
            <wp:simplePos x="0" y="0"/>
            <wp:positionH relativeFrom="column">
              <wp:posOffset>3790950</wp:posOffset>
            </wp:positionH>
            <wp:positionV relativeFrom="paragraph">
              <wp:posOffset>140970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14:paraId="6A87FE5C" w14:textId="13F89732" w:rsidR="003A072B" w:rsidRPr="0008045A" w:rsidRDefault="003A072B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Very truly yours,</w:t>
      </w:r>
    </w:p>
    <w:p w14:paraId="7E35FA7E" w14:textId="77777777" w:rsidR="003A072B" w:rsidRPr="0008045A" w:rsidRDefault="003A072B" w:rsidP="00E528E4">
      <w:pPr>
        <w:rPr>
          <w:sz w:val="26"/>
          <w:szCs w:val="26"/>
        </w:rPr>
      </w:pPr>
    </w:p>
    <w:p w14:paraId="77D7A343" w14:textId="0889D3E9" w:rsidR="00D12C93" w:rsidRPr="0008045A" w:rsidRDefault="00D12C93" w:rsidP="00E528E4">
      <w:pPr>
        <w:rPr>
          <w:sz w:val="26"/>
          <w:szCs w:val="26"/>
        </w:rPr>
      </w:pPr>
    </w:p>
    <w:p w14:paraId="269F4C55" w14:textId="77777777" w:rsidR="003A072B" w:rsidRPr="0008045A" w:rsidRDefault="003A072B" w:rsidP="00E528E4">
      <w:pPr>
        <w:rPr>
          <w:sz w:val="26"/>
          <w:szCs w:val="26"/>
        </w:rPr>
      </w:pPr>
    </w:p>
    <w:p w14:paraId="4840309F" w14:textId="77777777"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61961223" w14:textId="77777777"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BE99D" w14:textId="77777777" w:rsidR="00311CF3" w:rsidRDefault="00311CF3">
      <w:r>
        <w:separator/>
      </w:r>
    </w:p>
  </w:endnote>
  <w:endnote w:type="continuationSeparator" w:id="0">
    <w:p w14:paraId="64011A03" w14:textId="77777777" w:rsidR="00311CF3" w:rsidRDefault="00311CF3">
      <w:r>
        <w:continuationSeparator/>
      </w:r>
    </w:p>
  </w:endnote>
  <w:endnote w:type="continuationNotice" w:id="1">
    <w:p w14:paraId="23F4DB48" w14:textId="77777777" w:rsidR="00311CF3" w:rsidRDefault="00311C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E9B66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DDE63" w14:textId="77777777" w:rsidR="00311CF3" w:rsidRDefault="00311CF3">
      <w:r>
        <w:separator/>
      </w:r>
    </w:p>
  </w:footnote>
  <w:footnote w:type="continuationSeparator" w:id="0">
    <w:p w14:paraId="11E62092" w14:textId="77777777" w:rsidR="00311CF3" w:rsidRDefault="00311CF3">
      <w:r>
        <w:continuationSeparator/>
      </w:r>
    </w:p>
  </w:footnote>
  <w:footnote w:type="continuationNotice" w:id="1">
    <w:p w14:paraId="6B7BE32F" w14:textId="77777777" w:rsidR="00311CF3" w:rsidRDefault="00311C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45972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B0A6A"/>
    <w:rsid w:val="002B1EF9"/>
    <w:rsid w:val="002D695B"/>
    <w:rsid w:val="002E28AA"/>
    <w:rsid w:val="00311CF3"/>
    <w:rsid w:val="003267D4"/>
    <w:rsid w:val="003364D5"/>
    <w:rsid w:val="0033738E"/>
    <w:rsid w:val="0034399B"/>
    <w:rsid w:val="00343B72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D2057"/>
    <w:rsid w:val="003E3BF1"/>
    <w:rsid w:val="00411822"/>
    <w:rsid w:val="004131E7"/>
    <w:rsid w:val="00430047"/>
    <w:rsid w:val="00430574"/>
    <w:rsid w:val="00437851"/>
    <w:rsid w:val="004446DC"/>
    <w:rsid w:val="00466663"/>
    <w:rsid w:val="004954D1"/>
    <w:rsid w:val="004A44BC"/>
    <w:rsid w:val="004D1180"/>
    <w:rsid w:val="004E1206"/>
    <w:rsid w:val="004E7F64"/>
    <w:rsid w:val="00501CC5"/>
    <w:rsid w:val="00507EE1"/>
    <w:rsid w:val="00514B10"/>
    <w:rsid w:val="005336D6"/>
    <w:rsid w:val="00545234"/>
    <w:rsid w:val="00546357"/>
    <w:rsid w:val="00547B7C"/>
    <w:rsid w:val="005A11FD"/>
    <w:rsid w:val="005A37A2"/>
    <w:rsid w:val="005A382E"/>
    <w:rsid w:val="005B5AA7"/>
    <w:rsid w:val="005B7F53"/>
    <w:rsid w:val="005E25C5"/>
    <w:rsid w:val="0060010C"/>
    <w:rsid w:val="00601B8D"/>
    <w:rsid w:val="00611D18"/>
    <w:rsid w:val="006266EC"/>
    <w:rsid w:val="0062751C"/>
    <w:rsid w:val="006344A7"/>
    <w:rsid w:val="00636D03"/>
    <w:rsid w:val="006430DB"/>
    <w:rsid w:val="006465FA"/>
    <w:rsid w:val="006755C0"/>
    <w:rsid w:val="00675C8E"/>
    <w:rsid w:val="006766D6"/>
    <w:rsid w:val="00683D7A"/>
    <w:rsid w:val="006A1B5E"/>
    <w:rsid w:val="006B0DE7"/>
    <w:rsid w:val="006B6701"/>
    <w:rsid w:val="006C33BC"/>
    <w:rsid w:val="006C5F3C"/>
    <w:rsid w:val="006D0288"/>
    <w:rsid w:val="006D2C48"/>
    <w:rsid w:val="006D3665"/>
    <w:rsid w:val="006F6031"/>
    <w:rsid w:val="007049E8"/>
    <w:rsid w:val="00706FBE"/>
    <w:rsid w:val="0071398D"/>
    <w:rsid w:val="00720E32"/>
    <w:rsid w:val="00726821"/>
    <w:rsid w:val="0074135B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D0B2A"/>
    <w:rsid w:val="007D1483"/>
    <w:rsid w:val="007D663A"/>
    <w:rsid w:val="00807300"/>
    <w:rsid w:val="0082172C"/>
    <w:rsid w:val="00827532"/>
    <w:rsid w:val="00841F64"/>
    <w:rsid w:val="00850F1D"/>
    <w:rsid w:val="00885E81"/>
    <w:rsid w:val="00887C03"/>
    <w:rsid w:val="0089411B"/>
    <w:rsid w:val="00895AF3"/>
    <w:rsid w:val="008A5EE3"/>
    <w:rsid w:val="008B7B06"/>
    <w:rsid w:val="008C645A"/>
    <w:rsid w:val="008D060A"/>
    <w:rsid w:val="008D13AA"/>
    <w:rsid w:val="008D17D5"/>
    <w:rsid w:val="008E2BC0"/>
    <w:rsid w:val="00905B9F"/>
    <w:rsid w:val="00914D71"/>
    <w:rsid w:val="0092706C"/>
    <w:rsid w:val="009520ED"/>
    <w:rsid w:val="00983A4D"/>
    <w:rsid w:val="009926A4"/>
    <w:rsid w:val="00995867"/>
    <w:rsid w:val="009A090F"/>
    <w:rsid w:val="009F5F66"/>
    <w:rsid w:val="009F723A"/>
    <w:rsid w:val="00A16BD8"/>
    <w:rsid w:val="00A2061F"/>
    <w:rsid w:val="00A2236A"/>
    <w:rsid w:val="00A27815"/>
    <w:rsid w:val="00A4617F"/>
    <w:rsid w:val="00A52C46"/>
    <w:rsid w:val="00A66CAF"/>
    <w:rsid w:val="00AA618A"/>
    <w:rsid w:val="00AC15FD"/>
    <w:rsid w:val="00AD24C2"/>
    <w:rsid w:val="00AD6536"/>
    <w:rsid w:val="00AE5D9C"/>
    <w:rsid w:val="00AE6F0B"/>
    <w:rsid w:val="00B22E7C"/>
    <w:rsid w:val="00B3131B"/>
    <w:rsid w:val="00B54C9E"/>
    <w:rsid w:val="00B566F4"/>
    <w:rsid w:val="00B739DA"/>
    <w:rsid w:val="00B95FEF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74A51"/>
    <w:rsid w:val="00C80E60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7649"/>
    <w:rsid w:val="00D26C3C"/>
    <w:rsid w:val="00D3099A"/>
    <w:rsid w:val="00D331A4"/>
    <w:rsid w:val="00D62DCF"/>
    <w:rsid w:val="00DB2119"/>
    <w:rsid w:val="00DB6D5A"/>
    <w:rsid w:val="00DE4157"/>
    <w:rsid w:val="00DF2C6D"/>
    <w:rsid w:val="00E06CDF"/>
    <w:rsid w:val="00E127D7"/>
    <w:rsid w:val="00E1298F"/>
    <w:rsid w:val="00E146BB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7F23"/>
    <w:rsid w:val="00E90D5D"/>
    <w:rsid w:val="00E928F1"/>
    <w:rsid w:val="00E94D86"/>
    <w:rsid w:val="00EB13E4"/>
    <w:rsid w:val="00EB6F1D"/>
    <w:rsid w:val="00EC7F84"/>
    <w:rsid w:val="00ED4C3B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4CDA63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ehubert@pa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lintoc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BBBE8-4306-4DD9-9F56-1179ADFB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2947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Farner, Joyce</cp:lastModifiedBy>
  <cp:revision>2</cp:revision>
  <cp:lastPrinted>2018-03-26T18:08:00Z</cp:lastPrinted>
  <dcterms:created xsi:type="dcterms:W3CDTF">2018-03-26T18:08:00Z</dcterms:created>
  <dcterms:modified xsi:type="dcterms:W3CDTF">2018-03-26T18:08:00Z</dcterms:modified>
</cp:coreProperties>
</file>