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873B3" w14:textId="77777777" w:rsidR="000A71CD" w:rsidRPr="002A5D4B" w:rsidRDefault="000A71CD" w:rsidP="000A71CD">
      <w:pPr>
        <w:spacing w:line="240" w:lineRule="auto"/>
        <w:ind w:firstLine="0"/>
        <w:rPr>
          <w:b/>
          <w:sz w:val="26"/>
          <w:szCs w:val="26"/>
        </w:rPr>
      </w:pPr>
      <w:r w:rsidRPr="002A5D4B">
        <w:rPr>
          <w:b/>
          <w:sz w:val="26"/>
          <w:szCs w:val="26"/>
        </w:rPr>
        <w:t>PENNSYLVANIA</w:t>
      </w:r>
    </w:p>
    <w:p w14:paraId="28BB98F5" w14:textId="77777777" w:rsidR="000A71CD" w:rsidRPr="002A5D4B" w:rsidRDefault="000A71CD" w:rsidP="000A71CD">
      <w:pPr>
        <w:spacing w:line="240" w:lineRule="auto"/>
        <w:ind w:firstLine="0"/>
        <w:rPr>
          <w:b/>
          <w:sz w:val="26"/>
          <w:szCs w:val="26"/>
        </w:rPr>
      </w:pPr>
      <w:r w:rsidRPr="002A5D4B">
        <w:rPr>
          <w:b/>
          <w:sz w:val="26"/>
          <w:szCs w:val="26"/>
        </w:rPr>
        <w:t>PUBLIC UTILITY COMMISSION</w:t>
      </w:r>
    </w:p>
    <w:p w14:paraId="3FE7BD74" w14:textId="77777777" w:rsidR="000A71CD" w:rsidRDefault="000A71CD" w:rsidP="000A71CD">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385BEBCD" w14:textId="77777777" w:rsidR="000A71CD" w:rsidRPr="00BA66A4" w:rsidRDefault="000A71CD" w:rsidP="000A71CD">
      <w:pPr>
        <w:spacing w:line="240" w:lineRule="auto"/>
        <w:ind w:firstLine="0"/>
        <w:jc w:val="left"/>
        <w:rPr>
          <w:sz w:val="26"/>
          <w:szCs w:val="26"/>
        </w:rPr>
      </w:pPr>
    </w:p>
    <w:p w14:paraId="3971D716" w14:textId="77777777" w:rsidR="000A71CD" w:rsidRPr="002A5D4B" w:rsidRDefault="000A71CD" w:rsidP="000A71CD">
      <w:pPr>
        <w:ind w:firstLine="0"/>
        <w:jc w:val="right"/>
        <w:rPr>
          <w:sz w:val="26"/>
          <w:szCs w:val="26"/>
        </w:rPr>
      </w:pPr>
      <w:r>
        <w:rPr>
          <w:sz w:val="26"/>
          <w:szCs w:val="26"/>
        </w:rPr>
        <w:t>P</w:t>
      </w:r>
      <w:r w:rsidRPr="002A5D4B">
        <w:rPr>
          <w:sz w:val="26"/>
          <w:szCs w:val="26"/>
        </w:rPr>
        <w:t xml:space="preserve">ublic Meeting held </w:t>
      </w:r>
      <w:r>
        <w:rPr>
          <w:sz w:val="26"/>
          <w:szCs w:val="26"/>
        </w:rPr>
        <w:t>March 1,</w:t>
      </w:r>
      <w:r w:rsidRPr="00B01CA9">
        <w:rPr>
          <w:kern w:val="1"/>
          <w:sz w:val="26"/>
          <w:szCs w:val="26"/>
        </w:rPr>
        <w:t xml:space="preserve"> 20</w:t>
      </w:r>
      <w:r>
        <w:rPr>
          <w:kern w:val="1"/>
          <w:sz w:val="26"/>
          <w:szCs w:val="26"/>
        </w:rPr>
        <w:t>18</w:t>
      </w:r>
    </w:p>
    <w:p w14:paraId="5F5548FF" w14:textId="77777777" w:rsidR="000A71CD" w:rsidRPr="002A5D4B" w:rsidRDefault="000A71CD" w:rsidP="000A71CD">
      <w:pPr>
        <w:spacing w:line="240" w:lineRule="auto"/>
        <w:ind w:firstLine="0"/>
        <w:jc w:val="left"/>
        <w:rPr>
          <w:sz w:val="26"/>
          <w:szCs w:val="26"/>
        </w:rPr>
      </w:pPr>
    </w:p>
    <w:p w14:paraId="65DE4EF4" w14:textId="77777777" w:rsidR="000A71CD" w:rsidRPr="002A5D4B" w:rsidRDefault="000A71CD" w:rsidP="000A71CD">
      <w:pPr>
        <w:spacing w:line="240" w:lineRule="auto"/>
        <w:ind w:firstLine="0"/>
        <w:jc w:val="left"/>
        <w:rPr>
          <w:sz w:val="26"/>
          <w:szCs w:val="26"/>
        </w:rPr>
      </w:pPr>
      <w:r w:rsidRPr="002A5D4B">
        <w:rPr>
          <w:sz w:val="26"/>
          <w:szCs w:val="26"/>
        </w:rPr>
        <w:t>Commissioners Present:</w:t>
      </w:r>
    </w:p>
    <w:p w14:paraId="1C87CB32" w14:textId="77777777" w:rsidR="000A71CD" w:rsidRPr="002A5D4B" w:rsidRDefault="000A71CD" w:rsidP="000A71CD">
      <w:pPr>
        <w:spacing w:line="240" w:lineRule="auto"/>
        <w:ind w:firstLine="0"/>
        <w:jc w:val="left"/>
        <w:rPr>
          <w:sz w:val="26"/>
          <w:szCs w:val="26"/>
        </w:rPr>
      </w:pPr>
    </w:p>
    <w:p w14:paraId="208B0DDD" w14:textId="77777777" w:rsidR="000A71CD" w:rsidRPr="002A5D4B" w:rsidRDefault="000A71CD" w:rsidP="000A71CD">
      <w:pPr>
        <w:spacing w:line="240" w:lineRule="auto"/>
        <w:ind w:firstLine="0"/>
        <w:jc w:val="left"/>
        <w:rPr>
          <w:sz w:val="26"/>
          <w:szCs w:val="26"/>
        </w:rPr>
      </w:pPr>
      <w:r>
        <w:rPr>
          <w:sz w:val="26"/>
          <w:szCs w:val="26"/>
        </w:rPr>
        <w:tab/>
        <w:t>Gladys M. Brown</w:t>
      </w:r>
      <w:r w:rsidRPr="002A5D4B">
        <w:rPr>
          <w:sz w:val="26"/>
          <w:szCs w:val="26"/>
        </w:rPr>
        <w:t>, Chairman</w:t>
      </w:r>
    </w:p>
    <w:p w14:paraId="119FA2D1" w14:textId="77777777" w:rsidR="000A71CD" w:rsidRDefault="000A71CD" w:rsidP="000A71CD">
      <w:pPr>
        <w:spacing w:line="240" w:lineRule="auto"/>
        <w:ind w:firstLine="0"/>
        <w:jc w:val="left"/>
        <w:rPr>
          <w:sz w:val="26"/>
          <w:szCs w:val="26"/>
        </w:rPr>
      </w:pPr>
      <w:r>
        <w:rPr>
          <w:sz w:val="26"/>
          <w:szCs w:val="26"/>
        </w:rPr>
        <w:tab/>
        <w:t>Andrew G. Place</w:t>
      </w:r>
      <w:r w:rsidRPr="002A5D4B">
        <w:rPr>
          <w:sz w:val="26"/>
          <w:szCs w:val="26"/>
        </w:rPr>
        <w:t>, Vice Chairman</w:t>
      </w:r>
    </w:p>
    <w:p w14:paraId="3435E300" w14:textId="71455EA0" w:rsidR="000A71CD" w:rsidRDefault="000A71CD" w:rsidP="000A71CD">
      <w:pPr>
        <w:spacing w:line="240" w:lineRule="auto"/>
        <w:ind w:firstLine="0"/>
        <w:jc w:val="left"/>
        <w:rPr>
          <w:sz w:val="26"/>
          <w:szCs w:val="26"/>
        </w:rPr>
      </w:pPr>
      <w:r>
        <w:rPr>
          <w:sz w:val="26"/>
          <w:szCs w:val="26"/>
        </w:rPr>
        <w:tab/>
        <w:t>Norman J. Kennard</w:t>
      </w:r>
    </w:p>
    <w:p w14:paraId="12523DE3" w14:textId="64EF4D1E" w:rsidR="000A71CD" w:rsidRDefault="004548B5" w:rsidP="004548B5">
      <w:pPr>
        <w:spacing w:line="240" w:lineRule="auto"/>
        <w:ind w:firstLine="0"/>
        <w:jc w:val="left"/>
        <w:rPr>
          <w:sz w:val="26"/>
          <w:szCs w:val="26"/>
        </w:rPr>
      </w:pPr>
      <w:r>
        <w:rPr>
          <w:sz w:val="26"/>
          <w:szCs w:val="26"/>
        </w:rPr>
        <w:tab/>
      </w:r>
      <w:r w:rsidR="000A71CD">
        <w:rPr>
          <w:sz w:val="26"/>
          <w:szCs w:val="26"/>
        </w:rPr>
        <w:t>David W. Sweet</w:t>
      </w:r>
    </w:p>
    <w:p w14:paraId="781CDA7E" w14:textId="2DFF8544" w:rsidR="000A71CD" w:rsidRPr="002A5D4B" w:rsidRDefault="004548B5" w:rsidP="004548B5">
      <w:pPr>
        <w:spacing w:line="240" w:lineRule="auto"/>
        <w:ind w:firstLine="0"/>
        <w:jc w:val="left"/>
        <w:rPr>
          <w:sz w:val="26"/>
          <w:szCs w:val="26"/>
        </w:rPr>
      </w:pPr>
      <w:r>
        <w:rPr>
          <w:sz w:val="26"/>
          <w:szCs w:val="26"/>
        </w:rPr>
        <w:tab/>
      </w:r>
      <w:r w:rsidR="000A71CD">
        <w:rPr>
          <w:sz w:val="26"/>
          <w:szCs w:val="26"/>
        </w:rPr>
        <w:t>John F. Coleman, Jr.</w:t>
      </w:r>
    </w:p>
    <w:p w14:paraId="05F71A59" w14:textId="28B4386F" w:rsidR="000A71CD" w:rsidRPr="002A5D4B" w:rsidRDefault="000A71CD" w:rsidP="000A71CD">
      <w:pPr>
        <w:spacing w:line="240" w:lineRule="auto"/>
        <w:ind w:firstLine="0"/>
        <w:jc w:val="left"/>
        <w:rPr>
          <w:sz w:val="26"/>
          <w:szCs w:val="26"/>
        </w:rPr>
      </w:pPr>
    </w:p>
    <w:p w14:paraId="73BA847F" w14:textId="77777777" w:rsidR="000A71CD" w:rsidRPr="007F73BF" w:rsidRDefault="000A71CD" w:rsidP="000A71CD">
      <w:pPr>
        <w:spacing w:line="240" w:lineRule="auto"/>
        <w:ind w:firstLine="0"/>
        <w:rPr>
          <w:sz w:val="26"/>
          <w:szCs w:val="26"/>
        </w:rPr>
      </w:pPr>
    </w:p>
    <w:p w14:paraId="5579F6DE" w14:textId="77777777" w:rsidR="000A71CD" w:rsidRPr="007F73BF" w:rsidRDefault="000A71CD" w:rsidP="000A71CD">
      <w:pPr>
        <w:spacing w:line="240" w:lineRule="auto"/>
        <w:ind w:firstLine="0"/>
        <w:rPr>
          <w:sz w:val="26"/>
          <w:szCs w:val="26"/>
        </w:rPr>
      </w:pPr>
    </w:p>
    <w:p w14:paraId="430090DE" w14:textId="77777777" w:rsidR="000A71CD" w:rsidRDefault="000A71CD" w:rsidP="000A71CD">
      <w:pPr>
        <w:tabs>
          <w:tab w:val="left" w:pos="-720"/>
          <w:tab w:val="left" w:pos="0"/>
        </w:tabs>
        <w:suppressAutoHyphens/>
        <w:spacing w:line="240" w:lineRule="auto"/>
        <w:ind w:firstLine="0"/>
        <w:jc w:val="left"/>
        <w:rPr>
          <w:sz w:val="26"/>
          <w:szCs w:val="26"/>
        </w:rPr>
      </w:pPr>
      <w:r>
        <w:rPr>
          <w:sz w:val="26"/>
          <w:szCs w:val="26"/>
        </w:rPr>
        <w:t>Lesl</w:t>
      </w:r>
      <w:r w:rsidR="00B6101E">
        <w:rPr>
          <w:sz w:val="26"/>
          <w:szCs w:val="26"/>
        </w:rPr>
        <w:t>ey</w:t>
      </w:r>
      <w:r>
        <w:rPr>
          <w:sz w:val="26"/>
          <w:szCs w:val="26"/>
        </w:rPr>
        <w:t xml:space="preserve"> </w:t>
      </w:r>
      <w:r w:rsidR="00B6101E">
        <w:rPr>
          <w:sz w:val="26"/>
          <w:szCs w:val="26"/>
        </w:rPr>
        <w:t>A</w:t>
      </w:r>
      <w:r>
        <w:rPr>
          <w:sz w:val="26"/>
          <w:szCs w:val="26"/>
        </w:rPr>
        <w:t xml:space="preserve">. </w:t>
      </w:r>
      <w:proofErr w:type="spellStart"/>
      <w:r>
        <w:rPr>
          <w:sz w:val="26"/>
          <w:szCs w:val="26"/>
        </w:rPr>
        <w:t>Sche</w:t>
      </w:r>
      <w:r w:rsidR="00702D8B">
        <w:rPr>
          <w:sz w:val="26"/>
          <w:szCs w:val="26"/>
        </w:rPr>
        <w:t>a</w:t>
      </w:r>
      <w:r>
        <w:rPr>
          <w:sz w:val="26"/>
          <w:szCs w:val="26"/>
        </w:rPr>
        <w:t>ffer</w:t>
      </w:r>
      <w:proofErr w:type="spellEnd"/>
      <w:r w:rsidR="00B6101E">
        <w:rPr>
          <w:sz w:val="26"/>
          <w:szCs w:val="26"/>
        </w:rPr>
        <w:t xml:space="preserve"> for</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6101E">
        <w:rPr>
          <w:sz w:val="26"/>
          <w:szCs w:val="26"/>
        </w:rPr>
        <w:t xml:space="preserve">      </w:t>
      </w:r>
      <w:r>
        <w:rPr>
          <w:sz w:val="26"/>
          <w:szCs w:val="26"/>
        </w:rPr>
        <w:t>F-2016-2577647</w:t>
      </w:r>
    </w:p>
    <w:p w14:paraId="07C275E9" w14:textId="77777777" w:rsidR="000A71CD" w:rsidRDefault="00B6101E" w:rsidP="000A71CD">
      <w:pPr>
        <w:tabs>
          <w:tab w:val="left" w:pos="-720"/>
          <w:tab w:val="left" w:pos="0"/>
        </w:tabs>
        <w:suppressAutoHyphens/>
        <w:spacing w:line="240" w:lineRule="auto"/>
        <w:ind w:firstLine="0"/>
        <w:jc w:val="left"/>
        <w:rPr>
          <w:sz w:val="26"/>
          <w:szCs w:val="26"/>
        </w:rPr>
      </w:pPr>
      <w:r>
        <w:rPr>
          <w:sz w:val="26"/>
          <w:szCs w:val="26"/>
        </w:rPr>
        <w:t xml:space="preserve">Leslie W. </w:t>
      </w:r>
      <w:proofErr w:type="spellStart"/>
      <w:r>
        <w:rPr>
          <w:sz w:val="26"/>
          <w:szCs w:val="26"/>
        </w:rPr>
        <w:t>Scheaffer</w:t>
      </w:r>
      <w:proofErr w:type="spellEnd"/>
    </w:p>
    <w:p w14:paraId="4A321647" w14:textId="77777777" w:rsidR="00B6101E" w:rsidRPr="00B6101E" w:rsidRDefault="00B6101E" w:rsidP="000A71CD">
      <w:pPr>
        <w:tabs>
          <w:tab w:val="left" w:pos="-720"/>
          <w:tab w:val="left" w:pos="0"/>
        </w:tabs>
        <w:suppressAutoHyphens/>
        <w:spacing w:line="240" w:lineRule="auto"/>
        <w:ind w:firstLine="0"/>
        <w:jc w:val="left"/>
        <w:rPr>
          <w:sz w:val="26"/>
          <w:szCs w:val="26"/>
        </w:rPr>
      </w:pPr>
    </w:p>
    <w:p w14:paraId="7E8D8931" w14:textId="77777777" w:rsidR="000A71CD" w:rsidRDefault="000A71CD" w:rsidP="000A71CD">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16D5101E" w14:textId="77777777" w:rsidR="000A71CD" w:rsidRDefault="000A71CD" w:rsidP="000A71CD">
      <w:pPr>
        <w:tabs>
          <w:tab w:val="left" w:pos="-720"/>
          <w:tab w:val="left" w:pos="0"/>
        </w:tabs>
        <w:suppressAutoHyphens/>
        <w:spacing w:line="240" w:lineRule="auto"/>
        <w:ind w:firstLine="0"/>
        <w:jc w:val="left"/>
        <w:rPr>
          <w:sz w:val="26"/>
          <w:szCs w:val="26"/>
        </w:rPr>
      </w:pPr>
    </w:p>
    <w:p w14:paraId="06D8175C" w14:textId="77777777" w:rsidR="000A71CD" w:rsidRDefault="000A71CD" w:rsidP="000A71CD">
      <w:pPr>
        <w:tabs>
          <w:tab w:val="left" w:pos="-720"/>
          <w:tab w:val="left" w:pos="0"/>
        </w:tabs>
        <w:suppressAutoHyphens/>
        <w:spacing w:line="240" w:lineRule="auto"/>
        <w:ind w:firstLine="0"/>
        <w:jc w:val="left"/>
        <w:rPr>
          <w:sz w:val="26"/>
          <w:szCs w:val="26"/>
        </w:rPr>
      </w:pPr>
      <w:r>
        <w:rPr>
          <w:sz w:val="26"/>
          <w:szCs w:val="26"/>
        </w:rPr>
        <w:t>PPL Electric Utilities Corporation</w:t>
      </w:r>
    </w:p>
    <w:p w14:paraId="2B04CA56" w14:textId="77777777" w:rsidR="000A71CD" w:rsidRPr="001E0694" w:rsidRDefault="000A71CD" w:rsidP="000A71CD">
      <w:pPr>
        <w:tabs>
          <w:tab w:val="left" w:pos="-720"/>
          <w:tab w:val="left" w:pos="0"/>
        </w:tabs>
        <w:suppressAutoHyphens/>
        <w:spacing w:line="240" w:lineRule="auto"/>
        <w:ind w:firstLine="0"/>
        <w:jc w:val="left"/>
        <w:rPr>
          <w:sz w:val="26"/>
          <w:szCs w:val="26"/>
        </w:rPr>
      </w:pPr>
    </w:p>
    <w:p w14:paraId="71D31BA2" w14:textId="77777777" w:rsidR="000A71CD" w:rsidRDefault="000A71CD" w:rsidP="000A71CD">
      <w:pPr>
        <w:tabs>
          <w:tab w:val="left" w:pos="-720"/>
        </w:tabs>
        <w:suppressAutoHyphens/>
        <w:ind w:firstLine="0"/>
        <w:jc w:val="left"/>
        <w:rPr>
          <w:sz w:val="26"/>
        </w:rPr>
      </w:pPr>
    </w:p>
    <w:p w14:paraId="4AD80040" w14:textId="77777777" w:rsidR="000A71CD" w:rsidRDefault="000A71CD" w:rsidP="000A71CD">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5B8E6E64" w14:textId="77777777" w:rsidR="000A71CD" w:rsidRDefault="000A71CD" w:rsidP="000A71CD">
      <w:pPr>
        <w:suppressAutoHyphens/>
        <w:ind w:firstLine="0"/>
        <w:rPr>
          <w:b/>
          <w:sz w:val="26"/>
          <w:szCs w:val="26"/>
        </w:rPr>
      </w:pPr>
    </w:p>
    <w:p w14:paraId="022DD5B0" w14:textId="77777777" w:rsidR="000A71CD" w:rsidRDefault="000A71CD" w:rsidP="000A71CD">
      <w:pPr>
        <w:tabs>
          <w:tab w:val="left" w:pos="-720"/>
        </w:tabs>
        <w:suppressAutoHyphens/>
        <w:ind w:firstLine="0"/>
        <w:jc w:val="left"/>
        <w:rPr>
          <w:sz w:val="26"/>
        </w:rPr>
      </w:pPr>
      <w:r w:rsidRPr="00624B80">
        <w:rPr>
          <w:b/>
          <w:sz w:val="26"/>
        </w:rPr>
        <w:t>BY THE COMMISSION:</w:t>
      </w:r>
    </w:p>
    <w:p w14:paraId="336B6EDF" w14:textId="77777777" w:rsidR="000A71CD" w:rsidRDefault="000A71CD" w:rsidP="000A71CD">
      <w:pPr>
        <w:ind w:firstLine="0"/>
        <w:jc w:val="left"/>
        <w:rPr>
          <w:sz w:val="26"/>
          <w:szCs w:val="26"/>
        </w:rPr>
      </w:pPr>
    </w:p>
    <w:p w14:paraId="3B8921C1" w14:textId="5F0782DD" w:rsidR="000A71CD" w:rsidRDefault="000A71CD" w:rsidP="00B6101E">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are the Exceptions of Leslie W. </w:t>
      </w:r>
      <w:proofErr w:type="spellStart"/>
      <w:r>
        <w:rPr>
          <w:sz w:val="26"/>
          <w:szCs w:val="26"/>
        </w:rPr>
        <w:t>Sche</w:t>
      </w:r>
      <w:r w:rsidR="00D85E1B">
        <w:rPr>
          <w:sz w:val="26"/>
          <w:szCs w:val="26"/>
        </w:rPr>
        <w:t>a</w:t>
      </w:r>
      <w:r>
        <w:rPr>
          <w:sz w:val="26"/>
          <w:szCs w:val="26"/>
        </w:rPr>
        <w:t>ffer</w:t>
      </w:r>
      <w:proofErr w:type="spellEnd"/>
      <w:r>
        <w:rPr>
          <w:sz w:val="26"/>
          <w:szCs w:val="26"/>
        </w:rPr>
        <w:t xml:space="preserve"> (Complainant)</w:t>
      </w:r>
      <w:r w:rsidR="005F1F54" w:rsidRPr="005F1F54">
        <w:rPr>
          <w:rStyle w:val="FootnoteReference"/>
          <w:sz w:val="26"/>
          <w:szCs w:val="26"/>
        </w:rPr>
        <w:t xml:space="preserve"> </w:t>
      </w:r>
      <w:r w:rsidR="005F1F54">
        <w:rPr>
          <w:rStyle w:val="FootnoteReference"/>
          <w:sz w:val="26"/>
          <w:szCs w:val="26"/>
        </w:rPr>
        <w:footnoteReference w:id="1"/>
      </w:r>
      <w:r w:rsidR="005F1F54">
        <w:rPr>
          <w:sz w:val="26"/>
          <w:szCs w:val="26"/>
        </w:rPr>
        <w:t xml:space="preserve"> </w:t>
      </w:r>
      <w:r>
        <w:rPr>
          <w:sz w:val="26"/>
          <w:szCs w:val="26"/>
        </w:rPr>
        <w:t xml:space="preserve"> filed on June 23, 2017, to the Initial Decision (I.D.) of Administrative Law Judge (ALJ) </w:t>
      </w:r>
      <w:r>
        <w:rPr>
          <w:sz w:val="26"/>
          <w:szCs w:val="26"/>
        </w:rPr>
        <w:lastRenderedPageBreak/>
        <w:t>Benjamin J. Myers, issued on June 6, 2017, relative to the above-captioned proceeding.</w:t>
      </w:r>
      <w:r w:rsidR="003B34D6">
        <w:rPr>
          <w:rStyle w:val="FootnoteReference"/>
          <w:sz w:val="26"/>
          <w:szCs w:val="26"/>
        </w:rPr>
        <w:footnoteReference w:id="2"/>
      </w:r>
      <w:r>
        <w:rPr>
          <w:sz w:val="26"/>
          <w:szCs w:val="26"/>
        </w:rPr>
        <w:t xml:space="preserve"> On July 6, 2017, PPL Electric Utilities Corporation (PPL or the Company) filed Replies to Exceptions.  For the reasons stated below, we shall </w:t>
      </w:r>
      <w:r w:rsidR="00605401">
        <w:rPr>
          <w:sz w:val="26"/>
          <w:szCs w:val="26"/>
        </w:rPr>
        <w:t xml:space="preserve">decline to consider </w:t>
      </w:r>
      <w:r w:rsidR="009C798D">
        <w:rPr>
          <w:sz w:val="26"/>
          <w:szCs w:val="26"/>
        </w:rPr>
        <w:t>the Complainant’s Exceptions</w:t>
      </w:r>
      <w:r w:rsidR="00605401">
        <w:rPr>
          <w:sz w:val="26"/>
          <w:szCs w:val="26"/>
        </w:rPr>
        <w:t>,</w:t>
      </w:r>
      <w:r w:rsidR="009C798D">
        <w:rPr>
          <w:sz w:val="26"/>
          <w:szCs w:val="26"/>
        </w:rPr>
        <w:t xml:space="preserve"> </w:t>
      </w:r>
      <w:r w:rsidR="00605401">
        <w:rPr>
          <w:sz w:val="26"/>
          <w:szCs w:val="26"/>
        </w:rPr>
        <w:t>reverse</w:t>
      </w:r>
      <w:r>
        <w:rPr>
          <w:sz w:val="26"/>
          <w:szCs w:val="26"/>
        </w:rPr>
        <w:t xml:space="preserve"> the ALJ’s Initial Decision</w:t>
      </w:r>
      <w:r w:rsidR="00605401">
        <w:rPr>
          <w:sz w:val="26"/>
          <w:szCs w:val="26"/>
        </w:rPr>
        <w:t>, and dismiss the Complaint without prejudice</w:t>
      </w:r>
      <w:r>
        <w:rPr>
          <w:sz w:val="26"/>
          <w:szCs w:val="26"/>
        </w:rPr>
        <w:t>.</w:t>
      </w:r>
    </w:p>
    <w:p w14:paraId="16E0B132" w14:textId="77777777" w:rsidR="005C5576" w:rsidRDefault="005C5576" w:rsidP="00B6101E">
      <w:pPr>
        <w:ind w:firstLine="1440"/>
        <w:jc w:val="left"/>
        <w:rPr>
          <w:sz w:val="26"/>
          <w:szCs w:val="26"/>
        </w:rPr>
      </w:pPr>
    </w:p>
    <w:p w14:paraId="44FA9AF6" w14:textId="77777777" w:rsidR="000A71CD" w:rsidRDefault="000A71CD" w:rsidP="00B6101E">
      <w:pPr>
        <w:pStyle w:val="ListParagraph"/>
        <w:ind w:left="0" w:firstLine="0"/>
        <w:rPr>
          <w:b/>
          <w:sz w:val="26"/>
          <w:szCs w:val="26"/>
        </w:rPr>
      </w:pPr>
      <w:r w:rsidRPr="00D46080">
        <w:rPr>
          <w:b/>
          <w:sz w:val="26"/>
          <w:szCs w:val="26"/>
        </w:rPr>
        <w:t>History of the Proceeding</w:t>
      </w:r>
    </w:p>
    <w:p w14:paraId="5D17BA5D" w14:textId="77777777" w:rsidR="00CD4453" w:rsidRDefault="00CD4453" w:rsidP="00CD4453">
      <w:pPr>
        <w:pStyle w:val="ListParagraph"/>
        <w:ind w:left="0" w:firstLine="0"/>
        <w:jc w:val="both"/>
        <w:rPr>
          <w:b/>
          <w:sz w:val="26"/>
          <w:szCs w:val="26"/>
        </w:rPr>
      </w:pPr>
    </w:p>
    <w:p w14:paraId="72556A4F" w14:textId="3AC87A5F" w:rsidR="00C13090" w:rsidRDefault="00CD4453" w:rsidP="00C13090">
      <w:pPr>
        <w:pStyle w:val="Default"/>
        <w:spacing w:line="360" w:lineRule="auto"/>
        <w:ind w:firstLine="1440"/>
        <w:rPr>
          <w:color w:val="auto"/>
          <w:sz w:val="26"/>
          <w:szCs w:val="26"/>
        </w:rPr>
      </w:pPr>
      <w:r w:rsidRPr="00CD4453">
        <w:rPr>
          <w:sz w:val="26"/>
          <w:szCs w:val="26"/>
        </w:rPr>
        <w:t xml:space="preserve">On November 23, 2016, Lesley A. </w:t>
      </w:r>
      <w:proofErr w:type="spellStart"/>
      <w:r w:rsidRPr="00CD4453">
        <w:rPr>
          <w:sz w:val="26"/>
          <w:szCs w:val="26"/>
        </w:rPr>
        <w:t>Scheaffer</w:t>
      </w:r>
      <w:proofErr w:type="spellEnd"/>
      <w:r w:rsidRPr="00CD4453">
        <w:rPr>
          <w:sz w:val="26"/>
          <w:szCs w:val="26"/>
        </w:rPr>
        <w:t xml:space="preserve"> </w:t>
      </w:r>
      <w:r w:rsidR="00605401">
        <w:rPr>
          <w:sz w:val="26"/>
          <w:szCs w:val="26"/>
        </w:rPr>
        <w:t xml:space="preserve">(Ms. </w:t>
      </w:r>
      <w:proofErr w:type="spellStart"/>
      <w:r w:rsidR="00605401">
        <w:rPr>
          <w:sz w:val="26"/>
          <w:szCs w:val="26"/>
        </w:rPr>
        <w:t>Scheaffer</w:t>
      </w:r>
      <w:proofErr w:type="spellEnd"/>
      <w:r w:rsidR="00605401">
        <w:rPr>
          <w:sz w:val="26"/>
          <w:szCs w:val="26"/>
        </w:rPr>
        <w:t xml:space="preserve">) </w:t>
      </w:r>
      <w:r w:rsidRPr="00CD4453">
        <w:rPr>
          <w:sz w:val="26"/>
          <w:szCs w:val="26"/>
        </w:rPr>
        <w:t xml:space="preserve">filed a </w:t>
      </w:r>
      <w:r w:rsidR="00C13090">
        <w:rPr>
          <w:sz w:val="26"/>
          <w:szCs w:val="26"/>
        </w:rPr>
        <w:t>Formal C</w:t>
      </w:r>
      <w:r w:rsidRPr="00CD4453">
        <w:rPr>
          <w:sz w:val="26"/>
          <w:szCs w:val="26"/>
        </w:rPr>
        <w:t xml:space="preserve">omplaint </w:t>
      </w:r>
      <w:r w:rsidR="00283D76">
        <w:rPr>
          <w:sz w:val="26"/>
          <w:szCs w:val="26"/>
        </w:rPr>
        <w:t xml:space="preserve">(Complaint) </w:t>
      </w:r>
      <w:r w:rsidRPr="00CD4453">
        <w:rPr>
          <w:sz w:val="26"/>
          <w:szCs w:val="26"/>
        </w:rPr>
        <w:t xml:space="preserve">on behalf of her father, Leslie W. </w:t>
      </w:r>
      <w:proofErr w:type="spellStart"/>
      <w:r w:rsidRPr="00CD4453">
        <w:rPr>
          <w:sz w:val="26"/>
          <w:szCs w:val="26"/>
        </w:rPr>
        <w:t>Scheaffer</w:t>
      </w:r>
      <w:proofErr w:type="spellEnd"/>
      <w:r w:rsidRPr="00CD4453">
        <w:rPr>
          <w:sz w:val="26"/>
          <w:szCs w:val="26"/>
        </w:rPr>
        <w:t xml:space="preserve">, with the Commission against PPL </w:t>
      </w:r>
      <w:r w:rsidR="00C13090">
        <w:rPr>
          <w:sz w:val="26"/>
          <w:szCs w:val="26"/>
        </w:rPr>
        <w:t>wherein she alleged that PPL improperly failed or refused to accept certain monthly payments over the telephone or via the Company’s online payment system.</w:t>
      </w:r>
      <w:r w:rsidR="00B90194">
        <w:rPr>
          <w:rStyle w:val="FootnoteReference"/>
          <w:sz w:val="26"/>
          <w:szCs w:val="26"/>
        </w:rPr>
        <w:footnoteReference w:id="3"/>
      </w:r>
      <w:r w:rsidRPr="00CD4453">
        <w:rPr>
          <w:sz w:val="26"/>
          <w:szCs w:val="26"/>
        </w:rPr>
        <w:t xml:space="preserve"> </w:t>
      </w:r>
      <w:r w:rsidR="00C13090">
        <w:rPr>
          <w:sz w:val="26"/>
          <w:szCs w:val="26"/>
        </w:rPr>
        <w:t xml:space="preserve"> </w:t>
      </w:r>
      <w:r w:rsidRPr="00CD4453">
        <w:rPr>
          <w:sz w:val="26"/>
          <w:szCs w:val="26"/>
        </w:rPr>
        <w:t xml:space="preserve">This </w:t>
      </w:r>
      <w:r w:rsidR="00C13090">
        <w:rPr>
          <w:sz w:val="26"/>
          <w:szCs w:val="26"/>
        </w:rPr>
        <w:t>C</w:t>
      </w:r>
      <w:r w:rsidRPr="00CD4453">
        <w:rPr>
          <w:sz w:val="26"/>
          <w:szCs w:val="26"/>
        </w:rPr>
        <w:t xml:space="preserve">omplaint </w:t>
      </w:r>
      <w:r w:rsidR="00C13090">
        <w:rPr>
          <w:sz w:val="26"/>
          <w:szCs w:val="26"/>
        </w:rPr>
        <w:t>represent</w:t>
      </w:r>
      <w:r w:rsidR="00360C13">
        <w:rPr>
          <w:sz w:val="26"/>
          <w:szCs w:val="26"/>
        </w:rPr>
        <w:t>ed</w:t>
      </w:r>
      <w:r w:rsidRPr="00CD4453">
        <w:rPr>
          <w:sz w:val="26"/>
          <w:szCs w:val="26"/>
        </w:rPr>
        <w:t xml:space="preserve"> a timely appeal of </w:t>
      </w:r>
      <w:r w:rsidR="00C13090">
        <w:rPr>
          <w:sz w:val="26"/>
          <w:szCs w:val="26"/>
        </w:rPr>
        <w:t xml:space="preserve">the </w:t>
      </w:r>
      <w:r w:rsidRPr="00CD4453">
        <w:rPr>
          <w:sz w:val="26"/>
          <w:szCs w:val="26"/>
        </w:rPr>
        <w:t xml:space="preserve">Bureau of Consumer Services (BCS) </w:t>
      </w:r>
      <w:r w:rsidR="00C13090">
        <w:rPr>
          <w:sz w:val="26"/>
          <w:szCs w:val="26"/>
        </w:rPr>
        <w:t xml:space="preserve">decision </w:t>
      </w:r>
      <w:r w:rsidRPr="00CD4453">
        <w:rPr>
          <w:sz w:val="26"/>
          <w:szCs w:val="26"/>
        </w:rPr>
        <w:t xml:space="preserve">in </w:t>
      </w:r>
      <w:r w:rsidR="00C13090">
        <w:rPr>
          <w:sz w:val="26"/>
          <w:szCs w:val="26"/>
        </w:rPr>
        <w:t>BCS case number</w:t>
      </w:r>
      <w:r w:rsidRPr="00CD4453">
        <w:rPr>
          <w:sz w:val="26"/>
          <w:szCs w:val="26"/>
        </w:rPr>
        <w:t xml:space="preserve"> 3482861. </w:t>
      </w:r>
      <w:r w:rsidR="00C13090">
        <w:rPr>
          <w:sz w:val="26"/>
          <w:szCs w:val="26"/>
        </w:rPr>
        <w:t xml:space="preserve"> As relief, the Complainant requested </w:t>
      </w:r>
      <w:r w:rsidR="00C13090" w:rsidRPr="00CD4453">
        <w:rPr>
          <w:color w:val="auto"/>
          <w:sz w:val="26"/>
          <w:szCs w:val="26"/>
        </w:rPr>
        <w:t>that the outstanding account balance be considered paid in full and the account be considered current.</w:t>
      </w:r>
    </w:p>
    <w:p w14:paraId="51DC4173" w14:textId="77777777" w:rsidR="00C13090" w:rsidRPr="00CD4453" w:rsidRDefault="00C13090" w:rsidP="00C13090">
      <w:pPr>
        <w:pStyle w:val="Default"/>
        <w:spacing w:line="360" w:lineRule="auto"/>
        <w:ind w:firstLine="1440"/>
        <w:rPr>
          <w:color w:val="auto"/>
          <w:sz w:val="26"/>
          <w:szCs w:val="26"/>
        </w:rPr>
      </w:pPr>
      <w:r w:rsidRPr="00CD4453">
        <w:rPr>
          <w:color w:val="auto"/>
          <w:sz w:val="26"/>
          <w:szCs w:val="26"/>
        </w:rPr>
        <w:t xml:space="preserve"> </w:t>
      </w:r>
    </w:p>
    <w:p w14:paraId="09C7B039" w14:textId="693AEB57" w:rsidR="0013261D" w:rsidRDefault="00B90194" w:rsidP="00B90194">
      <w:pPr>
        <w:pStyle w:val="Default"/>
        <w:spacing w:line="360" w:lineRule="auto"/>
        <w:ind w:firstLine="1440"/>
        <w:rPr>
          <w:color w:val="auto"/>
          <w:sz w:val="26"/>
          <w:szCs w:val="26"/>
        </w:rPr>
      </w:pPr>
      <w:r>
        <w:rPr>
          <w:color w:val="auto"/>
          <w:sz w:val="26"/>
          <w:szCs w:val="26"/>
        </w:rPr>
        <w:t>On December 19, 2016, PPL</w:t>
      </w:r>
      <w:r w:rsidR="00CD4453" w:rsidRPr="00CD4453">
        <w:rPr>
          <w:color w:val="auto"/>
          <w:sz w:val="26"/>
          <w:szCs w:val="26"/>
        </w:rPr>
        <w:t xml:space="preserve"> filed an </w:t>
      </w:r>
      <w:r>
        <w:rPr>
          <w:color w:val="auto"/>
          <w:sz w:val="26"/>
          <w:szCs w:val="26"/>
        </w:rPr>
        <w:t>A</w:t>
      </w:r>
      <w:r w:rsidR="00CD4453" w:rsidRPr="00CD4453">
        <w:rPr>
          <w:color w:val="auto"/>
          <w:sz w:val="26"/>
          <w:szCs w:val="26"/>
        </w:rPr>
        <w:t xml:space="preserve">nswer </w:t>
      </w:r>
      <w:r w:rsidR="00360C13">
        <w:rPr>
          <w:color w:val="auto"/>
          <w:sz w:val="26"/>
          <w:szCs w:val="26"/>
        </w:rPr>
        <w:t>claiming that</w:t>
      </w:r>
      <w:r>
        <w:rPr>
          <w:color w:val="auto"/>
          <w:sz w:val="26"/>
          <w:szCs w:val="26"/>
        </w:rPr>
        <w:t xml:space="preserve"> it does not provide a payment due date </w:t>
      </w:r>
      <w:r w:rsidR="00360C13">
        <w:rPr>
          <w:color w:val="auto"/>
          <w:sz w:val="26"/>
          <w:szCs w:val="26"/>
        </w:rPr>
        <w:t>containing</w:t>
      </w:r>
      <w:r>
        <w:rPr>
          <w:color w:val="auto"/>
          <w:sz w:val="26"/>
          <w:szCs w:val="26"/>
        </w:rPr>
        <w:t xml:space="preserve"> the exact same date each month, that the Complainant had an outstanding balance of $775.55 and that the Company has not been made aware of any safety risks to the Complainant.  </w:t>
      </w:r>
      <w:r w:rsidR="0013261D">
        <w:rPr>
          <w:color w:val="auto"/>
          <w:sz w:val="26"/>
          <w:szCs w:val="26"/>
        </w:rPr>
        <w:t>PPL</w:t>
      </w:r>
      <w:r w:rsidR="00CD4453" w:rsidRPr="00CD4453">
        <w:rPr>
          <w:color w:val="auto"/>
          <w:sz w:val="26"/>
          <w:szCs w:val="26"/>
        </w:rPr>
        <w:t xml:space="preserve"> averred that the Complainant was given the same methods and opportunities to pay </w:t>
      </w:r>
      <w:r w:rsidR="0013261D">
        <w:rPr>
          <w:color w:val="auto"/>
          <w:sz w:val="26"/>
          <w:szCs w:val="26"/>
        </w:rPr>
        <w:t>his electric</w:t>
      </w:r>
      <w:r w:rsidR="00CD4453" w:rsidRPr="00CD4453">
        <w:rPr>
          <w:color w:val="auto"/>
          <w:sz w:val="26"/>
          <w:szCs w:val="26"/>
        </w:rPr>
        <w:t xml:space="preserve"> bill as other customers and requested that the </w:t>
      </w:r>
      <w:r w:rsidR="0013261D">
        <w:rPr>
          <w:color w:val="auto"/>
          <w:sz w:val="26"/>
          <w:szCs w:val="26"/>
        </w:rPr>
        <w:t>C</w:t>
      </w:r>
      <w:r w:rsidR="00CD4453" w:rsidRPr="00CD4453">
        <w:rPr>
          <w:color w:val="auto"/>
          <w:sz w:val="26"/>
          <w:szCs w:val="26"/>
        </w:rPr>
        <w:t>omplaint be denied.</w:t>
      </w:r>
      <w:r w:rsidR="0013261D">
        <w:rPr>
          <w:color w:val="auto"/>
          <w:sz w:val="26"/>
          <w:szCs w:val="26"/>
        </w:rPr>
        <w:t xml:space="preserve">  Answer at 1-2.</w:t>
      </w:r>
    </w:p>
    <w:p w14:paraId="4CC02D35" w14:textId="77777777" w:rsidR="00CD4453" w:rsidRPr="00CD4453" w:rsidRDefault="00CD4453" w:rsidP="00B90194">
      <w:pPr>
        <w:pStyle w:val="Default"/>
        <w:spacing w:line="360" w:lineRule="auto"/>
        <w:ind w:firstLine="1440"/>
        <w:rPr>
          <w:color w:val="auto"/>
          <w:sz w:val="26"/>
          <w:szCs w:val="26"/>
        </w:rPr>
      </w:pPr>
      <w:r w:rsidRPr="00CD4453">
        <w:rPr>
          <w:color w:val="auto"/>
          <w:sz w:val="26"/>
          <w:szCs w:val="26"/>
        </w:rPr>
        <w:t xml:space="preserve"> </w:t>
      </w:r>
    </w:p>
    <w:p w14:paraId="0393346E" w14:textId="73B02494" w:rsidR="00CD4453" w:rsidRDefault="0013261D" w:rsidP="00C63DE4">
      <w:pPr>
        <w:pStyle w:val="ListParagraph"/>
        <w:ind w:left="0" w:firstLine="1440"/>
        <w:jc w:val="left"/>
        <w:rPr>
          <w:sz w:val="26"/>
          <w:szCs w:val="26"/>
        </w:rPr>
      </w:pPr>
      <w:r>
        <w:rPr>
          <w:sz w:val="26"/>
          <w:szCs w:val="26"/>
        </w:rPr>
        <w:t xml:space="preserve">The ALJ conducted an evidentiary hearing in this matter </w:t>
      </w:r>
      <w:r w:rsidR="00CD4453" w:rsidRPr="00CD4453">
        <w:rPr>
          <w:sz w:val="26"/>
          <w:szCs w:val="26"/>
        </w:rPr>
        <w:t xml:space="preserve">as scheduled on February 22, 2017. </w:t>
      </w:r>
      <w:r w:rsidR="00D85E1B">
        <w:rPr>
          <w:sz w:val="26"/>
          <w:szCs w:val="26"/>
        </w:rPr>
        <w:t xml:space="preserve"> </w:t>
      </w:r>
      <w:r w:rsidR="00CD4453" w:rsidRPr="00CD4453">
        <w:rPr>
          <w:sz w:val="26"/>
          <w:szCs w:val="26"/>
        </w:rPr>
        <w:t xml:space="preserve">Ms. </w:t>
      </w:r>
      <w:proofErr w:type="spellStart"/>
      <w:r w:rsidR="00CD4453" w:rsidRPr="00CD4453">
        <w:rPr>
          <w:sz w:val="26"/>
          <w:szCs w:val="26"/>
        </w:rPr>
        <w:t>Scheaffer</w:t>
      </w:r>
      <w:proofErr w:type="spellEnd"/>
      <w:r w:rsidR="00CD4453" w:rsidRPr="00CD4453">
        <w:rPr>
          <w:sz w:val="26"/>
          <w:szCs w:val="26"/>
        </w:rPr>
        <w:t xml:space="preserve"> appeared </w:t>
      </w:r>
      <w:r w:rsidR="00CD4453" w:rsidRPr="00CD4453">
        <w:rPr>
          <w:i/>
          <w:iCs/>
          <w:sz w:val="26"/>
          <w:szCs w:val="26"/>
        </w:rPr>
        <w:t xml:space="preserve">pro se </w:t>
      </w:r>
      <w:r w:rsidR="00CD4453" w:rsidRPr="00CD4453">
        <w:rPr>
          <w:sz w:val="26"/>
          <w:szCs w:val="26"/>
        </w:rPr>
        <w:t xml:space="preserve">and </w:t>
      </w:r>
      <w:r>
        <w:rPr>
          <w:sz w:val="26"/>
          <w:szCs w:val="26"/>
        </w:rPr>
        <w:t>presented no exhibits.</w:t>
      </w:r>
      <w:r w:rsidR="00CD4453" w:rsidRPr="00CD4453">
        <w:rPr>
          <w:sz w:val="26"/>
          <w:szCs w:val="26"/>
        </w:rPr>
        <w:t xml:space="preserve"> </w:t>
      </w:r>
      <w:r>
        <w:rPr>
          <w:sz w:val="26"/>
          <w:szCs w:val="26"/>
        </w:rPr>
        <w:t xml:space="preserve"> PPL was represented by counsel</w:t>
      </w:r>
      <w:r w:rsidR="00CD4453" w:rsidRPr="00CD4453">
        <w:rPr>
          <w:sz w:val="26"/>
          <w:szCs w:val="26"/>
        </w:rPr>
        <w:t xml:space="preserve"> </w:t>
      </w:r>
      <w:r>
        <w:rPr>
          <w:sz w:val="26"/>
          <w:szCs w:val="26"/>
        </w:rPr>
        <w:t xml:space="preserve">who </w:t>
      </w:r>
      <w:r w:rsidR="00CD4453" w:rsidRPr="00CD4453">
        <w:rPr>
          <w:sz w:val="26"/>
          <w:szCs w:val="26"/>
        </w:rPr>
        <w:t xml:space="preserve">presented </w:t>
      </w:r>
      <w:r>
        <w:rPr>
          <w:sz w:val="26"/>
          <w:szCs w:val="26"/>
        </w:rPr>
        <w:t xml:space="preserve">the testimony of </w:t>
      </w:r>
      <w:r w:rsidR="00CD4453" w:rsidRPr="00CD4453">
        <w:rPr>
          <w:sz w:val="26"/>
          <w:szCs w:val="26"/>
        </w:rPr>
        <w:t>one witness</w:t>
      </w:r>
      <w:r w:rsidR="00360C13">
        <w:rPr>
          <w:sz w:val="26"/>
          <w:szCs w:val="26"/>
        </w:rPr>
        <w:t xml:space="preserve"> and</w:t>
      </w:r>
      <w:r w:rsidR="00CD4453" w:rsidRPr="00CD4453">
        <w:rPr>
          <w:sz w:val="26"/>
          <w:szCs w:val="26"/>
        </w:rPr>
        <w:t xml:space="preserve"> sponsored two exhibits which were admitted into the record. </w:t>
      </w:r>
      <w:r>
        <w:rPr>
          <w:sz w:val="26"/>
          <w:szCs w:val="26"/>
        </w:rPr>
        <w:t xml:space="preserve"> </w:t>
      </w:r>
      <w:r w:rsidR="00CD4453" w:rsidRPr="00CD4453">
        <w:rPr>
          <w:sz w:val="26"/>
          <w:szCs w:val="26"/>
        </w:rPr>
        <w:t xml:space="preserve">The initial hearing resulted in a transcript of </w:t>
      </w:r>
      <w:r>
        <w:rPr>
          <w:sz w:val="26"/>
          <w:szCs w:val="26"/>
        </w:rPr>
        <w:t>forty-six</w:t>
      </w:r>
      <w:r w:rsidR="00CD4453" w:rsidRPr="00CD4453">
        <w:rPr>
          <w:sz w:val="26"/>
          <w:szCs w:val="26"/>
        </w:rPr>
        <w:t xml:space="preserve"> pages. </w:t>
      </w:r>
      <w:r>
        <w:rPr>
          <w:sz w:val="26"/>
          <w:szCs w:val="26"/>
        </w:rPr>
        <w:t xml:space="preserve"> </w:t>
      </w:r>
      <w:r w:rsidR="00CD4453" w:rsidRPr="00CD4453">
        <w:rPr>
          <w:sz w:val="26"/>
          <w:szCs w:val="26"/>
        </w:rPr>
        <w:t xml:space="preserve">The record </w:t>
      </w:r>
      <w:r>
        <w:rPr>
          <w:sz w:val="26"/>
          <w:szCs w:val="26"/>
        </w:rPr>
        <w:t xml:space="preserve">was </w:t>
      </w:r>
      <w:r w:rsidR="00CD4453" w:rsidRPr="00CD4453">
        <w:rPr>
          <w:sz w:val="26"/>
          <w:szCs w:val="26"/>
        </w:rPr>
        <w:t>closed on March 21, 2017, the date the transcript was filed with the Secretary’s Bureau.</w:t>
      </w:r>
      <w:r>
        <w:rPr>
          <w:sz w:val="26"/>
          <w:szCs w:val="26"/>
        </w:rPr>
        <w:t xml:space="preserve">  I.D. at 2.</w:t>
      </w:r>
    </w:p>
    <w:p w14:paraId="414F2233" w14:textId="77777777" w:rsidR="0013261D" w:rsidRDefault="0013261D" w:rsidP="0013261D">
      <w:pPr>
        <w:pStyle w:val="ListParagraph"/>
        <w:ind w:left="0" w:firstLine="1440"/>
        <w:jc w:val="both"/>
        <w:rPr>
          <w:sz w:val="26"/>
          <w:szCs w:val="26"/>
        </w:rPr>
      </w:pPr>
    </w:p>
    <w:p w14:paraId="13DFC7E3" w14:textId="69FDCAA1" w:rsidR="009C75C4" w:rsidRDefault="0013261D" w:rsidP="00C63DE4">
      <w:pPr>
        <w:pStyle w:val="ListParagraph"/>
        <w:ind w:left="0" w:firstLine="1440"/>
        <w:jc w:val="left"/>
        <w:rPr>
          <w:sz w:val="26"/>
          <w:szCs w:val="26"/>
        </w:rPr>
      </w:pPr>
      <w:r>
        <w:rPr>
          <w:sz w:val="26"/>
          <w:szCs w:val="26"/>
        </w:rPr>
        <w:t xml:space="preserve">In his Initial Decision, issued on June 6, 2017, ALJ </w:t>
      </w:r>
      <w:r w:rsidR="00551858">
        <w:rPr>
          <w:sz w:val="26"/>
          <w:szCs w:val="26"/>
        </w:rPr>
        <w:t xml:space="preserve">Myers denied the Complaint.  As previously noted, on June 23, 2017, the Complainant filed Exceptions. Replies to Exceptions were filed </w:t>
      </w:r>
      <w:r w:rsidR="00D85E1B">
        <w:rPr>
          <w:sz w:val="26"/>
          <w:szCs w:val="26"/>
        </w:rPr>
        <w:t xml:space="preserve">by PPL </w:t>
      </w:r>
      <w:r w:rsidR="00551858">
        <w:rPr>
          <w:sz w:val="26"/>
          <w:szCs w:val="26"/>
        </w:rPr>
        <w:t>on July 6, 2017.</w:t>
      </w:r>
      <w:r w:rsidR="00551858">
        <w:rPr>
          <w:rStyle w:val="FootnoteReference"/>
          <w:sz w:val="26"/>
          <w:szCs w:val="26"/>
        </w:rPr>
        <w:footnoteReference w:id="4"/>
      </w:r>
      <w:r w:rsidR="00551858">
        <w:rPr>
          <w:sz w:val="26"/>
          <w:szCs w:val="26"/>
        </w:rPr>
        <w:t xml:space="preserve"> </w:t>
      </w:r>
    </w:p>
    <w:p w14:paraId="0B03FC47" w14:textId="77777777" w:rsidR="009C75C4" w:rsidRDefault="009C75C4" w:rsidP="0013261D">
      <w:pPr>
        <w:pStyle w:val="ListParagraph"/>
        <w:ind w:left="0" w:firstLine="1440"/>
        <w:jc w:val="both"/>
        <w:rPr>
          <w:sz w:val="26"/>
          <w:szCs w:val="26"/>
        </w:rPr>
      </w:pPr>
    </w:p>
    <w:p w14:paraId="32F1D4BC" w14:textId="77777777" w:rsidR="00E45B87" w:rsidRDefault="00E45B87" w:rsidP="00E45B87">
      <w:pPr>
        <w:pStyle w:val="NoSpacing"/>
        <w:spacing w:line="360" w:lineRule="auto"/>
        <w:jc w:val="center"/>
        <w:rPr>
          <w:sz w:val="26"/>
          <w:szCs w:val="26"/>
        </w:rPr>
      </w:pPr>
      <w:r>
        <w:rPr>
          <w:b/>
          <w:sz w:val="26"/>
          <w:szCs w:val="26"/>
        </w:rPr>
        <w:t>Discussion</w:t>
      </w:r>
    </w:p>
    <w:p w14:paraId="027AF8D5" w14:textId="77777777" w:rsidR="00E45B87" w:rsidRDefault="00E45B87" w:rsidP="00E45B87">
      <w:pPr>
        <w:pStyle w:val="NoSpacing"/>
        <w:spacing w:line="360" w:lineRule="auto"/>
        <w:rPr>
          <w:sz w:val="26"/>
          <w:szCs w:val="26"/>
        </w:rPr>
      </w:pPr>
    </w:p>
    <w:p w14:paraId="42A8B043" w14:textId="77777777" w:rsidR="00E45B87" w:rsidRDefault="00E45B87" w:rsidP="00E45B87">
      <w:pPr>
        <w:pStyle w:val="NoSpacing"/>
        <w:spacing w:line="360" w:lineRule="auto"/>
        <w:rPr>
          <w:sz w:val="26"/>
          <w:szCs w:val="26"/>
        </w:rPr>
      </w:pPr>
      <w:r>
        <w:rPr>
          <w:b/>
          <w:sz w:val="26"/>
          <w:szCs w:val="26"/>
        </w:rPr>
        <w:t>Legal Standards</w:t>
      </w:r>
    </w:p>
    <w:p w14:paraId="5C7ECC9D" w14:textId="77777777" w:rsidR="00E45B87" w:rsidRDefault="00E45B87" w:rsidP="00E45B87">
      <w:pPr>
        <w:pStyle w:val="NoSpacing"/>
        <w:spacing w:line="360" w:lineRule="auto"/>
        <w:rPr>
          <w:sz w:val="26"/>
          <w:szCs w:val="26"/>
        </w:rPr>
      </w:pPr>
    </w:p>
    <w:p w14:paraId="077C7E74" w14:textId="77777777" w:rsidR="00E45B87" w:rsidRPr="00D64605" w:rsidRDefault="00E45B87" w:rsidP="00E45B87">
      <w:pPr>
        <w:ind w:firstLine="1440"/>
        <w:jc w:val="left"/>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w:t>
      </w:r>
      <w:r>
        <w:rPr>
          <w:sz w:val="26"/>
          <w:szCs w:val="26"/>
        </w:rPr>
        <w:t>r</w:t>
      </w:r>
      <w:r w:rsidRPr="00D64605">
        <w:rPr>
          <w:sz w:val="26"/>
          <w:szCs w:val="26"/>
        </w:rPr>
        <w:t xml:space="preserve">espondent </w:t>
      </w:r>
      <w:r>
        <w:rPr>
          <w:sz w:val="26"/>
          <w:szCs w:val="26"/>
        </w:rPr>
        <w:t xml:space="preserve">utility, PPL, </w:t>
      </w:r>
      <w:r w:rsidRPr="00D64605">
        <w:rPr>
          <w:sz w:val="26"/>
          <w:szCs w:val="26"/>
        </w:rPr>
        <w:t xml:space="preserve">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 xml:space="preserve">Samuel J. </w:t>
      </w:r>
      <w:proofErr w:type="spellStart"/>
      <w:r w:rsidRPr="00D64605">
        <w:rPr>
          <w:i/>
          <w:iCs/>
          <w:sz w:val="26"/>
          <w:szCs w:val="26"/>
        </w:rPr>
        <w:t>Lansberry</w:t>
      </w:r>
      <w:proofErr w:type="spellEnd"/>
      <w:r w:rsidRPr="00D64605">
        <w:rPr>
          <w:i/>
          <w:iCs/>
          <w:sz w:val="26"/>
          <w:szCs w:val="26"/>
        </w:rPr>
        <w:t>, Inc. v. Pa. PUC</w:t>
      </w:r>
      <w:r w:rsidRPr="00D64605">
        <w:rPr>
          <w:sz w:val="26"/>
          <w:szCs w:val="26"/>
        </w:rPr>
        <w:t xml:space="preserve">, 578 A.2d 600 (Pa. </w:t>
      </w:r>
      <w:proofErr w:type="spellStart"/>
      <w:r w:rsidRPr="00D64605">
        <w:rPr>
          <w:sz w:val="26"/>
          <w:szCs w:val="26"/>
        </w:rPr>
        <w:t>Cmwlth</w:t>
      </w:r>
      <w:proofErr w:type="spellEnd"/>
      <w:r w:rsidRPr="00D64605">
        <w:rPr>
          <w:sz w:val="26"/>
          <w:szCs w:val="26"/>
        </w:rPr>
        <w:t xml:space="preserve">. 1990), </w:t>
      </w:r>
      <w:proofErr w:type="spellStart"/>
      <w:r w:rsidRPr="00D64605">
        <w:rPr>
          <w:i/>
          <w:sz w:val="26"/>
          <w:szCs w:val="26"/>
        </w:rPr>
        <w:t>alloc</w:t>
      </w:r>
      <w:proofErr w:type="spellEnd"/>
      <w:r w:rsidRPr="00D64605">
        <w:rPr>
          <w:i/>
          <w:sz w:val="26"/>
          <w:szCs w:val="26"/>
        </w:rPr>
        <w:t>.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w:t>
      </w:r>
      <w:r>
        <w:rPr>
          <w:sz w:val="26"/>
          <w:szCs w:val="26"/>
        </w:rPr>
        <w:t>r</w:t>
      </w:r>
      <w:r w:rsidRPr="00D64605">
        <w:rPr>
          <w:sz w:val="26"/>
          <w:szCs w:val="26"/>
        </w:rPr>
        <w:t xml:space="preserve">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14:paraId="4E0BCC55" w14:textId="77777777" w:rsidR="00E45B87" w:rsidRPr="00D64605" w:rsidRDefault="00E45B87" w:rsidP="00E45B87">
      <w:pPr>
        <w:jc w:val="left"/>
        <w:rPr>
          <w:sz w:val="26"/>
          <w:szCs w:val="26"/>
        </w:rPr>
      </w:pPr>
    </w:p>
    <w:p w14:paraId="35AAA874" w14:textId="77777777" w:rsidR="00E45B87" w:rsidRDefault="00E45B87" w:rsidP="00E45B87">
      <w:pPr>
        <w:autoSpaceDE w:val="0"/>
        <w:autoSpaceDN w:val="0"/>
        <w:adjustRightInd w:val="0"/>
        <w:ind w:firstLine="1440"/>
        <w:jc w:val="left"/>
        <w:rPr>
          <w:sz w:val="26"/>
        </w:rPr>
      </w:pPr>
      <w:r>
        <w:rPr>
          <w:sz w:val="26"/>
        </w:rPr>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omplainant now has to provide some additional</w:t>
      </w:r>
      <w:r>
        <w:rPr>
          <w:sz w:val="26"/>
        </w:rPr>
        <w:t xml:space="preserve"> evidence to rebut that of the r</w:t>
      </w:r>
      <w:r w:rsidRPr="00D64605">
        <w:rPr>
          <w:sz w:val="26"/>
        </w:rPr>
        <w:t xml:space="preserve">espondent. </w:t>
      </w:r>
      <w:r w:rsidRPr="00D64605">
        <w:rPr>
          <w:iCs/>
          <w:sz w:val="26"/>
        </w:rPr>
        <w:t xml:space="preserve"> </w:t>
      </w:r>
      <w:hyperlink r:id="rId8" w:history="1">
        <w:r w:rsidRPr="00E45B87">
          <w:rPr>
            <w:rStyle w:val="Hyperlink"/>
            <w:rFonts w:ascii="Times New (W1)" w:hAnsi="Times New (W1)"/>
            <w:i/>
            <w:iCs/>
            <w:color w:val="auto"/>
            <w:sz w:val="26"/>
            <w:u w:val="none"/>
          </w:rPr>
          <w:t>Burleson v. Pa. PUC,</w:t>
        </w:r>
        <w:r w:rsidRPr="00E45B87">
          <w:rPr>
            <w:rStyle w:val="Hyperlink"/>
            <w:rFonts w:ascii="Times New (W1)" w:hAnsi="Times New (W1)"/>
            <w:iCs/>
            <w:color w:val="auto"/>
            <w:sz w:val="26"/>
            <w:u w:val="none"/>
          </w:rPr>
          <w:t xml:space="preserve"> 443 A.2d 1373 (Pa. </w:t>
        </w:r>
        <w:proofErr w:type="spellStart"/>
        <w:r w:rsidRPr="00E45B87">
          <w:rPr>
            <w:rStyle w:val="Hyperlink"/>
            <w:rFonts w:ascii="Times New (W1)" w:hAnsi="Times New (W1)"/>
            <w:iCs/>
            <w:color w:val="auto"/>
            <w:sz w:val="26"/>
            <w:u w:val="none"/>
          </w:rPr>
          <w:t>Cmwlth</w:t>
        </w:r>
        <w:proofErr w:type="spellEnd"/>
        <w:r w:rsidRPr="00E45B87">
          <w:rPr>
            <w:rStyle w:val="Hyperlink"/>
            <w:rFonts w:ascii="Times New (W1)" w:hAnsi="Times New (W1)"/>
            <w:iCs/>
            <w:color w:val="auto"/>
            <w:sz w:val="26"/>
            <w:u w:val="none"/>
          </w:rPr>
          <w:t xml:space="preserve">. 1982), </w:t>
        </w:r>
        <w:r w:rsidRPr="00E45B87">
          <w:rPr>
            <w:rStyle w:val="Hyperlink"/>
            <w:rFonts w:ascii="Times New (W1)" w:hAnsi="Times New (W1)"/>
            <w:i/>
            <w:iCs/>
            <w:color w:val="auto"/>
            <w:sz w:val="26"/>
            <w:u w:val="none"/>
          </w:rPr>
          <w:t>aff’d,</w:t>
        </w:r>
        <w:r w:rsidRPr="00E45B87">
          <w:rPr>
            <w:rStyle w:val="Hyperlink"/>
            <w:rFonts w:ascii="Times New (W1)" w:hAnsi="Times New (W1)"/>
            <w:iCs/>
            <w:color w:val="auto"/>
            <w:sz w:val="26"/>
            <w:u w:val="none"/>
          </w:rPr>
          <w:t xml:space="preserve"> 501 Pa. 433, 461 A.2d 1234 (1983).</w:t>
        </w:r>
      </w:hyperlink>
      <w:r w:rsidRPr="00E45B87">
        <w:rPr>
          <w:rStyle w:val="Hyperlink"/>
          <w:rFonts w:ascii="Times New (W1)" w:hAnsi="Times New (W1)"/>
          <w:iCs/>
          <w:color w:val="auto"/>
          <w:sz w:val="26"/>
          <w:u w:val="none"/>
        </w:rPr>
        <w:t xml:space="preserve">  </w:t>
      </w:r>
      <w:r w:rsidRPr="00D64605">
        <w:rPr>
          <w:sz w:val="26"/>
        </w:rPr>
        <w:t xml:space="preserve">While the burden of persuasion may </w:t>
      </w:r>
      <w:r w:rsidRPr="00E45B87">
        <w:rPr>
          <w:rStyle w:val="term1"/>
          <w:b w:val="0"/>
          <w:sz w:val="26"/>
        </w:rPr>
        <w:t>shift</w:t>
      </w:r>
      <w:r w:rsidRPr="00E45B87">
        <w:rPr>
          <w:b/>
          <w:sz w:val="26"/>
        </w:rPr>
        <w:t xml:space="preserve"> </w:t>
      </w:r>
      <w:r w:rsidRPr="00E45B87">
        <w:rPr>
          <w:sz w:val="26"/>
        </w:rPr>
        <w:t>b</w:t>
      </w:r>
      <w:r w:rsidRPr="00F55AB6">
        <w:rPr>
          <w:sz w:val="26"/>
        </w:rPr>
        <w:t xml:space="preserve">ack and forth during a proceeding, the </w:t>
      </w:r>
      <w:r w:rsidRPr="00E45B87">
        <w:rPr>
          <w:rStyle w:val="term1"/>
          <w:b w:val="0"/>
          <w:sz w:val="26"/>
        </w:rPr>
        <w:t>burden of proof</w:t>
      </w:r>
      <w:r w:rsidRPr="00F55AB6">
        <w:rPr>
          <w:sz w:val="26"/>
        </w:rPr>
        <w:t xml:space="preserve"> never </w:t>
      </w:r>
      <w:r w:rsidRPr="00E45B87">
        <w:rPr>
          <w:rStyle w:val="term1"/>
          <w:b w:val="0"/>
          <w:sz w:val="26"/>
        </w:rPr>
        <w:t>shifts.  The burden of proof</w:t>
      </w:r>
      <w:r w:rsidRPr="00D64605">
        <w:rPr>
          <w:sz w:val="26"/>
        </w:rPr>
        <w:t xml:space="preserve"> always remains on the party seeking affirmative relief from the Commission.  </w:t>
      </w:r>
      <w:proofErr w:type="spellStart"/>
      <w:r w:rsidRPr="00D64605">
        <w:rPr>
          <w:i/>
          <w:sz w:val="26"/>
        </w:rPr>
        <w:t>Milkie</w:t>
      </w:r>
      <w:proofErr w:type="spellEnd"/>
      <w:r w:rsidRPr="00D64605">
        <w:rPr>
          <w:i/>
          <w:sz w:val="26"/>
        </w:rPr>
        <w:t xml:space="preserve"> v. Pa. PUC, </w:t>
      </w:r>
      <w:r w:rsidRPr="00D64605">
        <w:rPr>
          <w:sz w:val="26"/>
        </w:rPr>
        <w:t xml:space="preserve">768 A.2d 1217 (Pa. </w:t>
      </w:r>
      <w:proofErr w:type="spellStart"/>
      <w:r w:rsidRPr="00D64605">
        <w:rPr>
          <w:sz w:val="26"/>
        </w:rPr>
        <w:t>Cmwlth</w:t>
      </w:r>
      <w:proofErr w:type="spellEnd"/>
      <w:r w:rsidRPr="00D64605">
        <w:rPr>
          <w:sz w:val="26"/>
        </w:rPr>
        <w:t>. 2001).</w:t>
      </w:r>
    </w:p>
    <w:p w14:paraId="6F0D403B" w14:textId="77777777" w:rsidR="00E45B87" w:rsidRDefault="00E45B87" w:rsidP="00E45B87">
      <w:pPr>
        <w:pStyle w:val="NoSpacing"/>
        <w:spacing w:line="360" w:lineRule="auto"/>
        <w:rPr>
          <w:sz w:val="26"/>
          <w:szCs w:val="26"/>
        </w:rPr>
      </w:pPr>
    </w:p>
    <w:p w14:paraId="67F38D6A" w14:textId="51925105" w:rsidR="00BE5DF5" w:rsidRDefault="00884A3E" w:rsidP="00E43F97">
      <w:pPr>
        <w:pStyle w:val="NoSpacing"/>
        <w:spacing w:line="360" w:lineRule="auto"/>
        <w:ind w:firstLine="1440"/>
        <w:rPr>
          <w:rStyle w:val="Hyperlink"/>
          <w:color w:val="000000"/>
          <w:sz w:val="26"/>
          <w:szCs w:val="26"/>
          <w:u w:val="none"/>
        </w:rPr>
      </w:pPr>
      <w:r>
        <w:rPr>
          <w:sz w:val="26"/>
          <w:szCs w:val="26"/>
        </w:rPr>
        <w:t>W</w:t>
      </w:r>
      <w:r w:rsidR="00E45B87" w:rsidRPr="00D64605">
        <w:rPr>
          <w:sz w:val="26"/>
          <w:szCs w:val="26"/>
        </w:rPr>
        <w:t xml:space="preserve">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00E45B87" w:rsidRPr="00F24572">
          <w:rPr>
            <w:rStyle w:val="Emphasis"/>
            <w:color w:val="000000"/>
            <w:sz w:val="26"/>
            <w:szCs w:val="26"/>
          </w:rPr>
          <w:t xml:space="preserve">Consolidated Rail Corp. v. Pa. PUC, </w:t>
        </w:r>
        <w:r w:rsidR="00E45B87" w:rsidRPr="00D85E1B">
          <w:rPr>
            <w:rStyle w:val="Hyperlink"/>
            <w:color w:val="000000"/>
            <w:sz w:val="26"/>
            <w:szCs w:val="26"/>
            <w:u w:val="none"/>
          </w:rPr>
          <w:t xml:space="preserve">625 A.2d 741 (Pa. </w:t>
        </w:r>
        <w:proofErr w:type="spellStart"/>
        <w:r w:rsidR="00E45B87" w:rsidRPr="00D85E1B">
          <w:rPr>
            <w:rStyle w:val="Hyperlink"/>
            <w:color w:val="000000"/>
            <w:sz w:val="26"/>
            <w:szCs w:val="26"/>
            <w:u w:val="none"/>
          </w:rPr>
          <w:t>Cmwlth</w:t>
        </w:r>
        <w:proofErr w:type="spellEnd"/>
        <w:r w:rsidR="00E45B87" w:rsidRPr="00D85E1B">
          <w:rPr>
            <w:rStyle w:val="Hyperlink"/>
            <w:color w:val="000000"/>
            <w:sz w:val="26"/>
            <w:szCs w:val="26"/>
            <w:u w:val="none"/>
          </w:rPr>
          <w:t>. 1993);</w:t>
        </w:r>
      </w:hyperlink>
      <w:r w:rsidR="00E45B87" w:rsidRPr="00D64605">
        <w:rPr>
          <w:color w:val="000000"/>
          <w:sz w:val="26"/>
          <w:szCs w:val="26"/>
        </w:rPr>
        <w:t xml:space="preserve"> </w:t>
      </w:r>
      <w:r w:rsidR="00E45B87" w:rsidRPr="00D64605">
        <w:rPr>
          <w:i/>
          <w:color w:val="000000"/>
          <w:sz w:val="26"/>
          <w:szCs w:val="26"/>
        </w:rPr>
        <w:t xml:space="preserve">also </w:t>
      </w:r>
      <w:r w:rsidR="00E45B87" w:rsidRPr="00D64605">
        <w:rPr>
          <w:rStyle w:val="Emphasis"/>
          <w:color w:val="000000"/>
          <w:sz w:val="26"/>
          <w:szCs w:val="26"/>
        </w:rPr>
        <w:t xml:space="preserve">see, generally, </w:t>
      </w:r>
      <w:hyperlink r:id="rId10" w:history="1">
        <w:r w:rsidR="00E45B87" w:rsidRPr="00D85E1B">
          <w:rPr>
            <w:rStyle w:val="Emphasis"/>
            <w:color w:val="000000"/>
            <w:sz w:val="26"/>
            <w:szCs w:val="26"/>
          </w:rPr>
          <w:t>University of Pennsylvania v. Pa. PUC</w:t>
        </w:r>
        <w:r w:rsidR="00E45B87" w:rsidRPr="00D85E1B">
          <w:rPr>
            <w:rStyle w:val="Hyperlink"/>
            <w:color w:val="000000"/>
            <w:sz w:val="26"/>
            <w:szCs w:val="26"/>
            <w:u w:val="none"/>
          </w:rPr>
          <w:t xml:space="preserve">, 485 A.2d 1217 (Pa. </w:t>
        </w:r>
        <w:proofErr w:type="spellStart"/>
        <w:r w:rsidR="00E45B87" w:rsidRPr="00D85E1B">
          <w:rPr>
            <w:rStyle w:val="Hyperlink"/>
            <w:color w:val="000000"/>
            <w:sz w:val="26"/>
            <w:szCs w:val="26"/>
            <w:u w:val="none"/>
          </w:rPr>
          <w:t>Cmwlth</w:t>
        </w:r>
        <w:proofErr w:type="spellEnd"/>
        <w:r w:rsidR="00E45B87" w:rsidRPr="00D85E1B">
          <w:rPr>
            <w:rStyle w:val="Hyperlink"/>
            <w:color w:val="000000"/>
            <w:sz w:val="26"/>
            <w:szCs w:val="26"/>
            <w:u w:val="none"/>
          </w:rPr>
          <w:t>. 1984).</w:t>
        </w:r>
      </w:hyperlink>
    </w:p>
    <w:p w14:paraId="314C0FDA" w14:textId="77777777" w:rsidR="00550815" w:rsidRDefault="00550815" w:rsidP="00E43F97">
      <w:pPr>
        <w:pStyle w:val="NoSpacing"/>
        <w:spacing w:line="360" w:lineRule="auto"/>
        <w:ind w:firstLine="1440"/>
        <w:rPr>
          <w:sz w:val="26"/>
          <w:szCs w:val="26"/>
        </w:rPr>
      </w:pPr>
    </w:p>
    <w:p w14:paraId="0584FD5E" w14:textId="77777777" w:rsidR="00E45B87" w:rsidRDefault="00E45B87" w:rsidP="00E43F97">
      <w:pPr>
        <w:pStyle w:val="NoSpacing"/>
        <w:keepNext/>
        <w:keepLines/>
        <w:spacing w:line="360" w:lineRule="auto"/>
        <w:rPr>
          <w:b/>
          <w:sz w:val="26"/>
          <w:szCs w:val="26"/>
        </w:rPr>
      </w:pPr>
      <w:r>
        <w:rPr>
          <w:b/>
          <w:sz w:val="26"/>
          <w:szCs w:val="26"/>
        </w:rPr>
        <w:t>ALJ’s Initial Decision</w:t>
      </w:r>
    </w:p>
    <w:p w14:paraId="59F8BB2A" w14:textId="77777777" w:rsidR="00E45B87" w:rsidRDefault="00E45B87" w:rsidP="00E43F97">
      <w:pPr>
        <w:pStyle w:val="NoSpacing"/>
        <w:keepNext/>
        <w:keepLines/>
        <w:spacing w:line="360" w:lineRule="auto"/>
        <w:rPr>
          <w:b/>
          <w:sz w:val="26"/>
          <w:szCs w:val="26"/>
        </w:rPr>
      </w:pPr>
    </w:p>
    <w:p w14:paraId="3631270E" w14:textId="77777777" w:rsidR="00E45B87" w:rsidRDefault="00E45B87" w:rsidP="00E45B87">
      <w:pPr>
        <w:autoSpaceDE w:val="0"/>
        <w:autoSpaceDN w:val="0"/>
        <w:adjustRightInd w:val="0"/>
        <w:ind w:firstLine="1440"/>
        <w:jc w:val="left"/>
        <w:rPr>
          <w:sz w:val="26"/>
          <w:szCs w:val="26"/>
        </w:rPr>
      </w:pPr>
      <w:r>
        <w:rPr>
          <w:sz w:val="26"/>
          <w:szCs w:val="26"/>
        </w:rPr>
        <w:t>In his Initial Decision, ALJ Myers made nineteen</w:t>
      </w:r>
      <w:r w:rsidRPr="00D64605">
        <w:rPr>
          <w:sz w:val="26"/>
          <w:szCs w:val="26"/>
        </w:rPr>
        <w:t xml:space="preserve"> </w:t>
      </w:r>
      <w:r>
        <w:rPr>
          <w:sz w:val="26"/>
          <w:szCs w:val="26"/>
        </w:rPr>
        <w:t>Findings of Fact and reached seven</w:t>
      </w:r>
      <w:r w:rsidRPr="00D64605">
        <w:rPr>
          <w:sz w:val="26"/>
          <w:szCs w:val="26"/>
        </w:rPr>
        <w:t xml:space="preserve"> Conclus</w:t>
      </w:r>
      <w:r>
        <w:rPr>
          <w:sz w:val="26"/>
          <w:szCs w:val="26"/>
        </w:rPr>
        <w:t>ions of Law.  I.D. at 2-4, 10-11</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14:paraId="16B4140A" w14:textId="77777777" w:rsidR="0013261D" w:rsidRDefault="0013261D" w:rsidP="009C75C4">
      <w:pPr>
        <w:pStyle w:val="ListParagraph"/>
        <w:ind w:left="0" w:firstLine="0"/>
        <w:jc w:val="both"/>
        <w:rPr>
          <w:sz w:val="26"/>
          <w:szCs w:val="26"/>
        </w:rPr>
      </w:pPr>
    </w:p>
    <w:p w14:paraId="15716FD8" w14:textId="566DD2CF" w:rsidR="00762B61" w:rsidRDefault="00762B61" w:rsidP="00BE5DF5">
      <w:pPr>
        <w:pStyle w:val="ListParagraph"/>
        <w:ind w:left="0" w:firstLine="0"/>
        <w:jc w:val="left"/>
        <w:rPr>
          <w:sz w:val="26"/>
          <w:szCs w:val="26"/>
        </w:rPr>
      </w:pPr>
      <w:r>
        <w:rPr>
          <w:sz w:val="26"/>
          <w:szCs w:val="26"/>
        </w:rPr>
        <w:tab/>
      </w:r>
      <w:r>
        <w:rPr>
          <w:sz w:val="26"/>
          <w:szCs w:val="26"/>
        </w:rPr>
        <w:tab/>
        <w:t xml:space="preserve">Initially, the ALJ addressed the status of </w:t>
      </w:r>
      <w:r w:rsidR="005F1F54">
        <w:rPr>
          <w:sz w:val="26"/>
          <w:szCs w:val="26"/>
        </w:rPr>
        <w:t>Ms.</w:t>
      </w:r>
      <w:r>
        <w:rPr>
          <w:sz w:val="26"/>
          <w:szCs w:val="26"/>
        </w:rPr>
        <w:t xml:space="preserve"> </w:t>
      </w:r>
      <w:proofErr w:type="spellStart"/>
      <w:r>
        <w:rPr>
          <w:sz w:val="26"/>
          <w:szCs w:val="26"/>
        </w:rPr>
        <w:t>Scheaffer</w:t>
      </w:r>
      <w:proofErr w:type="spellEnd"/>
      <w:r>
        <w:rPr>
          <w:sz w:val="26"/>
          <w:szCs w:val="26"/>
        </w:rPr>
        <w:t xml:space="preserve"> and her role in this case.  The ALJ noted that the electric account at issue in this matter is in the name of Leslie W. </w:t>
      </w:r>
      <w:proofErr w:type="spellStart"/>
      <w:r>
        <w:rPr>
          <w:sz w:val="26"/>
          <w:szCs w:val="26"/>
        </w:rPr>
        <w:t>Scheaffer</w:t>
      </w:r>
      <w:proofErr w:type="spellEnd"/>
      <w:r w:rsidR="001C510C">
        <w:rPr>
          <w:sz w:val="26"/>
          <w:szCs w:val="26"/>
        </w:rPr>
        <w:t xml:space="preserve">, the father of Lesley A. </w:t>
      </w:r>
      <w:proofErr w:type="spellStart"/>
      <w:r w:rsidR="001C510C">
        <w:rPr>
          <w:sz w:val="26"/>
          <w:szCs w:val="26"/>
        </w:rPr>
        <w:t>Scheaffer</w:t>
      </w:r>
      <w:proofErr w:type="spellEnd"/>
      <w:r w:rsidR="001C510C">
        <w:rPr>
          <w:sz w:val="26"/>
          <w:szCs w:val="26"/>
        </w:rPr>
        <w:t xml:space="preserve">.  The ALJ further noted that the Complaint was filed by Mr. </w:t>
      </w:r>
      <w:proofErr w:type="spellStart"/>
      <w:r w:rsidR="001C510C">
        <w:rPr>
          <w:sz w:val="26"/>
          <w:szCs w:val="26"/>
        </w:rPr>
        <w:t>Scheaffer</w:t>
      </w:r>
      <w:proofErr w:type="spellEnd"/>
      <w:r w:rsidR="001C510C">
        <w:rPr>
          <w:sz w:val="26"/>
          <w:szCs w:val="26"/>
        </w:rPr>
        <w:t xml:space="preserve">, as the account holder, and by Ms. </w:t>
      </w:r>
      <w:proofErr w:type="spellStart"/>
      <w:r w:rsidR="001C510C">
        <w:rPr>
          <w:sz w:val="26"/>
          <w:szCs w:val="26"/>
        </w:rPr>
        <w:t>Scheaffer</w:t>
      </w:r>
      <w:proofErr w:type="spellEnd"/>
      <w:r w:rsidR="001C510C">
        <w:rPr>
          <w:sz w:val="26"/>
          <w:szCs w:val="26"/>
        </w:rPr>
        <w:t xml:space="preserve"> as “daughter/primary caregiver/billpayer,” as written on the Complaint.  The ALJ explained that at the hearing of February 22, 2017, Ms. </w:t>
      </w:r>
      <w:proofErr w:type="spellStart"/>
      <w:r w:rsidR="001C510C">
        <w:rPr>
          <w:sz w:val="26"/>
          <w:szCs w:val="26"/>
        </w:rPr>
        <w:t>Scheaffer</w:t>
      </w:r>
      <w:proofErr w:type="spellEnd"/>
      <w:r w:rsidR="001C510C">
        <w:rPr>
          <w:sz w:val="26"/>
          <w:szCs w:val="26"/>
        </w:rPr>
        <w:t xml:space="preserve"> indicated that since the filing of the Complaint, Mr. </w:t>
      </w:r>
      <w:proofErr w:type="spellStart"/>
      <w:r w:rsidR="001C510C">
        <w:rPr>
          <w:sz w:val="26"/>
          <w:szCs w:val="26"/>
        </w:rPr>
        <w:t>Scheaffer</w:t>
      </w:r>
      <w:proofErr w:type="spellEnd"/>
      <w:r w:rsidR="001C510C">
        <w:rPr>
          <w:sz w:val="26"/>
          <w:szCs w:val="26"/>
        </w:rPr>
        <w:t xml:space="preserve"> ha</w:t>
      </w:r>
      <w:r w:rsidR="00EF556B">
        <w:rPr>
          <w:sz w:val="26"/>
          <w:szCs w:val="26"/>
        </w:rPr>
        <w:t>d</w:t>
      </w:r>
      <w:r w:rsidR="001C510C">
        <w:rPr>
          <w:sz w:val="26"/>
          <w:szCs w:val="26"/>
        </w:rPr>
        <w:t xml:space="preserve"> passed away, intestate, on December 22, 2016.  Further, the ALJ stated that while </w:t>
      </w:r>
      <w:r w:rsidR="00360C13">
        <w:rPr>
          <w:sz w:val="26"/>
          <w:szCs w:val="26"/>
        </w:rPr>
        <w:t xml:space="preserve">the </w:t>
      </w:r>
      <w:r w:rsidR="001C510C">
        <w:rPr>
          <w:sz w:val="26"/>
          <w:szCs w:val="26"/>
        </w:rPr>
        <w:t>process had been initiated to open an estate, Ms.</w:t>
      </w:r>
      <w:r w:rsidR="007A1749">
        <w:rPr>
          <w:sz w:val="26"/>
          <w:szCs w:val="26"/>
        </w:rPr>
        <w:t> </w:t>
      </w:r>
      <w:r w:rsidR="001C510C">
        <w:rPr>
          <w:sz w:val="26"/>
          <w:szCs w:val="26"/>
        </w:rPr>
        <w:t xml:space="preserve"> </w:t>
      </w:r>
      <w:proofErr w:type="spellStart"/>
      <w:r w:rsidR="001C510C">
        <w:rPr>
          <w:sz w:val="26"/>
          <w:szCs w:val="26"/>
        </w:rPr>
        <w:t>Scheaffer</w:t>
      </w:r>
      <w:proofErr w:type="spellEnd"/>
      <w:r w:rsidR="001C510C">
        <w:rPr>
          <w:sz w:val="26"/>
          <w:szCs w:val="26"/>
        </w:rPr>
        <w:t xml:space="preserve"> indicated that no representative of Mr. </w:t>
      </w:r>
      <w:proofErr w:type="spellStart"/>
      <w:r w:rsidR="001C510C">
        <w:rPr>
          <w:sz w:val="26"/>
          <w:szCs w:val="26"/>
        </w:rPr>
        <w:t>Scheaffer’s</w:t>
      </w:r>
      <w:proofErr w:type="spellEnd"/>
      <w:r w:rsidR="001C510C">
        <w:rPr>
          <w:sz w:val="26"/>
          <w:szCs w:val="26"/>
        </w:rPr>
        <w:t xml:space="preserve"> estate had yet been appointed.  I.D. at 4</w:t>
      </w:r>
      <w:r w:rsidR="00AD32FC">
        <w:rPr>
          <w:sz w:val="26"/>
          <w:szCs w:val="26"/>
        </w:rPr>
        <w:t xml:space="preserve"> (citing Tr. at 8-9)</w:t>
      </w:r>
      <w:r w:rsidR="001C510C">
        <w:rPr>
          <w:sz w:val="26"/>
          <w:szCs w:val="26"/>
        </w:rPr>
        <w:t>.</w:t>
      </w:r>
    </w:p>
    <w:p w14:paraId="3BDC6B64" w14:textId="77777777" w:rsidR="007A6529" w:rsidRDefault="007A6529" w:rsidP="009C75C4">
      <w:pPr>
        <w:pStyle w:val="ListParagraph"/>
        <w:ind w:left="0" w:firstLine="0"/>
        <w:jc w:val="both"/>
        <w:rPr>
          <w:sz w:val="26"/>
          <w:szCs w:val="26"/>
        </w:rPr>
      </w:pPr>
    </w:p>
    <w:p w14:paraId="12109E78" w14:textId="1A6C79E4" w:rsidR="007A6529" w:rsidRDefault="007A6529" w:rsidP="00BE5DF5">
      <w:pPr>
        <w:pStyle w:val="ListParagraph"/>
        <w:ind w:left="0" w:firstLine="0"/>
        <w:jc w:val="left"/>
        <w:rPr>
          <w:sz w:val="26"/>
          <w:szCs w:val="26"/>
        </w:rPr>
      </w:pPr>
      <w:r>
        <w:rPr>
          <w:sz w:val="26"/>
          <w:szCs w:val="26"/>
        </w:rPr>
        <w:tab/>
      </w:r>
      <w:r>
        <w:rPr>
          <w:sz w:val="26"/>
          <w:szCs w:val="26"/>
        </w:rPr>
        <w:tab/>
        <w:t xml:space="preserve">Next, the ALJ stated that while an individual is permitted to represent themselves before the Commission, </w:t>
      </w:r>
      <w:r w:rsidR="00AD32FC">
        <w:rPr>
          <w:sz w:val="26"/>
          <w:szCs w:val="26"/>
        </w:rPr>
        <w:t xml:space="preserve">he or she </w:t>
      </w:r>
      <w:r>
        <w:rPr>
          <w:sz w:val="26"/>
          <w:szCs w:val="26"/>
        </w:rPr>
        <w:t xml:space="preserve">may not be represented by someone who is not an attorney.  </w:t>
      </w:r>
      <w:r w:rsidR="00AD32FC">
        <w:rPr>
          <w:sz w:val="26"/>
          <w:szCs w:val="26"/>
        </w:rPr>
        <w:t>I.D. at 5 (</w:t>
      </w:r>
      <w:r w:rsidR="00AD32FC" w:rsidRPr="00E64E3F">
        <w:rPr>
          <w:sz w:val="26"/>
          <w:szCs w:val="26"/>
        </w:rPr>
        <w:t>c</w:t>
      </w:r>
      <w:r w:rsidRPr="00E64E3F">
        <w:rPr>
          <w:sz w:val="26"/>
          <w:szCs w:val="26"/>
        </w:rPr>
        <w:t>iting</w:t>
      </w:r>
      <w:r>
        <w:rPr>
          <w:i/>
          <w:sz w:val="26"/>
          <w:szCs w:val="26"/>
        </w:rPr>
        <w:t xml:space="preserve"> </w:t>
      </w:r>
      <w:r>
        <w:rPr>
          <w:sz w:val="26"/>
          <w:szCs w:val="26"/>
        </w:rPr>
        <w:t>52 Pa. Code §§ 1.21-1.23</w:t>
      </w:r>
      <w:r w:rsidR="00AD32FC">
        <w:rPr>
          <w:sz w:val="26"/>
          <w:szCs w:val="26"/>
        </w:rPr>
        <w:t>)</w:t>
      </w:r>
      <w:r>
        <w:rPr>
          <w:sz w:val="26"/>
          <w:szCs w:val="26"/>
        </w:rPr>
        <w:t xml:space="preserve">.  In consideration of the circumstances of this matter, the ALJ explained that Ms. </w:t>
      </w:r>
      <w:proofErr w:type="spellStart"/>
      <w:r>
        <w:rPr>
          <w:sz w:val="26"/>
          <w:szCs w:val="26"/>
        </w:rPr>
        <w:t>Sch</w:t>
      </w:r>
      <w:r w:rsidR="004A6FA4">
        <w:rPr>
          <w:sz w:val="26"/>
          <w:szCs w:val="26"/>
        </w:rPr>
        <w:t>eaffer</w:t>
      </w:r>
      <w:proofErr w:type="spellEnd"/>
      <w:r w:rsidR="004A6FA4">
        <w:rPr>
          <w:sz w:val="26"/>
          <w:szCs w:val="26"/>
        </w:rPr>
        <w:t xml:space="preserve"> was identified and served as a witness on behalf of the account holder and </w:t>
      </w:r>
      <w:r w:rsidR="00EF556B">
        <w:rPr>
          <w:sz w:val="26"/>
          <w:szCs w:val="26"/>
        </w:rPr>
        <w:t xml:space="preserve">the </w:t>
      </w:r>
      <w:r w:rsidR="004A6FA4">
        <w:rPr>
          <w:sz w:val="26"/>
          <w:szCs w:val="26"/>
        </w:rPr>
        <w:t>Complainant, Mr.</w:t>
      </w:r>
      <w:r w:rsidR="007A7AF6">
        <w:rPr>
          <w:sz w:val="26"/>
          <w:szCs w:val="26"/>
        </w:rPr>
        <w:t> </w:t>
      </w:r>
      <w:proofErr w:type="spellStart"/>
      <w:r w:rsidR="004A6FA4">
        <w:rPr>
          <w:sz w:val="26"/>
          <w:szCs w:val="26"/>
        </w:rPr>
        <w:t>Scheaffer</w:t>
      </w:r>
      <w:proofErr w:type="spellEnd"/>
      <w:r w:rsidR="00456F1D">
        <w:rPr>
          <w:sz w:val="26"/>
          <w:szCs w:val="26"/>
        </w:rPr>
        <w:t>,</w:t>
      </w:r>
      <w:r w:rsidR="004A6FA4">
        <w:rPr>
          <w:sz w:val="26"/>
          <w:szCs w:val="26"/>
        </w:rPr>
        <w:t xml:space="preserve"> so as not to delay the adjudication of this Complaint.  The ALJ concluded that Ms.</w:t>
      </w:r>
      <w:r w:rsidR="007A7AF6">
        <w:rPr>
          <w:sz w:val="26"/>
          <w:szCs w:val="26"/>
        </w:rPr>
        <w:t> </w:t>
      </w:r>
      <w:proofErr w:type="spellStart"/>
      <w:r w:rsidR="004A6FA4">
        <w:rPr>
          <w:sz w:val="26"/>
          <w:szCs w:val="26"/>
        </w:rPr>
        <w:t>Scheaffer</w:t>
      </w:r>
      <w:proofErr w:type="spellEnd"/>
      <w:r w:rsidR="004A6FA4">
        <w:rPr>
          <w:sz w:val="26"/>
          <w:szCs w:val="26"/>
        </w:rPr>
        <w:t xml:space="preserve"> is a customer, and therefore a Complainant, and can properly prosecute the Complaint and testify in its support.  The ALJ explained that first, both Mr. </w:t>
      </w:r>
      <w:proofErr w:type="spellStart"/>
      <w:r w:rsidR="004A6FA4">
        <w:rPr>
          <w:sz w:val="26"/>
          <w:szCs w:val="26"/>
        </w:rPr>
        <w:t>Scheaffer</w:t>
      </w:r>
      <w:proofErr w:type="spellEnd"/>
      <w:r w:rsidR="004A6FA4">
        <w:rPr>
          <w:sz w:val="26"/>
          <w:szCs w:val="26"/>
        </w:rPr>
        <w:t xml:space="preserve"> and Ms. </w:t>
      </w:r>
      <w:proofErr w:type="spellStart"/>
      <w:r w:rsidR="004A6FA4">
        <w:rPr>
          <w:sz w:val="26"/>
          <w:szCs w:val="26"/>
        </w:rPr>
        <w:t>Scheaff</w:t>
      </w:r>
      <w:r w:rsidR="00EF556B">
        <w:rPr>
          <w:sz w:val="26"/>
          <w:szCs w:val="26"/>
        </w:rPr>
        <w:t>e</w:t>
      </w:r>
      <w:r w:rsidR="004A6FA4">
        <w:rPr>
          <w:sz w:val="26"/>
          <w:szCs w:val="26"/>
        </w:rPr>
        <w:t>r</w:t>
      </w:r>
      <w:proofErr w:type="spellEnd"/>
      <w:r w:rsidR="004A6FA4">
        <w:rPr>
          <w:sz w:val="26"/>
          <w:szCs w:val="26"/>
        </w:rPr>
        <w:t xml:space="preserve"> signed the Formal Complaint form and that Ms. </w:t>
      </w:r>
      <w:proofErr w:type="spellStart"/>
      <w:r w:rsidR="004A6FA4">
        <w:rPr>
          <w:sz w:val="26"/>
          <w:szCs w:val="26"/>
        </w:rPr>
        <w:t>Scheaffer</w:t>
      </w:r>
      <w:proofErr w:type="spellEnd"/>
      <w:r w:rsidR="004A6FA4">
        <w:rPr>
          <w:sz w:val="26"/>
          <w:szCs w:val="26"/>
        </w:rPr>
        <w:t xml:space="preserve"> resided at the residence during the time that the events </w:t>
      </w:r>
      <w:r w:rsidR="00E712BD">
        <w:rPr>
          <w:sz w:val="26"/>
          <w:szCs w:val="26"/>
        </w:rPr>
        <w:t xml:space="preserve">alleged in the Complaint </w:t>
      </w:r>
      <w:r w:rsidR="004A6FA4">
        <w:rPr>
          <w:sz w:val="26"/>
          <w:szCs w:val="26"/>
        </w:rPr>
        <w:t>were occurring and that she benefited from PPL’s electric service.  I.D. at 5.</w:t>
      </w:r>
    </w:p>
    <w:p w14:paraId="229C0B7B" w14:textId="77777777" w:rsidR="00102C6D" w:rsidRDefault="00102C6D" w:rsidP="009C75C4">
      <w:pPr>
        <w:pStyle w:val="ListParagraph"/>
        <w:ind w:left="0" w:firstLine="0"/>
        <w:jc w:val="both"/>
        <w:rPr>
          <w:sz w:val="26"/>
          <w:szCs w:val="26"/>
        </w:rPr>
      </w:pPr>
    </w:p>
    <w:p w14:paraId="577135C3" w14:textId="25DA9A1C" w:rsidR="00102C6D" w:rsidRDefault="006B14AE" w:rsidP="00046990">
      <w:pPr>
        <w:pStyle w:val="ListParagraph"/>
        <w:ind w:left="0" w:firstLine="0"/>
        <w:jc w:val="left"/>
        <w:rPr>
          <w:sz w:val="26"/>
          <w:szCs w:val="26"/>
        </w:rPr>
      </w:pPr>
      <w:r>
        <w:rPr>
          <w:sz w:val="26"/>
          <w:szCs w:val="26"/>
        </w:rPr>
        <w:tab/>
      </w:r>
      <w:r>
        <w:rPr>
          <w:sz w:val="26"/>
          <w:szCs w:val="26"/>
        </w:rPr>
        <w:tab/>
        <w:t xml:space="preserve">The ALJ next noted that while Ms. </w:t>
      </w:r>
      <w:proofErr w:type="spellStart"/>
      <w:r>
        <w:rPr>
          <w:sz w:val="26"/>
          <w:szCs w:val="26"/>
        </w:rPr>
        <w:t>Scheaffer</w:t>
      </w:r>
      <w:proofErr w:type="spellEnd"/>
      <w:r>
        <w:rPr>
          <w:sz w:val="26"/>
          <w:szCs w:val="26"/>
        </w:rPr>
        <w:t xml:space="preserve"> does not meet the definition of “customer” under </w:t>
      </w:r>
      <w:r w:rsidR="00456F1D">
        <w:rPr>
          <w:sz w:val="26"/>
          <w:szCs w:val="26"/>
        </w:rPr>
        <w:t xml:space="preserve">Section 1403 of </w:t>
      </w:r>
      <w:r>
        <w:rPr>
          <w:sz w:val="26"/>
          <w:szCs w:val="26"/>
        </w:rPr>
        <w:t>the Code, the ALJ indicated that the Commission’s Regulation defining “user without contract” is helpful and is defined as follows:</w:t>
      </w:r>
    </w:p>
    <w:p w14:paraId="2D287001" w14:textId="77777777" w:rsidR="006B14AE" w:rsidRDefault="006B14AE" w:rsidP="009C75C4">
      <w:pPr>
        <w:pStyle w:val="ListParagraph"/>
        <w:ind w:left="0" w:firstLine="0"/>
        <w:jc w:val="both"/>
        <w:rPr>
          <w:sz w:val="26"/>
          <w:szCs w:val="26"/>
        </w:rPr>
      </w:pPr>
    </w:p>
    <w:p w14:paraId="035D9B00" w14:textId="59ACE7D1" w:rsidR="006B14AE" w:rsidRDefault="006B14AE" w:rsidP="006B14AE">
      <w:pPr>
        <w:pStyle w:val="ListParagraph"/>
        <w:spacing w:line="240" w:lineRule="auto"/>
        <w:ind w:left="1440" w:right="1440" w:firstLine="0"/>
        <w:jc w:val="both"/>
        <w:rPr>
          <w:sz w:val="26"/>
          <w:szCs w:val="26"/>
        </w:rPr>
      </w:pPr>
      <w:r>
        <w:rPr>
          <w:sz w:val="26"/>
          <w:szCs w:val="26"/>
        </w:rPr>
        <w:t>A person as defined in 66 Pa. C.S. § 102 (relating to definitions) that takes or accepts public utility service without the knowledge or approval of the public utility, other than the unauthorized use of utility service as defined in this section.</w:t>
      </w:r>
    </w:p>
    <w:p w14:paraId="59462453" w14:textId="77777777" w:rsidR="00C91719" w:rsidRDefault="00C91719" w:rsidP="006B14AE">
      <w:pPr>
        <w:pStyle w:val="ListParagraph"/>
        <w:spacing w:line="240" w:lineRule="auto"/>
        <w:ind w:left="1440" w:right="1440" w:firstLine="0"/>
        <w:jc w:val="both"/>
        <w:rPr>
          <w:sz w:val="26"/>
          <w:szCs w:val="26"/>
        </w:rPr>
      </w:pPr>
    </w:p>
    <w:p w14:paraId="3910112A" w14:textId="77777777" w:rsidR="006B14AE" w:rsidRDefault="006B14AE" w:rsidP="006B14AE">
      <w:pPr>
        <w:pStyle w:val="ListParagraph"/>
        <w:ind w:left="1440" w:right="1440" w:firstLine="0"/>
        <w:jc w:val="both"/>
        <w:rPr>
          <w:sz w:val="26"/>
          <w:szCs w:val="26"/>
        </w:rPr>
      </w:pPr>
    </w:p>
    <w:p w14:paraId="386F3AA5" w14:textId="58A8A3C0" w:rsidR="006B14AE" w:rsidRDefault="006B14AE" w:rsidP="00046990">
      <w:pPr>
        <w:pStyle w:val="ListParagraph"/>
        <w:ind w:left="0" w:firstLine="0"/>
        <w:jc w:val="left"/>
        <w:rPr>
          <w:sz w:val="26"/>
          <w:szCs w:val="26"/>
        </w:rPr>
      </w:pPr>
      <w:r>
        <w:rPr>
          <w:sz w:val="26"/>
          <w:szCs w:val="26"/>
        </w:rPr>
        <w:t xml:space="preserve">52 Pa. Code § 56.2.  The ALJ referenced the Commission Order at </w:t>
      </w:r>
      <w:r>
        <w:rPr>
          <w:i/>
          <w:sz w:val="26"/>
          <w:szCs w:val="26"/>
        </w:rPr>
        <w:t>Rulemaking to Amend the Provisions of 52 Pa. Code, Chapter 56 to Comply with the Provisions of 66 Pa. C.S. Chapter 14</w:t>
      </w:r>
      <w:r w:rsidR="004648D8">
        <w:rPr>
          <w:i/>
          <w:sz w:val="26"/>
          <w:szCs w:val="26"/>
        </w:rPr>
        <w:t>; General Review of Regulations</w:t>
      </w:r>
      <w:r w:rsidR="004648D8">
        <w:rPr>
          <w:sz w:val="26"/>
          <w:szCs w:val="26"/>
        </w:rPr>
        <w:t>, Docket No. L-00060182 (Order entered June 13, 2011) (</w:t>
      </w:r>
      <w:r w:rsidR="004648D8">
        <w:rPr>
          <w:i/>
          <w:sz w:val="26"/>
          <w:szCs w:val="26"/>
        </w:rPr>
        <w:t>Chapter 14 Order</w:t>
      </w:r>
      <w:r w:rsidR="004648D8">
        <w:rPr>
          <w:sz w:val="26"/>
          <w:szCs w:val="26"/>
        </w:rPr>
        <w:t xml:space="preserve">) where in Attachment One, pages 26-31, the Commission discussed the definition of user without contract.  The ALJ stated that, according to the Commission, “[a] user without contract situation normally arises when the utility company chooses to let the service remain on </w:t>
      </w:r>
      <w:r w:rsidR="005F1F54">
        <w:rPr>
          <w:sz w:val="26"/>
          <w:szCs w:val="26"/>
        </w:rPr>
        <w:t xml:space="preserve">or </w:t>
      </w:r>
      <w:r w:rsidR="004648D8">
        <w:rPr>
          <w:sz w:val="26"/>
          <w:szCs w:val="26"/>
        </w:rPr>
        <w:t xml:space="preserve">after a ratepayer vacates a property and discontinues service.”  </w:t>
      </w:r>
      <w:r w:rsidR="004648D8" w:rsidRPr="004648D8">
        <w:rPr>
          <w:i/>
          <w:sz w:val="26"/>
          <w:szCs w:val="26"/>
        </w:rPr>
        <w:t>See</w:t>
      </w:r>
      <w:r w:rsidR="004648D8">
        <w:rPr>
          <w:i/>
          <w:sz w:val="26"/>
          <w:szCs w:val="26"/>
        </w:rPr>
        <w:t xml:space="preserve"> C</w:t>
      </w:r>
      <w:r w:rsidR="004648D8" w:rsidRPr="004648D8">
        <w:rPr>
          <w:i/>
          <w:sz w:val="26"/>
          <w:szCs w:val="26"/>
        </w:rPr>
        <w:t xml:space="preserve">hapter 14 </w:t>
      </w:r>
      <w:r w:rsidR="004648D8">
        <w:rPr>
          <w:i/>
          <w:sz w:val="26"/>
          <w:szCs w:val="26"/>
        </w:rPr>
        <w:t>O</w:t>
      </w:r>
      <w:r w:rsidR="004648D8" w:rsidRPr="004648D8">
        <w:rPr>
          <w:i/>
          <w:sz w:val="26"/>
          <w:szCs w:val="26"/>
        </w:rPr>
        <w:t>rder</w:t>
      </w:r>
      <w:r w:rsidR="004648D8" w:rsidRPr="004648D8">
        <w:rPr>
          <w:sz w:val="26"/>
          <w:szCs w:val="26"/>
        </w:rPr>
        <w:t>, Attachment One</w:t>
      </w:r>
      <w:r w:rsidR="004648D8">
        <w:rPr>
          <w:sz w:val="26"/>
          <w:szCs w:val="26"/>
        </w:rPr>
        <w:t xml:space="preserve"> at 29.  The ALJ noted that the Commission also stated that a user without contract situation can arise when a ratepayer moves from a property and a roommate remains at the premises.  </w:t>
      </w:r>
      <w:r w:rsidR="004648D8">
        <w:rPr>
          <w:i/>
          <w:sz w:val="26"/>
          <w:szCs w:val="26"/>
        </w:rPr>
        <w:t>See Id.</w:t>
      </w:r>
      <w:r w:rsidR="00267605">
        <w:rPr>
          <w:sz w:val="26"/>
          <w:szCs w:val="26"/>
        </w:rPr>
        <w:t xml:space="preserve">  I.D. at </w:t>
      </w:r>
      <w:r w:rsidR="00140F55">
        <w:rPr>
          <w:sz w:val="26"/>
          <w:szCs w:val="26"/>
        </w:rPr>
        <w:t>5-6.</w:t>
      </w:r>
    </w:p>
    <w:p w14:paraId="1E29A33C" w14:textId="77777777" w:rsidR="00140F55" w:rsidRDefault="00140F55" w:rsidP="006B14AE">
      <w:pPr>
        <w:pStyle w:val="ListParagraph"/>
        <w:ind w:left="0" w:firstLine="0"/>
        <w:jc w:val="both"/>
        <w:rPr>
          <w:sz w:val="26"/>
          <w:szCs w:val="26"/>
        </w:rPr>
      </w:pPr>
    </w:p>
    <w:p w14:paraId="3E67FFBA" w14:textId="77777777" w:rsidR="00140F55" w:rsidRDefault="00140F55" w:rsidP="00046990">
      <w:pPr>
        <w:pStyle w:val="ListParagraph"/>
        <w:ind w:left="0" w:firstLine="0"/>
        <w:jc w:val="left"/>
        <w:rPr>
          <w:sz w:val="26"/>
          <w:szCs w:val="26"/>
        </w:rPr>
      </w:pPr>
      <w:r>
        <w:rPr>
          <w:sz w:val="26"/>
          <w:szCs w:val="26"/>
        </w:rPr>
        <w:tab/>
      </w:r>
      <w:r w:rsidR="006562E1">
        <w:rPr>
          <w:sz w:val="26"/>
          <w:szCs w:val="26"/>
        </w:rPr>
        <w:tab/>
      </w:r>
      <w:r>
        <w:rPr>
          <w:sz w:val="26"/>
          <w:szCs w:val="26"/>
        </w:rPr>
        <w:t xml:space="preserve">However, the ALJ further explained that the Commission also acknowledged that a user without contract scenario arises in general when an individual receives service without the explicit approval of the utility which would appear to be the case in the instant matter.  According to the ALJ, while the evidence of record indicates that the account in this matter is in the name of Mr. </w:t>
      </w:r>
      <w:proofErr w:type="spellStart"/>
      <w:r>
        <w:rPr>
          <w:sz w:val="26"/>
          <w:szCs w:val="26"/>
        </w:rPr>
        <w:t>Scheaffer</w:t>
      </w:r>
      <w:proofErr w:type="spellEnd"/>
      <w:r>
        <w:rPr>
          <w:sz w:val="26"/>
          <w:szCs w:val="26"/>
        </w:rPr>
        <w:t xml:space="preserve">, Ms. </w:t>
      </w:r>
      <w:proofErr w:type="spellStart"/>
      <w:r>
        <w:rPr>
          <w:sz w:val="26"/>
          <w:szCs w:val="26"/>
        </w:rPr>
        <w:t>Scheaffer</w:t>
      </w:r>
      <w:proofErr w:type="spellEnd"/>
      <w:r w:rsidR="00EF556B">
        <w:rPr>
          <w:sz w:val="26"/>
          <w:szCs w:val="26"/>
        </w:rPr>
        <w:t>,</w:t>
      </w:r>
      <w:r>
        <w:rPr>
          <w:sz w:val="26"/>
          <w:szCs w:val="26"/>
        </w:rPr>
        <w:t xml:space="preserve"> as a resident of the service address since at least 2011, has been receiving the use and benefit of PPL’s electric service without the explicit approval of the </w:t>
      </w:r>
      <w:r w:rsidR="00EF556B">
        <w:rPr>
          <w:sz w:val="26"/>
          <w:szCs w:val="26"/>
        </w:rPr>
        <w:t>C</w:t>
      </w:r>
      <w:r>
        <w:rPr>
          <w:sz w:val="26"/>
          <w:szCs w:val="26"/>
        </w:rPr>
        <w:t xml:space="preserve">ompany.  Therefore, the ALJ found that Ms. </w:t>
      </w:r>
      <w:proofErr w:type="spellStart"/>
      <w:r>
        <w:rPr>
          <w:sz w:val="26"/>
          <w:szCs w:val="26"/>
        </w:rPr>
        <w:t>Scheaffer</w:t>
      </w:r>
      <w:proofErr w:type="spellEnd"/>
      <w:r>
        <w:rPr>
          <w:sz w:val="26"/>
          <w:szCs w:val="26"/>
        </w:rPr>
        <w:t xml:space="preserve"> meets the definition of a user without contract.  I.</w:t>
      </w:r>
      <w:r w:rsidR="00EF556B">
        <w:rPr>
          <w:sz w:val="26"/>
          <w:szCs w:val="26"/>
        </w:rPr>
        <w:t>D</w:t>
      </w:r>
      <w:r>
        <w:rPr>
          <w:sz w:val="26"/>
          <w:szCs w:val="26"/>
        </w:rPr>
        <w:t>. at 6.</w:t>
      </w:r>
    </w:p>
    <w:p w14:paraId="0A37119E" w14:textId="03A182C6" w:rsidR="006562E1" w:rsidRDefault="006562E1" w:rsidP="00046990">
      <w:pPr>
        <w:pStyle w:val="ListParagraph"/>
        <w:ind w:left="0" w:firstLine="0"/>
        <w:jc w:val="left"/>
        <w:rPr>
          <w:sz w:val="26"/>
          <w:szCs w:val="26"/>
        </w:rPr>
      </w:pPr>
      <w:r>
        <w:rPr>
          <w:sz w:val="26"/>
          <w:szCs w:val="26"/>
        </w:rPr>
        <w:tab/>
      </w:r>
      <w:r>
        <w:rPr>
          <w:sz w:val="26"/>
          <w:szCs w:val="26"/>
        </w:rPr>
        <w:tab/>
        <w:t xml:space="preserve">Next, the ALJ noted that the </w:t>
      </w:r>
      <w:r>
        <w:rPr>
          <w:i/>
          <w:sz w:val="26"/>
          <w:szCs w:val="26"/>
        </w:rPr>
        <w:t>Chapter 14 Order</w:t>
      </w:r>
      <w:r>
        <w:rPr>
          <w:sz w:val="26"/>
          <w:szCs w:val="26"/>
        </w:rPr>
        <w:t>, does not indicate whether a “user without contract” is actually a “customer” of the utility.  As such, the ALJ referenced PPL’s Tariff Rule 2 which provides in relevant part as follows:</w:t>
      </w:r>
    </w:p>
    <w:p w14:paraId="6622A9F6" w14:textId="77777777" w:rsidR="00046990" w:rsidRDefault="00046990" w:rsidP="00046990">
      <w:pPr>
        <w:pStyle w:val="ListParagraph"/>
        <w:ind w:left="0" w:firstLine="0"/>
        <w:jc w:val="left"/>
        <w:rPr>
          <w:sz w:val="26"/>
          <w:szCs w:val="26"/>
        </w:rPr>
      </w:pPr>
    </w:p>
    <w:p w14:paraId="7DAB846E" w14:textId="77777777" w:rsidR="006562E1" w:rsidRPr="00CE148F"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 xml:space="preserve">RULES FOR ELECTRIC SERVICE </w:t>
      </w:r>
    </w:p>
    <w:p w14:paraId="38046C58" w14:textId="77777777" w:rsidR="00CE148F"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RULE 2 - REQUIREMENTS FOR SERVICE</w:t>
      </w:r>
    </w:p>
    <w:p w14:paraId="1CBD3387" w14:textId="77777777" w:rsidR="006562E1" w:rsidRPr="00CE148F"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 xml:space="preserve"> </w:t>
      </w:r>
    </w:p>
    <w:p w14:paraId="216E876E" w14:textId="77777777" w:rsidR="00CE148F"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B. SERVICE CONTRACTS</w:t>
      </w:r>
    </w:p>
    <w:p w14:paraId="284E4215" w14:textId="77777777" w:rsidR="006562E1" w:rsidRPr="00CE148F"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 xml:space="preserve"> </w:t>
      </w:r>
    </w:p>
    <w:p w14:paraId="5D49DF2B" w14:textId="17E211E3" w:rsidR="006562E1" w:rsidRDefault="006562E1" w:rsidP="00CE148F">
      <w:pPr>
        <w:autoSpaceDE w:val="0"/>
        <w:autoSpaceDN w:val="0"/>
        <w:adjustRightInd w:val="0"/>
        <w:spacing w:line="240" w:lineRule="auto"/>
        <w:ind w:left="1440" w:right="1440" w:firstLine="0"/>
        <w:jc w:val="left"/>
        <w:rPr>
          <w:rFonts w:eastAsiaTheme="minorHAnsi"/>
          <w:color w:val="000000"/>
          <w:sz w:val="26"/>
          <w:szCs w:val="26"/>
        </w:rPr>
      </w:pPr>
      <w:r w:rsidRPr="00CE148F">
        <w:rPr>
          <w:rFonts w:eastAsiaTheme="minorHAnsi"/>
          <w:color w:val="000000"/>
          <w:sz w:val="26"/>
          <w:szCs w:val="26"/>
        </w:rPr>
        <w:t xml:space="preserve">(3) Acceptance or use of service is deemed a request for the supply of such service and constitutes a contract to pay for the service under these rules and the applicable rate schedule. </w:t>
      </w:r>
      <w:r w:rsidRPr="00CE148F">
        <w:rPr>
          <w:rFonts w:eastAsiaTheme="minorHAnsi"/>
          <w:color w:val="000000"/>
          <w:sz w:val="26"/>
          <w:szCs w:val="26"/>
          <w:u w:val="single"/>
        </w:rPr>
        <w:t>The receipt of electric service makes the receiver a customer of the Company.</w:t>
      </w:r>
      <w:r w:rsidRPr="00CE148F">
        <w:rPr>
          <w:rFonts w:eastAsiaTheme="minorHAnsi"/>
          <w:color w:val="000000"/>
          <w:sz w:val="26"/>
          <w:szCs w:val="26"/>
        </w:rPr>
        <w:t xml:space="preserve"> (Emphasis added.)</w:t>
      </w:r>
    </w:p>
    <w:p w14:paraId="56D4FDF7" w14:textId="77777777" w:rsidR="00C91719" w:rsidRDefault="00C91719" w:rsidP="00CE148F">
      <w:pPr>
        <w:autoSpaceDE w:val="0"/>
        <w:autoSpaceDN w:val="0"/>
        <w:adjustRightInd w:val="0"/>
        <w:spacing w:line="240" w:lineRule="auto"/>
        <w:ind w:left="1440" w:right="1440" w:firstLine="0"/>
        <w:jc w:val="left"/>
        <w:rPr>
          <w:rFonts w:eastAsiaTheme="minorHAnsi"/>
          <w:color w:val="000000"/>
          <w:sz w:val="26"/>
          <w:szCs w:val="26"/>
        </w:rPr>
      </w:pPr>
    </w:p>
    <w:p w14:paraId="76034FA8" w14:textId="77777777" w:rsidR="004A2914" w:rsidRPr="00CE148F" w:rsidRDefault="004A2914" w:rsidP="004A2914">
      <w:pPr>
        <w:autoSpaceDE w:val="0"/>
        <w:autoSpaceDN w:val="0"/>
        <w:adjustRightInd w:val="0"/>
        <w:ind w:left="1440" w:right="1440" w:firstLine="0"/>
        <w:jc w:val="left"/>
        <w:rPr>
          <w:rFonts w:eastAsiaTheme="minorHAnsi"/>
          <w:color w:val="000000"/>
          <w:sz w:val="26"/>
          <w:szCs w:val="26"/>
        </w:rPr>
      </w:pPr>
    </w:p>
    <w:p w14:paraId="7813D477" w14:textId="127F604C" w:rsidR="006562E1" w:rsidRDefault="00CE148F" w:rsidP="00CE148F">
      <w:pPr>
        <w:pStyle w:val="ListParagraph"/>
        <w:ind w:left="0" w:firstLine="1440"/>
        <w:jc w:val="left"/>
        <w:rPr>
          <w:sz w:val="26"/>
          <w:szCs w:val="26"/>
        </w:rPr>
      </w:pPr>
      <w:r>
        <w:rPr>
          <w:rFonts w:eastAsiaTheme="minorHAnsi"/>
          <w:color w:val="000000"/>
          <w:sz w:val="26"/>
          <w:szCs w:val="26"/>
        </w:rPr>
        <w:t>T</w:t>
      </w:r>
      <w:r w:rsidR="006562E1" w:rsidRPr="00CE148F">
        <w:rPr>
          <w:rFonts w:eastAsiaTheme="minorHAnsi"/>
          <w:color w:val="000000"/>
          <w:sz w:val="26"/>
          <w:szCs w:val="26"/>
        </w:rPr>
        <w:t>herefore</w:t>
      </w:r>
      <w:r>
        <w:rPr>
          <w:rFonts w:eastAsiaTheme="minorHAnsi"/>
          <w:color w:val="000000"/>
          <w:sz w:val="26"/>
          <w:szCs w:val="26"/>
        </w:rPr>
        <w:t xml:space="preserve">, the ALJ found that it was </w:t>
      </w:r>
      <w:r w:rsidR="006562E1" w:rsidRPr="00CE148F">
        <w:rPr>
          <w:rFonts w:eastAsiaTheme="minorHAnsi"/>
          <w:color w:val="000000"/>
          <w:sz w:val="26"/>
          <w:szCs w:val="26"/>
        </w:rPr>
        <w:t xml:space="preserve">reasonable to conclude that as a resident of the service address since at least 2011, and a recipient of </w:t>
      </w:r>
      <w:r>
        <w:rPr>
          <w:rFonts w:eastAsiaTheme="minorHAnsi"/>
          <w:color w:val="000000"/>
          <w:sz w:val="26"/>
          <w:szCs w:val="26"/>
        </w:rPr>
        <w:t>PPL</w:t>
      </w:r>
      <w:r w:rsidR="006562E1" w:rsidRPr="00CE148F">
        <w:rPr>
          <w:rFonts w:eastAsiaTheme="minorHAnsi"/>
          <w:color w:val="000000"/>
          <w:sz w:val="26"/>
          <w:szCs w:val="26"/>
        </w:rPr>
        <w:t xml:space="preserve">’s electric service since that time, Ms. </w:t>
      </w:r>
      <w:proofErr w:type="spellStart"/>
      <w:r w:rsidR="006562E1" w:rsidRPr="00CE148F">
        <w:rPr>
          <w:rFonts w:eastAsiaTheme="minorHAnsi"/>
          <w:color w:val="000000"/>
          <w:sz w:val="26"/>
          <w:szCs w:val="26"/>
        </w:rPr>
        <w:t>Scheaffer</w:t>
      </w:r>
      <w:proofErr w:type="spellEnd"/>
      <w:r w:rsidR="006562E1" w:rsidRPr="00CE148F">
        <w:rPr>
          <w:rFonts w:eastAsiaTheme="minorHAnsi"/>
          <w:color w:val="000000"/>
          <w:sz w:val="26"/>
          <w:szCs w:val="26"/>
        </w:rPr>
        <w:t xml:space="preserve"> qualifies as a customer in her relationship with the </w:t>
      </w:r>
      <w:r>
        <w:rPr>
          <w:rFonts w:eastAsiaTheme="minorHAnsi"/>
          <w:color w:val="000000"/>
          <w:sz w:val="26"/>
          <w:szCs w:val="26"/>
        </w:rPr>
        <w:t>Company</w:t>
      </w:r>
      <w:r w:rsidR="006562E1" w:rsidRPr="00CE148F">
        <w:rPr>
          <w:rFonts w:eastAsiaTheme="minorHAnsi"/>
          <w:color w:val="000000"/>
          <w:sz w:val="26"/>
          <w:szCs w:val="26"/>
        </w:rPr>
        <w:t xml:space="preserve"> under its applicable </w:t>
      </w:r>
      <w:r>
        <w:rPr>
          <w:rFonts w:eastAsiaTheme="minorHAnsi"/>
          <w:color w:val="000000"/>
          <w:sz w:val="26"/>
          <w:szCs w:val="26"/>
        </w:rPr>
        <w:t>T</w:t>
      </w:r>
      <w:r w:rsidR="006562E1" w:rsidRPr="00CE148F">
        <w:rPr>
          <w:rFonts w:eastAsiaTheme="minorHAnsi"/>
          <w:color w:val="000000"/>
          <w:sz w:val="26"/>
          <w:szCs w:val="26"/>
        </w:rPr>
        <w:t>ariff language.</w:t>
      </w:r>
      <w:r>
        <w:rPr>
          <w:rFonts w:eastAsiaTheme="minorHAnsi"/>
          <w:color w:val="000000"/>
          <w:sz w:val="26"/>
          <w:szCs w:val="26"/>
        </w:rPr>
        <w:t xml:space="preserve">  I.D. at 7.</w:t>
      </w:r>
      <w:r w:rsidR="0081153B">
        <w:rPr>
          <w:rFonts w:eastAsiaTheme="minorHAnsi"/>
          <w:color w:val="000000"/>
          <w:sz w:val="26"/>
          <w:szCs w:val="26"/>
        </w:rPr>
        <w:t xml:space="preserve">  The ALJ further found that a</w:t>
      </w:r>
      <w:r w:rsidR="0081153B" w:rsidRPr="0081153B">
        <w:rPr>
          <w:sz w:val="26"/>
          <w:szCs w:val="26"/>
        </w:rPr>
        <w:t xml:space="preserve">s a customer, and a signatory to the </w:t>
      </w:r>
      <w:r w:rsidR="0081153B">
        <w:rPr>
          <w:sz w:val="26"/>
          <w:szCs w:val="26"/>
        </w:rPr>
        <w:t>C</w:t>
      </w:r>
      <w:r w:rsidR="0081153B" w:rsidRPr="0081153B">
        <w:rPr>
          <w:sz w:val="26"/>
          <w:szCs w:val="26"/>
        </w:rPr>
        <w:t xml:space="preserve">omplaint, Ms. </w:t>
      </w:r>
      <w:proofErr w:type="spellStart"/>
      <w:r w:rsidR="0081153B" w:rsidRPr="0081153B">
        <w:rPr>
          <w:sz w:val="26"/>
          <w:szCs w:val="26"/>
        </w:rPr>
        <w:t>Scheaffer’s</w:t>
      </w:r>
      <w:proofErr w:type="spellEnd"/>
      <w:r w:rsidR="0081153B" w:rsidRPr="0081153B">
        <w:rPr>
          <w:sz w:val="26"/>
          <w:szCs w:val="26"/>
        </w:rPr>
        <w:t xml:space="preserve"> role in this matter is clearly that of a complainant. </w:t>
      </w:r>
      <w:r w:rsidR="0028758D">
        <w:rPr>
          <w:sz w:val="26"/>
          <w:szCs w:val="26"/>
        </w:rPr>
        <w:t xml:space="preserve"> </w:t>
      </w:r>
      <w:r w:rsidR="0081153B">
        <w:rPr>
          <w:sz w:val="26"/>
          <w:szCs w:val="26"/>
        </w:rPr>
        <w:t>According to the ALJ, t</w:t>
      </w:r>
      <w:r w:rsidR="0081153B" w:rsidRPr="0081153B">
        <w:rPr>
          <w:sz w:val="26"/>
          <w:szCs w:val="26"/>
        </w:rPr>
        <w:t xml:space="preserve">he mere fact that the account is listed only in the name of Mr. </w:t>
      </w:r>
      <w:proofErr w:type="spellStart"/>
      <w:r w:rsidR="0081153B" w:rsidRPr="0081153B">
        <w:rPr>
          <w:sz w:val="26"/>
          <w:szCs w:val="26"/>
        </w:rPr>
        <w:t>Scheaffer</w:t>
      </w:r>
      <w:proofErr w:type="spellEnd"/>
      <w:r w:rsidR="0081153B" w:rsidRPr="0081153B">
        <w:rPr>
          <w:sz w:val="26"/>
          <w:szCs w:val="26"/>
        </w:rPr>
        <w:t xml:space="preserve">, and he has unfortunately passed away prior to the hearing in this matter, is of no consequence to the adjudication of the </w:t>
      </w:r>
      <w:r w:rsidR="0081153B">
        <w:rPr>
          <w:sz w:val="26"/>
          <w:szCs w:val="26"/>
        </w:rPr>
        <w:t>C</w:t>
      </w:r>
      <w:r w:rsidR="0081153B" w:rsidRPr="0081153B">
        <w:rPr>
          <w:sz w:val="26"/>
          <w:szCs w:val="26"/>
        </w:rPr>
        <w:t xml:space="preserve">omplaint. </w:t>
      </w:r>
      <w:r w:rsidR="0081153B">
        <w:rPr>
          <w:sz w:val="26"/>
          <w:szCs w:val="26"/>
        </w:rPr>
        <w:t xml:space="preserve"> He explained that </w:t>
      </w:r>
      <w:r w:rsidR="0081153B" w:rsidRPr="0081153B">
        <w:rPr>
          <w:sz w:val="26"/>
          <w:szCs w:val="26"/>
        </w:rPr>
        <w:t xml:space="preserve">Ms. </w:t>
      </w:r>
      <w:proofErr w:type="spellStart"/>
      <w:r w:rsidR="0081153B" w:rsidRPr="0081153B">
        <w:rPr>
          <w:sz w:val="26"/>
          <w:szCs w:val="26"/>
        </w:rPr>
        <w:t>Scheaffer</w:t>
      </w:r>
      <w:proofErr w:type="spellEnd"/>
      <w:r w:rsidR="0081153B" w:rsidRPr="0081153B">
        <w:rPr>
          <w:sz w:val="26"/>
          <w:szCs w:val="26"/>
        </w:rPr>
        <w:t xml:space="preserve"> did appear at the hearing to prosecute the </w:t>
      </w:r>
      <w:r w:rsidR="0081153B">
        <w:rPr>
          <w:sz w:val="26"/>
          <w:szCs w:val="26"/>
        </w:rPr>
        <w:t>C</w:t>
      </w:r>
      <w:r w:rsidR="0081153B" w:rsidRPr="0081153B">
        <w:rPr>
          <w:sz w:val="26"/>
          <w:szCs w:val="26"/>
        </w:rPr>
        <w:t>omplaint and offer</w:t>
      </w:r>
      <w:r w:rsidR="0081153B">
        <w:rPr>
          <w:sz w:val="26"/>
          <w:szCs w:val="26"/>
        </w:rPr>
        <w:t>ed</w:t>
      </w:r>
      <w:r w:rsidR="0081153B" w:rsidRPr="0081153B">
        <w:rPr>
          <w:sz w:val="26"/>
          <w:szCs w:val="26"/>
        </w:rPr>
        <w:t xml:space="preserve"> testimony regarding its merits.</w:t>
      </w:r>
      <w:r w:rsidR="0081153B">
        <w:rPr>
          <w:sz w:val="26"/>
          <w:szCs w:val="26"/>
        </w:rPr>
        <w:t xml:space="preserve"> </w:t>
      </w:r>
      <w:r w:rsidR="0081153B" w:rsidRPr="0081153B">
        <w:rPr>
          <w:sz w:val="26"/>
          <w:szCs w:val="26"/>
        </w:rPr>
        <w:t xml:space="preserve"> </w:t>
      </w:r>
      <w:r w:rsidR="0081153B">
        <w:rPr>
          <w:sz w:val="26"/>
          <w:szCs w:val="26"/>
        </w:rPr>
        <w:t xml:space="preserve">Accordingly, the ALJ concluded that </w:t>
      </w:r>
      <w:r w:rsidR="0081153B" w:rsidRPr="0081153B">
        <w:rPr>
          <w:sz w:val="26"/>
          <w:szCs w:val="26"/>
        </w:rPr>
        <w:t>Ms.</w:t>
      </w:r>
      <w:r w:rsidR="00DF772A">
        <w:rPr>
          <w:sz w:val="26"/>
          <w:szCs w:val="26"/>
        </w:rPr>
        <w:t> </w:t>
      </w:r>
      <w:proofErr w:type="spellStart"/>
      <w:r w:rsidR="0081153B" w:rsidRPr="0081153B">
        <w:rPr>
          <w:sz w:val="26"/>
          <w:szCs w:val="26"/>
        </w:rPr>
        <w:t>Scheaffer</w:t>
      </w:r>
      <w:proofErr w:type="spellEnd"/>
      <w:r w:rsidR="0081153B" w:rsidRPr="0081153B">
        <w:rPr>
          <w:sz w:val="26"/>
          <w:szCs w:val="26"/>
        </w:rPr>
        <w:t xml:space="preserve"> w</w:t>
      </w:r>
      <w:r w:rsidR="0081153B">
        <w:rPr>
          <w:sz w:val="26"/>
          <w:szCs w:val="26"/>
        </w:rPr>
        <w:t>ould</w:t>
      </w:r>
      <w:r w:rsidR="0081153B" w:rsidRPr="0081153B">
        <w:rPr>
          <w:sz w:val="26"/>
          <w:szCs w:val="26"/>
        </w:rPr>
        <w:t xml:space="preserve"> be referred to as </w:t>
      </w:r>
      <w:r w:rsidR="0081153B">
        <w:rPr>
          <w:sz w:val="26"/>
          <w:szCs w:val="26"/>
        </w:rPr>
        <w:t xml:space="preserve">the </w:t>
      </w:r>
      <w:r w:rsidR="0081153B" w:rsidRPr="0081153B">
        <w:rPr>
          <w:sz w:val="26"/>
          <w:szCs w:val="26"/>
        </w:rPr>
        <w:t>Complainant</w:t>
      </w:r>
      <w:r w:rsidR="00AD32FC">
        <w:rPr>
          <w:sz w:val="26"/>
          <w:szCs w:val="26"/>
        </w:rPr>
        <w:t xml:space="preserve"> in the Initial Decision</w:t>
      </w:r>
      <w:r w:rsidR="0081153B" w:rsidRPr="0081153B">
        <w:rPr>
          <w:sz w:val="26"/>
          <w:szCs w:val="26"/>
        </w:rPr>
        <w:t>.</w:t>
      </w:r>
      <w:r w:rsidR="0081153B">
        <w:rPr>
          <w:sz w:val="26"/>
          <w:szCs w:val="26"/>
        </w:rPr>
        <w:t xml:space="preserve">  </w:t>
      </w:r>
      <w:r w:rsidR="0081153B">
        <w:rPr>
          <w:i/>
          <w:sz w:val="26"/>
          <w:szCs w:val="26"/>
        </w:rPr>
        <w:t>Id.</w:t>
      </w:r>
    </w:p>
    <w:p w14:paraId="2BCAE3ED" w14:textId="77777777" w:rsidR="00151902" w:rsidRDefault="00151902" w:rsidP="00CE148F">
      <w:pPr>
        <w:pStyle w:val="ListParagraph"/>
        <w:ind w:left="0" w:firstLine="1440"/>
        <w:jc w:val="left"/>
        <w:rPr>
          <w:rFonts w:eastAsiaTheme="minorHAnsi"/>
          <w:color w:val="000000"/>
          <w:sz w:val="26"/>
          <w:szCs w:val="26"/>
        </w:rPr>
      </w:pPr>
    </w:p>
    <w:p w14:paraId="2196B6F8" w14:textId="4CA77D22" w:rsidR="00151902" w:rsidRDefault="00151902" w:rsidP="00CE148F">
      <w:pPr>
        <w:pStyle w:val="ListParagraph"/>
        <w:ind w:left="0" w:firstLine="1440"/>
        <w:jc w:val="left"/>
        <w:rPr>
          <w:rFonts w:eastAsiaTheme="minorHAnsi"/>
          <w:color w:val="000000"/>
          <w:sz w:val="26"/>
          <w:szCs w:val="26"/>
        </w:rPr>
      </w:pPr>
      <w:r>
        <w:rPr>
          <w:rFonts w:eastAsiaTheme="minorHAnsi"/>
          <w:color w:val="000000"/>
          <w:sz w:val="26"/>
          <w:szCs w:val="26"/>
        </w:rPr>
        <w:t xml:space="preserve">Regarding the merits of the Complaint itself, the ALJ noted that the Complainant does not dispute the accuracy of the charges or the outstanding balance of the account associated with her residence.  The ALJ stated that the Complainant’s testimony indicated that her “biggest issue” was PPL’s alleged failure or refusal to accept certain payments which she attempted to make towards the outstanding account balance.  </w:t>
      </w:r>
      <w:r>
        <w:rPr>
          <w:rFonts w:eastAsiaTheme="minorHAnsi"/>
          <w:i/>
          <w:color w:val="000000"/>
          <w:sz w:val="26"/>
          <w:szCs w:val="26"/>
        </w:rPr>
        <w:t>See</w:t>
      </w:r>
      <w:r>
        <w:rPr>
          <w:rFonts w:eastAsiaTheme="minorHAnsi"/>
          <w:color w:val="000000"/>
          <w:sz w:val="26"/>
          <w:szCs w:val="26"/>
        </w:rPr>
        <w:t xml:space="preserve"> Tr. at 22-23.  As such, the ALJ found that the issue raised by the Complainant is best described as an allegation of “unreasonable service” by the Company, which equates to a violation of 66 Pa. C.S. § 1501</w:t>
      </w:r>
      <w:r w:rsidR="00F3455B">
        <w:rPr>
          <w:rFonts w:eastAsiaTheme="minorHAnsi"/>
          <w:color w:val="000000"/>
          <w:sz w:val="26"/>
          <w:szCs w:val="26"/>
        </w:rPr>
        <w:t xml:space="preserve">.  However, the ALJ stated that the only evidence presented by the Complainant in support of </w:t>
      </w:r>
      <w:r w:rsidR="00AD32FC">
        <w:rPr>
          <w:rFonts w:eastAsiaTheme="minorHAnsi"/>
          <w:color w:val="000000"/>
          <w:sz w:val="26"/>
          <w:szCs w:val="26"/>
        </w:rPr>
        <w:t xml:space="preserve">the </w:t>
      </w:r>
      <w:r w:rsidR="00F3455B">
        <w:rPr>
          <w:rFonts w:eastAsiaTheme="minorHAnsi"/>
          <w:color w:val="000000"/>
          <w:sz w:val="26"/>
          <w:szCs w:val="26"/>
        </w:rPr>
        <w:t xml:space="preserve">allegations of unreasonable service was her testimony that she made various attempts by either telephone or via PPL’s online payment system on the following dates:  November 15, 2015, July of 2016 and November of 2016.  </w:t>
      </w:r>
      <w:r w:rsidR="00F3455B">
        <w:rPr>
          <w:rFonts w:eastAsiaTheme="minorHAnsi"/>
          <w:i/>
          <w:color w:val="000000"/>
          <w:sz w:val="26"/>
          <w:szCs w:val="26"/>
        </w:rPr>
        <w:t xml:space="preserve">See </w:t>
      </w:r>
      <w:r w:rsidR="00F3455B">
        <w:rPr>
          <w:rFonts w:eastAsiaTheme="minorHAnsi"/>
          <w:color w:val="000000"/>
          <w:sz w:val="26"/>
          <w:szCs w:val="26"/>
        </w:rPr>
        <w:t xml:space="preserve">Tr. at 19. </w:t>
      </w:r>
      <w:r w:rsidR="00DA21CF">
        <w:rPr>
          <w:rFonts w:eastAsiaTheme="minorHAnsi"/>
          <w:color w:val="000000"/>
          <w:sz w:val="26"/>
          <w:szCs w:val="26"/>
        </w:rPr>
        <w:t xml:space="preserve"> I.D. at 8-9.</w:t>
      </w:r>
    </w:p>
    <w:p w14:paraId="2DF60097" w14:textId="77777777" w:rsidR="00F3455B" w:rsidRDefault="00F3455B" w:rsidP="00CE148F">
      <w:pPr>
        <w:pStyle w:val="ListParagraph"/>
        <w:ind w:left="0" w:firstLine="1440"/>
        <w:jc w:val="left"/>
        <w:rPr>
          <w:rFonts w:eastAsiaTheme="minorHAnsi"/>
          <w:color w:val="000000"/>
          <w:sz w:val="26"/>
          <w:szCs w:val="26"/>
        </w:rPr>
      </w:pPr>
    </w:p>
    <w:p w14:paraId="6F0D932E" w14:textId="770D014D" w:rsidR="00046990" w:rsidRDefault="00F3455B" w:rsidP="00C91719">
      <w:pPr>
        <w:pStyle w:val="ListParagraph"/>
        <w:ind w:left="0" w:firstLine="1440"/>
        <w:jc w:val="left"/>
        <w:rPr>
          <w:rFonts w:eastAsiaTheme="minorHAnsi"/>
          <w:color w:val="000000"/>
          <w:sz w:val="26"/>
          <w:szCs w:val="26"/>
        </w:rPr>
      </w:pPr>
      <w:r>
        <w:rPr>
          <w:rFonts w:eastAsiaTheme="minorHAnsi"/>
          <w:color w:val="000000"/>
          <w:sz w:val="26"/>
          <w:szCs w:val="26"/>
        </w:rPr>
        <w:t xml:space="preserve">Next, the ALJ found that PPL contradicted the Complainant’s assertions as the Company’s computer system and account contact history records keeps track of both successful and unsuccessful attempts by a customer to make a payment through either of those methods.  The ALJ pointed out that </w:t>
      </w:r>
      <w:r w:rsidR="00B0085B">
        <w:rPr>
          <w:rFonts w:eastAsiaTheme="minorHAnsi"/>
          <w:color w:val="000000"/>
          <w:sz w:val="26"/>
          <w:szCs w:val="26"/>
        </w:rPr>
        <w:t xml:space="preserve">according to </w:t>
      </w:r>
      <w:r>
        <w:rPr>
          <w:rFonts w:eastAsiaTheme="minorHAnsi"/>
          <w:color w:val="000000"/>
          <w:sz w:val="26"/>
          <w:szCs w:val="26"/>
        </w:rPr>
        <w:t xml:space="preserve">PPL’s records, there was no evidence showing that any unsuccessful attempts were made to make payments on the </w:t>
      </w:r>
      <w:r w:rsidR="00B0085B">
        <w:rPr>
          <w:rFonts w:eastAsiaTheme="minorHAnsi"/>
          <w:color w:val="000000"/>
          <w:sz w:val="26"/>
          <w:szCs w:val="26"/>
        </w:rPr>
        <w:t xml:space="preserve">Complainant’s </w:t>
      </w:r>
      <w:r>
        <w:rPr>
          <w:rFonts w:eastAsiaTheme="minorHAnsi"/>
          <w:color w:val="000000"/>
          <w:sz w:val="26"/>
          <w:szCs w:val="26"/>
        </w:rPr>
        <w:t xml:space="preserve">account during any of the months the </w:t>
      </w:r>
      <w:r w:rsidR="00B0085B">
        <w:rPr>
          <w:rFonts w:eastAsiaTheme="minorHAnsi"/>
          <w:color w:val="000000"/>
          <w:sz w:val="26"/>
          <w:szCs w:val="26"/>
        </w:rPr>
        <w:t>C</w:t>
      </w:r>
      <w:r>
        <w:rPr>
          <w:rFonts w:eastAsiaTheme="minorHAnsi"/>
          <w:color w:val="000000"/>
          <w:sz w:val="26"/>
          <w:szCs w:val="26"/>
        </w:rPr>
        <w:t>omplainant alleged payments were refused by PPL’s systems.</w:t>
      </w:r>
      <w:r w:rsidR="00DA21CF">
        <w:rPr>
          <w:rFonts w:eastAsiaTheme="minorHAnsi"/>
          <w:color w:val="000000"/>
          <w:sz w:val="26"/>
          <w:szCs w:val="26"/>
        </w:rPr>
        <w:t xml:space="preserve">  Also, the ALJ referenced testimony from PPL that asserted that should a customer encounter an issue with attempting to make a payment through the Company’s system, the customer would be forwarded to a customer service representative.  Furthermore, the ALJ noted that according to PPL’s records, the Company did in fact receive payments on the account during the months the Complainant alleged her payments were refused by the Company.  Based upon this evidence, the ALJ concluded that the Complainant failed to meet her burden of proof in showing that PPL has engaged in any unreasonable or inadequate service in violation of the Code and, as such, denied the Complaint.  I.D. at 9-10.</w:t>
      </w:r>
    </w:p>
    <w:p w14:paraId="48F7E441" w14:textId="77777777" w:rsidR="00C91719" w:rsidRDefault="00C91719" w:rsidP="00C91719">
      <w:pPr>
        <w:pStyle w:val="ListParagraph"/>
        <w:ind w:left="0" w:firstLine="1440"/>
        <w:jc w:val="left"/>
        <w:rPr>
          <w:rFonts w:eastAsiaTheme="minorHAnsi"/>
          <w:color w:val="000000"/>
          <w:sz w:val="26"/>
          <w:szCs w:val="26"/>
        </w:rPr>
      </w:pPr>
    </w:p>
    <w:p w14:paraId="76D43309" w14:textId="77777777" w:rsidR="00703A57" w:rsidRDefault="00C562A7" w:rsidP="00C91719">
      <w:pPr>
        <w:pStyle w:val="ListParagraph"/>
        <w:keepNext/>
        <w:keepLines/>
        <w:ind w:left="0" w:firstLine="0"/>
        <w:jc w:val="left"/>
        <w:rPr>
          <w:rFonts w:eastAsiaTheme="minorHAnsi"/>
          <w:color w:val="000000"/>
          <w:sz w:val="26"/>
          <w:szCs w:val="26"/>
        </w:rPr>
      </w:pPr>
      <w:r>
        <w:rPr>
          <w:rFonts w:eastAsiaTheme="minorHAnsi"/>
          <w:b/>
          <w:color w:val="000000"/>
          <w:sz w:val="26"/>
          <w:szCs w:val="26"/>
        </w:rPr>
        <w:t>Exceptions and Replies</w:t>
      </w:r>
    </w:p>
    <w:p w14:paraId="45B6CCB1" w14:textId="77777777" w:rsidR="00703A57" w:rsidRDefault="00703A57" w:rsidP="00C91719">
      <w:pPr>
        <w:pStyle w:val="ListParagraph"/>
        <w:keepNext/>
        <w:keepLines/>
        <w:ind w:left="0" w:firstLine="0"/>
        <w:jc w:val="left"/>
        <w:rPr>
          <w:rFonts w:eastAsiaTheme="minorHAnsi"/>
          <w:color w:val="000000"/>
          <w:sz w:val="26"/>
          <w:szCs w:val="26"/>
        </w:rPr>
      </w:pPr>
    </w:p>
    <w:p w14:paraId="10D775D9" w14:textId="7C336801" w:rsidR="009B617C" w:rsidRDefault="00703A57" w:rsidP="00C562A7">
      <w:pPr>
        <w:pStyle w:val="ListParagraph"/>
        <w:ind w:left="0" w:firstLine="0"/>
        <w:jc w:val="left"/>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In her Exceptions, which consists of seven handwritten pages, </w:t>
      </w:r>
      <w:bookmarkStart w:id="0" w:name="_Hlk508953065"/>
      <w:bookmarkStart w:id="1" w:name="_Hlk508805775"/>
      <w:r w:rsidR="00AD32FC">
        <w:rPr>
          <w:rFonts w:eastAsiaTheme="minorHAnsi"/>
          <w:color w:val="000000"/>
          <w:sz w:val="26"/>
          <w:szCs w:val="26"/>
        </w:rPr>
        <w:t>Ms.</w:t>
      </w:r>
      <w:r w:rsidR="00297D11">
        <w:rPr>
          <w:rFonts w:eastAsiaTheme="minorHAnsi"/>
          <w:color w:val="000000"/>
          <w:sz w:val="26"/>
          <w:szCs w:val="26"/>
        </w:rPr>
        <w:t> </w:t>
      </w:r>
      <w:proofErr w:type="spellStart"/>
      <w:r w:rsidR="00AD32FC">
        <w:rPr>
          <w:rFonts w:eastAsiaTheme="minorHAnsi"/>
          <w:color w:val="000000"/>
          <w:sz w:val="26"/>
          <w:szCs w:val="26"/>
        </w:rPr>
        <w:t>Scheaffer</w:t>
      </w:r>
      <w:bookmarkEnd w:id="0"/>
      <w:proofErr w:type="spellEnd"/>
      <w:r>
        <w:rPr>
          <w:rFonts w:eastAsiaTheme="minorHAnsi"/>
          <w:color w:val="000000"/>
          <w:sz w:val="26"/>
          <w:szCs w:val="26"/>
        </w:rPr>
        <w:t xml:space="preserve"> </w:t>
      </w:r>
      <w:bookmarkEnd w:id="1"/>
      <w:r>
        <w:rPr>
          <w:rFonts w:eastAsiaTheme="minorHAnsi"/>
          <w:color w:val="000000"/>
          <w:sz w:val="26"/>
          <w:szCs w:val="26"/>
        </w:rPr>
        <w:t xml:space="preserve">states that she does not agree with the ALJ’s decision at all.  </w:t>
      </w:r>
      <w:r w:rsidR="00F77854">
        <w:rPr>
          <w:rFonts w:eastAsiaTheme="minorHAnsi"/>
          <w:color w:val="000000"/>
          <w:sz w:val="26"/>
          <w:szCs w:val="26"/>
        </w:rPr>
        <w:t>Ms.</w:t>
      </w:r>
      <w:r w:rsidR="00297D11">
        <w:rPr>
          <w:rFonts w:eastAsiaTheme="minorHAnsi"/>
          <w:color w:val="000000"/>
          <w:sz w:val="26"/>
          <w:szCs w:val="26"/>
        </w:rPr>
        <w:t> </w:t>
      </w:r>
      <w:proofErr w:type="spellStart"/>
      <w:r w:rsidR="00F77854">
        <w:rPr>
          <w:rFonts w:eastAsiaTheme="minorHAnsi"/>
          <w:color w:val="000000"/>
          <w:sz w:val="26"/>
          <w:szCs w:val="26"/>
        </w:rPr>
        <w:t>Scheaffer</w:t>
      </w:r>
      <w:proofErr w:type="spellEnd"/>
      <w:r w:rsidR="00F77854">
        <w:rPr>
          <w:rFonts w:eastAsiaTheme="minorHAnsi"/>
          <w:color w:val="000000"/>
          <w:sz w:val="26"/>
          <w:szCs w:val="26"/>
        </w:rPr>
        <w:t xml:space="preserve"> </w:t>
      </w:r>
      <w:r>
        <w:rPr>
          <w:rFonts w:eastAsiaTheme="minorHAnsi"/>
          <w:color w:val="000000"/>
          <w:sz w:val="26"/>
          <w:szCs w:val="26"/>
        </w:rPr>
        <w:t>alleges that the ALJ focused only on the “phone court” testimony she gave and ignored the proof she provided in her original Complaint.  She further states that she was not prepared for the in</w:t>
      </w:r>
      <w:r w:rsidR="007A41A6">
        <w:rPr>
          <w:rFonts w:eastAsiaTheme="minorHAnsi"/>
          <w:color w:val="000000"/>
          <w:sz w:val="26"/>
          <w:szCs w:val="26"/>
        </w:rPr>
        <w:t>-</w:t>
      </w:r>
      <w:r>
        <w:rPr>
          <w:rFonts w:eastAsiaTheme="minorHAnsi"/>
          <w:color w:val="000000"/>
          <w:sz w:val="26"/>
          <w:szCs w:val="26"/>
        </w:rPr>
        <w:t xml:space="preserve">depth questions the PPL attorney asked her.  Next, </w:t>
      </w:r>
      <w:r w:rsidR="00F77854">
        <w:rPr>
          <w:rFonts w:eastAsiaTheme="minorHAnsi"/>
          <w:color w:val="000000"/>
          <w:sz w:val="26"/>
          <w:szCs w:val="26"/>
        </w:rPr>
        <w:t xml:space="preserve">Ms. </w:t>
      </w:r>
      <w:proofErr w:type="spellStart"/>
      <w:r w:rsidR="00F77854">
        <w:rPr>
          <w:rFonts w:eastAsiaTheme="minorHAnsi"/>
          <w:color w:val="000000"/>
          <w:sz w:val="26"/>
          <w:szCs w:val="26"/>
        </w:rPr>
        <w:t>Scheaffer</w:t>
      </w:r>
      <w:proofErr w:type="spellEnd"/>
      <w:r w:rsidR="00F77854">
        <w:rPr>
          <w:rFonts w:eastAsiaTheme="minorHAnsi"/>
          <w:color w:val="000000"/>
          <w:sz w:val="26"/>
          <w:szCs w:val="26"/>
        </w:rPr>
        <w:t xml:space="preserve"> </w:t>
      </w:r>
      <w:r>
        <w:rPr>
          <w:rFonts w:eastAsiaTheme="minorHAnsi"/>
          <w:color w:val="000000"/>
          <w:sz w:val="26"/>
          <w:szCs w:val="26"/>
        </w:rPr>
        <w:t xml:space="preserve">claims that on February 22, 2017, she made the court aware of her father’s death in December of 2016, but the </w:t>
      </w:r>
      <w:r w:rsidR="00750354">
        <w:rPr>
          <w:rFonts w:eastAsiaTheme="minorHAnsi"/>
          <w:color w:val="000000"/>
          <w:sz w:val="26"/>
          <w:szCs w:val="26"/>
        </w:rPr>
        <w:t xml:space="preserve">ALJ </w:t>
      </w:r>
      <w:r>
        <w:rPr>
          <w:rFonts w:eastAsiaTheme="minorHAnsi"/>
          <w:color w:val="000000"/>
          <w:sz w:val="26"/>
          <w:szCs w:val="26"/>
        </w:rPr>
        <w:t xml:space="preserve">would not grant her anything other than being a witness although she was the one who dealt with the bills and other matters for her father.  Next, </w:t>
      </w:r>
      <w:r w:rsidR="00F77854">
        <w:rPr>
          <w:rFonts w:eastAsiaTheme="minorHAnsi"/>
          <w:color w:val="000000"/>
          <w:sz w:val="26"/>
          <w:szCs w:val="26"/>
        </w:rPr>
        <w:t xml:space="preserve">Ms. </w:t>
      </w:r>
      <w:proofErr w:type="spellStart"/>
      <w:r w:rsidR="00F77854">
        <w:rPr>
          <w:rFonts w:eastAsiaTheme="minorHAnsi"/>
          <w:color w:val="000000"/>
          <w:sz w:val="26"/>
          <w:szCs w:val="26"/>
        </w:rPr>
        <w:t>Scheaffer</w:t>
      </w:r>
      <w:proofErr w:type="spellEnd"/>
      <w:r w:rsidR="00F77854">
        <w:rPr>
          <w:rFonts w:eastAsiaTheme="minorHAnsi"/>
          <w:color w:val="000000"/>
          <w:sz w:val="26"/>
          <w:szCs w:val="26"/>
        </w:rPr>
        <w:t xml:space="preserve"> </w:t>
      </w:r>
      <w:r>
        <w:rPr>
          <w:rFonts w:eastAsiaTheme="minorHAnsi"/>
          <w:color w:val="000000"/>
          <w:sz w:val="26"/>
          <w:szCs w:val="26"/>
        </w:rPr>
        <w:t xml:space="preserve">questions </w:t>
      </w:r>
      <w:r w:rsidR="009B617C">
        <w:rPr>
          <w:rFonts w:eastAsiaTheme="minorHAnsi"/>
          <w:color w:val="000000"/>
          <w:sz w:val="26"/>
          <w:szCs w:val="26"/>
        </w:rPr>
        <w:t>that</w:t>
      </w:r>
      <w:r w:rsidR="00456F1D">
        <w:rPr>
          <w:rFonts w:eastAsiaTheme="minorHAnsi"/>
          <w:color w:val="000000"/>
          <w:sz w:val="26"/>
          <w:szCs w:val="26"/>
        </w:rPr>
        <w:t>,</w:t>
      </w:r>
      <w:r w:rsidR="009B617C">
        <w:rPr>
          <w:rFonts w:eastAsiaTheme="minorHAnsi"/>
          <w:color w:val="000000"/>
          <w:sz w:val="26"/>
          <w:szCs w:val="26"/>
        </w:rPr>
        <w:t xml:space="preserve"> since her father passed, why </w:t>
      </w:r>
      <w:r w:rsidR="00B0085B">
        <w:rPr>
          <w:rFonts w:eastAsiaTheme="minorHAnsi"/>
          <w:color w:val="000000"/>
          <w:sz w:val="26"/>
          <w:szCs w:val="26"/>
        </w:rPr>
        <w:t>the</w:t>
      </w:r>
      <w:r w:rsidR="009B617C">
        <w:rPr>
          <w:rFonts w:eastAsiaTheme="minorHAnsi"/>
          <w:color w:val="000000"/>
          <w:sz w:val="26"/>
          <w:szCs w:val="26"/>
        </w:rPr>
        <w:t xml:space="preserve"> electric bill </w:t>
      </w:r>
      <w:r w:rsidR="00750354">
        <w:rPr>
          <w:rFonts w:eastAsiaTheme="minorHAnsi"/>
          <w:color w:val="000000"/>
          <w:sz w:val="26"/>
          <w:szCs w:val="26"/>
        </w:rPr>
        <w:t xml:space="preserve">is </w:t>
      </w:r>
      <w:r w:rsidR="009B617C">
        <w:rPr>
          <w:rFonts w:eastAsiaTheme="minorHAnsi"/>
          <w:color w:val="000000"/>
          <w:sz w:val="26"/>
          <w:szCs w:val="26"/>
        </w:rPr>
        <w:t xml:space="preserve">still in her father’s name.  She asserts that the ALJ stated that she was not the account holder and was illegally using the electric.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indicates that</w:t>
      </w:r>
      <w:r w:rsidR="009B617C">
        <w:rPr>
          <w:rFonts w:eastAsiaTheme="minorHAnsi"/>
          <w:color w:val="000000"/>
          <w:sz w:val="26"/>
          <w:szCs w:val="26"/>
        </w:rPr>
        <w:t xml:space="preserve"> she has lived at the residence for thirty-five years with her parents, but her parents refused to sign off on a power of attorney.  Exc. at 1-</w:t>
      </w:r>
      <w:r w:rsidR="007A41A6">
        <w:rPr>
          <w:rFonts w:eastAsiaTheme="minorHAnsi"/>
          <w:color w:val="000000"/>
          <w:sz w:val="26"/>
          <w:szCs w:val="26"/>
        </w:rPr>
        <w:t>2</w:t>
      </w:r>
      <w:r w:rsidR="009B617C">
        <w:rPr>
          <w:rFonts w:eastAsiaTheme="minorHAnsi"/>
          <w:color w:val="000000"/>
          <w:sz w:val="26"/>
          <w:szCs w:val="26"/>
        </w:rPr>
        <w:t>.</w:t>
      </w:r>
    </w:p>
    <w:p w14:paraId="34D0CD9D" w14:textId="77777777" w:rsidR="007A41A6" w:rsidRDefault="007A41A6" w:rsidP="00C562A7">
      <w:pPr>
        <w:pStyle w:val="ListParagraph"/>
        <w:ind w:left="0" w:firstLine="0"/>
        <w:jc w:val="left"/>
        <w:rPr>
          <w:rFonts w:eastAsiaTheme="minorHAnsi"/>
          <w:color w:val="000000"/>
          <w:sz w:val="26"/>
          <w:szCs w:val="26"/>
        </w:rPr>
      </w:pPr>
    </w:p>
    <w:p w14:paraId="496CDA53" w14:textId="0DD75B2E" w:rsidR="007A41A6" w:rsidRDefault="007A41A6" w:rsidP="00C562A7">
      <w:pPr>
        <w:pStyle w:val="ListParagraph"/>
        <w:ind w:left="0" w:firstLine="0"/>
        <w:jc w:val="left"/>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Next,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Pr>
          <w:rFonts w:eastAsiaTheme="minorHAnsi"/>
          <w:color w:val="000000"/>
          <w:sz w:val="26"/>
          <w:szCs w:val="26"/>
        </w:rPr>
        <w:t xml:space="preserve"> states she talked to a PPL attorney on February 21, 2017, and informed the attorney she would let the account go and not pay it.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Pr>
          <w:rFonts w:eastAsiaTheme="minorHAnsi"/>
          <w:color w:val="000000"/>
          <w:sz w:val="26"/>
          <w:szCs w:val="26"/>
        </w:rPr>
        <w:t xml:space="preserve"> asserts that the PPL attorney responded that the Company would not let the account go and even threatened to go after her nephew</w:t>
      </w:r>
      <w:r w:rsidR="00B0085B">
        <w:rPr>
          <w:rFonts w:eastAsiaTheme="minorHAnsi"/>
          <w:color w:val="000000"/>
          <w:sz w:val="26"/>
          <w:szCs w:val="26"/>
        </w:rPr>
        <w:t xml:space="preserve"> for payment</w:t>
      </w:r>
      <w:r>
        <w:rPr>
          <w:rFonts w:eastAsiaTheme="minorHAnsi"/>
          <w:color w:val="000000"/>
          <w:sz w:val="26"/>
          <w:szCs w:val="26"/>
        </w:rPr>
        <w:t xml:space="preserve">.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rFonts w:eastAsiaTheme="minorHAnsi"/>
          <w:color w:val="000000"/>
          <w:sz w:val="26"/>
          <w:szCs w:val="26"/>
        </w:rPr>
        <w:t xml:space="preserve">avers that the account was in her father’s name, not </w:t>
      </w:r>
      <w:r w:rsidR="00456F1D">
        <w:rPr>
          <w:rFonts w:eastAsiaTheme="minorHAnsi"/>
          <w:color w:val="000000"/>
          <w:sz w:val="26"/>
          <w:szCs w:val="26"/>
        </w:rPr>
        <w:t xml:space="preserve">in </w:t>
      </w:r>
      <w:r>
        <w:rPr>
          <w:rFonts w:eastAsiaTheme="minorHAnsi"/>
          <w:color w:val="000000"/>
          <w:sz w:val="26"/>
          <w:szCs w:val="26"/>
        </w:rPr>
        <w:t>her</w:t>
      </w:r>
      <w:r w:rsidR="00456F1D">
        <w:rPr>
          <w:rFonts w:eastAsiaTheme="minorHAnsi"/>
          <w:color w:val="000000"/>
          <w:sz w:val="26"/>
          <w:szCs w:val="26"/>
        </w:rPr>
        <w:t xml:space="preserve"> name</w:t>
      </w:r>
      <w:r w:rsidR="00B0085B">
        <w:rPr>
          <w:rFonts w:eastAsiaTheme="minorHAnsi"/>
          <w:color w:val="000000"/>
          <w:sz w:val="26"/>
          <w:szCs w:val="26"/>
        </w:rPr>
        <w:t>,</w:t>
      </w:r>
      <w:r>
        <w:rPr>
          <w:rFonts w:eastAsiaTheme="minorHAnsi"/>
          <w:color w:val="000000"/>
          <w:sz w:val="26"/>
          <w:szCs w:val="26"/>
        </w:rPr>
        <w:t xml:space="preserve"> and the bill should go into his estate.  Exc. at 3-4.</w:t>
      </w:r>
    </w:p>
    <w:p w14:paraId="70007745" w14:textId="77777777" w:rsidR="007A41A6" w:rsidRDefault="007A41A6" w:rsidP="00C562A7">
      <w:pPr>
        <w:pStyle w:val="ListParagraph"/>
        <w:ind w:left="0" w:firstLine="0"/>
        <w:jc w:val="left"/>
        <w:rPr>
          <w:rFonts w:eastAsiaTheme="minorHAnsi"/>
          <w:color w:val="000000"/>
          <w:sz w:val="26"/>
          <w:szCs w:val="26"/>
        </w:rPr>
      </w:pPr>
    </w:p>
    <w:p w14:paraId="5CEC7917" w14:textId="21EDA2B4" w:rsidR="007A41A6" w:rsidRDefault="007A41A6" w:rsidP="00C562A7">
      <w:pPr>
        <w:pStyle w:val="ListParagraph"/>
        <w:ind w:left="0" w:firstLine="0"/>
        <w:jc w:val="left"/>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rFonts w:eastAsiaTheme="minorHAnsi"/>
          <w:color w:val="000000"/>
          <w:sz w:val="26"/>
          <w:szCs w:val="26"/>
        </w:rPr>
        <w:t xml:space="preserve">questions why at the February 22, 2017, “phone court” the ALJ allowed the attorney to represent PPL </w:t>
      </w:r>
      <w:r w:rsidR="00456F1D">
        <w:rPr>
          <w:rFonts w:eastAsiaTheme="minorHAnsi"/>
          <w:color w:val="000000"/>
          <w:sz w:val="26"/>
          <w:szCs w:val="26"/>
        </w:rPr>
        <w:t xml:space="preserve">because </w:t>
      </w:r>
      <w:r>
        <w:rPr>
          <w:rFonts w:eastAsiaTheme="minorHAnsi"/>
          <w:color w:val="000000"/>
          <w:sz w:val="26"/>
          <w:szCs w:val="26"/>
        </w:rPr>
        <w:t xml:space="preserve">PPL is a big company and should have </w:t>
      </w:r>
      <w:r w:rsidR="00851BD9">
        <w:rPr>
          <w:rFonts w:eastAsiaTheme="minorHAnsi"/>
          <w:color w:val="000000"/>
          <w:sz w:val="26"/>
          <w:szCs w:val="26"/>
        </w:rPr>
        <w:t xml:space="preserve">a legal department.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851BD9">
        <w:rPr>
          <w:rFonts w:eastAsiaTheme="minorHAnsi"/>
          <w:color w:val="000000"/>
          <w:sz w:val="26"/>
          <w:szCs w:val="26"/>
        </w:rPr>
        <w:t>asserts that she contacted the Carbon County Action Committee, Penn Medical Group, the Consumer Protection Program and the On-Track Program and questions why none of these people were included in the hearing</w:t>
      </w:r>
      <w:r>
        <w:rPr>
          <w:rFonts w:eastAsiaTheme="minorHAnsi"/>
          <w:color w:val="000000"/>
          <w:sz w:val="26"/>
          <w:szCs w:val="26"/>
        </w:rPr>
        <w:t xml:space="preserve"> </w:t>
      </w:r>
      <w:r w:rsidR="00851BD9">
        <w:rPr>
          <w:rFonts w:eastAsiaTheme="minorHAnsi"/>
          <w:color w:val="000000"/>
          <w:sz w:val="26"/>
          <w:szCs w:val="26"/>
        </w:rPr>
        <w:t>while PPL was permitted to introduce a supervisor as a witness.  Exc. at 4.</w:t>
      </w:r>
    </w:p>
    <w:p w14:paraId="7C7E6204" w14:textId="77777777" w:rsidR="00F77854" w:rsidRDefault="00F77854" w:rsidP="00C562A7">
      <w:pPr>
        <w:pStyle w:val="ListParagraph"/>
        <w:ind w:left="0" w:firstLine="0"/>
        <w:jc w:val="left"/>
        <w:rPr>
          <w:rFonts w:eastAsiaTheme="minorHAnsi"/>
          <w:color w:val="000000"/>
          <w:sz w:val="26"/>
          <w:szCs w:val="26"/>
        </w:rPr>
      </w:pPr>
    </w:p>
    <w:p w14:paraId="31A33AA9" w14:textId="797D3785" w:rsidR="00F3455B" w:rsidRPr="00F3455B" w:rsidRDefault="009B617C" w:rsidP="00C562A7">
      <w:pPr>
        <w:pStyle w:val="ListParagraph"/>
        <w:ind w:left="0" w:firstLine="0"/>
        <w:jc w:val="left"/>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In reply, PPL </w:t>
      </w:r>
      <w:r w:rsidR="00F5280D">
        <w:rPr>
          <w:rFonts w:eastAsiaTheme="minorHAnsi"/>
          <w:color w:val="000000"/>
          <w:sz w:val="26"/>
          <w:szCs w:val="26"/>
        </w:rPr>
        <w:t xml:space="preserve">first states that </w:t>
      </w:r>
      <w:r w:rsidR="009D51C2">
        <w:rPr>
          <w:rFonts w:eastAsiaTheme="minorHAnsi"/>
          <w:color w:val="000000"/>
          <w:sz w:val="26"/>
          <w:szCs w:val="26"/>
        </w:rPr>
        <w:t xml:space="preserve">while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9D51C2">
        <w:rPr>
          <w:rFonts w:eastAsiaTheme="minorHAnsi"/>
          <w:color w:val="000000"/>
          <w:sz w:val="26"/>
          <w:szCs w:val="26"/>
        </w:rPr>
        <w:t xml:space="preserve">appears to allege </w:t>
      </w:r>
      <w:r w:rsidR="009D5BF3">
        <w:rPr>
          <w:rFonts w:eastAsiaTheme="minorHAnsi"/>
          <w:color w:val="000000"/>
          <w:sz w:val="26"/>
          <w:szCs w:val="26"/>
        </w:rPr>
        <w:t xml:space="preserve">that </w:t>
      </w:r>
      <w:r w:rsidR="009D51C2">
        <w:rPr>
          <w:rFonts w:eastAsiaTheme="minorHAnsi"/>
          <w:color w:val="000000"/>
          <w:sz w:val="26"/>
          <w:szCs w:val="26"/>
        </w:rPr>
        <w:t xml:space="preserve">she was denied due process, the record does not support such a finding.  PPL asserts that </w:t>
      </w:r>
      <w:r w:rsidR="009D5BF3">
        <w:rPr>
          <w:rFonts w:eastAsiaTheme="minorHAnsi"/>
          <w:color w:val="000000"/>
          <w:sz w:val="26"/>
          <w:szCs w:val="26"/>
        </w:rPr>
        <w:t>Ms.</w:t>
      </w:r>
      <w:r w:rsidR="00B07618">
        <w:rPr>
          <w:rFonts w:eastAsiaTheme="minorHAnsi"/>
          <w:color w:val="000000"/>
          <w:sz w:val="26"/>
          <w:szCs w:val="26"/>
        </w:rPr>
        <w:t>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9D51C2">
        <w:rPr>
          <w:rFonts w:eastAsiaTheme="minorHAnsi"/>
          <w:color w:val="000000"/>
          <w:sz w:val="26"/>
          <w:szCs w:val="26"/>
        </w:rPr>
        <w:t xml:space="preserve">was provided nearly five weeks’ notice of the hearing held on February 22, 2017, and that she was able to fully testify at the hearing and explain all of her allegations.  Moreover, PPL points out that her Complaint consists of her own written statements as well as monthly electric bills and that all of her charges and payments on her disputed account were contained in PPL’s Exhibit No. 1.  According to PPL, </w:t>
      </w:r>
      <w:r w:rsidR="009D5BF3">
        <w:rPr>
          <w:rFonts w:eastAsiaTheme="minorHAnsi"/>
          <w:color w:val="000000"/>
          <w:sz w:val="26"/>
          <w:szCs w:val="26"/>
        </w:rPr>
        <w:t>Ms.</w:t>
      </w:r>
      <w:r w:rsidR="00B07618">
        <w:rPr>
          <w:rFonts w:eastAsiaTheme="minorHAnsi"/>
          <w:color w:val="000000"/>
          <w:sz w:val="26"/>
          <w:szCs w:val="26"/>
        </w:rPr>
        <w:t>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9D51C2">
        <w:rPr>
          <w:rFonts w:eastAsiaTheme="minorHAnsi"/>
          <w:color w:val="000000"/>
          <w:sz w:val="26"/>
          <w:szCs w:val="26"/>
        </w:rPr>
        <w:t>was provided with ample opportunity to state her Complaint and provide supporting documents.  R. Exc. at 2-3.</w:t>
      </w:r>
    </w:p>
    <w:p w14:paraId="5E0E24DB" w14:textId="77777777" w:rsidR="0081153B" w:rsidRDefault="0081153B" w:rsidP="00CE148F">
      <w:pPr>
        <w:pStyle w:val="ListParagraph"/>
        <w:ind w:left="0" w:firstLine="1440"/>
        <w:jc w:val="left"/>
        <w:rPr>
          <w:sz w:val="26"/>
          <w:szCs w:val="26"/>
        </w:rPr>
      </w:pPr>
    </w:p>
    <w:p w14:paraId="5FA8DFFD" w14:textId="5756DA04" w:rsidR="009D51C2" w:rsidRDefault="009D51C2" w:rsidP="00CE148F">
      <w:pPr>
        <w:pStyle w:val="ListParagraph"/>
        <w:ind w:left="0" w:firstLine="1440"/>
        <w:jc w:val="left"/>
        <w:rPr>
          <w:sz w:val="26"/>
          <w:szCs w:val="26"/>
        </w:rPr>
      </w:pPr>
      <w:r>
        <w:rPr>
          <w:sz w:val="26"/>
          <w:szCs w:val="26"/>
        </w:rPr>
        <w:t xml:space="preserve">Next, PPL notes that </w:t>
      </w:r>
      <w:r w:rsidR="009D5BF3">
        <w:rPr>
          <w:rFonts w:eastAsiaTheme="minorHAnsi"/>
          <w:color w:val="000000"/>
          <w:sz w:val="26"/>
          <w:szCs w:val="26"/>
        </w:rPr>
        <w:t>Ms.</w:t>
      </w:r>
      <w:r w:rsidR="00B07618">
        <w:rPr>
          <w:rFonts w:eastAsiaTheme="minorHAnsi"/>
          <w:color w:val="000000"/>
          <w:sz w:val="26"/>
          <w:szCs w:val="26"/>
        </w:rPr>
        <w:t>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sz w:val="26"/>
          <w:szCs w:val="26"/>
        </w:rPr>
        <w:t xml:space="preserve">appears to contest the maintenance of the electric bill in the name of her father following his death.  PPL explains that </w:t>
      </w:r>
      <w:r w:rsidR="009D5BF3">
        <w:rPr>
          <w:rFonts w:eastAsiaTheme="minorHAnsi"/>
          <w:color w:val="000000"/>
          <w:sz w:val="26"/>
          <w:szCs w:val="26"/>
        </w:rPr>
        <w:t>Ms.</w:t>
      </w:r>
      <w:r w:rsidR="00B07618">
        <w:rPr>
          <w:rFonts w:eastAsiaTheme="minorHAnsi"/>
          <w:color w:val="000000"/>
          <w:sz w:val="26"/>
          <w:szCs w:val="26"/>
        </w:rPr>
        <w:t>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3C75A5">
        <w:rPr>
          <w:rFonts w:eastAsiaTheme="minorHAnsi"/>
          <w:color w:val="000000"/>
          <w:sz w:val="26"/>
          <w:szCs w:val="26"/>
        </w:rPr>
        <w:t>never</w:t>
      </w:r>
      <w:r>
        <w:rPr>
          <w:sz w:val="26"/>
          <w:szCs w:val="26"/>
        </w:rPr>
        <w:t xml:space="preserve"> contact</w:t>
      </w:r>
      <w:r w:rsidR="002C7C8D">
        <w:rPr>
          <w:sz w:val="26"/>
          <w:szCs w:val="26"/>
        </w:rPr>
        <w:t>ed</w:t>
      </w:r>
      <w:r>
        <w:rPr>
          <w:sz w:val="26"/>
          <w:szCs w:val="26"/>
        </w:rPr>
        <w:t xml:space="preserve"> the Company to request t</w:t>
      </w:r>
      <w:r w:rsidR="002C7C8D">
        <w:rPr>
          <w:sz w:val="26"/>
          <w:szCs w:val="26"/>
        </w:rPr>
        <w:t>he</w:t>
      </w:r>
      <w:r>
        <w:rPr>
          <w:sz w:val="26"/>
          <w:szCs w:val="26"/>
        </w:rPr>
        <w:t xml:space="preserve"> disconnect</w:t>
      </w:r>
      <w:r w:rsidR="002C7C8D">
        <w:rPr>
          <w:sz w:val="26"/>
          <w:szCs w:val="26"/>
        </w:rPr>
        <w:t>ion</w:t>
      </w:r>
      <w:r>
        <w:rPr>
          <w:sz w:val="26"/>
          <w:szCs w:val="26"/>
        </w:rPr>
        <w:t xml:space="preserve"> </w:t>
      </w:r>
      <w:r w:rsidR="002C7C8D">
        <w:rPr>
          <w:sz w:val="26"/>
          <w:szCs w:val="26"/>
        </w:rPr>
        <w:t xml:space="preserve">of </w:t>
      </w:r>
      <w:r>
        <w:rPr>
          <w:sz w:val="26"/>
          <w:szCs w:val="26"/>
        </w:rPr>
        <w:t xml:space="preserve">electric service due to the death of the ratepayer.  In fact, PPL asserts that according to its records,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Pr>
          <w:sz w:val="26"/>
          <w:szCs w:val="26"/>
        </w:rPr>
        <w:t xml:space="preserve"> </w:t>
      </w:r>
      <w:r w:rsidR="003C75A5">
        <w:rPr>
          <w:sz w:val="26"/>
          <w:szCs w:val="26"/>
        </w:rPr>
        <w:t xml:space="preserve">made no calls </w:t>
      </w:r>
      <w:r>
        <w:rPr>
          <w:sz w:val="26"/>
          <w:szCs w:val="26"/>
        </w:rPr>
        <w:t xml:space="preserve">to PPL after December 22, 2016 (the date of Mr. </w:t>
      </w:r>
      <w:proofErr w:type="spellStart"/>
      <w:r>
        <w:rPr>
          <w:sz w:val="26"/>
          <w:szCs w:val="26"/>
        </w:rPr>
        <w:t>Scheaffer’s</w:t>
      </w:r>
      <w:proofErr w:type="spellEnd"/>
      <w:r>
        <w:rPr>
          <w:sz w:val="26"/>
          <w:szCs w:val="26"/>
        </w:rPr>
        <w:t xml:space="preserve"> passing) through the date of the hearing of February </w:t>
      </w:r>
      <w:r w:rsidR="007D1F86">
        <w:rPr>
          <w:sz w:val="26"/>
          <w:szCs w:val="26"/>
        </w:rPr>
        <w:t xml:space="preserve">22, 2017.  PPL also notes that as stated by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7D1F86">
        <w:rPr>
          <w:sz w:val="26"/>
          <w:szCs w:val="26"/>
        </w:rPr>
        <w:t xml:space="preserve">at the hearing, no representative for the estate of Mr. </w:t>
      </w:r>
      <w:proofErr w:type="spellStart"/>
      <w:r w:rsidR="007D1F86">
        <w:rPr>
          <w:sz w:val="26"/>
          <w:szCs w:val="26"/>
        </w:rPr>
        <w:t>Scheaffer</w:t>
      </w:r>
      <w:proofErr w:type="spellEnd"/>
      <w:r w:rsidR="007D1F86">
        <w:rPr>
          <w:sz w:val="26"/>
          <w:szCs w:val="26"/>
        </w:rPr>
        <w:t xml:space="preserve"> had yet been appointed.  As such, PPL opines that there is no basis to find that the Company violated any rule, regulation</w:t>
      </w:r>
      <w:r w:rsidR="002C7C8D">
        <w:rPr>
          <w:sz w:val="26"/>
          <w:szCs w:val="26"/>
        </w:rPr>
        <w:t>,</w:t>
      </w:r>
      <w:r w:rsidR="007D1F86">
        <w:rPr>
          <w:sz w:val="26"/>
          <w:szCs w:val="26"/>
        </w:rPr>
        <w:t xml:space="preserve"> statute or Code provision by maintaining service in the name of the ratepayer when there was no request to disconnect service and no estate had yet been established which would permit the personal representative to transfer the account into the name of the estate.  According to PPL, requiring the Company to discontinue electrical service to a residence on the date of death of the ratepayer</w:t>
      </w:r>
      <w:r w:rsidR="002C7C8D">
        <w:rPr>
          <w:sz w:val="26"/>
          <w:szCs w:val="26"/>
        </w:rPr>
        <w:t>,</w:t>
      </w:r>
      <w:r w:rsidR="007D1F86">
        <w:rPr>
          <w:sz w:val="26"/>
          <w:szCs w:val="26"/>
        </w:rPr>
        <w:t xml:space="preserve"> and before the appointment of a personal representative</w:t>
      </w:r>
      <w:r w:rsidR="002C7C8D">
        <w:rPr>
          <w:sz w:val="26"/>
          <w:szCs w:val="26"/>
        </w:rPr>
        <w:t>,</w:t>
      </w:r>
      <w:r w:rsidR="007D1F86">
        <w:rPr>
          <w:sz w:val="26"/>
          <w:szCs w:val="26"/>
        </w:rPr>
        <w:t xml:space="preserve"> would leave real estate without electricity and vulnerable to extensive damage.  R. Exc. at 3.</w:t>
      </w:r>
    </w:p>
    <w:p w14:paraId="6CA5E578" w14:textId="77777777" w:rsidR="00F01057" w:rsidRDefault="00F01057" w:rsidP="00CE148F">
      <w:pPr>
        <w:pStyle w:val="ListParagraph"/>
        <w:ind w:left="0" w:firstLine="1440"/>
        <w:jc w:val="left"/>
        <w:rPr>
          <w:sz w:val="26"/>
          <w:szCs w:val="26"/>
        </w:rPr>
      </w:pPr>
    </w:p>
    <w:p w14:paraId="33611066" w14:textId="427E70C8" w:rsidR="00F01057" w:rsidRDefault="005E3D5E" w:rsidP="00CE148F">
      <w:pPr>
        <w:pStyle w:val="ListParagraph"/>
        <w:ind w:left="0" w:firstLine="1440"/>
        <w:jc w:val="left"/>
        <w:rPr>
          <w:sz w:val="26"/>
          <w:szCs w:val="26"/>
        </w:rPr>
      </w:pPr>
      <w:r>
        <w:rPr>
          <w:sz w:val="26"/>
          <w:szCs w:val="26"/>
        </w:rPr>
        <w:t xml:space="preserve">Next, PPL notes that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sz w:val="26"/>
          <w:szCs w:val="26"/>
        </w:rPr>
        <w:t xml:space="preserve">appears to contest the finding that she, as an individual residing in the home and over the age of eighteen, can be held responsible for the electrical charges accumulated while living within the home.  However, PPL points out that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sz w:val="26"/>
          <w:szCs w:val="26"/>
        </w:rPr>
        <w:t xml:space="preserve">herself admitted that she is an “occupant” of the home, and specifically testified that she lived at the service address since at least 2011.  </w:t>
      </w:r>
      <w:r w:rsidR="009D5BF3">
        <w:rPr>
          <w:sz w:val="26"/>
          <w:szCs w:val="26"/>
        </w:rPr>
        <w:t>R. Exc. at 4 (citing</w:t>
      </w:r>
      <w:r>
        <w:rPr>
          <w:i/>
          <w:sz w:val="26"/>
          <w:szCs w:val="26"/>
        </w:rPr>
        <w:t xml:space="preserve"> </w:t>
      </w:r>
      <w:r>
        <w:rPr>
          <w:sz w:val="26"/>
          <w:szCs w:val="26"/>
        </w:rPr>
        <w:t>Tr. at 13</w:t>
      </w:r>
      <w:r w:rsidR="009D5BF3">
        <w:rPr>
          <w:sz w:val="26"/>
          <w:szCs w:val="26"/>
        </w:rPr>
        <w:t>)</w:t>
      </w:r>
      <w:r>
        <w:rPr>
          <w:sz w:val="26"/>
          <w:szCs w:val="26"/>
        </w:rPr>
        <w:t xml:space="preserve">.  According to PPL, as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Pr>
          <w:sz w:val="26"/>
          <w:szCs w:val="26"/>
        </w:rPr>
        <w:t xml:space="preserve"> has resided in the premises for the past six years and has enjoyed the use of the electricity without the explicit approval of the </w:t>
      </w:r>
      <w:r w:rsidR="002C7C8D">
        <w:rPr>
          <w:sz w:val="26"/>
          <w:szCs w:val="26"/>
        </w:rPr>
        <w:t>C</w:t>
      </w:r>
      <w:r>
        <w:rPr>
          <w:sz w:val="26"/>
          <w:szCs w:val="26"/>
        </w:rPr>
        <w:t xml:space="preserve">ompany, Ms. </w:t>
      </w:r>
      <w:proofErr w:type="spellStart"/>
      <w:r>
        <w:rPr>
          <w:sz w:val="26"/>
          <w:szCs w:val="26"/>
        </w:rPr>
        <w:t>Scheaffer</w:t>
      </w:r>
      <w:proofErr w:type="spellEnd"/>
      <w:r>
        <w:rPr>
          <w:sz w:val="26"/>
          <w:szCs w:val="26"/>
        </w:rPr>
        <w:t xml:space="preserve"> is a user without contract.  Furthermore, PPL asserts that she would be responsible for the unpaid balance accumulated during her residency.  However, PPL notes that such allegations were not contained within the Complaint</w:t>
      </w:r>
      <w:r w:rsidR="002C7C8D">
        <w:rPr>
          <w:sz w:val="26"/>
          <w:szCs w:val="26"/>
        </w:rPr>
        <w:t>,</w:t>
      </w:r>
      <w:r>
        <w:rPr>
          <w:sz w:val="26"/>
          <w:szCs w:val="26"/>
        </w:rPr>
        <w:t xml:space="preserve"> as it pertained to alleged attempts to make partial payments on the account.  </w:t>
      </w:r>
      <w:r w:rsidR="001A5A78">
        <w:rPr>
          <w:sz w:val="26"/>
          <w:szCs w:val="26"/>
        </w:rPr>
        <w:t xml:space="preserve">While </w:t>
      </w:r>
      <w:r w:rsidR="009D5BF3">
        <w:rPr>
          <w:rFonts w:eastAsiaTheme="minorHAnsi"/>
          <w:color w:val="000000"/>
          <w:sz w:val="26"/>
          <w:szCs w:val="26"/>
        </w:rPr>
        <w:t>Ms.</w:t>
      </w:r>
      <w:r w:rsidR="00116B1D">
        <w:rPr>
          <w:rFonts w:eastAsiaTheme="minorHAnsi"/>
          <w:color w:val="000000"/>
          <w:sz w:val="26"/>
          <w:szCs w:val="26"/>
        </w:rPr>
        <w:t>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sidR="001A5A78">
        <w:rPr>
          <w:sz w:val="26"/>
          <w:szCs w:val="26"/>
        </w:rPr>
        <w:t>alleged that PPL refused to accept such payments, the Company opines that the ALJ correctly found that such payments in fact were accepted.  PPL also points out that these payments do not appear to be a basis for the Exceptions.  R.</w:t>
      </w:r>
      <w:r w:rsidR="003A4E00">
        <w:rPr>
          <w:sz w:val="26"/>
          <w:szCs w:val="26"/>
        </w:rPr>
        <w:t> </w:t>
      </w:r>
      <w:r w:rsidR="001A5A78">
        <w:rPr>
          <w:sz w:val="26"/>
          <w:szCs w:val="26"/>
        </w:rPr>
        <w:t>Exc. at</w:t>
      </w:r>
      <w:r w:rsidR="00116B1D">
        <w:rPr>
          <w:sz w:val="26"/>
          <w:szCs w:val="26"/>
        </w:rPr>
        <w:t> </w:t>
      </w:r>
      <w:r w:rsidR="001A5A78">
        <w:rPr>
          <w:sz w:val="26"/>
          <w:szCs w:val="26"/>
        </w:rPr>
        <w:t>4.</w:t>
      </w:r>
    </w:p>
    <w:p w14:paraId="2DBEF0CC" w14:textId="77777777" w:rsidR="001A5A78" w:rsidRDefault="001A5A78" w:rsidP="00CE148F">
      <w:pPr>
        <w:pStyle w:val="ListParagraph"/>
        <w:ind w:left="0" w:firstLine="1440"/>
        <w:jc w:val="left"/>
        <w:rPr>
          <w:sz w:val="26"/>
          <w:szCs w:val="26"/>
        </w:rPr>
      </w:pPr>
    </w:p>
    <w:p w14:paraId="1128907D" w14:textId="464C18FD" w:rsidR="001A5A78" w:rsidRDefault="00E204C9" w:rsidP="00CE148F">
      <w:pPr>
        <w:pStyle w:val="ListParagraph"/>
        <w:ind w:left="0" w:firstLine="1440"/>
        <w:jc w:val="left"/>
        <w:rPr>
          <w:sz w:val="26"/>
          <w:szCs w:val="26"/>
        </w:rPr>
      </w:pPr>
      <w:r>
        <w:rPr>
          <w:sz w:val="26"/>
          <w:szCs w:val="26"/>
        </w:rPr>
        <w:t xml:space="preserve">Finally, PPL states that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sz w:val="26"/>
          <w:szCs w:val="26"/>
        </w:rPr>
        <w:t xml:space="preserve">appears to contest the ability of the Company to be represented by </w:t>
      </w:r>
      <w:r w:rsidR="00456F1D">
        <w:rPr>
          <w:sz w:val="26"/>
          <w:szCs w:val="26"/>
        </w:rPr>
        <w:t>c</w:t>
      </w:r>
      <w:r>
        <w:rPr>
          <w:sz w:val="26"/>
          <w:szCs w:val="26"/>
        </w:rPr>
        <w:t xml:space="preserve">ounsel at the time of the hearing.  PPL explains that as a corporation, it is required to be represented by </w:t>
      </w:r>
      <w:r w:rsidR="00456F1D">
        <w:rPr>
          <w:sz w:val="26"/>
          <w:szCs w:val="26"/>
        </w:rPr>
        <w:t>c</w:t>
      </w:r>
      <w:r>
        <w:rPr>
          <w:sz w:val="26"/>
          <w:szCs w:val="26"/>
        </w:rPr>
        <w:t xml:space="preserve">ounsel and that due process permits the Company to be represented by </w:t>
      </w:r>
      <w:r w:rsidR="00456F1D">
        <w:rPr>
          <w:sz w:val="26"/>
          <w:szCs w:val="26"/>
        </w:rPr>
        <w:t>c</w:t>
      </w:r>
      <w:r>
        <w:rPr>
          <w:sz w:val="26"/>
          <w:szCs w:val="26"/>
        </w:rPr>
        <w:t xml:space="preserve">ounsel of its election.  PPL notes that </w:t>
      </w:r>
      <w:r w:rsidR="009D5BF3">
        <w:rPr>
          <w:rFonts w:eastAsiaTheme="minorHAnsi"/>
          <w:color w:val="000000"/>
          <w:sz w:val="26"/>
          <w:szCs w:val="26"/>
        </w:rPr>
        <w:t xml:space="preserve">Ms. </w:t>
      </w:r>
      <w:proofErr w:type="spellStart"/>
      <w:r w:rsidR="009D5BF3">
        <w:rPr>
          <w:rFonts w:eastAsiaTheme="minorHAnsi"/>
          <w:color w:val="000000"/>
          <w:sz w:val="26"/>
          <w:szCs w:val="26"/>
        </w:rPr>
        <w:t>Scheaffer</w:t>
      </w:r>
      <w:proofErr w:type="spellEnd"/>
      <w:r w:rsidR="009D5BF3">
        <w:rPr>
          <w:rFonts w:eastAsiaTheme="minorHAnsi"/>
          <w:color w:val="000000"/>
          <w:sz w:val="26"/>
          <w:szCs w:val="26"/>
        </w:rPr>
        <w:t xml:space="preserve"> </w:t>
      </w:r>
      <w:r>
        <w:rPr>
          <w:sz w:val="26"/>
          <w:szCs w:val="26"/>
        </w:rPr>
        <w:t xml:space="preserve">had the same right to be represented by </w:t>
      </w:r>
      <w:r w:rsidR="00456F1D">
        <w:rPr>
          <w:sz w:val="26"/>
          <w:szCs w:val="26"/>
        </w:rPr>
        <w:t>c</w:t>
      </w:r>
      <w:r>
        <w:rPr>
          <w:sz w:val="26"/>
          <w:szCs w:val="26"/>
        </w:rPr>
        <w:t>ounsel of her election at the hearing, had she engaged legal representation.  R. Exc. at 4-5.</w:t>
      </w:r>
    </w:p>
    <w:p w14:paraId="5C3BBEBC" w14:textId="77777777" w:rsidR="00863C00" w:rsidRDefault="00863C00" w:rsidP="00CE148F">
      <w:pPr>
        <w:pStyle w:val="ListParagraph"/>
        <w:ind w:left="0" w:firstLine="1440"/>
        <w:jc w:val="left"/>
        <w:rPr>
          <w:sz w:val="26"/>
          <w:szCs w:val="26"/>
        </w:rPr>
      </w:pPr>
    </w:p>
    <w:p w14:paraId="7B111C64" w14:textId="77777777" w:rsidR="00863C00" w:rsidRDefault="00863C00" w:rsidP="00FB548E">
      <w:pPr>
        <w:pStyle w:val="ListParagraph"/>
        <w:keepNext/>
        <w:keepLines/>
        <w:ind w:left="0" w:firstLine="0"/>
        <w:jc w:val="left"/>
        <w:rPr>
          <w:b/>
          <w:sz w:val="26"/>
          <w:szCs w:val="26"/>
        </w:rPr>
      </w:pPr>
      <w:r>
        <w:rPr>
          <w:b/>
          <w:sz w:val="26"/>
          <w:szCs w:val="26"/>
        </w:rPr>
        <w:t>Disposition</w:t>
      </w:r>
    </w:p>
    <w:p w14:paraId="5A7B3052" w14:textId="77777777" w:rsidR="00875F5C" w:rsidRDefault="00875F5C" w:rsidP="00FB548E">
      <w:pPr>
        <w:pStyle w:val="ListParagraph"/>
        <w:keepNext/>
        <w:keepLines/>
        <w:ind w:left="0" w:firstLine="0"/>
        <w:jc w:val="left"/>
        <w:rPr>
          <w:b/>
          <w:sz w:val="26"/>
          <w:szCs w:val="26"/>
        </w:rPr>
      </w:pPr>
    </w:p>
    <w:p w14:paraId="42F9ADB4" w14:textId="4684AD0B" w:rsidR="000D62AE" w:rsidRDefault="00875F5C" w:rsidP="00863C00">
      <w:pPr>
        <w:pStyle w:val="ListParagraph"/>
        <w:ind w:left="0" w:firstLine="0"/>
        <w:jc w:val="left"/>
        <w:rPr>
          <w:rFonts w:eastAsiaTheme="minorHAnsi"/>
          <w:color w:val="000000"/>
          <w:sz w:val="26"/>
          <w:szCs w:val="26"/>
        </w:rPr>
      </w:pPr>
      <w:r>
        <w:rPr>
          <w:b/>
          <w:sz w:val="26"/>
          <w:szCs w:val="26"/>
        </w:rPr>
        <w:tab/>
      </w:r>
      <w:r>
        <w:rPr>
          <w:b/>
          <w:sz w:val="26"/>
          <w:szCs w:val="26"/>
        </w:rPr>
        <w:tab/>
      </w:r>
      <w:r w:rsidR="00550815">
        <w:rPr>
          <w:rFonts w:eastAsiaTheme="minorHAnsi"/>
          <w:color w:val="000000"/>
          <w:sz w:val="26"/>
          <w:szCs w:val="26"/>
        </w:rPr>
        <w:t>Upon review, we shall decline to consider the Exceptions.</w:t>
      </w:r>
    </w:p>
    <w:p w14:paraId="468A0323" w14:textId="08D2BD09" w:rsidR="00FF3ABD" w:rsidRDefault="00FF3ABD" w:rsidP="00863C00">
      <w:pPr>
        <w:pStyle w:val="ListParagraph"/>
        <w:ind w:left="0" w:firstLine="0"/>
        <w:jc w:val="left"/>
        <w:rPr>
          <w:rFonts w:eastAsiaTheme="minorHAnsi"/>
          <w:color w:val="000000"/>
          <w:sz w:val="26"/>
          <w:szCs w:val="26"/>
        </w:rPr>
      </w:pPr>
    </w:p>
    <w:p w14:paraId="0C922079" w14:textId="1D5F0454" w:rsidR="00FF3ABD" w:rsidRPr="00FF3ABD" w:rsidRDefault="00FF3ABD" w:rsidP="00FF3ABD">
      <w:pPr>
        <w:spacing w:after="160"/>
        <w:ind w:firstLine="0"/>
        <w:contextualSpacing/>
        <w:jc w:val="left"/>
        <w:rPr>
          <w:rFonts w:eastAsiaTheme="minorHAnsi"/>
          <w:sz w:val="26"/>
          <w:szCs w:val="26"/>
        </w:rPr>
      </w:pPr>
      <w:r w:rsidRPr="00FF3ABD">
        <w:rPr>
          <w:rFonts w:eastAsiaTheme="minorHAnsi"/>
          <w:sz w:val="26"/>
          <w:szCs w:val="26"/>
        </w:rPr>
        <w:tab/>
      </w:r>
      <w:r w:rsidRPr="00FF3ABD">
        <w:rPr>
          <w:rFonts w:eastAsiaTheme="minorHAnsi"/>
          <w:sz w:val="26"/>
          <w:szCs w:val="26"/>
        </w:rPr>
        <w:tab/>
        <w:t xml:space="preserve">The Initial Decision adjudicated the Complaint and treated Ms. </w:t>
      </w:r>
      <w:proofErr w:type="spellStart"/>
      <w:r w:rsidRPr="00FF3ABD">
        <w:rPr>
          <w:rFonts w:eastAsiaTheme="minorHAnsi"/>
          <w:sz w:val="26"/>
          <w:szCs w:val="26"/>
        </w:rPr>
        <w:t>Scheaffer</w:t>
      </w:r>
      <w:proofErr w:type="spellEnd"/>
      <w:r w:rsidRPr="00FF3ABD">
        <w:rPr>
          <w:rFonts w:eastAsiaTheme="minorHAnsi"/>
          <w:sz w:val="26"/>
          <w:szCs w:val="26"/>
        </w:rPr>
        <w:t xml:space="preserve"> as a witness even though she is not the legal representative of her father’s estate</w:t>
      </w:r>
      <w:r w:rsidR="0012796E">
        <w:rPr>
          <w:rFonts w:eastAsiaTheme="minorHAnsi"/>
          <w:sz w:val="26"/>
          <w:szCs w:val="26"/>
        </w:rPr>
        <w:t>;</w:t>
      </w:r>
      <w:r w:rsidRPr="00FF3ABD">
        <w:rPr>
          <w:rFonts w:eastAsiaTheme="minorHAnsi"/>
          <w:sz w:val="26"/>
          <w:szCs w:val="26"/>
        </w:rPr>
        <w:t xml:space="preserve"> nor is she an attorney licensed to practice law in Pennsylvania.  Because Ms. </w:t>
      </w:r>
      <w:proofErr w:type="spellStart"/>
      <w:r w:rsidRPr="00FF3ABD">
        <w:rPr>
          <w:rFonts w:eastAsiaTheme="minorHAnsi"/>
          <w:sz w:val="26"/>
          <w:szCs w:val="26"/>
        </w:rPr>
        <w:t>Scheaffer</w:t>
      </w:r>
      <w:proofErr w:type="spellEnd"/>
      <w:r w:rsidRPr="00FF3ABD">
        <w:rPr>
          <w:rFonts w:eastAsiaTheme="minorHAnsi"/>
          <w:sz w:val="26"/>
          <w:szCs w:val="26"/>
        </w:rPr>
        <w:t xml:space="preserve"> lived with her father, the Initial Decision concluded that she was a customer of the utility and could properly prosecute the complaint.</w:t>
      </w:r>
    </w:p>
    <w:p w14:paraId="5CF483F8" w14:textId="77777777" w:rsidR="00FF3ABD" w:rsidRPr="00FF3ABD" w:rsidRDefault="00FF3ABD" w:rsidP="00FF3ABD">
      <w:pPr>
        <w:spacing w:after="160"/>
        <w:ind w:firstLine="0"/>
        <w:contextualSpacing/>
        <w:jc w:val="left"/>
        <w:rPr>
          <w:rFonts w:eastAsiaTheme="minorHAnsi"/>
          <w:sz w:val="26"/>
          <w:szCs w:val="26"/>
        </w:rPr>
      </w:pPr>
    </w:p>
    <w:p w14:paraId="2B779BE9" w14:textId="29FB27B0" w:rsidR="00FF3ABD" w:rsidRPr="00FF3ABD" w:rsidRDefault="00FF3ABD" w:rsidP="00FF3ABD">
      <w:pPr>
        <w:spacing w:after="160"/>
        <w:ind w:firstLine="0"/>
        <w:contextualSpacing/>
        <w:jc w:val="left"/>
        <w:rPr>
          <w:rFonts w:eastAsiaTheme="minorHAnsi"/>
          <w:sz w:val="26"/>
          <w:szCs w:val="26"/>
        </w:rPr>
      </w:pPr>
      <w:r w:rsidRPr="00FF3ABD">
        <w:rPr>
          <w:rFonts w:eastAsiaTheme="minorHAnsi"/>
          <w:sz w:val="26"/>
          <w:szCs w:val="26"/>
        </w:rPr>
        <w:tab/>
      </w:r>
      <w:r w:rsidRPr="00FF3ABD">
        <w:rPr>
          <w:rFonts w:eastAsiaTheme="minorHAnsi"/>
          <w:sz w:val="26"/>
          <w:szCs w:val="26"/>
        </w:rPr>
        <w:tab/>
      </w:r>
      <w:r w:rsidR="0012796E">
        <w:rPr>
          <w:rFonts w:eastAsiaTheme="minorHAnsi"/>
          <w:sz w:val="26"/>
          <w:szCs w:val="26"/>
        </w:rPr>
        <w:t>Initially, t</w:t>
      </w:r>
      <w:r w:rsidRPr="00FF3ABD">
        <w:rPr>
          <w:rFonts w:eastAsiaTheme="minorHAnsi"/>
          <w:sz w:val="26"/>
          <w:szCs w:val="26"/>
        </w:rPr>
        <w:t xml:space="preserve">he ALJ correctly concluded that while Ms. </w:t>
      </w:r>
      <w:proofErr w:type="spellStart"/>
      <w:r w:rsidRPr="00FF3ABD">
        <w:rPr>
          <w:rFonts w:eastAsiaTheme="minorHAnsi"/>
          <w:sz w:val="26"/>
          <w:szCs w:val="26"/>
        </w:rPr>
        <w:t>Scheaffer</w:t>
      </w:r>
      <w:proofErr w:type="spellEnd"/>
      <w:r w:rsidRPr="00FF3ABD">
        <w:rPr>
          <w:rFonts w:eastAsiaTheme="minorHAnsi"/>
          <w:sz w:val="26"/>
          <w:szCs w:val="26"/>
        </w:rPr>
        <w:t xml:space="preserve"> did not meet the definition of “customer” under Section 1403 of the Code, 66 Pa. C.S. § 1403, she was a “user without contract” as defined by Section 56.2 of our Regulations, 52 Pa. Code §</w:t>
      </w:r>
      <w:r w:rsidR="0012796E">
        <w:rPr>
          <w:rFonts w:eastAsiaTheme="minorHAnsi"/>
          <w:sz w:val="26"/>
          <w:szCs w:val="26"/>
        </w:rPr>
        <w:t> </w:t>
      </w:r>
      <w:r w:rsidRPr="00FF3ABD">
        <w:rPr>
          <w:rFonts w:eastAsiaTheme="minorHAnsi"/>
          <w:sz w:val="26"/>
          <w:szCs w:val="26"/>
        </w:rPr>
        <w:t>56.2.  Specifically, she became a user without contract after her father died, and she continued to reside at the service address without applying for service in her own name.  A user without contract might have standing to maintain an action before the Commission, depending on the facts of the case.  Here</w:t>
      </w:r>
      <w:r w:rsidR="00313824">
        <w:rPr>
          <w:rFonts w:eastAsiaTheme="minorHAnsi"/>
          <w:sz w:val="26"/>
          <w:szCs w:val="26"/>
        </w:rPr>
        <w:t>,</w:t>
      </w:r>
      <w:r w:rsidRPr="00FF3ABD">
        <w:rPr>
          <w:rFonts w:eastAsiaTheme="minorHAnsi"/>
          <w:sz w:val="26"/>
          <w:szCs w:val="26"/>
        </w:rPr>
        <w:t xml:space="preserve"> however, the ALJ incorrectly construed the Commission’s Regulations together with PPL’s tariff to find that she was a customer with standing to seek relief for issues that arose prior to the death of her father, who was the customer of record.</w:t>
      </w:r>
    </w:p>
    <w:p w14:paraId="26A4F2D1" w14:textId="77777777" w:rsidR="00FF3ABD" w:rsidRPr="00FF3ABD" w:rsidRDefault="00FF3ABD" w:rsidP="00FF3ABD">
      <w:pPr>
        <w:spacing w:after="160"/>
        <w:ind w:firstLine="0"/>
        <w:contextualSpacing/>
        <w:jc w:val="left"/>
        <w:rPr>
          <w:rFonts w:eastAsiaTheme="minorHAnsi"/>
          <w:sz w:val="26"/>
          <w:szCs w:val="26"/>
        </w:rPr>
      </w:pPr>
    </w:p>
    <w:p w14:paraId="2104061B" w14:textId="431CB7A6" w:rsidR="00FF3ABD" w:rsidRPr="00FF3ABD" w:rsidRDefault="00FF3ABD" w:rsidP="00FF3ABD">
      <w:pPr>
        <w:spacing w:after="160"/>
        <w:ind w:firstLine="0"/>
        <w:contextualSpacing/>
        <w:jc w:val="left"/>
        <w:rPr>
          <w:rFonts w:eastAsiaTheme="minorHAnsi"/>
          <w:sz w:val="26"/>
          <w:szCs w:val="26"/>
        </w:rPr>
      </w:pPr>
      <w:r w:rsidRPr="00FF3ABD">
        <w:rPr>
          <w:rFonts w:eastAsiaTheme="minorHAnsi"/>
          <w:sz w:val="26"/>
          <w:szCs w:val="26"/>
        </w:rPr>
        <w:tab/>
      </w:r>
      <w:r w:rsidRPr="00FF3ABD">
        <w:rPr>
          <w:rFonts w:eastAsiaTheme="minorHAnsi"/>
          <w:sz w:val="26"/>
          <w:szCs w:val="26"/>
        </w:rPr>
        <w:tab/>
        <w:t xml:space="preserve">It is well-settled in Commission practice that participation in a formal adversarial proceeding before this Commission constitutes the practice of law.  As such, that participation is limited to those who either file as individuals and represent themselves, or attorneys who are representing others.  52 Pa. Code § 5.21.  Just as an attorney cannot empower an individual to engage in the unauthorized practice of law, no agency can confer the power to engage in conduct that is prohibited by Section 2524 of the Judicial Code, 42 Pa. C.S. § 2524.  </w:t>
      </w:r>
      <w:r w:rsidRPr="00FF3ABD">
        <w:rPr>
          <w:rFonts w:eastAsiaTheme="minorHAnsi"/>
          <w:i/>
          <w:sz w:val="26"/>
          <w:szCs w:val="26"/>
        </w:rPr>
        <w:t>See</w:t>
      </w:r>
      <w:r w:rsidRPr="00FF3ABD">
        <w:rPr>
          <w:rFonts w:eastAsiaTheme="minorHAnsi"/>
          <w:sz w:val="26"/>
          <w:szCs w:val="26"/>
        </w:rPr>
        <w:t xml:space="preserve">, </w:t>
      </w:r>
      <w:proofErr w:type="spellStart"/>
      <w:r w:rsidRPr="00FF3ABD">
        <w:rPr>
          <w:rFonts w:eastAsiaTheme="minorHAnsi"/>
          <w:i/>
          <w:sz w:val="26"/>
          <w:szCs w:val="26"/>
        </w:rPr>
        <w:t>Kohlman</w:t>
      </w:r>
      <w:proofErr w:type="spellEnd"/>
      <w:r w:rsidRPr="00FF3ABD">
        <w:rPr>
          <w:rFonts w:eastAsiaTheme="minorHAnsi"/>
          <w:i/>
          <w:sz w:val="26"/>
          <w:szCs w:val="26"/>
        </w:rPr>
        <w:t xml:space="preserve"> v. Western Pennsylvania Hospital, </w:t>
      </w:r>
      <w:r w:rsidRPr="00FF3ABD">
        <w:rPr>
          <w:rFonts w:eastAsiaTheme="minorHAnsi"/>
          <w:sz w:val="26"/>
          <w:szCs w:val="26"/>
        </w:rPr>
        <w:t xml:space="preserve">652 A.2d 849 (Pa. Super. 1994), </w:t>
      </w:r>
      <w:proofErr w:type="spellStart"/>
      <w:r w:rsidR="00336589">
        <w:rPr>
          <w:rFonts w:eastAsiaTheme="minorHAnsi"/>
          <w:i/>
          <w:sz w:val="26"/>
          <w:szCs w:val="26"/>
        </w:rPr>
        <w:t>alloc</w:t>
      </w:r>
      <w:proofErr w:type="spellEnd"/>
      <w:r w:rsidRPr="00FF3ABD">
        <w:rPr>
          <w:rFonts w:eastAsiaTheme="minorHAnsi"/>
          <w:i/>
          <w:sz w:val="26"/>
          <w:szCs w:val="26"/>
        </w:rPr>
        <w:t>. denied</w:t>
      </w:r>
      <w:r w:rsidRPr="00FF3ABD">
        <w:rPr>
          <w:rFonts w:eastAsiaTheme="minorHAnsi"/>
          <w:sz w:val="26"/>
          <w:szCs w:val="26"/>
        </w:rPr>
        <w:t xml:space="preserve">, 541 Pa. 640, 663 A.2d 692 (1995); and </w:t>
      </w:r>
      <w:r w:rsidRPr="00FF3ABD">
        <w:rPr>
          <w:rFonts w:eastAsiaTheme="minorHAnsi"/>
          <w:i/>
          <w:sz w:val="26"/>
          <w:szCs w:val="26"/>
        </w:rPr>
        <w:t xml:space="preserve">Westmoreland County v. Rodgers, et al., </w:t>
      </w:r>
      <w:r w:rsidRPr="00FF3ABD">
        <w:rPr>
          <w:rFonts w:eastAsiaTheme="minorHAnsi"/>
          <w:sz w:val="26"/>
          <w:szCs w:val="26"/>
        </w:rPr>
        <w:t xml:space="preserve">693 A.2d 996 (Pa. </w:t>
      </w:r>
      <w:proofErr w:type="spellStart"/>
      <w:r w:rsidRPr="00FF3ABD">
        <w:rPr>
          <w:rFonts w:eastAsiaTheme="minorHAnsi"/>
          <w:sz w:val="26"/>
          <w:szCs w:val="26"/>
        </w:rPr>
        <w:t>Cmwlth</w:t>
      </w:r>
      <w:proofErr w:type="spellEnd"/>
      <w:r w:rsidRPr="00FF3ABD">
        <w:rPr>
          <w:rFonts w:eastAsiaTheme="minorHAnsi"/>
          <w:sz w:val="26"/>
          <w:szCs w:val="26"/>
        </w:rPr>
        <w:t xml:space="preserve">. 1997), </w:t>
      </w:r>
      <w:proofErr w:type="spellStart"/>
      <w:r w:rsidRPr="00FF3ABD">
        <w:rPr>
          <w:rFonts w:eastAsiaTheme="minorHAnsi"/>
          <w:i/>
          <w:sz w:val="26"/>
          <w:szCs w:val="26"/>
        </w:rPr>
        <w:t>a</w:t>
      </w:r>
      <w:r w:rsidR="00336589">
        <w:rPr>
          <w:rFonts w:eastAsiaTheme="minorHAnsi"/>
          <w:i/>
          <w:sz w:val="26"/>
          <w:szCs w:val="26"/>
        </w:rPr>
        <w:t>lloc</w:t>
      </w:r>
      <w:proofErr w:type="spellEnd"/>
      <w:r w:rsidRPr="00FF3ABD">
        <w:rPr>
          <w:rFonts w:eastAsiaTheme="minorHAnsi"/>
          <w:i/>
          <w:sz w:val="26"/>
          <w:szCs w:val="26"/>
        </w:rPr>
        <w:t>. denied</w:t>
      </w:r>
      <w:r w:rsidRPr="00FF3ABD">
        <w:rPr>
          <w:rFonts w:eastAsiaTheme="minorHAnsi"/>
          <w:sz w:val="26"/>
          <w:szCs w:val="26"/>
        </w:rPr>
        <w:t xml:space="preserve">, 553 Pa. 685, 717 A.2d 536 (1998).  Therefore, the daughter of the decedent was unable to prosecute the </w:t>
      </w:r>
      <w:r w:rsidR="00E712BD">
        <w:rPr>
          <w:rFonts w:eastAsiaTheme="minorHAnsi"/>
          <w:sz w:val="26"/>
          <w:szCs w:val="26"/>
        </w:rPr>
        <w:t>C</w:t>
      </w:r>
      <w:r w:rsidRPr="00FF3ABD">
        <w:rPr>
          <w:rFonts w:eastAsiaTheme="minorHAnsi"/>
          <w:sz w:val="26"/>
          <w:szCs w:val="26"/>
        </w:rPr>
        <w:t>omplaint on behalf of her deceased father.  The analysis that was utilized at the hearing, that the daughter be permitted to testify as a witness, falls short with the realization that there is no prosecutor and, therefore, no one to call her as a witness.</w:t>
      </w:r>
    </w:p>
    <w:p w14:paraId="326B0CE8" w14:textId="77777777" w:rsidR="00FF3ABD" w:rsidRPr="00FF3ABD" w:rsidRDefault="00FF3ABD" w:rsidP="00FF3ABD">
      <w:pPr>
        <w:spacing w:after="160"/>
        <w:contextualSpacing/>
        <w:jc w:val="left"/>
        <w:rPr>
          <w:rFonts w:eastAsiaTheme="minorHAnsi"/>
          <w:sz w:val="26"/>
          <w:szCs w:val="26"/>
        </w:rPr>
      </w:pPr>
    </w:p>
    <w:p w14:paraId="4FDAE49D" w14:textId="20F3F3AD" w:rsidR="00FF3ABD" w:rsidRPr="00FF3ABD" w:rsidRDefault="00FF3ABD" w:rsidP="00FF3ABD">
      <w:pPr>
        <w:spacing w:after="160"/>
        <w:contextualSpacing/>
        <w:jc w:val="left"/>
        <w:rPr>
          <w:rFonts w:eastAsiaTheme="minorHAnsi"/>
          <w:sz w:val="26"/>
          <w:szCs w:val="26"/>
        </w:rPr>
      </w:pPr>
      <w:r w:rsidRPr="00FF3ABD">
        <w:rPr>
          <w:rFonts w:eastAsiaTheme="minorHAnsi"/>
          <w:sz w:val="26"/>
          <w:szCs w:val="26"/>
        </w:rPr>
        <w:tab/>
        <w:t xml:space="preserve">It is important to note that the absence of an attorney where one is required actually deprives the forum of jurisdiction to adjudicate the matter.  </w:t>
      </w:r>
      <w:r w:rsidRPr="00FF3ABD">
        <w:rPr>
          <w:rFonts w:eastAsia="Times New Roman"/>
          <w:i/>
          <w:sz w:val="26"/>
          <w:szCs w:val="26"/>
        </w:rPr>
        <w:t>See</w:t>
      </w:r>
      <w:r w:rsidRPr="00FF3ABD">
        <w:rPr>
          <w:rFonts w:eastAsia="Times New Roman"/>
          <w:sz w:val="26"/>
          <w:szCs w:val="26"/>
        </w:rPr>
        <w:t>,</w:t>
      </w:r>
      <w:r w:rsidRPr="00FF3ABD">
        <w:rPr>
          <w:rFonts w:eastAsia="Times New Roman"/>
          <w:i/>
          <w:sz w:val="26"/>
          <w:szCs w:val="26"/>
        </w:rPr>
        <w:t xml:space="preserve"> McCain v. </w:t>
      </w:r>
      <w:proofErr w:type="spellStart"/>
      <w:r w:rsidRPr="00FF3ABD">
        <w:rPr>
          <w:rFonts w:eastAsia="Times New Roman"/>
          <w:i/>
          <w:sz w:val="26"/>
          <w:szCs w:val="26"/>
        </w:rPr>
        <w:t>Curione</w:t>
      </w:r>
      <w:proofErr w:type="spellEnd"/>
      <w:r w:rsidRPr="00FF3ABD">
        <w:rPr>
          <w:rFonts w:eastAsia="Times New Roman"/>
          <w:i/>
          <w:sz w:val="26"/>
          <w:szCs w:val="26"/>
        </w:rPr>
        <w:t xml:space="preserve">, </w:t>
      </w:r>
      <w:r w:rsidRPr="00FF3ABD">
        <w:rPr>
          <w:rFonts w:eastAsiaTheme="minorHAnsi"/>
          <w:i/>
          <w:sz w:val="26"/>
          <w:szCs w:val="26"/>
        </w:rPr>
        <w:t>et al.</w:t>
      </w:r>
      <w:r w:rsidRPr="00FF3ABD">
        <w:rPr>
          <w:rFonts w:eastAsia="Times New Roman"/>
          <w:sz w:val="26"/>
          <w:szCs w:val="26"/>
        </w:rPr>
        <w:t xml:space="preserve">, 527 A.2d 591 (Pa. </w:t>
      </w:r>
      <w:proofErr w:type="spellStart"/>
      <w:r w:rsidRPr="00FF3ABD">
        <w:rPr>
          <w:rFonts w:eastAsia="Times New Roman"/>
          <w:sz w:val="26"/>
          <w:szCs w:val="26"/>
        </w:rPr>
        <w:t>Cmwlth</w:t>
      </w:r>
      <w:proofErr w:type="spellEnd"/>
      <w:r w:rsidRPr="00FF3ABD">
        <w:rPr>
          <w:rFonts w:eastAsia="Times New Roman"/>
          <w:sz w:val="26"/>
          <w:szCs w:val="26"/>
        </w:rPr>
        <w:t xml:space="preserve">. 1987) (Commonwealth Court was without jurisdiction to consider arguments and motions); and </w:t>
      </w:r>
      <w:r w:rsidRPr="00FF3ABD">
        <w:rPr>
          <w:rFonts w:eastAsia="Times New Roman"/>
          <w:i/>
          <w:sz w:val="26"/>
          <w:szCs w:val="26"/>
        </w:rPr>
        <w:t xml:space="preserve">Spirit of the Avenger Ministries v. Com., </w:t>
      </w:r>
      <w:r w:rsidRPr="00FF3ABD">
        <w:rPr>
          <w:rFonts w:eastAsia="Times New Roman"/>
          <w:sz w:val="26"/>
          <w:szCs w:val="26"/>
        </w:rPr>
        <w:t xml:space="preserve">767 A.2d 1130 (Pa. </w:t>
      </w:r>
      <w:proofErr w:type="spellStart"/>
      <w:r w:rsidRPr="00FF3ABD">
        <w:rPr>
          <w:rFonts w:eastAsia="Times New Roman"/>
          <w:sz w:val="26"/>
          <w:szCs w:val="26"/>
        </w:rPr>
        <w:t>Cmwlth</w:t>
      </w:r>
      <w:proofErr w:type="spellEnd"/>
      <w:r w:rsidRPr="00FF3ABD">
        <w:rPr>
          <w:rFonts w:eastAsia="Times New Roman"/>
          <w:sz w:val="26"/>
          <w:szCs w:val="26"/>
        </w:rPr>
        <w:t>. 2001) (appeal quashed because the court was without jurisdiction to consider the claims raised by a person not licensed to practice law in Pennsylvania)</w:t>
      </w:r>
      <w:r w:rsidRPr="00FF3ABD">
        <w:rPr>
          <w:rFonts w:asciiTheme="minorHAnsi" w:eastAsia="Times New Roman" w:hAnsiTheme="minorHAnsi" w:cstheme="minorBidi"/>
          <w:sz w:val="22"/>
          <w:szCs w:val="22"/>
        </w:rPr>
        <w:t xml:space="preserve">.  </w:t>
      </w:r>
      <w:r w:rsidRPr="00FF3ABD">
        <w:rPr>
          <w:rFonts w:eastAsiaTheme="minorHAnsi"/>
          <w:sz w:val="26"/>
          <w:szCs w:val="26"/>
        </w:rPr>
        <w:t xml:space="preserve">Accordingly, we are unable to adjudicate this </w:t>
      </w:r>
      <w:r w:rsidR="00F77854">
        <w:rPr>
          <w:rFonts w:eastAsiaTheme="minorHAnsi"/>
          <w:sz w:val="26"/>
          <w:szCs w:val="26"/>
        </w:rPr>
        <w:t>C</w:t>
      </w:r>
      <w:r w:rsidRPr="00FF3ABD">
        <w:rPr>
          <w:rFonts w:eastAsiaTheme="minorHAnsi"/>
          <w:sz w:val="26"/>
          <w:szCs w:val="26"/>
        </w:rPr>
        <w:t xml:space="preserve">omplaint and have no choice but to dismiss it.  The dismissal, which is not on the merits of the Complaint, will be without prejudice so that the appropriate party may refile if desired.  </w:t>
      </w:r>
    </w:p>
    <w:p w14:paraId="7F89AC27" w14:textId="6712668B" w:rsidR="004A2914" w:rsidRDefault="004A2914">
      <w:pPr>
        <w:spacing w:after="200" w:line="276" w:lineRule="auto"/>
        <w:ind w:firstLine="0"/>
        <w:jc w:val="left"/>
        <w:rPr>
          <w:sz w:val="26"/>
          <w:szCs w:val="26"/>
        </w:rPr>
      </w:pPr>
    </w:p>
    <w:p w14:paraId="5F9E453C" w14:textId="77777777" w:rsidR="000D62AE" w:rsidRDefault="000D62AE" w:rsidP="000D62AE">
      <w:pPr>
        <w:ind w:firstLine="0"/>
        <w:rPr>
          <w:b/>
          <w:sz w:val="26"/>
          <w:szCs w:val="26"/>
        </w:rPr>
      </w:pPr>
      <w:r>
        <w:rPr>
          <w:b/>
          <w:sz w:val="26"/>
          <w:szCs w:val="26"/>
        </w:rPr>
        <w:t>Conclusion</w:t>
      </w:r>
    </w:p>
    <w:p w14:paraId="55D2EC62" w14:textId="77777777" w:rsidR="000D62AE" w:rsidRDefault="000D62AE" w:rsidP="000D62AE">
      <w:pPr>
        <w:ind w:firstLine="0"/>
        <w:jc w:val="left"/>
        <w:rPr>
          <w:b/>
          <w:sz w:val="26"/>
          <w:szCs w:val="26"/>
        </w:rPr>
      </w:pPr>
    </w:p>
    <w:p w14:paraId="17C3406C" w14:textId="0630548D" w:rsidR="000D62AE" w:rsidRDefault="000D62AE" w:rsidP="000D62AE">
      <w:pPr>
        <w:autoSpaceDE w:val="0"/>
        <w:autoSpaceDN w:val="0"/>
        <w:adjustRightInd w:val="0"/>
        <w:ind w:firstLine="1440"/>
        <w:jc w:val="left"/>
        <w:rPr>
          <w:sz w:val="26"/>
          <w:szCs w:val="26"/>
        </w:rPr>
      </w:pPr>
      <w:r>
        <w:rPr>
          <w:sz w:val="26"/>
          <w:szCs w:val="26"/>
        </w:rPr>
        <w:t xml:space="preserve">Based on the foregoing discussion, we shall </w:t>
      </w:r>
      <w:r w:rsidR="00FF3ABD">
        <w:rPr>
          <w:sz w:val="26"/>
          <w:szCs w:val="26"/>
        </w:rPr>
        <w:t xml:space="preserve">decline to consider </w:t>
      </w:r>
      <w:r>
        <w:rPr>
          <w:sz w:val="26"/>
          <w:szCs w:val="26"/>
        </w:rPr>
        <w:t xml:space="preserve">the Exceptions, </w:t>
      </w:r>
      <w:r w:rsidR="00FF3ABD">
        <w:rPr>
          <w:sz w:val="26"/>
          <w:szCs w:val="26"/>
        </w:rPr>
        <w:t xml:space="preserve">reverse </w:t>
      </w:r>
      <w:r>
        <w:rPr>
          <w:sz w:val="26"/>
          <w:szCs w:val="26"/>
        </w:rPr>
        <w:t xml:space="preserve">the ALJ’s Initial Decision, and dismiss the Complaint, </w:t>
      </w:r>
      <w:r w:rsidR="00FF3ABD">
        <w:rPr>
          <w:sz w:val="26"/>
          <w:szCs w:val="26"/>
        </w:rPr>
        <w:t xml:space="preserve">without prejudice, </w:t>
      </w:r>
      <w:r>
        <w:rPr>
          <w:sz w:val="26"/>
          <w:szCs w:val="26"/>
        </w:rPr>
        <w:t xml:space="preserve">consistent with this Opinion and Order; </w:t>
      </w:r>
      <w:r>
        <w:rPr>
          <w:b/>
          <w:sz w:val="26"/>
          <w:szCs w:val="26"/>
        </w:rPr>
        <w:t>THEREFORE</w:t>
      </w:r>
      <w:r>
        <w:rPr>
          <w:sz w:val="26"/>
          <w:szCs w:val="26"/>
        </w:rPr>
        <w:t>,</w:t>
      </w:r>
    </w:p>
    <w:p w14:paraId="388B3A63" w14:textId="77777777" w:rsidR="000D62AE" w:rsidRDefault="000D62AE" w:rsidP="000D62AE">
      <w:pPr>
        <w:spacing w:after="200" w:line="276" w:lineRule="auto"/>
        <w:ind w:firstLine="0"/>
        <w:jc w:val="left"/>
        <w:rPr>
          <w:sz w:val="26"/>
          <w:szCs w:val="26"/>
        </w:rPr>
      </w:pPr>
    </w:p>
    <w:p w14:paraId="504BC8EC" w14:textId="77777777" w:rsidR="000D62AE" w:rsidRDefault="000D62AE" w:rsidP="000D62AE">
      <w:pPr>
        <w:keepLines/>
        <w:jc w:val="left"/>
        <w:rPr>
          <w:b/>
          <w:sz w:val="26"/>
          <w:szCs w:val="26"/>
        </w:rPr>
      </w:pPr>
      <w:r>
        <w:rPr>
          <w:sz w:val="26"/>
          <w:szCs w:val="26"/>
        </w:rPr>
        <w:tab/>
      </w:r>
      <w:r w:rsidRPr="000D6043">
        <w:rPr>
          <w:b/>
          <w:sz w:val="26"/>
          <w:szCs w:val="26"/>
        </w:rPr>
        <w:t>IT IS ORDERED:</w:t>
      </w:r>
    </w:p>
    <w:p w14:paraId="0667E13A" w14:textId="77777777" w:rsidR="000D62AE" w:rsidRDefault="000D62AE" w:rsidP="000D62AE">
      <w:pPr>
        <w:keepLines/>
        <w:jc w:val="left"/>
        <w:rPr>
          <w:b/>
          <w:sz w:val="26"/>
          <w:szCs w:val="26"/>
        </w:rPr>
      </w:pPr>
    </w:p>
    <w:p w14:paraId="5A38193A" w14:textId="47A9F077" w:rsidR="000D62AE" w:rsidRDefault="000D62AE" w:rsidP="000D62AE">
      <w:pPr>
        <w:ind w:firstLine="0"/>
        <w:jc w:val="left"/>
        <w:rPr>
          <w:sz w:val="26"/>
          <w:szCs w:val="26"/>
        </w:rPr>
      </w:pPr>
      <w:r>
        <w:rPr>
          <w:b/>
          <w:sz w:val="26"/>
          <w:szCs w:val="26"/>
        </w:rPr>
        <w:tab/>
      </w:r>
      <w:r>
        <w:rPr>
          <w:b/>
          <w:sz w:val="26"/>
          <w:szCs w:val="26"/>
        </w:rPr>
        <w:tab/>
      </w:r>
      <w:r>
        <w:rPr>
          <w:sz w:val="26"/>
          <w:szCs w:val="26"/>
        </w:rPr>
        <w:t>1.</w:t>
      </w:r>
      <w:r>
        <w:rPr>
          <w:sz w:val="26"/>
          <w:szCs w:val="26"/>
        </w:rPr>
        <w:tab/>
        <w:t xml:space="preserve">That </w:t>
      </w:r>
      <w:r w:rsidR="00FF3ABD">
        <w:rPr>
          <w:sz w:val="26"/>
          <w:szCs w:val="26"/>
        </w:rPr>
        <w:t xml:space="preserve">we shall decline to consider </w:t>
      </w:r>
      <w:r>
        <w:rPr>
          <w:sz w:val="26"/>
          <w:szCs w:val="26"/>
        </w:rPr>
        <w:t xml:space="preserve">the Exceptions filed by </w:t>
      </w:r>
      <w:r w:rsidR="002A14C3">
        <w:rPr>
          <w:sz w:val="26"/>
          <w:szCs w:val="26"/>
        </w:rPr>
        <w:t>Lesley</w:t>
      </w:r>
      <w:r w:rsidR="00313824">
        <w:rPr>
          <w:sz w:val="26"/>
          <w:szCs w:val="26"/>
        </w:rPr>
        <w:t> </w:t>
      </w:r>
      <w:r w:rsidR="002A14C3">
        <w:rPr>
          <w:sz w:val="26"/>
          <w:szCs w:val="26"/>
        </w:rPr>
        <w:t>A.</w:t>
      </w:r>
      <w:r w:rsidR="00313824">
        <w:rPr>
          <w:sz w:val="26"/>
          <w:szCs w:val="26"/>
        </w:rPr>
        <w:t> </w:t>
      </w:r>
      <w:proofErr w:type="spellStart"/>
      <w:r w:rsidR="002A14C3">
        <w:rPr>
          <w:sz w:val="26"/>
          <w:szCs w:val="26"/>
        </w:rPr>
        <w:t>Scheaffer</w:t>
      </w:r>
      <w:proofErr w:type="spellEnd"/>
      <w:r w:rsidR="002A14C3">
        <w:rPr>
          <w:sz w:val="26"/>
          <w:szCs w:val="26"/>
        </w:rPr>
        <w:t xml:space="preserve"> for Leslie</w:t>
      </w:r>
      <w:r>
        <w:rPr>
          <w:sz w:val="26"/>
          <w:szCs w:val="26"/>
        </w:rPr>
        <w:t xml:space="preserve"> </w:t>
      </w:r>
      <w:r w:rsidR="002A14C3">
        <w:rPr>
          <w:sz w:val="26"/>
          <w:szCs w:val="26"/>
        </w:rPr>
        <w:t xml:space="preserve">W. </w:t>
      </w:r>
      <w:proofErr w:type="spellStart"/>
      <w:r w:rsidR="002A14C3">
        <w:rPr>
          <w:sz w:val="26"/>
          <w:szCs w:val="26"/>
        </w:rPr>
        <w:t>Scheaffer</w:t>
      </w:r>
      <w:proofErr w:type="spellEnd"/>
      <w:r w:rsidR="002A14C3">
        <w:rPr>
          <w:sz w:val="26"/>
          <w:szCs w:val="26"/>
        </w:rPr>
        <w:t xml:space="preserve"> </w:t>
      </w:r>
      <w:r>
        <w:rPr>
          <w:sz w:val="26"/>
          <w:szCs w:val="26"/>
        </w:rPr>
        <w:t xml:space="preserve">on </w:t>
      </w:r>
      <w:r w:rsidR="002A14C3">
        <w:rPr>
          <w:sz w:val="26"/>
          <w:szCs w:val="26"/>
        </w:rPr>
        <w:t>June</w:t>
      </w:r>
      <w:r>
        <w:rPr>
          <w:sz w:val="26"/>
          <w:szCs w:val="26"/>
        </w:rPr>
        <w:t xml:space="preserve"> 2</w:t>
      </w:r>
      <w:r w:rsidR="002A14C3">
        <w:rPr>
          <w:sz w:val="26"/>
          <w:szCs w:val="26"/>
        </w:rPr>
        <w:t>3</w:t>
      </w:r>
      <w:r>
        <w:rPr>
          <w:sz w:val="26"/>
          <w:szCs w:val="26"/>
        </w:rPr>
        <w:t>, 201</w:t>
      </w:r>
      <w:r w:rsidR="002A14C3">
        <w:rPr>
          <w:sz w:val="26"/>
          <w:szCs w:val="26"/>
        </w:rPr>
        <w:t>7</w:t>
      </w:r>
      <w:r>
        <w:rPr>
          <w:sz w:val="26"/>
          <w:szCs w:val="26"/>
        </w:rPr>
        <w:t xml:space="preserve">, to the Initial Decision of Administrative Law Judge </w:t>
      </w:r>
      <w:r w:rsidR="002A14C3">
        <w:rPr>
          <w:sz w:val="26"/>
          <w:szCs w:val="26"/>
        </w:rPr>
        <w:t>Benjamin</w:t>
      </w:r>
      <w:r w:rsidR="00313824">
        <w:rPr>
          <w:sz w:val="26"/>
          <w:szCs w:val="26"/>
        </w:rPr>
        <w:t> </w:t>
      </w:r>
      <w:r w:rsidR="002A14C3">
        <w:rPr>
          <w:sz w:val="26"/>
          <w:szCs w:val="26"/>
        </w:rPr>
        <w:t>J.</w:t>
      </w:r>
      <w:r w:rsidR="00313824">
        <w:rPr>
          <w:sz w:val="26"/>
          <w:szCs w:val="26"/>
        </w:rPr>
        <w:t> </w:t>
      </w:r>
      <w:r w:rsidR="002A14C3">
        <w:rPr>
          <w:sz w:val="26"/>
          <w:szCs w:val="26"/>
        </w:rPr>
        <w:t>Myers</w:t>
      </w:r>
      <w:r>
        <w:rPr>
          <w:sz w:val="26"/>
          <w:szCs w:val="26"/>
        </w:rPr>
        <w:t xml:space="preserve">, issued on </w:t>
      </w:r>
      <w:r w:rsidR="002A14C3">
        <w:rPr>
          <w:sz w:val="26"/>
          <w:szCs w:val="26"/>
        </w:rPr>
        <w:t>June</w:t>
      </w:r>
      <w:r>
        <w:rPr>
          <w:sz w:val="26"/>
          <w:szCs w:val="26"/>
        </w:rPr>
        <w:t xml:space="preserve"> </w:t>
      </w:r>
      <w:r w:rsidR="002A14C3">
        <w:rPr>
          <w:sz w:val="26"/>
          <w:szCs w:val="26"/>
        </w:rPr>
        <w:t>6</w:t>
      </w:r>
      <w:r>
        <w:rPr>
          <w:sz w:val="26"/>
          <w:szCs w:val="26"/>
        </w:rPr>
        <w:t>, 201</w:t>
      </w:r>
      <w:r w:rsidR="002A14C3">
        <w:rPr>
          <w:sz w:val="26"/>
          <w:szCs w:val="26"/>
        </w:rPr>
        <w:t>7</w:t>
      </w:r>
      <w:r>
        <w:rPr>
          <w:sz w:val="26"/>
          <w:szCs w:val="26"/>
        </w:rPr>
        <w:t>, consistent with this Opinion and Order.</w:t>
      </w:r>
    </w:p>
    <w:p w14:paraId="352CB7E3" w14:textId="77777777" w:rsidR="000D62AE" w:rsidRDefault="000D62AE" w:rsidP="000D62AE">
      <w:pPr>
        <w:jc w:val="left"/>
        <w:rPr>
          <w:sz w:val="26"/>
          <w:szCs w:val="26"/>
        </w:rPr>
      </w:pPr>
    </w:p>
    <w:p w14:paraId="0F9755EF" w14:textId="4D531C0E" w:rsidR="000D62AE" w:rsidRDefault="000D62AE" w:rsidP="000D62AE">
      <w:pPr>
        <w:ind w:firstLine="1440"/>
        <w:jc w:val="left"/>
        <w:rPr>
          <w:sz w:val="26"/>
          <w:szCs w:val="26"/>
        </w:rPr>
      </w:pPr>
      <w:r>
        <w:rPr>
          <w:sz w:val="26"/>
          <w:szCs w:val="26"/>
        </w:rPr>
        <w:t>2.</w:t>
      </w:r>
      <w:r>
        <w:rPr>
          <w:sz w:val="26"/>
          <w:szCs w:val="26"/>
        </w:rPr>
        <w:tab/>
        <w:t xml:space="preserve">That the Initial Decision of Administrative Law Judge </w:t>
      </w:r>
      <w:r w:rsidR="002A14C3">
        <w:rPr>
          <w:sz w:val="26"/>
          <w:szCs w:val="26"/>
        </w:rPr>
        <w:t>Benjamin</w:t>
      </w:r>
      <w:r w:rsidR="00FB548E">
        <w:rPr>
          <w:sz w:val="26"/>
          <w:szCs w:val="26"/>
        </w:rPr>
        <w:t> </w:t>
      </w:r>
      <w:r w:rsidR="002A14C3">
        <w:rPr>
          <w:sz w:val="26"/>
          <w:szCs w:val="26"/>
        </w:rPr>
        <w:t>J.</w:t>
      </w:r>
      <w:r w:rsidR="00FB548E">
        <w:rPr>
          <w:sz w:val="26"/>
          <w:szCs w:val="26"/>
        </w:rPr>
        <w:t> </w:t>
      </w:r>
      <w:r w:rsidR="002A14C3">
        <w:rPr>
          <w:sz w:val="26"/>
          <w:szCs w:val="26"/>
        </w:rPr>
        <w:t>Myers</w:t>
      </w:r>
      <w:r>
        <w:rPr>
          <w:sz w:val="26"/>
          <w:szCs w:val="26"/>
        </w:rPr>
        <w:t xml:space="preserve">, issued on </w:t>
      </w:r>
      <w:r w:rsidR="002A14C3">
        <w:rPr>
          <w:sz w:val="26"/>
          <w:szCs w:val="26"/>
        </w:rPr>
        <w:t>June</w:t>
      </w:r>
      <w:r>
        <w:rPr>
          <w:sz w:val="26"/>
          <w:szCs w:val="26"/>
        </w:rPr>
        <w:t xml:space="preserve"> </w:t>
      </w:r>
      <w:r w:rsidR="002A14C3">
        <w:rPr>
          <w:sz w:val="26"/>
          <w:szCs w:val="26"/>
        </w:rPr>
        <w:t>6</w:t>
      </w:r>
      <w:r>
        <w:rPr>
          <w:sz w:val="26"/>
          <w:szCs w:val="26"/>
        </w:rPr>
        <w:t>, 201</w:t>
      </w:r>
      <w:r w:rsidR="002A14C3">
        <w:rPr>
          <w:sz w:val="26"/>
          <w:szCs w:val="26"/>
        </w:rPr>
        <w:t>7</w:t>
      </w:r>
      <w:r>
        <w:rPr>
          <w:sz w:val="26"/>
          <w:szCs w:val="26"/>
        </w:rPr>
        <w:t xml:space="preserve">, is </w:t>
      </w:r>
      <w:r w:rsidR="00336589">
        <w:rPr>
          <w:sz w:val="26"/>
          <w:szCs w:val="26"/>
        </w:rPr>
        <w:t>reversed</w:t>
      </w:r>
      <w:r>
        <w:rPr>
          <w:sz w:val="26"/>
          <w:szCs w:val="26"/>
        </w:rPr>
        <w:t>, consistent with this Opinion and Order.</w:t>
      </w:r>
    </w:p>
    <w:p w14:paraId="3BC87CD4" w14:textId="77777777" w:rsidR="000D62AE" w:rsidRDefault="000D62AE" w:rsidP="000D62AE">
      <w:pPr>
        <w:ind w:firstLine="1440"/>
        <w:jc w:val="left"/>
        <w:rPr>
          <w:sz w:val="26"/>
          <w:szCs w:val="26"/>
        </w:rPr>
      </w:pPr>
    </w:p>
    <w:p w14:paraId="10C6D101" w14:textId="2C1DDF98" w:rsidR="004A2914" w:rsidRDefault="000D62AE" w:rsidP="00FB548E">
      <w:pPr>
        <w:ind w:firstLine="1440"/>
        <w:jc w:val="left"/>
        <w:rPr>
          <w:sz w:val="26"/>
          <w:szCs w:val="26"/>
        </w:rPr>
      </w:pPr>
      <w:r>
        <w:rPr>
          <w:sz w:val="26"/>
          <w:szCs w:val="26"/>
        </w:rPr>
        <w:t>3.</w:t>
      </w:r>
      <w:r>
        <w:rPr>
          <w:sz w:val="26"/>
          <w:szCs w:val="26"/>
        </w:rPr>
        <w:tab/>
        <w:t xml:space="preserve">That the Formal Complaint filed on November </w:t>
      </w:r>
      <w:r w:rsidR="002A14C3">
        <w:rPr>
          <w:sz w:val="26"/>
          <w:szCs w:val="26"/>
        </w:rPr>
        <w:t>23</w:t>
      </w:r>
      <w:r>
        <w:rPr>
          <w:sz w:val="26"/>
          <w:szCs w:val="26"/>
        </w:rPr>
        <w:t>, 201</w:t>
      </w:r>
      <w:r w:rsidR="002A14C3">
        <w:rPr>
          <w:sz w:val="26"/>
          <w:szCs w:val="26"/>
        </w:rPr>
        <w:t>6</w:t>
      </w:r>
      <w:r>
        <w:rPr>
          <w:sz w:val="26"/>
          <w:szCs w:val="26"/>
        </w:rPr>
        <w:t xml:space="preserve">, by </w:t>
      </w:r>
      <w:r w:rsidR="002A14C3">
        <w:rPr>
          <w:sz w:val="26"/>
          <w:szCs w:val="26"/>
        </w:rPr>
        <w:t>Lesley</w:t>
      </w:r>
      <w:r w:rsidR="00FB548E">
        <w:rPr>
          <w:sz w:val="26"/>
          <w:szCs w:val="26"/>
        </w:rPr>
        <w:t> </w:t>
      </w:r>
      <w:r w:rsidR="002A14C3">
        <w:rPr>
          <w:sz w:val="26"/>
          <w:szCs w:val="26"/>
        </w:rPr>
        <w:t>A.</w:t>
      </w:r>
      <w:r w:rsidR="00FB548E">
        <w:rPr>
          <w:sz w:val="26"/>
          <w:szCs w:val="26"/>
        </w:rPr>
        <w:t> </w:t>
      </w:r>
      <w:proofErr w:type="spellStart"/>
      <w:r w:rsidR="002A14C3">
        <w:rPr>
          <w:sz w:val="26"/>
          <w:szCs w:val="26"/>
        </w:rPr>
        <w:t>Scheaffer</w:t>
      </w:r>
      <w:proofErr w:type="spellEnd"/>
      <w:r>
        <w:rPr>
          <w:sz w:val="26"/>
          <w:szCs w:val="26"/>
        </w:rPr>
        <w:t xml:space="preserve"> </w:t>
      </w:r>
      <w:r w:rsidR="002A14C3">
        <w:rPr>
          <w:sz w:val="26"/>
          <w:szCs w:val="26"/>
        </w:rPr>
        <w:t xml:space="preserve">for Leslie W. </w:t>
      </w:r>
      <w:proofErr w:type="spellStart"/>
      <w:r w:rsidR="002A14C3">
        <w:rPr>
          <w:sz w:val="26"/>
          <w:szCs w:val="26"/>
        </w:rPr>
        <w:t>Scheaffer</w:t>
      </w:r>
      <w:proofErr w:type="spellEnd"/>
      <w:r w:rsidR="002A14C3">
        <w:rPr>
          <w:sz w:val="26"/>
          <w:szCs w:val="26"/>
        </w:rPr>
        <w:t xml:space="preserve">, </w:t>
      </w:r>
      <w:r>
        <w:rPr>
          <w:sz w:val="26"/>
          <w:szCs w:val="26"/>
        </w:rPr>
        <w:t>against PECO Energy Company, is dismissed</w:t>
      </w:r>
      <w:r w:rsidR="00336589">
        <w:rPr>
          <w:sz w:val="26"/>
          <w:szCs w:val="26"/>
        </w:rPr>
        <w:t>, without prejudice</w:t>
      </w:r>
      <w:r>
        <w:rPr>
          <w:sz w:val="26"/>
          <w:szCs w:val="26"/>
        </w:rPr>
        <w:t>.</w:t>
      </w:r>
    </w:p>
    <w:p w14:paraId="34BAD97A" w14:textId="77777777" w:rsidR="00FB548E" w:rsidRDefault="00FB548E" w:rsidP="00FB548E">
      <w:pPr>
        <w:ind w:firstLine="1440"/>
        <w:jc w:val="left"/>
        <w:rPr>
          <w:sz w:val="26"/>
          <w:szCs w:val="26"/>
        </w:rPr>
      </w:pPr>
    </w:p>
    <w:p w14:paraId="364CBDC6" w14:textId="77777777" w:rsidR="004A2914" w:rsidRDefault="000D62AE" w:rsidP="00FB548E">
      <w:pPr>
        <w:keepNext/>
        <w:keepLines/>
        <w:ind w:firstLine="1440"/>
        <w:jc w:val="left"/>
        <w:rPr>
          <w:sz w:val="26"/>
          <w:szCs w:val="26"/>
        </w:rPr>
      </w:pPr>
      <w:r>
        <w:rPr>
          <w:sz w:val="26"/>
          <w:szCs w:val="26"/>
        </w:rPr>
        <w:t>4.</w:t>
      </w:r>
      <w:r>
        <w:rPr>
          <w:sz w:val="26"/>
          <w:szCs w:val="26"/>
        </w:rPr>
        <w:tab/>
        <w:t>That the proceeding at this docket be marked closed.</w:t>
      </w:r>
    </w:p>
    <w:p w14:paraId="3919276D" w14:textId="77777777" w:rsidR="004A2914" w:rsidRDefault="004A2914" w:rsidP="00FB548E">
      <w:pPr>
        <w:keepNext/>
        <w:keepLines/>
        <w:ind w:firstLine="1440"/>
        <w:jc w:val="left"/>
        <w:rPr>
          <w:sz w:val="26"/>
          <w:szCs w:val="26"/>
        </w:rPr>
      </w:pPr>
    </w:p>
    <w:p w14:paraId="150A59EA" w14:textId="050C1E7B" w:rsidR="000D62AE" w:rsidRPr="000D6043" w:rsidRDefault="00540EC7" w:rsidP="00FB548E">
      <w:pPr>
        <w:keepNext/>
        <w:keepLines/>
        <w:ind w:firstLine="1440"/>
        <w:jc w:val="left"/>
        <w:rPr>
          <w:b/>
          <w:sz w:val="26"/>
          <w:szCs w:val="26"/>
        </w:rPr>
      </w:pPr>
      <w:r>
        <w:rPr>
          <w:noProof/>
        </w:rPr>
        <w:drawing>
          <wp:anchor distT="0" distB="0" distL="114300" distR="114300" simplePos="0" relativeHeight="251659264" behindDoc="1" locked="0" layoutInCell="1" allowOverlap="1" wp14:anchorId="52713153" wp14:editId="4FC9F971">
            <wp:simplePos x="0" y="0"/>
            <wp:positionH relativeFrom="column">
              <wp:posOffset>3304830</wp:posOffset>
            </wp:positionH>
            <wp:positionV relativeFrom="paragraph">
              <wp:posOffset>228072</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62AE" w:rsidRPr="000D6043">
        <w:rPr>
          <w:sz w:val="26"/>
          <w:szCs w:val="26"/>
        </w:rPr>
        <w:tab/>
      </w:r>
      <w:r w:rsidR="000D62AE" w:rsidRPr="000D6043">
        <w:rPr>
          <w:sz w:val="26"/>
          <w:szCs w:val="26"/>
        </w:rPr>
        <w:tab/>
      </w:r>
      <w:r w:rsidR="000D62AE" w:rsidRPr="000D6043">
        <w:rPr>
          <w:sz w:val="26"/>
          <w:szCs w:val="26"/>
        </w:rPr>
        <w:tab/>
      </w:r>
      <w:r w:rsidR="000D62AE" w:rsidRPr="000D6043">
        <w:rPr>
          <w:sz w:val="26"/>
          <w:szCs w:val="26"/>
        </w:rPr>
        <w:tab/>
      </w:r>
      <w:r w:rsidR="000D62AE" w:rsidRPr="000D6043">
        <w:rPr>
          <w:sz w:val="26"/>
          <w:szCs w:val="26"/>
        </w:rPr>
        <w:tab/>
      </w:r>
      <w:r w:rsidR="000D62AE" w:rsidRPr="000D6043">
        <w:rPr>
          <w:sz w:val="26"/>
          <w:szCs w:val="26"/>
        </w:rPr>
        <w:tab/>
      </w:r>
      <w:r w:rsidR="000D62AE" w:rsidRPr="000D6043">
        <w:rPr>
          <w:b/>
          <w:sz w:val="26"/>
          <w:szCs w:val="26"/>
        </w:rPr>
        <w:t>BY THE COMMISSION,</w:t>
      </w:r>
    </w:p>
    <w:p w14:paraId="49282D44" w14:textId="434170B6" w:rsidR="000D62AE" w:rsidRDefault="000D62AE" w:rsidP="00FB548E">
      <w:pPr>
        <w:keepNext/>
        <w:keepLines/>
        <w:jc w:val="left"/>
        <w:rPr>
          <w:sz w:val="26"/>
          <w:szCs w:val="26"/>
        </w:rPr>
      </w:pPr>
    </w:p>
    <w:p w14:paraId="3BE4C548" w14:textId="1508936B" w:rsidR="00540EC7" w:rsidRDefault="00540EC7"/>
    <w:p w14:paraId="255D5994" w14:textId="77777777" w:rsidR="000D62AE" w:rsidRDefault="000D62AE" w:rsidP="00FB548E">
      <w:pPr>
        <w:keepNext/>
        <w:keepLines/>
        <w:jc w:val="left"/>
        <w:rPr>
          <w:sz w:val="26"/>
          <w:szCs w:val="26"/>
        </w:rPr>
      </w:pPr>
    </w:p>
    <w:p w14:paraId="09424E5F" w14:textId="77777777" w:rsidR="000D62AE" w:rsidRPr="000D6043" w:rsidRDefault="000D62AE" w:rsidP="00FB548E">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4FC5508D" w14:textId="77777777" w:rsidR="000D62AE" w:rsidRDefault="000D62AE" w:rsidP="00FB548E">
      <w:pPr>
        <w:keepNext/>
        <w:keepLines/>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5FB01A58" w14:textId="77777777" w:rsidR="000D62AE" w:rsidRDefault="000D62AE" w:rsidP="00FB548E">
      <w:pPr>
        <w:keepNext/>
        <w:keepLines/>
        <w:tabs>
          <w:tab w:val="left" w:pos="-720"/>
        </w:tabs>
        <w:suppressAutoHyphens/>
        <w:jc w:val="left"/>
        <w:rPr>
          <w:sz w:val="26"/>
          <w:szCs w:val="26"/>
        </w:rPr>
      </w:pPr>
    </w:p>
    <w:p w14:paraId="01EF9C1B" w14:textId="77777777" w:rsidR="000D62AE" w:rsidRDefault="000D62AE" w:rsidP="00FB548E">
      <w:pPr>
        <w:keepNext/>
        <w:keepLines/>
        <w:tabs>
          <w:tab w:val="left" w:pos="-720"/>
        </w:tabs>
        <w:suppressAutoHyphens/>
        <w:jc w:val="left"/>
        <w:rPr>
          <w:sz w:val="26"/>
          <w:szCs w:val="26"/>
        </w:rPr>
      </w:pPr>
    </w:p>
    <w:p w14:paraId="60446E21" w14:textId="77777777" w:rsidR="000D62AE" w:rsidRPr="001B2BFB" w:rsidRDefault="000D62AE" w:rsidP="00FB548E">
      <w:pPr>
        <w:keepNext/>
        <w:keepLines/>
        <w:tabs>
          <w:tab w:val="left" w:pos="-720"/>
        </w:tabs>
        <w:suppressAutoHyphens/>
        <w:jc w:val="left"/>
        <w:rPr>
          <w:sz w:val="26"/>
          <w:szCs w:val="26"/>
        </w:rPr>
      </w:pPr>
      <w:r w:rsidRPr="00AD292A">
        <w:rPr>
          <w:sz w:val="26"/>
          <w:szCs w:val="26"/>
        </w:rPr>
        <w:t>(SEAL)</w:t>
      </w:r>
    </w:p>
    <w:p w14:paraId="3C41DC48" w14:textId="77777777" w:rsidR="000D62AE" w:rsidRDefault="000D62AE" w:rsidP="00FB548E">
      <w:pPr>
        <w:keepNext/>
        <w:keepLines/>
        <w:tabs>
          <w:tab w:val="left" w:pos="-720"/>
        </w:tabs>
        <w:suppressAutoHyphens/>
        <w:jc w:val="left"/>
        <w:rPr>
          <w:sz w:val="26"/>
          <w:szCs w:val="26"/>
        </w:rPr>
      </w:pPr>
    </w:p>
    <w:p w14:paraId="45AC7D0A" w14:textId="77777777" w:rsidR="000D62AE" w:rsidRDefault="000D62AE" w:rsidP="00FB548E">
      <w:pPr>
        <w:keepNext/>
        <w:keepLines/>
        <w:tabs>
          <w:tab w:val="left" w:pos="-720"/>
        </w:tabs>
        <w:suppressAutoHyphens/>
        <w:jc w:val="left"/>
        <w:rPr>
          <w:sz w:val="26"/>
          <w:szCs w:val="26"/>
        </w:rPr>
      </w:pPr>
      <w:r w:rsidRPr="00AD292A">
        <w:rPr>
          <w:sz w:val="26"/>
          <w:szCs w:val="26"/>
        </w:rPr>
        <w:t>ORDER ADOPTED:</w:t>
      </w:r>
      <w:r w:rsidRPr="001B2BFB">
        <w:rPr>
          <w:sz w:val="26"/>
          <w:szCs w:val="26"/>
        </w:rPr>
        <w:t xml:space="preserve"> </w:t>
      </w:r>
      <w:r>
        <w:rPr>
          <w:sz w:val="26"/>
          <w:szCs w:val="26"/>
        </w:rPr>
        <w:t xml:space="preserve"> March </w:t>
      </w:r>
      <w:r w:rsidR="002A14C3">
        <w:rPr>
          <w:sz w:val="26"/>
          <w:szCs w:val="26"/>
        </w:rPr>
        <w:t>1</w:t>
      </w:r>
      <w:r>
        <w:rPr>
          <w:sz w:val="26"/>
          <w:szCs w:val="26"/>
        </w:rPr>
        <w:t>, 2018</w:t>
      </w:r>
    </w:p>
    <w:p w14:paraId="7B06E369" w14:textId="39DABE8A" w:rsidR="00BB0EF6" w:rsidRDefault="000D62AE" w:rsidP="00FB548E">
      <w:pPr>
        <w:keepNext/>
        <w:keepLines/>
        <w:tabs>
          <w:tab w:val="left" w:pos="-720"/>
        </w:tabs>
        <w:suppressAutoHyphens/>
        <w:jc w:val="left"/>
        <w:rPr>
          <w:sz w:val="26"/>
          <w:szCs w:val="26"/>
        </w:rPr>
      </w:pPr>
      <w:r w:rsidRPr="00507493">
        <w:rPr>
          <w:sz w:val="26"/>
          <w:szCs w:val="26"/>
        </w:rPr>
        <w:t xml:space="preserve">ORDER ENTERED: </w:t>
      </w:r>
      <w:r>
        <w:rPr>
          <w:sz w:val="26"/>
          <w:szCs w:val="26"/>
        </w:rPr>
        <w:t xml:space="preserve"> </w:t>
      </w:r>
      <w:r w:rsidR="00540EC7">
        <w:rPr>
          <w:sz w:val="26"/>
          <w:szCs w:val="26"/>
        </w:rPr>
        <w:t>April 3, 2018</w:t>
      </w:r>
      <w:bookmarkStart w:id="2" w:name="_GoBack"/>
      <w:bookmarkEnd w:id="2"/>
    </w:p>
    <w:sectPr w:rsidR="00BB0EF6" w:rsidSect="00863C00">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AE2B" w14:textId="77777777" w:rsidR="0065124E" w:rsidRDefault="0065124E" w:rsidP="00B90194">
      <w:pPr>
        <w:spacing w:line="240" w:lineRule="auto"/>
      </w:pPr>
      <w:r>
        <w:separator/>
      </w:r>
    </w:p>
  </w:endnote>
  <w:endnote w:type="continuationSeparator" w:id="0">
    <w:p w14:paraId="0F330DB5" w14:textId="77777777" w:rsidR="0065124E" w:rsidRDefault="0065124E" w:rsidP="00B90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043139"/>
      <w:docPartObj>
        <w:docPartGallery w:val="Page Numbers (Bottom of Page)"/>
        <w:docPartUnique/>
      </w:docPartObj>
    </w:sdtPr>
    <w:sdtEndPr>
      <w:rPr>
        <w:noProof/>
      </w:rPr>
    </w:sdtEndPr>
    <w:sdtContent>
      <w:p w14:paraId="3945F921" w14:textId="33E52E87" w:rsidR="00D92B9E" w:rsidRDefault="00D92B9E">
        <w:pPr>
          <w:pStyle w:val="Footer"/>
        </w:pPr>
        <w:r>
          <w:fldChar w:fldCharType="begin"/>
        </w:r>
        <w:r>
          <w:instrText xml:space="preserve"> PAGE   \* MERGEFORMAT </w:instrText>
        </w:r>
        <w:r>
          <w:fldChar w:fldCharType="separate"/>
        </w:r>
        <w:r w:rsidR="006034C8">
          <w:rPr>
            <w:noProof/>
          </w:rPr>
          <w:t>2</w:t>
        </w:r>
        <w:r>
          <w:rPr>
            <w:noProof/>
          </w:rPr>
          <w:fldChar w:fldCharType="end"/>
        </w:r>
      </w:p>
    </w:sdtContent>
  </w:sdt>
  <w:p w14:paraId="4C734420" w14:textId="77777777" w:rsidR="00D92B9E" w:rsidRDefault="00D92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129646"/>
      <w:docPartObj>
        <w:docPartGallery w:val="Page Numbers (Bottom of Page)"/>
        <w:docPartUnique/>
      </w:docPartObj>
    </w:sdtPr>
    <w:sdtEndPr>
      <w:rPr>
        <w:noProof/>
      </w:rPr>
    </w:sdtEndPr>
    <w:sdtContent>
      <w:p w14:paraId="69752A84" w14:textId="7B4537F9" w:rsidR="00D92B9E" w:rsidRDefault="00D92B9E">
        <w:pPr>
          <w:pStyle w:val="Footer"/>
        </w:pPr>
        <w:r>
          <w:fldChar w:fldCharType="begin"/>
        </w:r>
        <w:r>
          <w:instrText xml:space="preserve"> PAGE   \* MERGEFORMAT </w:instrText>
        </w:r>
        <w:r>
          <w:fldChar w:fldCharType="separate"/>
        </w:r>
        <w:r w:rsidR="006034C8">
          <w:rPr>
            <w:noProof/>
          </w:rPr>
          <w:t>1</w:t>
        </w:r>
        <w:r>
          <w:rPr>
            <w:noProof/>
          </w:rPr>
          <w:fldChar w:fldCharType="end"/>
        </w:r>
      </w:p>
    </w:sdtContent>
  </w:sdt>
  <w:p w14:paraId="4EECE8BD" w14:textId="77777777" w:rsidR="00D92B9E" w:rsidRDefault="00D9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A17B" w14:textId="77777777" w:rsidR="0065124E" w:rsidRDefault="0065124E" w:rsidP="006034C8">
      <w:pPr>
        <w:spacing w:line="240" w:lineRule="auto"/>
        <w:ind w:firstLine="0"/>
        <w:jc w:val="left"/>
      </w:pPr>
      <w:r>
        <w:separator/>
      </w:r>
    </w:p>
  </w:footnote>
  <w:footnote w:type="continuationSeparator" w:id="0">
    <w:p w14:paraId="20DE744E" w14:textId="77777777" w:rsidR="0065124E" w:rsidRDefault="0065124E" w:rsidP="00B90194">
      <w:pPr>
        <w:spacing w:line="240" w:lineRule="auto"/>
      </w:pPr>
      <w:r>
        <w:continuationSeparator/>
      </w:r>
    </w:p>
  </w:footnote>
  <w:footnote w:id="1">
    <w:p w14:paraId="034F1071" w14:textId="027DDB9B" w:rsidR="005F1F54" w:rsidRPr="00300402" w:rsidRDefault="005F1F54" w:rsidP="005F1F54">
      <w:pPr>
        <w:pStyle w:val="FootnoteText"/>
        <w:keepNext/>
        <w:keepLines/>
        <w:spacing w:after="120"/>
        <w:jc w:val="left"/>
        <w:rPr>
          <w:sz w:val="26"/>
          <w:szCs w:val="26"/>
        </w:rPr>
      </w:pPr>
      <w:r w:rsidRPr="00300402">
        <w:rPr>
          <w:rStyle w:val="FootnoteReference"/>
          <w:sz w:val="26"/>
          <w:szCs w:val="26"/>
        </w:rPr>
        <w:footnoteRef/>
      </w:r>
      <w:r>
        <w:rPr>
          <w:sz w:val="26"/>
          <w:szCs w:val="26"/>
        </w:rPr>
        <w:tab/>
      </w:r>
      <w:r>
        <w:rPr>
          <w:sz w:val="26"/>
        </w:rPr>
        <w:t>T</w:t>
      </w:r>
      <w:r w:rsidRPr="006742D8">
        <w:rPr>
          <w:sz w:val="26"/>
        </w:rPr>
        <w:t>he Complainant’s Exceptions do not strictly conform to 52 Pa. Code §</w:t>
      </w:r>
      <w:r w:rsidR="00E35D6E">
        <w:rPr>
          <w:sz w:val="26"/>
        </w:rPr>
        <w:t> </w:t>
      </w:r>
      <w:r w:rsidRPr="006742D8">
        <w:rPr>
          <w:sz w:val="26"/>
        </w:rPr>
        <w:t xml:space="preserve">5.533(b), which requires each exception to “be numbered and identify the finding of fact or conclusion of law to which exception is taken and cite relevant pages of the decision.”  </w:t>
      </w:r>
      <w:r>
        <w:rPr>
          <w:sz w:val="26"/>
        </w:rPr>
        <w:t xml:space="preserve">As discussed, </w:t>
      </w:r>
      <w:r w:rsidRPr="00B43666">
        <w:rPr>
          <w:i/>
          <w:sz w:val="26"/>
        </w:rPr>
        <w:t>infra</w:t>
      </w:r>
      <w:r>
        <w:rPr>
          <w:sz w:val="26"/>
        </w:rPr>
        <w:t>, we shall decline to consider the filed Exceptions</w:t>
      </w:r>
      <w:r w:rsidRPr="006742D8">
        <w:rPr>
          <w:sz w:val="26"/>
        </w:rPr>
        <w:t>.</w:t>
      </w:r>
      <w:r w:rsidRPr="00300402">
        <w:rPr>
          <w:sz w:val="26"/>
          <w:szCs w:val="26"/>
        </w:rPr>
        <w:t xml:space="preserve"> </w:t>
      </w:r>
      <w:r>
        <w:rPr>
          <w:sz w:val="26"/>
          <w:szCs w:val="26"/>
        </w:rPr>
        <w:t xml:space="preserve"> However, for summary purposes, we shall refer to the filing as Exceptions</w:t>
      </w:r>
      <w:r w:rsidR="004E3718">
        <w:rPr>
          <w:sz w:val="26"/>
          <w:szCs w:val="26"/>
        </w:rPr>
        <w:t xml:space="preserve"> and the responses thereto as Replies to Exceptions</w:t>
      </w:r>
      <w:r>
        <w:rPr>
          <w:sz w:val="26"/>
          <w:szCs w:val="26"/>
        </w:rPr>
        <w:t>.</w:t>
      </w:r>
    </w:p>
  </w:footnote>
  <w:footnote w:id="2">
    <w:p w14:paraId="10C1F407" w14:textId="68B1ADE2" w:rsidR="00D92B9E" w:rsidRPr="005C5576" w:rsidRDefault="00D92B9E" w:rsidP="000B0E13">
      <w:pPr>
        <w:pStyle w:val="FootnoteText"/>
        <w:keepNext/>
        <w:keepLines/>
        <w:spacing w:after="120"/>
        <w:jc w:val="left"/>
        <w:rPr>
          <w:sz w:val="26"/>
          <w:szCs w:val="26"/>
        </w:rPr>
      </w:pPr>
      <w:r w:rsidRPr="005C5576">
        <w:rPr>
          <w:rStyle w:val="FootnoteReference"/>
          <w:sz w:val="26"/>
          <w:szCs w:val="26"/>
        </w:rPr>
        <w:footnoteRef/>
      </w:r>
      <w:r>
        <w:rPr>
          <w:sz w:val="26"/>
          <w:szCs w:val="26"/>
        </w:rPr>
        <w:tab/>
        <w:t>On June 26, 2017, the Commission’s Secretary’s Bureau issued a Secretarial Letter to the Parties stating, in part, that the Complainant’s Exceptions did not contain a certificate of service or other indication that the Respondent was served with the Exceptions.  Thus, the Secretary’s Bureau enclosed a copy of the Exceptions and notified the Respondent that any Replies to Exceptions would be due by July 6, 2017.</w:t>
      </w:r>
    </w:p>
  </w:footnote>
  <w:footnote w:id="3">
    <w:p w14:paraId="7BBB5AA6" w14:textId="0E9C399A" w:rsidR="00D92B9E" w:rsidRPr="00B90194" w:rsidRDefault="00D92B9E" w:rsidP="000B0E13">
      <w:pPr>
        <w:pStyle w:val="FootnoteText"/>
        <w:keepNext/>
        <w:keepLines/>
        <w:spacing w:after="120"/>
        <w:jc w:val="left"/>
        <w:rPr>
          <w:sz w:val="26"/>
          <w:szCs w:val="26"/>
        </w:rPr>
      </w:pPr>
      <w:r w:rsidRPr="00B90194">
        <w:rPr>
          <w:rStyle w:val="FootnoteReference"/>
          <w:sz w:val="26"/>
          <w:szCs w:val="26"/>
        </w:rPr>
        <w:footnoteRef/>
      </w:r>
      <w:r>
        <w:rPr>
          <w:sz w:val="26"/>
          <w:szCs w:val="26"/>
        </w:rPr>
        <w:tab/>
        <w:t>We note that w</w:t>
      </w:r>
      <w:r w:rsidRPr="00CD4453">
        <w:rPr>
          <w:sz w:val="26"/>
          <w:szCs w:val="26"/>
        </w:rPr>
        <w:t xml:space="preserve">hile the </w:t>
      </w:r>
      <w:r>
        <w:rPr>
          <w:sz w:val="26"/>
          <w:szCs w:val="26"/>
        </w:rPr>
        <w:t>C</w:t>
      </w:r>
      <w:r w:rsidRPr="00CD4453">
        <w:rPr>
          <w:sz w:val="26"/>
          <w:szCs w:val="26"/>
        </w:rPr>
        <w:t>omplaint also raise</w:t>
      </w:r>
      <w:r>
        <w:rPr>
          <w:sz w:val="26"/>
          <w:szCs w:val="26"/>
        </w:rPr>
        <w:t>d</w:t>
      </w:r>
      <w:r w:rsidRPr="00CD4453">
        <w:rPr>
          <w:sz w:val="26"/>
          <w:szCs w:val="26"/>
        </w:rPr>
        <w:t xml:space="preserve"> a multitude of allegations relating to safety issues, due dates of monthly payments and issues relating to customer service, the only relief requested in the </w:t>
      </w:r>
      <w:r>
        <w:rPr>
          <w:sz w:val="26"/>
          <w:szCs w:val="26"/>
        </w:rPr>
        <w:t>C</w:t>
      </w:r>
      <w:r w:rsidRPr="00CD4453">
        <w:rPr>
          <w:sz w:val="26"/>
          <w:szCs w:val="26"/>
        </w:rPr>
        <w:t xml:space="preserve">omplaint relates to the outstanding account balance with the </w:t>
      </w:r>
      <w:r>
        <w:rPr>
          <w:sz w:val="26"/>
          <w:szCs w:val="26"/>
        </w:rPr>
        <w:t>Company</w:t>
      </w:r>
      <w:r w:rsidRPr="00CD4453">
        <w:rPr>
          <w:sz w:val="26"/>
          <w:szCs w:val="26"/>
        </w:rPr>
        <w:t>.</w:t>
      </w:r>
    </w:p>
  </w:footnote>
  <w:footnote w:id="4">
    <w:p w14:paraId="3527118B" w14:textId="3AB59059" w:rsidR="00D92B9E" w:rsidRPr="00551858" w:rsidRDefault="00D92B9E" w:rsidP="000B0E13">
      <w:pPr>
        <w:pStyle w:val="FootnoteText"/>
        <w:keepNext/>
        <w:keepLines/>
        <w:spacing w:after="120"/>
        <w:jc w:val="left"/>
        <w:rPr>
          <w:sz w:val="26"/>
          <w:szCs w:val="26"/>
        </w:rPr>
      </w:pPr>
      <w:r w:rsidRPr="00551858">
        <w:rPr>
          <w:rStyle w:val="FootnoteReference"/>
          <w:sz w:val="26"/>
          <w:szCs w:val="26"/>
        </w:rPr>
        <w:footnoteRef/>
      </w:r>
      <w:r>
        <w:rPr>
          <w:sz w:val="26"/>
          <w:szCs w:val="26"/>
        </w:rPr>
        <w:tab/>
        <w:t xml:space="preserve">On July 20, 2017, </w:t>
      </w:r>
      <w:r w:rsidR="00970409">
        <w:rPr>
          <w:sz w:val="26"/>
          <w:szCs w:val="26"/>
        </w:rPr>
        <w:t xml:space="preserve">Ms. </w:t>
      </w:r>
      <w:proofErr w:type="spellStart"/>
      <w:r w:rsidR="00970409">
        <w:rPr>
          <w:sz w:val="26"/>
          <w:szCs w:val="26"/>
        </w:rPr>
        <w:t>Scheaffer</w:t>
      </w:r>
      <w:proofErr w:type="spellEnd"/>
      <w:r>
        <w:rPr>
          <w:sz w:val="26"/>
          <w:szCs w:val="26"/>
        </w:rPr>
        <w:t xml:space="preserve"> filed a letter response to PPL’s Replies.  Our Regulation at 52 Pa. Code § 5.535 does not provide for answers to Replies and as such, this document will not be considered within our disposition of this matter.</w:t>
      </w:r>
      <w:r w:rsidRPr="00551858">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FD58" w14:textId="77777777" w:rsidR="00D92B9E" w:rsidRDefault="00D92B9E">
    <w:pPr>
      <w:pStyle w:val="Header"/>
    </w:pPr>
  </w:p>
  <w:p w14:paraId="0B650DA3" w14:textId="77777777" w:rsidR="00D92B9E" w:rsidRDefault="00D9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CD"/>
    <w:rsid w:val="00046990"/>
    <w:rsid w:val="000A71CD"/>
    <w:rsid w:val="000B0E13"/>
    <w:rsid w:val="000D62AE"/>
    <w:rsid w:val="00102C6D"/>
    <w:rsid w:val="00116B1D"/>
    <w:rsid w:val="00120280"/>
    <w:rsid w:val="001218AB"/>
    <w:rsid w:val="0012796E"/>
    <w:rsid w:val="0013261D"/>
    <w:rsid w:val="00140F55"/>
    <w:rsid w:val="00143058"/>
    <w:rsid w:val="00146763"/>
    <w:rsid w:val="00151902"/>
    <w:rsid w:val="001A3C7D"/>
    <w:rsid w:val="001A5A78"/>
    <w:rsid w:val="001C510C"/>
    <w:rsid w:val="00267605"/>
    <w:rsid w:val="00283D76"/>
    <w:rsid w:val="0028758D"/>
    <w:rsid w:val="00297D11"/>
    <w:rsid w:val="002A14C3"/>
    <w:rsid w:val="002C7C8D"/>
    <w:rsid w:val="00300402"/>
    <w:rsid w:val="00313824"/>
    <w:rsid w:val="00336589"/>
    <w:rsid w:val="0035334D"/>
    <w:rsid w:val="00360C13"/>
    <w:rsid w:val="003A19C4"/>
    <w:rsid w:val="003A4E00"/>
    <w:rsid w:val="003B34D6"/>
    <w:rsid w:val="003C75A5"/>
    <w:rsid w:val="004548B5"/>
    <w:rsid w:val="00456F1D"/>
    <w:rsid w:val="004648D8"/>
    <w:rsid w:val="0048714B"/>
    <w:rsid w:val="004A2914"/>
    <w:rsid w:val="004A6FA4"/>
    <w:rsid w:val="004E3718"/>
    <w:rsid w:val="00540EC7"/>
    <w:rsid w:val="00550815"/>
    <w:rsid w:val="00551858"/>
    <w:rsid w:val="00554A5B"/>
    <w:rsid w:val="005754ED"/>
    <w:rsid w:val="005C5576"/>
    <w:rsid w:val="005E3D5E"/>
    <w:rsid w:val="005F1F54"/>
    <w:rsid w:val="006034C8"/>
    <w:rsid w:val="00605401"/>
    <w:rsid w:val="00630068"/>
    <w:rsid w:val="0065124E"/>
    <w:rsid w:val="00653F20"/>
    <w:rsid w:val="006562E1"/>
    <w:rsid w:val="0069714E"/>
    <w:rsid w:val="006B14AE"/>
    <w:rsid w:val="006D6CBD"/>
    <w:rsid w:val="00702D8B"/>
    <w:rsid w:val="007032B0"/>
    <w:rsid w:val="00703A57"/>
    <w:rsid w:val="00750354"/>
    <w:rsid w:val="00762B61"/>
    <w:rsid w:val="007A1749"/>
    <w:rsid w:val="007A41A6"/>
    <w:rsid w:val="007A5A76"/>
    <w:rsid w:val="007A6529"/>
    <w:rsid w:val="007A7AF6"/>
    <w:rsid w:val="007D1F86"/>
    <w:rsid w:val="0081153B"/>
    <w:rsid w:val="00821099"/>
    <w:rsid w:val="008406AA"/>
    <w:rsid w:val="00851BD9"/>
    <w:rsid w:val="008526FC"/>
    <w:rsid w:val="00863C00"/>
    <w:rsid w:val="00875F5C"/>
    <w:rsid w:val="00884A3E"/>
    <w:rsid w:val="008A638A"/>
    <w:rsid w:val="009339C8"/>
    <w:rsid w:val="009404AA"/>
    <w:rsid w:val="00970409"/>
    <w:rsid w:val="009B3838"/>
    <w:rsid w:val="009B617C"/>
    <w:rsid w:val="009C75C4"/>
    <w:rsid w:val="009C798D"/>
    <w:rsid w:val="009D10CE"/>
    <w:rsid w:val="009D51C2"/>
    <w:rsid w:val="009D5BF3"/>
    <w:rsid w:val="00A2084B"/>
    <w:rsid w:val="00AA5C22"/>
    <w:rsid w:val="00AD32FC"/>
    <w:rsid w:val="00B0085B"/>
    <w:rsid w:val="00B07618"/>
    <w:rsid w:val="00B17A1A"/>
    <w:rsid w:val="00B6101E"/>
    <w:rsid w:val="00B90194"/>
    <w:rsid w:val="00B9709A"/>
    <w:rsid w:val="00B973C9"/>
    <w:rsid w:val="00BB0EF6"/>
    <w:rsid w:val="00BE0C0A"/>
    <w:rsid w:val="00BE5DF5"/>
    <w:rsid w:val="00C110F6"/>
    <w:rsid w:val="00C13090"/>
    <w:rsid w:val="00C16D3C"/>
    <w:rsid w:val="00C51BD1"/>
    <w:rsid w:val="00C562A7"/>
    <w:rsid w:val="00C63DE4"/>
    <w:rsid w:val="00C91719"/>
    <w:rsid w:val="00CB3D0E"/>
    <w:rsid w:val="00CD4453"/>
    <w:rsid w:val="00CE148F"/>
    <w:rsid w:val="00CE5918"/>
    <w:rsid w:val="00D15595"/>
    <w:rsid w:val="00D85E1B"/>
    <w:rsid w:val="00D92B9E"/>
    <w:rsid w:val="00DA21CF"/>
    <w:rsid w:val="00DF772A"/>
    <w:rsid w:val="00E053DC"/>
    <w:rsid w:val="00E204C9"/>
    <w:rsid w:val="00E35D6E"/>
    <w:rsid w:val="00E43F97"/>
    <w:rsid w:val="00E44847"/>
    <w:rsid w:val="00E45B87"/>
    <w:rsid w:val="00E64E3F"/>
    <w:rsid w:val="00E712BD"/>
    <w:rsid w:val="00ED35F9"/>
    <w:rsid w:val="00EF556B"/>
    <w:rsid w:val="00F01057"/>
    <w:rsid w:val="00F3455B"/>
    <w:rsid w:val="00F5280D"/>
    <w:rsid w:val="00F76026"/>
    <w:rsid w:val="00F77854"/>
    <w:rsid w:val="00F910D1"/>
    <w:rsid w:val="00FB548E"/>
    <w:rsid w:val="00FB686F"/>
    <w:rsid w:val="00FF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10EDE87"/>
  <w15:chartTrackingRefBased/>
  <w15:docId w15:val="{784BE66C-9135-40D1-BC12-6599E8FF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1CD"/>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CD"/>
    <w:pPr>
      <w:ind w:left="720"/>
      <w:contextualSpacing/>
    </w:pPr>
  </w:style>
  <w:style w:type="paragraph" w:customStyle="1" w:styleId="Default">
    <w:name w:val="Default"/>
    <w:rsid w:val="00CD445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Car"/>
    <w:basedOn w:val="Normal"/>
    <w:link w:val="FootnoteTextChar"/>
    <w:uiPriority w:val="99"/>
    <w:unhideWhenUsed/>
    <w:rsid w:val="00B90194"/>
    <w:pPr>
      <w:spacing w:line="240" w:lineRule="auto"/>
    </w:pPr>
    <w:rPr>
      <w:sz w:val="20"/>
      <w:szCs w:val="20"/>
    </w:rPr>
  </w:style>
  <w:style w:type="character" w:customStyle="1" w:styleId="FootnoteTextChar">
    <w:name w:val="Footnote Text Char"/>
    <w:aliases w:val="Car Char"/>
    <w:basedOn w:val="DefaultParagraphFont"/>
    <w:link w:val="FootnoteText"/>
    <w:uiPriority w:val="99"/>
    <w:rsid w:val="00B90194"/>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90194"/>
    <w:rPr>
      <w:vertAlign w:val="superscript"/>
    </w:rPr>
  </w:style>
  <w:style w:type="paragraph" w:styleId="NoSpacing">
    <w:name w:val="No Spacing"/>
    <w:uiPriority w:val="1"/>
    <w:qFormat/>
    <w:rsid w:val="00E45B87"/>
    <w:pPr>
      <w:spacing w:after="0" w:line="240" w:lineRule="auto"/>
    </w:pPr>
    <w:rPr>
      <w:rFonts w:ascii="Times New Roman" w:eastAsia="Calibri" w:hAnsi="Times New Roman" w:cs="Times New Roman"/>
      <w:sz w:val="24"/>
      <w:szCs w:val="24"/>
    </w:rPr>
  </w:style>
  <w:style w:type="character" w:styleId="Hyperlink">
    <w:name w:val="Hyperlink"/>
    <w:basedOn w:val="DefaultParagraphFont"/>
    <w:rsid w:val="00E45B87"/>
    <w:rPr>
      <w:color w:val="0000FF"/>
      <w:u w:val="single"/>
    </w:rPr>
  </w:style>
  <w:style w:type="character" w:customStyle="1" w:styleId="term1">
    <w:name w:val="term1"/>
    <w:basedOn w:val="DefaultParagraphFont"/>
    <w:rsid w:val="00E45B87"/>
    <w:rPr>
      <w:b/>
      <w:bCs/>
    </w:rPr>
  </w:style>
  <w:style w:type="character" w:styleId="Emphasis">
    <w:name w:val="Emphasis"/>
    <w:basedOn w:val="DefaultParagraphFont"/>
    <w:qFormat/>
    <w:rsid w:val="00E45B87"/>
    <w:rPr>
      <w:i/>
      <w:iCs/>
    </w:rPr>
  </w:style>
  <w:style w:type="paragraph" w:styleId="Header">
    <w:name w:val="header"/>
    <w:basedOn w:val="Normal"/>
    <w:link w:val="HeaderChar"/>
    <w:uiPriority w:val="99"/>
    <w:unhideWhenUsed/>
    <w:rsid w:val="00762B61"/>
    <w:pPr>
      <w:tabs>
        <w:tab w:val="center" w:pos="4680"/>
        <w:tab w:val="right" w:pos="9360"/>
      </w:tabs>
      <w:spacing w:line="240" w:lineRule="auto"/>
    </w:pPr>
  </w:style>
  <w:style w:type="character" w:customStyle="1" w:styleId="HeaderChar">
    <w:name w:val="Header Char"/>
    <w:basedOn w:val="DefaultParagraphFont"/>
    <w:link w:val="Header"/>
    <w:uiPriority w:val="99"/>
    <w:rsid w:val="00762B61"/>
    <w:rPr>
      <w:rFonts w:ascii="Times New Roman" w:eastAsia="Calibri" w:hAnsi="Times New Roman" w:cs="Times New Roman"/>
      <w:sz w:val="24"/>
      <w:szCs w:val="24"/>
    </w:rPr>
  </w:style>
  <w:style w:type="paragraph" w:styleId="Footer">
    <w:name w:val="footer"/>
    <w:basedOn w:val="Normal"/>
    <w:link w:val="FooterChar"/>
    <w:uiPriority w:val="99"/>
    <w:unhideWhenUsed/>
    <w:rsid w:val="00762B61"/>
    <w:pPr>
      <w:tabs>
        <w:tab w:val="center" w:pos="4680"/>
        <w:tab w:val="right" w:pos="9360"/>
      </w:tabs>
      <w:spacing w:line="240" w:lineRule="auto"/>
    </w:pPr>
  </w:style>
  <w:style w:type="character" w:customStyle="1" w:styleId="FooterChar">
    <w:name w:val="Footer Char"/>
    <w:basedOn w:val="DefaultParagraphFont"/>
    <w:link w:val="Footer"/>
    <w:uiPriority w:val="99"/>
    <w:rsid w:val="00762B61"/>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60C13"/>
    <w:rPr>
      <w:sz w:val="16"/>
      <w:szCs w:val="16"/>
    </w:rPr>
  </w:style>
  <w:style w:type="paragraph" w:styleId="CommentText">
    <w:name w:val="annotation text"/>
    <w:basedOn w:val="Normal"/>
    <w:link w:val="CommentTextChar"/>
    <w:uiPriority w:val="99"/>
    <w:semiHidden/>
    <w:unhideWhenUsed/>
    <w:rsid w:val="00360C13"/>
    <w:pPr>
      <w:spacing w:line="240" w:lineRule="auto"/>
    </w:pPr>
    <w:rPr>
      <w:sz w:val="20"/>
      <w:szCs w:val="20"/>
    </w:rPr>
  </w:style>
  <w:style w:type="character" w:customStyle="1" w:styleId="CommentTextChar">
    <w:name w:val="Comment Text Char"/>
    <w:basedOn w:val="DefaultParagraphFont"/>
    <w:link w:val="CommentText"/>
    <w:uiPriority w:val="99"/>
    <w:semiHidden/>
    <w:rsid w:val="00360C1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C13"/>
    <w:rPr>
      <w:b/>
      <w:bCs/>
    </w:rPr>
  </w:style>
  <w:style w:type="character" w:customStyle="1" w:styleId="CommentSubjectChar">
    <w:name w:val="Comment Subject Char"/>
    <w:basedOn w:val="CommentTextChar"/>
    <w:link w:val="CommentSubject"/>
    <w:uiPriority w:val="99"/>
    <w:semiHidden/>
    <w:rsid w:val="00360C1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60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C13"/>
    <w:rPr>
      <w:rFonts w:ascii="Segoe UI" w:eastAsia="Calibri" w:hAnsi="Segoe UI" w:cs="Segoe UI"/>
      <w:sz w:val="18"/>
      <w:szCs w:val="18"/>
    </w:rPr>
  </w:style>
  <w:style w:type="paragraph" w:styleId="Revision">
    <w:name w:val="Revision"/>
    <w:hidden/>
    <w:uiPriority w:val="99"/>
    <w:semiHidden/>
    <w:rsid w:val="0004699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3F8B-A441-4716-865E-2FE2D55B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Reynolds, Doris</cp:lastModifiedBy>
  <cp:revision>4</cp:revision>
  <cp:lastPrinted>2018-03-16T12:23:00Z</cp:lastPrinted>
  <dcterms:created xsi:type="dcterms:W3CDTF">2018-04-03T12:33:00Z</dcterms:created>
  <dcterms:modified xsi:type="dcterms:W3CDTF">2018-04-03T12:33:00Z</dcterms:modified>
</cp:coreProperties>
</file>