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0C5E" w:rsidRDefault="001B0C5E" w:rsidP="00895444">
      <w:pPr>
        <w:widowControl/>
        <w:tabs>
          <w:tab w:val="center" w:pos="4680"/>
        </w:tabs>
        <w:contextualSpacing/>
        <w:jc w:val="center"/>
        <w:rPr>
          <w:b/>
          <w:sz w:val="26"/>
          <w:szCs w:val="26"/>
        </w:rPr>
      </w:pPr>
      <w:r>
        <w:rPr>
          <w:b/>
          <w:sz w:val="26"/>
          <w:szCs w:val="26"/>
        </w:rPr>
        <w:t>PENNSYLVANIA</w:t>
      </w:r>
    </w:p>
    <w:p w:rsidR="001B0C5E" w:rsidRDefault="001B0C5E" w:rsidP="00895444">
      <w:pPr>
        <w:widowControl/>
        <w:tabs>
          <w:tab w:val="center" w:pos="4680"/>
        </w:tabs>
        <w:contextualSpacing/>
        <w:jc w:val="center"/>
        <w:rPr>
          <w:sz w:val="26"/>
          <w:szCs w:val="26"/>
        </w:rPr>
      </w:pPr>
      <w:r>
        <w:rPr>
          <w:b/>
          <w:sz w:val="26"/>
          <w:szCs w:val="26"/>
        </w:rPr>
        <w:t>PUBLIC UTILITY COMMISSION</w:t>
      </w:r>
    </w:p>
    <w:p w:rsidR="001B0C5E" w:rsidRDefault="001B0C5E" w:rsidP="00895444">
      <w:pPr>
        <w:widowControl/>
        <w:tabs>
          <w:tab w:val="center" w:pos="4680"/>
        </w:tabs>
        <w:contextualSpacing/>
        <w:jc w:val="center"/>
        <w:rPr>
          <w:sz w:val="26"/>
          <w:szCs w:val="26"/>
        </w:rPr>
      </w:pPr>
      <w:r>
        <w:rPr>
          <w:b/>
          <w:sz w:val="26"/>
          <w:szCs w:val="26"/>
        </w:rPr>
        <w:t>Harrisburg, PA 17105-3265</w:t>
      </w:r>
    </w:p>
    <w:p w:rsidR="001B0C5E" w:rsidRDefault="001B0C5E" w:rsidP="00895444">
      <w:pPr>
        <w:widowControl/>
        <w:contextualSpacing/>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4539"/>
      </w:tblGrid>
      <w:tr w:rsidR="001B0C5E" w:rsidTr="003161E5">
        <w:tc>
          <w:tcPr>
            <w:tcW w:w="4878" w:type="dxa"/>
          </w:tcPr>
          <w:p w:rsidR="001B0C5E" w:rsidRDefault="001B0C5E" w:rsidP="00895444">
            <w:pPr>
              <w:widowControl/>
              <w:contextualSpacing/>
              <w:rPr>
                <w:sz w:val="26"/>
                <w:szCs w:val="26"/>
              </w:rPr>
            </w:pPr>
          </w:p>
        </w:tc>
        <w:tc>
          <w:tcPr>
            <w:tcW w:w="4608" w:type="dxa"/>
            <w:hideMark/>
          </w:tcPr>
          <w:p w:rsidR="001B0C5E" w:rsidRDefault="001B0C5E" w:rsidP="00895444">
            <w:pPr>
              <w:widowControl/>
              <w:contextualSpacing/>
              <w:jc w:val="right"/>
              <w:rPr>
                <w:sz w:val="26"/>
                <w:szCs w:val="26"/>
              </w:rPr>
            </w:pPr>
            <w:r>
              <w:rPr>
                <w:sz w:val="26"/>
                <w:szCs w:val="26"/>
              </w:rPr>
              <w:t xml:space="preserve">Public Meeting held </w:t>
            </w:r>
            <w:r w:rsidR="0015310C">
              <w:rPr>
                <w:sz w:val="26"/>
                <w:szCs w:val="26"/>
              </w:rPr>
              <w:t>April 5</w:t>
            </w:r>
            <w:r>
              <w:rPr>
                <w:sz w:val="26"/>
                <w:szCs w:val="26"/>
              </w:rPr>
              <w:t>, 2018</w:t>
            </w:r>
          </w:p>
        </w:tc>
      </w:tr>
      <w:tr w:rsidR="001B0C5E" w:rsidTr="003161E5">
        <w:tc>
          <w:tcPr>
            <w:tcW w:w="4878" w:type="dxa"/>
          </w:tcPr>
          <w:p w:rsidR="001B0C5E" w:rsidRDefault="001B0C5E" w:rsidP="00895444">
            <w:pPr>
              <w:widowControl/>
              <w:contextualSpacing/>
              <w:rPr>
                <w:sz w:val="26"/>
                <w:szCs w:val="26"/>
              </w:rPr>
            </w:pPr>
          </w:p>
          <w:p w:rsidR="001B0C5E" w:rsidRDefault="001B0C5E" w:rsidP="00895444">
            <w:pPr>
              <w:widowControl/>
              <w:contextualSpacing/>
              <w:rPr>
                <w:sz w:val="26"/>
                <w:szCs w:val="26"/>
              </w:rPr>
            </w:pPr>
            <w:r>
              <w:rPr>
                <w:sz w:val="26"/>
                <w:szCs w:val="26"/>
              </w:rPr>
              <w:t>Commissioners Present:</w:t>
            </w:r>
          </w:p>
          <w:p w:rsidR="001B0C5E" w:rsidRDefault="001B0C5E" w:rsidP="00895444">
            <w:pPr>
              <w:widowControl/>
              <w:contextualSpacing/>
              <w:rPr>
                <w:sz w:val="26"/>
                <w:szCs w:val="26"/>
              </w:rPr>
            </w:pPr>
          </w:p>
          <w:p w:rsidR="001B0C5E" w:rsidRPr="002262C4" w:rsidRDefault="001B0C5E" w:rsidP="00895444">
            <w:pPr>
              <w:widowControl/>
              <w:tabs>
                <w:tab w:val="left" w:pos="-720"/>
              </w:tabs>
              <w:ind w:left="720"/>
              <w:contextualSpacing/>
              <w:rPr>
                <w:sz w:val="26"/>
                <w:szCs w:val="26"/>
              </w:rPr>
            </w:pPr>
            <w:r w:rsidRPr="002262C4">
              <w:rPr>
                <w:sz w:val="26"/>
                <w:szCs w:val="26"/>
              </w:rPr>
              <w:t>Gladys M. Brown, Chairman</w:t>
            </w:r>
          </w:p>
          <w:p w:rsidR="001B0C5E" w:rsidRDefault="001B0C5E" w:rsidP="00895444">
            <w:pPr>
              <w:widowControl/>
              <w:tabs>
                <w:tab w:val="left" w:pos="-720"/>
              </w:tabs>
              <w:ind w:left="720"/>
              <w:contextualSpacing/>
              <w:rPr>
                <w:sz w:val="26"/>
                <w:szCs w:val="26"/>
              </w:rPr>
            </w:pPr>
            <w:r w:rsidRPr="002262C4">
              <w:rPr>
                <w:sz w:val="26"/>
                <w:szCs w:val="26"/>
              </w:rPr>
              <w:t>Andrew G. Place, Vice Chairman</w:t>
            </w:r>
          </w:p>
          <w:p w:rsidR="001B0C5E" w:rsidRPr="00D44DB2" w:rsidRDefault="001B0C5E" w:rsidP="0015310C">
            <w:pPr>
              <w:widowControl/>
              <w:tabs>
                <w:tab w:val="left" w:pos="-720"/>
              </w:tabs>
              <w:ind w:left="720"/>
              <w:contextualSpacing/>
              <w:rPr>
                <w:sz w:val="26"/>
                <w:szCs w:val="26"/>
              </w:rPr>
            </w:pPr>
            <w:r w:rsidRPr="00D44DB2">
              <w:rPr>
                <w:sz w:val="26"/>
                <w:szCs w:val="26"/>
              </w:rPr>
              <w:t>Norman J. Kennard</w:t>
            </w:r>
          </w:p>
          <w:p w:rsidR="001B0C5E" w:rsidRPr="002262C4" w:rsidRDefault="001B0C5E" w:rsidP="00895444">
            <w:pPr>
              <w:widowControl/>
              <w:tabs>
                <w:tab w:val="left" w:pos="-720"/>
              </w:tabs>
              <w:ind w:left="720"/>
              <w:contextualSpacing/>
              <w:rPr>
                <w:sz w:val="26"/>
                <w:szCs w:val="26"/>
              </w:rPr>
            </w:pPr>
            <w:r w:rsidRPr="002262C4">
              <w:rPr>
                <w:sz w:val="26"/>
                <w:szCs w:val="26"/>
              </w:rPr>
              <w:t>David W. Sweet</w:t>
            </w:r>
          </w:p>
          <w:p w:rsidR="001B0C5E" w:rsidRPr="002262C4" w:rsidRDefault="001B0C5E" w:rsidP="00895444">
            <w:pPr>
              <w:widowControl/>
              <w:tabs>
                <w:tab w:val="left" w:pos="-720"/>
              </w:tabs>
              <w:ind w:left="720"/>
              <w:contextualSpacing/>
              <w:rPr>
                <w:sz w:val="26"/>
                <w:szCs w:val="26"/>
              </w:rPr>
            </w:pPr>
            <w:r w:rsidRPr="002262C4">
              <w:rPr>
                <w:sz w:val="26"/>
                <w:szCs w:val="26"/>
              </w:rPr>
              <w:t xml:space="preserve">John F. Coleman, Jr. </w:t>
            </w:r>
          </w:p>
          <w:p w:rsidR="001B0C5E" w:rsidRDefault="001B0C5E" w:rsidP="00895444">
            <w:pPr>
              <w:widowControl/>
              <w:contextualSpacing/>
              <w:rPr>
                <w:sz w:val="26"/>
                <w:szCs w:val="26"/>
              </w:rPr>
            </w:pPr>
          </w:p>
        </w:tc>
        <w:tc>
          <w:tcPr>
            <w:tcW w:w="4608" w:type="dxa"/>
          </w:tcPr>
          <w:p w:rsidR="001B0C5E" w:rsidRDefault="001B0C5E" w:rsidP="00895444">
            <w:pPr>
              <w:widowControl/>
              <w:contextualSpacing/>
              <w:jc w:val="right"/>
              <w:rPr>
                <w:sz w:val="26"/>
                <w:szCs w:val="26"/>
              </w:rPr>
            </w:pPr>
          </w:p>
          <w:p w:rsidR="001B0C5E" w:rsidRDefault="001B0C5E" w:rsidP="00895444">
            <w:pPr>
              <w:widowControl/>
              <w:contextualSpacing/>
              <w:jc w:val="right"/>
              <w:rPr>
                <w:sz w:val="26"/>
                <w:szCs w:val="26"/>
              </w:rPr>
            </w:pPr>
          </w:p>
        </w:tc>
      </w:tr>
      <w:tr w:rsidR="001B0C5E" w:rsidTr="003161E5">
        <w:tc>
          <w:tcPr>
            <w:tcW w:w="4878" w:type="dxa"/>
          </w:tcPr>
          <w:p w:rsidR="001B0C5E" w:rsidRDefault="001B0C5E" w:rsidP="00895444">
            <w:pPr>
              <w:widowControl/>
              <w:contextualSpacing/>
              <w:rPr>
                <w:sz w:val="26"/>
                <w:szCs w:val="26"/>
              </w:rPr>
            </w:pPr>
          </w:p>
          <w:p w:rsidR="001B0C5E" w:rsidRDefault="00EE5C51" w:rsidP="00895444">
            <w:pPr>
              <w:widowControl/>
              <w:contextualSpacing/>
              <w:rPr>
                <w:sz w:val="26"/>
                <w:szCs w:val="26"/>
              </w:rPr>
            </w:pPr>
            <w:r>
              <w:rPr>
                <w:sz w:val="26"/>
                <w:szCs w:val="26"/>
              </w:rPr>
              <w:t>Liberty Towers Philly, LP</w:t>
            </w:r>
          </w:p>
          <w:p w:rsidR="001B0C5E" w:rsidRDefault="001B0C5E" w:rsidP="00895444">
            <w:pPr>
              <w:widowControl/>
              <w:contextualSpacing/>
              <w:rPr>
                <w:sz w:val="26"/>
                <w:szCs w:val="26"/>
              </w:rPr>
            </w:pPr>
          </w:p>
        </w:tc>
        <w:tc>
          <w:tcPr>
            <w:tcW w:w="4608" w:type="dxa"/>
            <w:hideMark/>
          </w:tcPr>
          <w:p w:rsidR="001B0C5E" w:rsidRDefault="001B0C5E" w:rsidP="00895444">
            <w:pPr>
              <w:widowControl/>
              <w:contextualSpacing/>
              <w:jc w:val="right"/>
              <w:rPr>
                <w:sz w:val="26"/>
                <w:szCs w:val="26"/>
              </w:rPr>
            </w:pPr>
          </w:p>
          <w:p w:rsidR="001B0C5E" w:rsidRDefault="001B0C5E" w:rsidP="00895444">
            <w:pPr>
              <w:widowControl/>
              <w:contextualSpacing/>
              <w:jc w:val="right"/>
              <w:rPr>
                <w:sz w:val="26"/>
                <w:szCs w:val="26"/>
              </w:rPr>
            </w:pPr>
            <w:r>
              <w:rPr>
                <w:sz w:val="26"/>
                <w:szCs w:val="26"/>
              </w:rPr>
              <w:t>C-201</w:t>
            </w:r>
            <w:r w:rsidR="00EE5C51">
              <w:rPr>
                <w:sz w:val="26"/>
                <w:szCs w:val="26"/>
              </w:rPr>
              <w:t>7</w:t>
            </w:r>
            <w:r>
              <w:rPr>
                <w:sz w:val="26"/>
                <w:szCs w:val="26"/>
              </w:rPr>
              <w:t>-2</w:t>
            </w:r>
            <w:r w:rsidR="00EE5C51">
              <w:rPr>
                <w:sz w:val="26"/>
                <w:szCs w:val="26"/>
              </w:rPr>
              <w:t>582869</w:t>
            </w:r>
          </w:p>
        </w:tc>
      </w:tr>
      <w:tr w:rsidR="001B0C5E" w:rsidTr="003161E5">
        <w:tc>
          <w:tcPr>
            <w:tcW w:w="4878" w:type="dxa"/>
          </w:tcPr>
          <w:p w:rsidR="001B0C5E" w:rsidRDefault="0015310C" w:rsidP="00895444">
            <w:pPr>
              <w:widowControl/>
              <w:ind w:firstLine="720"/>
              <w:contextualSpacing/>
              <w:rPr>
                <w:sz w:val="26"/>
                <w:szCs w:val="26"/>
              </w:rPr>
            </w:pPr>
            <w:r>
              <w:rPr>
                <w:sz w:val="26"/>
                <w:szCs w:val="26"/>
              </w:rPr>
              <w:t xml:space="preserve">       </w:t>
            </w:r>
            <w:r w:rsidR="001B0C5E">
              <w:rPr>
                <w:sz w:val="26"/>
                <w:szCs w:val="26"/>
              </w:rPr>
              <w:t>v.</w:t>
            </w:r>
          </w:p>
          <w:p w:rsidR="001B0C5E" w:rsidRDefault="001B0C5E" w:rsidP="00895444">
            <w:pPr>
              <w:widowControl/>
              <w:ind w:firstLine="1440"/>
              <w:contextualSpacing/>
              <w:rPr>
                <w:sz w:val="26"/>
                <w:szCs w:val="26"/>
              </w:rPr>
            </w:pPr>
          </w:p>
        </w:tc>
        <w:tc>
          <w:tcPr>
            <w:tcW w:w="4608" w:type="dxa"/>
          </w:tcPr>
          <w:p w:rsidR="001B0C5E" w:rsidRDefault="001B0C5E" w:rsidP="00895444">
            <w:pPr>
              <w:widowControl/>
              <w:contextualSpacing/>
              <w:rPr>
                <w:sz w:val="26"/>
                <w:szCs w:val="26"/>
              </w:rPr>
            </w:pPr>
          </w:p>
        </w:tc>
      </w:tr>
      <w:tr w:rsidR="001B0C5E" w:rsidTr="003161E5">
        <w:tc>
          <w:tcPr>
            <w:tcW w:w="4878" w:type="dxa"/>
          </w:tcPr>
          <w:p w:rsidR="001B0C5E" w:rsidRDefault="00EE5C51" w:rsidP="00895444">
            <w:pPr>
              <w:widowControl/>
              <w:contextualSpacing/>
              <w:rPr>
                <w:sz w:val="26"/>
                <w:szCs w:val="26"/>
              </w:rPr>
            </w:pPr>
            <w:r>
              <w:rPr>
                <w:sz w:val="26"/>
                <w:szCs w:val="26"/>
              </w:rPr>
              <w:t>Philadelphia Gas Works</w:t>
            </w:r>
          </w:p>
          <w:p w:rsidR="001B0C5E" w:rsidRDefault="001B0C5E" w:rsidP="00895444">
            <w:pPr>
              <w:widowControl/>
              <w:contextualSpacing/>
              <w:rPr>
                <w:sz w:val="26"/>
                <w:szCs w:val="26"/>
              </w:rPr>
            </w:pPr>
          </w:p>
        </w:tc>
        <w:tc>
          <w:tcPr>
            <w:tcW w:w="4608" w:type="dxa"/>
          </w:tcPr>
          <w:p w:rsidR="001B0C5E" w:rsidRDefault="001B0C5E" w:rsidP="00895444">
            <w:pPr>
              <w:widowControl/>
              <w:contextualSpacing/>
              <w:rPr>
                <w:sz w:val="26"/>
                <w:szCs w:val="26"/>
              </w:rPr>
            </w:pPr>
          </w:p>
        </w:tc>
      </w:tr>
    </w:tbl>
    <w:p w:rsidR="001B0C5E" w:rsidRDefault="001B0C5E" w:rsidP="00895444">
      <w:pPr>
        <w:widowControl/>
        <w:contextualSpacing/>
        <w:rPr>
          <w:sz w:val="26"/>
          <w:szCs w:val="26"/>
        </w:rPr>
      </w:pPr>
    </w:p>
    <w:p w:rsidR="001B0C5E" w:rsidRDefault="001B0C5E" w:rsidP="00895444">
      <w:pPr>
        <w:widowControl/>
        <w:contextualSpacing/>
        <w:jc w:val="center"/>
        <w:rPr>
          <w:b/>
          <w:sz w:val="26"/>
          <w:szCs w:val="26"/>
        </w:rPr>
      </w:pPr>
      <w:r>
        <w:rPr>
          <w:b/>
          <w:sz w:val="26"/>
          <w:szCs w:val="26"/>
        </w:rPr>
        <w:t>OPINION AND ORDER</w:t>
      </w:r>
    </w:p>
    <w:p w:rsidR="001B0C5E" w:rsidRDefault="001B0C5E" w:rsidP="00895444">
      <w:pPr>
        <w:widowControl/>
        <w:contextualSpacing/>
        <w:rPr>
          <w:sz w:val="26"/>
          <w:szCs w:val="26"/>
        </w:rPr>
      </w:pPr>
    </w:p>
    <w:p w:rsidR="001B0C5E" w:rsidRDefault="001B0C5E" w:rsidP="00895444">
      <w:pPr>
        <w:keepNext/>
        <w:widowControl/>
        <w:spacing w:line="360" w:lineRule="auto"/>
        <w:contextualSpacing/>
        <w:rPr>
          <w:b/>
          <w:sz w:val="26"/>
          <w:szCs w:val="26"/>
        </w:rPr>
      </w:pPr>
      <w:r>
        <w:rPr>
          <w:b/>
          <w:sz w:val="26"/>
          <w:szCs w:val="26"/>
        </w:rPr>
        <w:t>BY THE COMMISSION:</w:t>
      </w:r>
    </w:p>
    <w:p w:rsidR="001B0C5E" w:rsidRDefault="001B0C5E" w:rsidP="00895444">
      <w:pPr>
        <w:widowControl/>
        <w:spacing w:line="360" w:lineRule="auto"/>
        <w:contextualSpacing/>
        <w:rPr>
          <w:b/>
          <w:sz w:val="26"/>
          <w:szCs w:val="26"/>
        </w:rPr>
      </w:pPr>
    </w:p>
    <w:p w:rsidR="001B0C5E" w:rsidRDefault="001B0C5E" w:rsidP="00895444">
      <w:pPr>
        <w:widowControl/>
        <w:spacing w:line="360" w:lineRule="auto"/>
        <w:ind w:firstLine="1440"/>
        <w:contextualSpacing/>
        <w:rPr>
          <w:sz w:val="26"/>
          <w:szCs w:val="26"/>
        </w:rPr>
      </w:pPr>
      <w:r w:rsidRPr="00CA43A5">
        <w:rPr>
          <w:sz w:val="26"/>
          <w:szCs w:val="26"/>
        </w:rPr>
        <w:t xml:space="preserve">Before the Pennsylvania Public Utility Commission (Commission) for consideration and disposition </w:t>
      </w:r>
      <w:r w:rsidR="00E0708A">
        <w:rPr>
          <w:color w:val="000000"/>
          <w:sz w:val="26"/>
        </w:rPr>
        <w:t>is the Petition for Rehearing (Petition)</w:t>
      </w:r>
      <w:r>
        <w:rPr>
          <w:color w:val="000000"/>
          <w:sz w:val="26"/>
        </w:rPr>
        <w:t xml:space="preserve"> filed on </w:t>
      </w:r>
      <w:r w:rsidR="00E0708A">
        <w:rPr>
          <w:color w:val="000000"/>
          <w:sz w:val="26"/>
        </w:rPr>
        <w:t>August 24</w:t>
      </w:r>
      <w:r w:rsidR="007C7EE2">
        <w:rPr>
          <w:color w:val="000000"/>
          <w:sz w:val="26"/>
        </w:rPr>
        <w:t>,</w:t>
      </w:r>
      <w:r>
        <w:rPr>
          <w:color w:val="000000"/>
          <w:sz w:val="26"/>
        </w:rPr>
        <w:t xml:space="preserve"> 2017</w:t>
      </w:r>
      <w:r w:rsidR="00217816">
        <w:rPr>
          <w:color w:val="000000"/>
          <w:sz w:val="26"/>
        </w:rPr>
        <w:t>,</w:t>
      </w:r>
      <w:r>
        <w:rPr>
          <w:color w:val="000000"/>
          <w:sz w:val="26"/>
        </w:rPr>
        <w:t xml:space="preserve"> </w:t>
      </w:r>
      <w:r w:rsidR="00512104">
        <w:rPr>
          <w:color w:val="000000"/>
          <w:sz w:val="26"/>
        </w:rPr>
        <w:t xml:space="preserve">by </w:t>
      </w:r>
      <w:r w:rsidR="00512104" w:rsidRPr="00122D52">
        <w:rPr>
          <w:rFonts w:eastAsiaTheme="minorHAnsi"/>
          <w:color w:val="000000"/>
          <w:sz w:val="26"/>
          <w:szCs w:val="26"/>
        </w:rPr>
        <w:t>Liberty Towers Philly</w:t>
      </w:r>
      <w:r w:rsidR="00512104">
        <w:rPr>
          <w:rFonts w:eastAsiaTheme="minorHAnsi"/>
          <w:color w:val="000000"/>
          <w:sz w:val="26"/>
          <w:szCs w:val="26"/>
        </w:rPr>
        <w:t>,</w:t>
      </w:r>
      <w:r w:rsidR="00512104" w:rsidRPr="00122D52">
        <w:rPr>
          <w:rFonts w:eastAsiaTheme="minorHAnsi"/>
          <w:color w:val="000000"/>
          <w:sz w:val="26"/>
          <w:szCs w:val="26"/>
        </w:rPr>
        <w:t xml:space="preserve"> LP</w:t>
      </w:r>
      <w:r w:rsidR="00512104">
        <w:rPr>
          <w:rFonts w:eastAsiaTheme="minorHAnsi"/>
          <w:color w:val="000000"/>
          <w:sz w:val="26"/>
          <w:szCs w:val="26"/>
        </w:rPr>
        <w:t xml:space="preserve"> (Liberty</w:t>
      </w:r>
      <w:r w:rsidR="00B72A80">
        <w:rPr>
          <w:rFonts w:eastAsiaTheme="minorHAnsi"/>
          <w:color w:val="000000"/>
          <w:sz w:val="26"/>
          <w:szCs w:val="26"/>
        </w:rPr>
        <w:t xml:space="preserve"> Towers</w:t>
      </w:r>
      <w:r w:rsidR="000851AB">
        <w:rPr>
          <w:rFonts w:eastAsiaTheme="minorHAnsi"/>
          <w:color w:val="000000"/>
          <w:sz w:val="26"/>
          <w:szCs w:val="26"/>
        </w:rPr>
        <w:t>, Liberty</w:t>
      </w:r>
      <w:r w:rsidR="00512104">
        <w:rPr>
          <w:rFonts w:eastAsiaTheme="minorHAnsi"/>
          <w:color w:val="000000"/>
          <w:sz w:val="26"/>
          <w:szCs w:val="26"/>
        </w:rPr>
        <w:t xml:space="preserve"> or Petitioner)</w:t>
      </w:r>
      <w:r w:rsidR="00512104" w:rsidRPr="00122D52">
        <w:rPr>
          <w:rFonts w:eastAsiaTheme="minorHAnsi"/>
          <w:color w:val="000000"/>
          <w:sz w:val="26"/>
          <w:szCs w:val="26"/>
        </w:rPr>
        <w:t xml:space="preserve"> </w:t>
      </w:r>
      <w:r>
        <w:rPr>
          <w:color w:val="000000"/>
          <w:sz w:val="26"/>
        </w:rPr>
        <w:t xml:space="preserve">to the </w:t>
      </w:r>
      <w:r w:rsidR="00E0708A">
        <w:rPr>
          <w:color w:val="000000"/>
          <w:sz w:val="26"/>
        </w:rPr>
        <w:t xml:space="preserve">Final </w:t>
      </w:r>
      <w:r w:rsidR="000B0F7D">
        <w:rPr>
          <w:color w:val="000000"/>
          <w:sz w:val="26"/>
        </w:rPr>
        <w:t>Order</w:t>
      </w:r>
      <w:r w:rsidR="00E0708A">
        <w:rPr>
          <w:color w:val="000000"/>
          <w:sz w:val="26"/>
        </w:rPr>
        <w:t xml:space="preserve"> entered on August 11, 2017, </w:t>
      </w:r>
      <w:r w:rsidR="0016499E">
        <w:rPr>
          <w:color w:val="000000"/>
          <w:sz w:val="26"/>
        </w:rPr>
        <w:t xml:space="preserve">in </w:t>
      </w:r>
      <w:r>
        <w:rPr>
          <w:color w:val="000000"/>
          <w:sz w:val="26"/>
        </w:rPr>
        <w:t>the above-captioned proceeding</w:t>
      </w:r>
      <w:r w:rsidR="00FB217D">
        <w:rPr>
          <w:color w:val="000000"/>
          <w:sz w:val="26"/>
        </w:rPr>
        <w:t>.  T</w:t>
      </w:r>
      <w:r w:rsidR="00D470E8">
        <w:rPr>
          <w:color w:val="000000"/>
          <w:sz w:val="26"/>
        </w:rPr>
        <w:t>h</w:t>
      </w:r>
      <w:r w:rsidR="00FB217D">
        <w:rPr>
          <w:color w:val="000000"/>
          <w:sz w:val="26"/>
        </w:rPr>
        <w:t>at Final Order adopted th</w:t>
      </w:r>
      <w:r w:rsidR="00D470E8">
        <w:rPr>
          <w:color w:val="000000"/>
          <w:sz w:val="26"/>
        </w:rPr>
        <w:t xml:space="preserve">e Initial Decision of Administrative Law Judge </w:t>
      </w:r>
      <w:bookmarkStart w:id="0" w:name="BMPresidingOfficer"/>
      <w:r w:rsidR="00D470E8">
        <w:rPr>
          <w:color w:val="000000"/>
          <w:sz w:val="26"/>
        </w:rPr>
        <w:t xml:space="preserve">(ALJ) </w:t>
      </w:r>
      <w:r w:rsidR="00D470E8" w:rsidRPr="00D470E8">
        <w:rPr>
          <w:color w:val="000000"/>
          <w:sz w:val="26"/>
        </w:rPr>
        <w:t>Marta Guhl</w:t>
      </w:r>
      <w:bookmarkEnd w:id="0"/>
      <w:r w:rsidR="00D470E8" w:rsidRPr="00D470E8">
        <w:rPr>
          <w:color w:val="000000"/>
          <w:sz w:val="26"/>
        </w:rPr>
        <w:t xml:space="preserve"> </w:t>
      </w:r>
      <w:r w:rsidR="00D470E8">
        <w:rPr>
          <w:color w:val="000000"/>
          <w:sz w:val="26"/>
        </w:rPr>
        <w:t xml:space="preserve">issued on </w:t>
      </w:r>
      <w:proofErr w:type="gramStart"/>
      <w:r w:rsidR="00D470E8" w:rsidRPr="00D470E8">
        <w:rPr>
          <w:color w:val="000000"/>
          <w:sz w:val="26"/>
        </w:rPr>
        <w:t>J</w:t>
      </w:r>
      <w:r w:rsidR="00D470E8">
        <w:rPr>
          <w:color w:val="000000"/>
          <w:sz w:val="26"/>
        </w:rPr>
        <w:t>uly 11,</w:t>
      </w:r>
      <w:r w:rsidR="00D470E8" w:rsidRPr="00D470E8">
        <w:rPr>
          <w:color w:val="000000"/>
          <w:sz w:val="26"/>
        </w:rPr>
        <w:t xml:space="preserve"> 2017</w:t>
      </w:r>
      <w:r w:rsidR="00C57CF7">
        <w:rPr>
          <w:color w:val="000000"/>
          <w:sz w:val="26"/>
        </w:rPr>
        <w:t>, and</w:t>
      </w:r>
      <w:proofErr w:type="gramEnd"/>
      <w:r w:rsidR="00C57CF7">
        <w:rPr>
          <w:color w:val="000000"/>
          <w:sz w:val="26"/>
        </w:rPr>
        <w:t xml:space="preserve"> dismissed the Petitioner’s Formal Complaint</w:t>
      </w:r>
      <w:r w:rsidR="00FB217D">
        <w:rPr>
          <w:color w:val="000000"/>
          <w:sz w:val="26"/>
        </w:rPr>
        <w:t xml:space="preserve"> (Complaint)</w:t>
      </w:r>
      <w:r>
        <w:rPr>
          <w:color w:val="000000"/>
          <w:sz w:val="26"/>
        </w:rPr>
        <w:t xml:space="preserve">.  </w:t>
      </w:r>
      <w:r w:rsidR="00217816">
        <w:rPr>
          <w:color w:val="000000"/>
          <w:sz w:val="26"/>
        </w:rPr>
        <w:t xml:space="preserve">On </w:t>
      </w:r>
      <w:r w:rsidR="0016499E">
        <w:rPr>
          <w:color w:val="000000"/>
          <w:sz w:val="26"/>
        </w:rPr>
        <w:t>September 5</w:t>
      </w:r>
      <w:r w:rsidR="00217816">
        <w:rPr>
          <w:color w:val="000000"/>
          <w:sz w:val="26"/>
        </w:rPr>
        <w:t xml:space="preserve">, 2017, </w:t>
      </w:r>
      <w:r>
        <w:rPr>
          <w:color w:val="000000"/>
          <w:sz w:val="26"/>
        </w:rPr>
        <w:t>P</w:t>
      </w:r>
      <w:r w:rsidR="0016499E">
        <w:rPr>
          <w:color w:val="000000"/>
          <w:sz w:val="26"/>
        </w:rPr>
        <w:t xml:space="preserve">hiladelphia Gas Works (PGW) </w:t>
      </w:r>
      <w:r w:rsidR="007C7EE2">
        <w:rPr>
          <w:color w:val="000000"/>
          <w:sz w:val="26"/>
        </w:rPr>
        <w:t xml:space="preserve">filed </w:t>
      </w:r>
      <w:r w:rsidR="00217816">
        <w:rPr>
          <w:color w:val="000000"/>
          <w:sz w:val="26"/>
        </w:rPr>
        <w:t>a</w:t>
      </w:r>
      <w:r w:rsidR="0016499E">
        <w:rPr>
          <w:color w:val="000000"/>
          <w:sz w:val="26"/>
        </w:rPr>
        <w:t>n Answer to the Petition</w:t>
      </w:r>
      <w:r w:rsidR="000E65AA">
        <w:rPr>
          <w:color w:val="000000"/>
          <w:sz w:val="26"/>
        </w:rPr>
        <w:t xml:space="preserve"> (Answer)</w:t>
      </w:r>
      <w:r w:rsidR="00EF6624">
        <w:rPr>
          <w:color w:val="000000"/>
          <w:sz w:val="26"/>
        </w:rPr>
        <w:t xml:space="preserve">.  </w:t>
      </w:r>
      <w:r>
        <w:rPr>
          <w:sz w:val="26"/>
          <w:szCs w:val="26"/>
        </w:rPr>
        <w:t>For the reasons discussed below,</w:t>
      </w:r>
      <w:r w:rsidRPr="00C557F8">
        <w:rPr>
          <w:sz w:val="26"/>
          <w:szCs w:val="26"/>
        </w:rPr>
        <w:t xml:space="preserve"> </w:t>
      </w:r>
      <w:r>
        <w:rPr>
          <w:sz w:val="26"/>
          <w:szCs w:val="26"/>
        </w:rPr>
        <w:t>we</w:t>
      </w:r>
      <w:r w:rsidR="00217816">
        <w:rPr>
          <w:sz w:val="26"/>
          <w:szCs w:val="26"/>
        </w:rPr>
        <w:t xml:space="preserve"> </w:t>
      </w:r>
      <w:r w:rsidR="00EF6624">
        <w:rPr>
          <w:sz w:val="26"/>
          <w:szCs w:val="26"/>
        </w:rPr>
        <w:t xml:space="preserve">shall </w:t>
      </w:r>
      <w:r w:rsidR="005D0B2E">
        <w:rPr>
          <w:sz w:val="26"/>
          <w:szCs w:val="26"/>
        </w:rPr>
        <w:t xml:space="preserve">deny </w:t>
      </w:r>
      <w:r w:rsidR="0016499E">
        <w:rPr>
          <w:sz w:val="26"/>
          <w:szCs w:val="26"/>
        </w:rPr>
        <w:t>the Petition</w:t>
      </w:r>
      <w:r w:rsidR="005D0B2E">
        <w:rPr>
          <w:sz w:val="26"/>
          <w:szCs w:val="26"/>
        </w:rPr>
        <w:t xml:space="preserve"> and dismiss the Complaint. </w:t>
      </w:r>
      <w:r w:rsidR="00E72EAD">
        <w:rPr>
          <w:sz w:val="26"/>
          <w:szCs w:val="26"/>
        </w:rPr>
        <w:t xml:space="preserve"> </w:t>
      </w:r>
    </w:p>
    <w:p w:rsidR="001B0C5E" w:rsidRDefault="001B0C5E" w:rsidP="00895444">
      <w:pPr>
        <w:widowControl/>
        <w:spacing w:line="360" w:lineRule="auto"/>
        <w:contextualSpacing/>
        <w:jc w:val="center"/>
        <w:rPr>
          <w:rFonts w:ascii="Arial" w:hAnsi="Arial" w:cs="Arial"/>
          <w:color w:val="212121"/>
          <w:sz w:val="21"/>
          <w:szCs w:val="21"/>
        </w:rPr>
      </w:pPr>
      <w:bookmarkStart w:id="1" w:name="OLE_LINK1"/>
      <w:bookmarkStart w:id="2" w:name="OLE_LINK2"/>
    </w:p>
    <w:p w:rsidR="001B0C5E" w:rsidRDefault="001B0C5E" w:rsidP="00895444">
      <w:pPr>
        <w:keepNext/>
        <w:keepLines/>
        <w:widowControl/>
        <w:spacing w:line="360" w:lineRule="auto"/>
        <w:contextualSpacing/>
        <w:jc w:val="center"/>
        <w:rPr>
          <w:b/>
          <w:sz w:val="26"/>
          <w:szCs w:val="26"/>
        </w:rPr>
      </w:pPr>
      <w:r w:rsidRPr="00CA43A5">
        <w:rPr>
          <w:b/>
          <w:sz w:val="26"/>
          <w:szCs w:val="26"/>
        </w:rPr>
        <w:lastRenderedPageBreak/>
        <w:t>History of the Proceeding</w:t>
      </w:r>
    </w:p>
    <w:p w:rsidR="0016499E" w:rsidRPr="0016499E" w:rsidRDefault="0016499E" w:rsidP="00895444">
      <w:pPr>
        <w:keepNext/>
        <w:keepLines/>
        <w:widowControl/>
        <w:spacing w:line="360" w:lineRule="auto"/>
        <w:contextualSpacing/>
        <w:jc w:val="center"/>
        <w:rPr>
          <w:b/>
          <w:sz w:val="26"/>
          <w:szCs w:val="26"/>
        </w:rPr>
      </w:pPr>
    </w:p>
    <w:bookmarkEnd w:id="1"/>
    <w:bookmarkEnd w:id="2"/>
    <w:p w:rsidR="00122D52" w:rsidRPr="0016499E" w:rsidRDefault="00122D52" w:rsidP="00915F9A">
      <w:pPr>
        <w:widowControl/>
        <w:autoSpaceDE w:val="0"/>
        <w:autoSpaceDN w:val="0"/>
        <w:adjustRightInd w:val="0"/>
        <w:spacing w:line="360" w:lineRule="auto"/>
        <w:ind w:firstLine="1440"/>
        <w:contextualSpacing/>
        <w:rPr>
          <w:rFonts w:eastAsiaTheme="minorHAnsi"/>
          <w:color w:val="000000"/>
          <w:sz w:val="26"/>
          <w:szCs w:val="26"/>
        </w:rPr>
      </w:pPr>
      <w:r w:rsidRPr="00122D52">
        <w:rPr>
          <w:rFonts w:eastAsiaTheme="minorHAnsi"/>
          <w:color w:val="000000"/>
          <w:sz w:val="26"/>
          <w:szCs w:val="26"/>
        </w:rPr>
        <w:t>On December 30, 2016, Liberty</w:t>
      </w:r>
      <w:r w:rsidR="00B72A80">
        <w:rPr>
          <w:rFonts w:eastAsiaTheme="minorHAnsi"/>
          <w:color w:val="000000"/>
          <w:sz w:val="26"/>
          <w:szCs w:val="26"/>
        </w:rPr>
        <w:t xml:space="preserve"> Towers</w:t>
      </w:r>
      <w:r w:rsidR="0016499E">
        <w:rPr>
          <w:rFonts w:eastAsiaTheme="minorHAnsi"/>
          <w:color w:val="000000"/>
          <w:sz w:val="26"/>
          <w:szCs w:val="26"/>
        </w:rPr>
        <w:t xml:space="preserve"> </w:t>
      </w:r>
      <w:r w:rsidR="00C57CF7">
        <w:rPr>
          <w:rFonts w:eastAsiaTheme="minorHAnsi"/>
          <w:color w:val="000000"/>
          <w:sz w:val="26"/>
          <w:szCs w:val="26"/>
        </w:rPr>
        <w:t xml:space="preserve">filed </w:t>
      </w:r>
      <w:r w:rsidR="00FB217D">
        <w:rPr>
          <w:rFonts w:eastAsiaTheme="minorHAnsi"/>
          <w:color w:val="000000"/>
          <w:sz w:val="26"/>
          <w:szCs w:val="26"/>
        </w:rPr>
        <w:t>the instant Complaint</w:t>
      </w:r>
      <w:r w:rsidR="00C57CF7">
        <w:rPr>
          <w:rFonts w:eastAsiaTheme="minorHAnsi"/>
          <w:color w:val="000000"/>
          <w:sz w:val="26"/>
          <w:szCs w:val="26"/>
        </w:rPr>
        <w:t xml:space="preserve"> </w:t>
      </w:r>
      <w:r w:rsidRPr="00122D52">
        <w:rPr>
          <w:rFonts w:eastAsiaTheme="minorHAnsi"/>
          <w:color w:val="000000"/>
          <w:sz w:val="26"/>
          <w:szCs w:val="26"/>
        </w:rPr>
        <w:t xml:space="preserve">against </w:t>
      </w:r>
      <w:r w:rsidR="00512104">
        <w:rPr>
          <w:rFonts w:eastAsiaTheme="minorHAnsi"/>
          <w:color w:val="000000"/>
          <w:sz w:val="26"/>
          <w:szCs w:val="26"/>
        </w:rPr>
        <w:t>PGW,</w:t>
      </w:r>
      <w:r w:rsidRPr="00122D52">
        <w:rPr>
          <w:rFonts w:eastAsiaTheme="minorHAnsi"/>
          <w:color w:val="000000"/>
          <w:sz w:val="26"/>
          <w:szCs w:val="26"/>
        </w:rPr>
        <w:t xml:space="preserve"> </w:t>
      </w:r>
      <w:r w:rsidR="000B0F7D">
        <w:rPr>
          <w:rFonts w:eastAsiaTheme="minorHAnsi"/>
          <w:color w:val="000000"/>
          <w:sz w:val="26"/>
          <w:szCs w:val="26"/>
        </w:rPr>
        <w:t xml:space="preserve">in which it </w:t>
      </w:r>
      <w:r w:rsidRPr="00122D52">
        <w:rPr>
          <w:rFonts w:eastAsiaTheme="minorHAnsi"/>
          <w:color w:val="000000"/>
          <w:sz w:val="26"/>
          <w:szCs w:val="26"/>
        </w:rPr>
        <w:t>alleg</w:t>
      </w:r>
      <w:r w:rsidR="000B0F7D">
        <w:rPr>
          <w:rFonts w:eastAsiaTheme="minorHAnsi"/>
          <w:color w:val="000000"/>
          <w:sz w:val="26"/>
          <w:szCs w:val="26"/>
        </w:rPr>
        <w:t>ed</w:t>
      </w:r>
      <w:r w:rsidRPr="00122D52">
        <w:rPr>
          <w:rFonts w:eastAsiaTheme="minorHAnsi"/>
          <w:color w:val="000000"/>
          <w:sz w:val="26"/>
          <w:szCs w:val="26"/>
        </w:rPr>
        <w:t xml:space="preserve"> that there were incorrect charges on its bills</w:t>
      </w:r>
      <w:r w:rsidR="000B0F7D">
        <w:rPr>
          <w:rFonts w:eastAsiaTheme="minorHAnsi"/>
          <w:color w:val="000000"/>
          <w:sz w:val="26"/>
          <w:szCs w:val="26"/>
        </w:rPr>
        <w:t xml:space="preserve"> –</w:t>
      </w:r>
      <w:r w:rsidR="00512104">
        <w:rPr>
          <w:rFonts w:eastAsiaTheme="minorHAnsi"/>
          <w:color w:val="000000"/>
          <w:sz w:val="26"/>
          <w:szCs w:val="26"/>
        </w:rPr>
        <w:t xml:space="preserve"> over three times the amounts typically charged for the period</w:t>
      </w:r>
      <w:r w:rsidR="00D470E8">
        <w:rPr>
          <w:rFonts w:eastAsiaTheme="minorHAnsi"/>
          <w:color w:val="000000"/>
          <w:sz w:val="26"/>
          <w:szCs w:val="26"/>
        </w:rPr>
        <w:t>.  For relief, Liberty Towers requested</w:t>
      </w:r>
      <w:r w:rsidRPr="00122D52">
        <w:rPr>
          <w:rFonts w:eastAsiaTheme="minorHAnsi"/>
          <w:color w:val="000000"/>
          <w:sz w:val="26"/>
          <w:szCs w:val="26"/>
        </w:rPr>
        <w:t xml:space="preserve"> that PGW readjust i</w:t>
      </w:r>
      <w:r w:rsidR="000B0F7D">
        <w:rPr>
          <w:rFonts w:eastAsiaTheme="minorHAnsi"/>
          <w:color w:val="000000"/>
          <w:sz w:val="26"/>
          <w:szCs w:val="26"/>
        </w:rPr>
        <w:t>ts bill.</w:t>
      </w:r>
    </w:p>
    <w:p w:rsidR="00122D52" w:rsidRPr="00122D52" w:rsidRDefault="00122D52" w:rsidP="00915F9A">
      <w:pPr>
        <w:widowControl/>
        <w:autoSpaceDE w:val="0"/>
        <w:autoSpaceDN w:val="0"/>
        <w:adjustRightInd w:val="0"/>
        <w:spacing w:line="360" w:lineRule="auto"/>
        <w:ind w:firstLine="1440"/>
        <w:contextualSpacing/>
        <w:rPr>
          <w:rFonts w:eastAsiaTheme="minorHAnsi"/>
          <w:color w:val="000000"/>
          <w:sz w:val="26"/>
          <w:szCs w:val="26"/>
        </w:rPr>
      </w:pPr>
    </w:p>
    <w:p w:rsidR="00122D52" w:rsidRPr="00122D52" w:rsidRDefault="00122D52" w:rsidP="00915F9A">
      <w:pPr>
        <w:widowControl/>
        <w:autoSpaceDE w:val="0"/>
        <w:autoSpaceDN w:val="0"/>
        <w:adjustRightInd w:val="0"/>
        <w:spacing w:line="360" w:lineRule="auto"/>
        <w:ind w:firstLine="1440"/>
        <w:contextualSpacing/>
        <w:rPr>
          <w:rFonts w:eastAsiaTheme="minorHAnsi"/>
          <w:color w:val="000000"/>
          <w:sz w:val="26"/>
          <w:szCs w:val="26"/>
        </w:rPr>
      </w:pPr>
      <w:r w:rsidRPr="00122D52">
        <w:rPr>
          <w:rFonts w:eastAsiaTheme="minorHAnsi"/>
          <w:color w:val="000000"/>
          <w:sz w:val="26"/>
          <w:szCs w:val="26"/>
        </w:rPr>
        <w:t>On January 25, 2017, PGW filed its Answer, denying the materia</w:t>
      </w:r>
      <w:r w:rsidR="000B0F7D">
        <w:rPr>
          <w:rFonts w:eastAsiaTheme="minorHAnsi"/>
          <w:color w:val="000000"/>
          <w:sz w:val="26"/>
          <w:szCs w:val="26"/>
        </w:rPr>
        <w:t>l allegations of the Complaint.</w:t>
      </w:r>
    </w:p>
    <w:p w:rsidR="0016499E" w:rsidRPr="0016499E" w:rsidRDefault="0016499E" w:rsidP="00915F9A">
      <w:pPr>
        <w:widowControl/>
        <w:spacing w:line="360" w:lineRule="auto"/>
        <w:ind w:firstLine="1440"/>
        <w:contextualSpacing/>
        <w:rPr>
          <w:rFonts w:eastAsiaTheme="minorHAnsi"/>
          <w:color w:val="000000"/>
          <w:sz w:val="26"/>
          <w:szCs w:val="26"/>
        </w:rPr>
      </w:pPr>
    </w:p>
    <w:p w:rsidR="00217816" w:rsidRDefault="00122D52" w:rsidP="00915F9A">
      <w:pPr>
        <w:widowControl/>
        <w:spacing w:line="360" w:lineRule="auto"/>
        <w:ind w:firstLine="1440"/>
        <w:contextualSpacing/>
        <w:rPr>
          <w:rFonts w:eastAsiaTheme="minorHAnsi"/>
          <w:color w:val="000000"/>
          <w:sz w:val="26"/>
          <w:szCs w:val="26"/>
        </w:rPr>
      </w:pPr>
      <w:r w:rsidRPr="0016499E">
        <w:rPr>
          <w:rFonts w:eastAsiaTheme="minorHAnsi"/>
          <w:color w:val="000000"/>
          <w:sz w:val="26"/>
          <w:szCs w:val="26"/>
        </w:rPr>
        <w:t>By Hearing Notice dated March 6, 2017, the matter was scheduled for an initial hea</w:t>
      </w:r>
      <w:r w:rsidR="0043159A">
        <w:rPr>
          <w:rFonts w:eastAsiaTheme="minorHAnsi"/>
          <w:color w:val="000000"/>
          <w:sz w:val="26"/>
          <w:szCs w:val="26"/>
        </w:rPr>
        <w:t xml:space="preserve">ring on Tuesday, April 11, 2017, </w:t>
      </w:r>
      <w:r w:rsidRPr="0016499E">
        <w:rPr>
          <w:rFonts w:eastAsiaTheme="minorHAnsi"/>
          <w:color w:val="000000"/>
          <w:sz w:val="26"/>
          <w:szCs w:val="26"/>
        </w:rPr>
        <w:t>and was assigned to ALJ Guhl.</w:t>
      </w:r>
    </w:p>
    <w:p w:rsidR="00512104" w:rsidRPr="0016499E" w:rsidRDefault="00512104" w:rsidP="00915F9A">
      <w:pPr>
        <w:widowControl/>
        <w:spacing w:line="360" w:lineRule="auto"/>
        <w:ind w:firstLine="1440"/>
        <w:contextualSpacing/>
        <w:rPr>
          <w:rFonts w:eastAsiaTheme="minorHAnsi"/>
          <w:color w:val="000000"/>
          <w:sz w:val="26"/>
          <w:szCs w:val="26"/>
        </w:rPr>
      </w:pPr>
    </w:p>
    <w:p w:rsidR="00122D52" w:rsidRPr="0016499E" w:rsidRDefault="00284D84" w:rsidP="00915F9A">
      <w:pPr>
        <w:widowControl/>
        <w:autoSpaceDE w:val="0"/>
        <w:autoSpaceDN w:val="0"/>
        <w:adjustRightInd w:val="0"/>
        <w:spacing w:line="360" w:lineRule="auto"/>
        <w:ind w:firstLine="1440"/>
        <w:contextualSpacing/>
        <w:rPr>
          <w:rFonts w:eastAsiaTheme="minorHAnsi"/>
          <w:color w:val="000000"/>
          <w:sz w:val="26"/>
          <w:szCs w:val="26"/>
        </w:rPr>
      </w:pPr>
      <w:r>
        <w:rPr>
          <w:rFonts w:eastAsiaTheme="minorHAnsi"/>
          <w:color w:val="000000"/>
          <w:sz w:val="26"/>
          <w:szCs w:val="26"/>
        </w:rPr>
        <w:t>On March 17, 2017, ALJ Guhl</w:t>
      </w:r>
      <w:r w:rsidR="00122D52" w:rsidRPr="00122D52">
        <w:rPr>
          <w:rFonts w:eastAsiaTheme="minorHAnsi"/>
          <w:color w:val="000000"/>
          <w:sz w:val="26"/>
          <w:szCs w:val="26"/>
        </w:rPr>
        <w:t xml:space="preserve"> issued a Prehearing Order</w:t>
      </w:r>
      <w:r w:rsidR="00D43BBA">
        <w:rPr>
          <w:rFonts w:eastAsiaTheme="minorHAnsi"/>
          <w:color w:val="000000"/>
          <w:sz w:val="26"/>
          <w:szCs w:val="26"/>
        </w:rPr>
        <w:t xml:space="preserve">, which, </w:t>
      </w:r>
      <w:r w:rsidR="00D43BBA" w:rsidRPr="00D43BBA">
        <w:rPr>
          <w:rFonts w:eastAsiaTheme="minorHAnsi"/>
          <w:i/>
          <w:color w:val="000000"/>
          <w:sz w:val="26"/>
          <w:szCs w:val="26"/>
        </w:rPr>
        <w:t>inter alia</w:t>
      </w:r>
      <w:r w:rsidR="00D43BBA">
        <w:rPr>
          <w:rFonts w:eastAsiaTheme="minorHAnsi"/>
          <w:color w:val="000000"/>
          <w:sz w:val="26"/>
          <w:szCs w:val="26"/>
        </w:rPr>
        <w:t xml:space="preserve">, directed Liberty Towers, since it is </w:t>
      </w:r>
      <w:r>
        <w:rPr>
          <w:rFonts w:eastAsiaTheme="minorHAnsi"/>
          <w:color w:val="000000"/>
          <w:sz w:val="26"/>
          <w:szCs w:val="26"/>
        </w:rPr>
        <w:t>a limited partnership,</w:t>
      </w:r>
      <w:r w:rsidR="00D43BBA">
        <w:rPr>
          <w:rFonts w:eastAsiaTheme="minorHAnsi"/>
          <w:color w:val="000000"/>
          <w:sz w:val="26"/>
          <w:szCs w:val="26"/>
        </w:rPr>
        <w:t xml:space="preserve"> to</w:t>
      </w:r>
      <w:r w:rsidR="00122D52" w:rsidRPr="00122D52">
        <w:rPr>
          <w:rFonts w:eastAsiaTheme="minorHAnsi"/>
          <w:color w:val="000000"/>
          <w:sz w:val="26"/>
          <w:szCs w:val="26"/>
        </w:rPr>
        <w:t xml:space="preserve"> have a</w:t>
      </w:r>
      <w:r w:rsidR="0043159A">
        <w:rPr>
          <w:rFonts w:eastAsiaTheme="minorHAnsi"/>
          <w:color w:val="000000"/>
          <w:sz w:val="26"/>
          <w:szCs w:val="26"/>
        </w:rPr>
        <w:t xml:space="preserve"> Pennsylvania-licensed</w:t>
      </w:r>
      <w:r w:rsidR="00122D52" w:rsidRPr="00122D52">
        <w:rPr>
          <w:rFonts w:eastAsiaTheme="minorHAnsi"/>
          <w:color w:val="000000"/>
          <w:sz w:val="26"/>
          <w:szCs w:val="26"/>
        </w:rPr>
        <w:t xml:space="preserve"> attorney enter an appearance on its behalf on or before April 5, 2017. </w:t>
      </w:r>
    </w:p>
    <w:p w:rsidR="00122D52" w:rsidRPr="00122D52" w:rsidRDefault="00122D52" w:rsidP="00915F9A">
      <w:pPr>
        <w:widowControl/>
        <w:autoSpaceDE w:val="0"/>
        <w:autoSpaceDN w:val="0"/>
        <w:adjustRightInd w:val="0"/>
        <w:spacing w:line="360" w:lineRule="auto"/>
        <w:ind w:firstLine="1440"/>
        <w:contextualSpacing/>
        <w:rPr>
          <w:rFonts w:eastAsiaTheme="minorHAnsi"/>
          <w:color w:val="000000"/>
          <w:sz w:val="26"/>
          <w:szCs w:val="26"/>
        </w:rPr>
      </w:pPr>
    </w:p>
    <w:p w:rsidR="00284D84" w:rsidRDefault="00B72A80" w:rsidP="00915F9A">
      <w:pPr>
        <w:widowControl/>
        <w:autoSpaceDE w:val="0"/>
        <w:autoSpaceDN w:val="0"/>
        <w:adjustRightInd w:val="0"/>
        <w:spacing w:line="360" w:lineRule="auto"/>
        <w:ind w:firstLine="1440"/>
        <w:contextualSpacing/>
        <w:rPr>
          <w:rFonts w:eastAsiaTheme="minorHAnsi"/>
          <w:color w:val="000000"/>
          <w:sz w:val="26"/>
          <w:szCs w:val="26"/>
        </w:rPr>
      </w:pPr>
      <w:r>
        <w:rPr>
          <w:rFonts w:eastAsiaTheme="minorHAnsi"/>
          <w:color w:val="000000"/>
          <w:sz w:val="26"/>
          <w:szCs w:val="26"/>
        </w:rPr>
        <w:t>Liberty Towers failed to have an attorney enter</w:t>
      </w:r>
      <w:r w:rsidR="002C1CBE">
        <w:rPr>
          <w:rFonts w:eastAsiaTheme="minorHAnsi"/>
          <w:color w:val="000000"/>
          <w:sz w:val="26"/>
          <w:szCs w:val="26"/>
        </w:rPr>
        <w:t xml:space="preserve"> an appearance by April 5, 2017, and </w:t>
      </w:r>
      <w:r w:rsidR="0084536B">
        <w:rPr>
          <w:rFonts w:eastAsiaTheme="minorHAnsi"/>
          <w:color w:val="000000"/>
          <w:sz w:val="26"/>
          <w:szCs w:val="26"/>
        </w:rPr>
        <w:t xml:space="preserve">it </w:t>
      </w:r>
      <w:r w:rsidR="002C1CBE">
        <w:rPr>
          <w:rFonts w:eastAsiaTheme="minorHAnsi"/>
          <w:color w:val="000000"/>
          <w:sz w:val="26"/>
          <w:szCs w:val="26"/>
        </w:rPr>
        <w:t>did not request an extension of time or continuance to comply with this requirement.</w:t>
      </w:r>
    </w:p>
    <w:p w:rsidR="00284D84" w:rsidRDefault="00284D84" w:rsidP="00915F9A">
      <w:pPr>
        <w:widowControl/>
        <w:autoSpaceDE w:val="0"/>
        <w:autoSpaceDN w:val="0"/>
        <w:adjustRightInd w:val="0"/>
        <w:spacing w:line="360" w:lineRule="auto"/>
        <w:ind w:firstLine="1440"/>
        <w:contextualSpacing/>
        <w:rPr>
          <w:rFonts w:eastAsiaTheme="minorHAnsi"/>
          <w:color w:val="000000"/>
          <w:sz w:val="26"/>
          <w:szCs w:val="26"/>
        </w:rPr>
      </w:pPr>
      <w:r>
        <w:rPr>
          <w:rFonts w:eastAsiaTheme="minorHAnsi"/>
          <w:color w:val="000000"/>
          <w:sz w:val="26"/>
          <w:szCs w:val="26"/>
        </w:rPr>
        <w:t xml:space="preserve"> </w:t>
      </w:r>
    </w:p>
    <w:p w:rsidR="00122D52" w:rsidRDefault="00B72A80" w:rsidP="00915F9A">
      <w:pPr>
        <w:widowControl/>
        <w:autoSpaceDE w:val="0"/>
        <w:autoSpaceDN w:val="0"/>
        <w:adjustRightInd w:val="0"/>
        <w:spacing w:line="360" w:lineRule="auto"/>
        <w:ind w:firstLine="1440"/>
        <w:contextualSpacing/>
        <w:rPr>
          <w:rFonts w:eastAsiaTheme="minorHAnsi"/>
          <w:color w:val="000000"/>
          <w:sz w:val="26"/>
          <w:szCs w:val="26"/>
        </w:rPr>
      </w:pPr>
      <w:r>
        <w:rPr>
          <w:rFonts w:eastAsiaTheme="minorHAnsi"/>
          <w:color w:val="000000"/>
          <w:sz w:val="26"/>
          <w:szCs w:val="26"/>
        </w:rPr>
        <w:t>Thereafter, a</w:t>
      </w:r>
      <w:r w:rsidR="00122D52" w:rsidRPr="00122D52">
        <w:rPr>
          <w:rFonts w:eastAsiaTheme="minorHAnsi"/>
          <w:color w:val="000000"/>
          <w:sz w:val="26"/>
          <w:szCs w:val="26"/>
        </w:rPr>
        <w:t xml:space="preserve"> Hearing Cancellation Notice was issued on April 10, 2017. The record closed on April 10, 2017</w:t>
      </w:r>
      <w:r w:rsidR="0043159A">
        <w:rPr>
          <w:rFonts w:eastAsiaTheme="minorHAnsi"/>
          <w:color w:val="000000"/>
          <w:sz w:val="26"/>
          <w:szCs w:val="26"/>
        </w:rPr>
        <w:t xml:space="preserve">, </w:t>
      </w:r>
      <w:r w:rsidR="00122D52" w:rsidRPr="0016499E">
        <w:rPr>
          <w:rFonts w:eastAsiaTheme="minorHAnsi"/>
          <w:color w:val="000000"/>
          <w:sz w:val="26"/>
          <w:szCs w:val="26"/>
        </w:rPr>
        <w:t>consist</w:t>
      </w:r>
      <w:r w:rsidR="0043159A">
        <w:rPr>
          <w:rFonts w:eastAsiaTheme="minorHAnsi"/>
          <w:color w:val="000000"/>
          <w:sz w:val="26"/>
          <w:szCs w:val="26"/>
        </w:rPr>
        <w:t>ing</w:t>
      </w:r>
      <w:r w:rsidR="00122D52" w:rsidRPr="0016499E">
        <w:rPr>
          <w:rFonts w:eastAsiaTheme="minorHAnsi"/>
          <w:color w:val="000000"/>
          <w:sz w:val="26"/>
          <w:szCs w:val="26"/>
        </w:rPr>
        <w:t xml:space="preserve"> of the </w:t>
      </w:r>
      <w:r w:rsidR="00284D84">
        <w:rPr>
          <w:rFonts w:eastAsiaTheme="minorHAnsi"/>
          <w:color w:val="000000"/>
          <w:sz w:val="26"/>
          <w:szCs w:val="26"/>
        </w:rPr>
        <w:t xml:space="preserve">Parties’ </w:t>
      </w:r>
      <w:r w:rsidR="00122D52" w:rsidRPr="0016499E">
        <w:rPr>
          <w:rFonts w:eastAsiaTheme="minorHAnsi"/>
          <w:color w:val="000000"/>
          <w:sz w:val="26"/>
          <w:szCs w:val="26"/>
        </w:rPr>
        <w:t xml:space="preserve">pleadings – </w:t>
      </w:r>
      <w:r w:rsidR="00E72EAD" w:rsidRPr="00E72EAD">
        <w:rPr>
          <w:rFonts w:eastAsiaTheme="minorHAnsi"/>
          <w:i/>
          <w:color w:val="000000"/>
          <w:sz w:val="26"/>
          <w:szCs w:val="26"/>
        </w:rPr>
        <w:t>i.e</w:t>
      </w:r>
      <w:r w:rsidR="00E72EAD">
        <w:rPr>
          <w:rFonts w:eastAsiaTheme="minorHAnsi"/>
          <w:color w:val="000000"/>
          <w:sz w:val="26"/>
          <w:szCs w:val="26"/>
        </w:rPr>
        <w:t xml:space="preserve">., </w:t>
      </w:r>
      <w:r w:rsidR="00122D52" w:rsidRPr="0016499E">
        <w:rPr>
          <w:rFonts w:eastAsiaTheme="minorHAnsi"/>
          <w:color w:val="000000"/>
          <w:sz w:val="26"/>
          <w:szCs w:val="26"/>
        </w:rPr>
        <w:t xml:space="preserve">the Complaint and Answer </w:t>
      </w:r>
      <w:r w:rsidR="00E72EAD">
        <w:rPr>
          <w:rFonts w:eastAsiaTheme="minorHAnsi"/>
          <w:color w:val="000000"/>
          <w:sz w:val="26"/>
          <w:szCs w:val="26"/>
        </w:rPr>
        <w:t>–</w:t>
      </w:r>
      <w:r w:rsidR="00122D52" w:rsidRPr="0016499E">
        <w:rPr>
          <w:rFonts w:eastAsiaTheme="minorHAnsi"/>
          <w:color w:val="000000"/>
          <w:sz w:val="26"/>
          <w:szCs w:val="26"/>
        </w:rPr>
        <w:t xml:space="preserve"> and the ALJ’s Prehearing Order.</w:t>
      </w:r>
    </w:p>
    <w:p w:rsidR="00512104" w:rsidRPr="0016499E" w:rsidRDefault="00512104" w:rsidP="00915F9A">
      <w:pPr>
        <w:widowControl/>
        <w:spacing w:line="360" w:lineRule="auto"/>
        <w:ind w:firstLine="1440"/>
        <w:contextualSpacing/>
        <w:rPr>
          <w:rFonts w:eastAsiaTheme="minorHAnsi"/>
          <w:color w:val="000000"/>
          <w:sz w:val="26"/>
          <w:szCs w:val="26"/>
        </w:rPr>
      </w:pPr>
    </w:p>
    <w:p w:rsidR="00122D52" w:rsidRDefault="00284D84" w:rsidP="00915F9A">
      <w:pPr>
        <w:widowControl/>
        <w:spacing w:line="360" w:lineRule="auto"/>
        <w:ind w:firstLine="1440"/>
        <w:contextualSpacing/>
        <w:rPr>
          <w:rFonts w:eastAsiaTheme="minorHAnsi"/>
          <w:color w:val="000000"/>
          <w:sz w:val="26"/>
          <w:szCs w:val="26"/>
        </w:rPr>
      </w:pPr>
      <w:r>
        <w:rPr>
          <w:rFonts w:eastAsiaTheme="minorHAnsi"/>
          <w:color w:val="000000"/>
          <w:sz w:val="26"/>
          <w:szCs w:val="26"/>
        </w:rPr>
        <w:t xml:space="preserve">On July 11, 2017, the Commission issued the </w:t>
      </w:r>
      <w:r w:rsidR="00122D52" w:rsidRPr="0016499E">
        <w:rPr>
          <w:rFonts w:eastAsiaTheme="minorHAnsi"/>
          <w:color w:val="000000"/>
          <w:sz w:val="26"/>
          <w:szCs w:val="26"/>
        </w:rPr>
        <w:t>Initial Decision</w:t>
      </w:r>
      <w:r>
        <w:rPr>
          <w:rFonts w:eastAsiaTheme="minorHAnsi"/>
          <w:color w:val="000000"/>
          <w:sz w:val="26"/>
          <w:szCs w:val="26"/>
        </w:rPr>
        <w:t xml:space="preserve"> of ALJ </w:t>
      </w:r>
      <w:r w:rsidR="00C57CF7">
        <w:rPr>
          <w:rFonts w:eastAsiaTheme="minorHAnsi"/>
          <w:color w:val="000000"/>
          <w:sz w:val="26"/>
          <w:szCs w:val="26"/>
        </w:rPr>
        <w:t>Guhl, dismissing the Complaint.</w:t>
      </w:r>
    </w:p>
    <w:p w:rsidR="00512104" w:rsidRDefault="00512104" w:rsidP="00915F9A">
      <w:pPr>
        <w:widowControl/>
        <w:spacing w:line="360" w:lineRule="auto"/>
        <w:ind w:firstLine="1440"/>
        <w:contextualSpacing/>
        <w:rPr>
          <w:rFonts w:eastAsiaTheme="minorHAnsi"/>
          <w:color w:val="000000"/>
          <w:sz w:val="26"/>
          <w:szCs w:val="26"/>
        </w:rPr>
      </w:pPr>
    </w:p>
    <w:p w:rsidR="00D42C0B" w:rsidRPr="0016499E" w:rsidRDefault="00D42C0B" w:rsidP="00915F9A">
      <w:pPr>
        <w:widowControl/>
        <w:spacing w:line="360" w:lineRule="auto"/>
        <w:ind w:firstLine="1440"/>
        <w:contextualSpacing/>
        <w:rPr>
          <w:rFonts w:eastAsiaTheme="minorHAnsi"/>
          <w:color w:val="000000"/>
          <w:sz w:val="26"/>
          <w:szCs w:val="26"/>
        </w:rPr>
      </w:pPr>
    </w:p>
    <w:p w:rsidR="00122D52" w:rsidRDefault="00B72A80" w:rsidP="00915F9A">
      <w:pPr>
        <w:widowControl/>
        <w:spacing w:line="360" w:lineRule="auto"/>
        <w:ind w:firstLine="1440"/>
        <w:contextualSpacing/>
        <w:rPr>
          <w:rFonts w:eastAsiaTheme="minorHAnsi"/>
          <w:color w:val="000000"/>
          <w:sz w:val="26"/>
          <w:szCs w:val="26"/>
        </w:rPr>
      </w:pPr>
      <w:r>
        <w:rPr>
          <w:rFonts w:eastAsiaTheme="minorHAnsi"/>
          <w:color w:val="000000"/>
          <w:sz w:val="26"/>
          <w:szCs w:val="26"/>
        </w:rPr>
        <w:t xml:space="preserve">Liberty Towers did not file </w:t>
      </w:r>
      <w:r w:rsidR="00284D84">
        <w:rPr>
          <w:rFonts w:eastAsiaTheme="minorHAnsi"/>
          <w:color w:val="000000"/>
          <w:sz w:val="26"/>
          <w:szCs w:val="26"/>
        </w:rPr>
        <w:t>Exceptions to the Initial Decision.</w:t>
      </w:r>
    </w:p>
    <w:p w:rsidR="00512104" w:rsidRPr="0016499E" w:rsidRDefault="00512104" w:rsidP="00915F9A">
      <w:pPr>
        <w:widowControl/>
        <w:spacing w:line="360" w:lineRule="auto"/>
        <w:ind w:firstLine="1440"/>
        <w:contextualSpacing/>
        <w:rPr>
          <w:rFonts w:eastAsiaTheme="minorHAnsi"/>
          <w:color w:val="000000"/>
          <w:sz w:val="26"/>
          <w:szCs w:val="26"/>
        </w:rPr>
      </w:pPr>
    </w:p>
    <w:p w:rsidR="00122D52" w:rsidRDefault="00284D84" w:rsidP="00915F9A">
      <w:pPr>
        <w:widowControl/>
        <w:spacing w:line="360" w:lineRule="auto"/>
        <w:ind w:firstLine="1440"/>
        <w:contextualSpacing/>
        <w:rPr>
          <w:rFonts w:eastAsiaTheme="minorHAnsi"/>
          <w:color w:val="000000"/>
          <w:sz w:val="26"/>
          <w:szCs w:val="26"/>
        </w:rPr>
      </w:pPr>
      <w:r>
        <w:rPr>
          <w:rFonts w:eastAsiaTheme="minorHAnsi"/>
          <w:color w:val="000000"/>
          <w:sz w:val="26"/>
          <w:szCs w:val="26"/>
        </w:rPr>
        <w:t xml:space="preserve">On August 11, 2017, the Commission entered a </w:t>
      </w:r>
      <w:r w:rsidR="00122D52" w:rsidRPr="0016499E">
        <w:rPr>
          <w:rFonts w:eastAsiaTheme="minorHAnsi"/>
          <w:color w:val="000000"/>
          <w:sz w:val="26"/>
          <w:szCs w:val="26"/>
        </w:rPr>
        <w:t>Final Order</w:t>
      </w:r>
      <w:r w:rsidR="0043159A">
        <w:rPr>
          <w:rFonts w:eastAsiaTheme="minorHAnsi"/>
          <w:color w:val="000000"/>
          <w:sz w:val="26"/>
          <w:szCs w:val="26"/>
        </w:rPr>
        <w:t xml:space="preserve"> (Final Order), which stated </w:t>
      </w:r>
      <w:r>
        <w:rPr>
          <w:rFonts w:eastAsiaTheme="minorHAnsi"/>
          <w:color w:val="000000"/>
          <w:sz w:val="26"/>
          <w:szCs w:val="26"/>
        </w:rPr>
        <w:t>that</w:t>
      </w:r>
      <w:r w:rsidR="0043159A">
        <w:rPr>
          <w:rFonts w:eastAsiaTheme="minorHAnsi"/>
          <w:color w:val="000000"/>
          <w:sz w:val="26"/>
          <w:szCs w:val="26"/>
        </w:rPr>
        <w:t>, in accordance with</w:t>
      </w:r>
      <w:r>
        <w:rPr>
          <w:rFonts w:eastAsiaTheme="minorHAnsi"/>
          <w:color w:val="000000"/>
          <w:sz w:val="26"/>
          <w:szCs w:val="26"/>
        </w:rPr>
        <w:t xml:space="preserve"> 66 Pa. C.S. § 332(h), the ALJ’s Initial Decision had become final without further action of the Commission</w:t>
      </w:r>
      <w:r w:rsidR="0043159A">
        <w:rPr>
          <w:rFonts w:eastAsiaTheme="minorHAnsi"/>
          <w:color w:val="000000"/>
          <w:sz w:val="26"/>
          <w:szCs w:val="26"/>
        </w:rPr>
        <w:t>, dismissed</w:t>
      </w:r>
      <w:r>
        <w:rPr>
          <w:rFonts w:eastAsiaTheme="minorHAnsi"/>
          <w:color w:val="000000"/>
          <w:sz w:val="26"/>
          <w:szCs w:val="26"/>
        </w:rPr>
        <w:t xml:space="preserve"> the Complaint</w:t>
      </w:r>
      <w:r w:rsidR="0043159A">
        <w:rPr>
          <w:rFonts w:eastAsiaTheme="minorHAnsi"/>
          <w:color w:val="000000"/>
          <w:sz w:val="26"/>
          <w:szCs w:val="26"/>
        </w:rPr>
        <w:t xml:space="preserve"> and marked the proceeding closed</w:t>
      </w:r>
      <w:r>
        <w:rPr>
          <w:rFonts w:eastAsiaTheme="minorHAnsi"/>
          <w:color w:val="000000"/>
          <w:sz w:val="26"/>
          <w:szCs w:val="26"/>
        </w:rPr>
        <w:t>.</w:t>
      </w:r>
    </w:p>
    <w:p w:rsidR="00512104" w:rsidRPr="0016499E" w:rsidRDefault="00512104" w:rsidP="00915F9A">
      <w:pPr>
        <w:widowControl/>
        <w:spacing w:line="360" w:lineRule="auto"/>
        <w:ind w:firstLine="1440"/>
        <w:contextualSpacing/>
        <w:rPr>
          <w:rFonts w:eastAsiaTheme="minorHAnsi"/>
          <w:color w:val="000000"/>
          <w:sz w:val="26"/>
          <w:szCs w:val="26"/>
        </w:rPr>
      </w:pPr>
    </w:p>
    <w:p w:rsidR="00122D52" w:rsidRDefault="00284D84" w:rsidP="00915F9A">
      <w:pPr>
        <w:widowControl/>
        <w:spacing w:line="360" w:lineRule="auto"/>
        <w:ind w:firstLine="1440"/>
        <w:contextualSpacing/>
        <w:rPr>
          <w:rFonts w:eastAsiaTheme="minorHAnsi"/>
          <w:color w:val="000000"/>
          <w:sz w:val="26"/>
          <w:szCs w:val="26"/>
        </w:rPr>
      </w:pPr>
      <w:r>
        <w:rPr>
          <w:rFonts w:eastAsiaTheme="minorHAnsi"/>
          <w:color w:val="000000"/>
          <w:sz w:val="26"/>
          <w:szCs w:val="26"/>
        </w:rPr>
        <w:t xml:space="preserve">On August 24, 2017, </w:t>
      </w:r>
      <w:r w:rsidR="00B72A80">
        <w:rPr>
          <w:rFonts w:eastAsiaTheme="minorHAnsi"/>
          <w:color w:val="000000"/>
          <w:sz w:val="26"/>
          <w:szCs w:val="26"/>
        </w:rPr>
        <w:t>a Notice of Appearance was fi</w:t>
      </w:r>
      <w:r w:rsidR="0043159A">
        <w:rPr>
          <w:rFonts w:eastAsiaTheme="minorHAnsi"/>
          <w:color w:val="000000"/>
          <w:sz w:val="26"/>
          <w:szCs w:val="26"/>
        </w:rPr>
        <w:t xml:space="preserve">led by a licensed </w:t>
      </w:r>
      <w:r w:rsidR="00B72A80">
        <w:rPr>
          <w:rFonts w:eastAsiaTheme="minorHAnsi"/>
          <w:color w:val="000000"/>
          <w:sz w:val="26"/>
          <w:szCs w:val="26"/>
        </w:rPr>
        <w:t>attorney on behalf of Liberty</w:t>
      </w:r>
      <w:r w:rsidR="00274A80">
        <w:rPr>
          <w:rFonts w:eastAsiaTheme="minorHAnsi"/>
          <w:color w:val="000000"/>
          <w:sz w:val="26"/>
          <w:szCs w:val="26"/>
        </w:rPr>
        <w:t xml:space="preserve"> Towers.  </w:t>
      </w:r>
      <w:proofErr w:type="gramStart"/>
      <w:r w:rsidR="00274A80">
        <w:rPr>
          <w:rFonts w:eastAsiaTheme="minorHAnsi"/>
          <w:color w:val="000000"/>
          <w:sz w:val="26"/>
          <w:szCs w:val="26"/>
        </w:rPr>
        <w:t>Also</w:t>
      </w:r>
      <w:proofErr w:type="gramEnd"/>
      <w:r w:rsidR="00274A80">
        <w:rPr>
          <w:rFonts w:eastAsiaTheme="minorHAnsi"/>
          <w:color w:val="000000"/>
          <w:sz w:val="26"/>
          <w:szCs w:val="26"/>
        </w:rPr>
        <w:t xml:space="preserve"> on August 24, 2017, the instant </w:t>
      </w:r>
      <w:r w:rsidR="00122D52" w:rsidRPr="0016499E">
        <w:rPr>
          <w:rFonts w:eastAsiaTheme="minorHAnsi"/>
          <w:color w:val="000000"/>
          <w:sz w:val="26"/>
          <w:szCs w:val="26"/>
        </w:rPr>
        <w:t>Petition for Rehearing</w:t>
      </w:r>
      <w:r w:rsidR="00274A80">
        <w:rPr>
          <w:rFonts w:eastAsiaTheme="minorHAnsi"/>
          <w:color w:val="000000"/>
          <w:sz w:val="26"/>
          <w:szCs w:val="26"/>
        </w:rPr>
        <w:t xml:space="preserve"> was filed by the same attorney on behalf of Liberty Towers</w:t>
      </w:r>
      <w:r w:rsidR="005F3BD4">
        <w:rPr>
          <w:rFonts w:eastAsiaTheme="minorHAnsi"/>
          <w:color w:val="000000"/>
          <w:sz w:val="26"/>
          <w:szCs w:val="26"/>
        </w:rPr>
        <w:t xml:space="preserve"> pursuant to 52 Pa. Code § 5.572</w:t>
      </w:r>
      <w:r w:rsidR="00B72A80">
        <w:rPr>
          <w:rFonts w:eastAsiaTheme="minorHAnsi"/>
          <w:color w:val="000000"/>
          <w:sz w:val="26"/>
          <w:szCs w:val="26"/>
        </w:rPr>
        <w:t>.</w:t>
      </w:r>
      <w:r w:rsidR="0043159A">
        <w:rPr>
          <w:rFonts w:eastAsiaTheme="minorHAnsi"/>
          <w:color w:val="000000"/>
          <w:sz w:val="26"/>
          <w:szCs w:val="26"/>
        </w:rPr>
        <w:t xml:space="preserve">  The Petition is timely in that it had been filed within </w:t>
      </w:r>
      <w:r w:rsidR="00C5110B">
        <w:rPr>
          <w:rFonts w:eastAsiaTheme="minorHAnsi"/>
          <w:color w:val="000000"/>
          <w:sz w:val="26"/>
          <w:szCs w:val="26"/>
        </w:rPr>
        <w:t xml:space="preserve">the </w:t>
      </w:r>
      <w:r w:rsidR="0043159A">
        <w:rPr>
          <w:rFonts w:eastAsiaTheme="minorHAnsi"/>
          <w:color w:val="000000"/>
          <w:sz w:val="26"/>
          <w:szCs w:val="26"/>
        </w:rPr>
        <w:t>fifteen</w:t>
      </w:r>
      <w:r w:rsidR="00C5110B">
        <w:rPr>
          <w:rFonts w:eastAsiaTheme="minorHAnsi"/>
          <w:color w:val="000000"/>
          <w:sz w:val="26"/>
          <w:szCs w:val="26"/>
        </w:rPr>
        <w:t>-</w:t>
      </w:r>
      <w:r w:rsidR="0043159A">
        <w:rPr>
          <w:rFonts w:eastAsiaTheme="minorHAnsi"/>
          <w:color w:val="000000"/>
          <w:sz w:val="26"/>
          <w:szCs w:val="26"/>
        </w:rPr>
        <w:t>day</w:t>
      </w:r>
      <w:r w:rsidR="00C5110B">
        <w:rPr>
          <w:rFonts w:eastAsiaTheme="minorHAnsi"/>
          <w:color w:val="000000"/>
          <w:sz w:val="26"/>
          <w:szCs w:val="26"/>
        </w:rPr>
        <w:t xml:space="preserve"> period</w:t>
      </w:r>
      <w:r w:rsidR="0043159A">
        <w:rPr>
          <w:rFonts w:eastAsiaTheme="minorHAnsi"/>
          <w:color w:val="000000"/>
          <w:sz w:val="26"/>
          <w:szCs w:val="26"/>
        </w:rPr>
        <w:t xml:space="preserve"> </w:t>
      </w:r>
      <w:r w:rsidR="00C5110B">
        <w:rPr>
          <w:rFonts w:eastAsiaTheme="minorHAnsi"/>
          <w:color w:val="000000"/>
          <w:sz w:val="26"/>
          <w:szCs w:val="26"/>
        </w:rPr>
        <w:t>following</w:t>
      </w:r>
      <w:r w:rsidR="0043159A">
        <w:rPr>
          <w:rFonts w:eastAsiaTheme="minorHAnsi"/>
          <w:color w:val="000000"/>
          <w:sz w:val="26"/>
          <w:szCs w:val="26"/>
        </w:rPr>
        <w:t xml:space="preserve"> the entry date of the Final Order</w:t>
      </w:r>
      <w:r w:rsidR="000E65AA">
        <w:rPr>
          <w:rFonts w:eastAsiaTheme="minorHAnsi"/>
          <w:color w:val="000000"/>
          <w:sz w:val="26"/>
          <w:szCs w:val="26"/>
        </w:rPr>
        <w:t xml:space="preserve">, </w:t>
      </w:r>
      <w:r w:rsidR="00C5110B">
        <w:rPr>
          <w:rFonts w:eastAsiaTheme="minorHAnsi"/>
          <w:color w:val="000000"/>
          <w:sz w:val="26"/>
          <w:szCs w:val="26"/>
        </w:rPr>
        <w:t xml:space="preserve">as </w:t>
      </w:r>
      <w:r w:rsidR="000E65AA">
        <w:rPr>
          <w:rFonts w:eastAsiaTheme="minorHAnsi"/>
          <w:color w:val="000000"/>
          <w:sz w:val="26"/>
          <w:szCs w:val="26"/>
        </w:rPr>
        <w:t>pursuant to 52 Pa. Code 5.572(c)</w:t>
      </w:r>
      <w:r w:rsidR="00D47ADF">
        <w:rPr>
          <w:rFonts w:eastAsiaTheme="minorHAnsi"/>
          <w:color w:val="000000"/>
          <w:sz w:val="26"/>
          <w:szCs w:val="26"/>
        </w:rPr>
        <w:t>.</w:t>
      </w:r>
    </w:p>
    <w:p w:rsidR="00B72A80" w:rsidRDefault="00B72A80" w:rsidP="00915F9A">
      <w:pPr>
        <w:widowControl/>
        <w:spacing w:line="360" w:lineRule="auto"/>
        <w:ind w:firstLine="1440"/>
        <w:contextualSpacing/>
        <w:rPr>
          <w:rFonts w:eastAsiaTheme="minorHAnsi"/>
          <w:color w:val="000000"/>
          <w:sz w:val="26"/>
          <w:szCs w:val="26"/>
        </w:rPr>
      </w:pPr>
    </w:p>
    <w:p w:rsidR="00B72A80" w:rsidRDefault="00B72A80" w:rsidP="00915F9A">
      <w:pPr>
        <w:widowControl/>
        <w:spacing w:line="360" w:lineRule="auto"/>
        <w:ind w:firstLine="1440"/>
        <w:contextualSpacing/>
        <w:rPr>
          <w:rFonts w:eastAsiaTheme="minorHAnsi"/>
          <w:color w:val="000000"/>
          <w:sz w:val="26"/>
          <w:szCs w:val="26"/>
        </w:rPr>
      </w:pPr>
      <w:r>
        <w:rPr>
          <w:rFonts w:eastAsiaTheme="minorHAnsi"/>
          <w:color w:val="000000"/>
          <w:sz w:val="26"/>
          <w:szCs w:val="26"/>
        </w:rPr>
        <w:t>On September 5, 2017</w:t>
      </w:r>
      <w:r w:rsidR="000E65AA">
        <w:rPr>
          <w:rFonts w:eastAsiaTheme="minorHAnsi"/>
          <w:color w:val="000000"/>
          <w:sz w:val="26"/>
          <w:szCs w:val="26"/>
        </w:rPr>
        <w:t>, PGW filed its</w:t>
      </w:r>
      <w:r w:rsidR="0043159A">
        <w:rPr>
          <w:rFonts w:eastAsiaTheme="minorHAnsi"/>
          <w:color w:val="000000"/>
          <w:sz w:val="26"/>
          <w:szCs w:val="26"/>
        </w:rPr>
        <w:t xml:space="preserve"> Answer to the Petition.</w:t>
      </w:r>
    </w:p>
    <w:p w:rsidR="001B0C5E" w:rsidRDefault="001B0C5E" w:rsidP="00895444">
      <w:pPr>
        <w:widowControl/>
        <w:spacing w:line="360" w:lineRule="auto"/>
        <w:contextualSpacing/>
        <w:rPr>
          <w:color w:val="212121"/>
          <w:sz w:val="26"/>
          <w:szCs w:val="26"/>
        </w:rPr>
      </w:pPr>
    </w:p>
    <w:p w:rsidR="001B0C5E" w:rsidRDefault="001B0C5E" w:rsidP="00D47ADF">
      <w:pPr>
        <w:keepNext/>
        <w:keepLines/>
        <w:widowControl/>
        <w:spacing w:line="360" w:lineRule="auto"/>
        <w:contextualSpacing/>
        <w:jc w:val="center"/>
        <w:rPr>
          <w:b/>
          <w:sz w:val="26"/>
          <w:szCs w:val="26"/>
        </w:rPr>
      </w:pPr>
      <w:r w:rsidRPr="00CA43A5">
        <w:rPr>
          <w:b/>
          <w:sz w:val="26"/>
          <w:szCs w:val="26"/>
        </w:rPr>
        <w:t>Discussion</w:t>
      </w:r>
    </w:p>
    <w:p w:rsidR="001B0C5E" w:rsidRDefault="001B0C5E" w:rsidP="00D47ADF">
      <w:pPr>
        <w:keepNext/>
        <w:keepLines/>
        <w:widowControl/>
        <w:spacing w:line="360" w:lineRule="auto"/>
        <w:ind w:firstLine="1440"/>
        <w:contextualSpacing/>
        <w:rPr>
          <w:sz w:val="26"/>
          <w:szCs w:val="26"/>
        </w:rPr>
      </w:pPr>
    </w:p>
    <w:p w:rsidR="00836775" w:rsidRDefault="00836775" w:rsidP="00895444">
      <w:pPr>
        <w:widowControl/>
        <w:spacing w:line="360" w:lineRule="auto"/>
        <w:ind w:firstLine="1440"/>
        <w:contextualSpacing/>
        <w:rPr>
          <w:sz w:val="26"/>
          <w:szCs w:val="26"/>
        </w:rPr>
      </w:pPr>
      <w:r>
        <w:rPr>
          <w:spacing w:val="-3"/>
          <w:sz w:val="26"/>
        </w:rPr>
        <w:t>We begin by considering the nature of the Petitioner’s filing, because the analysis to be applied depends on the type of f</w:t>
      </w:r>
      <w:r w:rsidR="004575EF">
        <w:rPr>
          <w:spacing w:val="-3"/>
          <w:sz w:val="26"/>
        </w:rPr>
        <w:t>iling before us.  No hearing has</w:t>
      </w:r>
      <w:r>
        <w:rPr>
          <w:spacing w:val="-3"/>
          <w:sz w:val="26"/>
        </w:rPr>
        <w:t xml:space="preserve"> been held in this case.  </w:t>
      </w:r>
      <w:r w:rsidR="00323889">
        <w:rPr>
          <w:sz w:val="26"/>
          <w:szCs w:val="26"/>
        </w:rPr>
        <w:t>The</w:t>
      </w:r>
      <w:r>
        <w:rPr>
          <w:sz w:val="26"/>
          <w:szCs w:val="26"/>
        </w:rPr>
        <w:t xml:space="preserve"> Petitioner </w:t>
      </w:r>
      <w:r w:rsidR="00323889">
        <w:rPr>
          <w:sz w:val="26"/>
          <w:szCs w:val="26"/>
        </w:rPr>
        <w:t xml:space="preserve">essentially </w:t>
      </w:r>
      <w:r>
        <w:rPr>
          <w:sz w:val="26"/>
          <w:szCs w:val="26"/>
        </w:rPr>
        <w:t xml:space="preserve">is requesting that the Commission </w:t>
      </w:r>
      <w:r w:rsidR="00323889">
        <w:rPr>
          <w:sz w:val="26"/>
          <w:szCs w:val="26"/>
        </w:rPr>
        <w:t xml:space="preserve">reconsider </w:t>
      </w:r>
      <w:r w:rsidR="00E73E24">
        <w:rPr>
          <w:sz w:val="26"/>
          <w:szCs w:val="26"/>
        </w:rPr>
        <w:t>its</w:t>
      </w:r>
      <w:r w:rsidR="00323889">
        <w:rPr>
          <w:sz w:val="26"/>
          <w:szCs w:val="26"/>
        </w:rPr>
        <w:t xml:space="preserve"> Final Order, which dismissed the Complaint without a hearing due to </w:t>
      </w:r>
      <w:r w:rsidR="001F74FB">
        <w:rPr>
          <w:sz w:val="26"/>
          <w:szCs w:val="26"/>
        </w:rPr>
        <w:t>the Petitioner’s</w:t>
      </w:r>
      <w:r w:rsidR="00323889">
        <w:rPr>
          <w:sz w:val="26"/>
          <w:szCs w:val="26"/>
        </w:rPr>
        <w:t xml:space="preserve"> failure to have an attorney </w:t>
      </w:r>
      <w:r w:rsidR="000E65AA">
        <w:rPr>
          <w:sz w:val="26"/>
          <w:szCs w:val="26"/>
        </w:rPr>
        <w:t>appear on its behalf</w:t>
      </w:r>
      <w:r w:rsidR="00323889">
        <w:rPr>
          <w:sz w:val="26"/>
          <w:szCs w:val="26"/>
        </w:rPr>
        <w:t xml:space="preserve"> by the established deadline.  The Petitioner urges </w:t>
      </w:r>
      <w:r w:rsidR="00E73E24">
        <w:rPr>
          <w:sz w:val="26"/>
          <w:szCs w:val="26"/>
        </w:rPr>
        <w:t>the Commission to now</w:t>
      </w:r>
      <w:r w:rsidR="00323889">
        <w:rPr>
          <w:sz w:val="26"/>
          <w:szCs w:val="26"/>
        </w:rPr>
        <w:t xml:space="preserve"> reconsider </w:t>
      </w:r>
      <w:r w:rsidR="00E73E24">
        <w:rPr>
          <w:sz w:val="26"/>
          <w:szCs w:val="26"/>
        </w:rPr>
        <w:t>its</w:t>
      </w:r>
      <w:r w:rsidR="00323889">
        <w:rPr>
          <w:sz w:val="26"/>
          <w:szCs w:val="26"/>
        </w:rPr>
        <w:t xml:space="preserve"> Final Order because the </w:t>
      </w:r>
      <w:r w:rsidR="001F74FB">
        <w:rPr>
          <w:sz w:val="26"/>
          <w:szCs w:val="26"/>
        </w:rPr>
        <w:t xml:space="preserve">Petitioner </w:t>
      </w:r>
      <w:r w:rsidR="000E65AA">
        <w:rPr>
          <w:sz w:val="26"/>
          <w:szCs w:val="26"/>
        </w:rPr>
        <w:t>has since</w:t>
      </w:r>
      <w:r w:rsidR="00323889">
        <w:rPr>
          <w:sz w:val="26"/>
          <w:szCs w:val="26"/>
        </w:rPr>
        <w:t xml:space="preserve"> retained counsel and such attorney has </w:t>
      </w:r>
      <w:r w:rsidR="001F74FB">
        <w:rPr>
          <w:sz w:val="26"/>
          <w:szCs w:val="26"/>
        </w:rPr>
        <w:t xml:space="preserve">since </w:t>
      </w:r>
      <w:r w:rsidR="00323889">
        <w:rPr>
          <w:sz w:val="26"/>
          <w:szCs w:val="26"/>
        </w:rPr>
        <w:t>entered an a</w:t>
      </w:r>
      <w:r w:rsidR="00D47ADF">
        <w:rPr>
          <w:sz w:val="26"/>
          <w:szCs w:val="26"/>
        </w:rPr>
        <w:t xml:space="preserve">ppearance in this proceeding.  </w:t>
      </w:r>
      <w:r w:rsidR="00323889">
        <w:rPr>
          <w:sz w:val="26"/>
          <w:szCs w:val="26"/>
        </w:rPr>
        <w:t xml:space="preserve">As such, we </w:t>
      </w:r>
      <w:r>
        <w:rPr>
          <w:sz w:val="26"/>
          <w:szCs w:val="26"/>
        </w:rPr>
        <w:t xml:space="preserve">will exercise our discretion and consider </w:t>
      </w:r>
      <w:r w:rsidR="00323889">
        <w:rPr>
          <w:sz w:val="26"/>
          <w:szCs w:val="26"/>
        </w:rPr>
        <w:t>the filing as a Petition for Reconsideration</w:t>
      </w:r>
      <w:r>
        <w:rPr>
          <w:sz w:val="26"/>
          <w:szCs w:val="26"/>
        </w:rPr>
        <w:t xml:space="preserve"> </w:t>
      </w:r>
      <w:r w:rsidR="002C1CBE">
        <w:rPr>
          <w:sz w:val="26"/>
          <w:szCs w:val="26"/>
        </w:rPr>
        <w:t>of the Commission’s Final Order, per 52 Pa. Code § 5.572(</w:t>
      </w:r>
      <w:r w:rsidR="004554E4">
        <w:rPr>
          <w:sz w:val="26"/>
          <w:szCs w:val="26"/>
        </w:rPr>
        <w:t>c</w:t>
      </w:r>
      <w:r w:rsidR="002C1CBE">
        <w:rPr>
          <w:sz w:val="26"/>
          <w:szCs w:val="26"/>
        </w:rPr>
        <w:t>)</w:t>
      </w:r>
      <w:r w:rsidR="00A16CF3">
        <w:rPr>
          <w:sz w:val="26"/>
          <w:szCs w:val="26"/>
        </w:rPr>
        <w:t>.</w:t>
      </w:r>
    </w:p>
    <w:p w:rsidR="00836775" w:rsidRDefault="00836775" w:rsidP="00895444">
      <w:pPr>
        <w:widowControl/>
        <w:spacing w:line="360" w:lineRule="auto"/>
        <w:ind w:firstLine="1440"/>
        <w:contextualSpacing/>
        <w:rPr>
          <w:sz w:val="26"/>
          <w:szCs w:val="26"/>
        </w:rPr>
      </w:pPr>
    </w:p>
    <w:p w:rsidR="001B0C5E" w:rsidRDefault="001B0C5E" w:rsidP="00895444">
      <w:pPr>
        <w:widowControl/>
        <w:spacing w:line="360" w:lineRule="auto"/>
        <w:ind w:firstLine="1440"/>
        <w:contextualSpacing/>
        <w:rPr>
          <w:sz w:val="26"/>
          <w:szCs w:val="26"/>
        </w:rPr>
      </w:pPr>
      <w:r>
        <w:rPr>
          <w:sz w:val="26"/>
          <w:szCs w:val="26"/>
        </w:rPr>
        <w:t>As a preliminary matter, we note that we are</w:t>
      </w:r>
      <w:r w:rsidRPr="002A6750">
        <w:rPr>
          <w:sz w:val="26"/>
          <w:szCs w:val="26"/>
        </w:rPr>
        <w:t xml:space="preserve"> not required to consider expressly or at length each contention or argument raised by the parties.  </w:t>
      </w:r>
      <w:hyperlink r:id="rId8" w:history="1">
        <w:r w:rsidRPr="002A6750">
          <w:rPr>
            <w:rStyle w:val="Emphasis"/>
            <w:color w:val="000000"/>
            <w:sz w:val="26"/>
            <w:szCs w:val="26"/>
          </w:rPr>
          <w:t xml:space="preserve">Consolidated Rail Corp. v. Pa. PUC, </w:t>
        </w:r>
        <w:r w:rsidRPr="002A6750">
          <w:rPr>
            <w:rStyle w:val="Hyperlink"/>
            <w:color w:val="000000"/>
            <w:sz w:val="26"/>
            <w:szCs w:val="26"/>
            <w:u w:val="none"/>
          </w:rPr>
          <w:t xml:space="preserve">625 A.2d 741 (Pa. </w:t>
        </w:r>
        <w:proofErr w:type="spellStart"/>
        <w:r w:rsidRPr="002A6750">
          <w:rPr>
            <w:rStyle w:val="Hyperlink"/>
            <w:color w:val="000000"/>
            <w:sz w:val="26"/>
            <w:szCs w:val="26"/>
            <w:u w:val="none"/>
          </w:rPr>
          <w:t>Cmwlth</w:t>
        </w:r>
        <w:proofErr w:type="spellEnd"/>
        <w:r w:rsidRPr="002A6750">
          <w:rPr>
            <w:rStyle w:val="Hyperlink"/>
            <w:color w:val="000000"/>
            <w:sz w:val="26"/>
            <w:szCs w:val="26"/>
            <w:u w:val="none"/>
          </w:rPr>
          <w:t>. 1993);</w:t>
        </w:r>
      </w:hyperlink>
      <w:r w:rsidRPr="002A6750">
        <w:rPr>
          <w:color w:val="000000"/>
          <w:sz w:val="26"/>
          <w:szCs w:val="26"/>
        </w:rPr>
        <w:t xml:space="preserve"> </w:t>
      </w:r>
      <w:r w:rsidRPr="002A6750">
        <w:rPr>
          <w:i/>
          <w:color w:val="000000"/>
          <w:sz w:val="26"/>
          <w:szCs w:val="26"/>
        </w:rPr>
        <w:t xml:space="preserve">also </w:t>
      </w:r>
      <w:r w:rsidRPr="002A6750">
        <w:rPr>
          <w:rStyle w:val="Emphasis"/>
          <w:color w:val="000000"/>
          <w:sz w:val="26"/>
          <w:szCs w:val="26"/>
        </w:rPr>
        <w:t xml:space="preserve">see, generally, </w:t>
      </w:r>
      <w:hyperlink r:id="rId9" w:history="1">
        <w:r w:rsidRPr="002A6750">
          <w:rPr>
            <w:rStyle w:val="Emphasis"/>
            <w:color w:val="000000"/>
            <w:sz w:val="26"/>
            <w:szCs w:val="26"/>
          </w:rPr>
          <w:t>University of Pennsylvania v. Pa. PUC</w:t>
        </w:r>
        <w:r w:rsidRPr="002A6750">
          <w:rPr>
            <w:rStyle w:val="Hyperlink"/>
            <w:color w:val="000000"/>
            <w:sz w:val="26"/>
            <w:szCs w:val="26"/>
            <w:u w:val="none"/>
          </w:rPr>
          <w:t xml:space="preserve">, 485 A.2d 1217 (Pa. </w:t>
        </w:r>
        <w:proofErr w:type="spellStart"/>
        <w:r w:rsidRPr="002A6750">
          <w:rPr>
            <w:rStyle w:val="Hyperlink"/>
            <w:color w:val="000000"/>
            <w:sz w:val="26"/>
            <w:szCs w:val="26"/>
            <w:u w:val="none"/>
          </w:rPr>
          <w:t>Cmwlth</w:t>
        </w:r>
        <w:proofErr w:type="spellEnd"/>
        <w:r w:rsidRPr="002A6750">
          <w:rPr>
            <w:rStyle w:val="Hyperlink"/>
            <w:color w:val="000000"/>
            <w:sz w:val="26"/>
            <w:szCs w:val="26"/>
            <w:u w:val="none"/>
          </w:rPr>
          <w:t>. 1984).</w:t>
        </w:r>
      </w:hyperlink>
      <w:r>
        <w:rPr>
          <w:rStyle w:val="Hyperlink"/>
          <w:color w:val="000000"/>
          <w:sz w:val="26"/>
          <w:szCs w:val="26"/>
          <w:u w:val="none"/>
        </w:rPr>
        <w:t xml:space="preserve">  Therefore,</w:t>
      </w:r>
      <w:r w:rsidRPr="002A6750">
        <w:rPr>
          <w:sz w:val="26"/>
          <w:szCs w:val="26"/>
        </w:rPr>
        <w:t xml:space="preserve"> </w:t>
      </w:r>
      <w:r>
        <w:rPr>
          <w:sz w:val="26"/>
          <w:szCs w:val="26"/>
        </w:rPr>
        <w:t>a</w:t>
      </w:r>
      <w:r w:rsidRPr="002A6750">
        <w:rPr>
          <w:sz w:val="26"/>
          <w:szCs w:val="26"/>
        </w:rPr>
        <w:t xml:space="preserve">ny issue that </w:t>
      </w:r>
      <w:r>
        <w:rPr>
          <w:sz w:val="26"/>
          <w:szCs w:val="26"/>
        </w:rPr>
        <w:t>the Commission</w:t>
      </w:r>
      <w:r w:rsidRPr="002A6750">
        <w:rPr>
          <w:sz w:val="26"/>
          <w:szCs w:val="26"/>
        </w:rPr>
        <w:t xml:space="preserve"> do</w:t>
      </w:r>
      <w:r>
        <w:rPr>
          <w:sz w:val="26"/>
          <w:szCs w:val="26"/>
        </w:rPr>
        <w:t>es</w:t>
      </w:r>
      <w:r w:rsidRPr="002A6750">
        <w:rPr>
          <w:sz w:val="26"/>
          <w:szCs w:val="26"/>
        </w:rPr>
        <w:t xml:space="preserve"> not specifically</w:t>
      </w:r>
      <w:r>
        <w:rPr>
          <w:sz w:val="26"/>
          <w:szCs w:val="26"/>
        </w:rPr>
        <w:t xml:space="preserve"> address or</w:t>
      </w:r>
      <w:r w:rsidRPr="002A6750">
        <w:rPr>
          <w:sz w:val="26"/>
          <w:szCs w:val="26"/>
        </w:rPr>
        <w:t xml:space="preserve"> delineate </w:t>
      </w:r>
      <w:r>
        <w:rPr>
          <w:sz w:val="26"/>
          <w:szCs w:val="26"/>
        </w:rPr>
        <w:t xml:space="preserve">in its decision </w:t>
      </w:r>
      <w:r w:rsidRPr="002A6750">
        <w:rPr>
          <w:sz w:val="26"/>
          <w:szCs w:val="26"/>
        </w:rPr>
        <w:t>shall be deemed to have been duly considered and denied without further discussion.</w:t>
      </w:r>
    </w:p>
    <w:p w:rsidR="00836775" w:rsidRDefault="00836775" w:rsidP="00895444">
      <w:pPr>
        <w:widowControl/>
        <w:spacing w:line="360" w:lineRule="auto"/>
        <w:contextualSpacing/>
        <w:rPr>
          <w:sz w:val="26"/>
          <w:szCs w:val="26"/>
        </w:rPr>
      </w:pPr>
    </w:p>
    <w:p w:rsidR="001B0C5E" w:rsidRDefault="001B0C5E" w:rsidP="00915F9A">
      <w:pPr>
        <w:keepNext/>
        <w:keepLines/>
        <w:widowControl/>
        <w:spacing w:line="360" w:lineRule="auto"/>
        <w:contextualSpacing/>
        <w:rPr>
          <w:sz w:val="26"/>
          <w:szCs w:val="26"/>
        </w:rPr>
      </w:pPr>
      <w:r>
        <w:rPr>
          <w:b/>
          <w:sz w:val="26"/>
          <w:szCs w:val="26"/>
        </w:rPr>
        <w:t xml:space="preserve">Legal Standards </w:t>
      </w:r>
    </w:p>
    <w:p w:rsidR="009644F4" w:rsidRDefault="009644F4" w:rsidP="00915F9A">
      <w:pPr>
        <w:keepNext/>
        <w:keepLines/>
        <w:widowControl/>
        <w:spacing w:line="360" w:lineRule="auto"/>
        <w:ind w:firstLine="1440"/>
        <w:contextualSpacing/>
        <w:rPr>
          <w:sz w:val="26"/>
          <w:szCs w:val="26"/>
        </w:rPr>
      </w:pPr>
    </w:p>
    <w:p w:rsidR="00836775" w:rsidRPr="004579A4" w:rsidRDefault="00836775" w:rsidP="00915F9A">
      <w:pPr>
        <w:widowControl/>
        <w:spacing w:line="360" w:lineRule="auto"/>
        <w:ind w:firstLine="1440"/>
        <w:contextualSpacing/>
        <w:rPr>
          <w:sz w:val="26"/>
          <w:szCs w:val="26"/>
        </w:rPr>
      </w:pPr>
      <w:r w:rsidRPr="004579A4">
        <w:rPr>
          <w:sz w:val="26"/>
          <w:szCs w:val="26"/>
        </w:rPr>
        <w:t xml:space="preserve">The Code establishes a party’s right to seek relief following the issuance of our final decisions pursuant to Subsections 703(f) and </w:t>
      </w:r>
      <w:r w:rsidR="005F3BD4">
        <w:rPr>
          <w:sz w:val="26"/>
          <w:szCs w:val="26"/>
        </w:rPr>
        <w:t xml:space="preserve">(g), 66 Pa. C.S. §§ 703(f) and </w:t>
      </w:r>
      <w:r w:rsidRPr="004579A4">
        <w:rPr>
          <w:sz w:val="26"/>
          <w:szCs w:val="26"/>
        </w:rPr>
        <w:t xml:space="preserve">703(g), relating to </w:t>
      </w:r>
      <w:proofErr w:type="spellStart"/>
      <w:r w:rsidRPr="004579A4">
        <w:rPr>
          <w:sz w:val="26"/>
          <w:szCs w:val="26"/>
        </w:rPr>
        <w:t>rehearings</w:t>
      </w:r>
      <w:proofErr w:type="spellEnd"/>
      <w:r w:rsidRPr="004579A4">
        <w:rPr>
          <w:sz w:val="26"/>
          <w:szCs w:val="26"/>
        </w:rPr>
        <w:t>, as well as rescission and amendment of orders.  Such requests for relief must be consistent with Section 5.572 of our Regulations, 52 Pa. Code § 5.572, relating to petitions for relief following t</w:t>
      </w:r>
      <w:r w:rsidR="005646AD">
        <w:rPr>
          <w:sz w:val="26"/>
          <w:szCs w:val="26"/>
        </w:rPr>
        <w:t>he issuance of a final decision</w:t>
      </w:r>
      <w:r w:rsidR="005F3BD4">
        <w:rPr>
          <w:sz w:val="26"/>
          <w:szCs w:val="26"/>
        </w:rPr>
        <w:t>.</w:t>
      </w:r>
    </w:p>
    <w:p w:rsidR="00836775" w:rsidRPr="004579A4" w:rsidRDefault="00836775" w:rsidP="00D47ADF">
      <w:pPr>
        <w:widowControl/>
        <w:spacing w:line="360" w:lineRule="auto"/>
        <w:contextualSpacing/>
        <w:rPr>
          <w:sz w:val="26"/>
          <w:szCs w:val="26"/>
        </w:rPr>
      </w:pPr>
    </w:p>
    <w:p w:rsidR="00836775" w:rsidRPr="00836775" w:rsidRDefault="00F71E81" w:rsidP="00915F9A">
      <w:pPr>
        <w:widowControl/>
        <w:spacing w:line="360" w:lineRule="auto"/>
        <w:ind w:firstLine="1440"/>
        <w:contextualSpacing/>
        <w:rPr>
          <w:rFonts w:eastAsiaTheme="minorHAnsi"/>
          <w:sz w:val="26"/>
          <w:szCs w:val="26"/>
        </w:rPr>
      </w:pPr>
      <w:r>
        <w:rPr>
          <w:rFonts w:eastAsiaTheme="minorHAnsi"/>
          <w:sz w:val="26"/>
          <w:szCs w:val="26"/>
        </w:rPr>
        <w:t xml:space="preserve">Section 703(g) of the Code, </w:t>
      </w:r>
      <w:r w:rsidRPr="00836775">
        <w:rPr>
          <w:rFonts w:eastAsiaTheme="minorHAnsi"/>
          <w:sz w:val="26"/>
          <w:szCs w:val="26"/>
        </w:rPr>
        <w:t>66 Pa. C.S. § 703(g)</w:t>
      </w:r>
      <w:r>
        <w:rPr>
          <w:rFonts w:eastAsiaTheme="minorHAnsi"/>
          <w:sz w:val="26"/>
          <w:szCs w:val="26"/>
        </w:rPr>
        <w:t>,</w:t>
      </w:r>
      <w:r w:rsidRPr="00836775">
        <w:rPr>
          <w:rFonts w:eastAsiaTheme="minorHAnsi"/>
          <w:sz w:val="26"/>
          <w:szCs w:val="26"/>
        </w:rPr>
        <w:t xml:space="preserve"> </w:t>
      </w:r>
      <w:r w:rsidR="00836775" w:rsidRPr="00836775">
        <w:rPr>
          <w:rFonts w:eastAsiaTheme="minorHAnsi"/>
          <w:sz w:val="26"/>
          <w:szCs w:val="26"/>
        </w:rPr>
        <w:t>provides as follows</w:t>
      </w:r>
      <w:r>
        <w:rPr>
          <w:rFonts w:eastAsiaTheme="minorHAnsi"/>
          <w:sz w:val="26"/>
          <w:szCs w:val="26"/>
        </w:rPr>
        <w:t>, in relevant part</w:t>
      </w:r>
      <w:r w:rsidR="00836775" w:rsidRPr="00836775">
        <w:rPr>
          <w:rFonts w:eastAsiaTheme="minorHAnsi"/>
          <w:sz w:val="26"/>
          <w:szCs w:val="26"/>
        </w:rPr>
        <w:t>:</w:t>
      </w:r>
    </w:p>
    <w:p w:rsidR="00836775" w:rsidRPr="00836775" w:rsidRDefault="00836775" w:rsidP="00915F9A">
      <w:pPr>
        <w:widowControl/>
        <w:spacing w:line="360" w:lineRule="auto"/>
        <w:ind w:firstLine="1440"/>
        <w:contextualSpacing/>
        <w:rPr>
          <w:rFonts w:eastAsiaTheme="minorHAnsi"/>
          <w:sz w:val="26"/>
          <w:szCs w:val="26"/>
        </w:rPr>
      </w:pPr>
    </w:p>
    <w:p w:rsidR="00836775" w:rsidRPr="00836775" w:rsidRDefault="00836775" w:rsidP="00915F9A">
      <w:pPr>
        <w:widowControl/>
        <w:ind w:left="1440" w:right="1440"/>
        <w:contextualSpacing/>
        <w:rPr>
          <w:rFonts w:eastAsiaTheme="minorHAnsi"/>
          <w:sz w:val="26"/>
          <w:szCs w:val="26"/>
        </w:rPr>
      </w:pPr>
      <w:r w:rsidRPr="00836775">
        <w:rPr>
          <w:rFonts w:eastAsiaTheme="minorHAnsi"/>
          <w:sz w:val="26"/>
          <w:szCs w:val="26"/>
        </w:rPr>
        <w:t>The commission may, at any time, after notice and after opportunity to be heard as provided in this chapter, rescind or amend any order made by it.  Any order rescinding or amending a prior order shall, when served upon the person, corporation, or municipal corporation affected, and after notice thereof is given to the other parties to the proceedings, have the same effect as is herein provided for original orders.</w:t>
      </w:r>
    </w:p>
    <w:p w:rsidR="00836775" w:rsidRPr="00836775" w:rsidRDefault="00836775" w:rsidP="00915F9A">
      <w:pPr>
        <w:widowControl/>
        <w:ind w:left="1440" w:right="1440"/>
        <w:contextualSpacing/>
        <w:rPr>
          <w:rFonts w:eastAsiaTheme="minorHAnsi"/>
          <w:sz w:val="26"/>
          <w:szCs w:val="26"/>
        </w:rPr>
      </w:pPr>
    </w:p>
    <w:p w:rsidR="00836775" w:rsidRPr="00836775" w:rsidRDefault="00836775" w:rsidP="00915F9A">
      <w:pPr>
        <w:widowControl/>
        <w:spacing w:line="360" w:lineRule="auto"/>
        <w:ind w:left="1440" w:right="1440"/>
        <w:contextualSpacing/>
        <w:rPr>
          <w:rFonts w:eastAsiaTheme="minorHAnsi"/>
          <w:sz w:val="26"/>
          <w:szCs w:val="26"/>
        </w:rPr>
      </w:pPr>
    </w:p>
    <w:p w:rsidR="00836775" w:rsidRDefault="00836775" w:rsidP="00F71E81">
      <w:pPr>
        <w:widowControl/>
        <w:spacing w:line="360" w:lineRule="auto"/>
        <w:ind w:firstLine="1440"/>
        <w:contextualSpacing/>
        <w:rPr>
          <w:rFonts w:eastAsiaTheme="minorHAnsi"/>
          <w:sz w:val="26"/>
          <w:szCs w:val="26"/>
        </w:rPr>
      </w:pPr>
      <w:r w:rsidRPr="00836775">
        <w:rPr>
          <w:rFonts w:eastAsiaTheme="minorHAnsi"/>
          <w:sz w:val="26"/>
          <w:szCs w:val="26"/>
        </w:rPr>
        <w:t xml:space="preserve">By the terms of </w:t>
      </w:r>
      <w:r w:rsidR="00F71E81">
        <w:rPr>
          <w:rFonts w:eastAsiaTheme="minorHAnsi"/>
          <w:sz w:val="26"/>
          <w:szCs w:val="26"/>
        </w:rPr>
        <w:t>66 Pa. C.S. § 703(g)</w:t>
      </w:r>
      <w:r w:rsidRPr="00836775">
        <w:rPr>
          <w:rFonts w:eastAsiaTheme="minorHAnsi"/>
          <w:sz w:val="26"/>
          <w:szCs w:val="26"/>
        </w:rPr>
        <w:t xml:space="preserve">, the Commission has the power to amend or rescind its own orders at any time subject only to the requirements of due process.  </w:t>
      </w:r>
      <w:r w:rsidRPr="00836775">
        <w:rPr>
          <w:rFonts w:eastAsiaTheme="minorHAnsi"/>
          <w:i/>
          <w:sz w:val="26"/>
          <w:szCs w:val="26"/>
        </w:rPr>
        <w:t>See Department of Highways v. Pa. P.U.C</w:t>
      </w:r>
      <w:r w:rsidRPr="00836775">
        <w:rPr>
          <w:rFonts w:eastAsiaTheme="minorHAnsi"/>
          <w:sz w:val="26"/>
          <w:szCs w:val="26"/>
        </w:rPr>
        <w:t xml:space="preserve">., 185 </w:t>
      </w:r>
      <w:proofErr w:type="spellStart"/>
      <w:proofErr w:type="gramStart"/>
      <w:r w:rsidRPr="00836775">
        <w:rPr>
          <w:rFonts w:eastAsiaTheme="minorHAnsi"/>
          <w:sz w:val="26"/>
          <w:szCs w:val="26"/>
        </w:rPr>
        <w:t>Pa.Super</w:t>
      </w:r>
      <w:proofErr w:type="spellEnd"/>
      <w:proofErr w:type="gramEnd"/>
      <w:r w:rsidRPr="00836775">
        <w:rPr>
          <w:rFonts w:eastAsiaTheme="minorHAnsi"/>
          <w:sz w:val="26"/>
          <w:szCs w:val="26"/>
        </w:rPr>
        <w:t xml:space="preserve">. 418, 138 A.2d 143 (1958).  Because such relief may result in disturbance of final orders, a petition to amend or rescind a final order must be granted judiciously and only under appropriate circumstances.  </w:t>
      </w:r>
      <w:r w:rsidRPr="00836775">
        <w:rPr>
          <w:rFonts w:eastAsiaTheme="minorHAnsi"/>
          <w:i/>
          <w:sz w:val="26"/>
          <w:szCs w:val="26"/>
        </w:rPr>
        <w:t>See City of Pittsburgh v. Pennsylvania Department of Transportation,</w:t>
      </w:r>
      <w:r w:rsidRPr="00836775">
        <w:rPr>
          <w:rFonts w:eastAsiaTheme="minorHAnsi"/>
          <w:sz w:val="26"/>
          <w:szCs w:val="26"/>
        </w:rPr>
        <w:t xml:space="preserve"> 490 Pa. 264, 416 A.2d 461 (1980)</w:t>
      </w:r>
      <w:r w:rsidR="00F71E81">
        <w:rPr>
          <w:rFonts w:eastAsiaTheme="minorHAnsi"/>
          <w:sz w:val="26"/>
          <w:szCs w:val="26"/>
        </w:rPr>
        <w:t xml:space="preserve"> (</w:t>
      </w:r>
      <w:r w:rsidR="00F71E81" w:rsidRPr="00F71E81">
        <w:rPr>
          <w:rFonts w:eastAsiaTheme="minorHAnsi"/>
          <w:i/>
          <w:sz w:val="26"/>
          <w:szCs w:val="26"/>
        </w:rPr>
        <w:t>City of Pittsburgh</w:t>
      </w:r>
      <w:r w:rsidR="00F71E81">
        <w:rPr>
          <w:rFonts w:eastAsiaTheme="minorHAnsi"/>
          <w:sz w:val="26"/>
          <w:szCs w:val="26"/>
        </w:rPr>
        <w:t>)</w:t>
      </w:r>
      <w:r w:rsidRPr="00836775">
        <w:rPr>
          <w:rFonts w:eastAsiaTheme="minorHAnsi"/>
          <w:sz w:val="26"/>
          <w:szCs w:val="26"/>
        </w:rPr>
        <w:t>.</w:t>
      </w:r>
    </w:p>
    <w:p w:rsidR="00E72EAD" w:rsidRPr="00836775" w:rsidRDefault="00E72EAD" w:rsidP="00915F9A">
      <w:pPr>
        <w:widowControl/>
        <w:spacing w:line="360" w:lineRule="auto"/>
        <w:contextualSpacing/>
        <w:rPr>
          <w:rFonts w:eastAsiaTheme="minorHAnsi"/>
          <w:sz w:val="26"/>
          <w:szCs w:val="26"/>
        </w:rPr>
      </w:pPr>
    </w:p>
    <w:p w:rsidR="00F71E81" w:rsidRDefault="00F71E81" w:rsidP="00915F9A">
      <w:pPr>
        <w:widowControl/>
        <w:spacing w:line="360" w:lineRule="auto"/>
        <w:ind w:firstLine="1440"/>
        <w:contextualSpacing/>
        <w:rPr>
          <w:sz w:val="26"/>
          <w:szCs w:val="26"/>
        </w:rPr>
      </w:pPr>
      <w:r>
        <w:rPr>
          <w:sz w:val="26"/>
          <w:szCs w:val="26"/>
        </w:rPr>
        <w:t>W</w:t>
      </w:r>
      <w:r w:rsidR="00836775" w:rsidRPr="004579A4">
        <w:rPr>
          <w:sz w:val="26"/>
          <w:szCs w:val="26"/>
        </w:rPr>
        <w:t>hile a petition under Section 703(g) may raise any matter designed to convince us that we should exercise our discretion to amend or rescind a prior order, at the same time “[p]arties . . ., cannot be permitted by a second motion</w:t>
      </w:r>
      <w:r w:rsidR="00D47ADF">
        <w:rPr>
          <w:sz w:val="26"/>
          <w:szCs w:val="26"/>
        </w:rPr>
        <w:t xml:space="preserve"> </w:t>
      </w:r>
      <w:r w:rsidR="00836775" w:rsidRPr="004579A4">
        <w:rPr>
          <w:sz w:val="26"/>
          <w:szCs w:val="26"/>
        </w:rPr>
        <w:t xml:space="preserve">to review and reconsider, to raise the same questions which were specifically considered and decided against them.”  </w:t>
      </w:r>
      <w:proofErr w:type="spellStart"/>
      <w:r w:rsidR="00836775" w:rsidRPr="004579A4">
        <w:rPr>
          <w:i/>
          <w:sz w:val="26"/>
          <w:szCs w:val="26"/>
        </w:rPr>
        <w:t>Duick</w:t>
      </w:r>
      <w:proofErr w:type="spellEnd"/>
      <w:r w:rsidR="00836775" w:rsidRPr="004579A4">
        <w:rPr>
          <w:i/>
          <w:sz w:val="26"/>
          <w:szCs w:val="26"/>
        </w:rPr>
        <w:t> v. Pennsylvania Gas and Water Company</w:t>
      </w:r>
      <w:r w:rsidR="00836775" w:rsidRPr="004579A4">
        <w:rPr>
          <w:sz w:val="26"/>
          <w:szCs w:val="26"/>
        </w:rPr>
        <w:t xml:space="preserve">, </w:t>
      </w:r>
      <w:r w:rsidR="00CF60E4">
        <w:rPr>
          <w:sz w:val="26"/>
          <w:szCs w:val="26"/>
        </w:rPr>
        <w:t xml:space="preserve">Docket No. C-R0597001 </w:t>
      </w:r>
      <w:r w:rsidR="00CF60E4" w:rsidRPr="00CF60E4">
        <w:rPr>
          <w:i/>
          <w:sz w:val="26"/>
          <w:szCs w:val="26"/>
        </w:rPr>
        <w:t>et al</w:t>
      </w:r>
      <w:r w:rsidR="00CF60E4">
        <w:rPr>
          <w:sz w:val="26"/>
          <w:szCs w:val="26"/>
        </w:rPr>
        <w:t xml:space="preserve">., </w:t>
      </w:r>
      <w:r w:rsidR="00836775" w:rsidRPr="004579A4">
        <w:rPr>
          <w:sz w:val="26"/>
          <w:szCs w:val="26"/>
        </w:rPr>
        <w:t xml:space="preserve">56 Pa. P.U.C. 553 (Order entered December 17, 1982) (quoting </w:t>
      </w:r>
      <w:hyperlink r:id="rId10" w:tgtFrame="x" w:tooltip="Clicking this link retrieves the full text document in another window" w:history="1">
        <w:r w:rsidR="00836775" w:rsidRPr="004579A4">
          <w:rPr>
            <w:i/>
            <w:sz w:val="26"/>
            <w:szCs w:val="26"/>
          </w:rPr>
          <w:t>Pennsylvania Railroad Co. v. Pennsylvania Public Service Commission</w:t>
        </w:r>
        <w:r w:rsidR="00836775" w:rsidRPr="004579A4">
          <w:rPr>
            <w:sz w:val="26"/>
            <w:szCs w:val="26"/>
          </w:rPr>
          <w:t>, 179 A. 850, 854 (Pa. Super. Ct. 1935)</w:t>
        </w:r>
      </w:hyperlink>
      <w:r w:rsidR="00836775" w:rsidRPr="004579A4">
        <w:rPr>
          <w:sz w:val="26"/>
          <w:szCs w:val="26"/>
        </w:rPr>
        <w:t>)</w:t>
      </w:r>
      <w:r w:rsidR="00836775">
        <w:rPr>
          <w:sz w:val="26"/>
          <w:szCs w:val="26"/>
        </w:rPr>
        <w:t xml:space="preserve"> (</w:t>
      </w:r>
      <w:proofErr w:type="spellStart"/>
      <w:r w:rsidR="00836775" w:rsidRPr="00836775">
        <w:rPr>
          <w:i/>
          <w:sz w:val="26"/>
          <w:szCs w:val="26"/>
        </w:rPr>
        <w:t>Duick</w:t>
      </w:r>
      <w:proofErr w:type="spellEnd"/>
      <w:r w:rsidR="00836775">
        <w:rPr>
          <w:sz w:val="26"/>
          <w:szCs w:val="26"/>
        </w:rPr>
        <w:t>)</w:t>
      </w:r>
      <w:r w:rsidR="00836775" w:rsidRPr="004579A4">
        <w:rPr>
          <w:sz w:val="26"/>
          <w:szCs w:val="26"/>
        </w:rPr>
        <w:t xml:space="preserve">.  </w:t>
      </w:r>
    </w:p>
    <w:p w:rsidR="00F71E81" w:rsidRDefault="00F71E81" w:rsidP="00915F9A">
      <w:pPr>
        <w:widowControl/>
        <w:spacing w:line="360" w:lineRule="auto"/>
        <w:ind w:firstLine="1440"/>
        <w:contextualSpacing/>
        <w:rPr>
          <w:sz w:val="26"/>
          <w:szCs w:val="26"/>
        </w:rPr>
      </w:pPr>
    </w:p>
    <w:p w:rsidR="00013E77" w:rsidRPr="00836775" w:rsidRDefault="00836775" w:rsidP="00915F9A">
      <w:pPr>
        <w:widowControl/>
        <w:spacing w:line="360" w:lineRule="auto"/>
        <w:ind w:firstLine="1440"/>
        <w:contextualSpacing/>
        <w:rPr>
          <w:color w:val="000000"/>
          <w:spacing w:val="-3"/>
          <w:sz w:val="26"/>
          <w:szCs w:val="26"/>
          <w:u w:color="000000"/>
        </w:rPr>
      </w:pPr>
      <w:r w:rsidRPr="004579A4">
        <w:rPr>
          <w:color w:val="000000"/>
          <w:spacing w:val="-3"/>
          <w:sz w:val="26"/>
          <w:szCs w:val="26"/>
          <w:u w:color="000000"/>
        </w:rPr>
        <w:t>Such petitions are likely to succeed only when they</w:t>
      </w:r>
      <w:r w:rsidR="00F71E81">
        <w:rPr>
          <w:color w:val="000000"/>
          <w:spacing w:val="-3"/>
          <w:sz w:val="26"/>
          <w:szCs w:val="26"/>
          <w:u w:color="000000"/>
        </w:rPr>
        <w:t xml:space="preserve"> raise “new and novel arguments</w:t>
      </w:r>
      <w:r w:rsidRPr="004579A4">
        <w:rPr>
          <w:color w:val="000000"/>
          <w:spacing w:val="-3"/>
          <w:sz w:val="26"/>
          <w:szCs w:val="26"/>
          <w:u w:color="000000"/>
        </w:rPr>
        <w:t xml:space="preserve"> not previously heard or considerations which appear to have been overlooked or not addressed by the </w:t>
      </w:r>
      <w:r w:rsidR="00F71E81">
        <w:rPr>
          <w:color w:val="000000"/>
          <w:spacing w:val="-3"/>
          <w:sz w:val="26"/>
          <w:szCs w:val="26"/>
          <w:u w:color="000000"/>
        </w:rPr>
        <w:t>[</w:t>
      </w:r>
      <w:r w:rsidRPr="004579A4">
        <w:rPr>
          <w:color w:val="000000"/>
          <w:spacing w:val="-3"/>
          <w:sz w:val="26"/>
          <w:szCs w:val="26"/>
          <w:u w:color="000000"/>
        </w:rPr>
        <w:t>C</w:t>
      </w:r>
      <w:r w:rsidR="00F71E81">
        <w:rPr>
          <w:color w:val="000000"/>
          <w:spacing w:val="-3"/>
          <w:sz w:val="26"/>
          <w:szCs w:val="26"/>
          <w:u w:color="000000"/>
        </w:rPr>
        <w:t>]</w:t>
      </w:r>
      <w:proofErr w:type="spellStart"/>
      <w:r w:rsidRPr="004579A4">
        <w:rPr>
          <w:color w:val="000000"/>
          <w:spacing w:val="-3"/>
          <w:sz w:val="26"/>
          <w:szCs w:val="26"/>
          <w:u w:color="000000"/>
        </w:rPr>
        <w:t>ommission</w:t>
      </w:r>
      <w:proofErr w:type="spellEnd"/>
      <w:r w:rsidRPr="004579A4">
        <w:rPr>
          <w:color w:val="000000"/>
          <w:spacing w:val="-3"/>
          <w:sz w:val="26"/>
          <w:szCs w:val="26"/>
          <w:u w:color="000000"/>
        </w:rPr>
        <w:t>.</w:t>
      </w:r>
      <w:r w:rsidR="00F71E81">
        <w:rPr>
          <w:color w:val="000000"/>
          <w:spacing w:val="-3"/>
          <w:sz w:val="26"/>
          <w:szCs w:val="26"/>
          <w:u w:color="000000"/>
        </w:rPr>
        <w:t>”</w:t>
      </w:r>
      <w:r w:rsidRPr="004579A4">
        <w:rPr>
          <w:color w:val="000000"/>
          <w:spacing w:val="-3"/>
          <w:sz w:val="26"/>
          <w:szCs w:val="26"/>
          <w:u w:color="000000"/>
        </w:rPr>
        <w:t xml:space="preserve">  </w:t>
      </w:r>
      <w:r w:rsidR="00CF60E4" w:rsidRPr="00CF60E4">
        <w:rPr>
          <w:i/>
          <w:color w:val="000000"/>
          <w:spacing w:val="-3"/>
          <w:sz w:val="26"/>
          <w:szCs w:val="26"/>
          <w:u w:color="000000"/>
        </w:rPr>
        <w:t>See</w:t>
      </w:r>
      <w:r w:rsidR="00CF60E4">
        <w:rPr>
          <w:color w:val="000000"/>
          <w:spacing w:val="-3"/>
          <w:sz w:val="26"/>
          <w:szCs w:val="26"/>
          <w:u w:color="000000"/>
        </w:rPr>
        <w:t xml:space="preserve"> </w:t>
      </w:r>
      <w:proofErr w:type="spellStart"/>
      <w:r w:rsidRPr="004579A4">
        <w:rPr>
          <w:i/>
          <w:color w:val="000000"/>
          <w:spacing w:val="-3"/>
          <w:sz w:val="26"/>
          <w:szCs w:val="26"/>
          <w:u w:color="000000"/>
        </w:rPr>
        <w:t>Duick</w:t>
      </w:r>
      <w:proofErr w:type="spellEnd"/>
      <w:r w:rsidRPr="004579A4">
        <w:rPr>
          <w:color w:val="000000"/>
          <w:spacing w:val="-3"/>
          <w:sz w:val="26"/>
          <w:szCs w:val="26"/>
          <w:u w:color="000000"/>
        </w:rPr>
        <w:t xml:space="preserve">.   </w:t>
      </w:r>
    </w:p>
    <w:p w:rsidR="001B0C5E" w:rsidRDefault="001B0C5E" w:rsidP="00895444">
      <w:pPr>
        <w:widowControl/>
        <w:spacing w:line="360" w:lineRule="auto"/>
        <w:contextualSpacing/>
        <w:rPr>
          <w:sz w:val="26"/>
          <w:szCs w:val="26"/>
        </w:rPr>
      </w:pPr>
    </w:p>
    <w:p w:rsidR="001B0C5E" w:rsidRDefault="00A675D0" w:rsidP="00D47ADF">
      <w:pPr>
        <w:keepNext/>
        <w:keepLines/>
        <w:widowControl/>
        <w:spacing w:line="360" w:lineRule="auto"/>
        <w:contextualSpacing/>
        <w:rPr>
          <w:b/>
          <w:sz w:val="26"/>
          <w:szCs w:val="26"/>
        </w:rPr>
      </w:pPr>
      <w:r>
        <w:rPr>
          <w:b/>
          <w:sz w:val="26"/>
          <w:szCs w:val="26"/>
        </w:rPr>
        <w:t xml:space="preserve">The </w:t>
      </w:r>
      <w:r w:rsidR="001B0C5E">
        <w:rPr>
          <w:b/>
          <w:sz w:val="26"/>
          <w:szCs w:val="26"/>
        </w:rPr>
        <w:t>ALJ’s Initial Decision</w:t>
      </w:r>
    </w:p>
    <w:p w:rsidR="001B0C5E" w:rsidRDefault="001B0C5E" w:rsidP="00D47ADF">
      <w:pPr>
        <w:keepNext/>
        <w:keepLines/>
        <w:widowControl/>
        <w:spacing w:line="360" w:lineRule="auto"/>
        <w:ind w:firstLine="1440"/>
        <w:contextualSpacing/>
        <w:rPr>
          <w:sz w:val="26"/>
          <w:szCs w:val="26"/>
        </w:rPr>
      </w:pPr>
    </w:p>
    <w:p w:rsidR="002463E4" w:rsidRPr="005E1CEC" w:rsidRDefault="002463E4" w:rsidP="00915F9A">
      <w:pPr>
        <w:widowControl/>
        <w:spacing w:line="360" w:lineRule="auto"/>
        <w:ind w:firstLine="1440"/>
        <w:contextualSpacing/>
        <w:rPr>
          <w:sz w:val="26"/>
          <w:szCs w:val="26"/>
        </w:rPr>
      </w:pPr>
      <w:r w:rsidRPr="00D860F4">
        <w:rPr>
          <w:sz w:val="26"/>
          <w:szCs w:val="26"/>
        </w:rPr>
        <w:t xml:space="preserve">In the Initial Decision, ALJ </w:t>
      </w:r>
      <w:r w:rsidR="00122D52">
        <w:rPr>
          <w:sz w:val="26"/>
          <w:szCs w:val="26"/>
        </w:rPr>
        <w:t>Guhl</w:t>
      </w:r>
      <w:r w:rsidRPr="00D860F4">
        <w:rPr>
          <w:sz w:val="26"/>
          <w:szCs w:val="26"/>
        </w:rPr>
        <w:t xml:space="preserve"> made six Findings of Fact and reached </w:t>
      </w:r>
      <w:r w:rsidR="00122D52">
        <w:rPr>
          <w:sz w:val="26"/>
          <w:szCs w:val="26"/>
        </w:rPr>
        <w:t>five</w:t>
      </w:r>
      <w:r w:rsidRPr="00D860F4">
        <w:rPr>
          <w:sz w:val="26"/>
          <w:szCs w:val="26"/>
        </w:rPr>
        <w:t xml:space="preserve"> Conclusio</w:t>
      </w:r>
      <w:r w:rsidRPr="005E1CEC">
        <w:rPr>
          <w:sz w:val="26"/>
          <w:szCs w:val="26"/>
        </w:rPr>
        <w:t xml:space="preserve">ns of Law.  </w:t>
      </w:r>
      <w:r w:rsidRPr="005E1CEC">
        <w:rPr>
          <w:i/>
          <w:sz w:val="26"/>
          <w:szCs w:val="26"/>
        </w:rPr>
        <w:t>See</w:t>
      </w:r>
      <w:r w:rsidR="00122D52" w:rsidRPr="005E1CEC">
        <w:rPr>
          <w:sz w:val="26"/>
          <w:szCs w:val="26"/>
        </w:rPr>
        <w:t xml:space="preserve"> I.D. at 2</w:t>
      </w:r>
      <w:r w:rsidRPr="005E1CEC">
        <w:rPr>
          <w:sz w:val="26"/>
          <w:szCs w:val="26"/>
        </w:rPr>
        <w:t xml:space="preserve">; </w:t>
      </w:r>
      <w:r w:rsidR="00122D52" w:rsidRPr="005E1CEC">
        <w:rPr>
          <w:sz w:val="26"/>
          <w:szCs w:val="26"/>
        </w:rPr>
        <w:t>4-5</w:t>
      </w:r>
      <w:r w:rsidRPr="005E1CEC">
        <w:rPr>
          <w:sz w:val="26"/>
          <w:szCs w:val="26"/>
        </w:rPr>
        <w:t>.  The Findings of Fact and Conclusions of Law are incorporated herein by reference and are adopted without comment unless they are either expressly or by necessary implication rejected or modif</w:t>
      </w:r>
      <w:r w:rsidR="00D47ADF">
        <w:rPr>
          <w:sz w:val="26"/>
          <w:szCs w:val="26"/>
        </w:rPr>
        <w:t>ied by this Opinion and Order.</w:t>
      </w:r>
    </w:p>
    <w:p w:rsidR="002463E4" w:rsidRPr="005E1CEC" w:rsidRDefault="002463E4" w:rsidP="00915F9A">
      <w:pPr>
        <w:widowControl/>
        <w:spacing w:line="360" w:lineRule="auto"/>
        <w:ind w:firstLine="1440"/>
        <w:contextualSpacing/>
        <w:rPr>
          <w:sz w:val="26"/>
          <w:szCs w:val="26"/>
        </w:rPr>
      </w:pPr>
    </w:p>
    <w:p w:rsidR="005E1CEC" w:rsidRDefault="00A80635" w:rsidP="00915F9A">
      <w:pPr>
        <w:widowControl/>
        <w:spacing w:line="360" w:lineRule="auto"/>
        <w:ind w:firstLine="1440"/>
        <w:contextualSpacing/>
        <w:rPr>
          <w:sz w:val="26"/>
          <w:szCs w:val="26"/>
        </w:rPr>
      </w:pPr>
      <w:r w:rsidRPr="005E1CEC">
        <w:rPr>
          <w:sz w:val="26"/>
          <w:szCs w:val="26"/>
        </w:rPr>
        <w:t xml:space="preserve">The ALJ </w:t>
      </w:r>
      <w:r w:rsidR="005E1CEC" w:rsidRPr="005E1CEC">
        <w:rPr>
          <w:sz w:val="26"/>
          <w:szCs w:val="26"/>
        </w:rPr>
        <w:t xml:space="preserve">stated </w:t>
      </w:r>
      <w:r w:rsidR="00706ED7" w:rsidRPr="005E1CEC">
        <w:rPr>
          <w:sz w:val="26"/>
          <w:szCs w:val="26"/>
        </w:rPr>
        <w:t xml:space="preserve">that Liberty Towers is a limited partnership that is </w:t>
      </w:r>
      <w:r w:rsidR="005E1CEC" w:rsidRPr="005E1CEC">
        <w:rPr>
          <w:sz w:val="26"/>
          <w:szCs w:val="26"/>
        </w:rPr>
        <w:t>requir</w:t>
      </w:r>
      <w:r w:rsidR="005F3BD4">
        <w:rPr>
          <w:sz w:val="26"/>
          <w:szCs w:val="26"/>
        </w:rPr>
        <w:t xml:space="preserve">ed to be represented by counsel </w:t>
      </w:r>
      <w:r w:rsidR="005E1CEC" w:rsidRPr="005E1CEC">
        <w:rPr>
          <w:sz w:val="26"/>
          <w:szCs w:val="26"/>
        </w:rPr>
        <w:t>but</w:t>
      </w:r>
      <w:r w:rsidR="005F3BD4">
        <w:rPr>
          <w:sz w:val="26"/>
          <w:szCs w:val="26"/>
        </w:rPr>
        <w:t xml:space="preserve"> that it</w:t>
      </w:r>
      <w:r w:rsidR="005E1CEC" w:rsidRPr="005E1CEC">
        <w:rPr>
          <w:sz w:val="26"/>
          <w:szCs w:val="26"/>
        </w:rPr>
        <w:t xml:space="preserve"> </w:t>
      </w:r>
      <w:r w:rsidR="00321F56">
        <w:rPr>
          <w:sz w:val="26"/>
          <w:szCs w:val="26"/>
        </w:rPr>
        <w:t>failed to have an attorney enter an appearance in accordance with the ALJ’s Prehearing Order dated</w:t>
      </w:r>
      <w:r w:rsidR="00D47ADF">
        <w:rPr>
          <w:sz w:val="26"/>
          <w:szCs w:val="26"/>
        </w:rPr>
        <w:t xml:space="preserve"> March 17, 2017.  I.D. at 3-4.</w:t>
      </w:r>
    </w:p>
    <w:p w:rsidR="005E1CEC" w:rsidRDefault="005E1CEC" w:rsidP="00915F9A">
      <w:pPr>
        <w:widowControl/>
        <w:spacing w:line="360" w:lineRule="auto"/>
        <w:ind w:firstLine="1440"/>
        <w:contextualSpacing/>
        <w:rPr>
          <w:sz w:val="26"/>
          <w:szCs w:val="26"/>
        </w:rPr>
      </w:pPr>
    </w:p>
    <w:p w:rsidR="005E1CEC" w:rsidRDefault="005E1CEC" w:rsidP="00915F9A">
      <w:pPr>
        <w:widowControl/>
        <w:spacing w:line="360" w:lineRule="auto"/>
        <w:ind w:firstLine="1440"/>
        <w:contextualSpacing/>
        <w:rPr>
          <w:sz w:val="26"/>
          <w:szCs w:val="26"/>
        </w:rPr>
      </w:pPr>
      <w:r w:rsidRPr="005E1CEC">
        <w:rPr>
          <w:sz w:val="26"/>
          <w:szCs w:val="26"/>
        </w:rPr>
        <w:t>The ALJ explained that t</w:t>
      </w:r>
      <w:r w:rsidR="00706ED7" w:rsidRPr="005E1CEC">
        <w:rPr>
          <w:sz w:val="26"/>
          <w:szCs w:val="26"/>
        </w:rPr>
        <w:t xml:space="preserve">he </w:t>
      </w:r>
      <w:r w:rsidR="00D47ADF">
        <w:rPr>
          <w:sz w:val="26"/>
          <w:szCs w:val="26"/>
        </w:rPr>
        <w:t>Commission’s R</w:t>
      </w:r>
      <w:r w:rsidR="00706ED7" w:rsidRPr="005E1CEC">
        <w:rPr>
          <w:sz w:val="26"/>
          <w:szCs w:val="26"/>
        </w:rPr>
        <w:t>egulations concerning representation and notice of appearance are set f</w:t>
      </w:r>
      <w:r w:rsidR="005F3BD4">
        <w:rPr>
          <w:sz w:val="26"/>
          <w:szCs w:val="26"/>
        </w:rPr>
        <w:t>orth in 5</w:t>
      </w:r>
      <w:r w:rsidR="00D47ADF">
        <w:rPr>
          <w:sz w:val="26"/>
          <w:szCs w:val="26"/>
        </w:rPr>
        <w:t>2 Pa.</w:t>
      </w:r>
      <w:r w:rsidR="0093306A">
        <w:rPr>
          <w:sz w:val="26"/>
          <w:szCs w:val="26"/>
        </w:rPr>
        <w:t xml:space="preserve"> </w:t>
      </w:r>
      <w:r w:rsidR="00D47ADF">
        <w:rPr>
          <w:sz w:val="26"/>
          <w:szCs w:val="26"/>
        </w:rPr>
        <w:t>Code §§ 1.21-1.24.  These R</w:t>
      </w:r>
      <w:r w:rsidR="005F3BD4">
        <w:rPr>
          <w:sz w:val="26"/>
          <w:szCs w:val="26"/>
        </w:rPr>
        <w:t>egulations</w:t>
      </w:r>
      <w:r w:rsidRPr="005E1CEC">
        <w:rPr>
          <w:sz w:val="26"/>
          <w:szCs w:val="26"/>
        </w:rPr>
        <w:t xml:space="preserve"> require </w:t>
      </w:r>
      <w:r w:rsidR="00706ED7" w:rsidRPr="005E1CEC">
        <w:rPr>
          <w:sz w:val="26"/>
          <w:szCs w:val="26"/>
        </w:rPr>
        <w:t>partnerships, corporations, limi</w:t>
      </w:r>
      <w:r w:rsidR="00FB217D">
        <w:rPr>
          <w:sz w:val="26"/>
          <w:szCs w:val="26"/>
        </w:rPr>
        <w:t>ted liability companies, trusts,</w:t>
      </w:r>
      <w:r w:rsidR="00706ED7" w:rsidRPr="005E1CEC">
        <w:rPr>
          <w:sz w:val="26"/>
          <w:szCs w:val="26"/>
        </w:rPr>
        <w:t xml:space="preserve"> associations, agencies</w:t>
      </w:r>
      <w:r w:rsidR="00FB217D">
        <w:rPr>
          <w:sz w:val="26"/>
          <w:szCs w:val="26"/>
        </w:rPr>
        <w:t xml:space="preserve">, </w:t>
      </w:r>
      <w:r w:rsidR="00706ED7" w:rsidRPr="005E1CEC">
        <w:rPr>
          <w:sz w:val="26"/>
          <w:szCs w:val="26"/>
        </w:rPr>
        <w:t>political subdivisions and government entities</w:t>
      </w:r>
      <w:r w:rsidRPr="005E1CEC">
        <w:rPr>
          <w:sz w:val="26"/>
          <w:szCs w:val="26"/>
        </w:rPr>
        <w:t>,</w:t>
      </w:r>
      <w:r w:rsidR="00706ED7" w:rsidRPr="005E1CEC">
        <w:rPr>
          <w:sz w:val="26"/>
          <w:szCs w:val="26"/>
        </w:rPr>
        <w:t xml:space="preserve"> to be represented by attorneys in adversarial proceedings before the Commission. 52 Pa.</w:t>
      </w:r>
      <w:r w:rsidR="005F3BD4">
        <w:rPr>
          <w:sz w:val="26"/>
          <w:szCs w:val="26"/>
        </w:rPr>
        <w:t xml:space="preserve"> </w:t>
      </w:r>
      <w:r w:rsidR="00706ED7" w:rsidRPr="005E1CEC">
        <w:rPr>
          <w:sz w:val="26"/>
          <w:szCs w:val="26"/>
        </w:rPr>
        <w:t xml:space="preserve">Code §§ 1.21-1.23.  </w:t>
      </w:r>
      <w:r w:rsidRPr="005E1CEC">
        <w:rPr>
          <w:rFonts w:eastAsiaTheme="minorHAnsi"/>
          <w:color w:val="000000"/>
          <w:sz w:val="26"/>
          <w:szCs w:val="26"/>
        </w:rPr>
        <w:t>The ALJ also explained that t</w:t>
      </w:r>
      <w:r w:rsidRPr="00706ED7">
        <w:rPr>
          <w:rFonts w:eastAsiaTheme="minorHAnsi"/>
          <w:color w:val="000000"/>
          <w:sz w:val="26"/>
          <w:szCs w:val="26"/>
        </w:rPr>
        <w:t xml:space="preserve">his matter is an </w:t>
      </w:r>
      <w:r w:rsidR="00321F56">
        <w:rPr>
          <w:rFonts w:eastAsiaTheme="minorHAnsi"/>
          <w:color w:val="000000"/>
          <w:sz w:val="26"/>
          <w:szCs w:val="26"/>
        </w:rPr>
        <w:t>“</w:t>
      </w:r>
      <w:r w:rsidRPr="00706ED7">
        <w:rPr>
          <w:rFonts w:eastAsiaTheme="minorHAnsi"/>
          <w:color w:val="000000"/>
          <w:sz w:val="26"/>
          <w:szCs w:val="26"/>
        </w:rPr>
        <w:t>adversarial proceeding</w:t>
      </w:r>
      <w:r w:rsidRPr="005E1CEC">
        <w:rPr>
          <w:rFonts w:eastAsiaTheme="minorHAnsi"/>
          <w:color w:val="000000"/>
          <w:sz w:val="26"/>
          <w:szCs w:val="26"/>
        </w:rPr>
        <w:t>,</w:t>
      </w:r>
      <w:r w:rsidR="00321F56">
        <w:rPr>
          <w:rFonts w:eastAsiaTheme="minorHAnsi"/>
          <w:color w:val="000000"/>
          <w:sz w:val="26"/>
          <w:szCs w:val="26"/>
        </w:rPr>
        <w:t>”</w:t>
      </w:r>
      <w:r w:rsidRPr="005E1CEC">
        <w:rPr>
          <w:rFonts w:eastAsiaTheme="minorHAnsi"/>
          <w:color w:val="000000"/>
          <w:sz w:val="26"/>
          <w:szCs w:val="26"/>
        </w:rPr>
        <w:t xml:space="preserve"> as such term is defined at 52 Pa. Code § 1.8.  </w:t>
      </w:r>
      <w:r w:rsidR="00706ED7" w:rsidRPr="005E1CEC">
        <w:rPr>
          <w:sz w:val="26"/>
          <w:szCs w:val="26"/>
        </w:rPr>
        <w:t>I.D. at 3.</w:t>
      </w:r>
    </w:p>
    <w:p w:rsidR="005E1CEC" w:rsidRDefault="005E1CEC" w:rsidP="00915F9A">
      <w:pPr>
        <w:widowControl/>
        <w:spacing w:line="360" w:lineRule="auto"/>
        <w:ind w:firstLine="1440"/>
        <w:contextualSpacing/>
        <w:rPr>
          <w:sz w:val="26"/>
          <w:szCs w:val="26"/>
        </w:rPr>
      </w:pPr>
    </w:p>
    <w:p w:rsidR="005E1CEC" w:rsidRDefault="005E1CEC" w:rsidP="00915F9A">
      <w:pPr>
        <w:widowControl/>
        <w:spacing w:line="360" w:lineRule="auto"/>
        <w:ind w:firstLine="1440"/>
        <w:contextualSpacing/>
        <w:rPr>
          <w:sz w:val="26"/>
          <w:szCs w:val="26"/>
        </w:rPr>
      </w:pPr>
      <w:r w:rsidRPr="005E1CEC">
        <w:rPr>
          <w:sz w:val="26"/>
          <w:szCs w:val="26"/>
        </w:rPr>
        <w:t>The</w:t>
      </w:r>
      <w:r>
        <w:rPr>
          <w:sz w:val="26"/>
          <w:szCs w:val="26"/>
        </w:rPr>
        <w:t xml:space="preserve"> ALJ explained that Liberty Towers </w:t>
      </w:r>
      <w:r w:rsidRPr="005E1CEC">
        <w:rPr>
          <w:sz w:val="26"/>
          <w:szCs w:val="26"/>
        </w:rPr>
        <w:t>was informed of the requirement that it must have counsel by</w:t>
      </w:r>
      <w:r w:rsidR="00321F56">
        <w:rPr>
          <w:sz w:val="26"/>
          <w:szCs w:val="26"/>
        </w:rPr>
        <w:t xml:space="preserve"> both</w:t>
      </w:r>
      <w:r w:rsidRPr="005E1CEC">
        <w:rPr>
          <w:sz w:val="26"/>
          <w:szCs w:val="26"/>
        </w:rPr>
        <w:t xml:space="preserve"> the Hearing Notice dated March 6, 2017</w:t>
      </w:r>
      <w:r w:rsidR="00321F56">
        <w:rPr>
          <w:sz w:val="26"/>
          <w:szCs w:val="26"/>
        </w:rPr>
        <w:t>,</w:t>
      </w:r>
      <w:r w:rsidRPr="005E1CEC">
        <w:rPr>
          <w:sz w:val="26"/>
          <w:szCs w:val="26"/>
        </w:rPr>
        <w:t xml:space="preserve"> and </w:t>
      </w:r>
      <w:r w:rsidR="00321F56">
        <w:rPr>
          <w:sz w:val="26"/>
          <w:szCs w:val="26"/>
        </w:rPr>
        <w:t>the</w:t>
      </w:r>
      <w:r w:rsidRPr="005E1CEC">
        <w:rPr>
          <w:sz w:val="26"/>
          <w:szCs w:val="26"/>
        </w:rPr>
        <w:t xml:space="preserve"> Prehearing Order dated March 17, 2017. </w:t>
      </w:r>
      <w:r>
        <w:rPr>
          <w:sz w:val="26"/>
          <w:szCs w:val="26"/>
        </w:rPr>
        <w:t xml:space="preserve"> </w:t>
      </w:r>
      <w:r w:rsidR="00323889">
        <w:rPr>
          <w:sz w:val="26"/>
          <w:szCs w:val="26"/>
        </w:rPr>
        <w:t xml:space="preserve">Specifically, the Prehearing Order directed Liberty Towers to have an attorney enter an appearance by April 5, 2017.  </w:t>
      </w:r>
      <w:r w:rsidR="00321F56">
        <w:rPr>
          <w:sz w:val="26"/>
          <w:szCs w:val="26"/>
        </w:rPr>
        <w:t>The ALJ also explained that n</w:t>
      </w:r>
      <w:r w:rsidRPr="005E1CEC">
        <w:rPr>
          <w:sz w:val="26"/>
          <w:szCs w:val="26"/>
        </w:rPr>
        <w:t xml:space="preserve">either the Hearing Notice nor the Prehearing Order was returned to the Commission by the U.S. </w:t>
      </w:r>
      <w:r w:rsidR="00321F56">
        <w:rPr>
          <w:sz w:val="26"/>
          <w:szCs w:val="26"/>
        </w:rPr>
        <w:t>Postal Service as undeliverable.  Therefore, such documents are</w:t>
      </w:r>
      <w:r w:rsidRPr="005E1CEC">
        <w:rPr>
          <w:sz w:val="26"/>
          <w:szCs w:val="26"/>
        </w:rPr>
        <w:t xml:space="preserve"> deemed to have been received.</w:t>
      </w:r>
      <w:r>
        <w:rPr>
          <w:sz w:val="26"/>
          <w:szCs w:val="26"/>
        </w:rPr>
        <w:t xml:space="preserve"> </w:t>
      </w:r>
      <w:r w:rsidRPr="005E1CEC">
        <w:rPr>
          <w:sz w:val="26"/>
          <w:szCs w:val="26"/>
        </w:rPr>
        <w:t xml:space="preserve"> </w:t>
      </w:r>
      <w:r w:rsidRPr="005E1CEC">
        <w:rPr>
          <w:i/>
          <w:iCs/>
          <w:sz w:val="26"/>
          <w:szCs w:val="26"/>
        </w:rPr>
        <w:t>Berkowitz v. Mayflower Securities</w:t>
      </w:r>
      <w:r w:rsidRPr="005E1CEC">
        <w:rPr>
          <w:sz w:val="26"/>
          <w:szCs w:val="26"/>
        </w:rPr>
        <w:t xml:space="preserve">, 455 Pa. 531, 317 A. 2d 584 (1974), </w:t>
      </w:r>
      <w:proofErr w:type="spellStart"/>
      <w:r w:rsidRPr="005E1CEC">
        <w:rPr>
          <w:i/>
          <w:iCs/>
          <w:sz w:val="26"/>
          <w:szCs w:val="26"/>
        </w:rPr>
        <w:t>Chartiers</w:t>
      </w:r>
      <w:proofErr w:type="spellEnd"/>
      <w:r w:rsidRPr="005E1CEC">
        <w:rPr>
          <w:i/>
          <w:iCs/>
          <w:sz w:val="26"/>
          <w:szCs w:val="26"/>
        </w:rPr>
        <w:t xml:space="preserve"> Industrial and Commercial Development Authority v. Allegheny County Board of Property Assessment Appeals and Review</w:t>
      </w:r>
      <w:r w:rsidRPr="005E1CEC">
        <w:rPr>
          <w:sz w:val="26"/>
          <w:szCs w:val="26"/>
        </w:rPr>
        <w:t xml:space="preserve">, 645 A.2d 944 (Pa. </w:t>
      </w:r>
      <w:proofErr w:type="spellStart"/>
      <w:r w:rsidRPr="005E1CEC">
        <w:rPr>
          <w:sz w:val="26"/>
          <w:szCs w:val="26"/>
        </w:rPr>
        <w:t>Cmwlth</w:t>
      </w:r>
      <w:proofErr w:type="spellEnd"/>
      <w:r w:rsidRPr="005E1CEC">
        <w:rPr>
          <w:sz w:val="26"/>
          <w:szCs w:val="26"/>
        </w:rPr>
        <w:t>. 1994).</w:t>
      </w:r>
      <w:r w:rsidR="00D47ADF">
        <w:rPr>
          <w:sz w:val="26"/>
          <w:szCs w:val="26"/>
        </w:rPr>
        <w:t xml:space="preserve">  I.D. at 4.</w:t>
      </w:r>
    </w:p>
    <w:p w:rsidR="00321F56" w:rsidRDefault="00321F56" w:rsidP="00915F9A">
      <w:pPr>
        <w:widowControl/>
        <w:spacing w:line="360" w:lineRule="auto"/>
        <w:ind w:firstLine="1440"/>
        <w:contextualSpacing/>
        <w:rPr>
          <w:sz w:val="26"/>
          <w:szCs w:val="26"/>
        </w:rPr>
      </w:pPr>
    </w:p>
    <w:p w:rsidR="00321F56" w:rsidRPr="005E1CEC" w:rsidRDefault="00321F56" w:rsidP="00915F9A">
      <w:pPr>
        <w:widowControl/>
        <w:spacing w:line="360" w:lineRule="auto"/>
        <w:ind w:firstLine="1440"/>
        <w:contextualSpacing/>
        <w:rPr>
          <w:sz w:val="26"/>
          <w:szCs w:val="26"/>
        </w:rPr>
      </w:pPr>
      <w:r w:rsidRPr="005E1CEC">
        <w:rPr>
          <w:rFonts w:eastAsiaTheme="minorHAnsi"/>
          <w:color w:val="000000"/>
          <w:sz w:val="26"/>
          <w:szCs w:val="26"/>
        </w:rPr>
        <w:t>The ALJ noted that no attorney was</w:t>
      </w:r>
      <w:r w:rsidRPr="00706ED7">
        <w:rPr>
          <w:rFonts w:eastAsiaTheme="minorHAnsi"/>
          <w:color w:val="000000"/>
          <w:sz w:val="26"/>
          <w:szCs w:val="26"/>
        </w:rPr>
        <w:t xml:space="preserve"> listed on the Complain</w:t>
      </w:r>
      <w:r>
        <w:rPr>
          <w:rFonts w:eastAsiaTheme="minorHAnsi"/>
          <w:color w:val="000000"/>
          <w:sz w:val="26"/>
          <w:szCs w:val="26"/>
        </w:rPr>
        <w:t>t</w:t>
      </w:r>
      <w:r w:rsidR="00D47ADF">
        <w:rPr>
          <w:rFonts w:eastAsiaTheme="minorHAnsi"/>
          <w:color w:val="000000"/>
          <w:sz w:val="26"/>
          <w:szCs w:val="26"/>
        </w:rPr>
        <w:t>;</w:t>
      </w:r>
      <w:r w:rsidRPr="00706ED7">
        <w:rPr>
          <w:rFonts w:eastAsiaTheme="minorHAnsi"/>
          <w:color w:val="000000"/>
          <w:sz w:val="26"/>
          <w:szCs w:val="26"/>
        </w:rPr>
        <w:t xml:space="preserve"> nor ha</w:t>
      </w:r>
      <w:r w:rsidRPr="005E1CEC">
        <w:rPr>
          <w:rFonts w:eastAsiaTheme="minorHAnsi"/>
          <w:color w:val="000000"/>
          <w:sz w:val="26"/>
          <w:szCs w:val="26"/>
        </w:rPr>
        <w:t>d an attorney</w:t>
      </w:r>
      <w:r w:rsidRPr="00706ED7">
        <w:rPr>
          <w:rFonts w:eastAsiaTheme="minorHAnsi"/>
          <w:color w:val="000000"/>
          <w:sz w:val="26"/>
          <w:szCs w:val="26"/>
        </w:rPr>
        <w:t xml:space="preserve"> entered an appearance to represent the Complainant</w:t>
      </w:r>
      <w:r>
        <w:rPr>
          <w:rFonts w:eastAsiaTheme="minorHAnsi"/>
          <w:color w:val="000000"/>
          <w:sz w:val="26"/>
          <w:szCs w:val="26"/>
        </w:rPr>
        <w:t xml:space="preserve"> by the April 5, 2017 deadline</w:t>
      </w:r>
      <w:r w:rsidRPr="00706ED7">
        <w:rPr>
          <w:rFonts w:eastAsiaTheme="minorHAnsi"/>
          <w:color w:val="000000"/>
          <w:sz w:val="26"/>
          <w:szCs w:val="26"/>
        </w:rPr>
        <w:t xml:space="preserve">. </w:t>
      </w:r>
      <w:r w:rsidRPr="005E1CEC">
        <w:rPr>
          <w:rFonts w:eastAsiaTheme="minorHAnsi"/>
          <w:color w:val="000000"/>
          <w:sz w:val="26"/>
          <w:szCs w:val="26"/>
        </w:rPr>
        <w:t xml:space="preserve"> </w:t>
      </w:r>
      <w:r w:rsidRPr="005E1CEC">
        <w:rPr>
          <w:sz w:val="26"/>
          <w:szCs w:val="26"/>
        </w:rPr>
        <w:t xml:space="preserve">The ALJ also noted that Liberty Tower had not contacted her regarding such representation.  </w:t>
      </w:r>
      <w:r w:rsidRPr="005E1CEC">
        <w:rPr>
          <w:rFonts w:eastAsiaTheme="minorHAnsi"/>
          <w:color w:val="000000"/>
          <w:sz w:val="26"/>
          <w:szCs w:val="26"/>
        </w:rPr>
        <w:t>I.D. at 3,</w:t>
      </w:r>
      <w:r>
        <w:rPr>
          <w:rFonts w:eastAsiaTheme="minorHAnsi"/>
          <w:color w:val="000000"/>
          <w:sz w:val="26"/>
          <w:szCs w:val="26"/>
        </w:rPr>
        <w:t xml:space="preserve"> 4</w:t>
      </w:r>
      <w:r w:rsidRPr="005E1CEC">
        <w:rPr>
          <w:rFonts w:eastAsiaTheme="minorHAnsi"/>
          <w:color w:val="000000"/>
          <w:sz w:val="26"/>
          <w:szCs w:val="26"/>
        </w:rPr>
        <w:t>.</w:t>
      </w:r>
    </w:p>
    <w:p w:rsidR="005E1CEC" w:rsidRDefault="005E1CEC" w:rsidP="00915F9A">
      <w:pPr>
        <w:widowControl/>
        <w:spacing w:line="360" w:lineRule="auto"/>
        <w:ind w:firstLine="1440"/>
        <w:contextualSpacing/>
        <w:rPr>
          <w:rFonts w:eastAsiaTheme="minorHAnsi"/>
          <w:color w:val="000000"/>
          <w:sz w:val="26"/>
          <w:szCs w:val="26"/>
        </w:rPr>
      </w:pPr>
    </w:p>
    <w:p w:rsidR="005E1CEC" w:rsidRPr="005E1CEC" w:rsidRDefault="005E1CEC" w:rsidP="00915F9A">
      <w:pPr>
        <w:widowControl/>
        <w:spacing w:line="360" w:lineRule="auto"/>
        <w:ind w:firstLine="1440"/>
        <w:contextualSpacing/>
        <w:rPr>
          <w:sz w:val="26"/>
          <w:szCs w:val="26"/>
        </w:rPr>
      </w:pPr>
      <w:r>
        <w:rPr>
          <w:rFonts w:eastAsiaTheme="minorHAnsi"/>
          <w:color w:val="000000"/>
          <w:sz w:val="26"/>
          <w:szCs w:val="26"/>
        </w:rPr>
        <w:t xml:space="preserve">The </w:t>
      </w:r>
      <w:r w:rsidRPr="005E1CEC">
        <w:rPr>
          <w:rFonts w:eastAsiaTheme="minorHAnsi"/>
          <w:color w:val="000000"/>
          <w:sz w:val="26"/>
          <w:szCs w:val="26"/>
        </w:rPr>
        <w:t xml:space="preserve">ALJ </w:t>
      </w:r>
      <w:r w:rsidR="00321F56">
        <w:rPr>
          <w:rFonts w:eastAsiaTheme="minorHAnsi"/>
          <w:color w:val="000000"/>
          <w:sz w:val="26"/>
          <w:szCs w:val="26"/>
        </w:rPr>
        <w:t>concluded</w:t>
      </w:r>
      <w:r w:rsidRPr="005E1CEC">
        <w:rPr>
          <w:rFonts w:eastAsiaTheme="minorHAnsi"/>
          <w:color w:val="000000"/>
          <w:sz w:val="26"/>
          <w:szCs w:val="26"/>
        </w:rPr>
        <w:t xml:space="preserve"> that Liberty Towers </w:t>
      </w:r>
      <w:r w:rsidR="00706ED7" w:rsidRPr="005E1CEC">
        <w:rPr>
          <w:rFonts w:eastAsiaTheme="minorHAnsi"/>
          <w:color w:val="000000"/>
          <w:sz w:val="26"/>
          <w:szCs w:val="26"/>
        </w:rPr>
        <w:t xml:space="preserve">failed to comply with </w:t>
      </w:r>
      <w:r w:rsidRPr="005E1CEC">
        <w:rPr>
          <w:rFonts w:eastAsiaTheme="minorHAnsi"/>
          <w:color w:val="000000"/>
          <w:sz w:val="26"/>
          <w:szCs w:val="26"/>
        </w:rPr>
        <w:t>her</w:t>
      </w:r>
      <w:r w:rsidR="00706ED7" w:rsidRPr="005E1CEC">
        <w:rPr>
          <w:rFonts w:eastAsiaTheme="minorHAnsi"/>
          <w:color w:val="000000"/>
          <w:sz w:val="26"/>
          <w:szCs w:val="26"/>
        </w:rPr>
        <w:t xml:space="preserve"> March</w:t>
      </w:r>
      <w:r w:rsidR="00D47ADF">
        <w:rPr>
          <w:rFonts w:eastAsiaTheme="minorHAnsi"/>
          <w:color w:val="000000"/>
          <w:sz w:val="26"/>
          <w:szCs w:val="26"/>
        </w:rPr>
        <w:t> </w:t>
      </w:r>
      <w:r w:rsidR="00706ED7" w:rsidRPr="005E1CEC">
        <w:rPr>
          <w:rFonts w:eastAsiaTheme="minorHAnsi"/>
          <w:color w:val="000000"/>
          <w:sz w:val="26"/>
          <w:szCs w:val="26"/>
        </w:rPr>
        <w:t xml:space="preserve">17, 2017 Prehearing Order directing it to be represented by counsel. </w:t>
      </w:r>
      <w:r w:rsidR="00321F56">
        <w:rPr>
          <w:rFonts w:eastAsiaTheme="minorHAnsi"/>
          <w:color w:val="000000"/>
          <w:sz w:val="26"/>
          <w:szCs w:val="26"/>
        </w:rPr>
        <w:t xml:space="preserve"> </w:t>
      </w:r>
      <w:r w:rsidRPr="005E1CEC">
        <w:rPr>
          <w:rFonts w:eastAsiaTheme="minorHAnsi"/>
          <w:color w:val="000000"/>
          <w:sz w:val="26"/>
          <w:szCs w:val="26"/>
        </w:rPr>
        <w:t>The ALJ stated that f</w:t>
      </w:r>
      <w:r w:rsidR="00706ED7" w:rsidRPr="005E1CEC">
        <w:rPr>
          <w:rFonts w:eastAsiaTheme="minorHAnsi"/>
          <w:color w:val="000000"/>
          <w:sz w:val="26"/>
          <w:szCs w:val="26"/>
        </w:rPr>
        <w:t>ailure</w:t>
      </w:r>
      <w:r w:rsidRPr="005E1CEC">
        <w:rPr>
          <w:rFonts w:eastAsiaTheme="minorHAnsi"/>
          <w:color w:val="000000"/>
          <w:sz w:val="26"/>
          <w:szCs w:val="26"/>
        </w:rPr>
        <w:t xml:space="preserve"> by a party</w:t>
      </w:r>
      <w:r w:rsidR="00706ED7" w:rsidRPr="005E1CEC">
        <w:rPr>
          <w:rFonts w:eastAsiaTheme="minorHAnsi"/>
          <w:color w:val="000000"/>
          <w:sz w:val="26"/>
          <w:szCs w:val="26"/>
        </w:rPr>
        <w:t xml:space="preserve"> to comply with an order issued by a presiding officer warrants dismissal of the application or complaint. </w:t>
      </w:r>
      <w:r w:rsidR="00321F56">
        <w:rPr>
          <w:rFonts w:eastAsiaTheme="minorHAnsi"/>
          <w:color w:val="000000"/>
          <w:sz w:val="26"/>
          <w:szCs w:val="26"/>
        </w:rPr>
        <w:t>I.D. at 3-4, citing,</w:t>
      </w:r>
      <w:r w:rsidR="00706ED7" w:rsidRPr="005E1CEC">
        <w:rPr>
          <w:rFonts w:eastAsiaTheme="minorHAnsi"/>
          <w:color w:val="000000"/>
          <w:sz w:val="26"/>
          <w:szCs w:val="26"/>
        </w:rPr>
        <w:t xml:space="preserve"> e.g., </w:t>
      </w:r>
      <w:r w:rsidR="00706ED7" w:rsidRPr="005E1CEC">
        <w:rPr>
          <w:rFonts w:eastAsiaTheme="minorHAnsi"/>
          <w:i/>
          <w:iCs/>
          <w:color w:val="000000"/>
          <w:sz w:val="26"/>
          <w:szCs w:val="26"/>
        </w:rPr>
        <w:t>Application of And Ex Cor</w:t>
      </w:r>
      <w:r w:rsidR="00706ED7" w:rsidRPr="005E1CEC">
        <w:rPr>
          <w:rFonts w:eastAsiaTheme="minorHAnsi"/>
          <w:color w:val="000000"/>
          <w:sz w:val="26"/>
          <w:szCs w:val="26"/>
        </w:rPr>
        <w:t xml:space="preserve">, A-2012-2337848 (Final Order entered June 19, 2013); </w:t>
      </w:r>
      <w:r w:rsidR="00706ED7" w:rsidRPr="005E1CEC">
        <w:rPr>
          <w:rFonts w:eastAsiaTheme="minorHAnsi"/>
          <w:i/>
          <w:iCs/>
          <w:color w:val="000000"/>
          <w:sz w:val="26"/>
          <w:szCs w:val="26"/>
        </w:rPr>
        <w:t xml:space="preserve">New </w:t>
      </w:r>
      <w:proofErr w:type="spellStart"/>
      <w:r w:rsidR="00706ED7" w:rsidRPr="005E1CEC">
        <w:rPr>
          <w:rFonts w:eastAsiaTheme="minorHAnsi"/>
          <w:i/>
          <w:iCs/>
          <w:color w:val="000000"/>
          <w:sz w:val="26"/>
          <w:szCs w:val="26"/>
        </w:rPr>
        <w:t>Fizon</w:t>
      </w:r>
      <w:proofErr w:type="spellEnd"/>
      <w:r w:rsidR="00706ED7" w:rsidRPr="005E1CEC">
        <w:rPr>
          <w:rFonts w:eastAsiaTheme="minorHAnsi"/>
          <w:i/>
          <w:iCs/>
          <w:color w:val="000000"/>
          <w:sz w:val="26"/>
          <w:szCs w:val="26"/>
        </w:rPr>
        <w:t xml:space="preserve"> Catering, Inc. v. PECO Energy Co.</w:t>
      </w:r>
      <w:r w:rsidR="00706ED7" w:rsidRPr="005E1CEC">
        <w:rPr>
          <w:rFonts w:eastAsiaTheme="minorHAnsi"/>
          <w:color w:val="000000"/>
          <w:sz w:val="26"/>
          <w:szCs w:val="26"/>
        </w:rPr>
        <w:t xml:space="preserve">, Docket Nos. C-2008-2065498 and C-2008-2079076 (Opinion and Order entered June 24, 2009); </w:t>
      </w:r>
      <w:proofErr w:type="spellStart"/>
      <w:r w:rsidR="00706ED7" w:rsidRPr="005E1CEC">
        <w:rPr>
          <w:rFonts w:eastAsiaTheme="minorHAnsi"/>
          <w:i/>
          <w:iCs/>
          <w:color w:val="000000"/>
          <w:sz w:val="26"/>
          <w:szCs w:val="26"/>
        </w:rPr>
        <w:t>Snyderville</w:t>
      </w:r>
      <w:proofErr w:type="spellEnd"/>
      <w:r w:rsidR="00706ED7" w:rsidRPr="005E1CEC">
        <w:rPr>
          <w:rFonts w:eastAsiaTheme="minorHAnsi"/>
          <w:i/>
          <w:iCs/>
          <w:color w:val="000000"/>
          <w:sz w:val="26"/>
          <w:szCs w:val="26"/>
        </w:rPr>
        <w:t xml:space="preserve"> Community Development Corp. v. Philadelphia Gas Works</w:t>
      </w:r>
      <w:r w:rsidR="00706ED7" w:rsidRPr="005E1CEC">
        <w:rPr>
          <w:rFonts w:eastAsiaTheme="minorHAnsi"/>
          <w:color w:val="000000"/>
          <w:sz w:val="26"/>
          <w:szCs w:val="26"/>
        </w:rPr>
        <w:t>, Docket No. C-20055032 (Opinion</w:t>
      </w:r>
      <w:r w:rsidRPr="005E1CEC">
        <w:rPr>
          <w:rFonts w:eastAsiaTheme="minorHAnsi"/>
          <w:color w:val="000000"/>
          <w:sz w:val="26"/>
          <w:szCs w:val="26"/>
        </w:rPr>
        <w:t xml:space="preserve"> </w:t>
      </w:r>
      <w:r w:rsidRPr="005E1CEC">
        <w:rPr>
          <w:sz w:val="26"/>
          <w:szCs w:val="26"/>
        </w:rPr>
        <w:t xml:space="preserve">and Order entered July 31, 2006) (citing, </w:t>
      </w:r>
      <w:proofErr w:type="spellStart"/>
      <w:r w:rsidRPr="005E1CEC">
        <w:rPr>
          <w:i/>
          <w:iCs/>
          <w:sz w:val="26"/>
          <w:szCs w:val="26"/>
        </w:rPr>
        <w:t>Treffinger</w:t>
      </w:r>
      <w:proofErr w:type="spellEnd"/>
      <w:r w:rsidRPr="005E1CEC">
        <w:rPr>
          <w:i/>
          <w:iCs/>
          <w:sz w:val="26"/>
          <w:szCs w:val="26"/>
        </w:rPr>
        <w:t xml:space="preserve"> v. PPL Electric Utilities Corp.</w:t>
      </w:r>
      <w:r w:rsidRPr="005E1CEC">
        <w:rPr>
          <w:sz w:val="26"/>
          <w:szCs w:val="26"/>
        </w:rPr>
        <w:t xml:space="preserve">, Docket No. C-20027978, 2003 Pa. PUC LEXIS 3 (Opinion and Order entered March 3, 2003)); </w:t>
      </w:r>
      <w:r w:rsidRPr="005E1CEC">
        <w:rPr>
          <w:i/>
          <w:iCs/>
          <w:sz w:val="26"/>
          <w:szCs w:val="26"/>
        </w:rPr>
        <w:t>Franconia Mennonite Conference v. Verizon Pennsylvania Inc.</w:t>
      </w:r>
      <w:r w:rsidRPr="005E1CEC">
        <w:rPr>
          <w:sz w:val="26"/>
          <w:szCs w:val="26"/>
        </w:rPr>
        <w:t>, Docket No. C-2010-2193709 (Final Order entered June 6, 2003).</w:t>
      </w:r>
      <w:r w:rsidR="00321F56">
        <w:rPr>
          <w:sz w:val="26"/>
          <w:szCs w:val="26"/>
        </w:rPr>
        <w:t xml:space="preserve">  Accordingly, b</w:t>
      </w:r>
      <w:r w:rsidRPr="005E1CEC">
        <w:rPr>
          <w:sz w:val="26"/>
          <w:szCs w:val="26"/>
        </w:rPr>
        <w:t xml:space="preserve">ecause the Complainant failed to comply with the ALJ’s Prehearing Order, the ALJ dismissed the Complaint.  </w:t>
      </w:r>
      <w:r w:rsidR="00D47ADF">
        <w:rPr>
          <w:sz w:val="26"/>
          <w:szCs w:val="26"/>
        </w:rPr>
        <w:t>I.D. at 4.</w:t>
      </w:r>
    </w:p>
    <w:p w:rsidR="006E178E" w:rsidRPr="006E178E" w:rsidRDefault="006E178E" w:rsidP="00895444">
      <w:pPr>
        <w:widowControl/>
        <w:spacing w:line="360" w:lineRule="auto"/>
        <w:ind w:firstLine="1440"/>
        <w:contextualSpacing/>
        <w:rPr>
          <w:sz w:val="26"/>
          <w:szCs w:val="26"/>
        </w:rPr>
      </w:pPr>
    </w:p>
    <w:p w:rsidR="001B0C5E" w:rsidRDefault="00122D52" w:rsidP="00895444">
      <w:pPr>
        <w:keepNext/>
        <w:keepLines/>
        <w:widowControl/>
        <w:spacing w:line="360" w:lineRule="auto"/>
        <w:contextualSpacing/>
        <w:rPr>
          <w:b/>
          <w:sz w:val="26"/>
          <w:szCs w:val="26"/>
        </w:rPr>
      </w:pPr>
      <w:r>
        <w:rPr>
          <w:b/>
          <w:sz w:val="26"/>
          <w:szCs w:val="26"/>
        </w:rPr>
        <w:t>Petition and Answer</w:t>
      </w:r>
    </w:p>
    <w:p w:rsidR="001B0C5E" w:rsidRDefault="001B0C5E" w:rsidP="00895444">
      <w:pPr>
        <w:keepNext/>
        <w:keepLines/>
        <w:widowControl/>
        <w:spacing w:line="360" w:lineRule="auto"/>
        <w:contextualSpacing/>
        <w:rPr>
          <w:b/>
          <w:sz w:val="26"/>
          <w:szCs w:val="26"/>
        </w:rPr>
      </w:pPr>
    </w:p>
    <w:p w:rsidR="00A16CF3" w:rsidRDefault="00A16CF3" w:rsidP="00895444">
      <w:pPr>
        <w:widowControl/>
        <w:spacing w:line="360" w:lineRule="auto"/>
        <w:ind w:firstLine="1440"/>
        <w:contextualSpacing/>
        <w:rPr>
          <w:sz w:val="26"/>
          <w:szCs w:val="26"/>
        </w:rPr>
      </w:pPr>
      <w:r>
        <w:rPr>
          <w:sz w:val="26"/>
          <w:szCs w:val="26"/>
        </w:rPr>
        <w:t xml:space="preserve">In the Petition, the Petitioner asserts that the reasons for the case dismissal was Liberty Tower’s failure to retain counsel by April 5, 2017, and that this failure has now been cured by counsel’s entry of appearance submitted in </w:t>
      </w:r>
      <w:r w:rsidR="00077D9E">
        <w:rPr>
          <w:sz w:val="26"/>
          <w:szCs w:val="26"/>
        </w:rPr>
        <w:t xml:space="preserve">conjunction </w:t>
      </w:r>
      <w:r>
        <w:rPr>
          <w:sz w:val="26"/>
          <w:szCs w:val="26"/>
        </w:rPr>
        <w:t>with the instant Petition.  Petition at ¶¶ 10-11.  In its Answer, PGW denies that the Petitioner’s failure to retain counsel and to enter an appearance is cured by the filing of an entry of appearance with the instant Petition, each of which was submitted after the hearing date had passed, and the Initial Decision and Final Order had been issued by the Commission.  Answer at ¶ 11.</w:t>
      </w:r>
    </w:p>
    <w:p w:rsidR="00A16CF3" w:rsidRDefault="00A16CF3" w:rsidP="00895444">
      <w:pPr>
        <w:widowControl/>
        <w:spacing w:line="360" w:lineRule="auto"/>
        <w:ind w:firstLine="1440"/>
        <w:contextualSpacing/>
        <w:rPr>
          <w:sz w:val="26"/>
          <w:szCs w:val="26"/>
        </w:rPr>
      </w:pPr>
    </w:p>
    <w:p w:rsidR="005D3770" w:rsidRDefault="00A16CF3" w:rsidP="00895444">
      <w:pPr>
        <w:widowControl/>
        <w:spacing w:line="360" w:lineRule="auto"/>
        <w:ind w:firstLine="1440"/>
        <w:contextualSpacing/>
        <w:rPr>
          <w:sz w:val="26"/>
          <w:szCs w:val="26"/>
        </w:rPr>
      </w:pPr>
      <w:r>
        <w:rPr>
          <w:sz w:val="26"/>
          <w:szCs w:val="26"/>
        </w:rPr>
        <w:t>Additionally, the Petitioner asserts it had valid reasons for failing to retain counsel by the April 5, 2017 deadline.  Firs</w:t>
      </w:r>
      <w:r w:rsidR="00E72EAD">
        <w:rPr>
          <w:sz w:val="26"/>
          <w:szCs w:val="26"/>
        </w:rPr>
        <w:t>t, the Petitioner claims that its</w:t>
      </w:r>
      <w:r>
        <w:rPr>
          <w:sz w:val="26"/>
          <w:szCs w:val="26"/>
        </w:rPr>
        <w:t xml:space="preserve"> manager was not in the Commonwealth at the time the March 17, 2017 Prehearing Order was issued, and never received it.  </w:t>
      </w:r>
      <w:r w:rsidR="005D3770">
        <w:rPr>
          <w:sz w:val="26"/>
          <w:szCs w:val="26"/>
        </w:rPr>
        <w:t xml:space="preserve">Petition at ¶¶ 12-13.  </w:t>
      </w:r>
      <w:r w:rsidR="00077D9E">
        <w:rPr>
          <w:sz w:val="26"/>
          <w:szCs w:val="26"/>
        </w:rPr>
        <w:t>In its Answer, asid</w:t>
      </w:r>
      <w:r w:rsidR="00FB217D">
        <w:rPr>
          <w:sz w:val="26"/>
          <w:szCs w:val="26"/>
        </w:rPr>
        <w:t>e from making general denials to</w:t>
      </w:r>
      <w:r w:rsidR="00077D9E">
        <w:rPr>
          <w:sz w:val="26"/>
          <w:szCs w:val="26"/>
        </w:rPr>
        <w:t xml:space="preserve"> the Petitioner’s</w:t>
      </w:r>
      <w:r w:rsidR="005D3770">
        <w:rPr>
          <w:sz w:val="26"/>
          <w:szCs w:val="26"/>
        </w:rPr>
        <w:t xml:space="preserve"> averment</w:t>
      </w:r>
      <w:r w:rsidR="00FB217D">
        <w:rPr>
          <w:sz w:val="26"/>
          <w:szCs w:val="26"/>
        </w:rPr>
        <w:t>s</w:t>
      </w:r>
      <w:r w:rsidR="00077D9E">
        <w:rPr>
          <w:sz w:val="26"/>
          <w:szCs w:val="26"/>
        </w:rPr>
        <w:t xml:space="preserve">, PGW asserts that “the Petitioner, even if it did not receive the Hearing Notice, received the Prehearing Order which provided a specific instruction to the Petitioner to retain counsel.”  PGW </w:t>
      </w:r>
      <w:r w:rsidR="005F3BD4">
        <w:rPr>
          <w:sz w:val="26"/>
          <w:szCs w:val="26"/>
        </w:rPr>
        <w:t xml:space="preserve">further </w:t>
      </w:r>
      <w:r w:rsidR="00077D9E">
        <w:rPr>
          <w:sz w:val="26"/>
          <w:szCs w:val="26"/>
        </w:rPr>
        <w:t>argues that the Petitioner failed to file exceptions that might have alerted the Commission to its reason for failing to retain counsel prior to the issuance of</w:t>
      </w:r>
      <w:r w:rsidR="00057AAA">
        <w:rPr>
          <w:sz w:val="26"/>
          <w:szCs w:val="26"/>
        </w:rPr>
        <w:t xml:space="preserve"> the Final Order.  Answer at ¶ </w:t>
      </w:r>
      <w:r w:rsidR="00077D9E">
        <w:rPr>
          <w:sz w:val="26"/>
          <w:szCs w:val="26"/>
        </w:rPr>
        <w:t xml:space="preserve">13.  </w:t>
      </w:r>
    </w:p>
    <w:p w:rsidR="005D3770" w:rsidRDefault="005D3770" w:rsidP="009537BA">
      <w:pPr>
        <w:widowControl/>
        <w:spacing w:line="360" w:lineRule="auto"/>
        <w:ind w:firstLine="1440"/>
        <w:contextualSpacing/>
        <w:rPr>
          <w:sz w:val="26"/>
          <w:szCs w:val="26"/>
        </w:rPr>
      </w:pPr>
    </w:p>
    <w:p w:rsidR="00A16CF3" w:rsidRDefault="00077D9E" w:rsidP="009537BA">
      <w:pPr>
        <w:widowControl/>
        <w:spacing w:line="360" w:lineRule="auto"/>
        <w:ind w:firstLine="1440"/>
        <w:contextualSpacing/>
        <w:rPr>
          <w:sz w:val="26"/>
          <w:szCs w:val="26"/>
        </w:rPr>
      </w:pPr>
      <w:r>
        <w:rPr>
          <w:sz w:val="26"/>
          <w:szCs w:val="26"/>
        </w:rPr>
        <w:t>Next, the Petitioner asserts it reasonably believed that it would be able to reach an amicable solution to this matter with PGW, ma</w:t>
      </w:r>
      <w:r w:rsidR="00D47ADF">
        <w:rPr>
          <w:sz w:val="26"/>
          <w:szCs w:val="26"/>
        </w:rPr>
        <w:t xml:space="preserve">king the hearing unnecessary.  </w:t>
      </w:r>
      <w:r>
        <w:rPr>
          <w:sz w:val="26"/>
          <w:szCs w:val="26"/>
        </w:rPr>
        <w:t>Petition at ¶ 14.  In its Answer, PGW states it does not possess sufficient information on the beliefs of the Petitioner in reaching a settlement with PGW and</w:t>
      </w:r>
      <w:r w:rsidR="00057AAA">
        <w:rPr>
          <w:sz w:val="26"/>
          <w:szCs w:val="26"/>
        </w:rPr>
        <w:t>,</w:t>
      </w:r>
      <w:r>
        <w:rPr>
          <w:sz w:val="26"/>
          <w:szCs w:val="26"/>
        </w:rPr>
        <w:t xml:space="preserve"> therefore</w:t>
      </w:r>
      <w:r w:rsidR="00057AAA">
        <w:rPr>
          <w:sz w:val="26"/>
          <w:szCs w:val="26"/>
        </w:rPr>
        <w:t>,</w:t>
      </w:r>
      <w:r>
        <w:rPr>
          <w:sz w:val="26"/>
          <w:szCs w:val="26"/>
        </w:rPr>
        <w:t xml:space="preserve"> denies this averment.  It also asserts that such a reason is not valid for failing to retain counsel by April 5, 2017. </w:t>
      </w:r>
      <w:r w:rsidR="00057AAA">
        <w:rPr>
          <w:sz w:val="26"/>
          <w:szCs w:val="26"/>
        </w:rPr>
        <w:t xml:space="preserve"> Answer at ¶ 14.</w:t>
      </w:r>
    </w:p>
    <w:p w:rsidR="00077D9E" w:rsidRDefault="00077D9E" w:rsidP="009537BA">
      <w:pPr>
        <w:widowControl/>
        <w:spacing w:line="360" w:lineRule="auto"/>
        <w:ind w:firstLine="1440"/>
        <w:contextualSpacing/>
        <w:rPr>
          <w:sz w:val="26"/>
          <w:szCs w:val="26"/>
        </w:rPr>
      </w:pPr>
    </w:p>
    <w:p w:rsidR="005D3770" w:rsidRDefault="005D3770" w:rsidP="009537BA">
      <w:pPr>
        <w:widowControl/>
        <w:spacing w:line="360" w:lineRule="auto"/>
        <w:ind w:firstLine="1440"/>
        <w:contextualSpacing/>
        <w:rPr>
          <w:sz w:val="26"/>
          <w:szCs w:val="26"/>
        </w:rPr>
      </w:pPr>
      <w:r>
        <w:rPr>
          <w:sz w:val="26"/>
          <w:szCs w:val="26"/>
        </w:rPr>
        <w:t xml:space="preserve">The Petitioner </w:t>
      </w:r>
      <w:r w:rsidR="005F3BD4">
        <w:rPr>
          <w:sz w:val="26"/>
          <w:szCs w:val="26"/>
        </w:rPr>
        <w:t xml:space="preserve">further </w:t>
      </w:r>
      <w:r>
        <w:rPr>
          <w:sz w:val="26"/>
          <w:szCs w:val="26"/>
        </w:rPr>
        <w:t xml:space="preserve">claims that its manager was unfamiliar with the processes of the Commission.  Petition at ¶ 15.  </w:t>
      </w:r>
      <w:r w:rsidR="00057AAA">
        <w:rPr>
          <w:sz w:val="26"/>
          <w:szCs w:val="26"/>
        </w:rPr>
        <w:t>In its Answer, PGW denies that the Petitioner’s manager was unfamiliar with the Commission’s process</w:t>
      </w:r>
      <w:r w:rsidR="006A6546">
        <w:rPr>
          <w:sz w:val="26"/>
          <w:szCs w:val="26"/>
        </w:rPr>
        <w:t xml:space="preserve"> and states that it is not a valid reason for failing to retain counsel by April 5, 2017</w:t>
      </w:r>
      <w:r w:rsidR="00057AAA">
        <w:rPr>
          <w:sz w:val="26"/>
          <w:szCs w:val="26"/>
        </w:rPr>
        <w:t xml:space="preserve">. </w:t>
      </w:r>
      <w:r w:rsidR="005F3BD4">
        <w:rPr>
          <w:sz w:val="26"/>
          <w:szCs w:val="26"/>
        </w:rPr>
        <w:t xml:space="preserve"> PGW asserts that t</w:t>
      </w:r>
      <w:r w:rsidR="00057AAA">
        <w:rPr>
          <w:sz w:val="26"/>
          <w:szCs w:val="26"/>
        </w:rPr>
        <w:t>he Commission provided the Petitioner and its manager with several notices of th</w:t>
      </w:r>
      <w:r w:rsidR="005F3BD4">
        <w:rPr>
          <w:sz w:val="26"/>
          <w:szCs w:val="26"/>
        </w:rPr>
        <w:t>e requirement to have counsel – specifically the March 6, 2017 Hearing Notice and March</w:t>
      </w:r>
      <w:r w:rsidR="00D47ADF">
        <w:rPr>
          <w:sz w:val="26"/>
          <w:szCs w:val="26"/>
        </w:rPr>
        <w:t> </w:t>
      </w:r>
      <w:r w:rsidR="005F3BD4">
        <w:rPr>
          <w:sz w:val="26"/>
          <w:szCs w:val="26"/>
        </w:rPr>
        <w:t xml:space="preserve">17, 2017 Prehearing Order.  </w:t>
      </w:r>
      <w:r w:rsidR="006A6546">
        <w:rPr>
          <w:sz w:val="26"/>
          <w:szCs w:val="26"/>
        </w:rPr>
        <w:t>PGW argues that t</w:t>
      </w:r>
      <w:r w:rsidR="005F3BD4">
        <w:rPr>
          <w:sz w:val="26"/>
          <w:szCs w:val="26"/>
        </w:rPr>
        <w:t>he Petitioner chose to ignore the notices, requirements and orders that are designed to make the Petitioner familiar with the Commission’</w:t>
      </w:r>
      <w:r w:rsidR="006A6546">
        <w:rPr>
          <w:sz w:val="26"/>
          <w:szCs w:val="26"/>
        </w:rPr>
        <w:t>s processes.  PGW argues that the Petitioner was given notice and opportunity to be heard but chose to ignore t</w:t>
      </w:r>
      <w:r w:rsidR="00D47ADF">
        <w:rPr>
          <w:sz w:val="26"/>
          <w:szCs w:val="26"/>
        </w:rPr>
        <w:t xml:space="preserve">he Commission’s requirements.  </w:t>
      </w:r>
      <w:r w:rsidR="006A6546">
        <w:rPr>
          <w:sz w:val="26"/>
          <w:szCs w:val="26"/>
        </w:rPr>
        <w:t>Answer at</w:t>
      </w:r>
      <w:r w:rsidR="00D47ADF">
        <w:rPr>
          <w:sz w:val="26"/>
          <w:szCs w:val="26"/>
        </w:rPr>
        <w:t> </w:t>
      </w:r>
      <w:r w:rsidR="006A6546">
        <w:rPr>
          <w:sz w:val="26"/>
          <w:szCs w:val="26"/>
        </w:rPr>
        <w:t>¶</w:t>
      </w:r>
      <w:r w:rsidR="00D47ADF">
        <w:rPr>
          <w:sz w:val="26"/>
          <w:szCs w:val="26"/>
        </w:rPr>
        <w:t> </w:t>
      </w:r>
      <w:r w:rsidR="006A6546">
        <w:rPr>
          <w:sz w:val="26"/>
          <w:szCs w:val="26"/>
        </w:rPr>
        <w:t>15.</w:t>
      </w:r>
    </w:p>
    <w:p w:rsidR="005D3770" w:rsidRDefault="005D3770" w:rsidP="009537BA">
      <w:pPr>
        <w:widowControl/>
        <w:spacing w:line="360" w:lineRule="auto"/>
        <w:ind w:firstLine="1440"/>
        <w:contextualSpacing/>
        <w:rPr>
          <w:sz w:val="26"/>
          <w:szCs w:val="26"/>
        </w:rPr>
      </w:pPr>
    </w:p>
    <w:p w:rsidR="003A46D0" w:rsidRDefault="00A16CF3" w:rsidP="009537BA">
      <w:pPr>
        <w:widowControl/>
        <w:spacing w:line="360" w:lineRule="auto"/>
        <w:ind w:firstLine="1440"/>
        <w:contextualSpacing/>
        <w:rPr>
          <w:sz w:val="26"/>
          <w:szCs w:val="26"/>
        </w:rPr>
      </w:pPr>
      <w:r>
        <w:rPr>
          <w:sz w:val="26"/>
          <w:szCs w:val="26"/>
        </w:rPr>
        <w:t>Finally, the Petitioner asserts that its Complaint against PGW has merit.  Specifically, that the usage for the period in question was over three times the amount typically charged for the period, far exceeding any excess that could have been caused by unseaso</w:t>
      </w:r>
      <w:r w:rsidR="006A6546">
        <w:rPr>
          <w:sz w:val="26"/>
          <w:szCs w:val="26"/>
        </w:rPr>
        <w:t>nably cold weather.  Petition at</w:t>
      </w:r>
      <w:r>
        <w:rPr>
          <w:sz w:val="26"/>
          <w:szCs w:val="26"/>
        </w:rPr>
        <w:t xml:space="preserve"> ¶¶ 16-17. </w:t>
      </w:r>
      <w:r w:rsidR="003A46D0">
        <w:rPr>
          <w:sz w:val="26"/>
          <w:szCs w:val="26"/>
        </w:rPr>
        <w:t xml:space="preserve"> </w:t>
      </w:r>
      <w:r>
        <w:rPr>
          <w:sz w:val="26"/>
          <w:szCs w:val="26"/>
        </w:rPr>
        <w:t>In its Answer,</w:t>
      </w:r>
      <w:r w:rsidR="003A46D0">
        <w:rPr>
          <w:sz w:val="26"/>
          <w:szCs w:val="26"/>
        </w:rPr>
        <w:t xml:space="preserve"> PGW asserts that these statements go to the subs</w:t>
      </w:r>
      <w:r w:rsidR="00FB217D">
        <w:rPr>
          <w:sz w:val="26"/>
          <w:szCs w:val="26"/>
        </w:rPr>
        <w:t xml:space="preserve">tance of the Complaint and whether </w:t>
      </w:r>
      <w:r w:rsidR="003A46D0">
        <w:rPr>
          <w:sz w:val="26"/>
          <w:szCs w:val="26"/>
        </w:rPr>
        <w:t>it is meritorious</w:t>
      </w:r>
      <w:r w:rsidR="00E72EAD">
        <w:rPr>
          <w:sz w:val="26"/>
          <w:szCs w:val="26"/>
        </w:rPr>
        <w:t>,</w:t>
      </w:r>
      <w:r w:rsidR="003A46D0">
        <w:rPr>
          <w:sz w:val="26"/>
          <w:szCs w:val="26"/>
        </w:rPr>
        <w:t xml:space="preserve"> and </w:t>
      </w:r>
      <w:r w:rsidR="00E72EAD">
        <w:rPr>
          <w:sz w:val="26"/>
          <w:szCs w:val="26"/>
        </w:rPr>
        <w:t>therefore</w:t>
      </w:r>
      <w:r w:rsidR="003A46D0">
        <w:rPr>
          <w:sz w:val="26"/>
          <w:szCs w:val="26"/>
        </w:rPr>
        <w:t xml:space="preserve"> a</w:t>
      </w:r>
      <w:r w:rsidR="00E72EAD">
        <w:rPr>
          <w:sz w:val="26"/>
          <w:szCs w:val="26"/>
        </w:rPr>
        <w:t xml:space="preserve">re conclusions </w:t>
      </w:r>
      <w:r w:rsidR="003A46D0">
        <w:rPr>
          <w:sz w:val="26"/>
          <w:szCs w:val="26"/>
        </w:rPr>
        <w:t xml:space="preserve">to which no response is required by PGW at this stage.  PGW, therefore, denies the averments and asserts that such </w:t>
      </w:r>
      <w:r w:rsidR="00E72EAD">
        <w:rPr>
          <w:sz w:val="26"/>
          <w:szCs w:val="26"/>
        </w:rPr>
        <w:t>averments are</w:t>
      </w:r>
      <w:r w:rsidR="003A46D0">
        <w:rPr>
          <w:sz w:val="26"/>
          <w:szCs w:val="26"/>
        </w:rPr>
        <w:t xml:space="preserve"> not valid reason</w:t>
      </w:r>
      <w:r w:rsidR="00FB217D">
        <w:rPr>
          <w:sz w:val="26"/>
          <w:szCs w:val="26"/>
        </w:rPr>
        <w:t>s</w:t>
      </w:r>
      <w:r w:rsidR="003A46D0">
        <w:rPr>
          <w:sz w:val="26"/>
          <w:szCs w:val="26"/>
        </w:rPr>
        <w:t xml:space="preserve"> for failing to retain counsel by April 5, 2017.  Answer at ¶ 16-17.</w:t>
      </w:r>
      <w:r>
        <w:rPr>
          <w:sz w:val="26"/>
          <w:szCs w:val="26"/>
        </w:rPr>
        <w:t xml:space="preserve"> </w:t>
      </w:r>
    </w:p>
    <w:p w:rsidR="003A46D0" w:rsidRDefault="003A46D0" w:rsidP="009537BA">
      <w:pPr>
        <w:widowControl/>
        <w:spacing w:line="360" w:lineRule="auto"/>
        <w:contextualSpacing/>
        <w:rPr>
          <w:b/>
          <w:sz w:val="26"/>
          <w:szCs w:val="26"/>
        </w:rPr>
      </w:pPr>
    </w:p>
    <w:p w:rsidR="001B0C5E" w:rsidRPr="003A46D0" w:rsidRDefault="001B0C5E" w:rsidP="00CF60E4">
      <w:pPr>
        <w:keepNext/>
        <w:keepLines/>
        <w:widowControl/>
        <w:spacing w:line="360" w:lineRule="auto"/>
        <w:contextualSpacing/>
        <w:rPr>
          <w:sz w:val="26"/>
          <w:szCs w:val="26"/>
        </w:rPr>
      </w:pPr>
      <w:r w:rsidRPr="000643D1">
        <w:rPr>
          <w:b/>
          <w:sz w:val="26"/>
          <w:szCs w:val="26"/>
        </w:rPr>
        <w:t>Disposition</w:t>
      </w:r>
    </w:p>
    <w:p w:rsidR="00057AAA" w:rsidRDefault="00057AAA" w:rsidP="00CF60E4">
      <w:pPr>
        <w:keepNext/>
        <w:keepLines/>
        <w:widowControl/>
        <w:spacing w:line="360" w:lineRule="auto"/>
        <w:contextualSpacing/>
        <w:rPr>
          <w:sz w:val="26"/>
          <w:szCs w:val="26"/>
        </w:rPr>
      </w:pPr>
    </w:p>
    <w:p w:rsidR="00CF60E4" w:rsidRDefault="005D0B2E" w:rsidP="00CF60E4">
      <w:pPr>
        <w:widowControl/>
        <w:spacing w:line="360" w:lineRule="auto"/>
        <w:ind w:firstLine="1440"/>
        <w:contextualSpacing/>
        <w:rPr>
          <w:spacing w:val="-3"/>
          <w:sz w:val="26"/>
        </w:rPr>
      </w:pPr>
      <w:r>
        <w:rPr>
          <w:spacing w:val="-3"/>
          <w:sz w:val="26"/>
        </w:rPr>
        <w:t xml:space="preserve">The </w:t>
      </w:r>
      <w:r w:rsidR="00344224">
        <w:rPr>
          <w:spacing w:val="-3"/>
          <w:sz w:val="26"/>
        </w:rPr>
        <w:t>Petitioner in this case is a limited partnership that was not represented by counsel</w:t>
      </w:r>
      <w:r w:rsidR="00CF60E4">
        <w:rPr>
          <w:spacing w:val="-3"/>
          <w:sz w:val="26"/>
        </w:rPr>
        <w:t xml:space="preserve"> in an adversarial proceeding</w:t>
      </w:r>
      <w:r w:rsidR="00344224">
        <w:rPr>
          <w:spacing w:val="-3"/>
          <w:sz w:val="26"/>
        </w:rPr>
        <w:t xml:space="preserve">.  The Commission’s </w:t>
      </w:r>
      <w:r w:rsidR="001E5F3A">
        <w:rPr>
          <w:spacing w:val="-3"/>
          <w:sz w:val="26"/>
        </w:rPr>
        <w:t>R</w:t>
      </w:r>
      <w:r w:rsidR="00344224">
        <w:rPr>
          <w:spacing w:val="-3"/>
          <w:sz w:val="26"/>
        </w:rPr>
        <w:t>egulations require</w:t>
      </w:r>
      <w:r w:rsidR="002A0237">
        <w:rPr>
          <w:spacing w:val="-3"/>
          <w:sz w:val="26"/>
        </w:rPr>
        <w:t xml:space="preserve"> </w:t>
      </w:r>
      <w:r w:rsidR="00CF60E4">
        <w:rPr>
          <w:spacing w:val="-3"/>
          <w:sz w:val="26"/>
        </w:rPr>
        <w:t xml:space="preserve">limited </w:t>
      </w:r>
      <w:r w:rsidR="002A0237">
        <w:rPr>
          <w:spacing w:val="-3"/>
          <w:sz w:val="26"/>
        </w:rPr>
        <w:t xml:space="preserve">partnerships, </w:t>
      </w:r>
      <w:r w:rsidR="00CF60E4" w:rsidRPr="00CF60E4">
        <w:rPr>
          <w:i/>
          <w:spacing w:val="-3"/>
          <w:sz w:val="26"/>
        </w:rPr>
        <w:t>inter alia</w:t>
      </w:r>
      <w:r w:rsidR="00CF60E4">
        <w:rPr>
          <w:spacing w:val="-3"/>
          <w:sz w:val="26"/>
        </w:rPr>
        <w:t>,</w:t>
      </w:r>
      <w:r w:rsidR="002A0237">
        <w:rPr>
          <w:spacing w:val="-3"/>
          <w:sz w:val="26"/>
        </w:rPr>
        <w:t xml:space="preserve"> </w:t>
      </w:r>
      <w:r w:rsidR="00344224">
        <w:rPr>
          <w:spacing w:val="-3"/>
          <w:sz w:val="26"/>
        </w:rPr>
        <w:t xml:space="preserve">to be represented by </w:t>
      </w:r>
      <w:r w:rsidR="002A0237">
        <w:rPr>
          <w:spacing w:val="-3"/>
          <w:sz w:val="26"/>
        </w:rPr>
        <w:t>attorneys in adversarial proceedings before the Commis</w:t>
      </w:r>
      <w:r w:rsidR="001E5F3A">
        <w:rPr>
          <w:spacing w:val="-3"/>
          <w:sz w:val="26"/>
        </w:rPr>
        <w:t>sion.  52 Pa. Code §</w:t>
      </w:r>
      <w:r w:rsidR="002A0237">
        <w:rPr>
          <w:spacing w:val="-3"/>
          <w:sz w:val="26"/>
        </w:rPr>
        <w:t xml:space="preserve"> 1.21</w:t>
      </w:r>
      <w:r w:rsidR="001E5F3A">
        <w:rPr>
          <w:spacing w:val="-3"/>
          <w:sz w:val="26"/>
        </w:rPr>
        <w:t>(b)</w:t>
      </w:r>
      <w:r w:rsidR="002A0237">
        <w:rPr>
          <w:spacing w:val="-3"/>
          <w:sz w:val="26"/>
        </w:rPr>
        <w:t>.</w:t>
      </w:r>
      <w:r w:rsidR="001E5F3A">
        <w:rPr>
          <w:rStyle w:val="FootnoteReference"/>
          <w:spacing w:val="-3"/>
          <w:sz w:val="26"/>
        </w:rPr>
        <w:footnoteReference w:id="1"/>
      </w:r>
      <w:r w:rsidR="00CF60E4">
        <w:rPr>
          <w:spacing w:val="-3"/>
          <w:sz w:val="26"/>
        </w:rPr>
        <w:t xml:space="preserve">  </w:t>
      </w:r>
    </w:p>
    <w:p w:rsidR="00CF60E4" w:rsidRDefault="00CF60E4" w:rsidP="00CF60E4">
      <w:pPr>
        <w:widowControl/>
        <w:spacing w:line="360" w:lineRule="auto"/>
        <w:ind w:firstLine="1440"/>
        <w:contextualSpacing/>
        <w:rPr>
          <w:spacing w:val="-3"/>
          <w:sz w:val="26"/>
          <w:szCs w:val="26"/>
        </w:rPr>
      </w:pPr>
    </w:p>
    <w:p w:rsidR="00CF60E4" w:rsidRDefault="00CF60E4" w:rsidP="00CF60E4">
      <w:pPr>
        <w:widowControl/>
        <w:spacing w:line="360" w:lineRule="auto"/>
        <w:ind w:firstLine="1440"/>
        <w:contextualSpacing/>
        <w:rPr>
          <w:sz w:val="26"/>
          <w:szCs w:val="26"/>
        </w:rPr>
      </w:pPr>
      <w:r>
        <w:rPr>
          <w:spacing w:val="-3"/>
          <w:sz w:val="26"/>
          <w:szCs w:val="26"/>
        </w:rPr>
        <w:t>The</w:t>
      </w:r>
      <w:r w:rsidRPr="0062336A">
        <w:rPr>
          <w:spacing w:val="-3"/>
          <w:sz w:val="26"/>
          <w:szCs w:val="26"/>
        </w:rPr>
        <w:t xml:space="preserve"> term “adversarial proceeding” is defined as “[a] </w:t>
      </w:r>
      <w:r w:rsidRPr="0062336A">
        <w:rPr>
          <w:sz w:val="26"/>
          <w:szCs w:val="26"/>
        </w:rPr>
        <w:t xml:space="preserve">proceeding initiated by a person to seek authority, approvals, tariff changes, enforcement, fines, remedies or other relief from the Commission which is contested by one or more other persons and which will be decided </w:t>
      </w:r>
      <w:proofErr w:type="gramStart"/>
      <w:r w:rsidRPr="0062336A">
        <w:rPr>
          <w:sz w:val="26"/>
          <w:szCs w:val="26"/>
        </w:rPr>
        <w:t>on the basis of</w:t>
      </w:r>
      <w:proofErr w:type="gramEnd"/>
      <w:r w:rsidRPr="0062336A">
        <w:rPr>
          <w:sz w:val="26"/>
          <w:szCs w:val="26"/>
        </w:rPr>
        <w:t xml:space="preserve"> a formal record.”  </w:t>
      </w:r>
      <w:r w:rsidRPr="0062336A">
        <w:rPr>
          <w:spacing w:val="-3"/>
          <w:sz w:val="26"/>
          <w:szCs w:val="26"/>
        </w:rPr>
        <w:t>52 Pa. Code § 1.8</w:t>
      </w:r>
      <w:r>
        <w:rPr>
          <w:spacing w:val="-3"/>
          <w:sz w:val="26"/>
          <w:szCs w:val="26"/>
        </w:rPr>
        <w:t>.</w:t>
      </w:r>
      <w:r w:rsidRPr="0062336A">
        <w:rPr>
          <w:spacing w:val="-3"/>
          <w:sz w:val="26"/>
          <w:szCs w:val="26"/>
        </w:rPr>
        <w:t xml:space="preserve"> </w:t>
      </w:r>
      <w:r>
        <w:rPr>
          <w:spacing w:val="-3"/>
          <w:sz w:val="26"/>
          <w:szCs w:val="26"/>
        </w:rPr>
        <w:t xml:space="preserve"> </w:t>
      </w:r>
      <w:r w:rsidRPr="0062336A">
        <w:rPr>
          <w:sz w:val="26"/>
          <w:szCs w:val="26"/>
        </w:rPr>
        <w:t>Additionally, the term “person” is defined as including “[I]</w:t>
      </w:r>
      <w:proofErr w:type="spellStart"/>
      <w:r w:rsidRPr="0062336A">
        <w:rPr>
          <w:sz w:val="26"/>
          <w:szCs w:val="26"/>
        </w:rPr>
        <w:t>ndividuals</w:t>
      </w:r>
      <w:proofErr w:type="spellEnd"/>
      <w:r w:rsidRPr="0062336A">
        <w:rPr>
          <w:sz w:val="26"/>
          <w:szCs w:val="26"/>
        </w:rPr>
        <w:t xml:space="preserve">, corporations, partnerships, associations, joint ventures, other business organizations, trusts, trustees, legal representatives, receivers, agencies, governmental entities, municipalities, municipal corporations or other political subdivisions.”  </w:t>
      </w:r>
      <w:r w:rsidRPr="0062336A">
        <w:rPr>
          <w:i/>
          <w:sz w:val="26"/>
          <w:szCs w:val="26"/>
        </w:rPr>
        <w:t>Id</w:t>
      </w:r>
      <w:r w:rsidRPr="0062336A">
        <w:rPr>
          <w:sz w:val="26"/>
          <w:szCs w:val="26"/>
        </w:rPr>
        <w:t>.</w:t>
      </w:r>
      <w:r w:rsidR="001E5F3A">
        <w:rPr>
          <w:sz w:val="26"/>
          <w:szCs w:val="26"/>
        </w:rPr>
        <w:t xml:space="preserve">  </w:t>
      </w:r>
    </w:p>
    <w:p w:rsidR="00CF60E4" w:rsidRDefault="00CF60E4" w:rsidP="00344224">
      <w:pPr>
        <w:widowControl/>
        <w:spacing w:line="360" w:lineRule="auto"/>
        <w:ind w:firstLine="1440"/>
        <w:contextualSpacing/>
        <w:rPr>
          <w:sz w:val="26"/>
          <w:szCs w:val="26"/>
        </w:rPr>
      </w:pPr>
    </w:p>
    <w:p w:rsidR="00CF60E4" w:rsidRDefault="00CF60E4" w:rsidP="00344224">
      <w:pPr>
        <w:widowControl/>
        <w:spacing w:line="360" w:lineRule="auto"/>
        <w:ind w:firstLine="1440"/>
        <w:contextualSpacing/>
        <w:rPr>
          <w:sz w:val="26"/>
          <w:szCs w:val="26"/>
        </w:rPr>
      </w:pPr>
      <w:r>
        <w:rPr>
          <w:sz w:val="26"/>
          <w:szCs w:val="26"/>
        </w:rPr>
        <w:t xml:space="preserve">This matter </w:t>
      </w:r>
      <w:r w:rsidR="0037474A">
        <w:rPr>
          <w:sz w:val="26"/>
          <w:szCs w:val="26"/>
        </w:rPr>
        <w:t>constitutes</w:t>
      </w:r>
      <w:r>
        <w:rPr>
          <w:sz w:val="26"/>
          <w:szCs w:val="26"/>
        </w:rPr>
        <w:t xml:space="preserve"> an adversarial proceeding</w:t>
      </w:r>
      <w:r w:rsidR="001E5F3A">
        <w:rPr>
          <w:sz w:val="26"/>
          <w:szCs w:val="26"/>
        </w:rPr>
        <w:t>,</w:t>
      </w:r>
      <w:r w:rsidR="00D42C0B">
        <w:rPr>
          <w:sz w:val="26"/>
          <w:szCs w:val="26"/>
        </w:rPr>
        <w:t xml:space="preserve"> as it involved the Formal Complaint filed by Liberty Towers against PGW regarding a</w:t>
      </w:r>
      <w:r>
        <w:rPr>
          <w:sz w:val="26"/>
          <w:szCs w:val="26"/>
        </w:rPr>
        <w:t xml:space="preserve"> billing dispute</w:t>
      </w:r>
      <w:r w:rsidR="00D42C0B">
        <w:rPr>
          <w:sz w:val="26"/>
          <w:szCs w:val="26"/>
        </w:rPr>
        <w:t>, in which Liberty Towers was seeking relief from the Commission</w:t>
      </w:r>
      <w:r>
        <w:rPr>
          <w:sz w:val="26"/>
          <w:szCs w:val="26"/>
        </w:rPr>
        <w:t xml:space="preserve">.  Accordingly, </w:t>
      </w:r>
      <w:r w:rsidR="00D42C0B">
        <w:rPr>
          <w:sz w:val="26"/>
          <w:szCs w:val="26"/>
        </w:rPr>
        <w:t xml:space="preserve">pursuant to the Commission’s Regulations, </w:t>
      </w:r>
      <w:r w:rsidR="00950EFF">
        <w:rPr>
          <w:sz w:val="26"/>
          <w:szCs w:val="26"/>
        </w:rPr>
        <w:t>Liberty</w:t>
      </w:r>
      <w:r w:rsidR="00D42C0B">
        <w:rPr>
          <w:sz w:val="26"/>
          <w:szCs w:val="26"/>
        </w:rPr>
        <w:t xml:space="preserve"> Towers</w:t>
      </w:r>
      <w:r w:rsidR="00950EFF">
        <w:rPr>
          <w:sz w:val="26"/>
          <w:szCs w:val="26"/>
        </w:rPr>
        <w:t>, a limited partnership, was requir</w:t>
      </w:r>
      <w:r>
        <w:rPr>
          <w:sz w:val="26"/>
          <w:szCs w:val="26"/>
        </w:rPr>
        <w:t>ed to be represented by counsel in this adversarial proceeding.</w:t>
      </w:r>
      <w:r w:rsidR="00950EFF">
        <w:rPr>
          <w:sz w:val="26"/>
          <w:szCs w:val="26"/>
        </w:rPr>
        <w:t xml:space="preserve">  </w:t>
      </w:r>
    </w:p>
    <w:p w:rsidR="00CF60E4" w:rsidRDefault="00CF60E4" w:rsidP="00344224">
      <w:pPr>
        <w:widowControl/>
        <w:spacing w:line="360" w:lineRule="auto"/>
        <w:ind w:firstLine="1440"/>
        <w:contextualSpacing/>
        <w:rPr>
          <w:sz w:val="26"/>
          <w:szCs w:val="26"/>
        </w:rPr>
      </w:pPr>
    </w:p>
    <w:p w:rsidR="00F71E81" w:rsidRDefault="00F71E81" w:rsidP="00F71E81">
      <w:pPr>
        <w:widowControl/>
        <w:spacing w:line="360" w:lineRule="auto"/>
        <w:ind w:firstLine="1440"/>
        <w:contextualSpacing/>
        <w:rPr>
          <w:sz w:val="26"/>
          <w:szCs w:val="26"/>
        </w:rPr>
      </w:pPr>
      <w:r>
        <w:rPr>
          <w:sz w:val="26"/>
          <w:szCs w:val="26"/>
        </w:rPr>
        <w:t xml:space="preserve">Liberty Towers </w:t>
      </w:r>
      <w:r w:rsidRPr="005E1CEC">
        <w:rPr>
          <w:sz w:val="26"/>
          <w:szCs w:val="26"/>
        </w:rPr>
        <w:t xml:space="preserve">was </w:t>
      </w:r>
      <w:r w:rsidR="00046739">
        <w:rPr>
          <w:sz w:val="26"/>
          <w:szCs w:val="26"/>
        </w:rPr>
        <w:t xml:space="preserve">given sufficient notice of </w:t>
      </w:r>
      <w:r w:rsidRPr="005E1CEC">
        <w:rPr>
          <w:sz w:val="26"/>
          <w:szCs w:val="26"/>
        </w:rPr>
        <w:t>the requirement that it must have counsel</w:t>
      </w:r>
      <w:r w:rsidR="00D42C0B">
        <w:rPr>
          <w:sz w:val="26"/>
          <w:szCs w:val="26"/>
        </w:rPr>
        <w:t xml:space="preserve"> in this proceeding, by</w:t>
      </w:r>
      <w:r w:rsidRPr="005E1CEC">
        <w:rPr>
          <w:sz w:val="26"/>
          <w:szCs w:val="26"/>
        </w:rPr>
        <w:t xml:space="preserve"> </w:t>
      </w:r>
      <w:r w:rsidR="00046739">
        <w:rPr>
          <w:sz w:val="26"/>
          <w:szCs w:val="26"/>
        </w:rPr>
        <w:t xml:space="preserve">both </w:t>
      </w:r>
      <w:r w:rsidRPr="005E1CEC">
        <w:rPr>
          <w:sz w:val="26"/>
          <w:szCs w:val="26"/>
        </w:rPr>
        <w:t>the Hearing Notice dated March 6, 2017</w:t>
      </w:r>
      <w:r>
        <w:rPr>
          <w:sz w:val="26"/>
          <w:szCs w:val="26"/>
        </w:rPr>
        <w:t>,</w:t>
      </w:r>
      <w:r w:rsidRPr="005E1CEC">
        <w:rPr>
          <w:sz w:val="26"/>
          <w:szCs w:val="26"/>
        </w:rPr>
        <w:t xml:space="preserve"> and </w:t>
      </w:r>
      <w:r>
        <w:rPr>
          <w:sz w:val="26"/>
          <w:szCs w:val="26"/>
        </w:rPr>
        <w:t>the</w:t>
      </w:r>
      <w:r w:rsidRPr="005E1CEC">
        <w:rPr>
          <w:sz w:val="26"/>
          <w:szCs w:val="26"/>
        </w:rPr>
        <w:t xml:space="preserve"> Prehearing Order dated March 17, 2017. </w:t>
      </w:r>
      <w:r>
        <w:rPr>
          <w:sz w:val="26"/>
          <w:szCs w:val="26"/>
        </w:rPr>
        <w:t xml:space="preserve"> Specifically, the Prehearing Order directed Liberty Towers to have an attorney enter an appearance by April 5, 2017.  The ALJ explained in </w:t>
      </w:r>
      <w:r w:rsidR="001E5F3A">
        <w:rPr>
          <w:sz w:val="26"/>
          <w:szCs w:val="26"/>
        </w:rPr>
        <w:t>her</w:t>
      </w:r>
      <w:r>
        <w:rPr>
          <w:sz w:val="26"/>
          <w:szCs w:val="26"/>
        </w:rPr>
        <w:t xml:space="preserve"> Initial Decision that n</w:t>
      </w:r>
      <w:r w:rsidRPr="005E1CEC">
        <w:rPr>
          <w:sz w:val="26"/>
          <w:szCs w:val="26"/>
        </w:rPr>
        <w:t xml:space="preserve">either the Hearing Notice nor the Prehearing Order </w:t>
      </w:r>
      <w:r w:rsidR="001E5F3A">
        <w:rPr>
          <w:sz w:val="26"/>
          <w:szCs w:val="26"/>
        </w:rPr>
        <w:t>had been</w:t>
      </w:r>
      <w:r w:rsidRPr="005E1CEC">
        <w:rPr>
          <w:sz w:val="26"/>
          <w:szCs w:val="26"/>
        </w:rPr>
        <w:t xml:space="preserve"> returned to the Commission by the U.S. </w:t>
      </w:r>
      <w:r>
        <w:rPr>
          <w:sz w:val="26"/>
          <w:szCs w:val="26"/>
        </w:rPr>
        <w:t>Postal Service as undeliverable.  Therefore, such documents are</w:t>
      </w:r>
      <w:r w:rsidRPr="005E1CEC">
        <w:rPr>
          <w:sz w:val="26"/>
          <w:szCs w:val="26"/>
        </w:rPr>
        <w:t xml:space="preserve"> deemed to have been received.</w:t>
      </w:r>
      <w:r>
        <w:rPr>
          <w:sz w:val="26"/>
          <w:szCs w:val="26"/>
        </w:rPr>
        <w:t xml:space="preserve"> </w:t>
      </w:r>
      <w:r w:rsidRPr="005E1CEC">
        <w:rPr>
          <w:sz w:val="26"/>
          <w:szCs w:val="26"/>
        </w:rPr>
        <w:t xml:space="preserve"> </w:t>
      </w:r>
      <w:r w:rsidRPr="005E1CEC">
        <w:rPr>
          <w:i/>
          <w:iCs/>
          <w:sz w:val="26"/>
          <w:szCs w:val="26"/>
        </w:rPr>
        <w:t>Berkowitz v. Mayflower Securities</w:t>
      </w:r>
      <w:r w:rsidRPr="005E1CEC">
        <w:rPr>
          <w:sz w:val="26"/>
          <w:szCs w:val="26"/>
        </w:rPr>
        <w:t xml:space="preserve">, 455 Pa. 531, 317 A. 2d 584 (1974), </w:t>
      </w:r>
      <w:proofErr w:type="spellStart"/>
      <w:r w:rsidRPr="005E1CEC">
        <w:rPr>
          <w:i/>
          <w:iCs/>
          <w:sz w:val="26"/>
          <w:szCs w:val="26"/>
        </w:rPr>
        <w:t>Chartiers</w:t>
      </w:r>
      <w:proofErr w:type="spellEnd"/>
      <w:r w:rsidRPr="005E1CEC">
        <w:rPr>
          <w:i/>
          <w:iCs/>
          <w:sz w:val="26"/>
          <w:szCs w:val="26"/>
        </w:rPr>
        <w:t xml:space="preserve"> Industrial and Commercial Development Authority v. Allegheny County Board of Property Assessment Appeals and Review</w:t>
      </w:r>
      <w:r w:rsidRPr="005E1CEC">
        <w:rPr>
          <w:sz w:val="26"/>
          <w:szCs w:val="26"/>
        </w:rPr>
        <w:t xml:space="preserve">, 645 A.2d 944 (Pa. </w:t>
      </w:r>
      <w:proofErr w:type="spellStart"/>
      <w:r w:rsidRPr="005E1CEC">
        <w:rPr>
          <w:sz w:val="26"/>
          <w:szCs w:val="26"/>
        </w:rPr>
        <w:t>Cmwlth</w:t>
      </w:r>
      <w:proofErr w:type="spellEnd"/>
      <w:r w:rsidRPr="005E1CEC">
        <w:rPr>
          <w:sz w:val="26"/>
          <w:szCs w:val="26"/>
        </w:rPr>
        <w:t>. 1994).</w:t>
      </w:r>
      <w:r>
        <w:rPr>
          <w:sz w:val="26"/>
          <w:szCs w:val="26"/>
        </w:rPr>
        <w:t xml:space="preserve">  </w:t>
      </w:r>
    </w:p>
    <w:p w:rsidR="00CF60E4" w:rsidRDefault="00CF60E4" w:rsidP="00F71E81">
      <w:pPr>
        <w:widowControl/>
        <w:spacing w:line="360" w:lineRule="auto"/>
        <w:ind w:firstLine="1440"/>
        <w:contextualSpacing/>
        <w:rPr>
          <w:sz w:val="26"/>
          <w:szCs w:val="26"/>
        </w:rPr>
      </w:pPr>
    </w:p>
    <w:p w:rsidR="001E5F3A" w:rsidRDefault="001E5F3A" w:rsidP="001E5F3A">
      <w:pPr>
        <w:widowControl/>
        <w:spacing w:line="360" w:lineRule="auto"/>
        <w:ind w:firstLine="1440"/>
        <w:contextualSpacing/>
        <w:rPr>
          <w:sz w:val="26"/>
          <w:szCs w:val="26"/>
        </w:rPr>
      </w:pPr>
      <w:r>
        <w:rPr>
          <w:sz w:val="26"/>
          <w:szCs w:val="26"/>
        </w:rPr>
        <w:t xml:space="preserve">Liberty failed to comply with the March 17, 2017 Prehearing Order.  Failure to comply with an order issued by a presiding officer warrants dismissal of the application or complaint.  </w:t>
      </w:r>
      <w:r w:rsidRPr="000851AB">
        <w:rPr>
          <w:i/>
          <w:sz w:val="26"/>
          <w:szCs w:val="26"/>
        </w:rPr>
        <w:t>See e.g. Application of And Ex Cor, A2-12-2337848</w:t>
      </w:r>
      <w:r>
        <w:rPr>
          <w:sz w:val="26"/>
          <w:szCs w:val="26"/>
        </w:rPr>
        <w:t xml:space="preserve"> (Order entered June 19, 2013); </w:t>
      </w:r>
      <w:r w:rsidRPr="000851AB">
        <w:rPr>
          <w:i/>
          <w:sz w:val="26"/>
          <w:szCs w:val="26"/>
        </w:rPr>
        <w:t xml:space="preserve">New </w:t>
      </w:r>
      <w:proofErr w:type="spellStart"/>
      <w:r w:rsidRPr="000851AB">
        <w:rPr>
          <w:i/>
          <w:sz w:val="26"/>
          <w:szCs w:val="26"/>
        </w:rPr>
        <w:t>Fizon</w:t>
      </w:r>
      <w:proofErr w:type="spellEnd"/>
      <w:r w:rsidRPr="000851AB">
        <w:rPr>
          <w:i/>
          <w:sz w:val="26"/>
          <w:szCs w:val="26"/>
        </w:rPr>
        <w:t xml:space="preserve"> Catering, Inc. v. PECO Energy Co</w:t>
      </w:r>
      <w:r>
        <w:rPr>
          <w:sz w:val="26"/>
          <w:szCs w:val="26"/>
        </w:rPr>
        <w:t xml:space="preserve">., Docket Nos. C-2008-2065498 and C-2008-2079076 (Order entered June 24, 2009); </w:t>
      </w:r>
      <w:proofErr w:type="spellStart"/>
      <w:r w:rsidRPr="000851AB">
        <w:rPr>
          <w:i/>
          <w:sz w:val="26"/>
          <w:szCs w:val="26"/>
        </w:rPr>
        <w:t>Snyderville</w:t>
      </w:r>
      <w:proofErr w:type="spellEnd"/>
      <w:r w:rsidRPr="000851AB">
        <w:rPr>
          <w:i/>
          <w:sz w:val="26"/>
          <w:szCs w:val="26"/>
        </w:rPr>
        <w:t xml:space="preserve"> Community Development Corp. v. Philadelphia Gas Works</w:t>
      </w:r>
      <w:r>
        <w:rPr>
          <w:sz w:val="26"/>
          <w:szCs w:val="26"/>
        </w:rPr>
        <w:t>, Docket No. C-20055032 (Order entered July 31, 2016).</w:t>
      </w:r>
    </w:p>
    <w:p w:rsidR="001E5F3A" w:rsidRDefault="001E5F3A" w:rsidP="001E5F3A">
      <w:pPr>
        <w:widowControl/>
        <w:spacing w:line="360" w:lineRule="auto"/>
        <w:ind w:firstLine="1440"/>
        <w:contextualSpacing/>
        <w:rPr>
          <w:sz w:val="26"/>
          <w:szCs w:val="26"/>
        </w:rPr>
      </w:pPr>
    </w:p>
    <w:p w:rsidR="0037474A" w:rsidRDefault="0037474A" w:rsidP="00046739">
      <w:pPr>
        <w:widowControl/>
        <w:spacing w:line="360" w:lineRule="auto"/>
        <w:ind w:firstLine="1440"/>
        <w:contextualSpacing/>
        <w:rPr>
          <w:rFonts w:eastAsiaTheme="minorHAnsi"/>
          <w:color w:val="000000"/>
          <w:sz w:val="26"/>
          <w:szCs w:val="26"/>
        </w:rPr>
      </w:pPr>
      <w:r>
        <w:rPr>
          <w:sz w:val="26"/>
          <w:szCs w:val="26"/>
        </w:rPr>
        <w:t>Additionally, t</w:t>
      </w:r>
      <w:r w:rsidRPr="005E1CEC">
        <w:rPr>
          <w:sz w:val="26"/>
          <w:szCs w:val="26"/>
        </w:rPr>
        <w:t xml:space="preserve">he ALJ </w:t>
      </w:r>
      <w:r>
        <w:rPr>
          <w:sz w:val="26"/>
          <w:szCs w:val="26"/>
        </w:rPr>
        <w:t>stated in her Initial Decision</w:t>
      </w:r>
      <w:r w:rsidRPr="005E1CEC">
        <w:rPr>
          <w:sz w:val="26"/>
          <w:szCs w:val="26"/>
        </w:rPr>
        <w:t xml:space="preserve"> that Liberty Tower had not contacted her regarding such representation.  </w:t>
      </w:r>
      <w:r w:rsidRPr="005E1CEC">
        <w:rPr>
          <w:rFonts w:eastAsiaTheme="minorHAnsi"/>
          <w:color w:val="000000"/>
          <w:sz w:val="26"/>
          <w:szCs w:val="26"/>
        </w:rPr>
        <w:t>I.D. at 3,</w:t>
      </w:r>
      <w:r>
        <w:rPr>
          <w:rFonts w:eastAsiaTheme="minorHAnsi"/>
          <w:color w:val="000000"/>
          <w:sz w:val="26"/>
          <w:szCs w:val="26"/>
        </w:rPr>
        <w:t xml:space="preserve"> 4</w:t>
      </w:r>
      <w:r w:rsidRPr="005E1CEC">
        <w:rPr>
          <w:rFonts w:eastAsiaTheme="minorHAnsi"/>
          <w:color w:val="000000"/>
          <w:sz w:val="26"/>
          <w:szCs w:val="26"/>
        </w:rPr>
        <w:t>.</w:t>
      </w:r>
      <w:r>
        <w:rPr>
          <w:rFonts w:eastAsiaTheme="minorHAnsi"/>
          <w:color w:val="000000"/>
          <w:sz w:val="26"/>
          <w:szCs w:val="26"/>
        </w:rPr>
        <w:t xml:space="preserve">  </w:t>
      </w:r>
    </w:p>
    <w:p w:rsidR="0037474A" w:rsidRDefault="0037474A" w:rsidP="00046739">
      <w:pPr>
        <w:widowControl/>
        <w:spacing w:line="360" w:lineRule="auto"/>
        <w:ind w:firstLine="1440"/>
        <w:contextualSpacing/>
        <w:rPr>
          <w:rFonts w:eastAsiaTheme="minorHAnsi"/>
          <w:color w:val="000000"/>
          <w:sz w:val="26"/>
          <w:szCs w:val="26"/>
        </w:rPr>
      </w:pPr>
    </w:p>
    <w:p w:rsidR="009178A6" w:rsidRDefault="000851AB" w:rsidP="00046739">
      <w:pPr>
        <w:widowControl/>
        <w:spacing w:line="360" w:lineRule="auto"/>
        <w:ind w:firstLine="1440"/>
        <w:contextualSpacing/>
        <w:rPr>
          <w:sz w:val="26"/>
          <w:szCs w:val="26"/>
        </w:rPr>
      </w:pPr>
      <w:r>
        <w:rPr>
          <w:sz w:val="26"/>
          <w:szCs w:val="26"/>
        </w:rPr>
        <w:t xml:space="preserve">In its Petition, Liberty </w:t>
      </w:r>
      <w:r w:rsidR="00457487">
        <w:rPr>
          <w:sz w:val="26"/>
          <w:szCs w:val="26"/>
        </w:rPr>
        <w:t>states</w:t>
      </w:r>
      <w:r>
        <w:rPr>
          <w:sz w:val="26"/>
          <w:szCs w:val="26"/>
        </w:rPr>
        <w:t xml:space="preserve"> that the reason for the case dismissal was its failure to retain counsel by </w:t>
      </w:r>
      <w:proofErr w:type="gramStart"/>
      <w:r>
        <w:rPr>
          <w:sz w:val="26"/>
          <w:szCs w:val="26"/>
        </w:rPr>
        <w:t>April 5, 2017, and</w:t>
      </w:r>
      <w:proofErr w:type="gramEnd"/>
      <w:r>
        <w:rPr>
          <w:sz w:val="26"/>
          <w:szCs w:val="26"/>
        </w:rPr>
        <w:t xml:space="preserve"> </w:t>
      </w:r>
      <w:r w:rsidR="00457487">
        <w:rPr>
          <w:sz w:val="26"/>
          <w:szCs w:val="26"/>
        </w:rPr>
        <w:t>argues that since</w:t>
      </w:r>
      <w:r w:rsidR="009178A6">
        <w:rPr>
          <w:sz w:val="26"/>
          <w:szCs w:val="26"/>
        </w:rPr>
        <w:t xml:space="preserve"> this failure has been cured by the filing of an attorney’s Notice of Appearance in conjunction with the instant Petition, </w:t>
      </w:r>
      <w:r>
        <w:rPr>
          <w:sz w:val="26"/>
          <w:szCs w:val="26"/>
        </w:rPr>
        <w:t>it should be granted</w:t>
      </w:r>
      <w:r w:rsidR="00457487">
        <w:rPr>
          <w:sz w:val="26"/>
          <w:szCs w:val="26"/>
        </w:rPr>
        <w:t xml:space="preserve"> a hearing i</w:t>
      </w:r>
      <w:r>
        <w:rPr>
          <w:sz w:val="26"/>
          <w:szCs w:val="26"/>
        </w:rPr>
        <w:t xml:space="preserve">n the case.  </w:t>
      </w:r>
    </w:p>
    <w:p w:rsidR="009178A6" w:rsidRDefault="009178A6" w:rsidP="00046739">
      <w:pPr>
        <w:widowControl/>
        <w:spacing w:line="360" w:lineRule="auto"/>
        <w:ind w:firstLine="1440"/>
        <w:contextualSpacing/>
        <w:rPr>
          <w:sz w:val="26"/>
          <w:szCs w:val="26"/>
        </w:rPr>
      </w:pPr>
    </w:p>
    <w:p w:rsidR="000851AB" w:rsidRDefault="000851AB" w:rsidP="00046739">
      <w:pPr>
        <w:widowControl/>
        <w:spacing w:line="360" w:lineRule="auto"/>
        <w:ind w:firstLine="1440"/>
        <w:contextualSpacing/>
        <w:rPr>
          <w:sz w:val="26"/>
          <w:szCs w:val="26"/>
        </w:rPr>
      </w:pPr>
      <w:r>
        <w:rPr>
          <w:sz w:val="26"/>
          <w:szCs w:val="26"/>
        </w:rPr>
        <w:t>Liberty</w:t>
      </w:r>
      <w:r w:rsidR="00457487">
        <w:rPr>
          <w:sz w:val="26"/>
          <w:szCs w:val="26"/>
        </w:rPr>
        <w:t xml:space="preserve"> also</w:t>
      </w:r>
      <w:r>
        <w:rPr>
          <w:sz w:val="26"/>
          <w:szCs w:val="26"/>
        </w:rPr>
        <w:t xml:space="preserve"> asserts in its Petition</w:t>
      </w:r>
      <w:r w:rsidR="001E5F3A">
        <w:rPr>
          <w:sz w:val="26"/>
          <w:szCs w:val="26"/>
        </w:rPr>
        <w:t xml:space="preserve"> that it had </w:t>
      </w:r>
      <w:r>
        <w:rPr>
          <w:sz w:val="26"/>
          <w:szCs w:val="26"/>
        </w:rPr>
        <w:t xml:space="preserve">valid reasons for failing to </w:t>
      </w:r>
      <w:r w:rsidR="00457487">
        <w:rPr>
          <w:sz w:val="26"/>
          <w:szCs w:val="26"/>
        </w:rPr>
        <w:t xml:space="preserve">adhere to the ALJ’s Prehearing Order and </w:t>
      </w:r>
      <w:r>
        <w:rPr>
          <w:sz w:val="26"/>
          <w:szCs w:val="26"/>
        </w:rPr>
        <w:t xml:space="preserve">retain counsel by the April 5, 2017 deadline.  First, the Petitioner claims that its manager was not in the Commonwealth at the time the March 17, 2017 Prehearing Order was issued, and never received it.  Petition at ¶¶ 12-13.  Next, Liberty asserts it reasonably believed that it would be able to reach an amicable solution to this matter with PGW, making the hearing unnecessary.  Petition at ¶ 14.  Finally, it further claims that its manager was unfamiliar with the processes of the Commission.  Petition at ¶ 15.  </w:t>
      </w:r>
    </w:p>
    <w:p w:rsidR="000851AB" w:rsidRDefault="000851AB" w:rsidP="00344224">
      <w:pPr>
        <w:widowControl/>
        <w:spacing w:line="360" w:lineRule="auto"/>
        <w:ind w:firstLine="1440"/>
        <w:contextualSpacing/>
        <w:rPr>
          <w:sz w:val="26"/>
          <w:szCs w:val="26"/>
        </w:rPr>
      </w:pPr>
    </w:p>
    <w:p w:rsidR="000851AB" w:rsidRDefault="000851AB" w:rsidP="000851AB">
      <w:pPr>
        <w:widowControl/>
        <w:spacing w:line="360" w:lineRule="auto"/>
        <w:ind w:firstLine="1440"/>
        <w:contextualSpacing/>
        <w:rPr>
          <w:sz w:val="26"/>
          <w:szCs w:val="26"/>
        </w:rPr>
      </w:pPr>
      <w:r>
        <w:rPr>
          <w:rFonts w:eastAsiaTheme="minorHAnsi"/>
          <w:sz w:val="26"/>
          <w:szCs w:val="26"/>
        </w:rPr>
        <w:t xml:space="preserve">Having reviewed Liberty’s Petition in full, we </w:t>
      </w:r>
      <w:r w:rsidR="00046739">
        <w:rPr>
          <w:rFonts w:eastAsiaTheme="minorHAnsi"/>
          <w:sz w:val="26"/>
          <w:szCs w:val="26"/>
        </w:rPr>
        <w:t>are compelled to deny it</w:t>
      </w:r>
      <w:r>
        <w:rPr>
          <w:rFonts w:eastAsiaTheme="minorHAnsi"/>
          <w:sz w:val="26"/>
          <w:szCs w:val="26"/>
        </w:rPr>
        <w:t xml:space="preserve">.  In our view, the reasons provided by Liberty in its Petition for its failure to adhere to the ALJ’s Prehearing Order are without merit and do not </w:t>
      </w:r>
      <w:r w:rsidR="00F71E81">
        <w:rPr>
          <w:rFonts w:eastAsiaTheme="minorHAnsi"/>
          <w:sz w:val="26"/>
          <w:szCs w:val="26"/>
        </w:rPr>
        <w:t>constitute appropriate circumstances for disturbance of the Commission’s Final Order in this docket</w:t>
      </w:r>
      <w:r>
        <w:rPr>
          <w:rFonts w:eastAsiaTheme="minorHAnsi"/>
          <w:sz w:val="26"/>
          <w:szCs w:val="26"/>
        </w:rPr>
        <w:t xml:space="preserve">.  </w:t>
      </w:r>
      <w:r w:rsidR="00F71E81" w:rsidRPr="00F71E81">
        <w:rPr>
          <w:rFonts w:eastAsiaTheme="minorHAnsi"/>
          <w:i/>
          <w:sz w:val="26"/>
          <w:szCs w:val="26"/>
        </w:rPr>
        <w:t>See</w:t>
      </w:r>
      <w:r w:rsidR="00F71E81">
        <w:rPr>
          <w:rFonts w:eastAsiaTheme="minorHAnsi"/>
          <w:sz w:val="26"/>
          <w:szCs w:val="26"/>
        </w:rPr>
        <w:t xml:space="preserve"> </w:t>
      </w:r>
      <w:r w:rsidR="00F71E81" w:rsidRPr="00F71E81">
        <w:rPr>
          <w:rFonts w:eastAsiaTheme="minorHAnsi"/>
          <w:i/>
          <w:sz w:val="26"/>
          <w:szCs w:val="26"/>
        </w:rPr>
        <w:t>City of Pittsburgh</w:t>
      </w:r>
      <w:r w:rsidR="00F71E81">
        <w:rPr>
          <w:rFonts w:eastAsiaTheme="minorHAnsi"/>
          <w:sz w:val="26"/>
          <w:szCs w:val="26"/>
        </w:rPr>
        <w:t xml:space="preserve">.  </w:t>
      </w:r>
      <w:r>
        <w:rPr>
          <w:rFonts w:eastAsiaTheme="minorHAnsi"/>
          <w:sz w:val="26"/>
          <w:szCs w:val="26"/>
        </w:rPr>
        <w:t xml:space="preserve">Specifically, the reasons used by Liberty do not explain why it did not contact the ALJ for (a) a further explanation on why it needed an attorney; (b) its failure to retain legal counsel by the prescribed dated; or (c) why it failed to request to seek an extension of the deadline established by the ALJ for having an appearance.  </w:t>
      </w:r>
      <w:r w:rsidR="00F71E81">
        <w:rPr>
          <w:rFonts w:eastAsiaTheme="minorHAnsi"/>
          <w:sz w:val="26"/>
          <w:szCs w:val="26"/>
        </w:rPr>
        <w:t>Moreover</w:t>
      </w:r>
      <w:r>
        <w:rPr>
          <w:rFonts w:eastAsiaTheme="minorHAnsi"/>
          <w:sz w:val="26"/>
          <w:szCs w:val="26"/>
        </w:rPr>
        <w:t>, Liberty</w:t>
      </w:r>
      <w:r w:rsidR="00F71E81">
        <w:rPr>
          <w:rFonts w:eastAsiaTheme="minorHAnsi"/>
          <w:sz w:val="26"/>
          <w:szCs w:val="26"/>
        </w:rPr>
        <w:t>’s Petition p</w:t>
      </w:r>
      <w:r>
        <w:rPr>
          <w:rFonts w:eastAsiaTheme="minorHAnsi"/>
          <w:sz w:val="26"/>
          <w:szCs w:val="26"/>
        </w:rPr>
        <w:t xml:space="preserve">resented no </w:t>
      </w:r>
      <w:r w:rsidR="00F71E81" w:rsidRPr="004579A4">
        <w:rPr>
          <w:color w:val="000000"/>
          <w:spacing w:val="-3"/>
          <w:sz w:val="26"/>
          <w:szCs w:val="26"/>
          <w:u w:color="000000"/>
        </w:rPr>
        <w:t xml:space="preserve">new and novel arguments not previously heard or considerations which appear to have been overlooked or not addressed by the Commission.  </w:t>
      </w:r>
      <w:r w:rsidR="00F71E81" w:rsidRPr="00F71E81">
        <w:rPr>
          <w:i/>
          <w:color w:val="000000"/>
          <w:spacing w:val="-3"/>
          <w:sz w:val="26"/>
          <w:szCs w:val="26"/>
          <w:u w:color="000000"/>
        </w:rPr>
        <w:t xml:space="preserve">See </w:t>
      </w:r>
      <w:proofErr w:type="spellStart"/>
      <w:r w:rsidR="00F71E81" w:rsidRPr="004579A4">
        <w:rPr>
          <w:i/>
          <w:color w:val="000000"/>
          <w:spacing w:val="-3"/>
          <w:sz w:val="26"/>
          <w:szCs w:val="26"/>
          <w:u w:color="000000"/>
        </w:rPr>
        <w:t>Duick</w:t>
      </w:r>
      <w:proofErr w:type="spellEnd"/>
      <w:r w:rsidR="00F71E81" w:rsidRPr="004579A4">
        <w:rPr>
          <w:color w:val="000000"/>
          <w:spacing w:val="-3"/>
          <w:sz w:val="26"/>
          <w:szCs w:val="26"/>
          <w:u w:color="000000"/>
        </w:rPr>
        <w:t xml:space="preserve">.   </w:t>
      </w:r>
    </w:p>
    <w:p w:rsidR="00F71E81" w:rsidRDefault="00F71E81" w:rsidP="000851AB">
      <w:pPr>
        <w:widowControl/>
        <w:spacing w:line="360" w:lineRule="auto"/>
        <w:ind w:firstLine="1440"/>
        <w:contextualSpacing/>
        <w:rPr>
          <w:sz w:val="26"/>
          <w:szCs w:val="26"/>
        </w:rPr>
      </w:pPr>
    </w:p>
    <w:p w:rsidR="009178A6" w:rsidRDefault="009178A6" w:rsidP="00F71E81">
      <w:pPr>
        <w:widowControl/>
        <w:spacing w:line="360" w:lineRule="auto"/>
        <w:ind w:firstLine="1440"/>
        <w:contextualSpacing/>
        <w:rPr>
          <w:sz w:val="26"/>
          <w:szCs w:val="26"/>
        </w:rPr>
      </w:pPr>
      <w:r>
        <w:rPr>
          <w:sz w:val="26"/>
          <w:szCs w:val="26"/>
        </w:rPr>
        <w:t xml:space="preserve">While we acknowledge that </w:t>
      </w:r>
      <w:r w:rsidR="00F71E81">
        <w:rPr>
          <w:sz w:val="26"/>
          <w:szCs w:val="26"/>
        </w:rPr>
        <w:t xml:space="preserve">Liberty’s attorney filed a Notice of Appearance on August 24, 2017, </w:t>
      </w:r>
      <w:r>
        <w:rPr>
          <w:sz w:val="26"/>
          <w:szCs w:val="26"/>
        </w:rPr>
        <w:t xml:space="preserve">such entry of appearance was filed </w:t>
      </w:r>
      <w:r w:rsidR="00F71E81">
        <w:rPr>
          <w:sz w:val="26"/>
          <w:szCs w:val="26"/>
        </w:rPr>
        <w:t xml:space="preserve">approximately eight months after </w:t>
      </w:r>
      <w:r>
        <w:rPr>
          <w:sz w:val="26"/>
          <w:szCs w:val="26"/>
        </w:rPr>
        <w:t xml:space="preserve">the date the </w:t>
      </w:r>
      <w:r w:rsidR="00F71E81">
        <w:rPr>
          <w:sz w:val="26"/>
          <w:szCs w:val="26"/>
        </w:rPr>
        <w:t>Complaint</w:t>
      </w:r>
      <w:r>
        <w:rPr>
          <w:sz w:val="26"/>
          <w:szCs w:val="26"/>
        </w:rPr>
        <w:t xml:space="preserve"> had been filed</w:t>
      </w:r>
      <w:r w:rsidR="00F71E81">
        <w:rPr>
          <w:sz w:val="26"/>
          <w:szCs w:val="26"/>
        </w:rPr>
        <w:t xml:space="preserve">, and five months after the </w:t>
      </w:r>
      <w:r>
        <w:rPr>
          <w:sz w:val="26"/>
          <w:szCs w:val="26"/>
        </w:rPr>
        <w:t xml:space="preserve">March 17, 2017 </w:t>
      </w:r>
      <w:r w:rsidR="00F71E81">
        <w:rPr>
          <w:sz w:val="26"/>
          <w:szCs w:val="26"/>
        </w:rPr>
        <w:t xml:space="preserve">Prehearing Order </w:t>
      </w:r>
      <w:r>
        <w:rPr>
          <w:sz w:val="26"/>
          <w:szCs w:val="26"/>
        </w:rPr>
        <w:t>had been</w:t>
      </w:r>
      <w:r w:rsidR="00F71E81">
        <w:rPr>
          <w:sz w:val="26"/>
          <w:szCs w:val="26"/>
        </w:rPr>
        <w:t xml:space="preserve"> issued.  </w:t>
      </w:r>
      <w:r>
        <w:rPr>
          <w:sz w:val="26"/>
          <w:szCs w:val="26"/>
        </w:rPr>
        <w:t xml:space="preserve">In our view, </w:t>
      </w:r>
      <w:r w:rsidR="00F71E81">
        <w:rPr>
          <w:sz w:val="26"/>
          <w:szCs w:val="26"/>
        </w:rPr>
        <w:t>Liberty had ample time to obtain legal representation</w:t>
      </w:r>
      <w:r w:rsidR="00046739">
        <w:rPr>
          <w:sz w:val="26"/>
          <w:szCs w:val="26"/>
        </w:rPr>
        <w:t xml:space="preserve"> in this proceeding</w:t>
      </w:r>
      <w:r w:rsidR="00F71E81">
        <w:rPr>
          <w:sz w:val="26"/>
          <w:szCs w:val="26"/>
        </w:rPr>
        <w:t xml:space="preserve">, </w:t>
      </w:r>
      <w:r>
        <w:rPr>
          <w:sz w:val="26"/>
          <w:szCs w:val="26"/>
        </w:rPr>
        <w:t>but</w:t>
      </w:r>
      <w:r w:rsidR="00F71E81">
        <w:rPr>
          <w:sz w:val="26"/>
          <w:szCs w:val="26"/>
        </w:rPr>
        <w:t xml:space="preserve"> it </w:t>
      </w:r>
      <w:r w:rsidR="00046739">
        <w:rPr>
          <w:sz w:val="26"/>
          <w:szCs w:val="26"/>
        </w:rPr>
        <w:t>did not</w:t>
      </w:r>
      <w:r w:rsidR="00F71E81">
        <w:rPr>
          <w:sz w:val="26"/>
          <w:szCs w:val="26"/>
        </w:rPr>
        <w:t xml:space="preserve"> do so until the very end of this process</w:t>
      </w:r>
      <w:r>
        <w:rPr>
          <w:sz w:val="26"/>
          <w:szCs w:val="26"/>
        </w:rPr>
        <w:t>, after a Final Order has already been entered in this docket</w:t>
      </w:r>
      <w:r w:rsidR="00F71E81">
        <w:rPr>
          <w:sz w:val="26"/>
          <w:szCs w:val="26"/>
        </w:rPr>
        <w:t xml:space="preserve">.  </w:t>
      </w:r>
    </w:p>
    <w:p w:rsidR="009178A6" w:rsidRDefault="009178A6" w:rsidP="00F71E81">
      <w:pPr>
        <w:widowControl/>
        <w:spacing w:line="360" w:lineRule="auto"/>
        <w:ind w:firstLine="1440"/>
        <w:contextualSpacing/>
        <w:rPr>
          <w:sz w:val="26"/>
          <w:szCs w:val="26"/>
        </w:rPr>
      </w:pPr>
    </w:p>
    <w:p w:rsidR="00915F9A" w:rsidRDefault="009178A6" w:rsidP="00F71E81">
      <w:pPr>
        <w:widowControl/>
        <w:spacing w:line="360" w:lineRule="auto"/>
        <w:ind w:firstLine="1440"/>
        <w:contextualSpacing/>
        <w:rPr>
          <w:sz w:val="26"/>
          <w:szCs w:val="26"/>
        </w:rPr>
      </w:pPr>
      <w:r>
        <w:rPr>
          <w:sz w:val="26"/>
          <w:szCs w:val="26"/>
        </w:rPr>
        <w:t xml:space="preserve">Given </w:t>
      </w:r>
      <w:r w:rsidR="00046739">
        <w:rPr>
          <w:sz w:val="26"/>
          <w:szCs w:val="26"/>
        </w:rPr>
        <w:t>the Petitioner’s</w:t>
      </w:r>
      <w:r w:rsidR="00F71E81">
        <w:rPr>
          <w:sz w:val="26"/>
          <w:szCs w:val="26"/>
        </w:rPr>
        <w:t xml:space="preserve"> </w:t>
      </w:r>
      <w:r w:rsidR="00046739">
        <w:rPr>
          <w:sz w:val="26"/>
          <w:szCs w:val="26"/>
        </w:rPr>
        <w:t>failure to adhere to</w:t>
      </w:r>
      <w:r w:rsidR="00F71E81">
        <w:rPr>
          <w:sz w:val="26"/>
          <w:szCs w:val="26"/>
        </w:rPr>
        <w:t xml:space="preserve"> the Commission’s Regulations </w:t>
      </w:r>
      <w:r w:rsidR="001E5F3A">
        <w:rPr>
          <w:sz w:val="26"/>
          <w:szCs w:val="26"/>
        </w:rPr>
        <w:t xml:space="preserve">and the ALJ’s Prehearing Order </w:t>
      </w:r>
      <w:r w:rsidR="00F71E81">
        <w:rPr>
          <w:sz w:val="26"/>
          <w:szCs w:val="26"/>
        </w:rPr>
        <w:t>in th</w:t>
      </w:r>
      <w:r w:rsidR="001E5F3A">
        <w:rPr>
          <w:sz w:val="26"/>
          <w:szCs w:val="26"/>
        </w:rPr>
        <w:t xml:space="preserve">is </w:t>
      </w:r>
      <w:r w:rsidR="00F71E81">
        <w:rPr>
          <w:sz w:val="26"/>
          <w:szCs w:val="26"/>
        </w:rPr>
        <w:t>matter</w:t>
      </w:r>
      <w:r w:rsidR="00046739">
        <w:rPr>
          <w:sz w:val="26"/>
          <w:szCs w:val="26"/>
        </w:rPr>
        <w:t xml:space="preserve">, after sufficient notice had been provided </w:t>
      </w:r>
      <w:r>
        <w:rPr>
          <w:sz w:val="26"/>
          <w:szCs w:val="26"/>
        </w:rPr>
        <w:t>to the Petitioner</w:t>
      </w:r>
      <w:r w:rsidR="00046739">
        <w:rPr>
          <w:sz w:val="26"/>
          <w:szCs w:val="26"/>
        </w:rPr>
        <w:t xml:space="preserve"> of its requirement to obtain counsel, </w:t>
      </w:r>
      <w:r w:rsidR="0037474A">
        <w:rPr>
          <w:sz w:val="26"/>
          <w:szCs w:val="26"/>
        </w:rPr>
        <w:t>and given th</w:t>
      </w:r>
      <w:r w:rsidR="00D9403C">
        <w:rPr>
          <w:sz w:val="26"/>
          <w:szCs w:val="26"/>
        </w:rPr>
        <w:t>at we determine</w:t>
      </w:r>
      <w:r w:rsidR="00457487">
        <w:rPr>
          <w:sz w:val="26"/>
          <w:szCs w:val="26"/>
        </w:rPr>
        <w:t>, above,</w:t>
      </w:r>
      <w:r w:rsidR="00D9403C">
        <w:rPr>
          <w:sz w:val="26"/>
          <w:szCs w:val="26"/>
        </w:rPr>
        <w:t xml:space="preserve"> that </w:t>
      </w:r>
      <w:r w:rsidR="00457487">
        <w:rPr>
          <w:sz w:val="26"/>
          <w:szCs w:val="26"/>
        </w:rPr>
        <w:t xml:space="preserve">the Petitioner’s stated </w:t>
      </w:r>
      <w:r w:rsidR="00D9403C">
        <w:rPr>
          <w:sz w:val="26"/>
          <w:szCs w:val="26"/>
        </w:rPr>
        <w:t>r</w:t>
      </w:r>
      <w:r w:rsidR="0037474A">
        <w:rPr>
          <w:sz w:val="26"/>
          <w:szCs w:val="26"/>
        </w:rPr>
        <w:t>easons</w:t>
      </w:r>
      <w:r w:rsidR="00D9403C">
        <w:rPr>
          <w:sz w:val="26"/>
          <w:szCs w:val="26"/>
        </w:rPr>
        <w:t xml:space="preserve"> </w:t>
      </w:r>
      <w:r w:rsidR="0037474A">
        <w:rPr>
          <w:sz w:val="26"/>
          <w:szCs w:val="26"/>
        </w:rPr>
        <w:t xml:space="preserve">for </w:t>
      </w:r>
      <w:r w:rsidR="00D9403C">
        <w:rPr>
          <w:sz w:val="26"/>
          <w:szCs w:val="26"/>
        </w:rPr>
        <w:t>such</w:t>
      </w:r>
      <w:r w:rsidR="0037474A">
        <w:rPr>
          <w:sz w:val="26"/>
          <w:szCs w:val="26"/>
        </w:rPr>
        <w:t xml:space="preserve"> failure </w:t>
      </w:r>
      <w:r w:rsidR="00457487">
        <w:rPr>
          <w:sz w:val="26"/>
          <w:szCs w:val="26"/>
        </w:rPr>
        <w:t>are</w:t>
      </w:r>
      <w:r w:rsidR="00D9403C">
        <w:rPr>
          <w:sz w:val="26"/>
          <w:szCs w:val="26"/>
        </w:rPr>
        <w:t xml:space="preserve"> meritless</w:t>
      </w:r>
      <w:r w:rsidR="0037474A">
        <w:rPr>
          <w:sz w:val="26"/>
          <w:szCs w:val="26"/>
        </w:rPr>
        <w:t xml:space="preserve">, </w:t>
      </w:r>
      <w:r>
        <w:rPr>
          <w:sz w:val="26"/>
          <w:szCs w:val="26"/>
        </w:rPr>
        <w:t>we find that</w:t>
      </w:r>
      <w:r w:rsidR="00046739">
        <w:rPr>
          <w:sz w:val="26"/>
          <w:szCs w:val="26"/>
        </w:rPr>
        <w:t xml:space="preserve"> </w:t>
      </w:r>
      <w:r w:rsidR="00D9403C">
        <w:rPr>
          <w:sz w:val="26"/>
          <w:szCs w:val="26"/>
        </w:rPr>
        <w:t xml:space="preserve">the </w:t>
      </w:r>
      <w:r w:rsidR="00046739">
        <w:rPr>
          <w:sz w:val="26"/>
          <w:szCs w:val="26"/>
        </w:rPr>
        <w:t xml:space="preserve">appropriate grounds </w:t>
      </w:r>
      <w:r>
        <w:rPr>
          <w:sz w:val="26"/>
          <w:szCs w:val="26"/>
        </w:rPr>
        <w:t xml:space="preserve">do not exist in this matter </w:t>
      </w:r>
      <w:r w:rsidR="00046739">
        <w:rPr>
          <w:sz w:val="26"/>
          <w:szCs w:val="26"/>
        </w:rPr>
        <w:t>for the granting of r</w:t>
      </w:r>
      <w:r w:rsidR="00F71E81">
        <w:rPr>
          <w:sz w:val="26"/>
          <w:szCs w:val="26"/>
        </w:rPr>
        <w:t xml:space="preserve">ehearing or reconsideration in this matter. </w:t>
      </w:r>
    </w:p>
    <w:p w:rsidR="00F71E81" w:rsidRDefault="00F71E81" w:rsidP="00F71E81">
      <w:pPr>
        <w:widowControl/>
        <w:spacing w:line="360" w:lineRule="auto"/>
        <w:ind w:firstLine="1440"/>
        <w:contextualSpacing/>
        <w:rPr>
          <w:sz w:val="26"/>
          <w:szCs w:val="26"/>
        </w:rPr>
      </w:pPr>
    </w:p>
    <w:p w:rsidR="001B0C5E" w:rsidRPr="00CA43A5" w:rsidRDefault="001B0C5E" w:rsidP="0037474A">
      <w:pPr>
        <w:keepNext/>
        <w:keepLines/>
        <w:widowControl/>
        <w:spacing w:line="360" w:lineRule="auto"/>
        <w:contextualSpacing/>
        <w:jc w:val="center"/>
        <w:rPr>
          <w:b/>
          <w:sz w:val="26"/>
          <w:szCs w:val="26"/>
        </w:rPr>
      </w:pPr>
      <w:r w:rsidRPr="00CA43A5">
        <w:rPr>
          <w:b/>
          <w:sz w:val="26"/>
          <w:szCs w:val="26"/>
        </w:rPr>
        <w:t>Conclusion</w:t>
      </w:r>
    </w:p>
    <w:p w:rsidR="001B0C5E" w:rsidRPr="00CA43A5" w:rsidRDefault="001B0C5E" w:rsidP="0037474A">
      <w:pPr>
        <w:keepNext/>
        <w:keepLines/>
        <w:widowControl/>
        <w:spacing w:line="360" w:lineRule="auto"/>
        <w:ind w:firstLine="1440"/>
        <w:contextualSpacing/>
        <w:rPr>
          <w:sz w:val="26"/>
          <w:szCs w:val="26"/>
        </w:rPr>
      </w:pPr>
    </w:p>
    <w:p w:rsidR="001B0C5E" w:rsidRPr="00497334" w:rsidRDefault="001B0C5E">
      <w:pPr>
        <w:widowControl/>
        <w:spacing w:line="360" w:lineRule="auto"/>
        <w:ind w:firstLine="1440"/>
        <w:contextualSpacing/>
        <w:rPr>
          <w:b/>
          <w:sz w:val="26"/>
          <w:szCs w:val="26"/>
        </w:rPr>
      </w:pPr>
      <w:r w:rsidRPr="00497334">
        <w:rPr>
          <w:sz w:val="26"/>
          <w:szCs w:val="26"/>
        </w:rPr>
        <w:t xml:space="preserve">Based upon our review of the record and the applicable law, we shall </w:t>
      </w:r>
      <w:r w:rsidR="00F71E81">
        <w:rPr>
          <w:sz w:val="26"/>
          <w:szCs w:val="26"/>
        </w:rPr>
        <w:t>deny</w:t>
      </w:r>
      <w:r w:rsidR="002A0237">
        <w:rPr>
          <w:sz w:val="26"/>
          <w:szCs w:val="26"/>
        </w:rPr>
        <w:t xml:space="preserve"> </w:t>
      </w:r>
      <w:r w:rsidR="00497334" w:rsidRPr="00497334">
        <w:rPr>
          <w:sz w:val="26"/>
          <w:szCs w:val="26"/>
        </w:rPr>
        <w:t xml:space="preserve">the Petition for Rehearing, </w:t>
      </w:r>
      <w:r w:rsidR="002A0237">
        <w:rPr>
          <w:sz w:val="26"/>
          <w:szCs w:val="26"/>
        </w:rPr>
        <w:t>adopt the Initial Decision of ALJ Guhl, and dismiss the Complaint</w:t>
      </w:r>
      <w:r w:rsidRPr="00497334">
        <w:rPr>
          <w:sz w:val="26"/>
          <w:szCs w:val="26"/>
        </w:rPr>
        <w:t xml:space="preserve">; </w:t>
      </w:r>
      <w:r w:rsidRPr="00497334">
        <w:rPr>
          <w:b/>
          <w:sz w:val="26"/>
          <w:szCs w:val="26"/>
        </w:rPr>
        <w:t>THEREFORE,</w:t>
      </w:r>
    </w:p>
    <w:p w:rsidR="001B0C5E" w:rsidRPr="00497334" w:rsidRDefault="001B0C5E">
      <w:pPr>
        <w:widowControl/>
        <w:contextualSpacing/>
        <w:rPr>
          <w:sz w:val="26"/>
          <w:szCs w:val="26"/>
        </w:rPr>
      </w:pPr>
    </w:p>
    <w:p w:rsidR="001B0C5E" w:rsidRPr="00497334" w:rsidRDefault="001B0C5E">
      <w:pPr>
        <w:widowControl/>
        <w:ind w:firstLine="1440"/>
        <w:contextualSpacing/>
        <w:rPr>
          <w:b/>
          <w:sz w:val="26"/>
          <w:szCs w:val="26"/>
        </w:rPr>
      </w:pPr>
      <w:r w:rsidRPr="00497334">
        <w:rPr>
          <w:b/>
          <w:sz w:val="26"/>
          <w:szCs w:val="26"/>
        </w:rPr>
        <w:t>IT IS ORDERED:</w:t>
      </w:r>
    </w:p>
    <w:p w:rsidR="001B0C5E" w:rsidRPr="00497334" w:rsidRDefault="001B0C5E">
      <w:pPr>
        <w:widowControl/>
        <w:ind w:firstLine="1440"/>
        <w:contextualSpacing/>
        <w:rPr>
          <w:b/>
          <w:sz w:val="26"/>
          <w:szCs w:val="26"/>
        </w:rPr>
      </w:pPr>
    </w:p>
    <w:p w:rsidR="001B0C5E" w:rsidRPr="00497334" w:rsidRDefault="001B0C5E">
      <w:pPr>
        <w:widowControl/>
        <w:contextualSpacing/>
        <w:rPr>
          <w:sz w:val="26"/>
          <w:szCs w:val="26"/>
        </w:rPr>
      </w:pPr>
    </w:p>
    <w:p w:rsidR="00757AE7" w:rsidRPr="00497334" w:rsidRDefault="00757AE7" w:rsidP="00915F9A">
      <w:pPr>
        <w:widowControl/>
        <w:numPr>
          <w:ilvl w:val="0"/>
          <w:numId w:val="1"/>
        </w:numPr>
        <w:tabs>
          <w:tab w:val="clear" w:pos="2160"/>
          <w:tab w:val="num" w:pos="0"/>
        </w:tabs>
        <w:spacing w:line="360" w:lineRule="auto"/>
        <w:ind w:left="0" w:firstLine="1440"/>
        <w:contextualSpacing/>
        <w:rPr>
          <w:sz w:val="26"/>
          <w:szCs w:val="26"/>
        </w:rPr>
      </w:pPr>
      <w:r w:rsidRPr="00497334">
        <w:rPr>
          <w:color w:val="000000"/>
          <w:sz w:val="26"/>
        </w:rPr>
        <w:t xml:space="preserve">That the </w:t>
      </w:r>
      <w:r w:rsidR="00497334" w:rsidRPr="00497334">
        <w:rPr>
          <w:color w:val="000000"/>
          <w:sz w:val="26"/>
        </w:rPr>
        <w:t xml:space="preserve">Petition for Rehearing filed by Liberty Towers Philly, LP on August 24, 2017, in this docket, in </w:t>
      </w:r>
      <w:r w:rsidR="00344224">
        <w:rPr>
          <w:color w:val="000000"/>
          <w:sz w:val="26"/>
        </w:rPr>
        <w:t>denied.</w:t>
      </w:r>
    </w:p>
    <w:p w:rsidR="00757AE7" w:rsidRPr="00497334" w:rsidRDefault="00757AE7">
      <w:pPr>
        <w:widowControl/>
        <w:spacing w:line="360" w:lineRule="auto"/>
        <w:ind w:left="1440"/>
        <w:contextualSpacing/>
        <w:rPr>
          <w:sz w:val="26"/>
          <w:szCs w:val="26"/>
        </w:rPr>
      </w:pPr>
    </w:p>
    <w:p w:rsidR="002A0237" w:rsidRDefault="002A0237" w:rsidP="002A0237">
      <w:pPr>
        <w:widowControl/>
        <w:numPr>
          <w:ilvl w:val="0"/>
          <w:numId w:val="1"/>
        </w:numPr>
        <w:tabs>
          <w:tab w:val="clear" w:pos="2160"/>
          <w:tab w:val="num" w:pos="0"/>
        </w:tabs>
        <w:spacing w:line="360" w:lineRule="auto"/>
        <w:ind w:left="0" w:firstLine="1440"/>
        <w:contextualSpacing/>
        <w:rPr>
          <w:sz w:val="26"/>
          <w:szCs w:val="26"/>
        </w:rPr>
      </w:pPr>
      <w:r w:rsidRPr="00CA43A5">
        <w:rPr>
          <w:sz w:val="26"/>
          <w:szCs w:val="26"/>
        </w:rPr>
        <w:t xml:space="preserve">That </w:t>
      </w:r>
      <w:r>
        <w:rPr>
          <w:sz w:val="26"/>
          <w:szCs w:val="26"/>
        </w:rPr>
        <w:t xml:space="preserve">the Initial Decision of Administrative Law Judge </w:t>
      </w:r>
      <w:r w:rsidRPr="00D470E8">
        <w:rPr>
          <w:color w:val="000000"/>
          <w:sz w:val="26"/>
        </w:rPr>
        <w:t xml:space="preserve">Marta </w:t>
      </w:r>
      <w:r>
        <w:rPr>
          <w:color w:val="000000"/>
          <w:sz w:val="26"/>
        </w:rPr>
        <w:t xml:space="preserve">Guhl, issued on </w:t>
      </w:r>
      <w:r w:rsidRPr="00D470E8">
        <w:rPr>
          <w:color w:val="000000"/>
          <w:sz w:val="26"/>
        </w:rPr>
        <w:t>J</w:t>
      </w:r>
      <w:r>
        <w:rPr>
          <w:color w:val="000000"/>
          <w:sz w:val="26"/>
        </w:rPr>
        <w:t>uly 11,</w:t>
      </w:r>
      <w:r w:rsidRPr="00D470E8">
        <w:rPr>
          <w:color w:val="000000"/>
          <w:sz w:val="26"/>
        </w:rPr>
        <w:t xml:space="preserve"> 2017</w:t>
      </w:r>
      <w:r>
        <w:rPr>
          <w:sz w:val="26"/>
          <w:szCs w:val="26"/>
        </w:rPr>
        <w:t xml:space="preserve">, in this docket, is adopted.  </w:t>
      </w:r>
    </w:p>
    <w:p w:rsidR="002A0237" w:rsidRDefault="002A0237" w:rsidP="002A0237">
      <w:pPr>
        <w:pStyle w:val="ListParagraph"/>
        <w:widowControl/>
        <w:rPr>
          <w:sz w:val="26"/>
          <w:szCs w:val="26"/>
        </w:rPr>
      </w:pPr>
    </w:p>
    <w:p w:rsidR="00FB217D" w:rsidRDefault="002A0237" w:rsidP="00344224">
      <w:pPr>
        <w:widowControl/>
        <w:numPr>
          <w:ilvl w:val="0"/>
          <w:numId w:val="1"/>
        </w:numPr>
        <w:tabs>
          <w:tab w:val="clear" w:pos="2160"/>
          <w:tab w:val="num" w:pos="0"/>
        </w:tabs>
        <w:spacing w:line="360" w:lineRule="auto"/>
        <w:ind w:left="0" w:firstLine="1440"/>
        <w:contextualSpacing/>
        <w:rPr>
          <w:sz w:val="26"/>
          <w:szCs w:val="26"/>
        </w:rPr>
      </w:pPr>
      <w:r>
        <w:rPr>
          <w:sz w:val="26"/>
          <w:szCs w:val="26"/>
        </w:rPr>
        <w:t xml:space="preserve">That the Complaint filed by </w:t>
      </w:r>
      <w:r w:rsidRPr="00122D52">
        <w:rPr>
          <w:rFonts w:eastAsiaTheme="minorHAnsi"/>
          <w:color w:val="000000"/>
          <w:sz w:val="26"/>
          <w:szCs w:val="26"/>
        </w:rPr>
        <w:t>Liberty Towers Philly</w:t>
      </w:r>
      <w:r>
        <w:rPr>
          <w:rFonts w:eastAsiaTheme="minorHAnsi"/>
          <w:color w:val="000000"/>
          <w:sz w:val="26"/>
          <w:szCs w:val="26"/>
        </w:rPr>
        <w:t>,</w:t>
      </w:r>
      <w:r w:rsidRPr="00122D52">
        <w:rPr>
          <w:rFonts w:eastAsiaTheme="minorHAnsi"/>
          <w:color w:val="000000"/>
          <w:sz w:val="26"/>
          <w:szCs w:val="26"/>
        </w:rPr>
        <w:t xml:space="preserve"> LP</w:t>
      </w:r>
      <w:r>
        <w:rPr>
          <w:sz w:val="26"/>
          <w:szCs w:val="26"/>
        </w:rPr>
        <w:t xml:space="preserve">, on </w:t>
      </w:r>
      <w:r>
        <w:rPr>
          <w:color w:val="000000"/>
          <w:sz w:val="26"/>
        </w:rPr>
        <w:t>December 30, 2016,</w:t>
      </w:r>
      <w:r>
        <w:rPr>
          <w:sz w:val="26"/>
          <w:szCs w:val="26"/>
        </w:rPr>
        <w:t xml:space="preserve"> in this docket, is dismissed. </w:t>
      </w:r>
    </w:p>
    <w:p w:rsidR="002A0237" w:rsidRPr="002A0237" w:rsidRDefault="002A0237" w:rsidP="002A0237">
      <w:pPr>
        <w:widowControl/>
        <w:spacing w:line="360" w:lineRule="auto"/>
        <w:contextualSpacing/>
        <w:rPr>
          <w:sz w:val="26"/>
          <w:szCs w:val="26"/>
        </w:rPr>
      </w:pPr>
    </w:p>
    <w:p w:rsidR="002A0237" w:rsidRPr="00630395" w:rsidRDefault="002A0237" w:rsidP="002A0237">
      <w:pPr>
        <w:keepNext/>
        <w:keepLines/>
        <w:widowControl/>
        <w:numPr>
          <w:ilvl w:val="0"/>
          <w:numId w:val="1"/>
        </w:numPr>
        <w:tabs>
          <w:tab w:val="clear" w:pos="2160"/>
          <w:tab w:val="num" w:pos="0"/>
        </w:tabs>
        <w:spacing w:line="360" w:lineRule="auto"/>
        <w:ind w:left="0" w:firstLine="1440"/>
        <w:contextualSpacing/>
        <w:rPr>
          <w:sz w:val="26"/>
          <w:szCs w:val="26"/>
        </w:rPr>
      </w:pPr>
      <w:r>
        <w:rPr>
          <w:sz w:val="26"/>
          <w:szCs w:val="26"/>
        </w:rPr>
        <w:t xml:space="preserve">That the Secretary’s Bureau shall mark </w:t>
      </w:r>
      <w:r w:rsidRPr="00630395">
        <w:rPr>
          <w:sz w:val="26"/>
          <w:szCs w:val="26"/>
        </w:rPr>
        <w:t>this proceeding</w:t>
      </w:r>
      <w:r>
        <w:rPr>
          <w:sz w:val="26"/>
          <w:szCs w:val="26"/>
        </w:rPr>
        <w:t xml:space="preserve"> closed.</w:t>
      </w:r>
    </w:p>
    <w:p w:rsidR="001B0C5E" w:rsidRDefault="001B0C5E">
      <w:pPr>
        <w:keepNext/>
        <w:keepLines/>
        <w:widowControl/>
        <w:contextualSpacing/>
        <w:rPr>
          <w:sz w:val="26"/>
          <w:szCs w:val="26"/>
        </w:rPr>
      </w:pPr>
    </w:p>
    <w:p w:rsidR="001B0C5E" w:rsidRPr="00CA43A5" w:rsidRDefault="001B0C5E">
      <w:pPr>
        <w:widowControl/>
        <w:contextualSpacing/>
        <w:rPr>
          <w:sz w:val="26"/>
          <w:szCs w:val="26"/>
        </w:rPr>
      </w:pPr>
    </w:p>
    <w:p w:rsidR="001B0C5E" w:rsidRPr="00CA43A5" w:rsidRDefault="001B0C5E">
      <w:pPr>
        <w:widowControl/>
        <w:tabs>
          <w:tab w:val="left" w:pos="-720"/>
        </w:tabs>
        <w:ind w:firstLine="5040"/>
        <w:contextualSpacing/>
        <w:rPr>
          <w:sz w:val="26"/>
          <w:szCs w:val="26"/>
        </w:rPr>
      </w:pPr>
      <w:r w:rsidRPr="00CA43A5">
        <w:rPr>
          <w:b/>
          <w:sz w:val="26"/>
          <w:szCs w:val="26"/>
        </w:rPr>
        <w:t>BY THE COMMISSION,</w:t>
      </w:r>
    </w:p>
    <w:p w:rsidR="001B0C5E" w:rsidRPr="00CA43A5" w:rsidRDefault="00644ED0">
      <w:pPr>
        <w:widowControl/>
        <w:tabs>
          <w:tab w:val="left" w:pos="-720"/>
        </w:tabs>
        <w:contextualSpacing/>
        <w:rPr>
          <w:sz w:val="26"/>
          <w:szCs w:val="26"/>
        </w:rPr>
      </w:pPr>
      <w:bookmarkStart w:id="3" w:name="_GoBack"/>
      <w:r>
        <w:rPr>
          <w:noProof/>
        </w:rPr>
        <w:drawing>
          <wp:anchor distT="0" distB="0" distL="114300" distR="114300" simplePos="0" relativeHeight="251659264" behindDoc="1" locked="0" layoutInCell="1" allowOverlap="1">
            <wp:simplePos x="0" y="0"/>
            <wp:positionH relativeFrom="column">
              <wp:posOffset>2952750</wp:posOffset>
            </wp:positionH>
            <wp:positionV relativeFrom="paragraph">
              <wp:posOffset>18415</wp:posOffset>
            </wp:positionV>
            <wp:extent cx="2200275" cy="8382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3"/>
    </w:p>
    <w:p w:rsidR="00644ED0" w:rsidRDefault="00644ED0"/>
    <w:p w:rsidR="001B0C5E" w:rsidRDefault="001B0C5E">
      <w:pPr>
        <w:widowControl/>
        <w:tabs>
          <w:tab w:val="left" w:pos="-720"/>
        </w:tabs>
        <w:contextualSpacing/>
        <w:rPr>
          <w:sz w:val="26"/>
          <w:szCs w:val="26"/>
        </w:rPr>
      </w:pPr>
    </w:p>
    <w:p w:rsidR="001B0C5E" w:rsidRPr="00CA43A5" w:rsidRDefault="001B0C5E">
      <w:pPr>
        <w:widowControl/>
        <w:tabs>
          <w:tab w:val="left" w:pos="-720"/>
        </w:tabs>
        <w:contextualSpacing/>
        <w:rPr>
          <w:sz w:val="26"/>
          <w:szCs w:val="26"/>
        </w:rPr>
      </w:pPr>
    </w:p>
    <w:p w:rsidR="001B0C5E" w:rsidRPr="00CA43A5" w:rsidRDefault="001B0C5E">
      <w:pPr>
        <w:widowControl/>
        <w:tabs>
          <w:tab w:val="left" w:pos="-720"/>
        </w:tabs>
        <w:contextualSpacing/>
        <w:rPr>
          <w:sz w:val="26"/>
          <w:szCs w:val="26"/>
        </w:rPr>
      </w:pPr>
    </w:p>
    <w:p w:rsidR="001B0C5E" w:rsidRPr="00CA43A5" w:rsidRDefault="001B0C5E">
      <w:pPr>
        <w:widowControl/>
        <w:tabs>
          <w:tab w:val="left" w:pos="-720"/>
        </w:tabs>
        <w:ind w:firstLine="5040"/>
        <w:contextualSpacing/>
        <w:rPr>
          <w:b/>
          <w:sz w:val="26"/>
          <w:szCs w:val="26"/>
        </w:rPr>
      </w:pPr>
      <w:r>
        <w:rPr>
          <w:sz w:val="26"/>
          <w:szCs w:val="26"/>
        </w:rPr>
        <w:t>Rosemary Chiavetta</w:t>
      </w:r>
    </w:p>
    <w:p w:rsidR="001B0C5E" w:rsidRPr="00CA43A5" w:rsidRDefault="001B0C5E">
      <w:pPr>
        <w:widowControl/>
        <w:tabs>
          <w:tab w:val="left" w:pos="-720"/>
        </w:tabs>
        <w:ind w:firstLine="5040"/>
        <w:contextualSpacing/>
        <w:rPr>
          <w:sz w:val="26"/>
          <w:szCs w:val="26"/>
        </w:rPr>
      </w:pPr>
      <w:r w:rsidRPr="00CA43A5">
        <w:rPr>
          <w:sz w:val="26"/>
          <w:szCs w:val="26"/>
        </w:rPr>
        <w:t>Secretary</w:t>
      </w:r>
    </w:p>
    <w:p w:rsidR="001B0C5E" w:rsidRPr="00CA43A5" w:rsidRDefault="001B0C5E">
      <w:pPr>
        <w:widowControl/>
        <w:tabs>
          <w:tab w:val="left" w:pos="-720"/>
        </w:tabs>
        <w:contextualSpacing/>
        <w:rPr>
          <w:sz w:val="26"/>
          <w:szCs w:val="26"/>
        </w:rPr>
      </w:pPr>
    </w:p>
    <w:p w:rsidR="001B0C5E" w:rsidRPr="00CA43A5" w:rsidRDefault="001B0C5E">
      <w:pPr>
        <w:widowControl/>
        <w:tabs>
          <w:tab w:val="left" w:pos="-720"/>
        </w:tabs>
        <w:contextualSpacing/>
        <w:rPr>
          <w:sz w:val="26"/>
          <w:szCs w:val="26"/>
        </w:rPr>
      </w:pPr>
      <w:r w:rsidRPr="00CA43A5">
        <w:rPr>
          <w:sz w:val="26"/>
          <w:szCs w:val="26"/>
        </w:rPr>
        <w:t>(SEAL)</w:t>
      </w:r>
    </w:p>
    <w:p w:rsidR="001B0C5E" w:rsidRPr="00CA43A5" w:rsidRDefault="001B0C5E">
      <w:pPr>
        <w:widowControl/>
        <w:tabs>
          <w:tab w:val="left" w:pos="-720"/>
        </w:tabs>
        <w:contextualSpacing/>
        <w:rPr>
          <w:sz w:val="26"/>
          <w:szCs w:val="26"/>
        </w:rPr>
      </w:pPr>
    </w:p>
    <w:p w:rsidR="001B0C5E" w:rsidRPr="00CA43A5" w:rsidRDefault="001B0C5E">
      <w:pPr>
        <w:widowControl/>
        <w:tabs>
          <w:tab w:val="left" w:pos="-720"/>
        </w:tabs>
        <w:contextualSpacing/>
        <w:rPr>
          <w:sz w:val="26"/>
          <w:szCs w:val="26"/>
        </w:rPr>
      </w:pPr>
      <w:r w:rsidRPr="00CA43A5">
        <w:rPr>
          <w:sz w:val="26"/>
          <w:szCs w:val="26"/>
        </w:rPr>
        <w:t xml:space="preserve">ORDER ADOPTED: </w:t>
      </w:r>
      <w:r>
        <w:rPr>
          <w:sz w:val="26"/>
          <w:szCs w:val="26"/>
        </w:rPr>
        <w:t xml:space="preserve"> </w:t>
      </w:r>
      <w:r w:rsidR="0015310C">
        <w:rPr>
          <w:sz w:val="26"/>
          <w:szCs w:val="26"/>
        </w:rPr>
        <w:t>April 5</w:t>
      </w:r>
      <w:r w:rsidR="00724050">
        <w:rPr>
          <w:sz w:val="26"/>
          <w:szCs w:val="26"/>
        </w:rPr>
        <w:t>, 2018</w:t>
      </w:r>
    </w:p>
    <w:p w:rsidR="001B0C5E" w:rsidRDefault="001B0C5E">
      <w:pPr>
        <w:widowControl/>
        <w:tabs>
          <w:tab w:val="left" w:pos="-720"/>
        </w:tabs>
        <w:contextualSpacing/>
        <w:rPr>
          <w:sz w:val="26"/>
          <w:szCs w:val="26"/>
        </w:rPr>
      </w:pPr>
    </w:p>
    <w:p w:rsidR="001B0C5E" w:rsidRPr="00CA43A5" w:rsidRDefault="001B0C5E">
      <w:pPr>
        <w:widowControl/>
        <w:tabs>
          <w:tab w:val="left" w:pos="-720"/>
        </w:tabs>
        <w:contextualSpacing/>
        <w:rPr>
          <w:sz w:val="26"/>
          <w:szCs w:val="26"/>
        </w:rPr>
      </w:pPr>
      <w:r>
        <w:rPr>
          <w:sz w:val="26"/>
          <w:szCs w:val="26"/>
        </w:rPr>
        <w:t>ORDER ENTERED:</w:t>
      </w:r>
      <w:r w:rsidR="00644ED0">
        <w:rPr>
          <w:sz w:val="26"/>
          <w:szCs w:val="26"/>
        </w:rPr>
        <w:t xml:space="preserve">  April 20, 2018</w:t>
      </w:r>
    </w:p>
    <w:p w:rsidR="003D5C5F" w:rsidRDefault="003D5C5F" w:rsidP="00915F9A">
      <w:pPr>
        <w:widowControl/>
        <w:contextualSpacing/>
      </w:pPr>
    </w:p>
    <w:sectPr w:rsidR="003D5C5F" w:rsidSect="003161E5">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7CCB" w:rsidRDefault="00857CCB" w:rsidP="001B0C5E">
      <w:r>
        <w:separator/>
      </w:r>
    </w:p>
  </w:endnote>
  <w:endnote w:type="continuationSeparator" w:id="0">
    <w:p w:rsidR="00857CCB" w:rsidRDefault="00857CCB" w:rsidP="001B0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7760473"/>
      <w:docPartObj>
        <w:docPartGallery w:val="Page Numbers (Bottom of Page)"/>
        <w:docPartUnique/>
      </w:docPartObj>
    </w:sdtPr>
    <w:sdtEndPr>
      <w:rPr>
        <w:noProof/>
        <w:sz w:val="24"/>
        <w:szCs w:val="24"/>
      </w:rPr>
    </w:sdtEndPr>
    <w:sdtContent>
      <w:p w:rsidR="00B1329D" w:rsidRPr="00360CBC" w:rsidRDefault="00B1329D">
        <w:pPr>
          <w:pStyle w:val="Footer"/>
          <w:jc w:val="center"/>
          <w:rPr>
            <w:sz w:val="24"/>
            <w:szCs w:val="24"/>
          </w:rPr>
        </w:pPr>
        <w:r w:rsidRPr="00360CBC">
          <w:rPr>
            <w:sz w:val="24"/>
            <w:szCs w:val="24"/>
          </w:rPr>
          <w:fldChar w:fldCharType="begin"/>
        </w:r>
        <w:r w:rsidRPr="00360CBC">
          <w:rPr>
            <w:sz w:val="24"/>
            <w:szCs w:val="24"/>
          </w:rPr>
          <w:instrText xml:space="preserve"> PAGE   \* MERGEFORMAT </w:instrText>
        </w:r>
        <w:r w:rsidRPr="00360CBC">
          <w:rPr>
            <w:sz w:val="24"/>
            <w:szCs w:val="24"/>
          </w:rPr>
          <w:fldChar w:fldCharType="separate"/>
        </w:r>
        <w:r w:rsidR="00457487">
          <w:rPr>
            <w:noProof/>
            <w:sz w:val="24"/>
            <w:szCs w:val="24"/>
          </w:rPr>
          <w:t>11</w:t>
        </w:r>
        <w:r w:rsidRPr="00360CBC">
          <w:rPr>
            <w:noProof/>
            <w:sz w:val="24"/>
            <w:szCs w:val="24"/>
          </w:rPr>
          <w:fldChar w:fldCharType="end"/>
        </w:r>
      </w:p>
    </w:sdtContent>
  </w:sdt>
  <w:p w:rsidR="00B1329D" w:rsidRDefault="00B132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7CCB" w:rsidRDefault="00857CCB" w:rsidP="001B0C5E">
      <w:r>
        <w:separator/>
      </w:r>
    </w:p>
  </w:footnote>
  <w:footnote w:type="continuationSeparator" w:id="0">
    <w:p w:rsidR="00857CCB" w:rsidRDefault="00857CCB" w:rsidP="001B0C5E">
      <w:r>
        <w:continuationSeparator/>
      </w:r>
    </w:p>
  </w:footnote>
  <w:footnote w:id="1">
    <w:p w:rsidR="001E5F3A" w:rsidRDefault="001E5F3A" w:rsidP="00D42C0B">
      <w:pPr>
        <w:pStyle w:val="FootnoteText"/>
        <w:keepNext/>
        <w:keepLines/>
        <w:widowControl/>
        <w:ind w:firstLine="720"/>
      </w:pPr>
      <w:r>
        <w:rPr>
          <w:rStyle w:val="FootnoteReference"/>
        </w:rPr>
        <w:footnoteRef/>
      </w:r>
      <w:r>
        <w:t xml:space="preserve"> </w:t>
      </w:r>
      <w:r>
        <w:tab/>
      </w:r>
      <w:r>
        <w:rPr>
          <w:spacing w:val="-3"/>
          <w:sz w:val="26"/>
        </w:rPr>
        <w:t xml:space="preserve">The Commission’s regulations concerning representation and notice of appearance are set forth in 52 Pa. Code §§ 1.21-24.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837DC"/>
    <w:multiLevelType w:val="hybridMultilevel"/>
    <w:tmpl w:val="9E223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C5E"/>
    <w:rsid w:val="00013E77"/>
    <w:rsid w:val="00025DF9"/>
    <w:rsid w:val="00046739"/>
    <w:rsid w:val="000473BF"/>
    <w:rsid w:val="00057AAA"/>
    <w:rsid w:val="00063F8B"/>
    <w:rsid w:val="00070BE0"/>
    <w:rsid w:val="000758BC"/>
    <w:rsid w:val="00077D9E"/>
    <w:rsid w:val="000851AB"/>
    <w:rsid w:val="000B0F7D"/>
    <w:rsid w:val="000D7C55"/>
    <w:rsid w:val="000E602C"/>
    <w:rsid w:val="000E65AA"/>
    <w:rsid w:val="0010585D"/>
    <w:rsid w:val="001104DF"/>
    <w:rsid w:val="00115DC3"/>
    <w:rsid w:val="00122D52"/>
    <w:rsid w:val="001230D4"/>
    <w:rsid w:val="0012375D"/>
    <w:rsid w:val="00124F6E"/>
    <w:rsid w:val="00151849"/>
    <w:rsid w:val="0015304B"/>
    <w:rsid w:val="0015310C"/>
    <w:rsid w:val="0016499E"/>
    <w:rsid w:val="00166F8A"/>
    <w:rsid w:val="001B0C5E"/>
    <w:rsid w:val="001B2D87"/>
    <w:rsid w:val="001E5F3A"/>
    <w:rsid w:val="001F22E6"/>
    <w:rsid w:val="001F6470"/>
    <w:rsid w:val="001F74FB"/>
    <w:rsid w:val="00211464"/>
    <w:rsid w:val="002115CE"/>
    <w:rsid w:val="002141A4"/>
    <w:rsid w:val="00217816"/>
    <w:rsid w:val="002327DF"/>
    <w:rsid w:val="00234CB2"/>
    <w:rsid w:val="002463E4"/>
    <w:rsid w:val="00255BF9"/>
    <w:rsid w:val="00257811"/>
    <w:rsid w:val="00262B6B"/>
    <w:rsid w:val="00274A80"/>
    <w:rsid w:val="00284D84"/>
    <w:rsid w:val="00291A07"/>
    <w:rsid w:val="00295AB3"/>
    <w:rsid w:val="002A0237"/>
    <w:rsid w:val="002C1CBE"/>
    <w:rsid w:val="002C591A"/>
    <w:rsid w:val="002F4247"/>
    <w:rsid w:val="00311CC9"/>
    <w:rsid w:val="003161E5"/>
    <w:rsid w:val="00321F56"/>
    <w:rsid w:val="0032366A"/>
    <w:rsid w:val="00323889"/>
    <w:rsid w:val="00337586"/>
    <w:rsid w:val="00343135"/>
    <w:rsid w:val="00344224"/>
    <w:rsid w:val="003450C3"/>
    <w:rsid w:val="00354AD6"/>
    <w:rsid w:val="0037474A"/>
    <w:rsid w:val="003932B1"/>
    <w:rsid w:val="003A46D0"/>
    <w:rsid w:val="003B23D1"/>
    <w:rsid w:val="003D34E5"/>
    <w:rsid w:val="003D5C5F"/>
    <w:rsid w:val="004029D7"/>
    <w:rsid w:val="00416437"/>
    <w:rsid w:val="004269A6"/>
    <w:rsid w:val="0043159A"/>
    <w:rsid w:val="004554E4"/>
    <w:rsid w:val="00457487"/>
    <w:rsid w:val="004575EF"/>
    <w:rsid w:val="004734AB"/>
    <w:rsid w:val="00481036"/>
    <w:rsid w:val="00497130"/>
    <w:rsid w:val="00497334"/>
    <w:rsid w:val="004C54E3"/>
    <w:rsid w:val="004C5C91"/>
    <w:rsid w:val="004D3A90"/>
    <w:rsid w:val="004E6A20"/>
    <w:rsid w:val="004E7F4B"/>
    <w:rsid w:val="004F75BA"/>
    <w:rsid w:val="00512104"/>
    <w:rsid w:val="0051253C"/>
    <w:rsid w:val="00520CAB"/>
    <w:rsid w:val="00526BBB"/>
    <w:rsid w:val="005333D2"/>
    <w:rsid w:val="0053736E"/>
    <w:rsid w:val="00543EAE"/>
    <w:rsid w:val="005646AD"/>
    <w:rsid w:val="00564F2E"/>
    <w:rsid w:val="005A2B95"/>
    <w:rsid w:val="005A3385"/>
    <w:rsid w:val="005A7474"/>
    <w:rsid w:val="005B55E4"/>
    <w:rsid w:val="005B6415"/>
    <w:rsid w:val="005D0B2E"/>
    <w:rsid w:val="005D3770"/>
    <w:rsid w:val="005E1CEC"/>
    <w:rsid w:val="005F3BD4"/>
    <w:rsid w:val="00602153"/>
    <w:rsid w:val="00604EEC"/>
    <w:rsid w:val="00615D32"/>
    <w:rsid w:val="0061682D"/>
    <w:rsid w:val="0062336A"/>
    <w:rsid w:val="00634996"/>
    <w:rsid w:val="00644ED0"/>
    <w:rsid w:val="006542F6"/>
    <w:rsid w:val="006569C9"/>
    <w:rsid w:val="0066563C"/>
    <w:rsid w:val="006860B1"/>
    <w:rsid w:val="006901E1"/>
    <w:rsid w:val="00694E4D"/>
    <w:rsid w:val="006A6546"/>
    <w:rsid w:val="006C6455"/>
    <w:rsid w:val="006D0347"/>
    <w:rsid w:val="006E178E"/>
    <w:rsid w:val="006F504A"/>
    <w:rsid w:val="00706ED7"/>
    <w:rsid w:val="00724050"/>
    <w:rsid w:val="00732B1A"/>
    <w:rsid w:val="00736FEE"/>
    <w:rsid w:val="007540DF"/>
    <w:rsid w:val="00757AE7"/>
    <w:rsid w:val="00762D52"/>
    <w:rsid w:val="00772E1B"/>
    <w:rsid w:val="007B279F"/>
    <w:rsid w:val="007B3C60"/>
    <w:rsid w:val="007B43B3"/>
    <w:rsid w:val="007C0630"/>
    <w:rsid w:val="007C5BC6"/>
    <w:rsid w:val="007C7B93"/>
    <w:rsid w:val="007C7EE2"/>
    <w:rsid w:val="007D5F0F"/>
    <w:rsid w:val="007F5C35"/>
    <w:rsid w:val="00804EAE"/>
    <w:rsid w:val="00805B3C"/>
    <w:rsid w:val="008100CA"/>
    <w:rsid w:val="0081398A"/>
    <w:rsid w:val="00816CF4"/>
    <w:rsid w:val="008225A3"/>
    <w:rsid w:val="008328C9"/>
    <w:rsid w:val="0083433A"/>
    <w:rsid w:val="00836775"/>
    <w:rsid w:val="00842B04"/>
    <w:rsid w:val="0084536B"/>
    <w:rsid w:val="0084696B"/>
    <w:rsid w:val="00855869"/>
    <w:rsid w:val="00857CCB"/>
    <w:rsid w:val="00875350"/>
    <w:rsid w:val="00892EE2"/>
    <w:rsid w:val="00895444"/>
    <w:rsid w:val="008B5AED"/>
    <w:rsid w:val="008C2BF7"/>
    <w:rsid w:val="008D6B2C"/>
    <w:rsid w:val="008F0384"/>
    <w:rsid w:val="00903E1E"/>
    <w:rsid w:val="00912DC8"/>
    <w:rsid w:val="00915F9A"/>
    <w:rsid w:val="009178A6"/>
    <w:rsid w:val="0093306A"/>
    <w:rsid w:val="00950EFF"/>
    <w:rsid w:val="009537BA"/>
    <w:rsid w:val="00962EEC"/>
    <w:rsid w:val="009644F4"/>
    <w:rsid w:val="009826BC"/>
    <w:rsid w:val="009A783D"/>
    <w:rsid w:val="009E1775"/>
    <w:rsid w:val="009F1F7C"/>
    <w:rsid w:val="00A16CF3"/>
    <w:rsid w:val="00A33306"/>
    <w:rsid w:val="00A4592F"/>
    <w:rsid w:val="00A57D5D"/>
    <w:rsid w:val="00A675D0"/>
    <w:rsid w:val="00A80635"/>
    <w:rsid w:val="00A9045A"/>
    <w:rsid w:val="00AA1B8C"/>
    <w:rsid w:val="00AC76FB"/>
    <w:rsid w:val="00AE2658"/>
    <w:rsid w:val="00AF10A9"/>
    <w:rsid w:val="00B1329D"/>
    <w:rsid w:val="00B17C9E"/>
    <w:rsid w:val="00B2379D"/>
    <w:rsid w:val="00B24DD3"/>
    <w:rsid w:val="00B36FE2"/>
    <w:rsid w:val="00B5754A"/>
    <w:rsid w:val="00B60E4E"/>
    <w:rsid w:val="00B72A80"/>
    <w:rsid w:val="00B77144"/>
    <w:rsid w:val="00B77D02"/>
    <w:rsid w:val="00B84727"/>
    <w:rsid w:val="00B968E1"/>
    <w:rsid w:val="00B96A27"/>
    <w:rsid w:val="00BD0715"/>
    <w:rsid w:val="00BD5087"/>
    <w:rsid w:val="00BF48AC"/>
    <w:rsid w:val="00C03EE2"/>
    <w:rsid w:val="00C35BEF"/>
    <w:rsid w:val="00C409E4"/>
    <w:rsid w:val="00C455A1"/>
    <w:rsid w:val="00C5110B"/>
    <w:rsid w:val="00C578EE"/>
    <w:rsid w:val="00C57CF7"/>
    <w:rsid w:val="00C65D48"/>
    <w:rsid w:val="00CC055F"/>
    <w:rsid w:val="00CD4042"/>
    <w:rsid w:val="00CF60E4"/>
    <w:rsid w:val="00D01E17"/>
    <w:rsid w:val="00D225E0"/>
    <w:rsid w:val="00D33CC7"/>
    <w:rsid w:val="00D42C0B"/>
    <w:rsid w:val="00D43BBA"/>
    <w:rsid w:val="00D470E8"/>
    <w:rsid w:val="00D47ADF"/>
    <w:rsid w:val="00D6690A"/>
    <w:rsid w:val="00D77F3A"/>
    <w:rsid w:val="00D860F4"/>
    <w:rsid w:val="00D93E8C"/>
    <w:rsid w:val="00D9403C"/>
    <w:rsid w:val="00D979AB"/>
    <w:rsid w:val="00DB03F6"/>
    <w:rsid w:val="00DD5B96"/>
    <w:rsid w:val="00DD61B2"/>
    <w:rsid w:val="00E0708A"/>
    <w:rsid w:val="00E44EC5"/>
    <w:rsid w:val="00E479AE"/>
    <w:rsid w:val="00E669E1"/>
    <w:rsid w:val="00E716D6"/>
    <w:rsid w:val="00E72EAD"/>
    <w:rsid w:val="00E73E24"/>
    <w:rsid w:val="00E75629"/>
    <w:rsid w:val="00EC6452"/>
    <w:rsid w:val="00EE5C51"/>
    <w:rsid w:val="00EF3542"/>
    <w:rsid w:val="00EF6624"/>
    <w:rsid w:val="00F10D82"/>
    <w:rsid w:val="00F33BF8"/>
    <w:rsid w:val="00F4011B"/>
    <w:rsid w:val="00F5159D"/>
    <w:rsid w:val="00F6636D"/>
    <w:rsid w:val="00F71E81"/>
    <w:rsid w:val="00F8688E"/>
    <w:rsid w:val="00FA6B6E"/>
    <w:rsid w:val="00FB1478"/>
    <w:rsid w:val="00FB217D"/>
    <w:rsid w:val="00FD445A"/>
    <w:rsid w:val="00FF5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63FCF"/>
  <w15:chartTrackingRefBased/>
  <w15:docId w15:val="{2418705A-024A-4DB1-974C-CD07B763C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0C5E"/>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B0C5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rsid w:val="001B0C5E"/>
    <w:rPr>
      <w:vertAlign w:val="superscript"/>
    </w:rPr>
  </w:style>
  <w:style w:type="character" w:styleId="Hyperlink">
    <w:name w:val="Hyperlink"/>
    <w:basedOn w:val="DefaultParagraphFont"/>
    <w:rsid w:val="001B0C5E"/>
    <w:rPr>
      <w:color w:val="0000FF"/>
      <w:u w:val="single"/>
    </w:rPr>
  </w:style>
  <w:style w:type="character" w:styleId="Emphasis">
    <w:name w:val="Emphasis"/>
    <w:basedOn w:val="DefaultParagraphFont"/>
    <w:qFormat/>
    <w:rsid w:val="001B0C5E"/>
    <w:rPr>
      <w:i/>
      <w:iCs/>
    </w:rPr>
  </w:style>
  <w:style w:type="paragraph" w:styleId="ListParagraph">
    <w:name w:val="List Paragraph"/>
    <w:basedOn w:val="Normal"/>
    <w:uiPriority w:val="34"/>
    <w:qFormat/>
    <w:rsid w:val="001B0C5E"/>
    <w:pPr>
      <w:ind w:left="720"/>
      <w:contextualSpacing/>
    </w:pPr>
  </w:style>
  <w:style w:type="paragraph" w:styleId="Footer">
    <w:name w:val="footer"/>
    <w:basedOn w:val="Normal"/>
    <w:link w:val="FooterChar"/>
    <w:uiPriority w:val="99"/>
    <w:unhideWhenUsed/>
    <w:rsid w:val="001B0C5E"/>
    <w:pPr>
      <w:tabs>
        <w:tab w:val="center" w:pos="4680"/>
        <w:tab w:val="right" w:pos="9360"/>
      </w:tabs>
    </w:pPr>
  </w:style>
  <w:style w:type="character" w:customStyle="1" w:styleId="FooterChar">
    <w:name w:val="Footer Char"/>
    <w:basedOn w:val="DefaultParagraphFont"/>
    <w:link w:val="Footer"/>
    <w:uiPriority w:val="99"/>
    <w:rsid w:val="001B0C5E"/>
    <w:rPr>
      <w:rFonts w:ascii="Times New Roman" w:eastAsia="Times New Roman" w:hAnsi="Times New Roman" w:cs="Times New Roman"/>
      <w:sz w:val="20"/>
      <w:szCs w:val="20"/>
    </w:rPr>
  </w:style>
  <w:style w:type="paragraph" w:styleId="FootnoteText">
    <w:name w:val="footnote text"/>
    <w:basedOn w:val="Normal"/>
    <w:link w:val="FootnoteTextChar"/>
    <w:uiPriority w:val="99"/>
    <w:unhideWhenUsed/>
    <w:rsid w:val="001B0C5E"/>
  </w:style>
  <w:style w:type="character" w:customStyle="1" w:styleId="FootnoteTextChar">
    <w:name w:val="Footnote Text Char"/>
    <w:basedOn w:val="DefaultParagraphFont"/>
    <w:link w:val="FootnoteText"/>
    <w:uiPriority w:val="99"/>
    <w:rsid w:val="001B0C5E"/>
    <w:rPr>
      <w:rFonts w:ascii="Times New Roman" w:eastAsia="Times New Roman" w:hAnsi="Times New Roman" w:cs="Times New Roman"/>
      <w:sz w:val="20"/>
      <w:szCs w:val="20"/>
    </w:rPr>
  </w:style>
  <w:style w:type="paragraph" w:customStyle="1" w:styleId="Default">
    <w:name w:val="Default"/>
    <w:rsid w:val="001B0C5E"/>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E72E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2EA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ww.lexis.com/research/xlink?app=00075&amp;view=full&amp;searchtype=get&amp;search=118+Pa.+Super.+380" TargetMode="External"/><Relationship Id="rId4" Type="http://schemas.openxmlformats.org/officeDocument/2006/relationships/settings" Target="setting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6E6F2-A182-4AE8-B2B7-8D426E5D6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3100</Words>
  <Characters>17673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 Atieh, Melanie</dc:creator>
  <cp:keywords/>
  <dc:description/>
  <cp:lastModifiedBy>Reynolds, Doris</cp:lastModifiedBy>
  <cp:revision>3</cp:revision>
  <cp:lastPrinted>2018-04-20T14:06:00Z</cp:lastPrinted>
  <dcterms:created xsi:type="dcterms:W3CDTF">2018-04-20T14:07:00Z</dcterms:created>
  <dcterms:modified xsi:type="dcterms:W3CDTF">2018-04-20T14:07:00Z</dcterms:modified>
</cp:coreProperties>
</file>