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2F26C" w14:textId="77777777" w:rsidR="009324E2" w:rsidRPr="00472E12" w:rsidRDefault="009324E2" w:rsidP="002F7DB7">
      <w:pPr>
        <w:widowControl/>
        <w:jc w:val="center"/>
        <w:rPr>
          <w:b/>
          <w:sz w:val="26"/>
          <w:szCs w:val="26"/>
        </w:rPr>
      </w:pPr>
      <w:r w:rsidRPr="00472E12">
        <w:rPr>
          <w:b/>
          <w:sz w:val="26"/>
          <w:szCs w:val="26"/>
        </w:rPr>
        <w:t>PENNSYLVANIA</w:t>
      </w:r>
    </w:p>
    <w:p w14:paraId="674AD6F9" w14:textId="77777777" w:rsidR="009324E2" w:rsidRDefault="009324E2" w:rsidP="002F7DB7">
      <w:pPr>
        <w:widowControl/>
        <w:tabs>
          <w:tab w:val="center" w:pos="4680"/>
        </w:tabs>
        <w:suppressAutoHyphens/>
        <w:jc w:val="center"/>
        <w:rPr>
          <w:b/>
          <w:sz w:val="26"/>
        </w:rPr>
      </w:pPr>
      <w:r>
        <w:rPr>
          <w:b/>
          <w:sz w:val="26"/>
        </w:rPr>
        <w:t>PUBLIC UTILITY COMMISSION</w:t>
      </w:r>
    </w:p>
    <w:p w14:paraId="3D260212" w14:textId="77777777" w:rsidR="009324E2" w:rsidRDefault="009324E2" w:rsidP="002F7DB7">
      <w:pPr>
        <w:widowControl/>
        <w:tabs>
          <w:tab w:val="center" w:pos="4680"/>
        </w:tabs>
        <w:suppressAutoHyphens/>
        <w:jc w:val="center"/>
        <w:rPr>
          <w:b/>
          <w:sz w:val="26"/>
        </w:rPr>
      </w:pPr>
      <w:r>
        <w:rPr>
          <w:b/>
          <w:sz w:val="26"/>
        </w:rPr>
        <w:t>Harrisburg, PA  17105-3265</w:t>
      </w:r>
    </w:p>
    <w:p w14:paraId="762A50CA" w14:textId="77777777" w:rsidR="009324E2" w:rsidRDefault="009324E2" w:rsidP="002F7DB7">
      <w:pPr>
        <w:widowControl/>
        <w:tabs>
          <w:tab w:val="left" w:pos="-720"/>
        </w:tabs>
        <w:suppressAutoHyphens/>
        <w:rPr>
          <w:b/>
          <w:sz w:val="26"/>
        </w:rPr>
      </w:pPr>
    </w:p>
    <w:p w14:paraId="506A56EF" w14:textId="77777777" w:rsidR="009324E2" w:rsidRDefault="009324E2" w:rsidP="002F7DB7">
      <w:pPr>
        <w:widowControl/>
        <w:tabs>
          <w:tab w:val="right" w:pos="9360"/>
        </w:tabs>
        <w:suppressAutoHyphens/>
        <w:rPr>
          <w:sz w:val="26"/>
        </w:rPr>
      </w:pPr>
    </w:p>
    <w:p w14:paraId="1A95EAEA" w14:textId="77777777" w:rsidR="009324E2" w:rsidRDefault="009324E2" w:rsidP="002F7DB7">
      <w:pPr>
        <w:widowControl/>
        <w:tabs>
          <w:tab w:val="right" w:pos="9360"/>
        </w:tabs>
        <w:suppressAutoHyphens/>
        <w:jc w:val="right"/>
        <w:rPr>
          <w:sz w:val="26"/>
        </w:rPr>
      </w:pPr>
      <w:r>
        <w:rPr>
          <w:sz w:val="26"/>
        </w:rPr>
        <w:tab/>
        <w:t xml:space="preserve">Public Meeting held </w:t>
      </w:r>
      <w:r w:rsidR="006503DC">
        <w:rPr>
          <w:sz w:val="26"/>
        </w:rPr>
        <w:t>April 19, 2018</w:t>
      </w:r>
    </w:p>
    <w:p w14:paraId="0461CF8E" w14:textId="77777777" w:rsidR="009324E2" w:rsidRDefault="009324E2" w:rsidP="002F7DB7">
      <w:pPr>
        <w:widowControl/>
        <w:tabs>
          <w:tab w:val="left" w:pos="-720"/>
        </w:tabs>
        <w:suppressAutoHyphens/>
        <w:rPr>
          <w:sz w:val="26"/>
        </w:rPr>
      </w:pPr>
    </w:p>
    <w:p w14:paraId="37642512" w14:textId="77777777" w:rsidR="009324E2" w:rsidRDefault="009324E2" w:rsidP="002F7DB7">
      <w:pPr>
        <w:widowControl/>
        <w:tabs>
          <w:tab w:val="left" w:pos="-720"/>
        </w:tabs>
        <w:suppressAutoHyphens/>
        <w:rPr>
          <w:sz w:val="26"/>
        </w:rPr>
      </w:pPr>
      <w:r>
        <w:rPr>
          <w:sz w:val="26"/>
        </w:rPr>
        <w:t>Commissioners Present:</w:t>
      </w:r>
    </w:p>
    <w:p w14:paraId="17EEFD02" w14:textId="77777777" w:rsidR="009324E2" w:rsidRDefault="009324E2" w:rsidP="002F7DB7">
      <w:pPr>
        <w:widowControl/>
        <w:tabs>
          <w:tab w:val="left" w:pos="-720"/>
        </w:tabs>
        <w:suppressAutoHyphens/>
        <w:rPr>
          <w:sz w:val="26"/>
        </w:rPr>
      </w:pPr>
    </w:p>
    <w:p w14:paraId="466CE48F" w14:textId="77777777" w:rsidR="009324E2" w:rsidRPr="0060709A" w:rsidRDefault="009324E2" w:rsidP="002F7DB7">
      <w:pPr>
        <w:widowControl/>
        <w:tabs>
          <w:tab w:val="left" w:pos="705"/>
        </w:tabs>
        <w:ind w:firstLine="720"/>
        <w:rPr>
          <w:sz w:val="26"/>
          <w:szCs w:val="26"/>
        </w:rPr>
      </w:pPr>
      <w:r w:rsidRPr="0060709A">
        <w:rPr>
          <w:sz w:val="26"/>
          <w:szCs w:val="26"/>
        </w:rPr>
        <w:t>Gladys M. Brown, Chairman</w:t>
      </w:r>
    </w:p>
    <w:p w14:paraId="5A890994" w14:textId="77777777" w:rsidR="009324E2" w:rsidRPr="0060709A" w:rsidRDefault="009324E2" w:rsidP="002F7DB7">
      <w:pPr>
        <w:widowControl/>
        <w:tabs>
          <w:tab w:val="left" w:pos="705"/>
        </w:tabs>
        <w:ind w:firstLine="720"/>
        <w:rPr>
          <w:sz w:val="26"/>
          <w:szCs w:val="26"/>
        </w:rPr>
      </w:pPr>
      <w:r w:rsidRPr="0060709A">
        <w:rPr>
          <w:sz w:val="26"/>
          <w:szCs w:val="26"/>
        </w:rPr>
        <w:t>Andrew G. Place, Vice Chairman</w:t>
      </w:r>
    </w:p>
    <w:p w14:paraId="5641657B" w14:textId="77777777" w:rsidR="009324E2" w:rsidRDefault="006503DC" w:rsidP="002F7DB7">
      <w:pPr>
        <w:widowControl/>
        <w:tabs>
          <w:tab w:val="left" w:pos="705"/>
        </w:tabs>
        <w:ind w:firstLine="720"/>
        <w:rPr>
          <w:sz w:val="26"/>
          <w:szCs w:val="26"/>
        </w:rPr>
      </w:pPr>
      <w:r>
        <w:rPr>
          <w:sz w:val="26"/>
          <w:szCs w:val="26"/>
        </w:rPr>
        <w:t>Norman J. Kennard</w:t>
      </w:r>
    </w:p>
    <w:p w14:paraId="25DEFD0C" w14:textId="77777777" w:rsidR="006503DC" w:rsidRPr="0060709A" w:rsidRDefault="006503DC" w:rsidP="002F7DB7">
      <w:pPr>
        <w:widowControl/>
        <w:tabs>
          <w:tab w:val="left" w:pos="705"/>
        </w:tabs>
        <w:ind w:firstLine="720"/>
        <w:rPr>
          <w:sz w:val="26"/>
          <w:szCs w:val="26"/>
        </w:rPr>
      </w:pPr>
      <w:r>
        <w:rPr>
          <w:sz w:val="26"/>
          <w:szCs w:val="26"/>
        </w:rPr>
        <w:t>David W. Sweet</w:t>
      </w:r>
    </w:p>
    <w:p w14:paraId="769E7545" w14:textId="77777777" w:rsidR="009324E2" w:rsidRPr="0060709A" w:rsidRDefault="009324E2" w:rsidP="002F7DB7">
      <w:pPr>
        <w:widowControl/>
        <w:tabs>
          <w:tab w:val="left" w:pos="705"/>
        </w:tabs>
        <w:ind w:firstLine="720"/>
        <w:rPr>
          <w:sz w:val="26"/>
          <w:szCs w:val="26"/>
        </w:rPr>
      </w:pPr>
      <w:r w:rsidRPr="0060709A">
        <w:rPr>
          <w:sz w:val="26"/>
          <w:szCs w:val="26"/>
        </w:rPr>
        <w:t>John F. Coleman, Jr.</w:t>
      </w:r>
    </w:p>
    <w:p w14:paraId="3805D5F2" w14:textId="77777777" w:rsidR="009324E2" w:rsidRPr="008401FA" w:rsidRDefault="009324E2" w:rsidP="002F7DB7">
      <w:pPr>
        <w:widowControl/>
        <w:tabs>
          <w:tab w:val="left" w:pos="-720"/>
        </w:tabs>
        <w:suppressAutoHyphens/>
        <w:rPr>
          <w:sz w:val="26"/>
        </w:rPr>
      </w:pPr>
    </w:p>
    <w:p w14:paraId="52ED84BF" w14:textId="77777777" w:rsidR="009324E2" w:rsidRDefault="009324E2" w:rsidP="002F7DB7">
      <w:pPr>
        <w:widowControl/>
        <w:tabs>
          <w:tab w:val="left" w:pos="-720"/>
        </w:tabs>
        <w:suppressAutoHyphens/>
        <w:rPr>
          <w:sz w:val="26"/>
        </w:rPr>
      </w:pPr>
    </w:p>
    <w:p w14:paraId="7D0A7970" w14:textId="77777777" w:rsidR="009324E2" w:rsidRDefault="009324E2" w:rsidP="002F7DB7">
      <w:pPr>
        <w:widowControl/>
        <w:tabs>
          <w:tab w:val="left" w:pos="-720"/>
        </w:tabs>
        <w:suppressAutoHyphens/>
        <w:rPr>
          <w:sz w:val="26"/>
        </w:rPr>
      </w:pPr>
      <w:r>
        <w:rPr>
          <w:sz w:val="26"/>
        </w:rPr>
        <w:t>Pe</w:t>
      </w:r>
      <w:r w:rsidR="00F56D53">
        <w:rPr>
          <w:sz w:val="26"/>
        </w:rPr>
        <w:t>nnsylvania Public Utility Commission</w:t>
      </w:r>
      <w:r w:rsidR="00F56D53">
        <w:rPr>
          <w:sz w:val="26"/>
        </w:rPr>
        <w:tab/>
      </w:r>
      <w:r w:rsidR="00F56D53">
        <w:rPr>
          <w:sz w:val="26"/>
        </w:rPr>
        <w:tab/>
      </w:r>
      <w:r w:rsidR="00F56D53">
        <w:rPr>
          <w:sz w:val="26"/>
        </w:rPr>
        <w:tab/>
      </w:r>
      <w:r w:rsidR="00F56D53">
        <w:rPr>
          <w:sz w:val="26"/>
        </w:rPr>
        <w:tab/>
      </w:r>
      <w:r w:rsidR="00F56D53">
        <w:rPr>
          <w:sz w:val="26"/>
        </w:rPr>
        <w:tab/>
      </w:r>
      <w:r>
        <w:rPr>
          <w:sz w:val="26"/>
        </w:rPr>
        <w:t xml:space="preserve">     </w:t>
      </w:r>
      <w:r w:rsidR="00F56D53">
        <w:rPr>
          <w:sz w:val="26"/>
        </w:rPr>
        <w:t>R</w:t>
      </w:r>
      <w:r>
        <w:rPr>
          <w:sz w:val="26"/>
        </w:rPr>
        <w:t>-201</w:t>
      </w:r>
      <w:r w:rsidR="00F56D53">
        <w:rPr>
          <w:sz w:val="26"/>
        </w:rPr>
        <w:t>7</w:t>
      </w:r>
      <w:r>
        <w:rPr>
          <w:sz w:val="26"/>
        </w:rPr>
        <w:t>-2</w:t>
      </w:r>
      <w:r w:rsidR="00F56D53">
        <w:rPr>
          <w:sz w:val="26"/>
        </w:rPr>
        <w:t>624240</w:t>
      </w:r>
    </w:p>
    <w:p w14:paraId="15E1A6AA" w14:textId="77777777" w:rsidR="009324E2" w:rsidRDefault="009324E2" w:rsidP="002F7DB7">
      <w:pPr>
        <w:widowControl/>
        <w:tabs>
          <w:tab w:val="left" w:pos="-720"/>
        </w:tabs>
        <w:suppressAutoHyphens/>
        <w:rPr>
          <w:sz w:val="26"/>
        </w:rPr>
      </w:pPr>
      <w:r>
        <w:rPr>
          <w:sz w:val="26"/>
        </w:rPr>
        <w:t xml:space="preserve">Office of Consumer </w:t>
      </w:r>
      <w:r w:rsidR="00253137">
        <w:rPr>
          <w:sz w:val="26"/>
        </w:rPr>
        <w:t xml:space="preserve">Advocate </w:t>
      </w:r>
      <w:r w:rsidR="00253137">
        <w:rPr>
          <w:sz w:val="26"/>
        </w:rPr>
        <w:tab/>
      </w:r>
      <w:r>
        <w:rPr>
          <w:sz w:val="26"/>
        </w:rPr>
        <w:tab/>
      </w:r>
      <w:r>
        <w:rPr>
          <w:sz w:val="26"/>
        </w:rPr>
        <w:tab/>
      </w:r>
      <w:r>
        <w:rPr>
          <w:sz w:val="26"/>
        </w:rPr>
        <w:tab/>
      </w:r>
      <w:r>
        <w:rPr>
          <w:sz w:val="26"/>
        </w:rPr>
        <w:tab/>
      </w:r>
      <w:r>
        <w:rPr>
          <w:sz w:val="26"/>
        </w:rPr>
        <w:tab/>
        <w:t xml:space="preserve">     C-201</w:t>
      </w:r>
      <w:r w:rsidR="003C28ED">
        <w:rPr>
          <w:sz w:val="26"/>
        </w:rPr>
        <w:t>7-2626954</w:t>
      </w:r>
      <w:r>
        <w:rPr>
          <w:sz w:val="26"/>
        </w:rPr>
        <w:t xml:space="preserve"> </w:t>
      </w:r>
    </w:p>
    <w:p w14:paraId="0CC38DAB" w14:textId="77777777" w:rsidR="009324E2" w:rsidRDefault="009324E2" w:rsidP="002F7DB7">
      <w:pPr>
        <w:widowControl/>
        <w:tabs>
          <w:tab w:val="left" w:pos="-720"/>
        </w:tabs>
        <w:suppressAutoHyphens/>
        <w:rPr>
          <w:sz w:val="26"/>
        </w:rPr>
      </w:pPr>
    </w:p>
    <w:p w14:paraId="451E9EA8" w14:textId="77777777" w:rsidR="009324E2" w:rsidRDefault="009324E2" w:rsidP="002F7DB7">
      <w:pPr>
        <w:widowControl/>
        <w:tabs>
          <w:tab w:val="left" w:pos="-720"/>
        </w:tabs>
        <w:suppressAutoHyphens/>
        <w:rPr>
          <w:sz w:val="26"/>
        </w:rPr>
      </w:pPr>
      <w:r>
        <w:rPr>
          <w:sz w:val="26"/>
        </w:rPr>
        <w:tab/>
        <w:t>v.</w:t>
      </w:r>
    </w:p>
    <w:p w14:paraId="42B95C16" w14:textId="77777777" w:rsidR="009324E2" w:rsidRDefault="009324E2" w:rsidP="002F7DB7">
      <w:pPr>
        <w:widowControl/>
        <w:tabs>
          <w:tab w:val="left" w:pos="-720"/>
        </w:tabs>
        <w:suppressAutoHyphens/>
        <w:rPr>
          <w:sz w:val="26"/>
        </w:rPr>
      </w:pPr>
    </w:p>
    <w:p w14:paraId="5C0E95A7" w14:textId="77777777" w:rsidR="009324E2" w:rsidRDefault="006503DC" w:rsidP="002F7DB7">
      <w:pPr>
        <w:widowControl/>
        <w:tabs>
          <w:tab w:val="left" w:pos="-720"/>
        </w:tabs>
        <w:suppressAutoHyphens/>
        <w:rPr>
          <w:sz w:val="26"/>
        </w:rPr>
      </w:pPr>
      <w:r>
        <w:rPr>
          <w:sz w:val="26"/>
        </w:rPr>
        <w:t>Newtown Artesian Water Company</w:t>
      </w:r>
    </w:p>
    <w:p w14:paraId="36900375" w14:textId="1EC69E1E" w:rsidR="009324E2" w:rsidRDefault="009324E2" w:rsidP="002F7DB7">
      <w:pPr>
        <w:widowControl/>
        <w:tabs>
          <w:tab w:val="left" w:pos="-720"/>
        </w:tabs>
        <w:suppressAutoHyphens/>
        <w:rPr>
          <w:sz w:val="26"/>
        </w:rPr>
      </w:pPr>
    </w:p>
    <w:p w14:paraId="44AC9753" w14:textId="2C362E5C" w:rsidR="008401FA" w:rsidRDefault="008401FA" w:rsidP="002F7DB7">
      <w:pPr>
        <w:widowControl/>
        <w:tabs>
          <w:tab w:val="left" w:pos="-720"/>
        </w:tabs>
        <w:suppressAutoHyphens/>
        <w:rPr>
          <w:sz w:val="26"/>
        </w:rPr>
      </w:pPr>
    </w:p>
    <w:p w14:paraId="359D45C8" w14:textId="6D8AD2A2" w:rsidR="008401FA" w:rsidRDefault="008401FA" w:rsidP="002F7DB7">
      <w:pPr>
        <w:widowControl/>
        <w:tabs>
          <w:tab w:val="left" w:pos="-720"/>
        </w:tabs>
        <w:suppressAutoHyphens/>
        <w:rPr>
          <w:sz w:val="26"/>
        </w:rPr>
      </w:pPr>
    </w:p>
    <w:p w14:paraId="01BF8DE9" w14:textId="77777777" w:rsidR="008401FA" w:rsidRDefault="008401FA" w:rsidP="002F7DB7">
      <w:pPr>
        <w:widowControl/>
        <w:tabs>
          <w:tab w:val="left" w:pos="-720"/>
        </w:tabs>
        <w:suppressAutoHyphens/>
        <w:rPr>
          <w:sz w:val="26"/>
        </w:rPr>
      </w:pPr>
    </w:p>
    <w:p w14:paraId="4DE16689" w14:textId="77777777" w:rsidR="009324E2" w:rsidRPr="008401FA" w:rsidRDefault="009324E2" w:rsidP="002F7DB7">
      <w:pPr>
        <w:widowControl/>
        <w:tabs>
          <w:tab w:val="center" w:pos="4680"/>
        </w:tabs>
        <w:suppressAutoHyphens/>
        <w:rPr>
          <w:sz w:val="26"/>
        </w:rPr>
      </w:pPr>
    </w:p>
    <w:p w14:paraId="5B27771A" w14:textId="77777777" w:rsidR="009324E2" w:rsidRDefault="009324E2" w:rsidP="002F7DB7">
      <w:pPr>
        <w:widowControl/>
        <w:tabs>
          <w:tab w:val="center" w:pos="4680"/>
        </w:tabs>
        <w:suppressAutoHyphens/>
        <w:jc w:val="center"/>
        <w:rPr>
          <w:b/>
          <w:sz w:val="26"/>
        </w:rPr>
      </w:pPr>
      <w:r>
        <w:rPr>
          <w:b/>
          <w:sz w:val="26"/>
        </w:rPr>
        <w:t>OPINION AND ORDER</w:t>
      </w:r>
    </w:p>
    <w:p w14:paraId="1410F86A" w14:textId="77777777" w:rsidR="00095F46" w:rsidRDefault="00095F46" w:rsidP="002F7DB7">
      <w:pPr>
        <w:widowControl/>
        <w:spacing w:after="200" w:line="276" w:lineRule="auto"/>
        <w:rPr>
          <w:b/>
          <w:sz w:val="26"/>
        </w:rPr>
        <w:sectPr w:rsidR="00095F46" w:rsidSect="004770D4">
          <w:footerReference w:type="default" r:id="rId8"/>
          <w:pgSz w:w="12240" w:h="15840"/>
          <w:pgMar w:top="1440" w:right="1440" w:bottom="1440" w:left="1440" w:header="720" w:footer="720" w:gutter="0"/>
          <w:cols w:space="720"/>
          <w:titlePg/>
          <w:docGrid w:linePitch="360"/>
        </w:sectPr>
      </w:pPr>
    </w:p>
    <w:sdt>
      <w:sdtPr>
        <w:rPr>
          <w:rFonts w:ascii="Times New Roman" w:eastAsia="Times New Roman" w:hAnsi="Times New Roman" w:cs="Times New Roman"/>
          <w:color w:val="auto"/>
          <w:sz w:val="26"/>
          <w:szCs w:val="26"/>
        </w:rPr>
        <w:id w:val="480964443"/>
        <w:docPartObj>
          <w:docPartGallery w:val="Table of Contents"/>
          <w:docPartUnique/>
        </w:docPartObj>
      </w:sdtPr>
      <w:sdtEndPr>
        <w:rPr>
          <w:b/>
          <w:bCs/>
          <w:noProof/>
        </w:rPr>
      </w:sdtEndPr>
      <w:sdtContent>
        <w:p w14:paraId="6A16B76C" w14:textId="77777777" w:rsidR="007561BC" w:rsidRPr="007818BA" w:rsidRDefault="0051699C" w:rsidP="002F7DB7">
          <w:pPr>
            <w:pStyle w:val="TOCHeading"/>
            <w:jc w:val="center"/>
            <w:rPr>
              <w:sz w:val="26"/>
              <w:szCs w:val="26"/>
            </w:rPr>
          </w:pPr>
          <w:r w:rsidRPr="007818BA">
            <w:rPr>
              <w:rFonts w:ascii="Times New Roman" w:hAnsi="Times New Roman" w:cs="Times New Roman"/>
              <w:color w:val="auto"/>
              <w:sz w:val="26"/>
              <w:szCs w:val="26"/>
            </w:rPr>
            <w:t>Table of Contents</w:t>
          </w:r>
        </w:p>
        <w:p w14:paraId="5FE592DE" w14:textId="3FE94C5F" w:rsidR="00127766" w:rsidRDefault="00C159C2">
          <w:pPr>
            <w:pStyle w:val="TOC1"/>
            <w:tabs>
              <w:tab w:val="left" w:pos="400"/>
              <w:tab w:val="right" w:leader="dot" w:pos="9350"/>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512430425" w:history="1">
            <w:r w:rsidR="00127766" w:rsidRPr="003642A7">
              <w:rPr>
                <w:rStyle w:val="Hyperlink"/>
                <w:noProof/>
              </w:rPr>
              <w:t>I.</w:t>
            </w:r>
            <w:r w:rsidR="00127766">
              <w:rPr>
                <w:rFonts w:asciiTheme="minorHAnsi" w:eastAsiaTheme="minorEastAsia" w:hAnsiTheme="minorHAnsi" w:cstheme="minorBidi"/>
                <w:noProof/>
                <w:sz w:val="22"/>
                <w:szCs w:val="22"/>
              </w:rPr>
              <w:tab/>
            </w:r>
            <w:r w:rsidR="00127766" w:rsidRPr="003642A7">
              <w:rPr>
                <w:rStyle w:val="Hyperlink"/>
                <w:noProof/>
              </w:rPr>
              <w:t>Matter Before the Commission</w:t>
            </w:r>
            <w:r w:rsidR="00127766">
              <w:rPr>
                <w:noProof/>
                <w:webHidden/>
              </w:rPr>
              <w:tab/>
            </w:r>
            <w:r w:rsidR="00127766">
              <w:rPr>
                <w:noProof/>
                <w:webHidden/>
              </w:rPr>
              <w:fldChar w:fldCharType="begin"/>
            </w:r>
            <w:r w:rsidR="00127766">
              <w:rPr>
                <w:noProof/>
                <w:webHidden/>
              </w:rPr>
              <w:instrText xml:space="preserve"> PAGEREF _Toc512430425 \h </w:instrText>
            </w:r>
            <w:r w:rsidR="00127766">
              <w:rPr>
                <w:noProof/>
                <w:webHidden/>
              </w:rPr>
            </w:r>
            <w:r w:rsidR="00127766">
              <w:rPr>
                <w:noProof/>
                <w:webHidden/>
              </w:rPr>
              <w:fldChar w:fldCharType="separate"/>
            </w:r>
            <w:r w:rsidR="00FF7E23">
              <w:rPr>
                <w:noProof/>
                <w:webHidden/>
              </w:rPr>
              <w:t>1</w:t>
            </w:r>
            <w:r w:rsidR="00127766">
              <w:rPr>
                <w:noProof/>
                <w:webHidden/>
              </w:rPr>
              <w:fldChar w:fldCharType="end"/>
            </w:r>
          </w:hyperlink>
        </w:p>
        <w:p w14:paraId="05404663" w14:textId="342665A9" w:rsidR="00127766" w:rsidRDefault="0015449F">
          <w:pPr>
            <w:pStyle w:val="TOC1"/>
            <w:tabs>
              <w:tab w:val="left" w:pos="600"/>
              <w:tab w:val="right" w:leader="dot" w:pos="9350"/>
            </w:tabs>
            <w:rPr>
              <w:rFonts w:asciiTheme="minorHAnsi" w:eastAsiaTheme="minorEastAsia" w:hAnsiTheme="minorHAnsi" w:cstheme="minorBidi"/>
              <w:noProof/>
              <w:sz w:val="22"/>
              <w:szCs w:val="22"/>
            </w:rPr>
          </w:pPr>
          <w:hyperlink w:anchor="_Toc512430426" w:history="1">
            <w:r w:rsidR="00127766" w:rsidRPr="003642A7">
              <w:rPr>
                <w:rStyle w:val="Hyperlink"/>
                <w:noProof/>
              </w:rPr>
              <w:t>II.</w:t>
            </w:r>
            <w:r w:rsidR="00127766">
              <w:rPr>
                <w:rFonts w:asciiTheme="minorHAnsi" w:eastAsiaTheme="minorEastAsia" w:hAnsiTheme="minorHAnsi" w:cstheme="minorBidi"/>
                <w:noProof/>
                <w:sz w:val="22"/>
                <w:szCs w:val="22"/>
              </w:rPr>
              <w:tab/>
            </w:r>
            <w:r w:rsidR="00127766" w:rsidRPr="003642A7">
              <w:rPr>
                <w:rStyle w:val="Hyperlink"/>
                <w:noProof/>
              </w:rPr>
              <w:t>History of the Proceeding</w:t>
            </w:r>
            <w:r w:rsidR="00127766">
              <w:rPr>
                <w:noProof/>
                <w:webHidden/>
              </w:rPr>
              <w:tab/>
            </w:r>
            <w:r w:rsidR="00127766">
              <w:rPr>
                <w:noProof/>
                <w:webHidden/>
              </w:rPr>
              <w:fldChar w:fldCharType="begin"/>
            </w:r>
            <w:r w:rsidR="00127766">
              <w:rPr>
                <w:noProof/>
                <w:webHidden/>
              </w:rPr>
              <w:instrText xml:space="preserve"> PAGEREF _Toc512430426 \h </w:instrText>
            </w:r>
            <w:r w:rsidR="00127766">
              <w:rPr>
                <w:noProof/>
                <w:webHidden/>
              </w:rPr>
            </w:r>
            <w:r w:rsidR="00127766">
              <w:rPr>
                <w:noProof/>
                <w:webHidden/>
              </w:rPr>
              <w:fldChar w:fldCharType="separate"/>
            </w:r>
            <w:r w:rsidR="00FF7E23">
              <w:rPr>
                <w:noProof/>
                <w:webHidden/>
              </w:rPr>
              <w:t>2</w:t>
            </w:r>
            <w:r w:rsidR="00127766">
              <w:rPr>
                <w:noProof/>
                <w:webHidden/>
              </w:rPr>
              <w:fldChar w:fldCharType="end"/>
            </w:r>
          </w:hyperlink>
        </w:p>
        <w:p w14:paraId="0DD9017C" w14:textId="44FFDC02" w:rsidR="00127766" w:rsidRDefault="0015449F">
          <w:pPr>
            <w:pStyle w:val="TOC1"/>
            <w:tabs>
              <w:tab w:val="left" w:pos="600"/>
              <w:tab w:val="right" w:leader="dot" w:pos="9350"/>
            </w:tabs>
            <w:rPr>
              <w:rFonts w:asciiTheme="minorHAnsi" w:eastAsiaTheme="minorEastAsia" w:hAnsiTheme="minorHAnsi" w:cstheme="minorBidi"/>
              <w:noProof/>
              <w:sz w:val="22"/>
              <w:szCs w:val="22"/>
            </w:rPr>
          </w:pPr>
          <w:hyperlink w:anchor="_Toc512430427" w:history="1">
            <w:r w:rsidR="00127766" w:rsidRPr="003642A7">
              <w:rPr>
                <w:rStyle w:val="Hyperlink"/>
                <w:rFonts w:eastAsia="Calibri"/>
                <w:noProof/>
              </w:rPr>
              <w:t>III.</w:t>
            </w:r>
            <w:r w:rsidR="00127766">
              <w:rPr>
                <w:rFonts w:asciiTheme="minorHAnsi" w:eastAsiaTheme="minorEastAsia" w:hAnsiTheme="minorHAnsi" w:cstheme="minorBidi"/>
                <w:noProof/>
                <w:sz w:val="22"/>
                <w:szCs w:val="22"/>
              </w:rPr>
              <w:tab/>
            </w:r>
            <w:r w:rsidR="00127766" w:rsidRPr="003642A7">
              <w:rPr>
                <w:rStyle w:val="Hyperlink"/>
                <w:rFonts w:eastAsia="Calibri"/>
                <w:noProof/>
              </w:rPr>
              <w:t>Legal Standards</w:t>
            </w:r>
            <w:r w:rsidR="00127766">
              <w:rPr>
                <w:noProof/>
                <w:webHidden/>
              </w:rPr>
              <w:tab/>
            </w:r>
            <w:r w:rsidR="00127766">
              <w:rPr>
                <w:noProof/>
                <w:webHidden/>
              </w:rPr>
              <w:fldChar w:fldCharType="begin"/>
            </w:r>
            <w:r w:rsidR="00127766">
              <w:rPr>
                <w:noProof/>
                <w:webHidden/>
              </w:rPr>
              <w:instrText xml:space="preserve"> PAGEREF _Toc512430427 \h </w:instrText>
            </w:r>
            <w:r w:rsidR="00127766">
              <w:rPr>
                <w:noProof/>
                <w:webHidden/>
              </w:rPr>
            </w:r>
            <w:r w:rsidR="00127766">
              <w:rPr>
                <w:noProof/>
                <w:webHidden/>
              </w:rPr>
              <w:fldChar w:fldCharType="separate"/>
            </w:r>
            <w:r w:rsidR="00FF7E23">
              <w:rPr>
                <w:noProof/>
                <w:webHidden/>
              </w:rPr>
              <w:t>5</w:t>
            </w:r>
            <w:r w:rsidR="00127766">
              <w:rPr>
                <w:noProof/>
                <w:webHidden/>
              </w:rPr>
              <w:fldChar w:fldCharType="end"/>
            </w:r>
          </w:hyperlink>
        </w:p>
        <w:p w14:paraId="591AAA64" w14:textId="18DD165A" w:rsidR="00127766" w:rsidRDefault="0015449F">
          <w:pPr>
            <w:pStyle w:val="TOC2"/>
            <w:tabs>
              <w:tab w:val="left" w:pos="800"/>
              <w:tab w:val="right" w:leader="dot" w:pos="9350"/>
            </w:tabs>
            <w:rPr>
              <w:rFonts w:asciiTheme="minorHAnsi" w:eastAsiaTheme="minorEastAsia" w:hAnsiTheme="minorHAnsi" w:cstheme="minorBidi"/>
              <w:noProof/>
              <w:sz w:val="22"/>
              <w:szCs w:val="22"/>
            </w:rPr>
          </w:pPr>
          <w:hyperlink w:anchor="_Toc512430428" w:history="1">
            <w:r w:rsidR="00127766" w:rsidRPr="003642A7">
              <w:rPr>
                <w:rStyle w:val="Hyperlink"/>
                <w:noProof/>
              </w:rPr>
              <w:t>A.</w:t>
            </w:r>
            <w:r w:rsidR="00127766">
              <w:rPr>
                <w:rFonts w:asciiTheme="minorHAnsi" w:eastAsiaTheme="minorEastAsia" w:hAnsiTheme="minorHAnsi" w:cstheme="minorBidi"/>
                <w:noProof/>
                <w:sz w:val="22"/>
                <w:szCs w:val="22"/>
              </w:rPr>
              <w:tab/>
            </w:r>
            <w:r w:rsidR="00127766" w:rsidRPr="003642A7">
              <w:rPr>
                <w:rStyle w:val="Hyperlink"/>
                <w:noProof/>
              </w:rPr>
              <w:t>General Legal Standards</w:t>
            </w:r>
            <w:r w:rsidR="00127766">
              <w:rPr>
                <w:noProof/>
                <w:webHidden/>
              </w:rPr>
              <w:tab/>
            </w:r>
            <w:r w:rsidR="00127766">
              <w:rPr>
                <w:noProof/>
                <w:webHidden/>
              </w:rPr>
              <w:fldChar w:fldCharType="begin"/>
            </w:r>
            <w:r w:rsidR="00127766">
              <w:rPr>
                <w:noProof/>
                <w:webHidden/>
              </w:rPr>
              <w:instrText xml:space="preserve"> PAGEREF _Toc512430428 \h </w:instrText>
            </w:r>
            <w:r w:rsidR="00127766">
              <w:rPr>
                <w:noProof/>
                <w:webHidden/>
              </w:rPr>
            </w:r>
            <w:r w:rsidR="00127766">
              <w:rPr>
                <w:noProof/>
                <w:webHidden/>
              </w:rPr>
              <w:fldChar w:fldCharType="separate"/>
            </w:r>
            <w:r w:rsidR="00FF7E23">
              <w:rPr>
                <w:noProof/>
                <w:webHidden/>
              </w:rPr>
              <w:t>5</w:t>
            </w:r>
            <w:r w:rsidR="00127766">
              <w:rPr>
                <w:noProof/>
                <w:webHidden/>
              </w:rPr>
              <w:fldChar w:fldCharType="end"/>
            </w:r>
          </w:hyperlink>
        </w:p>
        <w:p w14:paraId="6F07AEF1" w14:textId="7F79E06E" w:rsidR="00127766" w:rsidRDefault="0015449F">
          <w:pPr>
            <w:pStyle w:val="TOC2"/>
            <w:tabs>
              <w:tab w:val="left" w:pos="800"/>
              <w:tab w:val="right" w:leader="dot" w:pos="9350"/>
            </w:tabs>
            <w:rPr>
              <w:rFonts w:asciiTheme="minorHAnsi" w:eastAsiaTheme="minorEastAsia" w:hAnsiTheme="minorHAnsi" w:cstheme="minorBidi"/>
              <w:noProof/>
              <w:sz w:val="22"/>
              <w:szCs w:val="22"/>
            </w:rPr>
          </w:pPr>
          <w:hyperlink w:anchor="_Toc512430429" w:history="1">
            <w:r w:rsidR="00127766" w:rsidRPr="003642A7">
              <w:rPr>
                <w:rStyle w:val="Hyperlink"/>
                <w:noProof/>
              </w:rPr>
              <w:t>B.</w:t>
            </w:r>
            <w:r w:rsidR="00127766">
              <w:rPr>
                <w:rFonts w:asciiTheme="minorHAnsi" w:eastAsiaTheme="minorEastAsia" w:hAnsiTheme="minorHAnsi" w:cstheme="minorBidi"/>
                <w:noProof/>
                <w:sz w:val="22"/>
                <w:szCs w:val="22"/>
              </w:rPr>
              <w:tab/>
            </w:r>
            <w:r w:rsidR="00127766" w:rsidRPr="003642A7">
              <w:rPr>
                <w:rStyle w:val="Hyperlink"/>
                <w:noProof/>
              </w:rPr>
              <w:t>Act 11 Legal Standards Applicable to this Proceeding</w:t>
            </w:r>
            <w:r w:rsidR="00127766">
              <w:rPr>
                <w:noProof/>
                <w:webHidden/>
              </w:rPr>
              <w:tab/>
            </w:r>
            <w:r w:rsidR="00127766">
              <w:rPr>
                <w:noProof/>
                <w:webHidden/>
              </w:rPr>
              <w:fldChar w:fldCharType="begin"/>
            </w:r>
            <w:r w:rsidR="00127766">
              <w:rPr>
                <w:noProof/>
                <w:webHidden/>
              </w:rPr>
              <w:instrText xml:space="preserve"> PAGEREF _Toc512430429 \h </w:instrText>
            </w:r>
            <w:r w:rsidR="00127766">
              <w:rPr>
                <w:noProof/>
                <w:webHidden/>
              </w:rPr>
            </w:r>
            <w:r w:rsidR="00127766">
              <w:rPr>
                <w:noProof/>
                <w:webHidden/>
              </w:rPr>
              <w:fldChar w:fldCharType="separate"/>
            </w:r>
            <w:r w:rsidR="00FF7E23">
              <w:rPr>
                <w:noProof/>
                <w:webHidden/>
              </w:rPr>
              <w:t>6</w:t>
            </w:r>
            <w:r w:rsidR="00127766">
              <w:rPr>
                <w:noProof/>
                <w:webHidden/>
              </w:rPr>
              <w:fldChar w:fldCharType="end"/>
            </w:r>
          </w:hyperlink>
        </w:p>
        <w:p w14:paraId="14CF53FB" w14:textId="0425A152" w:rsidR="00127766" w:rsidRDefault="0015449F">
          <w:pPr>
            <w:pStyle w:val="TOC1"/>
            <w:tabs>
              <w:tab w:val="left" w:pos="600"/>
              <w:tab w:val="right" w:leader="dot" w:pos="9350"/>
            </w:tabs>
            <w:rPr>
              <w:rFonts w:asciiTheme="minorHAnsi" w:eastAsiaTheme="minorEastAsia" w:hAnsiTheme="minorHAnsi" w:cstheme="minorBidi"/>
              <w:noProof/>
              <w:sz w:val="22"/>
              <w:szCs w:val="22"/>
            </w:rPr>
          </w:pPr>
          <w:hyperlink w:anchor="_Toc512430430" w:history="1">
            <w:r w:rsidR="00127766" w:rsidRPr="003642A7">
              <w:rPr>
                <w:rStyle w:val="Hyperlink"/>
                <w:noProof/>
              </w:rPr>
              <w:t>IV.</w:t>
            </w:r>
            <w:r w:rsidR="00127766">
              <w:rPr>
                <w:rFonts w:asciiTheme="minorHAnsi" w:eastAsiaTheme="minorEastAsia" w:hAnsiTheme="minorHAnsi" w:cstheme="minorBidi"/>
                <w:noProof/>
                <w:sz w:val="22"/>
                <w:szCs w:val="22"/>
              </w:rPr>
              <w:tab/>
            </w:r>
            <w:r w:rsidR="00127766" w:rsidRPr="003642A7">
              <w:rPr>
                <w:rStyle w:val="Hyperlink"/>
                <w:noProof/>
              </w:rPr>
              <w:t>NAWC’s Proposed Tariff Supplement</w:t>
            </w:r>
            <w:r w:rsidR="00127766">
              <w:rPr>
                <w:noProof/>
                <w:webHidden/>
              </w:rPr>
              <w:tab/>
            </w:r>
            <w:r w:rsidR="00127766">
              <w:rPr>
                <w:noProof/>
                <w:webHidden/>
              </w:rPr>
              <w:fldChar w:fldCharType="begin"/>
            </w:r>
            <w:r w:rsidR="00127766">
              <w:rPr>
                <w:noProof/>
                <w:webHidden/>
              </w:rPr>
              <w:instrText xml:space="preserve"> PAGEREF _Toc512430430 \h </w:instrText>
            </w:r>
            <w:r w:rsidR="00127766">
              <w:rPr>
                <w:noProof/>
                <w:webHidden/>
              </w:rPr>
            </w:r>
            <w:r w:rsidR="00127766">
              <w:rPr>
                <w:noProof/>
                <w:webHidden/>
              </w:rPr>
              <w:fldChar w:fldCharType="separate"/>
            </w:r>
            <w:r w:rsidR="00FF7E23">
              <w:rPr>
                <w:noProof/>
                <w:webHidden/>
              </w:rPr>
              <w:t>11</w:t>
            </w:r>
            <w:r w:rsidR="00127766">
              <w:rPr>
                <w:noProof/>
                <w:webHidden/>
              </w:rPr>
              <w:fldChar w:fldCharType="end"/>
            </w:r>
          </w:hyperlink>
        </w:p>
        <w:p w14:paraId="70D5848B" w14:textId="533AE7B0" w:rsidR="00127766" w:rsidRDefault="0015449F">
          <w:pPr>
            <w:pStyle w:val="TOC2"/>
            <w:tabs>
              <w:tab w:val="left" w:pos="800"/>
              <w:tab w:val="right" w:leader="dot" w:pos="9350"/>
            </w:tabs>
            <w:rPr>
              <w:rFonts w:asciiTheme="minorHAnsi" w:eastAsiaTheme="minorEastAsia" w:hAnsiTheme="minorHAnsi" w:cstheme="minorBidi"/>
              <w:noProof/>
              <w:sz w:val="22"/>
              <w:szCs w:val="22"/>
            </w:rPr>
          </w:pPr>
          <w:hyperlink w:anchor="_Toc512430431" w:history="1">
            <w:r w:rsidR="00127766" w:rsidRPr="003642A7">
              <w:rPr>
                <w:rStyle w:val="Hyperlink"/>
                <w:noProof/>
              </w:rPr>
              <w:t>A.</w:t>
            </w:r>
            <w:r w:rsidR="00127766">
              <w:rPr>
                <w:rFonts w:asciiTheme="minorHAnsi" w:eastAsiaTheme="minorEastAsia" w:hAnsiTheme="minorHAnsi" w:cstheme="minorBidi"/>
                <w:noProof/>
                <w:sz w:val="22"/>
                <w:szCs w:val="22"/>
              </w:rPr>
              <w:tab/>
            </w:r>
            <w:r w:rsidR="00127766" w:rsidRPr="003642A7">
              <w:rPr>
                <w:rStyle w:val="Hyperlink"/>
                <w:noProof/>
              </w:rPr>
              <w:t>Overview</w:t>
            </w:r>
            <w:r w:rsidR="00127766">
              <w:rPr>
                <w:noProof/>
                <w:webHidden/>
              </w:rPr>
              <w:tab/>
            </w:r>
            <w:r w:rsidR="00127766">
              <w:rPr>
                <w:noProof/>
                <w:webHidden/>
              </w:rPr>
              <w:fldChar w:fldCharType="begin"/>
            </w:r>
            <w:r w:rsidR="00127766">
              <w:rPr>
                <w:noProof/>
                <w:webHidden/>
              </w:rPr>
              <w:instrText xml:space="preserve"> PAGEREF _Toc512430431 \h </w:instrText>
            </w:r>
            <w:r w:rsidR="00127766">
              <w:rPr>
                <w:noProof/>
                <w:webHidden/>
              </w:rPr>
            </w:r>
            <w:r w:rsidR="00127766">
              <w:rPr>
                <w:noProof/>
                <w:webHidden/>
              </w:rPr>
              <w:fldChar w:fldCharType="separate"/>
            </w:r>
            <w:r w:rsidR="00FF7E23">
              <w:rPr>
                <w:noProof/>
                <w:webHidden/>
              </w:rPr>
              <w:t>11</w:t>
            </w:r>
            <w:r w:rsidR="00127766">
              <w:rPr>
                <w:noProof/>
                <w:webHidden/>
              </w:rPr>
              <w:fldChar w:fldCharType="end"/>
            </w:r>
          </w:hyperlink>
        </w:p>
        <w:p w14:paraId="4A4AC9D2" w14:textId="7A24E26E" w:rsidR="00127766" w:rsidRDefault="0015449F">
          <w:pPr>
            <w:pStyle w:val="TOC2"/>
            <w:tabs>
              <w:tab w:val="left" w:pos="800"/>
              <w:tab w:val="right" w:leader="dot" w:pos="9350"/>
            </w:tabs>
            <w:rPr>
              <w:rFonts w:asciiTheme="minorHAnsi" w:eastAsiaTheme="minorEastAsia" w:hAnsiTheme="minorHAnsi" w:cstheme="minorBidi"/>
              <w:noProof/>
              <w:sz w:val="22"/>
              <w:szCs w:val="22"/>
            </w:rPr>
          </w:pPr>
          <w:hyperlink w:anchor="_Toc512430432" w:history="1">
            <w:r w:rsidR="00127766" w:rsidRPr="003642A7">
              <w:rPr>
                <w:rStyle w:val="Hyperlink"/>
                <w:noProof/>
              </w:rPr>
              <w:t>B.</w:t>
            </w:r>
            <w:r w:rsidR="00127766">
              <w:rPr>
                <w:rFonts w:asciiTheme="minorHAnsi" w:eastAsiaTheme="minorEastAsia" w:hAnsiTheme="minorHAnsi" w:cstheme="minorBidi"/>
                <w:noProof/>
                <w:sz w:val="22"/>
                <w:szCs w:val="22"/>
              </w:rPr>
              <w:tab/>
            </w:r>
            <w:r w:rsidR="00127766" w:rsidRPr="003642A7">
              <w:rPr>
                <w:rStyle w:val="Hyperlink"/>
                <w:noProof/>
              </w:rPr>
              <w:t>NAWC’s Request to Increase the DSIC Cap from 5% to 7.5%</w:t>
            </w:r>
            <w:r w:rsidR="00127766">
              <w:rPr>
                <w:noProof/>
                <w:webHidden/>
              </w:rPr>
              <w:tab/>
            </w:r>
            <w:r w:rsidR="00127766">
              <w:rPr>
                <w:noProof/>
                <w:webHidden/>
              </w:rPr>
              <w:fldChar w:fldCharType="begin"/>
            </w:r>
            <w:r w:rsidR="00127766">
              <w:rPr>
                <w:noProof/>
                <w:webHidden/>
              </w:rPr>
              <w:instrText xml:space="preserve"> PAGEREF _Toc512430432 \h </w:instrText>
            </w:r>
            <w:r w:rsidR="00127766">
              <w:rPr>
                <w:noProof/>
                <w:webHidden/>
              </w:rPr>
            </w:r>
            <w:r w:rsidR="00127766">
              <w:rPr>
                <w:noProof/>
                <w:webHidden/>
              </w:rPr>
              <w:fldChar w:fldCharType="separate"/>
            </w:r>
            <w:r w:rsidR="00FF7E23">
              <w:rPr>
                <w:noProof/>
                <w:webHidden/>
              </w:rPr>
              <w:t>12</w:t>
            </w:r>
            <w:r w:rsidR="00127766">
              <w:rPr>
                <w:noProof/>
                <w:webHidden/>
              </w:rPr>
              <w:fldChar w:fldCharType="end"/>
            </w:r>
          </w:hyperlink>
        </w:p>
        <w:p w14:paraId="322D6AE9" w14:textId="1129873D" w:rsidR="00127766" w:rsidRDefault="0015449F">
          <w:pPr>
            <w:pStyle w:val="TOC3"/>
            <w:tabs>
              <w:tab w:val="left" w:pos="1100"/>
              <w:tab w:val="right" w:leader="dot" w:pos="9350"/>
            </w:tabs>
            <w:rPr>
              <w:rFonts w:asciiTheme="minorHAnsi" w:eastAsiaTheme="minorEastAsia" w:hAnsiTheme="minorHAnsi" w:cstheme="minorBidi"/>
              <w:noProof/>
              <w:sz w:val="22"/>
              <w:szCs w:val="22"/>
            </w:rPr>
          </w:pPr>
          <w:hyperlink w:anchor="_Toc512430433" w:history="1">
            <w:r w:rsidR="00127766" w:rsidRPr="003642A7">
              <w:rPr>
                <w:rStyle w:val="Hyperlink"/>
                <w:noProof/>
              </w:rPr>
              <w:t>1.</w:t>
            </w:r>
            <w:r w:rsidR="00127766">
              <w:rPr>
                <w:rFonts w:asciiTheme="minorHAnsi" w:eastAsiaTheme="minorEastAsia" w:hAnsiTheme="minorHAnsi" w:cstheme="minorBidi"/>
                <w:noProof/>
                <w:sz w:val="22"/>
                <w:szCs w:val="22"/>
              </w:rPr>
              <w:tab/>
            </w:r>
            <w:r w:rsidR="00127766" w:rsidRPr="003642A7">
              <w:rPr>
                <w:rStyle w:val="Hyperlink"/>
                <w:noProof/>
              </w:rPr>
              <w:t>Positions of the Parties</w:t>
            </w:r>
            <w:r w:rsidR="00127766">
              <w:rPr>
                <w:noProof/>
                <w:webHidden/>
              </w:rPr>
              <w:tab/>
            </w:r>
            <w:r w:rsidR="00127766">
              <w:rPr>
                <w:noProof/>
                <w:webHidden/>
              </w:rPr>
              <w:fldChar w:fldCharType="begin"/>
            </w:r>
            <w:r w:rsidR="00127766">
              <w:rPr>
                <w:noProof/>
                <w:webHidden/>
              </w:rPr>
              <w:instrText xml:space="preserve"> PAGEREF _Toc512430433 \h </w:instrText>
            </w:r>
            <w:r w:rsidR="00127766">
              <w:rPr>
                <w:noProof/>
                <w:webHidden/>
              </w:rPr>
            </w:r>
            <w:r w:rsidR="00127766">
              <w:rPr>
                <w:noProof/>
                <w:webHidden/>
              </w:rPr>
              <w:fldChar w:fldCharType="separate"/>
            </w:r>
            <w:r w:rsidR="00FF7E23">
              <w:rPr>
                <w:noProof/>
                <w:webHidden/>
              </w:rPr>
              <w:t>12</w:t>
            </w:r>
            <w:r w:rsidR="00127766">
              <w:rPr>
                <w:noProof/>
                <w:webHidden/>
              </w:rPr>
              <w:fldChar w:fldCharType="end"/>
            </w:r>
          </w:hyperlink>
        </w:p>
        <w:p w14:paraId="136B3C85" w14:textId="0AC01ED7" w:rsidR="00127766" w:rsidRDefault="0015449F">
          <w:pPr>
            <w:pStyle w:val="TOC4"/>
            <w:tabs>
              <w:tab w:val="left" w:pos="1100"/>
              <w:tab w:val="right" w:leader="dot" w:pos="9350"/>
            </w:tabs>
            <w:rPr>
              <w:rFonts w:asciiTheme="minorHAnsi" w:eastAsiaTheme="minorEastAsia" w:hAnsiTheme="minorHAnsi" w:cstheme="minorBidi"/>
              <w:noProof/>
              <w:sz w:val="22"/>
              <w:szCs w:val="22"/>
            </w:rPr>
          </w:pPr>
          <w:hyperlink w:anchor="_Toc512430434" w:history="1">
            <w:r w:rsidR="00127766" w:rsidRPr="003642A7">
              <w:rPr>
                <w:rStyle w:val="Hyperlink"/>
                <w:noProof/>
              </w:rPr>
              <w:t>a.</w:t>
            </w:r>
            <w:r w:rsidR="00127766">
              <w:rPr>
                <w:rFonts w:asciiTheme="minorHAnsi" w:eastAsiaTheme="minorEastAsia" w:hAnsiTheme="minorHAnsi" w:cstheme="minorBidi"/>
                <w:noProof/>
                <w:sz w:val="22"/>
                <w:szCs w:val="22"/>
              </w:rPr>
              <w:tab/>
            </w:r>
            <w:r w:rsidR="00127766" w:rsidRPr="003642A7">
              <w:rPr>
                <w:rStyle w:val="Hyperlink"/>
                <w:noProof/>
              </w:rPr>
              <w:t>NAWC’s Position</w:t>
            </w:r>
            <w:r w:rsidR="00127766">
              <w:rPr>
                <w:noProof/>
                <w:webHidden/>
              </w:rPr>
              <w:tab/>
            </w:r>
            <w:r w:rsidR="00127766">
              <w:rPr>
                <w:noProof/>
                <w:webHidden/>
              </w:rPr>
              <w:fldChar w:fldCharType="begin"/>
            </w:r>
            <w:r w:rsidR="00127766">
              <w:rPr>
                <w:noProof/>
                <w:webHidden/>
              </w:rPr>
              <w:instrText xml:space="preserve"> PAGEREF _Toc512430434 \h </w:instrText>
            </w:r>
            <w:r w:rsidR="00127766">
              <w:rPr>
                <w:noProof/>
                <w:webHidden/>
              </w:rPr>
            </w:r>
            <w:r w:rsidR="00127766">
              <w:rPr>
                <w:noProof/>
                <w:webHidden/>
              </w:rPr>
              <w:fldChar w:fldCharType="separate"/>
            </w:r>
            <w:r w:rsidR="00FF7E23">
              <w:rPr>
                <w:noProof/>
                <w:webHidden/>
              </w:rPr>
              <w:t>12</w:t>
            </w:r>
            <w:r w:rsidR="00127766">
              <w:rPr>
                <w:noProof/>
                <w:webHidden/>
              </w:rPr>
              <w:fldChar w:fldCharType="end"/>
            </w:r>
          </w:hyperlink>
        </w:p>
        <w:p w14:paraId="13FD85EC" w14:textId="4DECA2F5" w:rsidR="00127766" w:rsidRDefault="0015449F">
          <w:pPr>
            <w:pStyle w:val="TOC4"/>
            <w:tabs>
              <w:tab w:val="left" w:pos="1100"/>
              <w:tab w:val="right" w:leader="dot" w:pos="9350"/>
            </w:tabs>
            <w:rPr>
              <w:rFonts w:asciiTheme="minorHAnsi" w:eastAsiaTheme="minorEastAsia" w:hAnsiTheme="minorHAnsi" w:cstheme="minorBidi"/>
              <w:noProof/>
              <w:sz w:val="22"/>
              <w:szCs w:val="22"/>
            </w:rPr>
          </w:pPr>
          <w:hyperlink w:anchor="_Toc512430435" w:history="1">
            <w:r w:rsidR="00127766" w:rsidRPr="003642A7">
              <w:rPr>
                <w:rStyle w:val="Hyperlink"/>
                <w:noProof/>
              </w:rPr>
              <w:t>b.</w:t>
            </w:r>
            <w:r w:rsidR="00127766">
              <w:rPr>
                <w:rFonts w:asciiTheme="minorHAnsi" w:eastAsiaTheme="minorEastAsia" w:hAnsiTheme="minorHAnsi" w:cstheme="minorBidi"/>
                <w:noProof/>
                <w:sz w:val="22"/>
                <w:szCs w:val="22"/>
              </w:rPr>
              <w:tab/>
            </w:r>
            <w:r w:rsidR="00127766" w:rsidRPr="003642A7">
              <w:rPr>
                <w:rStyle w:val="Hyperlink"/>
                <w:noProof/>
              </w:rPr>
              <w:t>OCA’s Position</w:t>
            </w:r>
            <w:r w:rsidR="00127766">
              <w:rPr>
                <w:noProof/>
                <w:webHidden/>
              </w:rPr>
              <w:tab/>
            </w:r>
            <w:r w:rsidR="00127766">
              <w:rPr>
                <w:noProof/>
                <w:webHidden/>
              </w:rPr>
              <w:fldChar w:fldCharType="begin"/>
            </w:r>
            <w:r w:rsidR="00127766">
              <w:rPr>
                <w:noProof/>
                <w:webHidden/>
              </w:rPr>
              <w:instrText xml:space="preserve"> PAGEREF _Toc512430435 \h </w:instrText>
            </w:r>
            <w:r w:rsidR="00127766">
              <w:rPr>
                <w:noProof/>
                <w:webHidden/>
              </w:rPr>
            </w:r>
            <w:r w:rsidR="00127766">
              <w:rPr>
                <w:noProof/>
                <w:webHidden/>
              </w:rPr>
              <w:fldChar w:fldCharType="separate"/>
            </w:r>
            <w:r w:rsidR="00FF7E23">
              <w:rPr>
                <w:noProof/>
                <w:webHidden/>
              </w:rPr>
              <w:t>15</w:t>
            </w:r>
            <w:r w:rsidR="00127766">
              <w:rPr>
                <w:noProof/>
                <w:webHidden/>
              </w:rPr>
              <w:fldChar w:fldCharType="end"/>
            </w:r>
          </w:hyperlink>
        </w:p>
        <w:p w14:paraId="00076CC7" w14:textId="1950F278" w:rsidR="00127766" w:rsidRDefault="0015449F">
          <w:pPr>
            <w:pStyle w:val="TOC3"/>
            <w:tabs>
              <w:tab w:val="left" w:pos="1100"/>
              <w:tab w:val="right" w:leader="dot" w:pos="9350"/>
            </w:tabs>
            <w:rPr>
              <w:rFonts w:asciiTheme="minorHAnsi" w:eastAsiaTheme="minorEastAsia" w:hAnsiTheme="minorHAnsi" w:cstheme="minorBidi"/>
              <w:noProof/>
              <w:sz w:val="22"/>
              <w:szCs w:val="22"/>
            </w:rPr>
          </w:pPr>
          <w:hyperlink w:anchor="_Toc512430436" w:history="1">
            <w:r w:rsidR="00127766" w:rsidRPr="003642A7">
              <w:rPr>
                <w:rStyle w:val="Hyperlink"/>
                <w:noProof/>
              </w:rPr>
              <w:t>2.</w:t>
            </w:r>
            <w:r w:rsidR="00127766">
              <w:rPr>
                <w:rFonts w:asciiTheme="minorHAnsi" w:eastAsiaTheme="minorEastAsia" w:hAnsiTheme="minorHAnsi" w:cstheme="minorBidi"/>
                <w:noProof/>
                <w:sz w:val="22"/>
                <w:szCs w:val="22"/>
              </w:rPr>
              <w:tab/>
            </w:r>
            <w:r w:rsidR="00127766" w:rsidRPr="003642A7">
              <w:rPr>
                <w:rStyle w:val="Hyperlink"/>
                <w:noProof/>
              </w:rPr>
              <w:t>ALJ’s Recommendation</w:t>
            </w:r>
            <w:r w:rsidR="00127766">
              <w:rPr>
                <w:noProof/>
                <w:webHidden/>
              </w:rPr>
              <w:tab/>
            </w:r>
            <w:r w:rsidR="00127766">
              <w:rPr>
                <w:noProof/>
                <w:webHidden/>
              </w:rPr>
              <w:fldChar w:fldCharType="begin"/>
            </w:r>
            <w:r w:rsidR="00127766">
              <w:rPr>
                <w:noProof/>
                <w:webHidden/>
              </w:rPr>
              <w:instrText xml:space="preserve"> PAGEREF _Toc512430436 \h </w:instrText>
            </w:r>
            <w:r w:rsidR="00127766">
              <w:rPr>
                <w:noProof/>
                <w:webHidden/>
              </w:rPr>
            </w:r>
            <w:r w:rsidR="00127766">
              <w:rPr>
                <w:noProof/>
                <w:webHidden/>
              </w:rPr>
              <w:fldChar w:fldCharType="separate"/>
            </w:r>
            <w:r w:rsidR="00FF7E23">
              <w:rPr>
                <w:noProof/>
                <w:webHidden/>
              </w:rPr>
              <w:t>17</w:t>
            </w:r>
            <w:r w:rsidR="00127766">
              <w:rPr>
                <w:noProof/>
                <w:webHidden/>
              </w:rPr>
              <w:fldChar w:fldCharType="end"/>
            </w:r>
          </w:hyperlink>
        </w:p>
        <w:p w14:paraId="37E4D10E" w14:textId="348F5767" w:rsidR="00127766" w:rsidRDefault="0015449F">
          <w:pPr>
            <w:pStyle w:val="TOC3"/>
            <w:tabs>
              <w:tab w:val="left" w:pos="1100"/>
              <w:tab w:val="right" w:leader="dot" w:pos="9350"/>
            </w:tabs>
            <w:rPr>
              <w:rFonts w:asciiTheme="minorHAnsi" w:eastAsiaTheme="minorEastAsia" w:hAnsiTheme="minorHAnsi" w:cstheme="minorBidi"/>
              <w:noProof/>
              <w:sz w:val="22"/>
              <w:szCs w:val="22"/>
            </w:rPr>
          </w:pPr>
          <w:hyperlink w:anchor="_Toc512430437" w:history="1">
            <w:r w:rsidR="00127766" w:rsidRPr="003642A7">
              <w:rPr>
                <w:rStyle w:val="Hyperlink"/>
                <w:noProof/>
              </w:rPr>
              <w:t>3.</w:t>
            </w:r>
            <w:r w:rsidR="00127766">
              <w:rPr>
                <w:rFonts w:asciiTheme="minorHAnsi" w:eastAsiaTheme="minorEastAsia" w:hAnsiTheme="minorHAnsi" w:cstheme="minorBidi"/>
                <w:noProof/>
                <w:sz w:val="22"/>
                <w:szCs w:val="22"/>
              </w:rPr>
              <w:tab/>
            </w:r>
            <w:r w:rsidR="00127766" w:rsidRPr="003642A7">
              <w:rPr>
                <w:rStyle w:val="Hyperlink"/>
                <w:noProof/>
              </w:rPr>
              <w:t>Exceptions and Replies</w:t>
            </w:r>
            <w:r w:rsidR="00127766">
              <w:rPr>
                <w:noProof/>
                <w:webHidden/>
              </w:rPr>
              <w:tab/>
            </w:r>
            <w:r w:rsidR="00127766">
              <w:rPr>
                <w:noProof/>
                <w:webHidden/>
              </w:rPr>
              <w:fldChar w:fldCharType="begin"/>
            </w:r>
            <w:r w:rsidR="00127766">
              <w:rPr>
                <w:noProof/>
                <w:webHidden/>
              </w:rPr>
              <w:instrText xml:space="preserve"> PAGEREF _Toc512430437 \h </w:instrText>
            </w:r>
            <w:r w:rsidR="00127766">
              <w:rPr>
                <w:noProof/>
                <w:webHidden/>
              </w:rPr>
            </w:r>
            <w:r w:rsidR="00127766">
              <w:rPr>
                <w:noProof/>
                <w:webHidden/>
              </w:rPr>
              <w:fldChar w:fldCharType="separate"/>
            </w:r>
            <w:r w:rsidR="00FF7E23">
              <w:rPr>
                <w:noProof/>
                <w:webHidden/>
              </w:rPr>
              <w:t>21</w:t>
            </w:r>
            <w:r w:rsidR="00127766">
              <w:rPr>
                <w:noProof/>
                <w:webHidden/>
              </w:rPr>
              <w:fldChar w:fldCharType="end"/>
            </w:r>
          </w:hyperlink>
        </w:p>
        <w:p w14:paraId="6034D9DB" w14:textId="2502ABCB" w:rsidR="00127766" w:rsidRDefault="0015449F">
          <w:pPr>
            <w:pStyle w:val="TOC4"/>
            <w:tabs>
              <w:tab w:val="left" w:pos="1100"/>
              <w:tab w:val="right" w:leader="dot" w:pos="9350"/>
            </w:tabs>
            <w:rPr>
              <w:rFonts w:asciiTheme="minorHAnsi" w:eastAsiaTheme="minorEastAsia" w:hAnsiTheme="minorHAnsi" w:cstheme="minorBidi"/>
              <w:noProof/>
              <w:sz w:val="22"/>
              <w:szCs w:val="22"/>
            </w:rPr>
          </w:pPr>
          <w:hyperlink w:anchor="_Toc512430438" w:history="1">
            <w:r w:rsidR="00127766" w:rsidRPr="003642A7">
              <w:rPr>
                <w:rStyle w:val="Hyperlink"/>
                <w:noProof/>
              </w:rPr>
              <w:t>a.</w:t>
            </w:r>
            <w:r w:rsidR="00127766">
              <w:rPr>
                <w:rFonts w:asciiTheme="minorHAnsi" w:eastAsiaTheme="minorEastAsia" w:hAnsiTheme="minorHAnsi" w:cstheme="minorBidi"/>
                <w:noProof/>
                <w:sz w:val="22"/>
                <w:szCs w:val="22"/>
              </w:rPr>
              <w:tab/>
            </w:r>
            <w:r w:rsidR="00127766" w:rsidRPr="003642A7">
              <w:rPr>
                <w:rStyle w:val="Hyperlink"/>
                <w:noProof/>
              </w:rPr>
              <w:t>NAWC’s Exception No. 1 Regarding Burden of Proof and the OCA’s Replies</w:t>
            </w:r>
            <w:r w:rsidR="00127766">
              <w:rPr>
                <w:noProof/>
                <w:webHidden/>
              </w:rPr>
              <w:tab/>
            </w:r>
            <w:r w:rsidR="00127766">
              <w:rPr>
                <w:noProof/>
                <w:webHidden/>
              </w:rPr>
              <w:fldChar w:fldCharType="begin"/>
            </w:r>
            <w:r w:rsidR="00127766">
              <w:rPr>
                <w:noProof/>
                <w:webHidden/>
              </w:rPr>
              <w:instrText xml:space="preserve"> PAGEREF _Toc512430438 \h </w:instrText>
            </w:r>
            <w:r w:rsidR="00127766">
              <w:rPr>
                <w:noProof/>
                <w:webHidden/>
              </w:rPr>
            </w:r>
            <w:r w:rsidR="00127766">
              <w:rPr>
                <w:noProof/>
                <w:webHidden/>
              </w:rPr>
              <w:fldChar w:fldCharType="separate"/>
            </w:r>
            <w:r w:rsidR="00FF7E23">
              <w:rPr>
                <w:noProof/>
                <w:webHidden/>
              </w:rPr>
              <w:t>21</w:t>
            </w:r>
            <w:r w:rsidR="00127766">
              <w:rPr>
                <w:noProof/>
                <w:webHidden/>
              </w:rPr>
              <w:fldChar w:fldCharType="end"/>
            </w:r>
          </w:hyperlink>
        </w:p>
        <w:p w14:paraId="669690E1" w14:textId="7EB64B19" w:rsidR="00127766" w:rsidRDefault="0015449F">
          <w:pPr>
            <w:pStyle w:val="TOC4"/>
            <w:tabs>
              <w:tab w:val="left" w:pos="1100"/>
              <w:tab w:val="right" w:leader="dot" w:pos="9350"/>
            </w:tabs>
            <w:rPr>
              <w:rFonts w:asciiTheme="minorHAnsi" w:eastAsiaTheme="minorEastAsia" w:hAnsiTheme="minorHAnsi" w:cstheme="minorBidi"/>
              <w:noProof/>
              <w:sz w:val="22"/>
              <w:szCs w:val="22"/>
            </w:rPr>
          </w:pPr>
          <w:hyperlink w:anchor="_Toc512430439" w:history="1">
            <w:r w:rsidR="00127766" w:rsidRPr="003642A7">
              <w:rPr>
                <w:rStyle w:val="Hyperlink"/>
                <w:noProof/>
              </w:rPr>
              <w:t>b.</w:t>
            </w:r>
            <w:r w:rsidR="00127766">
              <w:rPr>
                <w:rFonts w:asciiTheme="minorHAnsi" w:eastAsiaTheme="minorEastAsia" w:hAnsiTheme="minorHAnsi" w:cstheme="minorBidi"/>
                <w:noProof/>
                <w:sz w:val="22"/>
                <w:szCs w:val="22"/>
              </w:rPr>
              <w:tab/>
            </w:r>
            <w:r w:rsidR="00127766" w:rsidRPr="003642A7">
              <w:rPr>
                <w:rStyle w:val="Hyperlink"/>
                <w:noProof/>
              </w:rPr>
              <w:t>NAWC’s Exception No. 2 Regarding Increasing the DSIC Cap and the OCA’s Replies</w:t>
            </w:r>
            <w:r w:rsidR="00127766">
              <w:rPr>
                <w:noProof/>
                <w:webHidden/>
              </w:rPr>
              <w:tab/>
            </w:r>
            <w:r w:rsidR="00127766">
              <w:rPr>
                <w:noProof/>
                <w:webHidden/>
              </w:rPr>
              <w:fldChar w:fldCharType="begin"/>
            </w:r>
            <w:r w:rsidR="00127766">
              <w:rPr>
                <w:noProof/>
                <w:webHidden/>
              </w:rPr>
              <w:instrText xml:space="preserve"> PAGEREF _Toc512430439 \h </w:instrText>
            </w:r>
            <w:r w:rsidR="00127766">
              <w:rPr>
                <w:noProof/>
                <w:webHidden/>
              </w:rPr>
            </w:r>
            <w:r w:rsidR="00127766">
              <w:rPr>
                <w:noProof/>
                <w:webHidden/>
              </w:rPr>
              <w:fldChar w:fldCharType="separate"/>
            </w:r>
            <w:r w:rsidR="00FF7E23">
              <w:rPr>
                <w:noProof/>
                <w:webHidden/>
              </w:rPr>
              <w:t>24</w:t>
            </w:r>
            <w:r w:rsidR="00127766">
              <w:rPr>
                <w:noProof/>
                <w:webHidden/>
              </w:rPr>
              <w:fldChar w:fldCharType="end"/>
            </w:r>
          </w:hyperlink>
        </w:p>
        <w:p w14:paraId="3940FE47" w14:textId="720D1F06" w:rsidR="00127766" w:rsidRDefault="0015449F">
          <w:pPr>
            <w:pStyle w:val="TOC4"/>
            <w:tabs>
              <w:tab w:val="left" w:pos="1100"/>
              <w:tab w:val="right" w:leader="dot" w:pos="9350"/>
            </w:tabs>
            <w:rPr>
              <w:rFonts w:asciiTheme="minorHAnsi" w:eastAsiaTheme="minorEastAsia" w:hAnsiTheme="minorHAnsi" w:cstheme="minorBidi"/>
              <w:noProof/>
              <w:sz w:val="22"/>
              <w:szCs w:val="22"/>
            </w:rPr>
          </w:pPr>
          <w:hyperlink w:anchor="_Toc512430440" w:history="1">
            <w:r w:rsidR="00127766" w:rsidRPr="003642A7">
              <w:rPr>
                <w:rStyle w:val="Hyperlink"/>
                <w:noProof/>
              </w:rPr>
              <w:t>c.</w:t>
            </w:r>
            <w:r w:rsidR="00127766">
              <w:rPr>
                <w:rFonts w:asciiTheme="minorHAnsi" w:eastAsiaTheme="minorEastAsia" w:hAnsiTheme="minorHAnsi" w:cstheme="minorBidi"/>
                <w:noProof/>
                <w:sz w:val="22"/>
                <w:szCs w:val="22"/>
              </w:rPr>
              <w:tab/>
            </w:r>
            <w:r w:rsidR="00127766" w:rsidRPr="003642A7">
              <w:rPr>
                <w:rStyle w:val="Hyperlink"/>
                <w:noProof/>
              </w:rPr>
              <w:t>NAWC’s Exception No. 3 Regarding the OCA’s “Red Herring” Issues and the OCA’s Replies</w:t>
            </w:r>
            <w:r w:rsidR="00127766">
              <w:rPr>
                <w:noProof/>
                <w:webHidden/>
              </w:rPr>
              <w:tab/>
            </w:r>
            <w:r w:rsidR="00127766">
              <w:rPr>
                <w:noProof/>
                <w:webHidden/>
              </w:rPr>
              <w:fldChar w:fldCharType="begin"/>
            </w:r>
            <w:r w:rsidR="00127766">
              <w:rPr>
                <w:noProof/>
                <w:webHidden/>
              </w:rPr>
              <w:instrText xml:space="preserve"> PAGEREF _Toc512430440 \h </w:instrText>
            </w:r>
            <w:r w:rsidR="00127766">
              <w:rPr>
                <w:noProof/>
                <w:webHidden/>
              </w:rPr>
            </w:r>
            <w:r w:rsidR="00127766">
              <w:rPr>
                <w:noProof/>
                <w:webHidden/>
              </w:rPr>
              <w:fldChar w:fldCharType="separate"/>
            </w:r>
            <w:r w:rsidR="00FF7E23">
              <w:rPr>
                <w:noProof/>
                <w:webHidden/>
              </w:rPr>
              <w:t>26</w:t>
            </w:r>
            <w:r w:rsidR="00127766">
              <w:rPr>
                <w:noProof/>
                <w:webHidden/>
              </w:rPr>
              <w:fldChar w:fldCharType="end"/>
            </w:r>
          </w:hyperlink>
        </w:p>
        <w:p w14:paraId="0D67AAE9" w14:textId="5CEC8161" w:rsidR="00127766" w:rsidRDefault="0015449F">
          <w:pPr>
            <w:pStyle w:val="TOC4"/>
            <w:tabs>
              <w:tab w:val="left" w:pos="1100"/>
              <w:tab w:val="right" w:leader="dot" w:pos="9350"/>
            </w:tabs>
            <w:rPr>
              <w:rFonts w:asciiTheme="minorHAnsi" w:eastAsiaTheme="minorEastAsia" w:hAnsiTheme="minorHAnsi" w:cstheme="minorBidi"/>
              <w:noProof/>
              <w:sz w:val="22"/>
              <w:szCs w:val="22"/>
            </w:rPr>
          </w:pPr>
          <w:hyperlink w:anchor="_Toc512430441" w:history="1">
            <w:r w:rsidR="00127766" w:rsidRPr="003642A7">
              <w:rPr>
                <w:rStyle w:val="Hyperlink"/>
                <w:rFonts w:eastAsia="Calibri"/>
                <w:noProof/>
                <w:lang w:val="en"/>
              </w:rPr>
              <w:t>d.</w:t>
            </w:r>
            <w:r w:rsidR="00127766">
              <w:rPr>
                <w:rFonts w:asciiTheme="minorHAnsi" w:eastAsiaTheme="minorEastAsia" w:hAnsiTheme="minorHAnsi" w:cstheme="minorBidi"/>
                <w:noProof/>
                <w:sz w:val="22"/>
                <w:szCs w:val="22"/>
              </w:rPr>
              <w:tab/>
            </w:r>
            <w:r w:rsidR="00127766" w:rsidRPr="003642A7">
              <w:rPr>
                <w:rStyle w:val="Hyperlink"/>
                <w:rFonts w:eastAsia="Calibri"/>
                <w:noProof/>
                <w:lang w:val="en"/>
              </w:rPr>
              <w:t>NAWC’s Exceptions Nos. 4 and 5 Regarding Application of Act 40</w:t>
            </w:r>
            <w:r w:rsidR="00127766" w:rsidRPr="003642A7">
              <w:rPr>
                <w:rStyle w:val="Hyperlink"/>
                <w:rFonts w:eastAsia="Calibri"/>
                <w:bCs/>
                <w:noProof/>
                <w:lang w:val="en"/>
              </w:rPr>
              <w:t xml:space="preserve"> and the OCA’s Replies</w:t>
            </w:r>
            <w:r w:rsidR="00127766">
              <w:rPr>
                <w:noProof/>
                <w:webHidden/>
              </w:rPr>
              <w:tab/>
            </w:r>
            <w:r w:rsidR="00127766">
              <w:rPr>
                <w:noProof/>
                <w:webHidden/>
              </w:rPr>
              <w:fldChar w:fldCharType="begin"/>
            </w:r>
            <w:r w:rsidR="00127766">
              <w:rPr>
                <w:noProof/>
                <w:webHidden/>
              </w:rPr>
              <w:instrText xml:space="preserve"> PAGEREF _Toc512430441 \h </w:instrText>
            </w:r>
            <w:r w:rsidR="00127766">
              <w:rPr>
                <w:noProof/>
                <w:webHidden/>
              </w:rPr>
            </w:r>
            <w:r w:rsidR="00127766">
              <w:rPr>
                <w:noProof/>
                <w:webHidden/>
              </w:rPr>
              <w:fldChar w:fldCharType="separate"/>
            </w:r>
            <w:r w:rsidR="00FF7E23">
              <w:rPr>
                <w:noProof/>
                <w:webHidden/>
              </w:rPr>
              <w:t>26</w:t>
            </w:r>
            <w:r w:rsidR="00127766">
              <w:rPr>
                <w:noProof/>
                <w:webHidden/>
              </w:rPr>
              <w:fldChar w:fldCharType="end"/>
            </w:r>
          </w:hyperlink>
        </w:p>
        <w:p w14:paraId="5D145A33" w14:textId="55948613" w:rsidR="00127766" w:rsidRDefault="0015449F">
          <w:pPr>
            <w:pStyle w:val="TOC4"/>
            <w:tabs>
              <w:tab w:val="left" w:pos="1100"/>
              <w:tab w:val="right" w:leader="dot" w:pos="9350"/>
            </w:tabs>
            <w:rPr>
              <w:rFonts w:asciiTheme="minorHAnsi" w:eastAsiaTheme="minorEastAsia" w:hAnsiTheme="minorHAnsi" w:cstheme="minorBidi"/>
              <w:noProof/>
              <w:sz w:val="22"/>
              <w:szCs w:val="22"/>
            </w:rPr>
          </w:pPr>
          <w:hyperlink w:anchor="_Toc512430442" w:history="1">
            <w:r w:rsidR="00127766" w:rsidRPr="003642A7">
              <w:rPr>
                <w:rStyle w:val="Hyperlink"/>
                <w:noProof/>
              </w:rPr>
              <w:t>e.</w:t>
            </w:r>
            <w:r w:rsidR="00127766">
              <w:rPr>
                <w:rFonts w:asciiTheme="minorHAnsi" w:eastAsiaTheme="minorEastAsia" w:hAnsiTheme="minorHAnsi" w:cstheme="minorBidi"/>
                <w:noProof/>
                <w:sz w:val="22"/>
                <w:szCs w:val="22"/>
              </w:rPr>
              <w:tab/>
            </w:r>
            <w:r w:rsidR="00127766" w:rsidRPr="003642A7">
              <w:rPr>
                <w:rStyle w:val="Hyperlink"/>
                <w:noProof/>
              </w:rPr>
              <w:t>NAWC’s Exception No. 6 Regarding Income Tax Deductions in Future Financial Earnings Reports and the OCA’s Replies</w:t>
            </w:r>
            <w:r w:rsidR="00127766">
              <w:rPr>
                <w:noProof/>
                <w:webHidden/>
              </w:rPr>
              <w:tab/>
            </w:r>
            <w:r w:rsidR="00127766">
              <w:rPr>
                <w:noProof/>
                <w:webHidden/>
              </w:rPr>
              <w:fldChar w:fldCharType="begin"/>
            </w:r>
            <w:r w:rsidR="00127766">
              <w:rPr>
                <w:noProof/>
                <w:webHidden/>
              </w:rPr>
              <w:instrText xml:space="preserve"> PAGEREF _Toc512430442 \h </w:instrText>
            </w:r>
            <w:r w:rsidR="00127766">
              <w:rPr>
                <w:noProof/>
                <w:webHidden/>
              </w:rPr>
            </w:r>
            <w:r w:rsidR="00127766">
              <w:rPr>
                <w:noProof/>
                <w:webHidden/>
              </w:rPr>
              <w:fldChar w:fldCharType="separate"/>
            </w:r>
            <w:r w:rsidR="00FF7E23">
              <w:rPr>
                <w:noProof/>
                <w:webHidden/>
              </w:rPr>
              <w:t>27</w:t>
            </w:r>
            <w:r w:rsidR="00127766">
              <w:rPr>
                <w:noProof/>
                <w:webHidden/>
              </w:rPr>
              <w:fldChar w:fldCharType="end"/>
            </w:r>
          </w:hyperlink>
        </w:p>
        <w:p w14:paraId="70D54126" w14:textId="16A62CC4" w:rsidR="00127766" w:rsidRDefault="0015449F">
          <w:pPr>
            <w:pStyle w:val="TOC4"/>
            <w:tabs>
              <w:tab w:val="left" w:pos="1100"/>
              <w:tab w:val="right" w:leader="dot" w:pos="9350"/>
            </w:tabs>
            <w:rPr>
              <w:rFonts w:asciiTheme="minorHAnsi" w:eastAsiaTheme="minorEastAsia" w:hAnsiTheme="minorHAnsi" w:cstheme="minorBidi"/>
              <w:noProof/>
              <w:sz w:val="22"/>
              <w:szCs w:val="22"/>
            </w:rPr>
          </w:pPr>
          <w:hyperlink w:anchor="_Toc512430443" w:history="1">
            <w:r w:rsidR="00127766" w:rsidRPr="003642A7">
              <w:rPr>
                <w:rStyle w:val="Hyperlink"/>
                <w:noProof/>
              </w:rPr>
              <w:t>f.</w:t>
            </w:r>
            <w:r w:rsidR="00127766">
              <w:rPr>
                <w:rFonts w:asciiTheme="minorHAnsi" w:eastAsiaTheme="minorEastAsia" w:hAnsiTheme="minorHAnsi" w:cstheme="minorBidi"/>
                <w:noProof/>
                <w:sz w:val="22"/>
                <w:szCs w:val="22"/>
              </w:rPr>
              <w:tab/>
            </w:r>
            <w:r w:rsidR="00127766" w:rsidRPr="003642A7">
              <w:rPr>
                <w:rStyle w:val="Hyperlink"/>
                <w:noProof/>
              </w:rPr>
              <w:t>NAWC’s Exception No. 7 Regarding the Exclusion of Short Term Debt and the OCA’s Replies</w:t>
            </w:r>
            <w:r w:rsidR="00127766">
              <w:rPr>
                <w:noProof/>
                <w:webHidden/>
              </w:rPr>
              <w:tab/>
            </w:r>
            <w:r w:rsidR="00127766">
              <w:rPr>
                <w:noProof/>
                <w:webHidden/>
              </w:rPr>
              <w:fldChar w:fldCharType="begin"/>
            </w:r>
            <w:r w:rsidR="00127766">
              <w:rPr>
                <w:noProof/>
                <w:webHidden/>
              </w:rPr>
              <w:instrText xml:space="preserve"> PAGEREF _Toc512430443 \h </w:instrText>
            </w:r>
            <w:r w:rsidR="00127766">
              <w:rPr>
                <w:noProof/>
                <w:webHidden/>
              </w:rPr>
            </w:r>
            <w:r w:rsidR="00127766">
              <w:rPr>
                <w:noProof/>
                <w:webHidden/>
              </w:rPr>
              <w:fldChar w:fldCharType="separate"/>
            </w:r>
            <w:r w:rsidR="00FF7E23">
              <w:rPr>
                <w:noProof/>
                <w:webHidden/>
              </w:rPr>
              <w:t>27</w:t>
            </w:r>
            <w:r w:rsidR="00127766">
              <w:rPr>
                <w:noProof/>
                <w:webHidden/>
              </w:rPr>
              <w:fldChar w:fldCharType="end"/>
            </w:r>
          </w:hyperlink>
        </w:p>
        <w:p w14:paraId="40313ADA" w14:textId="07208C12" w:rsidR="00127766" w:rsidRDefault="0015449F">
          <w:pPr>
            <w:pStyle w:val="TOC4"/>
            <w:tabs>
              <w:tab w:val="left" w:pos="1100"/>
              <w:tab w:val="right" w:leader="dot" w:pos="9350"/>
            </w:tabs>
            <w:rPr>
              <w:rFonts w:asciiTheme="minorHAnsi" w:eastAsiaTheme="minorEastAsia" w:hAnsiTheme="minorHAnsi" w:cstheme="minorBidi"/>
              <w:noProof/>
              <w:sz w:val="22"/>
              <w:szCs w:val="22"/>
            </w:rPr>
          </w:pPr>
          <w:hyperlink w:anchor="_Toc512430444" w:history="1">
            <w:r w:rsidR="00127766" w:rsidRPr="003642A7">
              <w:rPr>
                <w:rStyle w:val="Hyperlink"/>
                <w:noProof/>
              </w:rPr>
              <w:t>g.</w:t>
            </w:r>
            <w:r w:rsidR="00127766">
              <w:rPr>
                <w:rFonts w:asciiTheme="minorHAnsi" w:eastAsiaTheme="minorEastAsia" w:hAnsiTheme="minorHAnsi" w:cstheme="minorBidi"/>
                <w:noProof/>
                <w:sz w:val="22"/>
                <w:szCs w:val="22"/>
              </w:rPr>
              <w:tab/>
            </w:r>
            <w:r w:rsidR="00127766" w:rsidRPr="003642A7">
              <w:rPr>
                <w:rStyle w:val="Hyperlink"/>
                <w:noProof/>
              </w:rPr>
              <w:t>NAWC’s Exception No. 8 Regarding Overcollections/Refunds and the OCA’s Replies</w:t>
            </w:r>
            <w:r w:rsidR="00127766">
              <w:rPr>
                <w:noProof/>
                <w:webHidden/>
              </w:rPr>
              <w:tab/>
            </w:r>
            <w:r w:rsidR="00127766">
              <w:rPr>
                <w:noProof/>
                <w:webHidden/>
              </w:rPr>
              <w:fldChar w:fldCharType="begin"/>
            </w:r>
            <w:r w:rsidR="00127766">
              <w:rPr>
                <w:noProof/>
                <w:webHidden/>
              </w:rPr>
              <w:instrText xml:space="preserve"> PAGEREF _Toc512430444 \h </w:instrText>
            </w:r>
            <w:r w:rsidR="00127766">
              <w:rPr>
                <w:noProof/>
                <w:webHidden/>
              </w:rPr>
            </w:r>
            <w:r w:rsidR="00127766">
              <w:rPr>
                <w:noProof/>
                <w:webHidden/>
              </w:rPr>
              <w:fldChar w:fldCharType="separate"/>
            </w:r>
            <w:r w:rsidR="00FF7E23">
              <w:rPr>
                <w:noProof/>
                <w:webHidden/>
              </w:rPr>
              <w:t>28</w:t>
            </w:r>
            <w:r w:rsidR="00127766">
              <w:rPr>
                <w:noProof/>
                <w:webHidden/>
              </w:rPr>
              <w:fldChar w:fldCharType="end"/>
            </w:r>
          </w:hyperlink>
        </w:p>
        <w:p w14:paraId="3BAB9456" w14:textId="4D48EC0E" w:rsidR="00127766" w:rsidRDefault="0015449F">
          <w:pPr>
            <w:pStyle w:val="TOC4"/>
            <w:tabs>
              <w:tab w:val="left" w:pos="1100"/>
              <w:tab w:val="right" w:leader="dot" w:pos="9350"/>
            </w:tabs>
            <w:rPr>
              <w:rFonts w:asciiTheme="minorHAnsi" w:eastAsiaTheme="minorEastAsia" w:hAnsiTheme="minorHAnsi" w:cstheme="minorBidi"/>
              <w:noProof/>
              <w:sz w:val="22"/>
              <w:szCs w:val="22"/>
            </w:rPr>
          </w:pPr>
          <w:hyperlink w:anchor="_Toc512430445" w:history="1">
            <w:r w:rsidR="00127766" w:rsidRPr="003642A7">
              <w:rPr>
                <w:rStyle w:val="Hyperlink"/>
                <w:noProof/>
              </w:rPr>
              <w:t>h.</w:t>
            </w:r>
            <w:r w:rsidR="00127766">
              <w:rPr>
                <w:rFonts w:asciiTheme="minorHAnsi" w:eastAsiaTheme="minorEastAsia" w:hAnsiTheme="minorHAnsi" w:cstheme="minorBidi"/>
                <w:noProof/>
                <w:sz w:val="22"/>
                <w:szCs w:val="22"/>
              </w:rPr>
              <w:tab/>
            </w:r>
            <w:r w:rsidR="00127766" w:rsidRPr="003642A7">
              <w:rPr>
                <w:rStyle w:val="Hyperlink"/>
                <w:noProof/>
              </w:rPr>
              <w:t>NAWC’s Exception No. 9 Regarding Private Fire Protection and the OCA’s Replies</w:t>
            </w:r>
            <w:r w:rsidR="00127766">
              <w:rPr>
                <w:noProof/>
                <w:webHidden/>
              </w:rPr>
              <w:tab/>
            </w:r>
            <w:r w:rsidR="00127766">
              <w:rPr>
                <w:noProof/>
                <w:webHidden/>
              </w:rPr>
              <w:fldChar w:fldCharType="begin"/>
            </w:r>
            <w:r w:rsidR="00127766">
              <w:rPr>
                <w:noProof/>
                <w:webHidden/>
              </w:rPr>
              <w:instrText xml:space="preserve"> PAGEREF _Toc512430445 \h </w:instrText>
            </w:r>
            <w:r w:rsidR="00127766">
              <w:rPr>
                <w:noProof/>
                <w:webHidden/>
              </w:rPr>
            </w:r>
            <w:r w:rsidR="00127766">
              <w:rPr>
                <w:noProof/>
                <w:webHidden/>
              </w:rPr>
              <w:fldChar w:fldCharType="separate"/>
            </w:r>
            <w:r w:rsidR="00FF7E23">
              <w:rPr>
                <w:noProof/>
                <w:webHidden/>
              </w:rPr>
              <w:t>30</w:t>
            </w:r>
            <w:r w:rsidR="00127766">
              <w:rPr>
                <w:noProof/>
                <w:webHidden/>
              </w:rPr>
              <w:fldChar w:fldCharType="end"/>
            </w:r>
          </w:hyperlink>
        </w:p>
        <w:p w14:paraId="40668A99" w14:textId="4180D2C7" w:rsidR="00127766" w:rsidRDefault="0015449F">
          <w:pPr>
            <w:pStyle w:val="TOC4"/>
            <w:tabs>
              <w:tab w:val="left" w:pos="1100"/>
              <w:tab w:val="right" w:leader="dot" w:pos="9350"/>
            </w:tabs>
            <w:rPr>
              <w:rFonts w:asciiTheme="minorHAnsi" w:eastAsiaTheme="minorEastAsia" w:hAnsiTheme="minorHAnsi" w:cstheme="minorBidi"/>
              <w:noProof/>
              <w:sz w:val="22"/>
              <w:szCs w:val="22"/>
            </w:rPr>
          </w:pPr>
          <w:hyperlink w:anchor="_Toc512430446" w:history="1">
            <w:r w:rsidR="00127766" w:rsidRPr="003642A7">
              <w:rPr>
                <w:rStyle w:val="Hyperlink"/>
                <w:noProof/>
              </w:rPr>
              <w:t>i.</w:t>
            </w:r>
            <w:r w:rsidR="00127766">
              <w:rPr>
                <w:rFonts w:asciiTheme="minorHAnsi" w:eastAsiaTheme="minorEastAsia" w:hAnsiTheme="minorHAnsi" w:cstheme="minorBidi"/>
                <w:noProof/>
                <w:sz w:val="22"/>
                <w:szCs w:val="22"/>
              </w:rPr>
              <w:tab/>
            </w:r>
            <w:r w:rsidR="00127766" w:rsidRPr="003642A7">
              <w:rPr>
                <w:rStyle w:val="Hyperlink"/>
                <w:noProof/>
              </w:rPr>
              <w:t>NAWC’s Exception No. 10 Regarding Accumulated Depreciation and the OCA’s Replies</w:t>
            </w:r>
            <w:r w:rsidR="00127766">
              <w:rPr>
                <w:noProof/>
                <w:webHidden/>
              </w:rPr>
              <w:tab/>
            </w:r>
            <w:r w:rsidR="00127766">
              <w:rPr>
                <w:noProof/>
                <w:webHidden/>
              </w:rPr>
              <w:fldChar w:fldCharType="begin"/>
            </w:r>
            <w:r w:rsidR="00127766">
              <w:rPr>
                <w:noProof/>
                <w:webHidden/>
              </w:rPr>
              <w:instrText xml:space="preserve"> PAGEREF _Toc512430446 \h </w:instrText>
            </w:r>
            <w:r w:rsidR="00127766">
              <w:rPr>
                <w:noProof/>
                <w:webHidden/>
              </w:rPr>
            </w:r>
            <w:r w:rsidR="00127766">
              <w:rPr>
                <w:noProof/>
                <w:webHidden/>
              </w:rPr>
              <w:fldChar w:fldCharType="separate"/>
            </w:r>
            <w:r w:rsidR="00FF7E23">
              <w:rPr>
                <w:noProof/>
                <w:webHidden/>
              </w:rPr>
              <w:t>30</w:t>
            </w:r>
            <w:r w:rsidR="00127766">
              <w:rPr>
                <w:noProof/>
                <w:webHidden/>
              </w:rPr>
              <w:fldChar w:fldCharType="end"/>
            </w:r>
          </w:hyperlink>
        </w:p>
        <w:p w14:paraId="38DFE3E1" w14:textId="05635DD6" w:rsidR="00127766" w:rsidRDefault="0015449F">
          <w:pPr>
            <w:pStyle w:val="TOC3"/>
            <w:tabs>
              <w:tab w:val="left" w:pos="1100"/>
              <w:tab w:val="right" w:leader="dot" w:pos="9350"/>
            </w:tabs>
            <w:rPr>
              <w:rFonts w:asciiTheme="minorHAnsi" w:eastAsiaTheme="minorEastAsia" w:hAnsiTheme="minorHAnsi" w:cstheme="minorBidi"/>
              <w:noProof/>
              <w:sz w:val="22"/>
              <w:szCs w:val="22"/>
            </w:rPr>
          </w:pPr>
          <w:hyperlink w:anchor="_Toc512430447" w:history="1">
            <w:r w:rsidR="00127766" w:rsidRPr="003642A7">
              <w:rPr>
                <w:rStyle w:val="Hyperlink"/>
                <w:noProof/>
              </w:rPr>
              <w:t>4.</w:t>
            </w:r>
            <w:r w:rsidR="00127766">
              <w:rPr>
                <w:rFonts w:asciiTheme="minorHAnsi" w:eastAsiaTheme="minorEastAsia" w:hAnsiTheme="minorHAnsi" w:cstheme="minorBidi"/>
                <w:noProof/>
                <w:sz w:val="22"/>
                <w:szCs w:val="22"/>
              </w:rPr>
              <w:tab/>
            </w:r>
            <w:r w:rsidR="00127766" w:rsidRPr="003642A7">
              <w:rPr>
                <w:rStyle w:val="Hyperlink"/>
                <w:noProof/>
              </w:rPr>
              <w:t>Disposition</w:t>
            </w:r>
            <w:r w:rsidR="00127766">
              <w:rPr>
                <w:noProof/>
                <w:webHidden/>
              </w:rPr>
              <w:tab/>
            </w:r>
            <w:r w:rsidR="00127766">
              <w:rPr>
                <w:noProof/>
                <w:webHidden/>
              </w:rPr>
              <w:fldChar w:fldCharType="begin"/>
            </w:r>
            <w:r w:rsidR="00127766">
              <w:rPr>
                <w:noProof/>
                <w:webHidden/>
              </w:rPr>
              <w:instrText xml:space="preserve"> PAGEREF _Toc512430447 \h </w:instrText>
            </w:r>
            <w:r w:rsidR="00127766">
              <w:rPr>
                <w:noProof/>
                <w:webHidden/>
              </w:rPr>
            </w:r>
            <w:r w:rsidR="00127766">
              <w:rPr>
                <w:noProof/>
                <w:webHidden/>
              </w:rPr>
              <w:fldChar w:fldCharType="separate"/>
            </w:r>
            <w:r w:rsidR="00FF7E23">
              <w:rPr>
                <w:noProof/>
                <w:webHidden/>
              </w:rPr>
              <w:t>31</w:t>
            </w:r>
            <w:r w:rsidR="00127766">
              <w:rPr>
                <w:noProof/>
                <w:webHidden/>
              </w:rPr>
              <w:fldChar w:fldCharType="end"/>
            </w:r>
          </w:hyperlink>
        </w:p>
        <w:p w14:paraId="0035EF7B" w14:textId="1B68D351" w:rsidR="00127766" w:rsidRDefault="0015449F">
          <w:pPr>
            <w:pStyle w:val="TOC1"/>
            <w:tabs>
              <w:tab w:val="left" w:pos="600"/>
              <w:tab w:val="right" w:leader="dot" w:pos="9350"/>
            </w:tabs>
            <w:rPr>
              <w:rFonts w:asciiTheme="minorHAnsi" w:eastAsiaTheme="minorEastAsia" w:hAnsiTheme="minorHAnsi" w:cstheme="minorBidi"/>
              <w:noProof/>
              <w:sz w:val="22"/>
              <w:szCs w:val="22"/>
            </w:rPr>
          </w:pPr>
          <w:hyperlink w:anchor="_Toc512430448" w:history="1">
            <w:r w:rsidR="00127766" w:rsidRPr="003642A7">
              <w:rPr>
                <w:rStyle w:val="Hyperlink"/>
                <w:noProof/>
              </w:rPr>
              <w:t xml:space="preserve">V. </w:t>
            </w:r>
            <w:r w:rsidR="00127766">
              <w:rPr>
                <w:rFonts w:asciiTheme="minorHAnsi" w:eastAsiaTheme="minorEastAsia" w:hAnsiTheme="minorHAnsi" w:cstheme="minorBidi"/>
                <w:noProof/>
                <w:sz w:val="22"/>
                <w:szCs w:val="22"/>
              </w:rPr>
              <w:tab/>
            </w:r>
            <w:r w:rsidR="00127766" w:rsidRPr="003642A7">
              <w:rPr>
                <w:rStyle w:val="Hyperlink"/>
                <w:noProof/>
              </w:rPr>
              <w:t>Conclusion</w:t>
            </w:r>
            <w:r w:rsidR="00127766">
              <w:rPr>
                <w:noProof/>
                <w:webHidden/>
              </w:rPr>
              <w:tab/>
            </w:r>
            <w:r w:rsidR="00127766">
              <w:rPr>
                <w:noProof/>
                <w:webHidden/>
              </w:rPr>
              <w:fldChar w:fldCharType="begin"/>
            </w:r>
            <w:r w:rsidR="00127766">
              <w:rPr>
                <w:noProof/>
                <w:webHidden/>
              </w:rPr>
              <w:instrText xml:space="preserve"> PAGEREF _Toc512430448 \h </w:instrText>
            </w:r>
            <w:r w:rsidR="00127766">
              <w:rPr>
                <w:noProof/>
                <w:webHidden/>
              </w:rPr>
            </w:r>
            <w:r w:rsidR="00127766">
              <w:rPr>
                <w:noProof/>
                <w:webHidden/>
              </w:rPr>
              <w:fldChar w:fldCharType="separate"/>
            </w:r>
            <w:r w:rsidR="00FF7E23">
              <w:rPr>
                <w:noProof/>
                <w:webHidden/>
              </w:rPr>
              <w:t>45</w:t>
            </w:r>
            <w:r w:rsidR="00127766">
              <w:rPr>
                <w:noProof/>
                <w:webHidden/>
              </w:rPr>
              <w:fldChar w:fldCharType="end"/>
            </w:r>
          </w:hyperlink>
        </w:p>
        <w:p w14:paraId="3030F2C3" w14:textId="7BC2996B" w:rsidR="00127766" w:rsidRDefault="0015449F">
          <w:pPr>
            <w:pStyle w:val="TOC1"/>
            <w:tabs>
              <w:tab w:val="left" w:pos="800"/>
              <w:tab w:val="right" w:leader="dot" w:pos="9350"/>
            </w:tabs>
            <w:rPr>
              <w:rFonts w:asciiTheme="minorHAnsi" w:eastAsiaTheme="minorEastAsia" w:hAnsiTheme="minorHAnsi" w:cstheme="minorBidi"/>
              <w:noProof/>
              <w:sz w:val="22"/>
              <w:szCs w:val="22"/>
            </w:rPr>
          </w:pPr>
          <w:hyperlink w:anchor="_Toc512430449" w:history="1">
            <w:r w:rsidR="00127766" w:rsidRPr="003642A7">
              <w:rPr>
                <w:rStyle w:val="Hyperlink"/>
                <w:noProof/>
              </w:rPr>
              <w:t xml:space="preserve">VI. </w:t>
            </w:r>
            <w:r w:rsidR="00127766">
              <w:rPr>
                <w:rFonts w:asciiTheme="minorHAnsi" w:eastAsiaTheme="minorEastAsia" w:hAnsiTheme="minorHAnsi" w:cstheme="minorBidi"/>
                <w:noProof/>
                <w:sz w:val="22"/>
                <w:szCs w:val="22"/>
              </w:rPr>
              <w:tab/>
            </w:r>
            <w:r w:rsidR="00127766" w:rsidRPr="003642A7">
              <w:rPr>
                <w:rStyle w:val="Hyperlink"/>
                <w:noProof/>
              </w:rPr>
              <w:t>Order</w:t>
            </w:r>
            <w:r w:rsidR="00127766">
              <w:rPr>
                <w:noProof/>
                <w:webHidden/>
              </w:rPr>
              <w:tab/>
            </w:r>
            <w:r w:rsidR="00127766">
              <w:rPr>
                <w:noProof/>
                <w:webHidden/>
              </w:rPr>
              <w:fldChar w:fldCharType="begin"/>
            </w:r>
            <w:r w:rsidR="00127766">
              <w:rPr>
                <w:noProof/>
                <w:webHidden/>
              </w:rPr>
              <w:instrText xml:space="preserve"> PAGEREF _Toc512430449 \h </w:instrText>
            </w:r>
            <w:r w:rsidR="00127766">
              <w:rPr>
                <w:noProof/>
                <w:webHidden/>
              </w:rPr>
            </w:r>
            <w:r w:rsidR="00127766">
              <w:rPr>
                <w:noProof/>
                <w:webHidden/>
              </w:rPr>
              <w:fldChar w:fldCharType="separate"/>
            </w:r>
            <w:r w:rsidR="00FF7E23">
              <w:rPr>
                <w:noProof/>
                <w:webHidden/>
              </w:rPr>
              <w:t>46</w:t>
            </w:r>
            <w:r w:rsidR="00127766">
              <w:rPr>
                <w:noProof/>
                <w:webHidden/>
              </w:rPr>
              <w:fldChar w:fldCharType="end"/>
            </w:r>
          </w:hyperlink>
        </w:p>
        <w:p w14:paraId="3B1EF4B7" w14:textId="268538ED" w:rsidR="00095F46" w:rsidRPr="00E924B4" w:rsidRDefault="00C159C2" w:rsidP="002F7DB7">
          <w:pPr>
            <w:widowControl/>
            <w:sectPr w:rsidR="00095F46" w:rsidRPr="00E924B4" w:rsidSect="00B62AC2">
              <w:footerReference w:type="default" r:id="rId9"/>
              <w:pgSz w:w="12240" w:h="15840"/>
              <w:pgMar w:top="1440" w:right="1440" w:bottom="1440" w:left="1440" w:header="720" w:footer="720" w:gutter="0"/>
              <w:cols w:space="720"/>
              <w:docGrid w:linePitch="360"/>
            </w:sectPr>
          </w:pPr>
          <w:r>
            <w:rPr>
              <w:sz w:val="26"/>
            </w:rPr>
            <w:fldChar w:fldCharType="end"/>
          </w:r>
        </w:p>
      </w:sdtContent>
    </w:sdt>
    <w:p w14:paraId="1407D9BA" w14:textId="77777777" w:rsidR="00503B58" w:rsidRDefault="00503B58" w:rsidP="002F7DB7">
      <w:pPr>
        <w:widowControl/>
        <w:tabs>
          <w:tab w:val="left" w:pos="-720"/>
        </w:tabs>
        <w:suppressAutoHyphens/>
        <w:spacing w:after="120"/>
        <w:rPr>
          <w:sz w:val="26"/>
        </w:rPr>
      </w:pPr>
      <w:r>
        <w:rPr>
          <w:b/>
          <w:sz w:val="26"/>
        </w:rPr>
        <w:lastRenderedPageBreak/>
        <w:t>BY THE COMMISSION:</w:t>
      </w:r>
    </w:p>
    <w:p w14:paraId="2D9EE1C7" w14:textId="77777777" w:rsidR="007561BC" w:rsidRDefault="007561BC" w:rsidP="002F7DB7">
      <w:pPr>
        <w:widowControl/>
        <w:spacing w:after="200" w:line="276" w:lineRule="auto"/>
        <w:rPr>
          <w:b/>
          <w:sz w:val="26"/>
        </w:rPr>
      </w:pPr>
    </w:p>
    <w:p w14:paraId="43486C34" w14:textId="77777777" w:rsidR="009324E2" w:rsidRDefault="0090131A" w:rsidP="002F7DB7">
      <w:pPr>
        <w:pStyle w:val="Heading1"/>
        <w:numPr>
          <w:ilvl w:val="0"/>
          <w:numId w:val="20"/>
        </w:numPr>
        <w:jc w:val="center"/>
      </w:pPr>
      <w:bookmarkStart w:id="0" w:name="_Toc512430425"/>
      <w:r>
        <w:t>Matter Before the Commission</w:t>
      </w:r>
      <w:bookmarkEnd w:id="0"/>
    </w:p>
    <w:p w14:paraId="25C14F96" w14:textId="77777777" w:rsidR="009324E2" w:rsidRDefault="009324E2" w:rsidP="002F7DB7">
      <w:pPr>
        <w:widowControl/>
        <w:tabs>
          <w:tab w:val="left" w:pos="-720"/>
        </w:tabs>
        <w:suppressAutoHyphens/>
        <w:spacing w:line="360" w:lineRule="auto"/>
        <w:rPr>
          <w:sz w:val="26"/>
        </w:rPr>
      </w:pPr>
    </w:p>
    <w:p w14:paraId="0416F8A6" w14:textId="7CD9E352" w:rsidR="009324E2" w:rsidRDefault="009324E2" w:rsidP="002F7DB7">
      <w:pPr>
        <w:widowControl/>
        <w:tabs>
          <w:tab w:val="left" w:pos="-720"/>
        </w:tabs>
        <w:suppressAutoHyphens/>
        <w:spacing w:line="360" w:lineRule="auto"/>
        <w:rPr>
          <w:sz w:val="26"/>
        </w:rPr>
      </w:pPr>
      <w:r>
        <w:rPr>
          <w:sz w:val="26"/>
        </w:rPr>
        <w:tab/>
      </w:r>
      <w:r>
        <w:rPr>
          <w:sz w:val="26"/>
        </w:rPr>
        <w:tab/>
        <w:t xml:space="preserve">Before the Pennsylvania Public Utility Commission (Commission) for consideration and disposition are the Exceptions </w:t>
      </w:r>
      <w:r w:rsidR="00845282">
        <w:rPr>
          <w:sz w:val="26"/>
        </w:rPr>
        <w:t>of the Newtown Artesian Water Company (NAWC or the Company), filed on March 1, 2018</w:t>
      </w:r>
      <w:r w:rsidR="00A62736">
        <w:rPr>
          <w:sz w:val="26"/>
        </w:rPr>
        <w:t xml:space="preserve">, </w:t>
      </w:r>
      <w:r>
        <w:rPr>
          <w:sz w:val="26"/>
        </w:rPr>
        <w:t xml:space="preserve">to the Recommended Decision of Administrative Law Judge (ALJ) Christopher P. Pell, issued </w:t>
      </w:r>
      <w:r w:rsidR="00A62736">
        <w:rPr>
          <w:sz w:val="26"/>
        </w:rPr>
        <w:t xml:space="preserve">on </w:t>
      </w:r>
      <w:r w:rsidR="00F56D53">
        <w:rPr>
          <w:sz w:val="26"/>
        </w:rPr>
        <w:t>February 9, 2018</w:t>
      </w:r>
      <w:r>
        <w:rPr>
          <w:sz w:val="26"/>
        </w:rPr>
        <w:t xml:space="preserve">.  The </w:t>
      </w:r>
      <w:r w:rsidR="00F56D53">
        <w:rPr>
          <w:sz w:val="26"/>
        </w:rPr>
        <w:t xml:space="preserve">Office of Consumer Advocate (OCA) </w:t>
      </w:r>
      <w:r w:rsidR="009B7EE8">
        <w:rPr>
          <w:sz w:val="26"/>
        </w:rPr>
        <w:t>filed Replies</w:t>
      </w:r>
      <w:r>
        <w:rPr>
          <w:sz w:val="26"/>
        </w:rPr>
        <w:t xml:space="preserve"> to Exceptions</w:t>
      </w:r>
      <w:r w:rsidR="00F56D53">
        <w:rPr>
          <w:sz w:val="26"/>
        </w:rPr>
        <w:t xml:space="preserve"> on March</w:t>
      </w:r>
      <w:r w:rsidR="00503B58">
        <w:rPr>
          <w:sz w:val="26"/>
        </w:rPr>
        <w:t> </w:t>
      </w:r>
      <w:r w:rsidR="00F56D53">
        <w:rPr>
          <w:sz w:val="26"/>
        </w:rPr>
        <w:t xml:space="preserve">12, 2018. </w:t>
      </w:r>
      <w:r w:rsidR="0090131A">
        <w:rPr>
          <w:sz w:val="26"/>
        </w:rPr>
        <w:t xml:space="preserve"> For the reasons delineated in this Opinion and Order, we shall </w:t>
      </w:r>
      <w:r w:rsidR="00D10D62">
        <w:rPr>
          <w:sz w:val="26"/>
        </w:rPr>
        <w:t xml:space="preserve">grant, in </w:t>
      </w:r>
      <w:r w:rsidR="00D10D62" w:rsidRPr="00EB2A5A">
        <w:rPr>
          <w:sz w:val="26"/>
        </w:rPr>
        <w:t xml:space="preserve">part, and </w:t>
      </w:r>
      <w:r w:rsidR="0090131A" w:rsidRPr="00EB2A5A">
        <w:rPr>
          <w:sz w:val="26"/>
        </w:rPr>
        <w:t>deny</w:t>
      </w:r>
      <w:r w:rsidR="00D10D62" w:rsidRPr="00EB2A5A">
        <w:rPr>
          <w:sz w:val="26"/>
        </w:rPr>
        <w:t>, in part,</w:t>
      </w:r>
      <w:r w:rsidR="0090131A" w:rsidRPr="00EB2A5A">
        <w:rPr>
          <w:sz w:val="26"/>
        </w:rPr>
        <w:t xml:space="preserve"> NAWC’s Exceptions </w:t>
      </w:r>
      <w:r w:rsidR="009B01D4" w:rsidRPr="00EB2A5A">
        <w:rPr>
          <w:sz w:val="26"/>
        </w:rPr>
        <w:t xml:space="preserve">and </w:t>
      </w:r>
      <w:r w:rsidR="00A02BBE" w:rsidRPr="00EB2A5A">
        <w:rPr>
          <w:sz w:val="26"/>
        </w:rPr>
        <w:t xml:space="preserve">modify </w:t>
      </w:r>
      <w:r w:rsidR="0090131A" w:rsidRPr="00EB2A5A">
        <w:rPr>
          <w:sz w:val="26"/>
        </w:rPr>
        <w:t>the ALJ’s Recommended Decision</w:t>
      </w:r>
      <w:r w:rsidR="002061A4" w:rsidRPr="00EB2A5A">
        <w:rPr>
          <w:sz w:val="26"/>
        </w:rPr>
        <w:t>, consistent with this Opinion and Order.</w:t>
      </w:r>
      <w:r w:rsidR="002061A4">
        <w:rPr>
          <w:sz w:val="26"/>
        </w:rPr>
        <w:t xml:space="preserve">  </w:t>
      </w:r>
    </w:p>
    <w:p w14:paraId="004DB2E7" w14:textId="77777777" w:rsidR="0090131A" w:rsidRDefault="0090131A" w:rsidP="002F7DB7">
      <w:pPr>
        <w:widowControl/>
        <w:spacing w:after="200" w:line="276" w:lineRule="auto"/>
        <w:rPr>
          <w:sz w:val="26"/>
        </w:rPr>
      </w:pPr>
      <w:r>
        <w:rPr>
          <w:sz w:val="26"/>
        </w:rPr>
        <w:br w:type="page"/>
      </w:r>
    </w:p>
    <w:p w14:paraId="3FD4FD0B" w14:textId="77777777" w:rsidR="006B41FB" w:rsidRPr="009C4770" w:rsidRDefault="006B41FB" w:rsidP="002F7DB7">
      <w:pPr>
        <w:widowControl/>
        <w:tabs>
          <w:tab w:val="left" w:pos="-720"/>
        </w:tabs>
        <w:suppressAutoHyphens/>
        <w:spacing w:line="360" w:lineRule="auto"/>
        <w:rPr>
          <w:sz w:val="26"/>
        </w:rPr>
      </w:pPr>
    </w:p>
    <w:p w14:paraId="68FC6084" w14:textId="77777777" w:rsidR="009324E2" w:rsidRPr="00CB7903" w:rsidRDefault="009324E2" w:rsidP="002F7DB7">
      <w:pPr>
        <w:pStyle w:val="Heading1"/>
        <w:jc w:val="center"/>
      </w:pPr>
      <w:bookmarkStart w:id="1" w:name="_Toc512430426"/>
      <w:r w:rsidRPr="00CB7903">
        <w:t>I</w:t>
      </w:r>
      <w:r w:rsidR="0090131A">
        <w:t>I</w:t>
      </w:r>
      <w:r w:rsidRPr="00CB7903">
        <w:t>.</w:t>
      </w:r>
      <w:r w:rsidRPr="00CB7903">
        <w:tab/>
        <w:t>History of the Proceeding</w:t>
      </w:r>
      <w:bookmarkEnd w:id="1"/>
    </w:p>
    <w:p w14:paraId="350FA828" w14:textId="77777777" w:rsidR="009324E2" w:rsidRPr="00CB7903" w:rsidRDefault="009324E2" w:rsidP="002F7DB7">
      <w:pPr>
        <w:widowControl/>
        <w:spacing w:line="360" w:lineRule="auto"/>
        <w:ind w:left="1080"/>
        <w:jc w:val="center"/>
        <w:rPr>
          <w:sz w:val="26"/>
          <w:szCs w:val="26"/>
        </w:rPr>
      </w:pPr>
    </w:p>
    <w:p w14:paraId="34B2D834" w14:textId="77777777" w:rsidR="009324E2" w:rsidRDefault="009324E2" w:rsidP="002F7DB7">
      <w:pPr>
        <w:widowControl/>
        <w:tabs>
          <w:tab w:val="left" w:pos="1445"/>
        </w:tabs>
        <w:autoSpaceDE w:val="0"/>
        <w:autoSpaceDN w:val="0"/>
        <w:adjustRightInd w:val="0"/>
        <w:spacing w:line="360" w:lineRule="auto"/>
        <w:ind w:firstLine="1440"/>
        <w:rPr>
          <w:sz w:val="26"/>
          <w:szCs w:val="26"/>
        </w:rPr>
      </w:pPr>
      <w:r w:rsidRPr="00CB7903">
        <w:rPr>
          <w:sz w:val="26"/>
          <w:szCs w:val="26"/>
        </w:rPr>
        <w:t>On February 14, 2012,</w:t>
      </w:r>
      <w:r w:rsidRPr="00CB7903">
        <w:rPr>
          <w:b/>
          <w:sz w:val="26"/>
          <w:szCs w:val="26"/>
        </w:rPr>
        <w:t xml:space="preserve"> </w:t>
      </w:r>
      <w:r w:rsidRPr="00CB7903">
        <w:rPr>
          <w:sz w:val="26"/>
          <w:szCs w:val="26"/>
        </w:rPr>
        <w:t>Governor Corbett signed into law</w:t>
      </w:r>
      <w:r w:rsidRPr="00CB7903">
        <w:rPr>
          <w:b/>
          <w:sz w:val="26"/>
          <w:szCs w:val="26"/>
        </w:rPr>
        <w:t xml:space="preserve"> </w:t>
      </w:r>
      <w:r w:rsidRPr="00CB7903">
        <w:rPr>
          <w:sz w:val="26"/>
          <w:szCs w:val="26"/>
        </w:rPr>
        <w:t xml:space="preserve">Act 11 of 2012, (Act 11), which amended Chapters 3, 13 and 33 of the Public Utility Code (Code).  66 Pa. C.S. § 101, </w:t>
      </w:r>
      <w:r w:rsidRPr="00CB7903">
        <w:rPr>
          <w:i/>
          <w:sz w:val="26"/>
          <w:szCs w:val="26"/>
        </w:rPr>
        <w:t xml:space="preserve">et seq.  </w:t>
      </w:r>
      <w:r w:rsidRPr="00CB7903">
        <w:rPr>
          <w:sz w:val="26"/>
          <w:szCs w:val="26"/>
        </w:rPr>
        <w:t xml:space="preserve">Act 11, </w:t>
      </w:r>
      <w:r w:rsidRPr="00CB7903">
        <w:rPr>
          <w:i/>
          <w:sz w:val="26"/>
          <w:szCs w:val="26"/>
        </w:rPr>
        <w:t>inter alia</w:t>
      </w:r>
      <w:r w:rsidRPr="00CB7903">
        <w:rPr>
          <w:sz w:val="26"/>
          <w:szCs w:val="26"/>
        </w:rPr>
        <w:t>, provides jurisdictional water and wastewater utilities, electric distribution companies, and natural gas distribution companies or a city natural gas distribution operation with the ability to implement a d</w:t>
      </w:r>
      <w:r w:rsidRPr="00CB7903">
        <w:rPr>
          <w:sz w:val="26"/>
          <w:szCs w:val="24"/>
        </w:rPr>
        <w:t>istribution system improvement charge (</w:t>
      </w:r>
      <w:r w:rsidRPr="00CB7903">
        <w:rPr>
          <w:sz w:val="26"/>
          <w:szCs w:val="26"/>
        </w:rPr>
        <w:t xml:space="preserve">DSIC) to recover reasonable and prudent costs incurred to repair, improve, or replace certain eligible distribution property that is part of the utility’s distribution system.  On August 2, 2012, the Commission entered its Order in </w:t>
      </w:r>
      <w:r w:rsidRPr="00CB7903">
        <w:rPr>
          <w:i/>
          <w:sz w:val="26"/>
          <w:szCs w:val="26"/>
        </w:rPr>
        <w:t xml:space="preserve">Implementation of Act 11 of 2012, </w:t>
      </w:r>
      <w:r w:rsidRPr="00CB7903">
        <w:rPr>
          <w:sz w:val="26"/>
          <w:szCs w:val="26"/>
        </w:rPr>
        <w:t>Docket Number M-2012-2293611 (</w:t>
      </w:r>
      <w:r w:rsidRPr="00CB7903">
        <w:rPr>
          <w:i/>
          <w:sz w:val="26"/>
          <w:szCs w:val="26"/>
        </w:rPr>
        <w:t>Final Implementation Order)</w:t>
      </w:r>
      <w:r w:rsidRPr="00CB7903">
        <w:rPr>
          <w:sz w:val="26"/>
          <w:szCs w:val="26"/>
        </w:rPr>
        <w:t>, which established procedures and guidelines necessary to implement Act 11 and included a Model Tariff for DSIC filings.</w:t>
      </w:r>
    </w:p>
    <w:p w14:paraId="4C1D1C48" w14:textId="77777777" w:rsidR="00A95B11" w:rsidRDefault="00A95B11" w:rsidP="002F7DB7">
      <w:pPr>
        <w:widowControl/>
        <w:tabs>
          <w:tab w:val="left" w:pos="1445"/>
        </w:tabs>
        <w:autoSpaceDE w:val="0"/>
        <w:autoSpaceDN w:val="0"/>
        <w:adjustRightInd w:val="0"/>
        <w:spacing w:line="360" w:lineRule="auto"/>
        <w:ind w:firstLine="1440"/>
        <w:rPr>
          <w:sz w:val="26"/>
          <w:szCs w:val="26"/>
        </w:rPr>
      </w:pPr>
    </w:p>
    <w:p w14:paraId="13D2C462" w14:textId="5D9CBC2D" w:rsidR="00BD3EE6" w:rsidRDefault="00BD3EE6" w:rsidP="002F7DB7">
      <w:pPr>
        <w:widowControl/>
        <w:tabs>
          <w:tab w:val="left" w:pos="1445"/>
        </w:tabs>
        <w:autoSpaceDE w:val="0"/>
        <w:autoSpaceDN w:val="0"/>
        <w:adjustRightInd w:val="0"/>
        <w:spacing w:line="360" w:lineRule="auto"/>
        <w:ind w:firstLine="1440"/>
        <w:rPr>
          <w:sz w:val="26"/>
          <w:szCs w:val="26"/>
        </w:rPr>
      </w:pPr>
      <w:r w:rsidRPr="00BD3EE6">
        <w:rPr>
          <w:sz w:val="26"/>
          <w:szCs w:val="26"/>
        </w:rPr>
        <w:t>On September 1, 2017, NAWC, Utility Code 212070, filed Supplement No.</w:t>
      </w:r>
      <w:r w:rsidR="009F636C">
        <w:rPr>
          <w:sz w:val="26"/>
          <w:szCs w:val="26"/>
        </w:rPr>
        <w:t> </w:t>
      </w:r>
      <w:r w:rsidRPr="00BD3EE6">
        <w:rPr>
          <w:sz w:val="26"/>
          <w:szCs w:val="26"/>
        </w:rPr>
        <w:t>126 To WATER-</w:t>
      </w:r>
      <w:r w:rsidR="00397467">
        <w:rPr>
          <w:sz w:val="26"/>
          <w:szCs w:val="26"/>
        </w:rPr>
        <w:t>P</w:t>
      </w:r>
      <w:r w:rsidR="00414752">
        <w:rPr>
          <w:sz w:val="26"/>
          <w:szCs w:val="26"/>
        </w:rPr>
        <w:t>A</w:t>
      </w:r>
      <w:r w:rsidR="00397467">
        <w:rPr>
          <w:sz w:val="26"/>
          <w:szCs w:val="26"/>
        </w:rPr>
        <w:t>.</w:t>
      </w:r>
      <w:r w:rsidRPr="00BD3EE6">
        <w:rPr>
          <w:sz w:val="26"/>
          <w:szCs w:val="26"/>
        </w:rPr>
        <w:t xml:space="preserve"> P.U.C. No. 9 (Supplement No. 126) to become effective November</w:t>
      </w:r>
      <w:r w:rsidR="009F636C">
        <w:rPr>
          <w:sz w:val="26"/>
          <w:szCs w:val="26"/>
        </w:rPr>
        <w:t> </w:t>
      </w:r>
      <w:r w:rsidRPr="00BD3EE6">
        <w:rPr>
          <w:sz w:val="26"/>
          <w:szCs w:val="26"/>
        </w:rPr>
        <w:t xml:space="preserve">1, 2017. </w:t>
      </w:r>
      <w:r w:rsidR="00AF4042">
        <w:rPr>
          <w:sz w:val="26"/>
          <w:szCs w:val="26"/>
        </w:rPr>
        <w:t xml:space="preserve"> </w:t>
      </w:r>
      <w:r w:rsidRPr="00BD3EE6">
        <w:rPr>
          <w:sz w:val="26"/>
          <w:szCs w:val="26"/>
        </w:rPr>
        <w:t>Supplement No. 126 proposes to increase NAWC’s existing Distribution System Improvement Charge (DSIC) cap from 5% to 7.5%.</w:t>
      </w:r>
    </w:p>
    <w:p w14:paraId="17C4AF5B" w14:textId="77777777" w:rsidR="00BD3EE6" w:rsidRPr="00BD3EE6" w:rsidRDefault="00BD3EE6" w:rsidP="002F7DB7">
      <w:pPr>
        <w:widowControl/>
        <w:tabs>
          <w:tab w:val="left" w:pos="1445"/>
        </w:tabs>
        <w:autoSpaceDE w:val="0"/>
        <w:autoSpaceDN w:val="0"/>
        <w:adjustRightInd w:val="0"/>
        <w:spacing w:line="360" w:lineRule="auto"/>
        <w:ind w:firstLine="1440"/>
        <w:rPr>
          <w:sz w:val="26"/>
          <w:szCs w:val="26"/>
        </w:rPr>
      </w:pPr>
    </w:p>
    <w:p w14:paraId="6F880209" w14:textId="32EA8145" w:rsidR="00A95B11" w:rsidRDefault="00BD3EE6" w:rsidP="002F7DB7">
      <w:pPr>
        <w:widowControl/>
        <w:tabs>
          <w:tab w:val="left" w:pos="1445"/>
        </w:tabs>
        <w:autoSpaceDE w:val="0"/>
        <w:autoSpaceDN w:val="0"/>
        <w:adjustRightInd w:val="0"/>
        <w:spacing w:line="360" w:lineRule="auto"/>
        <w:ind w:firstLine="1440"/>
        <w:rPr>
          <w:sz w:val="26"/>
          <w:szCs w:val="26"/>
        </w:rPr>
      </w:pPr>
      <w:r w:rsidRPr="00BD3EE6">
        <w:rPr>
          <w:sz w:val="26"/>
          <w:szCs w:val="26"/>
        </w:rPr>
        <w:t xml:space="preserve">On September 29, 2017, the Office of Consumer Advocate (OCA) filed a Public Statement, a Notice of </w:t>
      </w:r>
      <w:r w:rsidR="00096944" w:rsidRPr="00BD3EE6">
        <w:rPr>
          <w:sz w:val="26"/>
          <w:szCs w:val="26"/>
        </w:rPr>
        <w:t>Appearance and</w:t>
      </w:r>
      <w:r w:rsidRPr="00BD3EE6">
        <w:rPr>
          <w:sz w:val="26"/>
          <w:szCs w:val="26"/>
        </w:rPr>
        <w:t xml:space="preserve"> a </w:t>
      </w:r>
      <w:r w:rsidR="00AF4042">
        <w:rPr>
          <w:sz w:val="26"/>
          <w:szCs w:val="26"/>
        </w:rPr>
        <w:t>F</w:t>
      </w:r>
      <w:r w:rsidRPr="00BD3EE6">
        <w:rPr>
          <w:sz w:val="26"/>
          <w:szCs w:val="26"/>
        </w:rPr>
        <w:t>ormal Complaint</w:t>
      </w:r>
      <w:r w:rsidR="00AF4042">
        <w:rPr>
          <w:sz w:val="26"/>
          <w:szCs w:val="26"/>
        </w:rPr>
        <w:t xml:space="preserve"> (Complaint)</w:t>
      </w:r>
      <w:r w:rsidRPr="00BD3EE6">
        <w:rPr>
          <w:sz w:val="26"/>
          <w:szCs w:val="26"/>
        </w:rPr>
        <w:t>.</w:t>
      </w:r>
      <w:r w:rsidR="004E73FD">
        <w:rPr>
          <w:sz w:val="26"/>
          <w:szCs w:val="26"/>
        </w:rPr>
        <w:t xml:space="preserve"> </w:t>
      </w:r>
      <w:r w:rsidRPr="00BD3EE6">
        <w:rPr>
          <w:sz w:val="26"/>
          <w:szCs w:val="26"/>
        </w:rPr>
        <w:t xml:space="preserve"> The Complaint was docketed at C-2017-2626954.</w:t>
      </w:r>
    </w:p>
    <w:p w14:paraId="4FC2F427" w14:textId="77777777" w:rsidR="00BD3EE6" w:rsidRDefault="00BD3EE6" w:rsidP="002F7DB7">
      <w:pPr>
        <w:widowControl/>
        <w:tabs>
          <w:tab w:val="left" w:pos="1445"/>
        </w:tabs>
        <w:autoSpaceDE w:val="0"/>
        <w:autoSpaceDN w:val="0"/>
        <w:adjustRightInd w:val="0"/>
        <w:spacing w:line="360" w:lineRule="auto"/>
        <w:ind w:firstLine="1440"/>
        <w:rPr>
          <w:sz w:val="26"/>
          <w:szCs w:val="26"/>
        </w:rPr>
      </w:pPr>
    </w:p>
    <w:p w14:paraId="051D50C4" w14:textId="1EB62302" w:rsidR="00BD3EE6" w:rsidRDefault="00BD3EE6" w:rsidP="002F7DB7">
      <w:pPr>
        <w:widowControl/>
        <w:tabs>
          <w:tab w:val="left" w:pos="1445"/>
        </w:tabs>
        <w:autoSpaceDE w:val="0"/>
        <w:autoSpaceDN w:val="0"/>
        <w:adjustRightInd w:val="0"/>
        <w:spacing w:line="360" w:lineRule="auto"/>
        <w:ind w:firstLine="1440"/>
        <w:rPr>
          <w:sz w:val="26"/>
          <w:szCs w:val="26"/>
        </w:rPr>
      </w:pPr>
      <w:r w:rsidRPr="00BD3EE6">
        <w:rPr>
          <w:sz w:val="26"/>
          <w:szCs w:val="26"/>
        </w:rPr>
        <w:t>By Order entered October 5, 2017, the</w:t>
      </w:r>
      <w:r w:rsidR="00AF4042">
        <w:rPr>
          <w:sz w:val="26"/>
          <w:szCs w:val="26"/>
        </w:rPr>
        <w:t xml:space="preserve"> </w:t>
      </w:r>
      <w:r w:rsidRPr="00BD3EE6">
        <w:rPr>
          <w:sz w:val="26"/>
          <w:szCs w:val="26"/>
        </w:rPr>
        <w:t xml:space="preserve">Commission instituted an investigation into the lawfulness, justness, and reasonableness of the rates, rules, and regulations contained in Supplement No. </w:t>
      </w:r>
      <w:r w:rsidR="0098133A" w:rsidRPr="00BD3EE6">
        <w:rPr>
          <w:sz w:val="26"/>
          <w:szCs w:val="26"/>
        </w:rPr>
        <w:t>126.</w:t>
      </w:r>
      <w:r w:rsidRPr="00BD3EE6">
        <w:rPr>
          <w:sz w:val="26"/>
          <w:szCs w:val="26"/>
        </w:rPr>
        <w:t xml:space="preserve"> </w:t>
      </w:r>
      <w:r w:rsidR="004E73FD">
        <w:rPr>
          <w:sz w:val="26"/>
          <w:szCs w:val="26"/>
        </w:rPr>
        <w:t xml:space="preserve"> </w:t>
      </w:r>
      <w:r w:rsidRPr="00BD3EE6">
        <w:rPr>
          <w:sz w:val="26"/>
          <w:szCs w:val="26"/>
        </w:rPr>
        <w:t xml:space="preserve">The Commission ordered </w:t>
      </w:r>
      <w:r w:rsidR="0098133A" w:rsidRPr="00BD3EE6">
        <w:rPr>
          <w:sz w:val="26"/>
          <w:szCs w:val="26"/>
        </w:rPr>
        <w:t>that Supplement</w:t>
      </w:r>
      <w:r w:rsidRPr="00BD3EE6">
        <w:rPr>
          <w:sz w:val="26"/>
          <w:szCs w:val="26"/>
        </w:rPr>
        <w:t xml:space="preserve"> No. </w:t>
      </w:r>
      <w:r w:rsidR="0028781E" w:rsidRPr="00BD3EE6">
        <w:rPr>
          <w:sz w:val="26"/>
          <w:szCs w:val="26"/>
        </w:rPr>
        <w:t>126 be</w:t>
      </w:r>
      <w:r w:rsidRPr="00BD3EE6">
        <w:rPr>
          <w:sz w:val="26"/>
          <w:szCs w:val="26"/>
        </w:rPr>
        <w:t xml:space="preserve"> suspended by operation of law until May 1, 2018, unless otherwise directed by Order of the Commission. </w:t>
      </w:r>
      <w:r w:rsidR="004E73FD">
        <w:rPr>
          <w:sz w:val="26"/>
          <w:szCs w:val="26"/>
        </w:rPr>
        <w:t xml:space="preserve"> </w:t>
      </w:r>
      <w:r w:rsidRPr="00BD3EE6">
        <w:rPr>
          <w:sz w:val="26"/>
          <w:szCs w:val="26"/>
        </w:rPr>
        <w:t xml:space="preserve">The Commission further ordered that the investigation </w:t>
      </w:r>
      <w:r w:rsidRPr="00BD3EE6">
        <w:rPr>
          <w:sz w:val="26"/>
          <w:szCs w:val="26"/>
        </w:rPr>
        <w:lastRenderedPageBreak/>
        <w:t>shall include consideration of the lawfulness, justness, and reasonableness of the existing rates, rules, and regulations of NAWC.</w:t>
      </w:r>
      <w:r w:rsidR="004E73FD">
        <w:rPr>
          <w:sz w:val="26"/>
          <w:szCs w:val="26"/>
        </w:rPr>
        <w:t xml:space="preserve"> </w:t>
      </w:r>
      <w:r w:rsidRPr="00BD3EE6">
        <w:rPr>
          <w:sz w:val="26"/>
          <w:szCs w:val="26"/>
        </w:rPr>
        <w:t xml:space="preserve"> The matter was assigned to the Office of Administrative Law Judge for the prompt scheduling of hearings culminating in the issuance of a Recommended Decision. </w:t>
      </w:r>
    </w:p>
    <w:p w14:paraId="50B02573" w14:textId="77777777" w:rsidR="003E585A" w:rsidRPr="00BD3EE6" w:rsidRDefault="003E585A" w:rsidP="002F7DB7">
      <w:pPr>
        <w:widowControl/>
        <w:tabs>
          <w:tab w:val="left" w:pos="1445"/>
        </w:tabs>
        <w:autoSpaceDE w:val="0"/>
        <w:autoSpaceDN w:val="0"/>
        <w:adjustRightInd w:val="0"/>
        <w:spacing w:line="360" w:lineRule="auto"/>
        <w:ind w:firstLine="1440"/>
        <w:rPr>
          <w:sz w:val="26"/>
          <w:szCs w:val="26"/>
        </w:rPr>
      </w:pPr>
    </w:p>
    <w:p w14:paraId="10999A1A" w14:textId="4CB5CEE6" w:rsidR="00BD3EE6" w:rsidRDefault="00BD3EE6" w:rsidP="002F7DB7">
      <w:pPr>
        <w:widowControl/>
        <w:tabs>
          <w:tab w:val="left" w:pos="1445"/>
        </w:tabs>
        <w:autoSpaceDE w:val="0"/>
        <w:autoSpaceDN w:val="0"/>
        <w:adjustRightInd w:val="0"/>
        <w:spacing w:line="360" w:lineRule="auto"/>
        <w:ind w:firstLine="1440"/>
        <w:rPr>
          <w:sz w:val="26"/>
          <w:szCs w:val="26"/>
        </w:rPr>
      </w:pPr>
      <w:r w:rsidRPr="00BD3EE6">
        <w:rPr>
          <w:sz w:val="26"/>
          <w:szCs w:val="26"/>
        </w:rPr>
        <w:t>In accordance with the Commission’s October 5, 2017 Order, the matter was assigned to Deputy Chief Administrative Law Judge Christopher P. Pell.</w:t>
      </w:r>
    </w:p>
    <w:p w14:paraId="6FB98B71" w14:textId="77777777" w:rsidR="003E585A" w:rsidRPr="00BD3EE6" w:rsidRDefault="003E585A" w:rsidP="002F7DB7">
      <w:pPr>
        <w:widowControl/>
        <w:tabs>
          <w:tab w:val="left" w:pos="1445"/>
        </w:tabs>
        <w:autoSpaceDE w:val="0"/>
        <w:autoSpaceDN w:val="0"/>
        <w:adjustRightInd w:val="0"/>
        <w:spacing w:line="360" w:lineRule="auto"/>
        <w:ind w:firstLine="1440"/>
        <w:rPr>
          <w:sz w:val="26"/>
          <w:szCs w:val="26"/>
        </w:rPr>
      </w:pPr>
    </w:p>
    <w:p w14:paraId="3C277080" w14:textId="14CA60A6" w:rsidR="00BD3EE6" w:rsidRDefault="00BD3EE6" w:rsidP="002F7DB7">
      <w:pPr>
        <w:widowControl/>
        <w:tabs>
          <w:tab w:val="left" w:pos="1445"/>
        </w:tabs>
        <w:autoSpaceDE w:val="0"/>
        <w:autoSpaceDN w:val="0"/>
        <w:adjustRightInd w:val="0"/>
        <w:spacing w:line="360" w:lineRule="auto"/>
        <w:ind w:firstLine="1440"/>
        <w:rPr>
          <w:sz w:val="26"/>
          <w:szCs w:val="26"/>
        </w:rPr>
      </w:pPr>
      <w:r w:rsidRPr="00BD3EE6">
        <w:rPr>
          <w:sz w:val="26"/>
          <w:szCs w:val="26"/>
        </w:rPr>
        <w:t xml:space="preserve">A Prehearing Conference was held on November 8, 2017. </w:t>
      </w:r>
      <w:r w:rsidR="004E73FD">
        <w:rPr>
          <w:sz w:val="26"/>
          <w:szCs w:val="26"/>
        </w:rPr>
        <w:t xml:space="preserve"> </w:t>
      </w:r>
      <w:r w:rsidRPr="00BD3EE6">
        <w:rPr>
          <w:sz w:val="26"/>
          <w:szCs w:val="26"/>
        </w:rPr>
        <w:t>Counsel for NAWC and OCA participated.</w:t>
      </w:r>
    </w:p>
    <w:p w14:paraId="5013C17B" w14:textId="77777777" w:rsidR="00BD3EE6" w:rsidRDefault="00BD3EE6" w:rsidP="002F7DB7">
      <w:pPr>
        <w:widowControl/>
        <w:tabs>
          <w:tab w:val="left" w:pos="1445"/>
        </w:tabs>
        <w:autoSpaceDE w:val="0"/>
        <w:autoSpaceDN w:val="0"/>
        <w:adjustRightInd w:val="0"/>
        <w:spacing w:line="360" w:lineRule="auto"/>
        <w:ind w:firstLine="1440"/>
        <w:rPr>
          <w:sz w:val="26"/>
          <w:szCs w:val="26"/>
        </w:rPr>
      </w:pPr>
    </w:p>
    <w:p w14:paraId="20F26380" w14:textId="77777777" w:rsidR="00BD3EE6" w:rsidRDefault="00BD3EE6" w:rsidP="002F7DB7">
      <w:pPr>
        <w:widowControl/>
        <w:tabs>
          <w:tab w:val="left" w:pos="1445"/>
        </w:tabs>
        <w:autoSpaceDE w:val="0"/>
        <w:autoSpaceDN w:val="0"/>
        <w:adjustRightInd w:val="0"/>
        <w:spacing w:line="360" w:lineRule="auto"/>
        <w:ind w:firstLine="1440"/>
        <w:rPr>
          <w:sz w:val="26"/>
          <w:szCs w:val="26"/>
        </w:rPr>
      </w:pPr>
      <w:r w:rsidRPr="00BD3EE6">
        <w:rPr>
          <w:sz w:val="26"/>
          <w:szCs w:val="26"/>
        </w:rPr>
        <w:t xml:space="preserve">On November 6, 2017, Newtown Artesian served the following Direct Testimony: the Direct Testimony of Harold Walker, III, NAWC Statement No. 1; and the Direct Testimony of George Forsyth, NAWC Statement No. 2. </w:t>
      </w:r>
    </w:p>
    <w:p w14:paraId="0DDFFAD9" w14:textId="77777777" w:rsidR="000852B8" w:rsidRPr="00BD3EE6" w:rsidRDefault="000852B8" w:rsidP="002F7DB7">
      <w:pPr>
        <w:widowControl/>
        <w:tabs>
          <w:tab w:val="left" w:pos="1445"/>
        </w:tabs>
        <w:autoSpaceDE w:val="0"/>
        <w:autoSpaceDN w:val="0"/>
        <w:adjustRightInd w:val="0"/>
        <w:spacing w:line="360" w:lineRule="auto"/>
        <w:ind w:firstLine="1440"/>
        <w:rPr>
          <w:sz w:val="26"/>
          <w:szCs w:val="26"/>
        </w:rPr>
      </w:pPr>
    </w:p>
    <w:p w14:paraId="64A70609" w14:textId="0DBBA5AA" w:rsidR="00BD3EE6" w:rsidRDefault="00BD3EE6" w:rsidP="002F7DB7">
      <w:pPr>
        <w:widowControl/>
        <w:tabs>
          <w:tab w:val="left" w:pos="1445"/>
        </w:tabs>
        <w:autoSpaceDE w:val="0"/>
        <w:autoSpaceDN w:val="0"/>
        <w:adjustRightInd w:val="0"/>
        <w:spacing w:line="360" w:lineRule="auto"/>
        <w:ind w:firstLine="1440"/>
        <w:rPr>
          <w:sz w:val="26"/>
          <w:szCs w:val="26"/>
        </w:rPr>
      </w:pPr>
      <w:r w:rsidRPr="00BD3EE6">
        <w:rPr>
          <w:sz w:val="26"/>
          <w:szCs w:val="26"/>
        </w:rPr>
        <w:t>On November 20, 2017, OCA served the Direct Testimony of Jerome</w:t>
      </w:r>
      <w:r w:rsidR="009B3BD3">
        <w:rPr>
          <w:sz w:val="26"/>
          <w:szCs w:val="26"/>
        </w:rPr>
        <w:t> </w:t>
      </w:r>
      <w:r w:rsidRPr="00BD3EE6">
        <w:rPr>
          <w:sz w:val="26"/>
          <w:szCs w:val="26"/>
        </w:rPr>
        <w:t>D.</w:t>
      </w:r>
      <w:r w:rsidR="009B3BD3">
        <w:rPr>
          <w:sz w:val="26"/>
          <w:szCs w:val="26"/>
        </w:rPr>
        <w:t> </w:t>
      </w:r>
      <w:r w:rsidRPr="00BD3EE6">
        <w:rPr>
          <w:sz w:val="26"/>
          <w:szCs w:val="26"/>
        </w:rPr>
        <w:t xml:space="preserve">Mierzwa, OCA Statement No. 1. </w:t>
      </w:r>
    </w:p>
    <w:p w14:paraId="769F71BD" w14:textId="77777777" w:rsidR="000852B8" w:rsidRPr="00BD3EE6" w:rsidRDefault="000852B8" w:rsidP="002F7DB7">
      <w:pPr>
        <w:widowControl/>
        <w:tabs>
          <w:tab w:val="left" w:pos="1445"/>
        </w:tabs>
        <w:autoSpaceDE w:val="0"/>
        <w:autoSpaceDN w:val="0"/>
        <w:adjustRightInd w:val="0"/>
        <w:spacing w:line="360" w:lineRule="auto"/>
        <w:ind w:firstLine="1440"/>
        <w:rPr>
          <w:sz w:val="26"/>
          <w:szCs w:val="26"/>
        </w:rPr>
      </w:pPr>
    </w:p>
    <w:p w14:paraId="5DDB6422" w14:textId="7BAA3830" w:rsidR="00BD3EE6" w:rsidRDefault="00BD3EE6" w:rsidP="002F7DB7">
      <w:pPr>
        <w:widowControl/>
        <w:tabs>
          <w:tab w:val="left" w:pos="1445"/>
        </w:tabs>
        <w:autoSpaceDE w:val="0"/>
        <w:autoSpaceDN w:val="0"/>
        <w:adjustRightInd w:val="0"/>
        <w:spacing w:line="360" w:lineRule="auto"/>
        <w:ind w:firstLine="1440"/>
        <w:rPr>
          <w:sz w:val="26"/>
          <w:szCs w:val="26"/>
        </w:rPr>
      </w:pPr>
      <w:r w:rsidRPr="00BD3EE6">
        <w:rPr>
          <w:sz w:val="26"/>
          <w:szCs w:val="26"/>
        </w:rPr>
        <w:t>On November 29, 2017, Newtown Artesian served the Rebuttal Testimony of Harold</w:t>
      </w:r>
      <w:r w:rsidR="009B3BD3">
        <w:rPr>
          <w:sz w:val="26"/>
          <w:szCs w:val="26"/>
        </w:rPr>
        <w:t> </w:t>
      </w:r>
      <w:r w:rsidRPr="00BD3EE6">
        <w:rPr>
          <w:sz w:val="26"/>
          <w:szCs w:val="26"/>
        </w:rPr>
        <w:t>Walker,</w:t>
      </w:r>
      <w:r w:rsidR="009B3BD3">
        <w:rPr>
          <w:sz w:val="26"/>
          <w:szCs w:val="26"/>
        </w:rPr>
        <w:t> </w:t>
      </w:r>
      <w:r w:rsidRPr="00BD3EE6">
        <w:rPr>
          <w:sz w:val="26"/>
          <w:szCs w:val="26"/>
        </w:rPr>
        <w:t>III, NAWC Statement No. 1R.</w:t>
      </w:r>
    </w:p>
    <w:p w14:paraId="449D4B96" w14:textId="77777777" w:rsidR="00BD3EE6" w:rsidRDefault="00BD3EE6" w:rsidP="002F7DB7">
      <w:pPr>
        <w:widowControl/>
        <w:tabs>
          <w:tab w:val="left" w:pos="1445"/>
        </w:tabs>
        <w:autoSpaceDE w:val="0"/>
        <w:autoSpaceDN w:val="0"/>
        <w:adjustRightInd w:val="0"/>
        <w:spacing w:line="360" w:lineRule="auto"/>
        <w:ind w:firstLine="1440"/>
        <w:rPr>
          <w:sz w:val="26"/>
          <w:szCs w:val="26"/>
        </w:rPr>
      </w:pPr>
    </w:p>
    <w:p w14:paraId="61698E29" w14:textId="4E4A5B02" w:rsidR="00BD3EE6" w:rsidRDefault="00BD3EE6" w:rsidP="002F7DB7">
      <w:pPr>
        <w:widowControl/>
        <w:tabs>
          <w:tab w:val="left" w:pos="1445"/>
        </w:tabs>
        <w:autoSpaceDE w:val="0"/>
        <w:autoSpaceDN w:val="0"/>
        <w:adjustRightInd w:val="0"/>
        <w:spacing w:line="360" w:lineRule="auto"/>
        <w:ind w:firstLine="1440"/>
        <w:rPr>
          <w:sz w:val="26"/>
          <w:szCs w:val="26"/>
        </w:rPr>
      </w:pPr>
      <w:r w:rsidRPr="00BD3EE6">
        <w:rPr>
          <w:sz w:val="26"/>
          <w:szCs w:val="26"/>
        </w:rPr>
        <w:t>On December 6, 2017, OCA served the Surrebuttal Testimony of Jerome</w:t>
      </w:r>
      <w:r w:rsidR="009B3BD3">
        <w:rPr>
          <w:sz w:val="26"/>
          <w:szCs w:val="26"/>
        </w:rPr>
        <w:t> </w:t>
      </w:r>
      <w:r w:rsidRPr="00BD3EE6">
        <w:rPr>
          <w:sz w:val="26"/>
          <w:szCs w:val="26"/>
        </w:rPr>
        <w:t>D.</w:t>
      </w:r>
      <w:r w:rsidR="009B3BD3">
        <w:rPr>
          <w:sz w:val="26"/>
          <w:szCs w:val="26"/>
        </w:rPr>
        <w:t> </w:t>
      </w:r>
      <w:r w:rsidRPr="00BD3EE6">
        <w:rPr>
          <w:sz w:val="26"/>
          <w:szCs w:val="26"/>
        </w:rPr>
        <w:t>Mierzwa, OCA Statement No. 1-SR.</w:t>
      </w:r>
    </w:p>
    <w:p w14:paraId="297F9E7A" w14:textId="77777777" w:rsidR="00735DD9" w:rsidRPr="00BD3EE6" w:rsidRDefault="00735DD9" w:rsidP="002F7DB7">
      <w:pPr>
        <w:widowControl/>
        <w:tabs>
          <w:tab w:val="left" w:pos="1445"/>
        </w:tabs>
        <w:autoSpaceDE w:val="0"/>
        <w:autoSpaceDN w:val="0"/>
        <w:adjustRightInd w:val="0"/>
        <w:spacing w:line="360" w:lineRule="auto"/>
        <w:ind w:firstLine="1440"/>
        <w:rPr>
          <w:sz w:val="26"/>
          <w:szCs w:val="26"/>
        </w:rPr>
      </w:pPr>
    </w:p>
    <w:p w14:paraId="1FEF7129" w14:textId="12CBEFCA" w:rsidR="00BD3EE6" w:rsidRDefault="00BD3EE6" w:rsidP="002F7DB7">
      <w:pPr>
        <w:widowControl/>
        <w:tabs>
          <w:tab w:val="left" w:pos="1445"/>
        </w:tabs>
        <w:autoSpaceDE w:val="0"/>
        <w:autoSpaceDN w:val="0"/>
        <w:adjustRightInd w:val="0"/>
        <w:spacing w:line="360" w:lineRule="auto"/>
        <w:ind w:firstLine="1440"/>
        <w:rPr>
          <w:sz w:val="26"/>
          <w:szCs w:val="26"/>
        </w:rPr>
      </w:pPr>
      <w:r w:rsidRPr="00BD3EE6">
        <w:rPr>
          <w:sz w:val="26"/>
          <w:szCs w:val="26"/>
        </w:rPr>
        <w:t>The evidentiary hearing was held as scheduled on December 11, 2017. During the hearing, NAWC presented the rejoinder testimony of Harold</w:t>
      </w:r>
      <w:r w:rsidR="009B3BD3">
        <w:rPr>
          <w:sz w:val="26"/>
          <w:szCs w:val="26"/>
        </w:rPr>
        <w:t> </w:t>
      </w:r>
      <w:r w:rsidRPr="00BD3EE6">
        <w:rPr>
          <w:sz w:val="26"/>
          <w:szCs w:val="26"/>
        </w:rPr>
        <w:t>Walker,</w:t>
      </w:r>
      <w:r w:rsidR="009B3BD3">
        <w:rPr>
          <w:sz w:val="26"/>
          <w:szCs w:val="26"/>
        </w:rPr>
        <w:t> </w:t>
      </w:r>
      <w:r w:rsidRPr="00BD3EE6">
        <w:rPr>
          <w:sz w:val="26"/>
          <w:szCs w:val="26"/>
        </w:rPr>
        <w:t xml:space="preserve">III, and made Mr. Walker available for cross-examination by the OCA. </w:t>
      </w:r>
      <w:r w:rsidR="009B01D4">
        <w:rPr>
          <w:sz w:val="26"/>
          <w:szCs w:val="26"/>
        </w:rPr>
        <w:t xml:space="preserve"> </w:t>
      </w:r>
      <w:r w:rsidRPr="00BD3EE6">
        <w:rPr>
          <w:sz w:val="26"/>
          <w:szCs w:val="26"/>
        </w:rPr>
        <w:t>NAWC Witness George</w:t>
      </w:r>
      <w:r w:rsidR="009B3BD3">
        <w:rPr>
          <w:sz w:val="26"/>
          <w:szCs w:val="26"/>
        </w:rPr>
        <w:t> </w:t>
      </w:r>
      <w:r w:rsidRPr="00BD3EE6">
        <w:rPr>
          <w:sz w:val="26"/>
          <w:szCs w:val="26"/>
        </w:rPr>
        <w:t xml:space="preserve">Forsyth was excused from appearing at the hearing as OCA did not request to cross-examine him, and because </w:t>
      </w:r>
      <w:r w:rsidR="003E585A">
        <w:rPr>
          <w:sz w:val="26"/>
          <w:szCs w:val="26"/>
        </w:rPr>
        <w:t xml:space="preserve">the ALJ </w:t>
      </w:r>
      <w:r w:rsidRPr="00BD3EE6">
        <w:rPr>
          <w:sz w:val="26"/>
          <w:szCs w:val="26"/>
        </w:rPr>
        <w:t>did not have any questions for him.</w:t>
      </w:r>
      <w:r w:rsidR="004E73FD">
        <w:rPr>
          <w:sz w:val="26"/>
          <w:szCs w:val="26"/>
        </w:rPr>
        <w:t xml:space="preserve"> </w:t>
      </w:r>
      <w:r w:rsidRPr="00BD3EE6">
        <w:rPr>
          <w:sz w:val="26"/>
          <w:szCs w:val="26"/>
        </w:rPr>
        <w:t xml:space="preserve"> OCA also </w:t>
      </w:r>
      <w:r w:rsidRPr="00BD3EE6">
        <w:rPr>
          <w:sz w:val="26"/>
          <w:szCs w:val="26"/>
        </w:rPr>
        <w:lastRenderedPageBreak/>
        <w:t xml:space="preserve">presented its Witness, Jerome D. Mierzwa, for cross-examination. </w:t>
      </w:r>
      <w:r w:rsidR="009B3BD3">
        <w:rPr>
          <w:sz w:val="26"/>
          <w:szCs w:val="26"/>
        </w:rPr>
        <w:t xml:space="preserve"> </w:t>
      </w:r>
      <w:r w:rsidRPr="00BD3EE6">
        <w:rPr>
          <w:sz w:val="26"/>
          <w:szCs w:val="26"/>
        </w:rPr>
        <w:t xml:space="preserve">NAWC and </w:t>
      </w:r>
      <w:r w:rsidR="005C04BB">
        <w:rPr>
          <w:sz w:val="26"/>
          <w:szCs w:val="26"/>
        </w:rPr>
        <w:t xml:space="preserve">the </w:t>
      </w:r>
      <w:r w:rsidRPr="00BD3EE6">
        <w:rPr>
          <w:sz w:val="26"/>
          <w:szCs w:val="26"/>
        </w:rPr>
        <w:t xml:space="preserve">OCA both moved to have their </w:t>
      </w:r>
      <w:r w:rsidR="005C04BB">
        <w:rPr>
          <w:sz w:val="26"/>
          <w:szCs w:val="26"/>
        </w:rPr>
        <w:t>w</w:t>
      </w:r>
      <w:r w:rsidRPr="00BD3EE6">
        <w:rPr>
          <w:sz w:val="26"/>
          <w:szCs w:val="26"/>
        </w:rPr>
        <w:t>itnesses’ testimony and exhibits entered into the record.</w:t>
      </w:r>
      <w:r w:rsidR="004E73FD">
        <w:rPr>
          <w:sz w:val="26"/>
          <w:szCs w:val="26"/>
        </w:rPr>
        <w:t xml:space="preserve"> </w:t>
      </w:r>
      <w:r w:rsidRPr="00BD3EE6">
        <w:rPr>
          <w:sz w:val="26"/>
          <w:szCs w:val="26"/>
        </w:rPr>
        <w:t xml:space="preserve"> As there were no objections, all testimony and exhibits were admitted into the record during the hearing.</w:t>
      </w:r>
    </w:p>
    <w:p w14:paraId="3FD4E645" w14:textId="77777777" w:rsidR="00735DD9" w:rsidRPr="00BD3EE6" w:rsidRDefault="00735DD9" w:rsidP="002F7DB7">
      <w:pPr>
        <w:widowControl/>
        <w:tabs>
          <w:tab w:val="left" w:pos="1445"/>
        </w:tabs>
        <w:autoSpaceDE w:val="0"/>
        <w:autoSpaceDN w:val="0"/>
        <w:adjustRightInd w:val="0"/>
        <w:spacing w:line="360" w:lineRule="auto"/>
        <w:ind w:firstLine="1440"/>
        <w:rPr>
          <w:sz w:val="26"/>
          <w:szCs w:val="26"/>
        </w:rPr>
      </w:pPr>
    </w:p>
    <w:p w14:paraId="6592BDA1" w14:textId="0C9CAAEE" w:rsidR="00BD3EE6" w:rsidRDefault="000F44EC" w:rsidP="002F7DB7">
      <w:pPr>
        <w:widowControl/>
        <w:tabs>
          <w:tab w:val="left" w:pos="1445"/>
        </w:tabs>
        <w:autoSpaceDE w:val="0"/>
        <w:autoSpaceDN w:val="0"/>
        <w:adjustRightInd w:val="0"/>
        <w:spacing w:line="360" w:lineRule="auto"/>
        <w:ind w:firstLine="1440"/>
        <w:rPr>
          <w:sz w:val="26"/>
          <w:szCs w:val="26"/>
        </w:rPr>
      </w:pPr>
      <w:r>
        <w:rPr>
          <w:sz w:val="26"/>
          <w:szCs w:val="26"/>
        </w:rPr>
        <w:t>T</w:t>
      </w:r>
      <w:r w:rsidR="00BD3EE6" w:rsidRPr="00BD3EE6">
        <w:rPr>
          <w:sz w:val="26"/>
          <w:szCs w:val="26"/>
        </w:rPr>
        <w:t xml:space="preserve">he </w:t>
      </w:r>
      <w:r w:rsidR="005C04BB">
        <w:rPr>
          <w:sz w:val="26"/>
          <w:szCs w:val="26"/>
        </w:rPr>
        <w:t>P</w:t>
      </w:r>
      <w:r w:rsidR="00BD3EE6" w:rsidRPr="00BD3EE6">
        <w:rPr>
          <w:sz w:val="26"/>
          <w:szCs w:val="26"/>
        </w:rPr>
        <w:t xml:space="preserve">arties filed Main Briefs on </w:t>
      </w:r>
      <w:r w:rsidR="009B7EE8" w:rsidRPr="00BD3EE6">
        <w:rPr>
          <w:sz w:val="26"/>
          <w:szCs w:val="26"/>
        </w:rPr>
        <w:t>January 4, 2018</w:t>
      </w:r>
      <w:r w:rsidR="009B7EE8">
        <w:rPr>
          <w:sz w:val="26"/>
          <w:szCs w:val="26"/>
        </w:rPr>
        <w:t xml:space="preserve"> and</w:t>
      </w:r>
      <w:r w:rsidR="00BD3EE6" w:rsidRPr="00BD3EE6">
        <w:rPr>
          <w:sz w:val="26"/>
          <w:szCs w:val="26"/>
        </w:rPr>
        <w:t xml:space="preserve"> Reply Briefs on January 16, 2018.</w:t>
      </w:r>
    </w:p>
    <w:p w14:paraId="4981BE27" w14:textId="77777777" w:rsidR="00BD3EE6" w:rsidRPr="00BD3EE6" w:rsidRDefault="00BD3EE6" w:rsidP="002F7DB7">
      <w:pPr>
        <w:widowControl/>
        <w:tabs>
          <w:tab w:val="left" w:pos="1445"/>
        </w:tabs>
        <w:autoSpaceDE w:val="0"/>
        <w:autoSpaceDN w:val="0"/>
        <w:adjustRightInd w:val="0"/>
        <w:spacing w:line="360" w:lineRule="auto"/>
        <w:ind w:firstLine="1440"/>
        <w:rPr>
          <w:sz w:val="26"/>
          <w:szCs w:val="26"/>
        </w:rPr>
      </w:pPr>
    </w:p>
    <w:p w14:paraId="1168B0E4" w14:textId="3449F295" w:rsidR="00BD3EE6" w:rsidRPr="00CB7903" w:rsidRDefault="00BD3EE6" w:rsidP="002F7DB7">
      <w:pPr>
        <w:widowControl/>
        <w:tabs>
          <w:tab w:val="left" w:pos="1445"/>
        </w:tabs>
        <w:autoSpaceDE w:val="0"/>
        <w:autoSpaceDN w:val="0"/>
        <w:adjustRightInd w:val="0"/>
        <w:spacing w:line="360" w:lineRule="auto"/>
        <w:ind w:firstLine="1440"/>
        <w:rPr>
          <w:sz w:val="26"/>
          <w:szCs w:val="26"/>
        </w:rPr>
      </w:pPr>
      <w:r w:rsidRPr="00BD3EE6">
        <w:rPr>
          <w:sz w:val="26"/>
          <w:szCs w:val="26"/>
        </w:rPr>
        <w:t xml:space="preserve">The record in this proceeding consists of the transcripts of the prehearing conference and the evidentiary hearing, and the statements and exhibits sponsored by the </w:t>
      </w:r>
      <w:r w:rsidR="005C04BB">
        <w:rPr>
          <w:sz w:val="26"/>
          <w:szCs w:val="26"/>
        </w:rPr>
        <w:t>P</w:t>
      </w:r>
      <w:r w:rsidRPr="00BD3EE6">
        <w:rPr>
          <w:sz w:val="26"/>
          <w:szCs w:val="26"/>
        </w:rPr>
        <w:t>arties during the December 11, 2017 hearing.</w:t>
      </w:r>
      <w:r w:rsidR="004E73FD">
        <w:rPr>
          <w:sz w:val="26"/>
          <w:szCs w:val="26"/>
        </w:rPr>
        <w:t xml:space="preserve"> </w:t>
      </w:r>
      <w:r w:rsidRPr="00BD3EE6">
        <w:rPr>
          <w:sz w:val="26"/>
          <w:szCs w:val="26"/>
        </w:rPr>
        <w:t xml:space="preserve"> The record closed on January 16, 2018 </w:t>
      </w:r>
      <w:r>
        <w:rPr>
          <w:sz w:val="26"/>
          <w:szCs w:val="26"/>
        </w:rPr>
        <w:t xml:space="preserve">upon receipt of </w:t>
      </w:r>
      <w:r w:rsidRPr="00BD3EE6">
        <w:rPr>
          <w:sz w:val="26"/>
          <w:szCs w:val="26"/>
        </w:rPr>
        <w:t>the Reply Briefs.</w:t>
      </w:r>
    </w:p>
    <w:p w14:paraId="7856E2AE" w14:textId="77777777" w:rsidR="009324E2" w:rsidRPr="00CB7903" w:rsidRDefault="009324E2" w:rsidP="002F7DB7">
      <w:pPr>
        <w:widowControl/>
        <w:spacing w:line="360" w:lineRule="auto"/>
      </w:pPr>
    </w:p>
    <w:p w14:paraId="384334D5" w14:textId="37F187EA" w:rsidR="009324E2" w:rsidRDefault="009324E2" w:rsidP="002F7DB7">
      <w:pPr>
        <w:widowControl/>
        <w:tabs>
          <w:tab w:val="left" w:pos="-720"/>
        </w:tabs>
        <w:suppressAutoHyphens/>
        <w:spacing w:line="360" w:lineRule="auto"/>
        <w:ind w:firstLine="1440"/>
        <w:rPr>
          <w:rFonts w:eastAsia="Calibri"/>
          <w:spacing w:val="-3"/>
          <w:sz w:val="26"/>
          <w:szCs w:val="22"/>
        </w:rPr>
      </w:pPr>
      <w:r w:rsidRPr="00CB7903">
        <w:rPr>
          <w:rFonts w:eastAsia="Calibri"/>
          <w:spacing w:val="-3"/>
          <w:sz w:val="26"/>
          <w:szCs w:val="22"/>
        </w:rPr>
        <w:t xml:space="preserve">In the Recommended Decision, issued on </w:t>
      </w:r>
      <w:r w:rsidR="00735DD9">
        <w:rPr>
          <w:rFonts w:eastAsia="Calibri"/>
          <w:spacing w:val="-3"/>
          <w:sz w:val="26"/>
          <w:szCs w:val="22"/>
        </w:rPr>
        <w:t xml:space="preserve">February </w:t>
      </w:r>
      <w:r w:rsidR="00C159C2">
        <w:rPr>
          <w:rFonts w:eastAsia="Calibri"/>
          <w:spacing w:val="-3"/>
          <w:sz w:val="26"/>
          <w:szCs w:val="22"/>
        </w:rPr>
        <w:t>9</w:t>
      </w:r>
      <w:r w:rsidR="00735DD9">
        <w:rPr>
          <w:rFonts w:eastAsia="Calibri"/>
          <w:spacing w:val="-3"/>
          <w:sz w:val="26"/>
          <w:szCs w:val="22"/>
        </w:rPr>
        <w:t xml:space="preserve">, </w:t>
      </w:r>
      <w:r w:rsidRPr="00CB7903">
        <w:rPr>
          <w:rFonts w:eastAsia="Calibri"/>
          <w:spacing w:val="-3"/>
          <w:sz w:val="26"/>
          <w:szCs w:val="22"/>
        </w:rPr>
        <w:t>201</w:t>
      </w:r>
      <w:r w:rsidR="00735DD9">
        <w:rPr>
          <w:rFonts w:eastAsia="Calibri"/>
          <w:spacing w:val="-3"/>
          <w:sz w:val="26"/>
          <w:szCs w:val="22"/>
        </w:rPr>
        <w:t>8</w:t>
      </w:r>
      <w:r w:rsidRPr="00CB7903">
        <w:rPr>
          <w:rFonts w:eastAsia="Calibri"/>
          <w:spacing w:val="-3"/>
          <w:sz w:val="26"/>
          <w:szCs w:val="22"/>
        </w:rPr>
        <w:t xml:space="preserve">, the ALJ </w:t>
      </w:r>
      <w:r w:rsidR="00735DD9">
        <w:rPr>
          <w:rFonts w:eastAsia="Calibri"/>
          <w:spacing w:val="-3"/>
          <w:sz w:val="26"/>
          <w:szCs w:val="22"/>
        </w:rPr>
        <w:t>denied</w:t>
      </w:r>
      <w:r w:rsidRPr="00CB7903">
        <w:rPr>
          <w:rFonts w:eastAsia="Calibri"/>
          <w:spacing w:val="-3"/>
          <w:sz w:val="26"/>
          <w:szCs w:val="22"/>
        </w:rPr>
        <w:t xml:space="preserve"> </w:t>
      </w:r>
      <w:r w:rsidR="00735DD9">
        <w:rPr>
          <w:rFonts w:eastAsia="Calibri"/>
          <w:spacing w:val="-3"/>
          <w:sz w:val="26"/>
          <w:szCs w:val="22"/>
        </w:rPr>
        <w:t>N</w:t>
      </w:r>
      <w:r w:rsidR="000F44EC">
        <w:rPr>
          <w:rFonts w:eastAsia="Calibri"/>
          <w:spacing w:val="-3"/>
          <w:sz w:val="26"/>
          <w:szCs w:val="22"/>
        </w:rPr>
        <w:t>AWC</w:t>
      </w:r>
      <w:r w:rsidR="00735DD9">
        <w:rPr>
          <w:rFonts w:eastAsia="Calibri"/>
          <w:spacing w:val="-3"/>
          <w:sz w:val="26"/>
          <w:szCs w:val="22"/>
        </w:rPr>
        <w:t>’</w:t>
      </w:r>
      <w:r w:rsidRPr="00CB7903">
        <w:rPr>
          <w:rFonts w:eastAsia="Calibri"/>
          <w:spacing w:val="-3"/>
          <w:sz w:val="26"/>
          <w:szCs w:val="22"/>
        </w:rPr>
        <w:t xml:space="preserve">s </w:t>
      </w:r>
      <w:r w:rsidR="002F7DB7">
        <w:rPr>
          <w:rFonts w:eastAsia="Calibri"/>
          <w:spacing w:val="-3"/>
          <w:sz w:val="26"/>
          <w:szCs w:val="22"/>
        </w:rPr>
        <w:t xml:space="preserve">proposal contained in </w:t>
      </w:r>
      <w:r w:rsidR="000F44EC">
        <w:rPr>
          <w:rFonts w:eastAsia="Calibri"/>
          <w:spacing w:val="-3"/>
          <w:sz w:val="26"/>
          <w:szCs w:val="22"/>
        </w:rPr>
        <w:t xml:space="preserve">Supplement No. 126 to increase its DSIC cap from 5% to 7.5% of billed </w:t>
      </w:r>
      <w:r w:rsidR="00D45B05">
        <w:rPr>
          <w:rFonts w:eastAsia="Calibri"/>
          <w:spacing w:val="-3"/>
          <w:sz w:val="26"/>
          <w:szCs w:val="22"/>
        </w:rPr>
        <w:t xml:space="preserve">distribution </w:t>
      </w:r>
      <w:r w:rsidR="000F44EC">
        <w:rPr>
          <w:rFonts w:eastAsia="Calibri"/>
          <w:spacing w:val="-3"/>
          <w:sz w:val="26"/>
          <w:szCs w:val="22"/>
        </w:rPr>
        <w:t>revenue</w:t>
      </w:r>
      <w:r w:rsidR="00735DD9">
        <w:rPr>
          <w:rFonts w:eastAsia="Calibri"/>
          <w:spacing w:val="-3"/>
          <w:sz w:val="26"/>
          <w:szCs w:val="22"/>
        </w:rPr>
        <w:t xml:space="preserve">.  </w:t>
      </w:r>
      <w:r w:rsidRPr="00CB7903">
        <w:rPr>
          <w:rFonts w:eastAsia="Calibri"/>
          <w:spacing w:val="-3"/>
          <w:sz w:val="26"/>
          <w:szCs w:val="22"/>
        </w:rPr>
        <w:t>R.D. at</w:t>
      </w:r>
      <w:r w:rsidR="00F0197A">
        <w:rPr>
          <w:rFonts w:eastAsia="Calibri"/>
          <w:spacing w:val="-3"/>
          <w:sz w:val="26"/>
          <w:szCs w:val="22"/>
        </w:rPr>
        <w:t> </w:t>
      </w:r>
      <w:r w:rsidR="000F44EC">
        <w:rPr>
          <w:rFonts w:eastAsia="Calibri"/>
          <w:spacing w:val="-3"/>
          <w:sz w:val="26"/>
          <w:szCs w:val="22"/>
        </w:rPr>
        <w:t>70</w:t>
      </w:r>
      <w:r w:rsidRPr="00CB7903">
        <w:rPr>
          <w:rFonts w:eastAsia="Calibri"/>
          <w:spacing w:val="-3"/>
          <w:sz w:val="26"/>
          <w:szCs w:val="22"/>
        </w:rPr>
        <w:t>.</w:t>
      </w:r>
    </w:p>
    <w:p w14:paraId="054EA088" w14:textId="77777777" w:rsidR="000F44EC" w:rsidRPr="00CB7903" w:rsidRDefault="000F44EC" w:rsidP="002F7DB7">
      <w:pPr>
        <w:widowControl/>
        <w:tabs>
          <w:tab w:val="left" w:pos="-720"/>
        </w:tabs>
        <w:suppressAutoHyphens/>
        <w:spacing w:line="360" w:lineRule="auto"/>
        <w:ind w:firstLine="1440"/>
        <w:rPr>
          <w:rFonts w:eastAsia="Calibri"/>
          <w:spacing w:val="-3"/>
          <w:sz w:val="26"/>
          <w:szCs w:val="22"/>
        </w:rPr>
      </w:pPr>
    </w:p>
    <w:p w14:paraId="34712A05" w14:textId="77777777" w:rsidR="009324E2" w:rsidRDefault="009324E2" w:rsidP="002F7DB7">
      <w:pPr>
        <w:widowControl/>
        <w:tabs>
          <w:tab w:val="left" w:pos="-720"/>
        </w:tabs>
        <w:suppressAutoHyphens/>
        <w:spacing w:line="360" w:lineRule="auto"/>
        <w:ind w:firstLine="1440"/>
        <w:jc w:val="center"/>
        <w:rPr>
          <w:rFonts w:eastAsia="Calibri"/>
          <w:sz w:val="26"/>
          <w:szCs w:val="26"/>
        </w:rPr>
      </w:pPr>
      <w:r w:rsidRPr="00CB7903">
        <w:rPr>
          <w:rFonts w:eastAsia="Calibri"/>
          <w:sz w:val="26"/>
          <w:szCs w:val="26"/>
        </w:rPr>
        <w:t>The Parties filed Exceptions and Replies to Exceptions as previously noted.</w:t>
      </w:r>
    </w:p>
    <w:p w14:paraId="7465C686" w14:textId="77777777" w:rsidR="009324E2" w:rsidRDefault="009324E2" w:rsidP="002F7DB7">
      <w:pPr>
        <w:widowControl/>
        <w:tabs>
          <w:tab w:val="left" w:pos="-720"/>
        </w:tabs>
        <w:suppressAutoHyphens/>
        <w:spacing w:line="360" w:lineRule="auto"/>
        <w:ind w:firstLine="1440"/>
        <w:rPr>
          <w:rFonts w:eastAsia="Calibri"/>
          <w:sz w:val="26"/>
          <w:szCs w:val="26"/>
        </w:rPr>
      </w:pPr>
    </w:p>
    <w:p w14:paraId="4C1F8CD1" w14:textId="77777777" w:rsidR="002F7DB7" w:rsidRDefault="002F7DB7">
      <w:pPr>
        <w:widowControl/>
        <w:spacing w:after="200" w:line="276" w:lineRule="auto"/>
        <w:rPr>
          <w:rFonts w:eastAsia="Calibri"/>
          <w:b/>
          <w:sz w:val="26"/>
        </w:rPr>
      </w:pPr>
      <w:r>
        <w:rPr>
          <w:rFonts w:eastAsia="Calibri"/>
        </w:rPr>
        <w:br w:type="page"/>
      </w:r>
    </w:p>
    <w:p w14:paraId="7F7DF22B" w14:textId="1FFD1BC8" w:rsidR="009324E2" w:rsidRDefault="009324E2" w:rsidP="002F7DB7">
      <w:pPr>
        <w:pStyle w:val="Heading1"/>
        <w:keepLines/>
        <w:jc w:val="center"/>
        <w:rPr>
          <w:rFonts w:eastAsia="Calibri"/>
        </w:rPr>
      </w:pPr>
      <w:bookmarkStart w:id="2" w:name="_Toc512430427"/>
      <w:r w:rsidRPr="00F55878">
        <w:rPr>
          <w:rFonts w:eastAsia="Calibri"/>
        </w:rPr>
        <w:lastRenderedPageBreak/>
        <w:t>II</w:t>
      </w:r>
      <w:r w:rsidR="00BB4C05">
        <w:rPr>
          <w:rFonts w:eastAsia="Calibri"/>
        </w:rPr>
        <w:t>I</w:t>
      </w:r>
      <w:r w:rsidRPr="00F55878">
        <w:rPr>
          <w:rFonts w:eastAsia="Calibri"/>
        </w:rPr>
        <w:t>.</w:t>
      </w:r>
      <w:r>
        <w:rPr>
          <w:rFonts w:eastAsia="Calibri"/>
        </w:rPr>
        <w:tab/>
      </w:r>
      <w:r w:rsidR="00DC4834">
        <w:rPr>
          <w:rFonts w:eastAsia="Calibri"/>
        </w:rPr>
        <w:t>Legal Standards</w:t>
      </w:r>
      <w:bookmarkEnd w:id="2"/>
    </w:p>
    <w:p w14:paraId="1DC0669E" w14:textId="77777777" w:rsidR="009324E2" w:rsidRDefault="009324E2" w:rsidP="002F7DB7">
      <w:pPr>
        <w:keepNext/>
        <w:keepLines/>
        <w:widowControl/>
        <w:tabs>
          <w:tab w:val="left" w:pos="-720"/>
        </w:tabs>
        <w:suppressAutoHyphens/>
        <w:spacing w:line="360" w:lineRule="auto"/>
        <w:jc w:val="center"/>
        <w:rPr>
          <w:rFonts w:eastAsia="Calibri"/>
          <w:b/>
          <w:sz w:val="26"/>
          <w:szCs w:val="26"/>
        </w:rPr>
      </w:pPr>
    </w:p>
    <w:p w14:paraId="792D6CC6" w14:textId="3AA4EBC8" w:rsidR="009324E2" w:rsidRPr="00DC4834" w:rsidRDefault="009324E2" w:rsidP="002F7DB7">
      <w:pPr>
        <w:widowControl/>
        <w:tabs>
          <w:tab w:val="left" w:pos="-720"/>
        </w:tabs>
        <w:suppressAutoHyphens/>
        <w:spacing w:line="360" w:lineRule="auto"/>
        <w:rPr>
          <w:sz w:val="26"/>
          <w:szCs w:val="26"/>
        </w:rPr>
      </w:pPr>
      <w:r>
        <w:rPr>
          <w:b/>
          <w:sz w:val="26"/>
          <w:szCs w:val="26"/>
        </w:rPr>
        <w:tab/>
      </w:r>
      <w:r>
        <w:rPr>
          <w:b/>
          <w:sz w:val="26"/>
          <w:szCs w:val="26"/>
        </w:rPr>
        <w:tab/>
      </w:r>
      <w:r w:rsidRPr="00A812B0">
        <w:rPr>
          <w:sz w:val="26"/>
          <w:szCs w:val="26"/>
        </w:rPr>
        <w:t>In this</w:t>
      </w:r>
      <w:r w:rsidRPr="00A812B0">
        <w:rPr>
          <w:sz w:val="26"/>
          <w:szCs w:val="26"/>
        </w:rPr>
        <w:tab/>
      </w:r>
      <w:r>
        <w:rPr>
          <w:sz w:val="26"/>
          <w:szCs w:val="26"/>
        </w:rPr>
        <w:t xml:space="preserve">Opinion and Order, we will address whether </w:t>
      </w:r>
      <w:r w:rsidR="00145890">
        <w:rPr>
          <w:sz w:val="26"/>
          <w:szCs w:val="26"/>
        </w:rPr>
        <w:t>NAWC</w:t>
      </w:r>
      <w:r>
        <w:rPr>
          <w:sz w:val="26"/>
          <w:szCs w:val="26"/>
        </w:rPr>
        <w:t xml:space="preserve"> has met the standards for a</w:t>
      </w:r>
      <w:r w:rsidR="00145890">
        <w:rPr>
          <w:sz w:val="26"/>
          <w:szCs w:val="26"/>
        </w:rPr>
        <w:t xml:space="preserve">pproval of an increase in </w:t>
      </w:r>
      <w:r w:rsidRPr="00CB7903">
        <w:rPr>
          <w:sz w:val="26"/>
          <w:szCs w:val="24"/>
        </w:rPr>
        <w:t xml:space="preserve">the current DSIC cap of 5% of </w:t>
      </w:r>
      <w:r w:rsidR="008613A2">
        <w:rPr>
          <w:sz w:val="26"/>
          <w:szCs w:val="24"/>
        </w:rPr>
        <w:t xml:space="preserve">billed </w:t>
      </w:r>
      <w:r w:rsidRPr="00CB7903">
        <w:rPr>
          <w:sz w:val="26"/>
          <w:szCs w:val="24"/>
        </w:rPr>
        <w:t>distribution revenues to 7.5%</w:t>
      </w:r>
      <w:r w:rsidR="00145890">
        <w:rPr>
          <w:sz w:val="26"/>
          <w:szCs w:val="24"/>
        </w:rPr>
        <w:t>.</w:t>
      </w:r>
    </w:p>
    <w:p w14:paraId="5EB2DCAB" w14:textId="77777777" w:rsidR="009324E2" w:rsidRDefault="009324E2" w:rsidP="002F7DB7">
      <w:pPr>
        <w:widowControl/>
        <w:spacing w:line="360" w:lineRule="auto"/>
        <w:rPr>
          <w:b/>
          <w:sz w:val="26"/>
          <w:szCs w:val="26"/>
        </w:rPr>
      </w:pPr>
    </w:p>
    <w:p w14:paraId="0EC865F7" w14:textId="77777777" w:rsidR="009324E2" w:rsidRPr="00096944" w:rsidRDefault="00DC4834" w:rsidP="002F7DB7">
      <w:pPr>
        <w:pStyle w:val="Heading2"/>
        <w:widowControl/>
        <w:rPr>
          <w:rFonts w:ascii="Times New Roman" w:hAnsi="Times New Roman" w:cs="Times New Roman"/>
        </w:rPr>
      </w:pPr>
      <w:bookmarkStart w:id="3" w:name="_Toc512430428"/>
      <w:r w:rsidRPr="00096944">
        <w:rPr>
          <w:rFonts w:ascii="Times New Roman" w:hAnsi="Times New Roman" w:cs="Times New Roman"/>
        </w:rPr>
        <w:t>A</w:t>
      </w:r>
      <w:r w:rsidR="009324E2" w:rsidRPr="00096944">
        <w:rPr>
          <w:rFonts w:ascii="Times New Roman" w:hAnsi="Times New Roman" w:cs="Times New Roman"/>
        </w:rPr>
        <w:t>.</w:t>
      </w:r>
      <w:r w:rsidR="009324E2" w:rsidRPr="00096944">
        <w:rPr>
          <w:rFonts w:ascii="Times New Roman" w:hAnsi="Times New Roman" w:cs="Times New Roman"/>
        </w:rPr>
        <w:tab/>
        <w:t>General Legal Standards</w:t>
      </w:r>
      <w:bookmarkEnd w:id="3"/>
    </w:p>
    <w:p w14:paraId="38FC600A" w14:textId="77777777" w:rsidR="009324E2" w:rsidRDefault="009324E2" w:rsidP="002F7DB7">
      <w:pPr>
        <w:keepNext/>
        <w:keepLines/>
        <w:widowControl/>
        <w:spacing w:line="360" w:lineRule="auto"/>
        <w:rPr>
          <w:rFonts w:ascii="Calibri" w:eastAsia="Calibri" w:hAnsi="Calibri"/>
          <w:b/>
          <w:sz w:val="26"/>
          <w:szCs w:val="26"/>
        </w:rPr>
      </w:pPr>
    </w:p>
    <w:p w14:paraId="64A5689C" w14:textId="4BC1F562" w:rsidR="005854FF" w:rsidRPr="00C159C2" w:rsidRDefault="005854FF" w:rsidP="002F7DB7">
      <w:pPr>
        <w:widowControl/>
        <w:spacing w:line="360" w:lineRule="auto"/>
        <w:rPr>
          <w:sz w:val="26"/>
          <w:szCs w:val="26"/>
        </w:rPr>
      </w:pPr>
      <w:r>
        <w:rPr>
          <w:szCs w:val="26"/>
        </w:rPr>
        <w:tab/>
      </w:r>
      <w:r>
        <w:rPr>
          <w:szCs w:val="26"/>
        </w:rPr>
        <w:tab/>
      </w:r>
      <w:r w:rsidR="009B63FB">
        <w:rPr>
          <w:sz w:val="26"/>
          <w:szCs w:val="26"/>
        </w:rPr>
        <w:t>In DSIC proceedings, we have foun</w:t>
      </w:r>
      <w:r w:rsidR="00C563B7">
        <w:rPr>
          <w:sz w:val="26"/>
          <w:szCs w:val="26"/>
        </w:rPr>
        <w:t>d</w:t>
      </w:r>
      <w:r w:rsidR="009B63FB">
        <w:rPr>
          <w:sz w:val="26"/>
          <w:szCs w:val="26"/>
        </w:rPr>
        <w:t xml:space="preserve"> that t</w:t>
      </w:r>
      <w:r w:rsidRPr="00C159C2">
        <w:rPr>
          <w:sz w:val="26"/>
          <w:szCs w:val="26"/>
        </w:rPr>
        <w:t>he public utility has the burden of proving the justness and reasonableness of its requested rate increase.  The standard to be met by the public utility is set forth at 66 Pa. C.S. § 315(a):</w:t>
      </w:r>
    </w:p>
    <w:p w14:paraId="38AB27A3" w14:textId="77777777" w:rsidR="005854FF" w:rsidRPr="00C159C2" w:rsidRDefault="005854FF" w:rsidP="002F7DB7">
      <w:pPr>
        <w:widowControl/>
        <w:rPr>
          <w:sz w:val="26"/>
          <w:szCs w:val="26"/>
        </w:rPr>
      </w:pPr>
    </w:p>
    <w:p w14:paraId="191C7D39" w14:textId="3DE5522D" w:rsidR="005854FF" w:rsidRDefault="005854FF" w:rsidP="002F7DB7">
      <w:pPr>
        <w:widowControl/>
        <w:ind w:left="1440" w:right="1440"/>
        <w:contextualSpacing/>
        <w:rPr>
          <w:sz w:val="26"/>
          <w:szCs w:val="26"/>
        </w:rPr>
      </w:pPr>
      <w:r w:rsidRPr="00C159C2">
        <w:rPr>
          <w:b/>
          <w:sz w:val="26"/>
          <w:szCs w:val="26"/>
        </w:rPr>
        <w:t xml:space="preserve">Reasonableness of </w:t>
      </w:r>
      <w:r w:rsidR="005F77AB" w:rsidRPr="00C159C2">
        <w:rPr>
          <w:b/>
          <w:sz w:val="26"/>
          <w:szCs w:val="26"/>
        </w:rPr>
        <w:t>rates.</w:t>
      </w:r>
      <w:r w:rsidR="005F77AB" w:rsidRPr="00C159C2">
        <w:rPr>
          <w:sz w:val="26"/>
          <w:szCs w:val="26"/>
        </w:rPr>
        <w:t xml:space="preserve"> –</w:t>
      </w:r>
      <w:r w:rsidRPr="00C159C2">
        <w:rPr>
          <w:sz w:val="26"/>
          <w:szCs w:val="26"/>
        </w:rPr>
        <w:t xml:space="preserve">In any proceeding upon the motion of the </w:t>
      </w:r>
      <w:r w:rsidR="00315A3D">
        <w:rPr>
          <w:sz w:val="26"/>
          <w:szCs w:val="26"/>
        </w:rPr>
        <w:t>c</w:t>
      </w:r>
      <w:r w:rsidRPr="00C159C2">
        <w:rPr>
          <w:sz w:val="26"/>
          <w:szCs w:val="26"/>
        </w:rPr>
        <w:t>ommission, involving any proposed or existing rate of any public utility, or in any proceeding upon complaint involving any proposed increase in rates, the burden of proof to show that the rate involved is just and reasonable shall be upon the public utility.</w:t>
      </w:r>
    </w:p>
    <w:p w14:paraId="3A092339" w14:textId="77777777" w:rsidR="002F7DB7" w:rsidRPr="00C159C2" w:rsidRDefault="002F7DB7" w:rsidP="002F7DB7">
      <w:pPr>
        <w:widowControl/>
        <w:ind w:left="1440" w:right="1440"/>
        <w:contextualSpacing/>
        <w:rPr>
          <w:sz w:val="26"/>
          <w:szCs w:val="26"/>
        </w:rPr>
      </w:pPr>
    </w:p>
    <w:p w14:paraId="74FCA17C" w14:textId="77777777" w:rsidR="005854FF" w:rsidRPr="00C159C2" w:rsidRDefault="005854FF" w:rsidP="002F7DB7">
      <w:pPr>
        <w:widowControl/>
        <w:ind w:left="1440" w:right="1440"/>
        <w:contextualSpacing/>
        <w:rPr>
          <w:sz w:val="26"/>
          <w:szCs w:val="26"/>
        </w:rPr>
      </w:pPr>
    </w:p>
    <w:p w14:paraId="3BD8160D" w14:textId="35E1034F" w:rsidR="009B63FB" w:rsidRPr="0074157C" w:rsidRDefault="005854FF" w:rsidP="0074157C">
      <w:pPr>
        <w:widowControl/>
        <w:spacing w:line="360" w:lineRule="auto"/>
        <w:rPr>
          <w:sz w:val="26"/>
          <w:szCs w:val="26"/>
        </w:rPr>
      </w:pPr>
      <w:r w:rsidRPr="00C159C2">
        <w:rPr>
          <w:sz w:val="26"/>
          <w:szCs w:val="26"/>
        </w:rPr>
        <w:t xml:space="preserve">66 Pa. C.S. § 315(a).  The burden of proof does not shift to parties challenging a requested rate surcharge.  Rather, the burden of proof remains with the public utility throughout the course of the rate proceeding.  </w:t>
      </w:r>
      <w:r w:rsidR="009B63FB">
        <w:rPr>
          <w:i/>
          <w:iCs/>
          <w:sz w:val="26"/>
          <w:szCs w:val="26"/>
        </w:rPr>
        <w:t>See Petition of PPL Electric Utilities Corporation for Approval of a Distribution System Improvement Charge</w:t>
      </w:r>
      <w:r w:rsidR="009B63FB">
        <w:rPr>
          <w:sz w:val="26"/>
          <w:szCs w:val="26"/>
        </w:rPr>
        <w:t>, Docket No. P</w:t>
      </w:r>
      <w:r w:rsidR="00986B6C">
        <w:rPr>
          <w:sz w:val="26"/>
          <w:szCs w:val="26"/>
        </w:rPr>
        <w:noBreakHyphen/>
      </w:r>
      <w:r w:rsidR="009B63FB">
        <w:rPr>
          <w:sz w:val="26"/>
          <w:szCs w:val="26"/>
        </w:rPr>
        <w:t xml:space="preserve">2012-2325034 (Order entered April 9, 2015) at 9; </w:t>
      </w:r>
      <w:r w:rsidR="009B63FB">
        <w:rPr>
          <w:i/>
          <w:iCs/>
          <w:sz w:val="26"/>
          <w:szCs w:val="26"/>
        </w:rPr>
        <w:t>Petition of Peoples TWP, LLC for Approval of a Distribution System Improvement Charge</w:t>
      </w:r>
      <w:r w:rsidR="009B63FB">
        <w:rPr>
          <w:sz w:val="26"/>
          <w:szCs w:val="26"/>
        </w:rPr>
        <w:t>, Docket No. P-2013-2344595 (Order entered August 21, 2014) at 12</w:t>
      </w:r>
      <w:r w:rsidR="009B63FB" w:rsidRPr="0074157C">
        <w:rPr>
          <w:sz w:val="26"/>
          <w:szCs w:val="26"/>
        </w:rPr>
        <w:t>.</w:t>
      </w:r>
    </w:p>
    <w:p w14:paraId="21CB143D" w14:textId="77777777" w:rsidR="005854FF" w:rsidRPr="0074157C" w:rsidRDefault="005854FF" w:rsidP="0074157C">
      <w:pPr>
        <w:widowControl/>
        <w:spacing w:line="360" w:lineRule="auto"/>
        <w:rPr>
          <w:color w:val="000000"/>
          <w:sz w:val="26"/>
          <w:szCs w:val="26"/>
        </w:rPr>
      </w:pPr>
    </w:p>
    <w:p w14:paraId="06D427DA" w14:textId="38EBD8A8" w:rsidR="005854FF" w:rsidRDefault="005854FF" w:rsidP="0074157C">
      <w:pPr>
        <w:widowControl/>
        <w:spacing w:line="360" w:lineRule="auto"/>
      </w:pPr>
      <w:r>
        <w:rPr>
          <w:sz w:val="26"/>
          <w:szCs w:val="26"/>
        </w:rPr>
        <w:tab/>
      </w:r>
      <w:r>
        <w:rPr>
          <w:sz w:val="26"/>
          <w:szCs w:val="26"/>
        </w:rPr>
        <w:tab/>
      </w:r>
      <w:r w:rsidRPr="00117CC1">
        <w:rPr>
          <w:sz w:val="26"/>
          <w:szCs w:val="26"/>
        </w:rPr>
        <w:t xml:space="preserve">Although the utility bears the burden of proving that its proposed rate surcharge is just and reasonable, a party that advances a proposal that the utility did not include in its filing carries the burden of proof as to that contrary proposal.  </w:t>
      </w:r>
      <w:r w:rsidRPr="00117CC1">
        <w:rPr>
          <w:i/>
          <w:sz w:val="26"/>
          <w:szCs w:val="26"/>
        </w:rPr>
        <w:t>Petition of Duquesne Light Company</w:t>
      </w:r>
      <w:r w:rsidRPr="00117CC1">
        <w:rPr>
          <w:sz w:val="26"/>
          <w:szCs w:val="26"/>
        </w:rPr>
        <w:t xml:space="preserve">, Docket No. P-2012-2301664 (Order entered January 25, </w:t>
      </w:r>
      <w:r w:rsidRPr="00117CC1">
        <w:rPr>
          <w:sz w:val="26"/>
          <w:szCs w:val="26"/>
        </w:rPr>
        <w:lastRenderedPageBreak/>
        <w:t xml:space="preserve">2013); </w:t>
      </w:r>
      <w:r w:rsidRPr="00117CC1">
        <w:rPr>
          <w:i/>
          <w:sz w:val="26"/>
          <w:szCs w:val="26"/>
        </w:rPr>
        <w:t>Joint Default Service Plan for Citizens’ Electric Company and Wellsboro Electric Company</w:t>
      </w:r>
      <w:r w:rsidRPr="00117CC1">
        <w:rPr>
          <w:sz w:val="26"/>
          <w:szCs w:val="26"/>
        </w:rPr>
        <w:t xml:space="preserve">, Docket Nos. P-2009-2110798, </w:t>
      </w:r>
      <w:r w:rsidRPr="00117CC1">
        <w:rPr>
          <w:i/>
          <w:sz w:val="26"/>
          <w:szCs w:val="26"/>
        </w:rPr>
        <w:t>et al</w:t>
      </w:r>
      <w:r w:rsidRPr="00117CC1">
        <w:rPr>
          <w:sz w:val="26"/>
          <w:szCs w:val="26"/>
        </w:rPr>
        <w:t xml:space="preserve">. (Order entered February 25, 2010); </w:t>
      </w:r>
      <w:r w:rsidRPr="00117CC1">
        <w:rPr>
          <w:i/>
          <w:sz w:val="26"/>
          <w:szCs w:val="26"/>
        </w:rPr>
        <w:t>Pa. PUC v. Metropolitan Edison Company</w:t>
      </w:r>
      <w:r w:rsidRPr="00117CC1">
        <w:rPr>
          <w:sz w:val="26"/>
          <w:szCs w:val="26"/>
        </w:rPr>
        <w:t xml:space="preserve">, Docket Nos. R-00061366, </w:t>
      </w:r>
      <w:r w:rsidRPr="00117CC1">
        <w:rPr>
          <w:i/>
          <w:sz w:val="26"/>
          <w:szCs w:val="26"/>
        </w:rPr>
        <w:t>et al.</w:t>
      </w:r>
      <w:r w:rsidRPr="00117CC1">
        <w:rPr>
          <w:sz w:val="26"/>
          <w:szCs w:val="26"/>
        </w:rPr>
        <w:t xml:space="preserve"> (Order entered January 11, 2007).</w:t>
      </w:r>
    </w:p>
    <w:p w14:paraId="7AF701BE" w14:textId="77777777" w:rsidR="009324E2" w:rsidRPr="00F55878" w:rsidRDefault="009324E2" w:rsidP="002F7DB7">
      <w:pPr>
        <w:widowControl/>
        <w:spacing w:line="360" w:lineRule="auto"/>
        <w:rPr>
          <w:rFonts w:eastAsia="Calibri"/>
          <w:i/>
          <w:sz w:val="26"/>
          <w:szCs w:val="26"/>
        </w:rPr>
      </w:pPr>
    </w:p>
    <w:p w14:paraId="710ADD44" w14:textId="77777777" w:rsidR="009324E2" w:rsidRDefault="009324E2" w:rsidP="002F7DB7">
      <w:pPr>
        <w:widowControl/>
        <w:spacing w:line="360" w:lineRule="auto"/>
        <w:ind w:firstLine="1440"/>
        <w:rPr>
          <w:rFonts w:eastAsia="Calibri"/>
          <w:sz w:val="26"/>
          <w:szCs w:val="26"/>
        </w:rPr>
      </w:pPr>
      <w:r w:rsidRPr="00F55878">
        <w:rPr>
          <w:rFonts w:eastAsia="Calibri"/>
          <w:sz w:val="26"/>
          <w:szCs w:val="26"/>
        </w:rPr>
        <w:t xml:space="preserve">The ALJ </w:t>
      </w:r>
      <w:r>
        <w:rPr>
          <w:rFonts w:eastAsia="Calibri"/>
          <w:sz w:val="26"/>
          <w:szCs w:val="26"/>
        </w:rPr>
        <w:t xml:space="preserve">made </w:t>
      </w:r>
      <w:r w:rsidR="00145890">
        <w:rPr>
          <w:rFonts w:eastAsia="Calibri"/>
          <w:sz w:val="26"/>
          <w:szCs w:val="26"/>
        </w:rPr>
        <w:t>forty-two</w:t>
      </w:r>
      <w:r>
        <w:rPr>
          <w:rFonts w:eastAsia="Calibri"/>
          <w:sz w:val="26"/>
          <w:szCs w:val="26"/>
        </w:rPr>
        <w:t xml:space="preserve"> Findings of Fact and </w:t>
      </w:r>
      <w:r w:rsidRPr="00F55878">
        <w:rPr>
          <w:rFonts w:eastAsia="Calibri"/>
          <w:sz w:val="26"/>
          <w:szCs w:val="26"/>
        </w:rPr>
        <w:t xml:space="preserve">reached </w:t>
      </w:r>
      <w:r w:rsidR="00145890">
        <w:rPr>
          <w:rFonts w:eastAsia="Calibri"/>
          <w:sz w:val="26"/>
          <w:szCs w:val="26"/>
        </w:rPr>
        <w:t>twelve</w:t>
      </w:r>
      <w:r w:rsidRPr="00F55878">
        <w:rPr>
          <w:rFonts w:eastAsia="Calibri"/>
          <w:sz w:val="26"/>
          <w:szCs w:val="26"/>
        </w:rPr>
        <w:t xml:space="preserve"> Conclusions of Law.  R.D. at </w:t>
      </w:r>
      <w:r w:rsidR="00145890">
        <w:rPr>
          <w:rFonts w:eastAsia="Calibri"/>
          <w:sz w:val="26"/>
          <w:szCs w:val="26"/>
        </w:rPr>
        <w:t>3-8</w:t>
      </w:r>
      <w:r>
        <w:rPr>
          <w:rFonts w:eastAsia="Calibri"/>
          <w:sz w:val="26"/>
          <w:szCs w:val="26"/>
        </w:rPr>
        <w:t xml:space="preserve">; </w:t>
      </w:r>
      <w:r w:rsidR="00145890">
        <w:rPr>
          <w:rFonts w:eastAsia="Calibri"/>
          <w:sz w:val="26"/>
          <w:szCs w:val="26"/>
        </w:rPr>
        <w:t>68-69</w:t>
      </w:r>
      <w:r w:rsidRPr="00F55878">
        <w:rPr>
          <w:rFonts w:eastAsia="Calibri"/>
          <w:sz w:val="26"/>
          <w:szCs w:val="26"/>
        </w:rPr>
        <w:t xml:space="preserve">.  The </w:t>
      </w:r>
      <w:r>
        <w:rPr>
          <w:rFonts w:eastAsia="Calibri"/>
          <w:sz w:val="26"/>
          <w:szCs w:val="26"/>
        </w:rPr>
        <w:t xml:space="preserve">Findings of Fact and </w:t>
      </w:r>
      <w:r w:rsidRPr="00F55878">
        <w:rPr>
          <w:rFonts w:eastAsia="Calibri"/>
          <w:sz w:val="26"/>
          <w:szCs w:val="26"/>
        </w:rPr>
        <w:t>Conclusions of Law are incorporated herein by reference and are adopted without comment unless they are either expressly or by necessary implication rejected or modified by this Opinion and Order.</w:t>
      </w:r>
    </w:p>
    <w:p w14:paraId="48D774A9" w14:textId="77777777" w:rsidR="009324E2" w:rsidRPr="00F55878" w:rsidRDefault="009324E2" w:rsidP="002F7DB7">
      <w:pPr>
        <w:widowControl/>
        <w:spacing w:line="360" w:lineRule="auto"/>
        <w:ind w:firstLine="1440"/>
        <w:rPr>
          <w:rFonts w:eastAsia="Calibri"/>
          <w:sz w:val="26"/>
          <w:szCs w:val="26"/>
        </w:rPr>
      </w:pPr>
    </w:p>
    <w:p w14:paraId="0CA35416" w14:textId="4BC2E48A" w:rsidR="009324E2" w:rsidRPr="00F55878" w:rsidRDefault="009324E2" w:rsidP="002F7DB7">
      <w:pPr>
        <w:widowControl/>
        <w:spacing w:line="360" w:lineRule="auto"/>
        <w:ind w:firstLine="1440"/>
        <w:rPr>
          <w:rFonts w:eastAsia="Calibri"/>
          <w:sz w:val="26"/>
          <w:szCs w:val="26"/>
        </w:rPr>
      </w:pPr>
      <w:r w:rsidRPr="00F55878">
        <w:rPr>
          <w:rFonts w:eastAsia="Calibri"/>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F55878">
          <w:rPr>
            <w:rFonts w:eastAsia="Calibri"/>
            <w:i/>
            <w:iCs/>
            <w:color w:val="000000"/>
            <w:sz w:val="26"/>
            <w:szCs w:val="26"/>
          </w:rPr>
          <w:t xml:space="preserve">Consolidated Rail Corp. v. Pa. PUC, </w:t>
        </w:r>
        <w:r w:rsidRPr="00F55878">
          <w:rPr>
            <w:rFonts w:eastAsia="Calibri"/>
            <w:color w:val="000000"/>
            <w:sz w:val="26"/>
            <w:szCs w:val="26"/>
          </w:rPr>
          <w:t>625 A.2d 741 (Pa. Cmwlth. 1993);</w:t>
        </w:r>
      </w:hyperlink>
      <w:r w:rsidRPr="00F55878">
        <w:rPr>
          <w:rFonts w:eastAsia="Calibri"/>
          <w:color w:val="000000"/>
          <w:sz w:val="26"/>
          <w:szCs w:val="26"/>
        </w:rPr>
        <w:t xml:space="preserve"> </w:t>
      </w:r>
      <w:r w:rsidRPr="00F55878">
        <w:rPr>
          <w:rFonts w:eastAsia="Calibri"/>
          <w:i/>
          <w:color w:val="000000"/>
          <w:sz w:val="26"/>
          <w:szCs w:val="26"/>
        </w:rPr>
        <w:t xml:space="preserve">also </w:t>
      </w:r>
      <w:r w:rsidRPr="00F55878">
        <w:rPr>
          <w:rFonts w:eastAsia="Calibri"/>
          <w:i/>
          <w:iCs/>
          <w:color w:val="000000"/>
          <w:sz w:val="26"/>
          <w:szCs w:val="26"/>
        </w:rPr>
        <w:t xml:space="preserve">see, generally, </w:t>
      </w:r>
      <w:hyperlink r:id="rId11" w:history="1">
        <w:r w:rsidRPr="00F55878">
          <w:rPr>
            <w:rFonts w:eastAsia="Calibri"/>
            <w:i/>
            <w:iCs/>
            <w:color w:val="000000"/>
            <w:sz w:val="26"/>
            <w:szCs w:val="26"/>
          </w:rPr>
          <w:t>University of Pennsylvania v. Pa. PUC</w:t>
        </w:r>
        <w:r w:rsidRPr="00F55878">
          <w:rPr>
            <w:rFonts w:eastAsia="Calibri"/>
            <w:color w:val="000000"/>
            <w:sz w:val="26"/>
            <w:szCs w:val="26"/>
          </w:rPr>
          <w:t>, 485 A.2d 1217 (Pa. Cmwlth. 1984).</w:t>
        </w:r>
      </w:hyperlink>
    </w:p>
    <w:p w14:paraId="70DD778D" w14:textId="77777777" w:rsidR="009324E2" w:rsidRPr="00F55878" w:rsidRDefault="009324E2" w:rsidP="002F7DB7">
      <w:pPr>
        <w:widowControl/>
        <w:spacing w:line="360" w:lineRule="auto"/>
        <w:ind w:firstLine="1440"/>
        <w:rPr>
          <w:rFonts w:eastAsia="Calibri"/>
          <w:sz w:val="26"/>
          <w:szCs w:val="26"/>
        </w:rPr>
      </w:pPr>
    </w:p>
    <w:p w14:paraId="7B4058D3" w14:textId="77777777" w:rsidR="009324E2" w:rsidRPr="00096944" w:rsidRDefault="00A768B4" w:rsidP="00986B6C">
      <w:pPr>
        <w:pStyle w:val="Heading2"/>
        <w:widowControl/>
        <w:rPr>
          <w:rFonts w:ascii="Times New Roman" w:hAnsi="Times New Roman" w:cs="Times New Roman"/>
        </w:rPr>
      </w:pPr>
      <w:bookmarkStart w:id="4" w:name="_Toc512430429"/>
      <w:r w:rsidRPr="00096944">
        <w:rPr>
          <w:rFonts w:ascii="Times New Roman" w:hAnsi="Times New Roman" w:cs="Times New Roman"/>
        </w:rPr>
        <w:t>B</w:t>
      </w:r>
      <w:r w:rsidR="009324E2" w:rsidRPr="00096944">
        <w:rPr>
          <w:rFonts w:ascii="Times New Roman" w:hAnsi="Times New Roman" w:cs="Times New Roman"/>
        </w:rPr>
        <w:t>.</w:t>
      </w:r>
      <w:r w:rsidR="009324E2" w:rsidRPr="00096944">
        <w:rPr>
          <w:rFonts w:ascii="Times New Roman" w:hAnsi="Times New Roman" w:cs="Times New Roman"/>
        </w:rPr>
        <w:tab/>
        <w:t>Act 11 Legal Standards Applicable to this Proceeding</w:t>
      </w:r>
      <w:bookmarkEnd w:id="4"/>
    </w:p>
    <w:p w14:paraId="6E9C998D" w14:textId="77777777" w:rsidR="009324E2" w:rsidRDefault="009324E2" w:rsidP="00986B6C">
      <w:pPr>
        <w:keepNext/>
        <w:keepLines/>
        <w:widowControl/>
        <w:spacing w:line="360" w:lineRule="auto"/>
        <w:ind w:firstLine="1440"/>
        <w:rPr>
          <w:sz w:val="26"/>
          <w:szCs w:val="26"/>
        </w:rPr>
      </w:pPr>
    </w:p>
    <w:p w14:paraId="08BB9CA7" w14:textId="5E95D954" w:rsidR="009324E2" w:rsidRDefault="009324E2" w:rsidP="002F7DB7">
      <w:pPr>
        <w:widowControl/>
        <w:spacing w:line="360" w:lineRule="auto"/>
        <w:ind w:firstLine="1440"/>
        <w:rPr>
          <w:color w:val="000000"/>
          <w:sz w:val="26"/>
          <w:szCs w:val="18"/>
        </w:rPr>
      </w:pPr>
      <w:r w:rsidRPr="00F55878">
        <w:rPr>
          <w:sz w:val="26"/>
          <w:szCs w:val="26"/>
        </w:rPr>
        <w:t>Section 1350 of the Code, 66 Pa. C.S. § 1350, establishes a DSIC mechanism that allows certain utilities, including electric distribution companies; natural gas distribution companies; city natural gas operations</w:t>
      </w:r>
      <w:r w:rsidR="00145890">
        <w:rPr>
          <w:sz w:val="26"/>
          <w:szCs w:val="26"/>
        </w:rPr>
        <w:t>;</w:t>
      </w:r>
      <w:r w:rsidRPr="00F55878">
        <w:rPr>
          <w:sz w:val="26"/>
          <w:szCs w:val="26"/>
        </w:rPr>
        <w:t xml:space="preserve"> and water and wastewater companies, with distribution or collection systems to recover the costs related to the repair, improvement, and replacement of eligible property outside of a rate case.  </w:t>
      </w:r>
      <w:r w:rsidRPr="00F55878">
        <w:rPr>
          <w:color w:val="000000"/>
          <w:sz w:val="26"/>
          <w:szCs w:val="18"/>
        </w:rPr>
        <w:t>Section</w:t>
      </w:r>
      <w:r w:rsidR="00986B6C">
        <w:rPr>
          <w:color w:val="000000"/>
          <w:sz w:val="26"/>
          <w:szCs w:val="18"/>
        </w:rPr>
        <w:t> </w:t>
      </w:r>
      <w:r w:rsidRPr="00F55878">
        <w:rPr>
          <w:color w:val="000000"/>
          <w:sz w:val="26"/>
          <w:szCs w:val="18"/>
        </w:rPr>
        <w:t>1351 of the Code sets forth the definition for “eligible property” for each utility type</w:t>
      </w:r>
      <w:r w:rsidR="00145890">
        <w:rPr>
          <w:color w:val="000000"/>
          <w:sz w:val="26"/>
          <w:szCs w:val="18"/>
        </w:rPr>
        <w:t>.</w:t>
      </w:r>
      <w:r w:rsidRPr="00F55878">
        <w:rPr>
          <w:color w:val="000000"/>
          <w:sz w:val="26"/>
          <w:szCs w:val="18"/>
        </w:rPr>
        <w:t xml:space="preserve">  66 Pa. C.S. § 1351.</w:t>
      </w:r>
      <w:r>
        <w:rPr>
          <w:color w:val="000000"/>
          <w:sz w:val="26"/>
          <w:szCs w:val="18"/>
        </w:rPr>
        <w:t xml:space="preserve">  Section 1351(</w:t>
      </w:r>
      <w:r w:rsidR="00BD3EE6">
        <w:rPr>
          <w:color w:val="000000"/>
          <w:sz w:val="26"/>
          <w:szCs w:val="18"/>
        </w:rPr>
        <w:t>3</w:t>
      </w:r>
      <w:r>
        <w:rPr>
          <w:color w:val="000000"/>
          <w:sz w:val="26"/>
          <w:szCs w:val="18"/>
        </w:rPr>
        <w:t>) provides as follows:</w:t>
      </w:r>
    </w:p>
    <w:p w14:paraId="207571D6" w14:textId="77777777" w:rsidR="009324E2" w:rsidRDefault="009324E2" w:rsidP="002F7DB7">
      <w:pPr>
        <w:widowControl/>
        <w:shd w:val="clear" w:color="auto" w:fill="FFFFFF"/>
        <w:spacing w:line="270" w:lineRule="atLeast"/>
        <w:rPr>
          <w:rFonts w:cs="Arial"/>
          <w:sz w:val="26"/>
          <w:szCs w:val="24"/>
        </w:rPr>
      </w:pPr>
    </w:p>
    <w:p w14:paraId="549CD6F0" w14:textId="62EFF2F6" w:rsidR="009324E2" w:rsidRDefault="009324E2" w:rsidP="005D2E4F">
      <w:pPr>
        <w:keepNext/>
        <w:keepLines/>
        <w:widowControl/>
        <w:shd w:val="clear" w:color="auto" w:fill="FFFFFF"/>
        <w:spacing w:line="270" w:lineRule="atLeast"/>
        <w:ind w:left="1440" w:right="1440"/>
        <w:rPr>
          <w:rFonts w:cs="Arial"/>
          <w:sz w:val="26"/>
          <w:szCs w:val="24"/>
        </w:rPr>
      </w:pPr>
      <w:r w:rsidRPr="00775B94">
        <w:rPr>
          <w:rFonts w:cs="Arial"/>
          <w:sz w:val="26"/>
          <w:szCs w:val="24"/>
        </w:rPr>
        <w:lastRenderedPageBreak/>
        <w:t>(</w:t>
      </w:r>
      <w:r w:rsidR="00553CBB">
        <w:rPr>
          <w:rFonts w:cs="Arial"/>
          <w:sz w:val="26"/>
          <w:szCs w:val="24"/>
        </w:rPr>
        <w:t>3</w:t>
      </w:r>
      <w:r w:rsidRPr="00775B94">
        <w:rPr>
          <w:rFonts w:cs="Arial"/>
          <w:sz w:val="26"/>
          <w:szCs w:val="24"/>
        </w:rPr>
        <w:t>)</w:t>
      </w:r>
      <w:r>
        <w:rPr>
          <w:rFonts w:cs="Arial"/>
          <w:sz w:val="26"/>
          <w:szCs w:val="24"/>
        </w:rPr>
        <w:tab/>
      </w:r>
      <w:r w:rsidRPr="00775B94">
        <w:rPr>
          <w:rFonts w:cs="Arial"/>
          <w:sz w:val="26"/>
          <w:szCs w:val="24"/>
        </w:rPr>
        <w:t xml:space="preserve">For </w:t>
      </w:r>
      <w:r w:rsidR="00BD3EE6">
        <w:rPr>
          <w:rFonts w:cs="Arial"/>
          <w:sz w:val="26"/>
          <w:szCs w:val="24"/>
        </w:rPr>
        <w:t xml:space="preserve">water utilities, </w:t>
      </w:r>
      <w:r w:rsidRPr="00775B94">
        <w:rPr>
          <w:rFonts w:cs="Arial"/>
          <w:sz w:val="26"/>
          <w:szCs w:val="24"/>
        </w:rPr>
        <w:t>eligible property shall include:</w:t>
      </w:r>
    </w:p>
    <w:p w14:paraId="1FEE97DF" w14:textId="77777777" w:rsidR="009324E2" w:rsidRPr="00775B94" w:rsidRDefault="009324E2" w:rsidP="005D2E4F">
      <w:pPr>
        <w:keepNext/>
        <w:keepLines/>
        <w:widowControl/>
        <w:shd w:val="clear" w:color="auto" w:fill="FFFFFF"/>
        <w:spacing w:line="270" w:lineRule="atLeast"/>
        <w:ind w:left="1440" w:right="1440"/>
        <w:rPr>
          <w:rFonts w:cs="Arial"/>
          <w:sz w:val="26"/>
          <w:szCs w:val="24"/>
        </w:rPr>
      </w:pPr>
    </w:p>
    <w:p w14:paraId="1F4501F5" w14:textId="35BF65F3" w:rsidR="009324E2" w:rsidRDefault="009324E2" w:rsidP="002F7DB7">
      <w:pPr>
        <w:widowControl/>
        <w:shd w:val="clear" w:color="auto" w:fill="FFFFFF"/>
        <w:spacing w:line="270" w:lineRule="atLeast"/>
        <w:ind w:left="2880" w:right="1440" w:hanging="720"/>
        <w:rPr>
          <w:rFonts w:cs="Arial"/>
          <w:sz w:val="26"/>
          <w:szCs w:val="24"/>
        </w:rPr>
      </w:pPr>
      <w:r w:rsidRPr="00775B94">
        <w:rPr>
          <w:rFonts w:cs="Arial"/>
          <w:sz w:val="26"/>
          <w:szCs w:val="24"/>
        </w:rPr>
        <w:t>(i)</w:t>
      </w:r>
      <w:r>
        <w:rPr>
          <w:rFonts w:cs="Arial"/>
          <w:sz w:val="26"/>
          <w:szCs w:val="24"/>
        </w:rPr>
        <w:tab/>
      </w:r>
      <w:r w:rsidR="008D41F1">
        <w:rPr>
          <w:rFonts w:cs="Arial"/>
          <w:sz w:val="26"/>
          <w:szCs w:val="24"/>
        </w:rPr>
        <w:t>Utility service lines, meters and hydrants installed as in-kind replacements for customers.</w:t>
      </w:r>
    </w:p>
    <w:p w14:paraId="0AB6ED7A" w14:textId="77777777" w:rsidR="00986B6C" w:rsidRPr="00775B94" w:rsidRDefault="00986B6C" w:rsidP="002F7DB7">
      <w:pPr>
        <w:widowControl/>
        <w:shd w:val="clear" w:color="auto" w:fill="FFFFFF"/>
        <w:spacing w:line="270" w:lineRule="atLeast"/>
        <w:ind w:left="2880" w:right="1440" w:hanging="720"/>
        <w:rPr>
          <w:rFonts w:cs="Arial"/>
          <w:sz w:val="26"/>
          <w:szCs w:val="24"/>
        </w:rPr>
      </w:pPr>
    </w:p>
    <w:p w14:paraId="3568D378" w14:textId="5EDF969D" w:rsidR="009324E2" w:rsidRDefault="009324E2" w:rsidP="002F7DB7">
      <w:pPr>
        <w:widowControl/>
        <w:shd w:val="clear" w:color="auto" w:fill="FFFFFF"/>
        <w:spacing w:line="270" w:lineRule="atLeast"/>
        <w:ind w:left="2880" w:right="1440" w:hanging="720"/>
        <w:rPr>
          <w:rFonts w:cs="Arial"/>
          <w:sz w:val="26"/>
          <w:szCs w:val="24"/>
        </w:rPr>
      </w:pPr>
      <w:r w:rsidRPr="00775B94">
        <w:rPr>
          <w:rFonts w:cs="Arial"/>
          <w:sz w:val="26"/>
          <w:szCs w:val="24"/>
        </w:rPr>
        <w:t>(ii)</w:t>
      </w:r>
      <w:r>
        <w:rPr>
          <w:rFonts w:cs="Arial"/>
          <w:sz w:val="26"/>
          <w:szCs w:val="24"/>
        </w:rPr>
        <w:tab/>
      </w:r>
      <w:r w:rsidR="008D41F1">
        <w:rPr>
          <w:rFonts w:cs="Arial"/>
          <w:sz w:val="26"/>
          <w:szCs w:val="24"/>
        </w:rPr>
        <w:t>Mains and valves installed as replacements for existing facilities that have wor</w:t>
      </w:r>
      <w:r w:rsidR="00553CBB">
        <w:rPr>
          <w:rFonts w:cs="Arial"/>
          <w:sz w:val="26"/>
          <w:szCs w:val="24"/>
        </w:rPr>
        <w:t>n</w:t>
      </w:r>
      <w:r w:rsidR="008D41F1">
        <w:rPr>
          <w:rFonts w:cs="Arial"/>
          <w:sz w:val="26"/>
          <w:szCs w:val="24"/>
        </w:rPr>
        <w:t xml:space="preserve"> out, are in deteriorated condition or are required to be upgraded to meet under 52 Pa. Code Ch. 65 (relating to water service).</w:t>
      </w:r>
    </w:p>
    <w:p w14:paraId="42A1FABF" w14:textId="77777777" w:rsidR="00530379" w:rsidRPr="00775B94" w:rsidRDefault="00530379" w:rsidP="002F7DB7">
      <w:pPr>
        <w:widowControl/>
        <w:shd w:val="clear" w:color="auto" w:fill="FFFFFF"/>
        <w:spacing w:line="270" w:lineRule="atLeast"/>
        <w:ind w:left="2880" w:right="1440" w:hanging="720"/>
        <w:rPr>
          <w:rFonts w:cs="Arial"/>
          <w:sz w:val="26"/>
          <w:szCs w:val="24"/>
        </w:rPr>
      </w:pPr>
    </w:p>
    <w:p w14:paraId="118576AB" w14:textId="0FE9CA14" w:rsidR="009324E2" w:rsidRDefault="009324E2" w:rsidP="002F7DB7">
      <w:pPr>
        <w:widowControl/>
        <w:shd w:val="clear" w:color="auto" w:fill="FFFFFF"/>
        <w:spacing w:line="270" w:lineRule="atLeast"/>
        <w:ind w:left="2880" w:right="1440" w:hanging="720"/>
        <w:rPr>
          <w:rFonts w:cs="Arial"/>
          <w:sz w:val="26"/>
          <w:szCs w:val="24"/>
        </w:rPr>
      </w:pPr>
      <w:r w:rsidRPr="00775B94">
        <w:rPr>
          <w:rFonts w:cs="Arial"/>
          <w:sz w:val="26"/>
          <w:szCs w:val="24"/>
        </w:rPr>
        <w:t>(iii)</w:t>
      </w:r>
      <w:r>
        <w:rPr>
          <w:rFonts w:cs="Arial"/>
          <w:sz w:val="26"/>
          <w:szCs w:val="24"/>
        </w:rPr>
        <w:tab/>
      </w:r>
      <w:r w:rsidR="008D41F1">
        <w:rPr>
          <w:rFonts w:cs="Arial"/>
          <w:sz w:val="26"/>
          <w:szCs w:val="24"/>
        </w:rPr>
        <w:t>Main extensions installed to eliminate dead ends and to implement solutions to regional water supply problems that present a significant health and safety concern for customers currently receiving service from the water utility.</w:t>
      </w:r>
    </w:p>
    <w:p w14:paraId="16FA2168" w14:textId="77777777" w:rsidR="00530379" w:rsidRPr="00775B94" w:rsidRDefault="00530379" w:rsidP="002F7DB7">
      <w:pPr>
        <w:widowControl/>
        <w:shd w:val="clear" w:color="auto" w:fill="FFFFFF"/>
        <w:spacing w:line="270" w:lineRule="atLeast"/>
        <w:ind w:left="2880" w:right="1440" w:hanging="720"/>
        <w:rPr>
          <w:rFonts w:cs="Arial"/>
          <w:sz w:val="26"/>
          <w:szCs w:val="24"/>
        </w:rPr>
      </w:pPr>
    </w:p>
    <w:p w14:paraId="482629F4" w14:textId="14E058D8" w:rsidR="009324E2" w:rsidRDefault="009324E2" w:rsidP="002F7DB7">
      <w:pPr>
        <w:widowControl/>
        <w:shd w:val="clear" w:color="auto" w:fill="FFFFFF"/>
        <w:spacing w:line="270" w:lineRule="atLeast"/>
        <w:ind w:left="1440" w:right="1440"/>
        <w:rPr>
          <w:rFonts w:cs="Arial"/>
          <w:sz w:val="26"/>
          <w:szCs w:val="24"/>
        </w:rPr>
      </w:pPr>
      <w:r>
        <w:rPr>
          <w:rFonts w:cs="Arial"/>
          <w:sz w:val="26"/>
          <w:szCs w:val="24"/>
        </w:rPr>
        <w:tab/>
      </w:r>
      <w:r w:rsidRPr="00775B94">
        <w:rPr>
          <w:rFonts w:cs="Arial"/>
          <w:sz w:val="26"/>
          <w:szCs w:val="24"/>
        </w:rPr>
        <w:t>(iv)</w:t>
      </w:r>
      <w:r>
        <w:rPr>
          <w:rFonts w:cs="Arial"/>
          <w:sz w:val="26"/>
          <w:szCs w:val="24"/>
        </w:rPr>
        <w:tab/>
      </w:r>
      <w:r w:rsidR="008D41F1">
        <w:rPr>
          <w:rFonts w:cs="Arial"/>
          <w:sz w:val="26"/>
          <w:szCs w:val="24"/>
        </w:rPr>
        <w:t>Main cleaning and relining projects.</w:t>
      </w:r>
    </w:p>
    <w:p w14:paraId="7DBD0392" w14:textId="77777777" w:rsidR="00530379" w:rsidRPr="00775B94" w:rsidRDefault="00530379" w:rsidP="00530379">
      <w:pPr>
        <w:widowControl/>
        <w:shd w:val="clear" w:color="auto" w:fill="FFFFFF"/>
        <w:spacing w:line="270" w:lineRule="atLeast"/>
        <w:ind w:left="2880" w:right="1440" w:hanging="720"/>
        <w:rPr>
          <w:rFonts w:cs="Arial"/>
          <w:sz w:val="26"/>
          <w:szCs w:val="24"/>
        </w:rPr>
      </w:pPr>
    </w:p>
    <w:p w14:paraId="7B245971" w14:textId="573F0594" w:rsidR="009324E2" w:rsidRDefault="009324E2" w:rsidP="002F7DB7">
      <w:pPr>
        <w:widowControl/>
        <w:shd w:val="clear" w:color="auto" w:fill="FFFFFF"/>
        <w:spacing w:line="270" w:lineRule="atLeast"/>
        <w:ind w:left="2880" w:right="1440" w:hanging="720"/>
        <w:rPr>
          <w:rFonts w:cs="Arial"/>
          <w:sz w:val="26"/>
          <w:szCs w:val="24"/>
        </w:rPr>
      </w:pPr>
      <w:r w:rsidRPr="00775B94">
        <w:rPr>
          <w:rFonts w:cs="Arial"/>
          <w:sz w:val="26"/>
          <w:szCs w:val="24"/>
        </w:rPr>
        <w:t>(v)</w:t>
      </w:r>
      <w:r>
        <w:rPr>
          <w:rFonts w:cs="Arial"/>
          <w:sz w:val="26"/>
          <w:szCs w:val="24"/>
        </w:rPr>
        <w:tab/>
      </w:r>
      <w:r w:rsidR="008D41F1" w:rsidRPr="00775B94">
        <w:rPr>
          <w:rFonts w:cs="Arial"/>
          <w:sz w:val="26"/>
          <w:szCs w:val="24"/>
        </w:rPr>
        <w:t>Unreimbursed costs related to highway</w:t>
      </w:r>
      <w:r w:rsidR="008D41F1">
        <w:rPr>
          <w:rFonts w:cs="Arial"/>
          <w:sz w:val="26"/>
          <w:szCs w:val="24"/>
        </w:rPr>
        <w:t xml:space="preserve"> </w:t>
      </w:r>
      <w:r w:rsidR="008D41F1" w:rsidRPr="00775B94">
        <w:rPr>
          <w:rFonts w:cs="Arial"/>
          <w:sz w:val="26"/>
          <w:szCs w:val="24"/>
        </w:rPr>
        <w:t>relocation projects where a</w:t>
      </w:r>
      <w:r w:rsidR="008D41F1">
        <w:rPr>
          <w:rFonts w:cs="Arial"/>
          <w:sz w:val="26"/>
          <w:szCs w:val="24"/>
        </w:rPr>
        <w:t xml:space="preserve"> water utility must relocate its facilities.</w:t>
      </w:r>
    </w:p>
    <w:p w14:paraId="27C5DD41" w14:textId="77777777" w:rsidR="00530379" w:rsidRPr="00775B94" w:rsidRDefault="00530379" w:rsidP="002F7DB7">
      <w:pPr>
        <w:widowControl/>
        <w:shd w:val="clear" w:color="auto" w:fill="FFFFFF"/>
        <w:spacing w:line="270" w:lineRule="atLeast"/>
        <w:ind w:left="2880" w:right="1440" w:hanging="720"/>
        <w:rPr>
          <w:rFonts w:cs="Arial"/>
          <w:sz w:val="26"/>
          <w:szCs w:val="24"/>
        </w:rPr>
      </w:pPr>
    </w:p>
    <w:p w14:paraId="3C884228" w14:textId="4AF4A8E6" w:rsidR="009324E2" w:rsidRDefault="009324E2" w:rsidP="00530379">
      <w:pPr>
        <w:widowControl/>
        <w:shd w:val="clear" w:color="auto" w:fill="FFFFFF"/>
        <w:ind w:left="1440" w:right="1440"/>
        <w:rPr>
          <w:rFonts w:cs="Arial"/>
          <w:sz w:val="26"/>
          <w:szCs w:val="24"/>
        </w:rPr>
      </w:pPr>
      <w:r>
        <w:rPr>
          <w:rFonts w:cs="Arial"/>
          <w:sz w:val="26"/>
          <w:szCs w:val="24"/>
        </w:rPr>
        <w:tab/>
      </w:r>
      <w:r w:rsidRPr="00775B94">
        <w:rPr>
          <w:rFonts w:cs="Arial"/>
          <w:sz w:val="26"/>
          <w:szCs w:val="24"/>
        </w:rPr>
        <w:t>(vi)</w:t>
      </w:r>
      <w:r>
        <w:rPr>
          <w:rFonts w:cs="Arial"/>
          <w:sz w:val="26"/>
          <w:szCs w:val="24"/>
        </w:rPr>
        <w:tab/>
      </w:r>
      <w:r w:rsidRPr="00775B94">
        <w:rPr>
          <w:rFonts w:cs="Arial"/>
          <w:sz w:val="26"/>
          <w:szCs w:val="24"/>
        </w:rPr>
        <w:t>Other related capitalized costs.</w:t>
      </w:r>
    </w:p>
    <w:p w14:paraId="270055E0" w14:textId="52EB2F71" w:rsidR="00530379" w:rsidRDefault="00530379" w:rsidP="00530379">
      <w:pPr>
        <w:widowControl/>
        <w:shd w:val="clear" w:color="auto" w:fill="FFFFFF"/>
        <w:ind w:left="1440" w:right="1440"/>
        <w:rPr>
          <w:rFonts w:cs="Arial"/>
          <w:sz w:val="26"/>
          <w:szCs w:val="24"/>
        </w:rPr>
      </w:pPr>
    </w:p>
    <w:p w14:paraId="2387DD51" w14:textId="77777777" w:rsidR="00530379" w:rsidRPr="00775B94" w:rsidRDefault="00530379" w:rsidP="00530379">
      <w:pPr>
        <w:widowControl/>
        <w:shd w:val="clear" w:color="auto" w:fill="FFFFFF"/>
        <w:ind w:left="1440" w:right="1440"/>
        <w:rPr>
          <w:rFonts w:cs="Arial"/>
          <w:sz w:val="26"/>
          <w:szCs w:val="24"/>
        </w:rPr>
      </w:pPr>
    </w:p>
    <w:p w14:paraId="19046BD8" w14:textId="77777777" w:rsidR="009324E2" w:rsidRDefault="009324E2" w:rsidP="002F7DB7">
      <w:pPr>
        <w:widowControl/>
        <w:spacing w:line="360" w:lineRule="auto"/>
        <w:rPr>
          <w:color w:val="000000"/>
          <w:sz w:val="26"/>
          <w:szCs w:val="18"/>
        </w:rPr>
      </w:pPr>
      <w:r>
        <w:rPr>
          <w:color w:val="000000"/>
          <w:sz w:val="26"/>
          <w:szCs w:val="18"/>
        </w:rPr>
        <w:t>66 Pa. C.S. § 1351(</w:t>
      </w:r>
      <w:r w:rsidR="008D41F1">
        <w:rPr>
          <w:color w:val="000000"/>
          <w:sz w:val="26"/>
          <w:szCs w:val="18"/>
        </w:rPr>
        <w:t>3</w:t>
      </w:r>
      <w:r>
        <w:rPr>
          <w:color w:val="000000"/>
          <w:sz w:val="26"/>
          <w:szCs w:val="18"/>
        </w:rPr>
        <w:t>).</w:t>
      </w:r>
    </w:p>
    <w:p w14:paraId="59A9FD15" w14:textId="77777777" w:rsidR="009324E2" w:rsidRDefault="009324E2" w:rsidP="002F7DB7">
      <w:pPr>
        <w:widowControl/>
        <w:spacing w:line="360" w:lineRule="auto"/>
        <w:ind w:firstLine="1440"/>
        <w:rPr>
          <w:color w:val="000000"/>
          <w:sz w:val="26"/>
          <w:szCs w:val="18"/>
        </w:rPr>
      </w:pPr>
    </w:p>
    <w:p w14:paraId="695EF0A2" w14:textId="7EC2EF83" w:rsidR="009324E2" w:rsidRPr="00F55878" w:rsidRDefault="00CF6AF0" w:rsidP="002F7DB7">
      <w:pPr>
        <w:widowControl/>
        <w:spacing w:line="360" w:lineRule="auto"/>
        <w:ind w:firstLine="1440"/>
        <w:rPr>
          <w:rFonts w:eastAsia="Calibri"/>
          <w:sz w:val="26"/>
          <w:szCs w:val="18"/>
        </w:rPr>
      </w:pPr>
      <w:r>
        <w:rPr>
          <w:sz w:val="26"/>
          <w:szCs w:val="26"/>
        </w:rPr>
        <w:t>A</w:t>
      </w:r>
      <w:r w:rsidR="009324E2" w:rsidRPr="00CB7903">
        <w:rPr>
          <w:sz w:val="26"/>
          <w:szCs w:val="26"/>
        </w:rPr>
        <w:t>s a precondition to the implementation of a DSIC,</w:t>
      </w:r>
      <w:r>
        <w:rPr>
          <w:sz w:val="26"/>
          <w:szCs w:val="26"/>
        </w:rPr>
        <w:t xml:space="preserve"> </w:t>
      </w:r>
      <w:r w:rsidRPr="00CB7903">
        <w:rPr>
          <w:sz w:val="26"/>
          <w:szCs w:val="26"/>
        </w:rPr>
        <w:t xml:space="preserve">Act 11 </w:t>
      </w:r>
      <w:r>
        <w:rPr>
          <w:sz w:val="26"/>
          <w:szCs w:val="26"/>
        </w:rPr>
        <w:t>requires t</w:t>
      </w:r>
      <w:r w:rsidRPr="00CB7903">
        <w:rPr>
          <w:sz w:val="26"/>
          <w:szCs w:val="26"/>
        </w:rPr>
        <w:t>hat</w:t>
      </w:r>
      <w:r>
        <w:rPr>
          <w:sz w:val="26"/>
          <w:szCs w:val="26"/>
        </w:rPr>
        <w:t xml:space="preserve"> </w:t>
      </w:r>
      <w:r w:rsidR="009324E2" w:rsidRPr="00CB7903">
        <w:rPr>
          <w:sz w:val="26"/>
          <w:szCs w:val="26"/>
        </w:rPr>
        <w:t>a utility must file a</w:t>
      </w:r>
      <w:r w:rsidR="00040F7D">
        <w:rPr>
          <w:sz w:val="26"/>
          <w:szCs w:val="26"/>
        </w:rPr>
        <w:t xml:space="preserve"> </w:t>
      </w:r>
      <w:r w:rsidR="00A46CD5">
        <w:rPr>
          <w:sz w:val="26"/>
          <w:szCs w:val="26"/>
        </w:rPr>
        <w:t>Long-Term Infrastructure Improvement Plan (</w:t>
      </w:r>
      <w:r w:rsidR="009324E2" w:rsidRPr="00CB7903">
        <w:rPr>
          <w:sz w:val="26"/>
          <w:szCs w:val="26"/>
        </w:rPr>
        <w:t>LTIIP</w:t>
      </w:r>
      <w:r w:rsidR="00A46CD5">
        <w:rPr>
          <w:sz w:val="26"/>
          <w:szCs w:val="26"/>
        </w:rPr>
        <w:t>)</w:t>
      </w:r>
      <w:r w:rsidR="009324E2" w:rsidRPr="00CB7903">
        <w:rPr>
          <w:sz w:val="26"/>
          <w:szCs w:val="26"/>
        </w:rPr>
        <w:t xml:space="preserve"> with the Commission</w:t>
      </w:r>
      <w:r w:rsidR="009324E2">
        <w:rPr>
          <w:sz w:val="26"/>
          <w:szCs w:val="26"/>
        </w:rPr>
        <w:t xml:space="preserve"> and specifies the information to be included in the LTIIP</w:t>
      </w:r>
      <w:r w:rsidR="009324E2" w:rsidRPr="00CB7903">
        <w:rPr>
          <w:sz w:val="26"/>
          <w:szCs w:val="26"/>
        </w:rPr>
        <w:t>.</w:t>
      </w:r>
      <w:r w:rsidR="00040F7D">
        <w:rPr>
          <w:sz w:val="26"/>
          <w:szCs w:val="26"/>
        </w:rPr>
        <w:t xml:space="preserve">  </w:t>
      </w:r>
      <w:r w:rsidR="009324E2" w:rsidRPr="00CB7903">
        <w:rPr>
          <w:sz w:val="26"/>
          <w:szCs w:val="26"/>
        </w:rPr>
        <w:t>66 Pa. C.S.</w:t>
      </w:r>
      <w:r w:rsidR="009324E2">
        <w:rPr>
          <w:sz w:val="26"/>
          <w:szCs w:val="26"/>
        </w:rPr>
        <w:t xml:space="preserve"> </w:t>
      </w:r>
      <w:r w:rsidR="009324E2" w:rsidRPr="00CB7903">
        <w:rPr>
          <w:iCs/>
          <w:sz w:val="26"/>
          <w:szCs w:val="26"/>
        </w:rPr>
        <w:t>§</w:t>
      </w:r>
      <w:r w:rsidR="00011D98">
        <w:rPr>
          <w:iCs/>
          <w:sz w:val="26"/>
          <w:szCs w:val="26"/>
        </w:rPr>
        <w:t> </w:t>
      </w:r>
      <w:r w:rsidR="009324E2" w:rsidRPr="00CB7903">
        <w:rPr>
          <w:sz w:val="26"/>
          <w:szCs w:val="26"/>
        </w:rPr>
        <w:t>1352.</w:t>
      </w:r>
      <w:r w:rsidR="009324E2">
        <w:rPr>
          <w:sz w:val="26"/>
          <w:szCs w:val="26"/>
        </w:rPr>
        <w:t xml:space="preserve">  </w:t>
      </w:r>
      <w:r w:rsidR="009324E2" w:rsidRPr="00F55878">
        <w:rPr>
          <w:rFonts w:eastAsia="Calibri"/>
          <w:sz w:val="26"/>
          <w:szCs w:val="18"/>
        </w:rPr>
        <w:t xml:space="preserve">Section 1353(a) of the Code </w:t>
      </w:r>
      <w:r w:rsidR="009324E2">
        <w:rPr>
          <w:rFonts w:eastAsia="Calibri"/>
          <w:sz w:val="26"/>
          <w:szCs w:val="18"/>
        </w:rPr>
        <w:t xml:space="preserve">explains the process for requesting approval of a </w:t>
      </w:r>
      <w:r w:rsidR="00145890">
        <w:rPr>
          <w:rFonts w:eastAsia="Calibri"/>
          <w:sz w:val="26"/>
          <w:szCs w:val="18"/>
        </w:rPr>
        <w:t>DSIC and</w:t>
      </w:r>
      <w:r w:rsidR="009324E2">
        <w:rPr>
          <w:rFonts w:eastAsia="Calibri"/>
          <w:sz w:val="26"/>
          <w:szCs w:val="18"/>
        </w:rPr>
        <w:t xml:space="preserve"> </w:t>
      </w:r>
      <w:r w:rsidR="009324E2" w:rsidRPr="00F55878">
        <w:rPr>
          <w:rFonts w:eastAsia="Calibri"/>
          <w:sz w:val="26"/>
          <w:szCs w:val="18"/>
        </w:rPr>
        <w:t xml:space="preserve">allows a </w:t>
      </w:r>
      <w:r w:rsidR="008D41F1">
        <w:rPr>
          <w:rFonts w:eastAsia="Calibri"/>
          <w:sz w:val="26"/>
          <w:szCs w:val="18"/>
        </w:rPr>
        <w:t>water utility</w:t>
      </w:r>
      <w:r w:rsidR="009324E2" w:rsidRPr="00F55878">
        <w:rPr>
          <w:rFonts w:eastAsia="Calibri"/>
          <w:sz w:val="26"/>
          <w:szCs w:val="18"/>
        </w:rPr>
        <w:t xml:space="preserve"> to petition the Commission for approval of a DSIC “to provide for the timely recovery of the reasonable and prudent costs incurred to repair, improve or replace eligible property in order to ensure and maintain adequate, efficient, safe, reliable and reasonable service.”  66 Pa. C.S. § 1353(a).</w:t>
      </w:r>
    </w:p>
    <w:p w14:paraId="7A42672A" w14:textId="77777777" w:rsidR="009324E2" w:rsidRPr="00F55878" w:rsidRDefault="009324E2" w:rsidP="002F7DB7">
      <w:pPr>
        <w:widowControl/>
        <w:spacing w:line="360" w:lineRule="auto"/>
        <w:ind w:firstLine="1440"/>
        <w:rPr>
          <w:rFonts w:eastAsia="Calibri"/>
          <w:sz w:val="26"/>
          <w:szCs w:val="18"/>
        </w:rPr>
      </w:pPr>
    </w:p>
    <w:p w14:paraId="607CC12C" w14:textId="77777777" w:rsidR="009324E2" w:rsidRPr="00F55878" w:rsidRDefault="009324E2" w:rsidP="002F7DB7">
      <w:pPr>
        <w:widowControl/>
        <w:spacing w:line="360" w:lineRule="auto"/>
        <w:ind w:firstLine="1440"/>
        <w:rPr>
          <w:rFonts w:eastAsia="Calibri"/>
          <w:sz w:val="26"/>
          <w:szCs w:val="18"/>
        </w:rPr>
      </w:pPr>
      <w:r>
        <w:rPr>
          <w:rFonts w:eastAsia="Calibri"/>
          <w:sz w:val="26"/>
          <w:szCs w:val="18"/>
        </w:rPr>
        <w:lastRenderedPageBreak/>
        <w:t>Section 1357(a) of the Code establishes that the DSIC shall be calculated to allow for the recovery of the fixed cost of eligible property that has not “been reflected in the utility’s rates or rate base” and has been “placed in service during the three-month period ending one month prior to the effective date of the [DSIC].”  66 Pa. C.S. §</w:t>
      </w:r>
      <w:r w:rsidR="00CF6AF0">
        <w:rPr>
          <w:rFonts w:eastAsia="Calibri"/>
          <w:sz w:val="26"/>
          <w:szCs w:val="18"/>
        </w:rPr>
        <w:t> </w:t>
      </w:r>
      <w:r>
        <w:rPr>
          <w:rFonts w:eastAsia="Calibri"/>
          <w:sz w:val="26"/>
          <w:szCs w:val="18"/>
        </w:rPr>
        <w:t xml:space="preserve">1357(a)(1)(i),(ii).  </w:t>
      </w:r>
      <w:r w:rsidRPr="00F55878">
        <w:rPr>
          <w:rFonts w:eastAsia="Calibri"/>
          <w:sz w:val="26"/>
          <w:szCs w:val="18"/>
        </w:rPr>
        <w:t xml:space="preserve">Section 1357 of the Code </w:t>
      </w:r>
      <w:r>
        <w:rPr>
          <w:rFonts w:eastAsia="Calibri"/>
          <w:sz w:val="26"/>
          <w:szCs w:val="18"/>
        </w:rPr>
        <w:t xml:space="preserve">also </w:t>
      </w:r>
      <w:r w:rsidRPr="00F55878">
        <w:rPr>
          <w:rFonts w:eastAsia="Calibri"/>
          <w:sz w:val="26"/>
          <w:szCs w:val="18"/>
        </w:rPr>
        <w:t>addresses, in detail, the elements of the DSIC computation.  The DSIC calculation is described as follows:</w:t>
      </w:r>
    </w:p>
    <w:p w14:paraId="2D0BAC32" w14:textId="77777777" w:rsidR="009324E2" w:rsidRPr="00F55878" w:rsidRDefault="009324E2" w:rsidP="002F7DB7">
      <w:pPr>
        <w:widowControl/>
        <w:spacing w:line="360" w:lineRule="auto"/>
        <w:ind w:left="1440" w:right="1440"/>
        <w:rPr>
          <w:rFonts w:ascii="Times New Roman Bold" w:eastAsia="Calibri" w:hAnsi="Times New Roman Bold"/>
          <w:b/>
          <w:bCs/>
          <w:sz w:val="26"/>
          <w:szCs w:val="18"/>
        </w:rPr>
      </w:pPr>
      <w:bookmarkStart w:id="5" w:name="SP;5ba1000067d06"/>
      <w:bookmarkEnd w:id="5"/>
    </w:p>
    <w:p w14:paraId="33D9D3A1" w14:textId="77777777" w:rsidR="009324E2" w:rsidRPr="00F55878" w:rsidRDefault="009324E2" w:rsidP="002F7DB7">
      <w:pPr>
        <w:widowControl/>
        <w:ind w:left="1440" w:right="1440"/>
        <w:rPr>
          <w:rFonts w:eastAsia="Calibri"/>
          <w:bCs/>
          <w:sz w:val="26"/>
          <w:szCs w:val="18"/>
        </w:rPr>
      </w:pPr>
      <w:r w:rsidRPr="00F55878">
        <w:rPr>
          <w:rFonts w:eastAsia="Calibri"/>
          <w:bCs/>
          <w:sz w:val="26"/>
          <w:szCs w:val="18"/>
        </w:rPr>
        <w:t>(d)</w:t>
      </w:r>
      <w:r w:rsidRPr="00F55878">
        <w:rPr>
          <w:rFonts w:eastAsia="Calibri"/>
          <w:bCs/>
          <w:sz w:val="26"/>
          <w:szCs w:val="18"/>
        </w:rPr>
        <w:tab/>
        <w:t>Calculation.</w:t>
      </w:r>
    </w:p>
    <w:p w14:paraId="46989CAF" w14:textId="77777777" w:rsidR="009324E2" w:rsidRPr="00F55878" w:rsidRDefault="009324E2" w:rsidP="002F7DB7">
      <w:pPr>
        <w:widowControl/>
        <w:ind w:left="1440" w:right="1440"/>
        <w:rPr>
          <w:rFonts w:ascii="Times New Roman Bold" w:eastAsia="Calibri" w:hAnsi="Times New Roman Bold"/>
          <w:sz w:val="26"/>
          <w:szCs w:val="18"/>
        </w:rPr>
      </w:pPr>
    </w:p>
    <w:p w14:paraId="67BFAD34" w14:textId="384CC9D9" w:rsidR="009324E2" w:rsidRPr="00F55878" w:rsidRDefault="009324E2" w:rsidP="002F7DB7">
      <w:pPr>
        <w:widowControl/>
        <w:tabs>
          <w:tab w:val="left" w:pos="2880"/>
        </w:tabs>
        <w:ind w:left="2160" w:right="1440"/>
        <w:rPr>
          <w:sz w:val="26"/>
          <w:szCs w:val="18"/>
        </w:rPr>
      </w:pPr>
      <w:bookmarkStart w:id="6" w:name="I53CC17A063AA11E1844CBE883AEBE518"/>
      <w:bookmarkStart w:id="7" w:name="I53B55B5563AA11E1844CBE883AEBE518"/>
      <w:bookmarkStart w:id="8" w:name="SP;e07e0000a9f57"/>
      <w:bookmarkEnd w:id="6"/>
      <w:bookmarkEnd w:id="7"/>
      <w:bookmarkEnd w:id="8"/>
      <w:r w:rsidRPr="00F55878">
        <w:rPr>
          <w:sz w:val="26"/>
          <w:szCs w:val="18"/>
        </w:rPr>
        <w:t>(1)</w:t>
      </w:r>
      <w:r w:rsidRPr="00F55878">
        <w:rPr>
          <w:sz w:val="26"/>
          <w:szCs w:val="18"/>
        </w:rPr>
        <w:tab/>
        <w:t xml:space="preserve">The distribution system improvement charge shall be expressed as a percentage carried to two decimal places and shall be applied in a manner consistent with section 1358 (relating to customer protections) to each customer under the utility's applicable rates and charges. </w:t>
      </w:r>
      <w:r w:rsidR="00E535E3">
        <w:rPr>
          <w:sz w:val="26"/>
          <w:szCs w:val="18"/>
        </w:rPr>
        <w:t xml:space="preserve"> </w:t>
      </w:r>
      <w:r w:rsidRPr="00F55878">
        <w:rPr>
          <w:sz w:val="26"/>
          <w:szCs w:val="18"/>
        </w:rPr>
        <w:t>The charge shall not be applied to amounts billed for public fire protection service by water utilities and the State tax adjustment surcharge.</w:t>
      </w:r>
    </w:p>
    <w:p w14:paraId="3F64969B" w14:textId="77777777" w:rsidR="009324E2" w:rsidRPr="00F55878" w:rsidRDefault="009324E2" w:rsidP="002F7DB7">
      <w:pPr>
        <w:widowControl/>
        <w:ind w:left="1440" w:right="1440"/>
        <w:rPr>
          <w:sz w:val="26"/>
          <w:szCs w:val="18"/>
        </w:rPr>
      </w:pPr>
      <w:bookmarkStart w:id="9" w:name="I53CC17A163AA11E1844CBE883AEBE518"/>
      <w:bookmarkStart w:id="10" w:name="I53B55B5663AA11E1844CBE883AEBE518"/>
      <w:bookmarkEnd w:id="9"/>
      <w:bookmarkEnd w:id="10"/>
    </w:p>
    <w:p w14:paraId="10F295AC" w14:textId="549D798C" w:rsidR="009324E2" w:rsidRPr="00F55878" w:rsidRDefault="009324E2" w:rsidP="002F7DB7">
      <w:pPr>
        <w:widowControl/>
        <w:ind w:left="2160" w:right="1440"/>
        <w:rPr>
          <w:sz w:val="26"/>
          <w:szCs w:val="18"/>
        </w:rPr>
      </w:pPr>
      <w:bookmarkStart w:id="11" w:name="SP;4be3000003be5"/>
      <w:bookmarkEnd w:id="11"/>
      <w:r w:rsidRPr="00F55878">
        <w:rPr>
          <w:sz w:val="26"/>
          <w:szCs w:val="18"/>
        </w:rPr>
        <w:t>(2)</w:t>
      </w:r>
      <w:r w:rsidRPr="00F55878">
        <w:rPr>
          <w:sz w:val="26"/>
          <w:szCs w:val="18"/>
        </w:rPr>
        <w:tab/>
        <w:t>The distribution system improvement charge shall be calculated by dividing one-fourth of the annual fixed costs associated with all eligible property under the distribution system improvement charge by the projected revenue for the quarterly period during which the distribution system will be collected. The projected revenues shall not include revenues from public fire protection service earned by water utilities and the State tax adjustment surcharge.</w:t>
      </w:r>
    </w:p>
    <w:p w14:paraId="4564A766" w14:textId="77777777" w:rsidR="009324E2" w:rsidRPr="00F55878" w:rsidRDefault="009324E2" w:rsidP="002F7DB7">
      <w:pPr>
        <w:widowControl/>
        <w:ind w:left="1440" w:right="1440"/>
        <w:rPr>
          <w:sz w:val="26"/>
          <w:szCs w:val="18"/>
        </w:rPr>
      </w:pPr>
      <w:bookmarkStart w:id="12" w:name="I53CC65C063AA11E1844CBE883AEBE518"/>
      <w:bookmarkStart w:id="13" w:name="I53B55B5763AA11E1844CBE883AEBE518"/>
      <w:bookmarkEnd w:id="12"/>
      <w:bookmarkEnd w:id="13"/>
    </w:p>
    <w:p w14:paraId="4176CB92" w14:textId="1321E534" w:rsidR="009324E2" w:rsidRDefault="009324E2" w:rsidP="002F7DB7">
      <w:pPr>
        <w:widowControl/>
        <w:ind w:left="2160" w:right="1440"/>
        <w:rPr>
          <w:sz w:val="26"/>
          <w:szCs w:val="18"/>
        </w:rPr>
      </w:pPr>
      <w:bookmarkStart w:id="14" w:name="SP;17df000040924"/>
      <w:bookmarkEnd w:id="14"/>
      <w:r w:rsidRPr="00F55878">
        <w:rPr>
          <w:sz w:val="26"/>
          <w:szCs w:val="18"/>
        </w:rPr>
        <w:t>(3)</w:t>
      </w:r>
      <w:r w:rsidRPr="00F55878">
        <w:rPr>
          <w:sz w:val="26"/>
          <w:szCs w:val="18"/>
        </w:rPr>
        <w:tab/>
        <w:t>Supporting data for each quarterly update shall be filed with the commission and served upon the commission, the Office of Consumer Advocate and the Office of Small Business Advocate at least ten days prior to the effective date of the update.</w:t>
      </w:r>
    </w:p>
    <w:p w14:paraId="1662A494" w14:textId="61508D71" w:rsidR="007C59AB" w:rsidRDefault="007C59AB" w:rsidP="002F7DB7">
      <w:pPr>
        <w:widowControl/>
        <w:ind w:left="2160" w:right="1440"/>
        <w:rPr>
          <w:sz w:val="26"/>
          <w:szCs w:val="18"/>
        </w:rPr>
      </w:pPr>
    </w:p>
    <w:p w14:paraId="6A4F136C" w14:textId="77777777" w:rsidR="007C59AB" w:rsidRPr="00F55878" w:rsidRDefault="007C59AB" w:rsidP="002F7DB7">
      <w:pPr>
        <w:widowControl/>
        <w:ind w:left="2160" w:right="1440"/>
        <w:rPr>
          <w:sz w:val="26"/>
          <w:szCs w:val="18"/>
        </w:rPr>
      </w:pPr>
    </w:p>
    <w:p w14:paraId="2E727411" w14:textId="521F520E" w:rsidR="009324E2" w:rsidRPr="00F55878" w:rsidRDefault="009324E2" w:rsidP="002F7DB7">
      <w:pPr>
        <w:widowControl/>
        <w:spacing w:line="360" w:lineRule="auto"/>
        <w:rPr>
          <w:rFonts w:eastAsia="Calibri"/>
          <w:sz w:val="26"/>
          <w:szCs w:val="26"/>
        </w:rPr>
      </w:pPr>
      <w:r w:rsidRPr="00F55878">
        <w:rPr>
          <w:rFonts w:eastAsia="Calibri"/>
          <w:sz w:val="26"/>
          <w:szCs w:val="26"/>
        </w:rPr>
        <w:t>66 Pa. C.S. § 1357(d).</w:t>
      </w:r>
    </w:p>
    <w:p w14:paraId="77DB72C9" w14:textId="77777777" w:rsidR="009324E2" w:rsidRPr="00F55878" w:rsidRDefault="009324E2" w:rsidP="002F7DB7">
      <w:pPr>
        <w:widowControl/>
        <w:spacing w:line="360" w:lineRule="auto"/>
        <w:ind w:firstLine="1440"/>
        <w:rPr>
          <w:rFonts w:eastAsia="Calibri"/>
          <w:sz w:val="26"/>
          <w:szCs w:val="26"/>
        </w:rPr>
      </w:pPr>
    </w:p>
    <w:p w14:paraId="38CF7537" w14:textId="28461AC5" w:rsidR="009324E2" w:rsidRDefault="009324E2" w:rsidP="002F7DB7">
      <w:pPr>
        <w:widowControl/>
        <w:spacing w:line="360" w:lineRule="auto"/>
        <w:ind w:firstLine="1440"/>
        <w:rPr>
          <w:rFonts w:eastAsia="Calibri"/>
          <w:sz w:val="26"/>
          <w:szCs w:val="26"/>
        </w:rPr>
      </w:pPr>
      <w:r w:rsidRPr="00F55878">
        <w:rPr>
          <w:rFonts w:eastAsia="Calibri"/>
          <w:sz w:val="26"/>
          <w:szCs w:val="26"/>
        </w:rPr>
        <w:lastRenderedPageBreak/>
        <w:t xml:space="preserve">Section 1358 of the Code provides various customer protections.  Section 1358(a)(1), 66 Pa. C.S. § 1358(a)(1), </w:t>
      </w:r>
      <w:r>
        <w:rPr>
          <w:rFonts w:eastAsia="Calibri"/>
          <w:sz w:val="26"/>
          <w:szCs w:val="26"/>
        </w:rPr>
        <w:t xml:space="preserve">which </w:t>
      </w:r>
      <w:r w:rsidRPr="00F55878">
        <w:rPr>
          <w:rFonts w:eastAsia="Calibri"/>
          <w:sz w:val="26"/>
          <w:szCs w:val="26"/>
        </w:rPr>
        <w:t>establishes a general rate cap</w:t>
      </w:r>
      <w:r>
        <w:rPr>
          <w:rFonts w:eastAsia="Calibri"/>
          <w:sz w:val="26"/>
          <w:szCs w:val="26"/>
        </w:rPr>
        <w:t>, is particularly significant to this proceeding</w:t>
      </w:r>
      <w:r w:rsidRPr="00F55878">
        <w:rPr>
          <w:rFonts w:eastAsia="Calibri"/>
          <w:sz w:val="26"/>
          <w:szCs w:val="26"/>
        </w:rPr>
        <w:t xml:space="preserve">.  Section </w:t>
      </w:r>
      <w:r>
        <w:rPr>
          <w:rFonts w:eastAsia="Calibri"/>
          <w:sz w:val="26"/>
          <w:szCs w:val="26"/>
        </w:rPr>
        <w:t xml:space="preserve">1358(a)(1) </w:t>
      </w:r>
      <w:r w:rsidRPr="00F55878">
        <w:rPr>
          <w:rFonts w:eastAsia="Calibri"/>
          <w:sz w:val="26"/>
          <w:szCs w:val="26"/>
        </w:rPr>
        <w:t xml:space="preserve">provides that a DSIC may not exceed 5% of distribution rates billed for </w:t>
      </w:r>
      <w:r>
        <w:rPr>
          <w:rFonts w:eastAsia="Calibri"/>
          <w:sz w:val="26"/>
          <w:szCs w:val="26"/>
        </w:rPr>
        <w:t>a city natural</w:t>
      </w:r>
      <w:r w:rsidRPr="00F55878">
        <w:rPr>
          <w:rFonts w:eastAsia="Calibri"/>
          <w:sz w:val="26"/>
          <w:szCs w:val="26"/>
        </w:rPr>
        <w:t xml:space="preserve"> gas </w:t>
      </w:r>
      <w:r>
        <w:rPr>
          <w:rFonts w:eastAsia="Calibri"/>
          <w:sz w:val="26"/>
          <w:szCs w:val="26"/>
        </w:rPr>
        <w:t>distribution operation</w:t>
      </w:r>
      <w:r w:rsidRPr="00F55878">
        <w:rPr>
          <w:rFonts w:eastAsia="Calibri"/>
          <w:sz w:val="26"/>
          <w:szCs w:val="26"/>
        </w:rPr>
        <w:t xml:space="preserve">; however, upon petition, the Commission may grant a waiver of the 5% limit </w:t>
      </w:r>
      <w:r>
        <w:rPr>
          <w:rFonts w:eastAsia="Calibri"/>
          <w:sz w:val="26"/>
          <w:szCs w:val="26"/>
        </w:rPr>
        <w:t>in order for the city natural gas distribution operation “</w:t>
      </w:r>
      <w:r w:rsidRPr="00F55878">
        <w:rPr>
          <w:rFonts w:eastAsia="Calibri"/>
          <w:sz w:val="26"/>
          <w:szCs w:val="26"/>
        </w:rPr>
        <w:t>to ensure and maintain adequate, efficient, safe, reliable and reasonable service.</w:t>
      </w:r>
      <w:r>
        <w:rPr>
          <w:rFonts w:eastAsia="Calibri"/>
          <w:sz w:val="26"/>
          <w:szCs w:val="26"/>
        </w:rPr>
        <w:t>”</w:t>
      </w:r>
    </w:p>
    <w:p w14:paraId="247DD275" w14:textId="09FF92A5" w:rsidR="00D45B05" w:rsidRDefault="00D45B05" w:rsidP="002F7DB7">
      <w:pPr>
        <w:widowControl/>
        <w:spacing w:line="360" w:lineRule="auto"/>
        <w:ind w:firstLine="1440"/>
        <w:rPr>
          <w:rFonts w:eastAsia="Calibri"/>
          <w:sz w:val="26"/>
          <w:szCs w:val="26"/>
        </w:rPr>
      </w:pPr>
    </w:p>
    <w:p w14:paraId="5112F2AD" w14:textId="6ECB6BDB" w:rsidR="00D45B05" w:rsidRDefault="00D45B05" w:rsidP="002F7DB7">
      <w:pPr>
        <w:widowControl/>
        <w:spacing w:line="360" w:lineRule="auto"/>
        <w:ind w:firstLine="1440"/>
        <w:rPr>
          <w:rFonts w:eastAsia="Calibri"/>
          <w:sz w:val="26"/>
          <w:szCs w:val="26"/>
        </w:rPr>
      </w:pPr>
      <w:r w:rsidRPr="00F55878">
        <w:rPr>
          <w:rFonts w:eastAsia="Calibri"/>
          <w:sz w:val="26"/>
          <w:szCs w:val="26"/>
        </w:rPr>
        <w:t xml:space="preserve">Section </w:t>
      </w:r>
      <w:r>
        <w:rPr>
          <w:rFonts w:eastAsia="Calibri"/>
          <w:sz w:val="26"/>
          <w:szCs w:val="26"/>
        </w:rPr>
        <w:t xml:space="preserve">1358(a)(2) </w:t>
      </w:r>
      <w:r w:rsidRPr="00F55878">
        <w:rPr>
          <w:rFonts w:eastAsia="Calibri"/>
          <w:sz w:val="26"/>
          <w:szCs w:val="26"/>
        </w:rPr>
        <w:t>provides</w:t>
      </w:r>
      <w:r>
        <w:rPr>
          <w:rFonts w:eastAsia="Calibri"/>
          <w:sz w:val="26"/>
          <w:szCs w:val="26"/>
        </w:rPr>
        <w:t xml:space="preserve"> that a DSIC </w:t>
      </w:r>
      <w:r>
        <w:rPr>
          <w:sz w:val="26"/>
          <w:szCs w:val="26"/>
        </w:rPr>
        <w:t>g</w:t>
      </w:r>
      <w:r w:rsidRPr="006B49C0">
        <w:rPr>
          <w:sz w:val="26"/>
          <w:szCs w:val="26"/>
        </w:rPr>
        <w:t xml:space="preserve">ranted to a water utility under former </w:t>
      </w:r>
      <w:r w:rsidR="00553CBB">
        <w:rPr>
          <w:sz w:val="26"/>
          <w:szCs w:val="26"/>
        </w:rPr>
        <w:t>S</w:t>
      </w:r>
      <w:r w:rsidRPr="006B49C0">
        <w:rPr>
          <w:sz w:val="26"/>
          <w:szCs w:val="26"/>
        </w:rPr>
        <w:t>ection 1307(g) (relating to sliding scale of rates; adjustments) or this subchapter may not exceed 7.5% of the amount billed to customers.</w:t>
      </w:r>
      <w:r w:rsidR="00BB2EC7">
        <w:rPr>
          <w:sz w:val="26"/>
          <w:szCs w:val="26"/>
        </w:rPr>
        <w:t xml:space="preserve">  </w:t>
      </w:r>
      <w:r w:rsidRPr="00F55878">
        <w:rPr>
          <w:rFonts w:eastAsia="Calibri"/>
          <w:sz w:val="26"/>
          <w:szCs w:val="26"/>
        </w:rPr>
        <w:t>66 Pa. C.S. § 135</w:t>
      </w:r>
      <w:r>
        <w:rPr>
          <w:rFonts w:eastAsia="Calibri"/>
          <w:sz w:val="26"/>
          <w:szCs w:val="26"/>
        </w:rPr>
        <w:t>8</w:t>
      </w:r>
      <w:r w:rsidRPr="00F55878">
        <w:rPr>
          <w:rFonts w:eastAsia="Calibri"/>
          <w:sz w:val="26"/>
          <w:szCs w:val="26"/>
        </w:rPr>
        <w:t>(</w:t>
      </w:r>
      <w:r>
        <w:rPr>
          <w:rFonts w:eastAsia="Calibri"/>
          <w:sz w:val="26"/>
          <w:szCs w:val="26"/>
        </w:rPr>
        <w:t>a</w:t>
      </w:r>
      <w:r w:rsidRPr="00F55878">
        <w:rPr>
          <w:rFonts w:eastAsia="Calibri"/>
          <w:sz w:val="26"/>
          <w:szCs w:val="26"/>
        </w:rPr>
        <w:t>)</w:t>
      </w:r>
      <w:r>
        <w:rPr>
          <w:rFonts w:eastAsia="Calibri"/>
          <w:sz w:val="26"/>
          <w:szCs w:val="26"/>
        </w:rPr>
        <w:t>(2)</w:t>
      </w:r>
      <w:r w:rsidRPr="00F55878">
        <w:rPr>
          <w:rFonts w:eastAsia="Calibri"/>
          <w:sz w:val="26"/>
          <w:szCs w:val="26"/>
        </w:rPr>
        <w:t>.</w:t>
      </w:r>
    </w:p>
    <w:p w14:paraId="2656E23F" w14:textId="77777777" w:rsidR="009B7EE8" w:rsidRPr="00F55878" w:rsidRDefault="009B7EE8" w:rsidP="002F7DB7">
      <w:pPr>
        <w:widowControl/>
        <w:spacing w:line="360" w:lineRule="auto"/>
        <w:ind w:firstLine="1440"/>
        <w:rPr>
          <w:rFonts w:eastAsia="Calibri"/>
          <w:sz w:val="26"/>
          <w:szCs w:val="26"/>
        </w:rPr>
      </w:pPr>
    </w:p>
    <w:p w14:paraId="242CEED3" w14:textId="7EE568EC" w:rsidR="009324E2" w:rsidRDefault="009324E2" w:rsidP="002F7DB7">
      <w:pPr>
        <w:widowControl/>
        <w:spacing w:line="360" w:lineRule="auto"/>
        <w:ind w:firstLine="1440"/>
        <w:rPr>
          <w:sz w:val="26"/>
          <w:szCs w:val="26"/>
        </w:rPr>
      </w:pPr>
      <w:r w:rsidRPr="00F55878">
        <w:rPr>
          <w:sz w:val="26"/>
          <w:szCs w:val="26"/>
        </w:rPr>
        <w:t>Section 1358(c) of the Code, 66 Pa. C.S. § 1358(c), provides that, absent an express limitation on existing ratemaking authority, the Commission retains its full and existing ratemaking authority.  Accordingly, the Commission has the full power and authority under the Code to examine, investigate, and audit any and all aspects regarding the data, operation, and implementation of the DSIC to the same extent that it would review a non-DSIC rate matter.  As such, Section 1301 of the Code, which requires that “[e]very rate made, demanded, or received by any public utility … shall be just and reasonable, and in conformity with regulations or orders of the commission,” applies to the DSIC rate in this proceeding.  Section 1358(e) requires that all DSICs shall be subject to audits by the Commission and annual reconciliation based on a period consisting of the twelve months ending December 31 of each year</w:t>
      </w:r>
      <w:r>
        <w:rPr>
          <w:sz w:val="26"/>
          <w:szCs w:val="26"/>
        </w:rPr>
        <w:t>, or quarterly reconciliation</w:t>
      </w:r>
      <w:r w:rsidRPr="00F55878">
        <w:rPr>
          <w:sz w:val="26"/>
          <w:szCs w:val="26"/>
        </w:rPr>
        <w:t>.  66 Pa. C.S. §</w:t>
      </w:r>
      <w:r w:rsidR="00C52DCD">
        <w:rPr>
          <w:sz w:val="26"/>
          <w:szCs w:val="26"/>
        </w:rPr>
        <w:t> </w:t>
      </w:r>
      <w:r w:rsidRPr="00F55878">
        <w:rPr>
          <w:sz w:val="26"/>
          <w:szCs w:val="26"/>
        </w:rPr>
        <w:t>1358(e)(1)(i</w:t>
      </w:r>
      <w:r w:rsidR="009B7EE8" w:rsidRPr="00F55878">
        <w:rPr>
          <w:sz w:val="26"/>
          <w:szCs w:val="26"/>
        </w:rPr>
        <w:t>), (</w:t>
      </w:r>
      <w:r w:rsidRPr="00F55878">
        <w:rPr>
          <w:sz w:val="26"/>
          <w:szCs w:val="26"/>
        </w:rPr>
        <w:t>ii).</w:t>
      </w:r>
    </w:p>
    <w:p w14:paraId="6AD2CB93" w14:textId="77777777" w:rsidR="00551446" w:rsidRDefault="00551446" w:rsidP="002F7DB7">
      <w:pPr>
        <w:widowControl/>
        <w:spacing w:line="360" w:lineRule="auto"/>
        <w:ind w:firstLine="1440"/>
        <w:rPr>
          <w:rFonts w:eastAsia="Calibri"/>
          <w:sz w:val="26"/>
          <w:szCs w:val="26"/>
        </w:rPr>
      </w:pPr>
    </w:p>
    <w:p w14:paraId="33D8A5B6" w14:textId="77777777" w:rsidR="00551446" w:rsidRDefault="00551446" w:rsidP="002F7DB7">
      <w:pPr>
        <w:widowControl/>
        <w:spacing w:line="360" w:lineRule="auto"/>
        <w:ind w:firstLine="1440"/>
        <w:rPr>
          <w:rFonts w:eastAsia="Calibri"/>
          <w:sz w:val="26"/>
          <w:szCs w:val="26"/>
        </w:rPr>
      </w:pPr>
      <w:r>
        <w:rPr>
          <w:rFonts w:eastAsia="Calibri"/>
          <w:sz w:val="26"/>
          <w:szCs w:val="26"/>
        </w:rPr>
        <w:t xml:space="preserve">Section 1501 of the Code, 66 Pa. C.S. § 1501, requires all public utilities to furnish and maintain adequate, efficient, safe and reasonable service and facilities, and to make all repairs, changes, improvements, </w:t>
      </w:r>
      <w:r w:rsidRPr="007818BA">
        <w:rPr>
          <w:rFonts w:eastAsia="Calibri"/>
          <w:i/>
          <w:sz w:val="26"/>
          <w:szCs w:val="26"/>
        </w:rPr>
        <w:t>etc.</w:t>
      </w:r>
      <w:r>
        <w:rPr>
          <w:rFonts w:eastAsia="Calibri"/>
          <w:sz w:val="26"/>
          <w:szCs w:val="26"/>
        </w:rPr>
        <w:t xml:space="preserve">, to its service and facilities as shall be </w:t>
      </w:r>
      <w:r>
        <w:rPr>
          <w:rFonts w:eastAsia="Calibri"/>
          <w:sz w:val="26"/>
          <w:szCs w:val="26"/>
        </w:rPr>
        <w:lastRenderedPageBreak/>
        <w:t xml:space="preserve">necessary or proper for the accommodation, convenience and safety of its patrons, employees, and the public. </w:t>
      </w:r>
    </w:p>
    <w:p w14:paraId="195A12C2" w14:textId="77777777" w:rsidR="00551446" w:rsidRDefault="00551446" w:rsidP="002F7DB7">
      <w:pPr>
        <w:widowControl/>
        <w:spacing w:after="200" w:line="276" w:lineRule="auto"/>
        <w:rPr>
          <w:rFonts w:eastAsia="Calibri"/>
          <w:sz w:val="26"/>
          <w:szCs w:val="26"/>
        </w:rPr>
      </w:pPr>
      <w:r>
        <w:rPr>
          <w:rFonts w:eastAsia="Calibri"/>
          <w:sz w:val="26"/>
          <w:szCs w:val="26"/>
        </w:rPr>
        <w:br w:type="page"/>
      </w:r>
    </w:p>
    <w:p w14:paraId="2F8E5593" w14:textId="77777777" w:rsidR="00A768B4" w:rsidRPr="00A768B4" w:rsidRDefault="00A768B4" w:rsidP="00036E85">
      <w:pPr>
        <w:pStyle w:val="Heading1"/>
        <w:keepLines/>
        <w:jc w:val="center"/>
      </w:pPr>
      <w:bookmarkStart w:id="15" w:name="_Toc512430430"/>
      <w:r w:rsidRPr="00A768B4">
        <w:lastRenderedPageBreak/>
        <w:t>I</w:t>
      </w:r>
      <w:r w:rsidR="00BB4C05">
        <w:t>V</w:t>
      </w:r>
      <w:r w:rsidRPr="00A768B4">
        <w:t>.</w:t>
      </w:r>
      <w:r w:rsidRPr="00A768B4">
        <w:tab/>
      </w:r>
      <w:r w:rsidR="00711295">
        <w:t>N</w:t>
      </w:r>
      <w:r w:rsidR="00145890">
        <w:t>AWC</w:t>
      </w:r>
      <w:r w:rsidRPr="00A768B4">
        <w:t>’s P</w:t>
      </w:r>
      <w:r w:rsidR="00C15C49">
        <w:t>roposed Tariff Supplement</w:t>
      </w:r>
      <w:bookmarkEnd w:id="15"/>
      <w:r w:rsidR="00551446">
        <w:t xml:space="preserve"> </w:t>
      </w:r>
    </w:p>
    <w:p w14:paraId="0275AB9E" w14:textId="77777777" w:rsidR="00A768B4" w:rsidRPr="00C55CF3" w:rsidRDefault="00A768B4" w:rsidP="00036E85">
      <w:pPr>
        <w:keepNext/>
        <w:keepLines/>
        <w:widowControl/>
        <w:spacing w:line="360" w:lineRule="auto"/>
        <w:jc w:val="center"/>
        <w:rPr>
          <w:sz w:val="26"/>
        </w:rPr>
      </w:pPr>
    </w:p>
    <w:p w14:paraId="77457D40" w14:textId="77777777" w:rsidR="00A768B4" w:rsidRPr="00C55CF3" w:rsidRDefault="00A768B4" w:rsidP="00036E85">
      <w:pPr>
        <w:pStyle w:val="Heading2"/>
        <w:widowControl/>
        <w:rPr>
          <w:rFonts w:ascii="Times New Roman" w:hAnsi="Times New Roman" w:cs="Times New Roman"/>
        </w:rPr>
      </w:pPr>
      <w:bookmarkStart w:id="16" w:name="_Toc512430431"/>
      <w:r w:rsidRPr="00C55CF3">
        <w:rPr>
          <w:rFonts w:ascii="Times New Roman" w:hAnsi="Times New Roman" w:cs="Times New Roman"/>
        </w:rPr>
        <w:t>A.</w:t>
      </w:r>
      <w:r w:rsidRPr="00C55CF3">
        <w:rPr>
          <w:rFonts w:ascii="Times New Roman" w:hAnsi="Times New Roman" w:cs="Times New Roman"/>
        </w:rPr>
        <w:tab/>
        <w:t>Overview</w:t>
      </w:r>
      <w:bookmarkEnd w:id="16"/>
    </w:p>
    <w:p w14:paraId="3FE2EA93" w14:textId="77777777" w:rsidR="009324E2" w:rsidRDefault="009324E2" w:rsidP="00036E85">
      <w:pPr>
        <w:keepNext/>
        <w:keepLines/>
        <w:widowControl/>
        <w:tabs>
          <w:tab w:val="left" w:pos="900"/>
        </w:tabs>
        <w:spacing w:line="360" w:lineRule="auto"/>
        <w:rPr>
          <w:sz w:val="26"/>
        </w:rPr>
      </w:pPr>
    </w:p>
    <w:p w14:paraId="7F4DF093" w14:textId="7935DF0B" w:rsidR="00325F50" w:rsidRDefault="00E86D40" w:rsidP="002F7DB7">
      <w:pPr>
        <w:widowControl/>
        <w:tabs>
          <w:tab w:val="left" w:pos="900"/>
        </w:tabs>
        <w:spacing w:line="360" w:lineRule="auto"/>
        <w:rPr>
          <w:sz w:val="26"/>
        </w:rPr>
      </w:pPr>
      <w:r>
        <w:rPr>
          <w:sz w:val="26"/>
        </w:rPr>
        <w:tab/>
      </w:r>
      <w:r w:rsidR="00553CBB">
        <w:rPr>
          <w:sz w:val="26"/>
        </w:rPr>
        <w:tab/>
      </w:r>
      <w:r w:rsidR="00325F50">
        <w:rPr>
          <w:sz w:val="26"/>
        </w:rPr>
        <w:t>NAWC is a public utility subject to the regulatory jurisdiction of the Commission.  NAWC owns and operates a water system serving 10,554 customers in Newtown Borough, Newtown Township, and the northern portion of Middletown Township, Bucks County.  Its water distribution system includes approximately 130 miles of mains, 1,000 hydrants, 3,200 valves and 10,300 meters.  NAWC M.B. at 5.</w:t>
      </w:r>
    </w:p>
    <w:p w14:paraId="6C133C2C" w14:textId="22BAB125" w:rsidR="00325F50" w:rsidRDefault="00325F50" w:rsidP="002F7DB7">
      <w:pPr>
        <w:widowControl/>
        <w:tabs>
          <w:tab w:val="left" w:pos="900"/>
        </w:tabs>
        <w:spacing w:line="360" w:lineRule="auto"/>
        <w:rPr>
          <w:sz w:val="26"/>
        </w:rPr>
      </w:pPr>
    </w:p>
    <w:p w14:paraId="38F85F18" w14:textId="3A7ED1F0" w:rsidR="00243FBA" w:rsidRDefault="00325F50" w:rsidP="002F7DB7">
      <w:pPr>
        <w:widowControl/>
        <w:tabs>
          <w:tab w:val="left" w:pos="900"/>
        </w:tabs>
        <w:spacing w:line="360" w:lineRule="auto"/>
        <w:rPr>
          <w:sz w:val="26"/>
        </w:rPr>
      </w:pPr>
      <w:r>
        <w:rPr>
          <w:sz w:val="26"/>
        </w:rPr>
        <w:tab/>
      </w:r>
      <w:r w:rsidR="00553CBB">
        <w:rPr>
          <w:sz w:val="26"/>
        </w:rPr>
        <w:tab/>
      </w:r>
      <w:r w:rsidR="00243FBA" w:rsidRPr="00243FBA">
        <w:rPr>
          <w:sz w:val="26"/>
        </w:rPr>
        <w:t>NAWC has had an approved DSIC mechanism in its tariff since 1998 and since that time has replaced 24,606 feet of primarily older undersized main, accounting for more than 3.5% of its total distribution system pipe.</w:t>
      </w:r>
      <w:r w:rsidR="004E73FD">
        <w:rPr>
          <w:sz w:val="26"/>
        </w:rPr>
        <w:t xml:space="preserve"> </w:t>
      </w:r>
      <w:r w:rsidR="00243FBA" w:rsidRPr="00243FBA">
        <w:rPr>
          <w:sz w:val="26"/>
        </w:rPr>
        <w:t xml:space="preserve"> </w:t>
      </w:r>
      <w:r w:rsidR="00C74A1C">
        <w:rPr>
          <w:sz w:val="26"/>
        </w:rPr>
        <w:t xml:space="preserve">According to </w:t>
      </w:r>
      <w:r w:rsidR="0041665C">
        <w:rPr>
          <w:sz w:val="26"/>
        </w:rPr>
        <w:t>NAWC</w:t>
      </w:r>
      <w:r w:rsidR="00C74A1C">
        <w:rPr>
          <w:sz w:val="26"/>
        </w:rPr>
        <w:t>,</w:t>
      </w:r>
      <w:r w:rsidR="0041665C">
        <w:rPr>
          <w:sz w:val="26"/>
        </w:rPr>
        <w:t xml:space="preserve"> </w:t>
      </w:r>
      <w:r w:rsidR="00C74A1C">
        <w:rPr>
          <w:sz w:val="26"/>
        </w:rPr>
        <w:t xml:space="preserve">over </w:t>
      </w:r>
      <w:r w:rsidR="00243FBA" w:rsidRPr="00243FBA">
        <w:rPr>
          <w:sz w:val="26"/>
        </w:rPr>
        <w:t xml:space="preserve">the past </w:t>
      </w:r>
      <w:r w:rsidR="00FC1EDA">
        <w:rPr>
          <w:sz w:val="26"/>
        </w:rPr>
        <w:t>twenty</w:t>
      </w:r>
      <w:r w:rsidR="00243FBA" w:rsidRPr="00243FBA">
        <w:rPr>
          <w:sz w:val="26"/>
        </w:rPr>
        <w:t xml:space="preserve"> years, the DSIC has permitted the Company to address its aging infrastructure replacement needs, </w:t>
      </w:r>
      <w:r w:rsidR="00C27F82">
        <w:rPr>
          <w:sz w:val="26"/>
        </w:rPr>
        <w:t xml:space="preserve">which has </w:t>
      </w:r>
      <w:r w:rsidR="00243FBA" w:rsidRPr="00243FBA">
        <w:rPr>
          <w:sz w:val="26"/>
        </w:rPr>
        <w:t>allow</w:t>
      </w:r>
      <w:r w:rsidR="00C27F82">
        <w:rPr>
          <w:sz w:val="26"/>
        </w:rPr>
        <w:t>ed</w:t>
      </w:r>
      <w:r w:rsidR="00243FBA" w:rsidRPr="00243FBA">
        <w:rPr>
          <w:sz w:val="26"/>
        </w:rPr>
        <w:t xml:space="preserve"> the Company to provide its customers with safe, reliable, and cost-effective water service. </w:t>
      </w:r>
      <w:r w:rsidR="00B37824" w:rsidRPr="00B37824">
        <w:rPr>
          <w:i/>
          <w:sz w:val="26"/>
        </w:rPr>
        <w:t>Id</w:t>
      </w:r>
      <w:r w:rsidR="00E86D40" w:rsidRPr="00B37824">
        <w:rPr>
          <w:i/>
          <w:sz w:val="26"/>
        </w:rPr>
        <w:t>.</w:t>
      </w:r>
    </w:p>
    <w:p w14:paraId="2B64DFFB" w14:textId="77777777" w:rsidR="00243FBA" w:rsidRPr="00243FBA" w:rsidRDefault="00243FBA" w:rsidP="002F7DB7">
      <w:pPr>
        <w:widowControl/>
        <w:tabs>
          <w:tab w:val="left" w:pos="900"/>
        </w:tabs>
        <w:spacing w:line="360" w:lineRule="auto"/>
        <w:rPr>
          <w:sz w:val="26"/>
        </w:rPr>
      </w:pPr>
    </w:p>
    <w:p w14:paraId="57F165DE" w14:textId="118E34FA" w:rsidR="00243FBA" w:rsidRDefault="00E86D40" w:rsidP="002F7DB7">
      <w:pPr>
        <w:widowControl/>
        <w:tabs>
          <w:tab w:val="left" w:pos="900"/>
        </w:tabs>
        <w:spacing w:line="360" w:lineRule="auto"/>
        <w:rPr>
          <w:sz w:val="26"/>
        </w:rPr>
      </w:pPr>
      <w:r>
        <w:rPr>
          <w:sz w:val="26"/>
        </w:rPr>
        <w:tab/>
      </w:r>
      <w:r>
        <w:rPr>
          <w:sz w:val="26"/>
        </w:rPr>
        <w:tab/>
      </w:r>
      <w:r w:rsidR="00243FBA" w:rsidRPr="00243FBA">
        <w:rPr>
          <w:sz w:val="26"/>
        </w:rPr>
        <w:t xml:space="preserve">The DSIC has been capped at 5% of billed revenue since it became effective in 1998. NAWC’s current DSIC percentage, which was placed into effect on November 1, 2017, with Supplement No. 125, is 4.26%. </w:t>
      </w:r>
      <w:r w:rsidR="004E73FD">
        <w:rPr>
          <w:sz w:val="26"/>
        </w:rPr>
        <w:t xml:space="preserve"> </w:t>
      </w:r>
      <w:r w:rsidR="00243FBA" w:rsidRPr="00243FBA">
        <w:rPr>
          <w:sz w:val="26"/>
        </w:rPr>
        <w:t xml:space="preserve">The DSIC is applied to all customer bills with the exception of fire protection. </w:t>
      </w:r>
      <w:r w:rsidR="00B37824" w:rsidRPr="00B37824">
        <w:rPr>
          <w:i/>
          <w:sz w:val="26"/>
        </w:rPr>
        <w:t>Id.</w:t>
      </w:r>
      <w:r w:rsidR="00243FBA" w:rsidRPr="00243FBA">
        <w:rPr>
          <w:sz w:val="26"/>
        </w:rPr>
        <w:t xml:space="preserve"> </w:t>
      </w:r>
    </w:p>
    <w:p w14:paraId="62DDCCA3" w14:textId="77777777" w:rsidR="00243FBA" w:rsidRPr="00243FBA" w:rsidRDefault="00243FBA" w:rsidP="002F7DB7">
      <w:pPr>
        <w:widowControl/>
        <w:tabs>
          <w:tab w:val="left" w:pos="900"/>
        </w:tabs>
        <w:spacing w:line="360" w:lineRule="auto"/>
        <w:rPr>
          <w:sz w:val="26"/>
        </w:rPr>
      </w:pPr>
    </w:p>
    <w:p w14:paraId="720084FE" w14:textId="61623F94" w:rsidR="00243FBA" w:rsidRDefault="00E86D40" w:rsidP="002F7DB7">
      <w:pPr>
        <w:widowControl/>
        <w:tabs>
          <w:tab w:val="left" w:pos="900"/>
        </w:tabs>
        <w:spacing w:line="360" w:lineRule="auto"/>
        <w:rPr>
          <w:sz w:val="26"/>
        </w:rPr>
      </w:pPr>
      <w:r>
        <w:rPr>
          <w:sz w:val="26"/>
        </w:rPr>
        <w:tab/>
      </w:r>
      <w:r>
        <w:rPr>
          <w:sz w:val="26"/>
        </w:rPr>
        <w:tab/>
      </w:r>
      <w:r w:rsidR="00243FBA" w:rsidRPr="00243FBA">
        <w:rPr>
          <w:sz w:val="26"/>
        </w:rPr>
        <w:t>The DSIC is used, with Commission approval and as allowed by the General Assembly, to recover depreciation and pre-tax return on DSIC eligible property between rate cases.</w:t>
      </w:r>
      <w:r w:rsidR="004E73FD">
        <w:rPr>
          <w:sz w:val="26"/>
        </w:rPr>
        <w:t xml:space="preserve"> </w:t>
      </w:r>
      <w:r w:rsidR="00243FBA" w:rsidRPr="00243FBA">
        <w:rPr>
          <w:sz w:val="26"/>
        </w:rPr>
        <w:t xml:space="preserve"> NAWC maintains that </w:t>
      </w:r>
      <w:r w:rsidR="00562F8A">
        <w:rPr>
          <w:sz w:val="26"/>
        </w:rPr>
        <w:t>its</w:t>
      </w:r>
      <w:r w:rsidR="00243FBA" w:rsidRPr="00243FBA">
        <w:rPr>
          <w:sz w:val="26"/>
        </w:rPr>
        <w:t xml:space="preserve"> investment in DSIC eligible depreciable property facilitates the continued provision of reasonable and adequate service.</w:t>
      </w:r>
      <w:r w:rsidR="00B37824">
        <w:rPr>
          <w:sz w:val="26"/>
        </w:rPr>
        <w:t xml:space="preserve"> </w:t>
      </w:r>
      <w:r w:rsidR="00243FBA" w:rsidRPr="00243FBA">
        <w:rPr>
          <w:sz w:val="26"/>
        </w:rPr>
        <w:t xml:space="preserve"> </w:t>
      </w:r>
      <w:r w:rsidR="00B37824" w:rsidRPr="00B37824">
        <w:rPr>
          <w:i/>
          <w:sz w:val="26"/>
        </w:rPr>
        <w:t>Id</w:t>
      </w:r>
      <w:r w:rsidRPr="00B37824">
        <w:rPr>
          <w:i/>
          <w:sz w:val="26"/>
        </w:rPr>
        <w:t>.</w:t>
      </w:r>
      <w:r w:rsidR="00243FBA" w:rsidRPr="00243FBA">
        <w:rPr>
          <w:sz w:val="26"/>
        </w:rPr>
        <w:t xml:space="preserve"> at</w:t>
      </w:r>
      <w:r w:rsidR="00562F8A">
        <w:rPr>
          <w:sz w:val="26"/>
        </w:rPr>
        <w:t> </w:t>
      </w:r>
      <w:r w:rsidR="00243FBA" w:rsidRPr="00243FBA">
        <w:rPr>
          <w:sz w:val="26"/>
        </w:rPr>
        <w:t>5</w:t>
      </w:r>
      <w:r w:rsidR="00562F8A">
        <w:rPr>
          <w:sz w:val="26"/>
        </w:rPr>
        <w:noBreakHyphen/>
      </w:r>
      <w:r w:rsidR="00243FBA" w:rsidRPr="00243FBA">
        <w:rPr>
          <w:sz w:val="26"/>
        </w:rPr>
        <w:t>6.</w:t>
      </w:r>
    </w:p>
    <w:p w14:paraId="18FB072D" w14:textId="77777777" w:rsidR="002D73B3" w:rsidRDefault="002D73B3" w:rsidP="002F7DB7">
      <w:pPr>
        <w:widowControl/>
        <w:tabs>
          <w:tab w:val="left" w:pos="900"/>
        </w:tabs>
        <w:spacing w:line="360" w:lineRule="auto"/>
        <w:rPr>
          <w:sz w:val="26"/>
        </w:rPr>
      </w:pPr>
    </w:p>
    <w:p w14:paraId="714F0969" w14:textId="112DEBBB" w:rsidR="002D73B3" w:rsidRDefault="00BF1CFD" w:rsidP="002F7DB7">
      <w:pPr>
        <w:widowControl/>
        <w:tabs>
          <w:tab w:val="left" w:pos="900"/>
        </w:tabs>
        <w:spacing w:line="360" w:lineRule="auto"/>
        <w:rPr>
          <w:sz w:val="26"/>
        </w:rPr>
      </w:pPr>
      <w:r>
        <w:rPr>
          <w:sz w:val="26"/>
        </w:rPr>
        <w:lastRenderedPageBreak/>
        <w:tab/>
      </w:r>
      <w:r>
        <w:rPr>
          <w:sz w:val="26"/>
        </w:rPr>
        <w:tab/>
      </w:r>
      <w:r w:rsidR="002D73B3">
        <w:rPr>
          <w:sz w:val="26"/>
        </w:rPr>
        <w:t xml:space="preserve">Supplement No. 126 </w:t>
      </w:r>
      <w:r w:rsidR="00325F50">
        <w:rPr>
          <w:sz w:val="26"/>
        </w:rPr>
        <w:t xml:space="preserve">proposes to </w:t>
      </w:r>
      <w:r w:rsidR="002D73B3">
        <w:rPr>
          <w:sz w:val="26"/>
        </w:rPr>
        <w:t xml:space="preserve">increase the DSIC cap from 5.0% to 7.5% of billed </w:t>
      </w:r>
      <w:r w:rsidR="007A384D">
        <w:rPr>
          <w:sz w:val="26"/>
        </w:rPr>
        <w:t xml:space="preserve">distribution </w:t>
      </w:r>
      <w:r w:rsidR="002D73B3">
        <w:rPr>
          <w:sz w:val="26"/>
        </w:rPr>
        <w:t xml:space="preserve">revenue.  The change from 5% to 7.5% is the only tariff change proposed in Supplement No. 126.  </w:t>
      </w:r>
      <w:r>
        <w:rPr>
          <w:sz w:val="26"/>
        </w:rPr>
        <w:t>NAWC states that t</w:t>
      </w:r>
      <w:r w:rsidR="002D73B3">
        <w:rPr>
          <w:sz w:val="26"/>
        </w:rPr>
        <w:t>he increase in the DSIC cap will not impact bills until the DSIC calculation goes ab</w:t>
      </w:r>
      <w:r w:rsidR="001C5ECF">
        <w:rPr>
          <w:sz w:val="26"/>
        </w:rPr>
        <w:t>ove</w:t>
      </w:r>
      <w:r w:rsidR="002D73B3">
        <w:rPr>
          <w:sz w:val="26"/>
        </w:rPr>
        <w:t xml:space="preserve"> 5% of billed revenue.  Increases in the DSIC, even then</w:t>
      </w:r>
      <w:r w:rsidR="007A384D">
        <w:rPr>
          <w:sz w:val="26"/>
        </w:rPr>
        <w:t>,</w:t>
      </w:r>
      <w:r w:rsidR="002D73B3">
        <w:rPr>
          <w:sz w:val="26"/>
        </w:rPr>
        <w:t xml:space="preserve"> would be incremental as new DSIC eligible investment is completed and placed in service and included in a DSIC quarterly update.  </w:t>
      </w:r>
      <w:r w:rsidR="00B37824" w:rsidRPr="00B37824">
        <w:rPr>
          <w:i/>
          <w:sz w:val="26"/>
        </w:rPr>
        <w:t>Id</w:t>
      </w:r>
      <w:r w:rsidR="002D73B3" w:rsidRPr="00B37824">
        <w:rPr>
          <w:i/>
          <w:sz w:val="26"/>
        </w:rPr>
        <w:t>.</w:t>
      </w:r>
      <w:r w:rsidR="002D73B3">
        <w:rPr>
          <w:sz w:val="26"/>
        </w:rPr>
        <w:t xml:space="preserve"> at 6.</w:t>
      </w:r>
    </w:p>
    <w:p w14:paraId="0028E69A" w14:textId="77777777" w:rsidR="00243FBA" w:rsidRDefault="00243FBA" w:rsidP="002F7DB7">
      <w:pPr>
        <w:widowControl/>
        <w:tabs>
          <w:tab w:val="left" w:pos="900"/>
        </w:tabs>
        <w:spacing w:line="360" w:lineRule="auto"/>
        <w:rPr>
          <w:sz w:val="26"/>
        </w:rPr>
      </w:pPr>
    </w:p>
    <w:p w14:paraId="3C235353" w14:textId="77777777" w:rsidR="0053205C" w:rsidRPr="00162F5B" w:rsidRDefault="0053205C" w:rsidP="002F7DB7">
      <w:pPr>
        <w:pStyle w:val="Heading2"/>
        <w:widowControl/>
        <w:rPr>
          <w:rFonts w:ascii="Times New Roman" w:hAnsi="Times New Roman" w:cs="Times New Roman"/>
        </w:rPr>
      </w:pPr>
      <w:bookmarkStart w:id="17" w:name="_Toc512430432"/>
      <w:r w:rsidRPr="00162F5B">
        <w:rPr>
          <w:rFonts w:ascii="Times New Roman" w:hAnsi="Times New Roman" w:cs="Times New Roman"/>
        </w:rPr>
        <w:t>B.</w:t>
      </w:r>
      <w:r w:rsidRPr="00162F5B">
        <w:rPr>
          <w:rFonts w:ascii="Times New Roman" w:hAnsi="Times New Roman" w:cs="Times New Roman"/>
        </w:rPr>
        <w:tab/>
      </w:r>
      <w:r w:rsidR="00BB4C05" w:rsidRPr="00162F5B">
        <w:rPr>
          <w:rFonts w:ascii="Times New Roman" w:hAnsi="Times New Roman" w:cs="Times New Roman"/>
        </w:rPr>
        <w:t>NAWC’s Request to Increase the DSIC Cap from 5% to 7.5%</w:t>
      </w:r>
      <w:bookmarkEnd w:id="17"/>
    </w:p>
    <w:p w14:paraId="32406588" w14:textId="77777777" w:rsidR="0053205C" w:rsidRDefault="0053205C" w:rsidP="002F7DB7">
      <w:pPr>
        <w:keepNext/>
        <w:widowControl/>
        <w:spacing w:line="360" w:lineRule="auto"/>
        <w:rPr>
          <w:sz w:val="26"/>
          <w:szCs w:val="26"/>
        </w:rPr>
      </w:pPr>
    </w:p>
    <w:p w14:paraId="6B83D41E" w14:textId="77777777" w:rsidR="0053205C" w:rsidRPr="00BB4C05" w:rsidRDefault="0053205C" w:rsidP="002F7DB7">
      <w:pPr>
        <w:pStyle w:val="Heading3"/>
        <w:widowControl/>
      </w:pPr>
      <w:r>
        <w:tab/>
      </w:r>
      <w:bookmarkStart w:id="18" w:name="_Toc512430433"/>
      <w:r w:rsidRPr="00BB4C05">
        <w:t>1.</w:t>
      </w:r>
      <w:r w:rsidRPr="00BB4C05">
        <w:tab/>
        <w:t>Positions of the Parties</w:t>
      </w:r>
      <w:bookmarkEnd w:id="18"/>
    </w:p>
    <w:p w14:paraId="3B6D6834" w14:textId="77777777" w:rsidR="0053205C" w:rsidRDefault="0053205C" w:rsidP="002F7DB7">
      <w:pPr>
        <w:keepNext/>
        <w:widowControl/>
        <w:spacing w:line="360" w:lineRule="auto"/>
        <w:rPr>
          <w:sz w:val="26"/>
          <w:szCs w:val="26"/>
        </w:rPr>
      </w:pPr>
    </w:p>
    <w:p w14:paraId="6F435C8B" w14:textId="77777777" w:rsidR="0053205C" w:rsidRPr="00BB4C05" w:rsidRDefault="0053205C" w:rsidP="002F7DB7">
      <w:pPr>
        <w:pStyle w:val="Heading4"/>
      </w:pPr>
      <w:r>
        <w:tab/>
      </w:r>
      <w:r>
        <w:tab/>
      </w:r>
      <w:bookmarkStart w:id="19" w:name="_Toc512430434"/>
      <w:r w:rsidRPr="00BB4C05">
        <w:t>a.</w:t>
      </w:r>
      <w:r w:rsidRPr="00BB4C05">
        <w:tab/>
        <w:t>NAWC’s Position</w:t>
      </w:r>
      <w:bookmarkEnd w:id="19"/>
    </w:p>
    <w:p w14:paraId="06422F8B" w14:textId="77777777" w:rsidR="002D73B3" w:rsidRDefault="002D73B3" w:rsidP="002F7DB7">
      <w:pPr>
        <w:keepNext/>
        <w:widowControl/>
        <w:spacing w:line="360" w:lineRule="auto"/>
        <w:ind w:left="720" w:firstLine="720"/>
        <w:rPr>
          <w:sz w:val="26"/>
          <w:szCs w:val="26"/>
        </w:rPr>
      </w:pPr>
    </w:p>
    <w:p w14:paraId="3426A277" w14:textId="621F0700" w:rsidR="00B419CA" w:rsidRDefault="00BF1CFD" w:rsidP="002F7DB7">
      <w:pPr>
        <w:widowControl/>
        <w:spacing w:line="360" w:lineRule="auto"/>
        <w:ind w:firstLine="1440"/>
        <w:rPr>
          <w:sz w:val="26"/>
        </w:rPr>
      </w:pPr>
      <w:r>
        <w:rPr>
          <w:rFonts w:ascii="Times New (W1)" w:hAnsi="Times New (W1)"/>
          <w:sz w:val="26"/>
        </w:rPr>
        <w:t xml:space="preserve">On March 21, 2017, NAWC filed a petition asking the Commission to approve its </w:t>
      </w:r>
      <w:r w:rsidR="00B419CA">
        <w:rPr>
          <w:sz w:val="26"/>
        </w:rPr>
        <w:t>LTIIP.</w:t>
      </w:r>
      <w:r w:rsidR="00B419CA">
        <w:rPr>
          <w:rStyle w:val="FootnoteReference"/>
          <w:sz w:val="26"/>
        </w:rPr>
        <w:footnoteReference w:id="1"/>
      </w:r>
      <w:r w:rsidR="004E73FD">
        <w:rPr>
          <w:sz w:val="26"/>
        </w:rPr>
        <w:t xml:space="preserve"> </w:t>
      </w:r>
      <w:r w:rsidR="00B419CA">
        <w:rPr>
          <w:sz w:val="26"/>
        </w:rPr>
        <w:t xml:space="preserve"> By Order entered July 12, 2017, the Commission approved NAWC’s petition and LTIIP. </w:t>
      </w:r>
      <w:r w:rsidR="004E73FD">
        <w:rPr>
          <w:sz w:val="26"/>
        </w:rPr>
        <w:t xml:space="preserve"> </w:t>
      </w:r>
      <w:r w:rsidR="00B419CA">
        <w:rPr>
          <w:sz w:val="26"/>
        </w:rPr>
        <w:t xml:space="preserve">The Commission summarized its conclusions as follows </w:t>
      </w:r>
      <w:r w:rsidR="00055993">
        <w:rPr>
          <w:sz w:val="26"/>
        </w:rPr>
        <w:t xml:space="preserve">in </w:t>
      </w:r>
      <w:r w:rsidR="00B419CA">
        <w:rPr>
          <w:sz w:val="26"/>
        </w:rPr>
        <w:t>directing NAWC to comply with the infrastructure replacement schedule and elements of its LTIIP:</w:t>
      </w:r>
    </w:p>
    <w:p w14:paraId="49338732" w14:textId="77777777" w:rsidR="00B419CA" w:rsidRDefault="00B419CA" w:rsidP="002F7DB7">
      <w:pPr>
        <w:widowControl/>
        <w:tabs>
          <w:tab w:val="left" w:pos="900"/>
        </w:tabs>
        <w:spacing w:line="360" w:lineRule="auto"/>
        <w:rPr>
          <w:sz w:val="26"/>
        </w:rPr>
      </w:pPr>
    </w:p>
    <w:p w14:paraId="58D66C71" w14:textId="5B5C7CF7" w:rsidR="00B419CA" w:rsidRDefault="00BB05CE" w:rsidP="006F5E33">
      <w:pPr>
        <w:widowControl/>
        <w:tabs>
          <w:tab w:val="left" w:pos="900"/>
        </w:tabs>
        <w:ind w:left="1440" w:right="1440"/>
        <w:rPr>
          <w:sz w:val="26"/>
        </w:rPr>
      </w:pPr>
      <w:r>
        <w:rPr>
          <w:sz w:val="26"/>
        </w:rPr>
        <w:tab/>
      </w:r>
      <w:r w:rsidR="00B419CA">
        <w:rPr>
          <w:sz w:val="26"/>
        </w:rPr>
        <w:t xml:space="preserve">The Commission reviewed the eight required elements for Newtown’s Petition for Approval of their LTIIP and any resulting Petition comments. </w:t>
      </w:r>
      <w:r w:rsidR="00055993">
        <w:rPr>
          <w:sz w:val="26"/>
        </w:rPr>
        <w:t xml:space="preserve"> </w:t>
      </w:r>
      <w:r w:rsidR="00B419CA">
        <w:rPr>
          <w:sz w:val="26"/>
        </w:rPr>
        <w:t>Newtown’s proposed LTIIP appears to</w:t>
      </w:r>
      <w:r w:rsidR="006F5E33">
        <w:rPr>
          <w:sz w:val="26"/>
        </w:rPr>
        <w:t xml:space="preserve"> </w:t>
      </w:r>
      <w:r w:rsidR="00B419CA">
        <w:rPr>
          <w:sz w:val="26"/>
        </w:rPr>
        <w:t>demonstrate its associated expenditures are reasonable, cost</w:t>
      </w:r>
      <w:r w:rsidR="006F5E33">
        <w:rPr>
          <w:sz w:val="26"/>
        </w:rPr>
        <w:t xml:space="preserve"> </w:t>
      </w:r>
      <w:r w:rsidR="00B419CA">
        <w:rPr>
          <w:sz w:val="26"/>
        </w:rPr>
        <w:t>effective, and designed to ensure and maintain efficient, safe, adequate, reliable, and reasonable service to its customers.</w:t>
      </w:r>
    </w:p>
    <w:p w14:paraId="350B1EBE" w14:textId="77777777" w:rsidR="00B419CA" w:rsidRDefault="00B419CA" w:rsidP="006F5E33">
      <w:pPr>
        <w:widowControl/>
        <w:tabs>
          <w:tab w:val="left" w:pos="900"/>
        </w:tabs>
        <w:ind w:left="1440" w:right="1440"/>
        <w:rPr>
          <w:sz w:val="26"/>
        </w:rPr>
      </w:pPr>
    </w:p>
    <w:p w14:paraId="06A723E3" w14:textId="6BCCA579" w:rsidR="00B419CA" w:rsidRDefault="00B37824" w:rsidP="006F5E33">
      <w:pPr>
        <w:widowControl/>
        <w:tabs>
          <w:tab w:val="left" w:pos="900"/>
        </w:tabs>
        <w:ind w:left="1440" w:right="1440"/>
        <w:rPr>
          <w:sz w:val="26"/>
        </w:rPr>
      </w:pPr>
      <w:r>
        <w:rPr>
          <w:sz w:val="26"/>
        </w:rPr>
        <w:tab/>
      </w:r>
      <w:r w:rsidR="00B419CA">
        <w:rPr>
          <w:sz w:val="26"/>
        </w:rPr>
        <w:t xml:space="preserve">The Commission finds Newtown’s Long-Term Infrastructure Improvement Plan and manner in which it was filed conforms to the requirements of Act 11 and our Final </w:t>
      </w:r>
      <w:r w:rsidR="00B419CA">
        <w:rPr>
          <w:sz w:val="26"/>
        </w:rPr>
        <w:lastRenderedPageBreak/>
        <w:t xml:space="preserve">Implementation Order. </w:t>
      </w:r>
      <w:r w:rsidR="00055993">
        <w:rPr>
          <w:sz w:val="26"/>
        </w:rPr>
        <w:t xml:space="preserve"> </w:t>
      </w:r>
      <w:r w:rsidR="00B419CA">
        <w:rPr>
          <w:sz w:val="26"/>
        </w:rPr>
        <w:t>The plan, as approved herein, is designed to maintain safe, adequate and reliable service and, as such, Newtown shall be required to comply with the infrastructure replacement schedule and elements of that plan.</w:t>
      </w:r>
    </w:p>
    <w:p w14:paraId="24F50D18" w14:textId="77777777" w:rsidR="00055993" w:rsidRDefault="00055993" w:rsidP="006F5E33">
      <w:pPr>
        <w:widowControl/>
        <w:tabs>
          <w:tab w:val="left" w:pos="900"/>
        </w:tabs>
        <w:ind w:left="1440" w:right="1440"/>
        <w:rPr>
          <w:sz w:val="26"/>
        </w:rPr>
      </w:pPr>
    </w:p>
    <w:p w14:paraId="200CA9C5" w14:textId="09526150" w:rsidR="007A384D" w:rsidRDefault="007A384D" w:rsidP="006F5E33">
      <w:pPr>
        <w:widowControl/>
        <w:tabs>
          <w:tab w:val="left" w:pos="900"/>
        </w:tabs>
        <w:ind w:left="1440" w:right="1440"/>
        <w:rPr>
          <w:sz w:val="26"/>
        </w:rPr>
      </w:pPr>
    </w:p>
    <w:p w14:paraId="3A8D4725" w14:textId="05AA4C5E" w:rsidR="00B419CA" w:rsidRDefault="007A384D" w:rsidP="002F7DB7">
      <w:pPr>
        <w:widowControl/>
        <w:tabs>
          <w:tab w:val="left" w:pos="900"/>
        </w:tabs>
        <w:spacing w:line="360" w:lineRule="auto"/>
        <w:rPr>
          <w:sz w:val="26"/>
        </w:rPr>
      </w:pPr>
      <w:r w:rsidRPr="006B49C0">
        <w:rPr>
          <w:i/>
          <w:sz w:val="26"/>
          <w:szCs w:val="26"/>
        </w:rPr>
        <w:t>July 2017 LTIIP Order</w:t>
      </w:r>
      <w:r w:rsidDel="007A384D">
        <w:rPr>
          <w:sz w:val="26"/>
        </w:rPr>
        <w:t xml:space="preserve"> </w:t>
      </w:r>
      <w:r>
        <w:rPr>
          <w:sz w:val="26"/>
        </w:rPr>
        <w:t>at 17.</w:t>
      </w:r>
    </w:p>
    <w:p w14:paraId="714059EF" w14:textId="77777777" w:rsidR="0098133A" w:rsidRDefault="0098133A" w:rsidP="002F7DB7">
      <w:pPr>
        <w:widowControl/>
        <w:tabs>
          <w:tab w:val="left" w:pos="900"/>
        </w:tabs>
        <w:spacing w:line="360" w:lineRule="auto"/>
        <w:rPr>
          <w:sz w:val="26"/>
        </w:rPr>
      </w:pPr>
    </w:p>
    <w:p w14:paraId="58EF16CE" w14:textId="6246DDCD" w:rsidR="00B419CA" w:rsidRDefault="00B419CA" w:rsidP="002F7DB7">
      <w:pPr>
        <w:widowControl/>
        <w:tabs>
          <w:tab w:val="left" w:pos="900"/>
        </w:tabs>
        <w:spacing w:line="360" w:lineRule="auto"/>
        <w:rPr>
          <w:sz w:val="26"/>
        </w:rPr>
      </w:pPr>
      <w:r>
        <w:rPr>
          <w:sz w:val="26"/>
        </w:rPr>
        <w:tab/>
      </w:r>
      <w:r>
        <w:rPr>
          <w:sz w:val="26"/>
        </w:rPr>
        <w:tab/>
        <w:t>NAWC maintain</w:t>
      </w:r>
      <w:r w:rsidR="001C5ECF">
        <w:rPr>
          <w:sz w:val="26"/>
        </w:rPr>
        <w:t>ed</w:t>
      </w:r>
      <w:r>
        <w:rPr>
          <w:sz w:val="26"/>
        </w:rPr>
        <w:t xml:space="preserve"> that its projected LTIIP</w:t>
      </w:r>
      <w:r w:rsidR="00055993">
        <w:rPr>
          <w:sz w:val="26"/>
        </w:rPr>
        <w:t>-</w:t>
      </w:r>
      <w:r>
        <w:rPr>
          <w:sz w:val="26"/>
        </w:rPr>
        <w:t xml:space="preserve">related capital improvement program expenditures are significant in dollar terms totaling $4,251,000 for 2017 through 2021. </w:t>
      </w:r>
      <w:r w:rsidR="004E73FD">
        <w:rPr>
          <w:sz w:val="26"/>
        </w:rPr>
        <w:t xml:space="preserve"> </w:t>
      </w:r>
      <w:r>
        <w:rPr>
          <w:sz w:val="26"/>
        </w:rPr>
        <w:t xml:space="preserve">With a present rate base value of $10,398,000, the LTIIP projected expenditures equal 41% of the Company’s existing rate base. </w:t>
      </w:r>
      <w:r w:rsidR="004E73FD">
        <w:rPr>
          <w:sz w:val="26"/>
        </w:rPr>
        <w:t xml:space="preserve"> </w:t>
      </w:r>
      <w:r>
        <w:rPr>
          <w:sz w:val="26"/>
        </w:rPr>
        <w:t xml:space="preserve">The expenditures are detailed in the </w:t>
      </w:r>
      <w:r w:rsidR="00553CBB" w:rsidRPr="009B7EE8">
        <w:rPr>
          <w:i/>
          <w:sz w:val="26"/>
          <w:szCs w:val="26"/>
        </w:rPr>
        <w:t>July 2017 LTIIP Order</w:t>
      </w:r>
      <w:r>
        <w:rPr>
          <w:sz w:val="26"/>
        </w:rPr>
        <w:t xml:space="preserve">. </w:t>
      </w:r>
      <w:r w:rsidR="004E73FD">
        <w:rPr>
          <w:sz w:val="26"/>
        </w:rPr>
        <w:t xml:space="preserve"> </w:t>
      </w:r>
      <w:r>
        <w:rPr>
          <w:sz w:val="26"/>
        </w:rPr>
        <w:t xml:space="preserve">All of the LTIIP expenditures are DSIC eligible. </w:t>
      </w:r>
      <w:r w:rsidR="004E73FD">
        <w:rPr>
          <w:sz w:val="26"/>
        </w:rPr>
        <w:t xml:space="preserve"> </w:t>
      </w:r>
      <w:r>
        <w:rPr>
          <w:sz w:val="26"/>
        </w:rPr>
        <w:t>NAWC M.B. at 7; NAWC R.B. at 6.</w:t>
      </w:r>
    </w:p>
    <w:p w14:paraId="674AB7CC" w14:textId="77777777" w:rsidR="00B419CA" w:rsidRDefault="00B419CA" w:rsidP="002F7DB7">
      <w:pPr>
        <w:widowControl/>
        <w:tabs>
          <w:tab w:val="left" w:pos="900"/>
        </w:tabs>
        <w:spacing w:line="360" w:lineRule="auto"/>
        <w:rPr>
          <w:sz w:val="26"/>
        </w:rPr>
      </w:pPr>
    </w:p>
    <w:p w14:paraId="3879FA95" w14:textId="52C0D711" w:rsidR="00B419CA" w:rsidRPr="009B7EE8" w:rsidRDefault="00B419CA" w:rsidP="002F7DB7">
      <w:pPr>
        <w:widowControl/>
        <w:tabs>
          <w:tab w:val="left" w:pos="900"/>
        </w:tabs>
        <w:spacing w:line="360" w:lineRule="auto"/>
        <w:rPr>
          <w:sz w:val="26"/>
        </w:rPr>
      </w:pPr>
      <w:r>
        <w:rPr>
          <w:sz w:val="26"/>
        </w:rPr>
        <w:tab/>
      </w:r>
      <w:r>
        <w:rPr>
          <w:sz w:val="26"/>
        </w:rPr>
        <w:tab/>
        <w:t>NAWC note</w:t>
      </w:r>
      <w:r w:rsidR="001C5ECF">
        <w:rPr>
          <w:sz w:val="26"/>
        </w:rPr>
        <w:t>d</w:t>
      </w:r>
      <w:r>
        <w:rPr>
          <w:sz w:val="26"/>
        </w:rPr>
        <w:t xml:space="preserve"> that it is moving forward with its LTIIP program. </w:t>
      </w:r>
      <w:r w:rsidR="004E73FD">
        <w:rPr>
          <w:sz w:val="26"/>
        </w:rPr>
        <w:t xml:space="preserve"> </w:t>
      </w:r>
      <w:r>
        <w:rPr>
          <w:sz w:val="26"/>
        </w:rPr>
        <w:t>The Company’s State Street main replacement project is in progress and scheduled to be completed by year</w:t>
      </w:r>
      <w:r w:rsidR="004007FF">
        <w:rPr>
          <w:sz w:val="26"/>
        </w:rPr>
        <w:t>-</w:t>
      </w:r>
      <w:r>
        <w:rPr>
          <w:sz w:val="26"/>
        </w:rPr>
        <w:t xml:space="preserve">end 2017 at a cost of about $400,000. </w:t>
      </w:r>
      <w:r w:rsidR="004E73FD">
        <w:rPr>
          <w:sz w:val="26"/>
        </w:rPr>
        <w:t xml:space="preserve"> </w:t>
      </w:r>
      <w:r>
        <w:rPr>
          <w:sz w:val="26"/>
        </w:rPr>
        <w:t>NAWC anticipate</w:t>
      </w:r>
      <w:r w:rsidR="00041C4C">
        <w:rPr>
          <w:sz w:val="26"/>
        </w:rPr>
        <w:t>d</w:t>
      </w:r>
      <w:r>
        <w:rPr>
          <w:sz w:val="26"/>
        </w:rPr>
        <w:t xml:space="preserve"> that when the State Street project is completed and reflected in the Company’s DSIC calculation, along with the Company’s ongoing meter replacement plan efforts for the current period, its DSIC, which is presently </w:t>
      </w:r>
      <w:r w:rsidR="007A384D">
        <w:rPr>
          <w:sz w:val="26"/>
        </w:rPr>
        <w:t xml:space="preserve">at </w:t>
      </w:r>
      <w:r>
        <w:rPr>
          <w:sz w:val="26"/>
        </w:rPr>
        <w:t>4.26%, will exceed 5%.</w:t>
      </w:r>
      <w:r w:rsidR="004E73FD">
        <w:rPr>
          <w:sz w:val="26"/>
        </w:rPr>
        <w:t xml:space="preserve"> </w:t>
      </w:r>
      <w:r>
        <w:rPr>
          <w:sz w:val="26"/>
        </w:rPr>
        <w:t xml:space="preserve"> NAWC maintain</w:t>
      </w:r>
      <w:r w:rsidR="00041C4C">
        <w:rPr>
          <w:sz w:val="26"/>
        </w:rPr>
        <w:t>ed</w:t>
      </w:r>
      <w:r>
        <w:rPr>
          <w:sz w:val="26"/>
        </w:rPr>
        <w:t xml:space="preserve"> that additional LTIIP program expenditures projected for 2018 through 2021, will increase the DSIC even further above 5%.</w:t>
      </w:r>
      <w:r w:rsidR="007A384D">
        <w:rPr>
          <w:sz w:val="26"/>
        </w:rPr>
        <w:t xml:space="preserve">  </w:t>
      </w:r>
      <w:r w:rsidR="009B7EE8">
        <w:rPr>
          <w:sz w:val="26"/>
        </w:rPr>
        <w:t>NAWC M.B. at 7.</w:t>
      </w:r>
    </w:p>
    <w:p w14:paraId="3A8EE811" w14:textId="77777777" w:rsidR="00FA40C3" w:rsidRDefault="00FA40C3" w:rsidP="002F7DB7">
      <w:pPr>
        <w:widowControl/>
        <w:tabs>
          <w:tab w:val="left" w:pos="900"/>
        </w:tabs>
        <w:spacing w:line="360" w:lineRule="auto"/>
        <w:rPr>
          <w:sz w:val="26"/>
        </w:rPr>
      </w:pPr>
    </w:p>
    <w:p w14:paraId="1769A806" w14:textId="3D6A8773" w:rsidR="00FA40C3" w:rsidRDefault="00520711" w:rsidP="002F7DB7">
      <w:pPr>
        <w:widowControl/>
        <w:tabs>
          <w:tab w:val="left" w:pos="900"/>
        </w:tabs>
        <w:spacing w:line="360" w:lineRule="auto"/>
        <w:rPr>
          <w:sz w:val="26"/>
        </w:rPr>
      </w:pPr>
      <w:r>
        <w:rPr>
          <w:sz w:val="26"/>
        </w:rPr>
        <w:tab/>
      </w:r>
      <w:r>
        <w:rPr>
          <w:sz w:val="26"/>
        </w:rPr>
        <w:tab/>
        <w:t>NAWC aver</w:t>
      </w:r>
      <w:r w:rsidR="00041C4C">
        <w:rPr>
          <w:sz w:val="26"/>
        </w:rPr>
        <w:t>red</w:t>
      </w:r>
      <w:r>
        <w:rPr>
          <w:sz w:val="26"/>
        </w:rPr>
        <w:t xml:space="preserve"> that compliance with the Company’s infrastructure replacement schedule and LTIIP will be facilitated by increasing the DSIC cap.  The increase will allow the Company to recover the fixed costs (depreciation and pre-tax return) of completed DSIC</w:t>
      </w:r>
      <w:r w:rsidR="006D4B12">
        <w:rPr>
          <w:sz w:val="26"/>
        </w:rPr>
        <w:t>-</w:t>
      </w:r>
      <w:r>
        <w:rPr>
          <w:sz w:val="26"/>
        </w:rPr>
        <w:t xml:space="preserve">eligible LTIIP projects until they are reflected in base rates in the Company’s next base rate case.  </w:t>
      </w:r>
      <w:r w:rsidR="00B37824" w:rsidRPr="00B37824">
        <w:rPr>
          <w:i/>
          <w:sz w:val="26"/>
        </w:rPr>
        <w:t>Id</w:t>
      </w:r>
      <w:r w:rsidRPr="00B37824">
        <w:rPr>
          <w:i/>
          <w:sz w:val="26"/>
        </w:rPr>
        <w:t>.</w:t>
      </w:r>
      <w:r>
        <w:rPr>
          <w:sz w:val="26"/>
        </w:rPr>
        <w:t xml:space="preserve"> at 8.</w:t>
      </w:r>
    </w:p>
    <w:p w14:paraId="34A21803" w14:textId="77777777" w:rsidR="009B7EE8" w:rsidRDefault="009B7EE8" w:rsidP="002F7DB7">
      <w:pPr>
        <w:widowControl/>
        <w:tabs>
          <w:tab w:val="left" w:pos="900"/>
        </w:tabs>
        <w:spacing w:line="360" w:lineRule="auto"/>
        <w:rPr>
          <w:sz w:val="26"/>
        </w:rPr>
      </w:pPr>
    </w:p>
    <w:p w14:paraId="30420AC3" w14:textId="510A53BC" w:rsidR="00520711" w:rsidRDefault="00520711" w:rsidP="002F7DB7">
      <w:pPr>
        <w:widowControl/>
        <w:tabs>
          <w:tab w:val="left" w:pos="900"/>
        </w:tabs>
        <w:spacing w:line="360" w:lineRule="auto"/>
        <w:rPr>
          <w:sz w:val="26"/>
        </w:rPr>
      </w:pPr>
      <w:r>
        <w:rPr>
          <w:sz w:val="26"/>
        </w:rPr>
        <w:lastRenderedPageBreak/>
        <w:tab/>
      </w:r>
      <w:r>
        <w:rPr>
          <w:sz w:val="26"/>
        </w:rPr>
        <w:tab/>
        <w:t>NAWC note</w:t>
      </w:r>
      <w:r w:rsidR="00041C4C">
        <w:rPr>
          <w:sz w:val="26"/>
        </w:rPr>
        <w:t>d</w:t>
      </w:r>
      <w:r>
        <w:rPr>
          <w:sz w:val="26"/>
        </w:rPr>
        <w:t xml:space="preserve"> that increasing the DSIC cap will benefit customers by reducing the frequency of base rate cases.  NAWC state</w:t>
      </w:r>
      <w:r w:rsidR="00041C4C">
        <w:rPr>
          <w:sz w:val="26"/>
        </w:rPr>
        <w:t>d</w:t>
      </w:r>
      <w:r>
        <w:rPr>
          <w:sz w:val="26"/>
        </w:rPr>
        <w:t xml:space="preserve"> it is likely that the frequency of DSIC</w:t>
      </w:r>
      <w:r w:rsidR="006D4B12">
        <w:rPr>
          <w:sz w:val="26"/>
        </w:rPr>
        <w:t>-</w:t>
      </w:r>
      <w:r>
        <w:rPr>
          <w:sz w:val="26"/>
        </w:rPr>
        <w:t>cap</w:t>
      </w:r>
      <w:r w:rsidR="006D4B12">
        <w:rPr>
          <w:sz w:val="26"/>
        </w:rPr>
        <w:t>-</w:t>
      </w:r>
      <w:r>
        <w:rPr>
          <w:sz w:val="26"/>
        </w:rPr>
        <w:t xml:space="preserve">related base rate cases will be cut in half as a result of increasing the DSIC cap to 7.5%.  </w:t>
      </w:r>
      <w:r w:rsidR="00B37824" w:rsidRPr="00B37824">
        <w:rPr>
          <w:i/>
          <w:sz w:val="26"/>
        </w:rPr>
        <w:t>Id</w:t>
      </w:r>
      <w:r w:rsidRPr="00B37824">
        <w:rPr>
          <w:i/>
          <w:sz w:val="26"/>
        </w:rPr>
        <w:t>.</w:t>
      </w:r>
    </w:p>
    <w:p w14:paraId="70A3B174" w14:textId="77777777" w:rsidR="00520711" w:rsidRDefault="00520711" w:rsidP="002F7DB7">
      <w:pPr>
        <w:widowControl/>
        <w:tabs>
          <w:tab w:val="left" w:pos="900"/>
        </w:tabs>
        <w:spacing w:line="360" w:lineRule="auto"/>
        <w:rPr>
          <w:sz w:val="26"/>
        </w:rPr>
      </w:pPr>
    </w:p>
    <w:p w14:paraId="52DBAE71" w14:textId="61C250F4" w:rsidR="00520711" w:rsidRDefault="00520711" w:rsidP="002F7DB7">
      <w:pPr>
        <w:widowControl/>
        <w:tabs>
          <w:tab w:val="left" w:pos="900"/>
        </w:tabs>
        <w:spacing w:line="360" w:lineRule="auto"/>
        <w:rPr>
          <w:sz w:val="26"/>
        </w:rPr>
      </w:pPr>
      <w:r>
        <w:rPr>
          <w:sz w:val="26"/>
        </w:rPr>
        <w:tab/>
      </w:r>
      <w:r>
        <w:rPr>
          <w:sz w:val="26"/>
        </w:rPr>
        <w:tab/>
        <w:t>NAWC maintains that customers will benefit from infrastructure improvement</w:t>
      </w:r>
      <w:r w:rsidR="00CD2D39">
        <w:rPr>
          <w:sz w:val="26"/>
        </w:rPr>
        <w:t>s</w:t>
      </w:r>
      <w:r>
        <w:rPr>
          <w:sz w:val="26"/>
        </w:rPr>
        <w:t xml:space="preserve"> related to the LTIIP such as: a decline in the number of main breaks and service interruptions, increased fire protection</w:t>
      </w:r>
      <w:r w:rsidR="00CD2D39">
        <w:rPr>
          <w:sz w:val="26"/>
        </w:rPr>
        <w:t>,</w:t>
      </w:r>
      <w:r>
        <w:rPr>
          <w:sz w:val="26"/>
        </w:rPr>
        <w:t xml:space="preserve"> and an improvement in water quality through replacement, lining, cleaning, and tie-ins.  </w:t>
      </w:r>
      <w:r w:rsidR="00B37824" w:rsidRPr="00B37824">
        <w:rPr>
          <w:i/>
          <w:sz w:val="26"/>
        </w:rPr>
        <w:t>Id.</w:t>
      </w:r>
      <w:r>
        <w:rPr>
          <w:sz w:val="26"/>
        </w:rPr>
        <w:t xml:space="preserve"> at 8-9.</w:t>
      </w:r>
    </w:p>
    <w:p w14:paraId="50C01644" w14:textId="77777777" w:rsidR="0053205C" w:rsidRDefault="0053205C" w:rsidP="006D4B12">
      <w:pPr>
        <w:widowControl/>
        <w:spacing w:line="360" w:lineRule="auto"/>
        <w:rPr>
          <w:sz w:val="26"/>
          <w:szCs w:val="26"/>
        </w:rPr>
      </w:pPr>
    </w:p>
    <w:p w14:paraId="74231A26" w14:textId="6997BC04" w:rsidR="0053205C" w:rsidRDefault="0053205C" w:rsidP="002F7DB7">
      <w:pPr>
        <w:widowControl/>
        <w:autoSpaceDE w:val="0"/>
        <w:autoSpaceDN w:val="0"/>
        <w:adjustRightInd w:val="0"/>
        <w:spacing w:line="360" w:lineRule="auto"/>
        <w:rPr>
          <w:rFonts w:eastAsiaTheme="minorHAnsi"/>
          <w:color w:val="161618"/>
          <w:sz w:val="26"/>
          <w:szCs w:val="26"/>
        </w:rPr>
      </w:pPr>
      <w:r>
        <w:rPr>
          <w:sz w:val="26"/>
          <w:szCs w:val="26"/>
        </w:rPr>
        <w:tab/>
      </w:r>
      <w:r>
        <w:rPr>
          <w:sz w:val="26"/>
          <w:szCs w:val="26"/>
        </w:rPr>
        <w:tab/>
      </w:r>
      <w:r w:rsidR="00BC491B">
        <w:rPr>
          <w:sz w:val="26"/>
          <w:szCs w:val="26"/>
        </w:rPr>
        <w:t xml:space="preserve">NAWC </w:t>
      </w:r>
      <w:r w:rsidR="00CD2D39">
        <w:rPr>
          <w:sz w:val="26"/>
          <w:szCs w:val="26"/>
        </w:rPr>
        <w:t>submits</w:t>
      </w:r>
      <w:r w:rsidR="00BC491B">
        <w:rPr>
          <w:sz w:val="26"/>
          <w:szCs w:val="26"/>
        </w:rPr>
        <w:t xml:space="preserve"> that </w:t>
      </w:r>
      <w:r w:rsidR="00BC491B" w:rsidRPr="00BC491B">
        <w:rPr>
          <w:rFonts w:eastAsiaTheme="minorHAnsi"/>
          <w:color w:val="18171A"/>
          <w:sz w:val="26"/>
          <w:szCs w:val="26"/>
        </w:rPr>
        <w:t>Supplement No. 126 presents a non-general rate filing for Commission consideration.</w:t>
      </w:r>
      <w:r w:rsidR="004E73FD">
        <w:rPr>
          <w:rFonts w:eastAsiaTheme="minorHAnsi"/>
          <w:color w:val="18171A"/>
          <w:sz w:val="26"/>
          <w:szCs w:val="26"/>
        </w:rPr>
        <w:t xml:space="preserve"> </w:t>
      </w:r>
      <w:r w:rsidR="00BC491B" w:rsidRPr="00BC491B">
        <w:rPr>
          <w:rFonts w:eastAsiaTheme="minorHAnsi"/>
          <w:color w:val="18171A"/>
          <w:sz w:val="26"/>
          <w:szCs w:val="26"/>
        </w:rPr>
        <w:t xml:space="preserve"> </w:t>
      </w:r>
      <w:r w:rsidR="00BC491B">
        <w:rPr>
          <w:rFonts w:eastAsiaTheme="minorHAnsi"/>
          <w:color w:val="18171A"/>
          <w:sz w:val="26"/>
          <w:szCs w:val="26"/>
        </w:rPr>
        <w:t xml:space="preserve">NAWC states that </w:t>
      </w:r>
      <w:r w:rsidR="00BC491B" w:rsidRPr="00BC491B">
        <w:rPr>
          <w:rFonts w:eastAsiaTheme="minorHAnsi"/>
          <w:color w:val="18171A"/>
          <w:sz w:val="26"/>
          <w:szCs w:val="26"/>
        </w:rPr>
        <w:t>in non-general rate</w:t>
      </w:r>
      <w:r w:rsidR="00BC491B">
        <w:rPr>
          <w:rFonts w:eastAsiaTheme="minorHAnsi"/>
          <w:color w:val="18171A"/>
          <w:sz w:val="26"/>
          <w:szCs w:val="26"/>
        </w:rPr>
        <w:t xml:space="preserve"> </w:t>
      </w:r>
      <w:r w:rsidR="00BC491B" w:rsidRPr="00BC491B">
        <w:rPr>
          <w:rFonts w:eastAsiaTheme="minorHAnsi"/>
          <w:color w:val="18171A"/>
          <w:sz w:val="26"/>
          <w:szCs w:val="26"/>
        </w:rPr>
        <w:t xml:space="preserve">filings, </w:t>
      </w:r>
      <w:r w:rsidR="003D79CB" w:rsidRPr="00BC491B">
        <w:rPr>
          <w:rFonts w:eastAsiaTheme="minorHAnsi"/>
          <w:color w:val="18171A"/>
          <w:sz w:val="26"/>
          <w:szCs w:val="26"/>
        </w:rPr>
        <w:t>the Commission</w:t>
      </w:r>
      <w:r w:rsidR="003D79CB">
        <w:rPr>
          <w:rFonts w:eastAsiaTheme="minorHAnsi"/>
          <w:color w:val="18171A"/>
          <w:sz w:val="26"/>
          <w:szCs w:val="26"/>
        </w:rPr>
        <w:t xml:space="preserve"> </w:t>
      </w:r>
      <w:r w:rsidR="00BC491B" w:rsidRPr="00BC491B">
        <w:rPr>
          <w:rFonts w:eastAsiaTheme="minorHAnsi"/>
          <w:color w:val="18171A"/>
          <w:sz w:val="26"/>
          <w:szCs w:val="26"/>
        </w:rPr>
        <w:t>may determine whether the public utility's rates are just and reasonable based on the</w:t>
      </w:r>
      <w:r w:rsidR="00BC491B">
        <w:rPr>
          <w:rFonts w:eastAsiaTheme="minorHAnsi"/>
          <w:color w:val="18171A"/>
          <w:sz w:val="26"/>
          <w:szCs w:val="26"/>
        </w:rPr>
        <w:t xml:space="preserve"> </w:t>
      </w:r>
      <w:r w:rsidR="00BC491B" w:rsidRPr="00BC491B">
        <w:rPr>
          <w:rFonts w:eastAsiaTheme="minorHAnsi"/>
          <w:color w:val="18171A"/>
          <w:sz w:val="26"/>
          <w:szCs w:val="26"/>
        </w:rPr>
        <w:t>general information required under 52 Pa. Code § 53.52(b)</w:t>
      </w:r>
      <w:r w:rsidR="00BC491B" w:rsidRPr="00BC491B">
        <w:rPr>
          <w:rFonts w:eastAsiaTheme="minorHAnsi"/>
          <w:color w:val="444446"/>
          <w:sz w:val="26"/>
          <w:szCs w:val="26"/>
        </w:rPr>
        <w:t>.</w:t>
      </w:r>
      <w:r w:rsidR="00BC491B">
        <w:rPr>
          <w:rFonts w:eastAsiaTheme="minorHAnsi"/>
          <w:color w:val="18171A"/>
          <w:sz w:val="26"/>
          <w:szCs w:val="26"/>
        </w:rPr>
        <w:t xml:space="preserve">  </w:t>
      </w:r>
      <w:r w:rsidR="00BC491B" w:rsidRPr="00BC491B">
        <w:rPr>
          <w:rFonts w:eastAsiaTheme="minorHAnsi"/>
          <w:color w:val="18171A"/>
          <w:sz w:val="26"/>
          <w:szCs w:val="26"/>
        </w:rPr>
        <w:t>Additionally, the fact that a non-</w:t>
      </w:r>
      <w:r w:rsidR="00BC491B" w:rsidRPr="00BC491B">
        <w:rPr>
          <w:rFonts w:eastAsiaTheme="minorHAnsi"/>
          <w:color w:val="161618"/>
          <w:sz w:val="26"/>
          <w:szCs w:val="26"/>
        </w:rPr>
        <w:t>general rate filing is contested does not increase the utility's evidentiary burden or limit the</w:t>
      </w:r>
      <w:r w:rsidR="00BC491B">
        <w:rPr>
          <w:rFonts w:eastAsiaTheme="minorHAnsi"/>
          <w:color w:val="161618"/>
          <w:sz w:val="26"/>
          <w:szCs w:val="26"/>
        </w:rPr>
        <w:t xml:space="preserve"> </w:t>
      </w:r>
      <w:r w:rsidR="00BC491B" w:rsidRPr="00BC491B">
        <w:rPr>
          <w:rFonts w:eastAsiaTheme="minorHAnsi"/>
          <w:color w:val="161618"/>
          <w:sz w:val="26"/>
          <w:szCs w:val="26"/>
        </w:rPr>
        <w:t>Commission's discretion.</w:t>
      </w:r>
      <w:r w:rsidR="003D1BF0">
        <w:rPr>
          <w:rStyle w:val="FootnoteReference"/>
          <w:rFonts w:eastAsiaTheme="minorHAnsi"/>
          <w:color w:val="161618"/>
          <w:sz w:val="26"/>
          <w:szCs w:val="26"/>
        </w:rPr>
        <w:footnoteReference w:id="2"/>
      </w:r>
      <w:r w:rsidR="0098133A">
        <w:rPr>
          <w:rFonts w:eastAsiaTheme="minorHAnsi"/>
          <w:color w:val="161618"/>
          <w:sz w:val="26"/>
          <w:szCs w:val="26"/>
        </w:rPr>
        <w:t xml:space="preserve"> </w:t>
      </w:r>
      <w:r w:rsidR="00BC491B">
        <w:rPr>
          <w:rFonts w:eastAsiaTheme="minorHAnsi"/>
          <w:color w:val="161618"/>
          <w:sz w:val="26"/>
          <w:szCs w:val="26"/>
        </w:rPr>
        <w:t xml:space="preserve"> </w:t>
      </w:r>
      <w:r w:rsidR="00B37824" w:rsidRPr="00B37824">
        <w:rPr>
          <w:rFonts w:eastAsiaTheme="minorHAnsi"/>
          <w:i/>
          <w:color w:val="161618"/>
          <w:sz w:val="26"/>
          <w:szCs w:val="26"/>
        </w:rPr>
        <w:t>Id</w:t>
      </w:r>
      <w:r w:rsidR="00BC491B" w:rsidRPr="00B37824">
        <w:rPr>
          <w:rFonts w:eastAsiaTheme="minorHAnsi"/>
          <w:i/>
          <w:color w:val="161618"/>
          <w:sz w:val="26"/>
          <w:szCs w:val="26"/>
        </w:rPr>
        <w:t>.</w:t>
      </w:r>
      <w:r w:rsidR="00BC491B">
        <w:rPr>
          <w:rFonts w:eastAsiaTheme="minorHAnsi"/>
          <w:color w:val="161618"/>
          <w:sz w:val="26"/>
          <w:szCs w:val="26"/>
        </w:rPr>
        <w:t xml:space="preserve"> at 2-3.</w:t>
      </w:r>
    </w:p>
    <w:p w14:paraId="01AF0FC8" w14:textId="77777777" w:rsidR="00BC491B" w:rsidRDefault="00BC491B" w:rsidP="002F7DB7">
      <w:pPr>
        <w:widowControl/>
        <w:autoSpaceDE w:val="0"/>
        <w:autoSpaceDN w:val="0"/>
        <w:adjustRightInd w:val="0"/>
        <w:spacing w:line="360" w:lineRule="auto"/>
        <w:rPr>
          <w:sz w:val="26"/>
          <w:szCs w:val="26"/>
        </w:rPr>
      </w:pPr>
    </w:p>
    <w:p w14:paraId="33FD1564" w14:textId="4AB8604C" w:rsidR="00BC491B" w:rsidRDefault="00BB05CE" w:rsidP="002F7DB7">
      <w:pPr>
        <w:widowControl/>
        <w:autoSpaceDE w:val="0"/>
        <w:autoSpaceDN w:val="0"/>
        <w:adjustRightInd w:val="0"/>
        <w:spacing w:line="360" w:lineRule="auto"/>
        <w:rPr>
          <w:rFonts w:eastAsiaTheme="minorHAnsi"/>
          <w:color w:val="19191A"/>
          <w:sz w:val="26"/>
          <w:szCs w:val="26"/>
        </w:rPr>
      </w:pPr>
      <w:r>
        <w:rPr>
          <w:rFonts w:eastAsiaTheme="minorHAnsi"/>
          <w:color w:val="28282A"/>
          <w:sz w:val="26"/>
          <w:szCs w:val="26"/>
        </w:rPr>
        <w:tab/>
      </w:r>
      <w:r>
        <w:rPr>
          <w:rFonts w:eastAsiaTheme="minorHAnsi"/>
          <w:color w:val="28282A"/>
          <w:sz w:val="26"/>
          <w:szCs w:val="26"/>
        </w:rPr>
        <w:tab/>
      </w:r>
      <w:r w:rsidR="003D1BF0" w:rsidRPr="003D1BF0">
        <w:rPr>
          <w:rFonts w:eastAsiaTheme="minorHAnsi"/>
          <w:color w:val="28282A"/>
          <w:sz w:val="26"/>
          <w:szCs w:val="26"/>
        </w:rPr>
        <w:t>NAWC further explain</w:t>
      </w:r>
      <w:r w:rsidR="00041C4C">
        <w:rPr>
          <w:rFonts w:eastAsiaTheme="minorHAnsi"/>
          <w:color w:val="28282A"/>
          <w:sz w:val="26"/>
          <w:szCs w:val="26"/>
        </w:rPr>
        <w:t>ed</w:t>
      </w:r>
      <w:r w:rsidR="003D1BF0" w:rsidRPr="003D1BF0">
        <w:rPr>
          <w:rFonts w:eastAsiaTheme="minorHAnsi"/>
          <w:color w:val="28282A"/>
          <w:sz w:val="26"/>
          <w:szCs w:val="26"/>
        </w:rPr>
        <w:t xml:space="preserve"> that t</w:t>
      </w:r>
      <w:r w:rsidR="00BC491B" w:rsidRPr="003D1BF0">
        <w:rPr>
          <w:rFonts w:eastAsiaTheme="minorHAnsi"/>
          <w:color w:val="28282A"/>
          <w:sz w:val="26"/>
          <w:szCs w:val="26"/>
        </w:rPr>
        <w:t xml:space="preserve">he </w:t>
      </w:r>
      <w:r w:rsidR="00BC491B" w:rsidRPr="003D1BF0">
        <w:rPr>
          <w:rFonts w:eastAsiaTheme="minorHAnsi"/>
          <w:color w:val="19191A"/>
          <w:sz w:val="26"/>
          <w:szCs w:val="26"/>
        </w:rPr>
        <w:t>DSIC</w:t>
      </w:r>
      <w:r w:rsidR="00AC098B">
        <w:rPr>
          <w:rFonts w:eastAsiaTheme="minorHAnsi"/>
          <w:color w:val="19191A"/>
          <w:sz w:val="26"/>
          <w:szCs w:val="26"/>
        </w:rPr>
        <w:t>-</w:t>
      </w:r>
      <w:r w:rsidR="00BC491B" w:rsidRPr="003D1BF0">
        <w:rPr>
          <w:rFonts w:eastAsiaTheme="minorHAnsi"/>
          <w:color w:val="19191A"/>
          <w:sz w:val="26"/>
          <w:szCs w:val="26"/>
        </w:rPr>
        <w:t>cap increase is</w:t>
      </w:r>
      <w:r w:rsidR="003D1BF0" w:rsidRPr="003D1BF0">
        <w:rPr>
          <w:rFonts w:eastAsiaTheme="minorHAnsi"/>
          <w:color w:val="19191A"/>
          <w:sz w:val="26"/>
          <w:szCs w:val="26"/>
        </w:rPr>
        <w:t xml:space="preserve"> </w:t>
      </w:r>
      <w:r w:rsidR="00BC491B" w:rsidRPr="003D1BF0">
        <w:rPr>
          <w:rFonts w:eastAsiaTheme="minorHAnsi"/>
          <w:i/>
          <w:iCs/>
          <w:color w:val="19191A"/>
          <w:sz w:val="26"/>
          <w:szCs w:val="26"/>
        </w:rPr>
        <w:t xml:space="preserve">not </w:t>
      </w:r>
      <w:r w:rsidR="00BC491B" w:rsidRPr="003D1BF0">
        <w:rPr>
          <w:rFonts w:eastAsiaTheme="minorHAnsi"/>
          <w:color w:val="19191A"/>
          <w:sz w:val="26"/>
          <w:szCs w:val="26"/>
        </w:rPr>
        <w:t>in excess of</w:t>
      </w:r>
      <w:r w:rsidR="003D1BF0" w:rsidRPr="003D1BF0">
        <w:rPr>
          <w:rFonts w:eastAsiaTheme="minorHAnsi"/>
          <w:color w:val="19191A"/>
          <w:sz w:val="26"/>
          <w:szCs w:val="26"/>
        </w:rPr>
        <w:t xml:space="preserve"> </w:t>
      </w:r>
      <w:r w:rsidR="00BC491B" w:rsidRPr="003D1BF0">
        <w:rPr>
          <w:rFonts w:eastAsiaTheme="minorHAnsi"/>
          <w:color w:val="19191A"/>
          <w:sz w:val="26"/>
          <w:szCs w:val="26"/>
        </w:rPr>
        <w:t>3</w:t>
      </w:r>
      <w:r w:rsidR="00BC491B" w:rsidRPr="003D1BF0">
        <w:rPr>
          <w:rFonts w:eastAsiaTheme="minorHAnsi"/>
          <w:color w:val="404040"/>
          <w:sz w:val="26"/>
          <w:szCs w:val="26"/>
        </w:rPr>
        <w:t>.</w:t>
      </w:r>
      <w:r w:rsidR="00BC491B" w:rsidRPr="003D1BF0">
        <w:rPr>
          <w:rFonts w:eastAsiaTheme="minorHAnsi"/>
          <w:color w:val="19191A"/>
          <w:sz w:val="26"/>
          <w:szCs w:val="26"/>
        </w:rPr>
        <w:t>0% of</w:t>
      </w:r>
      <w:r w:rsidR="003D1BF0" w:rsidRPr="003D1BF0">
        <w:rPr>
          <w:rFonts w:eastAsiaTheme="minorHAnsi"/>
          <w:color w:val="19191A"/>
          <w:sz w:val="26"/>
          <w:szCs w:val="26"/>
        </w:rPr>
        <w:t xml:space="preserve"> </w:t>
      </w:r>
      <w:r w:rsidR="00BC491B" w:rsidRPr="003D1BF0">
        <w:rPr>
          <w:rFonts w:eastAsiaTheme="minorHAnsi"/>
          <w:color w:val="19191A"/>
          <w:sz w:val="26"/>
          <w:szCs w:val="26"/>
        </w:rPr>
        <w:t>NAWC's gross operating revenue.</w:t>
      </w:r>
      <w:r w:rsidR="003D1BF0" w:rsidRPr="003D1BF0">
        <w:rPr>
          <w:rStyle w:val="FootnoteReference"/>
          <w:rFonts w:eastAsiaTheme="minorHAnsi"/>
          <w:color w:val="19191A"/>
          <w:sz w:val="26"/>
          <w:szCs w:val="26"/>
        </w:rPr>
        <w:footnoteReference w:id="3"/>
      </w:r>
      <w:r w:rsidR="003D1BF0" w:rsidRPr="003D1BF0">
        <w:rPr>
          <w:rFonts w:eastAsiaTheme="minorHAnsi"/>
          <w:color w:val="19191A"/>
          <w:sz w:val="26"/>
          <w:szCs w:val="26"/>
        </w:rPr>
        <w:t xml:space="preserve"> </w:t>
      </w:r>
      <w:r w:rsidR="00BC491B" w:rsidRPr="003D1BF0">
        <w:rPr>
          <w:rFonts w:eastAsiaTheme="minorHAnsi"/>
          <w:color w:val="19191A"/>
          <w:sz w:val="26"/>
          <w:szCs w:val="26"/>
        </w:rPr>
        <w:t xml:space="preserve"> The Commission, moreover, in its</w:t>
      </w:r>
      <w:r w:rsidR="003D1BF0" w:rsidRPr="003D1BF0">
        <w:rPr>
          <w:rFonts w:eastAsiaTheme="minorHAnsi"/>
          <w:color w:val="19191A"/>
          <w:sz w:val="26"/>
          <w:szCs w:val="26"/>
        </w:rPr>
        <w:t xml:space="preserve"> </w:t>
      </w:r>
      <w:r w:rsidR="00BC491B" w:rsidRPr="003D1BF0">
        <w:rPr>
          <w:rFonts w:eastAsiaTheme="minorHAnsi"/>
          <w:color w:val="19191A"/>
          <w:sz w:val="26"/>
          <w:szCs w:val="26"/>
        </w:rPr>
        <w:t xml:space="preserve">Order entered </w:t>
      </w:r>
      <w:r w:rsidR="00BC491B" w:rsidRPr="003D1BF0">
        <w:rPr>
          <w:rFonts w:eastAsiaTheme="minorHAnsi"/>
          <w:color w:val="28282A"/>
          <w:sz w:val="26"/>
          <w:szCs w:val="26"/>
        </w:rPr>
        <w:t xml:space="preserve">October </w:t>
      </w:r>
      <w:r w:rsidR="00BC491B" w:rsidRPr="003D1BF0">
        <w:rPr>
          <w:rFonts w:eastAsiaTheme="minorHAnsi"/>
          <w:color w:val="19191A"/>
          <w:sz w:val="26"/>
          <w:szCs w:val="26"/>
        </w:rPr>
        <w:t>5, 2017</w:t>
      </w:r>
      <w:r w:rsidR="00BC491B" w:rsidRPr="003D1BF0">
        <w:rPr>
          <w:rFonts w:eastAsiaTheme="minorHAnsi"/>
          <w:color w:val="404040"/>
          <w:sz w:val="26"/>
          <w:szCs w:val="26"/>
        </w:rPr>
        <w:t xml:space="preserve">, </w:t>
      </w:r>
      <w:r w:rsidR="00BC491B" w:rsidRPr="003D1BF0">
        <w:rPr>
          <w:rFonts w:eastAsiaTheme="minorHAnsi"/>
          <w:color w:val="19191A"/>
          <w:sz w:val="26"/>
          <w:szCs w:val="26"/>
        </w:rPr>
        <w:t>suspended Supplement No</w:t>
      </w:r>
      <w:r w:rsidR="00BC491B" w:rsidRPr="003D1BF0">
        <w:rPr>
          <w:rFonts w:eastAsiaTheme="minorHAnsi"/>
          <w:color w:val="404040"/>
          <w:sz w:val="26"/>
          <w:szCs w:val="26"/>
        </w:rPr>
        <w:t xml:space="preserve">. </w:t>
      </w:r>
      <w:r w:rsidR="00BC491B" w:rsidRPr="003D1BF0">
        <w:rPr>
          <w:rFonts w:eastAsiaTheme="minorHAnsi"/>
          <w:color w:val="19191A"/>
          <w:sz w:val="26"/>
          <w:szCs w:val="26"/>
        </w:rPr>
        <w:t>126 pursuant to Section l308(b)</w:t>
      </w:r>
      <w:r w:rsidR="003D1BF0" w:rsidRPr="003D1BF0">
        <w:rPr>
          <w:rFonts w:eastAsiaTheme="minorHAnsi"/>
          <w:color w:val="19191A"/>
          <w:sz w:val="26"/>
          <w:szCs w:val="26"/>
        </w:rPr>
        <w:t xml:space="preserve"> </w:t>
      </w:r>
      <w:r w:rsidR="00BC491B" w:rsidRPr="003D1BF0">
        <w:rPr>
          <w:rFonts w:eastAsiaTheme="minorHAnsi"/>
          <w:color w:val="19191A"/>
          <w:sz w:val="26"/>
          <w:szCs w:val="26"/>
        </w:rPr>
        <w:t xml:space="preserve">acknowledging that Supplement No. 126 is </w:t>
      </w:r>
      <w:r w:rsidR="00BC491B" w:rsidRPr="003D1BF0">
        <w:rPr>
          <w:rFonts w:eastAsiaTheme="minorHAnsi"/>
          <w:i/>
          <w:iCs/>
          <w:color w:val="19191A"/>
          <w:sz w:val="26"/>
          <w:szCs w:val="26"/>
        </w:rPr>
        <w:t xml:space="preserve">not </w:t>
      </w:r>
      <w:r w:rsidR="00BC491B" w:rsidRPr="003D1BF0">
        <w:rPr>
          <w:rFonts w:eastAsiaTheme="minorHAnsi"/>
          <w:color w:val="19191A"/>
          <w:sz w:val="26"/>
          <w:szCs w:val="26"/>
        </w:rPr>
        <w:t>a general rate filing.</w:t>
      </w:r>
      <w:r w:rsidR="003D1BF0" w:rsidRPr="003D1BF0">
        <w:rPr>
          <w:rStyle w:val="FootnoteReference"/>
          <w:rFonts w:eastAsiaTheme="minorHAnsi"/>
          <w:color w:val="19191A"/>
          <w:sz w:val="26"/>
          <w:szCs w:val="26"/>
        </w:rPr>
        <w:footnoteReference w:id="4"/>
      </w:r>
      <w:r w:rsidR="003D1BF0" w:rsidRPr="003D1BF0">
        <w:rPr>
          <w:rFonts w:eastAsiaTheme="minorHAnsi"/>
          <w:color w:val="19191A"/>
          <w:sz w:val="26"/>
          <w:szCs w:val="26"/>
        </w:rPr>
        <w:t xml:space="preserve"> </w:t>
      </w:r>
      <w:r w:rsidR="004E73FD">
        <w:rPr>
          <w:rFonts w:eastAsiaTheme="minorHAnsi"/>
          <w:color w:val="19191A"/>
          <w:sz w:val="26"/>
          <w:szCs w:val="26"/>
        </w:rPr>
        <w:t xml:space="preserve"> </w:t>
      </w:r>
      <w:r w:rsidR="00553CBB">
        <w:rPr>
          <w:rFonts w:eastAsiaTheme="minorHAnsi"/>
          <w:color w:val="19191A"/>
          <w:sz w:val="26"/>
          <w:szCs w:val="26"/>
        </w:rPr>
        <w:t xml:space="preserve">NAWC asserted that </w:t>
      </w:r>
      <w:r w:rsidR="00553CBB">
        <w:rPr>
          <w:rFonts w:eastAsiaTheme="minorHAnsi"/>
          <w:color w:val="222224"/>
          <w:sz w:val="26"/>
          <w:szCs w:val="26"/>
        </w:rPr>
        <w:t>t</w:t>
      </w:r>
      <w:r w:rsidR="003D1BF0" w:rsidRPr="003D1BF0">
        <w:rPr>
          <w:rFonts w:eastAsiaTheme="minorHAnsi"/>
          <w:color w:val="222224"/>
          <w:sz w:val="26"/>
          <w:szCs w:val="26"/>
        </w:rPr>
        <w:t xml:space="preserve">he </w:t>
      </w:r>
      <w:r w:rsidR="003D1BF0" w:rsidRPr="003D1BF0">
        <w:rPr>
          <w:rFonts w:eastAsiaTheme="minorHAnsi"/>
          <w:color w:val="343436"/>
          <w:sz w:val="26"/>
          <w:szCs w:val="26"/>
        </w:rPr>
        <w:t>general information provided</w:t>
      </w:r>
      <w:r w:rsidR="00BF1CFD">
        <w:rPr>
          <w:rFonts w:eastAsiaTheme="minorHAnsi"/>
          <w:color w:val="343436"/>
          <w:sz w:val="26"/>
          <w:szCs w:val="26"/>
        </w:rPr>
        <w:t xml:space="preserve"> </w:t>
      </w:r>
      <w:r w:rsidR="003D1BF0" w:rsidRPr="003D1BF0">
        <w:rPr>
          <w:rFonts w:eastAsiaTheme="minorHAnsi"/>
          <w:color w:val="222224"/>
          <w:sz w:val="26"/>
          <w:szCs w:val="26"/>
        </w:rPr>
        <w:t xml:space="preserve">by the </w:t>
      </w:r>
      <w:r w:rsidR="003D1BF0" w:rsidRPr="003D1BF0">
        <w:rPr>
          <w:rFonts w:eastAsiaTheme="minorHAnsi"/>
          <w:color w:val="343436"/>
          <w:sz w:val="26"/>
          <w:szCs w:val="26"/>
        </w:rPr>
        <w:t xml:space="preserve">Company </w:t>
      </w:r>
      <w:r w:rsidR="003D1BF0" w:rsidRPr="003D1BF0">
        <w:rPr>
          <w:rFonts w:eastAsiaTheme="minorHAnsi"/>
          <w:color w:val="222224"/>
          <w:sz w:val="26"/>
          <w:szCs w:val="26"/>
        </w:rPr>
        <w:t xml:space="preserve">in response to </w:t>
      </w:r>
      <w:r w:rsidR="003D1BF0" w:rsidRPr="003D1BF0">
        <w:rPr>
          <w:rFonts w:eastAsiaTheme="minorHAnsi"/>
          <w:color w:val="343436"/>
          <w:sz w:val="26"/>
          <w:szCs w:val="26"/>
        </w:rPr>
        <w:t xml:space="preserve">Section </w:t>
      </w:r>
      <w:r w:rsidR="003D1BF0" w:rsidRPr="003D1BF0">
        <w:rPr>
          <w:rFonts w:eastAsiaTheme="minorHAnsi"/>
          <w:color w:val="222224"/>
          <w:sz w:val="26"/>
          <w:szCs w:val="26"/>
        </w:rPr>
        <w:t xml:space="preserve">53.52(b) </w:t>
      </w:r>
      <w:r w:rsidR="003D1BF0" w:rsidRPr="003D1BF0">
        <w:rPr>
          <w:rFonts w:eastAsiaTheme="minorHAnsi"/>
          <w:color w:val="343436"/>
          <w:sz w:val="26"/>
          <w:szCs w:val="26"/>
        </w:rPr>
        <w:lastRenderedPageBreak/>
        <w:t xml:space="preserve">establishes </w:t>
      </w:r>
      <w:r w:rsidR="003D1BF0" w:rsidRPr="003D1BF0">
        <w:rPr>
          <w:rFonts w:eastAsiaTheme="minorHAnsi"/>
          <w:color w:val="222224"/>
          <w:sz w:val="26"/>
          <w:szCs w:val="26"/>
        </w:rPr>
        <w:t xml:space="preserve">that Supplement No. 126 </w:t>
      </w:r>
      <w:r w:rsidR="003D1BF0" w:rsidRPr="003D1BF0">
        <w:rPr>
          <w:rFonts w:eastAsiaTheme="minorHAnsi"/>
          <w:color w:val="343436"/>
          <w:sz w:val="26"/>
          <w:szCs w:val="26"/>
        </w:rPr>
        <w:t xml:space="preserve">and </w:t>
      </w:r>
      <w:r w:rsidR="003D1BF0" w:rsidRPr="003D1BF0">
        <w:rPr>
          <w:rFonts w:eastAsiaTheme="minorHAnsi"/>
          <w:color w:val="222224"/>
          <w:sz w:val="26"/>
          <w:szCs w:val="26"/>
        </w:rPr>
        <w:t>the</w:t>
      </w:r>
      <w:r w:rsidR="003D1BF0">
        <w:rPr>
          <w:rFonts w:eastAsiaTheme="minorHAnsi"/>
          <w:color w:val="222224"/>
          <w:sz w:val="26"/>
          <w:szCs w:val="26"/>
        </w:rPr>
        <w:t xml:space="preserve"> </w:t>
      </w:r>
      <w:r w:rsidR="003D1BF0" w:rsidRPr="003D1BF0">
        <w:rPr>
          <w:rFonts w:eastAsiaTheme="minorHAnsi"/>
          <w:color w:val="222224"/>
          <w:sz w:val="26"/>
          <w:szCs w:val="26"/>
        </w:rPr>
        <w:t xml:space="preserve">proposed increase to the DSIC </w:t>
      </w:r>
      <w:r w:rsidR="003D1BF0" w:rsidRPr="003D1BF0">
        <w:rPr>
          <w:rFonts w:eastAsiaTheme="minorHAnsi"/>
          <w:color w:val="343436"/>
          <w:sz w:val="26"/>
          <w:szCs w:val="26"/>
        </w:rPr>
        <w:t xml:space="preserve">cap </w:t>
      </w:r>
      <w:r w:rsidR="003D1BF0" w:rsidRPr="003D1BF0">
        <w:rPr>
          <w:rFonts w:eastAsiaTheme="minorHAnsi"/>
          <w:color w:val="222224"/>
          <w:sz w:val="26"/>
          <w:szCs w:val="26"/>
        </w:rPr>
        <w:t xml:space="preserve">is just </w:t>
      </w:r>
      <w:r w:rsidR="003D1BF0" w:rsidRPr="003D1BF0">
        <w:rPr>
          <w:rFonts w:eastAsiaTheme="minorHAnsi"/>
          <w:color w:val="343436"/>
          <w:sz w:val="26"/>
          <w:szCs w:val="26"/>
        </w:rPr>
        <w:t xml:space="preserve">and reasonable. </w:t>
      </w:r>
      <w:r w:rsidR="00AC098B">
        <w:rPr>
          <w:rFonts w:eastAsiaTheme="minorHAnsi"/>
          <w:color w:val="343436"/>
          <w:sz w:val="26"/>
          <w:szCs w:val="26"/>
        </w:rPr>
        <w:t xml:space="preserve"> </w:t>
      </w:r>
      <w:r w:rsidR="00E06B1B">
        <w:rPr>
          <w:rFonts w:eastAsiaTheme="minorHAnsi"/>
          <w:color w:val="343436"/>
          <w:sz w:val="26"/>
          <w:szCs w:val="26"/>
        </w:rPr>
        <w:t>NAWC claimed that t</w:t>
      </w:r>
      <w:r w:rsidR="003D1BF0" w:rsidRPr="003D1BF0">
        <w:rPr>
          <w:rFonts w:eastAsiaTheme="minorHAnsi"/>
          <w:color w:val="343436"/>
          <w:sz w:val="26"/>
          <w:szCs w:val="26"/>
        </w:rPr>
        <w:t xml:space="preserve">he OCA </w:t>
      </w:r>
      <w:r w:rsidR="003D1BF0" w:rsidRPr="003D1BF0">
        <w:rPr>
          <w:rFonts w:eastAsiaTheme="minorHAnsi"/>
          <w:color w:val="222224"/>
          <w:sz w:val="26"/>
          <w:szCs w:val="26"/>
        </w:rPr>
        <w:t>present</w:t>
      </w:r>
      <w:r w:rsidR="00E06B1B">
        <w:rPr>
          <w:rFonts w:eastAsiaTheme="minorHAnsi"/>
          <w:color w:val="222224"/>
          <w:sz w:val="26"/>
          <w:szCs w:val="26"/>
        </w:rPr>
        <w:t>ed</w:t>
      </w:r>
      <w:r w:rsidR="003D1BF0" w:rsidRPr="003D1BF0">
        <w:rPr>
          <w:rFonts w:eastAsiaTheme="minorHAnsi"/>
          <w:color w:val="222224"/>
          <w:sz w:val="26"/>
          <w:szCs w:val="26"/>
        </w:rPr>
        <w:t xml:space="preserve"> no </w:t>
      </w:r>
      <w:r w:rsidR="003D1BF0" w:rsidRPr="003D1BF0">
        <w:rPr>
          <w:rFonts w:eastAsiaTheme="minorHAnsi"/>
          <w:color w:val="343436"/>
          <w:sz w:val="26"/>
          <w:szCs w:val="26"/>
        </w:rPr>
        <w:t>analysis of</w:t>
      </w:r>
      <w:r w:rsidR="003D1BF0">
        <w:rPr>
          <w:rFonts w:eastAsiaTheme="minorHAnsi"/>
          <w:color w:val="343436"/>
          <w:sz w:val="26"/>
          <w:szCs w:val="26"/>
        </w:rPr>
        <w:t xml:space="preserve"> </w:t>
      </w:r>
      <w:r w:rsidR="003D1BF0" w:rsidRPr="003D1BF0">
        <w:rPr>
          <w:rFonts w:eastAsiaTheme="minorHAnsi"/>
          <w:color w:val="222224"/>
          <w:sz w:val="26"/>
          <w:szCs w:val="26"/>
        </w:rPr>
        <w:t xml:space="preserve">Section 53.52(b) that suggests </w:t>
      </w:r>
      <w:r w:rsidR="003D1BF0" w:rsidRPr="003D1BF0">
        <w:rPr>
          <w:rFonts w:eastAsiaTheme="minorHAnsi"/>
          <w:color w:val="343436"/>
          <w:sz w:val="26"/>
          <w:szCs w:val="26"/>
        </w:rPr>
        <w:t>otherwise.</w:t>
      </w:r>
      <w:r w:rsidR="004E73FD">
        <w:rPr>
          <w:rFonts w:eastAsiaTheme="minorHAnsi"/>
          <w:color w:val="343436"/>
          <w:sz w:val="26"/>
          <w:szCs w:val="26"/>
        </w:rPr>
        <w:t xml:space="preserve"> </w:t>
      </w:r>
      <w:r w:rsidR="003D1BF0" w:rsidRPr="003D1BF0">
        <w:rPr>
          <w:rFonts w:eastAsiaTheme="minorHAnsi"/>
          <w:color w:val="19191A"/>
          <w:sz w:val="26"/>
          <w:szCs w:val="26"/>
        </w:rPr>
        <w:t xml:space="preserve"> NAWC R.B. at 3.</w:t>
      </w:r>
    </w:p>
    <w:p w14:paraId="1C3917D6" w14:textId="77777777" w:rsidR="0098133A" w:rsidRDefault="0098133A" w:rsidP="002F7DB7">
      <w:pPr>
        <w:widowControl/>
        <w:autoSpaceDE w:val="0"/>
        <w:autoSpaceDN w:val="0"/>
        <w:adjustRightInd w:val="0"/>
        <w:spacing w:line="360" w:lineRule="auto"/>
        <w:rPr>
          <w:sz w:val="26"/>
          <w:szCs w:val="26"/>
        </w:rPr>
      </w:pPr>
    </w:p>
    <w:p w14:paraId="6C2A69C9" w14:textId="68E13E88" w:rsidR="00325F50" w:rsidRDefault="00BB05CE" w:rsidP="002F7DB7">
      <w:pPr>
        <w:widowControl/>
        <w:autoSpaceDE w:val="0"/>
        <w:autoSpaceDN w:val="0"/>
        <w:adjustRightInd w:val="0"/>
        <w:spacing w:line="360" w:lineRule="auto"/>
        <w:rPr>
          <w:sz w:val="26"/>
          <w:szCs w:val="26"/>
        </w:rPr>
      </w:pPr>
      <w:r>
        <w:rPr>
          <w:sz w:val="26"/>
          <w:szCs w:val="26"/>
        </w:rPr>
        <w:tab/>
      </w:r>
      <w:r>
        <w:rPr>
          <w:sz w:val="26"/>
          <w:szCs w:val="26"/>
        </w:rPr>
        <w:tab/>
      </w:r>
      <w:r w:rsidR="00942066">
        <w:rPr>
          <w:sz w:val="26"/>
          <w:szCs w:val="26"/>
        </w:rPr>
        <w:t>NAWC assert</w:t>
      </w:r>
      <w:r w:rsidR="00041C4C">
        <w:rPr>
          <w:sz w:val="26"/>
          <w:szCs w:val="26"/>
        </w:rPr>
        <w:t>ed</w:t>
      </w:r>
      <w:r w:rsidR="00942066">
        <w:rPr>
          <w:sz w:val="26"/>
          <w:szCs w:val="26"/>
        </w:rPr>
        <w:t xml:space="preserve"> that </w:t>
      </w:r>
      <w:r w:rsidR="00E06B1B">
        <w:rPr>
          <w:sz w:val="26"/>
          <w:szCs w:val="26"/>
        </w:rPr>
        <w:t xml:space="preserve">the </w:t>
      </w:r>
      <w:r w:rsidR="00942066">
        <w:rPr>
          <w:sz w:val="26"/>
          <w:szCs w:val="26"/>
        </w:rPr>
        <w:t>OCA has gone far beyond the Company’s proposed DSIC</w:t>
      </w:r>
      <w:r w:rsidR="00E06B1B">
        <w:rPr>
          <w:sz w:val="26"/>
          <w:szCs w:val="26"/>
        </w:rPr>
        <w:t>-</w:t>
      </w:r>
      <w:r w:rsidR="00942066">
        <w:rPr>
          <w:sz w:val="26"/>
          <w:szCs w:val="26"/>
        </w:rPr>
        <w:t xml:space="preserve">cap offering recommendations that seek, </w:t>
      </w:r>
      <w:r w:rsidR="00942066" w:rsidRPr="00942066">
        <w:rPr>
          <w:i/>
          <w:sz w:val="26"/>
          <w:szCs w:val="26"/>
        </w:rPr>
        <w:t>inter alia</w:t>
      </w:r>
      <w:r w:rsidR="00942066">
        <w:rPr>
          <w:sz w:val="26"/>
          <w:szCs w:val="26"/>
        </w:rPr>
        <w:t>, to change the established method for calculating the DSIC and for presenting earnings reports under 52 Pa. Code Chapter 71.  NAWC M.B. at 3.</w:t>
      </w:r>
    </w:p>
    <w:p w14:paraId="32292534" w14:textId="35430A86" w:rsidR="0053205C" w:rsidRDefault="0053205C" w:rsidP="002F7DB7">
      <w:pPr>
        <w:widowControl/>
        <w:autoSpaceDE w:val="0"/>
        <w:autoSpaceDN w:val="0"/>
        <w:adjustRightInd w:val="0"/>
        <w:spacing w:line="360" w:lineRule="auto"/>
        <w:rPr>
          <w:sz w:val="26"/>
          <w:szCs w:val="26"/>
        </w:rPr>
      </w:pPr>
    </w:p>
    <w:p w14:paraId="6F8505FE" w14:textId="77777777" w:rsidR="0053205C" w:rsidRPr="00372A35" w:rsidRDefault="0053205C" w:rsidP="00542ED1">
      <w:pPr>
        <w:pStyle w:val="Heading4"/>
        <w:keepLines/>
      </w:pPr>
      <w:r>
        <w:tab/>
      </w:r>
      <w:r>
        <w:tab/>
      </w:r>
      <w:bookmarkStart w:id="20" w:name="_Toc512430435"/>
      <w:r>
        <w:t>b</w:t>
      </w:r>
      <w:r w:rsidRPr="00372A35">
        <w:t>.</w:t>
      </w:r>
      <w:r w:rsidRPr="00372A35">
        <w:tab/>
        <w:t>OCA</w:t>
      </w:r>
      <w:r>
        <w:t>’s</w:t>
      </w:r>
      <w:r w:rsidRPr="00372A35">
        <w:t xml:space="preserve"> Position</w:t>
      </w:r>
      <w:bookmarkEnd w:id="20"/>
    </w:p>
    <w:p w14:paraId="5D43D3C3" w14:textId="77777777" w:rsidR="00BB05CE" w:rsidRDefault="00BB05CE" w:rsidP="00542ED1">
      <w:pPr>
        <w:keepNext/>
        <w:keepLines/>
        <w:widowControl/>
        <w:autoSpaceDE w:val="0"/>
        <w:autoSpaceDN w:val="0"/>
        <w:adjustRightInd w:val="0"/>
        <w:spacing w:line="360" w:lineRule="auto"/>
        <w:ind w:left="720" w:firstLine="720"/>
        <w:rPr>
          <w:sz w:val="26"/>
          <w:szCs w:val="26"/>
        </w:rPr>
      </w:pPr>
    </w:p>
    <w:p w14:paraId="0E1FCEAA" w14:textId="53CF2CCC" w:rsidR="009B2307" w:rsidRPr="009B2307" w:rsidRDefault="00BB05CE" w:rsidP="002F7DB7">
      <w:pPr>
        <w:widowControl/>
        <w:autoSpaceDE w:val="0"/>
        <w:autoSpaceDN w:val="0"/>
        <w:adjustRightInd w:val="0"/>
        <w:spacing w:line="360" w:lineRule="auto"/>
        <w:rPr>
          <w:rFonts w:ascii="TimesNewRomanPSMT" w:eastAsiaTheme="minorHAnsi" w:hAnsi="TimesNewRomanPSMT" w:cs="TimesNewRomanPSMT"/>
          <w:sz w:val="26"/>
          <w:szCs w:val="26"/>
        </w:rPr>
      </w:pPr>
      <w:r>
        <w:rPr>
          <w:rFonts w:ascii="TimesNewRomanPSMT" w:eastAsiaTheme="minorHAnsi" w:hAnsi="TimesNewRomanPSMT" w:cs="TimesNewRomanPSMT"/>
          <w:sz w:val="26"/>
          <w:szCs w:val="26"/>
        </w:rPr>
        <w:tab/>
      </w:r>
      <w:r>
        <w:rPr>
          <w:rFonts w:ascii="TimesNewRomanPSMT" w:eastAsiaTheme="minorHAnsi" w:hAnsi="TimesNewRomanPSMT" w:cs="TimesNewRomanPSMT"/>
          <w:sz w:val="26"/>
          <w:szCs w:val="26"/>
        </w:rPr>
        <w:tab/>
      </w:r>
      <w:r w:rsidR="00BB2EC7">
        <w:rPr>
          <w:rFonts w:ascii="TimesNewRomanPSMT" w:eastAsiaTheme="minorHAnsi" w:hAnsi="TimesNewRomanPSMT" w:cs="TimesNewRomanPSMT"/>
          <w:sz w:val="26"/>
          <w:szCs w:val="26"/>
        </w:rPr>
        <w:t xml:space="preserve">The </w:t>
      </w:r>
      <w:r w:rsidR="009B2307">
        <w:rPr>
          <w:rFonts w:ascii="TimesNewRomanPSMT" w:eastAsiaTheme="minorHAnsi" w:hAnsi="TimesNewRomanPSMT" w:cs="TimesNewRomanPSMT"/>
          <w:sz w:val="26"/>
          <w:szCs w:val="26"/>
        </w:rPr>
        <w:t>OCA provide</w:t>
      </w:r>
      <w:r w:rsidR="00041C4C">
        <w:rPr>
          <w:rFonts w:ascii="TimesNewRomanPSMT" w:eastAsiaTheme="minorHAnsi" w:hAnsi="TimesNewRomanPSMT" w:cs="TimesNewRomanPSMT"/>
          <w:sz w:val="26"/>
          <w:szCs w:val="26"/>
        </w:rPr>
        <w:t>d</w:t>
      </w:r>
      <w:r w:rsidR="009B2307">
        <w:rPr>
          <w:rFonts w:ascii="TimesNewRomanPSMT" w:eastAsiaTheme="minorHAnsi" w:hAnsi="TimesNewRomanPSMT" w:cs="TimesNewRomanPSMT"/>
          <w:sz w:val="26"/>
          <w:szCs w:val="26"/>
        </w:rPr>
        <w:t xml:space="preserve"> that </w:t>
      </w:r>
      <w:r w:rsidR="009B2307" w:rsidRPr="009B2307">
        <w:rPr>
          <w:rFonts w:ascii="TimesNewRomanPSMT" w:eastAsiaTheme="minorHAnsi" w:hAnsi="TimesNewRomanPSMT" w:cs="TimesNewRomanPSMT"/>
          <w:sz w:val="26"/>
          <w:szCs w:val="26"/>
        </w:rPr>
        <w:t>the Company has not</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proven by a preponderance of the evidence that the proposed increase is just and reasonable, and</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in compliance with the applicable statutes, regulations and orders. </w:t>
      </w:r>
      <w:r w:rsidR="004E73FD">
        <w:rPr>
          <w:rFonts w:ascii="TimesNewRomanPSMT" w:eastAsiaTheme="minorHAnsi" w:hAnsi="TimesNewRomanPSMT" w:cs="TimesNewRomanPSMT"/>
          <w:sz w:val="26"/>
          <w:szCs w:val="26"/>
        </w:rPr>
        <w:t xml:space="preserve"> </w:t>
      </w:r>
      <w:r w:rsidR="001C5ECF">
        <w:rPr>
          <w:rFonts w:ascii="TimesNewRomanPSMT" w:eastAsiaTheme="minorHAnsi" w:hAnsi="TimesNewRomanPSMT" w:cs="TimesNewRomanPSMT"/>
          <w:sz w:val="26"/>
          <w:szCs w:val="26"/>
        </w:rPr>
        <w:t>The OCA contended tha</w:t>
      </w:r>
      <w:r w:rsidR="00542ED1">
        <w:rPr>
          <w:rFonts w:ascii="TimesNewRomanPSMT" w:eastAsiaTheme="minorHAnsi" w:hAnsi="TimesNewRomanPSMT" w:cs="TimesNewRomanPSMT"/>
          <w:sz w:val="26"/>
          <w:szCs w:val="26"/>
        </w:rPr>
        <w:t>t</w:t>
      </w:r>
      <w:r w:rsidR="001C5ECF">
        <w:rPr>
          <w:rFonts w:ascii="TimesNewRomanPSMT" w:eastAsiaTheme="minorHAnsi" w:hAnsi="TimesNewRomanPSMT" w:cs="TimesNewRomanPSMT"/>
          <w:sz w:val="26"/>
          <w:szCs w:val="26"/>
        </w:rPr>
        <w:t xml:space="preserve"> </w:t>
      </w:r>
      <w:r w:rsidR="00542ED1">
        <w:rPr>
          <w:rFonts w:ascii="TimesNewRomanPSMT" w:eastAsiaTheme="minorHAnsi" w:hAnsi="TimesNewRomanPSMT" w:cs="TimesNewRomanPSMT"/>
          <w:sz w:val="26"/>
          <w:szCs w:val="26"/>
        </w:rPr>
        <w:t xml:space="preserve">the Company supported its </w:t>
      </w:r>
      <w:r w:rsidR="009B2307" w:rsidRPr="009B2307">
        <w:rPr>
          <w:rFonts w:ascii="TimesNewRomanPSMT" w:eastAsiaTheme="minorHAnsi" w:hAnsi="TimesNewRomanPSMT" w:cs="TimesNewRomanPSMT"/>
          <w:sz w:val="26"/>
          <w:szCs w:val="26"/>
        </w:rPr>
        <w:t>claim</w:t>
      </w:r>
      <w:r w:rsidR="00542ED1">
        <w:rPr>
          <w:rFonts w:ascii="TimesNewRomanPSMT" w:eastAsiaTheme="minorHAnsi" w:hAnsi="TimesNewRomanPSMT" w:cs="TimesNewRomanPSMT"/>
          <w:sz w:val="26"/>
          <w:szCs w:val="26"/>
        </w:rPr>
        <w:t xml:space="preserve"> by </w:t>
      </w:r>
      <w:r w:rsidR="009B2307" w:rsidRPr="009B2307">
        <w:rPr>
          <w:rFonts w:ascii="TimesNewRomanPSMT" w:eastAsiaTheme="minorHAnsi" w:hAnsi="TimesNewRomanPSMT" w:cs="TimesNewRomanPSMT"/>
          <w:sz w:val="26"/>
          <w:szCs w:val="26"/>
        </w:rPr>
        <w:t>assert</w:t>
      </w:r>
      <w:r w:rsidR="00542ED1">
        <w:rPr>
          <w:rFonts w:ascii="TimesNewRomanPSMT" w:eastAsiaTheme="minorHAnsi" w:hAnsi="TimesNewRomanPSMT" w:cs="TimesNewRomanPSMT"/>
          <w:sz w:val="26"/>
          <w:szCs w:val="26"/>
        </w:rPr>
        <w:t>ing</w:t>
      </w:r>
      <w:r w:rsidR="009B2307" w:rsidRPr="009B2307">
        <w:rPr>
          <w:rFonts w:ascii="TimesNewRomanPSMT" w:eastAsiaTheme="minorHAnsi" w:hAnsi="TimesNewRomanPSMT" w:cs="TimesNewRomanPSMT"/>
          <w:sz w:val="26"/>
          <w:szCs w:val="26"/>
        </w:rPr>
        <w:t xml:space="preserve"> that the DSIC</w:t>
      </w:r>
      <w:r w:rsidR="00E90BAB">
        <w:rPr>
          <w:rFonts w:ascii="TimesNewRomanPSMT" w:eastAsiaTheme="minorHAnsi" w:hAnsi="TimesNewRomanPSMT" w:cs="TimesNewRomanPSMT"/>
          <w:sz w:val="26"/>
          <w:szCs w:val="26"/>
        </w:rPr>
        <w:t>-</w:t>
      </w:r>
      <w:r w:rsidR="009B2307" w:rsidRPr="009B2307">
        <w:rPr>
          <w:rFonts w:ascii="TimesNewRomanPSMT" w:eastAsiaTheme="minorHAnsi" w:hAnsi="TimesNewRomanPSMT" w:cs="TimesNewRomanPSMT"/>
          <w:sz w:val="26"/>
          <w:szCs w:val="26"/>
        </w:rPr>
        <w:t>cap increase will allow it to comply with its</w:t>
      </w:r>
      <w:r w:rsidR="00436380">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LTIIP</w:t>
      </w:r>
      <w:r w:rsidR="00542ED1">
        <w:rPr>
          <w:rFonts w:ascii="TimesNewRomanPSMT" w:eastAsiaTheme="minorHAnsi" w:hAnsi="TimesNewRomanPSMT" w:cs="TimesNewRomanPSMT"/>
          <w:sz w:val="26"/>
          <w:szCs w:val="26"/>
        </w:rPr>
        <w:t xml:space="preserve"> that was </w:t>
      </w:r>
      <w:r w:rsidR="009B2307" w:rsidRPr="009B2307">
        <w:rPr>
          <w:rFonts w:ascii="TimesNewRomanPSMT" w:eastAsiaTheme="minorHAnsi" w:hAnsi="TimesNewRomanPSMT" w:cs="TimesNewRomanPSMT"/>
          <w:sz w:val="26"/>
          <w:szCs w:val="26"/>
        </w:rPr>
        <w:t>approved by the Commission</w:t>
      </w:r>
      <w:r w:rsidR="00542ED1">
        <w:rPr>
          <w:rFonts w:ascii="TimesNewRomanPSMT" w:eastAsiaTheme="minorHAnsi" w:hAnsi="TimesNewRomanPSMT" w:cs="TimesNewRomanPSMT"/>
          <w:sz w:val="26"/>
          <w:szCs w:val="26"/>
        </w:rPr>
        <w:t>’s</w:t>
      </w:r>
      <w:r w:rsidR="009B2307" w:rsidRPr="009B2307">
        <w:rPr>
          <w:rFonts w:ascii="TimesNewRomanPSMT" w:eastAsiaTheme="minorHAnsi" w:hAnsi="TimesNewRomanPSMT" w:cs="TimesNewRomanPSMT"/>
          <w:sz w:val="26"/>
          <w:szCs w:val="26"/>
        </w:rPr>
        <w:t xml:space="preserve"> </w:t>
      </w:r>
      <w:r w:rsidR="009F3350" w:rsidRPr="009B7EE8">
        <w:rPr>
          <w:i/>
          <w:sz w:val="26"/>
          <w:szCs w:val="26"/>
        </w:rPr>
        <w:t>July 2017 LTIIP Order</w:t>
      </w:r>
      <w:r w:rsidR="009B2307" w:rsidRPr="009B2307">
        <w:rPr>
          <w:rFonts w:ascii="TimesNewRomanPSMT" w:eastAsiaTheme="minorHAnsi" w:hAnsi="TimesNewRomanPSMT" w:cs="TimesNewRomanPSMT"/>
          <w:sz w:val="26"/>
          <w:szCs w:val="26"/>
        </w:rPr>
        <w:t xml:space="preserve">, as well as reduce its base rate case filing frequency.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Based on the evidence in this</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proceeding, however, the Company has asserted that it will comply with the LTIIP regardless of</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whether the Commission approves the DSIC</w:t>
      </w:r>
      <w:r w:rsidR="00E90BAB">
        <w:rPr>
          <w:rFonts w:ascii="TimesNewRomanPSMT" w:eastAsiaTheme="minorHAnsi" w:hAnsi="TimesNewRomanPSMT" w:cs="TimesNewRomanPSMT"/>
          <w:sz w:val="26"/>
          <w:szCs w:val="26"/>
        </w:rPr>
        <w:t>-</w:t>
      </w:r>
      <w:r w:rsidR="009B2307" w:rsidRPr="009B2307">
        <w:rPr>
          <w:rFonts w:ascii="TimesNewRomanPSMT" w:eastAsiaTheme="minorHAnsi" w:hAnsi="TimesNewRomanPSMT" w:cs="TimesNewRomanPSMT"/>
          <w:sz w:val="26"/>
          <w:szCs w:val="26"/>
        </w:rPr>
        <w:t xml:space="preserve">cap increase.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Further, the Company has not filed a</w:t>
      </w:r>
      <w:r w:rsidR="00BF1C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base rate case since March 2011 (almost seven years), has never exceeded its current DSIC cap of</w:t>
      </w:r>
      <w:r w:rsidR="009B2307">
        <w:rPr>
          <w:rFonts w:ascii="TimesNewRomanPSMT" w:eastAsiaTheme="minorHAnsi" w:hAnsi="TimesNewRomanPSMT" w:cs="TimesNewRomanPSMT"/>
          <w:sz w:val="26"/>
          <w:szCs w:val="26"/>
        </w:rPr>
        <w:t xml:space="preserve"> </w:t>
      </w:r>
      <w:r w:rsidR="00976A76">
        <w:rPr>
          <w:rFonts w:ascii="TimesNewRomanPSMT" w:eastAsiaTheme="minorHAnsi" w:hAnsi="TimesNewRomanPSMT" w:cs="TimesNewRomanPSMT"/>
          <w:sz w:val="26"/>
          <w:szCs w:val="26"/>
        </w:rPr>
        <w:t>5 %</w:t>
      </w:r>
      <w:r w:rsidR="009B2307" w:rsidRPr="009B2307">
        <w:rPr>
          <w:rFonts w:ascii="TimesNewRomanPSMT" w:eastAsiaTheme="minorHAnsi" w:hAnsi="TimesNewRomanPSMT" w:cs="TimesNewRomanPSMT"/>
          <w:sz w:val="26"/>
          <w:szCs w:val="26"/>
        </w:rPr>
        <w:t>, and has never utilized the fully forecasted future test year provision under Act</w:t>
      </w:r>
      <w:r w:rsidR="00E90BAB">
        <w:rPr>
          <w:rFonts w:ascii="TimesNewRomanPSMT" w:eastAsiaTheme="minorHAnsi" w:hAnsi="TimesNewRomanPSMT" w:cs="TimesNewRomanPSMT"/>
          <w:sz w:val="26"/>
          <w:szCs w:val="26"/>
        </w:rPr>
        <w:t> </w:t>
      </w:r>
      <w:r w:rsidR="009B2307" w:rsidRPr="009B2307">
        <w:rPr>
          <w:rFonts w:ascii="TimesNewRomanPSMT" w:eastAsiaTheme="minorHAnsi" w:hAnsi="TimesNewRomanPSMT" w:cs="TimesNewRomanPSMT"/>
          <w:sz w:val="26"/>
          <w:szCs w:val="26"/>
        </w:rPr>
        <w:t>11.  OCA M.B. at 4.</w:t>
      </w:r>
    </w:p>
    <w:p w14:paraId="7547F5AB" w14:textId="77777777" w:rsidR="009B2307" w:rsidRPr="009B2307" w:rsidRDefault="009B2307" w:rsidP="002F7DB7">
      <w:pPr>
        <w:widowControl/>
        <w:spacing w:line="360" w:lineRule="auto"/>
        <w:rPr>
          <w:sz w:val="26"/>
          <w:szCs w:val="26"/>
        </w:rPr>
      </w:pPr>
    </w:p>
    <w:p w14:paraId="64A89DE0" w14:textId="2A289F8E" w:rsidR="003D1BF0" w:rsidRDefault="00BB05CE" w:rsidP="002F7DB7">
      <w:pPr>
        <w:widowControl/>
        <w:autoSpaceDE w:val="0"/>
        <w:autoSpaceDN w:val="0"/>
        <w:adjustRightInd w:val="0"/>
        <w:spacing w:line="360" w:lineRule="auto"/>
        <w:rPr>
          <w:sz w:val="26"/>
          <w:szCs w:val="26"/>
        </w:rPr>
      </w:pPr>
      <w:r>
        <w:rPr>
          <w:rFonts w:ascii="TimesNewRomanPSMT" w:eastAsiaTheme="minorHAnsi" w:hAnsi="TimesNewRomanPSMT" w:cs="TimesNewRomanPSMT"/>
          <w:sz w:val="26"/>
          <w:szCs w:val="26"/>
        </w:rPr>
        <w:tab/>
      </w:r>
      <w:r>
        <w:rPr>
          <w:rFonts w:ascii="TimesNewRomanPSMT" w:eastAsiaTheme="minorHAnsi" w:hAnsi="TimesNewRomanPSMT" w:cs="TimesNewRomanPSMT"/>
          <w:sz w:val="26"/>
          <w:szCs w:val="26"/>
        </w:rPr>
        <w:tab/>
      </w:r>
      <w:r w:rsidR="009B2307" w:rsidRPr="009B2307">
        <w:rPr>
          <w:rFonts w:ascii="TimesNewRomanPSMT" w:eastAsiaTheme="minorHAnsi" w:hAnsi="TimesNewRomanPSMT" w:cs="TimesNewRomanPSMT"/>
          <w:sz w:val="26"/>
          <w:szCs w:val="26"/>
        </w:rPr>
        <w:t>In addition, the OCA has identified other issues with NAWC’s existing and proposed DSIC</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mechanism. </w:t>
      </w:r>
      <w:r w:rsidR="002A3FE4">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Several issues stem from the recently enacted Act 40 of 2016, which </w:t>
      </w:r>
      <w:r w:rsidR="009F3350">
        <w:rPr>
          <w:rFonts w:ascii="TimesNewRomanPSMT" w:eastAsiaTheme="minorHAnsi" w:hAnsi="TimesNewRomanPSMT" w:cs="TimesNewRomanPSMT"/>
          <w:sz w:val="26"/>
          <w:szCs w:val="26"/>
        </w:rPr>
        <w:t xml:space="preserve">the </w:t>
      </w:r>
      <w:r w:rsidR="00041C4C">
        <w:rPr>
          <w:rFonts w:ascii="TimesNewRomanPSMT" w:eastAsiaTheme="minorHAnsi" w:hAnsi="TimesNewRomanPSMT" w:cs="TimesNewRomanPSMT"/>
          <w:sz w:val="26"/>
          <w:szCs w:val="26"/>
        </w:rPr>
        <w:t>O</w:t>
      </w:r>
      <w:r w:rsidR="009F3350">
        <w:rPr>
          <w:rFonts w:ascii="TimesNewRomanPSMT" w:eastAsiaTheme="minorHAnsi" w:hAnsi="TimesNewRomanPSMT" w:cs="TimesNewRomanPSMT"/>
          <w:sz w:val="26"/>
          <w:szCs w:val="26"/>
        </w:rPr>
        <w:t>C</w:t>
      </w:r>
      <w:r w:rsidR="00041C4C">
        <w:rPr>
          <w:rFonts w:ascii="TimesNewRomanPSMT" w:eastAsiaTheme="minorHAnsi" w:hAnsi="TimesNewRomanPSMT" w:cs="TimesNewRomanPSMT"/>
          <w:sz w:val="26"/>
          <w:szCs w:val="26"/>
        </w:rPr>
        <w:t xml:space="preserve">A stated </w:t>
      </w:r>
      <w:r w:rsidR="009B2307" w:rsidRPr="009B2307">
        <w:rPr>
          <w:rFonts w:ascii="TimesNewRomanPSMT" w:eastAsiaTheme="minorHAnsi" w:hAnsi="TimesNewRomanPSMT" w:cs="TimesNewRomanPSMT"/>
          <w:sz w:val="26"/>
          <w:szCs w:val="26"/>
        </w:rPr>
        <w:t>requires utilities</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to reflect investment-related income tax deductions and credits in rates that recover those</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investments.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Consistent with Act 40, </w:t>
      </w:r>
      <w:r w:rsidR="009F3350">
        <w:rPr>
          <w:rFonts w:ascii="TimesNewRomanPSMT" w:eastAsiaTheme="minorHAnsi" w:hAnsi="TimesNewRomanPSMT" w:cs="TimesNewRomanPSMT"/>
          <w:sz w:val="26"/>
          <w:szCs w:val="26"/>
        </w:rPr>
        <w:t xml:space="preserve">the </w:t>
      </w:r>
      <w:r w:rsidR="00041C4C">
        <w:rPr>
          <w:rFonts w:ascii="TimesNewRomanPSMT" w:eastAsiaTheme="minorHAnsi" w:hAnsi="TimesNewRomanPSMT" w:cs="TimesNewRomanPSMT"/>
          <w:sz w:val="26"/>
          <w:szCs w:val="26"/>
        </w:rPr>
        <w:t>OCA opine</w:t>
      </w:r>
      <w:r w:rsidR="00B37824">
        <w:rPr>
          <w:rFonts w:ascii="TimesNewRomanPSMT" w:eastAsiaTheme="minorHAnsi" w:hAnsi="TimesNewRomanPSMT" w:cs="TimesNewRomanPSMT"/>
          <w:sz w:val="26"/>
          <w:szCs w:val="26"/>
        </w:rPr>
        <w:t>d</w:t>
      </w:r>
      <w:r w:rsidR="00041C4C">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the Company should include investment-related income tax</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deductions and credits when it calculates the DSIC rate.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For federal income tax deductions, this</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lastRenderedPageBreak/>
        <w:t>requires a change to the Company’s tariff and the OCA also recommended that the Company</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maintain separate Accumulated Deferred Income Tax </w:t>
      </w:r>
      <w:r w:rsidR="00B37824">
        <w:rPr>
          <w:rFonts w:ascii="TimesNewRomanPSMT" w:eastAsiaTheme="minorHAnsi" w:hAnsi="TimesNewRomanPSMT" w:cs="TimesNewRomanPSMT"/>
          <w:sz w:val="26"/>
          <w:szCs w:val="26"/>
        </w:rPr>
        <w:t xml:space="preserve">(ADIT) </w:t>
      </w:r>
      <w:r w:rsidR="009B2307" w:rsidRPr="009B2307">
        <w:rPr>
          <w:rFonts w:ascii="TimesNewRomanPSMT" w:eastAsiaTheme="minorHAnsi" w:hAnsi="TimesNewRomanPSMT" w:cs="TimesNewRomanPSMT"/>
          <w:sz w:val="26"/>
          <w:szCs w:val="26"/>
        </w:rPr>
        <w:t xml:space="preserve">balances for DSIC-eligible plant.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For state</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income tax deductions, the Company should reflect actual state income taxes paid in the state</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income tax rate used to calculate the pre-tax rate of return in its DSIC calculation.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Likewise,</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NAWC should include investment-related tax deductions and credits when it calculates the overall</w:t>
      </w:r>
      <w:r>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return used to apply the DSIC earnings cap, which can reset the DSIC rate to zero.  </w:t>
      </w:r>
      <w:r w:rsidR="00B37824" w:rsidRPr="00B37824">
        <w:rPr>
          <w:rFonts w:ascii="TimesNewRomanPSMT" w:eastAsiaTheme="minorHAnsi" w:hAnsi="TimesNewRomanPSMT" w:cs="TimesNewRomanPSMT"/>
          <w:i/>
          <w:sz w:val="26"/>
          <w:szCs w:val="26"/>
        </w:rPr>
        <w:t>Id</w:t>
      </w:r>
      <w:r w:rsidR="009B2307" w:rsidRPr="00B37824">
        <w:rPr>
          <w:rFonts w:ascii="TimesNewRomanPSMT" w:eastAsiaTheme="minorHAnsi" w:hAnsi="TimesNewRomanPSMT" w:cs="TimesNewRomanPSMT"/>
          <w:i/>
          <w:sz w:val="26"/>
          <w:szCs w:val="26"/>
        </w:rPr>
        <w:t>.</w:t>
      </w:r>
      <w:r w:rsidR="009B2307" w:rsidRPr="009B2307">
        <w:rPr>
          <w:rFonts w:ascii="TimesNewRomanPSMT" w:eastAsiaTheme="minorHAnsi" w:hAnsi="TimesNewRomanPSMT" w:cs="TimesNewRomanPSMT"/>
          <w:sz w:val="26"/>
          <w:szCs w:val="26"/>
        </w:rPr>
        <w:t xml:space="preserve"> at 4-5.</w:t>
      </w:r>
    </w:p>
    <w:p w14:paraId="33BD84D9" w14:textId="77777777" w:rsidR="009B2307" w:rsidRPr="009B2307" w:rsidRDefault="009B2307" w:rsidP="002F7DB7">
      <w:pPr>
        <w:widowControl/>
        <w:spacing w:line="360" w:lineRule="auto"/>
        <w:rPr>
          <w:sz w:val="26"/>
          <w:szCs w:val="26"/>
        </w:rPr>
      </w:pPr>
    </w:p>
    <w:p w14:paraId="089E56F2" w14:textId="2C95D8A7" w:rsidR="00BB05CE" w:rsidRDefault="00BB05CE" w:rsidP="002F7DB7">
      <w:pPr>
        <w:widowControl/>
        <w:autoSpaceDE w:val="0"/>
        <w:autoSpaceDN w:val="0"/>
        <w:adjustRightInd w:val="0"/>
        <w:spacing w:line="360" w:lineRule="auto"/>
        <w:rPr>
          <w:rFonts w:ascii="TimesNewRomanPSMT" w:eastAsiaTheme="minorHAnsi" w:hAnsi="TimesNewRomanPSMT" w:cs="TimesNewRomanPSMT"/>
          <w:sz w:val="26"/>
          <w:szCs w:val="26"/>
        </w:rPr>
      </w:pPr>
      <w:r>
        <w:rPr>
          <w:rFonts w:ascii="TimesNewRomanPSMT" w:eastAsiaTheme="minorHAnsi" w:hAnsi="TimesNewRomanPSMT" w:cs="TimesNewRomanPSMT"/>
          <w:sz w:val="26"/>
          <w:szCs w:val="26"/>
        </w:rPr>
        <w:tab/>
      </w:r>
      <w:r>
        <w:rPr>
          <w:rFonts w:ascii="TimesNewRomanPSMT" w:eastAsiaTheme="minorHAnsi" w:hAnsi="TimesNewRomanPSMT" w:cs="TimesNewRomanPSMT"/>
          <w:sz w:val="26"/>
          <w:szCs w:val="26"/>
        </w:rPr>
        <w:tab/>
      </w:r>
      <w:r w:rsidR="009B2307" w:rsidRPr="009B2307">
        <w:rPr>
          <w:rFonts w:ascii="TimesNewRomanPSMT" w:eastAsiaTheme="minorHAnsi" w:hAnsi="TimesNewRomanPSMT" w:cs="TimesNewRomanPSMT"/>
          <w:sz w:val="26"/>
          <w:szCs w:val="26"/>
        </w:rPr>
        <w:t>The OCA a</w:t>
      </w:r>
      <w:r w:rsidR="00041C4C">
        <w:rPr>
          <w:rFonts w:ascii="TimesNewRomanPSMT" w:eastAsiaTheme="minorHAnsi" w:hAnsi="TimesNewRomanPSMT" w:cs="TimesNewRomanPSMT"/>
          <w:sz w:val="26"/>
          <w:szCs w:val="26"/>
        </w:rPr>
        <w:t>verred</w:t>
      </w:r>
      <w:r w:rsidR="009B2307" w:rsidRPr="009B2307">
        <w:rPr>
          <w:rFonts w:ascii="TimesNewRomanPSMT" w:eastAsiaTheme="minorHAnsi" w:hAnsi="TimesNewRomanPSMT" w:cs="TimesNewRomanPSMT"/>
          <w:sz w:val="26"/>
          <w:szCs w:val="26"/>
        </w:rPr>
        <w:t xml:space="preserve"> that the Company has not been using the correct cost of debt rate in</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its application of the earnings cap and its calculation of the DSIC rate.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First, the Company</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improperly included short-term debt in its calculation of the rate of return used to apply the DSIC</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earnings cap.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Second, the Company used the wrong (historic) cost of debt rate in the calculation</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of the DSIC rate.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Specifically, it used the cost of debt established in its 2011 base rate case instead</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of its current cost of debt. </w:t>
      </w:r>
      <w:r w:rsidR="004E73FD">
        <w:rPr>
          <w:rFonts w:ascii="TimesNewRomanPSMT" w:eastAsiaTheme="minorHAnsi" w:hAnsi="TimesNewRomanPSMT" w:cs="TimesNewRomanPSMT"/>
          <w:sz w:val="26"/>
          <w:szCs w:val="26"/>
        </w:rPr>
        <w:t xml:space="preserve"> </w:t>
      </w:r>
      <w:r w:rsidR="00B37824" w:rsidRPr="00B37824">
        <w:rPr>
          <w:rFonts w:ascii="TimesNewRomanPSMT" w:eastAsiaTheme="minorHAnsi" w:hAnsi="TimesNewRomanPSMT" w:cs="TimesNewRomanPSMT"/>
          <w:i/>
          <w:sz w:val="26"/>
          <w:szCs w:val="26"/>
        </w:rPr>
        <w:t>Id</w:t>
      </w:r>
      <w:r w:rsidR="00325F50" w:rsidRPr="00B37824">
        <w:rPr>
          <w:rFonts w:ascii="TimesNewRomanPSMT" w:eastAsiaTheme="minorHAnsi" w:hAnsi="TimesNewRomanPSMT" w:cs="TimesNewRomanPSMT"/>
          <w:i/>
          <w:sz w:val="26"/>
          <w:szCs w:val="26"/>
        </w:rPr>
        <w:t>.</w:t>
      </w:r>
      <w:r w:rsidR="00325F50">
        <w:rPr>
          <w:rFonts w:ascii="TimesNewRomanPSMT" w:eastAsiaTheme="minorHAnsi" w:hAnsi="TimesNewRomanPSMT" w:cs="TimesNewRomanPSMT"/>
          <w:sz w:val="26"/>
          <w:szCs w:val="26"/>
        </w:rPr>
        <w:t xml:space="preserve"> at 5.</w:t>
      </w:r>
    </w:p>
    <w:p w14:paraId="3D7A3AC9" w14:textId="77777777" w:rsidR="00520711" w:rsidRDefault="00520711" w:rsidP="002F7DB7">
      <w:pPr>
        <w:widowControl/>
        <w:autoSpaceDE w:val="0"/>
        <w:autoSpaceDN w:val="0"/>
        <w:adjustRightInd w:val="0"/>
        <w:spacing w:line="360" w:lineRule="auto"/>
        <w:rPr>
          <w:rFonts w:ascii="TimesNewRomanPSMT" w:eastAsiaTheme="minorHAnsi" w:hAnsi="TimesNewRomanPSMT" w:cs="TimesNewRomanPSMT"/>
          <w:sz w:val="26"/>
          <w:szCs w:val="26"/>
        </w:rPr>
      </w:pPr>
    </w:p>
    <w:p w14:paraId="152E05B1" w14:textId="221C8D5E" w:rsidR="009B2307" w:rsidRDefault="00BB05CE" w:rsidP="002F7DB7">
      <w:pPr>
        <w:widowControl/>
        <w:autoSpaceDE w:val="0"/>
        <w:autoSpaceDN w:val="0"/>
        <w:adjustRightInd w:val="0"/>
        <w:spacing w:line="360" w:lineRule="auto"/>
        <w:rPr>
          <w:rFonts w:ascii="TimesNewRomanPSMT" w:eastAsiaTheme="minorHAnsi" w:hAnsi="TimesNewRomanPSMT" w:cs="TimesNewRomanPSMT"/>
          <w:sz w:val="26"/>
          <w:szCs w:val="26"/>
        </w:rPr>
      </w:pPr>
      <w:r>
        <w:rPr>
          <w:rFonts w:ascii="TimesNewRomanPSMT" w:eastAsiaTheme="minorHAnsi" w:hAnsi="TimesNewRomanPSMT" w:cs="TimesNewRomanPSMT"/>
          <w:sz w:val="26"/>
          <w:szCs w:val="26"/>
        </w:rPr>
        <w:tab/>
      </w:r>
      <w:r>
        <w:rPr>
          <w:rFonts w:ascii="TimesNewRomanPSMT" w:eastAsiaTheme="minorHAnsi" w:hAnsi="TimesNewRomanPSMT" w:cs="TimesNewRomanPSMT"/>
          <w:sz w:val="26"/>
          <w:szCs w:val="26"/>
        </w:rPr>
        <w:tab/>
      </w:r>
      <w:r w:rsidR="009B2307" w:rsidRPr="009B2307">
        <w:rPr>
          <w:rFonts w:ascii="TimesNewRomanPSMT" w:eastAsiaTheme="minorHAnsi" w:hAnsi="TimesNewRomanPSMT" w:cs="TimesNewRomanPSMT"/>
          <w:sz w:val="26"/>
          <w:szCs w:val="26"/>
        </w:rPr>
        <w:t>Accordingly, the OCA recommended that the errors be corrected going</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forward.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The OCA also recommended that NAWC provide refunds for any DSIC over</w:t>
      </w:r>
      <w:r w:rsidR="00445D5A">
        <w:rPr>
          <w:rFonts w:ascii="TimesNewRomanPSMT" w:eastAsiaTheme="minorHAnsi" w:hAnsi="TimesNewRomanPSMT" w:cs="TimesNewRomanPSMT"/>
          <w:sz w:val="26"/>
          <w:szCs w:val="26"/>
        </w:rPr>
        <w:noBreakHyphen/>
      </w:r>
      <w:r w:rsidR="009B2307" w:rsidRPr="009B2307">
        <w:rPr>
          <w:rFonts w:ascii="TimesNewRomanPSMT" w:eastAsiaTheme="minorHAnsi" w:hAnsi="TimesNewRomanPSMT" w:cs="TimesNewRomanPSMT"/>
          <w:sz w:val="26"/>
          <w:szCs w:val="26"/>
        </w:rPr>
        <w:t>collections,</w:t>
      </w:r>
      <w:r>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with interest, resulting from use of an incorrect debt cost rate for the past four years.</w:t>
      </w:r>
      <w:r>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Next, the OCA showed that the Company is not charging the DSIC to private fire protection</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customers.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This exemption is not permitted under Act 11, which requires utilities to apply the</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DSIC to all customers.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Therefore, the OCA recommend</w:t>
      </w:r>
      <w:r w:rsidR="00041C4C">
        <w:rPr>
          <w:rFonts w:ascii="TimesNewRomanPSMT" w:eastAsiaTheme="minorHAnsi" w:hAnsi="TimesNewRomanPSMT" w:cs="TimesNewRomanPSMT"/>
          <w:sz w:val="26"/>
          <w:szCs w:val="26"/>
        </w:rPr>
        <w:t>ed</w:t>
      </w:r>
      <w:r w:rsidR="009B2307" w:rsidRPr="009B2307">
        <w:rPr>
          <w:rFonts w:ascii="TimesNewRomanPSMT" w:eastAsiaTheme="minorHAnsi" w:hAnsi="TimesNewRomanPSMT" w:cs="TimesNewRomanPSMT"/>
          <w:sz w:val="26"/>
          <w:szCs w:val="26"/>
        </w:rPr>
        <w:t xml:space="preserve"> that, going forward, the Company apply</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the DSIC to its private fire protection customers.</w:t>
      </w:r>
      <w:r w:rsidR="00325F50">
        <w:rPr>
          <w:rFonts w:ascii="TimesNewRomanPSMT" w:eastAsiaTheme="minorHAnsi" w:hAnsi="TimesNewRomanPSMT" w:cs="TimesNewRomanPSMT"/>
          <w:sz w:val="26"/>
          <w:szCs w:val="26"/>
        </w:rPr>
        <w:t xml:space="preserve"> </w:t>
      </w:r>
      <w:r w:rsidR="004E73FD">
        <w:rPr>
          <w:rFonts w:ascii="TimesNewRomanPSMT" w:eastAsiaTheme="minorHAnsi" w:hAnsi="TimesNewRomanPSMT" w:cs="TimesNewRomanPSMT"/>
          <w:sz w:val="26"/>
          <w:szCs w:val="26"/>
        </w:rPr>
        <w:t xml:space="preserve"> </w:t>
      </w:r>
      <w:r w:rsidR="00325F50" w:rsidRPr="00325F50">
        <w:rPr>
          <w:rFonts w:ascii="TimesNewRomanPSMT" w:eastAsiaTheme="minorHAnsi" w:hAnsi="TimesNewRomanPSMT" w:cs="TimesNewRomanPSMT"/>
          <w:i/>
          <w:sz w:val="26"/>
          <w:szCs w:val="26"/>
        </w:rPr>
        <w:t>Id</w:t>
      </w:r>
      <w:r w:rsidR="00325F50">
        <w:rPr>
          <w:rFonts w:ascii="TimesNewRomanPSMT" w:eastAsiaTheme="minorHAnsi" w:hAnsi="TimesNewRomanPSMT" w:cs="TimesNewRomanPSMT"/>
          <w:sz w:val="26"/>
          <w:szCs w:val="26"/>
        </w:rPr>
        <w:t>.</w:t>
      </w:r>
    </w:p>
    <w:p w14:paraId="219D1485" w14:textId="77777777" w:rsidR="009E459A" w:rsidRPr="009B2307" w:rsidRDefault="009E459A" w:rsidP="002F7DB7">
      <w:pPr>
        <w:widowControl/>
        <w:autoSpaceDE w:val="0"/>
        <w:autoSpaceDN w:val="0"/>
        <w:adjustRightInd w:val="0"/>
        <w:spacing w:line="360" w:lineRule="auto"/>
        <w:rPr>
          <w:rFonts w:ascii="TimesNewRomanPSMT" w:eastAsiaTheme="minorHAnsi" w:hAnsi="TimesNewRomanPSMT" w:cs="TimesNewRomanPSMT"/>
          <w:sz w:val="26"/>
          <w:szCs w:val="26"/>
        </w:rPr>
      </w:pPr>
    </w:p>
    <w:p w14:paraId="2228F528" w14:textId="60F0C885" w:rsidR="009B2307" w:rsidRPr="009B2307" w:rsidRDefault="009E459A" w:rsidP="002F7DB7">
      <w:pPr>
        <w:widowControl/>
        <w:autoSpaceDE w:val="0"/>
        <w:autoSpaceDN w:val="0"/>
        <w:adjustRightInd w:val="0"/>
        <w:spacing w:line="360" w:lineRule="auto"/>
        <w:rPr>
          <w:rFonts w:ascii="TimesNewRomanPSMT" w:eastAsiaTheme="minorHAnsi" w:hAnsi="TimesNewRomanPSMT" w:cs="TimesNewRomanPSMT"/>
          <w:sz w:val="26"/>
          <w:szCs w:val="26"/>
        </w:rPr>
      </w:pPr>
      <w:r>
        <w:rPr>
          <w:rFonts w:ascii="TimesNewRomanPSMT" w:eastAsiaTheme="minorHAnsi" w:hAnsi="TimesNewRomanPSMT" w:cs="TimesNewRomanPSMT"/>
          <w:sz w:val="26"/>
          <w:szCs w:val="26"/>
        </w:rPr>
        <w:tab/>
      </w:r>
      <w:r>
        <w:rPr>
          <w:rFonts w:ascii="TimesNewRomanPSMT" w:eastAsiaTheme="minorHAnsi" w:hAnsi="TimesNewRomanPSMT" w:cs="TimesNewRomanPSMT"/>
          <w:sz w:val="26"/>
          <w:szCs w:val="26"/>
        </w:rPr>
        <w:tab/>
      </w:r>
      <w:r w:rsidR="009B2307" w:rsidRPr="009B2307">
        <w:rPr>
          <w:rFonts w:ascii="TimesNewRomanPSMT" w:eastAsiaTheme="minorHAnsi" w:hAnsi="TimesNewRomanPSMT" w:cs="TimesNewRomanPSMT"/>
          <w:sz w:val="26"/>
          <w:szCs w:val="26"/>
        </w:rPr>
        <w:t>Further, the OCA showed that the Company removes accumulated depreciation from its</w:t>
      </w:r>
      <w:r>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calculation of the DSIC investment on which it earns a </w:t>
      </w:r>
      <w:r w:rsidR="0098133A" w:rsidRPr="009B2307">
        <w:rPr>
          <w:rFonts w:ascii="TimesNewRomanPSMT" w:eastAsiaTheme="minorHAnsi" w:hAnsi="TimesNewRomanPSMT" w:cs="TimesNewRomanPSMT"/>
          <w:sz w:val="26"/>
          <w:szCs w:val="26"/>
        </w:rPr>
        <w:t>return but</w:t>
      </w:r>
      <w:r w:rsidR="009B2307" w:rsidRPr="009B2307">
        <w:rPr>
          <w:rFonts w:ascii="TimesNewRomanPSMT" w:eastAsiaTheme="minorHAnsi" w:hAnsi="TimesNewRomanPSMT" w:cs="TimesNewRomanPSMT"/>
          <w:sz w:val="26"/>
          <w:szCs w:val="26"/>
        </w:rPr>
        <w:t xml:space="preserve"> does not reflect this in the DSIC</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formula contained in its tariff. </w:t>
      </w:r>
      <w:r w:rsidR="004E73FD">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Therefore, the OCA recommend</w:t>
      </w:r>
      <w:r w:rsidR="00041C4C">
        <w:rPr>
          <w:rFonts w:ascii="TimesNewRomanPSMT" w:eastAsiaTheme="minorHAnsi" w:hAnsi="TimesNewRomanPSMT" w:cs="TimesNewRomanPSMT"/>
          <w:sz w:val="26"/>
          <w:szCs w:val="26"/>
        </w:rPr>
        <w:t>ed</w:t>
      </w:r>
      <w:r w:rsidR="009B2307" w:rsidRPr="009B2307">
        <w:rPr>
          <w:rFonts w:ascii="TimesNewRomanPSMT" w:eastAsiaTheme="minorHAnsi" w:hAnsi="TimesNewRomanPSMT" w:cs="TimesNewRomanPSMT"/>
          <w:sz w:val="26"/>
          <w:szCs w:val="26"/>
        </w:rPr>
        <w:t xml:space="preserve"> that the tariff be changed to be</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consistent with the Company’s practice.  </w:t>
      </w:r>
      <w:r w:rsidR="00325F50" w:rsidRPr="00325F50">
        <w:rPr>
          <w:rFonts w:ascii="TimesNewRomanPSMT" w:eastAsiaTheme="minorHAnsi" w:hAnsi="TimesNewRomanPSMT" w:cs="TimesNewRomanPSMT"/>
          <w:i/>
          <w:sz w:val="26"/>
          <w:szCs w:val="26"/>
        </w:rPr>
        <w:t>Id</w:t>
      </w:r>
      <w:r w:rsidR="009B2307" w:rsidRPr="00325F50">
        <w:rPr>
          <w:rFonts w:ascii="TimesNewRomanPSMT" w:eastAsiaTheme="minorHAnsi" w:hAnsi="TimesNewRomanPSMT" w:cs="TimesNewRomanPSMT"/>
          <w:i/>
          <w:sz w:val="26"/>
          <w:szCs w:val="26"/>
        </w:rPr>
        <w:t>.</w:t>
      </w:r>
    </w:p>
    <w:p w14:paraId="1851B3E9" w14:textId="77777777" w:rsidR="009B2307" w:rsidRDefault="009B2307" w:rsidP="002F7DB7">
      <w:pPr>
        <w:widowControl/>
        <w:autoSpaceDE w:val="0"/>
        <w:autoSpaceDN w:val="0"/>
        <w:adjustRightInd w:val="0"/>
        <w:spacing w:line="360" w:lineRule="auto"/>
        <w:rPr>
          <w:rFonts w:ascii="TimesNewRomanPSMT" w:eastAsiaTheme="minorHAnsi" w:hAnsi="TimesNewRomanPSMT" w:cs="TimesNewRomanPSMT"/>
          <w:sz w:val="26"/>
          <w:szCs w:val="26"/>
        </w:rPr>
      </w:pPr>
    </w:p>
    <w:p w14:paraId="116FA3DA" w14:textId="3318C5B3" w:rsidR="009B2307" w:rsidRPr="009B2307" w:rsidRDefault="00BB05CE" w:rsidP="002F7DB7">
      <w:pPr>
        <w:widowControl/>
        <w:autoSpaceDE w:val="0"/>
        <w:autoSpaceDN w:val="0"/>
        <w:adjustRightInd w:val="0"/>
        <w:spacing w:line="360" w:lineRule="auto"/>
        <w:rPr>
          <w:sz w:val="26"/>
          <w:szCs w:val="26"/>
        </w:rPr>
      </w:pPr>
      <w:r>
        <w:rPr>
          <w:rFonts w:ascii="TimesNewRomanPSMT" w:eastAsiaTheme="minorHAnsi" w:hAnsi="TimesNewRomanPSMT" w:cs="TimesNewRomanPSMT"/>
          <w:sz w:val="26"/>
          <w:szCs w:val="26"/>
        </w:rPr>
        <w:lastRenderedPageBreak/>
        <w:tab/>
      </w:r>
      <w:r>
        <w:rPr>
          <w:rFonts w:ascii="TimesNewRomanPSMT" w:eastAsiaTheme="minorHAnsi" w:hAnsi="TimesNewRomanPSMT" w:cs="TimesNewRomanPSMT"/>
          <w:sz w:val="26"/>
          <w:szCs w:val="26"/>
        </w:rPr>
        <w:tab/>
      </w:r>
      <w:r w:rsidR="00041C4C">
        <w:rPr>
          <w:rFonts w:ascii="TimesNewRomanPSMT" w:eastAsiaTheme="minorHAnsi" w:hAnsi="TimesNewRomanPSMT" w:cs="TimesNewRomanPSMT"/>
          <w:sz w:val="26"/>
          <w:szCs w:val="26"/>
        </w:rPr>
        <w:t>According to the OCA, a</w:t>
      </w:r>
      <w:r w:rsidR="009B2307" w:rsidRPr="009B2307">
        <w:rPr>
          <w:rFonts w:ascii="TimesNewRomanPSMT" w:eastAsiaTheme="minorHAnsi" w:hAnsi="TimesNewRomanPSMT" w:cs="TimesNewRomanPSMT"/>
          <w:sz w:val="26"/>
          <w:szCs w:val="26"/>
        </w:rPr>
        <w:t>ll of these issues bear on whether the proposed increase to the DSIC cap is just,</w:t>
      </w:r>
      <w:r>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reasonable, and in compliance with the law. </w:t>
      </w:r>
      <w:r w:rsidR="00ED6C2B">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Further, </w:t>
      </w:r>
      <w:r w:rsidR="00DF07F4">
        <w:rPr>
          <w:rFonts w:ascii="TimesNewRomanPSMT" w:eastAsiaTheme="minorHAnsi" w:hAnsi="TimesNewRomanPSMT" w:cs="TimesNewRomanPSMT"/>
          <w:sz w:val="26"/>
          <w:szCs w:val="26"/>
        </w:rPr>
        <w:t xml:space="preserve">the OCA claims that </w:t>
      </w:r>
      <w:r w:rsidR="009B2307" w:rsidRPr="009B2307">
        <w:rPr>
          <w:rFonts w:ascii="TimesNewRomanPSMT" w:eastAsiaTheme="minorHAnsi" w:hAnsi="TimesNewRomanPSMT" w:cs="TimesNewRomanPSMT"/>
          <w:sz w:val="26"/>
          <w:szCs w:val="26"/>
        </w:rPr>
        <w:t xml:space="preserve">many of </w:t>
      </w:r>
      <w:r w:rsidR="00DF07F4">
        <w:rPr>
          <w:rFonts w:ascii="TimesNewRomanPSMT" w:eastAsiaTheme="minorHAnsi" w:hAnsi="TimesNewRomanPSMT" w:cs="TimesNewRomanPSMT"/>
          <w:sz w:val="26"/>
          <w:szCs w:val="26"/>
        </w:rPr>
        <w:t xml:space="preserve">its </w:t>
      </w:r>
      <w:r w:rsidR="009B2307" w:rsidRPr="009B2307">
        <w:rPr>
          <w:rFonts w:ascii="TimesNewRomanPSMT" w:eastAsiaTheme="minorHAnsi" w:hAnsi="TimesNewRomanPSMT" w:cs="TimesNewRomanPSMT"/>
          <w:sz w:val="26"/>
          <w:szCs w:val="26"/>
        </w:rPr>
        <w:t xml:space="preserve">concerns </w:t>
      </w:r>
      <w:r w:rsidR="00DF07F4">
        <w:rPr>
          <w:rFonts w:ascii="TimesNewRomanPSMT" w:eastAsiaTheme="minorHAnsi" w:hAnsi="TimesNewRomanPSMT" w:cs="TimesNewRomanPSMT"/>
          <w:sz w:val="26"/>
          <w:szCs w:val="26"/>
        </w:rPr>
        <w:t xml:space="preserve">that it raised </w:t>
      </w:r>
      <w:r w:rsidR="009B2307" w:rsidRPr="009B2307">
        <w:rPr>
          <w:rFonts w:ascii="TimesNewRomanPSMT" w:eastAsiaTheme="minorHAnsi" w:hAnsi="TimesNewRomanPSMT" w:cs="TimesNewRomanPSMT"/>
          <w:sz w:val="26"/>
          <w:szCs w:val="26"/>
        </w:rPr>
        <w:t>–</w:t>
      </w:r>
      <w:r w:rsidR="009B2307">
        <w:rPr>
          <w:rFonts w:ascii="TimesNewRomanPSMT" w:eastAsiaTheme="minorHAnsi" w:hAnsi="TimesNewRomanPSMT" w:cs="TimesNewRomanPSMT"/>
          <w:sz w:val="26"/>
          <w:szCs w:val="26"/>
        </w:rPr>
        <w:t xml:space="preserve"> </w:t>
      </w:r>
      <w:r w:rsidR="00DF07F4" w:rsidRPr="00DF07F4">
        <w:rPr>
          <w:rFonts w:ascii="TimesNewRomanPSMT" w:eastAsiaTheme="minorHAnsi" w:hAnsi="TimesNewRomanPSMT" w:cs="TimesNewRomanPSMT"/>
          <w:i/>
          <w:sz w:val="26"/>
          <w:szCs w:val="26"/>
        </w:rPr>
        <w:t>i.e.</w:t>
      </w:r>
      <w:r w:rsidR="00DF07F4">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the Company’s calculation of its overall return used to apply the earnings cap, calculation of its</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DSIC rate</w:t>
      </w:r>
      <w:r w:rsidR="00DF07F4">
        <w:rPr>
          <w:rFonts w:ascii="TimesNewRomanPSMT" w:eastAsiaTheme="minorHAnsi" w:hAnsi="TimesNewRomanPSMT" w:cs="TimesNewRomanPSMT"/>
          <w:sz w:val="26"/>
          <w:szCs w:val="26"/>
        </w:rPr>
        <w:t>,</w:t>
      </w:r>
      <w:r w:rsidR="009B2307" w:rsidRPr="009B2307">
        <w:rPr>
          <w:rFonts w:ascii="TimesNewRomanPSMT" w:eastAsiaTheme="minorHAnsi" w:hAnsi="TimesNewRomanPSMT" w:cs="TimesNewRomanPSMT"/>
          <w:sz w:val="26"/>
          <w:szCs w:val="26"/>
        </w:rPr>
        <w:t xml:space="preserve"> and failure to apply the surcharge to all customer classes – serve to overstate the DSIC</w:t>
      </w:r>
      <w:r w:rsidR="009B2307">
        <w:rPr>
          <w:rFonts w:ascii="TimesNewRomanPSMT" w:eastAsiaTheme="minorHAnsi" w:hAnsi="TimesNewRomanPSMT" w:cs="TimesNewRomanPSMT"/>
          <w:sz w:val="26"/>
          <w:szCs w:val="26"/>
        </w:rPr>
        <w:t xml:space="preserve"> </w:t>
      </w:r>
      <w:r w:rsidR="009B2307" w:rsidRPr="009B2307">
        <w:rPr>
          <w:rFonts w:ascii="TimesNewRomanPSMT" w:eastAsiaTheme="minorHAnsi" w:hAnsi="TimesNewRomanPSMT" w:cs="TimesNewRomanPSMT"/>
          <w:sz w:val="26"/>
          <w:szCs w:val="26"/>
        </w:rPr>
        <w:t xml:space="preserve">rate and call into question the level of the Company’s historic and projected DSIC rates.  </w:t>
      </w:r>
      <w:r w:rsidR="00325F50" w:rsidRPr="00325F50">
        <w:rPr>
          <w:rFonts w:ascii="TimesNewRomanPSMT" w:eastAsiaTheme="minorHAnsi" w:hAnsi="TimesNewRomanPSMT" w:cs="TimesNewRomanPSMT"/>
          <w:i/>
          <w:sz w:val="26"/>
          <w:szCs w:val="26"/>
        </w:rPr>
        <w:t>Id</w:t>
      </w:r>
      <w:r w:rsidR="009B2307" w:rsidRPr="009B2307">
        <w:rPr>
          <w:rFonts w:ascii="TimesNewRomanPSMT" w:eastAsiaTheme="minorHAnsi" w:hAnsi="TimesNewRomanPSMT" w:cs="TimesNewRomanPSMT"/>
          <w:sz w:val="26"/>
          <w:szCs w:val="26"/>
        </w:rPr>
        <w:t xml:space="preserve"> at 6.</w:t>
      </w:r>
    </w:p>
    <w:p w14:paraId="02ED8A23" w14:textId="77777777" w:rsidR="0053205C" w:rsidRPr="004548B6" w:rsidRDefault="0053205C" w:rsidP="002F7DB7">
      <w:pPr>
        <w:widowControl/>
        <w:spacing w:line="360" w:lineRule="auto"/>
        <w:rPr>
          <w:rFonts w:ascii="Times New (W1)" w:hAnsi="Times New (W1)"/>
          <w:sz w:val="26"/>
        </w:rPr>
      </w:pPr>
    </w:p>
    <w:p w14:paraId="6DD90D12" w14:textId="1D07553B" w:rsidR="0053205C" w:rsidRPr="008229CF" w:rsidRDefault="0053205C" w:rsidP="002F7DB7">
      <w:pPr>
        <w:pStyle w:val="Heading3"/>
        <w:widowControl/>
      </w:pPr>
      <w:r>
        <w:tab/>
      </w:r>
      <w:bookmarkStart w:id="21" w:name="_Toc512430436"/>
      <w:r>
        <w:t>2.</w:t>
      </w:r>
      <w:r>
        <w:tab/>
        <w:t>ALJ</w:t>
      </w:r>
      <w:r w:rsidR="009F3350">
        <w:t>’</w:t>
      </w:r>
      <w:r w:rsidRPr="008229CF">
        <w:t>s</w:t>
      </w:r>
      <w:r>
        <w:t xml:space="preserve"> Recommendation</w:t>
      </w:r>
      <w:bookmarkEnd w:id="21"/>
    </w:p>
    <w:p w14:paraId="3AD759C3" w14:textId="77777777" w:rsidR="0053205C" w:rsidRDefault="0053205C" w:rsidP="002F7DB7">
      <w:pPr>
        <w:keepNext/>
        <w:keepLines/>
        <w:widowControl/>
        <w:spacing w:line="360" w:lineRule="auto"/>
        <w:rPr>
          <w:sz w:val="26"/>
          <w:szCs w:val="26"/>
        </w:rPr>
      </w:pPr>
    </w:p>
    <w:p w14:paraId="729B5FBC" w14:textId="6232C287" w:rsidR="0053205C" w:rsidRDefault="0053205C" w:rsidP="002F7DB7">
      <w:pPr>
        <w:widowControl/>
        <w:spacing w:line="360" w:lineRule="auto"/>
        <w:rPr>
          <w:sz w:val="26"/>
          <w:szCs w:val="26"/>
        </w:rPr>
      </w:pPr>
      <w:r>
        <w:rPr>
          <w:sz w:val="26"/>
          <w:szCs w:val="26"/>
        </w:rPr>
        <w:tab/>
      </w:r>
      <w:r>
        <w:rPr>
          <w:sz w:val="26"/>
          <w:szCs w:val="26"/>
        </w:rPr>
        <w:tab/>
        <w:t xml:space="preserve">The ALJ </w:t>
      </w:r>
      <w:r w:rsidR="00B6514E">
        <w:rPr>
          <w:sz w:val="26"/>
          <w:szCs w:val="26"/>
        </w:rPr>
        <w:t>recommended t</w:t>
      </w:r>
      <w:r>
        <w:rPr>
          <w:sz w:val="26"/>
          <w:szCs w:val="26"/>
        </w:rPr>
        <w:t xml:space="preserve">hat </w:t>
      </w:r>
      <w:r w:rsidRPr="00CA7240">
        <w:rPr>
          <w:sz w:val="26"/>
          <w:szCs w:val="26"/>
        </w:rPr>
        <w:t xml:space="preserve">the </w:t>
      </w:r>
      <w:r>
        <w:rPr>
          <w:sz w:val="26"/>
          <w:szCs w:val="26"/>
        </w:rPr>
        <w:t xml:space="preserve">proposed </w:t>
      </w:r>
      <w:r w:rsidRPr="00CA7240">
        <w:rPr>
          <w:sz w:val="26"/>
          <w:szCs w:val="26"/>
        </w:rPr>
        <w:t xml:space="preserve">increase of the </w:t>
      </w:r>
      <w:r>
        <w:rPr>
          <w:sz w:val="26"/>
          <w:szCs w:val="26"/>
        </w:rPr>
        <w:t xml:space="preserve">DSIC </w:t>
      </w:r>
      <w:r w:rsidRPr="00CA7240">
        <w:rPr>
          <w:sz w:val="26"/>
          <w:szCs w:val="26"/>
        </w:rPr>
        <w:t xml:space="preserve">cap to </w:t>
      </w:r>
      <w:r w:rsidR="00942066">
        <w:rPr>
          <w:sz w:val="26"/>
          <w:szCs w:val="26"/>
        </w:rPr>
        <w:t>7.5</w:t>
      </w:r>
      <w:r w:rsidRPr="00CA7240">
        <w:rPr>
          <w:sz w:val="26"/>
          <w:szCs w:val="26"/>
        </w:rPr>
        <w:t xml:space="preserve">% </w:t>
      </w:r>
      <w:r>
        <w:rPr>
          <w:sz w:val="26"/>
          <w:szCs w:val="26"/>
        </w:rPr>
        <w:t xml:space="preserve">should be </w:t>
      </w:r>
      <w:r w:rsidR="00942066">
        <w:rPr>
          <w:sz w:val="26"/>
          <w:szCs w:val="26"/>
        </w:rPr>
        <w:t>denied</w:t>
      </w:r>
      <w:r w:rsidRPr="00CA7240">
        <w:rPr>
          <w:sz w:val="26"/>
          <w:szCs w:val="26"/>
        </w:rPr>
        <w:t xml:space="preserve">.  </w:t>
      </w:r>
      <w:r>
        <w:rPr>
          <w:sz w:val="26"/>
          <w:szCs w:val="26"/>
        </w:rPr>
        <w:t>The ALJ stated that</w:t>
      </w:r>
      <w:r w:rsidR="00BD7176">
        <w:rPr>
          <w:sz w:val="26"/>
          <w:szCs w:val="26"/>
        </w:rPr>
        <w:t xml:space="preserve"> </w:t>
      </w:r>
      <w:r w:rsidR="00F5219A">
        <w:rPr>
          <w:sz w:val="26"/>
          <w:szCs w:val="26"/>
        </w:rPr>
        <w:t>NAWC</w:t>
      </w:r>
      <w:r w:rsidR="009B7EE8">
        <w:rPr>
          <w:sz w:val="26"/>
          <w:szCs w:val="26"/>
        </w:rPr>
        <w:t xml:space="preserve"> </w:t>
      </w:r>
      <w:r w:rsidR="00AC11A7">
        <w:rPr>
          <w:sz w:val="26"/>
          <w:szCs w:val="26"/>
        </w:rPr>
        <w:t xml:space="preserve">has </w:t>
      </w:r>
      <w:r w:rsidR="00F5219A">
        <w:rPr>
          <w:sz w:val="26"/>
          <w:szCs w:val="26"/>
        </w:rPr>
        <w:t>failed to present evidence to demonstrate that it has accelerated its rate of infrastructure replacement and that an increase to the DSIC cap is necessary and in the public interest.  R.D. at 30-31.</w:t>
      </w:r>
    </w:p>
    <w:p w14:paraId="4DB49D97" w14:textId="77777777" w:rsidR="00970B08" w:rsidRDefault="00970B08" w:rsidP="002F7DB7">
      <w:pPr>
        <w:widowControl/>
        <w:spacing w:line="360" w:lineRule="auto"/>
        <w:rPr>
          <w:sz w:val="26"/>
          <w:szCs w:val="26"/>
        </w:rPr>
      </w:pPr>
    </w:p>
    <w:p w14:paraId="3B06FC82" w14:textId="344C2488" w:rsidR="0001775C" w:rsidRDefault="0068744F" w:rsidP="00BF393C">
      <w:pPr>
        <w:pStyle w:val="Default"/>
        <w:spacing w:line="360" w:lineRule="auto"/>
        <w:rPr>
          <w:sz w:val="26"/>
          <w:szCs w:val="26"/>
        </w:rPr>
      </w:pPr>
      <w:r>
        <w:rPr>
          <w:sz w:val="26"/>
          <w:szCs w:val="26"/>
        </w:rPr>
        <w:tab/>
      </w:r>
      <w:r>
        <w:rPr>
          <w:sz w:val="26"/>
          <w:szCs w:val="26"/>
        </w:rPr>
        <w:tab/>
      </w:r>
      <w:r w:rsidR="0001775C">
        <w:rPr>
          <w:sz w:val="26"/>
          <w:szCs w:val="26"/>
        </w:rPr>
        <w:t>The ALJ noted that a</w:t>
      </w:r>
      <w:r w:rsidR="00970B08" w:rsidRPr="0001775C">
        <w:rPr>
          <w:sz w:val="26"/>
          <w:szCs w:val="26"/>
        </w:rPr>
        <w:t xml:space="preserve">lthough Act 11 does provide a mechanism for a water utility’s DSIC cap to be increased from 5% to 7.5%, it is not an automatic entitlement and does come with limitations. </w:t>
      </w:r>
      <w:r w:rsidR="00ED6C2B">
        <w:rPr>
          <w:sz w:val="26"/>
          <w:szCs w:val="26"/>
        </w:rPr>
        <w:t xml:space="preserve"> </w:t>
      </w:r>
      <w:r w:rsidR="00041C4C">
        <w:rPr>
          <w:sz w:val="26"/>
          <w:szCs w:val="26"/>
        </w:rPr>
        <w:t>The ALJ indicated that i</w:t>
      </w:r>
      <w:r w:rsidR="00970B08" w:rsidRPr="0001775C">
        <w:rPr>
          <w:sz w:val="26"/>
          <w:szCs w:val="26"/>
        </w:rPr>
        <w:t xml:space="preserve">n executing Act 11, the Commission issued an implementation order </w:t>
      </w:r>
      <w:r>
        <w:rPr>
          <w:sz w:val="26"/>
          <w:szCs w:val="26"/>
        </w:rPr>
        <w:t>that</w:t>
      </w:r>
      <w:r w:rsidR="00970B08" w:rsidRPr="0001775C">
        <w:rPr>
          <w:sz w:val="26"/>
          <w:szCs w:val="26"/>
        </w:rPr>
        <w:t xml:space="preserve"> specifically </w:t>
      </w:r>
      <w:r>
        <w:rPr>
          <w:sz w:val="26"/>
          <w:szCs w:val="26"/>
        </w:rPr>
        <w:t>addressed</w:t>
      </w:r>
      <w:r w:rsidR="00970B08" w:rsidRPr="0001775C">
        <w:rPr>
          <w:sz w:val="26"/>
          <w:szCs w:val="26"/>
        </w:rPr>
        <w:t xml:space="preserve"> the consumer safeguards relating to the rate cap for water utilities</w:t>
      </w:r>
      <w:r w:rsidR="002138A8">
        <w:rPr>
          <w:sz w:val="26"/>
          <w:szCs w:val="26"/>
        </w:rPr>
        <w:t xml:space="preserve"> in Section 1358(a)(2)</w:t>
      </w:r>
      <w:r>
        <w:rPr>
          <w:sz w:val="26"/>
          <w:szCs w:val="26"/>
        </w:rPr>
        <w:t xml:space="preserve">.  </w:t>
      </w:r>
      <w:r w:rsidR="00A87AC5">
        <w:rPr>
          <w:sz w:val="26"/>
          <w:szCs w:val="26"/>
        </w:rPr>
        <w:t xml:space="preserve">The ALJ noted that </w:t>
      </w:r>
      <w:r>
        <w:rPr>
          <w:sz w:val="26"/>
          <w:szCs w:val="26"/>
        </w:rPr>
        <w:t xml:space="preserve">that the </w:t>
      </w:r>
      <w:r w:rsidR="0001775C" w:rsidRPr="0001775C">
        <w:rPr>
          <w:sz w:val="26"/>
          <w:szCs w:val="26"/>
        </w:rPr>
        <w:t>Commission has previously granted</w:t>
      </w:r>
      <w:r w:rsidR="00A87AC5">
        <w:rPr>
          <w:sz w:val="26"/>
          <w:szCs w:val="26"/>
        </w:rPr>
        <w:t xml:space="preserve"> petitions by </w:t>
      </w:r>
      <w:r w:rsidR="00A87AC5" w:rsidRPr="0001775C">
        <w:rPr>
          <w:sz w:val="26"/>
          <w:szCs w:val="26"/>
        </w:rPr>
        <w:t>certain water utilities</w:t>
      </w:r>
      <w:r w:rsidR="00A87AC5">
        <w:rPr>
          <w:sz w:val="26"/>
          <w:szCs w:val="26"/>
        </w:rPr>
        <w:t xml:space="preserve"> that permitted increases to the </w:t>
      </w:r>
      <w:r w:rsidR="0001775C" w:rsidRPr="0001775C">
        <w:rPr>
          <w:sz w:val="26"/>
          <w:szCs w:val="26"/>
        </w:rPr>
        <w:t xml:space="preserve">DSIC caps </w:t>
      </w:r>
      <w:r w:rsidR="00A87AC5">
        <w:rPr>
          <w:sz w:val="26"/>
          <w:szCs w:val="26"/>
        </w:rPr>
        <w:t xml:space="preserve">by </w:t>
      </w:r>
      <w:r w:rsidR="0001775C" w:rsidRPr="0001775C">
        <w:rPr>
          <w:sz w:val="26"/>
          <w:szCs w:val="26"/>
        </w:rPr>
        <w:t>up to 7.5%.</w:t>
      </w:r>
      <w:r w:rsidR="000863DB">
        <w:rPr>
          <w:rStyle w:val="FootnoteReference"/>
          <w:sz w:val="26"/>
          <w:szCs w:val="26"/>
        </w:rPr>
        <w:footnoteReference w:id="5"/>
      </w:r>
      <w:r w:rsidR="0001775C" w:rsidRPr="0001775C">
        <w:rPr>
          <w:sz w:val="26"/>
          <w:szCs w:val="26"/>
        </w:rPr>
        <w:t xml:space="preserve"> </w:t>
      </w:r>
      <w:r w:rsidR="009E459A">
        <w:rPr>
          <w:sz w:val="26"/>
          <w:szCs w:val="26"/>
        </w:rPr>
        <w:t xml:space="preserve"> </w:t>
      </w:r>
      <w:r w:rsidR="0001775C" w:rsidRPr="0001775C">
        <w:rPr>
          <w:sz w:val="26"/>
          <w:szCs w:val="26"/>
        </w:rPr>
        <w:t xml:space="preserve">The </w:t>
      </w:r>
      <w:r w:rsidR="000E5DC8">
        <w:rPr>
          <w:sz w:val="26"/>
          <w:szCs w:val="26"/>
        </w:rPr>
        <w:t xml:space="preserve">ALJ cited to the </w:t>
      </w:r>
      <w:r w:rsidR="000E5DC8">
        <w:rPr>
          <w:i/>
          <w:sz w:val="26"/>
          <w:szCs w:val="26"/>
        </w:rPr>
        <w:t xml:space="preserve">Final Implementation </w:t>
      </w:r>
      <w:r w:rsidR="000E5DC8" w:rsidRPr="000E5DC8">
        <w:rPr>
          <w:i/>
          <w:sz w:val="26"/>
          <w:szCs w:val="26"/>
        </w:rPr>
        <w:t>Order</w:t>
      </w:r>
      <w:r w:rsidR="000E5DC8">
        <w:rPr>
          <w:i/>
          <w:sz w:val="26"/>
          <w:szCs w:val="26"/>
        </w:rPr>
        <w:t xml:space="preserve"> </w:t>
      </w:r>
      <w:r w:rsidR="000E5DC8">
        <w:rPr>
          <w:sz w:val="26"/>
          <w:szCs w:val="26"/>
        </w:rPr>
        <w:t xml:space="preserve">where the Commission </w:t>
      </w:r>
      <w:r w:rsidR="0001775C" w:rsidRPr="0001775C">
        <w:rPr>
          <w:sz w:val="26"/>
          <w:szCs w:val="26"/>
        </w:rPr>
        <w:t>explained that:</w:t>
      </w:r>
    </w:p>
    <w:p w14:paraId="1611C8A4" w14:textId="77777777" w:rsidR="009E459A" w:rsidRPr="0001775C" w:rsidRDefault="009E459A" w:rsidP="002F7DB7">
      <w:pPr>
        <w:widowControl/>
        <w:spacing w:line="360" w:lineRule="auto"/>
        <w:rPr>
          <w:sz w:val="26"/>
          <w:szCs w:val="26"/>
        </w:rPr>
      </w:pPr>
    </w:p>
    <w:p w14:paraId="28FD4A73" w14:textId="77777777" w:rsidR="006E59A4" w:rsidRDefault="00B37824" w:rsidP="006E59A4">
      <w:pPr>
        <w:widowControl/>
        <w:ind w:left="1440" w:right="1440"/>
        <w:rPr>
          <w:sz w:val="26"/>
          <w:szCs w:val="26"/>
        </w:rPr>
      </w:pPr>
      <w:r>
        <w:rPr>
          <w:sz w:val="26"/>
          <w:szCs w:val="26"/>
        </w:rPr>
        <w:tab/>
      </w:r>
      <w:r w:rsidR="0001775C" w:rsidRPr="0001775C">
        <w:rPr>
          <w:sz w:val="26"/>
          <w:szCs w:val="26"/>
        </w:rPr>
        <w:t xml:space="preserve">Those water utilities had operated for many years under a 5% DSIC cap, had accelerated their rate of infrastructure replacement, and had demonstrated that an </w:t>
      </w:r>
    </w:p>
    <w:p w14:paraId="434B0502" w14:textId="4F5FCB0B" w:rsidR="0001775C" w:rsidRDefault="0001775C" w:rsidP="006E59A4">
      <w:pPr>
        <w:keepNext/>
        <w:keepLines/>
        <w:widowControl/>
        <w:ind w:left="1440" w:right="1440"/>
        <w:rPr>
          <w:sz w:val="26"/>
          <w:szCs w:val="26"/>
        </w:rPr>
      </w:pPr>
      <w:r w:rsidRPr="0001775C">
        <w:rPr>
          <w:sz w:val="26"/>
          <w:szCs w:val="26"/>
        </w:rPr>
        <w:lastRenderedPageBreak/>
        <w:t>increase over the then-current DSIC cap was necessary and in the public interest.</w:t>
      </w:r>
    </w:p>
    <w:p w14:paraId="03DE1EC9" w14:textId="7B4FC621" w:rsidR="006E59A4" w:rsidRDefault="006E59A4" w:rsidP="006E59A4">
      <w:pPr>
        <w:keepNext/>
        <w:keepLines/>
        <w:widowControl/>
        <w:ind w:left="1440" w:right="1440"/>
        <w:rPr>
          <w:sz w:val="26"/>
          <w:szCs w:val="26"/>
        </w:rPr>
      </w:pPr>
    </w:p>
    <w:p w14:paraId="3E70DA46" w14:textId="77777777" w:rsidR="006E59A4" w:rsidRDefault="006E59A4" w:rsidP="006E59A4">
      <w:pPr>
        <w:keepNext/>
        <w:keepLines/>
        <w:widowControl/>
        <w:ind w:left="1440" w:right="1440"/>
        <w:rPr>
          <w:sz w:val="26"/>
          <w:szCs w:val="26"/>
        </w:rPr>
      </w:pPr>
    </w:p>
    <w:p w14:paraId="31B10658" w14:textId="3D72A361" w:rsidR="008E7A26" w:rsidRDefault="008E7A26" w:rsidP="002F7DB7">
      <w:pPr>
        <w:widowControl/>
        <w:spacing w:line="360" w:lineRule="auto"/>
        <w:rPr>
          <w:sz w:val="26"/>
          <w:szCs w:val="26"/>
        </w:rPr>
      </w:pPr>
      <w:r w:rsidRPr="006B49C0">
        <w:rPr>
          <w:i/>
          <w:iCs/>
          <w:sz w:val="26"/>
          <w:szCs w:val="26"/>
        </w:rPr>
        <w:t>Final Implementation Order</w:t>
      </w:r>
      <w:r>
        <w:rPr>
          <w:sz w:val="26"/>
          <w:szCs w:val="26"/>
        </w:rPr>
        <w:t xml:space="preserve"> at </w:t>
      </w:r>
      <w:r w:rsidR="00BB2EC7">
        <w:rPr>
          <w:sz w:val="26"/>
          <w:szCs w:val="26"/>
        </w:rPr>
        <w:t>42.</w:t>
      </w:r>
    </w:p>
    <w:p w14:paraId="7EAB05A8" w14:textId="77777777" w:rsidR="008E7A26" w:rsidRDefault="008E7A26" w:rsidP="002F7DB7">
      <w:pPr>
        <w:widowControl/>
        <w:spacing w:line="360" w:lineRule="auto"/>
        <w:rPr>
          <w:sz w:val="26"/>
          <w:szCs w:val="26"/>
        </w:rPr>
      </w:pPr>
    </w:p>
    <w:p w14:paraId="5630C6D4" w14:textId="5975910B" w:rsidR="009E459A" w:rsidRDefault="002138A8" w:rsidP="002F7DB7">
      <w:pPr>
        <w:widowControl/>
        <w:spacing w:line="360" w:lineRule="auto"/>
        <w:ind w:firstLine="1440"/>
        <w:rPr>
          <w:sz w:val="26"/>
          <w:szCs w:val="26"/>
        </w:rPr>
      </w:pPr>
      <w:r>
        <w:rPr>
          <w:sz w:val="26"/>
          <w:szCs w:val="26"/>
        </w:rPr>
        <w:t>The AL</w:t>
      </w:r>
      <w:r w:rsidR="007E5D72">
        <w:rPr>
          <w:sz w:val="26"/>
          <w:szCs w:val="26"/>
        </w:rPr>
        <w:t>J</w:t>
      </w:r>
      <w:r>
        <w:rPr>
          <w:sz w:val="26"/>
          <w:szCs w:val="26"/>
        </w:rPr>
        <w:t xml:space="preserve"> found i</w:t>
      </w:r>
      <w:r w:rsidR="0001775C" w:rsidRPr="0001775C">
        <w:rPr>
          <w:sz w:val="26"/>
          <w:szCs w:val="26"/>
        </w:rPr>
        <w:t xml:space="preserve">t significant that the Commission noted that water utilities </w:t>
      </w:r>
      <w:r w:rsidR="009F3350">
        <w:rPr>
          <w:sz w:val="26"/>
          <w:szCs w:val="26"/>
        </w:rPr>
        <w:t>which</w:t>
      </w:r>
      <w:r w:rsidR="009F3350" w:rsidRPr="0001775C">
        <w:rPr>
          <w:sz w:val="26"/>
          <w:szCs w:val="26"/>
        </w:rPr>
        <w:t xml:space="preserve"> </w:t>
      </w:r>
      <w:r w:rsidR="0001775C" w:rsidRPr="0001775C">
        <w:rPr>
          <w:sz w:val="26"/>
          <w:szCs w:val="26"/>
        </w:rPr>
        <w:t xml:space="preserve">were previously granted a waiver up to 7.5% had demonstrated that they had accelerated their rate of infrastructure replacement and that an increase over the then-current DSIC cap was “necessary and in the public interest.” </w:t>
      </w:r>
      <w:r w:rsidR="00ED6C2B">
        <w:rPr>
          <w:sz w:val="26"/>
          <w:szCs w:val="26"/>
        </w:rPr>
        <w:t xml:space="preserve"> </w:t>
      </w:r>
      <w:r w:rsidR="0001775C" w:rsidRPr="0001775C">
        <w:rPr>
          <w:sz w:val="26"/>
          <w:szCs w:val="26"/>
        </w:rPr>
        <w:t>The</w:t>
      </w:r>
      <w:r w:rsidR="009E459A">
        <w:rPr>
          <w:sz w:val="26"/>
          <w:szCs w:val="26"/>
        </w:rPr>
        <w:t xml:space="preserve"> ALJ noted that </w:t>
      </w:r>
      <w:r w:rsidR="00F828C3">
        <w:rPr>
          <w:sz w:val="26"/>
          <w:szCs w:val="26"/>
        </w:rPr>
        <w:t xml:space="preserve">for </w:t>
      </w:r>
      <w:r w:rsidR="0001775C" w:rsidRPr="0001775C">
        <w:rPr>
          <w:sz w:val="26"/>
          <w:szCs w:val="26"/>
        </w:rPr>
        <w:t xml:space="preserve">NAWC’s request to be granted, the </w:t>
      </w:r>
      <w:r w:rsidR="009F3350">
        <w:rPr>
          <w:sz w:val="26"/>
          <w:szCs w:val="26"/>
        </w:rPr>
        <w:t>C</w:t>
      </w:r>
      <w:r w:rsidR="0001775C" w:rsidRPr="0001775C">
        <w:rPr>
          <w:sz w:val="26"/>
          <w:szCs w:val="26"/>
        </w:rPr>
        <w:t xml:space="preserve">ompany must demonstrate that it has accelerated its rate of infrastructure replacement and also demonstrate that the increase to the DSIC cap is necessary and in the public interest. </w:t>
      </w:r>
      <w:r w:rsidR="00ED6C2B">
        <w:rPr>
          <w:sz w:val="26"/>
          <w:szCs w:val="26"/>
        </w:rPr>
        <w:t xml:space="preserve"> </w:t>
      </w:r>
      <w:r w:rsidR="00B37824" w:rsidRPr="00B37824">
        <w:rPr>
          <w:i/>
          <w:sz w:val="26"/>
          <w:szCs w:val="26"/>
        </w:rPr>
        <w:t>Id</w:t>
      </w:r>
      <w:r w:rsidR="00325F50" w:rsidRPr="00B37824">
        <w:rPr>
          <w:i/>
          <w:sz w:val="26"/>
          <w:szCs w:val="26"/>
        </w:rPr>
        <w:t>.</w:t>
      </w:r>
      <w:r w:rsidR="00325F50">
        <w:rPr>
          <w:sz w:val="26"/>
          <w:szCs w:val="26"/>
        </w:rPr>
        <w:t xml:space="preserve"> at 26-27.</w:t>
      </w:r>
    </w:p>
    <w:p w14:paraId="2848A249" w14:textId="77777777" w:rsidR="009E459A" w:rsidRDefault="009E459A" w:rsidP="002F7DB7">
      <w:pPr>
        <w:widowControl/>
        <w:spacing w:line="360" w:lineRule="auto"/>
        <w:rPr>
          <w:sz w:val="26"/>
          <w:szCs w:val="26"/>
        </w:rPr>
      </w:pPr>
    </w:p>
    <w:p w14:paraId="23BB316D" w14:textId="0CB79014" w:rsidR="009C55DE" w:rsidRDefault="002138A8" w:rsidP="002F7DB7">
      <w:pPr>
        <w:widowControl/>
        <w:spacing w:line="360" w:lineRule="auto"/>
        <w:rPr>
          <w:sz w:val="26"/>
          <w:szCs w:val="26"/>
        </w:rPr>
      </w:pPr>
      <w:r>
        <w:rPr>
          <w:sz w:val="26"/>
          <w:szCs w:val="26"/>
        </w:rPr>
        <w:tab/>
      </w:r>
      <w:r>
        <w:rPr>
          <w:sz w:val="26"/>
          <w:szCs w:val="26"/>
        </w:rPr>
        <w:tab/>
      </w:r>
      <w:r w:rsidR="009E459A">
        <w:rPr>
          <w:sz w:val="26"/>
          <w:szCs w:val="26"/>
        </w:rPr>
        <w:t xml:space="preserve">The ALJ </w:t>
      </w:r>
      <w:r>
        <w:rPr>
          <w:sz w:val="26"/>
          <w:szCs w:val="26"/>
        </w:rPr>
        <w:t>found</w:t>
      </w:r>
      <w:r w:rsidR="009E459A">
        <w:rPr>
          <w:sz w:val="26"/>
          <w:szCs w:val="26"/>
        </w:rPr>
        <w:t xml:space="preserve"> that </w:t>
      </w:r>
      <w:r w:rsidR="0001775C" w:rsidRPr="0001775C">
        <w:rPr>
          <w:sz w:val="26"/>
          <w:szCs w:val="26"/>
        </w:rPr>
        <w:t xml:space="preserve">NAWC </w:t>
      </w:r>
      <w:r w:rsidR="009C55DE">
        <w:rPr>
          <w:sz w:val="26"/>
          <w:szCs w:val="26"/>
        </w:rPr>
        <w:t xml:space="preserve">did not present </w:t>
      </w:r>
      <w:r w:rsidR="0001775C" w:rsidRPr="0001775C">
        <w:rPr>
          <w:sz w:val="26"/>
          <w:szCs w:val="26"/>
        </w:rPr>
        <w:t xml:space="preserve">any evidence to establish that it will accelerate its rate of infrastructure replacement. </w:t>
      </w:r>
      <w:r w:rsidR="00ED6C2B">
        <w:rPr>
          <w:sz w:val="26"/>
          <w:szCs w:val="26"/>
        </w:rPr>
        <w:t xml:space="preserve"> </w:t>
      </w:r>
      <w:r w:rsidR="00575000">
        <w:rPr>
          <w:sz w:val="26"/>
          <w:szCs w:val="26"/>
        </w:rPr>
        <w:t xml:space="preserve">He </w:t>
      </w:r>
      <w:r w:rsidR="00CF2A9C">
        <w:rPr>
          <w:sz w:val="26"/>
          <w:szCs w:val="26"/>
        </w:rPr>
        <w:t xml:space="preserve">referenced </w:t>
      </w:r>
      <w:r w:rsidR="0001775C" w:rsidRPr="0001775C">
        <w:rPr>
          <w:sz w:val="26"/>
          <w:szCs w:val="26"/>
        </w:rPr>
        <w:t>NAWC Witness Walker</w:t>
      </w:r>
      <w:r w:rsidR="00CF2A9C">
        <w:rPr>
          <w:sz w:val="26"/>
          <w:szCs w:val="26"/>
        </w:rPr>
        <w:t xml:space="preserve">’s statement </w:t>
      </w:r>
      <w:r w:rsidR="009C55DE">
        <w:rPr>
          <w:sz w:val="26"/>
          <w:szCs w:val="26"/>
        </w:rPr>
        <w:t xml:space="preserve">indicating </w:t>
      </w:r>
      <w:r w:rsidR="0001775C" w:rsidRPr="0001775C">
        <w:rPr>
          <w:sz w:val="26"/>
          <w:szCs w:val="26"/>
        </w:rPr>
        <w:t xml:space="preserve">that the increased DSIC cap will simply allow </w:t>
      </w:r>
      <w:r w:rsidR="00CF2A9C">
        <w:rPr>
          <w:sz w:val="26"/>
          <w:szCs w:val="26"/>
        </w:rPr>
        <w:t>NAWC</w:t>
      </w:r>
      <w:r w:rsidR="0001775C" w:rsidRPr="0001775C">
        <w:rPr>
          <w:sz w:val="26"/>
          <w:szCs w:val="26"/>
        </w:rPr>
        <w:t xml:space="preserve"> to comply with its currently approved LTIIP</w:t>
      </w:r>
      <w:r w:rsidR="00CF2A9C">
        <w:rPr>
          <w:sz w:val="26"/>
          <w:szCs w:val="26"/>
        </w:rPr>
        <w:t xml:space="preserve"> at its present rate of investment.  </w:t>
      </w:r>
      <w:r w:rsidR="009C55DE" w:rsidRPr="0001775C">
        <w:rPr>
          <w:sz w:val="26"/>
          <w:szCs w:val="26"/>
        </w:rPr>
        <w:t xml:space="preserve">Tr. </w:t>
      </w:r>
      <w:r w:rsidR="009F3350">
        <w:rPr>
          <w:sz w:val="26"/>
          <w:szCs w:val="26"/>
        </w:rPr>
        <w:t xml:space="preserve">at </w:t>
      </w:r>
      <w:r w:rsidR="009C55DE" w:rsidRPr="0001775C">
        <w:rPr>
          <w:sz w:val="26"/>
          <w:szCs w:val="26"/>
        </w:rPr>
        <w:t>36-37</w:t>
      </w:r>
      <w:r w:rsidR="009C55DE">
        <w:rPr>
          <w:sz w:val="26"/>
          <w:szCs w:val="26"/>
        </w:rPr>
        <w:t>; R.D. at 27-28.</w:t>
      </w:r>
    </w:p>
    <w:p w14:paraId="0CEC842E" w14:textId="77777777" w:rsidR="009F3350" w:rsidRDefault="009F3350" w:rsidP="002F7DB7">
      <w:pPr>
        <w:widowControl/>
        <w:spacing w:line="360" w:lineRule="auto"/>
        <w:rPr>
          <w:sz w:val="26"/>
          <w:szCs w:val="26"/>
        </w:rPr>
      </w:pPr>
    </w:p>
    <w:p w14:paraId="2CCC0606" w14:textId="3FE994F9" w:rsidR="0001775C" w:rsidRDefault="00CF2A9C" w:rsidP="002F7DB7">
      <w:pPr>
        <w:widowControl/>
        <w:spacing w:line="360" w:lineRule="auto"/>
        <w:rPr>
          <w:sz w:val="26"/>
          <w:szCs w:val="26"/>
        </w:rPr>
      </w:pPr>
      <w:r>
        <w:rPr>
          <w:sz w:val="26"/>
          <w:szCs w:val="26"/>
        </w:rPr>
        <w:tab/>
      </w:r>
      <w:r>
        <w:rPr>
          <w:sz w:val="26"/>
          <w:szCs w:val="26"/>
        </w:rPr>
        <w:tab/>
      </w:r>
      <w:r w:rsidR="009E459A">
        <w:rPr>
          <w:sz w:val="26"/>
          <w:szCs w:val="26"/>
        </w:rPr>
        <w:t xml:space="preserve">The ALJ was </w:t>
      </w:r>
      <w:r w:rsidR="0001775C" w:rsidRPr="0001775C">
        <w:rPr>
          <w:sz w:val="26"/>
          <w:szCs w:val="26"/>
        </w:rPr>
        <w:t xml:space="preserve">persuaded by </w:t>
      </w:r>
      <w:r w:rsidR="009C55DE">
        <w:rPr>
          <w:sz w:val="26"/>
          <w:szCs w:val="26"/>
        </w:rPr>
        <w:t xml:space="preserve">the </w:t>
      </w:r>
      <w:r w:rsidR="0001775C" w:rsidRPr="0001775C">
        <w:rPr>
          <w:sz w:val="26"/>
          <w:szCs w:val="26"/>
        </w:rPr>
        <w:t xml:space="preserve">OCA’s argument that the Commission did not condition NAWC’s compliance with its recently approved LTIIP upon approval of an increase to the DSIC cap. </w:t>
      </w:r>
      <w:r w:rsidR="00ED6C2B">
        <w:rPr>
          <w:sz w:val="26"/>
          <w:szCs w:val="26"/>
        </w:rPr>
        <w:t xml:space="preserve"> </w:t>
      </w:r>
      <w:r w:rsidR="00177A80">
        <w:rPr>
          <w:sz w:val="26"/>
          <w:szCs w:val="26"/>
        </w:rPr>
        <w:t>The ALJ noted that the Commission stated the following i</w:t>
      </w:r>
      <w:r w:rsidR="0001775C" w:rsidRPr="0001775C">
        <w:rPr>
          <w:sz w:val="26"/>
          <w:szCs w:val="26"/>
        </w:rPr>
        <w:t>n the</w:t>
      </w:r>
      <w:r w:rsidR="009C55DE">
        <w:rPr>
          <w:sz w:val="26"/>
          <w:szCs w:val="26"/>
        </w:rPr>
        <w:t xml:space="preserve"> </w:t>
      </w:r>
      <w:r w:rsidR="009C55DE" w:rsidRPr="006B49C0">
        <w:rPr>
          <w:i/>
          <w:sz w:val="26"/>
          <w:szCs w:val="26"/>
        </w:rPr>
        <w:t>July 2017 LTIIP Order</w:t>
      </w:r>
      <w:r w:rsidR="0001775C" w:rsidRPr="0001775C">
        <w:rPr>
          <w:sz w:val="26"/>
          <w:szCs w:val="26"/>
        </w:rPr>
        <w:t>:</w:t>
      </w:r>
    </w:p>
    <w:p w14:paraId="2A0FEEFF" w14:textId="77777777" w:rsidR="009E459A" w:rsidRPr="0001775C" w:rsidRDefault="009E459A" w:rsidP="002F7DB7">
      <w:pPr>
        <w:widowControl/>
        <w:spacing w:line="360" w:lineRule="auto"/>
        <w:rPr>
          <w:sz w:val="26"/>
          <w:szCs w:val="26"/>
        </w:rPr>
      </w:pPr>
    </w:p>
    <w:p w14:paraId="405065CF" w14:textId="3B80761E" w:rsidR="0001775C" w:rsidRDefault="00B37824" w:rsidP="00575000">
      <w:pPr>
        <w:widowControl/>
        <w:ind w:left="1440" w:right="1440"/>
        <w:rPr>
          <w:sz w:val="26"/>
          <w:szCs w:val="26"/>
        </w:rPr>
      </w:pPr>
      <w:r>
        <w:rPr>
          <w:sz w:val="26"/>
          <w:szCs w:val="26"/>
        </w:rPr>
        <w:tab/>
      </w:r>
      <w:r w:rsidR="00177A80">
        <w:rPr>
          <w:sz w:val="26"/>
          <w:szCs w:val="26"/>
        </w:rPr>
        <w:t>[NAWC’s]</w:t>
      </w:r>
      <w:r w:rsidR="0001775C" w:rsidRPr="0001775C">
        <w:rPr>
          <w:sz w:val="26"/>
          <w:szCs w:val="26"/>
        </w:rPr>
        <w:t xml:space="preserve"> proposed LTIIP appears to demonstrate its associated expenditures are reasonable, cost effective, and designated to ensure and maintain efficient, safe, adequate, reliable, and reasonable service to its customers. </w:t>
      </w:r>
    </w:p>
    <w:p w14:paraId="675E8060" w14:textId="77777777" w:rsidR="009E459A" w:rsidRPr="0001775C" w:rsidRDefault="009E459A" w:rsidP="00575000">
      <w:pPr>
        <w:widowControl/>
        <w:ind w:left="1440" w:right="1440"/>
        <w:rPr>
          <w:sz w:val="26"/>
          <w:szCs w:val="26"/>
        </w:rPr>
      </w:pPr>
    </w:p>
    <w:p w14:paraId="2F6FDC56" w14:textId="2F2761F2" w:rsidR="0001775C" w:rsidRDefault="00B37824" w:rsidP="00177A80">
      <w:pPr>
        <w:widowControl/>
        <w:ind w:left="1440" w:right="1440"/>
        <w:rPr>
          <w:sz w:val="26"/>
          <w:szCs w:val="26"/>
        </w:rPr>
      </w:pPr>
      <w:r>
        <w:rPr>
          <w:sz w:val="26"/>
          <w:szCs w:val="26"/>
        </w:rPr>
        <w:tab/>
      </w:r>
      <w:r w:rsidR="0001775C" w:rsidRPr="0001775C">
        <w:rPr>
          <w:sz w:val="26"/>
          <w:szCs w:val="26"/>
        </w:rPr>
        <w:t xml:space="preserve">The Commission finds </w:t>
      </w:r>
      <w:r w:rsidR="0081647F">
        <w:rPr>
          <w:sz w:val="26"/>
          <w:szCs w:val="26"/>
        </w:rPr>
        <w:t>[</w:t>
      </w:r>
      <w:r w:rsidR="0001775C" w:rsidRPr="0001775C">
        <w:rPr>
          <w:sz w:val="26"/>
          <w:szCs w:val="26"/>
        </w:rPr>
        <w:t>N</w:t>
      </w:r>
      <w:r w:rsidR="0081647F">
        <w:rPr>
          <w:sz w:val="26"/>
          <w:szCs w:val="26"/>
        </w:rPr>
        <w:t>AWC’s]</w:t>
      </w:r>
      <w:r w:rsidR="0001775C" w:rsidRPr="0001775C">
        <w:rPr>
          <w:sz w:val="26"/>
          <w:szCs w:val="26"/>
        </w:rPr>
        <w:t xml:space="preserve"> Long-Term Infrastructure Improvement Plan and manner in which it was </w:t>
      </w:r>
      <w:r w:rsidR="0001775C" w:rsidRPr="0001775C">
        <w:rPr>
          <w:sz w:val="26"/>
          <w:szCs w:val="26"/>
        </w:rPr>
        <w:lastRenderedPageBreak/>
        <w:t xml:space="preserve">filed conforms to the requirements of Act 11 and our Final Implementation Order. </w:t>
      </w:r>
      <w:r w:rsidR="00575000">
        <w:rPr>
          <w:sz w:val="26"/>
          <w:szCs w:val="26"/>
        </w:rPr>
        <w:t xml:space="preserve"> </w:t>
      </w:r>
      <w:r w:rsidR="0001775C" w:rsidRPr="0001775C">
        <w:rPr>
          <w:sz w:val="26"/>
          <w:szCs w:val="26"/>
        </w:rPr>
        <w:t xml:space="preserve">The plan, as approved herein, is designed to maintain safe, adequate and reliable service and, as such, </w:t>
      </w:r>
      <w:r w:rsidR="0081647F">
        <w:rPr>
          <w:sz w:val="26"/>
          <w:szCs w:val="26"/>
        </w:rPr>
        <w:t>[NAWC] s</w:t>
      </w:r>
      <w:r w:rsidR="0001775C" w:rsidRPr="0001775C">
        <w:rPr>
          <w:sz w:val="26"/>
          <w:szCs w:val="26"/>
        </w:rPr>
        <w:t>hall be required to comply with the infrastructure replacement schedule and elements of that plan.</w:t>
      </w:r>
    </w:p>
    <w:p w14:paraId="71649393" w14:textId="7B8167EA" w:rsidR="009E459A" w:rsidRDefault="009E459A" w:rsidP="00177A80">
      <w:pPr>
        <w:widowControl/>
        <w:ind w:left="1440" w:right="1440"/>
        <w:rPr>
          <w:sz w:val="26"/>
          <w:szCs w:val="26"/>
        </w:rPr>
      </w:pPr>
    </w:p>
    <w:p w14:paraId="2E7C83B4" w14:textId="77777777" w:rsidR="00177A80" w:rsidRPr="0001775C" w:rsidRDefault="00177A80" w:rsidP="00177A80">
      <w:pPr>
        <w:widowControl/>
        <w:ind w:left="1440" w:right="1440"/>
        <w:rPr>
          <w:sz w:val="26"/>
          <w:szCs w:val="26"/>
        </w:rPr>
      </w:pPr>
    </w:p>
    <w:p w14:paraId="612E6647" w14:textId="79D5686E" w:rsidR="009C55DE" w:rsidRDefault="009C55DE" w:rsidP="002F7DB7">
      <w:pPr>
        <w:widowControl/>
        <w:spacing w:line="360" w:lineRule="auto"/>
        <w:rPr>
          <w:sz w:val="26"/>
          <w:szCs w:val="26"/>
        </w:rPr>
      </w:pPr>
      <w:r w:rsidRPr="006B49C0">
        <w:rPr>
          <w:i/>
          <w:sz w:val="26"/>
          <w:szCs w:val="26"/>
        </w:rPr>
        <w:t>July 2017 LTIIP Order</w:t>
      </w:r>
      <w:r>
        <w:rPr>
          <w:i/>
          <w:sz w:val="26"/>
          <w:szCs w:val="26"/>
        </w:rPr>
        <w:t xml:space="preserve"> </w:t>
      </w:r>
      <w:r w:rsidRPr="00B65F18">
        <w:rPr>
          <w:sz w:val="26"/>
          <w:szCs w:val="26"/>
        </w:rPr>
        <w:t xml:space="preserve">at </w:t>
      </w:r>
      <w:r>
        <w:rPr>
          <w:sz w:val="26"/>
          <w:szCs w:val="26"/>
        </w:rPr>
        <w:t>17.</w:t>
      </w:r>
    </w:p>
    <w:p w14:paraId="183114F1" w14:textId="77777777" w:rsidR="009C55DE" w:rsidRDefault="009C55DE" w:rsidP="002F7DB7">
      <w:pPr>
        <w:widowControl/>
        <w:spacing w:line="360" w:lineRule="auto"/>
        <w:rPr>
          <w:sz w:val="26"/>
          <w:szCs w:val="26"/>
        </w:rPr>
      </w:pPr>
    </w:p>
    <w:p w14:paraId="3A7E616B" w14:textId="7C960F51" w:rsidR="0001775C" w:rsidRDefault="009E459A" w:rsidP="002F7DB7">
      <w:pPr>
        <w:widowControl/>
        <w:spacing w:line="360" w:lineRule="auto"/>
        <w:ind w:firstLine="1440"/>
        <w:rPr>
          <w:sz w:val="26"/>
          <w:szCs w:val="26"/>
        </w:rPr>
      </w:pPr>
      <w:r>
        <w:rPr>
          <w:sz w:val="26"/>
          <w:szCs w:val="26"/>
        </w:rPr>
        <w:t>Th</w:t>
      </w:r>
      <w:r w:rsidR="009E4478">
        <w:rPr>
          <w:sz w:val="26"/>
          <w:szCs w:val="26"/>
        </w:rPr>
        <w:t>us</w:t>
      </w:r>
      <w:r w:rsidR="009B01D4">
        <w:rPr>
          <w:sz w:val="26"/>
          <w:szCs w:val="26"/>
        </w:rPr>
        <w:t>,</w:t>
      </w:r>
      <w:r w:rsidR="009E4478">
        <w:rPr>
          <w:sz w:val="26"/>
          <w:szCs w:val="26"/>
        </w:rPr>
        <w:t xml:space="preserve"> the</w:t>
      </w:r>
      <w:r>
        <w:rPr>
          <w:sz w:val="26"/>
          <w:szCs w:val="26"/>
        </w:rPr>
        <w:t xml:space="preserve"> ALJ </w:t>
      </w:r>
      <w:r w:rsidR="00B828F0">
        <w:rPr>
          <w:sz w:val="26"/>
          <w:szCs w:val="26"/>
        </w:rPr>
        <w:t xml:space="preserve">dismissed </w:t>
      </w:r>
      <w:r w:rsidR="0001775C" w:rsidRPr="0001775C">
        <w:rPr>
          <w:sz w:val="26"/>
          <w:szCs w:val="26"/>
        </w:rPr>
        <w:t>NAWC</w:t>
      </w:r>
      <w:r w:rsidR="007347D0">
        <w:rPr>
          <w:sz w:val="26"/>
          <w:szCs w:val="26"/>
        </w:rPr>
        <w:t xml:space="preserve">’s argument </w:t>
      </w:r>
      <w:r w:rsidR="0001775C" w:rsidRPr="0001775C">
        <w:rPr>
          <w:sz w:val="26"/>
          <w:szCs w:val="26"/>
        </w:rPr>
        <w:t xml:space="preserve">that the acceleration of infrastructure investment accepted by the Commission when it approved the Company’s LTIIP is substantial support for the proposed increase, and </w:t>
      </w:r>
      <w:r w:rsidR="009F3350">
        <w:rPr>
          <w:sz w:val="26"/>
          <w:szCs w:val="26"/>
        </w:rPr>
        <w:t xml:space="preserve">determined </w:t>
      </w:r>
      <w:r w:rsidR="0001775C" w:rsidRPr="0001775C">
        <w:rPr>
          <w:sz w:val="26"/>
          <w:szCs w:val="26"/>
        </w:rPr>
        <w:t xml:space="preserve">that a further acceleration is not required to increase the DSIC cap. </w:t>
      </w:r>
      <w:r w:rsidR="00ED6C2B">
        <w:rPr>
          <w:sz w:val="26"/>
          <w:szCs w:val="26"/>
        </w:rPr>
        <w:t xml:space="preserve"> </w:t>
      </w:r>
      <w:r w:rsidR="00CF2A9C">
        <w:rPr>
          <w:sz w:val="26"/>
          <w:szCs w:val="26"/>
        </w:rPr>
        <w:t>The ALJ explained that m</w:t>
      </w:r>
      <w:r w:rsidR="0001775C" w:rsidRPr="0001775C">
        <w:rPr>
          <w:sz w:val="26"/>
          <w:szCs w:val="26"/>
        </w:rPr>
        <w:t xml:space="preserve">erely complying with the LTIIP, rather </w:t>
      </w:r>
      <w:r w:rsidR="007347D0" w:rsidRPr="0001775C">
        <w:rPr>
          <w:sz w:val="26"/>
          <w:szCs w:val="26"/>
        </w:rPr>
        <w:t>than</w:t>
      </w:r>
      <w:r w:rsidR="007347D0">
        <w:rPr>
          <w:sz w:val="26"/>
          <w:szCs w:val="26"/>
        </w:rPr>
        <w:t xml:space="preserve"> accelerating</w:t>
      </w:r>
      <w:r w:rsidR="0001775C" w:rsidRPr="0001775C">
        <w:rPr>
          <w:sz w:val="26"/>
          <w:szCs w:val="26"/>
        </w:rPr>
        <w:t xml:space="preserve"> infrastructure improvement, is not sufficient to warrant an increase of the DSIC cap to 7.5%. </w:t>
      </w:r>
      <w:r w:rsidR="00ED6C2B">
        <w:rPr>
          <w:sz w:val="26"/>
          <w:szCs w:val="26"/>
        </w:rPr>
        <w:t xml:space="preserve"> </w:t>
      </w:r>
      <w:r w:rsidR="004C5088">
        <w:rPr>
          <w:sz w:val="26"/>
          <w:szCs w:val="26"/>
        </w:rPr>
        <w:t>R.D. at 28-29.</w:t>
      </w:r>
    </w:p>
    <w:p w14:paraId="1D6C18D2" w14:textId="77777777" w:rsidR="009E459A" w:rsidRPr="0001775C" w:rsidRDefault="009E459A" w:rsidP="002F7DB7">
      <w:pPr>
        <w:widowControl/>
        <w:spacing w:line="360" w:lineRule="auto"/>
        <w:rPr>
          <w:sz w:val="26"/>
          <w:szCs w:val="26"/>
        </w:rPr>
      </w:pPr>
    </w:p>
    <w:p w14:paraId="5700E6B0" w14:textId="15F6D3D4" w:rsidR="0001775C" w:rsidRDefault="007347D0" w:rsidP="002F7DB7">
      <w:pPr>
        <w:widowControl/>
        <w:spacing w:line="360" w:lineRule="auto"/>
        <w:rPr>
          <w:sz w:val="26"/>
          <w:szCs w:val="26"/>
        </w:rPr>
      </w:pPr>
      <w:r>
        <w:rPr>
          <w:sz w:val="26"/>
          <w:szCs w:val="26"/>
        </w:rPr>
        <w:tab/>
      </w:r>
      <w:r>
        <w:rPr>
          <w:sz w:val="26"/>
          <w:szCs w:val="26"/>
        </w:rPr>
        <w:tab/>
      </w:r>
      <w:r w:rsidR="0068744F">
        <w:rPr>
          <w:sz w:val="26"/>
          <w:szCs w:val="26"/>
        </w:rPr>
        <w:t xml:space="preserve">The ALJ </w:t>
      </w:r>
      <w:r>
        <w:rPr>
          <w:sz w:val="26"/>
          <w:szCs w:val="26"/>
        </w:rPr>
        <w:t>posited</w:t>
      </w:r>
      <w:r w:rsidR="0068744F">
        <w:rPr>
          <w:sz w:val="26"/>
          <w:szCs w:val="26"/>
        </w:rPr>
        <w:t xml:space="preserve"> that </w:t>
      </w:r>
      <w:r w:rsidR="0001775C" w:rsidRPr="0001775C">
        <w:rPr>
          <w:sz w:val="26"/>
          <w:szCs w:val="26"/>
        </w:rPr>
        <w:t xml:space="preserve">the </w:t>
      </w:r>
      <w:r w:rsidR="009B7EE8" w:rsidRPr="0001775C">
        <w:rPr>
          <w:sz w:val="26"/>
          <w:szCs w:val="26"/>
        </w:rPr>
        <w:t>Company failed</w:t>
      </w:r>
      <w:r w:rsidR="0001775C" w:rsidRPr="0001775C">
        <w:rPr>
          <w:sz w:val="26"/>
          <w:szCs w:val="26"/>
        </w:rPr>
        <w:t xml:space="preserve"> to demonstrate that the increase to the DSIC cap is necessary and in the public interest. </w:t>
      </w:r>
      <w:r w:rsidR="00ED6C2B">
        <w:rPr>
          <w:sz w:val="26"/>
          <w:szCs w:val="26"/>
        </w:rPr>
        <w:t xml:space="preserve"> </w:t>
      </w:r>
      <w:r w:rsidR="0001775C" w:rsidRPr="0001775C">
        <w:rPr>
          <w:sz w:val="26"/>
          <w:szCs w:val="26"/>
        </w:rPr>
        <w:t>Although the Company stated that it has pipe in need of replacement in the near future, and that increasing the DSIC</w:t>
      </w:r>
      <w:r w:rsidR="008A7373">
        <w:rPr>
          <w:sz w:val="26"/>
          <w:szCs w:val="26"/>
        </w:rPr>
        <w:t>-</w:t>
      </w:r>
      <w:r w:rsidR="0001775C" w:rsidRPr="0001775C">
        <w:rPr>
          <w:sz w:val="26"/>
          <w:szCs w:val="26"/>
        </w:rPr>
        <w:t xml:space="preserve">cap rate will have the added benefit of a decline in the number of main breaks and service interruptions, increased fire protection and improvement in water quality, the Company </w:t>
      </w:r>
      <w:r w:rsidR="009C55DE">
        <w:rPr>
          <w:sz w:val="26"/>
          <w:szCs w:val="26"/>
        </w:rPr>
        <w:t>did</w:t>
      </w:r>
      <w:r w:rsidR="0001775C" w:rsidRPr="0001775C">
        <w:rPr>
          <w:sz w:val="26"/>
          <w:szCs w:val="26"/>
        </w:rPr>
        <w:t xml:space="preserve"> not offer anything to show that compliance with its LTIIP with a 5% DSIC cap is insufficient to achieve these goals. </w:t>
      </w:r>
      <w:r w:rsidR="00ED6C2B">
        <w:rPr>
          <w:sz w:val="26"/>
          <w:szCs w:val="26"/>
        </w:rPr>
        <w:t xml:space="preserve"> </w:t>
      </w:r>
      <w:r w:rsidR="0068744F">
        <w:rPr>
          <w:sz w:val="26"/>
          <w:szCs w:val="26"/>
        </w:rPr>
        <w:t xml:space="preserve">The ALJ further noted that </w:t>
      </w:r>
      <w:r w:rsidR="0001775C" w:rsidRPr="0001775C">
        <w:rPr>
          <w:sz w:val="26"/>
          <w:szCs w:val="26"/>
        </w:rPr>
        <w:t xml:space="preserve">NAWC </w:t>
      </w:r>
      <w:r w:rsidR="009C55DE">
        <w:rPr>
          <w:sz w:val="26"/>
          <w:szCs w:val="26"/>
        </w:rPr>
        <w:t>did</w:t>
      </w:r>
      <w:r w:rsidR="0001775C" w:rsidRPr="0001775C">
        <w:rPr>
          <w:sz w:val="26"/>
          <w:szCs w:val="26"/>
        </w:rPr>
        <w:t xml:space="preserve"> not present any evidence to establish that its infrastructure is unsafe or unreliable. </w:t>
      </w:r>
      <w:r w:rsidR="00ED6C2B">
        <w:rPr>
          <w:sz w:val="26"/>
          <w:szCs w:val="26"/>
        </w:rPr>
        <w:t xml:space="preserve"> </w:t>
      </w:r>
      <w:r w:rsidR="00B37824" w:rsidRPr="00B37824">
        <w:rPr>
          <w:i/>
          <w:sz w:val="26"/>
          <w:szCs w:val="26"/>
        </w:rPr>
        <w:t>Id</w:t>
      </w:r>
      <w:r w:rsidR="004C5088" w:rsidRPr="00B37824">
        <w:rPr>
          <w:i/>
          <w:sz w:val="26"/>
          <w:szCs w:val="26"/>
        </w:rPr>
        <w:t>.</w:t>
      </w:r>
      <w:r w:rsidR="004C5088">
        <w:rPr>
          <w:sz w:val="26"/>
          <w:szCs w:val="26"/>
        </w:rPr>
        <w:t xml:space="preserve"> at 29-30.</w:t>
      </w:r>
    </w:p>
    <w:p w14:paraId="589EC2D5" w14:textId="77777777" w:rsidR="009E459A" w:rsidRPr="0001775C" w:rsidRDefault="009E459A" w:rsidP="002F7DB7">
      <w:pPr>
        <w:widowControl/>
        <w:spacing w:line="360" w:lineRule="auto"/>
        <w:rPr>
          <w:sz w:val="26"/>
          <w:szCs w:val="26"/>
        </w:rPr>
      </w:pPr>
    </w:p>
    <w:p w14:paraId="4CB30C3E" w14:textId="1D2D05FB" w:rsidR="009C55DE" w:rsidRDefault="007347D0" w:rsidP="002F7DB7">
      <w:pPr>
        <w:widowControl/>
        <w:spacing w:line="360" w:lineRule="auto"/>
        <w:rPr>
          <w:sz w:val="26"/>
          <w:szCs w:val="26"/>
        </w:rPr>
      </w:pPr>
      <w:r>
        <w:rPr>
          <w:sz w:val="26"/>
          <w:szCs w:val="26"/>
        </w:rPr>
        <w:tab/>
      </w:r>
      <w:r>
        <w:rPr>
          <w:sz w:val="26"/>
          <w:szCs w:val="26"/>
        </w:rPr>
        <w:tab/>
      </w:r>
      <w:r w:rsidR="009E459A">
        <w:rPr>
          <w:sz w:val="26"/>
          <w:szCs w:val="26"/>
        </w:rPr>
        <w:t xml:space="preserve">The ALJ </w:t>
      </w:r>
      <w:r w:rsidR="0068744F">
        <w:rPr>
          <w:sz w:val="26"/>
          <w:szCs w:val="26"/>
        </w:rPr>
        <w:t>explained</w:t>
      </w:r>
      <w:r w:rsidR="0001775C" w:rsidRPr="0001775C">
        <w:rPr>
          <w:sz w:val="26"/>
          <w:szCs w:val="26"/>
        </w:rPr>
        <w:t xml:space="preserve"> that the Company argued that increasing the DSIC cap will benefit customers by reducing the frequency of base rate cases.</w:t>
      </w:r>
      <w:r w:rsidR="00ED6C2B">
        <w:rPr>
          <w:sz w:val="26"/>
          <w:szCs w:val="26"/>
        </w:rPr>
        <w:t xml:space="preserve"> </w:t>
      </w:r>
      <w:r w:rsidR="0001775C" w:rsidRPr="0001775C">
        <w:rPr>
          <w:sz w:val="26"/>
          <w:szCs w:val="26"/>
        </w:rPr>
        <w:t xml:space="preserve"> </w:t>
      </w:r>
      <w:r w:rsidR="0028641A">
        <w:rPr>
          <w:sz w:val="26"/>
          <w:szCs w:val="26"/>
        </w:rPr>
        <w:t>He noted that the</w:t>
      </w:r>
      <w:r w:rsidR="0001775C" w:rsidRPr="0001775C">
        <w:rPr>
          <w:sz w:val="26"/>
          <w:szCs w:val="26"/>
        </w:rPr>
        <w:t xml:space="preserve"> Company assert</w:t>
      </w:r>
      <w:r w:rsidR="0028641A">
        <w:rPr>
          <w:sz w:val="26"/>
          <w:szCs w:val="26"/>
        </w:rPr>
        <w:t>ed</w:t>
      </w:r>
      <w:r w:rsidR="0001775C" w:rsidRPr="0001775C">
        <w:rPr>
          <w:sz w:val="26"/>
          <w:szCs w:val="26"/>
        </w:rPr>
        <w:t xml:space="preserve"> that delaying the filing of base rate cases reduces rate case expense, and that the Commission has consistently recognized a reduction in base rate cases as a benefit of DSIC cost recovery and a reason for increasing the DSIC cap. </w:t>
      </w:r>
      <w:r w:rsidR="00ED6C2B">
        <w:rPr>
          <w:sz w:val="26"/>
          <w:szCs w:val="26"/>
        </w:rPr>
        <w:t xml:space="preserve"> </w:t>
      </w:r>
      <w:r w:rsidR="00B970A6">
        <w:rPr>
          <w:sz w:val="26"/>
          <w:szCs w:val="26"/>
        </w:rPr>
        <w:t>Nevertheless, t</w:t>
      </w:r>
      <w:r w:rsidR="009E459A">
        <w:rPr>
          <w:sz w:val="26"/>
          <w:szCs w:val="26"/>
        </w:rPr>
        <w:t xml:space="preserve">he ALJ found </w:t>
      </w:r>
      <w:r w:rsidR="0001775C" w:rsidRPr="0001775C">
        <w:rPr>
          <w:sz w:val="26"/>
          <w:szCs w:val="26"/>
        </w:rPr>
        <w:t xml:space="preserve">this argument unconvincing since the Company has not filed a base rate </w:t>
      </w:r>
      <w:r w:rsidR="0001775C" w:rsidRPr="0001775C">
        <w:rPr>
          <w:sz w:val="26"/>
          <w:szCs w:val="26"/>
        </w:rPr>
        <w:lastRenderedPageBreak/>
        <w:t>case in nearly seven years, the last occurring in 2011.</w:t>
      </w:r>
      <w:r w:rsidR="00363EC5">
        <w:rPr>
          <w:sz w:val="26"/>
          <w:szCs w:val="26"/>
        </w:rPr>
        <w:t xml:space="preserve">  </w:t>
      </w:r>
      <w:r w:rsidR="009C55DE">
        <w:rPr>
          <w:sz w:val="26"/>
          <w:szCs w:val="26"/>
        </w:rPr>
        <w:t xml:space="preserve">R.D. </w:t>
      </w:r>
      <w:r w:rsidR="00363EC5">
        <w:rPr>
          <w:sz w:val="26"/>
          <w:szCs w:val="26"/>
        </w:rPr>
        <w:t>at 29.</w:t>
      </w:r>
      <w:r w:rsidR="009C55DE">
        <w:rPr>
          <w:sz w:val="26"/>
          <w:szCs w:val="26"/>
        </w:rPr>
        <w:t xml:space="preserve">  </w:t>
      </w:r>
      <w:r w:rsidR="00B4346F">
        <w:rPr>
          <w:sz w:val="26"/>
          <w:szCs w:val="26"/>
        </w:rPr>
        <w:t xml:space="preserve">In this regard, the ALJ was persuaded by </w:t>
      </w:r>
      <w:r w:rsidR="009F3350">
        <w:rPr>
          <w:sz w:val="26"/>
          <w:szCs w:val="26"/>
        </w:rPr>
        <w:t xml:space="preserve">the </w:t>
      </w:r>
      <w:r w:rsidR="009C55DE" w:rsidRPr="0001775C">
        <w:rPr>
          <w:sz w:val="26"/>
          <w:szCs w:val="26"/>
        </w:rPr>
        <w:t>OCA</w:t>
      </w:r>
      <w:r w:rsidR="00B4346F">
        <w:rPr>
          <w:sz w:val="26"/>
          <w:szCs w:val="26"/>
        </w:rPr>
        <w:t>’s</w:t>
      </w:r>
      <w:r w:rsidR="009C55DE" w:rsidRPr="0001775C">
        <w:rPr>
          <w:sz w:val="26"/>
          <w:szCs w:val="26"/>
        </w:rPr>
        <w:t xml:space="preserve"> Witness Mierzwa</w:t>
      </w:r>
      <w:r w:rsidR="00B4346F">
        <w:rPr>
          <w:sz w:val="26"/>
          <w:szCs w:val="26"/>
        </w:rPr>
        <w:t xml:space="preserve"> argument as follows</w:t>
      </w:r>
      <w:r w:rsidR="009C55DE" w:rsidRPr="0001775C">
        <w:rPr>
          <w:sz w:val="26"/>
          <w:szCs w:val="26"/>
        </w:rPr>
        <w:t xml:space="preserve">: </w:t>
      </w:r>
    </w:p>
    <w:p w14:paraId="44EAE0C5" w14:textId="6E479F31" w:rsidR="009C55DE" w:rsidRDefault="009C55DE" w:rsidP="002F7DB7">
      <w:pPr>
        <w:widowControl/>
        <w:spacing w:line="360" w:lineRule="auto"/>
        <w:rPr>
          <w:sz w:val="26"/>
          <w:szCs w:val="26"/>
        </w:rPr>
      </w:pPr>
    </w:p>
    <w:p w14:paraId="264F0657" w14:textId="77777777" w:rsidR="009E459A" w:rsidRPr="0001775C" w:rsidRDefault="009E459A" w:rsidP="002F7DB7">
      <w:pPr>
        <w:widowControl/>
        <w:spacing w:line="360" w:lineRule="auto"/>
        <w:rPr>
          <w:sz w:val="26"/>
          <w:szCs w:val="26"/>
        </w:rPr>
      </w:pPr>
    </w:p>
    <w:p w14:paraId="40B2ED1B" w14:textId="7EF91D5B" w:rsidR="0001775C" w:rsidRDefault="009408C8" w:rsidP="00B970A6">
      <w:pPr>
        <w:widowControl/>
        <w:ind w:left="1440" w:right="1440"/>
        <w:rPr>
          <w:sz w:val="26"/>
          <w:szCs w:val="26"/>
        </w:rPr>
      </w:pPr>
      <w:r>
        <w:rPr>
          <w:sz w:val="26"/>
          <w:szCs w:val="26"/>
        </w:rPr>
        <w:tab/>
      </w:r>
      <w:r w:rsidR="0001775C" w:rsidRPr="0001775C">
        <w:rPr>
          <w:sz w:val="26"/>
          <w:szCs w:val="26"/>
        </w:rPr>
        <w:t xml:space="preserve">First, it is not clear that the frequency of NAWC’s base rate filings should be reduced. </w:t>
      </w:r>
      <w:r w:rsidR="00ED6C2B">
        <w:rPr>
          <w:sz w:val="26"/>
          <w:szCs w:val="26"/>
        </w:rPr>
        <w:t xml:space="preserve"> </w:t>
      </w:r>
      <w:r w:rsidR="0001775C" w:rsidRPr="0001775C">
        <w:rPr>
          <w:sz w:val="26"/>
          <w:szCs w:val="26"/>
        </w:rPr>
        <w:t xml:space="preserve">NAWC filed base rate cases in 1998, 2005, 2008 and 2011. </w:t>
      </w:r>
      <w:r w:rsidR="00ED6C2B">
        <w:rPr>
          <w:sz w:val="26"/>
          <w:szCs w:val="26"/>
        </w:rPr>
        <w:t xml:space="preserve"> </w:t>
      </w:r>
      <w:r w:rsidR="0001775C" w:rsidRPr="0001775C">
        <w:rPr>
          <w:sz w:val="26"/>
          <w:szCs w:val="26"/>
        </w:rPr>
        <w:t xml:space="preserve">If the Company files a base rate case in 2018, it will have averaged 5 years between base rate filings. </w:t>
      </w:r>
      <w:r w:rsidR="00ED6C2B">
        <w:rPr>
          <w:sz w:val="26"/>
          <w:szCs w:val="26"/>
        </w:rPr>
        <w:t xml:space="preserve"> </w:t>
      </w:r>
      <w:r w:rsidR="0001775C" w:rsidRPr="0001775C">
        <w:rPr>
          <w:sz w:val="26"/>
          <w:szCs w:val="26"/>
        </w:rPr>
        <w:t xml:space="preserve">NAWC Witness Walker indicates that increasing the DSIC to 7.5 percent could increase the time between rate cases to 7.5 years. </w:t>
      </w:r>
      <w:r w:rsidR="00ED6C2B">
        <w:rPr>
          <w:sz w:val="26"/>
          <w:szCs w:val="26"/>
        </w:rPr>
        <w:t xml:space="preserve"> </w:t>
      </w:r>
      <w:r w:rsidR="0001775C" w:rsidRPr="0001775C">
        <w:rPr>
          <w:sz w:val="26"/>
          <w:szCs w:val="26"/>
        </w:rPr>
        <w:t>There is value to base rate proceedings, which provide the opportunity for simultaneous review of all aspects of a utility’s revenues, expenses and capital costs for the same period of time.</w:t>
      </w:r>
    </w:p>
    <w:p w14:paraId="2B3EF2CF" w14:textId="77777777" w:rsidR="009E459A" w:rsidRPr="0001775C" w:rsidRDefault="009E459A" w:rsidP="00B970A6">
      <w:pPr>
        <w:widowControl/>
        <w:ind w:left="1440" w:right="1440"/>
        <w:rPr>
          <w:sz w:val="26"/>
          <w:szCs w:val="26"/>
        </w:rPr>
      </w:pPr>
    </w:p>
    <w:p w14:paraId="28F5CC69" w14:textId="265B9F12" w:rsidR="0001775C" w:rsidRDefault="009408C8" w:rsidP="00B970A6">
      <w:pPr>
        <w:widowControl/>
        <w:ind w:left="1440" w:right="1440"/>
        <w:rPr>
          <w:sz w:val="26"/>
          <w:szCs w:val="26"/>
        </w:rPr>
      </w:pPr>
      <w:r>
        <w:rPr>
          <w:sz w:val="26"/>
          <w:szCs w:val="26"/>
        </w:rPr>
        <w:tab/>
      </w:r>
      <w:r w:rsidR="0001775C" w:rsidRPr="0001775C">
        <w:rPr>
          <w:sz w:val="26"/>
          <w:szCs w:val="26"/>
        </w:rPr>
        <w:t xml:space="preserve">Second, the current 5-year period between base rate cases is substantially longer than the periods at issue when the Commission approved an increase in the DSIC cap for Pennsylvania-American Water Company (“PAWC,” Docket No. P-00062241) and Aqua Pennsylvania, Inc. </w:t>
      </w:r>
      <w:r w:rsidR="00E93C69">
        <w:rPr>
          <w:sz w:val="26"/>
          <w:szCs w:val="26"/>
        </w:rPr>
        <w:t xml:space="preserve"> </w:t>
      </w:r>
      <w:r w:rsidR="0001775C" w:rsidRPr="0001775C">
        <w:rPr>
          <w:sz w:val="26"/>
          <w:szCs w:val="26"/>
        </w:rPr>
        <w:t xml:space="preserve">(“Aqua” Docket No. R-2008-2079310). </w:t>
      </w:r>
      <w:r w:rsidR="00ED6C2B">
        <w:rPr>
          <w:sz w:val="26"/>
          <w:szCs w:val="26"/>
        </w:rPr>
        <w:t xml:space="preserve"> </w:t>
      </w:r>
      <w:r w:rsidR="0001775C" w:rsidRPr="0001775C">
        <w:rPr>
          <w:sz w:val="26"/>
          <w:szCs w:val="26"/>
        </w:rPr>
        <w:t>When these increases were approved by the Commission, PAWC was filing base rate cases every</w:t>
      </w:r>
      <w:r w:rsidR="009C55DE">
        <w:rPr>
          <w:sz w:val="26"/>
          <w:szCs w:val="26"/>
        </w:rPr>
        <w:t xml:space="preserve"> </w:t>
      </w:r>
      <w:r w:rsidR="0001775C" w:rsidRPr="0001775C">
        <w:rPr>
          <w:sz w:val="26"/>
          <w:szCs w:val="26"/>
        </w:rPr>
        <w:t>one to two years and argued that a 7.5</w:t>
      </w:r>
      <w:r w:rsidR="0001775C">
        <w:rPr>
          <w:sz w:val="26"/>
          <w:szCs w:val="26"/>
        </w:rPr>
        <w:t xml:space="preserve"> </w:t>
      </w:r>
      <w:r w:rsidR="0001775C" w:rsidRPr="0001775C">
        <w:rPr>
          <w:sz w:val="26"/>
          <w:szCs w:val="26"/>
        </w:rPr>
        <w:t xml:space="preserve">percent DSIC cap would reduce filings to every three years. </w:t>
      </w:r>
      <w:r w:rsidR="00E93C69">
        <w:rPr>
          <w:sz w:val="26"/>
          <w:szCs w:val="26"/>
        </w:rPr>
        <w:t xml:space="preserve"> </w:t>
      </w:r>
      <w:r w:rsidR="0001775C" w:rsidRPr="0001775C">
        <w:rPr>
          <w:sz w:val="26"/>
          <w:szCs w:val="26"/>
        </w:rPr>
        <w:t>Aqua was filing base rate cases every two years and had a history of reaching the cap in 18 months or less after its DSIC was reset to zero following a base rate case.</w:t>
      </w:r>
      <w:r w:rsidR="00F93675">
        <w:rPr>
          <w:rStyle w:val="FootnoteReference"/>
          <w:sz w:val="26"/>
          <w:szCs w:val="26"/>
        </w:rPr>
        <w:footnoteReference w:id="6"/>
      </w:r>
    </w:p>
    <w:p w14:paraId="65111821" w14:textId="77777777" w:rsidR="00B970A6" w:rsidRDefault="00B970A6" w:rsidP="00B970A6">
      <w:pPr>
        <w:widowControl/>
        <w:ind w:left="720" w:right="720"/>
        <w:rPr>
          <w:sz w:val="26"/>
          <w:szCs w:val="26"/>
        </w:rPr>
      </w:pPr>
    </w:p>
    <w:p w14:paraId="78AFB07B" w14:textId="77777777" w:rsidR="00B37824" w:rsidRDefault="00B37824" w:rsidP="00B970A6">
      <w:pPr>
        <w:widowControl/>
        <w:ind w:left="720" w:right="720"/>
        <w:rPr>
          <w:sz w:val="26"/>
          <w:szCs w:val="26"/>
        </w:rPr>
      </w:pPr>
    </w:p>
    <w:p w14:paraId="071264CF" w14:textId="7759519E" w:rsidR="009E459A" w:rsidRDefault="00B37824" w:rsidP="00B970A6">
      <w:pPr>
        <w:widowControl/>
        <w:spacing w:line="360" w:lineRule="auto"/>
        <w:rPr>
          <w:i/>
          <w:sz w:val="26"/>
          <w:szCs w:val="26"/>
        </w:rPr>
      </w:pPr>
      <w:r w:rsidRPr="00B37824">
        <w:rPr>
          <w:i/>
          <w:sz w:val="26"/>
          <w:szCs w:val="26"/>
        </w:rPr>
        <w:t>Id</w:t>
      </w:r>
      <w:r w:rsidR="004C5088" w:rsidRPr="00B37824">
        <w:rPr>
          <w:i/>
          <w:sz w:val="26"/>
          <w:szCs w:val="26"/>
        </w:rPr>
        <w:t>.</w:t>
      </w:r>
    </w:p>
    <w:p w14:paraId="389D1B20" w14:textId="77777777" w:rsidR="00B970A6" w:rsidRPr="00B37824" w:rsidRDefault="00B970A6" w:rsidP="00B970A6">
      <w:pPr>
        <w:widowControl/>
        <w:spacing w:line="360" w:lineRule="auto"/>
        <w:rPr>
          <w:i/>
          <w:sz w:val="26"/>
          <w:szCs w:val="26"/>
        </w:rPr>
      </w:pPr>
    </w:p>
    <w:p w14:paraId="67B21211" w14:textId="23F24E42" w:rsidR="0001775C" w:rsidRDefault="009408C8" w:rsidP="002F7DB7">
      <w:pPr>
        <w:widowControl/>
        <w:spacing w:line="360" w:lineRule="auto"/>
        <w:rPr>
          <w:sz w:val="26"/>
          <w:szCs w:val="26"/>
        </w:rPr>
      </w:pPr>
      <w:r>
        <w:rPr>
          <w:sz w:val="26"/>
          <w:szCs w:val="26"/>
        </w:rPr>
        <w:tab/>
      </w:r>
      <w:r>
        <w:rPr>
          <w:sz w:val="26"/>
          <w:szCs w:val="26"/>
        </w:rPr>
        <w:tab/>
        <w:t>The ALJ found that b</w:t>
      </w:r>
      <w:r w:rsidR="0001775C" w:rsidRPr="0001775C">
        <w:rPr>
          <w:sz w:val="26"/>
          <w:szCs w:val="26"/>
        </w:rPr>
        <w:t xml:space="preserve">ased on the infrequency of NAWC’s historical base rate filings, NAWC’s argument is without merit. </w:t>
      </w:r>
      <w:r>
        <w:rPr>
          <w:sz w:val="26"/>
          <w:szCs w:val="26"/>
        </w:rPr>
        <w:t xml:space="preserve"> The ALJ noted </w:t>
      </w:r>
      <w:r w:rsidR="0001775C" w:rsidRPr="0001775C">
        <w:rPr>
          <w:sz w:val="26"/>
          <w:szCs w:val="26"/>
        </w:rPr>
        <w:t xml:space="preserve">that NAWC has never exceeded its 5% DSIC cap. </w:t>
      </w:r>
      <w:r w:rsidR="00E93C69">
        <w:rPr>
          <w:sz w:val="26"/>
          <w:szCs w:val="26"/>
        </w:rPr>
        <w:t xml:space="preserve"> </w:t>
      </w:r>
      <w:r w:rsidR="0001775C" w:rsidRPr="0001775C">
        <w:rPr>
          <w:sz w:val="26"/>
          <w:szCs w:val="26"/>
        </w:rPr>
        <w:t>As an explanation for why the Company is asking for the increase to their DSIC, NAWC Witness Walker indicated as follows:</w:t>
      </w:r>
    </w:p>
    <w:p w14:paraId="356C1136" w14:textId="77777777" w:rsidR="009408C8" w:rsidRPr="0001775C" w:rsidRDefault="009408C8" w:rsidP="002F7DB7">
      <w:pPr>
        <w:widowControl/>
        <w:spacing w:line="360" w:lineRule="auto"/>
        <w:rPr>
          <w:sz w:val="26"/>
          <w:szCs w:val="26"/>
        </w:rPr>
      </w:pPr>
    </w:p>
    <w:p w14:paraId="0DDD01D6" w14:textId="0FE49F97" w:rsidR="0001775C" w:rsidRDefault="00EF618A" w:rsidP="00143EF5">
      <w:pPr>
        <w:widowControl/>
        <w:ind w:left="1440" w:right="1440"/>
        <w:rPr>
          <w:sz w:val="26"/>
          <w:szCs w:val="26"/>
        </w:rPr>
      </w:pPr>
      <w:r>
        <w:rPr>
          <w:sz w:val="26"/>
          <w:szCs w:val="26"/>
        </w:rPr>
        <w:tab/>
      </w:r>
      <w:r w:rsidR="0001775C" w:rsidRPr="0001775C">
        <w:rPr>
          <w:sz w:val="26"/>
          <w:szCs w:val="26"/>
        </w:rPr>
        <w:t>The Company is moving forward with its infrastructure replacement schedule and LTIIP plan elements and estimates it will exceed their current maximum DSIC surcharge percentage rate with the LTIPP plan improvements it completes by the end of the year.</w:t>
      </w:r>
    </w:p>
    <w:p w14:paraId="4F8D55EF" w14:textId="7C269A59" w:rsidR="00143EF5" w:rsidRDefault="00143EF5" w:rsidP="00143EF5">
      <w:pPr>
        <w:widowControl/>
        <w:ind w:left="1440" w:right="1440"/>
        <w:rPr>
          <w:sz w:val="26"/>
          <w:szCs w:val="26"/>
        </w:rPr>
      </w:pPr>
    </w:p>
    <w:p w14:paraId="6FFC3114" w14:textId="3AF58451" w:rsidR="00143EF5" w:rsidRDefault="00143EF5" w:rsidP="00143EF5">
      <w:pPr>
        <w:widowControl/>
        <w:ind w:left="1440" w:right="1440"/>
        <w:rPr>
          <w:sz w:val="26"/>
          <w:szCs w:val="26"/>
        </w:rPr>
      </w:pPr>
    </w:p>
    <w:p w14:paraId="77E1F010" w14:textId="59348427" w:rsidR="0031788C" w:rsidRDefault="0031788C" w:rsidP="0031788C">
      <w:pPr>
        <w:widowControl/>
        <w:spacing w:line="360" w:lineRule="auto"/>
        <w:rPr>
          <w:sz w:val="26"/>
          <w:szCs w:val="26"/>
        </w:rPr>
      </w:pPr>
      <w:r w:rsidRPr="009B7EE8">
        <w:rPr>
          <w:sz w:val="26"/>
          <w:szCs w:val="26"/>
        </w:rPr>
        <w:t>NAWC St. 1 at 3.</w:t>
      </w:r>
    </w:p>
    <w:p w14:paraId="4EBEAB07" w14:textId="77777777" w:rsidR="0031788C" w:rsidRDefault="0031788C" w:rsidP="0031788C">
      <w:pPr>
        <w:widowControl/>
        <w:rPr>
          <w:sz w:val="26"/>
          <w:szCs w:val="26"/>
        </w:rPr>
      </w:pPr>
    </w:p>
    <w:p w14:paraId="6D26D580" w14:textId="35553E4D" w:rsidR="0001775C" w:rsidRDefault="007347D0" w:rsidP="002F7DB7">
      <w:pPr>
        <w:widowControl/>
        <w:spacing w:line="360" w:lineRule="auto"/>
        <w:rPr>
          <w:sz w:val="26"/>
          <w:szCs w:val="26"/>
        </w:rPr>
      </w:pPr>
      <w:r>
        <w:rPr>
          <w:sz w:val="26"/>
          <w:szCs w:val="26"/>
        </w:rPr>
        <w:tab/>
      </w:r>
      <w:r>
        <w:rPr>
          <w:sz w:val="26"/>
          <w:szCs w:val="26"/>
        </w:rPr>
        <w:tab/>
      </w:r>
      <w:r w:rsidR="009408C8">
        <w:rPr>
          <w:sz w:val="26"/>
          <w:szCs w:val="26"/>
        </w:rPr>
        <w:t xml:space="preserve">The ALJ </w:t>
      </w:r>
      <w:r w:rsidR="0063759E">
        <w:rPr>
          <w:sz w:val="26"/>
          <w:szCs w:val="26"/>
        </w:rPr>
        <w:t>noted</w:t>
      </w:r>
      <w:r w:rsidR="009408C8">
        <w:rPr>
          <w:sz w:val="26"/>
          <w:szCs w:val="26"/>
        </w:rPr>
        <w:t xml:space="preserve"> that </w:t>
      </w:r>
      <w:r w:rsidR="0001775C" w:rsidRPr="0001775C">
        <w:rPr>
          <w:sz w:val="26"/>
          <w:szCs w:val="26"/>
        </w:rPr>
        <w:t xml:space="preserve">the Company believes that </w:t>
      </w:r>
      <w:r w:rsidR="00F07B6E">
        <w:rPr>
          <w:sz w:val="26"/>
          <w:szCs w:val="26"/>
        </w:rPr>
        <w:t>its</w:t>
      </w:r>
      <w:r w:rsidR="0001775C" w:rsidRPr="0001775C">
        <w:rPr>
          <w:sz w:val="26"/>
          <w:szCs w:val="26"/>
        </w:rPr>
        <w:t xml:space="preserve"> DSIC has never reached the 5% cap </w:t>
      </w:r>
      <w:r w:rsidR="009C4F80">
        <w:rPr>
          <w:sz w:val="26"/>
          <w:szCs w:val="26"/>
        </w:rPr>
        <w:t xml:space="preserve">and this </w:t>
      </w:r>
      <w:r w:rsidR="0001775C" w:rsidRPr="0001775C">
        <w:rPr>
          <w:sz w:val="26"/>
          <w:szCs w:val="26"/>
        </w:rPr>
        <w:t>has no bearing on the reasonableness of the present request</w:t>
      </w:r>
      <w:r w:rsidR="009C4F80">
        <w:rPr>
          <w:sz w:val="26"/>
          <w:szCs w:val="26"/>
        </w:rPr>
        <w:t>.  T</w:t>
      </w:r>
      <w:r w:rsidR="009408C8">
        <w:rPr>
          <w:sz w:val="26"/>
          <w:szCs w:val="26"/>
        </w:rPr>
        <w:t>he</w:t>
      </w:r>
      <w:r w:rsidR="0001775C" w:rsidRPr="0001775C">
        <w:rPr>
          <w:sz w:val="26"/>
          <w:szCs w:val="26"/>
        </w:rPr>
        <w:t xml:space="preserve"> </w:t>
      </w:r>
      <w:r w:rsidR="009C4F80">
        <w:rPr>
          <w:sz w:val="26"/>
          <w:szCs w:val="26"/>
        </w:rPr>
        <w:t xml:space="preserve">ALJ </w:t>
      </w:r>
      <w:r w:rsidR="0001775C" w:rsidRPr="0001775C">
        <w:rPr>
          <w:sz w:val="26"/>
          <w:szCs w:val="26"/>
        </w:rPr>
        <w:t>agree</w:t>
      </w:r>
      <w:r w:rsidR="009408C8">
        <w:rPr>
          <w:sz w:val="26"/>
          <w:szCs w:val="26"/>
        </w:rPr>
        <w:t>d</w:t>
      </w:r>
      <w:r w:rsidR="0001775C" w:rsidRPr="0001775C">
        <w:rPr>
          <w:sz w:val="26"/>
          <w:szCs w:val="26"/>
        </w:rPr>
        <w:t xml:space="preserve"> with the OCA that whether or not the Company has reached the 5% DSIC cap is </w:t>
      </w:r>
      <w:r w:rsidR="009C4F80">
        <w:rPr>
          <w:sz w:val="26"/>
          <w:szCs w:val="26"/>
        </w:rPr>
        <w:t xml:space="preserve">indeed </w:t>
      </w:r>
      <w:r w:rsidR="0001775C" w:rsidRPr="0001775C">
        <w:rPr>
          <w:sz w:val="26"/>
          <w:szCs w:val="26"/>
        </w:rPr>
        <w:t xml:space="preserve">relevant. </w:t>
      </w:r>
      <w:r w:rsidR="00E93C69">
        <w:rPr>
          <w:sz w:val="26"/>
          <w:szCs w:val="26"/>
        </w:rPr>
        <w:t xml:space="preserve"> </w:t>
      </w:r>
      <w:r w:rsidR="0001775C" w:rsidRPr="0001775C">
        <w:rPr>
          <w:sz w:val="26"/>
          <w:szCs w:val="26"/>
        </w:rPr>
        <w:t>As noted by OCA Witness Mierzwa, if the Company has never exceeded its 5% DSIC cap, then the 5% DSIC cap has been adequate to recover the costs associated with the Company’s DSIC-eligible investment.</w:t>
      </w:r>
      <w:r w:rsidR="00F93675">
        <w:rPr>
          <w:rStyle w:val="FootnoteReference"/>
          <w:sz w:val="26"/>
          <w:szCs w:val="26"/>
        </w:rPr>
        <w:footnoteReference w:id="7"/>
      </w:r>
      <w:r w:rsidR="0001775C" w:rsidRPr="0001775C">
        <w:rPr>
          <w:sz w:val="26"/>
          <w:szCs w:val="26"/>
        </w:rPr>
        <w:t xml:space="preserve"> </w:t>
      </w:r>
      <w:r w:rsidR="00E93C69">
        <w:rPr>
          <w:sz w:val="26"/>
          <w:szCs w:val="26"/>
        </w:rPr>
        <w:t xml:space="preserve"> </w:t>
      </w:r>
      <w:r w:rsidR="0001775C" w:rsidRPr="0001775C">
        <w:rPr>
          <w:sz w:val="26"/>
          <w:szCs w:val="26"/>
        </w:rPr>
        <w:t xml:space="preserve">The </w:t>
      </w:r>
      <w:r w:rsidR="002920D7">
        <w:rPr>
          <w:sz w:val="26"/>
          <w:szCs w:val="26"/>
        </w:rPr>
        <w:t xml:space="preserve">ALJ concluded that the </w:t>
      </w:r>
      <w:r w:rsidR="0001775C" w:rsidRPr="0001775C">
        <w:rPr>
          <w:sz w:val="26"/>
          <w:szCs w:val="26"/>
        </w:rPr>
        <w:t>Company’s projected estimate of maxing out the DSIC cap, especially when the DSIC has been incorrectly determined (as discussed later in th</w:t>
      </w:r>
      <w:r w:rsidR="002920D7">
        <w:rPr>
          <w:sz w:val="26"/>
          <w:szCs w:val="26"/>
        </w:rPr>
        <w:t>e ALJ’s d</w:t>
      </w:r>
      <w:r w:rsidR="0001775C" w:rsidRPr="0001775C">
        <w:rPr>
          <w:sz w:val="26"/>
          <w:szCs w:val="26"/>
        </w:rPr>
        <w:t xml:space="preserve">ecision) is not sufficient justification for increasing the DSIC cap to 7.5%. </w:t>
      </w:r>
      <w:r w:rsidR="00EF618A" w:rsidRPr="00EF618A">
        <w:rPr>
          <w:i/>
          <w:sz w:val="26"/>
          <w:szCs w:val="26"/>
        </w:rPr>
        <w:t>Id</w:t>
      </w:r>
      <w:r w:rsidR="0001775C" w:rsidRPr="00EF618A">
        <w:rPr>
          <w:i/>
          <w:sz w:val="26"/>
          <w:szCs w:val="26"/>
        </w:rPr>
        <w:t>.</w:t>
      </w:r>
      <w:r w:rsidR="0001775C">
        <w:rPr>
          <w:sz w:val="26"/>
          <w:szCs w:val="26"/>
        </w:rPr>
        <w:t xml:space="preserve"> at 26-30.</w:t>
      </w:r>
    </w:p>
    <w:p w14:paraId="05D98E82" w14:textId="629CA7A8" w:rsidR="0053205C" w:rsidRPr="00222F6B" w:rsidRDefault="0053205C" w:rsidP="002F7DB7">
      <w:pPr>
        <w:widowControl/>
        <w:spacing w:line="360" w:lineRule="auto"/>
        <w:rPr>
          <w:sz w:val="26"/>
          <w:szCs w:val="26"/>
        </w:rPr>
      </w:pPr>
    </w:p>
    <w:p w14:paraId="063CC036" w14:textId="77777777" w:rsidR="0053205C" w:rsidRPr="00222F6B" w:rsidRDefault="0053205C" w:rsidP="002F7DB7">
      <w:pPr>
        <w:pStyle w:val="Heading3"/>
        <w:widowControl/>
      </w:pPr>
      <w:r>
        <w:tab/>
      </w:r>
      <w:bookmarkStart w:id="22" w:name="_Toc512430437"/>
      <w:r>
        <w:t>3.</w:t>
      </w:r>
      <w:r>
        <w:tab/>
      </w:r>
      <w:r w:rsidRPr="00222F6B">
        <w:t>Exceptions and Replies</w:t>
      </w:r>
      <w:bookmarkEnd w:id="22"/>
    </w:p>
    <w:p w14:paraId="63A686D2" w14:textId="77777777" w:rsidR="0053205C" w:rsidRDefault="0053205C" w:rsidP="002F7DB7">
      <w:pPr>
        <w:keepNext/>
        <w:widowControl/>
        <w:spacing w:line="360" w:lineRule="auto"/>
        <w:rPr>
          <w:sz w:val="26"/>
          <w:szCs w:val="26"/>
        </w:rPr>
      </w:pPr>
    </w:p>
    <w:p w14:paraId="068F10C4" w14:textId="5461B5AE" w:rsidR="0053205C" w:rsidRPr="002D422F" w:rsidRDefault="0053205C" w:rsidP="00041967">
      <w:pPr>
        <w:pStyle w:val="Heading4"/>
        <w:spacing w:line="240" w:lineRule="auto"/>
        <w:ind w:left="2160" w:hanging="720"/>
      </w:pPr>
      <w:bookmarkStart w:id="23" w:name="_Toc512430438"/>
      <w:r w:rsidRPr="002D422F">
        <w:t>a.</w:t>
      </w:r>
      <w:r w:rsidRPr="002D422F">
        <w:tab/>
      </w:r>
      <w:r>
        <w:t>NAWC’s Exception No. 1</w:t>
      </w:r>
      <w:r w:rsidR="00E924B4">
        <w:t xml:space="preserve"> </w:t>
      </w:r>
      <w:r w:rsidR="00AC11A7">
        <w:t>Rega</w:t>
      </w:r>
      <w:r w:rsidR="009B7EE8">
        <w:t>r</w:t>
      </w:r>
      <w:r w:rsidR="00AC11A7">
        <w:t>ding</w:t>
      </w:r>
      <w:r w:rsidR="009B7EE8">
        <w:t xml:space="preserve"> </w:t>
      </w:r>
      <w:r w:rsidR="00E924B4">
        <w:t>Burden of Proof</w:t>
      </w:r>
      <w:r w:rsidR="00AC11A7">
        <w:t xml:space="preserve"> and the</w:t>
      </w:r>
      <w:r w:rsidR="00547A90">
        <w:t xml:space="preserve"> </w:t>
      </w:r>
      <w:r w:rsidR="00AC11A7">
        <w:t>OCA’s Replies</w:t>
      </w:r>
      <w:bookmarkEnd w:id="23"/>
    </w:p>
    <w:p w14:paraId="3982E6F3" w14:textId="77777777" w:rsidR="0053205C" w:rsidRPr="00222F6B" w:rsidRDefault="0053205C" w:rsidP="002F7DB7">
      <w:pPr>
        <w:keepNext/>
        <w:widowControl/>
        <w:spacing w:line="360" w:lineRule="auto"/>
        <w:rPr>
          <w:sz w:val="26"/>
          <w:szCs w:val="26"/>
        </w:rPr>
      </w:pPr>
    </w:p>
    <w:p w14:paraId="6DE2D782" w14:textId="70E4EDEA" w:rsidR="004232A6" w:rsidRDefault="0053205C" w:rsidP="002F7DB7">
      <w:pPr>
        <w:widowControl/>
        <w:spacing w:line="360" w:lineRule="auto"/>
        <w:rPr>
          <w:sz w:val="26"/>
          <w:szCs w:val="26"/>
        </w:rPr>
      </w:pPr>
      <w:r w:rsidRPr="00222F6B">
        <w:rPr>
          <w:sz w:val="26"/>
          <w:szCs w:val="26"/>
        </w:rPr>
        <w:tab/>
      </w:r>
      <w:r w:rsidRPr="00222F6B">
        <w:rPr>
          <w:sz w:val="26"/>
          <w:szCs w:val="26"/>
        </w:rPr>
        <w:tab/>
      </w:r>
      <w:r w:rsidR="004232A6" w:rsidRPr="004232A6">
        <w:rPr>
          <w:sz w:val="26"/>
          <w:szCs w:val="26"/>
        </w:rPr>
        <w:t>NAWC acknowledges that Section 315 of the Code, 66 Pa. C.S. § 315,</w:t>
      </w:r>
      <w:r w:rsidR="00172549">
        <w:rPr>
          <w:sz w:val="26"/>
          <w:szCs w:val="26"/>
        </w:rPr>
        <w:t xml:space="preserve"> </w:t>
      </w:r>
      <w:r w:rsidR="004232A6" w:rsidRPr="004232A6">
        <w:rPr>
          <w:sz w:val="26"/>
          <w:szCs w:val="26"/>
        </w:rPr>
        <w:t>places the burden of proof upon it to show that its proposed DSIC</w:t>
      </w:r>
      <w:r w:rsidR="00A01159">
        <w:rPr>
          <w:sz w:val="26"/>
          <w:szCs w:val="26"/>
        </w:rPr>
        <w:t>-</w:t>
      </w:r>
      <w:r w:rsidR="004232A6" w:rsidRPr="004232A6">
        <w:rPr>
          <w:sz w:val="26"/>
          <w:szCs w:val="26"/>
        </w:rPr>
        <w:t>cap increase to 7.5% is just</w:t>
      </w:r>
      <w:r w:rsidR="00172549">
        <w:rPr>
          <w:sz w:val="26"/>
          <w:szCs w:val="26"/>
        </w:rPr>
        <w:t xml:space="preserve"> </w:t>
      </w:r>
      <w:r w:rsidR="004232A6" w:rsidRPr="004232A6">
        <w:rPr>
          <w:sz w:val="26"/>
          <w:szCs w:val="26"/>
        </w:rPr>
        <w:t xml:space="preserve">and reasonable. </w:t>
      </w:r>
      <w:r w:rsidR="00E93C69">
        <w:rPr>
          <w:sz w:val="26"/>
          <w:szCs w:val="26"/>
        </w:rPr>
        <w:t xml:space="preserve"> </w:t>
      </w:r>
      <w:r w:rsidR="004232A6" w:rsidRPr="004232A6">
        <w:rPr>
          <w:sz w:val="26"/>
          <w:szCs w:val="26"/>
        </w:rPr>
        <w:t>NAWC, however, disagrees with the burden of proof analysis presented in the</w:t>
      </w:r>
      <w:r w:rsidR="00172549">
        <w:rPr>
          <w:sz w:val="26"/>
          <w:szCs w:val="26"/>
        </w:rPr>
        <w:t xml:space="preserve"> </w:t>
      </w:r>
      <w:r w:rsidR="004232A6" w:rsidRPr="004232A6">
        <w:rPr>
          <w:sz w:val="26"/>
          <w:szCs w:val="26"/>
        </w:rPr>
        <w:t>Recommended Decision.</w:t>
      </w:r>
      <w:r w:rsidR="00471632">
        <w:rPr>
          <w:sz w:val="26"/>
          <w:szCs w:val="26"/>
        </w:rPr>
        <w:t xml:space="preserve">  </w:t>
      </w:r>
      <w:r w:rsidR="004C5088">
        <w:rPr>
          <w:sz w:val="26"/>
          <w:szCs w:val="26"/>
        </w:rPr>
        <w:t>NAWC</w:t>
      </w:r>
      <w:r w:rsidR="00AA2E65">
        <w:rPr>
          <w:sz w:val="26"/>
          <w:szCs w:val="26"/>
        </w:rPr>
        <w:t xml:space="preserve"> </w:t>
      </w:r>
      <w:r w:rsidR="0030737B">
        <w:rPr>
          <w:sz w:val="26"/>
          <w:szCs w:val="26"/>
        </w:rPr>
        <w:t xml:space="preserve">submits that </w:t>
      </w:r>
      <w:r w:rsidR="004232A6" w:rsidRPr="004232A6">
        <w:rPr>
          <w:sz w:val="26"/>
          <w:szCs w:val="26"/>
        </w:rPr>
        <w:t xml:space="preserve">Supplement No. 126 </w:t>
      </w:r>
      <w:r w:rsidR="002C06B2">
        <w:rPr>
          <w:sz w:val="26"/>
          <w:szCs w:val="26"/>
        </w:rPr>
        <w:t xml:space="preserve">involves </w:t>
      </w:r>
      <w:r w:rsidR="004232A6" w:rsidRPr="004232A6">
        <w:rPr>
          <w:sz w:val="26"/>
          <w:szCs w:val="26"/>
        </w:rPr>
        <w:t xml:space="preserve">a non-general rate filing </w:t>
      </w:r>
      <w:r w:rsidR="00674FFD">
        <w:rPr>
          <w:sz w:val="26"/>
          <w:szCs w:val="26"/>
        </w:rPr>
        <w:t>and the Co</w:t>
      </w:r>
      <w:r w:rsidR="004232A6" w:rsidRPr="004232A6">
        <w:rPr>
          <w:sz w:val="26"/>
          <w:szCs w:val="26"/>
        </w:rPr>
        <w:t>mmission</w:t>
      </w:r>
      <w:r w:rsidR="00674FFD">
        <w:rPr>
          <w:sz w:val="26"/>
          <w:szCs w:val="26"/>
        </w:rPr>
        <w:t xml:space="preserve">’s October 5, 2017 </w:t>
      </w:r>
      <w:r w:rsidR="004232A6" w:rsidRPr="004232A6">
        <w:rPr>
          <w:sz w:val="26"/>
          <w:szCs w:val="26"/>
        </w:rPr>
        <w:t xml:space="preserve">Order </w:t>
      </w:r>
      <w:r w:rsidR="000F4C4B">
        <w:rPr>
          <w:sz w:val="26"/>
          <w:szCs w:val="26"/>
        </w:rPr>
        <w:t xml:space="preserve">that </w:t>
      </w:r>
      <w:r w:rsidR="004232A6" w:rsidRPr="004232A6">
        <w:rPr>
          <w:sz w:val="26"/>
          <w:szCs w:val="26"/>
        </w:rPr>
        <w:t>suspended Supplement No. 126 pursuant</w:t>
      </w:r>
      <w:r w:rsidR="00172549">
        <w:rPr>
          <w:sz w:val="26"/>
          <w:szCs w:val="26"/>
        </w:rPr>
        <w:t xml:space="preserve"> </w:t>
      </w:r>
      <w:r w:rsidR="004232A6" w:rsidRPr="004232A6">
        <w:rPr>
          <w:sz w:val="26"/>
          <w:szCs w:val="26"/>
        </w:rPr>
        <w:t>to Section 1308(b) acknowled</w:t>
      </w:r>
      <w:r w:rsidR="000F4C4B">
        <w:rPr>
          <w:sz w:val="26"/>
          <w:szCs w:val="26"/>
        </w:rPr>
        <w:t>ged</w:t>
      </w:r>
      <w:r w:rsidR="004232A6" w:rsidRPr="004232A6">
        <w:rPr>
          <w:sz w:val="26"/>
          <w:szCs w:val="26"/>
        </w:rPr>
        <w:t xml:space="preserve"> that </w:t>
      </w:r>
      <w:r w:rsidR="004232A6" w:rsidRPr="004232A6">
        <w:rPr>
          <w:sz w:val="26"/>
          <w:szCs w:val="26"/>
        </w:rPr>
        <w:lastRenderedPageBreak/>
        <w:t xml:space="preserve">Supplement No. 126 is </w:t>
      </w:r>
      <w:r w:rsidR="004232A6" w:rsidRPr="004232A6">
        <w:rPr>
          <w:i/>
          <w:iCs/>
          <w:sz w:val="26"/>
          <w:szCs w:val="26"/>
        </w:rPr>
        <w:t xml:space="preserve">not </w:t>
      </w:r>
      <w:r w:rsidR="004232A6" w:rsidRPr="004232A6">
        <w:rPr>
          <w:sz w:val="26"/>
          <w:szCs w:val="26"/>
        </w:rPr>
        <w:t>a general rate filing.</w:t>
      </w:r>
      <w:r w:rsidR="00172549">
        <w:rPr>
          <w:rStyle w:val="FootnoteReference"/>
          <w:sz w:val="26"/>
          <w:szCs w:val="26"/>
        </w:rPr>
        <w:footnoteReference w:id="8"/>
      </w:r>
      <w:r w:rsidR="004232A6" w:rsidRPr="004232A6">
        <w:rPr>
          <w:sz w:val="26"/>
          <w:szCs w:val="26"/>
        </w:rPr>
        <w:t xml:space="preserve"> </w:t>
      </w:r>
      <w:r w:rsidR="00E93C69">
        <w:rPr>
          <w:sz w:val="26"/>
          <w:szCs w:val="26"/>
        </w:rPr>
        <w:t xml:space="preserve"> </w:t>
      </w:r>
      <w:r w:rsidR="000F4C4B">
        <w:rPr>
          <w:sz w:val="26"/>
          <w:szCs w:val="26"/>
        </w:rPr>
        <w:t xml:space="preserve">Moreover, </w:t>
      </w:r>
      <w:r w:rsidR="00784B94">
        <w:rPr>
          <w:sz w:val="26"/>
          <w:szCs w:val="26"/>
        </w:rPr>
        <w:t>NAWC asserts that t</w:t>
      </w:r>
      <w:r w:rsidR="004232A6" w:rsidRPr="004232A6">
        <w:rPr>
          <w:sz w:val="26"/>
          <w:szCs w:val="26"/>
        </w:rPr>
        <w:t>he</w:t>
      </w:r>
      <w:r w:rsidR="00172549">
        <w:rPr>
          <w:sz w:val="26"/>
          <w:szCs w:val="26"/>
        </w:rPr>
        <w:t xml:space="preserve"> </w:t>
      </w:r>
      <w:r w:rsidR="004232A6" w:rsidRPr="004232A6">
        <w:rPr>
          <w:sz w:val="26"/>
          <w:szCs w:val="26"/>
        </w:rPr>
        <w:t>DSIC</w:t>
      </w:r>
      <w:r w:rsidR="00A01159">
        <w:rPr>
          <w:sz w:val="26"/>
          <w:szCs w:val="26"/>
        </w:rPr>
        <w:noBreakHyphen/>
      </w:r>
      <w:r w:rsidR="004232A6" w:rsidRPr="004232A6">
        <w:rPr>
          <w:sz w:val="26"/>
          <w:szCs w:val="26"/>
        </w:rPr>
        <w:t>cap increase</w:t>
      </w:r>
      <w:r w:rsidR="00784B94">
        <w:rPr>
          <w:sz w:val="26"/>
          <w:szCs w:val="26"/>
        </w:rPr>
        <w:t xml:space="preserve"> </w:t>
      </w:r>
      <w:r w:rsidR="004232A6" w:rsidRPr="004232A6">
        <w:rPr>
          <w:sz w:val="26"/>
          <w:szCs w:val="26"/>
        </w:rPr>
        <w:t xml:space="preserve">is </w:t>
      </w:r>
      <w:r w:rsidR="004232A6" w:rsidRPr="004232A6">
        <w:rPr>
          <w:i/>
          <w:iCs/>
          <w:sz w:val="26"/>
          <w:szCs w:val="26"/>
        </w:rPr>
        <w:t xml:space="preserve">not </w:t>
      </w:r>
      <w:r w:rsidR="004232A6" w:rsidRPr="004232A6">
        <w:rPr>
          <w:sz w:val="26"/>
          <w:szCs w:val="26"/>
        </w:rPr>
        <w:t>in excess of 3.0% of</w:t>
      </w:r>
      <w:r w:rsidR="00221B12">
        <w:rPr>
          <w:sz w:val="26"/>
          <w:szCs w:val="26"/>
        </w:rPr>
        <w:t xml:space="preserve"> </w:t>
      </w:r>
      <w:r w:rsidR="004232A6" w:rsidRPr="004232A6">
        <w:rPr>
          <w:sz w:val="26"/>
          <w:szCs w:val="26"/>
        </w:rPr>
        <w:t>NAWC's gross operating revenue.</w:t>
      </w:r>
      <w:r w:rsidR="00172549">
        <w:rPr>
          <w:rStyle w:val="FootnoteReference"/>
          <w:sz w:val="26"/>
          <w:szCs w:val="26"/>
        </w:rPr>
        <w:footnoteReference w:id="9"/>
      </w:r>
      <w:r w:rsidR="004C5088">
        <w:rPr>
          <w:sz w:val="26"/>
          <w:szCs w:val="26"/>
        </w:rPr>
        <w:t xml:space="preserve"> Exc. at</w:t>
      </w:r>
      <w:r w:rsidR="00784B94">
        <w:rPr>
          <w:sz w:val="26"/>
          <w:szCs w:val="26"/>
        </w:rPr>
        <w:t> </w:t>
      </w:r>
      <w:r w:rsidR="004C5088">
        <w:rPr>
          <w:sz w:val="26"/>
          <w:szCs w:val="26"/>
        </w:rPr>
        <w:t>5.</w:t>
      </w:r>
    </w:p>
    <w:p w14:paraId="32729143" w14:textId="77777777" w:rsidR="00BB05CE" w:rsidRPr="004232A6" w:rsidRDefault="00BB05CE" w:rsidP="002F7DB7">
      <w:pPr>
        <w:widowControl/>
        <w:spacing w:line="360" w:lineRule="auto"/>
        <w:rPr>
          <w:sz w:val="26"/>
          <w:szCs w:val="26"/>
        </w:rPr>
      </w:pPr>
    </w:p>
    <w:p w14:paraId="33F91487" w14:textId="600AF4C8" w:rsidR="0053205C" w:rsidRDefault="00BB05CE" w:rsidP="002F7DB7">
      <w:pPr>
        <w:widowControl/>
        <w:spacing w:line="360" w:lineRule="auto"/>
        <w:rPr>
          <w:sz w:val="26"/>
          <w:szCs w:val="26"/>
        </w:rPr>
      </w:pPr>
      <w:r>
        <w:rPr>
          <w:sz w:val="26"/>
          <w:szCs w:val="26"/>
        </w:rPr>
        <w:tab/>
      </w:r>
      <w:r>
        <w:rPr>
          <w:sz w:val="26"/>
          <w:szCs w:val="26"/>
        </w:rPr>
        <w:tab/>
      </w:r>
      <w:r w:rsidR="00221B12">
        <w:rPr>
          <w:sz w:val="26"/>
          <w:szCs w:val="26"/>
        </w:rPr>
        <w:t xml:space="preserve">NAWC </w:t>
      </w:r>
      <w:r w:rsidR="00F5670C">
        <w:rPr>
          <w:sz w:val="26"/>
          <w:szCs w:val="26"/>
        </w:rPr>
        <w:t>reiterate</w:t>
      </w:r>
      <w:r w:rsidR="00EF618A">
        <w:rPr>
          <w:sz w:val="26"/>
          <w:szCs w:val="26"/>
        </w:rPr>
        <w:t>s</w:t>
      </w:r>
      <w:r w:rsidR="00221B12">
        <w:rPr>
          <w:sz w:val="26"/>
          <w:szCs w:val="26"/>
        </w:rPr>
        <w:t xml:space="preserve"> its position that </w:t>
      </w:r>
      <w:r w:rsidR="00784B94" w:rsidRPr="00172549">
        <w:rPr>
          <w:sz w:val="26"/>
          <w:szCs w:val="26"/>
        </w:rPr>
        <w:t>in non-general</w:t>
      </w:r>
      <w:r w:rsidR="00784B94">
        <w:rPr>
          <w:sz w:val="26"/>
          <w:szCs w:val="26"/>
        </w:rPr>
        <w:t xml:space="preserve"> </w:t>
      </w:r>
      <w:r w:rsidR="00784B94" w:rsidRPr="00172549">
        <w:rPr>
          <w:sz w:val="26"/>
          <w:szCs w:val="26"/>
        </w:rPr>
        <w:t>rate filings,</w:t>
      </w:r>
      <w:r w:rsidR="00784B94">
        <w:rPr>
          <w:sz w:val="26"/>
          <w:szCs w:val="26"/>
        </w:rPr>
        <w:t xml:space="preserve"> </w:t>
      </w:r>
      <w:r w:rsidR="004232A6" w:rsidRPr="00172549">
        <w:rPr>
          <w:sz w:val="26"/>
          <w:szCs w:val="26"/>
        </w:rPr>
        <w:t>the Commission may determine whether a public utility's rates are just and reasonable based on the</w:t>
      </w:r>
      <w:r w:rsidR="00172549" w:rsidRPr="00172549">
        <w:rPr>
          <w:sz w:val="26"/>
          <w:szCs w:val="26"/>
        </w:rPr>
        <w:t xml:space="preserve"> </w:t>
      </w:r>
      <w:r w:rsidR="004232A6" w:rsidRPr="00172549">
        <w:rPr>
          <w:sz w:val="26"/>
          <w:szCs w:val="26"/>
        </w:rPr>
        <w:t>general information required under 52 Pa. Code § 53.52(b)</w:t>
      </w:r>
      <w:r w:rsidR="00172549" w:rsidRPr="00172549">
        <w:rPr>
          <w:sz w:val="26"/>
          <w:szCs w:val="26"/>
        </w:rPr>
        <w:t>.</w:t>
      </w:r>
      <w:r w:rsidR="004232A6" w:rsidRPr="00172549">
        <w:rPr>
          <w:sz w:val="26"/>
          <w:szCs w:val="26"/>
        </w:rPr>
        <w:t xml:space="preserve"> </w:t>
      </w:r>
      <w:r w:rsidR="00E93C69">
        <w:rPr>
          <w:sz w:val="26"/>
          <w:szCs w:val="26"/>
        </w:rPr>
        <w:t xml:space="preserve"> </w:t>
      </w:r>
      <w:r w:rsidR="00AC11A7" w:rsidRPr="00B65F18">
        <w:rPr>
          <w:i/>
          <w:sz w:val="26"/>
          <w:szCs w:val="26"/>
        </w:rPr>
        <w:t>Id.</w:t>
      </w:r>
      <w:r w:rsidR="00AC11A7">
        <w:rPr>
          <w:sz w:val="26"/>
          <w:szCs w:val="26"/>
        </w:rPr>
        <w:t xml:space="preserve"> (citing </w:t>
      </w:r>
      <w:r w:rsidR="00AC11A7" w:rsidRPr="00B65F18">
        <w:rPr>
          <w:i/>
          <w:sz w:val="26"/>
          <w:szCs w:val="26"/>
        </w:rPr>
        <w:t>Popowsky</w:t>
      </w:r>
      <w:r w:rsidR="00AC11A7">
        <w:rPr>
          <w:sz w:val="26"/>
          <w:szCs w:val="26"/>
        </w:rPr>
        <w:t xml:space="preserve">).  </w:t>
      </w:r>
      <w:r w:rsidR="004232A6" w:rsidRPr="00172549">
        <w:rPr>
          <w:sz w:val="26"/>
          <w:szCs w:val="26"/>
        </w:rPr>
        <w:t>The general information provided</w:t>
      </w:r>
      <w:r w:rsidR="00172549" w:rsidRPr="00172549">
        <w:rPr>
          <w:sz w:val="26"/>
          <w:szCs w:val="26"/>
        </w:rPr>
        <w:t xml:space="preserve"> </w:t>
      </w:r>
      <w:r w:rsidR="004232A6" w:rsidRPr="00172549">
        <w:rPr>
          <w:sz w:val="26"/>
          <w:szCs w:val="26"/>
        </w:rPr>
        <w:t>by the Company in response to Section 53.52(b)</w:t>
      </w:r>
      <w:r w:rsidR="00172549" w:rsidRPr="00172549">
        <w:rPr>
          <w:rStyle w:val="FootnoteReference"/>
          <w:sz w:val="26"/>
          <w:szCs w:val="26"/>
        </w:rPr>
        <w:footnoteReference w:id="10"/>
      </w:r>
      <w:r w:rsidR="004232A6" w:rsidRPr="00172549">
        <w:rPr>
          <w:sz w:val="26"/>
          <w:szCs w:val="26"/>
        </w:rPr>
        <w:t xml:space="preserve"> establishes that Supplement No. 126 and the</w:t>
      </w:r>
      <w:r w:rsidR="00172549" w:rsidRPr="00172549">
        <w:rPr>
          <w:sz w:val="26"/>
          <w:szCs w:val="26"/>
        </w:rPr>
        <w:t xml:space="preserve"> </w:t>
      </w:r>
      <w:r w:rsidR="004232A6" w:rsidRPr="00172549">
        <w:rPr>
          <w:sz w:val="26"/>
          <w:szCs w:val="26"/>
        </w:rPr>
        <w:t xml:space="preserve">proposed increase to the DSIC cap </w:t>
      </w:r>
      <w:r w:rsidR="009F3350">
        <w:rPr>
          <w:sz w:val="26"/>
          <w:szCs w:val="26"/>
        </w:rPr>
        <w:t xml:space="preserve">– </w:t>
      </w:r>
      <w:r w:rsidR="004232A6" w:rsidRPr="00172549">
        <w:rPr>
          <w:sz w:val="26"/>
          <w:szCs w:val="26"/>
        </w:rPr>
        <w:t xml:space="preserve"> a non-general rate increase </w:t>
      </w:r>
      <w:r w:rsidR="009F3350">
        <w:rPr>
          <w:sz w:val="26"/>
          <w:szCs w:val="26"/>
        </w:rPr>
        <w:t xml:space="preserve">– </w:t>
      </w:r>
      <w:r w:rsidR="004232A6" w:rsidRPr="00172549">
        <w:rPr>
          <w:sz w:val="26"/>
          <w:szCs w:val="26"/>
        </w:rPr>
        <w:t>is just and reasonable.</w:t>
      </w:r>
      <w:r w:rsidR="00172549" w:rsidRPr="00172549">
        <w:rPr>
          <w:sz w:val="26"/>
          <w:szCs w:val="26"/>
        </w:rPr>
        <w:t xml:space="preserve">  </w:t>
      </w:r>
      <w:r w:rsidR="004C5088">
        <w:rPr>
          <w:sz w:val="26"/>
          <w:szCs w:val="26"/>
        </w:rPr>
        <w:t>NAWC avers that t</w:t>
      </w:r>
      <w:r w:rsidR="00172549" w:rsidRPr="00172549">
        <w:rPr>
          <w:rFonts w:eastAsiaTheme="minorHAnsi"/>
          <w:sz w:val="26"/>
          <w:szCs w:val="26"/>
        </w:rPr>
        <w:t xml:space="preserve">he burden of proof analysis presented in the Recommended Decision commits an error of law by failing to account for the fact that Supplement No. 126 is a modest, non-general rate filing. </w:t>
      </w:r>
      <w:r w:rsidR="005642F3">
        <w:rPr>
          <w:rFonts w:eastAsiaTheme="minorHAnsi"/>
          <w:sz w:val="26"/>
          <w:szCs w:val="26"/>
        </w:rPr>
        <w:t xml:space="preserve"> </w:t>
      </w:r>
      <w:r w:rsidR="00AC11A7">
        <w:rPr>
          <w:rFonts w:eastAsiaTheme="minorHAnsi"/>
          <w:sz w:val="26"/>
          <w:szCs w:val="26"/>
        </w:rPr>
        <w:t>Exc.</w:t>
      </w:r>
      <w:r w:rsidR="00172549" w:rsidRPr="00172549">
        <w:rPr>
          <w:rFonts w:eastAsiaTheme="minorHAnsi"/>
          <w:sz w:val="26"/>
          <w:szCs w:val="26"/>
        </w:rPr>
        <w:t xml:space="preserve"> at</w:t>
      </w:r>
      <w:r w:rsidR="000F4C4B">
        <w:rPr>
          <w:rFonts w:eastAsiaTheme="minorHAnsi"/>
          <w:sz w:val="26"/>
          <w:szCs w:val="26"/>
        </w:rPr>
        <w:t> </w:t>
      </w:r>
      <w:r w:rsidR="00172549" w:rsidRPr="00172549">
        <w:rPr>
          <w:rFonts w:eastAsiaTheme="minorHAnsi"/>
          <w:sz w:val="26"/>
          <w:szCs w:val="26"/>
        </w:rPr>
        <w:t>5-6.</w:t>
      </w:r>
    </w:p>
    <w:p w14:paraId="7C6BB42F" w14:textId="3444CDB8" w:rsidR="0053205C" w:rsidRPr="00592B10" w:rsidRDefault="0053205C" w:rsidP="00784B94">
      <w:pPr>
        <w:pStyle w:val="Heading4"/>
        <w:keepNext w:val="0"/>
      </w:pPr>
    </w:p>
    <w:p w14:paraId="6D36345D" w14:textId="6C4F3B90" w:rsidR="0053205C" w:rsidRDefault="0053205C" w:rsidP="002F7DB7">
      <w:pPr>
        <w:widowControl/>
        <w:spacing w:line="360" w:lineRule="auto"/>
        <w:rPr>
          <w:sz w:val="26"/>
          <w:szCs w:val="26"/>
        </w:rPr>
      </w:pPr>
      <w:r>
        <w:rPr>
          <w:sz w:val="26"/>
          <w:szCs w:val="26"/>
        </w:rPr>
        <w:tab/>
      </w:r>
      <w:r>
        <w:rPr>
          <w:sz w:val="26"/>
          <w:szCs w:val="26"/>
        </w:rPr>
        <w:tab/>
      </w:r>
      <w:r w:rsidR="00363EC5">
        <w:rPr>
          <w:sz w:val="26"/>
          <w:szCs w:val="26"/>
        </w:rPr>
        <w:t>In Reply,</w:t>
      </w:r>
      <w:r>
        <w:rPr>
          <w:sz w:val="26"/>
          <w:szCs w:val="26"/>
        </w:rPr>
        <w:t xml:space="preserve"> </w:t>
      </w:r>
      <w:r w:rsidR="00AC11A7">
        <w:rPr>
          <w:sz w:val="26"/>
          <w:szCs w:val="26"/>
        </w:rPr>
        <w:t xml:space="preserve">the </w:t>
      </w:r>
      <w:r w:rsidR="00221B12">
        <w:rPr>
          <w:sz w:val="26"/>
          <w:szCs w:val="26"/>
        </w:rPr>
        <w:t xml:space="preserve">OCA </w:t>
      </w:r>
      <w:r w:rsidR="00F5670C">
        <w:rPr>
          <w:sz w:val="26"/>
          <w:szCs w:val="26"/>
        </w:rPr>
        <w:t>note</w:t>
      </w:r>
      <w:r w:rsidR="00EF618A">
        <w:rPr>
          <w:sz w:val="26"/>
          <w:szCs w:val="26"/>
        </w:rPr>
        <w:t>s</w:t>
      </w:r>
      <w:r w:rsidR="00F5670C">
        <w:rPr>
          <w:sz w:val="26"/>
          <w:szCs w:val="26"/>
        </w:rPr>
        <w:t xml:space="preserve"> that additional evidence was required for NAWC to meet its burden of proof because the general information provided with the Company’s filing and in the testimony of its witnesses was rebutted by the OCA.  As such, the burden of going forward shifted back to NAW</w:t>
      </w:r>
      <w:r w:rsidR="005642F3">
        <w:rPr>
          <w:sz w:val="26"/>
          <w:szCs w:val="26"/>
        </w:rPr>
        <w:t>C</w:t>
      </w:r>
      <w:r w:rsidR="00F5670C">
        <w:rPr>
          <w:sz w:val="26"/>
          <w:szCs w:val="26"/>
        </w:rPr>
        <w:t xml:space="preserve"> to rebut the OCA’s evidence by a preponderance of the evidence.  The additional evidence provided by NAWC did not rebut the OCA’s evidence, and therefore, the ALJ correctly found that the Company failed to meet its burden of proving the proposed rate increase is just and reasonable.  R</w:t>
      </w:r>
      <w:r w:rsidR="004C5088">
        <w:rPr>
          <w:sz w:val="26"/>
          <w:szCs w:val="26"/>
        </w:rPr>
        <w:t>.</w:t>
      </w:r>
      <w:r w:rsidR="000F4C4B">
        <w:rPr>
          <w:sz w:val="26"/>
          <w:szCs w:val="26"/>
        </w:rPr>
        <w:t> </w:t>
      </w:r>
      <w:r w:rsidR="00F5670C">
        <w:rPr>
          <w:sz w:val="26"/>
          <w:szCs w:val="26"/>
        </w:rPr>
        <w:t>Exc. at 2.</w:t>
      </w:r>
    </w:p>
    <w:p w14:paraId="5383BD6F" w14:textId="77777777" w:rsidR="00F5670C" w:rsidRDefault="00F5670C" w:rsidP="002F7DB7">
      <w:pPr>
        <w:widowControl/>
        <w:spacing w:line="360" w:lineRule="auto"/>
        <w:rPr>
          <w:sz w:val="26"/>
          <w:szCs w:val="26"/>
        </w:rPr>
      </w:pPr>
    </w:p>
    <w:p w14:paraId="000729AA" w14:textId="3F70C711" w:rsidR="00F5670C" w:rsidRDefault="009408C8" w:rsidP="002F7DB7">
      <w:pPr>
        <w:widowControl/>
        <w:spacing w:line="360" w:lineRule="auto"/>
        <w:rPr>
          <w:sz w:val="26"/>
          <w:szCs w:val="26"/>
        </w:rPr>
      </w:pPr>
      <w:r>
        <w:rPr>
          <w:sz w:val="26"/>
          <w:szCs w:val="26"/>
        </w:rPr>
        <w:lastRenderedPageBreak/>
        <w:tab/>
      </w:r>
      <w:r>
        <w:rPr>
          <w:sz w:val="26"/>
          <w:szCs w:val="26"/>
        </w:rPr>
        <w:tab/>
      </w:r>
      <w:r w:rsidR="00D76C5D">
        <w:rPr>
          <w:sz w:val="26"/>
          <w:szCs w:val="26"/>
        </w:rPr>
        <w:t xml:space="preserve">The </w:t>
      </w:r>
      <w:r w:rsidR="00F5670C">
        <w:rPr>
          <w:sz w:val="26"/>
          <w:szCs w:val="26"/>
        </w:rPr>
        <w:t>OCA note</w:t>
      </w:r>
      <w:r w:rsidR="004C5088">
        <w:rPr>
          <w:sz w:val="26"/>
          <w:szCs w:val="26"/>
        </w:rPr>
        <w:t>s</w:t>
      </w:r>
      <w:r w:rsidR="00F5670C">
        <w:rPr>
          <w:sz w:val="26"/>
          <w:szCs w:val="26"/>
        </w:rPr>
        <w:t xml:space="preserve"> that the ALJ’s analysis and application </w:t>
      </w:r>
      <w:r>
        <w:rPr>
          <w:sz w:val="26"/>
          <w:szCs w:val="26"/>
        </w:rPr>
        <w:t>of</w:t>
      </w:r>
      <w:r w:rsidR="00F5670C">
        <w:rPr>
          <w:sz w:val="26"/>
          <w:szCs w:val="26"/>
        </w:rPr>
        <w:t xml:space="preserve"> the burden of proof in this proceeding is entirely consistent with the Commission</w:t>
      </w:r>
      <w:r w:rsidR="004D2451">
        <w:rPr>
          <w:sz w:val="26"/>
          <w:szCs w:val="26"/>
        </w:rPr>
        <w:t>’s</w:t>
      </w:r>
      <w:r w:rsidR="00F5670C">
        <w:rPr>
          <w:sz w:val="26"/>
          <w:szCs w:val="26"/>
        </w:rPr>
        <w:t xml:space="preserve"> Order addressing the first request by a utility to implement a DSIC under Act 11, 66 Pa. C.S. §§ 1350-1360.</w:t>
      </w:r>
      <w:r w:rsidR="00076CE7">
        <w:rPr>
          <w:rStyle w:val="FootnoteReference"/>
          <w:sz w:val="26"/>
          <w:szCs w:val="26"/>
        </w:rPr>
        <w:footnoteReference w:id="11"/>
      </w:r>
      <w:r w:rsidR="00F5670C">
        <w:rPr>
          <w:sz w:val="26"/>
          <w:szCs w:val="26"/>
        </w:rPr>
        <w:t xml:space="preserve">  There the Commission required the utility to provide “additional evidence” to rebut that of the opposing party.  It stated:</w:t>
      </w:r>
    </w:p>
    <w:p w14:paraId="2DD6062C" w14:textId="77777777" w:rsidR="00F5670C" w:rsidRDefault="00F5670C" w:rsidP="002F7DB7">
      <w:pPr>
        <w:widowControl/>
        <w:spacing w:line="360" w:lineRule="auto"/>
        <w:rPr>
          <w:sz w:val="26"/>
          <w:szCs w:val="26"/>
        </w:rPr>
      </w:pPr>
    </w:p>
    <w:p w14:paraId="06B78E4C" w14:textId="3E5A031A" w:rsidR="00F5670C" w:rsidRDefault="00EF618A" w:rsidP="004D2451">
      <w:pPr>
        <w:widowControl/>
        <w:ind w:left="1440" w:right="1440"/>
        <w:rPr>
          <w:sz w:val="26"/>
          <w:szCs w:val="26"/>
        </w:rPr>
      </w:pPr>
      <w:r>
        <w:rPr>
          <w:sz w:val="26"/>
          <w:szCs w:val="26"/>
        </w:rPr>
        <w:tab/>
      </w:r>
      <w:r w:rsidR="00F5670C">
        <w:rPr>
          <w:sz w:val="26"/>
          <w:szCs w:val="26"/>
        </w:rPr>
        <w:t xml:space="preserve">Upon the presentation by Columbia of evidence sufficient to initially satisfy the burden of proof, the burden of going forward with the evidence to rebut the evidence of Columbia </w:t>
      </w:r>
      <w:r w:rsidR="008C507B">
        <w:rPr>
          <w:sz w:val="26"/>
          <w:szCs w:val="26"/>
        </w:rPr>
        <w:t>shifts to the opposing party.  If the evidence presented by the opposing party is of co-equal value or “weight,” the burden of proof has not been satisfied.  Columbia now has to provide some additional evidence to rebut that of the opposing party.  While the burden of going forward with the evidence may shift back and forth during a proceeding, the burden of proof never shifts.  The burden of proof always remains on the party seeking affirmative relief from the Commission.</w:t>
      </w:r>
    </w:p>
    <w:p w14:paraId="1E35BF82" w14:textId="0F00A782" w:rsidR="00041967" w:rsidRDefault="00041967" w:rsidP="004D2451">
      <w:pPr>
        <w:widowControl/>
        <w:ind w:left="1440" w:right="1440"/>
        <w:rPr>
          <w:sz w:val="26"/>
          <w:szCs w:val="26"/>
        </w:rPr>
      </w:pPr>
    </w:p>
    <w:p w14:paraId="2726F26E" w14:textId="77777777" w:rsidR="00041967" w:rsidRDefault="00041967" w:rsidP="004D2451">
      <w:pPr>
        <w:widowControl/>
        <w:ind w:left="1440" w:right="1440"/>
        <w:rPr>
          <w:sz w:val="26"/>
          <w:szCs w:val="26"/>
        </w:rPr>
      </w:pPr>
    </w:p>
    <w:p w14:paraId="401B2E97" w14:textId="46E5C215" w:rsidR="00076CE7" w:rsidRDefault="00AC11A7" w:rsidP="002F7DB7">
      <w:pPr>
        <w:widowControl/>
        <w:spacing w:line="360" w:lineRule="auto"/>
        <w:rPr>
          <w:sz w:val="26"/>
          <w:szCs w:val="26"/>
        </w:rPr>
      </w:pPr>
      <w:r>
        <w:rPr>
          <w:sz w:val="26"/>
          <w:szCs w:val="26"/>
        </w:rPr>
        <w:t xml:space="preserve">R. Exc. at </w:t>
      </w:r>
      <w:r w:rsidR="009F3350">
        <w:rPr>
          <w:sz w:val="26"/>
          <w:szCs w:val="26"/>
        </w:rPr>
        <w:t xml:space="preserve">2 </w:t>
      </w:r>
      <w:r w:rsidR="00363EC5">
        <w:rPr>
          <w:sz w:val="26"/>
          <w:szCs w:val="26"/>
        </w:rPr>
        <w:t>(</w:t>
      </w:r>
      <w:r>
        <w:rPr>
          <w:sz w:val="26"/>
          <w:szCs w:val="26"/>
        </w:rPr>
        <w:t xml:space="preserve">citing </w:t>
      </w:r>
      <w:r w:rsidRPr="00426862">
        <w:rPr>
          <w:i/>
          <w:sz w:val="26"/>
          <w:szCs w:val="26"/>
        </w:rPr>
        <w:t>Columbia Gas</w:t>
      </w:r>
      <w:r w:rsidRPr="00426862">
        <w:rPr>
          <w:sz w:val="26"/>
          <w:szCs w:val="26"/>
        </w:rPr>
        <w:t xml:space="preserve"> at 7-8</w:t>
      </w:r>
      <w:r>
        <w:rPr>
          <w:sz w:val="26"/>
          <w:szCs w:val="26"/>
        </w:rPr>
        <w:t>).</w:t>
      </w:r>
    </w:p>
    <w:p w14:paraId="1A2F3E58" w14:textId="77777777" w:rsidR="00AC11A7" w:rsidRDefault="00AC11A7" w:rsidP="002F7DB7">
      <w:pPr>
        <w:widowControl/>
        <w:spacing w:line="360" w:lineRule="auto"/>
        <w:rPr>
          <w:sz w:val="26"/>
          <w:szCs w:val="26"/>
        </w:rPr>
      </w:pPr>
    </w:p>
    <w:p w14:paraId="6DD72B5F" w14:textId="0EBA0747" w:rsidR="0053205C" w:rsidRDefault="009408C8" w:rsidP="00041967">
      <w:pPr>
        <w:widowControl/>
        <w:spacing w:line="360" w:lineRule="auto"/>
        <w:rPr>
          <w:sz w:val="26"/>
          <w:szCs w:val="26"/>
        </w:rPr>
      </w:pPr>
      <w:r>
        <w:rPr>
          <w:sz w:val="26"/>
          <w:szCs w:val="26"/>
        </w:rPr>
        <w:tab/>
      </w:r>
      <w:r>
        <w:rPr>
          <w:sz w:val="26"/>
          <w:szCs w:val="26"/>
        </w:rPr>
        <w:tab/>
      </w:r>
      <w:r w:rsidR="00D76C5D">
        <w:rPr>
          <w:sz w:val="26"/>
          <w:szCs w:val="26"/>
        </w:rPr>
        <w:t xml:space="preserve">The </w:t>
      </w:r>
      <w:r w:rsidR="00076CE7">
        <w:rPr>
          <w:sz w:val="26"/>
          <w:szCs w:val="26"/>
        </w:rPr>
        <w:t xml:space="preserve">OCA notes that NAWC’s reliance on </w:t>
      </w:r>
      <w:r w:rsidR="00363EC5" w:rsidRPr="00B65F18">
        <w:rPr>
          <w:i/>
          <w:sz w:val="26"/>
          <w:szCs w:val="26"/>
        </w:rPr>
        <w:t>Popowsky</w:t>
      </w:r>
      <w:r w:rsidR="00363EC5">
        <w:rPr>
          <w:sz w:val="26"/>
          <w:szCs w:val="26"/>
        </w:rPr>
        <w:t xml:space="preserve"> is</w:t>
      </w:r>
      <w:r w:rsidR="00076CE7">
        <w:rPr>
          <w:sz w:val="26"/>
          <w:szCs w:val="26"/>
        </w:rPr>
        <w:t xml:space="preserve"> misplaced.  </w:t>
      </w:r>
      <w:r w:rsidR="0038218A">
        <w:rPr>
          <w:sz w:val="26"/>
          <w:szCs w:val="26"/>
        </w:rPr>
        <w:t xml:space="preserve">The </w:t>
      </w:r>
      <w:r w:rsidR="00076CE7">
        <w:rPr>
          <w:sz w:val="26"/>
          <w:szCs w:val="26"/>
        </w:rPr>
        <w:t xml:space="preserve">OCA states that NAWC was not asked to provide the type of supporting data and testimony </w:t>
      </w:r>
      <w:r w:rsidR="00985473">
        <w:rPr>
          <w:sz w:val="26"/>
          <w:szCs w:val="26"/>
        </w:rPr>
        <w:t>required</w:t>
      </w:r>
      <w:r w:rsidR="00076CE7">
        <w:rPr>
          <w:sz w:val="26"/>
          <w:szCs w:val="26"/>
        </w:rPr>
        <w:t xml:space="preserve"> in a full rate proceeding.  </w:t>
      </w:r>
      <w:r w:rsidR="00B67761">
        <w:rPr>
          <w:sz w:val="26"/>
          <w:szCs w:val="26"/>
        </w:rPr>
        <w:t xml:space="preserve">Instead, the </w:t>
      </w:r>
      <w:r w:rsidR="00985473">
        <w:rPr>
          <w:sz w:val="26"/>
          <w:szCs w:val="26"/>
        </w:rPr>
        <w:t>Commission</w:t>
      </w:r>
      <w:r w:rsidR="00B67761">
        <w:rPr>
          <w:sz w:val="26"/>
          <w:szCs w:val="26"/>
        </w:rPr>
        <w:t xml:space="preserve"> ordered the ALJ to</w:t>
      </w:r>
      <w:r>
        <w:rPr>
          <w:sz w:val="26"/>
          <w:szCs w:val="26"/>
        </w:rPr>
        <w:t xml:space="preserve"> i</w:t>
      </w:r>
      <w:r w:rsidR="00B67761">
        <w:rPr>
          <w:sz w:val="26"/>
          <w:szCs w:val="26"/>
        </w:rPr>
        <w:t>nvestigate the justness and reasonableness of the proposed DSIC</w:t>
      </w:r>
      <w:r w:rsidR="00A01159">
        <w:rPr>
          <w:sz w:val="26"/>
          <w:szCs w:val="26"/>
        </w:rPr>
        <w:t>-</w:t>
      </w:r>
      <w:r w:rsidR="00B67761">
        <w:rPr>
          <w:sz w:val="26"/>
          <w:szCs w:val="26"/>
        </w:rPr>
        <w:t>cap increase and NAWC’s existing DSIC rates, rules and regulations.  R</w:t>
      </w:r>
      <w:r w:rsidR="004C5088">
        <w:rPr>
          <w:sz w:val="26"/>
          <w:szCs w:val="26"/>
        </w:rPr>
        <w:t>.</w:t>
      </w:r>
      <w:r w:rsidR="00B67761">
        <w:rPr>
          <w:sz w:val="26"/>
          <w:szCs w:val="26"/>
        </w:rPr>
        <w:t xml:space="preserve"> Exc. at 2-3.</w:t>
      </w:r>
    </w:p>
    <w:p w14:paraId="11B5E019" w14:textId="77777777" w:rsidR="00041967" w:rsidRDefault="00041967" w:rsidP="00041967">
      <w:pPr>
        <w:widowControl/>
        <w:spacing w:line="360" w:lineRule="auto"/>
        <w:rPr>
          <w:sz w:val="26"/>
          <w:szCs w:val="26"/>
        </w:rPr>
      </w:pPr>
    </w:p>
    <w:p w14:paraId="2C03D479" w14:textId="1D9F98EA" w:rsidR="00981035" w:rsidRPr="00981035" w:rsidRDefault="00D76C5D" w:rsidP="00041967">
      <w:pPr>
        <w:pStyle w:val="Heading4"/>
        <w:spacing w:line="240" w:lineRule="auto"/>
        <w:ind w:left="2160" w:hanging="720"/>
      </w:pPr>
      <w:bookmarkStart w:id="25" w:name="_Toc512430439"/>
      <w:r>
        <w:lastRenderedPageBreak/>
        <w:t>b</w:t>
      </w:r>
      <w:r w:rsidR="00981035" w:rsidRPr="00981035">
        <w:t>.</w:t>
      </w:r>
      <w:r w:rsidR="00981035" w:rsidRPr="00981035">
        <w:tab/>
      </w:r>
      <w:r w:rsidR="00C21F30">
        <w:t>NAWC</w:t>
      </w:r>
      <w:r w:rsidR="00981035" w:rsidRPr="00981035">
        <w:t>’s Exception</w:t>
      </w:r>
      <w:r w:rsidR="00557E1D">
        <w:t xml:space="preserve"> No. 2</w:t>
      </w:r>
      <w:r w:rsidR="00E924B4">
        <w:t xml:space="preserve"> </w:t>
      </w:r>
      <w:r>
        <w:t>Regarding Increasing</w:t>
      </w:r>
      <w:r w:rsidR="00E924B4">
        <w:t xml:space="preserve"> the DSIC Cap</w:t>
      </w:r>
      <w:r>
        <w:t xml:space="preserve"> and the OCA’s Replies</w:t>
      </w:r>
      <w:bookmarkEnd w:id="25"/>
    </w:p>
    <w:p w14:paraId="29FAE0A1" w14:textId="77777777" w:rsidR="00981035" w:rsidRDefault="00981035" w:rsidP="002F7DB7">
      <w:pPr>
        <w:keepNext/>
        <w:widowControl/>
        <w:spacing w:line="360" w:lineRule="auto"/>
        <w:rPr>
          <w:sz w:val="26"/>
          <w:szCs w:val="26"/>
        </w:rPr>
      </w:pPr>
    </w:p>
    <w:p w14:paraId="3072B8E9" w14:textId="2C1D83EA" w:rsidR="00363EC5" w:rsidRDefault="00F35DC9" w:rsidP="002F7DB7">
      <w:pPr>
        <w:widowControl/>
        <w:spacing w:line="360" w:lineRule="auto"/>
        <w:rPr>
          <w:sz w:val="26"/>
          <w:szCs w:val="26"/>
        </w:rPr>
      </w:pPr>
      <w:r>
        <w:rPr>
          <w:sz w:val="26"/>
          <w:szCs w:val="26"/>
        </w:rPr>
        <w:tab/>
      </w:r>
      <w:r>
        <w:rPr>
          <w:sz w:val="26"/>
          <w:szCs w:val="26"/>
        </w:rPr>
        <w:tab/>
        <w:t xml:space="preserve">NAWC maintains that </w:t>
      </w:r>
      <w:r w:rsidR="00985473">
        <w:rPr>
          <w:sz w:val="26"/>
          <w:szCs w:val="26"/>
        </w:rPr>
        <w:t>Section</w:t>
      </w:r>
      <w:r>
        <w:rPr>
          <w:sz w:val="26"/>
          <w:szCs w:val="26"/>
        </w:rPr>
        <w:t xml:space="preserve"> 1358(a)(2) of </w:t>
      </w:r>
      <w:r w:rsidR="00363EC5">
        <w:rPr>
          <w:sz w:val="26"/>
          <w:szCs w:val="26"/>
        </w:rPr>
        <w:t>the Code</w:t>
      </w:r>
      <w:r>
        <w:rPr>
          <w:sz w:val="26"/>
          <w:szCs w:val="26"/>
        </w:rPr>
        <w:t xml:space="preserve"> states in clear and unambiguous language, that a water utility DSIC may not exceed 7.5% of the </w:t>
      </w:r>
      <w:r w:rsidR="00985473">
        <w:rPr>
          <w:sz w:val="26"/>
          <w:szCs w:val="26"/>
        </w:rPr>
        <w:t>amount</w:t>
      </w:r>
      <w:r>
        <w:rPr>
          <w:sz w:val="26"/>
          <w:szCs w:val="26"/>
        </w:rPr>
        <w:t xml:space="preserve"> billed to customers and Section 1358(a)(2) clearly </w:t>
      </w:r>
      <w:r w:rsidR="00985473">
        <w:rPr>
          <w:sz w:val="26"/>
          <w:szCs w:val="26"/>
        </w:rPr>
        <w:t>contemplates</w:t>
      </w:r>
      <w:r>
        <w:rPr>
          <w:sz w:val="26"/>
          <w:szCs w:val="26"/>
        </w:rPr>
        <w:t xml:space="preserve"> a DSIC cap of 7.5% for water </w:t>
      </w:r>
      <w:r w:rsidR="00985473">
        <w:rPr>
          <w:sz w:val="26"/>
          <w:szCs w:val="26"/>
        </w:rPr>
        <w:t>utilities</w:t>
      </w:r>
      <w:r>
        <w:rPr>
          <w:sz w:val="26"/>
          <w:szCs w:val="26"/>
        </w:rPr>
        <w:t>.  NAWC submits that the plain language of the Section supports the simple tariff change proposed through Supplement No. 126.  NAWC contends that Act</w:t>
      </w:r>
      <w:r w:rsidR="000A49EE">
        <w:rPr>
          <w:sz w:val="26"/>
          <w:szCs w:val="26"/>
        </w:rPr>
        <w:t> </w:t>
      </w:r>
      <w:r>
        <w:rPr>
          <w:sz w:val="26"/>
          <w:szCs w:val="26"/>
        </w:rPr>
        <w:t xml:space="preserve">11 reflects a legislative </w:t>
      </w:r>
      <w:r w:rsidRPr="007818BA">
        <w:rPr>
          <w:i/>
          <w:sz w:val="26"/>
          <w:szCs w:val="26"/>
        </w:rPr>
        <w:t>quid pro quo</w:t>
      </w:r>
      <w:r>
        <w:rPr>
          <w:sz w:val="26"/>
          <w:szCs w:val="26"/>
        </w:rPr>
        <w:t xml:space="preserve"> that, in return for its accelerated replacement of infrastructure in its LTIIP, NAWC may request and receive a DSIC that does not exceed 7.5%.  Exc. at 7.</w:t>
      </w:r>
    </w:p>
    <w:p w14:paraId="15C13B21" w14:textId="77777777" w:rsidR="00363EC5" w:rsidRDefault="00363EC5" w:rsidP="002F7DB7">
      <w:pPr>
        <w:widowControl/>
        <w:spacing w:line="360" w:lineRule="auto"/>
        <w:rPr>
          <w:sz w:val="26"/>
          <w:szCs w:val="26"/>
        </w:rPr>
      </w:pPr>
    </w:p>
    <w:p w14:paraId="490D463C" w14:textId="3C2C979D" w:rsidR="00F35DC9" w:rsidRDefault="00F35DC9" w:rsidP="002F7DB7">
      <w:pPr>
        <w:widowControl/>
        <w:spacing w:line="360" w:lineRule="auto"/>
        <w:rPr>
          <w:sz w:val="26"/>
          <w:szCs w:val="26"/>
        </w:rPr>
      </w:pPr>
      <w:r>
        <w:rPr>
          <w:sz w:val="26"/>
          <w:szCs w:val="26"/>
        </w:rPr>
        <w:tab/>
      </w:r>
      <w:r>
        <w:rPr>
          <w:sz w:val="26"/>
          <w:szCs w:val="26"/>
        </w:rPr>
        <w:tab/>
        <w:t xml:space="preserve">NAWC reasons that the Commission has approved and allowed United, Aqua and PAWC to increase their DSIC caps from 5.0% to 7.5% and there is nothing to distinguish NAWC’s request from these approved requests.  </w:t>
      </w:r>
      <w:r w:rsidR="00EF618A" w:rsidRPr="00EF618A">
        <w:rPr>
          <w:i/>
          <w:sz w:val="26"/>
          <w:szCs w:val="26"/>
        </w:rPr>
        <w:t>Id</w:t>
      </w:r>
      <w:r w:rsidR="00F50870" w:rsidRPr="00EF618A">
        <w:rPr>
          <w:i/>
          <w:sz w:val="26"/>
          <w:szCs w:val="26"/>
        </w:rPr>
        <w:t>.</w:t>
      </w:r>
      <w:r w:rsidR="00F50870">
        <w:rPr>
          <w:sz w:val="26"/>
          <w:szCs w:val="26"/>
        </w:rPr>
        <w:t xml:space="preserve"> at 8.</w:t>
      </w:r>
    </w:p>
    <w:p w14:paraId="1D4C3EBF" w14:textId="77777777" w:rsidR="00F50870" w:rsidRDefault="00F50870" w:rsidP="00CD498E">
      <w:pPr>
        <w:widowControl/>
        <w:spacing w:line="360" w:lineRule="auto"/>
        <w:rPr>
          <w:sz w:val="26"/>
          <w:szCs w:val="26"/>
        </w:rPr>
      </w:pPr>
    </w:p>
    <w:p w14:paraId="110FDBCA" w14:textId="064E9C59" w:rsidR="00F50870" w:rsidRDefault="00F50870" w:rsidP="00CD498E">
      <w:pPr>
        <w:widowControl/>
        <w:spacing w:line="360" w:lineRule="auto"/>
        <w:rPr>
          <w:sz w:val="26"/>
          <w:szCs w:val="26"/>
        </w:rPr>
      </w:pPr>
      <w:r>
        <w:rPr>
          <w:sz w:val="26"/>
          <w:szCs w:val="26"/>
        </w:rPr>
        <w:tab/>
      </w:r>
      <w:r>
        <w:rPr>
          <w:sz w:val="26"/>
          <w:szCs w:val="26"/>
        </w:rPr>
        <w:tab/>
        <w:t xml:space="preserve">NAWC stated that the Recommended Decision failed to consider the current accelerated infrastructure investment of NAWC’s LTIIP.  NAWC believes that a </w:t>
      </w:r>
      <w:r w:rsidRPr="00F50870">
        <w:rPr>
          <w:i/>
          <w:sz w:val="26"/>
          <w:szCs w:val="26"/>
        </w:rPr>
        <w:t>further</w:t>
      </w:r>
      <w:r>
        <w:rPr>
          <w:sz w:val="26"/>
          <w:szCs w:val="26"/>
        </w:rPr>
        <w:t xml:space="preserve"> acceleration from the level of investment in the LTIIP is not necessary to support an increase in the DSIC cap.  </w:t>
      </w:r>
      <w:r w:rsidR="00EF618A" w:rsidRPr="00EF618A">
        <w:rPr>
          <w:i/>
          <w:sz w:val="26"/>
          <w:szCs w:val="26"/>
        </w:rPr>
        <w:t>Id</w:t>
      </w:r>
      <w:r w:rsidRPr="00EF618A">
        <w:rPr>
          <w:i/>
          <w:sz w:val="26"/>
          <w:szCs w:val="26"/>
        </w:rPr>
        <w:t>.</w:t>
      </w:r>
      <w:r>
        <w:rPr>
          <w:sz w:val="26"/>
          <w:szCs w:val="26"/>
        </w:rPr>
        <w:t xml:space="preserve"> at 13.</w:t>
      </w:r>
    </w:p>
    <w:p w14:paraId="286F82EA" w14:textId="77777777" w:rsidR="00F50870" w:rsidRDefault="00F50870" w:rsidP="00CD498E">
      <w:pPr>
        <w:widowControl/>
        <w:spacing w:line="360" w:lineRule="auto"/>
        <w:rPr>
          <w:sz w:val="26"/>
          <w:szCs w:val="26"/>
        </w:rPr>
      </w:pPr>
    </w:p>
    <w:p w14:paraId="58FE1D21" w14:textId="3F071688" w:rsidR="00F50870" w:rsidRDefault="00F50870" w:rsidP="00CD498E">
      <w:pPr>
        <w:widowControl/>
        <w:spacing w:line="360" w:lineRule="auto"/>
        <w:rPr>
          <w:sz w:val="26"/>
          <w:szCs w:val="26"/>
        </w:rPr>
      </w:pPr>
      <w:r>
        <w:rPr>
          <w:sz w:val="26"/>
          <w:szCs w:val="26"/>
        </w:rPr>
        <w:tab/>
      </w:r>
      <w:r>
        <w:rPr>
          <w:sz w:val="26"/>
          <w:szCs w:val="26"/>
        </w:rPr>
        <w:tab/>
        <w:t xml:space="preserve">NAWC contends that the proposed increase in the DSIC cap is in the public interest.  Increasing the DSIC cap will provide the Company with the resources to continue the accelerated replacement of aging infrastructure and to comply with evolving regulatory requirements including compliance with the LTIIP.  </w:t>
      </w:r>
      <w:r w:rsidR="00EF618A" w:rsidRPr="00EF618A">
        <w:rPr>
          <w:i/>
          <w:sz w:val="26"/>
          <w:szCs w:val="26"/>
        </w:rPr>
        <w:t>Id</w:t>
      </w:r>
      <w:r w:rsidRPr="00EF618A">
        <w:rPr>
          <w:i/>
          <w:sz w:val="26"/>
          <w:szCs w:val="26"/>
        </w:rPr>
        <w:t>.</w:t>
      </w:r>
      <w:r>
        <w:rPr>
          <w:sz w:val="26"/>
          <w:szCs w:val="26"/>
        </w:rPr>
        <w:t xml:space="preserve"> at 14.</w:t>
      </w:r>
    </w:p>
    <w:p w14:paraId="27B057D4" w14:textId="77777777" w:rsidR="00F50870" w:rsidRDefault="00F50870" w:rsidP="00CD498E">
      <w:pPr>
        <w:widowControl/>
        <w:spacing w:line="360" w:lineRule="auto"/>
        <w:rPr>
          <w:sz w:val="26"/>
          <w:szCs w:val="26"/>
        </w:rPr>
      </w:pPr>
    </w:p>
    <w:p w14:paraId="33261584" w14:textId="133DA59C" w:rsidR="00C51BFF" w:rsidRDefault="00F50870" w:rsidP="00CD498E">
      <w:pPr>
        <w:widowControl/>
        <w:spacing w:line="360" w:lineRule="auto"/>
        <w:rPr>
          <w:sz w:val="26"/>
          <w:szCs w:val="26"/>
        </w:rPr>
      </w:pPr>
      <w:r>
        <w:rPr>
          <w:sz w:val="26"/>
          <w:szCs w:val="26"/>
        </w:rPr>
        <w:tab/>
      </w:r>
      <w:r w:rsidR="00D76C5D">
        <w:rPr>
          <w:sz w:val="26"/>
          <w:szCs w:val="26"/>
        </w:rPr>
        <w:tab/>
      </w:r>
      <w:r>
        <w:rPr>
          <w:sz w:val="26"/>
          <w:szCs w:val="26"/>
        </w:rPr>
        <w:t>NAWC sets forth that it is likely that the frequency of DSIC</w:t>
      </w:r>
      <w:r w:rsidR="00A01159">
        <w:rPr>
          <w:sz w:val="26"/>
          <w:szCs w:val="26"/>
        </w:rPr>
        <w:t>-</w:t>
      </w:r>
      <w:r>
        <w:rPr>
          <w:sz w:val="26"/>
          <w:szCs w:val="26"/>
        </w:rPr>
        <w:t>cap</w:t>
      </w:r>
      <w:r w:rsidR="00A01159">
        <w:rPr>
          <w:sz w:val="26"/>
          <w:szCs w:val="26"/>
        </w:rPr>
        <w:t>-</w:t>
      </w:r>
      <w:r>
        <w:rPr>
          <w:sz w:val="26"/>
          <w:szCs w:val="26"/>
        </w:rPr>
        <w:t xml:space="preserve">related base rate cases will be cut in half as a result of increasing the DSIC cap to 7.5%.  </w:t>
      </w:r>
      <w:r w:rsidR="00D76C5D">
        <w:rPr>
          <w:sz w:val="26"/>
          <w:szCs w:val="26"/>
        </w:rPr>
        <w:t>NAWC further avers that</w:t>
      </w:r>
      <w:r>
        <w:rPr>
          <w:sz w:val="26"/>
          <w:szCs w:val="26"/>
        </w:rPr>
        <w:t xml:space="preserve"> customers will benefit by a decline in the number of main breaks and </w:t>
      </w:r>
      <w:r>
        <w:rPr>
          <w:sz w:val="26"/>
          <w:szCs w:val="26"/>
        </w:rPr>
        <w:lastRenderedPageBreak/>
        <w:t xml:space="preserve">service </w:t>
      </w:r>
      <w:r w:rsidR="00C4111A">
        <w:rPr>
          <w:sz w:val="26"/>
          <w:szCs w:val="26"/>
        </w:rPr>
        <w:t>interruptions</w:t>
      </w:r>
      <w:r>
        <w:rPr>
          <w:sz w:val="26"/>
          <w:szCs w:val="26"/>
        </w:rPr>
        <w:t xml:space="preserve">, increased fire protection, and an improvement in water quality.  </w:t>
      </w:r>
      <w:r w:rsidR="00EF618A" w:rsidRPr="00EF618A">
        <w:rPr>
          <w:i/>
          <w:sz w:val="26"/>
          <w:szCs w:val="26"/>
        </w:rPr>
        <w:t>Id</w:t>
      </w:r>
      <w:r w:rsidRPr="00EF618A">
        <w:rPr>
          <w:i/>
          <w:sz w:val="26"/>
          <w:szCs w:val="26"/>
        </w:rPr>
        <w:t>.</w:t>
      </w:r>
      <w:r>
        <w:rPr>
          <w:sz w:val="26"/>
          <w:szCs w:val="26"/>
        </w:rPr>
        <w:t xml:space="preserve"> at</w:t>
      </w:r>
      <w:r w:rsidR="006150C0">
        <w:rPr>
          <w:sz w:val="26"/>
          <w:szCs w:val="26"/>
        </w:rPr>
        <w:t> </w:t>
      </w:r>
      <w:r>
        <w:rPr>
          <w:sz w:val="26"/>
          <w:szCs w:val="26"/>
        </w:rPr>
        <w:t>15.</w:t>
      </w:r>
    </w:p>
    <w:p w14:paraId="571436F4" w14:textId="77777777" w:rsidR="00C51BFF" w:rsidRDefault="00C51BFF" w:rsidP="006150C0">
      <w:pPr>
        <w:widowControl/>
        <w:spacing w:line="360" w:lineRule="auto"/>
        <w:rPr>
          <w:sz w:val="26"/>
          <w:szCs w:val="26"/>
        </w:rPr>
      </w:pPr>
    </w:p>
    <w:p w14:paraId="3D8D0BDA" w14:textId="4C170765" w:rsidR="00F50870" w:rsidRDefault="00C51BFF" w:rsidP="006150C0">
      <w:pPr>
        <w:widowControl/>
        <w:spacing w:line="360" w:lineRule="auto"/>
        <w:rPr>
          <w:sz w:val="26"/>
          <w:szCs w:val="26"/>
        </w:rPr>
      </w:pPr>
      <w:r>
        <w:rPr>
          <w:sz w:val="26"/>
          <w:szCs w:val="26"/>
        </w:rPr>
        <w:tab/>
      </w:r>
      <w:r>
        <w:rPr>
          <w:sz w:val="26"/>
          <w:szCs w:val="26"/>
        </w:rPr>
        <w:tab/>
        <w:t xml:space="preserve">NAWC maintains that denying </w:t>
      </w:r>
      <w:r w:rsidR="00C4111A">
        <w:rPr>
          <w:sz w:val="26"/>
          <w:szCs w:val="26"/>
        </w:rPr>
        <w:t>the DSIC</w:t>
      </w:r>
      <w:r w:rsidR="00A01159">
        <w:rPr>
          <w:sz w:val="26"/>
          <w:szCs w:val="26"/>
        </w:rPr>
        <w:t>-</w:t>
      </w:r>
      <w:r w:rsidR="00C4111A">
        <w:rPr>
          <w:sz w:val="26"/>
          <w:szCs w:val="26"/>
        </w:rPr>
        <w:t xml:space="preserve">cap increase would require the Company to file a time consuming and costly base rate proceeding.  </w:t>
      </w:r>
      <w:r w:rsidR="00EF618A" w:rsidRPr="00EF618A">
        <w:rPr>
          <w:i/>
          <w:sz w:val="26"/>
          <w:szCs w:val="26"/>
        </w:rPr>
        <w:t>Id</w:t>
      </w:r>
      <w:r w:rsidR="00C4111A" w:rsidRPr="00EF618A">
        <w:rPr>
          <w:i/>
          <w:sz w:val="26"/>
          <w:szCs w:val="26"/>
        </w:rPr>
        <w:t>.</w:t>
      </w:r>
      <w:r w:rsidR="00C4111A">
        <w:rPr>
          <w:sz w:val="26"/>
          <w:szCs w:val="26"/>
        </w:rPr>
        <w:t xml:space="preserve"> at 16.</w:t>
      </w:r>
    </w:p>
    <w:p w14:paraId="65F8A187" w14:textId="10D0B463" w:rsidR="00981035" w:rsidRPr="00981035" w:rsidRDefault="00981035" w:rsidP="006150C0">
      <w:pPr>
        <w:pStyle w:val="Heading4"/>
        <w:keepNext w:val="0"/>
      </w:pPr>
    </w:p>
    <w:p w14:paraId="1E0793B9" w14:textId="2124437B" w:rsidR="0039331D" w:rsidRDefault="00711DFA" w:rsidP="006150C0">
      <w:pPr>
        <w:widowControl/>
        <w:spacing w:line="360" w:lineRule="auto"/>
        <w:rPr>
          <w:sz w:val="26"/>
          <w:szCs w:val="26"/>
        </w:rPr>
      </w:pPr>
      <w:r>
        <w:rPr>
          <w:sz w:val="26"/>
          <w:szCs w:val="26"/>
        </w:rPr>
        <w:tab/>
      </w:r>
      <w:r>
        <w:rPr>
          <w:sz w:val="26"/>
          <w:szCs w:val="26"/>
        </w:rPr>
        <w:tab/>
      </w:r>
      <w:r w:rsidR="00D76C5D">
        <w:rPr>
          <w:sz w:val="26"/>
          <w:szCs w:val="26"/>
        </w:rPr>
        <w:t xml:space="preserve">In Reply, the </w:t>
      </w:r>
      <w:r w:rsidR="00AB2C71">
        <w:rPr>
          <w:sz w:val="26"/>
          <w:szCs w:val="26"/>
        </w:rPr>
        <w:t xml:space="preserve">OCA disagrees with NAWC’s interpretation of Section 1358(a)(2), stating that the Section sets an upper limit for the DSIC rate the Commission may authorize for a utility.  It does not establish that a 7.5% DSIC for all water utilities is presumptively reasonable.  </w:t>
      </w:r>
      <w:r w:rsidR="00D76C5D">
        <w:rPr>
          <w:sz w:val="26"/>
          <w:szCs w:val="26"/>
        </w:rPr>
        <w:t xml:space="preserve">The </w:t>
      </w:r>
      <w:r w:rsidR="00AB2C71">
        <w:rPr>
          <w:sz w:val="26"/>
          <w:szCs w:val="26"/>
        </w:rPr>
        <w:t xml:space="preserve">OCA further states, Section 1358(a)(2) </w:t>
      </w:r>
      <w:r w:rsidR="00D76C5D">
        <w:rPr>
          <w:sz w:val="26"/>
          <w:szCs w:val="26"/>
        </w:rPr>
        <w:t>does not</w:t>
      </w:r>
      <w:r w:rsidR="00AB2C71">
        <w:rPr>
          <w:sz w:val="26"/>
          <w:szCs w:val="26"/>
        </w:rPr>
        <w:t xml:space="preserve"> create a presumption that the Commission should grant a 7.5% DSIC cap to any water utility that is complying with its LTIIP.  R</w:t>
      </w:r>
      <w:r w:rsidR="00EF618A">
        <w:rPr>
          <w:sz w:val="26"/>
          <w:szCs w:val="26"/>
        </w:rPr>
        <w:t>.</w:t>
      </w:r>
      <w:r w:rsidR="00AB2C71">
        <w:rPr>
          <w:sz w:val="26"/>
          <w:szCs w:val="26"/>
        </w:rPr>
        <w:t xml:space="preserve"> Exc. at 4-5.</w:t>
      </w:r>
    </w:p>
    <w:p w14:paraId="23BAE5AB" w14:textId="77777777" w:rsidR="00AB2C71" w:rsidRDefault="00AB2C71" w:rsidP="006150C0">
      <w:pPr>
        <w:widowControl/>
        <w:spacing w:line="360" w:lineRule="auto"/>
        <w:rPr>
          <w:sz w:val="26"/>
          <w:szCs w:val="26"/>
        </w:rPr>
      </w:pPr>
    </w:p>
    <w:p w14:paraId="54099335" w14:textId="1F85C9C6" w:rsidR="00FC5EED" w:rsidRDefault="00711DFA" w:rsidP="006150C0">
      <w:pPr>
        <w:widowControl/>
        <w:spacing w:line="360" w:lineRule="auto"/>
        <w:rPr>
          <w:sz w:val="26"/>
          <w:szCs w:val="26"/>
        </w:rPr>
      </w:pPr>
      <w:r>
        <w:rPr>
          <w:sz w:val="26"/>
          <w:szCs w:val="26"/>
        </w:rPr>
        <w:tab/>
      </w:r>
      <w:r>
        <w:rPr>
          <w:sz w:val="26"/>
          <w:szCs w:val="26"/>
        </w:rPr>
        <w:tab/>
      </w:r>
      <w:r w:rsidR="00AB2C71">
        <w:rPr>
          <w:sz w:val="26"/>
          <w:szCs w:val="26"/>
        </w:rPr>
        <w:t xml:space="preserve">With regard to the other water utilities that have been granted a DSIC cap of 7.5%, </w:t>
      </w:r>
      <w:r w:rsidR="00D76C5D">
        <w:rPr>
          <w:sz w:val="26"/>
          <w:szCs w:val="26"/>
        </w:rPr>
        <w:t xml:space="preserve">the </w:t>
      </w:r>
      <w:r w:rsidR="00AB2C71">
        <w:rPr>
          <w:sz w:val="26"/>
          <w:szCs w:val="26"/>
        </w:rPr>
        <w:t xml:space="preserve">OCA maintains that NAWC’s request differs </w:t>
      </w:r>
      <w:r>
        <w:rPr>
          <w:sz w:val="26"/>
          <w:szCs w:val="26"/>
        </w:rPr>
        <w:t>materially</w:t>
      </w:r>
      <w:r w:rsidR="00AB2C71">
        <w:rPr>
          <w:sz w:val="26"/>
          <w:szCs w:val="26"/>
        </w:rPr>
        <w:t xml:space="preserve"> fr</w:t>
      </w:r>
      <w:r w:rsidR="00FC5EED">
        <w:rPr>
          <w:sz w:val="26"/>
          <w:szCs w:val="26"/>
        </w:rPr>
        <w:t>o</w:t>
      </w:r>
      <w:r w:rsidR="00AB2C71">
        <w:rPr>
          <w:sz w:val="26"/>
          <w:szCs w:val="26"/>
        </w:rPr>
        <w:t xml:space="preserve">m </w:t>
      </w:r>
      <w:r>
        <w:rPr>
          <w:sz w:val="26"/>
          <w:szCs w:val="26"/>
        </w:rPr>
        <w:t>requests</w:t>
      </w:r>
      <w:r w:rsidR="00AB2C71">
        <w:rPr>
          <w:sz w:val="26"/>
          <w:szCs w:val="26"/>
        </w:rPr>
        <w:t xml:space="preserve"> by other water </w:t>
      </w:r>
      <w:r>
        <w:rPr>
          <w:sz w:val="26"/>
          <w:szCs w:val="26"/>
        </w:rPr>
        <w:t>utilities</w:t>
      </w:r>
      <w:r w:rsidR="00AB2C71">
        <w:rPr>
          <w:sz w:val="26"/>
          <w:szCs w:val="26"/>
        </w:rPr>
        <w:t xml:space="preserve">.  </w:t>
      </w:r>
      <w:r w:rsidR="00D76C5D">
        <w:rPr>
          <w:sz w:val="26"/>
          <w:szCs w:val="26"/>
        </w:rPr>
        <w:t xml:space="preserve">The </w:t>
      </w:r>
      <w:r w:rsidR="00AB2C71">
        <w:rPr>
          <w:sz w:val="26"/>
          <w:szCs w:val="26"/>
        </w:rPr>
        <w:t>OCA notes that in each of those cases the utilities claimed they would accelerate infrastructure improvement if the Commission approved its proposed DSIC</w:t>
      </w:r>
      <w:r w:rsidR="002F759D">
        <w:rPr>
          <w:sz w:val="26"/>
          <w:szCs w:val="26"/>
        </w:rPr>
        <w:t>-</w:t>
      </w:r>
      <w:r w:rsidR="00382F20">
        <w:rPr>
          <w:sz w:val="26"/>
          <w:szCs w:val="26"/>
        </w:rPr>
        <w:t>c</w:t>
      </w:r>
      <w:r w:rsidR="00AB2C71">
        <w:rPr>
          <w:sz w:val="26"/>
          <w:szCs w:val="26"/>
        </w:rPr>
        <w:t xml:space="preserve">ap increase.  NAWC does not propose to accelerate infrastructure </w:t>
      </w:r>
      <w:r w:rsidR="00985473">
        <w:rPr>
          <w:sz w:val="26"/>
          <w:szCs w:val="26"/>
        </w:rPr>
        <w:t>improvement but</w:t>
      </w:r>
      <w:r w:rsidR="00AB2C71">
        <w:rPr>
          <w:sz w:val="26"/>
          <w:szCs w:val="26"/>
        </w:rPr>
        <w:t xml:space="preserve"> will comply with its </w:t>
      </w:r>
      <w:r>
        <w:rPr>
          <w:sz w:val="26"/>
          <w:szCs w:val="26"/>
        </w:rPr>
        <w:t xml:space="preserve">LTIIP.  </w:t>
      </w:r>
      <w:r w:rsidR="00D76C5D">
        <w:rPr>
          <w:sz w:val="26"/>
          <w:szCs w:val="26"/>
        </w:rPr>
        <w:t xml:space="preserve">The </w:t>
      </w:r>
      <w:r w:rsidR="00FC5EED">
        <w:rPr>
          <w:sz w:val="26"/>
          <w:szCs w:val="26"/>
        </w:rPr>
        <w:t xml:space="preserve">OCA points out that unlike Aqua, United and PAWC, NAWC has no history of exceeding the DSIC cap.  </w:t>
      </w:r>
      <w:r w:rsidR="0038218A">
        <w:rPr>
          <w:sz w:val="26"/>
          <w:szCs w:val="26"/>
        </w:rPr>
        <w:t>Additionally, t</w:t>
      </w:r>
      <w:r w:rsidR="00D76C5D">
        <w:rPr>
          <w:sz w:val="26"/>
          <w:szCs w:val="26"/>
        </w:rPr>
        <w:t xml:space="preserve">he </w:t>
      </w:r>
      <w:r w:rsidR="00FC5EED">
        <w:rPr>
          <w:sz w:val="26"/>
          <w:szCs w:val="26"/>
        </w:rPr>
        <w:t xml:space="preserve">OCA states that NAWC has not properly calculated its DSIC rate, for at least four years.  </w:t>
      </w:r>
      <w:r w:rsidR="00D76C5D">
        <w:rPr>
          <w:sz w:val="26"/>
          <w:szCs w:val="26"/>
        </w:rPr>
        <w:t xml:space="preserve">The </w:t>
      </w:r>
      <w:r w:rsidR="00FC5EED">
        <w:rPr>
          <w:sz w:val="26"/>
          <w:szCs w:val="26"/>
        </w:rPr>
        <w:t xml:space="preserve">OCA notes that the Commission </w:t>
      </w:r>
      <w:r w:rsidR="00E2627F">
        <w:rPr>
          <w:sz w:val="26"/>
          <w:szCs w:val="26"/>
        </w:rPr>
        <w:t xml:space="preserve">previously </w:t>
      </w:r>
      <w:r w:rsidR="00FC5EED">
        <w:rPr>
          <w:sz w:val="26"/>
          <w:szCs w:val="26"/>
        </w:rPr>
        <w:t xml:space="preserve">denied </w:t>
      </w:r>
      <w:r w:rsidR="00E2627F">
        <w:rPr>
          <w:sz w:val="26"/>
          <w:szCs w:val="26"/>
        </w:rPr>
        <w:t xml:space="preserve">a request by </w:t>
      </w:r>
      <w:r w:rsidR="00E2627F" w:rsidRPr="00B65F18">
        <w:rPr>
          <w:i/>
          <w:sz w:val="26"/>
          <w:szCs w:val="26"/>
        </w:rPr>
        <w:t>Columbia Gas</w:t>
      </w:r>
      <w:r w:rsidR="00E2627F">
        <w:rPr>
          <w:sz w:val="26"/>
          <w:szCs w:val="26"/>
        </w:rPr>
        <w:t xml:space="preserve">, which </w:t>
      </w:r>
      <w:r w:rsidR="00063985">
        <w:rPr>
          <w:sz w:val="26"/>
          <w:szCs w:val="26"/>
        </w:rPr>
        <w:t>had no history of exceeding the DSIC cap,</w:t>
      </w:r>
      <w:r w:rsidR="00FC5EED">
        <w:rPr>
          <w:sz w:val="26"/>
          <w:szCs w:val="26"/>
        </w:rPr>
        <w:t xml:space="preserve"> to increase its DSIC cap</w:t>
      </w:r>
      <w:r w:rsidR="00E2627F">
        <w:rPr>
          <w:sz w:val="26"/>
          <w:szCs w:val="26"/>
        </w:rPr>
        <w:t>.</w:t>
      </w:r>
      <w:r w:rsidR="00FC5EED">
        <w:rPr>
          <w:sz w:val="26"/>
          <w:szCs w:val="26"/>
        </w:rPr>
        <w:t xml:space="preserve">  Like </w:t>
      </w:r>
      <w:r w:rsidR="00FC5EED" w:rsidRPr="00B65F18">
        <w:rPr>
          <w:i/>
          <w:sz w:val="26"/>
          <w:szCs w:val="26"/>
        </w:rPr>
        <w:t>Columbia Gas</w:t>
      </w:r>
      <w:r w:rsidR="00FC5EED">
        <w:rPr>
          <w:sz w:val="26"/>
          <w:szCs w:val="26"/>
        </w:rPr>
        <w:t>, NAWC has no history of exceeding the DSIC cap and does not require a higher DSIC rate to make the infrastructure investment required by its LTIIP.  R</w:t>
      </w:r>
      <w:r w:rsidR="00D438BF">
        <w:rPr>
          <w:sz w:val="26"/>
          <w:szCs w:val="26"/>
        </w:rPr>
        <w:t>.</w:t>
      </w:r>
      <w:r w:rsidR="00FC5EED">
        <w:rPr>
          <w:sz w:val="26"/>
          <w:szCs w:val="26"/>
        </w:rPr>
        <w:t xml:space="preserve"> Exc. at 7.</w:t>
      </w:r>
    </w:p>
    <w:p w14:paraId="0E613A0A" w14:textId="77777777" w:rsidR="00711DFA" w:rsidRDefault="00711DFA" w:rsidP="006150C0">
      <w:pPr>
        <w:widowControl/>
        <w:spacing w:line="360" w:lineRule="auto"/>
        <w:rPr>
          <w:sz w:val="26"/>
          <w:szCs w:val="26"/>
        </w:rPr>
      </w:pPr>
    </w:p>
    <w:p w14:paraId="42FC46AF" w14:textId="1026BCD9" w:rsidR="00B6785D" w:rsidRPr="007911B8" w:rsidRDefault="00D76C5D" w:rsidP="00063985">
      <w:pPr>
        <w:pStyle w:val="Heading4"/>
        <w:spacing w:line="240" w:lineRule="auto"/>
        <w:ind w:left="2160" w:hanging="720"/>
      </w:pPr>
      <w:bookmarkStart w:id="26" w:name="_Toc512430440"/>
      <w:bookmarkStart w:id="27" w:name="_Hlk509317474"/>
      <w:r>
        <w:lastRenderedPageBreak/>
        <w:t>c</w:t>
      </w:r>
      <w:r w:rsidR="00B6785D" w:rsidRPr="007911B8">
        <w:t>.</w:t>
      </w:r>
      <w:r w:rsidR="00B6785D" w:rsidRPr="007911B8">
        <w:tab/>
      </w:r>
      <w:r w:rsidR="00C21F30" w:rsidRPr="007911B8">
        <w:t>NAWC</w:t>
      </w:r>
      <w:r w:rsidR="00B6785D" w:rsidRPr="007911B8">
        <w:t>’s Exception No.</w:t>
      </w:r>
      <w:r w:rsidR="00557E1D" w:rsidRPr="007911B8">
        <w:t xml:space="preserve"> 3</w:t>
      </w:r>
      <w:r w:rsidR="00E924B4">
        <w:t xml:space="preserve"> </w:t>
      </w:r>
      <w:r>
        <w:t>Regarding</w:t>
      </w:r>
      <w:r w:rsidR="00363EC5">
        <w:t xml:space="preserve"> </w:t>
      </w:r>
      <w:r>
        <w:t xml:space="preserve">the </w:t>
      </w:r>
      <w:r w:rsidR="00E924B4">
        <w:t>OCA’s “Red Herring”</w:t>
      </w:r>
      <w:r w:rsidR="00547A90">
        <w:t xml:space="preserve"> </w:t>
      </w:r>
      <w:r w:rsidR="00E924B4">
        <w:t>Issues</w:t>
      </w:r>
      <w:r>
        <w:t xml:space="preserve"> and the OCA’s Replies</w:t>
      </w:r>
      <w:bookmarkEnd w:id="26"/>
    </w:p>
    <w:p w14:paraId="63307220" w14:textId="77777777" w:rsidR="00B6785D" w:rsidRPr="00222F6B" w:rsidRDefault="00B6785D" w:rsidP="002F7DB7">
      <w:pPr>
        <w:keepNext/>
        <w:widowControl/>
        <w:spacing w:line="360" w:lineRule="auto"/>
        <w:rPr>
          <w:sz w:val="26"/>
          <w:szCs w:val="26"/>
        </w:rPr>
      </w:pPr>
    </w:p>
    <w:p w14:paraId="54972B90" w14:textId="0C113A26" w:rsidR="007347D0" w:rsidRDefault="00B6785D" w:rsidP="002F7DB7">
      <w:pPr>
        <w:widowControl/>
        <w:spacing w:line="360" w:lineRule="auto"/>
        <w:rPr>
          <w:sz w:val="26"/>
          <w:szCs w:val="26"/>
        </w:rPr>
      </w:pPr>
      <w:r w:rsidRPr="00222F6B">
        <w:rPr>
          <w:sz w:val="26"/>
          <w:szCs w:val="26"/>
        </w:rPr>
        <w:tab/>
      </w:r>
      <w:r w:rsidRPr="00222F6B">
        <w:rPr>
          <w:sz w:val="26"/>
          <w:szCs w:val="26"/>
        </w:rPr>
        <w:tab/>
      </w:r>
      <w:r>
        <w:rPr>
          <w:sz w:val="26"/>
          <w:szCs w:val="26"/>
        </w:rPr>
        <w:t xml:space="preserve">In its Exception No. </w:t>
      </w:r>
      <w:r w:rsidR="00557E1D">
        <w:rPr>
          <w:sz w:val="26"/>
          <w:szCs w:val="26"/>
        </w:rPr>
        <w:t>3</w:t>
      </w:r>
      <w:r>
        <w:rPr>
          <w:sz w:val="26"/>
          <w:szCs w:val="26"/>
        </w:rPr>
        <w:t xml:space="preserve">, </w:t>
      </w:r>
      <w:r w:rsidR="00557E1D">
        <w:rPr>
          <w:sz w:val="26"/>
          <w:szCs w:val="26"/>
        </w:rPr>
        <w:t xml:space="preserve">NAWC </w:t>
      </w:r>
      <w:r>
        <w:rPr>
          <w:sz w:val="26"/>
          <w:szCs w:val="26"/>
        </w:rPr>
        <w:t xml:space="preserve">asserts that the </w:t>
      </w:r>
      <w:r w:rsidR="000D1481">
        <w:rPr>
          <w:sz w:val="26"/>
          <w:szCs w:val="26"/>
        </w:rPr>
        <w:t>OCA</w:t>
      </w:r>
      <w:r>
        <w:rPr>
          <w:sz w:val="26"/>
          <w:szCs w:val="26"/>
        </w:rPr>
        <w:t>’</w:t>
      </w:r>
      <w:r w:rsidR="00B56DB3">
        <w:rPr>
          <w:sz w:val="26"/>
          <w:szCs w:val="26"/>
        </w:rPr>
        <w:t>s</w:t>
      </w:r>
      <w:r>
        <w:rPr>
          <w:sz w:val="26"/>
          <w:szCs w:val="26"/>
        </w:rPr>
        <w:t xml:space="preserve"> recommendation</w:t>
      </w:r>
      <w:r w:rsidR="00B56DB3">
        <w:rPr>
          <w:sz w:val="26"/>
          <w:szCs w:val="26"/>
        </w:rPr>
        <w:t>s</w:t>
      </w:r>
      <w:r>
        <w:rPr>
          <w:sz w:val="26"/>
          <w:szCs w:val="26"/>
        </w:rPr>
        <w:t xml:space="preserve"> </w:t>
      </w:r>
      <w:r w:rsidR="004C5088">
        <w:rPr>
          <w:sz w:val="26"/>
          <w:szCs w:val="26"/>
        </w:rPr>
        <w:t xml:space="preserve">regarding, </w:t>
      </w:r>
      <w:r w:rsidR="004C5088" w:rsidRPr="00B65F18">
        <w:rPr>
          <w:i/>
          <w:sz w:val="26"/>
          <w:szCs w:val="26"/>
        </w:rPr>
        <w:t>inter alia</w:t>
      </w:r>
      <w:r w:rsidR="004C5088">
        <w:rPr>
          <w:sz w:val="26"/>
          <w:szCs w:val="26"/>
        </w:rPr>
        <w:t xml:space="preserve">, </w:t>
      </w:r>
      <w:r w:rsidR="00D438BF">
        <w:rPr>
          <w:sz w:val="26"/>
          <w:szCs w:val="26"/>
        </w:rPr>
        <w:t xml:space="preserve">that the Company’s current DSIC rate is calculated incorrectly or that the Company does not charge the DSIC to all customers as required by statute and its own tariff, </w:t>
      </w:r>
      <w:r w:rsidR="00B56DB3">
        <w:rPr>
          <w:sz w:val="26"/>
          <w:szCs w:val="26"/>
        </w:rPr>
        <w:t>unnecessarily complicated NAWC’s request to increase the DSIC cap and raise</w:t>
      </w:r>
      <w:r w:rsidR="0038218A">
        <w:rPr>
          <w:sz w:val="26"/>
          <w:szCs w:val="26"/>
        </w:rPr>
        <w:t>d</w:t>
      </w:r>
      <w:r w:rsidR="00B56DB3">
        <w:rPr>
          <w:sz w:val="26"/>
          <w:szCs w:val="26"/>
        </w:rPr>
        <w:t xml:space="preserve"> “red herring” issues.  NAWC contends that </w:t>
      </w:r>
      <w:r w:rsidR="00D76C5D">
        <w:rPr>
          <w:sz w:val="26"/>
          <w:szCs w:val="26"/>
        </w:rPr>
        <w:t xml:space="preserve">the </w:t>
      </w:r>
      <w:r w:rsidR="00B56DB3">
        <w:rPr>
          <w:sz w:val="26"/>
          <w:szCs w:val="26"/>
        </w:rPr>
        <w:t xml:space="preserve">OCA has the burden of proof </w:t>
      </w:r>
      <w:r w:rsidR="00063985">
        <w:rPr>
          <w:sz w:val="26"/>
          <w:szCs w:val="26"/>
        </w:rPr>
        <w:t>regarding</w:t>
      </w:r>
      <w:r w:rsidR="00B56DB3">
        <w:rPr>
          <w:sz w:val="26"/>
          <w:szCs w:val="26"/>
        </w:rPr>
        <w:t xml:space="preserve"> </w:t>
      </w:r>
      <w:r w:rsidR="007347D0">
        <w:rPr>
          <w:sz w:val="26"/>
          <w:szCs w:val="26"/>
        </w:rPr>
        <w:t>these</w:t>
      </w:r>
      <w:r w:rsidR="00B56DB3">
        <w:rPr>
          <w:sz w:val="26"/>
          <w:szCs w:val="26"/>
        </w:rPr>
        <w:t xml:space="preserve"> issues and </w:t>
      </w:r>
      <w:r w:rsidR="00D76C5D">
        <w:rPr>
          <w:sz w:val="26"/>
          <w:szCs w:val="26"/>
        </w:rPr>
        <w:t xml:space="preserve">the </w:t>
      </w:r>
      <w:r w:rsidR="00B56DB3">
        <w:rPr>
          <w:sz w:val="26"/>
          <w:szCs w:val="26"/>
        </w:rPr>
        <w:t>OCA has failed to meet its burden.  NAWC</w:t>
      </w:r>
      <w:r w:rsidR="007347D0">
        <w:rPr>
          <w:sz w:val="26"/>
          <w:szCs w:val="26"/>
        </w:rPr>
        <w:t>’</w:t>
      </w:r>
      <w:r w:rsidR="00B56DB3">
        <w:rPr>
          <w:sz w:val="26"/>
          <w:szCs w:val="26"/>
        </w:rPr>
        <w:t xml:space="preserve">s Exceptions 4 through 10 address </w:t>
      </w:r>
      <w:r w:rsidR="00D76C5D">
        <w:rPr>
          <w:sz w:val="26"/>
          <w:szCs w:val="26"/>
        </w:rPr>
        <w:t xml:space="preserve">the </w:t>
      </w:r>
      <w:r w:rsidR="00B56DB3">
        <w:rPr>
          <w:sz w:val="26"/>
          <w:szCs w:val="26"/>
        </w:rPr>
        <w:t>OCA’s recommendations.  Exc. at 18-19</w:t>
      </w:r>
      <w:r w:rsidR="00D716B1">
        <w:rPr>
          <w:sz w:val="26"/>
          <w:szCs w:val="26"/>
        </w:rPr>
        <w:t>.</w:t>
      </w:r>
    </w:p>
    <w:p w14:paraId="466F0968" w14:textId="22C3BAD7" w:rsidR="00B6785D" w:rsidRDefault="00B6785D" w:rsidP="002F7DB7">
      <w:pPr>
        <w:widowControl/>
        <w:spacing w:line="360" w:lineRule="auto"/>
        <w:rPr>
          <w:sz w:val="26"/>
          <w:szCs w:val="26"/>
        </w:rPr>
      </w:pPr>
    </w:p>
    <w:p w14:paraId="7EDC4B38" w14:textId="229B995C" w:rsidR="00545770" w:rsidRPr="00545770" w:rsidRDefault="00B6785D" w:rsidP="002F7DB7">
      <w:pPr>
        <w:widowControl/>
        <w:spacing w:line="360" w:lineRule="auto"/>
        <w:rPr>
          <w:rFonts w:eastAsia="Calibri"/>
          <w:b/>
          <w:bCs/>
          <w:sz w:val="26"/>
          <w:szCs w:val="26"/>
          <w:lang w:val="en"/>
        </w:rPr>
      </w:pPr>
      <w:r>
        <w:rPr>
          <w:sz w:val="26"/>
          <w:szCs w:val="26"/>
        </w:rPr>
        <w:tab/>
      </w:r>
      <w:r>
        <w:rPr>
          <w:sz w:val="26"/>
          <w:szCs w:val="26"/>
        </w:rPr>
        <w:tab/>
      </w:r>
      <w:bookmarkEnd w:id="27"/>
      <w:r w:rsidR="00D76C5D">
        <w:rPr>
          <w:sz w:val="26"/>
          <w:szCs w:val="26"/>
        </w:rPr>
        <w:t xml:space="preserve">In its Replies, the </w:t>
      </w:r>
      <w:r w:rsidR="00F25CD9">
        <w:rPr>
          <w:sz w:val="26"/>
          <w:szCs w:val="26"/>
        </w:rPr>
        <w:t>OCA aver</w:t>
      </w:r>
      <w:r w:rsidR="00EF618A">
        <w:rPr>
          <w:sz w:val="26"/>
          <w:szCs w:val="26"/>
        </w:rPr>
        <w:t>s</w:t>
      </w:r>
      <w:r w:rsidR="00F25CD9">
        <w:rPr>
          <w:sz w:val="26"/>
          <w:szCs w:val="26"/>
        </w:rPr>
        <w:t xml:space="preserve"> that it demonstrated several errors in how NAWC calculates and applies its DSIC mechanism.  </w:t>
      </w:r>
      <w:r w:rsidR="00D76C5D">
        <w:rPr>
          <w:sz w:val="26"/>
          <w:szCs w:val="26"/>
        </w:rPr>
        <w:t xml:space="preserve">The </w:t>
      </w:r>
      <w:r w:rsidR="00F25CD9">
        <w:rPr>
          <w:sz w:val="26"/>
          <w:szCs w:val="26"/>
        </w:rPr>
        <w:t>OCA recommend</w:t>
      </w:r>
      <w:r w:rsidR="00EF618A">
        <w:rPr>
          <w:sz w:val="26"/>
          <w:szCs w:val="26"/>
        </w:rPr>
        <w:t>s</w:t>
      </w:r>
      <w:r w:rsidR="00F25CD9">
        <w:rPr>
          <w:sz w:val="26"/>
          <w:szCs w:val="26"/>
        </w:rPr>
        <w:t xml:space="preserve"> corrections that were adopted by the ALJ.  R. Exc. at 10-11.  </w:t>
      </w:r>
      <w:r w:rsidR="00D76C5D">
        <w:rPr>
          <w:sz w:val="26"/>
          <w:szCs w:val="26"/>
        </w:rPr>
        <w:t xml:space="preserve">The </w:t>
      </w:r>
      <w:r w:rsidR="00F25CD9">
        <w:rPr>
          <w:sz w:val="26"/>
          <w:szCs w:val="26"/>
        </w:rPr>
        <w:t>OCA counter</w:t>
      </w:r>
      <w:r w:rsidR="00EF618A">
        <w:rPr>
          <w:sz w:val="26"/>
          <w:szCs w:val="26"/>
        </w:rPr>
        <w:t>s</w:t>
      </w:r>
      <w:r w:rsidR="00F25CD9">
        <w:rPr>
          <w:sz w:val="26"/>
          <w:szCs w:val="26"/>
        </w:rPr>
        <w:t xml:space="preserve"> that NAWC’s existing DSIC rates, rules and regulations are at issue because the Commission ordered the ALJ to investigate the justness and reasonableness of the proposed DSIC</w:t>
      </w:r>
      <w:r w:rsidR="002F759D">
        <w:rPr>
          <w:sz w:val="26"/>
          <w:szCs w:val="26"/>
        </w:rPr>
        <w:t>-</w:t>
      </w:r>
      <w:r w:rsidR="00F25CD9">
        <w:rPr>
          <w:sz w:val="26"/>
          <w:szCs w:val="26"/>
        </w:rPr>
        <w:t>cap increase and NAWC’s existing DSIC rates, rules and regulations.  R. Exc. at 11.</w:t>
      </w:r>
    </w:p>
    <w:p w14:paraId="643EAC16" w14:textId="77777777" w:rsidR="00545770" w:rsidRPr="00545770" w:rsidRDefault="00545770" w:rsidP="00A315A8">
      <w:pPr>
        <w:widowControl/>
        <w:autoSpaceDE w:val="0"/>
        <w:autoSpaceDN w:val="0"/>
        <w:adjustRightInd w:val="0"/>
        <w:spacing w:line="360" w:lineRule="auto"/>
        <w:rPr>
          <w:rFonts w:eastAsia="Calibri"/>
          <w:sz w:val="26"/>
          <w:szCs w:val="26"/>
          <w:lang w:val="en"/>
        </w:rPr>
      </w:pPr>
    </w:p>
    <w:p w14:paraId="535CB4DD" w14:textId="6BDD4FEB" w:rsidR="00545770" w:rsidRPr="00545770" w:rsidRDefault="00D76C5D" w:rsidP="00A315A8">
      <w:pPr>
        <w:pStyle w:val="Heading4"/>
        <w:spacing w:line="240" w:lineRule="auto"/>
        <w:ind w:left="2160" w:hanging="720"/>
        <w:rPr>
          <w:rFonts w:eastAsia="Calibri"/>
          <w:lang w:val="en"/>
        </w:rPr>
      </w:pPr>
      <w:bookmarkStart w:id="28" w:name="_Toc512430441"/>
      <w:r>
        <w:rPr>
          <w:rFonts w:eastAsia="Calibri"/>
          <w:lang w:val="en"/>
        </w:rPr>
        <w:t>d</w:t>
      </w:r>
      <w:r w:rsidR="00545770" w:rsidRPr="00545770">
        <w:rPr>
          <w:rFonts w:eastAsia="Calibri"/>
          <w:lang w:val="en"/>
        </w:rPr>
        <w:t>.</w:t>
      </w:r>
      <w:r w:rsidR="00545770" w:rsidRPr="00545770">
        <w:rPr>
          <w:rFonts w:eastAsia="Calibri"/>
          <w:lang w:val="en"/>
        </w:rPr>
        <w:tab/>
      </w:r>
      <w:r w:rsidR="00AE1264">
        <w:rPr>
          <w:rFonts w:eastAsia="Calibri"/>
          <w:lang w:val="en"/>
        </w:rPr>
        <w:t>NAWC</w:t>
      </w:r>
      <w:r w:rsidR="00545770" w:rsidRPr="00545770">
        <w:rPr>
          <w:rFonts w:eastAsia="Calibri"/>
          <w:lang w:val="en"/>
        </w:rPr>
        <w:t>’s Exception</w:t>
      </w:r>
      <w:r w:rsidR="007347D0">
        <w:rPr>
          <w:rFonts w:eastAsia="Calibri"/>
          <w:lang w:val="en"/>
        </w:rPr>
        <w:t>s</w:t>
      </w:r>
      <w:r w:rsidR="00545770" w:rsidRPr="00545770">
        <w:rPr>
          <w:rFonts w:eastAsia="Calibri"/>
          <w:lang w:val="en"/>
        </w:rPr>
        <w:t xml:space="preserve"> No</w:t>
      </w:r>
      <w:r w:rsidR="00D15C8A">
        <w:rPr>
          <w:rFonts w:eastAsia="Calibri"/>
          <w:lang w:val="en"/>
        </w:rPr>
        <w:t>s</w:t>
      </w:r>
      <w:r w:rsidR="00545770" w:rsidRPr="00545770">
        <w:rPr>
          <w:rFonts w:eastAsia="Calibri"/>
          <w:lang w:val="en"/>
        </w:rPr>
        <w:t xml:space="preserve">. </w:t>
      </w:r>
      <w:r w:rsidR="00E924B4">
        <w:rPr>
          <w:rFonts w:eastAsia="Calibri"/>
          <w:lang w:val="en"/>
        </w:rPr>
        <w:t>4</w:t>
      </w:r>
      <w:r w:rsidR="00586EB2">
        <w:rPr>
          <w:rFonts w:eastAsia="Calibri"/>
          <w:lang w:val="en"/>
        </w:rPr>
        <w:t xml:space="preserve"> </w:t>
      </w:r>
      <w:r w:rsidR="00D15C8A">
        <w:rPr>
          <w:rFonts w:eastAsia="Calibri"/>
          <w:lang w:val="en"/>
        </w:rPr>
        <w:t>and</w:t>
      </w:r>
      <w:r w:rsidR="007347D0">
        <w:rPr>
          <w:rFonts w:eastAsia="Calibri"/>
          <w:lang w:val="en"/>
        </w:rPr>
        <w:t xml:space="preserve"> </w:t>
      </w:r>
      <w:r w:rsidR="00D15C8A">
        <w:rPr>
          <w:rFonts w:eastAsia="Calibri"/>
          <w:lang w:val="en"/>
        </w:rPr>
        <w:t>5</w:t>
      </w:r>
      <w:r>
        <w:rPr>
          <w:rStyle w:val="FootnoteReference"/>
          <w:rFonts w:eastAsia="Calibri"/>
          <w:lang w:val="en"/>
        </w:rPr>
        <w:footnoteReference w:id="12"/>
      </w:r>
      <w:r w:rsidR="007347D0">
        <w:rPr>
          <w:rFonts w:eastAsia="Calibri"/>
          <w:lang w:val="en"/>
        </w:rPr>
        <w:t xml:space="preserve"> </w:t>
      </w:r>
      <w:r>
        <w:rPr>
          <w:rFonts w:eastAsia="Calibri"/>
          <w:lang w:val="en"/>
        </w:rPr>
        <w:t>Regarding</w:t>
      </w:r>
      <w:r w:rsidR="00363EC5">
        <w:rPr>
          <w:rFonts w:eastAsia="Calibri"/>
          <w:lang w:val="en"/>
        </w:rPr>
        <w:t xml:space="preserve"> </w:t>
      </w:r>
      <w:r w:rsidR="00586EB2">
        <w:rPr>
          <w:rFonts w:eastAsia="Calibri"/>
          <w:lang w:val="en"/>
        </w:rPr>
        <w:t>Application of</w:t>
      </w:r>
      <w:r w:rsidR="00547A90">
        <w:rPr>
          <w:rFonts w:eastAsia="Calibri"/>
          <w:lang w:val="en"/>
        </w:rPr>
        <w:t xml:space="preserve"> </w:t>
      </w:r>
      <w:r w:rsidR="00586EB2">
        <w:rPr>
          <w:rFonts w:eastAsia="Calibri"/>
          <w:lang w:val="en"/>
        </w:rPr>
        <w:t>Act 40</w:t>
      </w:r>
      <w:r w:rsidR="00545770" w:rsidRPr="00545770">
        <w:rPr>
          <w:rFonts w:eastAsia="Calibri"/>
          <w:bCs/>
          <w:lang w:val="en"/>
        </w:rPr>
        <w:t xml:space="preserve"> </w:t>
      </w:r>
      <w:r>
        <w:rPr>
          <w:rFonts w:eastAsia="Calibri"/>
          <w:bCs/>
          <w:lang w:val="en"/>
        </w:rPr>
        <w:t>and the OCA’s Replies</w:t>
      </w:r>
      <w:bookmarkEnd w:id="28"/>
    </w:p>
    <w:p w14:paraId="26935934" w14:textId="77777777" w:rsidR="00545770" w:rsidRPr="00545770" w:rsidRDefault="00545770" w:rsidP="002F7DB7">
      <w:pPr>
        <w:keepNext/>
        <w:widowControl/>
        <w:autoSpaceDE w:val="0"/>
        <w:autoSpaceDN w:val="0"/>
        <w:adjustRightInd w:val="0"/>
        <w:spacing w:line="360" w:lineRule="auto"/>
        <w:rPr>
          <w:rFonts w:eastAsia="Calibri"/>
          <w:sz w:val="26"/>
          <w:szCs w:val="26"/>
          <w:lang w:val="en"/>
        </w:rPr>
      </w:pPr>
    </w:p>
    <w:p w14:paraId="7DD1EE56" w14:textId="4180A829" w:rsidR="00545770" w:rsidRDefault="00B56DB3" w:rsidP="002F7DB7">
      <w:pPr>
        <w:widowControl/>
        <w:autoSpaceDE w:val="0"/>
        <w:autoSpaceDN w:val="0"/>
        <w:adjustRightInd w:val="0"/>
        <w:spacing w:line="360" w:lineRule="auto"/>
        <w:rPr>
          <w:rFonts w:eastAsia="Calibri"/>
          <w:sz w:val="26"/>
          <w:szCs w:val="26"/>
          <w:lang w:val="en"/>
        </w:rPr>
      </w:pPr>
      <w:r>
        <w:rPr>
          <w:rFonts w:eastAsia="Calibri"/>
          <w:sz w:val="26"/>
          <w:szCs w:val="26"/>
          <w:lang w:val="en"/>
        </w:rPr>
        <w:tab/>
      </w:r>
      <w:r>
        <w:rPr>
          <w:rFonts w:eastAsia="Calibri"/>
          <w:sz w:val="26"/>
          <w:szCs w:val="26"/>
          <w:lang w:val="en"/>
        </w:rPr>
        <w:tab/>
        <w:t>NAWC opines that Act 40 of 2016 has no application to this proceeding and no bearing on NAWC’s proposed DSIC</w:t>
      </w:r>
      <w:r w:rsidR="002F759D">
        <w:rPr>
          <w:rFonts w:eastAsia="Calibri"/>
          <w:sz w:val="26"/>
          <w:szCs w:val="26"/>
          <w:lang w:val="en"/>
        </w:rPr>
        <w:t>-</w:t>
      </w:r>
      <w:r>
        <w:rPr>
          <w:rFonts w:eastAsia="Calibri"/>
          <w:sz w:val="26"/>
          <w:szCs w:val="26"/>
          <w:lang w:val="en"/>
        </w:rPr>
        <w:t xml:space="preserve">cap increase.  NAWC provides that Act 40 addresses consolidated income tax expense for base rate purposes.  </w:t>
      </w:r>
      <w:r w:rsidR="00D438BF">
        <w:rPr>
          <w:rFonts w:eastAsia="Calibri"/>
          <w:sz w:val="26"/>
          <w:szCs w:val="26"/>
          <w:lang w:val="en"/>
        </w:rPr>
        <w:t>NAWC contends that c</w:t>
      </w:r>
      <w:r>
        <w:rPr>
          <w:rFonts w:eastAsia="Calibri"/>
          <w:sz w:val="26"/>
          <w:szCs w:val="26"/>
          <w:lang w:val="en"/>
        </w:rPr>
        <w:t>onsolidated taxes are not relevant to NAWC since it is not a holding company nor a subsidiary of a holding company.  NAWC also notes that this is not a base rate proceeding.  NAWC cites the legislative history of Act 40</w:t>
      </w:r>
      <w:r w:rsidR="00940D71">
        <w:rPr>
          <w:rFonts w:eastAsia="Calibri"/>
          <w:sz w:val="26"/>
          <w:szCs w:val="26"/>
          <w:lang w:val="en"/>
        </w:rPr>
        <w:t xml:space="preserve"> and </w:t>
      </w:r>
      <w:r>
        <w:rPr>
          <w:rFonts w:eastAsia="Calibri"/>
          <w:sz w:val="26"/>
          <w:szCs w:val="26"/>
          <w:lang w:val="en"/>
        </w:rPr>
        <w:t xml:space="preserve">concludes that Act 40 has </w:t>
      </w:r>
      <w:r>
        <w:rPr>
          <w:rFonts w:eastAsia="Calibri"/>
          <w:sz w:val="26"/>
          <w:szCs w:val="26"/>
          <w:lang w:val="en"/>
        </w:rPr>
        <w:lastRenderedPageBreak/>
        <w:t>no relevance to the issue of whether the Commission should approve Supplement No.</w:t>
      </w:r>
      <w:r w:rsidR="00940D71">
        <w:rPr>
          <w:rFonts w:eastAsia="Calibri"/>
          <w:sz w:val="26"/>
          <w:szCs w:val="26"/>
          <w:lang w:val="en"/>
        </w:rPr>
        <w:t> </w:t>
      </w:r>
      <w:r>
        <w:rPr>
          <w:rFonts w:eastAsia="Calibri"/>
          <w:sz w:val="26"/>
          <w:szCs w:val="26"/>
          <w:lang w:val="en"/>
        </w:rPr>
        <w:t xml:space="preserve">126 and allow NAWC to increase its DSIC cap.  </w:t>
      </w:r>
      <w:r w:rsidR="00D438BF">
        <w:rPr>
          <w:rFonts w:eastAsia="Calibri"/>
          <w:sz w:val="26"/>
          <w:szCs w:val="26"/>
          <w:lang w:val="en"/>
        </w:rPr>
        <w:t>Exc. at 19-25.</w:t>
      </w:r>
    </w:p>
    <w:p w14:paraId="79B16043" w14:textId="77777777" w:rsidR="009D5788" w:rsidRDefault="009D5788" w:rsidP="002F7DB7">
      <w:pPr>
        <w:widowControl/>
        <w:autoSpaceDE w:val="0"/>
        <w:autoSpaceDN w:val="0"/>
        <w:adjustRightInd w:val="0"/>
        <w:spacing w:line="360" w:lineRule="auto"/>
        <w:rPr>
          <w:rFonts w:eastAsia="Calibri"/>
          <w:sz w:val="26"/>
          <w:szCs w:val="26"/>
          <w:lang w:val="en"/>
        </w:rPr>
      </w:pPr>
    </w:p>
    <w:p w14:paraId="4EA502B6" w14:textId="0564A53F" w:rsidR="00F25CD9" w:rsidRPr="00545770" w:rsidRDefault="009D5788" w:rsidP="002F7DB7">
      <w:pPr>
        <w:widowControl/>
        <w:autoSpaceDE w:val="0"/>
        <w:autoSpaceDN w:val="0"/>
        <w:adjustRightInd w:val="0"/>
        <w:spacing w:line="360" w:lineRule="auto"/>
        <w:rPr>
          <w:rFonts w:eastAsia="Calibri"/>
          <w:sz w:val="26"/>
          <w:szCs w:val="26"/>
          <w:lang w:val="en"/>
        </w:rPr>
      </w:pPr>
      <w:r>
        <w:rPr>
          <w:rFonts w:eastAsia="Calibri"/>
          <w:sz w:val="26"/>
          <w:szCs w:val="26"/>
          <w:lang w:val="en"/>
        </w:rPr>
        <w:tab/>
      </w:r>
      <w:r>
        <w:rPr>
          <w:rFonts w:eastAsia="Calibri"/>
          <w:sz w:val="26"/>
          <w:szCs w:val="26"/>
          <w:lang w:val="en"/>
        </w:rPr>
        <w:tab/>
      </w:r>
      <w:r w:rsidR="00D76C5D">
        <w:rPr>
          <w:rFonts w:eastAsia="Calibri"/>
          <w:sz w:val="26"/>
          <w:szCs w:val="26"/>
          <w:lang w:val="en"/>
        </w:rPr>
        <w:t xml:space="preserve">In Reply, </w:t>
      </w:r>
      <w:r w:rsidR="00070D2F">
        <w:rPr>
          <w:rFonts w:eastAsia="Calibri"/>
          <w:sz w:val="26"/>
          <w:szCs w:val="26"/>
          <w:lang w:val="en"/>
        </w:rPr>
        <w:t>t</w:t>
      </w:r>
      <w:r w:rsidR="00F25CD9">
        <w:rPr>
          <w:rFonts w:eastAsia="Calibri"/>
          <w:sz w:val="26"/>
          <w:szCs w:val="26"/>
          <w:lang w:val="en"/>
        </w:rPr>
        <w:t xml:space="preserve">he OCA </w:t>
      </w:r>
      <w:r>
        <w:rPr>
          <w:rFonts w:eastAsia="Calibri"/>
          <w:sz w:val="26"/>
          <w:szCs w:val="26"/>
          <w:lang w:val="en"/>
        </w:rPr>
        <w:t>aver</w:t>
      </w:r>
      <w:r w:rsidR="00EF618A">
        <w:rPr>
          <w:rFonts w:eastAsia="Calibri"/>
          <w:sz w:val="26"/>
          <w:szCs w:val="26"/>
          <w:lang w:val="en"/>
        </w:rPr>
        <w:t>s</w:t>
      </w:r>
      <w:r>
        <w:rPr>
          <w:rFonts w:eastAsia="Calibri"/>
          <w:sz w:val="26"/>
          <w:szCs w:val="26"/>
          <w:lang w:val="en"/>
        </w:rPr>
        <w:t xml:space="preserve"> that Act 40 applies to all utility rates, for all ratemaking purposes.  R. Exc. at 13.</w:t>
      </w:r>
    </w:p>
    <w:p w14:paraId="2B65E366" w14:textId="77777777" w:rsidR="002A3A93" w:rsidRDefault="002A3A93" w:rsidP="002F7DB7">
      <w:pPr>
        <w:pStyle w:val="Heading4"/>
      </w:pPr>
    </w:p>
    <w:p w14:paraId="7ED18D61" w14:textId="376C72EA" w:rsidR="00D15C8A" w:rsidRDefault="00070D2F" w:rsidP="00292CF7">
      <w:pPr>
        <w:pStyle w:val="Heading4"/>
        <w:tabs>
          <w:tab w:val="left" w:pos="2160"/>
        </w:tabs>
        <w:spacing w:line="240" w:lineRule="auto"/>
        <w:ind w:left="2160" w:hanging="720"/>
      </w:pPr>
      <w:bookmarkStart w:id="29" w:name="_Toc512430442"/>
      <w:r>
        <w:t>e.</w:t>
      </w:r>
      <w:r w:rsidR="00363EC5">
        <w:tab/>
      </w:r>
      <w:r w:rsidR="00D15C8A">
        <w:t xml:space="preserve">NAWC’s Exception No. 6 </w:t>
      </w:r>
      <w:r>
        <w:t>Regarding</w:t>
      </w:r>
      <w:r w:rsidR="00D15C8A">
        <w:t xml:space="preserve"> </w:t>
      </w:r>
      <w:r w:rsidR="00C67CA4">
        <w:t xml:space="preserve">Income Tax Deductions </w:t>
      </w:r>
      <w:r w:rsidR="00363EC5">
        <w:t>in</w:t>
      </w:r>
      <w:r w:rsidR="00547A90">
        <w:t xml:space="preserve"> </w:t>
      </w:r>
      <w:r w:rsidR="00C67CA4">
        <w:t>Future Financial Earnings Reports</w:t>
      </w:r>
      <w:r>
        <w:t xml:space="preserve"> and the OCA’s Replies</w:t>
      </w:r>
      <w:bookmarkEnd w:id="29"/>
    </w:p>
    <w:p w14:paraId="56814F9A" w14:textId="77777777" w:rsidR="00292CF7" w:rsidRPr="00940D71" w:rsidRDefault="00292CF7" w:rsidP="00940D71">
      <w:pPr>
        <w:widowControl/>
        <w:autoSpaceDE w:val="0"/>
        <w:autoSpaceDN w:val="0"/>
        <w:adjustRightInd w:val="0"/>
        <w:spacing w:line="360" w:lineRule="auto"/>
        <w:rPr>
          <w:rFonts w:eastAsia="Calibri"/>
          <w:sz w:val="26"/>
          <w:szCs w:val="26"/>
          <w:lang w:val="en"/>
        </w:rPr>
      </w:pPr>
    </w:p>
    <w:p w14:paraId="01F05F03" w14:textId="241D9F48" w:rsidR="00E44118" w:rsidRDefault="00E44118" w:rsidP="002F7DB7">
      <w:pPr>
        <w:widowControl/>
        <w:spacing w:line="360" w:lineRule="auto"/>
        <w:rPr>
          <w:rFonts w:eastAsia="Calibri"/>
          <w:sz w:val="26"/>
          <w:szCs w:val="26"/>
          <w:lang w:val="en"/>
        </w:rPr>
      </w:pPr>
      <w:r>
        <w:rPr>
          <w:rFonts w:eastAsia="Calibri"/>
          <w:sz w:val="26"/>
          <w:szCs w:val="26"/>
          <w:lang w:val="en"/>
        </w:rPr>
        <w:tab/>
      </w:r>
      <w:r>
        <w:rPr>
          <w:rFonts w:eastAsia="Calibri"/>
          <w:sz w:val="26"/>
          <w:szCs w:val="26"/>
          <w:lang w:val="en"/>
        </w:rPr>
        <w:tab/>
      </w:r>
      <w:r w:rsidR="00713210">
        <w:rPr>
          <w:rFonts w:eastAsia="Calibri"/>
          <w:sz w:val="26"/>
          <w:szCs w:val="26"/>
          <w:lang w:val="en"/>
        </w:rPr>
        <w:t xml:space="preserve">NAWC </w:t>
      </w:r>
      <w:r>
        <w:rPr>
          <w:rFonts w:eastAsia="Calibri"/>
          <w:sz w:val="26"/>
          <w:szCs w:val="26"/>
          <w:lang w:val="en"/>
        </w:rPr>
        <w:t xml:space="preserve">notes that it files a </w:t>
      </w:r>
      <w:r w:rsidR="005A6033">
        <w:rPr>
          <w:rFonts w:eastAsia="Calibri"/>
          <w:sz w:val="26"/>
          <w:szCs w:val="26"/>
          <w:lang w:val="en"/>
        </w:rPr>
        <w:t>quarterly</w:t>
      </w:r>
      <w:r>
        <w:rPr>
          <w:rFonts w:eastAsia="Calibri"/>
          <w:sz w:val="26"/>
          <w:szCs w:val="26"/>
          <w:lang w:val="en"/>
        </w:rPr>
        <w:t xml:space="preserve"> financial report with the Commission pursuant to Chapter 71 </w:t>
      </w:r>
      <w:r w:rsidR="005A6033">
        <w:rPr>
          <w:rFonts w:eastAsia="Calibri"/>
          <w:sz w:val="26"/>
          <w:szCs w:val="26"/>
          <w:lang w:val="en"/>
        </w:rPr>
        <w:t>of</w:t>
      </w:r>
      <w:r>
        <w:rPr>
          <w:rFonts w:eastAsia="Calibri"/>
          <w:sz w:val="26"/>
          <w:szCs w:val="26"/>
          <w:lang w:val="en"/>
        </w:rPr>
        <w:t xml:space="preserve"> Title 52 of the Pennsylvania Code.  NAWC avers that its </w:t>
      </w:r>
      <w:r w:rsidR="005A6033">
        <w:rPr>
          <w:rFonts w:eastAsia="Calibri"/>
          <w:sz w:val="26"/>
          <w:szCs w:val="26"/>
          <w:lang w:val="en"/>
        </w:rPr>
        <w:t xml:space="preserve">Financial Reports, the most recent of which was filed </w:t>
      </w:r>
      <w:r w:rsidR="00070D2F">
        <w:rPr>
          <w:rFonts w:eastAsia="Calibri"/>
          <w:sz w:val="26"/>
          <w:szCs w:val="26"/>
          <w:lang w:val="en"/>
        </w:rPr>
        <w:t xml:space="preserve">on </w:t>
      </w:r>
      <w:r w:rsidR="005A6033">
        <w:rPr>
          <w:rFonts w:eastAsia="Calibri"/>
          <w:sz w:val="26"/>
          <w:szCs w:val="26"/>
          <w:lang w:val="en"/>
        </w:rPr>
        <w:t>November 30, 2017</w:t>
      </w:r>
      <w:r w:rsidR="009C788D">
        <w:rPr>
          <w:rFonts w:eastAsia="Calibri"/>
          <w:sz w:val="26"/>
          <w:szCs w:val="26"/>
          <w:lang w:val="en"/>
        </w:rPr>
        <w:t>,</w:t>
      </w:r>
      <w:r w:rsidR="005A6033">
        <w:rPr>
          <w:rFonts w:eastAsia="Calibri"/>
          <w:sz w:val="26"/>
          <w:szCs w:val="26"/>
          <w:lang w:val="en"/>
        </w:rPr>
        <w:t xml:space="preserve"> a</w:t>
      </w:r>
      <w:r w:rsidR="00070D2F">
        <w:rPr>
          <w:rFonts w:eastAsia="Calibri"/>
          <w:sz w:val="26"/>
          <w:szCs w:val="26"/>
          <w:lang w:val="en"/>
        </w:rPr>
        <w:t>t</w:t>
      </w:r>
      <w:r w:rsidR="0038218A">
        <w:rPr>
          <w:rFonts w:eastAsia="Calibri"/>
          <w:sz w:val="26"/>
          <w:szCs w:val="26"/>
          <w:lang w:val="en"/>
        </w:rPr>
        <w:t xml:space="preserve"> </w:t>
      </w:r>
      <w:r w:rsidR="009C788D">
        <w:rPr>
          <w:rFonts w:eastAsia="Calibri"/>
          <w:sz w:val="26"/>
          <w:szCs w:val="26"/>
          <w:lang w:val="en"/>
        </w:rPr>
        <w:t xml:space="preserve">Docket No. </w:t>
      </w:r>
      <w:r w:rsidR="005A6033">
        <w:rPr>
          <w:rFonts w:eastAsia="Calibri"/>
          <w:sz w:val="26"/>
          <w:szCs w:val="26"/>
          <w:lang w:val="en"/>
        </w:rPr>
        <w:t>M-2017-2582572, for the 12-months ended September 30, 2017, are acceptable to Commission staff.  NAWC states that it will continue to submit i</w:t>
      </w:r>
      <w:r w:rsidR="0038218A">
        <w:rPr>
          <w:rFonts w:eastAsia="Calibri"/>
          <w:sz w:val="26"/>
          <w:szCs w:val="26"/>
          <w:lang w:val="en"/>
        </w:rPr>
        <w:t>t</w:t>
      </w:r>
      <w:r w:rsidR="005A6033">
        <w:rPr>
          <w:rFonts w:eastAsia="Calibri"/>
          <w:sz w:val="26"/>
          <w:szCs w:val="26"/>
          <w:lang w:val="en"/>
        </w:rPr>
        <w:t xml:space="preserve">s quarterly financial reports as required by Chapter 71.  NAWC contends that the Recommended Decision concludes that Act 40 applies to Chapter 71 Financial Reporting and that the Act requires the inclusion of investment-related income tax deductions in the calculation of the earnings cap.  NAWC maintains that is a matter of policy applicable to the utility industry and has not been addressed by the Commission heretofore and should not be addressed here.  Exc. at 24-25. </w:t>
      </w:r>
    </w:p>
    <w:p w14:paraId="1F7451DE" w14:textId="77777777" w:rsidR="009C788D" w:rsidRDefault="009C788D" w:rsidP="002F7DB7">
      <w:pPr>
        <w:widowControl/>
        <w:spacing w:line="360" w:lineRule="auto"/>
        <w:rPr>
          <w:rFonts w:eastAsia="Calibri"/>
          <w:sz w:val="26"/>
          <w:szCs w:val="26"/>
          <w:lang w:val="en"/>
        </w:rPr>
      </w:pPr>
    </w:p>
    <w:p w14:paraId="1EBCE960" w14:textId="51F408EC" w:rsidR="005A6033" w:rsidRDefault="00FB2BEC" w:rsidP="002F7DB7">
      <w:pPr>
        <w:widowControl/>
        <w:spacing w:line="360" w:lineRule="auto"/>
        <w:rPr>
          <w:sz w:val="26"/>
          <w:szCs w:val="26"/>
        </w:rPr>
      </w:pPr>
      <w:r>
        <w:rPr>
          <w:sz w:val="26"/>
          <w:szCs w:val="26"/>
        </w:rPr>
        <w:tab/>
      </w:r>
      <w:r>
        <w:rPr>
          <w:sz w:val="26"/>
          <w:szCs w:val="26"/>
        </w:rPr>
        <w:tab/>
      </w:r>
      <w:r w:rsidR="00070D2F">
        <w:rPr>
          <w:sz w:val="26"/>
          <w:szCs w:val="26"/>
        </w:rPr>
        <w:t xml:space="preserve">In Reply, the </w:t>
      </w:r>
      <w:r w:rsidR="005A6033" w:rsidRPr="00FB2BEC">
        <w:rPr>
          <w:sz w:val="26"/>
          <w:szCs w:val="26"/>
        </w:rPr>
        <w:t xml:space="preserve">OCA agrees that Act 40 does not dictate what is presented in utilities’ earning reports. </w:t>
      </w:r>
      <w:r w:rsidR="009C788D">
        <w:rPr>
          <w:sz w:val="26"/>
          <w:szCs w:val="26"/>
        </w:rPr>
        <w:t xml:space="preserve"> </w:t>
      </w:r>
      <w:r w:rsidR="005A6033" w:rsidRPr="00FB2BEC">
        <w:rPr>
          <w:sz w:val="26"/>
          <w:szCs w:val="26"/>
        </w:rPr>
        <w:t xml:space="preserve">R. Exc. at 18 </w:t>
      </w:r>
      <w:r w:rsidR="00070D2F">
        <w:rPr>
          <w:sz w:val="26"/>
          <w:szCs w:val="26"/>
        </w:rPr>
        <w:t>(</w:t>
      </w:r>
      <w:r w:rsidR="005A6033" w:rsidRPr="00FB2BEC">
        <w:rPr>
          <w:sz w:val="26"/>
          <w:szCs w:val="26"/>
        </w:rPr>
        <w:t>citing OCA R.B. at 20-21</w:t>
      </w:r>
      <w:r w:rsidR="00070D2F">
        <w:rPr>
          <w:sz w:val="26"/>
          <w:szCs w:val="26"/>
        </w:rPr>
        <w:t>)</w:t>
      </w:r>
      <w:r w:rsidR="005A6033" w:rsidRPr="00FB2BEC">
        <w:rPr>
          <w:sz w:val="26"/>
          <w:szCs w:val="26"/>
        </w:rPr>
        <w:t xml:space="preserve">. </w:t>
      </w:r>
      <w:r w:rsidR="00070D2F">
        <w:rPr>
          <w:sz w:val="26"/>
          <w:szCs w:val="26"/>
        </w:rPr>
        <w:t xml:space="preserve"> The </w:t>
      </w:r>
      <w:r w:rsidR="005A6033" w:rsidRPr="00FB2BEC">
        <w:rPr>
          <w:sz w:val="26"/>
          <w:szCs w:val="26"/>
        </w:rPr>
        <w:t xml:space="preserve">OCA notes that the content of those reports is determined by the Commission.  </w:t>
      </w:r>
      <w:r w:rsidR="0008021B">
        <w:rPr>
          <w:sz w:val="26"/>
          <w:szCs w:val="26"/>
        </w:rPr>
        <w:t>R. Exc. at 18.</w:t>
      </w:r>
    </w:p>
    <w:p w14:paraId="1A071D67" w14:textId="77777777" w:rsidR="009C788D" w:rsidRPr="00FB2BEC" w:rsidRDefault="009C788D" w:rsidP="002F7DB7">
      <w:pPr>
        <w:widowControl/>
        <w:spacing w:line="360" w:lineRule="auto"/>
        <w:rPr>
          <w:sz w:val="26"/>
          <w:szCs w:val="26"/>
        </w:rPr>
      </w:pPr>
    </w:p>
    <w:p w14:paraId="6CFD014D" w14:textId="087B12E3" w:rsidR="002A3A93" w:rsidRPr="00C67CA4" w:rsidRDefault="00070D2F" w:rsidP="009C788D">
      <w:pPr>
        <w:pStyle w:val="Heading4"/>
        <w:spacing w:line="240" w:lineRule="auto"/>
        <w:ind w:left="2160" w:hanging="720"/>
      </w:pPr>
      <w:bookmarkStart w:id="30" w:name="_Toc512430443"/>
      <w:r>
        <w:t>f</w:t>
      </w:r>
      <w:r w:rsidR="00363EC5">
        <w:t>.</w:t>
      </w:r>
      <w:r>
        <w:tab/>
      </w:r>
      <w:r w:rsidR="002A3A93" w:rsidRPr="00C67CA4">
        <w:t>NAWC’s Exception No. 7</w:t>
      </w:r>
      <w:r w:rsidR="00586EB2" w:rsidRPr="00C67CA4">
        <w:t xml:space="preserve"> </w:t>
      </w:r>
      <w:r>
        <w:t>Regarding</w:t>
      </w:r>
      <w:r w:rsidR="00363EC5">
        <w:t xml:space="preserve"> </w:t>
      </w:r>
      <w:r>
        <w:t xml:space="preserve">the </w:t>
      </w:r>
      <w:r w:rsidR="00586EB2" w:rsidRPr="00C67CA4">
        <w:t>Exclusion of Short</w:t>
      </w:r>
      <w:r w:rsidR="00547A90">
        <w:t xml:space="preserve"> </w:t>
      </w:r>
      <w:r w:rsidR="00586EB2" w:rsidRPr="00C67CA4">
        <w:t>Term Debt</w:t>
      </w:r>
      <w:r>
        <w:t xml:space="preserve"> and the OCA’s Replies</w:t>
      </w:r>
      <w:bookmarkEnd w:id="30"/>
    </w:p>
    <w:p w14:paraId="4127DAD0" w14:textId="5F639385" w:rsidR="002A3A93" w:rsidRDefault="002A3A93" w:rsidP="002F7DB7">
      <w:pPr>
        <w:keepNext/>
        <w:widowControl/>
        <w:spacing w:line="360" w:lineRule="auto"/>
        <w:rPr>
          <w:sz w:val="26"/>
          <w:szCs w:val="26"/>
        </w:rPr>
      </w:pPr>
    </w:p>
    <w:p w14:paraId="31023082" w14:textId="027D3F39" w:rsidR="00DB4897" w:rsidRPr="00222F6B" w:rsidRDefault="00DB4897" w:rsidP="002F7DB7">
      <w:pPr>
        <w:keepNext/>
        <w:widowControl/>
        <w:spacing w:line="360" w:lineRule="auto"/>
        <w:rPr>
          <w:sz w:val="26"/>
          <w:szCs w:val="26"/>
        </w:rPr>
      </w:pPr>
      <w:r>
        <w:rPr>
          <w:sz w:val="26"/>
          <w:szCs w:val="26"/>
        </w:rPr>
        <w:tab/>
      </w:r>
      <w:r w:rsidR="00D438BF">
        <w:rPr>
          <w:sz w:val="26"/>
          <w:szCs w:val="26"/>
        </w:rPr>
        <w:tab/>
      </w:r>
      <w:r>
        <w:rPr>
          <w:sz w:val="26"/>
          <w:szCs w:val="26"/>
        </w:rPr>
        <w:t xml:space="preserve">The ALJ recommended that NAWC should exclude short term debt and use the actual cost of long-term debt to calculate the DSIC rate and earnings cap.  The </w:t>
      </w:r>
      <w:r>
        <w:rPr>
          <w:sz w:val="26"/>
          <w:szCs w:val="26"/>
        </w:rPr>
        <w:lastRenderedPageBreak/>
        <w:t xml:space="preserve">Company does not except to the exclusion of </w:t>
      </w:r>
      <w:r w:rsidR="00D438BF">
        <w:rPr>
          <w:sz w:val="26"/>
          <w:szCs w:val="26"/>
        </w:rPr>
        <w:t>short</w:t>
      </w:r>
      <w:r>
        <w:rPr>
          <w:sz w:val="26"/>
          <w:szCs w:val="26"/>
        </w:rPr>
        <w:t xml:space="preserve"> term debt and the use of actual cost of long term debt.  </w:t>
      </w:r>
      <w:r w:rsidR="00070D2F">
        <w:rPr>
          <w:sz w:val="26"/>
          <w:szCs w:val="26"/>
        </w:rPr>
        <w:t>R.D.</w:t>
      </w:r>
      <w:r w:rsidR="007847CB">
        <w:rPr>
          <w:sz w:val="26"/>
          <w:szCs w:val="26"/>
        </w:rPr>
        <w:t xml:space="preserve"> at 63.</w:t>
      </w:r>
      <w:r w:rsidR="00070D2F">
        <w:rPr>
          <w:sz w:val="26"/>
          <w:szCs w:val="26"/>
        </w:rPr>
        <w:t xml:space="preserve"> </w:t>
      </w:r>
    </w:p>
    <w:p w14:paraId="3C0BC7FD" w14:textId="0F75D48E" w:rsidR="00DB4897" w:rsidRDefault="00DB4897" w:rsidP="002F7DB7">
      <w:pPr>
        <w:widowControl/>
        <w:spacing w:line="360" w:lineRule="auto"/>
        <w:rPr>
          <w:sz w:val="26"/>
          <w:szCs w:val="26"/>
        </w:rPr>
      </w:pPr>
    </w:p>
    <w:p w14:paraId="2B0409CE" w14:textId="2BD1A7E2" w:rsidR="00F5608D" w:rsidRDefault="00D438BF" w:rsidP="002F7DB7">
      <w:pPr>
        <w:widowControl/>
        <w:spacing w:line="360" w:lineRule="auto"/>
        <w:rPr>
          <w:sz w:val="26"/>
          <w:szCs w:val="26"/>
        </w:rPr>
      </w:pPr>
      <w:r>
        <w:rPr>
          <w:sz w:val="26"/>
          <w:szCs w:val="26"/>
        </w:rPr>
        <w:tab/>
      </w:r>
      <w:r>
        <w:rPr>
          <w:sz w:val="26"/>
          <w:szCs w:val="26"/>
        </w:rPr>
        <w:tab/>
      </w:r>
      <w:r w:rsidR="002A3A93">
        <w:rPr>
          <w:sz w:val="26"/>
          <w:szCs w:val="26"/>
        </w:rPr>
        <w:t xml:space="preserve">In its Exception No. </w:t>
      </w:r>
      <w:r w:rsidR="00DB4897">
        <w:rPr>
          <w:sz w:val="26"/>
          <w:szCs w:val="26"/>
        </w:rPr>
        <w:t>7</w:t>
      </w:r>
      <w:r w:rsidR="002A3A93">
        <w:rPr>
          <w:sz w:val="26"/>
          <w:szCs w:val="26"/>
        </w:rPr>
        <w:t>, NAWC asserts that the ALJ</w:t>
      </w:r>
      <w:r w:rsidR="00DB4897">
        <w:rPr>
          <w:sz w:val="26"/>
          <w:szCs w:val="26"/>
        </w:rPr>
        <w:t xml:space="preserve"> failed to acknowledge that the changes are offsetting.  NAWC avers that based on present debt cost rates, the use of the actual cost of long term debt will decrease the DSIC charge.  The </w:t>
      </w:r>
      <w:r w:rsidR="00F5608D">
        <w:rPr>
          <w:sz w:val="26"/>
          <w:szCs w:val="26"/>
        </w:rPr>
        <w:t>exclusion</w:t>
      </w:r>
      <w:r w:rsidR="00DB4897">
        <w:rPr>
          <w:sz w:val="26"/>
          <w:szCs w:val="26"/>
        </w:rPr>
        <w:t xml:space="preserve"> of short term debt will </w:t>
      </w:r>
      <w:r w:rsidR="00F5608D">
        <w:rPr>
          <w:sz w:val="26"/>
          <w:szCs w:val="26"/>
        </w:rPr>
        <w:t>increase</w:t>
      </w:r>
      <w:r w:rsidR="00DB4897">
        <w:rPr>
          <w:sz w:val="26"/>
          <w:szCs w:val="26"/>
        </w:rPr>
        <w:t xml:space="preserve"> the DSIC charge.  NAWC contends that the offsetting nature of the adjustments bears on the </w:t>
      </w:r>
      <w:r w:rsidR="00F5608D">
        <w:rPr>
          <w:sz w:val="26"/>
          <w:szCs w:val="26"/>
        </w:rPr>
        <w:t xml:space="preserve">issue of overcollections/refunds discussed in Exception No. 8 and should be recognized in the Commission’s final order.  </w:t>
      </w:r>
      <w:r>
        <w:rPr>
          <w:sz w:val="26"/>
          <w:szCs w:val="26"/>
        </w:rPr>
        <w:t>Exc. at 26-27.</w:t>
      </w:r>
    </w:p>
    <w:p w14:paraId="275AD7F8" w14:textId="61C1D512" w:rsidR="002A3A93" w:rsidRDefault="002A3A93" w:rsidP="002F7DB7">
      <w:pPr>
        <w:widowControl/>
        <w:spacing w:line="360" w:lineRule="auto"/>
        <w:rPr>
          <w:sz w:val="26"/>
          <w:szCs w:val="26"/>
        </w:rPr>
      </w:pPr>
    </w:p>
    <w:p w14:paraId="631C133E" w14:textId="7CD84F1A" w:rsidR="002A3A93" w:rsidRPr="00222F6B" w:rsidRDefault="00F5608D" w:rsidP="002F7DB7">
      <w:pPr>
        <w:widowControl/>
        <w:spacing w:line="360" w:lineRule="auto"/>
        <w:rPr>
          <w:b/>
          <w:sz w:val="26"/>
          <w:szCs w:val="26"/>
        </w:rPr>
      </w:pPr>
      <w:r>
        <w:rPr>
          <w:sz w:val="26"/>
          <w:szCs w:val="26"/>
        </w:rPr>
        <w:tab/>
      </w:r>
      <w:r w:rsidR="00070D2F">
        <w:rPr>
          <w:sz w:val="26"/>
          <w:szCs w:val="26"/>
        </w:rPr>
        <w:tab/>
        <w:t xml:space="preserve">In Reply, the </w:t>
      </w:r>
      <w:r>
        <w:rPr>
          <w:sz w:val="26"/>
          <w:szCs w:val="26"/>
        </w:rPr>
        <w:t xml:space="preserve">OCA explains that whether the changes are offsetting using present cost of debt rates is not relevant to the historic period.  </w:t>
      </w:r>
      <w:r w:rsidR="00070D2F">
        <w:rPr>
          <w:sz w:val="26"/>
          <w:szCs w:val="26"/>
        </w:rPr>
        <w:t xml:space="preserve">The </w:t>
      </w:r>
      <w:r>
        <w:rPr>
          <w:sz w:val="26"/>
          <w:szCs w:val="26"/>
        </w:rPr>
        <w:t xml:space="preserve">OCA notes that in the record before the Commission, no party has calculated the net impact of using the correct cost of long-term debt and eliminating short term debt for the years 2013-1017.  </w:t>
      </w:r>
      <w:r w:rsidR="00070D2F">
        <w:rPr>
          <w:sz w:val="26"/>
          <w:szCs w:val="26"/>
        </w:rPr>
        <w:t xml:space="preserve">The </w:t>
      </w:r>
      <w:r>
        <w:rPr>
          <w:sz w:val="26"/>
          <w:szCs w:val="26"/>
        </w:rPr>
        <w:t xml:space="preserve">OCA maintains that NAWC’s DSIC rate should be calculated correctly – historically and prospectively – whether or not the debt cost rate corrections are offsetting.  </w:t>
      </w:r>
      <w:r w:rsidR="00D438BF">
        <w:rPr>
          <w:sz w:val="26"/>
          <w:szCs w:val="26"/>
        </w:rPr>
        <w:t>R. Exc. at</w:t>
      </w:r>
      <w:r w:rsidR="00212413">
        <w:rPr>
          <w:sz w:val="26"/>
          <w:szCs w:val="26"/>
        </w:rPr>
        <w:t> </w:t>
      </w:r>
      <w:r w:rsidR="00D438BF">
        <w:rPr>
          <w:sz w:val="26"/>
          <w:szCs w:val="26"/>
        </w:rPr>
        <w:t>19</w:t>
      </w:r>
      <w:r w:rsidR="00212413">
        <w:rPr>
          <w:sz w:val="26"/>
          <w:szCs w:val="26"/>
        </w:rPr>
        <w:noBreakHyphen/>
      </w:r>
      <w:r w:rsidR="00D438BF">
        <w:rPr>
          <w:sz w:val="26"/>
          <w:szCs w:val="26"/>
        </w:rPr>
        <w:t>20.</w:t>
      </w:r>
    </w:p>
    <w:p w14:paraId="471B1CAC" w14:textId="77777777" w:rsidR="002A3A93" w:rsidRDefault="002A3A93" w:rsidP="002F7DB7">
      <w:pPr>
        <w:keepNext/>
        <w:widowControl/>
        <w:spacing w:line="360" w:lineRule="auto"/>
        <w:rPr>
          <w:sz w:val="26"/>
          <w:szCs w:val="26"/>
        </w:rPr>
      </w:pPr>
    </w:p>
    <w:p w14:paraId="7627C294" w14:textId="2ADFD7C9" w:rsidR="002A3A93" w:rsidRPr="007911B8" w:rsidRDefault="00070D2F" w:rsidP="00212413">
      <w:pPr>
        <w:pStyle w:val="Heading4"/>
        <w:spacing w:line="240" w:lineRule="auto"/>
        <w:ind w:left="2160" w:hanging="720"/>
      </w:pPr>
      <w:bookmarkStart w:id="31" w:name="_Toc512430444"/>
      <w:r>
        <w:t>g</w:t>
      </w:r>
      <w:r w:rsidR="002A3A93" w:rsidRPr="007911B8">
        <w:t>.</w:t>
      </w:r>
      <w:r w:rsidR="002A3A93" w:rsidRPr="007911B8">
        <w:tab/>
        <w:t>NAWC’s Exception No. 8</w:t>
      </w:r>
      <w:r w:rsidR="00586EB2">
        <w:t xml:space="preserve"> </w:t>
      </w:r>
      <w:r>
        <w:t>Regarding</w:t>
      </w:r>
      <w:r w:rsidR="007847CB">
        <w:t xml:space="preserve"> </w:t>
      </w:r>
      <w:r w:rsidR="00586EB2">
        <w:t>Overcollections/Refunds</w:t>
      </w:r>
      <w:r w:rsidR="00547A90">
        <w:t xml:space="preserve"> </w:t>
      </w:r>
      <w:r>
        <w:t>and the OCA’s Replies</w:t>
      </w:r>
      <w:bookmarkEnd w:id="31"/>
    </w:p>
    <w:p w14:paraId="6E60AEA2" w14:textId="77777777" w:rsidR="002A3A93" w:rsidRPr="00222F6B" w:rsidRDefault="002A3A93" w:rsidP="002F7DB7">
      <w:pPr>
        <w:keepNext/>
        <w:widowControl/>
        <w:spacing w:line="360" w:lineRule="auto"/>
        <w:rPr>
          <w:sz w:val="26"/>
          <w:szCs w:val="26"/>
        </w:rPr>
      </w:pPr>
    </w:p>
    <w:p w14:paraId="71CB82DB" w14:textId="77777777" w:rsidR="009969E4" w:rsidRDefault="002A3A93" w:rsidP="002F7DB7">
      <w:pPr>
        <w:widowControl/>
        <w:spacing w:line="360" w:lineRule="auto"/>
        <w:rPr>
          <w:sz w:val="26"/>
          <w:szCs w:val="26"/>
        </w:rPr>
      </w:pPr>
      <w:r w:rsidRPr="00222F6B">
        <w:rPr>
          <w:sz w:val="26"/>
          <w:szCs w:val="26"/>
        </w:rPr>
        <w:tab/>
      </w:r>
      <w:r w:rsidRPr="00222F6B">
        <w:rPr>
          <w:sz w:val="26"/>
          <w:szCs w:val="26"/>
        </w:rPr>
        <w:tab/>
      </w:r>
      <w:r>
        <w:rPr>
          <w:sz w:val="26"/>
          <w:szCs w:val="26"/>
        </w:rPr>
        <w:t xml:space="preserve">In its Exception No. </w:t>
      </w:r>
      <w:r w:rsidR="00F5608D">
        <w:rPr>
          <w:sz w:val="26"/>
          <w:szCs w:val="26"/>
        </w:rPr>
        <w:t>8</w:t>
      </w:r>
      <w:r>
        <w:rPr>
          <w:sz w:val="26"/>
          <w:szCs w:val="26"/>
        </w:rPr>
        <w:t xml:space="preserve">, NAWC asserts that the </w:t>
      </w:r>
      <w:r w:rsidR="009D6D5D">
        <w:rPr>
          <w:sz w:val="26"/>
          <w:szCs w:val="26"/>
        </w:rPr>
        <w:t xml:space="preserve">miscalculation of its DSIC rate will not produce a material overcollection/refund for customers.  NAWC also contends that this is a “red herring” issue being used as an attempted justification to deny the proposed increase to the DSIC cap.  </w:t>
      </w:r>
      <w:r w:rsidR="00D438BF">
        <w:rPr>
          <w:sz w:val="26"/>
          <w:szCs w:val="26"/>
        </w:rPr>
        <w:t>Exc. at 27-28.</w:t>
      </w:r>
      <w:r w:rsidR="00AE3C2B">
        <w:rPr>
          <w:sz w:val="26"/>
          <w:szCs w:val="26"/>
        </w:rPr>
        <w:t xml:space="preserve">  </w:t>
      </w:r>
    </w:p>
    <w:p w14:paraId="5A9E4BEE" w14:textId="77777777" w:rsidR="009969E4" w:rsidRDefault="009969E4" w:rsidP="002F7DB7">
      <w:pPr>
        <w:widowControl/>
        <w:spacing w:line="360" w:lineRule="auto"/>
        <w:rPr>
          <w:sz w:val="26"/>
          <w:szCs w:val="26"/>
        </w:rPr>
      </w:pPr>
    </w:p>
    <w:p w14:paraId="0425B368" w14:textId="1868A899" w:rsidR="009969E4" w:rsidRPr="00EB2A5A" w:rsidRDefault="009969E4" w:rsidP="002F7DB7">
      <w:pPr>
        <w:widowControl/>
        <w:spacing w:line="360" w:lineRule="auto"/>
        <w:rPr>
          <w:sz w:val="26"/>
          <w:szCs w:val="26"/>
        </w:rPr>
      </w:pPr>
      <w:r>
        <w:rPr>
          <w:sz w:val="26"/>
          <w:szCs w:val="26"/>
        </w:rPr>
        <w:tab/>
      </w:r>
      <w:r>
        <w:rPr>
          <w:sz w:val="26"/>
          <w:szCs w:val="26"/>
        </w:rPr>
        <w:tab/>
      </w:r>
      <w:r w:rsidR="00AE3C2B" w:rsidRPr="00EB2A5A">
        <w:rPr>
          <w:sz w:val="26"/>
          <w:szCs w:val="26"/>
        </w:rPr>
        <w:t>NAWC avers that</w:t>
      </w:r>
      <w:r w:rsidRPr="00EB2A5A">
        <w:rPr>
          <w:sz w:val="26"/>
          <w:szCs w:val="26"/>
        </w:rPr>
        <w:t xml:space="preserve"> the Recommended Decision is incorrect in suggesting that the correction of the debt cost rate could reduce the DSIC calculation below the existing 5.0% cap.  NAWC provides that</w:t>
      </w:r>
      <w:r w:rsidR="00AE3C2B" w:rsidRPr="00EB2A5A">
        <w:rPr>
          <w:sz w:val="26"/>
          <w:szCs w:val="26"/>
        </w:rPr>
        <w:t xml:space="preserve"> it removed short term debt and included the </w:t>
      </w:r>
      <w:r w:rsidR="00AE3C2B" w:rsidRPr="00EB2A5A">
        <w:rPr>
          <w:sz w:val="26"/>
          <w:szCs w:val="26"/>
        </w:rPr>
        <w:lastRenderedPageBreak/>
        <w:t xml:space="preserve">current cost of long term debt in its most recent quarterly </w:t>
      </w:r>
      <w:r w:rsidRPr="00EB2A5A">
        <w:rPr>
          <w:sz w:val="26"/>
          <w:szCs w:val="26"/>
        </w:rPr>
        <w:t>DSIC filing of Supplement No.</w:t>
      </w:r>
      <w:r w:rsidR="00A8669C">
        <w:rPr>
          <w:sz w:val="26"/>
          <w:szCs w:val="26"/>
        </w:rPr>
        <w:t> </w:t>
      </w:r>
      <w:r w:rsidRPr="00EB2A5A">
        <w:rPr>
          <w:sz w:val="26"/>
          <w:szCs w:val="26"/>
        </w:rPr>
        <w:t>129</w:t>
      </w:r>
      <w:r w:rsidR="00A063D6" w:rsidRPr="00EB2A5A">
        <w:rPr>
          <w:sz w:val="26"/>
          <w:szCs w:val="26"/>
        </w:rPr>
        <w:t>.</w:t>
      </w:r>
      <w:r w:rsidRPr="00EB2A5A">
        <w:rPr>
          <w:sz w:val="26"/>
          <w:szCs w:val="26"/>
        </w:rPr>
        <w:t xml:space="preserve">  </w:t>
      </w:r>
      <w:r w:rsidR="009B01D4" w:rsidRPr="00EB2A5A">
        <w:rPr>
          <w:i/>
          <w:sz w:val="26"/>
          <w:szCs w:val="26"/>
        </w:rPr>
        <w:t xml:space="preserve">Newtown Artesian Water Company – DSIC Quarterly </w:t>
      </w:r>
      <w:r w:rsidR="00A8669C">
        <w:rPr>
          <w:i/>
          <w:sz w:val="26"/>
          <w:szCs w:val="26"/>
        </w:rPr>
        <w:t>F</w:t>
      </w:r>
      <w:r w:rsidR="009B01D4" w:rsidRPr="00EB2A5A">
        <w:rPr>
          <w:i/>
          <w:sz w:val="26"/>
          <w:szCs w:val="26"/>
        </w:rPr>
        <w:t>iling</w:t>
      </w:r>
      <w:r w:rsidR="009B01D4" w:rsidRPr="00EB2A5A">
        <w:rPr>
          <w:sz w:val="26"/>
          <w:szCs w:val="26"/>
        </w:rPr>
        <w:t>, Docket No. M</w:t>
      </w:r>
      <w:r w:rsidR="00A8669C">
        <w:rPr>
          <w:sz w:val="26"/>
          <w:szCs w:val="26"/>
        </w:rPr>
        <w:noBreakHyphen/>
      </w:r>
      <w:r w:rsidR="009B01D4" w:rsidRPr="00EB2A5A">
        <w:rPr>
          <w:sz w:val="26"/>
          <w:szCs w:val="26"/>
        </w:rPr>
        <w:t>2018-2643814</w:t>
      </w:r>
      <w:r w:rsidR="009B01D4" w:rsidRPr="00EB2A5A">
        <w:rPr>
          <w:i/>
          <w:sz w:val="26"/>
          <w:szCs w:val="26"/>
        </w:rPr>
        <w:t xml:space="preserve"> </w:t>
      </w:r>
      <w:r w:rsidR="00A063D6" w:rsidRPr="00EB2A5A">
        <w:rPr>
          <w:sz w:val="26"/>
          <w:szCs w:val="26"/>
        </w:rPr>
        <w:t>(filed January 22, 2018) (</w:t>
      </w:r>
      <w:r w:rsidR="00A063D6" w:rsidRPr="00EB2A5A">
        <w:rPr>
          <w:i/>
          <w:sz w:val="26"/>
          <w:szCs w:val="26"/>
        </w:rPr>
        <w:t xml:space="preserve">January 2018 DSIC Quarterly </w:t>
      </w:r>
      <w:r w:rsidR="00A8669C">
        <w:rPr>
          <w:i/>
          <w:sz w:val="26"/>
          <w:szCs w:val="26"/>
        </w:rPr>
        <w:t>F</w:t>
      </w:r>
      <w:r w:rsidR="00A063D6" w:rsidRPr="00EB2A5A">
        <w:rPr>
          <w:i/>
          <w:sz w:val="26"/>
          <w:szCs w:val="26"/>
        </w:rPr>
        <w:t>iling</w:t>
      </w:r>
      <w:r w:rsidR="00A063D6" w:rsidRPr="00EB2A5A">
        <w:rPr>
          <w:sz w:val="26"/>
          <w:szCs w:val="26"/>
        </w:rPr>
        <w:t>).</w:t>
      </w:r>
      <w:r w:rsidR="00A063D6" w:rsidRPr="00EB2A5A">
        <w:rPr>
          <w:i/>
          <w:sz w:val="26"/>
          <w:szCs w:val="26"/>
        </w:rPr>
        <w:t xml:space="preserve">  </w:t>
      </w:r>
      <w:r w:rsidRPr="00EB2A5A">
        <w:rPr>
          <w:sz w:val="26"/>
          <w:szCs w:val="26"/>
        </w:rPr>
        <w:t>The calculated DSIC</w:t>
      </w:r>
      <w:r w:rsidR="00A063D6" w:rsidRPr="00EB2A5A">
        <w:rPr>
          <w:sz w:val="26"/>
          <w:szCs w:val="26"/>
        </w:rPr>
        <w:t xml:space="preserve">, </w:t>
      </w:r>
      <w:r w:rsidRPr="00EB2A5A">
        <w:rPr>
          <w:sz w:val="26"/>
          <w:szCs w:val="26"/>
        </w:rPr>
        <w:t>removing short term debt and using the current cost of long term debt of 5.56%</w:t>
      </w:r>
      <w:r w:rsidR="00A063D6" w:rsidRPr="00EB2A5A">
        <w:rPr>
          <w:sz w:val="26"/>
          <w:szCs w:val="26"/>
        </w:rPr>
        <w:t>,</w:t>
      </w:r>
      <w:r w:rsidRPr="00EB2A5A">
        <w:rPr>
          <w:sz w:val="26"/>
          <w:szCs w:val="26"/>
        </w:rPr>
        <w:t xml:space="preserve"> was 5.44%.  Exc. at 27.</w:t>
      </w:r>
    </w:p>
    <w:p w14:paraId="4AB1A89F" w14:textId="77777777" w:rsidR="009969E4" w:rsidRPr="00EB2A5A" w:rsidRDefault="009969E4" w:rsidP="002F7DB7">
      <w:pPr>
        <w:widowControl/>
        <w:spacing w:line="360" w:lineRule="auto"/>
        <w:rPr>
          <w:sz w:val="26"/>
          <w:szCs w:val="26"/>
        </w:rPr>
      </w:pPr>
    </w:p>
    <w:p w14:paraId="0E187B42" w14:textId="5C3519F0" w:rsidR="002A3A93" w:rsidRDefault="009969E4" w:rsidP="002F7DB7">
      <w:pPr>
        <w:widowControl/>
        <w:spacing w:line="360" w:lineRule="auto"/>
        <w:rPr>
          <w:sz w:val="26"/>
          <w:szCs w:val="26"/>
        </w:rPr>
      </w:pPr>
      <w:r w:rsidRPr="00EB2A5A">
        <w:rPr>
          <w:sz w:val="26"/>
          <w:szCs w:val="26"/>
        </w:rPr>
        <w:tab/>
      </w:r>
      <w:r w:rsidRPr="00EB2A5A">
        <w:rPr>
          <w:sz w:val="26"/>
          <w:szCs w:val="26"/>
        </w:rPr>
        <w:tab/>
        <w:t xml:space="preserve">NAWC notes that the Recommended Decision is incorrect in suggesting that the correction of the debt cost rate might produce a material overcollection/refund for customers.  NAWC offers that it has recalculated the quarterly DSIC rate for each quarter from November 2013 (four years prior to the OCA’s complaint) through August 2017 using the actual cost of long term debt and excluding short term debt.  NAWC contends that the recalculated quarterly DSIC is higher </w:t>
      </w:r>
      <w:r w:rsidR="00EB2A5A" w:rsidRPr="00EB2A5A">
        <w:rPr>
          <w:sz w:val="26"/>
          <w:szCs w:val="26"/>
        </w:rPr>
        <w:t>than</w:t>
      </w:r>
      <w:r w:rsidRPr="00EB2A5A">
        <w:rPr>
          <w:sz w:val="26"/>
          <w:szCs w:val="26"/>
        </w:rPr>
        <w:t xml:space="preserve"> the actual DSIC charged to customers.  Exc. at 28.</w:t>
      </w:r>
      <w:r>
        <w:rPr>
          <w:sz w:val="26"/>
          <w:szCs w:val="26"/>
        </w:rPr>
        <w:t xml:space="preserve"> </w:t>
      </w:r>
    </w:p>
    <w:p w14:paraId="2E559656" w14:textId="77777777" w:rsidR="00212413" w:rsidRDefault="00212413" w:rsidP="002F7DB7">
      <w:pPr>
        <w:widowControl/>
        <w:spacing w:line="360" w:lineRule="auto"/>
        <w:rPr>
          <w:sz w:val="26"/>
          <w:szCs w:val="26"/>
        </w:rPr>
      </w:pPr>
    </w:p>
    <w:p w14:paraId="599B2879" w14:textId="1DE634D2" w:rsidR="002A3A93" w:rsidRDefault="00D438BF" w:rsidP="002F7DB7">
      <w:pPr>
        <w:widowControl/>
        <w:spacing w:line="360" w:lineRule="auto"/>
        <w:rPr>
          <w:sz w:val="26"/>
          <w:szCs w:val="26"/>
        </w:rPr>
      </w:pPr>
      <w:r>
        <w:rPr>
          <w:sz w:val="26"/>
          <w:szCs w:val="26"/>
        </w:rPr>
        <w:tab/>
      </w:r>
      <w:r>
        <w:rPr>
          <w:sz w:val="26"/>
          <w:szCs w:val="26"/>
        </w:rPr>
        <w:tab/>
      </w:r>
      <w:r w:rsidR="00070D2F">
        <w:rPr>
          <w:sz w:val="26"/>
          <w:szCs w:val="26"/>
        </w:rPr>
        <w:t xml:space="preserve">In its Replies, the </w:t>
      </w:r>
      <w:r w:rsidR="009D6D5D">
        <w:rPr>
          <w:sz w:val="26"/>
          <w:szCs w:val="26"/>
        </w:rPr>
        <w:t xml:space="preserve">OCA reiterates that </w:t>
      </w:r>
      <w:r w:rsidR="00194322">
        <w:rPr>
          <w:sz w:val="26"/>
          <w:szCs w:val="26"/>
        </w:rPr>
        <w:t>whether</w:t>
      </w:r>
      <w:r w:rsidR="009D6D5D">
        <w:rPr>
          <w:sz w:val="26"/>
          <w:szCs w:val="26"/>
        </w:rPr>
        <w:t xml:space="preserve"> or not there is a material overcollection</w:t>
      </w:r>
      <w:r w:rsidR="00400F8F">
        <w:rPr>
          <w:sz w:val="26"/>
          <w:szCs w:val="26"/>
        </w:rPr>
        <w:t>,</w:t>
      </w:r>
      <w:r w:rsidR="009D6D5D">
        <w:rPr>
          <w:sz w:val="26"/>
          <w:szCs w:val="26"/>
        </w:rPr>
        <w:t xml:space="preserve"> NAWC miscalculated its DSIC rate for at least four years.  </w:t>
      </w:r>
      <w:r w:rsidR="00070D2F">
        <w:rPr>
          <w:sz w:val="26"/>
          <w:szCs w:val="26"/>
        </w:rPr>
        <w:t xml:space="preserve">The </w:t>
      </w:r>
      <w:r w:rsidR="009D6D5D">
        <w:rPr>
          <w:sz w:val="26"/>
          <w:szCs w:val="26"/>
        </w:rPr>
        <w:t xml:space="preserve">OCA also states that the debt </w:t>
      </w:r>
      <w:r w:rsidR="00194322">
        <w:rPr>
          <w:sz w:val="26"/>
          <w:szCs w:val="26"/>
        </w:rPr>
        <w:t>miscalculation</w:t>
      </w:r>
      <w:r w:rsidR="009D6D5D">
        <w:rPr>
          <w:sz w:val="26"/>
          <w:szCs w:val="26"/>
        </w:rPr>
        <w:t xml:space="preserve"> was one </w:t>
      </w:r>
      <w:r w:rsidR="00194322">
        <w:rPr>
          <w:sz w:val="26"/>
          <w:szCs w:val="26"/>
        </w:rPr>
        <w:t>of</w:t>
      </w:r>
      <w:r w:rsidR="009D6D5D">
        <w:rPr>
          <w:sz w:val="26"/>
          <w:szCs w:val="26"/>
        </w:rPr>
        <w:t xml:space="preserve"> several reasons why the ALJ recommended denial of the proposed DSIC</w:t>
      </w:r>
      <w:r w:rsidR="002F759D">
        <w:rPr>
          <w:sz w:val="26"/>
          <w:szCs w:val="26"/>
        </w:rPr>
        <w:t>-</w:t>
      </w:r>
      <w:r w:rsidR="009D6D5D">
        <w:rPr>
          <w:sz w:val="26"/>
          <w:szCs w:val="26"/>
        </w:rPr>
        <w:t xml:space="preserve">cap increase.  </w:t>
      </w:r>
      <w:r w:rsidR="00070D2F">
        <w:rPr>
          <w:sz w:val="26"/>
          <w:szCs w:val="26"/>
        </w:rPr>
        <w:t xml:space="preserve">The </w:t>
      </w:r>
      <w:r w:rsidR="009D6D5D">
        <w:rPr>
          <w:sz w:val="26"/>
          <w:szCs w:val="26"/>
        </w:rPr>
        <w:t xml:space="preserve">OCA notes that in the record before the Commission, there is no evidence quantifying the new impact of using the </w:t>
      </w:r>
      <w:r w:rsidR="00194322">
        <w:rPr>
          <w:sz w:val="26"/>
          <w:szCs w:val="26"/>
        </w:rPr>
        <w:t>correct</w:t>
      </w:r>
      <w:r w:rsidR="009D6D5D">
        <w:rPr>
          <w:sz w:val="26"/>
          <w:szCs w:val="26"/>
        </w:rPr>
        <w:t xml:space="preserve"> cost of long-term debt and eliminating short-term </w:t>
      </w:r>
      <w:r w:rsidR="00194322">
        <w:rPr>
          <w:sz w:val="26"/>
          <w:szCs w:val="26"/>
        </w:rPr>
        <w:t>debt</w:t>
      </w:r>
      <w:r w:rsidR="009D6D5D">
        <w:rPr>
          <w:sz w:val="26"/>
          <w:szCs w:val="26"/>
        </w:rPr>
        <w:t xml:space="preserve"> for sixteen quarters.  </w:t>
      </w:r>
      <w:r w:rsidR="00070D2F">
        <w:rPr>
          <w:sz w:val="26"/>
          <w:szCs w:val="26"/>
        </w:rPr>
        <w:t xml:space="preserve">The </w:t>
      </w:r>
      <w:r w:rsidR="009D6D5D">
        <w:rPr>
          <w:sz w:val="26"/>
          <w:szCs w:val="26"/>
        </w:rPr>
        <w:t>OCA notes that NAWC states that it has p</w:t>
      </w:r>
      <w:r w:rsidR="00194322">
        <w:rPr>
          <w:sz w:val="26"/>
          <w:szCs w:val="26"/>
        </w:rPr>
        <w:t>er</w:t>
      </w:r>
      <w:r w:rsidR="009D6D5D">
        <w:rPr>
          <w:sz w:val="26"/>
          <w:szCs w:val="26"/>
        </w:rPr>
        <w:t xml:space="preserve">formed the required </w:t>
      </w:r>
      <w:r w:rsidR="00194322">
        <w:rPr>
          <w:sz w:val="26"/>
          <w:szCs w:val="26"/>
        </w:rPr>
        <w:t>calculations</w:t>
      </w:r>
      <w:r w:rsidR="009D6D5D">
        <w:rPr>
          <w:sz w:val="26"/>
          <w:szCs w:val="26"/>
        </w:rPr>
        <w:t xml:space="preserve"> for the</w:t>
      </w:r>
      <w:r w:rsidR="00194322">
        <w:rPr>
          <w:sz w:val="26"/>
          <w:szCs w:val="26"/>
        </w:rPr>
        <w:t xml:space="preserve"> </w:t>
      </w:r>
      <w:r w:rsidR="009D6D5D">
        <w:rPr>
          <w:sz w:val="26"/>
          <w:szCs w:val="26"/>
        </w:rPr>
        <w:t>f</w:t>
      </w:r>
      <w:r w:rsidR="00194322">
        <w:rPr>
          <w:sz w:val="26"/>
          <w:szCs w:val="26"/>
        </w:rPr>
        <w:t>i</w:t>
      </w:r>
      <w:r w:rsidR="009D6D5D">
        <w:rPr>
          <w:sz w:val="26"/>
          <w:szCs w:val="26"/>
        </w:rPr>
        <w:t xml:space="preserve">rst time, in its Exceptions.  </w:t>
      </w:r>
      <w:r w:rsidR="00070D2F">
        <w:rPr>
          <w:sz w:val="26"/>
          <w:szCs w:val="26"/>
        </w:rPr>
        <w:t xml:space="preserve">The </w:t>
      </w:r>
      <w:r w:rsidR="00194322">
        <w:rPr>
          <w:sz w:val="26"/>
          <w:szCs w:val="26"/>
        </w:rPr>
        <w:t xml:space="preserve">OCA points out that the Company’s inclusion of extra-record evidence in its Exceptions “violates the principle of fundamental fairness and violates the due process rights of other parties” who have no opportunity to cross-examine a witness in a separate hearing.  </w:t>
      </w:r>
      <w:r w:rsidR="00070D2F">
        <w:rPr>
          <w:sz w:val="26"/>
          <w:szCs w:val="26"/>
        </w:rPr>
        <w:t xml:space="preserve">The </w:t>
      </w:r>
      <w:r w:rsidR="00194322">
        <w:rPr>
          <w:sz w:val="26"/>
          <w:szCs w:val="26"/>
        </w:rPr>
        <w:t xml:space="preserve">OCA contends that the extra-record evidence should be disregarded.  </w:t>
      </w:r>
      <w:r>
        <w:rPr>
          <w:sz w:val="26"/>
          <w:szCs w:val="26"/>
        </w:rPr>
        <w:t>R. Exc. at 20-22.</w:t>
      </w:r>
    </w:p>
    <w:p w14:paraId="508CDDD0" w14:textId="43084062" w:rsidR="002A3A93" w:rsidRDefault="002A3A93" w:rsidP="002F7DB7">
      <w:pPr>
        <w:widowControl/>
        <w:spacing w:line="360" w:lineRule="auto"/>
        <w:rPr>
          <w:sz w:val="26"/>
          <w:szCs w:val="26"/>
        </w:rPr>
      </w:pPr>
    </w:p>
    <w:p w14:paraId="47264B8E" w14:textId="045F3169" w:rsidR="002A3A93" w:rsidRPr="002D422F" w:rsidRDefault="00070D2F" w:rsidP="00400F8F">
      <w:pPr>
        <w:pStyle w:val="Heading4"/>
        <w:spacing w:line="240" w:lineRule="auto"/>
        <w:ind w:left="2160" w:hanging="720"/>
      </w:pPr>
      <w:bookmarkStart w:id="32" w:name="_Toc512430445"/>
      <w:r>
        <w:lastRenderedPageBreak/>
        <w:t>h</w:t>
      </w:r>
      <w:r w:rsidR="007847CB">
        <w:t>.</w:t>
      </w:r>
      <w:r w:rsidR="002A3A93" w:rsidRPr="002D422F">
        <w:tab/>
      </w:r>
      <w:r w:rsidR="002A3A93">
        <w:t>NAWC’s Exception No. 9</w:t>
      </w:r>
      <w:r w:rsidR="00586EB2">
        <w:t xml:space="preserve"> </w:t>
      </w:r>
      <w:r>
        <w:t>Regarding</w:t>
      </w:r>
      <w:r w:rsidR="007847CB">
        <w:t xml:space="preserve"> </w:t>
      </w:r>
      <w:r w:rsidR="00586EB2">
        <w:t>Private Fire Protection</w:t>
      </w:r>
      <w:r>
        <w:t xml:space="preserve"> and</w:t>
      </w:r>
      <w:r w:rsidR="00547A90">
        <w:t xml:space="preserve"> </w:t>
      </w:r>
      <w:r>
        <w:t>the OCA’s Replies</w:t>
      </w:r>
      <w:bookmarkEnd w:id="32"/>
    </w:p>
    <w:p w14:paraId="232D5C02" w14:textId="77777777" w:rsidR="002A3A93" w:rsidRPr="00222F6B" w:rsidRDefault="002A3A93" w:rsidP="002F7DB7">
      <w:pPr>
        <w:keepNext/>
        <w:widowControl/>
        <w:spacing w:line="360" w:lineRule="auto"/>
        <w:rPr>
          <w:sz w:val="26"/>
          <w:szCs w:val="26"/>
        </w:rPr>
      </w:pPr>
    </w:p>
    <w:p w14:paraId="1E2F6EE7" w14:textId="32B8FE10" w:rsidR="001C4DB9" w:rsidRDefault="002A3A93" w:rsidP="002F7DB7">
      <w:pPr>
        <w:widowControl/>
        <w:spacing w:line="360" w:lineRule="auto"/>
        <w:rPr>
          <w:sz w:val="26"/>
          <w:szCs w:val="26"/>
        </w:rPr>
      </w:pPr>
      <w:r w:rsidRPr="00222F6B">
        <w:rPr>
          <w:sz w:val="26"/>
          <w:szCs w:val="26"/>
        </w:rPr>
        <w:tab/>
      </w:r>
      <w:r w:rsidRPr="00222F6B">
        <w:rPr>
          <w:sz w:val="26"/>
          <w:szCs w:val="26"/>
        </w:rPr>
        <w:tab/>
      </w:r>
      <w:r>
        <w:rPr>
          <w:sz w:val="26"/>
          <w:szCs w:val="26"/>
        </w:rPr>
        <w:t xml:space="preserve">In its Exception No. </w:t>
      </w:r>
      <w:r w:rsidR="00EE4784">
        <w:rPr>
          <w:sz w:val="26"/>
          <w:szCs w:val="26"/>
        </w:rPr>
        <w:t>9</w:t>
      </w:r>
      <w:r>
        <w:rPr>
          <w:sz w:val="26"/>
          <w:szCs w:val="26"/>
        </w:rPr>
        <w:t xml:space="preserve">, NAWC asserts that </w:t>
      </w:r>
      <w:r w:rsidR="001C4DB9">
        <w:rPr>
          <w:sz w:val="26"/>
          <w:szCs w:val="26"/>
        </w:rPr>
        <w:t>private and public fire protection service customers are similarly situated irrespective of the tariff language.  NAWC provides that both are non-metered, flat rate customers.  NAWC has always interpreted its tariff to exempt both public and private fire protection serv</w:t>
      </w:r>
      <w:r w:rsidR="007C3244">
        <w:rPr>
          <w:sz w:val="26"/>
          <w:szCs w:val="26"/>
        </w:rPr>
        <w:t>ice</w:t>
      </w:r>
      <w:r w:rsidR="001C4DB9">
        <w:rPr>
          <w:sz w:val="26"/>
          <w:szCs w:val="26"/>
        </w:rPr>
        <w:t xml:space="preserve"> fr</w:t>
      </w:r>
      <w:r w:rsidR="007C3244">
        <w:rPr>
          <w:sz w:val="26"/>
          <w:szCs w:val="26"/>
        </w:rPr>
        <w:t>o</w:t>
      </w:r>
      <w:r w:rsidR="001C4DB9">
        <w:rPr>
          <w:sz w:val="26"/>
          <w:szCs w:val="26"/>
        </w:rPr>
        <w:t>m the DSIC</w:t>
      </w:r>
      <w:r w:rsidR="007C3244">
        <w:rPr>
          <w:sz w:val="26"/>
          <w:szCs w:val="26"/>
        </w:rPr>
        <w:t xml:space="preserve"> charge</w:t>
      </w:r>
      <w:r w:rsidR="001C4DB9">
        <w:rPr>
          <w:sz w:val="26"/>
          <w:szCs w:val="26"/>
        </w:rPr>
        <w:t xml:space="preserve">.  </w:t>
      </w:r>
      <w:r w:rsidR="00D438BF">
        <w:rPr>
          <w:sz w:val="26"/>
          <w:szCs w:val="26"/>
        </w:rPr>
        <w:t>Exc. at</w:t>
      </w:r>
      <w:r w:rsidR="000A52B5">
        <w:rPr>
          <w:sz w:val="26"/>
          <w:szCs w:val="26"/>
        </w:rPr>
        <w:t> </w:t>
      </w:r>
      <w:r w:rsidR="00D438BF">
        <w:rPr>
          <w:sz w:val="26"/>
          <w:szCs w:val="26"/>
        </w:rPr>
        <w:t>29.</w:t>
      </w:r>
    </w:p>
    <w:p w14:paraId="0F3A3FEB" w14:textId="3D5AE686" w:rsidR="002A3A93" w:rsidRDefault="002A3A93" w:rsidP="002F7DB7">
      <w:pPr>
        <w:widowControl/>
        <w:spacing w:line="360" w:lineRule="auto"/>
      </w:pPr>
    </w:p>
    <w:p w14:paraId="48B2DA6F" w14:textId="1B052429" w:rsidR="002A3A93" w:rsidRDefault="002A3A93" w:rsidP="002F7DB7">
      <w:pPr>
        <w:widowControl/>
        <w:spacing w:line="360" w:lineRule="auto"/>
        <w:rPr>
          <w:sz w:val="26"/>
          <w:szCs w:val="26"/>
        </w:rPr>
      </w:pPr>
      <w:r>
        <w:rPr>
          <w:sz w:val="26"/>
          <w:szCs w:val="26"/>
        </w:rPr>
        <w:tab/>
      </w:r>
      <w:r>
        <w:rPr>
          <w:sz w:val="26"/>
          <w:szCs w:val="26"/>
        </w:rPr>
        <w:tab/>
        <w:t xml:space="preserve">In its Reply to </w:t>
      </w:r>
      <w:r w:rsidR="001C4DB9">
        <w:rPr>
          <w:sz w:val="26"/>
          <w:szCs w:val="26"/>
        </w:rPr>
        <w:t>NAWC</w:t>
      </w:r>
      <w:r>
        <w:rPr>
          <w:sz w:val="26"/>
          <w:szCs w:val="26"/>
        </w:rPr>
        <w:t xml:space="preserve">’s Exception on this issue, </w:t>
      </w:r>
      <w:r w:rsidR="00070D2F">
        <w:rPr>
          <w:sz w:val="26"/>
          <w:szCs w:val="26"/>
        </w:rPr>
        <w:t xml:space="preserve">the </w:t>
      </w:r>
      <w:r w:rsidR="001C4DB9">
        <w:rPr>
          <w:sz w:val="26"/>
          <w:szCs w:val="26"/>
        </w:rPr>
        <w:t>OCA</w:t>
      </w:r>
      <w:r>
        <w:rPr>
          <w:sz w:val="26"/>
          <w:szCs w:val="26"/>
        </w:rPr>
        <w:t xml:space="preserve"> </w:t>
      </w:r>
      <w:r w:rsidR="001C4DB9">
        <w:rPr>
          <w:sz w:val="26"/>
          <w:szCs w:val="26"/>
        </w:rPr>
        <w:t xml:space="preserve">explains that in failing to charge the DSIC to its private fire protection customers, NAWC is violating one of the primary consumer protections of the DSIC – that the charge “shall be applied equally to all customer classes.”  </w:t>
      </w:r>
      <w:r w:rsidR="00070D2F">
        <w:rPr>
          <w:sz w:val="26"/>
          <w:szCs w:val="26"/>
        </w:rPr>
        <w:t xml:space="preserve">The </w:t>
      </w:r>
      <w:r w:rsidR="001C4DB9">
        <w:rPr>
          <w:sz w:val="26"/>
          <w:szCs w:val="26"/>
        </w:rPr>
        <w:t>OCA contends that the fact that NAWC’s private and public fire protection customers are both non-metered and flat rate does not change the fact that the plain language of Section 1328(a) limits its application to</w:t>
      </w:r>
      <w:r w:rsidR="001C4DB9" w:rsidRPr="00B65F18">
        <w:rPr>
          <w:i/>
          <w:sz w:val="26"/>
          <w:szCs w:val="26"/>
        </w:rPr>
        <w:t xml:space="preserve"> public</w:t>
      </w:r>
      <w:r w:rsidR="001C4DB9">
        <w:rPr>
          <w:sz w:val="26"/>
          <w:szCs w:val="26"/>
        </w:rPr>
        <w:t xml:space="preserve"> fire protection rates.  </w:t>
      </w:r>
      <w:r w:rsidR="0038218A">
        <w:rPr>
          <w:sz w:val="26"/>
          <w:szCs w:val="26"/>
        </w:rPr>
        <w:t xml:space="preserve">The </w:t>
      </w:r>
      <w:r w:rsidR="001C4DB9">
        <w:rPr>
          <w:sz w:val="26"/>
          <w:szCs w:val="26"/>
        </w:rPr>
        <w:t xml:space="preserve">OCA goes further to explain that NAWC’s existing and proposed DSIC tariffs do not exempt private fire protection customers from application of the DSIC rate. </w:t>
      </w:r>
      <w:r>
        <w:rPr>
          <w:sz w:val="26"/>
          <w:szCs w:val="26"/>
        </w:rPr>
        <w:t xml:space="preserve"> </w:t>
      </w:r>
      <w:r w:rsidR="00D438BF">
        <w:rPr>
          <w:sz w:val="26"/>
          <w:szCs w:val="26"/>
        </w:rPr>
        <w:t>R. Exc. at 22-24.</w:t>
      </w:r>
    </w:p>
    <w:p w14:paraId="1072B9C8" w14:textId="77777777" w:rsidR="00D438BF" w:rsidRDefault="00D438BF" w:rsidP="002F7DB7">
      <w:pPr>
        <w:widowControl/>
        <w:spacing w:line="360" w:lineRule="auto"/>
        <w:rPr>
          <w:sz w:val="26"/>
          <w:szCs w:val="26"/>
        </w:rPr>
      </w:pPr>
    </w:p>
    <w:p w14:paraId="1C4DDEE3" w14:textId="7A9AC2F2" w:rsidR="002A3A93" w:rsidRPr="002D422F" w:rsidRDefault="00070D2F" w:rsidP="000A52B5">
      <w:pPr>
        <w:pStyle w:val="Heading4"/>
        <w:spacing w:line="240" w:lineRule="auto"/>
        <w:ind w:left="2160" w:hanging="720"/>
      </w:pPr>
      <w:bookmarkStart w:id="33" w:name="_Toc512430446"/>
      <w:bookmarkStart w:id="34" w:name="_Hlk509382268"/>
      <w:r>
        <w:t>i</w:t>
      </w:r>
      <w:r w:rsidR="007847CB">
        <w:t>.</w:t>
      </w:r>
      <w:r w:rsidR="002A3A93" w:rsidRPr="002D422F">
        <w:tab/>
      </w:r>
      <w:r w:rsidR="002A3A93">
        <w:t>NAWC’s Exception No. 10</w:t>
      </w:r>
      <w:r w:rsidR="00586EB2">
        <w:t xml:space="preserve"> </w:t>
      </w:r>
      <w:r>
        <w:t>Regarding Accumulated</w:t>
      </w:r>
      <w:r w:rsidR="00547A90">
        <w:t xml:space="preserve"> </w:t>
      </w:r>
      <w:r w:rsidR="00586EB2">
        <w:t>Depreciation</w:t>
      </w:r>
      <w:r>
        <w:t xml:space="preserve"> and the OCA’s Replies</w:t>
      </w:r>
      <w:bookmarkEnd w:id="33"/>
    </w:p>
    <w:p w14:paraId="726C6AE7" w14:textId="77777777" w:rsidR="002A3A93" w:rsidRPr="00222F6B" w:rsidRDefault="002A3A93" w:rsidP="002F7DB7">
      <w:pPr>
        <w:keepNext/>
        <w:widowControl/>
        <w:spacing w:line="360" w:lineRule="auto"/>
        <w:rPr>
          <w:sz w:val="26"/>
          <w:szCs w:val="26"/>
        </w:rPr>
      </w:pPr>
    </w:p>
    <w:p w14:paraId="444E01D9" w14:textId="0624B480" w:rsidR="009C256E" w:rsidRDefault="002A3A93" w:rsidP="002F7DB7">
      <w:pPr>
        <w:widowControl/>
        <w:spacing w:line="360" w:lineRule="auto"/>
        <w:rPr>
          <w:sz w:val="26"/>
          <w:szCs w:val="26"/>
        </w:rPr>
      </w:pPr>
      <w:r w:rsidRPr="00222F6B">
        <w:rPr>
          <w:sz w:val="26"/>
          <w:szCs w:val="26"/>
        </w:rPr>
        <w:tab/>
      </w:r>
      <w:r w:rsidRPr="00222F6B">
        <w:rPr>
          <w:sz w:val="26"/>
          <w:szCs w:val="26"/>
        </w:rPr>
        <w:tab/>
      </w:r>
      <w:r>
        <w:rPr>
          <w:sz w:val="26"/>
          <w:szCs w:val="26"/>
        </w:rPr>
        <w:t xml:space="preserve">In its Exception No. </w:t>
      </w:r>
      <w:r w:rsidR="001C4DB9">
        <w:rPr>
          <w:sz w:val="26"/>
          <w:szCs w:val="26"/>
        </w:rPr>
        <w:t>10</w:t>
      </w:r>
      <w:r>
        <w:rPr>
          <w:sz w:val="26"/>
          <w:szCs w:val="26"/>
        </w:rPr>
        <w:t>, NAWC asserts that the ALJ</w:t>
      </w:r>
      <w:r w:rsidR="00070D2F">
        <w:rPr>
          <w:sz w:val="26"/>
          <w:szCs w:val="26"/>
        </w:rPr>
        <w:t>’</w:t>
      </w:r>
      <w:r>
        <w:rPr>
          <w:sz w:val="26"/>
          <w:szCs w:val="26"/>
        </w:rPr>
        <w:t xml:space="preserve">s recommendation to </w:t>
      </w:r>
      <w:r w:rsidR="00E4230B">
        <w:rPr>
          <w:sz w:val="26"/>
          <w:szCs w:val="26"/>
        </w:rPr>
        <w:t xml:space="preserve">modify its </w:t>
      </w:r>
      <w:r w:rsidR="009C256E">
        <w:rPr>
          <w:sz w:val="26"/>
          <w:szCs w:val="26"/>
        </w:rPr>
        <w:t>tariff definition of DSI to reflect the phrase “net of accumulated deferred income taxes and net of accumulated depreciation” is incorrect.  NAWC provides that its currently effective tariff defines DSI as follows:</w:t>
      </w:r>
    </w:p>
    <w:p w14:paraId="7FA9CB41" w14:textId="77777777" w:rsidR="009C256E" w:rsidRDefault="009C256E" w:rsidP="002F7DB7">
      <w:pPr>
        <w:widowControl/>
        <w:spacing w:line="360" w:lineRule="auto"/>
        <w:rPr>
          <w:sz w:val="26"/>
          <w:szCs w:val="26"/>
        </w:rPr>
      </w:pPr>
    </w:p>
    <w:p w14:paraId="2FE76C42" w14:textId="77777777" w:rsidR="009C256E" w:rsidRDefault="00EF618A" w:rsidP="002F7DB7">
      <w:pPr>
        <w:widowControl/>
        <w:spacing w:line="360" w:lineRule="auto"/>
        <w:rPr>
          <w:sz w:val="26"/>
          <w:szCs w:val="26"/>
        </w:rPr>
      </w:pPr>
      <w:r>
        <w:rPr>
          <w:sz w:val="26"/>
          <w:szCs w:val="26"/>
        </w:rPr>
        <w:tab/>
      </w:r>
      <w:r>
        <w:rPr>
          <w:sz w:val="26"/>
          <w:szCs w:val="26"/>
        </w:rPr>
        <w:tab/>
      </w:r>
      <w:r w:rsidR="009C256E">
        <w:rPr>
          <w:sz w:val="26"/>
          <w:szCs w:val="26"/>
        </w:rPr>
        <w:t>“DSI = Original cost of eligible distribution system improvement projects.”</w:t>
      </w:r>
    </w:p>
    <w:p w14:paraId="5C30EC54" w14:textId="77777777" w:rsidR="009C256E" w:rsidRDefault="009C256E" w:rsidP="002F7DB7">
      <w:pPr>
        <w:widowControl/>
        <w:spacing w:line="360" w:lineRule="auto"/>
        <w:rPr>
          <w:sz w:val="26"/>
          <w:szCs w:val="26"/>
        </w:rPr>
      </w:pPr>
    </w:p>
    <w:p w14:paraId="5BE72FE0" w14:textId="7AC3B18E" w:rsidR="009C256E" w:rsidRDefault="00D438BF" w:rsidP="002F7DB7">
      <w:pPr>
        <w:widowControl/>
        <w:spacing w:line="360" w:lineRule="auto"/>
        <w:rPr>
          <w:sz w:val="26"/>
          <w:szCs w:val="26"/>
        </w:rPr>
      </w:pPr>
      <w:r>
        <w:rPr>
          <w:sz w:val="26"/>
          <w:szCs w:val="26"/>
        </w:rPr>
        <w:lastRenderedPageBreak/>
        <w:tab/>
      </w:r>
      <w:r>
        <w:rPr>
          <w:sz w:val="26"/>
          <w:szCs w:val="26"/>
        </w:rPr>
        <w:tab/>
      </w:r>
      <w:r w:rsidR="009C256E">
        <w:rPr>
          <w:sz w:val="26"/>
          <w:szCs w:val="26"/>
        </w:rPr>
        <w:t>NAWC notes that the existing tariff language was submitted by the Company in compliance with the Supplemental Implementation Order</w:t>
      </w:r>
      <w:r w:rsidR="0038218A">
        <w:rPr>
          <w:rStyle w:val="FootnoteReference"/>
          <w:sz w:val="26"/>
          <w:szCs w:val="26"/>
        </w:rPr>
        <w:footnoteReference w:id="13"/>
      </w:r>
      <w:r w:rsidR="007847CB">
        <w:rPr>
          <w:sz w:val="26"/>
          <w:szCs w:val="26"/>
        </w:rPr>
        <w:t xml:space="preserve"> </w:t>
      </w:r>
      <w:r w:rsidR="009C256E">
        <w:rPr>
          <w:sz w:val="26"/>
          <w:szCs w:val="26"/>
        </w:rPr>
        <w:t xml:space="preserve">and in compliance with the Model Tariff.  </w:t>
      </w:r>
      <w:r>
        <w:rPr>
          <w:sz w:val="26"/>
          <w:szCs w:val="26"/>
        </w:rPr>
        <w:t>Exc. at 30-31.</w:t>
      </w:r>
    </w:p>
    <w:p w14:paraId="2A5BEAE9" w14:textId="3C7922BC" w:rsidR="002A3A93" w:rsidRDefault="002A3A93" w:rsidP="002F7DB7">
      <w:pPr>
        <w:widowControl/>
        <w:spacing w:line="360" w:lineRule="auto"/>
      </w:pPr>
    </w:p>
    <w:p w14:paraId="234FAC56" w14:textId="54D9C9FE" w:rsidR="009C256E" w:rsidRDefault="002A3A93" w:rsidP="002F7DB7">
      <w:pPr>
        <w:widowControl/>
        <w:spacing w:line="360" w:lineRule="auto"/>
        <w:rPr>
          <w:sz w:val="26"/>
          <w:szCs w:val="26"/>
        </w:rPr>
      </w:pPr>
      <w:r>
        <w:rPr>
          <w:sz w:val="26"/>
          <w:szCs w:val="26"/>
        </w:rPr>
        <w:tab/>
      </w:r>
      <w:r>
        <w:rPr>
          <w:sz w:val="26"/>
          <w:szCs w:val="26"/>
        </w:rPr>
        <w:tab/>
      </w:r>
      <w:r w:rsidR="003B54B5">
        <w:rPr>
          <w:sz w:val="26"/>
          <w:szCs w:val="26"/>
        </w:rPr>
        <w:t xml:space="preserve">In Reply, the </w:t>
      </w:r>
      <w:r w:rsidR="009C256E">
        <w:rPr>
          <w:sz w:val="26"/>
          <w:szCs w:val="26"/>
        </w:rPr>
        <w:t>OCA provides that the DSIC formula provided in the Commission’s Model Tariff deducts accrued depreciation as follows:</w:t>
      </w:r>
    </w:p>
    <w:p w14:paraId="429321DB" w14:textId="77777777" w:rsidR="009C256E" w:rsidRDefault="009C256E" w:rsidP="002F7DB7">
      <w:pPr>
        <w:widowControl/>
        <w:spacing w:line="360" w:lineRule="auto"/>
        <w:rPr>
          <w:sz w:val="26"/>
          <w:szCs w:val="26"/>
        </w:rPr>
      </w:pPr>
    </w:p>
    <w:p w14:paraId="21869465" w14:textId="0FA47473" w:rsidR="002A3A93" w:rsidRDefault="009C256E" w:rsidP="002F7DB7">
      <w:pPr>
        <w:widowControl/>
        <w:spacing w:line="360" w:lineRule="auto"/>
        <w:rPr>
          <w:sz w:val="26"/>
          <w:szCs w:val="26"/>
        </w:rPr>
      </w:pPr>
      <w:r>
        <w:rPr>
          <w:sz w:val="26"/>
          <w:szCs w:val="26"/>
        </w:rPr>
        <w:t>DSI = Original cost of eligible distribution system improvement projects net of accrued depreciation.</w:t>
      </w:r>
      <w:r>
        <w:rPr>
          <w:rStyle w:val="FootnoteReference"/>
          <w:sz w:val="26"/>
          <w:szCs w:val="26"/>
        </w:rPr>
        <w:footnoteReference w:id="14"/>
      </w:r>
    </w:p>
    <w:p w14:paraId="42F7A542" w14:textId="77777777" w:rsidR="009C256E" w:rsidRDefault="009C256E" w:rsidP="002F7DB7">
      <w:pPr>
        <w:widowControl/>
        <w:spacing w:line="360" w:lineRule="auto"/>
        <w:rPr>
          <w:sz w:val="26"/>
          <w:szCs w:val="26"/>
        </w:rPr>
      </w:pPr>
    </w:p>
    <w:p w14:paraId="318BA227" w14:textId="00FCAAEB" w:rsidR="009C256E" w:rsidRDefault="00D438BF" w:rsidP="002F7DB7">
      <w:pPr>
        <w:widowControl/>
        <w:spacing w:line="360" w:lineRule="auto"/>
        <w:rPr>
          <w:sz w:val="26"/>
          <w:szCs w:val="26"/>
        </w:rPr>
      </w:pPr>
      <w:r>
        <w:rPr>
          <w:sz w:val="26"/>
          <w:szCs w:val="26"/>
        </w:rPr>
        <w:tab/>
      </w:r>
      <w:r>
        <w:rPr>
          <w:sz w:val="26"/>
          <w:szCs w:val="26"/>
        </w:rPr>
        <w:tab/>
      </w:r>
      <w:r w:rsidR="003B54B5">
        <w:rPr>
          <w:sz w:val="26"/>
          <w:szCs w:val="26"/>
        </w:rPr>
        <w:t xml:space="preserve">The </w:t>
      </w:r>
      <w:r w:rsidR="009C256E">
        <w:rPr>
          <w:sz w:val="26"/>
          <w:szCs w:val="26"/>
        </w:rPr>
        <w:t>OCA</w:t>
      </w:r>
      <w:r w:rsidR="009D6D5D">
        <w:rPr>
          <w:sz w:val="26"/>
          <w:szCs w:val="26"/>
        </w:rPr>
        <w:t xml:space="preserve"> indicates that the Commission uses the terms Accrued and accumulated depreciation interchangeably.</w:t>
      </w:r>
      <w:r w:rsidR="009D6D5D">
        <w:rPr>
          <w:rStyle w:val="FootnoteReference"/>
          <w:sz w:val="26"/>
          <w:szCs w:val="26"/>
        </w:rPr>
        <w:footnoteReference w:id="15"/>
      </w:r>
      <w:r w:rsidR="009D6D5D">
        <w:rPr>
          <w:sz w:val="26"/>
          <w:szCs w:val="26"/>
        </w:rPr>
        <w:t xml:space="preserve">  </w:t>
      </w:r>
      <w:r w:rsidR="003B54B5">
        <w:rPr>
          <w:sz w:val="26"/>
          <w:szCs w:val="26"/>
        </w:rPr>
        <w:t xml:space="preserve">The </w:t>
      </w:r>
      <w:r w:rsidR="009D6D5D">
        <w:rPr>
          <w:sz w:val="26"/>
          <w:szCs w:val="26"/>
        </w:rPr>
        <w:t xml:space="preserve">OCA points out that NAWC already calculates its cost of eligible improvement projects net of accrued/accumulated depreciation.  </w:t>
      </w:r>
      <w:r>
        <w:rPr>
          <w:sz w:val="26"/>
          <w:szCs w:val="26"/>
        </w:rPr>
        <w:t>R. Exc. at 24.</w:t>
      </w:r>
    </w:p>
    <w:p w14:paraId="13043474" w14:textId="77777777" w:rsidR="002A3A93" w:rsidRPr="00222F6B" w:rsidRDefault="002A3A93" w:rsidP="002F7DB7">
      <w:pPr>
        <w:widowControl/>
        <w:spacing w:line="360" w:lineRule="auto"/>
        <w:rPr>
          <w:sz w:val="26"/>
          <w:szCs w:val="26"/>
        </w:rPr>
      </w:pPr>
    </w:p>
    <w:p w14:paraId="235CFB6B" w14:textId="77777777" w:rsidR="002A3A93" w:rsidRPr="00F24B2C" w:rsidRDefault="002A3A93" w:rsidP="002F7DB7">
      <w:pPr>
        <w:pStyle w:val="Heading3"/>
        <w:widowControl/>
      </w:pPr>
      <w:r>
        <w:tab/>
      </w:r>
      <w:bookmarkStart w:id="35" w:name="_Toc512430447"/>
      <w:r>
        <w:t>4.</w:t>
      </w:r>
      <w:r>
        <w:tab/>
      </w:r>
      <w:r w:rsidRPr="00F24B2C">
        <w:t>Disposition</w:t>
      </w:r>
      <w:bookmarkEnd w:id="35"/>
    </w:p>
    <w:p w14:paraId="4125F0F7" w14:textId="77777777" w:rsidR="002A3A93" w:rsidRDefault="002A3A93" w:rsidP="002F7DB7">
      <w:pPr>
        <w:keepNext/>
        <w:widowControl/>
        <w:spacing w:line="360" w:lineRule="auto"/>
        <w:rPr>
          <w:sz w:val="26"/>
          <w:szCs w:val="26"/>
        </w:rPr>
      </w:pPr>
    </w:p>
    <w:p w14:paraId="679A1D4D" w14:textId="3AC2AC81" w:rsidR="002A3A93" w:rsidRDefault="00C91F44" w:rsidP="002F7DB7">
      <w:pPr>
        <w:widowControl/>
        <w:spacing w:line="360" w:lineRule="auto"/>
        <w:rPr>
          <w:sz w:val="26"/>
          <w:szCs w:val="26"/>
        </w:rPr>
      </w:pPr>
      <w:r>
        <w:rPr>
          <w:sz w:val="26"/>
          <w:szCs w:val="26"/>
        </w:rPr>
        <w:tab/>
      </w:r>
      <w:r>
        <w:rPr>
          <w:sz w:val="26"/>
          <w:szCs w:val="26"/>
        </w:rPr>
        <w:tab/>
      </w:r>
      <w:r w:rsidR="001B7B91">
        <w:rPr>
          <w:sz w:val="26"/>
          <w:szCs w:val="26"/>
        </w:rPr>
        <w:t>B</w:t>
      </w:r>
      <w:r w:rsidR="00727038">
        <w:rPr>
          <w:sz w:val="26"/>
          <w:szCs w:val="26"/>
        </w:rPr>
        <w:t xml:space="preserve">ased on our review of the record, the positions of the Parties, and the applicable law, we will </w:t>
      </w:r>
      <w:r w:rsidR="00082B23">
        <w:rPr>
          <w:sz w:val="26"/>
          <w:szCs w:val="26"/>
        </w:rPr>
        <w:t xml:space="preserve">grant, in part, and </w:t>
      </w:r>
      <w:r w:rsidR="00727038">
        <w:rPr>
          <w:sz w:val="26"/>
          <w:szCs w:val="26"/>
        </w:rPr>
        <w:t>deny</w:t>
      </w:r>
      <w:r w:rsidR="00082B23">
        <w:rPr>
          <w:sz w:val="26"/>
          <w:szCs w:val="26"/>
        </w:rPr>
        <w:t>, in part,</w:t>
      </w:r>
      <w:r w:rsidR="00727038">
        <w:rPr>
          <w:sz w:val="26"/>
          <w:szCs w:val="26"/>
        </w:rPr>
        <w:t xml:space="preserve"> NAWC’s Exceptions</w:t>
      </w:r>
      <w:r w:rsidR="00082B23">
        <w:rPr>
          <w:sz w:val="26"/>
          <w:szCs w:val="26"/>
        </w:rPr>
        <w:t xml:space="preserve"> </w:t>
      </w:r>
      <w:r w:rsidR="00082B23" w:rsidRPr="00EB2A5A">
        <w:rPr>
          <w:sz w:val="26"/>
          <w:szCs w:val="26"/>
        </w:rPr>
        <w:t xml:space="preserve">and </w:t>
      </w:r>
      <w:r w:rsidR="002061A4" w:rsidRPr="00EB2A5A">
        <w:rPr>
          <w:sz w:val="26"/>
          <w:szCs w:val="26"/>
        </w:rPr>
        <w:t>modify</w:t>
      </w:r>
      <w:r w:rsidR="00727038">
        <w:rPr>
          <w:sz w:val="26"/>
          <w:szCs w:val="26"/>
        </w:rPr>
        <w:t xml:space="preserve"> the ALJ’s recommendation that denies NAWC’s request to increase the DSIC cap from 5% to </w:t>
      </w:r>
      <w:r w:rsidR="00EF618A">
        <w:rPr>
          <w:sz w:val="26"/>
          <w:szCs w:val="26"/>
        </w:rPr>
        <w:t>7.5</w:t>
      </w:r>
      <w:r w:rsidR="00727038">
        <w:rPr>
          <w:sz w:val="26"/>
          <w:szCs w:val="26"/>
        </w:rPr>
        <w:t xml:space="preserve">% of billed distribution revenues.  </w:t>
      </w:r>
    </w:p>
    <w:p w14:paraId="1E63108E" w14:textId="77777777" w:rsidR="001B7B91" w:rsidRDefault="001B7B91" w:rsidP="002F7DB7">
      <w:pPr>
        <w:widowControl/>
        <w:spacing w:line="360" w:lineRule="auto"/>
        <w:rPr>
          <w:sz w:val="26"/>
          <w:szCs w:val="26"/>
        </w:rPr>
      </w:pPr>
    </w:p>
    <w:p w14:paraId="597EDB8B" w14:textId="2F31E1CB" w:rsidR="001B7B91" w:rsidRDefault="001B7B91" w:rsidP="002F7DB7">
      <w:pPr>
        <w:widowControl/>
        <w:spacing w:line="360" w:lineRule="auto"/>
        <w:rPr>
          <w:sz w:val="26"/>
          <w:szCs w:val="26"/>
        </w:rPr>
      </w:pPr>
      <w:r>
        <w:rPr>
          <w:sz w:val="26"/>
          <w:szCs w:val="26"/>
        </w:rPr>
        <w:tab/>
      </w:r>
      <w:r>
        <w:rPr>
          <w:sz w:val="26"/>
          <w:szCs w:val="26"/>
        </w:rPr>
        <w:tab/>
        <w:t xml:space="preserve">With regard to NAWC’s Exception No. 1, the Company </w:t>
      </w:r>
      <w:r w:rsidR="00FB77D5">
        <w:rPr>
          <w:sz w:val="26"/>
          <w:szCs w:val="26"/>
        </w:rPr>
        <w:t xml:space="preserve">reiterates its position that the increase in </w:t>
      </w:r>
      <w:r w:rsidR="00B344DA">
        <w:rPr>
          <w:sz w:val="26"/>
          <w:szCs w:val="26"/>
        </w:rPr>
        <w:t>the DSIC cap is not a general rate case and</w:t>
      </w:r>
      <w:r w:rsidR="0083606C">
        <w:rPr>
          <w:sz w:val="26"/>
          <w:szCs w:val="26"/>
        </w:rPr>
        <w:t>,</w:t>
      </w:r>
      <w:r w:rsidR="00B344DA">
        <w:rPr>
          <w:sz w:val="26"/>
          <w:szCs w:val="26"/>
        </w:rPr>
        <w:t xml:space="preserve"> therefore, the </w:t>
      </w:r>
      <w:r w:rsidR="00B344DA">
        <w:rPr>
          <w:sz w:val="26"/>
          <w:szCs w:val="26"/>
        </w:rPr>
        <w:lastRenderedPageBreak/>
        <w:t xml:space="preserve">Company does not need to provide the same level of analysis as that required for a general rate increase.  </w:t>
      </w:r>
      <w:r w:rsidR="00B761DB">
        <w:rPr>
          <w:sz w:val="26"/>
          <w:szCs w:val="26"/>
        </w:rPr>
        <w:t>NAWC avers that the Commission should base its decision regarding the DSIC</w:t>
      </w:r>
      <w:r w:rsidR="002F759D">
        <w:rPr>
          <w:sz w:val="26"/>
          <w:szCs w:val="26"/>
        </w:rPr>
        <w:t>-</w:t>
      </w:r>
      <w:r w:rsidR="00B761DB">
        <w:rPr>
          <w:sz w:val="26"/>
          <w:szCs w:val="26"/>
        </w:rPr>
        <w:t xml:space="preserve">cap increase on the information provided by the Company in response to 52 Pa. Code § 53.52(b).  We disagree with the Company’s assertion that it has met </w:t>
      </w:r>
      <w:r w:rsidR="0083606C">
        <w:rPr>
          <w:sz w:val="26"/>
          <w:szCs w:val="26"/>
        </w:rPr>
        <w:t>its</w:t>
      </w:r>
      <w:r w:rsidR="00B761DB">
        <w:rPr>
          <w:sz w:val="26"/>
          <w:szCs w:val="26"/>
        </w:rPr>
        <w:t xml:space="preserve"> burden of proof.  </w:t>
      </w:r>
      <w:r w:rsidR="00FC429F">
        <w:rPr>
          <w:sz w:val="26"/>
          <w:szCs w:val="26"/>
        </w:rPr>
        <w:t>Rather, w</w:t>
      </w:r>
      <w:r w:rsidR="00B761DB">
        <w:rPr>
          <w:sz w:val="26"/>
          <w:szCs w:val="26"/>
        </w:rPr>
        <w:t xml:space="preserve">e concur with </w:t>
      </w:r>
      <w:r w:rsidR="00FC429F">
        <w:rPr>
          <w:sz w:val="26"/>
          <w:szCs w:val="26"/>
        </w:rPr>
        <w:t>the ALJ that the Company has failed to meet its burden of proof that the increase to the DSIC cap is necessary an</w:t>
      </w:r>
      <w:r w:rsidR="00417228">
        <w:rPr>
          <w:sz w:val="26"/>
          <w:szCs w:val="26"/>
        </w:rPr>
        <w:t>d</w:t>
      </w:r>
      <w:r w:rsidR="00FC429F">
        <w:rPr>
          <w:sz w:val="26"/>
          <w:szCs w:val="26"/>
        </w:rPr>
        <w:t xml:space="preserve"> in the public interest</w:t>
      </w:r>
      <w:r w:rsidR="00B761DB">
        <w:rPr>
          <w:sz w:val="26"/>
          <w:szCs w:val="26"/>
        </w:rPr>
        <w:t xml:space="preserve">. </w:t>
      </w:r>
      <w:r w:rsidR="00B344DA">
        <w:rPr>
          <w:sz w:val="26"/>
          <w:szCs w:val="26"/>
        </w:rPr>
        <w:t xml:space="preserve"> </w:t>
      </w:r>
      <w:r w:rsidR="00021E31">
        <w:rPr>
          <w:sz w:val="26"/>
          <w:szCs w:val="26"/>
        </w:rPr>
        <w:t xml:space="preserve">In light of the above, </w:t>
      </w:r>
      <w:r w:rsidR="00400E63">
        <w:rPr>
          <w:sz w:val="26"/>
          <w:szCs w:val="26"/>
        </w:rPr>
        <w:t xml:space="preserve">we shall deny </w:t>
      </w:r>
      <w:r w:rsidR="00021E31">
        <w:rPr>
          <w:sz w:val="26"/>
          <w:szCs w:val="26"/>
        </w:rPr>
        <w:t>NAWC’s Exception No. 1</w:t>
      </w:r>
      <w:r w:rsidR="00400E63">
        <w:rPr>
          <w:sz w:val="26"/>
          <w:szCs w:val="26"/>
        </w:rPr>
        <w:t>.</w:t>
      </w:r>
    </w:p>
    <w:p w14:paraId="72B95A08" w14:textId="77777777" w:rsidR="00021E31" w:rsidRDefault="00021E31" w:rsidP="002F7DB7">
      <w:pPr>
        <w:widowControl/>
        <w:spacing w:line="360" w:lineRule="auto"/>
        <w:rPr>
          <w:sz w:val="26"/>
          <w:szCs w:val="26"/>
        </w:rPr>
      </w:pPr>
    </w:p>
    <w:p w14:paraId="18109F99" w14:textId="044516DD" w:rsidR="003A4EE9" w:rsidRDefault="00021E31" w:rsidP="002F7DB7">
      <w:pPr>
        <w:widowControl/>
        <w:spacing w:line="360" w:lineRule="auto"/>
        <w:rPr>
          <w:sz w:val="26"/>
          <w:szCs w:val="26"/>
        </w:rPr>
      </w:pPr>
      <w:r>
        <w:rPr>
          <w:sz w:val="26"/>
          <w:szCs w:val="26"/>
        </w:rPr>
        <w:tab/>
      </w:r>
      <w:r>
        <w:rPr>
          <w:sz w:val="26"/>
          <w:szCs w:val="26"/>
        </w:rPr>
        <w:tab/>
        <w:t xml:space="preserve">With regard to NAWC’s Exception No. 2, the Company highlights </w:t>
      </w:r>
      <w:r w:rsidR="004347D4">
        <w:rPr>
          <w:sz w:val="26"/>
          <w:szCs w:val="26"/>
        </w:rPr>
        <w:t>four</w:t>
      </w:r>
      <w:r>
        <w:rPr>
          <w:sz w:val="26"/>
          <w:szCs w:val="26"/>
        </w:rPr>
        <w:t xml:space="preserve"> issues we shall address in detail.  First, NAWC argues that Section 1358(a)(2) </w:t>
      </w:r>
      <w:r w:rsidR="00455C2C">
        <w:rPr>
          <w:sz w:val="26"/>
          <w:szCs w:val="26"/>
        </w:rPr>
        <w:t>anticipates a DSIC cap of 7.5% for water utilities and that Supplement No. 126 is a simple tariff change allowed by statute to make the increase.  NAWC argues further that Act 11 recognizes that in exchange for the accelerated replacement of infrastructure in the Company’s LTIIP and provides justification for the DSIC</w:t>
      </w:r>
      <w:r w:rsidR="002F759D">
        <w:rPr>
          <w:sz w:val="26"/>
          <w:szCs w:val="26"/>
        </w:rPr>
        <w:t>-</w:t>
      </w:r>
      <w:r w:rsidR="00455C2C">
        <w:rPr>
          <w:sz w:val="26"/>
          <w:szCs w:val="26"/>
        </w:rPr>
        <w:t>cap increase to 7.5%.  The ALJ rejected this argument, stating</w:t>
      </w:r>
      <w:r w:rsidR="003A4EE9">
        <w:rPr>
          <w:sz w:val="26"/>
          <w:szCs w:val="26"/>
        </w:rPr>
        <w:t xml:space="preserve"> that</w:t>
      </w:r>
      <w:r w:rsidR="00455C2C">
        <w:rPr>
          <w:sz w:val="26"/>
          <w:szCs w:val="26"/>
        </w:rPr>
        <w:t xml:space="preserve"> the DSIC</w:t>
      </w:r>
      <w:r w:rsidR="002F759D">
        <w:rPr>
          <w:sz w:val="26"/>
          <w:szCs w:val="26"/>
        </w:rPr>
        <w:t>-</w:t>
      </w:r>
      <w:r w:rsidR="00455C2C">
        <w:rPr>
          <w:sz w:val="26"/>
          <w:szCs w:val="26"/>
        </w:rPr>
        <w:t xml:space="preserve">cap increase “is not an automatic entitlement and does come with limitations.”  R.D. at 26.  </w:t>
      </w:r>
      <w:r w:rsidR="003A4EE9">
        <w:rPr>
          <w:sz w:val="26"/>
          <w:szCs w:val="26"/>
        </w:rPr>
        <w:t xml:space="preserve">We agree with the ALJ and </w:t>
      </w:r>
      <w:r w:rsidR="00A063D6">
        <w:rPr>
          <w:sz w:val="26"/>
          <w:szCs w:val="26"/>
        </w:rPr>
        <w:t xml:space="preserve">the </w:t>
      </w:r>
      <w:r w:rsidR="003A4EE9">
        <w:rPr>
          <w:sz w:val="26"/>
          <w:szCs w:val="26"/>
        </w:rPr>
        <w:t>OCA that Section 1358(a)(2) does not establish that a 7.5% DSIC for all water utilities is presumptively reasonable.  R. Exc. at 4.</w:t>
      </w:r>
    </w:p>
    <w:p w14:paraId="5B442A14" w14:textId="77777777" w:rsidR="00FF5F8B" w:rsidRPr="00FF5F8B" w:rsidRDefault="00FF5F8B" w:rsidP="002F7DB7">
      <w:pPr>
        <w:widowControl/>
        <w:spacing w:line="360" w:lineRule="auto"/>
        <w:rPr>
          <w:sz w:val="26"/>
          <w:szCs w:val="26"/>
        </w:rPr>
      </w:pPr>
    </w:p>
    <w:p w14:paraId="50C77BCF" w14:textId="2388070F" w:rsidR="003A4EE9" w:rsidRDefault="003A4EE9" w:rsidP="002F7DB7">
      <w:pPr>
        <w:widowControl/>
        <w:spacing w:line="360" w:lineRule="auto"/>
        <w:rPr>
          <w:sz w:val="26"/>
          <w:szCs w:val="26"/>
        </w:rPr>
      </w:pPr>
      <w:r>
        <w:rPr>
          <w:sz w:val="26"/>
          <w:szCs w:val="26"/>
        </w:rPr>
        <w:tab/>
      </w:r>
      <w:r w:rsidR="00EF618A">
        <w:rPr>
          <w:sz w:val="26"/>
          <w:szCs w:val="26"/>
        </w:rPr>
        <w:tab/>
      </w:r>
      <w:r>
        <w:rPr>
          <w:sz w:val="26"/>
          <w:szCs w:val="26"/>
        </w:rPr>
        <w:t>Secondly, the Company notes that the Commission has approved DSIC</w:t>
      </w:r>
      <w:r w:rsidR="002F759D">
        <w:rPr>
          <w:sz w:val="26"/>
          <w:szCs w:val="26"/>
        </w:rPr>
        <w:t>-</w:t>
      </w:r>
      <w:r>
        <w:rPr>
          <w:sz w:val="26"/>
          <w:szCs w:val="26"/>
        </w:rPr>
        <w:t>cap increases for United, Aqua and PAWC.  NAWC goes further to state that “based on the Commission</w:t>
      </w:r>
      <w:r w:rsidR="00EF618A">
        <w:rPr>
          <w:sz w:val="26"/>
          <w:szCs w:val="26"/>
        </w:rPr>
        <w:t>’</w:t>
      </w:r>
      <w:r>
        <w:rPr>
          <w:sz w:val="26"/>
          <w:szCs w:val="26"/>
        </w:rPr>
        <w:t xml:space="preserve">s prior approvals, a water </w:t>
      </w:r>
      <w:r w:rsidR="00A008C2">
        <w:rPr>
          <w:sz w:val="26"/>
          <w:szCs w:val="26"/>
        </w:rPr>
        <w:t>utility</w:t>
      </w:r>
      <w:r>
        <w:rPr>
          <w:sz w:val="26"/>
          <w:szCs w:val="26"/>
        </w:rPr>
        <w:t xml:space="preserve"> request to increase its DSIC cap to 7.5% is not even controversial</w:t>
      </w:r>
      <w:r w:rsidR="00A008C2">
        <w:rPr>
          <w:sz w:val="26"/>
          <w:szCs w:val="26"/>
        </w:rPr>
        <w:t xml:space="preserve"> and the Commission has never rejected a request by a water utility to increase its DSIC cap from 5% to 7.5%.</w:t>
      </w:r>
      <w:r>
        <w:rPr>
          <w:sz w:val="26"/>
          <w:szCs w:val="26"/>
        </w:rPr>
        <w:t xml:space="preserve">  Exc. at 8.  </w:t>
      </w:r>
      <w:r w:rsidR="00A008C2">
        <w:rPr>
          <w:sz w:val="26"/>
          <w:szCs w:val="26"/>
        </w:rPr>
        <w:t xml:space="preserve">The ALJ noted that the </w:t>
      </w:r>
      <w:r w:rsidR="00A008C2" w:rsidRPr="007818BA">
        <w:rPr>
          <w:i/>
          <w:sz w:val="26"/>
          <w:szCs w:val="26"/>
        </w:rPr>
        <w:t>Final Implementation Order</w:t>
      </w:r>
      <w:r w:rsidR="00A008C2">
        <w:rPr>
          <w:sz w:val="26"/>
          <w:szCs w:val="26"/>
        </w:rPr>
        <w:t xml:space="preserve"> addressed previously granted 7.5% DSIC caps for certain water utilities.  But in th</w:t>
      </w:r>
      <w:r w:rsidR="0038218A">
        <w:rPr>
          <w:sz w:val="26"/>
          <w:szCs w:val="26"/>
        </w:rPr>
        <w:t>o</w:t>
      </w:r>
      <w:r w:rsidR="00A008C2">
        <w:rPr>
          <w:sz w:val="26"/>
          <w:szCs w:val="26"/>
        </w:rPr>
        <w:t xml:space="preserve">se cases, the increase over the then-current DSIC cap was necessary and in the public interest.  </w:t>
      </w:r>
      <w:r w:rsidR="00280B64">
        <w:rPr>
          <w:sz w:val="26"/>
          <w:szCs w:val="26"/>
        </w:rPr>
        <w:t>In each of th</w:t>
      </w:r>
      <w:r w:rsidR="00CA382D">
        <w:rPr>
          <w:sz w:val="26"/>
          <w:szCs w:val="26"/>
        </w:rPr>
        <w:t>o</w:t>
      </w:r>
      <w:r w:rsidR="00280B64">
        <w:rPr>
          <w:sz w:val="26"/>
          <w:szCs w:val="26"/>
        </w:rPr>
        <w:t xml:space="preserve">se other cases, the Company had demonstrated that infrastructure replacement would be accelerated. </w:t>
      </w:r>
      <w:r w:rsidR="00E93C69">
        <w:rPr>
          <w:sz w:val="26"/>
          <w:szCs w:val="26"/>
        </w:rPr>
        <w:t xml:space="preserve"> </w:t>
      </w:r>
      <w:r w:rsidR="00A008C2">
        <w:rPr>
          <w:sz w:val="26"/>
          <w:szCs w:val="26"/>
        </w:rPr>
        <w:t xml:space="preserve">The ALJ found that NAWC </w:t>
      </w:r>
      <w:r w:rsidR="002A7208">
        <w:rPr>
          <w:sz w:val="26"/>
          <w:szCs w:val="26"/>
        </w:rPr>
        <w:t>di</w:t>
      </w:r>
      <w:r w:rsidR="00A008C2">
        <w:rPr>
          <w:sz w:val="26"/>
          <w:szCs w:val="26"/>
        </w:rPr>
        <w:t xml:space="preserve">d not </w:t>
      </w:r>
      <w:r w:rsidR="00A008C2">
        <w:rPr>
          <w:sz w:val="26"/>
          <w:szCs w:val="26"/>
        </w:rPr>
        <w:lastRenderedPageBreak/>
        <w:t>demonstrate that the D</w:t>
      </w:r>
      <w:r w:rsidR="002A7208">
        <w:rPr>
          <w:sz w:val="26"/>
          <w:szCs w:val="26"/>
        </w:rPr>
        <w:t>SI</w:t>
      </w:r>
      <w:r w:rsidR="00A008C2">
        <w:rPr>
          <w:sz w:val="26"/>
          <w:szCs w:val="26"/>
        </w:rPr>
        <w:t>C</w:t>
      </w:r>
      <w:r w:rsidR="002F759D">
        <w:rPr>
          <w:sz w:val="26"/>
          <w:szCs w:val="26"/>
        </w:rPr>
        <w:t>-</w:t>
      </w:r>
      <w:r w:rsidR="00A008C2">
        <w:rPr>
          <w:sz w:val="26"/>
          <w:szCs w:val="26"/>
        </w:rPr>
        <w:t xml:space="preserve">cap increase was necessary or in the public interest.  </w:t>
      </w:r>
      <w:r w:rsidR="00AC1043">
        <w:rPr>
          <w:sz w:val="26"/>
          <w:szCs w:val="26"/>
        </w:rPr>
        <w:t>R.D. at</w:t>
      </w:r>
      <w:r w:rsidR="002F759D">
        <w:rPr>
          <w:sz w:val="26"/>
          <w:szCs w:val="26"/>
        </w:rPr>
        <w:t> </w:t>
      </w:r>
      <w:r w:rsidR="00AC1043">
        <w:rPr>
          <w:sz w:val="26"/>
          <w:szCs w:val="26"/>
        </w:rPr>
        <w:t>27-31.</w:t>
      </w:r>
    </w:p>
    <w:p w14:paraId="34FF5E46" w14:textId="77777777" w:rsidR="0038218A" w:rsidRDefault="0038218A" w:rsidP="002F7DB7">
      <w:pPr>
        <w:widowControl/>
        <w:spacing w:line="360" w:lineRule="auto"/>
        <w:rPr>
          <w:sz w:val="26"/>
          <w:szCs w:val="26"/>
        </w:rPr>
      </w:pPr>
    </w:p>
    <w:p w14:paraId="721A382B" w14:textId="635205DB" w:rsidR="0097029C" w:rsidRDefault="00865A85" w:rsidP="002F7DB7">
      <w:pPr>
        <w:widowControl/>
        <w:spacing w:line="360" w:lineRule="auto"/>
        <w:rPr>
          <w:sz w:val="26"/>
          <w:szCs w:val="26"/>
        </w:rPr>
      </w:pPr>
      <w:r>
        <w:rPr>
          <w:sz w:val="26"/>
          <w:szCs w:val="26"/>
        </w:rPr>
        <w:tab/>
      </w:r>
      <w:r>
        <w:rPr>
          <w:sz w:val="26"/>
          <w:szCs w:val="26"/>
        </w:rPr>
        <w:tab/>
      </w:r>
      <w:r w:rsidR="004347D4">
        <w:rPr>
          <w:sz w:val="26"/>
          <w:szCs w:val="26"/>
        </w:rPr>
        <w:t xml:space="preserve">Thirdly, </w:t>
      </w:r>
      <w:r>
        <w:rPr>
          <w:sz w:val="26"/>
          <w:szCs w:val="26"/>
        </w:rPr>
        <w:t>NAWC argue</w:t>
      </w:r>
      <w:r w:rsidR="00280B64">
        <w:rPr>
          <w:sz w:val="26"/>
          <w:szCs w:val="26"/>
        </w:rPr>
        <w:t>s</w:t>
      </w:r>
      <w:r>
        <w:rPr>
          <w:sz w:val="26"/>
          <w:szCs w:val="26"/>
        </w:rPr>
        <w:t xml:space="preserve"> that its LTIIP has accelerated infrastructure replacement efforts, noting that its current LTIIP projected annual expenditures are more than double the level of historic annual expenditures and a clear and significant acceleration of infrastructure replacement.  </w:t>
      </w:r>
      <w:r w:rsidR="004347D4">
        <w:rPr>
          <w:sz w:val="26"/>
          <w:szCs w:val="26"/>
        </w:rPr>
        <w:t xml:space="preserve">Exc. at 12.  </w:t>
      </w:r>
      <w:r w:rsidR="00E01C96">
        <w:rPr>
          <w:sz w:val="26"/>
          <w:szCs w:val="26"/>
        </w:rPr>
        <w:t xml:space="preserve">The ALJ noted that the Company has no plans to deviate from its planned LTIIP compliance schedule </w:t>
      </w:r>
      <w:r w:rsidR="005A57F0">
        <w:rPr>
          <w:sz w:val="26"/>
          <w:szCs w:val="26"/>
        </w:rPr>
        <w:t xml:space="preserve">regardless of </w:t>
      </w:r>
      <w:r w:rsidR="00E01C96">
        <w:rPr>
          <w:sz w:val="26"/>
          <w:szCs w:val="26"/>
        </w:rPr>
        <w:t>the DSIC</w:t>
      </w:r>
      <w:r w:rsidR="002F759D">
        <w:rPr>
          <w:sz w:val="26"/>
          <w:szCs w:val="26"/>
        </w:rPr>
        <w:t>-</w:t>
      </w:r>
      <w:r w:rsidR="00E01C96">
        <w:rPr>
          <w:sz w:val="26"/>
          <w:szCs w:val="26"/>
        </w:rPr>
        <w:t xml:space="preserve">cap </w:t>
      </w:r>
      <w:r w:rsidR="005A57F0">
        <w:rPr>
          <w:sz w:val="26"/>
          <w:szCs w:val="26"/>
        </w:rPr>
        <w:t xml:space="preserve">rate.  </w:t>
      </w:r>
      <w:r w:rsidR="00AC73DC">
        <w:rPr>
          <w:sz w:val="26"/>
          <w:szCs w:val="26"/>
        </w:rPr>
        <w:t>R.D. at 27.</w:t>
      </w:r>
    </w:p>
    <w:p w14:paraId="760743A4" w14:textId="77777777" w:rsidR="007847CB" w:rsidRDefault="007847CB" w:rsidP="002F7DB7">
      <w:pPr>
        <w:widowControl/>
        <w:spacing w:line="360" w:lineRule="auto"/>
        <w:rPr>
          <w:sz w:val="26"/>
          <w:szCs w:val="26"/>
        </w:rPr>
      </w:pPr>
    </w:p>
    <w:p w14:paraId="72E9B7FD" w14:textId="4AD0A4D0" w:rsidR="0097029C" w:rsidRDefault="00280B64" w:rsidP="002F7DB7">
      <w:pPr>
        <w:widowControl/>
        <w:spacing w:line="360" w:lineRule="auto"/>
        <w:rPr>
          <w:sz w:val="26"/>
          <w:szCs w:val="26"/>
        </w:rPr>
      </w:pPr>
      <w:r>
        <w:rPr>
          <w:sz w:val="26"/>
          <w:szCs w:val="26"/>
        </w:rPr>
        <w:tab/>
      </w:r>
      <w:r>
        <w:rPr>
          <w:sz w:val="26"/>
          <w:szCs w:val="26"/>
        </w:rPr>
        <w:tab/>
      </w:r>
      <w:r w:rsidR="00096F13">
        <w:rPr>
          <w:sz w:val="26"/>
          <w:szCs w:val="26"/>
        </w:rPr>
        <w:t>Finally</w:t>
      </w:r>
      <w:r w:rsidR="0097029C">
        <w:rPr>
          <w:sz w:val="26"/>
          <w:szCs w:val="26"/>
        </w:rPr>
        <w:t xml:space="preserve">, </w:t>
      </w:r>
      <w:r w:rsidR="00E01C96">
        <w:rPr>
          <w:sz w:val="26"/>
          <w:szCs w:val="26"/>
        </w:rPr>
        <w:t xml:space="preserve">NAWC </w:t>
      </w:r>
      <w:r>
        <w:rPr>
          <w:sz w:val="26"/>
          <w:szCs w:val="26"/>
        </w:rPr>
        <w:t xml:space="preserve">avers that the increase will reduce the frequency of base rate cases.  </w:t>
      </w:r>
      <w:r w:rsidR="00E01C96">
        <w:rPr>
          <w:sz w:val="26"/>
          <w:szCs w:val="26"/>
        </w:rPr>
        <w:t>Exc. at 12-17.</w:t>
      </w:r>
    </w:p>
    <w:p w14:paraId="0B44542F" w14:textId="77777777" w:rsidR="0097029C" w:rsidRDefault="0097029C" w:rsidP="002F7DB7">
      <w:pPr>
        <w:widowControl/>
        <w:spacing w:line="360" w:lineRule="auto"/>
        <w:rPr>
          <w:sz w:val="26"/>
          <w:szCs w:val="26"/>
        </w:rPr>
      </w:pPr>
    </w:p>
    <w:p w14:paraId="575E3882" w14:textId="5F919413" w:rsidR="00C91F44" w:rsidRDefault="0038254A" w:rsidP="002F7DB7">
      <w:pPr>
        <w:widowControl/>
        <w:spacing w:line="360" w:lineRule="auto"/>
        <w:rPr>
          <w:sz w:val="26"/>
          <w:szCs w:val="26"/>
        </w:rPr>
      </w:pPr>
      <w:r>
        <w:rPr>
          <w:sz w:val="26"/>
          <w:szCs w:val="26"/>
        </w:rPr>
        <w:tab/>
      </w:r>
      <w:r>
        <w:rPr>
          <w:sz w:val="26"/>
          <w:szCs w:val="26"/>
        </w:rPr>
        <w:tab/>
      </w:r>
      <w:r w:rsidR="001259C6">
        <w:rPr>
          <w:sz w:val="26"/>
          <w:szCs w:val="26"/>
        </w:rPr>
        <w:t xml:space="preserve">We disagree with the Company’s </w:t>
      </w:r>
      <w:r w:rsidR="00C91F44">
        <w:rPr>
          <w:sz w:val="26"/>
          <w:szCs w:val="26"/>
        </w:rPr>
        <w:t xml:space="preserve">argument </w:t>
      </w:r>
      <w:r w:rsidR="00280B64">
        <w:rPr>
          <w:sz w:val="26"/>
          <w:szCs w:val="26"/>
        </w:rPr>
        <w:t xml:space="preserve">regarding the filing of a base rate case.  </w:t>
      </w:r>
      <w:r w:rsidR="00C91F44">
        <w:rPr>
          <w:sz w:val="26"/>
          <w:szCs w:val="26"/>
        </w:rPr>
        <w:t xml:space="preserve">NAWC last filed a rate case in 2011.  We agree with </w:t>
      </w:r>
      <w:r w:rsidR="00FF5F8B">
        <w:rPr>
          <w:sz w:val="26"/>
          <w:szCs w:val="26"/>
        </w:rPr>
        <w:t xml:space="preserve">the </w:t>
      </w:r>
      <w:r w:rsidR="00C91F44">
        <w:rPr>
          <w:sz w:val="26"/>
          <w:szCs w:val="26"/>
        </w:rPr>
        <w:t>OCA that the Company has other means to address the</w:t>
      </w:r>
      <w:r w:rsidR="00F00756">
        <w:rPr>
          <w:sz w:val="26"/>
          <w:szCs w:val="26"/>
        </w:rPr>
        <w:t xml:space="preserve"> potential </w:t>
      </w:r>
      <w:r w:rsidR="00AC73DC">
        <w:rPr>
          <w:sz w:val="26"/>
          <w:szCs w:val="26"/>
        </w:rPr>
        <w:t xml:space="preserve">regulatory lag in the </w:t>
      </w:r>
      <w:r w:rsidR="00C91F44">
        <w:rPr>
          <w:sz w:val="26"/>
          <w:szCs w:val="26"/>
        </w:rPr>
        <w:t xml:space="preserve">financing of the LTIIP improvements.  </w:t>
      </w:r>
      <w:r w:rsidR="00FF5F8B">
        <w:rPr>
          <w:sz w:val="26"/>
          <w:szCs w:val="26"/>
        </w:rPr>
        <w:t xml:space="preserve">The </w:t>
      </w:r>
      <w:r w:rsidR="00AC73DC">
        <w:rPr>
          <w:sz w:val="26"/>
          <w:szCs w:val="26"/>
        </w:rPr>
        <w:t>OCA notes that NAWC has a Purchased Water Adjustment Claus</w:t>
      </w:r>
      <w:r w:rsidR="0097029C">
        <w:rPr>
          <w:sz w:val="26"/>
          <w:szCs w:val="26"/>
        </w:rPr>
        <w:t>e</w:t>
      </w:r>
      <w:r w:rsidR="00AC73DC">
        <w:rPr>
          <w:sz w:val="26"/>
          <w:szCs w:val="26"/>
        </w:rPr>
        <w:t xml:space="preserve"> through w</w:t>
      </w:r>
      <w:r w:rsidR="00F00756">
        <w:rPr>
          <w:sz w:val="26"/>
          <w:szCs w:val="26"/>
        </w:rPr>
        <w:t>hich</w:t>
      </w:r>
      <w:r w:rsidR="00AC73DC">
        <w:rPr>
          <w:sz w:val="26"/>
          <w:szCs w:val="26"/>
        </w:rPr>
        <w:t xml:space="preserve"> it automatically </w:t>
      </w:r>
      <w:r w:rsidR="00F00756">
        <w:rPr>
          <w:sz w:val="26"/>
          <w:szCs w:val="26"/>
        </w:rPr>
        <w:t>recovers</w:t>
      </w:r>
      <w:r w:rsidR="00AC73DC">
        <w:rPr>
          <w:sz w:val="26"/>
          <w:szCs w:val="26"/>
        </w:rPr>
        <w:t xml:space="preserve"> approximately one-third of its annual operating expenses without </w:t>
      </w:r>
      <w:r w:rsidR="00F00756">
        <w:rPr>
          <w:sz w:val="26"/>
          <w:szCs w:val="26"/>
        </w:rPr>
        <w:t>f</w:t>
      </w:r>
      <w:r w:rsidR="00AC73DC">
        <w:rPr>
          <w:sz w:val="26"/>
          <w:szCs w:val="26"/>
        </w:rPr>
        <w:t xml:space="preserve">iling a base rate case.  </w:t>
      </w:r>
      <w:r w:rsidR="00FF5F8B">
        <w:rPr>
          <w:sz w:val="26"/>
          <w:szCs w:val="26"/>
        </w:rPr>
        <w:t xml:space="preserve">The </w:t>
      </w:r>
      <w:r w:rsidR="00AC73DC">
        <w:rPr>
          <w:sz w:val="26"/>
          <w:szCs w:val="26"/>
        </w:rPr>
        <w:t xml:space="preserve">OCA </w:t>
      </w:r>
      <w:r w:rsidR="00F00756">
        <w:rPr>
          <w:sz w:val="26"/>
          <w:szCs w:val="26"/>
        </w:rPr>
        <w:t xml:space="preserve">also </w:t>
      </w:r>
      <w:r w:rsidR="00360AF9">
        <w:rPr>
          <w:sz w:val="26"/>
          <w:szCs w:val="26"/>
        </w:rPr>
        <w:t xml:space="preserve">suggests </w:t>
      </w:r>
      <w:r w:rsidR="00AC73DC">
        <w:rPr>
          <w:sz w:val="26"/>
          <w:szCs w:val="26"/>
        </w:rPr>
        <w:t xml:space="preserve">that the </w:t>
      </w:r>
      <w:r w:rsidR="00F00756">
        <w:rPr>
          <w:sz w:val="26"/>
          <w:szCs w:val="26"/>
        </w:rPr>
        <w:t>Company</w:t>
      </w:r>
      <w:r w:rsidR="00AC73DC">
        <w:rPr>
          <w:sz w:val="26"/>
          <w:szCs w:val="26"/>
        </w:rPr>
        <w:t xml:space="preserve"> can utili</w:t>
      </w:r>
      <w:r w:rsidR="00F00756">
        <w:rPr>
          <w:sz w:val="26"/>
          <w:szCs w:val="26"/>
        </w:rPr>
        <w:t>ze</w:t>
      </w:r>
      <w:r w:rsidR="00AC73DC">
        <w:rPr>
          <w:sz w:val="26"/>
          <w:szCs w:val="26"/>
        </w:rPr>
        <w:t xml:space="preserve"> a fully forecasted future test year, which allows for prospective inclusion of distribution </w:t>
      </w:r>
      <w:r w:rsidR="00F00756">
        <w:rPr>
          <w:sz w:val="26"/>
          <w:szCs w:val="26"/>
        </w:rPr>
        <w:t>system</w:t>
      </w:r>
      <w:r w:rsidR="00AC73DC">
        <w:rPr>
          <w:sz w:val="26"/>
          <w:szCs w:val="26"/>
        </w:rPr>
        <w:t xml:space="preserve"> improvement costs in rate base.  </w:t>
      </w:r>
      <w:r w:rsidR="00F00756">
        <w:rPr>
          <w:sz w:val="26"/>
          <w:szCs w:val="26"/>
        </w:rPr>
        <w:t xml:space="preserve">OCA M.B at 13.  </w:t>
      </w:r>
      <w:r w:rsidR="00FF5F8B">
        <w:rPr>
          <w:sz w:val="26"/>
          <w:szCs w:val="26"/>
        </w:rPr>
        <w:t xml:space="preserve">Regarding NAWC’s argument that the </w:t>
      </w:r>
      <w:r w:rsidR="001B26D8">
        <w:rPr>
          <w:sz w:val="26"/>
          <w:szCs w:val="26"/>
        </w:rPr>
        <w:t>Commission should approve its waiver request because the Commission approved DSIC</w:t>
      </w:r>
      <w:r w:rsidR="002F759D">
        <w:rPr>
          <w:sz w:val="26"/>
          <w:szCs w:val="26"/>
        </w:rPr>
        <w:t>-</w:t>
      </w:r>
      <w:r w:rsidR="001B26D8">
        <w:rPr>
          <w:sz w:val="26"/>
          <w:szCs w:val="26"/>
        </w:rPr>
        <w:t>cap increases for United, Aqua and PAWC, we note that the approval of a DSIC</w:t>
      </w:r>
      <w:r w:rsidR="002F759D">
        <w:rPr>
          <w:sz w:val="26"/>
          <w:szCs w:val="26"/>
        </w:rPr>
        <w:t>-</w:t>
      </w:r>
      <w:r w:rsidR="001B26D8">
        <w:rPr>
          <w:sz w:val="26"/>
          <w:szCs w:val="26"/>
        </w:rPr>
        <w:t>cap waiver is done on a case-by-case bas</w:t>
      </w:r>
      <w:r w:rsidR="00781E9C">
        <w:rPr>
          <w:sz w:val="26"/>
          <w:szCs w:val="26"/>
        </w:rPr>
        <w:t>is</w:t>
      </w:r>
      <w:r w:rsidR="001B26D8">
        <w:rPr>
          <w:sz w:val="26"/>
          <w:szCs w:val="26"/>
        </w:rPr>
        <w:t xml:space="preserve"> after </w:t>
      </w:r>
      <w:r w:rsidR="001B26D8">
        <w:rPr>
          <w:sz w:val="26"/>
          <w:szCs w:val="26"/>
        </w:rPr>
        <w:lastRenderedPageBreak/>
        <w:t>consideration of all the evidence in the record.</w:t>
      </w:r>
      <w:r w:rsidR="001B26D8">
        <w:rPr>
          <w:rStyle w:val="FootnoteReference"/>
          <w:sz w:val="26"/>
          <w:szCs w:val="26"/>
        </w:rPr>
        <w:footnoteReference w:id="16"/>
      </w:r>
      <w:r w:rsidR="001B26D8">
        <w:rPr>
          <w:sz w:val="26"/>
          <w:szCs w:val="26"/>
        </w:rPr>
        <w:t xml:space="preserve">  </w:t>
      </w:r>
      <w:r w:rsidR="00781E9C">
        <w:rPr>
          <w:sz w:val="26"/>
          <w:szCs w:val="26"/>
        </w:rPr>
        <w:t xml:space="preserve">We are of the opinion that </w:t>
      </w:r>
      <w:r w:rsidR="00C91F44">
        <w:rPr>
          <w:sz w:val="26"/>
          <w:szCs w:val="26"/>
        </w:rPr>
        <w:t xml:space="preserve">NAWC failed to provide sufficient evidence </w:t>
      </w:r>
      <w:r w:rsidR="001B26D8">
        <w:rPr>
          <w:sz w:val="26"/>
          <w:szCs w:val="26"/>
        </w:rPr>
        <w:t xml:space="preserve">in the instant proceeding </w:t>
      </w:r>
      <w:r w:rsidR="00C91F44">
        <w:rPr>
          <w:sz w:val="26"/>
          <w:szCs w:val="26"/>
        </w:rPr>
        <w:t>to demonstrate that an increase beyond the currently approved 5% DSIC cap is warranted</w:t>
      </w:r>
      <w:r w:rsidR="00781E9C">
        <w:rPr>
          <w:sz w:val="26"/>
          <w:szCs w:val="26"/>
        </w:rPr>
        <w:t>.  For this reason, w</w:t>
      </w:r>
      <w:r w:rsidR="00C91F44">
        <w:rPr>
          <w:sz w:val="26"/>
          <w:szCs w:val="26"/>
        </w:rPr>
        <w:t xml:space="preserve">e shall also deny </w:t>
      </w:r>
      <w:r w:rsidR="0092505E">
        <w:rPr>
          <w:sz w:val="26"/>
          <w:szCs w:val="26"/>
        </w:rPr>
        <w:t>NAWC’s</w:t>
      </w:r>
      <w:r w:rsidR="00C91F44">
        <w:rPr>
          <w:sz w:val="26"/>
          <w:szCs w:val="26"/>
        </w:rPr>
        <w:t xml:space="preserve"> second Exception.</w:t>
      </w:r>
    </w:p>
    <w:p w14:paraId="6EEA802E" w14:textId="215099C6" w:rsidR="00AF05DB" w:rsidRDefault="00AF05DB" w:rsidP="002F7DB7">
      <w:pPr>
        <w:widowControl/>
        <w:spacing w:line="360" w:lineRule="auto"/>
        <w:rPr>
          <w:sz w:val="26"/>
          <w:szCs w:val="26"/>
        </w:rPr>
      </w:pPr>
    </w:p>
    <w:p w14:paraId="01810DCD" w14:textId="36C2F365" w:rsidR="00AF05DB" w:rsidRPr="00EB2A5A" w:rsidRDefault="00AF05DB" w:rsidP="00AF05DB">
      <w:pPr>
        <w:widowControl/>
        <w:spacing w:line="360" w:lineRule="auto"/>
        <w:rPr>
          <w:sz w:val="26"/>
          <w:szCs w:val="26"/>
        </w:rPr>
      </w:pPr>
      <w:r w:rsidRPr="00EB2A5A">
        <w:rPr>
          <w:sz w:val="26"/>
          <w:szCs w:val="26"/>
        </w:rPr>
        <w:tab/>
      </w:r>
      <w:r w:rsidRPr="00EB2A5A">
        <w:rPr>
          <w:sz w:val="26"/>
          <w:szCs w:val="26"/>
        </w:rPr>
        <w:tab/>
        <w:t xml:space="preserve">We note, however, that after the record closed in this case, NAWC filed its </w:t>
      </w:r>
      <w:r w:rsidRPr="00EB2A5A">
        <w:rPr>
          <w:i/>
          <w:sz w:val="26"/>
          <w:szCs w:val="26"/>
        </w:rPr>
        <w:t xml:space="preserve">January 2018 DSIC Quarterly </w:t>
      </w:r>
      <w:r w:rsidR="00A8669C">
        <w:rPr>
          <w:i/>
          <w:sz w:val="26"/>
          <w:szCs w:val="26"/>
        </w:rPr>
        <w:t>F</w:t>
      </w:r>
      <w:r w:rsidRPr="00EB2A5A">
        <w:rPr>
          <w:i/>
          <w:sz w:val="26"/>
          <w:szCs w:val="26"/>
        </w:rPr>
        <w:t>iling</w:t>
      </w:r>
      <w:r w:rsidRPr="00EB2A5A">
        <w:rPr>
          <w:sz w:val="26"/>
          <w:szCs w:val="26"/>
        </w:rPr>
        <w:t xml:space="preserve"> stating that it had exceeded the 5% cap and that its expenditures had already reached 5.44%.  Although </w:t>
      </w:r>
      <w:r w:rsidR="001F6FBD" w:rsidRPr="00EB2A5A">
        <w:rPr>
          <w:sz w:val="26"/>
          <w:szCs w:val="26"/>
        </w:rPr>
        <w:t>t</w:t>
      </w:r>
      <w:r w:rsidRPr="00EB2A5A">
        <w:rPr>
          <w:sz w:val="26"/>
          <w:szCs w:val="26"/>
        </w:rPr>
        <w:t>h</w:t>
      </w:r>
      <w:r w:rsidR="00365369">
        <w:rPr>
          <w:sz w:val="26"/>
          <w:szCs w:val="26"/>
        </w:rPr>
        <w:t xml:space="preserve">e </w:t>
      </w:r>
      <w:r w:rsidR="00365369" w:rsidRPr="00EB2A5A">
        <w:rPr>
          <w:i/>
          <w:sz w:val="26"/>
          <w:szCs w:val="26"/>
        </w:rPr>
        <w:t xml:space="preserve">January 2018 DSIC Quarterly </w:t>
      </w:r>
      <w:r w:rsidR="00365369">
        <w:rPr>
          <w:i/>
          <w:sz w:val="26"/>
          <w:szCs w:val="26"/>
        </w:rPr>
        <w:t>F</w:t>
      </w:r>
      <w:r w:rsidR="00365369" w:rsidRPr="00EB2A5A">
        <w:rPr>
          <w:i/>
          <w:sz w:val="26"/>
          <w:szCs w:val="26"/>
        </w:rPr>
        <w:t>iling</w:t>
      </w:r>
      <w:r w:rsidR="00365369" w:rsidRPr="00EB2A5A">
        <w:rPr>
          <w:sz w:val="26"/>
          <w:szCs w:val="26"/>
        </w:rPr>
        <w:t xml:space="preserve"> </w:t>
      </w:r>
      <w:r w:rsidRPr="00EB2A5A">
        <w:rPr>
          <w:sz w:val="26"/>
          <w:szCs w:val="26"/>
        </w:rPr>
        <w:t>was not available to be included in the evidentiary record</w:t>
      </w:r>
      <w:r w:rsidR="00365369">
        <w:rPr>
          <w:sz w:val="26"/>
          <w:szCs w:val="26"/>
        </w:rPr>
        <w:t xml:space="preserve"> of this proceeding</w:t>
      </w:r>
      <w:r w:rsidRPr="00EB2A5A">
        <w:rPr>
          <w:sz w:val="26"/>
          <w:szCs w:val="26"/>
        </w:rPr>
        <w:t>, th</w:t>
      </w:r>
      <w:r w:rsidR="001F6FBD" w:rsidRPr="00EB2A5A">
        <w:rPr>
          <w:sz w:val="26"/>
          <w:szCs w:val="26"/>
        </w:rPr>
        <w:t>e</w:t>
      </w:r>
      <w:r w:rsidRPr="00EB2A5A">
        <w:rPr>
          <w:sz w:val="26"/>
          <w:szCs w:val="26"/>
        </w:rPr>
        <w:t xml:space="preserve"> information</w:t>
      </w:r>
      <w:r w:rsidR="00250FDE" w:rsidRPr="00EB2A5A">
        <w:rPr>
          <w:sz w:val="26"/>
          <w:szCs w:val="26"/>
        </w:rPr>
        <w:t xml:space="preserve"> contained in it</w:t>
      </w:r>
      <w:r w:rsidR="001F6FBD" w:rsidRPr="00EB2A5A">
        <w:rPr>
          <w:sz w:val="26"/>
          <w:szCs w:val="26"/>
        </w:rPr>
        <w:t xml:space="preserve"> </w:t>
      </w:r>
      <w:r w:rsidRPr="00EB2A5A">
        <w:rPr>
          <w:sz w:val="26"/>
          <w:szCs w:val="26"/>
        </w:rPr>
        <w:t xml:space="preserve">may prove to be relevant to the disposition of this matter.  We </w:t>
      </w:r>
      <w:r w:rsidR="001F6FBD" w:rsidRPr="00EB2A5A">
        <w:rPr>
          <w:sz w:val="26"/>
          <w:szCs w:val="26"/>
        </w:rPr>
        <w:t xml:space="preserve">also </w:t>
      </w:r>
      <w:r w:rsidRPr="00EB2A5A">
        <w:rPr>
          <w:sz w:val="26"/>
          <w:szCs w:val="26"/>
        </w:rPr>
        <w:t xml:space="preserve">note that the quarterly update </w:t>
      </w:r>
      <w:r w:rsidR="001F6FBD" w:rsidRPr="00EB2A5A">
        <w:rPr>
          <w:sz w:val="26"/>
          <w:szCs w:val="26"/>
        </w:rPr>
        <w:t xml:space="preserve">filing </w:t>
      </w:r>
      <w:r w:rsidRPr="00EB2A5A">
        <w:rPr>
          <w:sz w:val="26"/>
          <w:szCs w:val="26"/>
        </w:rPr>
        <w:t>was served on the OCA.</w:t>
      </w:r>
    </w:p>
    <w:p w14:paraId="4EFB29BE" w14:textId="77777777" w:rsidR="00AF05DB" w:rsidRPr="00EB2A5A" w:rsidRDefault="00AF05DB" w:rsidP="00AF05DB">
      <w:pPr>
        <w:widowControl/>
        <w:spacing w:line="360" w:lineRule="auto"/>
        <w:rPr>
          <w:sz w:val="26"/>
          <w:szCs w:val="26"/>
        </w:rPr>
      </w:pPr>
    </w:p>
    <w:p w14:paraId="147D47AD" w14:textId="5CEA0D99" w:rsidR="00AF05DB" w:rsidRPr="00EB2A5A" w:rsidRDefault="00AF05DB" w:rsidP="00AF05DB">
      <w:pPr>
        <w:widowControl/>
        <w:spacing w:line="360" w:lineRule="auto"/>
        <w:rPr>
          <w:sz w:val="26"/>
          <w:szCs w:val="26"/>
        </w:rPr>
      </w:pPr>
      <w:r w:rsidRPr="00EB2A5A">
        <w:rPr>
          <w:sz w:val="26"/>
          <w:szCs w:val="26"/>
        </w:rPr>
        <w:tab/>
      </w:r>
      <w:r w:rsidRPr="00EB2A5A">
        <w:rPr>
          <w:sz w:val="26"/>
          <w:szCs w:val="26"/>
        </w:rPr>
        <w:tab/>
        <w:t>As the goal of the DSIC is to facilitate infrastructure improvement and replacement, we believe that the public interest is best served by giving the Company an opportunity to address this issue one more time before the Commission makes its final decision on this ca</w:t>
      </w:r>
      <w:r w:rsidR="00315A3D">
        <w:rPr>
          <w:sz w:val="26"/>
          <w:szCs w:val="26"/>
        </w:rPr>
        <w:t>s</w:t>
      </w:r>
      <w:r w:rsidRPr="00EB2A5A">
        <w:rPr>
          <w:sz w:val="26"/>
          <w:szCs w:val="26"/>
        </w:rPr>
        <w:t>e.  It is, however, vitally important that this opportunity be accompanied by actions ensuring the due process rights of the OCA.</w:t>
      </w:r>
    </w:p>
    <w:p w14:paraId="25337B23" w14:textId="77777777" w:rsidR="00AF05DB" w:rsidRPr="00EB2A5A" w:rsidRDefault="00AF05DB" w:rsidP="00AF05DB">
      <w:pPr>
        <w:widowControl/>
        <w:spacing w:line="360" w:lineRule="auto"/>
        <w:rPr>
          <w:sz w:val="26"/>
          <w:szCs w:val="26"/>
        </w:rPr>
      </w:pPr>
    </w:p>
    <w:p w14:paraId="4307A589" w14:textId="31A081E3" w:rsidR="00AF05DB" w:rsidRPr="00EB2A5A" w:rsidRDefault="00AF05DB" w:rsidP="00AF05DB">
      <w:pPr>
        <w:widowControl/>
        <w:spacing w:line="360" w:lineRule="auto"/>
        <w:rPr>
          <w:sz w:val="26"/>
          <w:szCs w:val="26"/>
        </w:rPr>
      </w:pPr>
      <w:r w:rsidRPr="00EB2A5A">
        <w:rPr>
          <w:sz w:val="26"/>
          <w:szCs w:val="26"/>
        </w:rPr>
        <w:tab/>
      </w:r>
      <w:r w:rsidRPr="00EB2A5A">
        <w:rPr>
          <w:sz w:val="26"/>
          <w:szCs w:val="26"/>
        </w:rPr>
        <w:tab/>
        <w:t xml:space="preserve">The Company is hereby given the opportunity to voluntarily file an extension of its rate suspension, which is set to expire on May 1, 2018, for an additional </w:t>
      </w:r>
      <w:r w:rsidR="006061D6" w:rsidRPr="00EB2A5A">
        <w:rPr>
          <w:sz w:val="26"/>
          <w:szCs w:val="26"/>
        </w:rPr>
        <w:t>ninety</w:t>
      </w:r>
      <w:r w:rsidRPr="00EB2A5A">
        <w:rPr>
          <w:sz w:val="26"/>
          <w:szCs w:val="26"/>
        </w:rPr>
        <w:t xml:space="preserve"> days.  If the Company files this extension, </w:t>
      </w:r>
      <w:r w:rsidR="001F6FBD" w:rsidRPr="00EB2A5A">
        <w:rPr>
          <w:sz w:val="26"/>
          <w:szCs w:val="26"/>
        </w:rPr>
        <w:t>which must be filed on or before April</w:t>
      </w:r>
      <w:r w:rsidR="005B066D">
        <w:rPr>
          <w:sz w:val="26"/>
          <w:szCs w:val="26"/>
        </w:rPr>
        <w:t> </w:t>
      </w:r>
      <w:r w:rsidR="001F6FBD" w:rsidRPr="00EB2A5A">
        <w:rPr>
          <w:sz w:val="26"/>
          <w:szCs w:val="26"/>
        </w:rPr>
        <w:t xml:space="preserve">27, 2018, </w:t>
      </w:r>
      <w:r w:rsidRPr="00EB2A5A">
        <w:rPr>
          <w:sz w:val="26"/>
          <w:szCs w:val="26"/>
        </w:rPr>
        <w:t xml:space="preserve">this matter will be remanded to the Office of Administrative Law Judge </w:t>
      </w:r>
      <w:r w:rsidRPr="00EB2A5A">
        <w:rPr>
          <w:sz w:val="26"/>
          <w:szCs w:val="26"/>
        </w:rPr>
        <w:lastRenderedPageBreak/>
        <w:t xml:space="preserve">to reopen the record for proceedings necessary for the introduction of additional relevant evidence, subject to the examination of the OCA and the introduction of its own evidence.  This remand is limited to the single issue of whether NAWC has exceeded its </w:t>
      </w:r>
      <w:r w:rsidR="005B066D">
        <w:rPr>
          <w:sz w:val="26"/>
          <w:szCs w:val="26"/>
        </w:rPr>
        <w:t>current</w:t>
      </w:r>
      <w:r w:rsidR="004C2526">
        <w:rPr>
          <w:sz w:val="26"/>
          <w:szCs w:val="26"/>
        </w:rPr>
        <w:t xml:space="preserve"> 5%</w:t>
      </w:r>
      <w:r w:rsidR="005B066D">
        <w:rPr>
          <w:sz w:val="26"/>
          <w:szCs w:val="26"/>
        </w:rPr>
        <w:t xml:space="preserve"> </w:t>
      </w:r>
      <w:r w:rsidRPr="00EB2A5A">
        <w:rPr>
          <w:sz w:val="26"/>
          <w:szCs w:val="26"/>
        </w:rPr>
        <w:t xml:space="preserve">DSIC </w:t>
      </w:r>
      <w:r w:rsidR="005B066D">
        <w:rPr>
          <w:sz w:val="26"/>
          <w:szCs w:val="26"/>
        </w:rPr>
        <w:t xml:space="preserve">cap </w:t>
      </w:r>
      <w:r w:rsidRPr="00EB2A5A">
        <w:rPr>
          <w:sz w:val="26"/>
          <w:szCs w:val="26"/>
        </w:rPr>
        <w:t>and will continue to exceed it, and whether this justifies the requested increase to a 7.5% cap.</w:t>
      </w:r>
    </w:p>
    <w:p w14:paraId="17665EF9" w14:textId="77777777" w:rsidR="00AF05DB" w:rsidRPr="00EB2A5A" w:rsidRDefault="00AF05DB" w:rsidP="00AF05DB">
      <w:pPr>
        <w:widowControl/>
        <w:spacing w:line="360" w:lineRule="auto"/>
        <w:rPr>
          <w:sz w:val="26"/>
          <w:szCs w:val="26"/>
        </w:rPr>
      </w:pPr>
    </w:p>
    <w:p w14:paraId="4D564701" w14:textId="29A2465F" w:rsidR="00AF05DB" w:rsidRPr="00EB2A5A" w:rsidRDefault="00AF05DB" w:rsidP="00AF05DB">
      <w:pPr>
        <w:widowControl/>
        <w:spacing w:line="360" w:lineRule="auto"/>
        <w:rPr>
          <w:sz w:val="26"/>
          <w:szCs w:val="26"/>
        </w:rPr>
      </w:pPr>
      <w:r w:rsidRPr="00EB2A5A">
        <w:rPr>
          <w:sz w:val="26"/>
          <w:szCs w:val="26"/>
        </w:rPr>
        <w:tab/>
      </w:r>
      <w:r w:rsidRPr="00EB2A5A">
        <w:rPr>
          <w:sz w:val="26"/>
          <w:szCs w:val="26"/>
        </w:rPr>
        <w:tab/>
        <w:t xml:space="preserve">We note that the Commission has already determined that NAWC fulfilled the sixth of the eight elements required in an LTIIP filing that the replacement of aging infrastructure is or will be accelerated.  </w:t>
      </w:r>
      <w:r w:rsidR="00250FDE" w:rsidRPr="00EB2A5A">
        <w:rPr>
          <w:i/>
          <w:sz w:val="26"/>
          <w:szCs w:val="26"/>
        </w:rPr>
        <w:t xml:space="preserve">July 2017 LTIIP Order. </w:t>
      </w:r>
      <w:r w:rsidR="00250FDE" w:rsidRPr="00EB2A5A">
        <w:rPr>
          <w:sz w:val="26"/>
          <w:szCs w:val="26"/>
        </w:rPr>
        <w:t xml:space="preserve"> </w:t>
      </w:r>
      <w:r w:rsidRPr="00EB2A5A">
        <w:rPr>
          <w:sz w:val="26"/>
          <w:szCs w:val="26"/>
        </w:rPr>
        <w:t>The Recommended Decision on Remand</w:t>
      </w:r>
      <w:r w:rsidR="001F6FBD" w:rsidRPr="00EB2A5A">
        <w:rPr>
          <w:sz w:val="26"/>
          <w:szCs w:val="26"/>
        </w:rPr>
        <w:t xml:space="preserve"> and any Exceptions to the Recommended Decision</w:t>
      </w:r>
      <w:r w:rsidRPr="00EB2A5A">
        <w:rPr>
          <w:sz w:val="26"/>
          <w:szCs w:val="26"/>
        </w:rPr>
        <w:t xml:space="preserve"> should be submitted for our evaluation no later than the July 12, 2018 public meeting.  </w:t>
      </w:r>
    </w:p>
    <w:p w14:paraId="01EED552" w14:textId="77777777" w:rsidR="00AF05DB" w:rsidRPr="00EB2A5A" w:rsidRDefault="00AF05DB" w:rsidP="00AF05DB">
      <w:pPr>
        <w:widowControl/>
        <w:spacing w:line="360" w:lineRule="auto"/>
        <w:rPr>
          <w:sz w:val="26"/>
          <w:szCs w:val="26"/>
        </w:rPr>
      </w:pPr>
    </w:p>
    <w:p w14:paraId="2C27F8E7" w14:textId="78C2D859" w:rsidR="00AF05DB" w:rsidRDefault="00AF05DB" w:rsidP="00AF05DB">
      <w:pPr>
        <w:widowControl/>
        <w:spacing w:line="360" w:lineRule="auto"/>
        <w:rPr>
          <w:sz w:val="26"/>
          <w:szCs w:val="26"/>
        </w:rPr>
      </w:pPr>
      <w:r w:rsidRPr="00EB2A5A">
        <w:rPr>
          <w:sz w:val="26"/>
          <w:szCs w:val="26"/>
        </w:rPr>
        <w:tab/>
      </w:r>
      <w:r w:rsidRPr="00EB2A5A">
        <w:rPr>
          <w:sz w:val="26"/>
          <w:szCs w:val="26"/>
        </w:rPr>
        <w:tab/>
        <w:t>Should the Company decide to forego this opportunity</w:t>
      </w:r>
      <w:r w:rsidR="00684F61" w:rsidRPr="00EB2A5A">
        <w:rPr>
          <w:sz w:val="26"/>
          <w:szCs w:val="26"/>
        </w:rPr>
        <w:t xml:space="preserve"> to file an extension</w:t>
      </w:r>
      <w:r w:rsidRPr="00EB2A5A">
        <w:rPr>
          <w:sz w:val="26"/>
          <w:szCs w:val="26"/>
        </w:rPr>
        <w:t xml:space="preserve">, we </w:t>
      </w:r>
      <w:r w:rsidR="007E0536">
        <w:rPr>
          <w:sz w:val="26"/>
          <w:szCs w:val="26"/>
        </w:rPr>
        <w:t>shall</w:t>
      </w:r>
      <w:r w:rsidRPr="00EB2A5A">
        <w:rPr>
          <w:sz w:val="26"/>
          <w:szCs w:val="26"/>
        </w:rPr>
        <w:t xml:space="preserve"> deny NAWC’s request for an increase of its DSIC cap from 5% to 7.5%</w:t>
      </w:r>
      <w:r w:rsidR="00250FDE" w:rsidRPr="00EB2A5A">
        <w:rPr>
          <w:sz w:val="26"/>
          <w:szCs w:val="26"/>
        </w:rPr>
        <w:t xml:space="preserve"> and this Opinion and Order shall be</w:t>
      </w:r>
      <w:r w:rsidR="00684F61" w:rsidRPr="00EB2A5A">
        <w:rPr>
          <w:sz w:val="26"/>
          <w:szCs w:val="26"/>
        </w:rPr>
        <w:t>come</w:t>
      </w:r>
      <w:r w:rsidR="00250FDE" w:rsidRPr="00EB2A5A">
        <w:rPr>
          <w:sz w:val="26"/>
          <w:szCs w:val="26"/>
        </w:rPr>
        <w:t xml:space="preserve"> final without further Commission action</w:t>
      </w:r>
      <w:r w:rsidRPr="00EB2A5A">
        <w:rPr>
          <w:sz w:val="26"/>
          <w:szCs w:val="26"/>
        </w:rPr>
        <w:t>.</w:t>
      </w:r>
    </w:p>
    <w:p w14:paraId="54AABE39" w14:textId="77777777" w:rsidR="00C91F44" w:rsidRDefault="00C91F44" w:rsidP="002F7DB7">
      <w:pPr>
        <w:widowControl/>
        <w:spacing w:line="360" w:lineRule="auto"/>
        <w:rPr>
          <w:sz w:val="26"/>
          <w:szCs w:val="26"/>
        </w:rPr>
      </w:pPr>
    </w:p>
    <w:p w14:paraId="3550793C" w14:textId="254BBBE3" w:rsidR="00C91F44" w:rsidRDefault="00C91F44" w:rsidP="002F7DB7">
      <w:pPr>
        <w:widowControl/>
        <w:spacing w:line="360" w:lineRule="auto"/>
        <w:rPr>
          <w:sz w:val="26"/>
          <w:szCs w:val="26"/>
        </w:rPr>
      </w:pPr>
      <w:r>
        <w:rPr>
          <w:sz w:val="26"/>
          <w:szCs w:val="26"/>
        </w:rPr>
        <w:tab/>
      </w:r>
      <w:r>
        <w:rPr>
          <w:sz w:val="26"/>
          <w:szCs w:val="26"/>
        </w:rPr>
        <w:tab/>
      </w:r>
      <w:r w:rsidR="00F91EDE">
        <w:rPr>
          <w:sz w:val="26"/>
          <w:szCs w:val="26"/>
        </w:rPr>
        <w:t xml:space="preserve">With regard to NAWC’s </w:t>
      </w:r>
      <w:r>
        <w:rPr>
          <w:sz w:val="26"/>
          <w:szCs w:val="26"/>
        </w:rPr>
        <w:t>Exception No. 3</w:t>
      </w:r>
      <w:r w:rsidR="00F91EDE">
        <w:rPr>
          <w:sz w:val="26"/>
          <w:szCs w:val="26"/>
        </w:rPr>
        <w:t xml:space="preserve">, NAWC explains that it excepts to </w:t>
      </w:r>
      <w:r w:rsidR="00D0356A">
        <w:rPr>
          <w:sz w:val="26"/>
          <w:szCs w:val="26"/>
        </w:rPr>
        <w:t xml:space="preserve">the </w:t>
      </w:r>
      <w:r w:rsidR="001B1E07">
        <w:rPr>
          <w:sz w:val="26"/>
          <w:szCs w:val="26"/>
        </w:rPr>
        <w:t xml:space="preserve">OCA’s </w:t>
      </w:r>
      <w:r w:rsidR="00F91EDE">
        <w:rPr>
          <w:sz w:val="26"/>
          <w:szCs w:val="26"/>
        </w:rPr>
        <w:t xml:space="preserve">recommendations </w:t>
      </w:r>
      <w:r w:rsidR="009C4DE6">
        <w:rPr>
          <w:sz w:val="26"/>
          <w:szCs w:val="26"/>
        </w:rPr>
        <w:t xml:space="preserve">in Exception Nos. 4 through 10 that were </w:t>
      </w:r>
      <w:r w:rsidR="00F91EDE">
        <w:rPr>
          <w:sz w:val="26"/>
          <w:szCs w:val="26"/>
        </w:rPr>
        <w:t>recommended to the Commission</w:t>
      </w:r>
      <w:r w:rsidR="00D0356A">
        <w:rPr>
          <w:sz w:val="26"/>
          <w:szCs w:val="26"/>
        </w:rPr>
        <w:t xml:space="preserve"> by the ALJ</w:t>
      </w:r>
      <w:r w:rsidR="00F91EDE">
        <w:rPr>
          <w:sz w:val="26"/>
          <w:szCs w:val="26"/>
        </w:rPr>
        <w:t xml:space="preserve">.  NAWC maintains that the recommendations proposed by the OCA and </w:t>
      </w:r>
      <w:r w:rsidR="00D0356A">
        <w:rPr>
          <w:sz w:val="26"/>
          <w:szCs w:val="26"/>
        </w:rPr>
        <w:t>adopted by the ALJ in his Recommended Decision</w:t>
      </w:r>
      <w:r w:rsidR="009C4DE6">
        <w:rPr>
          <w:sz w:val="26"/>
          <w:szCs w:val="26"/>
        </w:rPr>
        <w:t xml:space="preserve">, by and large, do not address the issue of whether NAWC should be allowed to increase its DSIC cap to 7.5% and complicate the case.  NAWC characterizes </w:t>
      </w:r>
      <w:r w:rsidR="00D0356A">
        <w:rPr>
          <w:sz w:val="26"/>
          <w:szCs w:val="26"/>
        </w:rPr>
        <w:t xml:space="preserve">the </w:t>
      </w:r>
      <w:r w:rsidR="009C4DE6">
        <w:rPr>
          <w:sz w:val="26"/>
          <w:szCs w:val="26"/>
        </w:rPr>
        <w:t>OCA’s recommendations as “red herring” issues.  Exc. at 18.  The ALJ rejected this argument because the Commission ordered the ALJ to investigate the justness and reasonableness of the proposed DSIC</w:t>
      </w:r>
      <w:r w:rsidR="002F759D">
        <w:rPr>
          <w:sz w:val="26"/>
          <w:szCs w:val="26"/>
        </w:rPr>
        <w:t>-</w:t>
      </w:r>
      <w:r w:rsidR="009C4DE6">
        <w:rPr>
          <w:sz w:val="26"/>
          <w:szCs w:val="26"/>
        </w:rPr>
        <w:t xml:space="preserve">cap increase and NAWC’s existing DSIC rates, rules, and regulations.  R.D. at 56.  </w:t>
      </w:r>
      <w:r w:rsidR="00C1007B">
        <w:rPr>
          <w:sz w:val="26"/>
          <w:szCs w:val="26"/>
        </w:rPr>
        <w:t xml:space="preserve">We agree with the ALJ that the issues raised by </w:t>
      </w:r>
      <w:r w:rsidR="00D0356A">
        <w:rPr>
          <w:sz w:val="26"/>
          <w:szCs w:val="26"/>
        </w:rPr>
        <w:t xml:space="preserve">the </w:t>
      </w:r>
      <w:r w:rsidR="00C1007B">
        <w:rPr>
          <w:sz w:val="26"/>
          <w:szCs w:val="26"/>
        </w:rPr>
        <w:t>OCA “relate specifically” to NAWC’s DSIC rate and proposed DSIC</w:t>
      </w:r>
      <w:r w:rsidR="002F759D">
        <w:rPr>
          <w:sz w:val="26"/>
          <w:szCs w:val="26"/>
        </w:rPr>
        <w:t>-</w:t>
      </w:r>
      <w:r w:rsidR="00C1007B">
        <w:rPr>
          <w:sz w:val="26"/>
          <w:szCs w:val="26"/>
        </w:rPr>
        <w:t xml:space="preserve">cap increase.  Therefore, </w:t>
      </w:r>
      <w:r w:rsidR="00400E63">
        <w:rPr>
          <w:sz w:val="26"/>
          <w:szCs w:val="26"/>
        </w:rPr>
        <w:t xml:space="preserve">we shall deny </w:t>
      </w:r>
      <w:r w:rsidR="00C1007B">
        <w:rPr>
          <w:sz w:val="26"/>
          <w:szCs w:val="26"/>
        </w:rPr>
        <w:t>NAWC’s third Exception</w:t>
      </w:r>
      <w:r w:rsidR="00400E63">
        <w:rPr>
          <w:sz w:val="26"/>
          <w:szCs w:val="26"/>
        </w:rPr>
        <w:t>.</w:t>
      </w:r>
    </w:p>
    <w:p w14:paraId="6B47B52E" w14:textId="77777777" w:rsidR="00C91F44" w:rsidRDefault="00C91F44" w:rsidP="002F7DB7">
      <w:pPr>
        <w:widowControl/>
        <w:spacing w:line="360" w:lineRule="auto"/>
        <w:rPr>
          <w:sz w:val="26"/>
          <w:szCs w:val="26"/>
        </w:rPr>
      </w:pPr>
    </w:p>
    <w:p w14:paraId="38FEA35E" w14:textId="7122D143" w:rsidR="00280B64" w:rsidRDefault="00C91F44" w:rsidP="002F7DB7">
      <w:pPr>
        <w:widowControl/>
        <w:spacing w:line="360" w:lineRule="auto"/>
        <w:rPr>
          <w:sz w:val="26"/>
          <w:szCs w:val="26"/>
        </w:rPr>
      </w:pPr>
      <w:r>
        <w:rPr>
          <w:sz w:val="26"/>
          <w:szCs w:val="26"/>
        </w:rPr>
        <w:lastRenderedPageBreak/>
        <w:tab/>
      </w:r>
      <w:r>
        <w:rPr>
          <w:sz w:val="26"/>
          <w:szCs w:val="26"/>
        </w:rPr>
        <w:tab/>
      </w:r>
      <w:r w:rsidR="0028781E">
        <w:rPr>
          <w:sz w:val="26"/>
          <w:szCs w:val="26"/>
        </w:rPr>
        <w:t>Regarding</w:t>
      </w:r>
      <w:r w:rsidR="00C1007B">
        <w:rPr>
          <w:sz w:val="26"/>
          <w:szCs w:val="26"/>
        </w:rPr>
        <w:t xml:space="preserve"> NAWC’s Exception No</w:t>
      </w:r>
      <w:r w:rsidR="00D15C8A">
        <w:rPr>
          <w:sz w:val="26"/>
          <w:szCs w:val="26"/>
        </w:rPr>
        <w:t>s</w:t>
      </w:r>
      <w:r w:rsidR="00C1007B">
        <w:rPr>
          <w:sz w:val="26"/>
          <w:szCs w:val="26"/>
        </w:rPr>
        <w:t>. 4</w:t>
      </w:r>
      <w:r w:rsidR="00D15C8A">
        <w:rPr>
          <w:sz w:val="26"/>
          <w:szCs w:val="26"/>
        </w:rPr>
        <w:t xml:space="preserve"> and 5</w:t>
      </w:r>
      <w:r w:rsidR="00C1007B">
        <w:rPr>
          <w:sz w:val="26"/>
          <w:szCs w:val="26"/>
        </w:rPr>
        <w:t xml:space="preserve">, NAWC excepts to the conclusion that Act 40 of 2016 applies to this proceeding and to NAWC’s DSIC mechanism.  </w:t>
      </w:r>
      <w:r w:rsidR="00B667B0">
        <w:rPr>
          <w:sz w:val="26"/>
          <w:szCs w:val="26"/>
        </w:rPr>
        <w:t xml:space="preserve">NAWC notes that </w:t>
      </w:r>
      <w:r w:rsidR="002E2D97">
        <w:rPr>
          <w:sz w:val="26"/>
          <w:szCs w:val="26"/>
        </w:rPr>
        <w:t>the Recommended Decision of A</w:t>
      </w:r>
      <w:r w:rsidR="00D15C8A">
        <w:rPr>
          <w:sz w:val="26"/>
          <w:szCs w:val="26"/>
        </w:rPr>
        <w:t>LJ</w:t>
      </w:r>
      <w:r w:rsidR="002E2D97">
        <w:rPr>
          <w:sz w:val="26"/>
          <w:szCs w:val="26"/>
        </w:rPr>
        <w:t xml:space="preserve"> Cheskis, </w:t>
      </w:r>
      <w:r w:rsidR="00CA382D">
        <w:rPr>
          <w:sz w:val="26"/>
          <w:szCs w:val="26"/>
        </w:rPr>
        <w:t xml:space="preserve">issued </w:t>
      </w:r>
      <w:r w:rsidR="002E2D97">
        <w:rPr>
          <w:sz w:val="26"/>
          <w:szCs w:val="26"/>
        </w:rPr>
        <w:t>July</w:t>
      </w:r>
      <w:r w:rsidR="003A25FB">
        <w:rPr>
          <w:sz w:val="26"/>
          <w:szCs w:val="26"/>
        </w:rPr>
        <w:t> </w:t>
      </w:r>
      <w:r w:rsidR="002E2D97">
        <w:rPr>
          <w:sz w:val="26"/>
          <w:szCs w:val="26"/>
        </w:rPr>
        <w:t xml:space="preserve">26, 2017, in </w:t>
      </w:r>
      <w:r w:rsidR="002E2D97" w:rsidRPr="007818BA">
        <w:rPr>
          <w:i/>
          <w:sz w:val="26"/>
          <w:szCs w:val="26"/>
        </w:rPr>
        <w:t>Petition of Metropolitan Edison Company for Approval of a Distribution System Improvement Charge</w:t>
      </w:r>
      <w:r w:rsidR="002E2D97">
        <w:rPr>
          <w:sz w:val="26"/>
          <w:szCs w:val="26"/>
        </w:rPr>
        <w:t xml:space="preserve">, </w:t>
      </w:r>
      <w:r w:rsidR="00CA382D">
        <w:rPr>
          <w:sz w:val="26"/>
          <w:szCs w:val="26"/>
        </w:rPr>
        <w:t xml:space="preserve">at </w:t>
      </w:r>
      <w:r w:rsidR="002E2D97">
        <w:rPr>
          <w:sz w:val="26"/>
          <w:szCs w:val="26"/>
        </w:rPr>
        <w:t>Docket No. P-2015-2</w:t>
      </w:r>
      <w:r w:rsidR="00D15C8A">
        <w:rPr>
          <w:sz w:val="26"/>
          <w:szCs w:val="26"/>
        </w:rPr>
        <w:t>508642</w:t>
      </w:r>
      <w:r w:rsidR="003065CD">
        <w:rPr>
          <w:sz w:val="26"/>
          <w:szCs w:val="26"/>
        </w:rPr>
        <w:t xml:space="preserve"> (</w:t>
      </w:r>
      <w:r w:rsidR="003065CD">
        <w:rPr>
          <w:i/>
          <w:sz w:val="26"/>
          <w:szCs w:val="26"/>
        </w:rPr>
        <w:t>MetEd</w:t>
      </w:r>
      <w:r w:rsidR="003065CD">
        <w:rPr>
          <w:sz w:val="26"/>
          <w:szCs w:val="26"/>
        </w:rPr>
        <w:t>)</w:t>
      </w:r>
      <w:r w:rsidR="00D15C8A">
        <w:rPr>
          <w:sz w:val="26"/>
          <w:szCs w:val="26"/>
        </w:rPr>
        <w:t>,</w:t>
      </w:r>
      <w:r w:rsidR="003065CD">
        <w:rPr>
          <w:rStyle w:val="FootnoteReference"/>
          <w:sz w:val="26"/>
          <w:szCs w:val="26"/>
        </w:rPr>
        <w:footnoteReference w:id="17"/>
      </w:r>
      <w:r w:rsidR="00D15C8A">
        <w:rPr>
          <w:sz w:val="26"/>
          <w:szCs w:val="26"/>
        </w:rPr>
        <w:t xml:space="preserve"> address</w:t>
      </w:r>
      <w:r w:rsidR="00064DEC">
        <w:rPr>
          <w:sz w:val="26"/>
          <w:szCs w:val="26"/>
        </w:rPr>
        <w:t>es</w:t>
      </w:r>
      <w:r w:rsidR="00D15C8A">
        <w:rPr>
          <w:sz w:val="26"/>
          <w:szCs w:val="26"/>
        </w:rPr>
        <w:t xml:space="preserve"> Act 40 and appl</w:t>
      </w:r>
      <w:r w:rsidR="00064DEC">
        <w:rPr>
          <w:sz w:val="26"/>
          <w:szCs w:val="26"/>
        </w:rPr>
        <w:t>ies</w:t>
      </w:r>
      <w:r w:rsidR="00D15C8A">
        <w:rPr>
          <w:sz w:val="26"/>
          <w:szCs w:val="26"/>
        </w:rPr>
        <w:t xml:space="preserve"> Act 40 to the DSIC calculations of electric utilities outside the context of a base rate proceeding remains pending before the Commission.  Exc. at</w:t>
      </w:r>
      <w:r w:rsidR="003E76F4">
        <w:rPr>
          <w:sz w:val="26"/>
          <w:szCs w:val="26"/>
        </w:rPr>
        <w:t> </w:t>
      </w:r>
      <w:r w:rsidR="00D15C8A">
        <w:rPr>
          <w:sz w:val="26"/>
          <w:szCs w:val="26"/>
        </w:rPr>
        <w:t xml:space="preserve">21. </w:t>
      </w:r>
    </w:p>
    <w:p w14:paraId="1BCE1827" w14:textId="77777777" w:rsidR="00280B64" w:rsidRDefault="00280B64" w:rsidP="002F7DB7">
      <w:pPr>
        <w:widowControl/>
        <w:spacing w:line="360" w:lineRule="auto"/>
        <w:rPr>
          <w:sz w:val="26"/>
          <w:szCs w:val="26"/>
        </w:rPr>
      </w:pPr>
    </w:p>
    <w:p w14:paraId="4C816330" w14:textId="6AC7F980" w:rsidR="00280B64" w:rsidRDefault="00497EFB" w:rsidP="002F7DB7">
      <w:pPr>
        <w:widowControl/>
        <w:spacing w:line="360" w:lineRule="auto"/>
        <w:rPr>
          <w:sz w:val="26"/>
          <w:szCs w:val="26"/>
        </w:rPr>
      </w:pPr>
      <w:r>
        <w:rPr>
          <w:sz w:val="26"/>
          <w:szCs w:val="26"/>
        </w:rPr>
        <w:tab/>
      </w:r>
      <w:r>
        <w:rPr>
          <w:sz w:val="26"/>
          <w:szCs w:val="26"/>
        </w:rPr>
        <w:tab/>
        <w:t xml:space="preserve">Act 40 </w:t>
      </w:r>
      <w:r w:rsidR="00064DEC">
        <w:rPr>
          <w:sz w:val="26"/>
          <w:szCs w:val="26"/>
        </w:rPr>
        <w:t>introduced</w:t>
      </w:r>
      <w:r w:rsidR="00D25093">
        <w:rPr>
          <w:sz w:val="26"/>
          <w:szCs w:val="26"/>
        </w:rPr>
        <w:t xml:space="preserve"> a new Section 1301.1 into the Public Utility Code.  Subsection (a) of the new Section states as follows:</w:t>
      </w:r>
    </w:p>
    <w:p w14:paraId="1AC70C2B" w14:textId="77777777" w:rsidR="00D25093" w:rsidRDefault="00D25093" w:rsidP="002F7DB7">
      <w:pPr>
        <w:widowControl/>
        <w:spacing w:line="360" w:lineRule="auto"/>
        <w:rPr>
          <w:sz w:val="26"/>
          <w:szCs w:val="26"/>
        </w:rPr>
      </w:pPr>
    </w:p>
    <w:p w14:paraId="3B0B5B30" w14:textId="2B80F79B" w:rsidR="00D25093" w:rsidRDefault="00D25093" w:rsidP="00EE4FEA">
      <w:pPr>
        <w:pStyle w:val="ListParagraph"/>
        <w:widowControl/>
        <w:numPr>
          <w:ilvl w:val="0"/>
          <w:numId w:val="25"/>
        </w:numPr>
        <w:ind w:right="1440"/>
        <w:rPr>
          <w:sz w:val="26"/>
          <w:szCs w:val="26"/>
        </w:rPr>
      </w:pPr>
      <w:r w:rsidRPr="00D25093">
        <w:rPr>
          <w:b/>
          <w:sz w:val="26"/>
          <w:szCs w:val="26"/>
        </w:rPr>
        <w:t>Computation.</w:t>
      </w:r>
      <w:r>
        <w:rPr>
          <w:sz w:val="26"/>
          <w:szCs w:val="26"/>
        </w:rPr>
        <w:t xml:space="preserve">—If an expense or investment is allowed to be included in a public utility’s rates for ratemaking purposes, the related income tax deductions and credits shall also be included in the computation of current or deterred income tax expense to reduce rates.  If an expense or investment is not allowed to be included in a public utility’s rates, the related income tax deductions and credits, including tax losses of the public utility’s parent or affiliated companies, shall not be included in the computation of income tax expense to reduce rates.  The deferred income taxes used to determine the rate base of a public utility for ratemaking purposes shall be based solely on the tax deductions and credits received by the public utility and shall not include any deductions or credits generated by the expenses of investments of a public utility’s parent or any </w:t>
      </w:r>
      <w:r w:rsidR="000C1515">
        <w:rPr>
          <w:sz w:val="26"/>
          <w:szCs w:val="26"/>
        </w:rPr>
        <w:t>affiliated</w:t>
      </w:r>
      <w:r>
        <w:rPr>
          <w:sz w:val="26"/>
          <w:szCs w:val="26"/>
        </w:rPr>
        <w:t xml:space="preserve"> entity.  The income tax expense shall be computed using the applicable statutory income tax rates.  66 Pa. C.S. § 1301.1.</w:t>
      </w:r>
    </w:p>
    <w:p w14:paraId="0DA7B2FA" w14:textId="7589E71A" w:rsidR="00EE4FEA" w:rsidRPr="00EE4FEA" w:rsidRDefault="00EE4FEA" w:rsidP="00EE4FEA">
      <w:pPr>
        <w:pStyle w:val="ListParagraph"/>
        <w:widowControl/>
        <w:ind w:left="1800"/>
        <w:rPr>
          <w:sz w:val="26"/>
          <w:szCs w:val="26"/>
        </w:rPr>
      </w:pPr>
    </w:p>
    <w:p w14:paraId="4673B8D2" w14:textId="77777777" w:rsidR="00EE4FEA" w:rsidRPr="00EE4FEA" w:rsidRDefault="00EE4FEA" w:rsidP="00EE4FEA">
      <w:pPr>
        <w:pStyle w:val="ListParagraph"/>
        <w:widowControl/>
        <w:ind w:left="1800"/>
        <w:rPr>
          <w:sz w:val="26"/>
          <w:szCs w:val="26"/>
        </w:rPr>
      </w:pPr>
    </w:p>
    <w:p w14:paraId="3DB619C1" w14:textId="6E64E767" w:rsidR="002A46FA" w:rsidRDefault="00D25093" w:rsidP="002F7DB7">
      <w:pPr>
        <w:widowControl/>
        <w:spacing w:line="360" w:lineRule="auto"/>
        <w:rPr>
          <w:sz w:val="26"/>
          <w:szCs w:val="26"/>
        </w:rPr>
      </w:pPr>
      <w:r>
        <w:rPr>
          <w:sz w:val="26"/>
          <w:szCs w:val="26"/>
        </w:rPr>
        <w:lastRenderedPageBreak/>
        <w:t>NAWC contends that Act 40 has no application to this proceeding and no bearing on NAWC’s proposed DSIC</w:t>
      </w:r>
      <w:r w:rsidR="002F759D">
        <w:rPr>
          <w:sz w:val="26"/>
          <w:szCs w:val="26"/>
        </w:rPr>
        <w:t>-</w:t>
      </w:r>
      <w:r>
        <w:rPr>
          <w:sz w:val="26"/>
          <w:szCs w:val="26"/>
        </w:rPr>
        <w:t>cap increase.</w:t>
      </w:r>
      <w:r w:rsidR="00D0356A">
        <w:rPr>
          <w:sz w:val="26"/>
          <w:szCs w:val="26"/>
        </w:rPr>
        <w:t xml:space="preserve">  </w:t>
      </w:r>
      <w:r>
        <w:rPr>
          <w:sz w:val="26"/>
          <w:szCs w:val="26"/>
        </w:rPr>
        <w:t xml:space="preserve">NAWC contends that Act 40 addresses consolidated income tax expense for base rate purposes and this proceeding is not a base rate case.  NAWC </w:t>
      </w:r>
      <w:r w:rsidR="002A46FA">
        <w:rPr>
          <w:sz w:val="26"/>
          <w:szCs w:val="26"/>
        </w:rPr>
        <w:t xml:space="preserve">provides that a DSIC rate is a surcharge mechanism for the recovery of the costs related to the </w:t>
      </w:r>
      <w:r w:rsidR="000C1515">
        <w:rPr>
          <w:sz w:val="26"/>
          <w:szCs w:val="26"/>
        </w:rPr>
        <w:t>repair</w:t>
      </w:r>
      <w:r w:rsidR="002A46FA">
        <w:rPr>
          <w:sz w:val="26"/>
          <w:szCs w:val="26"/>
        </w:rPr>
        <w:t xml:space="preserve">, improvement, and replacement of eligible </w:t>
      </w:r>
      <w:r w:rsidR="000C1515">
        <w:rPr>
          <w:sz w:val="26"/>
          <w:szCs w:val="26"/>
        </w:rPr>
        <w:t>property</w:t>
      </w:r>
      <w:r w:rsidR="002A46FA">
        <w:rPr>
          <w:sz w:val="26"/>
          <w:szCs w:val="26"/>
        </w:rPr>
        <w:t xml:space="preserve"> outside of a rate case.  NAWC explains that surcharges are not part of a base rate proceeding.  Exc. at 20-30 </w:t>
      </w:r>
      <w:r w:rsidR="00CA382D">
        <w:rPr>
          <w:sz w:val="26"/>
          <w:szCs w:val="26"/>
        </w:rPr>
        <w:t>(</w:t>
      </w:r>
      <w:r w:rsidR="002A46FA">
        <w:rPr>
          <w:sz w:val="26"/>
          <w:szCs w:val="26"/>
        </w:rPr>
        <w:t>citing NAWC St. No. 1R at 9</w:t>
      </w:r>
      <w:r w:rsidR="00CA382D">
        <w:rPr>
          <w:sz w:val="26"/>
          <w:szCs w:val="26"/>
        </w:rPr>
        <w:t>)</w:t>
      </w:r>
      <w:r w:rsidR="002A46FA">
        <w:rPr>
          <w:sz w:val="26"/>
          <w:szCs w:val="26"/>
        </w:rPr>
        <w:t xml:space="preserve">.  </w:t>
      </w:r>
    </w:p>
    <w:p w14:paraId="0E06C860" w14:textId="77777777" w:rsidR="002A46FA" w:rsidRDefault="002A46FA" w:rsidP="002F7DB7">
      <w:pPr>
        <w:widowControl/>
        <w:spacing w:line="360" w:lineRule="auto"/>
        <w:rPr>
          <w:sz w:val="26"/>
          <w:szCs w:val="26"/>
        </w:rPr>
      </w:pPr>
    </w:p>
    <w:p w14:paraId="3541B463" w14:textId="3856DBFF" w:rsidR="000C1515" w:rsidRPr="000F1D8D" w:rsidRDefault="002A46FA" w:rsidP="002F7DB7">
      <w:pPr>
        <w:widowControl/>
        <w:spacing w:line="360" w:lineRule="auto"/>
        <w:rPr>
          <w:sz w:val="26"/>
          <w:szCs w:val="26"/>
        </w:rPr>
      </w:pPr>
      <w:r>
        <w:rPr>
          <w:sz w:val="26"/>
          <w:szCs w:val="26"/>
        </w:rPr>
        <w:tab/>
      </w:r>
      <w:r>
        <w:rPr>
          <w:sz w:val="26"/>
          <w:szCs w:val="26"/>
        </w:rPr>
        <w:tab/>
        <w:t xml:space="preserve">NAWC </w:t>
      </w:r>
      <w:r w:rsidR="00064DEC">
        <w:rPr>
          <w:sz w:val="26"/>
          <w:szCs w:val="26"/>
        </w:rPr>
        <w:t>assert</w:t>
      </w:r>
      <w:r w:rsidR="000C1515">
        <w:rPr>
          <w:sz w:val="26"/>
          <w:szCs w:val="26"/>
        </w:rPr>
        <w:t xml:space="preserve">s that the legislative history as recorded in the Pennsylvania House Journal clearly shows that the sole purpose of the Act was the elimination of the consolidated tax adjustment (CTA).  Exc. at 20.  </w:t>
      </w:r>
      <w:r w:rsidR="00096F13">
        <w:rPr>
          <w:sz w:val="26"/>
          <w:szCs w:val="26"/>
        </w:rPr>
        <w:t>NAWC cites testimony before the House Consumer Affairs Committee (Committee</w:t>
      </w:r>
      <w:r w:rsidR="003E3BDC">
        <w:rPr>
          <w:sz w:val="26"/>
          <w:szCs w:val="26"/>
        </w:rPr>
        <w:t xml:space="preserve">) where Committee Chairman Godshall explained the scope and application of Section 1301.1 by stating that “this section applies to base rate cases” and “would only go into effect when a </w:t>
      </w:r>
      <w:r w:rsidR="00830475">
        <w:rPr>
          <w:sz w:val="26"/>
          <w:szCs w:val="26"/>
        </w:rPr>
        <w:t>utility</w:t>
      </w:r>
      <w:r w:rsidR="003E3BDC">
        <w:rPr>
          <w:sz w:val="26"/>
          <w:szCs w:val="26"/>
        </w:rPr>
        <w:t xml:space="preserve"> comes in for a base rate case.”  </w:t>
      </w:r>
      <w:r w:rsidR="00CA382D">
        <w:rPr>
          <w:sz w:val="26"/>
          <w:szCs w:val="26"/>
        </w:rPr>
        <w:t>Exc. at 20</w:t>
      </w:r>
      <w:r w:rsidR="008622D4">
        <w:rPr>
          <w:sz w:val="26"/>
          <w:szCs w:val="26"/>
        </w:rPr>
        <w:t xml:space="preserve"> (quoting </w:t>
      </w:r>
      <w:r w:rsidR="008622D4">
        <w:rPr>
          <w:sz w:val="26"/>
        </w:rPr>
        <w:t>House of Representatives Legislative Journal, Feb. 8, 2016 (Legislative Journal), at 117)</w:t>
      </w:r>
      <w:r w:rsidR="00CA382D">
        <w:rPr>
          <w:sz w:val="26"/>
          <w:szCs w:val="26"/>
        </w:rPr>
        <w:t xml:space="preserve">.  </w:t>
      </w:r>
      <w:r w:rsidR="003E3BDC">
        <w:rPr>
          <w:sz w:val="26"/>
          <w:szCs w:val="26"/>
        </w:rPr>
        <w:t xml:space="preserve">NAWC </w:t>
      </w:r>
      <w:r w:rsidR="004C1A65">
        <w:rPr>
          <w:sz w:val="26"/>
          <w:szCs w:val="26"/>
        </w:rPr>
        <w:t xml:space="preserve">contends </w:t>
      </w:r>
      <w:r w:rsidR="003E3BDC">
        <w:rPr>
          <w:sz w:val="26"/>
          <w:szCs w:val="26"/>
        </w:rPr>
        <w:t xml:space="preserve">that </w:t>
      </w:r>
      <w:r w:rsidR="00CA382D">
        <w:rPr>
          <w:sz w:val="26"/>
          <w:szCs w:val="26"/>
        </w:rPr>
        <w:t xml:space="preserve">the </w:t>
      </w:r>
      <w:r w:rsidR="003E3BDC">
        <w:rPr>
          <w:sz w:val="26"/>
          <w:szCs w:val="26"/>
        </w:rPr>
        <w:t xml:space="preserve">OCA </w:t>
      </w:r>
      <w:r w:rsidR="00830475">
        <w:rPr>
          <w:sz w:val="26"/>
          <w:szCs w:val="26"/>
        </w:rPr>
        <w:t>asked</w:t>
      </w:r>
      <w:r w:rsidR="003E3BDC">
        <w:rPr>
          <w:sz w:val="26"/>
          <w:szCs w:val="26"/>
        </w:rPr>
        <w:t xml:space="preserve"> the Committee to “table” the Bill “as it will negatively impact Pennsylvania ratepayers.”  Exc. at 20. </w:t>
      </w:r>
    </w:p>
    <w:p w14:paraId="34B20592" w14:textId="77777777" w:rsidR="003E3BDC" w:rsidRDefault="003E3BDC" w:rsidP="002F7DB7">
      <w:pPr>
        <w:widowControl/>
        <w:spacing w:line="360" w:lineRule="auto"/>
        <w:rPr>
          <w:sz w:val="26"/>
          <w:szCs w:val="26"/>
        </w:rPr>
      </w:pPr>
    </w:p>
    <w:p w14:paraId="2C8C7015" w14:textId="4778BAD6" w:rsidR="003E3BDC" w:rsidRDefault="003E3BDC" w:rsidP="002F7DB7">
      <w:pPr>
        <w:widowControl/>
        <w:spacing w:line="360" w:lineRule="auto"/>
        <w:rPr>
          <w:sz w:val="26"/>
          <w:szCs w:val="26"/>
        </w:rPr>
      </w:pPr>
      <w:r>
        <w:rPr>
          <w:sz w:val="26"/>
          <w:szCs w:val="26"/>
        </w:rPr>
        <w:tab/>
      </w:r>
      <w:r>
        <w:rPr>
          <w:sz w:val="26"/>
          <w:szCs w:val="26"/>
        </w:rPr>
        <w:tab/>
        <w:t xml:space="preserve">NAWC submits that </w:t>
      </w:r>
      <w:r w:rsidR="004C1A65">
        <w:rPr>
          <w:sz w:val="26"/>
          <w:szCs w:val="26"/>
        </w:rPr>
        <w:t xml:space="preserve">the </w:t>
      </w:r>
      <w:r>
        <w:rPr>
          <w:sz w:val="26"/>
          <w:szCs w:val="26"/>
        </w:rPr>
        <w:t xml:space="preserve">OCA contended, and </w:t>
      </w:r>
      <w:r w:rsidR="00F208BF">
        <w:rPr>
          <w:sz w:val="26"/>
          <w:szCs w:val="26"/>
        </w:rPr>
        <w:t>ALJ Pell</w:t>
      </w:r>
      <w:r>
        <w:rPr>
          <w:sz w:val="26"/>
          <w:szCs w:val="26"/>
        </w:rPr>
        <w:t xml:space="preserve"> agreed, that the first sentence of Section 1301.1 has a very different and more expansive purpose </w:t>
      </w:r>
      <w:r w:rsidR="004C1A65">
        <w:rPr>
          <w:sz w:val="26"/>
          <w:szCs w:val="26"/>
        </w:rPr>
        <w:t xml:space="preserve">than </w:t>
      </w:r>
      <w:r>
        <w:rPr>
          <w:sz w:val="26"/>
          <w:szCs w:val="26"/>
        </w:rPr>
        <w:t xml:space="preserve">the elimination of CTA.  This one sentence, as contended by the OCA and recommended by </w:t>
      </w:r>
      <w:r w:rsidR="00F208BF">
        <w:rPr>
          <w:sz w:val="26"/>
          <w:szCs w:val="26"/>
        </w:rPr>
        <w:t xml:space="preserve">ALJ Pell in </w:t>
      </w:r>
      <w:r w:rsidR="007847CB">
        <w:rPr>
          <w:sz w:val="26"/>
          <w:szCs w:val="26"/>
        </w:rPr>
        <w:t>his Recommended</w:t>
      </w:r>
      <w:r>
        <w:rPr>
          <w:sz w:val="26"/>
          <w:szCs w:val="26"/>
        </w:rPr>
        <w:t xml:space="preserve"> De</w:t>
      </w:r>
      <w:r w:rsidR="00830475">
        <w:rPr>
          <w:sz w:val="26"/>
          <w:szCs w:val="26"/>
        </w:rPr>
        <w:t>ci</w:t>
      </w:r>
      <w:r>
        <w:rPr>
          <w:sz w:val="26"/>
          <w:szCs w:val="26"/>
        </w:rPr>
        <w:t xml:space="preserve">sion, undoes a settled Commission DSIC </w:t>
      </w:r>
      <w:r w:rsidR="00830475">
        <w:rPr>
          <w:sz w:val="26"/>
          <w:szCs w:val="26"/>
        </w:rPr>
        <w:t>computation</w:t>
      </w:r>
      <w:r>
        <w:rPr>
          <w:sz w:val="26"/>
          <w:szCs w:val="26"/>
        </w:rPr>
        <w:t xml:space="preserve"> methodology and a Commonwealth Court decision. </w:t>
      </w:r>
      <w:r w:rsidR="00E93C69">
        <w:rPr>
          <w:sz w:val="26"/>
          <w:szCs w:val="26"/>
        </w:rPr>
        <w:t xml:space="preserve"> </w:t>
      </w:r>
      <w:r w:rsidR="00830475">
        <w:rPr>
          <w:sz w:val="26"/>
          <w:szCs w:val="26"/>
        </w:rPr>
        <w:t>NAW</w:t>
      </w:r>
      <w:r w:rsidR="00F208BF">
        <w:rPr>
          <w:sz w:val="26"/>
          <w:szCs w:val="26"/>
        </w:rPr>
        <w:t>C</w:t>
      </w:r>
      <w:r w:rsidR="00830475">
        <w:rPr>
          <w:sz w:val="26"/>
          <w:szCs w:val="26"/>
        </w:rPr>
        <w:t xml:space="preserve"> states that the contention of the OCA and the recommended interpretation of Act 40 are not plausible.  Exc. at 21 </w:t>
      </w:r>
      <w:r w:rsidR="004C1A65">
        <w:rPr>
          <w:sz w:val="26"/>
          <w:szCs w:val="26"/>
        </w:rPr>
        <w:t>(</w:t>
      </w:r>
      <w:r w:rsidR="00830475">
        <w:rPr>
          <w:sz w:val="26"/>
          <w:szCs w:val="26"/>
        </w:rPr>
        <w:t>citing R.D. at 59</w:t>
      </w:r>
      <w:r w:rsidR="004C1A65">
        <w:rPr>
          <w:sz w:val="26"/>
          <w:szCs w:val="26"/>
        </w:rPr>
        <w:t>)</w:t>
      </w:r>
      <w:r w:rsidR="00830475">
        <w:rPr>
          <w:sz w:val="26"/>
          <w:szCs w:val="26"/>
        </w:rPr>
        <w:t>.</w:t>
      </w:r>
    </w:p>
    <w:p w14:paraId="110E83C6" w14:textId="40E0FE01" w:rsidR="00D25093" w:rsidRDefault="00D25093" w:rsidP="002F7DB7">
      <w:pPr>
        <w:widowControl/>
        <w:spacing w:line="360" w:lineRule="auto"/>
        <w:rPr>
          <w:sz w:val="26"/>
          <w:szCs w:val="26"/>
        </w:rPr>
      </w:pPr>
    </w:p>
    <w:p w14:paraId="0F170524" w14:textId="3CF65CA8" w:rsidR="009E600C" w:rsidRDefault="000C1515" w:rsidP="002F7DB7">
      <w:pPr>
        <w:widowControl/>
        <w:spacing w:line="360" w:lineRule="auto"/>
        <w:rPr>
          <w:sz w:val="26"/>
        </w:rPr>
      </w:pPr>
      <w:r>
        <w:rPr>
          <w:sz w:val="26"/>
          <w:szCs w:val="26"/>
        </w:rPr>
        <w:tab/>
      </w:r>
      <w:r>
        <w:rPr>
          <w:sz w:val="26"/>
          <w:szCs w:val="26"/>
        </w:rPr>
        <w:tab/>
      </w:r>
      <w:r w:rsidR="00D15C8A">
        <w:rPr>
          <w:sz w:val="26"/>
          <w:szCs w:val="26"/>
        </w:rPr>
        <w:t xml:space="preserve">We agree with NAWC that Act 40 has no application to NAWC’s DSIC mechanism.  </w:t>
      </w:r>
      <w:r w:rsidR="00FC429F">
        <w:rPr>
          <w:sz w:val="26"/>
          <w:szCs w:val="26"/>
        </w:rPr>
        <w:t xml:space="preserve">Nonetheless, we shall address the ALJ’s application of Act 40 in this proceeding.  </w:t>
      </w:r>
      <w:r w:rsidR="009E600C">
        <w:rPr>
          <w:sz w:val="26"/>
          <w:szCs w:val="26"/>
        </w:rPr>
        <w:t xml:space="preserve">Specifically, </w:t>
      </w:r>
      <w:r w:rsidR="009E600C">
        <w:rPr>
          <w:sz w:val="26"/>
        </w:rPr>
        <w:t xml:space="preserve">we disagree with the ALJ’s conclusion that Section 1301.1 </w:t>
      </w:r>
      <w:r w:rsidR="009E600C">
        <w:rPr>
          <w:sz w:val="26"/>
        </w:rPr>
        <w:lastRenderedPageBreak/>
        <w:t>requires the Compan</w:t>
      </w:r>
      <w:r w:rsidR="0028781E">
        <w:rPr>
          <w:sz w:val="26"/>
        </w:rPr>
        <w:t>y’s</w:t>
      </w:r>
      <w:r w:rsidR="009E600C">
        <w:rPr>
          <w:sz w:val="26"/>
        </w:rPr>
        <w:t xml:space="preserve"> DSIC to include federal and state income tax deductions and credits generated by DSIC investment.  We find that the language in Section 1301.1 is ambiguous regarding whether Act 40 applies to the DSIC.  Statutory language is considered ambiguous when a pertinent provision is susceptible to more than one reasonable interpretation or when the language is vague, uncertain, or indefinite.  </w:t>
      </w:r>
      <w:r w:rsidR="009E600C" w:rsidRPr="00E31667">
        <w:rPr>
          <w:i/>
          <w:sz w:val="26"/>
        </w:rPr>
        <w:t>Adams Outdoor Advertising, L.P. v. Zoning Hearing Bd</w:t>
      </w:r>
      <w:r w:rsidR="009E600C">
        <w:rPr>
          <w:i/>
          <w:sz w:val="26"/>
        </w:rPr>
        <w:t>.</w:t>
      </w:r>
      <w:r w:rsidR="009E600C" w:rsidRPr="00E31667">
        <w:rPr>
          <w:i/>
          <w:sz w:val="26"/>
        </w:rPr>
        <w:t xml:space="preserve"> of Smithfield Twp</w:t>
      </w:r>
      <w:r w:rsidR="009E600C">
        <w:rPr>
          <w:i/>
          <w:sz w:val="26"/>
        </w:rPr>
        <w:t>.</w:t>
      </w:r>
      <w:r w:rsidR="009E600C">
        <w:rPr>
          <w:sz w:val="26"/>
        </w:rPr>
        <w:t xml:space="preserve">, 909 A.2d 469, 483 (Pa. Cmwlth. 2006); </w:t>
      </w:r>
      <w:r w:rsidR="009E600C" w:rsidRPr="00E31667">
        <w:rPr>
          <w:i/>
          <w:sz w:val="26"/>
        </w:rPr>
        <w:t>Barash v. Pa. PUC</w:t>
      </w:r>
      <w:r w:rsidR="009E600C">
        <w:rPr>
          <w:sz w:val="26"/>
        </w:rPr>
        <w:t>, 516 Pa. 142, 532 A.2d 325, 332 (Pa. 1987).  Section 1301.1 is susceptible to more than one reasonable interpretation.  The OCA argues that the language in the first sentence of Section 1301.1(a) clearly provides that Act 40 applies to the DSIC because Act 40 applies to rates as broadly defined in Section 102 of the Code, and the DSIC is a rate</w:t>
      </w:r>
      <w:r w:rsidR="009E600C" w:rsidRPr="0027018B">
        <w:rPr>
          <w:sz w:val="26"/>
        </w:rPr>
        <w:t xml:space="preserve"> </w:t>
      </w:r>
      <w:r w:rsidR="009E600C">
        <w:rPr>
          <w:sz w:val="26"/>
        </w:rPr>
        <w:t>that recovers utility investment and income tax expense related to that investment.</w:t>
      </w:r>
    </w:p>
    <w:p w14:paraId="012CE2D1" w14:textId="77777777" w:rsidR="009E600C" w:rsidRDefault="009E600C" w:rsidP="002F7DB7">
      <w:pPr>
        <w:widowControl/>
        <w:spacing w:line="360" w:lineRule="auto"/>
        <w:rPr>
          <w:sz w:val="26"/>
        </w:rPr>
      </w:pPr>
    </w:p>
    <w:p w14:paraId="320609E6" w14:textId="7D290A1E" w:rsidR="009E600C" w:rsidRDefault="009E600C" w:rsidP="002F7DB7">
      <w:pPr>
        <w:widowControl/>
        <w:spacing w:line="360" w:lineRule="auto"/>
        <w:rPr>
          <w:sz w:val="26"/>
        </w:rPr>
      </w:pPr>
      <w:r>
        <w:rPr>
          <w:sz w:val="26"/>
        </w:rPr>
        <w:tab/>
      </w:r>
      <w:r>
        <w:rPr>
          <w:sz w:val="26"/>
        </w:rPr>
        <w:tab/>
        <w:t>However, the OCA’s position does not account for the language in the third sentence of Section 1301.1(a), which provides as follows:</w:t>
      </w:r>
    </w:p>
    <w:p w14:paraId="2CB68936" w14:textId="77777777" w:rsidR="009E600C" w:rsidRDefault="009E600C" w:rsidP="002F7DB7">
      <w:pPr>
        <w:widowControl/>
        <w:spacing w:line="360" w:lineRule="auto"/>
        <w:rPr>
          <w:sz w:val="26"/>
        </w:rPr>
      </w:pPr>
    </w:p>
    <w:p w14:paraId="71BA94A0" w14:textId="5B0E6832" w:rsidR="009E600C" w:rsidRDefault="009E600C" w:rsidP="002F7DB7">
      <w:pPr>
        <w:widowControl/>
        <w:ind w:left="1440" w:right="1440"/>
        <w:rPr>
          <w:sz w:val="26"/>
        </w:rPr>
      </w:pPr>
      <w:r>
        <w:rPr>
          <w:sz w:val="26"/>
        </w:rPr>
        <w:t>The deferred income taxes used to determine the rate base of a public utility for ratemaking purposes shall be based solely on the tax deductions and credits received by the public utility and shall not include any deductions or credits generated by the expenses or investments of a public utility’s parent or any affiliated entity.</w:t>
      </w:r>
      <w:r>
        <w:rPr>
          <w:rStyle w:val="FootnoteReference"/>
          <w:sz w:val="26"/>
        </w:rPr>
        <w:footnoteReference w:id="18"/>
      </w:r>
    </w:p>
    <w:p w14:paraId="52C03847" w14:textId="77777777" w:rsidR="00EE4FEA" w:rsidRDefault="00EE4FEA" w:rsidP="002F7DB7">
      <w:pPr>
        <w:widowControl/>
        <w:ind w:left="1440" w:right="1440"/>
        <w:rPr>
          <w:sz w:val="26"/>
        </w:rPr>
      </w:pPr>
    </w:p>
    <w:p w14:paraId="1DE4A292" w14:textId="77777777" w:rsidR="009E600C" w:rsidRDefault="009E600C" w:rsidP="002F7DB7">
      <w:pPr>
        <w:widowControl/>
        <w:ind w:left="1440" w:right="1440"/>
        <w:rPr>
          <w:sz w:val="26"/>
        </w:rPr>
      </w:pPr>
    </w:p>
    <w:p w14:paraId="3ABA1025" w14:textId="7E48A7D0" w:rsidR="009E600C" w:rsidRDefault="009E600C" w:rsidP="002F7DB7">
      <w:pPr>
        <w:widowControl/>
        <w:spacing w:line="360" w:lineRule="auto"/>
        <w:rPr>
          <w:sz w:val="26"/>
        </w:rPr>
      </w:pPr>
      <w:r>
        <w:rPr>
          <w:sz w:val="26"/>
        </w:rPr>
        <w:t xml:space="preserve">66 Pa. C.S. § 1301.1(a).  This provision explains how the deductions and credits in the first sentence of Section 1301.1(a) should be calculated.  It refers back to the first two sentences of Section 1301.1(a) and specifically uses the term “rate base” and not the general term “rate.”  The term “rate base” is a technical term that is used in general base </w:t>
      </w:r>
      <w:r>
        <w:rPr>
          <w:sz w:val="26"/>
        </w:rPr>
        <w:lastRenderedPageBreak/>
        <w:t>rate cases.</w:t>
      </w:r>
      <w:r>
        <w:rPr>
          <w:rStyle w:val="FootnoteReference"/>
          <w:sz w:val="26"/>
        </w:rPr>
        <w:footnoteReference w:id="19"/>
      </w:r>
      <w:r>
        <w:rPr>
          <w:sz w:val="26"/>
        </w:rPr>
        <w:t xml:space="preserve">  The use of both the terms “rate” and “rate base” creates an ambiguity in the meaning of Section 1301.1 and supports the Compan</w:t>
      </w:r>
      <w:r w:rsidR="0028781E">
        <w:rPr>
          <w:sz w:val="26"/>
        </w:rPr>
        <w:t>y’s</w:t>
      </w:r>
      <w:r>
        <w:rPr>
          <w:sz w:val="26"/>
        </w:rPr>
        <w:t xml:space="preserve"> position that the language in Section 1301.1 is ambiguous and, therefore, should be analyzed under Section 1921(c), 1 Pa. C.S. § 1921(c),</w:t>
      </w:r>
      <w:r>
        <w:rPr>
          <w:rStyle w:val="FootnoteReference"/>
          <w:sz w:val="26"/>
        </w:rPr>
        <w:footnoteReference w:id="20"/>
      </w:r>
      <w:r>
        <w:rPr>
          <w:sz w:val="26"/>
        </w:rPr>
        <w:t xml:space="preserve"> to ascertain the intention of the General Assembly. </w:t>
      </w:r>
    </w:p>
    <w:p w14:paraId="2DB1F396" w14:textId="77777777" w:rsidR="009E600C" w:rsidRDefault="009E600C" w:rsidP="002F7DB7">
      <w:pPr>
        <w:widowControl/>
        <w:spacing w:line="360" w:lineRule="auto"/>
        <w:rPr>
          <w:sz w:val="26"/>
        </w:rPr>
      </w:pPr>
    </w:p>
    <w:p w14:paraId="0F0A1EF5" w14:textId="78BC08D7" w:rsidR="009E600C" w:rsidRDefault="009E600C" w:rsidP="002F7DB7">
      <w:pPr>
        <w:widowControl/>
        <w:spacing w:line="360" w:lineRule="auto"/>
        <w:rPr>
          <w:sz w:val="26"/>
          <w:szCs w:val="21"/>
        </w:rPr>
      </w:pPr>
      <w:r>
        <w:rPr>
          <w:sz w:val="26"/>
        </w:rPr>
        <w:tab/>
      </w:r>
      <w:r>
        <w:rPr>
          <w:sz w:val="26"/>
        </w:rPr>
        <w:tab/>
        <w:t>Our</w:t>
      </w:r>
      <w:r w:rsidRPr="0070180B">
        <w:rPr>
          <w:sz w:val="26"/>
        </w:rPr>
        <w:t xml:space="preserve"> examination of the contemporaneous legislative history </w:t>
      </w:r>
      <w:r>
        <w:rPr>
          <w:sz w:val="26"/>
        </w:rPr>
        <w:t xml:space="preserve">and the language of Section 1301.1 </w:t>
      </w:r>
      <w:r w:rsidRPr="0070180B">
        <w:rPr>
          <w:sz w:val="26"/>
        </w:rPr>
        <w:t xml:space="preserve">yields the clear intent of the legislature in enacting </w:t>
      </w:r>
      <w:r w:rsidRPr="0070180B">
        <w:rPr>
          <w:sz w:val="26"/>
          <w:szCs w:val="21"/>
        </w:rPr>
        <w:t>Act 40, as well as the occasion and necessity for the statute and the mischief to be remedied.</w:t>
      </w:r>
      <w:r>
        <w:rPr>
          <w:sz w:val="26"/>
          <w:szCs w:val="21"/>
        </w:rPr>
        <w:t xml:space="preserve">  In enacting the amendments to the Code to provide for the computation of income tax expense for ratemaking purposes, Representative Godshall remarked that the bill under consideration specifically requires “a public utility’s Federal income tax expense be </w:t>
      </w:r>
      <w:r>
        <w:rPr>
          <w:sz w:val="26"/>
          <w:szCs w:val="21"/>
        </w:rPr>
        <w:lastRenderedPageBreak/>
        <w:t xml:space="preserve">calculated on a stand-alone basis </w:t>
      </w:r>
      <w:r w:rsidR="00BD0CA7">
        <w:rPr>
          <w:sz w:val="26"/>
          <w:szCs w:val="21"/>
        </w:rPr>
        <w:t xml:space="preserve">. . . </w:t>
      </w:r>
      <w:r>
        <w:rPr>
          <w:sz w:val="26"/>
          <w:szCs w:val="21"/>
        </w:rPr>
        <w:t xml:space="preserve">in rate proceedings before the Pennsylvania Public Utility Commission.”  Representative Godshall stated, “this section applies to base rate cases where the PUC </w:t>
      </w:r>
      <w:r>
        <w:rPr>
          <w:sz w:val="26"/>
        </w:rPr>
        <w:t xml:space="preserve">finally [issues] an [order] after the effective </w:t>
      </w:r>
      <w:r>
        <w:rPr>
          <w:sz w:val="26"/>
          <w:szCs w:val="21"/>
        </w:rPr>
        <w:t>date” and “would only go into effect when a utility comes in for a base rate case.”  Additionally, Representative Longietti remarked that the bill “simply follows what the vast majority of states currently do, which is allow regulated utilities to be judged on a stand-alone basis when it comes to ratemaking.”  Legislative Journal at 117.  During the public hearing on the bill, Representative Godshall explained the following:</w:t>
      </w:r>
    </w:p>
    <w:p w14:paraId="1252435F" w14:textId="77777777" w:rsidR="009E600C" w:rsidRDefault="009E600C" w:rsidP="002F7DB7">
      <w:pPr>
        <w:widowControl/>
        <w:spacing w:line="360" w:lineRule="auto"/>
        <w:rPr>
          <w:sz w:val="26"/>
          <w:szCs w:val="21"/>
        </w:rPr>
      </w:pPr>
    </w:p>
    <w:p w14:paraId="78EF46FC" w14:textId="028073AA" w:rsidR="009E600C" w:rsidRPr="0070180B" w:rsidRDefault="009E600C" w:rsidP="002F7DB7">
      <w:pPr>
        <w:widowControl/>
        <w:ind w:left="1440" w:right="1440"/>
        <w:rPr>
          <w:sz w:val="26"/>
          <w:szCs w:val="21"/>
        </w:rPr>
      </w:pPr>
      <w:r>
        <w:rPr>
          <w:sz w:val="26"/>
          <w:szCs w:val="21"/>
        </w:rPr>
        <w:t>Currently, a ratemaking policy dictated by the Courts and not the General Assembly requires a consolidated income tax expense approach.  Under this approach, the combined tax expense of the regulated utility and its unregulated affiliates is used when setting rates through a base rate case at the PUC.  While this method may seem to benefit utility ratepayers, general ratemaking policy prohibits consideration of actions of an unregulated affiliate when setting rates of a regulated entity and effectively results in a subsidy to utility ratepayers by an unregulated entity.  House Bill 1436 would eliminate the consolidated tax approach and adopt a standalone approach used by a majority of the states and the Federal Energy Regulatory Commission.</w:t>
      </w:r>
    </w:p>
    <w:p w14:paraId="58DF12AB" w14:textId="660F1CF2" w:rsidR="009E600C" w:rsidRDefault="009E600C" w:rsidP="002F7DB7">
      <w:pPr>
        <w:widowControl/>
        <w:rPr>
          <w:sz w:val="26"/>
          <w:szCs w:val="21"/>
        </w:rPr>
      </w:pPr>
    </w:p>
    <w:p w14:paraId="6CD6670C" w14:textId="77777777" w:rsidR="00A526BD" w:rsidRDefault="00A526BD" w:rsidP="002F7DB7">
      <w:pPr>
        <w:widowControl/>
        <w:rPr>
          <w:sz w:val="26"/>
          <w:szCs w:val="21"/>
        </w:rPr>
      </w:pPr>
    </w:p>
    <w:p w14:paraId="00DC0649" w14:textId="09FC543A" w:rsidR="009E600C" w:rsidRDefault="009E600C" w:rsidP="002F7DB7">
      <w:pPr>
        <w:widowControl/>
        <w:spacing w:line="360" w:lineRule="auto"/>
        <w:rPr>
          <w:sz w:val="26"/>
          <w:szCs w:val="21"/>
        </w:rPr>
      </w:pPr>
      <w:r>
        <w:rPr>
          <w:sz w:val="26"/>
          <w:szCs w:val="21"/>
        </w:rPr>
        <w:t>H.B. 1436 Hearing, Tr. at 4-5.</w:t>
      </w:r>
      <w:r>
        <w:rPr>
          <w:rStyle w:val="FootnoteReference"/>
          <w:sz w:val="26"/>
          <w:szCs w:val="21"/>
        </w:rPr>
        <w:footnoteReference w:id="21"/>
      </w:r>
      <w:r>
        <w:rPr>
          <w:sz w:val="26"/>
          <w:szCs w:val="21"/>
        </w:rPr>
        <w:t xml:space="preserve">  Based on our analysis of the legislative intent, the intended purpose of Section 1301.1 was to move away from Pennsylvania’s past practice of requiring a consolidated tax adjustment to a public utility’s tax expenses when setting rates in a base rate proceeding.  The legislative history does not include a discussion of an </w:t>
      </w:r>
      <w:r>
        <w:rPr>
          <w:sz w:val="26"/>
          <w:szCs w:val="21"/>
        </w:rPr>
        <w:lastRenderedPageBreak/>
        <w:t>intent to change the DSIC calculation or to eliminate the Commission’s discretion regarding the DSIC calculation.</w:t>
      </w:r>
    </w:p>
    <w:p w14:paraId="13E9E208" w14:textId="77777777" w:rsidR="009E600C" w:rsidRPr="0070180B" w:rsidRDefault="009E600C" w:rsidP="002F7DB7">
      <w:pPr>
        <w:widowControl/>
        <w:spacing w:line="360" w:lineRule="auto"/>
        <w:ind w:left="1440" w:right="1440"/>
        <w:rPr>
          <w:sz w:val="26"/>
          <w:szCs w:val="21"/>
        </w:rPr>
      </w:pPr>
    </w:p>
    <w:p w14:paraId="74E1EA7D" w14:textId="20078DD4" w:rsidR="00C1007B" w:rsidRDefault="009E600C" w:rsidP="002F7DB7">
      <w:pPr>
        <w:widowControl/>
        <w:spacing w:line="360" w:lineRule="auto"/>
        <w:rPr>
          <w:sz w:val="26"/>
          <w:szCs w:val="26"/>
        </w:rPr>
      </w:pPr>
      <w:r>
        <w:rPr>
          <w:sz w:val="26"/>
          <w:szCs w:val="21"/>
        </w:rPr>
        <w:tab/>
      </w:r>
      <w:r>
        <w:rPr>
          <w:sz w:val="26"/>
          <w:szCs w:val="21"/>
        </w:rPr>
        <w:tab/>
      </w:r>
      <w:r w:rsidRPr="00AB2511">
        <w:rPr>
          <w:sz w:val="26"/>
          <w:szCs w:val="21"/>
        </w:rPr>
        <w:t>Accordingly, we conclude that</w:t>
      </w:r>
      <w:r>
        <w:rPr>
          <w:sz w:val="26"/>
          <w:szCs w:val="21"/>
        </w:rPr>
        <w:t xml:space="preserve"> Act 40 has not </w:t>
      </w:r>
      <w:r w:rsidR="004E27AF">
        <w:rPr>
          <w:sz w:val="26"/>
          <w:szCs w:val="21"/>
        </w:rPr>
        <w:t>superseded the</w:t>
      </w:r>
      <w:r>
        <w:rPr>
          <w:sz w:val="26"/>
          <w:szCs w:val="21"/>
        </w:rPr>
        <w:t xml:space="preserve"> Commission’s prior decisions in DSIC proceedings, or the Commission’s discretion regarding the DSIC calculation.</w:t>
      </w:r>
      <w:r w:rsidR="004E27AF">
        <w:rPr>
          <w:sz w:val="26"/>
          <w:szCs w:val="21"/>
        </w:rPr>
        <w:t xml:space="preserve">  </w:t>
      </w:r>
      <w:r w:rsidR="00D15C8A">
        <w:rPr>
          <w:sz w:val="26"/>
          <w:szCs w:val="26"/>
        </w:rPr>
        <w:t xml:space="preserve">For these reasons, we decline to adopt </w:t>
      </w:r>
      <w:r w:rsidR="005F3C19">
        <w:rPr>
          <w:sz w:val="26"/>
          <w:szCs w:val="26"/>
        </w:rPr>
        <w:t xml:space="preserve">the </w:t>
      </w:r>
      <w:r w:rsidR="00D15C8A">
        <w:rPr>
          <w:sz w:val="26"/>
          <w:szCs w:val="26"/>
        </w:rPr>
        <w:t xml:space="preserve">OCA’s recommendation.  Consistent with the above discussion, we </w:t>
      </w:r>
      <w:r w:rsidR="00400E63">
        <w:rPr>
          <w:sz w:val="26"/>
          <w:szCs w:val="26"/>
        </w:rPr>
        <w:t xml:space="preserve">shall </w:t>
      </w:r>
      <w:r w:rsidR="00D15C8A">
        <w:rPr>
          <w:sz w:val="26"/>
          <w:szCs w:val="26"/>
        </w:rPr>
        <w:t>grant NAWC’</w:t>
      </w:r>
      <w:r w:rsidR="00280B64">
        <w:rPr>
          <w:sz w:val="26"/>
          <w:szCs w:val="26"/>
        </w:rPr>
        <w:t>s</w:t>
      </w:r>
      <w:r w:rsidR="00D15C8A">
        <w:rPr>
          <w:sz w:val="26"/>
          <w:szCs w:val="26"/>
        </w:rPr>
        <w:t xml:space="preserve"> Exception No</w:t>
      </w:r>
      <w:r w:rsidR="00D25093">
        <w:rPr>
          <w:sz w:val="26"/>
          <w:szCs w:val="26"/>
        </w:rPr>
        <w:t>s</w:t>
      </w:r>
      <w:r w:rsidR="00D15C8A">
        <w:rPr>
          <w:sz w:val="26"/>
          <w:szCs w:val="26"/>
        </w:rPr>
        <w:t xml:space="preserve">. 4 and </w:t>
      </w:r>
      <w:r w:rsidR="00D25093">
        <w:rPr>
          <w:sz w:val="26"/>
          <w:szCs w:val="26"/>
        </w:rPr>
        <w:t xml:space="preserve">5 </w:t>
      </w:r>
      <w:r w:rsidR="00C537C4">
        <w:rPr>
          <w:sz w:val="26"/>
          <w:szCs w:val="26"/>
        </w:rPr>
        <w:t xml:space="preserve">and </w:t>
      </w:r>
      <w:r w:rsidR="006061D6">
        <w:rPr>
          <w:sz w:val="26"/>
          <w:szCs w:val="26"/>
        </w:rPr>
        <w:t xml:space="preserve">modify </w:t>
      </w:r>
      <w:r w:rsidR="00D15C8A">
        <w:rPr>
          <w:sz w:val="26"/>
          <w:szCs w:val="26"/>
        </w:rPr>
        <w:t>the ALJ’s recommendation on this issue.</w:t>
      </w:r>
    </w:p>
    <w:p w14:paraId="19EDBA05" w14:textId="77777777" w:rsidR="00D15C8A" w:rsidRDefault="00D15C8A" w:rsidP="002F7DB7">
      <w:pPr>
        <w:widowControl/>
        <w:spacing w:line="360" w:lineRule="auto"/>
        <w:rPr>
          <w:sz w:val="26"/>
          <w:szCs w:val="26"/>
        </w:rPr>
      </w:pPr>
    </w:p>
    <w:p w14:paraId="500607FD" w14:textId="27E452D9" w:rsidR="00C54757" w:rsidRDefault="00296AF4" w:rsidP="002F7DB7">
      <w:pPr>
        <w:widowControl/>
        <w:spacing w:line="360" w:lineRule="auto"/>
        <w:rPr>
          <w:sz w:val="26"/>
          <w:szCs w:val="26"/>
        </w:rPr>
      </w:pPr>
      <w:r>
        <w:rPr>
          <w:sz w:val="26"/>
          <w:szCs w:val="26"/>
        </w:rPr>
        <w:tab/>
      </w:r>
      <w:r>
        <w:rPr>
          <w:sz w:val="26"/>
          <w:szCs w:val="26"/>
        </w:rPr>
        <w:tab/>
      </w:r>
      <w:r w:rsidR="00FB2BEC">
        <w:rPr>
          <w:sz w:val="26"/>
          <w:szCs w:val="26"/>
        </w:rPr>
        <w:t xml:space="preserve">With regard to </w:t>
      </w:r>
      <w:r w:rsidR="00D15C8A">
        <w:rPr>
          <w:sz w:val="26"/>
          <w:szCs w:val="26"/>
        </w:rPr>
        <w:t xml:space="preserve">NAWC’s Exception No. 6, </w:t>
      </w:r>
      <w:r w:rsidR="00C16889">
        <w:rPr>
          <w:sz w:val="26"/>
          <w:szCs w:val="26"/>
        </w:rPr>
        <w:t>NAWC excepts</w:t>
      </w:r>
      <w:r w:rsidR="00713210">
        <w:rPr>
          <w:sz w:val="26"/>
          <w:szCs w:val="26"/>
        </w:rPr>
        <w:t xml:space="preserve"> to the conclusion that Act 40 requires the inclusion of federal and state income tax deductions in the calculation of overall return used to apply the DSIC earnings cap.  </w:t>
      </w:r>
      <w:r w:rsidR="00C54757">
        <w:rPr>
          <w:sz w:val="26"/>
          <w:szCs w:val="26"/>
        </w:rPr>
        <w:t>In the October 2017 version of its quarterly earnings report for the 12-months ending June 30,</w:t>
      </w:r>
      <w:r w:rsidR="00280B64">
        <w:rPr>
          <w:sz w:val="26"/>
          <w:szCs w:val="26"/>
        </w:rPr>
        <w:t xml:space="preserve"> </w:t>
      </w:r>
      <w:r w:rsidR="00C54757">
        <w:rPr>
          <w:sz w:val="26"/>
          <w:szCs w:val="26"/>
        </w:rPr>
        <w:t>2017, NAWC made an adjustment to its financial report to remove a federal income tax deduction.  As a result, the financial re</w:t>
      </w:r>
      <w:r w:rsidR="00345E29">
        <w:rPr>
          <w:sz w:val="26"/>
          <w:szCs w:val="26"/>
        </w:rPr>
        <w:t>p</w:t>
      </w:r>
      <w:r w:rsidR="00C54757">
        <w:rPr>
          <w:sz w:val="26"/>
          <w:szCs w:val="26"/>
        </w:rPr>
        <w:t>o</w:t>
      </w:r>
      <w:r w:rsidR="00345E29">
        <w:rPr>
          <w:sz w:val="26"/>
          <w:szCs w:val="26"/>
        </w:rPr>
        <w:t>r</w:t>
      </w:r>
      <w:r w:rsidR="00C54757">
        <w:rPr>
          <w:sz w:val="26"/>
          <w:szCs w:val="26"/>
        </w:rPr>
        <w:t xml:space="preserve">t indicated the Company had federal income tax expenses of $277,343, when, in fact, NAWC </w:t>
      </w:r>
      <w:r w:rsidR="00345E29">
        <w:rPr>
          <w:sz w:val="26"/>
          <w:szCs w:val="26"/>
        </w:rPr>
        <w:t>paid</w:t>
      </w:r>
      <w:r w:rsidR="00C54757">
        <w:rPr>
          <w:sz w:val="26"/>
          <w:szCs w:val="26"/>
        </w:rPr>
        <w:t xml:space="preserve"> no federal income ta</w:t>
      </w:r>
      <w:r w:rsidR="00345E29">
        <w:rPr>
          <w:sz w:val="26"/>
          <w:szCs w:val="26"/>
        </w:rPr>
        <w:t>x</w:t>
      </w:r>
      <w:r w:rsidR="00C54757">
        <w:rPr>
          <w:sz w:val="26"/>
          <w:szCs w:val="26"/>
        </w:rPr>
        <w:t xml:space="preserve">es.  R. Exc. at 17 </w:t>
      </w:r>
      <w:r w:rsidR="004C1A65">
        <w:rPr>
          <w:sz w:val="26"/>
          <w:szCs w:val="26"/>
        </w:rPr>
        <w:t>(</w:t>
      </w:r>
      <w:r w:rsidR="00C54757">
        <w:rPr>
          <w:sz w:val="26"/>
          <w:szCs w:val="26"/>
        </w:rPr>
        <w:t>citing OCA St. 1 at 8, Sch. JDM-1</w:t>
      </w:r>
      <w:r w:rsidR="004C1A65">
        <w:rPr>
          <w:sz w:val="26"/>
          <w:szCs w:val="26"/>
        </w:rPr>
        <w:t>)</w:t>
      </w:r>
      <w:r w:rsidR="00C54757">
        <w:rPr>
          <w:sz w:val="26"/>
          <w:szCs w:val="26"/>
        </w:rPr>
        <w:t>.  The adjust</w:t>
      </w:r>
      <w:r w:rsidR="00345E29">
        <w:rPr>
          <w:sz w:val="26"/>
          <w:szCs w:val="26"/>
        </w:rPr>
        <w:t>ment</w:t>
      </w:r>
      <w:r w:rsidR="00C54757">
        <w:rPr>
          <w:sz w:val="26"/>
          <w:szCs w:val="26"/>
        </w:rPr>
        <w:t xml:space="preserve"> </w:t>
      </w:r>
      <w:r w:rsidR="00345E29">
        <w:rPr>
          <w:sz w:val="26"/>
          <w:szCs w:val="26"/>
        </w:rPr>
        <w:t>changed</w:t>
      </w:r>
      <w:r w:rsidR="00C54757">
        <w:rPr>
          <w:sz w:val="26"/>
          <w:szCs w:val="26"/>
        </w:rPr>
        <w:t xml:space="preserve"> the Company’s reported overall rate of </w:t>
      </w:r>
      <w:r w:rsidR="00345E29">
        <w:rPr>
          <w:sz w:val="26"/>
          <w:szCs w:val="26"/>
        </w:rPr>
        <w:t>return</w:t>
      </w:r>
      <w:r w:rsidR="00C54757">
        <w:rPr>
          <w:sz w:val="26"/>
          <w:szCs w:val="26"/>
        </w:rPr>
        <w:t xml:space="preserve">, which is one of the two </w:t>
      </w:r>
      <w:r w:rsidR="00345E29">
        <w:rPr>
          <w:sz w:val="26"/>
          <w:szCs w:val="26"/>
        </w:rPr>
        <w:t>inputs</w:t>
      </w:r>
      <w:r w:rsidR="00C54757">
        <w:rPr>
          <w:sz w:val="26"/>
          <w:szCs w:val="26"/>
        </w:rPr>
        <w:t xml:space="preserve"> used to determine whether its DSIC earnings cap is triggered.  R. Exc. at 17 </w:t>
      </w:r>
      <w:r w:rsidR="004C1A65">
        <w:rPr>
          <w:sz w:val="26"/>
          <w:szCs w:val="26"/>
        </w:rPr>
        <w:t>(</w:t>
      </w:r>
      <w:r w:rsidR="00C54757">
        <w:rPr>
          <w:sz w:val="26"/>
          <w:szCs w:val="26"/>
        </w:rPr>
        <w:t>citing 66 Pa. C.S. § 1358(b)(3); R.D. at 62</w:t>
      </w:r>
      <w:r w:rsidR="004C1A65">
        <w:rPr>
          <w:sz w:val="26"/>
          <w:szCs w:val="26"/>
        </w:rPr>
        <w:t>)</w:t>
      </w:r>
      <w:r w:rsidR="00C54757">
        <w:rPr>
          <w:sz w:val="26"/>
          <w:szCs w:val="26"/>
        </w:rPr>
        <w:t xml:space="preserve">.  </w:t>
      </w:r>
    </w:p>
    <w:p w14:paraId="126D5B44" w14:textId="77777777" w:rsidR="00C54757" w:rsidRDefault="00C54757" w:rsidP="002F7DB7">
      <w:pPr>
        <w:widowControl/>
        <w:spacing w:line="360" w:lineRule="auto"/>
        <w:rPr>
          <w:sz w:val="26"/>
          <w:szCs w:val="26"/>
        </w:rPr>
      </w:pPr>
    </w:p>
    <w:p w14:paraId="0852F7D4" w14:textId="32A8F387" w:rsidR="00C91F44" w:rsidRDefault="00C54757" w:rsidP="002F7DB7">
      <w:pPr>
        <w:widowControl/>
        <w:spacing w:line="360" w:lineRule="auto"/>
        <w:rPr>
          <w:sz w:val="26"/>
          <w:szCs w:val="26"/>
        </w:rPr>
      </w:pPr>
      <w:r>
        <w:rPr>
          <w:sz w:val="26"/>
          <w:szCs w:val="26"/>
        </w:rPr>
        <w:tab/>
      </w:r>
      <w:r>
        <w:rPr>
          <w:sz w:val="26"/>
          <w:szCs w:val="26"/>
        </w:rPr>
        <w:tab/>
      </w:r>
      <w:r w:rsidR="00FB2BEC">
        <w:rPr>
          <w:sz w:val="26"/>
          <w:szCs w:val="26"/>
        </w:rPr>
        <w:t xml:space="preserve">The </w:t>
      </w:r>
      <w:r w:rsidR="00F208BF">
        <w:rPr>
          <w:sz w:val="26"/>
          <w:szCs w:val="26"/>
        </w:rPr>
        <w:t xml:space="preserve">Commission’s </w:t>
      </w:r>
      <w:r w:rsidR="00FB2BEC">
        <w:rPr>
          <w:sz w:val="26"/>
          <w:szCs w:val="26"/>
        </w:rPr>
        <w:t>Bureau of Technical Utility Services directed NAWC to revise its adjustment to its financial report</w:t>
      </w:r>
      <w:r w:rsidR="00345E29">
        <w:rPr>
          <w:sz w:val="26"/>
          <w:szCs w:val="26"/>
        </w:rPr>
        <w:t xml:space="preserve"> and </w:t>
      </w:r>
      <w:r>
        <w:rPr>
          <w:sz w:val="26"/>
          <w:szCs w:val="26"/>
        </w:rPr>
        <w:t xml:space="preserve">NAWC submitted a revised financial earnings report on November 28, 2017.  </w:t>
      </w:r>
      <w:r w:rsidR="00FB2BEC">
        <w:rPr>
          <w:sz w:val="26"/>
          <w:szCs w:val="26"/>
        </w:rPr>
        <w:t xml:space="preserve">The OCA recommended that if NAWC includes an adjustment to remove federal income tax deductions in future financial earnings reports, such adjustment should be calculated in the same manner as in the November </w:t>
      </w:r>
      <w:r>
        <w:rPr>
          <w:sz w:val="26"/>
          <w:szCs w:val="26"/>
        </w:rPr>
        <w:t>20</w:t>
      </w:r>
      <w:r w:rsidR="00FB2BEC">
        <w:rPr>
          <w:sz w:val="26"/>
          <w:szCs w:val="26"/>
        </w:rPr>
        <w:t xml:space="preserve">17 report.  R. Exc. at 17-18 </w:t>
      </w:r>
      <w:r w:rsidR="004C1A65">
        <w:rPr>
          <w:sz w:val="26"/>
          <w:szCs w:val="26"/>
        </w:rPr>
        <w:t>(</w:t>
      </w:r>
      <w:r w:rsidR="00FB2BEC">
        <w:rPr>
          <w:sz w:val="26"/>
          <w:szCs w:val="26"/>
        </w:rPr>
        <w:t>citing OCA St. 1SR at 7-8</w:t>
      </w:r>
      <w:r w:rsidR="004C1A65">
        <w:rPr>
          <w:sz w:val="26"/>
          <w:szCs w:val="26"/>
        </w:rPr>
        <w:t>)</w:t>
      </w:r>
      <w:r w:rsidR="00FB2BEC">
        <w:rPr>
          <w:sz w:val="26"/>
          <w:szCs w:val="26"/>
        </w:rPr>
        <w:t xml:space="preserve">.  The ALJ adopted this recommendation.  R. Exc. at 18 </w:t>
      </w:r>
      <w:r w:rsidR="004C1A65">
        <w:rPr>
          <w:sz w:val="26"/>
          <w:szCs w:val="26"/>
        </w:rPr>
        <w:t>(</w:t>
      </w:r>
      <w:r w:rsidR="00FB2BEC">
        <w:rPr>
          <w:sz w:val="26"/>
          <w:szCs w:val="26"/>
        </w:rPr>
        <w:t>citing R.D. at 61-62</w:t>
      </w:r>
      <w:r w:rsidR="004C1A65">
        <w:rPr>
          <w:sz w:val="26"/>
          <w:szCs w:val="26"/>
        </w:rPr>
        <w:t>)</w:t>
      </w:r>
      <w:r w:rsidR="00FB2BEC">
        <w:rPr>
          <w:sz w:val="26"/>
          <w:szCs w:val="26"/>
        </w:rPr>
        <w:t xml:space="preserve">.  </w:t>
      </w:r>
      <w:r w:rsidR="00D65EB9">
        <w:rPr>
          <w:sz w:val="26"/>
          <w:szCs w:val="26"/>
        </w:rPr>
        <w:t xml:space="preserve">As noted by the ALJ, this had an impact on the DSIC earnings cap, which is a factor considered to determine if the DSIC should be reset to zero.  R.D. at 62.  </w:t>
      </w:r>
      <w:r w:rsidR="002B0382">
        <w:rPr>
          <w:sz w:val="26"/>
          <w:szCs w:val="26"/>
        </w:rPr>
        <w:t>W</w:t>
      </w:r>
      <w:r w:rsidR="00D65EB9">
        <w:rPr>
          <w:sz w:val="26"/>
          <w:szCs w:val="26"/>
        </w:rPr>
        <w:t xml:space="preserve">e </w:t>
      </w:r>
      <w:r w:rsidR="00280B64">
        <w:rPr>
          <w:sz w:val="26"/>
          <w:szCs w:val="26"/>
        </w:rPr>
        <w:t xml:space="preserve">believe </w:t>
      </w:r>
      <w:r w:rsidR="00E77100">
        <w:rPr>
          <w:sz w:val="26"/>
          <w:szCs w:val="26"/>
        </w:rPr>
        <w:t xml:space="preserve">that the </w:t>
      </w:r>
      <w:r w:rsidR="00D65EB9">
        <w:rPr>
          <w:sz w:val="26"/>
          <w:szCs w:val="26"/>
        </w:rPr>
        <w:t>financial earnings report</w:t>
      </w:r>
      <w:r w:rsidR="00280B64">
        <w:rPr>
          <w:sz w:val="26"/>
          <w:szCs w:val="26"/>
        </w:rPr>
        <w:t xml:space="preserve">s going </w:t>
      </w:r>
      <w:r w:rsidR="00280B64">
        <w:rPr>
          <w:sz w:val="26"/>
          <w:szCs w:val="26"/>
        </w:rPr>
        <w:lastRenderedPageBreak/>
        <w:t>forward</w:t>
      </w:r>
      <w:r w:rsidR="00D65EB9">
        <w:rPr>
          <w:sz w:val="26"/>
          <w:szCs w:val="26"/>
        </w:rPr>
        <w:t xml:space="preserve"> should be calculated in the same manner as in the November 2017 report</w:t>
      </w:r>
      <w:r w:rsidR="00280B64">
        <w:rPr>
          <w:sz w:val="26"/>
          <w:szCs w:val="26"/>
        </w:rPr>
        <w:t xml:space="preserve">, </w:t>
      </w:r>
      <w:r w:rsidR="002B0382">
        <w:rPr>
          <w:sz w:val="26"/>
          <w:szCs w:val="26"/>
        </w:rPr>
        <w:t>and NAWC has stated it will do so.  W</w:t>
      </w:r>
      <w:r w:rsidR="00D65EB9">
        <w:rPr>
          <w:sz w:val="26"/>
          <w:szCs w:val="26"/>
        </w:rPr>
        <w:t xml:space="preserve">e agree with NAWC </w:t>
      </w:r>
      <w:r w:rsidR="00064DEC">
        <w:rPr>
          <w:sz w:val="26"/>
          <w:szCs w:val="26"/>
        </w:rPr>
        <w:t xml:space="preserve">and </w:t>
      </w:r>
      <w:r w:rsidR="00F208BF">
        <w:rPr>
          <w:sz w:val="26"/>
          <w:szCs w:val="26"/>
        </w:rPr>
        <w:t xml:space="preserve">the </w:t>
      </w:r>
      <w:r w:rsidR="00064DEC">
        <w:rPr>
          <w:sz w:val="26"/>
          <w:szCs w:val="26"/>
        </w:rPr>
        <w:t xml:space="preserve">OCA </w:t>
      </w:r>
      <w:r w:rsidR="00D65EB9">
        <w:rPr>
          <w:sz w:val="26"/>
          <w:szCs w:val="26"/>
        </w:rPr>
        <w:t>that Act 40 does not apply to Chapter 71 financial reporting</w:t>
      </w:r>
      <w:r w:rsidR="00280B64">
        <w:rPr>
          <w:sz w:val="26"/>
          <w:szCs w:val="26"/>
        </w:rPr>
        <w:t xml:space="preserve">. </w:t>
      </w:r>
      <w:r w:rsidR="00D65EB9">
        <w:rPr>
          <w:sz w:val="26"/>
          <w:szCs w:val="26"/>
        </w:rPr>
        <w:t xml:space="preserve"> </w:t>
      </w:r>
      <w:r w:rsidR="00280B64">
        <w:rPr>
          <w:sz w:val="26"/>
          <w:szCs w:val="26"/>
        </w:rPr>
        <w:t>T</w:t>
      </w:r>
      <w:r w:rsidR="00D65EB9">
        <w:rPr>
          <w:sz w:val="26"/>
          <w:szCs w:val="26"/>
        </w:rPr>
        <w:t xml:space="preserve">herefore, NAWC’s Exception No. 6 </w:t>
      </w:r>
      <w:r w:rsidR="00400E63">
        <w:rPr>
          <w:sz w:val="26"/>
          <w:szCs w:val="26"/>
        </w:rPr>
        <w:t xml:space="preserve">shall be </w:t>
      </w:r>
      <w:r w:rsidR="00D65EB9">
        <w:rPr>
          <w:sz w:val="26"/>
          <w:szCs w:val="26"/>
        </w:rPr>
        <w:t>granted.</w:t>
      </w:r>
    </w:p>
    <w:p w14:paraId="71FA355D" w14:textId="77777777" w:rsidR="00D65EB9" w:rsidRDefault="00D65EB9" w:rsidP="002F7DB7">
      <w:pPr>
        <w:widowControl/>
        <w:spacing w:line="360" w:lineRule="auto"/>
        <w:rPr>
          <w:sz w:val="26"/>
          <w:szCs w:val="26"/>
        </w:rPr>
      </w:pPr>
    </w:p>
    <w:p w14:paraId="2677B65D" w14:textId="1D3753BF" w:rsidR="00F143D8" w:rsidRDefault="00E21A9B" w:rsidP="002F7DB7">
      <w:pPr>
        <w:widowControl/>
        <w:spacing w:line="360" w:lineRule="auto"/>
        <w:rPr>
          <w:sz w:val="26"/>
          <w:szCs w:val="26"/>
        </w:rPr>
      </w:pPr>
      <w:r>
        <w:rPr>
          <w:sz w:val="26"/>
          <w:szCs w:val="26"/>
        </w:rPr>
        <w:tab/>
      </w:r>
      <w:r>
        <w:rPr>
          <w:sz w:val="26"/>
          <w:szCs w:val="26"/>
        </w:rPr>
        <w:tab/>
        <w:t xml:space="preserve">With regard to NAWC’s </w:t>
      </w:r>
      <w:r w:rsidR="00C91F44">
        <w:rPr>
          <w:sz w:val="26"/>
          <w:szCs w:val="26"/>
        </w:rPr>
        <w:t>Exception No. 7</w:t>
      </w:r>
      <w:r>
        <w:rPr>
          <w:sz w:val="26"/>
          <w:szCs w:val="26"/>
        </w:rPr>
        <w:t xml:space="preserve">, NAWC acknowledged that going forward, it will eliminate short term debt from its DSIC calculation and use the cost of long term debt in its DSIC calculation that is acceptable to Commission staff.  Exc. at 26 </w:t>
      </w:r>
      <w:r w:rsidR="00F208BF">
        <w:rPr>
          <w:sz w:val="26"/>
          <w:szCs w:val="26"/>
        </w:rPr>
        <w:t>(</w:t>
      </w:r>
      <w:r>
        <w:rPr>
          <w:sz w:val="26"/>
          <w:szCs w:val="26"/>
        </w:rPr>
        <w:t>citing NAWC St. No. 1R at 7 and 14</w:t>
      </w:r>
      <w:r w:rsidR="00F208BF">
        <w:rPr>
          <w:sz w:val="26"/>
          <w:szCs w:val="26"/>
        </w:rPr>
        <w:t>)</w:t>
      </w:r>
      <w:r>
        <w:rPr>
          <w:sz w:val="26"/>
          <w:szCs w:val="26"/>
        </w:rPr>
        <w:t>.  NAWC contends that based on present debt cost rates, the use of the actual cost of long term debt will decrease the DSIC charge.  NAWC noted that the exclusion of short term debt will increase the DSIC charge.  NAWC states that the offsetting nature of the adjustments should be recognized in the Commission’s final order</w:t>
      </w:r>
      <w:r w:rsidR="002B0382">
        <w:rPr>
          <w:sz w:val="26"/>
          <w:szCs w:val="26"/>
        </w:rPr>
        <w:t xml:space="preserve"> and this is the subject of NAWC’s Exception No. 7</w:t>
      </w:r>
      <w:r>
        <w:rPr>
          <w:sz w:val="26"/>
          <w:szCs w:val="26"/>
        </w:rPr>
        <w:t xml:space="preserve">.  </w:t>
      </w:r>
      <w:r w:rsidR="00F208BF">
        <w:rPr>
          <w:sz w:val="26"/>
          <w:szCs w:val="26"/>
        </w:rPr>
        <w:t xml:space="preserve">The </w:t>
      </w:r>
      <w:r>
        <w:rPr>
          <w:sz w:val="26"/>
          <w:szCs w:val="26"/>
        </w:rPr>
        <w:t xml:space="preserve">OCA notes that in the record before the Commission, no party has calculated the net impact of using the correct cost of long-term debt and eliminating short-term debt for the years 2013-2017. </w:t>
      </w:r>
      <w:r w:rsidR="006061D6">
        <w:rPr>
          <w:sz w:val="26"/>
          <w:szCs w:val="26"/>
        </w:rPr>
        <w:t xml:space="preserve"> </w:t>
      </w:r>
      <w:r w:rsidR="0060731E">
        <w:rPr>
          <w:sz w:val="26"/>
          <w:szCs w:val="26"/>
        </w:rPr>
        <w:t xml:space="preserve">R. Exc. at 19. </w:t>
      </w:r>
      <w:r w:rsidR="00E93C69">
        <w:rPr>
          <w:sz w:val="26"/>
          <w:szCs w:val="26"/>
        </w:rPr>
        <w:t xml:space="preserve"> </w:t>
      </w:r>
      <w:r w:rsidR="0060731E">
        <w:rPr>
          <w:sz w:val="26"/>
          <w:szCs w:val="26"/>
        </w:rPr>
        <w:t>The ALJ recommended that NAWC provide verified debt cost for the years 2013 through 2017 in its next Section 1307</w:t>
      </w:r>
      <w:r w:rsidR="002B0382">
        <w:rPr>
          <w:sz w:val="26"/>
          <w:szCs w:val="26"/>
        </w:rPr>
        <w:t>(e)</w:t>
      </w:r>
      <w:r w:rsidR="0060731E">
        <w:rPr>
          <w:sz w:val="26"/>
          <w:szCs w:val="26"/>
        </w:rPr>
        <w:t xml:space="preserve"> reconciliation proceeding, “to determine what extent, if any, there was a DSIC overcollection/undercollection during that period.</w:t>
      </w:r>
      <w:r w:rsidR="002B0382">
        <w:rPr>
          <w:sz w:val="26"/>
          <w:szCs w:val="26"/>
        </w:rPr>
        <w:t>”</w:t>
      </w:r>
      <w:r w:rsidR="0060731E">
        <w:rPr>
          <w:sz w:val="26"/>
          <w:szCs w:val="26"/>
        </w:rPr>
        <w:t xml:space="preserve">  R. Exc. at 20 </w:t>
      </w:r>
      <w:r w:rsidR="004C1A65">
        <w:rPr>
          <w:sz w:val="26"/>
          <w:szCs w:val="26"/>
        </w:rPr>
        <w:t>(</w:t>
      </w:r>
      <w:r w:rsidR="0060731E">
        <w:rPr>
          <w:sz w:val="26"/>
          <w:szCs w:val="26"/>
        </w:rPr>
        <w:t>citing R.D. at 64-65</w:t>
      </w:r>
      <w:r w:rsidR="004C1A65">
        <w:rPr>
          <w:sz w:val="26"/>
          <w:szCs w:val="26"/>
        </w:rPr>
        <w:t>)</w:t>
      </w:r>
      <w:r w:rsidR="0060731E">
        <w:rPr>
          <w:sz w:val="26"/>
          <w:szCs w:val="26"/>
        </w:rPr>
        <w:t xml:space="preserve">.  </w:t>
      </w:r>
      <w:r>
        <w:rPr>
          <w:sz w:val="26"/>
          <w:szCs w:val="26"/>
        </w:rPr>
        <w:t xml:space="preserve">We agree with </w:t>
      </w:r>
      <w:r w:rsidR="00F208BF">
        <w:rPr>
          <w:sz w:val="26"/>
          <w:szCs w:val="26"/>
        </w:rPr>
        <w:t xml:space="preserve">the </w:t>
      </w:r>
      <w:r>
        <w:rPr>
          <w:sz w:val="26"/>
          <w:szCs w:val="26"/>
        </w:rPr>
        <w:t xml:space="preserve">OCA, </w:t>
      </w:r>
      <w:r w:rsidR="002B0382">
        <w:rPr>
          <w:sz w:val="26"/>
          <w:szCs w:val="26"/>
        </w:rPr>
        <w:t xml:space="preserve">that </w:t>
      </w:r>
      <w:r>
        <w:rPr>
          <w:sz w:val="26"/>
          <w:szCs w:val="26"/>
        </w:rPr>
        <w:t xml:space="preserve">NAWC’s DSIC rate should be calculated correctly – historically and prospectively – whether or not the debt cost rate corrections are offsetting.  </w:t>
      </w:r>
      <w:r w:rsidR="002B0382">
        <w:rPr>
          <w:sz w:val="26"/>
          <w:szCs w:val="26"/>
        </w:rPr>
        <w:t xml:space="preserve">We believe that the offsetting nature of the current calculation does not need to be acknowledged.  </w:t>
      </w:r>
      <w:r w:rsidR="0060731E">
        <w:rPr>
          <w:sz w:val="26"/>
          <w:szCs w:val="26"/>
        </w:rPr>
        <w:t xml:space="preserve">Therefore, </w:t>
      </w:r>
      <w:r w:rsidR="00B42E5C">
        <w:rPr>
          <w:sz w:val="26"/>
          <w:szCs w:val="26"/>
        </w:rPr>
        <w:t xml:space="preserve">we shall deny </w:t>
      </w:r>
      <w:r w:rsidR="0060731E">
        <w:rPr>
          <w:sz w:val="26"/>
          <w:szCs w:val="26"/>
        </w:rPr>
        <w:t>NAWC’s Exception No. 7</w:t>
      </w:r>
      <w:r w:rsidR="00B42E5C">
        <w:rPr>
          <w:sz w:val="26"/>
          <w:szCs w:val="26"/>
        </w:rPr>
        <w:t>.</w:t>
      </w:r>
    </w:p>
    <w:p w14:paraId="4AE9CFA1" w14:textId="77777777" w:rsidR="00F143D8" w:rsidRDefault="00F143D8" w:rsidP="002F7DB7">
      <w:pPr>
        <w:widowControl/>
        <w:spacing w:line="360" w:lineRule="auto"/>
        <w:rPr>
          <w:sz w:val="26"/>
          <w:szCs w:val="26"/>
        </w:rPr>
      </w:pPr>
    </w:p>
    <w:p w14:paraId="26DE1737" w14:textId="2C865E89" w:rsidR="009548F4" w:rsidRDefault="00F143D8" w:rsidP="002F7DB7">
      <w:pPr>
        <w:widowControl/>
        <w:spacing w:line="360" w:lineRule="auto"/>
        <w:rPr>
          <w:sz w:val="26"/>
          <w:szCs w:val="26"/>
        </w:rPr>
      </w:pPr>
      <w:r>
        <w:rPr>
          <w:sz w:val="26"/>
          <w:szCs w:val="26"/>
        </w:rPr>
        <w:tab/>
      </w:r>
      <w:r>
        <w:rPr>
          <w:sz w:val="26"/>
          <w:szCs w:val="26"/>
        </w:rPr>
        <w:tab/>
      </w:r>
      <w:r w:rsidR="002C2838">
        <w:rPr>
          <w:sz w:val="26"/>
          <w:szCs w:val="26"/>
        </w:rPr>
        <w:t xml:space="preserve">Although we agree with the ALJ’s rationale regarding the need to resolve any overcollection or undercollection of DSIC, </w:t>
      </w:r>
      <w:r w:rsidR="00C563B7">
        <w:rPr>
          <w:sz w:val="26"/>
          <w:szCs w:val="26"/>
        </w:rPr>
        <w:t xml:space="preserve">we disagree with </w:t>
      </w:r>
      <w:bookmarkStart w:id="36" w:name="_Hlk511049858"/>
      <w:r w:rsidR="00C563B7">
        <w:rPr>
          <w:sz w:val="26"/>
          <w:szCs w:val="26"/>
        </w:rPr>
        <w:t xml:space="preserve">the procedural mechanism </w:t>
      </w:r>
      <w:r w:rsidR="002C2838">
        <w:rPr>
          <w:sz w:val="26"/>
          <w:szCs w:val="26"/>
        </w:rPr>
        <w:t>for addressing this issue as recommended</w:t>
      </w:r>
      <w:r w:rsidR="00C563B7">
        <w:rPr>
          <w:sz w:val="26"/>
          <w:szCs w:val="26"/>
        </w:rPr>
        <w:t xml:space="preserve"> in </w:t>
      </w:r>
      <w:r w:rsidR="002C2838">
        <w:rPr>
          <w:sz w:val="26"/>
          <w:szCs w:val="26"/>
        </w:rPr>
        <w:t xml:space="preserve">Ordering Paragraph No. 6 of </w:t>
      </w:r>
      <w:r w:rsidR="00C563B7">
        <w:rPr>
          <w:sz w:val="26"/>
          <w:szCs w:val="26"/>
        </w:rPr>
        <w:t>the Recommended Decision</w:t>
      </w:r>
      <w:bookmarkEnd w:id="36"/>
      <w:r w:rsidR="002C2838">
        <w:rPr>
          <w:sz w:val="26"/>
          <w:szCs w:val="26"/>
        </w:rPr>
        <w:t xml:space="preserve"> which would not occur until the Company’s next </w:t>
      </w:r>
      <w:r w:rsidR="001544DD">
        <w:rPr>
          <w:sz w:val="26"/>
          <w:szCs w:val="26"/>
        </w:rPr>
        <w:t xml:space="preserve">annual </w:t>
      </w:r>
      <w:r>
        <w:rPr>
          <w:sz w:val="26"/>
          <w:szCs w:val="26"/>
        </w:rPr>
        <w:t>1307(e) reconciliation (</w:t>
      </w:r>
      <w:r w:rsidR="004B5A1F" w:rsidRPr="004B5A1F">
        <w:rPr>
          <w:i/>
          <w:sz w:val="26"/>
          <w:szCs w:val="26"/>
        </w:rPr>
        <w:t>i.e.</w:t>
      </w:r>
      <w:r w:rsidR="004B5A1F">
        <w:rPr>
          <w:sz w:val="26"/>
          <w:szCs w:val="26"/>
        </w:rPr>
        <w:t xml:space="preserve">, </w:t>
      </w:r>
      <w:r>
        <w:rPr>
          <w:sz w:val="26"/>
          <w:szCs w:val="26"/>
        </w:rPr>
        <w:t>not un</w:t>
      </w:r>
      <w:r w:rsidR="00E0607D">
        <w:rPr>
          <w:sz w:val="26"/>
          <w:szCs w:val="26"/>
        </w:rPr>
        <w:t>t</w:t>
      </w:r>
      <w:r>
        <w:rPr>
          <w:sz w:val="26"/>
          <w:szCs w:val="26"/>
        </w:rPr>
        <w:t>il January 2019)</w:t>
      </w:r>
      <w:r w:rsidR="002C2838">
        <w:rPr>
          <w:sz w:val="26"/>
          <w:szCs w:val="26"/>
        </w:rPr>
        <w:t xml:space="preserve">.  </w:t>
      </w:r>
      <w:r w:rsidR="00C563B7">
        <w:rPr>
          <w:sz w:val="26"/>
          <w:szCs w:val="26"/>
        </w:rPr>
        <w:t>Rather,</w:t>
      </w:r>
      <w:r w:rsidR="002C2838">
        <w:rPr>
          <w:sz w:val="26"/>
          <w:szCs w:val="26"/>
        </w:rPr>
        <w:t xml:space="preserve"> we believe a more appropriate and </w:t>
      </w:r>
      <w:r w:rsidR="002C2838">
        <w:rPr>
          <w:sz w:val="26"/>
          <w:szCs w:val="26"/>
        </w:rPr>
        <w:lastRenderedPageBreak/>
        <w:t xml:space="preserve">timely method of resolving this issue </w:t>
      </w:r>
      <w:r>
        <w:rPr>
          <w:sz w:val="26"/>
          <w:szCs w:val="26"/>
        </w:rPr>
        <w:t>is</w:t>
      </w:r>
      <w:r w:rsidR="002C2838">
        <w:rPr>
          <w:sz w:val="26"/>
          <w:szCs w:val="26"/>
        </w:rPr>
        <w:t xml:space="preserve"> to require the Company to </w:t>
      </w:r>
      <w:r>
        <w:rPr>
          <w:sz w:val="26"/>
          <w:szCs w:val="26"/>
        </w:rPr>
        <w:t xml:space="preserve">make a Compliance Filing with the Commission within thirty days of </w:t>
      </w:r>
      <w:r w:rsidR="00317441">
        <w:rPr>
          <w:sz w:val="26"/>
          <w:szCs w:val="26"/>
        </w:rPr>
        <w:t xml:space="preserve">the date of </w:t>
      </w:r>
      <w:r>
        <w:rPr>
          <w:sz w:val="26"/>
          <w:szCs w:val="26"/>
        </w:rPr>
        <w:t xml:space="preserve">entry of this Opinion and Order.  This Compliance Filing will </w:t>
      </w:r>
      <w:r w:rsidR="00317441">
        <w:rPr>
          <w:sz w:val="26"/>
          <w:szCs w:val="26"/>
        </w:rPr>
        <w:t xml:space="preserve">reflect a </w:t>
      </w:r>
      <w:r>
        <w:rPr>
          <w:sz w:val="26"/>
          <w:szCs w:val="26"/>
        </w:rPr>
        <w:t>recalculat</w:t>
      </w:r>
      <w:r w:rsidR="00317441">
        <w:rPr>
          <w:sz w:val="26"/>
          <w:szCs w:val="26"/>
        </w:rPr>
        <w:t>ion of</w:t>
      </w:r>
      <w:r>
        <w:rPr>
          <w:sz w:val="26"/>
          <w:szCs w:val="26"/>
        </w:rPr>
        <w:t xml:space="preserve"> the Company’s DSIC rate for the four</w:t>
      </w:r>
      <w:r w:rsidR="00317441">
        <w:rPr>
          <w:sz w:val="26"/>
          <w:szCs w:val="26"/>
        </w:rPr>
        <w:noBreakHyphen/>
      </w:r>
      <w:r>
        <w:rPr>
          <w:sz w:val="26"/>
          <w:szCs w:val="26"/>
        </w:rPr>
        <w:t>year period prior to the date of filing in this matter, excluding short</w:t>
      </w:r>
      <w:r w:rsidR="00317441">
        <w:rPr>
          <w:sz w:val="26"/>
          <w:szCs w:val="26"/>
        </w:rPr>
        <w:t>-</w:t>
      </w:r>
      <w:r>
        <w:rPr>
          <w:sz w:val="26"/>
          <w:szCs w:val="26"/>
        </w:rPr>
        <w:t xml:space="preserve">term debt and using the applicable verified cost of debt.  The Compliance Filing will be forwarded to the Commission’s Bureau of Audits for evaluation </w:t>
      </w:r>
      <w:r w:rsidR="00D51478">
        <w:rPr>
          <w:sz w:val="26"/>
          <w:szCs w:val="26"/>
        </w:rPr>
        <w:t xml:space="preserve">and inclusion </w:t>
      </w:r>
      <w:r>
        <w:rPr>
          <w:sz w:val="26"/>
          <w:szCs w:val="26"/>
        </w:rPr>
        <w:t xml:space="preserve">within </w:t>
      </w:r>
      <w:r w:rsidR="00D51478">
        <w:rPr>
          <w:sz w:val="26"/>
          <w:szCs w:val="26"/>
        </w:rPr>
        <w:t xml:space="preserve">a subsequent </w:t>
      </w:r>
      <w:r>
        <w:rPr>
          <w:sz w:val="26"/>
          <w:szCs w:val="26"/>
        </w:rPr>
        <w:t xml:space="preserve">Quarterly DSIC </w:t>
      </w:r>
      <w:r w:rsidR="00E0607D">
        <w:rPr>
          <w:sz w:val="26"/>
          <w:szCs w:val="26"/>
        </w:rPr>
        <w:t>Update</w:t>
      </w:r>
      <w:r w:rsidR="00D51478">
        <w:rPr>
          <w:sz w:val="26"/>
          <w:szCs w:val="26"/>
        </w:rPr>
        <w:t xml:space="preserve"> for the Company</w:t>
      </w:r>
      <w:r>
        <w:rPr>
          <w:sz w:val="26"/>
          <w:szCs w:val="26"/>
        </w:rPr>
        <w:t xml:space="preserve">.  </w:t>
      </w:r>
      <w:r w:rsidR="00BB0499">
        <w:rPr>
          <w:sz w:val="26"/>
          <w:szCs w:val="26"/>
        </w:rPr>
        <w:t xml:space="preserve">Accordingly, we shall modify the </w:t>
      </w:r>
      <w:r w:rsidR="002E04F8">
        <w:rPr>
          <w:sz w:val="26"/>
          <w:szCs w:val="26"/>
        </w:rPr>
        <w:t xml:space="preserve">ALJ’s </w:t>
      </w:r>
      <w:r w:rsidR="00283266">
        <w:rPr>
          <w:sz w:val="26"/>
          <w:szCs w:val="26"/>
        </w:rPr>
        <w:t xml:space="preserve">recommendation in </w:t>
      </w:r>
      <w:r w:rsidR="003A58E0">
        <w:rPr>
          <w:sz w:val="26"/>
          <w:szCs w:val="26"/>
        </w:rPr>
        <w:t xml:space="preserve">Ordering Paragraph No. 6 </w:t>
      </w:r>
      <w:r w:rsidR="00283266">
        <w:rPr>
          <w:sz w:val="26"/>
          <w:szCs w:val="26"/>
        </w:rPr>
        <w:t xml:space="preserve">of the Recommended Decision, which </w:t>
      </w:r>
      <w:r w:rsidR="003A58E0">
        <w:rPr>
          <w:sz w:val="26"/>
          <w:szCs w:val="26"/>
        </w:rPr>
        <w:t xml:space="preserve">set forth the procedural mechanism for addressing </w:t>
      </w:r>
      <w:r w:rsidR="00283266">
        <w:rPr>
          <w:sz w:val="26"/>
          <w:szCs w:val="26"/>
        </w:rPr>
        <w:t>any overcollection or undercollection of DSIC</w:t>
      </w:r>
      <w:r w:rsidR="009B2505">
        <w:rPr>
          <w:sz w:val="26"/>
          <w:szCs w:val="26"/>
        </w:rPr>
        <w:t xml:space="preserve"> revenues</w:t>
      </w:r>
      <w:r w:rsidR="00283266">
        <w:rPr>
          <w:sz w:val="26"/>
          <w:szCs w:val="26"/>
        </w:rPr>
        <w:t>,</w:t>
      </w:r>
      <w:r w:rsidR="003A58E0">
        <w:rPr>
          <w:sz w:val="26"/>
          <w:szCs w:val="26"/>
        </w:rPr>
        <w:t xml:space="preserve"> </w:t>
      </w:r>
      <w:r w:rsidR="000C7AB6">
        <w:rPr>
          <w:sz w:val="26"/>
          <w:szCs w:val="26"/>
        </w:rPr>
        <w:t>consistent with this discussion.</w:t>
      </w:r>
    </w:p>
    <w:p w14:paraId="312D5825" w14:textId="77777777" w:rsidR="0060731E" w:rsidRDefault="0060731E" w:rsidP="002F7DB7">
      <w:pPr>
        <w:widowControl/>
        <w:spacing w:line="360" w:lineRule="auto"/>
        <w:rPr>
          <w:sz w:val="26"/>
          <w:szCs w:val="26"/>
        </w:rPr>
      </w:pPr>
    </w:p>
    <w:p w14:paraId="339B6201" w14:textId="5B73C4FA" w:rsidR="00093732" w:rsidRDefault="00093732" w:rsidP="002F7DB7">
      <w:pPr>
        <w:widowControl/>
        <w:spacing w:line="360" w:lineRule="auto"/>
        <w:rPr>
          <w:sz w:val="26"/>
          <w:szCs w:val="26"/>
        </w:rPr>
      </w:pPr>
      <w:r>
        <w:rPr>
          <w:sz w:val="26"/>
          <w:szCs w:val="26"/>
        </w:rPr>
        <w:tab/>
      </w:r>
      <w:r>
        <w:rPr>
          <w:sz w:val="26"/>
          <w:szCs w:val="26"/>
        </w:rPr>
        <w:tab/>
      </w:r>
      <w:r w:rsidR="008A0900">
        <w:rPr>
          <w:sz w:val="26"/>
          <w:szCs w:val="26"/>
        </w:rPr>
        <w:t xml:space="preserve">With regard to NAWC’s </w:t>
      </w:r>
      <w:r w:rsidR="009548F4">
        <w:rPr>
          <w:sz w:val="26"/>
          <w:szCs w:val="26"/>
        </w:rPr>
        <w:t>Exception No. 8</w:t>
      </w:r>
      <w:r w:rsidR="008A0900">
        <w:rPr>
          <w:sz w:val="26"/>
          <w:szCs w:val="26"/>
        </w:rPr>
        <w:t xml:space="preserve">, we disagree with the Company’s </w:t>
      </w:r>
      <w:r>
        <w:rPr>
          <w:sz w:val="26"/>
          <w:szCs w:val="26"/>
        </w:rPr>
        <w:t>position that the matter of o</w:t>
      </w:r>
      <w:r w:rsidR="009548F4">
        <w:rPr>
          <w:sz w:val="26"/>
          <w:szCs w:val="26"/>
        </w:rPr>
        <w:t>vercollection/</w:t>
      </w:r>
      <w:r>
        <w:rPr>
          <w:sz w:val="26"/>
          <w:szCs w:val="26"/>
        </w:rPr>
        <w:t>r</w:t>
      </w:r>
      <w:r w:rsidR="009548F4">
        <w:rPr>
          <w:sz w:val="26"/>
          <w:szCs w:val="26"/>
        </w:rPr>
        <w:t>efunds</w:t>
      </w:r>
      <w:r w:rsidR="006A6EED">
        <w:rPr>
          <w:sz w:val="26"/>
          <w:szCs w:val="26"/>
        </w:rPr>
        <w:t xml:space="preserve"> </w:t>
      </w:r>
      <w:r>
        <w:rPr>
          <w:sz w:val="26"/>
          <w:szCs w:val="26"/>
        </w:rPr>
        <w:t>has no bearing on the merits of the proposed DSIC</w:t>
      </w:r>
      <w:r w:rsidR="002F759D">
        <w:rPr>
          <w:sz w:val="26"/>
          <w:szCs w:val="26"/>
        </w:rPr>
        <w:t>-</w:t>
      </w:r>
      <w:r>
        <w:rPr>
          <w:sz w:val="26"/>
          <w:szCs w:val="26"/>
        </w:rPr>
        <w:t xml:space="preserve">cap increase.  We agree with </w:t>
      </w:r>
      <w:r w:rsidR="00F208BF">
        <w:rPr>
          <w:sz w:val="26"/>
          <w:szCs w:val="26"/>
        </w:rPr>
        <w:t xml:space="preserve">the </w:t>
      </w:r>
      <w:r>
        <w:rPr>
          <w:sz w:val="26"/>
          <w:szCs w:val="26"/>
        </w:rPr>
        <w:t xml:space="preserve">OCA that there is no record evidence to support this claim, and whether or not there is a material overcollection, NAWC miscalculated its DSIC rate for at least four years.  R. Exc. at 20.  </w:t>
      </w:r>
      <w:r w:rsidR="003C5C37">
        <w:rPr>
          <w:sz w:val="26"/>
          <w:szCs w:val="26"/>
        </w:rPr>
        <w:t xml:space="preserve">Therefore, </w:t>
      </w:r>
      <w:r w:rsidR="00B42E5C">
        <w:rPr>
          <w:sz w:val="26"/>
          <w:szCs w:val="26"/>
        </w:rPr>
        <w:t xml:space="preserve">we shall deny </w:t>
      </w:r>
      <w:r w:rsidR="003C5C37">
        <w:rPr>
          <w:sz w:val="26"/>
          <w:szCs w:val="26"/>
        </w:rPr>
        <w:t xml:space="preserve">NAWC’s </w:t>
      </w:r>
      <w:r w:rsidR="002B0382">
        <w:rPr>
          <w:sz w:val="26"/>
          <w:szCs w:val="26"/>
        </w:rPr>
        <w:t>Exception No. 8</w:t>
      </w:r>
      <w:r w:rsidR="00B42E5C">
        <w:rPr>
          <w:sz w:val="26"/>
          <w:szCs w:val="26"/>
        </w:rPr>
        <w:t>.</w:t>
      </w:r>
    </w:p>
    <w:p w14:paraId="6B0B7CAE" w14:textId="77777777" w:rsidR="009548F4" w:rsidRDefault="009548F4" w:rsidP="002F7DB7">
      <w:pPr>
        <w:widowControl/>
        <w:spacing w:line="360" w:lineRule="auto"/>
        <w:rPr>
          <w:sz w:val="26"/>
          <w:szCs w:val="26"/>
        </w:rPr>
      </w:pPr>
    </w:p>
    <w:p w14:paraId="32BB0185" w14:textId="08BF9111" w:rsidR="009548F4" w:rsidRDefault="00197A58" w:rsidP="002F7DB7">
      <w:pPr>
        <w:widowControl/>
        <w:spacing w:line="360" w:lineRule="auto"/>
        <w:rPr>
          <w:sz w:val="26"/>
          <w:szCs w:val="26"/>
        </w:rPr>
      </w:pPr>
      <w:r>
        <w:rPr>
          <w:sz w:val="26"/>
          <w:szCs w:val="26"/>
        </w:rPr>
        <w:tab/>
      </w:r>
      <w:r>
        <w:rPr>
          <w:sz w:val="26"/>
          <w:szCs w:val="26"/>
        </w:rPr>
        <w:tab/>
        <w:t xml:space="preserve">With regard to NAWC’s </w:t>
      </w:r>
      <w:r w:rsidR="009548F4">
        <w:rPr>
          <w:sz w:val="26"/>
          <w:szCs w:val="26"/>
        </w:rPr>
        <w:t>Exception No. 9</w:t>
      </w:r>
      <w:r>
        <w:rPr>
          <w:sz w:val="26"/>
          <w:szCs w:val="26"/>
        </w:rPr>
        <w:t xml:space="preserve">, we disagree with the Company’s assertion that private and public fire protection service customers “are similarly situated irrespective of the tariff language.”  Exc. at 29. </w:t>
      </w:r>
      <w:r w:rsidR="009548F4">
        <w:rPr>
          <w:sz w:val="26"/>
          <w:szCs w:val="26"/>
        </w:rPr>
        <w:t xml:space="preserve"> </w:t>
      </w:r>
      <w:r>
        <w:rPr>
          <w:sz w:val="26"/>
          <w:szCs w:val="26"/>
        </w:rPr>
        <w:t xml:space="preserve">We agree with </w:t>
      </w:r>
      <w:r w:rsidR="004C1A65">
        <w:rPr>
          <w:sz w:val="26"/>
          <w:szCs w:val="26"/>
        </w:rPr>
        <w:t xml:space="preserve">the </w:t>
      </w:r>
      <w:r>
        <w:rPr>
          <w:sz w:val="26"/>
          <w:szCs w:val="26"/>
        </w:rPr>
        <w:t xml:space="preserve">OCA that private fire protection service customers should not be exempt from the DSIC rate.  We </w:t>
      </w:r>
      <w:r w:rsidR="00B42E5C">
        <w:rPr>
          <w:sz w:val="26"/>
          <w:szCs w:val="26"/>
        </w:rPr>
        <w:t xml:space="preserve">also </w:t>
      </w:r>
      <w:r>
        <w:rPr>
          <w:sz w:val="26"/>
          <w:szCs w:val="26"/>
        </w:rPr>
        <w:t xml:space="preserve">agree with </w:t>
      </w:r>
      <w:r w:rsidR="00F208BF">
        <w:rPr>
          <w:sz w:val="26"/>
          <w:szCs w:val="26"/>
        </w:rPr>
        <w:t xml:space="preserve">the </w:t>
      </w:r>
      <w:r>
        <w:rPr>
          <w:sz w:val="26"/>
          <w:szCs w:val="26"/>
        </w:rPr>
        <w:t xml:space="preserve">OCA that Section 1328(a) </w:t>
      </w:r>
      <w:r w:rsidR="00B42E5C">
        <w:rPr>
          <w:sz w:val="26"/>
          <w:szCs w:val="26"/>
        </w:rPr>
        <w:t xml:space="preserve">does </w:t>
      </w:r>
      <w:r w:rsidR="00602B21">
        <w:rPr>
          <w:sz w:val="26"/>
          <w:szCs w:val="26"/>
        </w:rPr>
        <w:t xml:space="preserve">exempt the application of </w:t>
      </w:r>
      <w:r w:rsidR="00B42E5C">
        <w:rPr>
          <w:sz w:val="26"/>
          <w:szCs w:val="26"/>
        </w:rPr>
        <w:t xml:space="preserve">the DSIC for </w:t>
      </w:r>
      <w:r>
        <w:rPr>
          <w:sz w:val="26"/>
          <w:szCs w:val="26"/>
        </w:rPr>
        <w:t xml:space="preserve">public fire protection rates.  66 Pa. C.S. § 1328(a).  R. Exc. at 23 </w:t>
      </w:r>
      <w:r w:rsidR="00F208BF">
        <w:rPr>
          <w:sz w:val="26"/>
          <w:szCs w:val="26"/>
        </w:rPr>
        <w:t>(</w:t>
      </w:r>
      <w:r>
        <w:rPr>
          <w:sz w:val="26"/>
          <w:szCs w:val="26"/>
        </w:rPr>
        <w:t>citing R.D. at 66</w:t>
      </w:r>
      <w:r w:rsidR="00F208BF">
        <w:rPr>
          <w:sz w:val="26"/>
          <w:szCs w:val="26"/>
        </w:rPr>
        <w:t>)</w:t>
      </w:r>
      <w:r>
        <w:rPr>
          <w:sz w:val="26"/>
          <w:szCs w:val="26"/>
        </w:rPr>
        <w:t>.  Th</w:t>
      </w:r>
      <w:r w:rsidR="00D67E77">
        <w:rPr>
          <w:sz w:val="26"/>
          <w:szCs w:val="26"/>
        </w:rPr>
        <w:t xml:space="preserve">is decision is consistent with the practice of </w:t>
      </w:r>
      <w:r>
        <w:rPr>
          <w:sz w:val="26"/>
          <w:szCs w:val="26"/>
        </w:rPr>
        <w:t xml:space="preserve">other water utilities, such as PAWC, </w:t>
      </w:r>
      <w:r w:rsidR="00D67E77">
        <w:rPr>
          <w:sz w:val="26"/>
          <w:szCs w:val="26"/>
        </w:rPr>
        <w:t xml:space="preserve">that </w:t>
      </w:r>
      <w:r>
        <w:rPr>
          <w:sz w:val="26"/>
          <w:szCs w:val="26"/>
        </w:rPr>
        <w:t xml:space="preserve">apply the DSIC to private fire protection customers.  R. Exc. at 23 </w:t>
      </w:r>
      <w:r w:rsidR="00F208BF">
        <w:rPr>
          <w:sz w:val="26"/>
          <w:szCs w:val="26"/>
        </w:rPr>
        <w:t>(</w:t>
      </w:r>
      <w:r>
        <w:rPr>
          <w:sz w:val="26"/>
          <w:szCs w:val="26"/>
        </w:rPr>
        <w:t>citing OCA St. 1SR at</w:t>
      </w:r>
      <w:r w:rsidR="00D67E77">
        <w:rPr>
          <w:sz w:val="26"/>
          <w:szCs w:val="26"/>
        </w:rPr>
        <w:t> </w:t>
      </w:r>
      <w:r>
        <w:rPr>
          <w:sz w:val="26"/>
          <w:szCs w:val="26"/>
        </w:rPr>
        <w:t>11</w:t>
      </w:r>
      <w:r w:rsidR="00D67E77">
        <w:rPr>
          <w:sz w:val="26"/>
          <w:szCs w:val="26"/>
        </w:rPr>
        <w:noBreakHyphen/>
      </w:r>
      <w:r>
        <w:rPr>
          <w:sz w:val="26"/>
          <w:szCs w:val="26"/>
        </w:rPr>
        <w:t>12</w:t>
      </w:r>
      <w:r w:rsidR="00F208BF">
        <w:rPr>
          <w:sz w:val="26"/>
          <w:szCs w:val="26"/>
        </w:rPr>
        <w:t>)</w:t>
      </w:r>
      <w:r>
        <w:rPr>
          <w:sz w:val="26"/>
          <w:szCs w:val="26"/>
        </w:rPr>
        <w:t xml:space="preserve">.  </w:t>
      </w:r>
      <w:r w:rsidR="00F208BF">
        <w:rPr>
          <w:sz w:val="26"/>
          <w:szCs w:val="26"/>
        </w:rPr>
        <w:t>Therefore, we shall</w:t>
      </w:r>
      <w:r>
        <w:rPr>
          <w:sz w:val="26"/>
          <w:szCs w:val="26"/>
        </w:rPr>
        <w:t xml:space="preserve"> deny NAWC’s ninth Exception.</w:t>
      </w:r>
    </w:p>
    <w:p w14:paraId="4B360AC8" w14:textId="77777777" w:rsidR="00197A58" w:rsidRDefault="00197A58" w:rsidP="002F7DB7">
      <w:pPr>
        <w:widowControl/>
        <w:spacing w:line="360" w:lineRule="auto"/>
        <w:rPr>
          <w:sz w:val="26"/>
          <w:szCs w:val="26"/>
        </w:rPr>
      </w:pPr>
    </w:p>
    <w:p w14:paraId="73486EB9" w14:textId="3FD163E0" w:rsidR="006A6EED" w:rsidRDefault="00404019" w:rsidP="002F7DB7">
      <w:pPr>
        <w:widowControl/>
        <w:spacing w:line="360" w:lineRule="auto"/>
        <w:rPr>
          <w:sz w:val="26"/>
          <w:szCs w:val="26"/>
        </w:rPr>
      </w:pPr>
      <w:r>
        <w:rPr>
          <w:sz w:val="26"/>
          <w:szCs w:val="26"/>
        </w:rPr>
        <w:lastRenderedPageBreak/>
        <w:tab/>
      </w:r>
      <w:r>
        <w:rPr>
          <w:sz w:val="26"/>
          <w:szCs w:val="26"/>
        </w:rPr>
        <w:tab/>
      </w:r>
      <w:r w:rsidR="00BD41FD">
        <w:rPr>
          <w:sz w:val="26"/>
          <w:szCs w:val="26"/>
        </w:rPr>
        <w:t xml:space="preserve">With regard to NAWC’s </w:t>
      </w:r>
      <w:r w:rsidR="009548F4">
        <w:rPr>
          <w:sz w:val="26"/>
          <w:szCs w:val="26"/>
        </w:rPr>
        <w:t>Exception No. 10</w:t>
      </w:r>
      <w:r>
        <w:rPr>
          <w:sz w:val="26"/>
          <w:szCs w:val="26"/>
        </w:rPr>
        <w:t xml:space="preserve">, we do not agree with </w:t>
      </w:r>
      <w:r w:rsidR="004E0C01">
        <w:rPr>
          <w:sz w:val="26"/>
          <w:szCs w:val="26"/>
        </w:rPr>
        <w:t xml:space="preserve">the </w:t>
      </w:r>
      <w:r>
        <w:rPr>
          <w:sz w:val="26"/>
          <w:szCs w:val="26"/>
        </w:rPr>
        <w:t xml:space="preserve">OCA and the ALJ that the definition of DSI in NAWC’s tariff must also reflect net of accumulated deferred income taxes (ADIT).  </w:t>
      </w:r>
      <w:r w:rsidR="003F1B91">
        <w:rPr>
          <w:sz w:val="26"/>
          <w:szCs w:val="26"/>
        </w:rPr>
        <w:t xml:space="preserve">As discussed, </w:t>
      </w:r>
      <w:r w:rsidR="003F1B91" w:rsidRPr="003F1B91">
        <w:rPr>
          <w:i/>
          <w:sz w:val="26"/>
          <w:szCs w:val="26"/>
        </w:rPr>
        <w:t>supra</w:t>
      </w:r>
      <w:r w:rsidR="003F1B91">
        <w:rPr>
          <w:sz w:val="26"/>
          <w:szCs w:val="26"/>
        </w:rPr>
        <w:t xml:space="preserve">, </w:t>
      </w:r>
      <w:r>
        <w:rPr>
          <w:sz w:val="26"/>
          <w:szCs w:val="26"/>
        </w:rPr>
        <w:t xml:space="preserve">Act 40 </w:t>
      </w:r>
      <w:r w:rsidR="003F1B91">
        <w:rPr>
          <w:sz w:val="26"/>
          <w:szCs w:val="26"/>
        </w:rPr>
        <w:t xml:space="preserve">does not </w:t>
      </w:r>
      <w:r>
        <w:rPr>
          <w:sz w:val="26"/>
          <w:szCs w:val="26"/>
        </w:rPr>
        <w:t>appl</w:t>
      </w:r>
      <w:r w:rsidR="003F1B91">
        <w:rPr>
          <w:sz w:val="26"/>
          <w:szCs w:val="26"/>
        </w:rPr>
        <w:t>y</w:t>
      </w:r>
      <w:r>
        <w:rPr>
          <w:sz w:val="26"/>
          <w:szCs w:val="26"/>
        </w:rPr>
        <w:t xml:space="preserve"> to the DSIC calculation</w:t>
      </w:r>
      <w:r w:rsidR="003F1B91">
        <w:rPr>
          <w:sz w:val="26"/>
          <w:szCs w:val="26"/>
        </w:rPr>
        <w:t>.</w:t>
      </w:r>
      <w:r>
        <w:rPr>
          <w:sz w:val="26"/>
          <w:szCs w:val="26"/>
        </w:rPr>
        <w:t xml:space="preserve">  We </w:t>
      </w:r>
      <w:r w:rsidR="003F45AC">
        <w:rPr>
          <w:sz w:val="26"/>
          <w:szCs w:val="26"/>
        </w:rPr>
        <w:t>note that</w:t>
      </w:r>
      <w:r>
        <w:rPr>
          <w:sz w:val="26"/>
          <w:szCs w:val="26"/>
        </w:rPr>
        <w:t xml:space="preserve"> NAWC </w:t>
      </w:r>
      <w:r w:rsidR="003F45AC">
        <w:rPr>
          <w:sz w:val="26"/>
          <w:szCs w:val="26"/>
        </w:rPr>
        <w:t xml:space="preserve">avers </w:t>
      </w:r>
      <w:r>
        <w:rPr>
          <w:sz w:val="26"/>
          <w:szCs w:val="26"/>
        </w:rPr>
        <w:t xml:space="preserve">that the definition of DSI in its tariff </w:t>
      </w:r>
      <w:r w:rsidR="003F45AC">
        <w:rPr>
          <w:sz w:val="26"/>
          <w:szCs w:val="26"/>
        </w:rPr>
        <w:t xml:space="preserve">is taken from the </w:t>
      </w:r>
      <w:r>
        <w:rPr>
          <w:sz w:val="26"/>
          <w:szCs w:val="26"/>
        </w:rPr>
        <w:t>Model Tariff.  The Model Tariff language is as follows:</w:t>
      </w:r>
    </w:p>
    <w:p w14:paraId="3CCCA7C4" w14:textId="77777777" w:rsidR="006A6EED" w:rsidRDefault="006A6EED" w:rsidP="002F7DB7">
      <w:pPr>
        <w:widowControl/>
        <w:spacing w:line="360" w:lineRule="auto"/>
        <w:rPr>
          <w:sz w:val="26"/>
          <w:szCs w:val="26"/>
        </w:rPr>
      </w:pPr>
    </w:p>
    <w:p w14:paraId="124CEE16" w14:textId="77777777" w:rsidR="006A6EED" w:rsidRDefault="002B0382" w:rsidP="002F7DB7">
      <w:pPr>
        <w:widowControl/>
        <w:ind w:left="720" w:right="720"/>
        <w:rPr>
          <w:sz w:val="26"/>
          <w:szCs w:val="26"/>
        </w:rPr>
      </w:pPr>
      <w:r>
        <w:rPr>
          <w:sz w:val="26"/>
          <w:szCs w:val="26"/>
        </w:rPr>
        <w:tab/>
      </w:r>
      <w:r w:rsidR="006A6EED">
        <w:rPr>
          <w:sz w:val="26"/>
          <w:szCs w:val="26"/>
        </w:rPr>
        <w:t xml:space="preserve">DSI = Original cost of eligible distribution system improvement </w:t>
      </w:r>
      <w:r>
        <w:rPr>
          <w:sz w:val="26"/>
          <w:szCs w:val="26"/>
        </w:rPr>
        <w:tab/>
      </w:r>
      <w:r w:rsidR="006A6EED">
        <w:rPr>
          <w:sz w:val="26"/>
          <w:szCs w:val="26"/>
        </w:rPr>
        <w:t>projects net of accrued depreciation</w:t>
      </w:r>
      <w:r w:rsidR="003F45AC">
        <w:rPr>
          <w:sz w:val="26"/>
          <w:szCs w:val="26"/>
        </w:rPr>
        <w:t>.</w:t>
      </w:r>
    </w:p>
    <w:p w14:paraId="2C567A57" w14:textId="77777777" w:rsidR="00404019" w:rsidRDefault="00404019" w:rsidP="002F7DB7">
      <w:pPr>
        <w:widowControl/>
        <w:spacing w:line="360" w:lineRule="auto"/>
        <w:rPr>
          <w:sz w:val="26"/>
          <w:szCs w:val="26"/>
        </w:rPr>
      </w:pPr>
    </w:p>
    <w:p w14:paraId="0CA025DD" w14:textId="6E8DDB6D" w:rsidR="00404019" w:rsidRDefault="00404019" w:rsidP="002F7DB7">
      <w:pPr>
        <w:widowControl/>
        <w:spacing w:line="360" w:lineRule="auto"/>
        <w:rPr>
          <w:sz w:val="26"/>
          <w:szCs w:val="26"/>
        </w:rPr>
      </w:pPr>
      <w:r>
        <w:rPr>
          <w:sz w:val="26"/>
          <w:szCs w:val="26"/>
        </w:rPr>
        <w:t>NAWC’s tariff currently states:</w:t>
      </w:r>
    </w:p>
    <w:p w14:paraId="76D942FC" w14:textId="77777777" w:rsidR="00404019" w:rsidRDefault="00404019" w:rsidP="002F7DB7">
      <w:pPr>
        <w:widowControl/>
        <w:spacing w:line="360" w:lineRule="auto"/>
        <w:rPr>
          <w:sz w:val="26"/>
          <w:szCs w:val="26"/>
        </w:rPr>
      </w:pPr>
    </w:p>
    <w:p w14:paraId="07EBA421" w14:textId="77777777" w:rsidR="00404019" w:rsidRDefault="002B0382" w:rsidP="002F7DB7">
      <w:pPr>
        <w:widowControl/>
        <w:ind w:left="720" w:right="720"/>
        <w:rPr>
          <w:sz w:val="26"/>
          <w:szCs w:val="26"/>
        </w:rPr>
      </w:pPr>
      <w:r>
        <w:rPr>
          <w:sz w:val="26"/>
          <w:szCs w:val="26"/>
        </w:rPr>
        <w:tab/>
      </w:r>
      <w:r w:rsidR="00404019">
        <w:rPr>
          <w:sz w:val="26"/>
          <w:szCs w:val="26"/>
        </w:rPr>
        <w:t xml:space="preserve">DSI = Original cost of eligible distribution system improvement </w:t>
      </w:r>
      <w:r>
        <w:rPr>
          <w:sz w:val="26"/>
          <w:szCs w:val="26"/>
        </w:rPr>
        <w:tab/>
      </w:r>
      <w:r w:rsidR="00404019">
        <w:rPr>
          <w:sz w:val="26"/>
          <w:szCs w:val="26"/>
        </w:rPr>
        <w:t>projects.</w:t>
      </w:r>
    </w:p>
    <w:p w14:paraId="76042CB9" w14:textId="77777777" w:rsidR="00404019" w:rsidRDefault="00404019" w:rsidP="002F7DB7">
      <w:pPr>
        <w:widowControl/>
        <w:spacing w:line="360" w:lineRule="auto"/>
        <w:rPr>
          <w:sz w:val="26"/>
          <w:szCs w:val="26"/>
        </w:rPr>
      </w:pPr>
    </w:p>
    <w:p w14:paraId="6B721E13" w14:textId="7AFC29BC" w:rsidR="00DB4897" w:rsidRDefault="003F45AC" w:rsidP="007E07E3">
      <w:pPr>
        <w:widowControl/>
        <w:spacing w:line="360" w:lineRule="auto"/>
        <w:rPr>
          <w:sz w:val="26"/>
          <w:szCs w:val="26"/>
        </w:rPr>
      </w:pPr>
      <w:r>
        <w:rPr>
          <w:sz w:val="26"/>
          <w:szCs w:val="26"/>
        </w:rPr>
        <w:tab/>
      </w:r>
      <w:r>
        <w:rPr>
          <w:sz w:val="26"/>
          <w:szCs w:val="26"/>
        </w:rPr>
        <w:tab/>
      </w:r>
      <w:r w:rsidR="00404019">
        <w:rPr>
          <w:sz w:val="26"/>
          <w:szCs w:val="26"/>
        </w:rPr>
        <w:t xml:space="preserve">Although NAWC calculates DSI according to the language in the Model Tariff, the definition of DSI in NAWC’s tariff does not match the Model Tariff.  </w:t>
      </w:r>
      <w:r w:rsidR="0080201A">
        <w:rPr>
          <w:sz w:val="26"/>
          <w:szCs w:val="26"/>
        </w:rPr>
        <w:t xml:space="preserve">Therefore, </w:t>
      </w:r>
      <w:r w:rsidR="00404019">
        <w:rPr>
          <w:sz w:val="26"/>
          <w:szCs w:val="26"/>
        </w:rPr>
        <w:t>NAWC must</w:t>
      </w:r>
      <w:r w:rsidR="003F1B91">
        <w:rPr>
          <w:sz w:val="26"/>
          <w:szCs w:val="26"/>
        </w:rPr>
        <w:t xml:space="preserve"> </w:t>
      </w:r>
      <w:r w:rsidR="00404019">
        <w:rPr>
          <w:sz w:val="26"/>
          <w:szCs w:val="26"/>
        </w:rPr>
        <w:t xml:space="preserve">revise its tariff to reflect </w:t>
      </w:r>
      <w:r w:rsidR="0080201A">
        <w:rPr>
          <w:sz w:val="26"/>
          <w:szCs w:val="26"/>
        </w:rPr>
        <w:t xml:space="preserve">the way it </w:t>
      </w:r>
      <w:r w:rsidR="00404019">
        <w:rPr>
          <w:sz w:val="26"/>
          <w:szCs w:val="26"/>
        </w:rPr>
        <w:t>actually calculat</w:t>
      </w:r>
      <w:r w:rsidR="0080201A">
        <w:rPr>
          <w:sz w:val="26"/>
          <w:szCs w:val="26"/>
        </w:rPr>
        <w:t xml:space="preserve">es its </w:t>
      </w:r>
      <w:r w:rsidR="00404019">
        <w:rPr>
          <w:sz w:val="26"/>
          <w:szCs w:val="26"/>
        </w:rPr>
        <w:t xml:space="preserve">DSI.  </w:t>
      </w:r>
      <w:r>
        <w:rPr>
          <w:sz w:val="26"/>
          <w:szCs w:val="26"/>
        </w:rPr>
        <w:t xml:space="preserve">NAWC already calculates its cost of eligible improvement projects net of accrued depreciation.  R. Exc. at 24 </w:t>
      </w:r>
      <w:r w:rsidR="004E0C01">
        <w:rPr>
          <w:sz w:val="26"/>
          <w:szCs w:val="26"/>
        </w:rPr>
        <w:t>(</w:t>
      </w:r>
      <w:r>
        <w:rPr>
          <w:sz w:val="26"/>
          <w:szCs w:val="26"/>
        </w:rPr>
        <w:t xml:space="preserve">citing OCA St. 1 at 13; OCA </w:t>
      </w:r>
      <w:r w:rsidR="002B0382">
        <w:rPr>
          <w:sz w:val="26"/>
          <w:szCs w:val="26"/>
        </w:rPr>
        <w:t>S</w:t>
      </w:r>
      <w:r>
        <w:rPr>
          <w:sz w:val="26"/>
          <w:szCs w:val="26"/>
        </w:rPr>
        <w:t>ch. JDM-4, DSIC Computation (deducting $106,319 for accumulated depreciation)</w:t>
      </w:r>
      <w:r w:rsidR="004E0C01">
        <w:rPr>
          <w:sz w:val="26"/>
          <w:szCs w:val="26"/>
        </w:rPr>
        <w:t>)</w:t>
      </w:r>
      <w:r>
        <w:rPr>
          <w:sz w:val="26"/>
          <w:szCs w:val="26"/>
        </w:rPr>
        <w:t xml:space="preserve">.  Consistent with the above discussion, we </w:t>
      </w:r>
      <w:r w:rsidR="007E07E3">
        <w:rPr>
          <w:sz w:val="26"/>
          <w:szCs w:val="26"/>
        </w:rPr>
        <w:t xml:space="preserve">shall </w:t>
      </w:r>
      <w:r>
        <w:rPr>
          <w:sz w:val="26"/>
          <w:szCs w:val="26"/>
        </w:rPr>
        <w:t>grant, in part, and deny, in part NAWC’s Exception No. 10.</w:t>
      </w:r>
      <w:bookmarkEnd w:id="34"/>
    </w:p>
    <w:p w14:paraId="6ADC5C39" w14:textId="77777777" w:rsidR="004B38CE" w:rsidRDefault="004B38CE">
      <w:pPr>
        <w:widowControl/>
        <w:spacing w:after="200" w:line="276" w:lineRule="auto"/>
        <w:rPr>
          <w:sz w:val="26"/>
          <w:szCs w:val="26"/>
        </w:rPr>
      </w:pPr>
      <w:r>
        <w:rPr>
          <w:sz w:val="26"/>
          <w:szCs w:val="26"/>
        </w:rPr>
        <w:br w:type="page"/>
      </w:r>
    </w:p>
    <w:p w14:paraId="13F8BA9D" w14:textId="44233462" w:rsidR="008D61F2" w:rsidRPr="008D61F2" w:rsidRDefault="00E73EAD" w:rsidP="002F7DB7">
      <w:pPr>
        <w:pStyle w:val="Heading1"/>
        <w:jc w:val="center"/>
      </w:pPr>
      <w:bookmarkStart w:id="37" w:name="_Toc512430448"/>
      <w:r>
        <w:lastRenderedPageBreak/>
        <w:t xml:space="preserve">V. </w:t>
      </w:r>
      <w:r w:rsidR="00C34BA3">
        <w:tab/>
      </w:r>
      <w:r w:rsidR="008D61F2" w:rsidRPr="008D61F2">
        <w:t>Conclusion</w:t>
      </w:r>
      <w:bookmarkEnd w:id="37"/>
    </w:p>
    <w:p w14:paraId="481BC851" w14:textId="77777777" w:rsidR="008D61F2" w:rsidRPr="008D61F2" w:rsidRDefault="008D61F2" w:rsidP="002F7DB7">
      <w:pPr>
        <w:keepNext/>
        <w:keepLines/>
        <w:widowControl/>
        <w:spacing w:line="360" w:lineRule="auto"/>
        <w:rPr>
          <w:sz w:val="26"/>
          <w:szCs w:val="26"/>
        </w:rPr>
      </w:pPr>
    </w:p>
    <w:p w14:paraId="6CE09680" w14:textId="1313481A" w:rsidR="008D61F2" w:rsidRPr="008D61F2" w:rsidRDefault="008D61F2" w:rsidP="002F7DB7">
      <w:pPr>
        <w:widowControl/>
        <w:spacing w:line="360" w:lineRule="auto"/>
        <w:ind w:firstLine="1440"/>
        <w:rPr>
          <w:sz w:val="26"/>
          <w:szCs w:val="26"/>
        </w:rPr>
      </w:pPr>
      <w:r w:rsidRPr="008D61F2">
        <w:rPr>
          <w:sz w:val="26"/>
          <w:szCs w:val="26"/>
        </w:rPr>
        <w:t xml:space="preserve">Based on our review of the record, </w:t>
      </w:r>
      <w:r w:rsidR="003A301D">
        <w:rPr>
          <w:sz w:val="26"/>
          <w:szCs w:val="26"/>
        </w:rPr>
        <w:t xml:space="preserve">and consistent with the foregoing discussion </w:t>
      </w:r>
      <w:r w:rsidR="00C755BF">
        <w:rPr>
          <w:sz w:val="26"/>
          <w:szCs w:val="26"/>
        </w:rPr>
        <w:t>we shall</w:t>
      </w:r>
      <w:r w:rsidR="003A301D">
        <w:rPr>
          <w:sz w:val="26"/>
          <w:szCs w:val="26"/>
        </w:rPr>
        <w:t xml:space="preserve">: </w:t>
      </w:r>
      <w:r w:rsidR="003A301D" w:rsidRPr="00AE3C2B">
        <w:rPr>
          <w:sz w:val="26"/>
          <w:szCs w:val="26"/>
        </w:rPr>
        <w:t>(1)</w:t>
      </w:r>
      <w:r w:rsidR="00C755BF" w:rsidRPr="00AE3C2B">
        <w:rPr>
          <w:sz w:val="26"/>
          <w:szCs w:val="26"/>
        </w:rPr>
        <w:t xml:space="preserve"> </w:t>
      </w:r>
      <w:r w:rsidR="002B0382" w:rsidRPr="00AE3C2B">
        <w:rPr>
          <w:sz w:val="26"/>
          <w:szCs w:val="26"/>
        </w:rPr>
        <w:t xml:space="preserve">grant, in part, and </w:t>
      </w:r>
      <w:r w:rsidR="00C755BF" w:rsidRPr="00AE3C2B">
        <w:rPr>
          <w:sz w:val="26"/>
          <w:szCs w:val="26"/>
        </w:rPr>
        <w:t xml:space="preserve">deny, in </w:t>
      </w:r>
      <w:r w:rsidR="002B0382" w:rsidRPr="00AE3C2B">
        <w:rPr>
          <w:sz w:val="26"/>
          <w:szCs w:val="26"/>
        </w:rPr>
        <w:t>part</w:t>
      </w:r>
      <w:r w:rsidR="00C755BF" w:rsidRPr="00AE3C2B">
        <w:rPr>
          <w:sz w:val="26"/>
          <w:szCs w:val="26"/>
        </w:rPr>
        <w:t xml:space="preserve">, the Exceptions filed by </w:t>
      </w:r>
      <w:r w:rsidR="0072026C" w:rsidRPr="00AE3C2B">
        <w:rPr>
          <w:sz w:val="26"/>
          <w:szCs w:val="26"/>
        </w:rPr>
        <w:t xml:space="preserve">NAWC </w:t>
      </w:r>
      <w:r w:rsidR="003A301D" w:rsidRPr="00AE3C2B">
        <w:rPr>
          <w:sz w:val="26"/>
          <w:szCs w:val="26"/>
        </w:rPr>
        <w:t xml:space="preserve">in this proceeding; </w:t>
      </w:r>
      <w:r w:rsidR="003A301D" w:rsidRPr="00EB2A5A">
        <w:rPr>
          <w:sz w:val="26"/>
          <w:szCs w:val="26"/>
        </w:rPr>
        <w:t xml:space="preserve">(2) </w:t>
      </w:r>
      <w:r w:rsidR="000F712A" w:rsidRPr="00EB2A5A">
        <w:rPr>
          <w:sz w:val="26"/>
          <w:szCs w:val="26"/>
        </w:rPr>
        <w:t>modify</w:t>
      </w:r>
      <w:r w:rsidR="00A34802" w:rsidRPr="00EB2A5A">
        <w:rPr>
          <w:sz w:val="26"/>
          <w:szCs w:val="26"/>
        </w:rPr>
        <w:t xml:space="preserve"> the ALJs</w:t>
      </w:r>
      <w:r w:rsidR="005A469F" w:rsidRPr="00EB2A5A">
        <w:rPr>
          <w:sz w:val="26"/>
          <w:szCs w:val="26"/>
        </w:rPr>
        <w:t>’</w:t>
      </w:r>
      <w:r w:rsidR="00A34802" w:rsidRPr="00EB2A5A">
        <w:rPr>
          <w:sz w:val="26"/>
          <w:szCs w:val="26"/>
        </w:rPr>
        <w:t xml:space="preserve"> Recommended Decision</w:t>
      </w:r>
      <w:r w:rsidR="003A301D" w:rsidRPr="00EB2A5A">
        <w:rPr>
          <w:sz w:val="26"/>
          <w:szCs w:val="26"/>
        </w:rPr>
        <w:t xml:space="preserve">; </w:t>
      </w:r>
      <w:r w:rsidR="000F712A" w:rsidRPr="00EB2A5A">
        <w:rPr>
          <w:sz w:val="26"/>
          <w:szCs w:val="26"/>
        </w:rPr>
        <w:t xml:space="preserve">and </w:t>
      </w:r>
      <w:r w:rsidR="003A301D" w:rsidRPr="00EB2A5A">
        <w:rPr>
          <w:sz w:val="26"/>
          <w:szCs w:val="26"/>
        </w:rPr>
        <w:t>(3)</w:t>
      </w:r>
      <w:r w:rsidR="00A34802" w:rsidRPr="00EB2A5A">
        <w:rPr>
          <w:sz w:val="26"/>
          <w:szCs w:val="26"/>
        </w:rPr>
        <w:t xml:space="preserve"> d</w:t>
      </w:r>
      <w:r w:rsidR="002B0382" w:rsidRPr="00EB2A5A">
        <w:rPr>
          <w:sz w:val="26"/>
          <w:szCs w:val="26"/>
        </w:rPr>
        <w:t>ismiss</w:t>
      </w:r>
      <w:r w:rsidR="00A34802" w:rsidRPr="00EB2A5A">
        <w:rPr>
          <w:sz w:val="26"/>
          <w:szCs w:val="26"/>
        </w:rPr>
        <w:t xml:space="preserve"> in part</w:t>
      </w:r>
      <w:r w:rsidR="00791CDC" w:rsidRPr="00EB2A5A">
        <w:rPr>
          <w:sz w:val="26"/>
          <w:szCs w:val="26"/>
        </w:rPr>
        <w:t>, and sustain, in part, the Formal Complaint filed by the Office of Consumer Advocate, at Docket No. C-201</w:t>
      </w:r>
      <w:r w:rsidR="003C28ED" w:rsidRPr="00EB2A5A">
        <w:rPr>
          <w:sz w:val="26"/>
          <w:szCs w:val="26"/>
        </w:rPr>
        <w:t>7</w:t>
      </w:r>
      <w:r w:rsidR="00791CDC" w:rsidRPr="00EB2A5A">
        <w:rPr>
          <w:sz w:val="26"/>
          <w:szCs w:val="26"/>
        </w:rPr>
        <w:t>-2</w:t>
      </w:r>
      <w:r w:rsidR="003C28ED" w:rsidRPr="00EB2A5A">
        <w:rPr>
          <w:sz w:val="26"/>
          <w:szCs w:val="26"/>
        </w:rPr>
        <w:t>626954</w:t>
      </w:r>
      <w:r w:rsidR="006525C1" w:rsidRPr="00EB2A5A">
        <w:rPr>
          <w:sz w:val="26"/>
          <w:szCs w:val="26"/>
        </w:rPr>
        <w:t>;</w:t>
      </w:r>
      <w:r w:rsidR="00727038" w:rsidRPr="00EB2A5A">
        <w:rPr>
          <w:sz w:val="26"/>
          <w:szCs w:val="26"/>
        </w:rPr>
        <w:t xml:space="preserve"> </w:t>
      </w:r>
      <w:r w:rsidRPr="00EB2A5A">
        <w:rPr>
          <w:b/>
          <w:sz w:val="26"/>
          <w:szCs w:val="26"/>
        </w:rPr>
        <w:t>THEREFORE,</w:t>
      </w:r>
    </w:p>
    <w:p w14:paraId="5BC044CF" w14:textId="77777777" w:rsidR="004B38CE" w:rsidRDefault="004B38CE">
      <w:pPr>
        <w:widowControl/>
        <w:spacing w:after="200" w:line="276" w:lineRule="auto"/>
        <w:rPr>
          <w:b/>
          <w:sz w:val="26"/>
        </w:rPr>
      </w:pPr>
      <w:r>
        <w:br w:type="page"/>
      </w:r>
    </w:p>
    <w:p w14:paraId="71C606E0" w14:textId="22CADE56" w:rsidR="008D61F2" w:rsidRDefault="00E73EAD" w:rsidP="002F7DB7">
      <w:pPr>
        <w:pStyle w:val="Heading1"/>
        <w:jc w:val="center"/>
      </w:pPr>
      <w:bookmarkStart w:id="38" w:name="_Toc512430449"/>
      <w:r>
        <w:lastRenderedPageBreak/>
        <w:t xml:space="preserve">VI. </w:t>
      </w:r>
      <w:r w:rsidR="00C34BA3">
        <w:tab/>
      </w:r>
      <w:r>
        <w:t>Order</w:t>
      </w:r>
      <w:bookmarkEnd w:id="38"/>
    </w:p>
    <w:p w14:paraId="5FBF2CB6" w14:textId="77777777" w:rsidR="00C34BA3" w:rsidRPr="00C34BA3" w:rsidRDefault="00C34BA3" w:rsidP="002F7DB7">
      <w:pPr>
        <w:widowControl/>
      </w:pPr>
    </w:p>
    <w:p w14:paraId="5502BDEE" w14:textId="77777777" w:rsidR="008D61F2" w:rsidRPr="008D61F2" w:rsidRDefault="008D61F2" w:rsidP="002F7DB7">
      <w:pPr>
        <w:keepNext/>
        <w:widowControl/>
        <w:spacing w:line="360" w:lineRule="auto"/>
        <w:ind w:firstLine="1440"/>
        <w:rPr>
          <w:b/>
          <w:sz w:val="26"/>
          <w:szCs w:val="26"/>
        </w:rPr>
      </w:pPr>
      <w:r w:rsidRPr="008D61F2">
        <w:rPr>
          <w:b/>
          <w:sz w:val="26"/>
          <w:szCs w:val="26"/>
        </w:rPr>
        <w:t>IT IS ORDERED:</w:t>
      </w:r>
    </w:p>
    <w:p w14:paraId="653D255B" w14:textId="77777777" w:rsidR="008D61F2" w:rsidRPr="008D61F2" w:rsidRDefault="008D61F2" w:rsidP="002F7DB7">
      <w:pPr>
        <w:keepNext/>
        <w:widowControl/>
        <w:spacing w:line="360" w:lineRule="auto"/>
        <w:ind w:firstLine="1440"/>
        <w:rPr>
          <w:b/>
          <w:sz w:val="26"/>
          <w:szCs w:val="26"/>
        </w:rPr>
      </w:pPr>
    </w:p>
    <w:p w14:paraId="75CF025A" w14:textId="77777777" w:rsidR="008D61F2" w:rsidRPr="008D61F2" w:rsidRDefault="00157346" w:rsidP="002F7DB7">
      <w:pPr>
        <w:widowControl/>
        <w:spacing w:line="360" w:lineRule="auto"/>
        <w:ind w:firstLine="1440"/>
        <w:rPr>
          <w:sz w:val="26"/>
          <w:szCs w:val="26"/>
        </w:rPr>
      </w:pPr>
      <w:r>
        <w:rPr>
          <w:sz w:val="26"/>
          <w:szCs w:val="26"/>
        </w:rPr>
        <w:t>1</w:t>
      </w:r>
      <w:r w:rsidR="008D61F2" w:rsidRPr="008D61F2">
        <w:rPr>
          <w:sz w:val="26"/>
          <w:szCs w:val="26"/>
        </w:rPr>
        <w:t>.</w:t>
      </w:r>
      <w:r w:rsidR="008D61F2" w:rsidRPr="008D61F2">
        <w:rPr>
          <w:b/>
          <w:sz w:val="26"/>
          <w:szCs w:val="26"/>
        </w:rPr>
        <w:tab/>
      </w:r>
      <w:r w:rsidR="008D61F2" w:rsidRPr="008D61F2">
        <w:rPr>
          <w:sz w:val="26"/>
          <w:szCs w:val="26"/>
        </w:rPr>
        <w:t xml:space="preserve">That the Exceptions filed by </w:t>
      </w:r>
      <w:r w:rsidR="00727038">
        <w:rPr>
          <w:sz w:val="26"/>
          <w:szCs w:val="26"/>
        </w:rPr>
        <w:t xml:space="preserve">Newtown Artesian Water Company </w:t>
      </w:r>
      <w:r w:rsidR="008D61F2" w:rsidRPr="008D61F2">
        <w:rPr>
          <w:sz w:val="26"/>
          <w:szCs w:val="26"/>
        </w:rPr>
        <w:t xml:space="preserve">on </w:t>
      </w:r>
      <w:r w:rsidR="00727038">
        <w:rPr>
          <w:sz w:val="26"/>
          <w:szCs w:val="26"/>
        </w:rPr>
        <w:t>March 21, 2018</w:t>
      </w:r>
      <w:r w:rsidR="008D61F2" w:rsidRPr="008D61F2">
        <w:rPr>
          <w:sz w:val="26"/>
          <w:szCs w:val="26"/>
        </w:rPr>
        <w:t xml:space="preserve">, are </w:t>
      </w:r>
      <w:r w:rsidR="002B0382">
        <w:rPr>
          <w:sz w:val="26"/>
          <w:szCs w:val="26"/>
        </w:rPr>
        <w:t xml:space="preserve">granted, in part, and </w:t>
      </w:r>
      <w:r w:rsidR="00727038">
        <w:rPr>
          <w:sz w:val="26"/>
          <w:szCs w:val="26"/>
        </w:rPr>
        <w:t>denied</w:t>
      </w:r>
      <w:r w:rsidR="002B0382">
        <w:rPr>
          <w:sz w:val="26"/>
          <w:szCs w:val="26"/>
        </w:rPr>
        <w:t>, in part</w:t>
      </w:r>
      <w:r w:rsidR="009F1CBF">
        <w:rPr>
          <w:sz w:val="26"/>
          <w:szCs w:val="26"/>
        </w:rPr>
        <w:t xml:space="preserve">, </w:t>
      </w:r>
      <w:r w:rsidR="009F1CBF" w:rsidRPr="008D61F2">
        <w:rPr>
          <w:sz w:val="26"/>
        </w:rPr>
        <w:t>consistent with this Opinion and Order.</w:t>
      </w:r>
    </w:p>
    <w:p w14:paraId="219A1EEC" w14:textId="77777777" w:rsidR="008D61F2" w:rsidRPr="008D61F2" w:rsidRDefault="008D61F2" w:rsidP="002F7DB7">
      <w:pPr>
        <w:widowControl/>
        <w:spacing w:line="360" w:lineRule="auto"/>
        <w:ind w:firstLine="1440"/>
        <w:rPr>
          <w:sz w:val="26"/>
          <w:szCs w:val="26"/>
        </w:rPr>
      </w:pPr>
    </w:p>
    <w:p w14:paraId="30A110B0" w14:textId="11BBFB15" w:rsidR="00727038" w:rsidRDefault="00157346" w:rsidP="002F7DB7">
      <w:pPr>
        <w:widowControl/>
        <w:spacing w:line="360" w:lineRule="auto"/>
        <w:ind w:firstLine="1440"/>
        <w:rPr>
          <w:sz w:val="26"/>
        </w:rPr>
      </w:pPr>
      <w:r>
        <w:rPr>
          <w:sz w:val="26"/>
          <w:szCs w:val="26"/>
        </w:rPr>
        <w:t>2</w:t>
      </w:r>
      <w:r w:rsidR="008D61F2" w:rsidRPr="008D61F2">
        <w:rPr>
          <w:sz w:val="26"/>
          <w:szCs w:val="26"/>
        </w:rPr>
        <w:t>.</w:t>
      </w:r>
      <w:r w:rsidR="008D61F2" w:rsidRPr="008D61F2">
        <w:rPr>
          <w:sz w:val="26"/>
          <w:szCs w:val="26"/>
        </w:rPr>
        <w:tab/>
      </w:r>
      <w:r w:rsidR="00791CDC" w:rsidRPr="008D61F2">
        <w:rPr>
          <w:sz w:val="26"/>
          <w:szCs w:val="26"/>
        </w:rPr>
        <w:t>That the Recommended Decision of Administrative Law Judge</w:t>
      </w:r>
      <w:r w:rsidR="00791CDC" w:rsidRPr="008D61F2">
        <w:rPr>
          <w:sz w:val="26"/>
        </w:rPr>
        <w:t xml:space="preserve"> Christopher</w:t>
      </w:r>
      <w:r w:rsidR="00A526BD">
        <w:rPr>
          <w:sz w:val="26"/>
        </w:rPr>
        <w:t> </w:t>
      </w:r>
      <w:r w:rsidR="00791CDC" w:rsidRPr="008D61F2">
        <w:rPr>
          <w:sz w:val="26"/>
        </w:rPr>
        <w:t>P.</w:t>
      </w:r>
      <w:r w:rsidR="00A526BD">
        <w:rPr>
          <w:sz w:val="26"/>
        </w:rPr>
        <w:t> </w:t>
      </w:r>
      <w:r w:rsidR="00791CDC" w:rsidRPr="008D61F2">
        <w:rPr>
          <w:sz w:val="26"/>
        </w:rPr>
        <w:t xml:space="preserve">Pell, issued on </w:t>
      </w:r>
      <w:r w:rsidR="00727038" w:rsidRPr="00AE3C2B">
        <w:rPr>
          <w:sz w:val="26"/>
        </w:rPr>
        <w:t>February 9</w:t>
      </w:r>
      <w:r w:rsidR="00727038" w:rsidRPr="00EB2A5A">
        <w:rPr>
          <w:sz w:val="26"/>
        </w:rPr>
        <w:t>, 2018</w:t>
      </w:r>
      <w:r w:rsidR="00791CDC" w:rsidRPr="00EB2A5A">
        <w:rPr>
          <w:sz w:val="26"/>
        </w:rPr>
        <w:t xml:space="preserve">, is </w:t>
      </w:r>
      <w:r w:rsidR="00A71AD2" w:rsidRPr="00EB2A5A">
        <w:rPr>
          <w:sz w:val="26"/>
        </w:rPr>
        <w:t xml:space="preserve">modified </w:t>
      </w:r>
      <w:r w:rsidR="00791CDC" w:rsidRPr="00EB2A5A">
        <w:rPr>
          <w:sz w:val="26"/>
        </w:rPr>
        <w:t>consistent</w:t>
      </w:r>
      <w:r w:rsidR="00791CDC" w:rsidRPr="008D61F2">
        <w:rPr>
          <w:sz w:val="26"/>
        </w:rPr>
        <w:t xml:space="preserve"> with this Opinion and Order.</w:t>
      </w:r>
    </w:p>
    <w:p w14:paraId="2E09F852" w14:textId="358D9EFF" w:rsidR="002B0382" w:rsidRDefault="002B0382" w:rsidP="002F7DB7">
      <w:pPr>
        <w:widowControl/>
        <w:spacing w:line="360" w:lineRule="auto"/>
        <w:ind w:firstLine="1440"/>
        <w:rPr>
          <w:sz w:val="26"/>
        </w:rPr>
      </w:pPr>
    </w:p>
    <w:p w14:paraId="458B909C" w14:textId="468AA77A" w:rsidR="009C7D32" w:rsidRDefault="009C7D32" w:rsidP="009C7D32">
      <w:pPr>
        <w:widowControl/>
        <w:tabs>
          <w:tab w:val="left" w:pos="-720"/>
        </w:tabs>
        <w:spacing w:line="360" w:lineRule="auto"/>
        <w:ind w:firstLine="1440"/>
        <w:rPr>
          <w:sz w:val="26"/>
          <w:szCs w:val="26"/>
        </w:rPr>
      </w:pPr>
      <w:r>
        <w:rPr>
          <w:sz w:val="26"/>
          <w:szCs w:val="26"/>
        </w:rPr>
        <w:t>3.</w:t>
      </w:r>
      <w:r>
        <w:rPr>
          <w:sz w:val="26"/>
          <w:szCs w:val="26"/>
        </w:rPr>
        <w:tab/>
      </w:r>
      <w:r w:rsidRPr="008D61F2">
        <w:rPr>
          <w:sz w:val="26"/>
          <w:szCs w:val="26"/>
        </w:rPr>
        <w:t>That the Formal Complaint filed by the Office of Consumer Advocate</w:t>
      </w:r>
      <w:r>
        <w:rPr>
          <w:sz w:val="26"/>
          <w:szCs w:val="26"/>
        </w:rPr>
        <w:t xml:space="preserve"> o</w:t>
      </w:r>
      <w:r w:rsidRPr="00BD3EE6">
        <w:rPr>
          <w:sz w:val="26"/>
          <w:szCs w:val="26"/>
        </w:rPr>
        <w:t>n September 29, 2017,</w:t>
      </w:r>
      <w:r w:rsidRPr="008D61F2">
        <w:rPr>
          <w:sz w:val="26"/>
          <w:szCs w:val="26"/>
        </w:rPr>
        <w:t xml:space="preserve"> at Docket No. C-201</w:t>
      </w:r>
      <w:r>
        <w:rPr>
          <w:sz w:val="26"/>
          <w:szCs w:val="26"/>
        </w:rPr>
        <w:t>7</w:t>
      </w:r>
      <w:r w:rsidRPr="008D61F2">
        <w:rPr>
          <w:sz w:val="26"/>
          <w:szCs w:val="26"/>
        </w:rPr>
        <w:t>-2</w:t>
      </w:r>
      <w:r>
        <w:rPr>
          <w:sz w:val="26"/>
          <w:szCs w:val="26"/>
        </w:rPr>
        <w:t>626954</w:t>
      </w:r>
      <w:r w:rsidRPr="008D61F2">
        <w:rPr>
          <w:sz w:val="26"/>
          <w:szCs w:val="26"/>
        </w:rPr>
        <w:t>, is sustained, in part, and dismissed, in part</w:t>
      </w:r>
      <w:r>
        <w:rPr>
          <w:sz w:val="26"/>
          <w:szCs w:val="26"/>
        </w:rPr>
        <w:t>, consistent with this Opinion and Order</w:t>
      </w:r>
      <w:r w:rsidRPr="008D61F2">
        <w:rPr>
          <w:sz w:val="26"/>
          <w:szCs w:val="26"/>
        </w:rPr>
        <w:t>.</w:t>
      </w:r>
    </w:p>
    <w:p w14:paraId="532ECD6C" w14:textId="22525AF2" w:rsidR="009C7D32" w:rsidRDefault="009C7D32" w:rsidP="002F7DB7">
      <w:pPr>
        <w:widowControl/>
        <w:spacing w:line="360" w:lineRule="auto"/>
        <w:ind w:firstLine="1440"/>
        <w:rPr>
          <w:sz w:val="26"/>
        </w:rPr>
      </w:pPr>
    </w:p>
    <w:p w14:paraId="38B92468" w14:textId="1A189853" w:rsidR="006061D6" w:rsidRPr="00EB2A5A" w:rsidRDefault="009C7D32" w:rsidP="006061D6">
      <w:pPr>
        <w:widowControl/>
        <w:spacing w:line="360" w:lineRule="auto"/>
        <w:ind w:firstLine="1440"/>
        <w:rPr>
          <w:sz w:val="26"/>
          <w:szCs w:val="26"/>
        </w:rPr>
      </w:pPr>
      <w:r>
        <w:rPr>
          <w:sz w:val="26"/>
          <w:szCs w:val="26"/>
        </w:rPr>
        <w:t>4</w:t>
      </w:r>
      <w:r w:rsidRPr="008D61F2">
        <w:rPr>
          <w:sz w:val="26"/>
          <w:szCs w:val="26"/>
        </w:rPr>
        <w:t>.</w:t>
      </w:r>
      <w:r w:rsidRPr="008D61F2">
        <w:rPr>
          <w:sz w:val="26"/>
          <w:szCs w:val="26"/>
        </w:rPr>
        <w:tab/>
      </w:r>
      <w:r w:rsidR="006061D6">
        <w:rPr>
          <w:sz w:val="26"/>
          <w:szCs w:val="26"/>
        </w:rPr>
        <w:t>That</w:t>
      </w:r>
      <w:r w:rsidR="007C1B73">
        <w:rPr>
          <w:sz w:val="26"/>
          <w:szCs w:val="26"/>
        </w:rPr>
        <w:t xml:space="preserve"> Newtown Artesian Water Company is give</w:t>
      </w:r>
      <w:r w:rsidR="00315A3D">
        <w:rPr>
          <w:sz w:val="26"/>
          <w:szCs w:val="26"/>
        </w:rPr>
        <w:t>n</w:t>
      </w:r>
      <w:r w:rsidR="007C1B73">
        <w:rPr>
          <w:sz w:val="26"/>
          <w:szCs w:val="26"/>
        </w:rPr>
        <w:t xml:space="preserve"> the alternative</w:t>
      </w:r>
      <w:r w:rsidR="00A813FB">
        <w:rPr>
          <w:sz w:val="26"/>
          <w:szCs w:val="26"/>
        </w:rPr>
        <w:t xml:space="preserve"> </w:t>
      </w:r>
      <w:r w:rsidR="006061D6" w:rsidRPr="00EB2A5A">
        <w:rPr>
          <w:sz w:val="26"/>
          <w:szCs w:val="26"/>
        </w:rPr>
        <w:t>to file a</w:t>
      </w:r>
      <w:r w:rsidR="00A813FB" w:rsidRPr="00EB2A5A">
        <w:rPr>
          <w:sz w:val="26"/>
          <w:szCs w:val="26"/>
        </w:rPr>
        <w:t xml:space="preserve">n appropriate tariff </w:t>
      </w:r>
      <w:r w:rsidR="00170D25">
        <w:rPr>
          <w:sz w:val="26"/>
          <w:szCs w:val="26"/>
        </w:rPr>
        <w:t xml:space="preserve">suspension </w:t>
      </w:r>
      <w:r w:rsidR="00A813FB" w:rsidRPr="00EB2A5A">
        <w:rPr>
          <w:sz w:val="26"/>
          <w:szCs w:val="26"/>
        </w:rPr>
        <w:t>supplement</w:t>
      </w:r>
      <w:r w:rsidR="007C1B73">
        <w:rPr>
          <w:sz w:val="26"/>
          <w:szCs w:val="26"/>
        </w:rPr>
        <w:t xml:space="preserve">, on or before April 27, 2018, </w:t>
      </w:r>
      <w:r w:rsidR="00170D25">
        <w:rPr>
          <w:sz w:val="26"/>
          <w:szCs w:val="26"/>
        </w:rPr>
        <w:t xml:space="preserve">to </w:t>
      </w:r>
      <w:r w:rsidR="006061D6" w:rsidRPr="00EB2A5A">
        <w:rPr>
          <w:sz w:val="26"/>
          <w:szCs w:val="26"/>
        </w:rPr>
        <w:t>voluntar</w:t>
      </w:r>
      <w:r w:rsidR="00A813FB" w:rsidRPr="00EB2A5A">
        <w:rPr>
          <w:sz w:val="26"/>
          <w:szCs w:val="26"/>
        </w:rPr>
        <w:t>ily extend</w:t>
      </w:r>
      <w:r w:rsidR="00170D25">
        <w:rPr>
          <w:sz w:val="26"/>
          <w:szCs w:val="26"/>
        </w:rPr>
        <w:t xml:space="preserve"> the effective date of </w:t>
      </w:r>
      <w:r w:rsidR="001D6E04" w:rsidRPr="00EB2A5A">
        <w:rPr>
          <w:sz w:val="26"/>
          <w:szCs w:val="26"/>
        </w:rPr>
        <w:t>Supplement No. 126 To WATER-PA. P.U.C. No.</w:t>
      </w:r>
      <w:r w:rsidR="001D6E04">
        <w:rPr>
          <w:sz w:val="26"/>
          <w:szCs w:val="26"/>
        </w:rPr>
        <w:t> </w:t>
      </w:r>
      <w:r w:rsidR="001D6E04" w:rsidRPr="00EB2A5A">
        <w:rPr>
          <w:sz w:val="26"/>
          <w:szCs w:val="26"/>
        </w:rPr>
        <w:t>9</w:t>
      </w:r>
      <w:r w:rsidR="001D6E04">
        <w:rPr>
          <w:sz w:val="26"/>
          <w:szCs w:val="26"/>
        </w:rPr>
        <w:t xml:space="preserve">, </w:t>
      </w:r>
      <w:r w:rsidR="00FB130D">
        <w:rPr>
          <w:sz w:val="26"/>
          <w:szCs w:val="26"/>
        </w:rPr>
        <w:t xml:space="preserve">which </w:t>
      </w:r>
      <w:r w:rsidR="00FB130D" w:rsidRPr="00EB2A5A">
        <w:rPr>
          <w:sz w:val="26"/>
          <w:szCs w:val="26"/>
        </w:rPr>
        <w:t>was filed by Newtown Artesian Water Company on September 1, 2017</w:t>
      </w:r>
      <w:r w:rsidR="00FB130D">
        <w:rPr>
          <w:sz w:val="26"/>
          <w:szCs w:val="26"/>
        </w:rPr>
        <w:t xml:space="preserve">, </w:t>
      </w:r>
      <w:r w:rsidR="001D6E04">
        <w:rPr>
          <w:sz w:val="26"/>
          <w:szCs w:val="26"/>
        </w:rPr>
        <w:t xml:space="preserve">by a period of ninety (90) days </w:t>
      </w:r>
      <w:r w:rsidR="00FB130D">
        <w:rPr>
          <w:sz w:val="26"/>
          <w:szCs w:val="26"/>
        </w:rPr>
        <w:t>from May 1, 2018, until July 30, 2018.</w:t>
      </w:r>
    </w:p>
    <w:p w14:paraId="31B68C03" w14:textId="77777777" w:rsidR="006061D6" w:rsidRPr="00EB2A5A" w:rsidRDefault="006061D6" w:rsidP="00C144A1">
      <w:pPr>
        <w:widowControl/>
        <w:tabs>
          <w:tab w:val="left" w:pos="-720"/>
        </w:tabs>
        <w:spacing w:line="360" w:lineRule="auto"/>
        <w:ind w:firstLine="1440"/>
        <w:rPr>
          <w:sz w:val="26"/>
          <w:szCs w:val="26"/>
          <w:lang w:val="en"/>
        </w:rPr>
      </w:pPr>
    </w:p>
    <w:p w14:paraId="43262DF3" w14:textId="71740740" w:rsidR="006061D6" w:rsidRPr="005F77AB" w:rsidRDefault="00A813FB" w:rsidP="00C144A1">
      <w:pPr>
        <w:widowControl/>
        <w:tabs>
          <w:tab w:val="left" w:pos="-720"/>
        </w:tabs>
        <w:spacing w:line="360" w:lineRule="auto"/>
        <w:ind w:firstLine="1440"/>
        <w:rPr>
          <w:sz w:val="26"/>
          <w:szCs w:val="26"/>
          <w:lang w:val="en"/>
        </w:rPr>
      </w:pPr>
      <w:r w:rsidRPr="00EB2A5A">
        <w:rPr>
          <w:sz w:val="26"/>
          <w:szCs w:val="26"/>
          <w:lang w:val="en"/>
        </w:rPr>
        <w:t>5</w:t>
      </w:r>
      <w:r w:rsidR="006061D6" w:rsidRPr="00EB2A5A">
        <w:rPr>
          <w:sz w:val="26"/>
          <w:szCs w:val="26"/>
          <w:lang w:val="en"/>
        </w:rPr>
        <w:t>.</w:t>
      </w:r>
      <w:r w:rsidR="006061D6" w:rsidRPr="00EB2A5A">
        <w:rPr>
          <w:sz w:val="26"/>
          <w:szCs w:val="26"/>
          <w:lang w:val="en"/>
        </w:rPr>
        <w:tab/>
        <w:t xml:space="preserve">That, if the </w:t>
      </w:r>
      <w:bookmarkStart w:id="39" w:name="_Hlk512266045"/>
      <w:r w:rsidR="006061D6" w:rsidRPr="00EB2A5A">
        <w:rPr>
          <w:sz w:val="26"/>
          <w:szCs w:val="26"/>
          <w:lang w:val="en"/>
        </w:rPr>
        <w:t>Newtown Artesian Water Company</w:t>
      </w:r>
      <w:bookmarkEnd w:id="39"/>
      <w:r w:rsidR="006061D6" w:rsidRPr="00EB2A5A">
        <w:rPr>
          <w:sz w:val="26"/>
          <w:szCs w:val="26"/>
          <w:lang w:val="en"/>
        </w:rPr>
        <w:t xml:space="preserve"> </w:t>
      </w:r>
      <w:r w:rsidR="0098527B">
        <w:rPr>
          <w:sz w:val="26"/>
          <w:szCs w:val="26"/>
          <w:lang w:val="en"/>
        </w:rPr>
        <w:t xml:space="preserve">files </w:t>
      </w:r>
      <w:r w:rsidR="00C144A1">
        <w:rPr>
          <w:sz w:val="26"/>
          <w:szCs w:val="26"/>
          <w:lang w:val="en"/>
        </w:rPr>
        <w:t xml:space="preserve">the tariff suspension supplement extending the effective date of </w:t>
      </w:r>
      <w:r w:rsidR="00C144A1" w:rsidRPr="00EB2A5A">
        <w:rPr>
          <w:sz w:val="26"/>
          <w:szCs w:val="26"/>
        </w:rPr>
        <w:t>Supplement No. 126 To WATER-PA. P.U.C. No.</w:t>
      </w:r>
      <w:r w:rsidR="00C144A1">
        <w:rPr>
          <w:sz w:val="26"/>
          <w:szCs w:val="26"/>
        </w:rPr>
        <w:t> </w:t>
      </w:r>
      <w:r w:rsidR="00C144A1" w:rsidRPr="00EB2A5A">
        <w:rPr>
          <w:sz w:val="26"/>
          <w:szCs w:val="26"/>
        </w:rPr>
        <w:t>9</w:t>
      </w:r>
      <w:r w:rsidR="0098527B">
        <w:rPr>
          <w:sz w:val="26"/>
          <w:szCs w:val="26"/>
        </w:rPr>
        <w:t xml:space="preserve">, by ninety (90) days from May 1, 2018, until July 30, 2018, </w:t>
      </w:r>
      <w:bookmarkStart w:id="40" w:name="_Hlk512266074"/>
      <w:r w:rsidRPr="00EB2A5A">
        <w:rPr>
          <w:sz w:val="26"/>
          <w:szCs w:val="26"/>
          <w:lang w:val="en"/>
        </w:rPr>
        <w:t>pursuant to Ordering Paragraph No. 4</w:t>
      </w:r>
      <w:bookmarkEnd w:id="40"/>
      <w:r w:rsidR="006061D6" w:rsidRPr="00EB2A5A">
        <w:rPr>
          <w:sz w:val="26"/>
          <w:szCs w:val="26"/>
          <w:lang w:val="en"/>
        </w:rPr>
        <w:t xml:space="preserve">, this matter will be remanded to the Office of Administrative Law Judge for proceedings limited to the single issue of whether </w:t>
      </w:r>
      <w:r w:rsidRPr="00EB2A5A">
        <w:rPr>
          <w:sz w:val="26"/>
          <w:szCs w:val="26"/>
          <w:lang w:val="en"/>
        </w:rPr>
        <w:t>Newtown Artesian Water Company</w:t>
      </w:r>
      <w:r w:rsidR="006061D6" w:rsidRPr="00EB2A5A">
        <w:rPr>
          <w:sz w:val="26"/>
          <w:szCs w:val="26"/>
          <w:lang w:val="en"/>
        </w:rPr>
        <w:t xml:space="preserve"> has exceeded its DSIC and will continue to exceed it, and whether this justifies the requested increase to a 7.5% cap</w:t>
      </w:r>
      <w:r w:rsidR="00935864" w:rsidRPr="00EB2A5A">
        <w:rPr>
          <w:sz w:val="26"/>
          <w:szCs w:val="26"/>
          <w:lang w:val="en"/>
        </w:rPr>
        <w:t xml:space="preserve"> and for the issuance of a Recommended </w:t>
      </w:r>
      <w:r w:rsidR="00935864" w:rsidRPr="00EB2A5A">
        <w:rPr>
          <w:sz w:val="26"/>
          <w:szCs w:val="26"/>
          <w:lang w:val="en"/>
        </w:rPr>
        <w:lastRenderedPageBreak/>
        <w:t>Decision on Remand</w:t>
      </w:r>
      <w:r w:rsidR="006061D6" w:rsidRPr="00EB2A5A">
        <w:rPr>
          <w:sz w:val="26"/>
          <w:szCs w:val="26"/>
          <w:lang w:val="en"/>
        </w:rPr>
        <w:t>.</w:t>
      </w:r>
      <w:r w:rsidR="00935864" w:rsidRPr="00EB2A5A">
        <w:rPr>
          <w:sz w:val="26"/>
          <w:szCs w:val="26"/>
          <w:lang w:val="en"/>
        </w:rPr>
        <w:t xml:space="preserve">  </w:t>
      </w:r>
      <w:r w:rsidR="00935864" w:rsidRPr="00EB2A5A">
        <w:rPr>
          <w:sz w:val="26"/>
          <w:szCs w:val="26"/>
        </w:rPr>
        <w:t xml:space="preserve">The Recommended </w:t>
      </w:r>
      <w:r w:rsidR="00935864" w:rsidRPr="005F77AB">
        <w:rPr>
          <w:sz w:val="26"/>
          <w:szCs w:val="26"/>
        </w:rPr>
        <w:t>Decision on Remand and any Exceptions to the Recommended Decision shall be considered at a subsequent public meeting no later than the July 12, 2018 public meeting.</w:t>
      </w:r>
    </w:p>
    <w:p w14:paraId="4A66E603" w14:textId="77777777" w:rsidR="00345F9E" w:rsidRDefault="00345F9E" w:rsidP="009C7D32">
      <w:pPr>
        <w:widowControl/>
        <w:spacing w:line="360" w:lineRule="auto"/>
        <w:ind w:firstLine="1440"/>
        <w:rPr>
          <w:sz w:val="26"/>
          <w:szCs w:val="26"/>
        </w:rPr>
      </w:pPr>
    </w:p>
    <w:p w14:paraId="69CA6DE3" w14:textId="4AAF6DE0" w:rsidR="009C7D32" w:rsidRDefault="00A813FB" w:rsidP="009C7D32">
      <w:pPr>
        <w:widowControl/>
        <w:spacing w:line="360" w:lineRule="auto"/>
        <w:ind w:firstLine="1440"/>
        <w:rPr>
          <w:sz w:val="26"/>
          <w:szCs w:val="26"/>
        </w:rPr>
      </w:pPr>
      <w:r>
        <w:rPr>
          <w:sz w:val="26"/>
          <w:szCs w:val="26"/>
        </w:rPr>
        <w:t>6.</w:t>
      </w:r>
      <w:r>
        <w:rPr>
          <w:sz w:val="26"/>
          <w:szCs w:val="26"/>
        </w:rPr>
        <w:tab/>
      </w:r>
      <w:r w:rsidR="009C7D32" w:rsidRPr="005F77AB">
        <w:rPr>
          <w:sz w:val="26"/>
          <w:szCs w:val="26"/>
        </w:rPr>
        <w:t>That</w:t>
      </w:r>
      <w:r w:rsidRPr="005F77AB">
        <w:rPr>
          <w:sz w:val="26"/>
          <w:szCs w:val="26"/>
        </w:rPr>
        <w:t xml:space="preserve">, if </w:t>
      </w:r>
      <w:r w:rsidRPr="005F77AB">
        <w:rPr>
          <w:sz w:val="26"/>
          <w:szCs w:val="26"/>
          <w:lang w:val="en"/>
        </w:rPr>
        <w:t>Newtown Artesian Water Company</w:t>
      </w:r>
      <w:r w:rsidR="009C7D32" w:rsidRPr="005F77AB">
        <w:rPr>
          <w:sz w:val="26"/>
          <w:szCs w:val="26"/>
        </w:rPr>
        <w:t xml:space="preserve"> </w:t>
      </w:r>
      <w:r w:rsidR="0098527B">
        <w:rPr>
          <w:sz w:val="26"/>
          <w:szCs w:val="26"/>
        </w:rPr>
        <w:t>d</w:t>
      </w:r>
      <w:r w:rsidR="00D955CA">
        <w:rPr>
          <w:sz w:val="26"/>
          <w:szCs w:val="26"/>
        </w:rPr>
        <w:t xml:space="preserve">eclines to file a </w:t>
      </w:r>
      <w:r w:rsidR="00D955CA">
        <w:rPr>
          <w:sz w:val="26"/>
          <w:szCs w:val="26"/>
          <w:lang w:val="en"/>
        </w:rPr>
        <w:t xml:space="preserve">tariff suspension supplement extending the effective date of </w:t>
      </w:r>
      <w:r w:rsidR="00D955CA" w:rsidRPr="00EB2A5A">
        <w:rPr>
          <w:sz w:val="26"/>
          <w:szCs w:val="26"/>
        </w:rPr>
        <w:t>Supplement No. 126 To WATER-PA. P.U.C. No.</w:t>
      </w:r>
      <w:r w:rsidR="00D955CA">
        <w:rPr>
          <w:sz w:val="26"/>
          <w:szCs w:val="26"/>
        </w:rPr>
        <w:t> </w:t>
      </w:r>
      <w:r w:rsidR="00D955CA" w:rsidRPr="00EB2A5A">
        <w:rPr>
          <w:sz w:val="26"/>
          <w:szCs w:val="26"/>
        </w:rPr>
        <w:t>9</w:t>
      </w:r>
      <w:r w:rsidR="00D955CA">
        <w:rPr>
          <w:sz w:val="26"/>
          <w:szCs w:val="26"/>
        </w:rPr>
        <w:t xml:space="preserve">, by ninety (90) days, from May 1, 2018, until July 30, 2018, </w:t>
      </w:r>
      <w:r w:rsidR="00D955CA" w:rsidRPr="00EB2A5A">
        <w:rPr>
          <w:sz w:val="26"/>
          <w:szCs w:val="26"/>
          <w:lang w:val="en"/>
        </w:rPr>
        <w:t xml:space="preserve">pursuant to Ordering Paragraph No. 4, </w:t>
      </w:r>
      <w:r w:rsidR="00783827">
        <w:rPr>
          <w:sz w:val="26"/>
          <w:szCs w:val="26"/>
          <w:lang w:val="en"/>
        </w:rPr>
        <w:t xml:space="preserve">then </w:t>
      </w:r>
      <w:r w:rsidR="009C7D32" w:rsidRPr="005F77AB">
        <w:rPr>
          <w:sz w:val="26"/>
          <w:szCs w:val="26"/>
        </w:rPr>
        <w:t>Supplement No. 126 To WATER-P</w:t>
      </w:r>
      <w:r w:rsidR="00414752" w:rsidRPr="005F77AB">
        <w:rPr>
          <w:sz w:val="26"/>
          <w:szCs w:val="26"/>
        </w:rPr>
        <w:t>A</w:t>
      </w:r>
      <w:r w:rsidR="009C7D32" w:rsidRPr="005F77AB">
        <w:rPr>
          <w:sz w:val="26"/>
          <w:szCs w:val="26"/>
        </w:rPr>
        <w:t>. P.U.C. No. 9 that was filed by Newtown Artesian Water</w:t>
      </w:r>
      <w:r w:rsidR="009C7D32">
        <w:rPr>
          <w:sz w:val="26"/>
          <w:szCs w:val="26"/>
        </w:rPr>
        <w:t xml:space="preserve"> Company on September 1, 2017, </w:t>
      </w:r>
      <w:r w:rsidR="00AD3E5D">
        <w:rPr>
          <w:sz w:val="26"/>
          <w:szCs w:val="26"/>
        </w:rPr>
        <w:t xml:space="preserve">and subsequently suspended until </w:t>
      </w:r>
      <w:r w:rsidR="009C7D32">
        <w:rPr>
          <w:sz w:val="26"/>
          <w:szCs w:val="26"/>
        </w:rPr>
        <w:t>May 1, 2018, shall not be permitted to go into effect,</w:t>
      </w:r>
      <w:r w:rsidR="009C7D32" w:rsidRPr="008D61F2">
        <w:rPr>
          <w:sz w:val="26"/>
          <w:szCs w:val="26"/>
        </w:rPr>
        <w:t xml:space="preserve"> consisten</w:t>
      </w:r>
      <w:r w:rsidR="009C7D32">
        <w:rPr>
          <w:sz w:val="26"/>
          <w:szCs w:val="26"/>
        </w:rPr>
        <w:t>t with this Opinion and Order.</w:t>
      </w:r>
    </w:p>
    <w:p w14:paraId="187F6174" w14:textId="4716FAC6" w:rsidR="009C7D32" w:rsidRDefault="009C7D32" w:rsidP="002F7DB7">
      <w:pPr>
        <w:widowControl/>
        <w:spacing w:line="360" w:lineRule="auto"/>
        <w:ind w:firstLine="1440"/>
        <w:rPr>
          <w:sz w:val="26"/>
        </w:rPr>
      </w:pPr>
    </w:p>
    <w:p w14:paraId="2223F653" w14:textId="35DA4CA5" w:rsidR="00C34BA3" w:rsidRDefault="00935864" w:rsidP="002F7DB7">
      <w:pPr>
        <w:widowControl/>
        <w:spacing w:line="360" w:lineRule="auto"/>
        <w:ind w:firstLine="1440"/>
        <w:rPr>
          <w:sz w:val="26"/>
        </w:rPr>
      </w:pPr>
      <w:r>
        <w:rPr>
          <w:sz w:val="26"/>
        </w:rPr>
        <w:t>7</w:t>
      </w:r>
      <w:r w:rsidR="003A56D8">
        <w:rPr>
          <w:sz w:val="26"/>
        </w:rPr>
        <w:t>.</w:t>
      </w:r>
      <w:r w:rsidR="003A56D8">
        <w:rPr>
          <w:sz w:val="26"/>
        </w:rPr>
        <w:tab/>
        <w:t>That</w:t>
      </w:r>
      <w:r w:rsidR="00354187">
        <w:rPr>
          <w:sz w:val="26"/>
        </w:rPr>
        <w:t xml:space="preserve">, within thirty (30) days of the date of entry of this Opinion and Order, </w:t>
      </w:r>
      <w:r w:rsidR="003A56D8">
        <w:rPr>
          <w:sz w:val="26"/>
        </w:rPr>
        <w:t xml:space="preserve">Newtown Artesian Water Company shall </w:t>
      </w:r>
      <w:r w:rsidR="00354187">
        <w:rPr>
          <w:sz w:val="26"/>
        </w:rPr>
        <w:t xml:space="preserve">file a tariff supplement </w:t>
      </w:r>
      <w:r w:rsidR="00B45711">
        <w:rPr>
          <w:sz w:val="26"/>
        </w:rPr>
        <w:t xml:space="preserve">to </w:t>
      </w:r>
      <w:r w:rsidR="00B45711">
        <w:rPr>
          <w:sz w:val="26"/>
          <w:szCs w:val="26"/>
        </w:rPr>
        <w:t xml:space="preserve">modify its tariff definition of DSI </w:t>
      </w:r>
      <w:r w:rsidR="00713664">
        <w:rPr>
          <w:sz w:val="26"/>
          <w:szCs w:val="26"/>
        </w:rPr>
        <w:t>as follows:</w:t>
      </w:r>
    </w:p>
    <w:p w14:paraId="7E5E8313" w14:textId="77777777" w:rsidR="007E07E3" w:rsidRDefault="007E07E3" w:rsidP="002F7DB7">
      <w:pPr>
        <w:widowControl/>
        <w:spacing w:line="360" w:lineRule="auto"/>
        <w:ind w:firstLine="1440"/>
        <w:rPr>
          <w:sz w:val="26"/>
        </w:rPr>
      </w:pPr>
    </w:p>
    <w:p w14:paraId="512FB399" w14:textId="17C3268F" w:rsidR="00C34BA3" w:rsidRDefault="00C34BA3" w:rsidP="002F7DB7">
      <w:pPr>
        <w:widowControl/>
        <w:ind w:left="720" w:right="720"/>
        <w:rPr>
          <w:sz w:val="26"/>
          <w:szCs w:val="26"/>
        </w:rPr>
      </w:pPr>
      <w:r>
        <w:rPr>
          <w:sz w:val="26"/>
          <w:szCs w:val="26"/>
        </w:rPr>
        <w:t xml:space="preserve">DSI = Original cost of eligible distribution system improvement </w:t>
      </w:r>
      <w:r>
        <w:rPr>
          <w:sz w:val="26"/>
          <w:szCs w:val="26"/>
        </w:rPr>
        <w:tab/>
        <w:t>projects net of accrued depreciation.</w:t>
      </w:r>
    </w:p>
    <w:p w14:paraId="34AB011C" w14:textId="77777777" w:rsidR="00AD3E5D" w:rsidRDefault="00AD3E5D" w:rsidP="002F7DB7">
      <w:pPr>
        <w:widowControl/>
        <w:ind w:left="720" w:right="720"/>
        <w:rPr>
          <w:sz w:val="26"/>
          <w:szCs w:val="26"/>
        </w:rPr>
      </w:pPr>
    </w:p>
    <w:p w14:paraId="03972485" w14:textId="77777777" w:rsidR="009711FF" w:rsidRDefault="009711FF" w:rsidP="002F7DB7">
      <w:pPr>
        <w:widowControl/>
        <w:ind w:left="720" w:right="720"/>
        <w:rPr>
          <w:sz w:val="26"/>
          <w:szCs w:val="26"/>
        </w:rPr>
      </w:pPr>
    </w:p>
    <w:p w14:paraId="01FE7037" w14:textId="12BB1A47" w:rsidR="00311F54" w:rsidRDefault="00935864" w:rsidP="00311F54">
      <w:pPr>
        <w:widowControl/>
        <w:spacing w:line="360" w:lineRule="auto"/>
        <w:ind w:firstLine="1440"/>
        <w:rPr>
          <w:sz w:val="26"/>
          <w:szCs w:val="26"/>
        </w:rPr>
      </w:pPr>
      <w:r>
        <w:rPr>
          <w:sz w:val="26"/>
          <w:szCs w:val="26"/>
        </w:rPr>
        <w:t>8</w:t>
      </w:r>
      <w:r w:rsidR="00311F54">
        <w:rPr>
          <w:sz w:val="26"/>
          <w:szCs w:val="26"/>
        </w:rPr>
        <w:t>.</w:t>
      </w:r>
      <w:r w:rsidR="00311F54">
        <w:rPr>
          <w:sz w:val="26"/>
          <w:szCs w:val="26"/>
        </w:rPr>
        <w:tab/>
        <w:t xml:space="preserve">That within thirty (30) days of entry of this Opinion and Order, </w:t>
      </w:r>
      <w:bookmarkStart w:id="41" w:name="_Hlk510794737"/>
      <w:r w:rsidR="00311F54">
        <w:rPr>
          <w:sz w:val="26"/>
          <w:szCs w:val="26"/>
        </w:rPr>
        <w:t xml:space="preserve">Newtown Artesian Water Company </w:t>
      </w:r>
      <w:bookmarkEnd w:id="41"/>
      <w:r w:rsidR="00311F54">
        <w:rPr>
          <w:sz w:val="26"/>
          <w:szCs w:val="26"/>
        </w:rPr>
        <w:t xml:space="preserve">shall make a Compliance Filing with the Commission which shall include a recalculation of the DSIC rate for the four-year period prior to the date of filing of </w:t>
      </w:r>
      <w:r w:rsidR="00311F54" w:rsidRPr="00BD3EE6">
        <w:rPr>
          <w:sz w:val="26"/>
          <w:szCs w:val="26"/>
        </w:rPr>
        <w:t>Supplement No. 126 To WATER-</w:t>
      </w:r>
      <w:r w:rsidR="00311F54">
        <w:rPr>
          <w:sz w:val="26"/>
          <w:szCs w:val="26"/>
        </w:rPr>
        <w:t>PA.</w:t>
      </w:r>
      <w:r w:rsidR="00311F54" w:rsidRPr="00BD3EE6">
        <w:rPr>
          <w:sz w:val="26"/>
          <w:szCs w:val="26"/>
        </w:rPr>
        <w:t xml:space="preserve"> P.U.C. No. 9</w:t>
      </w:r>
      <w:r w:rsidR="00311F54">
        <w:rPr>
          <w:sz w:val="26"/>
          <w:szCs w:val="26"/>
        </w:rPr>
        <w:t>, excluding short term debt and using the applicable verified cost of debt.  The Secretary’s Bureau shall forward the Compliance Filing to the Commission’s Bureau of Audits for evaluation and inclusion within a subsequent Quarterly DSIC Update for Newtown Artesian Water Company.</w:t>
      </w:r>
    </w:p>
    <w:p w14:paraId="1D0E90DE" w14:textId="52D84BF2" w:rsidR="007847CB" w:rsidRDefault="007847CB" w:rsidP="002F7DB7">
      <w:pPr>
        <w:widowControl/>
        <w:ind w:left="720" w:right="720"/>
        <w:rPr>
          <w:sz w:val="26"/>
          <w:szCs w:val="26"/>
        </w:rPr>
      </w:pPr>
    </w:p>
    <w:p w14:paraId="4EE65EB3" w14:textId="40ED12AB" w:rsidR="007847CB" w:rsidRDefault="00E376F7" w:rsidP="002F7DB7">
      <w:pPr>
        <w:widowControl/>
        <w:spacing w:line="360" w:lineRule="auto"/>
        <w:ind w:firstLine="1440"/>
        <w:rPr>
          <w:sz w:val="26"/>
          <w:szCs w:val="26"/>
        </w:rPr>
      </w:pPr>
      <w:r>
        <w:rPr>
          <w:sz w:val="26"/>
          <w:szCs w:val="26"/>
        </w:rPr>
        <w:lastRenderedPageBreak/>
        <w:t>9</w:t>
      </w:r>
      <w:r w:rsidR="007847CB">
        <w:rPr>
          <w:sz w:val="26"/>
          <w:szCs w:val="26"/>
        </w:rPr>
        <w:t>.</w:t>
      </w:r>
      <w:r w:rsidR="007847CB">
        <w:rPr>
          <w:sz w:val="26"/>
          <w:szCs w:val="26"/>
        </w:rPr>
        <w:tab/>
        <w:t xml:space="preserve">The Newtown Artesian Water Company </w:t>
      </w:r>
      <w:r w:rsidR="00354187">
        <w:rPr>
          <w:sz w:val="26"/>
          <w:szCs w:val="26"/>
        </w:rPr>
        <w:t xml:space="preserve">shall </w:t>
      </w:r>
      <w:r w:rsidR="007847CB">
        <w:rPr>
          <w:sz w:val="26"/>
          <w:szCs w:val="26"/>
        </w:rPr>
        <w:t xml:space="preserve">continue to submit its quarterly financial reports </w:t>
      </w:r>
      <w:r w:rsidR="00354187">
        <w:rPr>
          <w:sz w:val="26"/>
          <w:szCs w:val="26"/>
        </w:rPr>
        <w:t xml:space="preserve">as </w:t>
      </w:r>
      <w:r w:rsidR="009711FF">
        <w:rPr>
          <w:sz w:val="26"/>
          <w:szCs w:val="26"/>
        </w:rPr>
        <w:t>required by Chapter 71</w:t>
      </w:r>
      <w:r w:rsidR="00AB20F2">
        <w:rPr>
          <w:sz w:val="26"/>
          <w:szCs w:val="26"/>
        </w:rPr>
        <w:t xml:space="preserve"> of the Commission’s Regulations, 52 Pa. Code Chapter 71</w:t>
      </w:r>
      <w:r w:rsidR="009711FF">
        <w:rPr>
          <w:sz w:val="26"/>
          <w:szCs w:val="26"/>
        </w:rPr>
        <w:t>.</w:t>
      </w:r>
    </w:p>
    <w:p w14:paraId="56011A0F" w14:textId="03518EAA" w:rsidR="00DF2A76" w:rsidRDefault="00DF2A76" w:rsidP="002F7DB7">
      <w:pPr>
        <w:widowControl/>
        <w:spacing w:line="360" w:lineRule="auto"/>
        <w:ind w:firstLine="1440"/>
        <w:rPr>
          <w:sz w:val="26"/>
          <w:szCs w:val="26"/>
        </w:rPr>
      </w:pPr>
    </w:p>
    <w:p w14:paraId="29036692" w14:textId="2CAD9E58" w:rsidR="001E786F" w:rsidRPr="005F77AB" w:rsidRDefault="00E376F7" w:rsidP="00EB2A5A">
      <w:pPr>
        <w:widowControl/>
        <w:spacing w:line="360" w:lineRule="auto"/>
        <w:ind w:firstLine="1440"/>
        <w:rPr>
          <w:sz w:val="26"/>
          <w:szCs w:val="26"/>
          <w:lang w:val="en"/>
        </w:rPr>
      </w:pPr>
      <w:r>
        <w:rPr>
          <w:sz w:val="26"/>
          <w:szCs w:val="26"/>
        </w:rPr>
        <w:t>10</w:t>
      </w:r>
      <w:bookmarkStart w:id="42" w:name="_GoBack"/>
      <w:bookmarkEnd w:id="42"/>
      <w:r w:rsidR="00DF2A76">
        <w:rPr>
          <w:sz w:val="26"/>
          <w:szCs w:val="26"/>
        </w:rPr>
        <w:t xml:space="preserve">. </w:t>
      </w:r>
      <w:r w:rsidR="00DF2A76">
        <w:rPr>
          <w:sz w:val="26"/>
          <w:szCs w:val="26"/>
        </w:rPr>
        <w:tab/>
      </w:r>
      <w:r w:rsidR="00935864" w:rsidRPr="005F77AB">
        <w:rPr>
          <w:sz w:val="26"/>
          <w:szCs w:val="26"/>
        </w:rPr>
        <w:t xml:space="preserve">That, if </w:t>
      </w:r>
      <w:r w:rsidR="00935864" w:rsidRPr="005F77AB">
        <w:rPr>
          <w:sz w:val="26"/>
          <w:szCs w:val="26"/>
          <w:lang w:val="en"/>
        </w:rPr>
        <w:t>Newtown Artesian Water Company</w:t>
      </w:r>
      <w:r w:rsidR="00935864" w:rsidRPr="005F77AB">
        <w:rPr>
          <w:sz w:val="26"/>
          <w:szCs w:val="26"/>
        </w:rPr>
        <w:t xml:space="preserve"> fails to file a </w:t>
      </w:r>
      <w:r w:rsidR="00935864" w:rsidRPr="005F77AB">
        <w:rPr>
          <w:sz w:val="26"/>
          <w:szCs w:val="26"/>
          <w:lang w:val="en"/>
        </w:rPr>
        <w:t>rate filing suspension pursuant to Ordering Paragraph No. 4, this proceeding shall be marked closed.</w:t>
      </w:r>
    </w:p>
    <w:p w14:paraId="12EE3B05" w14:textId="77777777" w:rsidR="0032727E" w:rsidRPr="0032727E" w:rsidRDefault="0032727E" w:rsidP="002F7DB7">
      <w:pPr>
        <w:keepNext/>
        <w:widowControl/>
        <w:tabs>
          <w:tab w:val="left" w:pos="-720"/>
        </w:tabs>
        <w:ind w:firstLine="5040"/>
        <w:rPr>
          <w:sz w:val="26"/>
          <w:szCs w:val="26"/>
        </w:rPr>
      </w:pPr>
    </w:p>
    <w:p w14:paraId="1AE8B2D0" w14:textId="1861AFDB" w:rsidR="008D61F2" w:rsidRDefault="00FF7E23" w:rsidP="002F7DB7">
      <w:pPr>
        <w:keepNext/>
        <w:widowControl/>
        <w:tabs>
          <w:tab w:val="left" w:pos="-720"/>
        </w:tabs>
        <w:ind w:firstLine="5040"/>
        <w:rPr>
          <w:b/>
          <w:sz w:val="26"/>
          <w:szCs w:val="26"/>
        </w:rPr>
      </w:pPr>
      <w:r>
        <w:rPr>
          <w:noProof/>
        </w:rPr>
        <w:drawing>
          <wp:anchor distT="0" distB="0" distL="114300" distR="114300" simplePos="0" relativeHeight="251659264" behindDoc="1" locked="0" layoutInCell="1" allowOverlap="1" wp14:anchorId="1C42C7C7" wp14:editId="02CEA58D">
            <wp:simplePos x="0" y="0"/>
            <wp:positionH relativeFrom="column">
              <wp:posOffset>3076575</wp:posOffset>
            </wp:positionH>
            <wp:positionV relativeFrom="paragraph">
              <wp:posOffset>130810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D61F2" w:rsidRPr="008D61F2">
        <w:rPr>
          <w:b/>
          <w:sz w:val="26"/>
          <w:szCs w:val="26"/>
        </w:rPr>
        <w:t>BY THE COMMISSION,</w:t>
      </w:r>
    </w:p>
    <w:p w14:paraId="43FA1FEF" w14:textId="66FC1511" w:rsidR="00FF7E23" w:rsidRDefault="00FF7E23" w:rsidP="00FF7E23">
      <w:pPr>
        <w:keepNext/>
        <w:widowControl/>
        <w:tabs>
          <w:tab w:val="left" w:pos="-720"/>
        </w:tabs>
        <w:ind w:firstLine="5040"/>
        <w:rPr>
          <w:sz w:val="26"/>
          <w:szCs w:val="26"/>
        </w:rPr>
      </w:pPr>
    </w:p>
    <w:p w14:paraId="6DA7F3F4" w14:textId="5F09DC9F" w:rsidR="00FF7E23" w:rsidRDefault="00FF7E23" w:rsidP="00FF7E23">
      <w:pPr>
        <w:keepNext/>
        <w:widowControl/>
        <w:tabs>
          <w:tab w:val="left" w:pos="-720"/>
        </w:tabs>
        <w:ind w:firstLine="5040"/>
        <w:rPr>
          <w:sz w:val="26"/>
          <w:szCs w:val="26"/>
        </w:rPr>
      </w:pPr>
    </w:p>
    <w:p w14:paraId="61DE2620" w14:textId="23C8D585" w:rsidR="00AD3E5D" w:rsidRDefault="00AD3E5D" w:rsidP="002F7DB7">
      <w:pPr>
        <w:keepNext/>
        <w:widowControl/>
        <w:tabs>
          <w:tab w:val="left" w:pos="-720"/>
        </w:tabs>
        <w:ind w:firstLine="5040"/>
        <w:rPr>
          <w:sz w:val="26"/>
          <w:szCs w:val="26"/>
        </w:rPr>
      </w:pPr>
    </w:p>
    <w:p w14:paraId="20168D98" w14:textId="585B7051" w:rsidR="00FF7E23" w:rsidRDefault="00FF7E23"/>
    <w:p w14:paraId="3E73175C" w14:textId="77777777" w:rsidR="008D61F2" w:rsidRPr="008D61F2" w:rsidRDefault="008D61F2" w:rsidP="002F7DB7">
      <w:pPr>
        <w:keepNext/>
        <w:widowControl/>
        <w:tabs>
          <w:tab w:val="left" w:pos="-720"/>
        </w:tabs>
        <w:ind w:firstLine="5040"/>
        <w:rPr>
          <w:b/>
          <w:sz w:val="26"/>
          <w:szCs w:val="26"/>
        </w:rPr>
      </w:pPr>
      <w:r w:rsidRPr="008D61F2">
        <w:rPr>
          <w:sz w:val="26"/>
          <w:szCs w:val="26"/>
        </w:rPr>
        <w:t>Rosemary Chiavetta</w:t>
      </w:r>
    </w:p>
    <w:p w14:paraId="0E3A8573" w14:textId="51595BB0" w:rsidR="008D61F2" w:rsidRPr="008D61F2" w:rsidRDefault="008D61F2" w:rsidP="00183034">
      <w:pPr>
        <w:keepNext/>
        <w:widowControl/>
        <w:tabs>
          <w:tab w:val="left" w:pos="-720"/>
        </w:tabs>
        <w:ind w:firstLine="5040"/>
        <w:rPr>
          <w:sz w:val="26"/>
          <w:szCs w:val="26"/>
        </w:rPr>
      </w:pPr>
      <w:r w:rsidRPr="008D61F2">
        <w:rPr>
          <w:sz w:val="26"/>
          <w:szCs w:val="26"/>
        </w:rPr>
        <w:t>Secretary</w:t>
      </w:r>
    </w:p>
    <w:p w14:paraId="761E506F" w14:textId="77777777" w:rsidR="008D61F2" w:rsidRPr="008D61F2" w:rsidRDefault="008D61F2" w:rsidP="002F7DB7">
      <w:pPr>
        <w:keepNext/>
        <w:widowControl/>
        <w:tabs>
          <w:tab w:val="left" w:pos="-720"/>
        </w:tabs>
        <w:rPr>
          <w:sz w:val="26"/>
          <w:szCs w:val="26"/>
        </w:rPr>
      </w:pPr>
    </w:p>
    <w:p w14:paraId="0400B35B" w14:textId="77777777" w:rsidR="008D61F2" w:rsidRPr="008D61F2" w:rsidRDefault="008D61F2" w:rsidP="002F7DB7">
      <w:pPr>
        <w:keepNext/>
        <w:widowControl/>
        <w:tabs>
          <w:tab w:val="left" w:pos="-720"/>
        </w:tabs>
        <w:rPr>
          <w:sz w:val="26"/>
          <w:szCs w:val="26"/>
        </w:rPr>
      </w:pPr>
      <w:r w:rsidRPr="008D61F2">
        <w:rPr>
          <w:sz w:val="26"/>
          <w:szCs w:val="26"/>
        </w:rPr>
        <w:t>(SEAL)</w:t>
      </w:r>
    </w:p>
    <w:p w14:paraId="29ED5572" w14:textId="77777777" w:rsidR="008D61F2" w:rsidRPr="008D61F2" w:rsidRDefault="008D61F2" w:rsidP="002F7DB7">
      <w:pPr>
        <w:keepNext/>
        <w:widowControl/>
        <w:tabs>
          <w:tab w:val="left" w:pos="-720"/>
        </w:tabs>
        <w:rPr>
          <w:sz w:val="26"/>
          <w:szCs w:val="26"/>
        </w:rPr>
      </w:pPr>
    </w:p>
    <w:p w14:paraId="10F3B069" w14:textId="77777777" w:rsidR="008D61F2" w:rsidRPr="008D61F2" w:rsidRDefault="008D61F2" w:rsidP="002F7DB7">
      <w:pPr>
        <w:keepNext/>
        <w:widowControl/>
        <w:tabs>
          <w:tab w:val="left" w:pos="-720"/>
        </w:tabs>
        <w:rPr>
          <w:sz w:val="26"/>
          <w:szCs w:val="26"/>
        </w:rPr>
      </w:pPr>
      <w:r w:rsidRPr="008D61F2">
        <w:rPr>
          <w:sz w:val="26"/>
          <w:szCs w:val="26"/>
        </w:rPr>
        <w:t xml:space="preserve">ORDER ADOPTED: </w:t>
      </w:r>
      <w:r w:rsidR="006503DC">
        <w:rPr>
          <w:sz w:val="26"/>
          <w:szCs w:val="26"/>
        </w:rPr>
        <w:t>April 19, 2018</w:t>
      </w:r>
    </w:p>
    <w:p w14:paraId="6FC3763F" w14:textId="77777777" w:rsidR="008D61F2" w:rsidRPr="008D61F2" w:rsidRDefault="008D61F2" w:rsidP="002F7DB7">
      <w:pPr>
        <w:keepNext/>
        <w:widowControl/>
        <w:tabs>
          <w:tab w:val="left" w:pos="-720"/>
        </w:tabs>
        <w:rPr>
          <w:sz w:val="26"/>
          <w:szCs w:val="26"/>
        </w:rPr>
      </w:pPr>
    </w:p>
    <w:p w14:paraId="389C4161" w14:textId="10483195" w:rsidR="008D61F2" w:rsidRPr="003D1E07" w:rsidRDefault="008D61F2" w:rsidP="002F7DB7">
      <w:pPr>
        <w:keepNext/>
        <w:widowControl/>
        <w:tabs>
          <w:tab w:val="left" w:pos="-720"/>
        </w:tabs>
        <w:rPr>
          <w:sz w:val="26"/>
          <w:szCs w:val="26"/>
        </w:rPr>
      </w:pPr>
      <w:r w:rsidRPr="008D61F2">
        <w:rPr>
          <w:sz w:val="26"/>
          <w:szCs w:val="26"/>
        </w:rPr>
        <w:t>ORDER ENTERED:</w:t>
      </w:r>
      <w:r w:rsidR="00FF7E23">
        <w:rPr>
          <w:sz w:val="26"/>
          <w:szCs w:val="26"/>
        </w:rPr>
        <w:t xml:space="preserve">  April 26, 2018</w:t>
      </w:r>
      <w:r w:rsidRPr="008D61F2">
        <w:rPr>
          <w:sz w:val="26"/>
          <w:szCs w:val="26"/>
        </w:rPr>
        <w:t xml:space="preserve"> </w:t>
      </w:r>
    </w:p>
    <w:sectPr w:rsidR="008D61F2" w:rsidRPr="003D1E07" w:rsidSect="00643850">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77602" w14:textId="77777777" w:rsidR="0015449F" w:rsidRDefault="0015449F" w:rsidP="00F7174B">
      <w:r>
        <w:separator/>
      </w:r>
    </w:p>
  </w:endnote>
  <w:endnote w:type="continuationSeparator" w:id="0">
    <w:p w14:paraId="4A674B11" w14:textId="77777777" w:rsidR="0015449F" w:rsidRDefault="0015449F"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14:paraId="3F26B249" w14:textId="77777777" w:rsidR="00A8669C" w:rsidRPr="009F1A08" w:rsidRDefault="00A8669C">
        <w:pPr>
          <w:pStyle w:val="Footer"/>
          <w:jc w:val="center"/>
          <w:rPr>
            <w:sz w:val="26"/>
            <w:szCs w:val="26"/>
          </w:rPr>
        </w:pPr>
        <w:r>
          <w:rPr>
            <w:sz w:val="26"/>
            <w:szCs w:val="2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89967"/>
      <w:docPartObj>
        <w:docPartGallery w:val="Page Numbers (Bottom of Page)"/>
        <w:docPartUnique/>
      </w:docPartObj>
    </w:sdtPr>
    <w:sdtEndPr>
      <w:rPr>
        <w:noProof/>
        <w:sz w:val="26"/>
        <w:szCs w:val="26"/>
      </w:rPr>
    </w:sdtEndPr>
    <w:sdtContent>
      <w:p w14:paraId="6E646C27" w14:textId="77777777" w:rsidR="00A8669C" w:rsidRPr="009F1A08" w:rsidRDefault="00A8669C">
        <w:pPr>
          <w:pStyle w:val="Footer"/>
          <w:jc w:val="center"/>
          <w:rPr>
            <w:sz w:val="26"/>
            <w:szCs w:val="26"/>
          </w:rPr>
        </w:pPr>
        <w:r>
          <w:rPr>
            <w:sz w:val="26"/>
            <w:szCs w:val="26"/>
          </w:rPr>
          <w:t>i</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767956"/>
      <w:docPartObj>
        <w:docPartGallery w:val="Page Numbers (Bottom of Page)"/>
        <w:docPartUnique/>
      </w:docPartObj>
    </w:sdtPr>
    <w:sdtEndPr>
      <w:rPr>
        <w:noProof/>
      </w:rPr>
    </w:sdtEndPr>
    <w:sdtContent>
      <w:p w14:paraId="20A9BCEB" w14:textId="77777777" w:rsidR="00A8669C" w:rsidRDefault="00A8669C" w:rsidP="006438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1598A" w14:textId="77777777" w:rsidR="00A8669C" w:rsidRPr="009F1A08" w:rsidRDefault="00A8669C" w:rsidP="00356313">
    <w:pPr>
      <w:pStyle w:val="Footer"/>
      <w:tabs>
        <w:tab w:val="left" w:pos="5295"/>
      </w:tabs>
      <w:rPr>
        <w:sz w:val="26"/>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755A2" w14:textId="77777777" w:rsidR="00A8669C" w:rsidRDefault="00A86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5E34A" w14:textId="77777777" w:rsidR="0015449F" w:rsidRDefault="0015449F" w:rsidP="00F7174B">
      <w:r>
        <w:separator/>
      </w:r>
    </w:p>
  </w:footnote>
  <w:footnote w:type="continuationSeparator" w:id="0">
    <w:p w14:paraId="4E2DD9F2" w14:textId="77777777" w:rsidR="0015449F" w:rsidRDefault="0015449F" w:rsidP="00F7174B">
      <w:r>
        <w:continuationSeparator/>
      </w:r>
    </w:p>
  </w:footnote>
  <w:footnote w:id="1">
    <w:p w14:paraId="27F419BC" w14:textId="1C6E27FD" w:rsidR="00A8669C" w:rsidRPr="00EE4FEA" w:rsidRDefault="00A8669C" w:rsidP="004E4328">
      <w:pPr>
        <w:pStyle w:val="FootnoteText"/>
        <w:keepNext/>
        <w:keepLines/>
        <w:widowControl/>
        <w:spacing w:after="120"/>
        <w:ind w:firstLine="720"/>
        <w:rPr>
          <w:sz w:val="26"/>
          <w:szCs w:val="26"/>
        </w:rPr>
      </w:pPr>
      <w:r w:rsidRPr="00EE4FEA">
        <w:rPr>
          <w:rStyle w:val="FootnoteReference"/>
          <w:sz w:val="26"/>
          <w:szCs w:val="26"/>
        </w:rPr>
        <w:footnoteRef/>
      </w:r>
      <w:r w:rsidRPr="00EE4FEA">
        <w:rPr>
          <w:sz w:val="26"/>
          <w:szCs w:val="26"/>
        </w:rPr>
        <w:tab/>
      </w:r>
      <w:r w:rsidRPr="00EE4FEA">
        <w:rPr>
          <w:i/>
          <w:iCs/>
          <w:sz w:val="26"/>
          <w:szCs w:val="26"/>
        </w:rPr>
        <w:t>Petition of The Newtown Artesian Water Company for Approval of its Long-Term Infrastructure Improvement Plan</w:t>
      </w:r>
      <w:r w:rsidRPr="00EE4FEA">
        <w:rPr>
          <w:sz w:val="26"/>
          <w:szCs w:val="26"/>
        </w:rPr>
        <w:t xml:space="preserve">, Docket No. P-2017-2594725 (Order entered July 12, 2017) </w:t>
      </w:r>
      <w:r w:rsidRPr="00EE4FEA">
        <w:rPr>
          <w:i/>
          <w:sz w:val="26"/>
          <w:szCs w:val="26"/>
        </w:rPr>
        <w:t>(July 2017 LTIIP Order).</w:t>
      </w:r>
    </w:p>
  </w:footnote>
  <w:footnote w:id="2">
    <w:p w14:paraId="471D3762" w14:textId="22DB50D0" w:rsidR="00A8669C" w:rsidRPr="00EE4FEA" w:rsidRDefault="00A8669C" w:rsidP="004E4328">
      <w:pPr>
        <w:pStyle w:val="FootnoteText"/>
        <w:keepNext/>
        <w:keepLines/>
        <w:widowControl/>
        <w:spacing w:after="120"/>
        <w:ind w:firstLine="720"/>
        <w:rPr>
          <w:sz w:val="26"/>
          <w:szCs w:val="26"/>
        </w:rPr>
      </w:pPr>
      <w:r w:rsidRPr="00EE4FEA">
        <w:rPr>
          <w:rStyle w:val="FootnoteReference"/>
          <w:sz w:val="26"/>
          <w:szCs w:val="26"/>
        </w:rPr>
        <w:footnoteRef/>
      </w:r>
      <w:r w:rsidRPr="00EE4FEA">
        <w:rPr>
          <w:rFonts w:eastAsiaTheme="minorHAnsi"/>
          <w:i/>
          <w:iCs/>
          <w:color w:val="161618"/>
          <w:sz w:val="26"/>
          <w:szCs w:val="26"/>
        </w:rPr>
        <w:tab/>
        <w:t>Popowsky v</w:t>
      </w:r>
      <w:r w:rsidRPr="00EE4FEA">
        <w:rPr>
          <w:rFonts w:eastAsiaTheme="minorHAnsi"/>
          <w:i/>
          <w:iCs/>
          <w:color w:val="404042"/>
          <w:sz w:val="26"/>
          <w:szCs w:val="26"/>
        </w:rPr>
        <w:t xml:space="preserve">. </w:t>
      </w:r>
      <w:r w:rsidRPr="00EE4FEA">
        <w:rPr>
          <w:rFonts w:eastAsiaTheme="minorHAnsi"/>
          <w:i/>
          <w:iCs/>
          <w:color w:val="161618"/>
          <w:sz w:val="26"/>
          <w:szCs w:val="26"/>
        </w:rPr>
        <w:t>Pa. P.U.C</w:t>
      </w:r>
      <w:r w:rsidRPr="00EE4FEA">
        <w:rPr>
          <w:rFonts w:eastAsiaTheme="minorHAnsi"/>
          <w:i/>
          <w:iCs/>
          <w:color w:val="252527"/>
          <w:sz w:val="26"/>
          <w:szCs w:val="26"/>
        </w:rPr>
        <w:t xml:space="preserve">., </w:t>
      </w:r>
      <w:r w:rsidRPr="00EE4FEA">
        <w:rPr>
          <w:rFonts w:eastAsiaTheme="minorHAnsi"/>
          <w:color w:val="161618"/>
          <w:sz w:val="26"/>
          <w:szCs w:val="26"/>
        </w:rPr>
        <w:t xml:space="preserve">683 </w:t>
      </w:r>
      <w:r w:rsidRPr="00EE4FEA">
        <w:rPr>
          <w:rFonts w:eastAsiaTheme="minorHAnsi"/>
          <w:color w:val="252527"/>
          <w:sz w:val="26"/>
          <w:szCs w:val="26"/>
        </w:rPr>
        <w:t xml:space="preserve">A. </w:t>
      </w:r>
      <w:r w:rsidRPr="00EE4FEA">
        <w:rPr>
          <w:rFonts w:eastAsiaTheme="minorHAnsi"/>
          <w:color w:val="161618"/>
          <w:sz w:val="26"/>
          <w:szCs w:val="26"/>
        </w:rPr>
        <w:t xml:space="preserve">2d 958, 961 (Pa. Cmwlth. 1996) </w:t>
      </w:r>
      <w:r w:rsidRPr="00EE4FEA">
        <w:rPr>
          <w:rFonts w:eastAsiaTheme="minorHAnsi"/>
          <w:i/>
          <w:color w:val="161618"/>
          <w:sz w:val="26"/>
          <w:szCs w:val="26"/>
        </w:rPr>
        <w:t>(Popowsky).</w:t>
      </w:r>
    </w:p>
  </w:footnote>
  <w:footnote w:id="3">
    <w:p w14:paraId="7DE2737B" w14:textId="563C0484" w:rsidR="00A8669C" w:rsidRPr="00EE4FEA" w:rsidRDefault="00A8669C" w:rsidP="004E4328">
      <w:pPr>
        <w:keepNext/>
        <w:keepLines/>
        <w:widowControl/>
        <w:autoSpaceDE w:val="0"/>
        <w:autoSpaceDN w:val="0"/>
        <w:adjustRightInd w:val="0"/>
        <w:spacing w:after="120"/>
        <w:ind w:firstLine="720"/>
        <w:rPr>
          <w:sz w:val="26"/>
          <w:szCs w:val="26"/>
        </w:rPr>
      </w:pPr>
      <w:r w:rsidRPr="00EE4FEA">
        <w:rPr>
          <w:rStyle w:val="FootnoteReference"/>
          <w:sz w:val="26"/>
          <w:szCs w:val="26"/>
        </w:rPr>
        <w:footnoteRef/>
      </w:r>
      <w:r w:rsidRPr="00EE4FEA">
        <w:rPr>
          <w:sz w:val="26"/>
          <w:szCs w:val="26"/>
        </w:rPr>
        <w:tab/>
      </w:r>
      <w:r w:rsidRPr="00EE4FEA">
        <w:rPr>
          <w:rFonts w:eastAsiaTheme="minorHAnsi"/>
          <w:color w:val="19191A"/>
          <w:sz w:val="26"/>
          <w:szCs w:val="26"/>
        </w:rPr>
        <w:t xml:space="preserve">Section 1308(d) defines a general rate filing as “a tariff filing which </w:t>
      </w:r>
      <w:r w:rsidRPr="00EE4FEA">
        <w:rPr>
          <w:rFonts w:eastAsiaTheme="minorHAnsi"/>
          <w:color w:val="28282A"/>
          <w:sz w:val="26"/>
          <w:szCs w:val="26"/>
        </w:rPr>
        <w:t xml:space="preserve">affects </w:t>
      </w:r>
      <w:r w:rsidRPr="00EE4FEA">
        <w:rPr>
          <w:rFonts w:eastAsiaTheme="minorHAnsi"/>
          <w:color w:val="19191A"/>
          <w:sz w:val="26"/>
          <w:szCs w:val="26"/>
        </w:rPr>
        <w:t xml:space="preserve">more than 5% of the customers and </w:t>
      </w:r>
      <w:r w:rsidRPr="00EE4FEA">
        <w:rPr>
          <w:rFonts w:eastAsiaTheme="minorHAnsi"/>
          <w:bCs/>
          <w:color w:val="19191A"/>
          <w:sz w:val="26"/>
          <w:szCs w:val="26"/>
        </w:rPr>
        <w:t xml:space="preserve">amounts to in </w:t>
      </w:r>
      <w:r w:rsidRPr="00EE4FEA">
        <w:rPr>
          <w:rFonts w:eastAsiaTheme="minorHAnsi"/>
          <w:bCs/>
          <w:color w:val="28282A"/>
          <w:sz w:val="26"/>
          <w:szCs w:val="26"/>
        </w:rPr>
        <w:t xml:space="preserve">excess </w:t>
      </w:r>
      <w:r w:rsidRPr="00EE4FEA">
        <w:rPr>
          <w:rFonts w:eastAsiaTheme="minorHAnsi"/>
          <w:bCs/>
          <w:color w:val="19191A"/>
          <w:sz w:val="26"/>
          <w:szCs w:val="26"/>
        </w:rPr>
        <w:t xml:space="preserve">of 3% </w:t>
      </w:r>
      <w:r w:rsidRPr="00EE4FEA">
        <w:rPr>
          <w:rFonts w:eastAsiaTheme="minorHAnsi"/>
          <w:color w:val="19191A"/>
          <w:sz w:val="26"/>
          <w:szCs w:val="26"/>
        </w:rPr>
        <w:t xml:space="preserve">of the </w:t>
      </w:r>
      <w:r w:rsidRPr="00EE4FEA">
        <w:rPr>
          <w:rFonts w:eastAsiaTheme="minorHAnsi"/>
          <w:bCs/>
          <w:color w:val="19191A"/>
          <w:sz w:val="26"/>
          <w:szCs w:val="26"/>
        </w:rPr>
        <w:t xml:space="preserve">total </w:t>
      </w:r>
      <w:r w:rsidRPr="00EE4FEA">
        <w:rPr>
          <w:rFonts w:eastAsiaTheme="minorHAnsi"/>
          <w:bCs/>
          <w:color w:val="28282A"/>
          <w:sz w:val="26"/>
          <w:szCs w:val="26"/>
        </w:rPr>
        <w:t xml:space="preserve">gross </w:t>
      </w:r>
      <w:r w:rsidRPr="00EE4FEA">
        <w:rPr>
          <w:rFonts w:eastAsiaTheme="minorHAnsi"/>
          <w:bCs/>
          <w:color w:val="19191A"/>
          <w:sz w:val="26"/>
          <w:szCs w:val="26"/>
        </w:rPr>
        <w:t xml:space="preserve">annual intrastate operating revenues </w:t>
      </w:r>
      <w:r w:rsidRPr="00EE4FEA">
        <w:rPr>
          <w:rFonts w:eastAsiaTheme="minorHAnsi"/>
          <w:color w:val="19191A"/>
          <w:sz w:val="26"/>
          <w:szCs w:val="26"/>
        </w:rPr>
        <w:t xml:space="preserve">of the </w:t>
      </w:r>
      <w:r w:rsidRPr="00EE4FEA">
        <w:rPr>
          <w:rFonts w:eastAsiaTheme="minorHAnsi"/>
          <w:bCs/>
          <w:color w:val="19191A"/>
          <w:sz w:val="26"/>
          <w:szCs w:val="26"/>
        </w:rPr>
        <w:t>public utility.”</w:t>
      </w:r>
    </w:p>
  </w:footnote>
  <w:footnote w:id="4">
    <w:p w14:paraId="74D19E11" w14:textId="4946EE71" w:rsidR="00A8669C" w:rsidRPr="00EE4FEA" w:rsidRDefault="00A8669C" w:rsidP="004E4328">
      <w:pPr>
        <w:keepNext/>
        <w:keepLines/>
        <w:widowControl/>
        <w:autoSpaceDE w:val="0"/>
        <w:autoSpaceDN w:val="0"/>
        <w:adjustRightInd w:val="0"/>
        <w:spacing w:after="120"/>
        <w:ind w:firstLine="720"/>
        <w:rPr>
          <w:sz w:val="26"/>
          <w:szCs w:val="26"/>
        </w:rPr>
      </w:pPr>
      <w:r w:rsidRPr="00EE4FEA">
        <w:rPr>
          <w:rStyle w:val="FootnoteReference"/>
          <w:sz w:val="26"/>
          <w:szCs w:val="26"/>
        </w:rPr>
        <w:footnoteRef/>
      </w:r>
      <w:r w:rsidRPr="00EE4FEA">
        <w:rPr>
          <w:sz w:val="26"/>
          <w:szCs w:val="26"/>
        </w:rPr>
        <w:tab/>
      </w:r>
      <w:r w:rsidRPr="00EE4FEA">
        <w:rPr>
          <w:rFonts w:eastAsiaTheme="minorHAnsi"/>
          <w:color w:val="19191A"/>
          <w:sz w:val="26"/>
          <w:szCs w:val="26"/>
        </w:rPr>
        <w:t xml:space="preserve">Non-general rate filings are </w:t>
      </w:r>
      <w:r w:rsidRPr="00EE4FEA">
        <w:rPr>
          <w:rFonts w:eastAsiaTheme="minorHAnsi"/>
          <w:color w:val="28282A"/>
          <w:sz w:val="26"/>
          <w:szCs w:val="26"/>
        </w:rPr>
        <w:t xml:space="preserve">addressed </w:t>
      </w:r>
      <w:r w:rsidRPr="00EE4FEA">
        <w:rPr>
          <w:rFonts w:eastAsiaTheme="minorHAnsi"/>
          <w:color w:val="19191A"/>
          <w:sz w:val="26"/>
          <w:szCs w:val="26"/>
        </w:rPr>
        <w:t xml:space="preserve">in Section 1308(b) of the </w:t>
      </w:r>
      <w:r w:rsidRPr="00EE4FEA">
        <w:rPr>
          <w:rFonts w:eastAsiaTheme="minorHAnsi"/>
          <w:color w:val="28282A"/>
          <w:sz w:val="26"/>
          <w:szCs w:val="26"/>
        </w:rPr>
        <w:t xml:space="preserve">Code, while general </w:t>
      </w:r>
      <w:r w:rsidRPr="00EE4FEA">
        <w:rPr>
          <w:rFonts w:eastAsiaTheme="minorHAnsi"/>
          <w:color w:val="19191A"/>
          <w:sz w:val="26"/>
          <w:szCs w:val="26"/>
        </w:rPr>
        <w:t xml:space="preserve">rate filings are dealt with in Section l308(d) </w:t>
      </w:r>
      <w:r w:rsidRPr="00EE4FEA">
        <w:rPr>
          <w:rFonts w:eastAsiaTheme="minorHAnsi"/>
          <w:color w:val="28282A"/>
          <w:sz w:val="26"/>
          <w:szCs w:val="26"/>
        </w:rPr>
        <w:t xml:space="preserve">of the </w:t>
      </w:r>
      <w:r w:rsidRPr="00EE4FEA">
        <w:rPr>
          <w:rFonts w:eastAsiaTheme="minorHAnsi"/>
          <w:color w:val="19191A"/>
          <w:sz w:val="26"/>
          <w:szCs w:val="26"/>
        </w:rPr>
        <w:t>Code</w:t>
      </w:r>
      <w:r w:rsidRPr="00EE4FEA">
        <w:rPr>
          <w:rFonts w:eastAsiaTheme="minorHAnsi"/>
          <w:color w:val="404040"/>
          <w:sz w:val="26"/>
          <w:szCs w:val="26"/>
        </w:rPr>
        <w:t xml:space="preserve">; </w:t>
      </w:r>
      <w:r w:rsidRPr="00EE4FEA">
        <w:rPr>
          <w:rFonts w:eastAsiaTheme="minorHAnsi"/>
          <w:i/>
          <w:iCs/>
          <w:color w:val="28282A"/>
          <w:sz w:val="26"/>
          <w:szCs w:val="26"/>
        </w:rPr>
        <w:t>Popowsky</w:t>
      </w:r>
      <w:r w:rsidRPr="00EE4FEA">
        <w:rPr>
          <w:rFonts w:eastAsiaTheme="minorHAnsi"/>
          <w:color w:val="404040"/>
          <w:sz w:val="26"/>
          <w:szCs w:val="26"/>
        </w:rPr>
        <w:t>.</w:t>
      </w:r>
    </w:p>
  </w:footnote>
  <w:footnote w:id="5">
    <w:p w14:paraId="28A9DB9A" w14:textId="7A025514" w:rsidR="00A8669C" w:rsidRPr="00EE4FEA" w:rsidRDefault="00A8669C" w:rsidP="004E4328">
      <w:pPr>
        <w:pStyle w:val="FootnoteText"/>
        <w:keepNext/>
        <w:keepLines/>
        <w:widowControl/>
        <w:spacing w:after="120"/>
        <w:ind w:firstLine="720"/>
        <w:rPr>
          <w:sz w:val="26"/>
          <w:szCs w:val="26"/>
        </w:rPr>
      </w:pPr>
      <w:r w:rsidRPr="00EE4FEA">
        <w:rPr>
          <w:rStyle w:val="FootnoteReference"/>
          <w:sz w:val="26"/>
          <w:szCs w:val="26"/>
        </w:rPr>
        <w:footnoteRef/>
      </w:r>
      <w:r w:rsidRPr="00EE4FEA">
        <w:rPr>
          <w:sz w:val="26"/>
          <w:szCs w:val="26"/>
        </w:rPr>
        <w:t xml:space="preserve"> </w:t>
      </w:r>
      <w:r w:rsidRPr="00EE4FEA">
        <w:rPr>
          <w:sz w:val="26"/>
          <w:szCs w:val="26"/>
        </w:rPr>
        <w:tab/>
      </w:r>
      <w:r w:rsidRPr="00EE4FEA">
        <w:rPr>
          <w:i/>
          <w:iCs/>
          <w:sz w:val="26"/>
          <w:szCs w:val="26"/>
        </w:rPr>
        <w:t>Final Implementation Order</w:t>
      </w:r>
      <w:r w:rsidRPr="00EE4FEA">
        <w:rPr>
          <w:sz w:val="26"/>
          <w:szCs w:val="26"/>
        </w:rPr>
        <w:t>, Docket M-2012-2293611 at 42 (Order entered August 2, 2012) (</w:t>
      </w:r>
      <w:r w:rsidRPr="00EE4FEA">
        <w:rPr>
          <w:i/>
          <w:iCs/>
          <w:sz w:val="26"/>
          <w:szCs w:val="26"/>
        </w:rPr>
        <w:t>Final Implementation Order</w:t>
      </w:r>
      <w:r w:rsidRPr="00EE4FEA">
        <w:rPr>
          <w:sz w:val="26"/>
          <w:szCs w:val="26"/>
        </w:rPr>
        <w:t>).</w:t>
      </w:r>
    </w:p>
  </w:footnote>
  <w:footnote w:id="6">
    <w:p w14:paraId="6C84C6EB" w14:textId="4B5F03A7" w:rsidR="00A8669C" w:rsidRPr="00EE4FEA" w:rsidRDefault="00A8669C" w:rsidP="004E4328">
      <w:pPr>
        <w:pStyle w:val="FootnoteText"/>
        <w:keepNext/>
        <w:keepLines/>
        <w:widowControl/>
        <w:spacing w:after="120"/>
        <w:ind w:firstLine="720"/>
        <w:rPr>
          <w:sz w:val="26"/>
          <w:szCs w:val="26"/>
        </w:rPr>
      </w:pPr>
      <w:r w:rsidRPr="00EE4FEA">
        <w:rPr>
          <w:rStyle w:val="FootnoteReference"/>
          <w:sz w:val="26"/>
          <w:szCs w:val="26"/>
        </w:rPr>
        <w:footnoteRef/>
      </w:r>
      <w:r w:rsidRPr="00EE4FEA">
        <w:rPr>
          <w:sz w:val="26"/>
          <w:szCs w:val="26"/>
        </w:rPr>
        <w:t xml:space="preserve"> </w:t>
      </w:r>
      <w:r w:rsidRPr="00EE4FEA">
        <w:rPr>
          <w:sz w:val="26"/>
          <w:szCs w:val="26"/>
        </w:rPr>
        <w:tab/>
        <w:t xml:space="preserve">OCA St. 1 at 5.  </w:t>
      </w:r>
    </w:p>
  </w:footnote>
  <w:footnote w:id="7">
    <w:p w14:paraId="14F4101F" w14:textId="057F4EAF" w:rsidR="00A8669C" w:rsidRPr="00EE4FEA" w:rsidRDefault="00A8669C" w:rsidP="004E4328">
      <w:pPr>
        <w:pStyle w:val="FootnoteText"/>
        <w:keepNext/>
        <w:keepLines/>
        <w:widowControl/>
        <w:spacing w:after="120"/>
        <w:ind w:firstLine="720"/>
        <w:rPr>
          <w:sz w:val="26"/>
          <w:szCs w:val="26"/>
        </w:rPr>
      </w:pPr>
      <w:r w:rsidRPr="00EE4FEA">
        <w:rPr>
          <w:rStyle w:val="FootnoteReference"/>
          <w:sz w:val="26"/>
          <w:szCs w:val="26"/>
        </w:rPr>
        <w:footnoteRef/>
      </w:r>
      <w:r w:rsidRPr="00EE4FEA">
        <w:rPr>
          <w:sz w:val="26"/>
          <w:szCs w:val="26"/>
        </w:rPr>
        <w:tab/>
        <w:t>OCA St. No. 1-SR at 6.</w:t>
      </w:r>
    </w:p>
  </w:footnote>
  <w:footnote w:id="8">
    <w:p w14:paraId="15F6D7D8" w14:textId="123FAE7D" w:rsidR="00A8669C" w:rsidRPr="00EE4FEA" w:rsidRDefault="00A8669C" w:rsidP="004E4328">
      <w:pPr>
        <w:pStyle w:val="FootnoteText"/>
        <w:keepNext/>
        <w:keepLines/>
        <w:widowControl/>
        <w:spacing w:after="120"/>
        <w:ind w:firstLine="720"/>
        <w:rPr>
          <w:sz w:val="26"/>
          <w:szCs w:val="26"/>
        </w:rPr>
      </w:pPr>
      <w:r w:rsidRPr="00EE4FEA">
        <w:rPr>
          <w:rStyle w:val="FootnoteReference"/>
          <w:sz w:val="26"/>
          <w:szCs w:val="26"/>
        </w:rPr>
        <w:footnoteRef/>
      </w:r>
      <w:r w:rsidRPr="00EE4FEA">
        <w:rPr>
          <w:sz w:val="26"/>
          <w:szCs w:val="26"/>
        </w:rPr>
        <w:tab/>
        <w:t xml:space="preserve">Non-general rate filings are addressed in Section 1308(b) of the Code, while general rate filings are dealt with in Section 1308(d) of the Code; </w:t>
      </w:r>
      <w:r w:rsidRPr="00EE4FEA">
        <w:rPr>
          <w:i/>
          <w:iCs/>
          <w:sz w:val="26"/>
          <w:szCs w:val="26"/>
        </w:rPr>
        <w:t>Popowsky</w:t>
      </w:r>
      <w:r w:rsidRPr="00EE4FEA">
        <w:rPr>
          <w:sz w:val="26"/>
          <w:szCs w:val="26"/>
        </w:rPr>
        <w:t>.</w:t>
      </w:r>
    </w:p>
  </w:footnote>
  <w:footnote w:id="9">
    <w:p w14:paraId="12CAAD1E" w14:textId="11B567CA" w:rsidR="00A8669C" w:rsidRPr="00EE4FEA" w:rsidRDefault="00A8669C" w:rsidP="004E4328">
      <w:pPr>
        <w:pStyle w:val="FootnoteText"/>
        <w:keepNext/>
        <w:keepLines/>
        <w:widowControl/>
        <w:spacing w:after="120"/>
        <w:ind w:firstLine="720"/>
        <w:rPr>
          <w:sz w:val="26"/>
          <w:szCs w:val="26"/>
        </w:rPr>
      </w:pPr>
      <w:r w:rsidRPr="00EE4FEA">
        <w:rPr>
          <w:rStyle w:val="FootnoteReference"/>
          <w:sz w:val="26"/>
          <w:szCs w:val="26"/>
        </w:rPr>
        <w:footnoteRef/>
      </w:r>
      <w:r w:rsidRPr="00EE4FEA">
        <w:rPr>
          <w:sz w:val="26"/>
          <w:szCs w:val="26"/>
        </w:rPr>
        <w:tab/>
      </w:r>
      <w:r w:rsidRPr="00EE4FEA">
        <w:rPr>
          <w:rFonts w:eastAsiaTheme="minorHAnsi"/>
          <w:sz w:val="26"/>
          <w:szCs w:val="26"/>
        </w:rPr>
        <w:t>Section 1308(d) defines a general rate filing as “a tariff filing which affects more than 5% of the customers and amounts to in excess of 3% of the total gross annual intrastate operating revenues of the public utility.”</w:t>
      </w:r>
    </w:p>
  </w:footnote>
  <w:footnote w:id="10">
    <w:p w14:paraId="77A08581" w14:textId="48B6F1E5" w:rsidR="00A8669C" w:rsidRPr="00EE4FEA" w:rsidRDefault="00A8669C" w:rsidP="004E4328">
      <w:pPr>
        <w:pStyle w:val="FootnoteText"/>
        <w:keepNext/>
        <w:keepLines/>
        <w:widowControl/>
        <w:spacing w:after="120"/>
        <w:ind w:firstLine="720"/>
        <w:rPr>
          <w:sz w:val="26"/>
          <w:szCs w:val="26"/>
        </w:rPr>
      </w:pPr>
      <w:r w:rsidRPr="00EE4FEA">
        <w:rPr>
          <w:rStyle w:val="FootnoteReference"/>
          <w:sz w:val="26"/>
          <w:szCs w:val="26"/>
        </w:rPr>
        <w:footnoteRef/>
      </w:r>
      <w:r w:rsidRPr="00EE4FEA">
        <w:rPr>
          <w:sz w:val="26"/>
          <w:szCs w:val="26"/>
        </w:rPr>
        <w:tab/>
      </w:r>
      <w:r w:rsidRPr="00EE4FEA">
        <w:rPr>
          <w:rFonts w:eastAsiaTheme="minorHAnsi"/>
          <w:sz w:val="26"/>
          <w:szCs w:val="26"/>
        </w:rPr>
        <w:t>NAWC Exhibit I, Supporting Information for Supplement No. 126 at 7-9.</w:t>
      </w:r>
    </w:p>
  </w:footnote>
  <w:footnote w:id="11">
    <w:p w14:paraId="642E9C53" w14:textId="4900DB1E" w:rsidR="00A8669C" w:rsidRPr="00EE4FEA" w:rsidRDefault="00A8669C" w:rsidP="004E4328">
      <w:pPr>
        <w:pStyle w:val="FootnoteText"/>
        <w:keepNext/>
        <w:keepLines/>
        <w:widowControl/>
        <w:spacing w:after="120"/>
        <w:ind w:firstLine="720"/>
        <w:rPr>
          <w:sz w:val="26"/>
          <w:szCs w:val="26"/>
        </w:rPr>
      </w:pPr>
      <w:r w:rsidRPr="00EE4FEA">
        <w:rPr>
          <w:rStyle w:val="FootnoteReference"/>
          <w:sz w:val="26"/>
          <w:szCs w:val="26"/>
        </w:rPr>
        <w:footnoteRef/>
      </w:r>
      <w:r w:rsidRPr="00EE4FEA">
        <w:rPr>
          <w:sz w:val="26"/>
          <w:szCs w:val="26"/>
        </w:rPr>
        <w:tab/>
      </w:r>
      <w:bookmarkStart w:id="24" w:name="_Hlk510619479"/>
      <w:r w:rsidRPr="00EE4FEA">
        <w:rPr>
          <w:i/>
          <w:sz w:val="26"/>
          <w:szCs w:val="26"/>
        </w:rPr>
        <w:t>Petition of Columbia Gas of Pa., Inc. for Approval of a DSIC,</w:t>
      </w:r>
      <w:r w:rsidRPr="00EE4FEA">
        <w:rPr>
          <w:sz w:val="26"/>
          <w:szCs w:val="26"/>
        </w:rPr>
        <w:t xml:space="preserve"> Docket No. P-2012-2338282 (Order entered May 22, 2014) (</w:t>
      </w:r>
      <w:r w:rsidRPr="00EE4FEA">
        <w:rPr>
          <w:i/>
          <w:sz w:val="26"/>
          <w:szCs w:val="26"/>
        </w:rPr>
        <w:t>Columbia Gas</w:t>
      </w:r>
      <w:r w:rsidRPr="00EE4FEA">
        <w:rPr>
          <w:sz w:val="26"/>
          <w:szCs w:val="26"/>
        </w:rPr>
        <w:t>)</w:t>
      </w:r>
      <w:bookmarkEnd w:id="24"/>
      <w:r w:rsidRPr="00EE4FEA">
        <w:rPr>
          <w:i/>
          <w:sz w:val="26"/>
          <w:szCs w:val="26"/>
        </w:rPr>
        <w:t xml:space="preserve"> </w:t>
      </w:r>
      <w:r w:rsidRPr="00EE4FEA">
        <w:rPr>
          <w:sz w:val="26"/>
          <w:szCs w:val="26"/>
        </w:rPr>
        <w:t>at 7-8, 58</w:t>
      </w:r>
      <w:r w:rsidRPr="00EE4FEA">
        <w:rPr>
          <w:i/>
          <w:sz w:val="26"/>
          <w:szCs w:val="26"/>
        </w:rPr>
        <w:t>.</w:t>
      </w:r>
    </w:p>
  </w:footnote>
  <w:footnote w:id="12">
    <w:p w14:paraId="697757C6" w14:textId="098A0EC6" w:rsidR="00A8669C" w:rsidRPr="00EE4FEA" w:rsidRDefault="00A8669C" w:rsidP="00EE4FEA">
      <w:pPr>
        <w:keepNext/>
        <w:keepLines/>
        <w:widowControl/>
        <w:autoSpaceDE w:val="0"/>
        <w:autoSpaceDN w:val="0"/>
        <w:adjustRightInd w:val="0"/>
        <w:spacing w:after="120"/>
        <w:ind w:firstLine="720"/>
        <w:rPr>
          <w:sz w:val="26"/>
          <w:szCs w:val="26"/>
        </w:rPr>
      </w:pPr>
      <w:r w:rsidRPr="00EE4FEA">
        <w:rPr>
          <w:rStyle w:val="FootnoteReference"/>
          <w:sz w:val="26"/>
          <w:szCs w:val="26"/>
        </w:rPr>
        <w:footnoteRef/>
      </w:r>
      <w:r w:rsidRPr="00EE4FEA">
        <w:rPr>
          <w:sz w:val="26"/>
          <w:szCs w:val="26"/>
        </w:rPr>
        <w:tab/>
      </w:r>
      <w:r w:rsidRPr="00EE4FEA">
        <w:rPr>
          <w:rFonts w:eastAsia="Calibri"/>
          <w:sz w:val="26"/>
          <w:szCs w:val="26"/>
          <w:lang w:val="en"/>
        </w:rPr>
        <w:t>Exception No. 4 refers to the application of Act 40 to the DSIC mechanism.  Exception No. 5 refers to the calculation of the DSIC going forward based on the ALJ’s application of Act 40 to the DSIC calculation methodology.</w:t>
      </w:r>
    </w:p>
  </w:footnote>
  <w:footnote w:id="13">
    <w:p w14:paraId="76A07F2D" w14:textId="2169B088" w:rsidR="00A8669C" w:rsidRPr="00EE4FEA" w:rsidRDefault="00A8669C" w:rsidP="004E4328">
      <w:pPr>
        <w:pStyle w:val="FootnoteText"/>
        <w:keepNext/>
        <w:keepLines/>
        <w:widowControl/>
        <w:spacing w:after="120"/>
        <w:rPr>
          <w:sz w:val="26"/>
          <w:szCs w:val="26"/>
        </w:rPr>
      </w:pPr>
      <w:r w:rsidRPr="00EE4FEA">
        <w:rPr>
          <w:sz w:val="26"/>
          <w:szCs w:val="26"/>
        </w:rPr>
        <w:tab/>
      </w:r>
      <w:r w:rsidRPr="00EE4FEA">
        <w:rPr>
          <w:rStyle w:val="FootnoteReference"/>
          <w:sz w:val="26"/>
          <w:szCs w:val="26"/>
        </w:rPr>
        <w:footnoteRef/>
      </w:r>
      <w:r w:rsidRPr="00EE4FEA">
        <w:rPr>
          <w:sz w:val="26"/>
          <w:szCs w:val="26"/>
        </w:rPr>
        <w:tab/>
      </w:r>
      <w:r w:rsidRPr="00EE4FEA">
        <w:rPr>
          <w:i/>
          <w:sz w:val="26"/>
          <w:szCs w:val="26"/>
        </w:rPr>
        <w:t>Implementation of Act 11 of 2012</w:t>
      </w:r>
      <w:r w:rsidRPr="00EE4FEA">
        <w:rPr>
          <w:sz w:val="26"/>
          <w:szCs w:val="26"/>
        </w:rPr>
        <w:t>, Supplemental Implementation Order, Docket No. M-2012-2293611 (Order entered September 15, 2016) (</w:t>
      </w:r>
      <w:r w:rsidRPr="00EE4FEA">
        <w:rPr>
          <w:i/>
          <w:sz w:val="26"/>
          <w:szCs w:val="26"/>
        </w:rPr>
        <w:t>Supplemental Implementation Order</w:t>
      </w:r>
      <w:r w:rsidRPr="00EE4FEA">
        <w:rPr>
          <w:sz w:val="26"/>
          <w:szCs w:val="26"/>
        </w:rPr>
        <w:t>).</w:t>
      </w:r>
    </w:p>
  </w:footnote>
  <w:footnote w:id="14">
    <w:p w14:paraId="2AFF974F" w14:textId="6EA6094D" w:rsidR="00A8669C" w:rsidRPr="00EE4FEA" w:rsidRDefault="00A8669C" w:rsidP="004E4328">
      <w:pPr>
        <w:pStyle w:val="FootnoteText"/>
        <w:keepNext/>
        <w:keepLines/>
        <w:widowControl/>
        <w:spacing w:after="120"/>
        <w:ind w:firstLine="720"/>
        <w:rPr>
          <w:sz w:val="26"/>
          <w:szCs w:val="26"/>
        </w:rPr>
      </w:pPr>
      <w:r w:rsidRPr="00EE4FEA">
        <w:rPr>
          <w:rStyle w:val="FootnoteReference"/>
          <w:sz w:val="26"/>
          <w:szCs w:val="26"/>
        </w:rPr>
        <w:footnoteRef/>
      </w:r>
      <w:r w:rsidRPr="00EE4FEA">
        <w:rPr>
          <w:sz w:val="26"/>
          <w:szCs w:val="26"/>
        </w:rPr>
        <w:tab/>
      </w:r>
      <w:r w:rsidRPr="00EE4FEA">
        <w:rPr>
          <w:i/>
          <w:sz w:val="26"/>
          <w:szCs w:val="26"/>
        </w:rPr>
        <w:t xml:space="preserve">Supplemental Implementation Order </w:t>
      </w:r>
      <w:r w:rsidRPr="00EE4FEA">
        <w:rPr>
          <w:sz w:val="26"/>
          <w:szCs w:val="26"/>
        </w:rPr>
        <w:t>App. A at 5.</w:t>
      </w:r>
    </w:p>
  </w:footnote>
  <w:footnote w:id="15">
    <w:p w14:paraId="2A5C7177" w14:textId="72BFBC24" w:rsidR="00A8669C" w:rsidRPr="00EE4FEA" w:rsidRDefault="00A8669C" w:rsidP="004E4328">
      <w:pPr>
        <w:pStyle w:val="FootnoteText"/>
        <w:keepNext/>
        <w:keepLines/>
        <w:widowControl/>
        <w:spacing w:after="120"/>
        <w:ind w:firstLine="720"/>
        <w:rPr>
          <w:sz w:val="26"/>
          <w:szCs w:val="26"/>
        </w:rPr>
      </w:pPr>
      <w:r w:rsidRPr="00EE4FEA">
        <w:rPr>
          <w:rStyle w:val="FootnoteReference"/>
          <w:sz w:val="26"/>
          <w:szCs w:val="26"/>
        </w:rPr>
        <w:footnoteRef/>
      </w:r>
      <w:r w:rsidRPr="00EE4FEA">
        <w:rPr>
          <w:sz w:val="26"/>
          <w:szCs w:val="26"/>
        </w:rPr>
        <w:tab/>
      </w:r>
      <w:r w:rsidRPr="00EE4FEA">
        <w:rPr>
          <w:i/>
          <w:sz w:val="26"/>
          <w:szCs w:val="26"/>
        </w:rPr>
        <w:t>See,</w:t>
      </w:r>
      <w:r w:rsidRPr="00EE4FEA">
        <w:rPr>
          <w:sz w:val="26"/>
          <w:szCs w:val="26"/>
        </w:rPr>
        <w:t xml:space="preserve"> </w:t>
      </w:r>
      <w:r w:rsidRPr="00EE4FEA">
        <w:rPr>
          <w:i/>
          <w:sz w:val="26"/>
          <w:szCs w:val="26"/>
        </w:rPr>
        <w:t>Final Implementation Order</w:t>
      </w:r>
      <w:r w:rsidRPr="00EE4FEA">
        <w:rPr>
          <w:sz w:val="26"/>
          <w:szCs w:val="26"/>
        </w:rPr>
        <w:t xml:space="preserve"> at 37 (“accumulated depreciation”) and App. A at 5 (“accrued depreciation”).</w:t>
      </w:r>
    </w:p>
  </w:footnote>
  <w:footnote w:id="16">
    <w:p w14:paraId="2734FA77" w14:textId="79C746D0" w:rsidR="00A8669C" w:rsidRDefault="00A8669C" w:rsidP="004D2451">
      <w:pPr>
        <w:keepNext/>
        <w:keepLines/>
        <w:widowControl/>
        <w:ind w:firstLine="720"/>
        <w:rPr>
          <w:sz w:val="26"/>
          <w:szCs w:val="26"/>
        </w:rPr>
      </w:pPr>
      <w:r w:rsidRPr="00EE4FEA">
        <w:rPr>
          <w:rStyle w:val="FootnoteReference"/>
          <w:sz w:val="26"/>
          <w:szCs w:val="26"/>
        </w:rPr>
        <w:footnoteRef/>
      </w:r>
      <w:r w:rsidRPr="00EE4FEA">
        <w:rPr>
          <w:sz w:val="26"/>
          <w:szCs w:val="26"/>
        </w:rPr>
        <w:tab/>
        <w:t xml:space="preserve">In </w:t>
      </w:r>
      <w:r w:rsidRPr="00EE4FEA">
        <w:rPr>
          <w:i/>
          <w:sz w:val="26"/>
          <w:szCs w:val="26"/>
        </w:rPr>
        <w:t>Columbia Gas,</w:t>
      </w:r>
      <w:r w:rsidRPr="00EE4FEA">
        <w:rPr>
          <w:sz w:val="26"/>
          <w:szCs w:val="26"/>
        </w:rPr>
        <w:t xml:space="preserve"> we stated as follows:</w:t>
      </w:r>
    </w:p>
    <w:p w14:paraId="6CF4999D" w14:textId="77777777" w:rsidR="00A8669C" w:rsidRPr="00EE4FEA" w:rsidRDefault="00A8669C" w:rsidP="004D2451">
      <w:pPr>
        <w:keepNext/>
        <w:keepLines/>
        <w:widowControl/>
        <w:ind w:firstLine="720"/>
        <w:rPr>
          <w:sz w:val="26"/>
          <w:szCs w:val="26"/>
        </w:rPr>
      </w:pPr>
    </w:p>
    <w:p w14:paraId="36797814" w14:textId="141B3FED" w:rsidR="00A8669C" w:rsidRPr="00EE4FEA" w:rsidRDefault="00A8669C" w:rsidP="004D2451">
      <w:pPr>
        <w:pStyle w:val="FootnoteText"/>
        <w:keepNext/>
        <w:keepLines/>
        <w:widowControl/>
        <w:ind w:left="1440" w:right="1440"/>
        <w:rPr>
          <w:sz w:val="26"/>
          <w:szCs w:val="26"/>
        </w:rPr>
      </w:pPr>
      <w:r w:rsidRPr="00EE4FEA">
        <w:rPr>
          <w:sz w:val="26"/>
          <w:szCs w:val="26"/>
        </w:rPr>
        <w:t xml:space="preserve">We emphasize that the facts and circumstances contained in the </w:t>
      </w:r>
      <w:r w:rsidRPr="00EE4FEA">
        <w:rPr>
          <w:i/>
          <w:sz w:val="26"/>
          <w:szCs w:val="26"/>
        </w:rPr>
        <w:t>PGW Waiver Petition</w:t>
      </w:r>
      <w:r w:rsidRPr="00EE4FEA">
        <w:rPr>
          <w:sz w:val="26"/>
          <w:szCs w:val="26"/>
        </w:rPr>
        <w:t xml:space="preserve"> are not dispositive of whether a waiver is permissible under 66 Pa. C.S. § 1358(a)(1).  Each requested waiver must be made on a case-by-case basis after consideration of all the evidence of record.</w:t>
      </w:r>
    </w:p>
    <w:p w14:paraId="747025BC" w14:textId="77777777" w:rsidR="00A8669C" w:rsidRPr="00EE4FEA" w:rsidRDefault="00A8669C" w:rsidP="004D2451">
      <w:pPr>
        <w:pStyle w:val="FootnoteText"/>
        <w:keepNext/>
        <w:keepLines/>
        <w:widowControl/>
        <w:ind w:left="1440" w:right="1440"/>
        <w:rPr>
          <w:sz w:val="26"/>
          <w:szCs w:val="26"/>
        </w:rPr>
      </w:pPr>
    </w:p>
    <w:p w14:paraId="38B11BC2" w14:textId="784EE994" w:rsidR="00A8669C" w:rsidRPr="00EE4FEA" w:rsidRDefault="00A8669C" w:rsidP="004D2451">
      <w:pPr>
        <w:keepNext/>
        <w:keepLines/>
        <w:widowControl/>
        <w:rPr>
          <w:sz w:val="26"/>
          <w:szCs w:val="26"/>
        </w:rPr>
      </w:pPr>
      <w:r w:rsidRPr="00EE4FEA">
        <w:rPr>
          <w:i/>
          <w:sz w:val="26"/>
          <w:szCs w:val="26"/>
        </w:rPr>
        <w:t>Columbia Gas</w:t>
      </w:r>
      <w:r w:rsidRPr="00EE4FEA">
        <w:rPr>
          <w:sz w:val="26"/>
          <w:szCs w:val="26"/>
        </w:rPr>
        <w:t xml:space="preserve"> at</w:t>
      </w:r>
      <w:r w:rsidRPr="00EE4FEA">
        <w:rPr>
          <w:i/>
          <w:sz w:val="26"/>
          <w:szCs w:val="26"/>
        </w:rPr>
        <w:t xml:space="preserve"> </w:t>
      </w:r>
      <w:r w:rsidRPr="00EE4FEA">
        <w:rPr>
          <w:sz w:val="26"/>
          <w:szCs w:val="26"/>
        </w:rPr>
        <w:t>54.</w:t>
      </w:r>
    </w:p>
  </w:footnote>
  <w:footnote w:id="17">
    <w:p w14:paraId="20DBB552" w14:textId="4C5BA0EA" w:rsidR="00A8669C" w:rsidRPr="00EE4FEA" w:rsidRDefault="00A8669C" w:rsidP="004E4328">
      <w:pPr>
        <w:pStyle w:val="FootnoteText"/>
        <w:keepNext/>
        <w:keepLines/>
        <w:widowControl/>
        <w:spacing w:after="120"/>
        <w:rPr>
          <w:sz w:val="26"/>
          <w:szCs w:val="26"/>
        </w:rPr>
      </w:pPr>
      <w:r w:rsidRPr="00EE4FEA">
        <w:rPr>
          <w:sz w:val="26"/>
          <w:szCs w:val="26"/>
        </w:rPr>
        <w:tab/>
      </w:r>
      <w:r w:rsidRPr="00EE4FEA">
        <w:rPr>
          <w:rStyle w:val="FootnoteReference"/>
          <w:sz w:val="26"/>
          <w:szCs w:val="26"/>
        </w:rPr>
        <w:footnoteRef/>
      </w:r>
      <w:r w:rsidRPr="00EE4FEA">
        <w:rPr>
          <w:sz w:val="26"/>
          <w:szCs w:val="26"/>
        </w:rPr>
        <w:tab/>
        <w:t xml:space="preserve">Exceptions to the </w:t>
      </w:r>
      <w:r w:rsidRPr="00EE4FEA">
        <w:rPr>
          <w:i/>
          <w:sz w:val="26"/>
          <w:szCs w:val="26"/>
        </w:rPr>
        <w:t xml:space="preserve">MetEd </w:t>
      </w:r>
      <w:r w:rsidRPr="00EE4FEA">
        <w:rPr>
          <w:sz w:val="26"/>
          <w:szCs w:val="26"/>
        </w:rPr>
        <w:t>decision have been filed and the case is currently pending before the Commission.</w:t>
      </w:r>
    </w:p>
  </w:footnote>
  <w:footnote w:id="18">
    <w:p w14:paraId="327ED51F" w14:textId="723902E7" w:rsidR="00A8669C" w:rsidRPr="00EE4FEA" w:rsidRDefault="00A8669C" w:rsidP="004E4328">
      <w:pPr>
        <w:pStyle w:val="FootnoteText"/>
        <w:keepNext/>
        <w:keepLines/>
        <w:widowControl/>
        <w:spacing w:after="120"/>
        <w:rPr>
          <w:sz w:val="26"/>
          <w:szCs w:val="26"/>
        </w:rPr>
      </w:pPr>
      <w:r w:rsidRPr="00EE4FEA">
        <w:rPr>
          <w:sz w:val="26"/>
          <w:szCs w:val="26"/>
        </w:rPr>
        <w:tab/>
      </w:r>
      <w:r w:rsidRPr="00EE4FEA">
        <w:rPr>
          <w:rStyle w:val="FootnoteReference"/>
          <w:sz w:val="26"/>
          <w:szCs w:val="26"/>
        </w:rPr>
        <w:footnoteRef/>
      </w:r>
      <w:r w:rsidRPr="00EE4FEA">
        <w:rPr>
          <w:sz w:val="26"/>
          <w:szCs w:val="26"/>
        </w:rPr>
        <w:tab/>
        <w:t>Under Section 1921(a), 1 Pa. C.S. § 1921(a), every statute shall be construed to give effect to all of its provisions.</w:t>
      </w:r>
    </w:p>
  </w:footnote>
  <w:footnote w:id="19">
    <w:p w14:paraId="46C2E01A" w14:textId="7515C7E1" w:rsidR="00A8669C" w:rsidRPr="00EE4FEA" w:rsidRDefault="00A8669C" w:rsidP="004E4328">
      <w:pPr>
        <w:keepNext/>
        <w:keepLines/>
        <w:widowControl/>
        <w:spacing w:after="120"/>
        <w:rPr>
          <w:sz w:val="26"/>
          <w:szCs w:val="26"/>
        </w:rPr>
      </w:pPr>
      <w:r w:rsidRPr="00EE4FEA">
        <w:rPr>
          <w:sz w:val="26"/>
          <w:szCs w:val="26"/>
        </w:rPr>
        <w:tab/>
      </w:r>
      <w:r w:rsidRPr="00EE4FEA">
        <w:rPr>
          <w:rStyle w:val="FootnoteReference"/>
          <w:sz w:val="26"/>
          <w:szCs w:val="26"/>
        </w:rPr>
        <w:footnoteRef/>
      </w:r>
      <w:r w:rsidRPr="00EE4FEA">
        <w:rPr>
          <w:sz w:val="26"/>
          <w:szCs w:val="26"/>
        </w:rPr>
        <w:t xml:space="preserve"> </w:t>
      </w:r>
      <w:r w:rsidRPr="00EE4FEA">
        <w:rPr>
          <w:sz w:val="26"/>
          <w:szCs w:val="26"/>
        </w:rPr>
        <w:tab/>
        <w:t>“Rate base” is defined in Section 102 of the Code as follows: “The value of the whole or any part of the property of a public utility which is used and useful in the public service.”  66 Pa. C.S. § 102.</w:t>
      </w:r>
    </w:p>
  </w:footnote>
  <w:footnote w:id="20">
    <w:p w14:paraId="3D1C171E" w14:textId="5FA1F407" w:rsidR="00A8669C" w:rsidRPr="00EE4FEA" w:rsidRDefault="00A8669C" w:rsidP="00BD0CA7">
      <w:pPr>
        <w:keepNext/>
        <w:keepLines/>
        <w:widowControl/>
        <w:rPr>
          <w:sz w:val="26"/>
          <w:szCs w:val="26"/>
        </w:rPr>
      </w:pPr>
      <w:r w:rsidRPr="00EE4FEA">
        <w:rPr>
          <w:sz w:val="26"/>
          <w:szCs w:val="26"/>
        </w:rPr>
        <w:tab/>
      </w:r>
      <w:r w:rsidRPr="00EE4FEA">
        <w:rPr>
          <w:rStyle w:val="FootnoteReference"/>
          <w:sz w:val="26"/>
          <w:szCs w:val="26"/>
          <w:vertAlign w:val="subscript"/>
        </w:rPr>
        <w:footnoteRef/>
      </w:r>
      <w:r w:rsidRPr="00EE4FEA">
        <w:rPr>
          <w:sz w:val="26"/>
          <w:szCs w:val="26"/>
        </w:rPr>
        <w:tab/>
        <w:t>Section 1921(c), 1 Pa. C.S. § 1921(c), provides the following:</w:t>
      </w:r>
    </w:p>
    <w:p w14:paraId="79AFB349" w14:textId="77777777" w:rsidR="00A8669C" w:rsidRPr="00EE4FEA" w:rsidRDefault="00A8669C" w:rsidP="00BD0CA7">
      <w:pPr>
        <w:keepNext/>
        <w:keepLines/>
        <w:widowControl/>
        <w:ind w:left="1440" w:right="1440"/>
        <w:rPr>
          <w:sz w:val="26"/>
          <w:szCs w:val="26"/>
        </w:rPr>
      </w:pPr>
      <w:r w:rsidRPr="00EE4FEA">
        <w:rPr>
          <w:b/>
          <w:bCs/>
          <w:sz w:val="26"/>
          <w:szCs w:val="26"/>
        </w:rPr>
        <w:t>(c) </w:t>
      </w:r>
      <w:r w:rsidRPr="00EE4FEA">
        <w:rPr>
          <w:b/>
          <w:bCs/>
          <w:i/>
          <w:iCs/>
          <w:sz w:val="26"/>
          <w:szCs w:val="26"/>
        </w:rPr>
        <w:t xml:space="preserve"> Matters considered in ascertaining intent. </w:t>
      </w:r>
      <w:r w:rsidRPr="00EE4FEA">
        <w:rPr>
          <w:b/>
          <w:bCs/>
          <w:sz w:val="26"/>
          <w:szCs w:val="26"/>
        </w:rPr>
        <w:t>—</w:t>
      </w:r>
      <w:r w:rsidRPr="00EE4FEA">
        <w:rPr>
          <w:sz w:val="26"/>
          <w:szCs w:val="26"/>
        </w:rPr>
        <w:t> When the words of a statute are not explicit, the intention of the General Assembly may be ascertained by considering, among other matters:</w:t>
      </w:r>
    </w:p>
    <w:p w14:paraId="647DEC1B" w14:textId="77777777" w:rsidR="00A8669C" w:rsidRPr="00EE4FEA" w:rsidRDefault="00A8669C" w:rsidP="00BD0CA7">
      <w:pPr>
        <w:keepNext/>
        <w:keepLines/>
        <w:widowControl/>
        <w:spacing w:before="100" w:beforeAutospacing="1"/>
        <w:ind w:left="1080" w:right="1440"/>
        <w:rPr>
          <w:sz w:val="26"/>
          <w:szCs w:val="26"/>
        </w:rPr>
      </w:pPr>
      <w:r w:rsidRPr="00EE4FEA">
        <w:rPr>
          <w:b/>
          <w:bCs/>
          <w:sz w:val="26"/>
          <w:szCs w:val="26"/>
        </w:rPr>
        <w:tab/>
      </w:r>
      <w:r w:rsidRPr="00EE4FEA">
        <w:rPr>
          <w:bCs/>
          <w:sz w:val="26"/>
          <w:szCs w:val="26"/>
        </w:rPr>
        <w:t>(1)</w:t>
      </w:r>
      <w:r w:rsidRPr="00EE4FEA">
        <w:rPr>
          <w:sz w:val="26"/>
          <w:szCs w:val="26"/>
        </w:rPr>
        <w:t> The occasion and necessity for the statute.</w:t>
      </w:r>
    </w:p>
    <w:p w14:paraId="4DD7B9ED" w14:textId="77777777" w:rsidR="00A8669C" w:rsidRPr="00EE4FEA" w:rsidRDefault="00A8669C" w:rsidP="00BD0CA7">
      <w:pPr>
        <w:keepNext/>
        <w:keepLines/>
        <w:widowControl/>
        <w:spacing w:before="100" w:beforeAutospacing="1"/>
        <w:ind w:left="1080" w:right="1440"/>
        <w:rPr>
          <w:sz w:val="26"/>
          <w:szCs w:val="26"/>
        </w:rPr>
      </w:pPr>
      <w:r w:rsidRPr="00EE4FEA">
        <w:rPr>
          <w:b/>
          <w:bCs/>
          <w:sz w:val="26"/>
          <w:szCs w:val="26"/>
        </w:rPr>
        <w:tab/>
      </w:r>
      <w:r w:rsidRPr="00EE4FEA">
        <w:rPr>
          <w:bCs/>
          <w:sz w:val="26"/>
          <w:szCs w:val="26"/>
        </w:rPr>
        <w:t>(2)</w:t>
      </w:r>
      <w:r w:rsidRPr="00EE4FEA">
        <w:rPr>
          <w:sz w:val="26"/>
          <w:szCs w:val="26"/>
        </w:rPr>
        <w:t> The circumstances under which it was enacted.</w:t>
      </w:r>
    </w:p>
    <w:p w14:paraId="68048513" w14:textId="77777777" w:rsidR="00A8669C" w:rsidRPr="00EE4FEA" w:rsidRDefault="00A8669C" w:rsidP="00BD0CA7">
      <w:pPr>
        <w:keepNext/>
        <w:keepLines/>
        <w:widowControl/>
        <w:spacing w:before="100" w:beforeAutospacing="1"/>
        <w:ind w:left="1080" w:right="1440"/>
        <w:rPr>
          <w:sz w:val="26"/>
          <w:szCs w:val="26"/>
        </w:rPr>
      </w:pPr>
      <w:r w:rsidRPr="00EE4FEA">
        <w:rPr>
          <w:b/>
          <w:bCs/>
          <w:sz w:val="26"/>
          <w:szCs w:val="26"/>
        </w:rPr>
        <w:tab/>
      </w:r>
      <w:r w:rsidRPr="00EE4FEA">
        <w:rPr>
          <w:bCs/>
          <w:sz w:val="26"/>
          <w:szCs w:val="26"/>
        </w:rPr>
        <w:t>(3)</w:t>
      </w:r>
      <w:r w:rsidRPr="00EE4FEA">
        <w:rPr>
          <w:sz w:val="26"/>
          <w:szCs w:val="26"/>
        </w:rPr>
        <w:t> The mischief to be remedied.</w:t>
      </w:r>
    </w:p>
    <w:p w14:paraId="10720ACA" w14:textId="77777777" w:rsidR="00A8669C" w:rsidRPr="00EE4FEA" w:rsidRDefault="00A8669C" w:rsidP="00BD0CA7">
      <w:pPr>
        <w:keepNext/>
        <w:keepLines/>
        <w:widowControl/>
        <w:spacing w:before="100" w:beforeAutospacing="1"/>
        <w:ind w:left="1080" w:right="1440"/>
        <w:rPr>
          <w:sz w:val="26"/>
          <w:szCs w:val="26"/>
        </w:rPr>
      </w:pPr>
      <w:r w:rsidRPr="00EE4FEA">
        <w:rPr>
          <w:bCs/>
          <w:sz w:val="26"/>
          <w:szCs w:val="26"/>
        </w:rPr>
        <w:tab/>
        <w:t>(4)</w:t>
      </w:r>
      <w:r w:rsidRPr="00EE4FEA">
        <w:rPr>
          <w:sz w:val="26"/>
          <w:szCs w:val="26"/>
        </w:rPr>
        <w:t> The object to be attained.</w:t>
      </w:r>
    </w:p>
    <w:p w14:paraId="0214958B" w14:textId="77777777" w:rsidR="00A8669C" w:rsidRPr="00EE4FEA" w:rsidRDefault="00A8669C" w:rsidP="00BD0CA7">
      <w:pPr>
        <w:keepNext/>
        <w:keepLines/>
        <w:widowControl/>
        <w:spacing w:before="100" w:beforeAutospacing="1"/>
        <w:ind w:left="1080" w:right="1440"/>
        <w:rPr>
          <w:sz w:val="26"/>
          <w:szCs w:val="26"/>
        </w:rPr>
      </w:pPr>
      <w:r w:rsidRPr="00EE4FEA">
        <w:rPr>
          <w:bCs/>
          <w:sz w:val="26"/>
          <w:szCs w:val="26"/>
        </w:rPr>
        <w:tab/>
        <w:t>(5)</w:t>
      </w:r>
      <w:r w:rsidRPr="00EE4FEA">
        <w:rPr>
          <w:sz w:val="26"/>
          <w:szCs w:val="26"/>
        </w:rPr>
        <w:t xml:space="preserve"> The former law, if any, including other statutes upon the </w:t>
      </w:r>
      <w:r w:rsidRPr="00EE4FEA">
        <w:rPr>
          <w:sz w:val="26"/>
          <w:szCs w:val="26"/>
        </w:rPr>
        <w:tab/>
        <w:t>same or similar subjects.</w:t>
      </w:r>
    </w:p>
    <w:p w14:paraId="6AB9A4C6" w14:textId="77777777" w:rsidR="00A8669C" w:rsidRPr="00EE4FEA" w:rsidRDefault="00A8669C" w:rsidP="00BD0CA7">
      <w:pPr>
        <w:keepNext/>
        <w:keepLines/>
        <w:widowControl/>
        <w:spacing w:before="100" w:beforeAutospacing="1"/>
        <w:ind w:left="1080" w:right="1440"/>
        <w:rPr>
          <w:sz w:val="26"/>
          <w:szCs w:val="26"/>
        </w:rPr>
      </w:pPr>
      <w:r w:rsidRPr="00EE4FEA">
        <w:rPr>
          <w:bCs/>
          <w:sz w:val="26"/>
          <w:szCs w:val="26"/>
        </w:rPr>
        <w:tab/>
        <w:t>(6)</w:t>
      </w:r>
      <w:r w:rsidRPr="00EE4FEA">
        <w:rPr>
          <w:sz w:val="26"/>
          <w:szCs w:val="26"/>
        </w:rPr>
        <w:t> The consequences of a particular interpretation.</w:t>
      </w:r>
    </w:p>
    <w:p w14:paraId="6EF3315F" w14:textId="77777777" w:rsidR="00A8669C" w:rsidRPr="00EE4FEA" w:rsidRDefault="00A8669C" w:rsidP="00BD0CA7">
      <w:pPr>
        <w:keepNext/>
        <w:keepLines/>
        <w:widowControl/>
        <w:spacing w:before="100" w:beforeAutospacing="1"/>
        <w:ind w:left="1080" w:right="1440"/>
        <w:rPr>
          <w:sz w:val="26"/>
          <w:szCs w:val="26"/>
        </w:rPr>
      </w:pPr>
      <w:r w:rsidRPr="00EE4FEA">
        <w:rPr>
          <w:bCs/>
          <w:sz w:val="26"/>
          <w:szCs w:val="26"/>
        </w:rPr>
        <w:tab/>
        <w:t>(7)</w:t>
      </w:r>
      <w:r w:rsidRPr="00EE4FEA">
        <w:rPr>
          <w:sz w:val="26"/>
          <w:szCs w:val="26"/>
        </w:rPr>
        <w:t> The contemporaneous legislative history.</w:t>
      </w:r>
    </w:p>
    <w:p w14:paraId="33CBFD68" w14:textId="6105C458" w:rsidR="00A8669C" w:rsidRPr="00EE4FEA" w:rsidRDefault="00A8669C" w:rsidP="00BD0CA7">
      <w:pPr>
        <w:keepNext/>
        <w:keepLines/>
        <w:widowControl/>
        <w:spacing w:before="100" w:beforeAutospacing="1"/>
        <w:ind w:left="1080" w:right="1440"/>
        <w:rPr>
          <w:sz w:val="26"/>
          <w:szCs w:val="26"/>
        </w:rPr>
      </w:pPr>
      <w:r w:rsidRPr="00EE4FEA">
        <w:rPr>
          <w:bCs/>
          <w:sz w:val="26"/>
          <w:szCs w:val="26"/>
        </w:rPr>
        <w:tab/>
        <w:t>(8)</w:t>
      </w:r>
      <w:r w:rsidRPr="00EE4FEA">
        <w:rPr>
          <w:sz w:val="26"/>
          <w:szCs w:val="26"/>
        </w:rPr>
        <w:t xml:space="preserve"> Legislative and administrative interpretations of such </w:t>
      </w:r>
      <w:r w:rsidRPr="00EE4FEA">
        <w:rPr>
          <w:sz w:val="26"/>
          <w:szCs w:val="26"/>
        </w:rPr>
        <w:tab/>
        <w:t>statute.</w:t>
      </w:r>
    </w:p>
  </w:footnote>
  <w:footnote w:id="21">
    <w:p w14:paraId="33B7E204" w14:textId="1F62912F" w:rsidR="00A8669C" w:rsidRPr="00EE4FEA" w:rsidRDefault="00A8669C" w:rsidP="004E4328">
      <w:pPr>
        <w:pStyle w:val="FootnoteText"/>
        <w:keepNext/>
        <w:keepLines/>
        <w:widowControl/>
        <w:spacing w:after="120"/>
        <w:rPr>
          <w:sz w:val="26"/>
          <w:szCs w:val="26"/>
        </w:rPr>
      </w:pPr>
      <w:r w:rsidRPr="00EE4FEA">
        <w:rPr>
          <w:sz w:val="26"/>
          <w:szCs w:val="26"/>
        </w:rPr>
        <w:tab/>
      </w:r>
      <w:r w:rsidRPr="00EE4FEA">
        <w:rPr>
          <w:rStyle w:val="FootnoteReference"/>
          <w:sz w:val="26"/>
          <w:szCs w:val="26"/>
        </w:rPr>
        <w:footnoteRef/>
      </w:r>
      <w:r w:rsidRPr="00EE4FEA">
        <w:rPr>
          <w:sz w:val="26"/>
          <w:szCs w:val="26"/>
        </w:rPr>
        <w:tab/>
        <w:t xml:space="preserve">In reviewing the additional testimony presented during the H.B. 1436 Hearing, Pennsylvania had been following the “actual taxes paid” doctrine as explained in </w:t>
      </w:r>
      <w:r w:rsidRPr="00EE4FEA">
        <w:rPr>
          <w:i/>
          <w:sz w:val="26"/>
          <w:szCs w:val="26"/>
        </w:rPr>
        <w:t>Barasch v. Pa. PUC (Barasch)</w:t>
      </w:r>
      <w:r w:rsidRPr="00EE4FEA">
        <w:rPr>
          <w:sz w:val="26"/>
          <w:szCs w:val="26"/>
        </w:rPr>
        <w:t xml:space="preserve">, 507 Pa. 561, 493 A.2d 653.  In </w:t>
      </w:r>
      <w:r w:rsidRPr="00EE4FEA">
        <w:rPr>
          <w:i/>
          <w:sz w:val="26"/>
          <w:szCs w:val="26"/>
        </w:rPr>
        <w:t>Barasch</w:t>
      </w:r>
      <w:r w:rsidRPr="00EE4FEA">
        <w:rPr>
          <w:sz w:val="26"/>
          <w:szCs w:val="26"/>
        </w:rPr>
        <w:t>, the Pennsylvania Supreme Court held that a utility was not permitted to use separate-return calculations for its federal and state income taxes, because the tax calculations failed to account for the tax benefits realized by the utility by participation in a consolidated return filed by the utility’s corporate parent.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6962"/>
    <w:multiLevelType w:val="hybridMultilevel"/>
    <w:tmpl w:val="F0F4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D6BE9"/>
    <w:multiLevelType w:val="hybridMultilevel"/>
    <w:tmpl w:val="3F04CA4E"/>
    <w:lvl w:ilvl="0" w:tplc="A0CEA9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E34940"/>
    <w:multiLevelType w:val="hybridMultilevel"/>
    <w:tmpl w:val="C546BA4A"/>
    <w:lvl w:ilvl="0" w:tplc="B8E6F8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DC5BFA"/>
    <w:multiLevelType w:val="hybridMultilevel"/>
    <w:tmpl w:val="8864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6A02B77"/>
    <w:multiLevelType w:val="hybridMultilevel"/>
    <w:tmpl w:val="67CEB7A8"/>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C828B9"/>
    <w:multiLevelType w:val="hybridMultilevel"/>
    <w:tmpl w:val="FCC4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93AA2"/>
    <w:multiLevelType w:val="hybridMultilevel"/>
    <w:tmpl w:val="2CA28AB2"/>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2C631337"/>
    <w:multiLevelType w:val="hybridMultilevel"/>
    <w:tmpl w:val="CF8256B2"/>
    <w:lvl w:ilvl="0" w:tplc="63F88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01FEA"/>
    <w:multiLevelType w:val="hybridMultilevel"/>
    <w:tmpl w:val="BF92E882"/>
    <w:lvl w:ilvl="0" w:tplc="76CE25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6C23FD"/>
    <w:multiLevelType w:val="hybridMultilevel"/>
    <w:tmpl w:val="BD7236C4"/>
    <w:lvl w:ilvl="0" w:tplc="95042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9D6B33"/>
    <w:multiLevelType w:val="hybridMultilevel"/>
    <w:tmpl w:val="EC4E286A"/>
    <w:lvl w:ilvl="0" w:tplc="8F5AE8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2587364"/>
    <w:multiLevelType w:val="hybridMultilevel"/>
    <w:tmpl w:val="CDA84EDA"/>
    <w:lvl w:ilvl="0" w:tplc="9FA400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4E40E3"/>
    <w:multiLevelType w:val="hybridMultilevel"/>
    <w:tmpl w:val="87B24228"/>
    <w:lvl w:ilvl="0" w:tplc="614C19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5CB27B5"/>
    <w:multiLevelType w:val="hybridMultilevel"/>
    <w:tmpl w:val="A1E8C3BC"/>
    <w:lvl w:ilvl="0" w:tplc="4AD0A2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074FA8"/>
    <w:multiLevelType w:val="hybridMultilevel"/>
    <w:tmpl w:val="6750D248"/>
    <w:lvl w:ilvl="0" w:tplc="4D2E3916">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9773C9"/>
    <w:multiLevelType w:val="hybridMultilevel"/>
    <w:tmpl w:val="A686D72C"/>
    <w:lvl w:ilvl="0" w:tplc="8E3E5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5"/>
  </w:num>
  <w:num w:numId="4">
    <w:abstractNumId w:val="17"/>
  </w:num>
  <w:num w:numId="5">
    <w:abstractNumId w:val="5"/>
  </w:num>
  <w:num w:numId="6">
    <w:abstractNumId w:val="10"/>
  </w:num>
  <w:num w:numId="7">
    <w:abstractNumId w:val="4"/>
  </w:num>
  <w:num w:numId="8">
    <w:abstractNumId w:val="19"/>
  </w:num>
  <w:num w:numId="9">
    <w:abstractNumId w:val="24"/>
  </w:num>
  <w:num w:numId="10">
    <w:abstractNumId w:val="21"/>
  </w:num>
  <w:num w:numId="11">
    <w:abstractNumId w:val="3"/>
  </w:num>
  <w:num w:numId="12">
    <w:abstractNumId w:val="8"/>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2"/>
  </w:num>
  <w:num w:numId="17">
    <w:abstractNumId w:val="20"/>
  </w:num>
  <w:num w:numId="18">
    <w:abstractNumId w:val="16"/>
  </w:num>
  <w:num w:numId="19">
    <w:abstractNumId w:val="11"/>
  </w:num>
  <w:num w:numId="20">
    <w:abstractNumId w:val="14"/>
  </w:num>
  <w:num w:numId="21">
    <w:abstractNumId w:val="1"/>
  </w:num>
  <w:num w:numId="22">
    <w:abstractNumId w:val="13"/>
  </w:num>
  <w:num w:numId="23">
    <w:abstractNumId w:val="22"/>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1BD"/>
    <w:rsid w:val="00000223"/>
    <w:rsid w:val="00000651"/>
    <w:rsid w:val="00000CE2"/>
    <w:rsid w:val="00000D47"/>
    <w:rsid w:val="00001277"/>
    <w:rsid w:val="00001486"/>
    <w:rsid w:val="0000153D"/>
    <w:rsid w:val="000017F2"/>
    <w:rsid w:val="00001FC8"/>
    <w:rsid w:val="00002644"/>
    <w:rsid w:val="00002876"/>
    <w:rsid w:val="00002CF0"/>
    <w:rsid w:val="00002F13"/>
    <w:rsid w:val="00003A72"/>
    <w:rsid w:val="0000451E"/>
    <w:rsid w:val="00004671"/>
    <w:rsid w:val="00004817"/>
    <w:rsid w:val="000048E0"/>
    <w:rsid w:val="00004D03"/>
    <w:rsid w:val="00005318"/>
    <w:rsid w:val="00005BE7"/>
    <w:rsid w:val="000065FB"/>
    <w:rsid w:val="00006685"/>
    <w:rsid w:val="00006A65"/>
    <w:rsid w:val="00006F35"/>
    <w:rsid w:val="00006FEE"/>
    <w:rsid w:val="0000721A"/>
    <w:rsid w:val="000075A6"/>
    <w:rsid w:val="00007813"/>
    <w:rsid w:val="00007AF7"/>
    <w:rsid w:val="00007D7F"/>
    <w:rsid w:val="00007ECA"/>
    <w:rsid w:val="000117EB"/>
    <w:rsid w:val="00011AB1"/>
    <w:rsid w:val="00011D98"/>
    <w:rsid w:val="0001221F"/>
    <w:rsid w:val="000122A4"/>
    <w:rsid w:val="000124ED"/>
    <w:rsid w:val="00013358"/>
    <w:rsid w:val="00013812"/>
    <w:rsid w:val="000147AA"/>
    <w:rsid w:val="00014E95"/>
    <w:rsid w:val="00015314"/>
    <w:rsid w:val="000154E2"/>
    <w:rsid w:val="000168E4"/>
    <w:rsid w:val="00016D57"/>
    <w:rsid w:val="00016FB2"/>
    <w:rsid w:val="000171BD"/>
    <w:rsid w:val="0001775C"/>
    <w:rsid w:val="00017852"/>
    <w:rsid w:val="00017F40"/>
    <w:rsid w:val="00017F8B"/>
    <w:rsid w:val="00020117"/>
    <w:rsid w:val="000205EA"/>
    <w:rsid w:val="000206EB"/>
    <w:rsid w:val="00020817"/>
    <w:rsid w:val="00021130"/>
    <w:rsid w:val="000213A0"/>
    <w:rsid w:val="00021850"/>
    <w:rsid w:val="00021E31"/>
    <w:rsid w:val="00021E46"/>
    <w:rsid w:val="00021F58"/>
    <w:rsid w:val="00022572"/>
    <w:rsid w:val="000225A9"/>
    <w:rsid w:val="00022B74"/>
    <w:rsid w:val="0002304F"/>
    <w:rsid w:val="0002315D"/>
    <w:rsid w:val="000231E3"/>
    <w:rsid w:val="0002332C"/>
    <w:rsid w:val="00023B72"/>
    <w:rsid w:val="00023CFE"/>
    <w:rsid w:val="0002417D"/>
    <w:rsid w:val="000242BD"/>
    <w:rsid w:val="0002467F"/>
    <w:rsid w:val="00024F85"/>
    <w:rsid w:val="0002501D"/>
    <w:rsid w:val="0002523F"/>
    <w:rsid w:val="0002524C"/>
    <w:rsid w:val="0002556C"/>
    <w:rsid w:val="00025CEC"/>
    <w:rsid w:val="00025E34"/>
    <w:rsid w:val="00025F3F"/>
    <w:rsid w:val="00025FF6"/>
    <w:rsid w:val="0002606A"/>
    <w:rsid w:val="00026703"/>
    <w:rsid w:val="000267E5"/>
    <w:rsid w:val="00026CD2"/>
    <w:rsid w:val="0003055F"/>
    <w:rsid w:val="0003093F"/>
    <w:rsid w:val="00030A62"/>
    <w:rsid w:val="00030AFB"/>
    <w:rsid w:val="00030F6D"/>
    <w:rsid w:val="00031433"/>
    <w:rsid w:val="00032635"/>
    <w:rsid w:val="0003325E"/>
    <w:rsid w:val="00033512"/>
    <w:rsid w:val="000338FE"/>
    <w:rsid w:val="0003393B"/>
    <w:rsid w:val="00033D2F"/>
    <w:rsid w:val="00033EFA"/>
    <w:rsid w:val="00033FBF"/>
    <w:rsid w:val="0003417F"/>
    <w:rsid w:val="0003453C"/>
    <w:rsid w:val="00034A42"/>
    <w:rsid w:val="00034E13"/>
    <w:rsid w:val="00034EB0"/>
    <w:rsid w:val="00034FAE"/>
    <w:rsid w:val="00034FF1"/>
    <w:rsid w:val="00035748"/>
    <w:rsid w:val="000359E1"/>
    <w:rsid w:val="00035A3B"/>
    <w:rsid w:val="00035DB7"/>
    <w:rsid w:val="00036DBB"/>
    <w:rsid w:val="00036E5A"/>
    <w:rsid w:val="00036E85"/>
    <w:rsid w:val="00036EF1"/>
    <w:rsid w:val="00037341"/>
    <w:rsid w:val="000374E7"/>
    <w:rsid w:val="00037641"/>
    <w:rsid w:val="00037BB4"/>
    <w:rsid w:val="00037FC0"/>
    <w:rsid w:val="0004008E"/>
    <w:rsid w:val="000407B1"/>
    <w:rsid w:val="00040A8E"/>
    <w:rsid w:val="00040AEA"/>
    <w:rsid w:val="00040F7D"/>
    <w:rsid w:val="000411B5"/>
    <w:rsid w:val="00041967"/>
    <w:rsid w:val="00041C4C"/>
    <w:rsid w:val="000426D8"/>
    <w:rsid w:val="0004297F"/>
    <w:rsid w:val="00042A86"/>
    <w:rsid w:val="00042D84"/>
    <w:rsid w:val="000434C1"/>
    <w:rsid w:val="00043D65"/>
    <w:rsid w:val="000441C7"/>
    <w:rsid w:val="00044260"/>
    <w:rsid w:val="00044CDF"/>
    <w:rsid w:val="00044F62"/>
    <w:rsid w:val="00045306"/>
    <w:rsid w:val="00045800"/>
    <w:rsid w:val="000458B7"/>
    <w:rsid w:val="00045FE8"/>
    <w:rsid w:val="000469E6"/>
    <w:rsid w:val="00046D2C"/>
    <w:rsid w:val="000477D8"/>
    <w:rsid w:val="00047874"/>
    <w:rsid w:val="00047A50"/>
    <w:rsid w:val="00047F4A"/>
    <w:rsid w:val="000502EF"/>
    <w:rsid w:val="00051A5C"/>
    <w:rsid w:val="00051F1D"/>
    <w:rsid w:val="000523D1"/>
    <w:rsid w:val="00052B8F"/>
    <w:rsid w:val="00052F5B"/>
    <w:rsid w:val="00052FCD"/>
    <w:rsid w:val="000536BC"/>
    <w:rsid w:val="00053CA1"/>
    <w:rsid w:val="00053D76"/>
    <w:rsid w:val="00054612"/>
    <w:rsid w:val="00054A0E"/>
    <w:rsid w:val="000556C5"/>
    <w:rsid w:val="0005572E"/>
    <w:rsid w:val="00055788"/>
    <w:rsid w:val="00055993"/>
    <w:rsid w:val="00055BAD"/>
    <w:rsid w:val="00056286"/>
    <w:rsid w:val="00056ED4"/>
    <w:rsid w:val="0005720D"/>
    <w:rsid w:val="00057D06"/>
    <w:rsid w:val="00057EB5"/>
    <w:rsid w:val="00057F80"/>
    <w:rsid w:val="00060712"/>
    <w:rsid w:val="00060803"/>
    <w:rsid w:val="000609F5"/>
    <w:rsid w:val="00060ADE"/>
    <w:rsid w:val="00061022"/>
    <w:rsid w:val="000612FD"/>
    <w:rsid w:val="00061C8B"/>
    <w:rsid w:val="000623C6"/>
    <w:rsid w:val="00062601"/>
    <w:rsid w:val="0006342E"/>
    <w:rsid w:val="0006356A"/>
    <w:rsid w:val="00063985"/>
    <w:rsid w:val="00064188"/>
    <w:rsid w:val="000642AA"/>
    <w:rsid w:val="00064973"/>
    <w:rsid w:val="000649EC"/>
    <w:rsid w:val="00064A1B"/>
    <w:rsid w:val="00064DEC"/>
    <w:rsid w:val="00064E81"/>
    <w:rsid w:val="00065291"/>
    <w:rsid w:val="00065708"/>
    <w:rsid w:val="00065EB4"/>
    <w:rsid w:val="00065F24"/>
    <w:rsid w:val="0006634C"/>
    <w:rsid w:val="00066408"/>
    <w:rsid w:val="00066476"/>
    <w:rsid w:val="000669D9"/>
    <w:rsid w:val="000669FF"/>
    <w:rsid w:val="00066ADC"/>
    <w:rsid w:val="00066EE5"/>
    <w:rsid w:val="00066FFF"/>
    <w:rsid w:val="00067260"/>
    <w:rsid w:val="0006759F"/>
    <w:rsid w:val="0006784C"/>
    <w:rsid w:val="00070469"/>
    <w:rsid w:val="00070D2F"/>
    <w:rsid w:val="00070EFA"/>
    <w:rsid w:val="000715E8"/>
    <w:rsid w:val="00071916"/>
    <w:rsid w:val="00071A6D"/>
    <w:rsid w:val="0007209F"/>
    <w:rsid w:val="00072808"/>
    <w:rsid w:val="00073CF0"/>
    <w:rsid w:val="00073CFA"/>
    <w:rsid w:val="000744A7"/>
    <w:rsid w:val="0007521D"/>
    <w:rsid w:val="000753F6"/>
    <w:rsid w:val="00075D7D"/>
    <w:rsid w:val="00075F10"/>
    <w:rsid w:val="00076514"/>
    <w:rsid w:val="00076CE7"/>
    <w:rsid w:val="00076D52"/>
    <w:rsid w:val="00076F35"/>
    <w:rsid w:val="000770DB"/>
    <w:rsid w:val="00077B2D"/>
    <w:rsid w:val="00077B6C"/>
    <w:rsid w:val="0008021B"/>
    <w:rsid w:val="00080230"/>
    <w:rsid w:val="000804B3"/>
    <w:rsid w:val="000804C5"/>
    <w:rsid w:val="00080A8B"/>
    <w:rsid w:val="00080AF2"/>
    <w:rsid w:val="00081416"/>
    <w:rsid w:val="00081AB6"/>
    <w:rsid w:val="00082A18"/>
    <w:rsid w:val="00082B23"/>
    <w:rsid w:val="00082C5F"/>
    <w:rsid w:val="00082CBC"/>
    <w:rsid w:val="00082F69"/>
    <w:rsid w:val="00083125"/>
    <w:rsid w:val="000835AA"/>
    <w:rsid w:val="000839C2"/>
    <w:rsid w:val="00084573"/>
    <w:rsid w:val="000845E4"/>
    <w:rsid w:val="0008490E"/>
    <w:rsid w:val="00084919"/>
    <w:rsid w:val="00084AF9"/>
    <w:rsid w:val="00084C67"/>
    <w:rsid w:val="000852B8"/>
    <w:rsid w:val="000853E6"/>
    <w:rsid w:val="00085972"/>
    <w:rsid w:val="000863DB"/>
    <w:rsid w:val="00086DE9"/>
    <w:rsid w:val="00087299"/>
    <w:rsid w:val="0008785F"/>
    <w:rsid w:val="000878C9"/>
    <w:rsid w:val="00087A69"/>
    <w:rsid w:val="00090825"/>
    <w:rsid w:val="00090B69"/>
    <w:rsid w:val="00090BCD"/>
    <w:rsid w:val="000918D4"/>
    <w:rsid w:val="00091C59"/>
    <w:rsid w:val="000922E7"/>
    <w:rsid w:val="0009261B"/>
    <w:rsid w:val="00093164"/>
    <w:rsid w:val="00093660"/>
    <w:rsid w:val="00093731"/>
    <w:rsid w:val="00093732"/>
    <w:rsid w:val="00093AFD"/>
    <w:rsid w:val="00094851"/>
    <w:rsid w:val="000948F8"/>
    <w:rsid w:val="00094907"/>
    <w:rsid w:val="00094C63"/>
    <w:rsid w:val="000958D8"/>
    <w:rsid w:val="00095AD5"/>
    <w:rsid w:val="00095DBE"/>
    <w:rsid w:val="00095F1B"/>
    <w:rsid w:val="00095F46"/>
    <w:rsid w:val="0009612D"/>
    <w:rsid w:val="000966CA"/>
    <w:rsid w:val="00096944"/>
    <w:rsid w:val="00096CE2"/>
    <w:rsid w:val="00096F13"/>
    <w:rsid w:val="000973A2"/>
    <w:rsid w:val="00097504"/>
    <w:rsid w:val="00097922"/>
    <w:rsid w:val="00097B8D"/>
    <w:rsid w:val="000A0104"/>
    <w:rsid w:val="000A013F"/>
    <w:rsid w:val="000A0142"/>
    <w:rsid w:val="000A06E0"/>
    <w:rsid w:val="000A0C23"/>
    <w:rsid w:val="000A0EE5"/>
    <w:rsid w:val="000A0F2D"/>
    <w:rsid w:val="000A1358"/>
    <w:rsid w:val="000A1E70"/>
    <w:rsid w:val="000A2E5F"/>
    <w:rsid w:val="000A35C0"/>
    <w:rsid w:val="000A365D"/>
    <w:rsid w:val="000A3BE9"/>
    <w:rsid w:val="000A41EA"/>
    <w:rsid w:val="000A443E"/>
    <w:rsid w:val="000A484F"/>
    <w:rsid w:val="000A49EE"/>
    <w:rsid w:val="000A4EDB"/>
    <w:rsid w:val="000A4F51"/>
    <w:rsid w:val="000A52B5"/>
    <w:rsid w:val="000A55F8"/>
    <w:rsid w:val="000A5638"/>
    <w:rsid w:val="000A5913"/>
    <w:rsid w:val="000A61FA"/>
    <w:rsid w:val="000A6356"/>
    <w:rsid w:val="000A63C5"/>
    <w:rsid w:val="000A672E"/>
    <w:rsid w:val="000A69B1"/>
    <w:rsid w:val="000A6E70"/>
    <w:rsid w:val="000A76C2"/>
    <w:rsid w:val="000B04F4"/>
    <w:rsid w:val="000B0BFE"/>
    <w:rsid w:val="000B216D"/>
    <w:rsid w:val="000B26FD"/>
    <w:rsid w:val="000B2755"/>
    <w:rsid w:val="000B2E1C"/>
    <w:rsid w:val="000B2F28"/>
    <w:rsid w:val="000B353F"/>
    <w:rsid w:val="000B363C"/>
    <w:rsid w:val="000B3BB4"/>
    <w:rsid w:val="000B41CC"/>
    <w:rsid w:val="000B4780"/>
    <w:rsid w:val="000B4EAE"/>
    <w:rsid w:val="000B5039"/>
    <w:rsid w:val="000B5206"/>
    <w:rsid w:val="000B5238"/>
    <w:rsid w:val="000B57C0"/>
    <w:rsid w:val="000B607A"/>
    <w:rsid w:val="000B69A3"/>
    <w:rsid w:val="000B6B15"/>
    <w:rsid w:val="000B6F68"/>
    <w:rsid w:val="000B72CF"/>
    <w:rsid w:val="000B7363"/>
    <w:rsid w:val="000C00B5"/>
    <w:rsid w:val="000C00E1"/>
    <w:rsid w:val="000C073D"/>
    <w:rsid w:val="000C07BC"/>
    <w:rsid w:val="000C111F"/>
    <w:rsid w:val="000C1515"/>
    <w:rsid w:val="000C1811"/>
    <w:rsid w:val="000C183B"/>
    <w:rsid w:val="000C1D1F"/>
    <w:rsid w:val="000C2975"/>
    <w:rsid w:val="000C2AE3"/>
    <w:rsid w:val="000C31E4"/>
    <w:rsid w:val="000C3270"/>
    <w:rsid w:val="000C332D"/>
    <w:rsid w:val="000C3CA0"/>
    <w:rsid w:val="000C4058"/>
    <w:rsid w:val="000C4C97"/>
    <w:rsid w:val="000C55FB"/>
    <w:rsid w:val="000C5665"/>
    <w:rsid w:val="000C56E0"/>
    <w:rsid w:val="000C5927"/>
    <w:rsid w:val="000C5F15"/>
    <w:rsid w:val="000C6430"/>
    <w:rsid w:val="000C678E"/>
    <w:rsid w:val="000C67F5"/>
    <w:rsid w:val="000C69F0"/>
    <w:rsid w:val="000C709A"/>
    <w:rsid w:val="000C70AB"/>
    <w:rsid w:val="000C7255"/>
    <w:rsid w:val="000C75DB"/>
    <w:rsid w:val="000C76B5"/>
    <w:rsid w:val="000C786B"/>
    <w:rsid w:val="000C79A0"/>
    <w:rsid w:val="000C7AB6"/>
    <w:rsid w:val="000C7BBD"/>
    <w:rsid w:val="000D008C"/>
    <w:rsid w:val="000D0702"/>
    <w:rsid w:val="000D12E1"/>
    <w:rsid w:val="000D1481"/>
    <w:rsid w:val="000D1CA8"/>
    <w:rsid w:val="000D1F8E"/>
    <w:rsid w:val="000D209A"/>
    <w:rsid w:val="000D2275"/>
    <w:rsid w:val="000D22B4"/>
    <w:rsid w:val="000D22EB"/>
    <w:rsid w:val="000D23AC"/>
    <w:rsid w:val="000D267E"/>
    <w:rsid w:val="000D29C8"/>
    <w:rsid w:val="000D2DF9"/>
    <w:rsid w:val="000D3069"/>
    <w:rsid w:val="000D36F2"/>
    <w:rsid w:val="000D3CAA"/>
    <w:rsid w:val="000D3DB0"/>
    <w:rsid w:val="000D3E1C"/>
    <w:rsid w:val="000D4090"/>
    <w:rsid w:val="000D42E2"/>
    <w:rsid w:val="000D4460"/>
    <w:rsid w:val="000D460C"/>
    <w:rsid w:val="000D47F4"/>
    <w:rsid w:val="000D48BE"/>
    <w:rsid w:val="000D4AF7"/>
    <w:rsid w:val="000D59B3"/>
    <w:rsid w:val="000D5ADC"/>
    <w:rsid w:val="000D6E1E"/>
    <w:rsid w:val="000D72E0"/>
    <w:rsid w:val="000D7AB5"/>
    <w:rsid w:val="000D7D00"/>
    <w:rsid w:val="000E0271"/>
    <w:rsid w:val="000E02B6"/>
    <w:rsid w:val="000E071F"/>
    <w:rsid w:val="000E0C67"/>
    <w:rsid w:val="000E0E0C"/>
    <w:rsid w:val="000E16B6"/>
    <w:rsid w:val="000E16F2"/>
    <w:rsid w:val="000E1DC9"/>
    <w:rsid w:val="000E215E"/>
    <w:rsid w:val="000E231D"/>
    <w:rsid w:val="000E3310"/>
    <w:rsid w:val="000E35AE"/>
    <w:rsid w:val="000E4568"/>
    <w:rsid w:val="000E4596"/>
    <w:rsid w:val="000E45F6"/>
    <w:rsid w:val="000E4D5C"/>
    <w:rsid w:val="000E53B9"/>
    <w:rsid w:val="000E5DC8"/>
    <w:rsid w:val="000E60E7"/>
    <w:rsid w:val="000E64D8"/>
    <w:rsid w:val="000E6929"/>
    <w:rsid w:val="000E6955"/>
    <w:rsid w:val="000E6A73"/>
    <w:rsid w:val="000E6DC6"/>
    <w:rsid w:val="000E72D4"/>
    <w:rsid w:val="000E7415"/>
    <w:rsid w:val="000E7A90"/>
    <w:rsid w:val="000F174A"/>
    <w:rsid w:val="000F179E"/>
    <w:rsid w:val="000F1B98"/>
    <w:rsid w:val="000F1D8D"/>
    <w:rsid w:val="000F1DC2"/>
    <w:rsid w:val="000F2397"/>
    <w:rsid w:val="000F2501"/>
    <w:rsid w:val="000F27FE"/>
    <w:rsid w:val="000F2DE3"/>
    <w:rsid w:val="000F3DFE"/>
    <w:rsid w:val="000F3E12"/>
    <w:rsid w:val="000F4307"/>
    <w:rsid w:val="000F44EC"/>
    <w:rsid w:val="000F4C4B"/>
    <w:rsid w:val="000F551B"/>
    <w:rsid w:val="000F5694"/>
    <w:rsid w:val="000F5D47"/>
    <w:rsid w:val="000F621C"/>
    <w:rsid w:val="000F68FB"/>
    <w:rsid w:val="000F6E93"/>
    <w:rsid w:val="000F712A"/>
    <w:rsid w:val="000F717E"/>
    <w:rsid w:val="000F717F"/>
    <w:rsid w:val="000F758D"/>
    <w:rsid w:val="0010059D"/>
    <w:rsid w:val="00100639"/>
    <w:rsid w:val="001006A8"/>
    <w:rsid w:val="00100BF5"/>
    <w:rsid w:val="00100F06"/>
    <w:rsid w:val="0010134B"/>
    <w:rsid w:val="00101387"/>
    <w:rsid w:val="0010147F"/>
    <w:rsid w:val="0010158F"/>
    <w:rsid w:val="001017F6"/>
    <w:rsid w:val="00101AB8"/>
    <w:rsid w:val="00101F51"/>
    <w:rsid w:val="001022A1"/>
    <w:rsid w:val="001026CA"/>
    <w:rsid w:val="00102B12"/>
    <w:rsid w:val="00102E54"/>
    <w:rsid w:val="00102FEB"/>
    <w:rsid w:val="0010341F"/>
    <w:rsid w:val="001035AF"/>
    <w:rsid w:val="00103DC6"/>
    <w:rsid w:val="00104041"/>
    <w:rsid w:val="001040BB"/>
    <w:rsid w:val="0010425F"/>
    <w:rsid w:val="001043B3"/>
    <w:rsid w:val="001044B6"/>
    <w:rsid w:val="00104A0D"/>
    <w:rsid w:val="00104D61"/>
    <w:rsid w:val="00104D9B"/>
    <w:rsid w:val="00105C8E"/>
    <w:rsid w:val="00105CC8"/>
    <w:rsid w:val="00106006"/>
    <w:rsid w:val="001060E5"/>
    <w:rsid w:val="001062CD"/>
    <w:rsid w:val="00106312"/>
    <w:rsid w:val="00107388"/>
    <w:rsid w:val="00107609"/>
    <w:rsid w:val="00107958"/>
    <w:rsid w:val="001079A5"/>
    <w:rsid w:val="00107A0C"/>
    <w:rsid w:val="00107EE2"/>
    <w:rsid w:val="00110650"/>
    <w:rsid w:val="001106DA"/>
    <w:rsid w:val="00110F2F"/>
    <w:rsid w:val="0011122E"/>
    <w:rsid w:val="00111581"/>
    <w:rsid w:val="00112039"/>
    <w:rsid w:val="001129F3"/>
    <w:rsid w:val="00112E9E"/>
    <w:rsid w:val="00112F81"/>
    <w:rsid w:val="00112FDA"/>
    <w:rsid w:val="00113277"/>
    <w:rsid w:val="00113574"/>
    <w:rsid w:val="00113776"/>
    <w:rsid w:val="001138D3"/>
    <w:rsid w:val="00114656"/>
    <w:rsid w:val="00114DFB"/>
    <w:rsid w:val="00114E82"/>
    <w:rsid w:val="00114FF4"/>
    <w:rsid w:val="0011535C"/>
    <w:rsid w:val="001158C1"/>
    <w:rsid w:val="00115DA8"/>
    <w:rsid w:val="001169AE"/>
    <w:rsid w:val="00116A05"/>
    <w:rsid w:val="00116DC1"/>
    <w:rsid w:val="0011757D"/>
    <w:rsid w:val="001175E3"/>
    <w:rsid w:val="0011763D"/>
    <w:rsid w:val="001176EC"/>
    <w:rsid w:val="00117A05"/>
    <w:rsid w:val="00117CB2"/>
    <w:rsid w:val="0012026F"/>
    <w:rsid w:val="0012032E"/>
    <w:rsid w:val="00120880"/>
    <w:rsid w:val="00120B39"/>
    <w:rsid w:val="00120B8F"/>
    <w:rsid w:val="00120CC2"/>
    <w:rsid w:val="00120D10"/>
    <w:rsid w:val="0012110E"/>
    <w:rsid w:val="0012131E"/>
    <w:rsid w:val="00122222"/>
    <w:rsid w:val="00122CB2"/>
    <w:rsid w:val="00122EFA"/>
    <w:rsid w:val="0012361C"/>
    <w:rsid w:val="0012370F"/>
    <w:rsid w:val="001238E5"/>
    <w:rsid w:val="001239CD"/>
    <w:rsid w:val="00123A2E"/>
    <w:rsid w:val="00124071"/>
    <w:rsid w:val="00124683"/>
    <w:rsid w:val="00124787"/>
    <w:rsid w:val="001253FB"/>
    <w:rsid w:val="001259C6"/>
    <w:rsid w:val="00125AD6"/>
    <w:rsid w:val="00125F0A"/>
    <w:rsid w:val="001266DB"/>
    <w:rsid w:val="001267D4"/>
    <w:rsid w:val="0012696F"/>
    <w:rsid w:val="00126D31"/>
    <w:rsid w:val="00126E93"/>
    <w:rsid w:val="00127062"/>
    <w:rsid w:val="00127766"/>
    <w:rsid w:val="001303B4"/>
    <w:rsid w:val="00130860"/>
    <w:rsid w:val="00130BA7"/>
    <w:rsid w:val="00130EA2"/>
    <w:rsid w:val="00130EA9"/>
    <w:rsid w:val="00131482"/>
    <w:rsid w:val="00131919"/>
    <w:rsid w:val="0013266A"/>
    <w:rsid w:val="0013269E"/>
    <w:rsid w:val="00132900"/>
    <w:rsid w:val="00134325"/>
    <w:rsid w:val="00134395"/>
    <w:rsid w:val="00135157"/>
    <w:rsid w:val="00135480"/>
    <w:rsid w:val="00135670"/>
    <w:rsid w:val="001358B2"/>
    <w:rsid w:val="00135972"/>
    <w:rsid w:val="001360FC"/>
    <w:rsid w:val="00136C22"/>
    <w:rsid w:val="00136F53"/>
    <w:rsid w:val="00137B55"/>
    <w:rsid w:val="001400A9"/>
    <w:rsid w:val="0014036B"/>
    <w:rsid w:val="001414CD"/>
    <w:rsid w:val="00142219"/>
    <w:rsid w:val="0014251E"/>
    <w:rsid w:val="0014269B"/>
    <w:rsid w:val="00142BD8"/>
    <w:rsid w:val="00142C15"/>
    <w:rsid w:val="00142CF7"/>
    <w:rsid w:val="00143267"/>
    <w:rsid w:val="0014360F"/>
    <w:rsid w:val="00143757"/>
    <w:rsid w:val="00143EF5"/>
    <w:rsid w:val="00143F09"/>
    <w:rsid w:val="00144688"/>
    <w:rsid w:val="001447A0"/>
    <w:rsid w:val="0014497F"/>
    <w:rsid w:val="00144F43"/>
    <w:rsid w:val="00145197"/>
    <w:rsid w:val="00145890"/>
    <w:rsid w:val="001463A5"/>
    <w:rsid w:val="00146A23"/>
    <w:rsid w:val="00146B06"/>
    <w:rsid w:val="00146DDD"/>
    <w:rsid w:val="00146E58"/>
    <w:rsid w:val="00146FB3"/>
    <w:rsid w:val="00147145"/>
    <w:rsid w:val="00147407"/>
    <w:rsid w:val="001476D4"/>
    <w:rsid w:val="00150096"/>
    <w:rsid w:val="0015032B"/>
    <w:rsid w:val="00150446"/>
    <w:rsid w:val="00150583"/>
    <w:rsid w:val="001508E4"/>
    <w:rsid w:val="00150D50"/>
    <w:rsid w:val="00150E30"/>
    <w:rsid w:val="0015155C"/>
    <w:rsid w:val="001515A8"/>
    <w:rsid w:val="001519B6"/>
    <w:rsid w:val="00151A01"/>
    <w:rsid w:val="00152532"/>
    <w:rsid w:val="00152599"/>
    <w:rsid w:val="001525E2"/>
    <w:rsid w:val="001526C2"/>
    <w:rsid w:val="001527A9"/>
    <w:rsid w:val="00152DFB"/>
    <w:rsid w:val="0015380A"/>
    <w:rsid w:val="00153BAF"/>
    <w:rsid w:val="001542D1"/>
    <w:rsid w:val="0015449F"/>
    <w:rsid w:val="001544DD"/>
    <w:rsid w:val="00154C08"/>
    <w:rsid w:val="00154CB6"/>
    <w:rsid w:val="0015566F"/>
    <w:rsid w:val="0015570D"/>
    <w:rsid w:val="00155FCB"/>
    <w:rsid w:val="00156329"/>
    <w:rsid w:val="00157346"/>
    <w:rsid w:val="00157622"/>
    <w:rsid w:val="00157BCA"/>
    <w:rsid w:val="00157F0B"/>
    <w:rsid w:val="00157F1C"/>
    <w:rsid w:val="00157FB2"/>
    <w:rsid w:val="00160152"/>
    <w:rsid w:val="00160F7E"/>
    <w:rsid w:val="00160FB6"/>
    <w:rsid w:val="00160FB9"/>
    <w:rsid w:val="001611EF"/>
    <w:rsid w:val="00162782"/>
    <w:rsid w:val="001628FE"/>
    <w:rsid w:val="00162EAE"/>
    <w:rsid w:val="00162F5B"/>
    <w:rsid w:val="00162F5C"/>
    <w:rsid w:val="001630EB"/>
    <w:rsid w:val="0016314D"/>
    <w:rsid w:val="00163778"/>
    <w:rsid w:val="00163859"/>
    <w:rsid w:val="00163B25"/>
    <w:rsid w:val="00163D79"/>
    <w:rsid w:val="001641FF"/>
    <w:rsid w:val="00164520"/>
    <w:rsid w:val="00164D32"/>
    <w:rsid w:val="00164DA4"/>
    <w:rsid w:val="00166298"/>
    <w:rsid w:val="001663C8"/>
    <w:rsid w:val="0016653A"/>
    <w:rsid w:val="00166B35"/>
    <w:rsid w:val="00166ED2"/>
    <w:rsid w:val="001678D9"/>
    <w:rsid w:val="001705FC"/>
    <w:rsid w:val="001707D7"/>
    <w:rsid w:val="00170D25"/>
    <w:rsid w:val="00170FB3"/>
    <w:rsid w:val="00171199"/>
    <w:rsid w:val="00171CF5"/>
    <w:rsid w:val="00172060"/>
    <w:rsid w:val="0017209B"/>
    <w:rsid w:val="00172188"/>
    <w:rsid w:val="00172549"/>
    <w:rsid w:val="001728FC"/>
    <w:rsid w:val="00172A96"/>
    <w:rsid w:val="00172AB2"/>
    <w:rsid w:val="00172E6F"/>
    <w:rsid w:val="00172F06"/>
    <w:rsid w:val="00174D3D"/>
    <w:rsid w:val="00174E3F"/>
    <w:rsid w:val="001751D7"/>
    <w:rsid w:val="001755D8"/>
    <w:rsid w:val="00175729"/>
    <w:rsid w:val="001764BF"/>
    <w:rsid w:val="0017682B"/>
    <w:rsid w:val="00176DB6"/>
    <w:rsid w:val="001770B0"/>
    <w:rsid w:val="00177A80"/>
    <w:rsid w:val="00177D98"/>
    <w:rsid w:val="00177F78"/>
    <w:rsid w:val="001803F4"/>
    <w:rsid w:val="00180601"/>
    <w:rsid w:val="00181222"/>
    <w:rsid w:val="001814C4"/>
    <w:rsid w:val="00181BBA"/>
    <w:rsid w:val="001820D8"/>
    <w:rsid w:val="00182478"/>
    <w:rsid w:val="00182607"/>
    <w:rsid w:val="0018274A"/>
    <w:rsid w:val="00182CCF"/>
    <w:rsid w:val="00183034"/>
    <w:rsid w:val="001831AC"/>
    <w:rsid w:val="001839F1"/>
    <w:rsid w:val="00184326"/>
    <w:rsid w:val="0018480F"/>
    <w:rsid w:val="00184D47"/>
    <w:rsid w:val="00184FCC"/>
    <w:rsid w:val="00185167"/>
    <w:rsid w:val="0018518D"/>
    <w:rsid w:val="001855CA"/>
    <w:rsid w:val="00185739"/>
    <w:rsid w:val="001857B0"/>
    <w:rsid w:val="0018583E"/>
    <w:rsid w:val="00185AFF"/>
    <w:rsid w:val="00185B0D"/>
    <w:rsid w:val="00185F18"/>
    <w:rsid w:val="00185F46"/>
    <w:rsid w:val="001865F4"/>
    <w:rsid w:val="00186A97"/>
    <w:rsid w:val="00186D7E"/>
    <w:rsid w:val="00187303"/>
    <w:rsid w:val="00187831"/>
    <w:rsid w:val="00187930"/>
    <w:rsid w:val="0019020C"/>
    <w:rsid w:val="00190621"/>
    <w:rsid w:val="001906B1"/>
    <w:rsid w:val="00190992"/>
    <w:rsid w:val="00190A1D"/>
    <w:rsid w:val="001911B3"/>
    <w:rsid w:val="00191412"/>
    <w:rsid w:val="00191763"/>
    <w:rsid w:val="0019182E"/>
    <w:rsid w:val="00191A20"/>
    <w:rsid w:val="00192DF3"/>
    <w:rsid w:val="00192FCD"/>
    <w:rsid w:val="001939BB"/>
    <w:rsid w:val="00194077"/>
    <w:rsid w:val="00194322"/>
    <w:rsid w:val="001944F6"/>
    <w:rsid w:val="00194940"/>
    <w:rsid w:val="00194B66"/>
    <w:rsid w:val="00194E02"/>
    <w:rsid w:val="0019530E"/>
    <w:rsid w:val="00195735"/>
    <w:rsid w:val="00195C58"/>
    <w:rsid w:val="00195DB7"/>
    <w:rsid w:val="00195F2E"/>
    <w:rsid w:val="00196A8E"/>
    <w:rsid w:val="0019788F"/>
    <w:rsid w:val="00197A58"/>
    <w:rsid w:val="001A004E"/>
    <w:rsid w:val="001A0B18"/>
    <w:rsid w:val="001A137B"/>
    <w:rsid w:val="001A1400"/>
    <w:rsid w:val="001A1946"/>
    <w:rsid w:val="001A1BAC"/>
    <w:rsid w:val="001A1BF1"/>
    <w:rsid w:val="001A2355"/>
    <w:rsid w:val="001A239E"/>
    <w:rsid w:val="001A24F6"/>
    <w:rsid w:val="001A2745"/>
    <w:rsid w:val="001A280F"/>
    <w:rsid w:val="001A2B3D"/>
    <w:rsid w:val="001A2BE9"/>
    <w:rsid w:val="001A2D0F"/>
    <w:rsid w:val="001A3165"/>
    <w:rsid w:val="001A512B"/>
    <w:rsid w:val="001A597D"/>
    <w:rsid w:val="001A5A0E"/>
    <w:rsid w:val="001A60FA"/>
    <w:rsid w:val="001A732F"/>
    <w:rsid w:val="001A76C4"/>
    <w:rsid w:val="001A7A13"/>
    <w:rsid w:val="001A7EFE"/>
    <w:rsid w:val="001B0145"/>
    <w:rsid w:val="001B05EC"/>
    <w:rsid w:val="001B074A"/>
    <w:rsid w:val="001B0C7B"/>
    <w:rsid w:val="001B1151"/>
    <w:rsid w:val="001B1188"/>
    <w:rsid w:val="001B1350"/>
    <w:rsid w:val="001B187D"/>
    <w:rsid w:val="001B18A7"/>
    <w:rsid w:val="001B1D75"/>
    <w:rsid w:val="001B1DB4"/>
    <w:rsid w:val="001B1E07"/>
    <w:rsid w:val="001B2603"/>
    <w:rsid w:val="001B26D8"/>
    <w:rsid w:val="001B27AA"/>
    <w:rsid w:val="001B35D7"/>
    <w:rsid w:val="001B4A65"/>
    <w:rsid w:val="001B5865"/>
    <w:rsid w:val="001B59F0"/>
    <w:rsid w:val="001B5BBD"/>
    <w:rsid w:val="001B6382"/>
    <w:rsid w:val="001B6CB1"/>
    <w:rsid w:val="001B6CCD"/>
    <w:rsid w:val="001B70B2"/>
    <w:rsid w:val="001B7907"/>
    <w:rsid w:val="001B7B91"/>
    <w:rsid w:val="001C0809"/>
    <w:rsid w:val="001C0C68"/>
    <w:rsid w:val="001C0E39"/>
    <w:rsid w:val="001C1183"/>
    <w:rsid w:val="001C182A"/>
    <w:rsid w:val="001C1F06"/>
    <w:rsid w:val="001C27BF"/>
    <w:rsid w:val="001C2AE1"/>
    <w:rsid w:val="001C2B92"/>
    <w:rsid w:val="001C3BAA"/>
    <w:rsid w:val="001C3D3F"/>
    <w:rsid w:val="001C4117"/>
    <w:rsid w:val="001C42C0"/>
    <w:rsid w:val="001C492F"/>
    <w:rsid w:val="001C4978"/>
    <w:rsid w:val="001C4B6C"/>
    <w:rsid w:val="001C4B92"/>
    <w:rsid w:val="001C4DB9"/>
    <w:rsid w:val="001C5ECF"/>
    <w:rsid w:val="001C5F74"/>
    <w:rsid w:val="001C61F9"/>
    <w:rsid w:val="001C71ED"/>
    <w:rsid w:val="001C73CD"/>
    <w:rsid w:val="001C7779"/>
    <w:rsid w:val="001C7AAE"/>
    <w:rsid w:val="001D05A7"/>
    <w:rsid w:val="001D05F3"/>
    <w:rsid w:val="001D0EA8"/>
    <w:rsid w:val="001D0ED2"/>
    <w:rsid w:val="001D1628"/>
    <w:rsid w:val="001D1715"/>
    <w:rsid w:val="001D1D6B"/>
    <w:rsid w:val="001D1FFA"/>
    <w:rsid w:val="001D25F3"/>
    <w:rsid w:val="001D3751"/>
    <w:rsid w:val="001D376D"/>
    <w:rsid w:val="001D38E9"/>
    <w:rsid w:val="001D3EA4"/>
    <w:rsid w:val="001D419E"/>
    <w:rsid w:val="001D4247"/>
    <w:rsid w:val="001D4719"/>
    <w:rsid w:val="001D4B11"/>
    <w:rsid w:val="001D537B"/>
    <w:rsid w:val="001D538E"/>
    <w:rsid w:val="001D5E90"/>
    <w:rsid w:val="001D5EFC"/>
    <w:rsid w:val="001D6361"/>
    <w:rsid w:val="001D656E"/>
    <w:rsid w:val="001D6778"/>
    <w:rsid w:val="001D6941"/>
    <w:rsid w:val="001D69F4"/>
    <w:rsid w:val="001D6E04"/>
    <w:rsid w:val="001D705F"/>
    <w:rsid w:val="001E0B61"/>
    <w:rsid w:val="001E1195"/>
    <w:rsid w:val="001E1276"/>
    <w:rsid w:val="001E1610"/>
    <w:rsid w:val="001E1FD6"/>
    <w:rsid w:val="001E2949"/>
    <w:rsid w:val="001E3F37"/>
    <w:rsid w:val="001E3F7F"/>
    <w:rsid w:val="001E570D"/>
    <w:rsid w:val="001E5807"/>
    <w:rsid w:val="001E60EE"/>
    <w:rsid w:val="001E6381"/>
    <w:rsid w:val="001E662B"/>
    <w:rsid w:val="001E6ACA"/>
    <w:rsid w:val="001E7091"/>
    <w:rsid w:val="001E786F"/>
    <w:rsid w:val="001E7FD4"/>
    <w:rsid w:val="001F0025"/>
    <w:rsid w:val="001F014E"/>
    <w:rsid w:val="001F0509"/>
    <w:rsid w:val="001F2069"/>
    <w:rsid w:val="001F2669"/>
    <w:rsid w:val="001F2686"/>
    <w:rsid w:val="001F26FE"/>
    <w:rsid w:val="001F285E"/>
    <w:rsid w:val="001F28C4"/>
    <w:rsid w:val="001F2CDC"/>
    <w:rsid w:val="001F2D64"/>
    <w:rsid w:val="001F3B32"/>
    <w:rsid w:val="001F4275"/>
    <w:rsid w:val="001F42E4"/>
    <w:rsid w:val="001F43EB"/>
    <w:rsid w:val="001F4BCA"/>
    <w:rsid w:val="001F4CEE"/>
    <w:rsid w:val="001F4FA1"/>
    <w:rsid w:val="001F4FC9"/>
    <w:rsid w:val="001F55B4"/>
    <w:rsid w:val="001F5939"/>
    <w:rsid w:val="001F5ADE"/>
    <w:rsid w:val="001F62E7"/>
    <w:rsid w:val="001F67C2"/>
    <w:rsid w:val="001F6938"/>
    <w:rsid w:val="001F6A60"/>
    <w:rsid w:val="001F6FBD"/>
    <w:rsid w:val="001F7250"/>
    <w:rsid w:val="001F75FF"/>
    <w:rsid w:val="00201CF6"/>
    <w:rsid w:val="00202524"/>
    <w:rsid w:val="002027BD"/>
    <w:rsid w:val="00202A4F"/>
    <w:rsid w:val="00202A57"/>
    <w:rsid w:val="00202AA8"/>
    <w:rsid w:val="00202B57"/>
    <w:rsid w:val="00202B9D"/>
    <w:rsid w:val="00203025"/>
    <w:rsid w:val="002037C0"/>
    <w:rsid w:val="00203F94"/>
    <w:rsid w:val="00203FFC"/>
    <w:rsid w:val="0020442F"/>
    <w:rsid w:val="0020580B"/>
    <w:rsid w:val="00205A0B"/>
    <w:rsid w:val="00205A42"/>
    <w:rsid w:val="00205AF4"/>
    <w:rsid w:val="002061A4"/>
    <w:rsid w:val="0020644D"/>
    <w:rsid w:val="00206592"/>
    <w:rsid w:val="0020688A"/>
    <w:rsid w:val="00206FA1"/>
    <w:rsid w:val="00207DDC"/>
    <w:rsid w:val="002105C5"/>
    <w:rsid w:val="00210736"/>
    <w:rsid w:val="002108C7"/>
    <w:rsid w:val="00210E85"/>
    <w:rsid w:val="00210F81"/>
    <w:rsid w:val="00211622"/>
    <w:rsid w:val="00212080"/>
    <w:rsid w:val="00212364"/>
    <w:rsid w:val="00212413"/>
    <w:rsid w:val="002137B2"/>
    <w:rsid w:val="002138A8"/>
    <w:rsid w:val="002143F8"/>
    <w:rsid w:val="00214B3E"/>
    <w:rsid w:val="00214DC8"/>
    <w:rsid w:val="00214E5F"/>
    <w:rsid w:val="002150F5"/>
    <w:rsid w:val="002156D1"/>
    <w:rsid w:val="00215C08"/>
    <w:rsid w:val="00215F30"/>
    <w:rsid w:val="0021638A"/>
    <w:rsid w:val="0021693E"/>
    <w:rsid w:val="00216A86"/>
    <w:rsid w:val="00216E7E"/>
    <w:rsid w:val="00216FC2"/>
    <w:rsid w:val="0021751E"/>
    <w:rsid w:val="00217581"/>
    <w:rsid w:val="002175F6"/>
    <w:rsid w:val="00217A4E"/>
    <w:rsid w:val="0022004A"/>
    <w:rsid w:val="002200D1"/>
    <w:rsid w:val="002201FE"/>
    <w:rsid w:val="002202F4"/>
    <w:rsid w:val="00220E13"/>
    <w:rsid w:val="00221533"/>
    <w:rsid w:val="00221B12"/>
    <w:rsid w:val="00221BF0"/>
    <w:rsid w:val="00221F05"/>
    <w:rsid w:val="00221F1A"/>
    <w:rsid w:val="0022202F"/>
    <w:rsid w:val="002224E6"/>
    <w:rsid w:val="00222F6B"/>
    <w:rsid w:val="00223BE6"/>
    <w:rsid w:val="00223CD5"/>
    <w:rsid w:val="002246AF"/>
    <w:rsid w:val="00225AE5"/>
    <w:rsid w:val="002260F4"/>
    <w:rsid w:val="002263A6"/>
    <w:rsid w:val="002263D2"/>
    <w:rsid w:val="0022698E"/>
    <w:rsid w:val="00226DDF"/>
    <w:rsid w:val="00227354"/>
    <w:rsid w:val="002276B4"/>
    <w:rsid w:val="00227912"/>
    <w:rsid w:val="00227B50"/>
    <w:rsid w:val="00227FAB"/>
    <w:rsid w:val="00230210"/>
    <w:rsid w:val="002303B2"/>
    <w:rsid w:val="002305D8"/>
    <w:rsid w:val="002309E9"/>
    <w:rsid w:val="00230A11"/>
    <w:rsid w:val="002311C3"/>
    <w:rsid w:val="002311EE"/>
    <w:rsid w:val="002319A0"/>
    <w:rsid w:val="002323FA"/>
    <w:rsid w:val="00232A1C"/>
    <w:rsid w:val="00232E6B"/>
    <w:rsid w:val="00233488"/>
    <w:rsid w:val="00233D6E"/>
    <w:rsid w:val="00233ED1"/>
    <w:rsid w:val="0023417F"/>
    <w:rsid w:val="002346B6"/>
    <w:rsid w:val="00234B16"/>
    <w:rsid w:val="002351A2"/>
    <w:rsid w:val="00235322"/>
    <w:rsid w:val="00235F21"/>
    <w:rsid w:val="00235F63"/>
    <w:rsid w:val="00236205"/>
    <w:rsid w:val="00236209"/>
    <w:rsid w:val="002366C0"/>
    <w:rsid w:val="002367AB"/>
    <w:rsid w:val="00236B20"/>
    <w:rsid w:val="00236BAC"/>
    <w:rsid w:val="00236E16"/>
    <w:rsid w:val="002370F5"/>
    <w:rsid w:val="00237B46"/>
    <w:rsid w:val="00237E48"/>
    <w:rsid w:val="0024007E"/>
    <w:rsid w:val="0024088A"/>
    <w:rsid w:val="00240ACA"/>
    <w:rsid w:val="00240D0E"/>
    <w:rsid w:val="00240D7B"/>
    <w:rsid w:val="00241299"/>
    <w:rsid w:val="00242308"/>
    <w:rsid w:val="00242387"/>
    <w:rsid w:val="002425AB"/>
    <w:rsid w:val="00242B89"/>
    <w:rsid w:val="00242C42"/>
    <w:rsid w:val="00242CB0"/>
    <w:rsid w:val="00243162"/>
    <w:rsid w:val="00243350"/>
    <w:rsid w:val="002434EB"/>
    <w:rsid w:val="0024399A"/>
    <w:rsid w:val="00243FBA"/>
    <w:rsid w:val="00244543"/>
    <w:rsid w:val="002449C2"/>
    <w:rsid w:val="00244EBA"/>
    <w:rsid w:val="00245E13"/>
    <w:rsid w:val="00246005"/>
    <w:rsid w:val="00246C59"/>
    <w:rsid w:val="00246C9A"/>
    <w:rsid w:val="002471BD"/>
    <w:rsid w:val="0024733E"/>
    <w:rsid w:val="002474B9"/>
    <w:rsid w:val="00247A24"/>
    <w:rsid w:val="00247F35"/>
    <w:rsid w:val="00250623"/>
    <w:rsid w:val="0025071A"/>
    <w:rsid w:val="00250A8D"/>
    <w:rsid w:val="00250FDE"/>
    <w:rsid w:val="00251355"/>
    <w:rsid w:val="0025166B"/>
    <w:rsid w:val="00251708"/>
    <w:rsid w:val="0025170A"/>
    <w:rsid w:val="00251918"/>
    <w:rsid w:val="00251E40"/>
    <w:rsid w:val="0025232A"/>
    <w:rsid w:val="0025266F"/>
    <w:rsid w:val="00252D75"/>
    <w:rsid w:val="00252D7F"/>
    <w:rsid w:val="00252FCA"/>
    <w:rsid w:val="00253137"/>
    <w:rsid w:val="002531BC"/>
    <w:rsid w:val="0025348B"/>
    <w:rsid w:val="00253BF7"/>
    <w:rsid w:val="00254995"/>
    <w:rsid w:val="00254B97"/>
    <w:rsid w:val="00254DA9"/>
    <w:rsid w:val="00254FE8"/>
    <w:rsid w:val="00255462"/>
    <w:rsid w:val="00255D39"/>
    <w:rsid w:val="00256233"/>
    <w:rsid w:val="00256A8F"/>
    <w:rsid w:val="00256BA9"/>
    <w:rsid w:val="00256D56"/>
    <w:rsid w:val="002572AF"/>
    <w:rsid w:val="00257D32"/>
    <w:rsid w:val="00260044"/>
    <w:rsid w:val="00260613"/>
    <w:rsid w:val="00260957"/>
    <w:rsid w:val="00261032"/>
    <w:rsid w:val="002621B2"/>
    <w:rsid w:val="00262D9F"/>
    <w:rsid w:val="002630C4"/>
    <w:rsid w:val="002630E2"/>
    <w:rsid w:val="00263D24"/>
    <w:rsid w:val="002643F9"/>
    <w:rsid w:val="00264646"/>
    <w:rsid w:val="00264E86"/>
    <w:rsid w:val="002654AD"/>
    <w:rsid w:val="00265506"/>
    <w:rsid w:val="00265AE4"/>
    <w:rsid w:val="00265E0C"/>
    <w:rsid w:val="00266444"/>
    <w:rsid w:val="00266D46"/>
    <w:rsid w:val="00266DDD"/>
    <w:rsid w:val="00267188"/>
    <w:rsid w:val="002671A2"/>
    <w:rsid w:val="002673DF"/>
    <w:rsid w:val="002679C4"/>
    <w:rsid w:val="00267B63"/>
    <w:rsid w:val="00267F1F"/>
    <w:rsid w:val="002702FC"/>
    <w:rsid w:val="002704D3"/>
    <w:rsid w:val="002705C6"/>
    <w:rsid w:val="0027060B"/>
    <w:rsid w:val="00270683"/>
    <w:rsid w:val="00270DFB"/>
    <w:rsid w:val="0027114C"/>
    <w:rsid w:val="00271BBD"/>
    <w:rsid w:val="00271CF4"/>
    <w:rsid w:val="00271FC3"/>
    <w:rsid w:val="0027232D"/>
    <w:rsid w:val="002723A1"/>
    <w:rsid w:val="002726A4"/>
    <w:rsid w:val="00272746"/>
    <w:rsid w:val="0027292C"/>
    <w:rsid w:val="00272D1F"/>
    <w:rsid w:val="00272E9D"/>
    <w:rsid w:val="00272EC8"/>
    <w:rsid w:val="00272F5D"/>
    <w:rsid w:val="00273379"/>
    <w:rsid w:val="00274137"/>
    <w:rsid w:val="002747C1"/>
    <w:rsid w:val="00274D0F"/>
    <w:rsid w:val="00275037"/>
    <w:rsid w:val="00275489"/>
    <w:rsid w:val="00275D60"/>
    <w:rsid w:val="002766CE"/>
    <w:rsid w:val="00276A05"/>
    <w:rsid w:val="00277500"/>
    <w:rsid w:val="0027788B"/>
    <w:rsid w:val="00277B7B"/>
    <w:rsid w:val="00277BF4"/>
    <w:rsid w:val="00277D6D"/>
    <w:rsid w:val="00277ECA"/>
    <w:rsid w:val="00280750"/>
    <w:rsid w:val="00280A0D"/>
    <w:rsid w:val="00280A4A"/>
    <w:rsid w:val="00280AF1"/>
    <w:rsid w:val="00280B64"/>
    <w:rsid w:val="00281061"/>
    <w:rsid w:val="0028125E"/>
    <w:rsid w:val="00281290"/>
    <w:rsid w:val="0028183D"/>
    <w:rsid w:val="002818FA"/>
    <w:rsid w:val="00281A5F"/>
    <w:rsid w:val="00281B12"/>
    <w:rsid w:val="00282529"/>
    <w:rsid w:val="00282F3A"/>
    <w:rsid w:val="00282FAA"/>
    <w:rsid w:val="00283266"/>
    <w:rsid w:val="00283539"/>
    <w:rsid w:val="002842A8"/>
    <w:rsid w:val="002847B0"/>
    <w:rsid w:val="00284E86"/>
    <w:rsid w:val="0028500A"/>
    <w:rsid w:val="00285073"/>
    <w:rsid w:val="00285437"/>
    <w:rsid w:val="002859FB"/>
    <w:rsid w:val="00285A8E"/>
    <w:rsid w:val="00285AEC"/>
    <w:rsid w:val="00285C26"/>
    <w:rsid w:val="0028602D"/>
    <w:rsid w:val="0028641A"/>
    <w:rsid w:val="0028701F"/>
    <w:rsid w:val="002872B6"/>
    <w:rsid w:val="002873E6"/>
    <w:rsid w:val="00287681"/>
    <w:rsid w:val="0028781E"/>
    <w:rsid w:val="00287BA9"/>
    <w:rsid w:val="00287EF7"/>
    <w:rsid w:val="00287F5B"/>
    <w:rsid w:val="002904D8"/>
    <w:rsid w:val="002911F0"/>
    <w:rsid w:val="00291F2F"/>
    <w:rsid w:val="00291F68"/>
    <w:rsid w:val="00292043"/>
    <w:rsid w:val="002920D7"/>
    <w:rsid w:val="0029235E"/>
    <w:rsid w:val="00292647"/>
    <w:rsid w:val="00292927"/>
    <w:rsid w:val="00292CF7"/>
    <w:rsid w:val="00292F23"/>
    <w:rsid w:val="00294181"/>
    <w:rsid w:val="00294230"/>
    <w:rsid w:val="0029438E"/>
    <w:rsid w:val="002946AB"/>
    <w:rsid w:val="002946B2"/>
    <w:rsid w:val="00294BD5"/>
    <w:rsid w:val="0029672A"/>
    <w:rsid w:val="00296998"/>
    <w:rsid w:val="00296AF4"/>
    <w:rsid w:val="00297B94"/>
    <w:rsid w:val="00297C35"/>
    <w:rsid w:val="002A0493"/>
    <w:rsid w:val="002A060A"/>
    <w:rsid w:val="002A0783"/>
    <w:rsid w:val="002A0915"/>
    <w:rsid w:val="002A0D22"/>
    <w:rsid w:val="002A0D42"/>
    <w:rsid w:val="002A1164"/>
    <w:rsid w:val="002A127E"/>
    <w:rsid w:val="002A2BEB"/>
    <w:rsid w:val="002A2C78"/>
    <w:rsid w:val="002A3A93"/>
    <w:rsid w:val="002A3FE4"/>
    <w:rsid w:val="002A4450"/>
    <w:rsid w:val="002A46FA"/>
    <w:rsid w:val="002A49CD"/>
    <w:rsid w:val="002A4A73"/>
    <w:rsid w:val="002A522A"/>
    <w:rsid w:val="002A5255"/>
    <w:rsid w:val="002A5EB0"/>
    <w:rsid w:val="002A60F1"/>
    <w:rsid w:val="002A61DE"/>
    <w:rsid w:val="002A635B"/>
    <w:rsid w:val="002A6444"/>
    <w:rsid w:val="002A6750"/>
    <w:rsid w:val="002A6855"/>
    <w:rsid w:val="002A71EC"/>
    <w:rsid w:val="002A7208"/>
    <w:rsid w:val="002A75D0"/>
    <w:rsid w:val="002A7BAF"/>
    <w:rsid w:val="002B0382"/>
    <w:rsid w:val="002B044E"/>
    <w:rsid w:val="002B0BDF"/>
    <w:rsid w:val="002B18F9"/>
    <w:rsid w:val="002B1DAA"/>
    <w:rsid w:val="002B2296"/>
    <w:rsid w:val="002B26E1"/>
    <w:rsid w:val="002B283D"/>
    <w:rsid w:val="002B28A9"/>
    <w:rsid w:val="002B29F8"/>
    <w:rsid w:val="002B2B14"/>
    <w:rsid w:val="002B2C40"/>
    <w:rsid w:val="002B2F63"/>
    <w:rsid w:val="002B3040"/>
    <w:rsid w:val="002B30FD"/>
    <w:rsid w:val="002B333B"/>
    <w:rsid w:val="002B4244"/>
    <w:rsid w:val="002B4377"/>
    <w:rsid w:val="002B4407"/>
    <w:rsid w:val="002B5B77"/>
    <w:rsid w:val="002B5B80"/>
    <w:rsid w:val="002B5D3D"/>
    <w:rsid w:val="002B5D8D"/>
    <w:rsid w:val="002B5DA9"/>
    <w:rsid w:val="002B60C5"/>
    <w:rsid w:val="002B6575"/>
    <w:rsid w:val="002B6679"/>
    <w:rsid w:val="002B67B7"/>
    <w:rsid w:val="002B6B97"/>
    <w:rsid w:val="002B748C"/>
    <w:rsid w:val="002B757C"/>
    <w:rsid w:val="002B7882"/>
    <w:rsid w:val="002C03B7"/>
    <w:rsid w:val="002C0429"/>
    <w:rsid w:val="002C06B2"/>
    <w:rsid w:val="002C0767"/>
    <w:rsid w:val="002C092D"/>
    <w:rsid w:val="002C0EE9"/>
    <w:rsid w:val="002C166E"/>
    <w:rsid w:val="002C16BE"/>
    <w:rsid w:val="002C171A"/>
    <w:rsid w:val="002C19E4"/>
    <w:rsid w:val="002C1CCB"/>
    <w:rsid w:val="002C1D3D"/>
    <w:rsid w:val="002C232D"/>
    <w:rsid w:val="002C24D8"/>
    <w:rsid w:val="002C257A"/>
    <w:rsid w:val="002C27FE"/>
    <w:rsid w:val="002C2838"/>
    <w:rsid w:val="002C3577"/>
    <w:rsid w:val="002C3676"/>
    <w:rsid w:val="002C3B39"/>
    <w:rsid w:val="002C3C03"/>
    <w:rsid w:val="002C3C10"/>
    <w:rsid w:val="002C3E84"/>
    <w:rsid w:val="002C44E1"/>
    <w:rsid w:val="002C4A1B"/>
    <w:rsid w:val="002C4F72"/>
    <w:rsid w:val="002C518B"/>
    <w:rsid w:val="002C5256"/>
    <w:rsid w:val="002C6CC4"/>
    <w:rsid w:val="002C6EF5"/>
    <w:rsid w:val="002C7166"/>
    <w:rsid w:val="002C7368"/>
    <w:rsid w:val="002C7542"/>
    <w:rsid w:val="002C79B8"/>
    <w:rsid w:val="002D09D1"/>
    <w:rsid w:val="002D0A56"/>
    <w:rsid w:val="002D13C4"/>
    <w:rsid w:val="002D141E"/>
    <w:rsid w:val="002D1791"/>
    <w:rsid w:val="002D2191"/>
    <w:rsid w:val="002D2678"/>
    <w:rsid w:val="002D275E"/>
    <w:rsid w:val="002D2A1D"/>
    <w:rsid w:val="002D2C16"/>
    <w:rsid w:val="002D313F"/>
    <w:rsid w:val="002D339E"/>
    <w:rsid w:val="002D402C"/>
    <w:rsid w:val="002D41FE"/>
    <w:rsid w:val="002D422F"/>
    <w:rsid w:val="002D48DA"/>
    <w:rsid w:val="002D4C0F"/>
    <w:rsid w:val="002D4DA3"/>
    <w:rsid w:val="002D5320"/>
    <w:rsid w:val="002D5452"/>
    <w:rsid w:val="002D5AFD"/>
    <w:rsid w:val="002D5FF2"/>
    <w:rsid w:val="002D6357"/>
    <w:rsid w:val="002D6366"/>
    <w:rsid w:val="002D65B8"/>
    <w:rsid w:val="002D6683"/>
    <w:rsid w:val="002D6997"/>
    <w:rsid w:val="002D6AB7"/>
    <w:rsid w:val="002D73B3"/>
    <w:rsid w:val="002D743D"/>
    <w:rsid w:val="002D7514"/>
    <w:rsid w:val="002D7584"/>
    <w:rsid w:val="002D7A10"/>
    <w:rsid w:val="002E013D"/>
    <w:rsid w:val="002E01A0"/>
    <w:rsid w:val="002E039A"/>
    <w:rsid w:val="002E04F8"/>
    <w:rsid w:val="002E0697"/>
    <w:rsid w:val="002E07F1"/>
    <w:rsid w:val="002E0A68"/>
    <w:rsid w:val="002E0FA9"/>
    <w:rsid w:val="002E1293"/>
    <w:rsid w:val="002E1B16"/>
    <w:rsid w:val="002E2CCD"/>
    <w:rsid w:val="002E2D97"/>
    <w:rsid w:val="002E2F2E"/>
    <w:rsid w:val="002E3026"/>
    <w:rsid w:val="002E3731"/>
    <w:rsid w:val="002E3A8B"/>
    <w:rsid w:val="002E3C21"/>
    <w:rsid w:val="002E3F06"/>
    <w:rsid w:val="002E4786"/>
    <w:rsid w:val="002E4A4B"/>
    <w:rsid w:val="002E4B04"/>
    <w:rsid w:val="002E5839"/>
    <w:rsid w:val="002E5E87"/>
    <w:rsid w:val="002E6295"/>
    <w:rsid w:val="002E643A"/>
    <w:rsid w:val="002E64A9"/>
    <w:rsid w:val="002E6BCF"/>
    <w:rsid w:val="002E6FFA"/>
    <w:rsid w:val="002E7381"/>
    <w:rsid w:val="002E75F3"/>
    <w:rsid w:val="002E765B"/>
    <w:rsid w:val="002E7BAB"/>
    <w:rsid w:val="002E7F8F"/>
    <w:rsid w:val="002F0094"/>
    <w:rsid w:val="002F053D"/>
    <w:rsid w:val="002F112F"/>
    <w:rsid w:val="002F15C6"/>
    <w:rsid w:val="002F1A77"/>
    <w:rsid w:val="002F2342"/>
    <w:rsid w:val="002F24F7"/>
    <w:rsid w:val="002F251E"/>
    <w:rsid w:val="002F2559"/>
    <w:rsid w:val="002F25AE"/>
    <w:rsid w:val="002F2733"/>
    <w:rsid w:val="002F2BB0"/>
    <w:rsid w:val="002F2D9C"/>
    <w:rsid w:val="002F3213"/>
    <w:rsid w:val="002F37D3"/>
    <w:rsid w:val="002F3877"/>
    <w:rsid w:val="002F3F04"/>
    <w:rsid w:val="002F41BA"/>
    <w:rsid w:val="002F49DD"/>
    <w:rsid w:val="002F4D3A"/>
    <w:rsid w:val="002F5A50"/>
    <w:rsid w:val="002F5B4A"/>
    <w:rsid w:val="002F5E86"/>
    <w:rsid w:val="002F662D"/>
    <w:rsid w:val="002F6BFA"/>
    <w:rsid w:val="002F6C34"/>
    <w:rsid w:val="002F6F81"/>
    <w:rsid w:val="002F7228"/>
    <w:rsid w:val="002F7249"/>
    <w:rsid w:val="002F750E"/>
    <w:rsid w:val="002F759D"/>
    <w:rsid w:val="002F7DB7"/>
    <w:rsid w:val="00300137"/>
    <w:rsid w:val="0030019C"/>
    <w:rsid w:val="0030077C"/>
    <w:rsid w:val="00300AD2"/>
    <w:rsid w:val="00300C2E"/>
    <w:rsid w:val="00300FDA"/>
    <w:rsid w:val="003010FC"/>
    <w:rsid w:val="003018AA"/>
    <w:rsid w:val="00303031"/>
    <w:rsid w:val="003030BC"/>
    <w:rsid w:val="003031CA"/>
    <w:rsid w:val="00303885"/>
    <w:rsid w:val="00303B99"/>
    <w:rsid w:val="00303D6C"/>
    <w:rsid w:val="00303E8C"/>
    <w:rsid w:val="00303F34"/>
    <w:rsid w:val="00304790"/>
    <w:rsid w:val="00305DFB"/>
    <w:rsid w:val="00306145"/>
    <w:rsid w:val="00306313"/>
    <w:rsid w:val="003065CD"/>
    <w:rsid w:val="0030665C"/>
    <w:rsid w:val="0030682C"/>
    <w:rsid w:val="00306D1F"/>
    <w:rsid w:val="00307009"/>
    <w:rsid w:val="0030714F"/>
    <w:rsid w:val="0030737B"/>
    <w:rsid w:val="003073E2"/>
    <w:rsid w:val="00307549"/>
    <w:rsid w:val="003079A1"/>
    <w:rsid w:val="00307A38"/>
    <w:rsid w:val="00307DDF"/>
    <w:rsid w:val="003108F7"/>
    <w:rsid w:val="00310F4C"/>
    <w:rsid w:val="003114C6"/>
    <w:rsid w:val="00311AE6"/>
    <w:rsid w:val="00311F54"/>
    <w:rsid w:val="00311F63"/>
    <w:rsid w:val="003129EF"/>
    <w:rsid w:val="00312B14"/>
    <w:rsid w:val="003134B2"/>
    <w:rsid w:val="003135E2"/>
    <w:rsid w:val="00313706"/>
    <w:rsid w:val="00314A43"/>
    <w:rsid w:val="00315102"/>
    <w:rsid w:val="0031520C"/>
    <w:rsid w:val="00315694"/>
    <w:rsid w:val="00315A0E"/>
    <w:rsid w:val="00315A3D"/>
    <w:rsid w:val="00316486"/>
    <w:rsid w:val="00316699"/>
    <w:rsid w:val="00316963"/>
    <w:rsid w:val="003169F2"/>
    <w:rsid w:val="003170B2"/>
    <w:rsid w:val="003172C2"/>
    <w:rsid w:val="00317441"/>
    <w:rsid w:val="0031788C"/>
    <w:rsid w:val="003178CA"/>
    <w:rsid w:val="00317F31"/>
    <w:rsid w:val="00320F00"/>
    <w:rsid w:val="00320FE4"/>
    <w:rsid w:val="00321083"/>
    <w:rsid w:val="003216D1"/>
    <w:rsid w:val="00322040"/>
    <w:rsid w:val="00322AF6"/>
    <w:rsid w:val="00323BAB"/>
    <w:rsid w:val="003240B8"/>
    <w:rsid w:val="003244CC"/>
    <w:rsid w:val="00324681"/>
    <w:rsid w:val="0032494C"/>
    <w:rsid w:val="00325422"/>
    <w:rsid w:val="00325F50"/>
    <w:rsid w:val="003268C2"/>
    <w:rsid w:val="0032727E"/>
    <w:rsid w:val="003274BA"/>
    <w:rsid w:val="00327B64"/>
    <w:rsid w:val="00330980"/>
    <w:rsid w:val="003316AB"/>
    <w:rsid w:val="0033170A"/>
    <w:rsid w:val="00331EA4"/>
    <w:rsid w:val="00331EB6"/>
    <w:rsid w:val="003324FA"/>
    <w:rsid w:val="0033254C"/>
    <w:rsid w:val="00332B17"/>
    <w:rsid w:val="00333110"/>
    <w:rsid w:val="003332D4"/>
    <w:rsid w:val="003337C4"/>
    <w:rsid w:val="00333A25"/>
    <w:rsid w:val="00333FDA"/>
    <w:rsid w:val="003340DE"/>
    <w:rsid w:val="00334417"/>
    <w:rsid w:val="00334887"/>
    <w:rsid w:val="00334DD6"/>
    <w:rsid w:val="00334EC2"/>
    <w:rsid w:val="00334F48"/>
    <w:rsid w:val="003353B5"/>
    <w:rsid w:val="003355F8"/>
    <w:rsid w:val="00335804"/>
    <w:rsid w:val="0033584A"/>
    <w:rsid w:val="00335A8F"/>
    <w:rsid w:val="00335BE9"/>
    <w:rsid w:val="0033657E"/>
    <w:rsid w:val="0033732D"/>
    <w:rsid w:val="00337723"/>
    <w:rsid w:val="00337BA8"/>
    <w:rsid w:val="00340C6D"/>
    <w:rsid w:val="00340D19"/>
    <w:rsid w:val="0034168D"/>
    <w:rsid w:val="00341F2F"/>
    <w:rsid w:val="00342193"/>
    <w:rsid w:val="003428C3"/>
    <w:rsid w:val="00342956"/>
    <w:rsid w:val="00342D6A"/>
    <w:rsid w:val="00343230"/>
    <w:rsid w:val="0034336D"/>
    <w:rsid w:val="00343461"/>
    <w:rsid w:val="0034395C"/>
    <w:rsid w:val="00343B61"/>
    <w:rsid w:val="00343C6C"/>
    <w:rsid w:val="00343EC0"/>
    <w:rsid w:val="00344705"/>
    <w:rsid w:val="00344804"/>
    <w:rsid w:val="00344D49"/>
    <w:rsid w:val="00345372"/>
    <w:rsid w:val="00345518"/>
    <w:rsid w:val="003456C8"/>
    <w:rsid w:val="00345E29"/>
    <w:rsid w:val="00345F9E"/>
    <w:rsid w:val="00346162"/>
    <w:rsid w:val="003468E7"/>
    <w:rsid w:val="00346C47"/>
    <w:rsid w:val="00346C74"/>
    <w:rsid w:val="003473C2"/>
    <w:rsid w:val="00347863"/>
    <w:rsid w:val="00347A1F"/>
    <w:rsid w:val="003508D7"/>
    <w:rsid w:val="003510FF"/>
    <w:rsid w:val="003518C8"/>
    <w:rsid w:val="00351A51"/>
    <w:rsid w:val="00351E48"/>
    <w:rsid w:val="00352155"/>
    <w:rsid w:val="00352BC7"/>
    <w:rsid w:val="0035338B"/>
    <w:rsid w:val="003533B5"/>
    <w:rsid w:val="00353CE3"/>
    <w:rsid w:val="00354187"/>
    <w:rsid w:val="003542D3"/>
    <w:rsid w:val="00354B2F"/>
    <w:rsid w:val="0035559B"/>
    <w:rsid w:val="00356024"/>
    <w:rsid w:val="00356155"/>
    <w:rsid w:val="003561D9"/>
    <w:rsid w:val="00356313"/>
    <w:rsid w:val="003566BA"/>
    <w:rsid w:val="003568D9"/>
    <w:rsid w:val="0035728C"/>
    <w:rsid w:val="0036035C"/>
    <w:rsid w:val="00360426"/>
    <w:rsid w:val="0036063F"/>
    <w:rsid w:val="00360AF9"/>
    <w:rsid w:val="00360B65"/>
    <w:rsid w:val="00360C62"/>
    <w:rsid w:val="00361146"/>
    <w:rsid w:val="0036139E"/>
    <w:rsid w:val="00361619"/>
    <w:rsid w:val="00361F8D"/>
    <w:rsid w:val="003622CA"/>
    <w:rsid w:val="003628E7"/>
    <w:rsid w:val="003629F0"/>
    <w:rsid w:val="00363030"/>
    <w:rsid w:val="0036347F"/>
    <w:rsid w:val="00363603"/>
    <w:rsid w:val="00363EC5"/>
    <w:rsid w:val="00363FF4"/>
    <w:rsid w:val="00364563"/>
    <w:rsid w:val="0036462C"/>
    <w:rsid w:val="00364A42"/>
    <w:rsid w:val="00364CC8"/>
    <w:rsid w:val="00365369"/>
    <w:rsid w:val="003653A1"/>
    <w:rsid w:val="0036588C"/>
    <w:rsid w:val="00365E02"/>
    <w:rsid w:val="00366018"/>
    <w:rsid w:val="00366549"/>
    <w:rsid w:val="00366736"/>
    <w:rsid w:val="00366747"/>
    <w:rsid w:val="003667FD"/>
    <w:rsid w:val="00366DA3"/>
    <w:rsid w:val="00366E0E"/>
    <w:rsid w:val="003674CA"/>
    <w:rsid w:val="0036754F"/>
    <w:rsid w:val="00367FFC"/>
    <w:rsid w:val="003702A2"/>
    <w:rsid w:val="0037077D"/>
    <w:rsid w:val="0037081A"/>
    <w:rsid w:val="00370A42"/>
    <w:rsid w:val="00370BCD"/>
    <w:rsid w:val="00370C11"/>
    <w:rsid w:val="003714D9"/>
    <w:rsid w:val="003715F6"/>
    <w:rsid w:val="00371732"/>
    <w:rsid w:val="00371750"/>
    <w:rsid w:val="00371A4B"/>
    <w:rsid w:val="003722BF"/>
    <w:rsid w:val="00372A35"/>
    <w:rsid w:val="00372D90"/>
    <w:rsid w:val="003732C1"/>
    <w:rsid w:val="0037352F"/>
    <w:rsid w:val="00373753"/>
    <w:rsid w:val="00373B32"/>
    <w:rsid w:val="00374099"/>
    <w:rsid w:val="00374329"/>
    <w:rsid w:val="003743C4"/>
    <w:rsid w:val="00374C5B"/>
    <w:rsid w:val="00374F23"/>
    <w:rsid w:val="0037525E"/>
    <w:rsid w:val="003752D2"/>
    <w:rsid w:val="003755FB"/>
    <w:rsid w:val="0037577C"/>
    <w:rsid w:val="0037608C"/>
    <w:rsid w:val="003767B2"/>
    <w:rsid w:val="0037682D"/>
    <w:rsid w:val="00376D53"/>
    <w:rsid w:val="00376F22"/>
    <w:rsid w:val="00377263"/>
    <w:rsid w:val="003775B8"/>
    <w:rsid w:val="00377862"/>
    <w:rsid w:val="003778B6"/>
    <w:rsid w:val="00377DF7"/>
    <w:rsid w:val="003810DD"/>
    <w:rsid w:val="00381421"/>
    <w:rsid w:val="0038188D"/>
    <w:rsid w:val="00381FEF"/>
    <w:rsid w:val="0038218A"/>
    <w:rsid w:val="0038254A"/>
    <w:rsid w:val="0038284B"/>
    <w:rsid w:val="00382B40"/>
    <w:rsid w:val="00382F20"/>
    <w:rsid w:val="003832D4"/>
    <w:rsid w:val="00383513"/>
    <w:rsid w:val="003841E8"/>
    <w:rsid w:val="00384AEA"/>
    <w:rsid w:val="00384F64"/>
    <w:rsid w:val="00385502"/>
    <w:rsid w:val="00385526"/>
    <w:rsid w:val="0038569C"/>
    <w:rsid w:val="003857E9"/>
    <w:rsid w:val="00385917"/>
    <w:rsid w:val="0038623A"/>
    <w:rsid w:val="003863E7"/>
    <w:rsid w:val="0038648E"/>
    <w:rsid w:val="003866CA"/>
    <w:rsid w:val="00386D03"/>
    <w:rsid w:val="003878C9"/>
    <w:rsid w:val="003904F7"/>
    <w:rsid w:val="0039085E"/>
    <w:rsid w:val="00390A62"/>
    <w:rsid w:val="00390D0C"/>
    <w:rsid w:val="003915CB"/>
    <w:rsid w:val="00391A43"/>
    <w:rsid w:val="00391CAA"/>
    <w:rsid w:val="00392715"/>
    <w:rsid w:val="00392734"/>
    <w:rsid w:val="003927B4"/>
    <w:rsid w:val="00393123"/>
    <w:rsid w:val="0039331D"/>
    <w:rsid w:val="003933D9"/>
    <w:rsid w:val="003937D5"/>
    <w:rsid w:val="003944E5"/>
    <w:rsid w:val="00394A04"/>
    <w:rsid w:val="00394FFE"/>
    <w:rsid w:val="003958EB"/>
    <w:rsid w:val="00395B3E"/>
    <w:rsid w:val="00396375"/>
    <w:rsid w:val="00396541"/>
    <w:rsid w:val="00396928"/>
    <w:rsid w:val="00396E47"/>
    <w:rsid w:val="00396EC9"/>
    <w:rsid w:val="00397467"/>
    <w:rsid w:val="00397918"/>
    <w:rsid w:val="00397ACA"/>
    <w:rsid w:val="003A0125"/>
    <w:rsid w:val="003A0178"/>
    <w:rsid w:val="003A01C0"/>
    <w:rsid w:val="003A071C"/>
    <w:rsid w:val="003A0A0B"/>
    <w:rsid w:val="003A0A71"/>
    <w:rsid w:val="003A0D28"/>
    <w:rsid w:val="003A15FF"/>
    <w:rsid w:val="003A1921"/>
    <w:rsid w:val="003A1A55"/>
    <w:rsid w:val="003A1D43"/>
    <w:rsid w:val="003A25FB"/>
    <w:rsid w:val="003A2604"/>
    <w:rsid w:val="003A286F"/>
    <w:rsid w:val="003A2CA9"/>
    <w:rsid w:val="003A301D"/>
    <w:rsid w:val="003A31BD"/>
    <w:rsid w:val="003A3B84"/>
    <w:rsid w:val="003A3D1C"/>
    <w:rsid w:val="003A4773"/>
    <w:rsid w:val="003A4E6C"/>
    <w:rsid w:val="003A4EE9"/>
    <w:rsid w:val="003A534F"/>
    <w:rsid w:val="003A5623"/>
    <w:rsid w:val="003A56AB"/>
    <w:rsid w:val="003A56D8"/>
    <w:rsid w:val="003A58E0"/>
    <w:rsid w:val="003A5AF1"/>
    <w:rsid w:val="003A63E9"/>
    <w:rsid w:val="003A6E02"/>
    <w:rsid w:val="003A6FF0"/>
    <w:rsid w:val="003A7B45"/>
    <w:rsid w:val="003A7E3A"/>
    <w:rsid w:val="003B011C"/>
    <w:rsid w:val="003B016A"/>
    <w:rsid w:val="003B0517"/>
    <w:rsid w:val="003B0611"/>
    <w:rsid w:val="003B0ADD"/>
    <w:rsid w:val="003B0D66"/>
    <w:rsid w:val="003B0D72"/>
    <w:rsid w:val="003B220B"/>
    <w:rsid w:val="003B23C7"/>
    <w:rsid w:val="003B2B48"/>
    <w:rsid w:val="003B2CB6"/>
    <w:rsid w:val="003B2DBB"/>
    <w:rsid w:val="003B346D"/>
    <w:rsid w:val="003B3617"/>
    <w:rsid w:val="003B3844"/>
    <w:rsid w:val="003B39E7"/>
    <w:rsid w:val="003B3E6C"/>
    <w:rsid w:val="003B42D9"/>
    <w:rsid w:val="003B465B"/>
    <w:rsid w:val="003B50DA"/>
    <w:rsid w:val="003B54B5"/>
    <w:rsid w:val="003B5F4E"/>
    <w:rsid w:val="003B6017"/>
    <w:rsid w:val="003B66C0"/>
    <w:rsid w:val="003B6BE4"/>
    <w:rsid w:val="003B7029"/>
    <w:rsid w:val="003B7073"/>
    <w:rsid w:val="003C02BA"/>
    <w:rsid w:val="003C052F"/>
    <w:rsid w:val="003C06D8"/>
    <w:rsid w:val="003C0F84"/>
    <w:rsid w:val="003C28B1"/>
    <w:rsid w:val="003C28ED"/>
    <w:rsid w:val="003C2AC8"/>
    <w:rsid w:val="003C2B4A"/>
    <w:rsid w:val="003C2E13"/>
    <w:rsid w:val="003C2EB2"/>
    <w:rsid w:val="003C3140"/>
    <w:rsid w:val="003C327C"/>
    <w:rsid w:val="003C3A63"/>
    <w:rsid w:val="003C3E02"/>
    <w:rsid w:val="003C3FE8"/>
    <w:rsid w:val="003C41DA"/>
    <w:rsid w:val="003C464B"/>
    <w:rsid w:val="003C4E62"/>
    <w:rsid w:val="003C5783"/>
    <w:rsid w:val="003C5C37"/>
    <w:rsid w:val="003C6A69"/>
    <w:rsid w:val="003C6B13"/>
    <w:rsid w:val="003C734B"/>
    <w:rsid w:val="003C73F9"/>
    <w:rsid w:val="003C768D"/>
    <w:rsid w:val="003C77B2"/>
    <w:rsid w:val="003C7EC4"/>
    <w:rsid w:val="003D06EA"/>
    <w:rsid w:val="003D1BF0"/>
    <w:rsid w:val="003D1C7F"/>
    <w:rsid w:val="003D1E07"/>
    <w:rsid w:val="003D1F70"/>
    <w:rsid w:val="003D2152"/>
    <w:rsid w:val="003D234E"/>
    <w:rsid w:val="003D2AC7"/>
    <w:rsid w:val="003D394E"/>
    <w:rsid w:val="003D3971"/>
    <w:rsid w:val="003D3AAA"/>
    <w:rsid w:val="003D3FAA"/>
    <w:rsid w:val="003D3FE9"/>
    <w:rsid w:val="003D4168"/>
    <w:rsid w:val="003D447C"/>
    <w:rsid w:val="003D45F6"/>
    <w:rsid w:val="003D4DB8"/>
    <w:rsid w:val="003D51DE"/>
    <w:rsid w:val="003D57BB"/>
    <w:rsid w:val="003D5967"/>
    <w:rsid w:val="003D5B76"/>
    <w:rsid w:val="003D5F07"/>
    <w:rsid w:val="003D5F21"/>
    <w:rsid w:val="003D6153"/>
    <w:rsid w:val="003D6463"/>
    <w:rsid w:val="003D6AAF"/>
    <w:rsid w:val="003D6AB5"/>
    <w:rsid w:val="003D6CF4"/>
    <w:rsid w:val="003D79CB"/>
    <w:rsid w:val="003E02E7"/>
    <w:rsid w:val="003E071C"/>
    <w:rsid w:val="003E0759"/>
    <w:rsid w:val="003E0BCA"/>
    <w:rsid w:val="003E0BCF"/>
    <w:rsid w:val="003E0FAE"/>
    <w:rsid w:val="003E121E"/>
    <w:rsid w:val="003E1902"/>
    <w:rsid w:val="003E25AA"/>
    <w:rsid w:val="003E2890"/>
    <w:rsid w:val="003E2B61"/>
    <w:rsid w:val="003E3908"/>
    <w:rsid w:val="003E3988"/>
    <w:rsid w:val="003E3BDC"/>
    <w:rsid w:val="003E3FF5"/>
    <w:rsid w:val="003E414C"/>
    <w:rsid w:val="003E44DD"/>
    <w:rsid w:val="003E4B34"/>
    <w:rsid w:val="003E4D95"/>
    <w:rsid w:val="003E5354"/>
    <w:rsid w:val="003E585A"/>
    <w:rsid w:val="003E58FC"/>
    <w:rsid w:val="003E5C36"/>
    <w:rsid w:val="003E67A3"/>
    <w:rsid w:val="003E75D2"/>
    <w:rsid w:val="003E76F4"/>
    <w:rsid w:val="003E7CF3"/>
    <w:rsid w:val="003E7EB7"/>
    <w:rsid w:val="003F018C"/>
    <w:rsid w:val="003F068A"/>
    <w:rsid w:val="003F0CA8"/>
    <w:rsid w:val="003F134B"/>
    <w:rsid w:val="003F17A7"/>
    <w:rsid w:val="003F19E1"/>
    <w:rsid w:val="003F1B91"/>
    <w:rsid w:val="003F1C48"/>
    <w:rsid w:val="003F1F93"/>
    <w:rsid w:val="003F20A0"/>
    <w:rsid w:val="003F21C4"/>
    <w:rsid w:val="003F2A8B"/>
    <w:rsid w:val="003F2DF5"/>
    <w:rsid w:val="003F2EC1"/>
    <w:rsid w:val="003F33C1"/>
    <w:rsid w:val="003F3CF2"/>
    <w:rsid w:val="003F45AC"/>
    <w:rsid w:val="003F4B73"/>
    <w:rsid w:val="003F4FAA"/>
    <w:rsid w:val="003F5033"/>
    <w:rsid w:val="003F51F4"/>
    <w:rsid w:val="003F52C6"/>
    <w:rsid w:val="003F54E5"/>
    <w:rsid w:val="003F558E"/>
    <w:rsid w:val="003F5673"/>
    <w:rsid w:val="003F5C0C"/>
    <w:rsid w:val="003F6692"/>
    <w:rsid w:val="003F683A"/>
    <w:rsid w:val="003F6A2E"/>
    <w:rsid w:val="003F723C"/>
    <w:rsid w:val="003F7285"/>
    <w:rsid w:val="003F74E3"/>
    <w:rsid w:val="003F76B1"/>
    <w:rsid w:val="003F77B3"/>
    <w:rsid w:val="003F7B70"/>
    <w:rsid w:val="004007FF"/>
    <w:rsid w:val="00400E63"/>
    <w:rsid w:val="00400F8F"/>
    <w:rsid w:val="0040126F"/>
    <w:rsid w:val="004012F8"/>
    <w:rsid w:val="00401733"/>
    <w:rsid w:val="00402F37"/>
    <w:rsid w:val="00403056"/>
    <w:rsid w:val="00403501"/>
    <w:rsid w:val="0040377C"/>
    <w:rsid w:val="004037AD"/>
    <w:rsid w:val="00403D6E"/>
    <w:rsid w:val="00403F84"/>
    <w:rsid w:val="00404019"/>
    <w:rsid w:val="00404050"/>
    <w:rsid w:val="00404155"/>
    <w:rsid w:val="00404859"/>
    <w:rsid w:val="00404998"/>
    <w:rsid w:val="00404C7A"/>
    <w:rsid w:val="00405083"/>
    <w:rsid w:val="00405AA2"/>
    <w:rsid w:val="00405E03"/>
    <w:rsid w:val="00406194"/>
    <w:rsid w:val="00407246"/>
    <w:rsid w:val="004077D8"/>
    <w:rsid w:val="00407AC0"/>
    <w:rsid w:val="00410E5A"/>
    <w:rsid w:val="00411024"/>
    <w:rsid w:val="00411814"/>
    <w:rsid w:val="004118D4"/>
    <w:rsid w:val="004121C0"/>
    <w:rsid w:val="00412BDA"/>
    <w:rsid w:val="00412CBA"/>
    <w:rsid w:val="00412E30"/>
    <w:rsid w:val="00413B67"/>
    <w:rsid w:val="00413BEB"/>
    <w:rsid w:val="00413E9D"/>
    <w:rsid w:val="00413FA9"/>
    <w:rsid w:val="004142FF"/>
    <w:rsid w:val="004143F7"/>
    <w:rsid w:val="00414752"/>
    <w:rsid w:val="00414907"/>
    <w:rsid w:val="00414F42"/>
    <w:rsid w:val="00415341"/>
    <w:rsid w:val="004158F5"/>
    <w:rsid w:val="00415B78"/>
    <w:rsid w:val="00415E2B"/>
    <w:rsid w:val="00416041"/>
    <w:rsid w:val="0041665C"/>
    <w:rsid w:val="004166BD"/>
    <w:rsid w:val="00416724"/>
    <w:rsid w:val="004169A6"/>
    <w:rsid w:val="004170AF"/>
    <w:rsid w:val="00417228"/>
    <w:rsid w:val="004173B4"/>
    <w:rsid w:val="00417DE8"/>
    <w:rsid w:val="0042057D"/>
    <w:rsid w:val="004206A4"/>
    <w:rsid w:val="00421583"/>
    <w:rsid w:val="004215AB"/>
    <w:rsid w:val="00421861"/>
    <w:rsid w:val="0042189B"/>
    <w:rsid w:val="004222F5"/>
    <w:rsid w:val="00422309"/>
    <w:rsid w:val="00422AA9"/>
    <w:rsid w:val="00422C55"/>
    <w:rsid w:val="00422F58"/>
    <w:rsid w:val="00423004"/>
    <w:rsid w:val="004232A6"/>
    <w:rsid w:val="00423830"/>
    <w:rsid w:val="00423E40"/>
    <w:rsid w:val="0042431A"/>
    <w:rsid w:val="004248CC"/>
    <w:rsid w:val="004249FA"/>
    <w:rsid w:val="00425457"/>
    <w:rsid w:val="00425698"/>
    <w:rsid w:val="00425B5A"/>
    <w:rsid w:val="00425ED2"/>
    <w:rsid w:val="004263AE"/>
    <w:rsid w:val="00426C84"/>
    <w:rsid w:val="004272E4"/>
    <w:rsid w:val="00427BEA"/>
    <w:rsid w:val="00430AB5"/>
    <w:rsid w:val="00430BC5"/>
    <w:rsid w:val="004310F4"/>
    <w:rsid w:val="00431111"/>
    <w:rsid w:val="00431C4F"/>
    <w:rsid w:val="00431F67"/>
    <w:rsid w:val="00432BB7"/>
    <w:rsid w:val="00432F2F"/>
    <w:rsid w:val="004331E9"/>
    <w:rsid w:val="0043390D"/>
    <w:rsid w:val="00433E8D"/>
    <w:rsid w:val="00433FAA"/>
    <w:rsid w:val="00434437"/>
    <w:rsid w:val="004346C9"/>
    <w:rsid w:val="004347D4"/>
    <w:rsid w:val="00434A60"/>
    <w:rsid w:val="00434D53"/>
    <w:rsid w:val="00434E88"/>
    <w:rsid w:val="004353EF"/>
    <w:rsid w:val="0043541B"/>
    <w:rsid w:val="0043559E"/>
    <w:rsid w:val="0043592C"/>
    <w:rsid w:val="00435F1D"/>
    <w:rsid w:val="00436062"/>
    <w:rsid w:val="00436139"/>
    <w:rsid w:val="00436217"/>
    <w:rsid w:val="00436345"/>
    <w:rsid w:val="00436380"/>
    <w:rsid w:val="00436430"/>
    <w:rsid w:val="00436F2F"/>
    <w:rsid w:val="00437967"/>
    <w:rsid w:val="00437F74"/>
    <w:rsid w:val="0044061D"/>
    <w:rsid w:val="00440626"/>
    <w:rsid w:val="004411B9"/>
    <w:rsid w:val="00441207"/>
    <w:rsid w:val="00441462"/>
    <w:rsid w:val="00441E91"/>
    <w:rsid w:val="00441FEE"/>
    <w:rsid w:val="004422CA"/>
    <w:rsid w:val="0044266F"/>
    <w:rsid w:val="00442EFB"/>
    <w:rsid w:val="00442FAD"/>
    <w:rsid w:val="00443807"/>
    <w:rsid w:val="00443A1C"/>
    <w:rsid w:val="00443F03"/>
    <w:rsid w:val="004443E1"/>
    <w:rsid w:val="00444710"/>
    <w:rsid w:val="004449AC"/>
    <w:rsid w:val="00444CB0"/>
    <w:rsid w:val="0044506F"/>
    <w:rsid w:val="0044555D"/>
    <w:rsid w:val="00445D5A"/>
    <w:rsid w:val="00445D76"/>
    <w:rsid w:val="004462F7"/>
    <w:rsid w:val="0044636A"/>
    <w:rsid w:val="00447347"/>
    <w:rsid w:val="00447A90"/>
    <w:rsid w:val="00447F08"/>
    <w:rsid w:val="0045041B"/>
    <w:rsid w:val="004505EB"/>
    <w:rsid w:val="00451116"/>
    <w:rsid w:val="004515CF"/>
    <w:rsid w:val="00451656"/>
    <w:rsid w:val="0045171E"/>
    <w:rsid w:val="00451C12"/>
    <w:rsid w:val="004522B0"/>
    <w:rsid w:val="00453809"/>
    <w:rsid w:val="00453C7E"/>
    <w:rsid w:val="00454835"/>
    <w:rsid w:val="004548B6"/>
    <w:rsid w:val="00454C06"/>
    <w:rsid w:val="00454F06"/>
    <w:rsid w:val="004550AC"/>
    <w:rsid w:val="0045554B"/>
    <w:rsid w:val="00455AAF"/>
    <w:rsid w:val="00455C2C"/>
    <w:rsid w:val="0045650D"/>
    <w:rsid w:val="0045691C"/>
    <w:rsid w:val="00456B54"/>
    <w:rsid w:val="0045709D"/>
    <w:rsid w:val="0045716C"/>
    <w:rsid w:val="00457E6A"/>
    <w:rsid w:val="00457EFD"/>
    <w:rsid w:val="0046019D"/>
    <w:rsid w:val="00460250"/>
    <w:rsid w:val="00460CC2"/>
    <w:rsid w:val="00461C9F"/>
    <w:rsid w:val="00461F55"/>
    <w:rsid w:val="004623FA"/>
    <w:rsid w:val="00462431"/>
    <w:rsid w:val="004626FF"/>
    <w:rsid w:val="00464536"/>
    <w:rsid w:val="00464790"/>
    <w:rsid w:val="00464FF2"/>
    <w:rsid w:val="0046514E"/>
    <w:rsid w:val="0046532C"/>
    <w:rsid w:val="0046623C"/>
    <w:rsid w:val="0046686A"/>
    <w:rsid w:val="00466A11"/>
    <w:rsid w:val="00466F96"/>
    <w:rsid w:val="0046744A"/>
    <w:rsid w:val="00467739"/>
    <w:rsid w:val="004703BD"/>
    <w:rsid w:val="004705D8"/>
    <w:rsid w:val="00470D0C"/>
    <w:rsid w:val="00470F3C"/>
    <w:rsid w:val="0047104F"/>
    <w:rsid w:val="00471632"/>
    <w:rsid w:val="00471900"/>
    <w:rsid w:val="00471D6B"/>
    <w:rsid w:val="00472BC5"/>
    <w:rsid w:val="00472E12"/>
    <w:rsid w:val="00473B75"/>
    <w:rsid w:val="00474104"/>
    <w:rsid w:val="00474150"/>
    <w:rsid w:val="00474E22"/>
    <w:rsid w:val="00475022"/>
    <w:rsid w:val="004750E9"/>
    <w:rsid w:val="00475D86"/>
    <w:rsid w:val="0047608F"/>
    <w:rsid w:val="004762EF"/>
    <w:rsid w:val="004763FD"/>
    <w:rsid w:val="00476554"/>
    <w:rsid w:val="0047672A"/>
    <w:rsid w:val="004769F6"/>
    <w:rsid w:val="004770D4"/>
    <w:rsid w:val="0047739F"/>
    <w:rsid w:val="0047758F"/>
    <w:rsid w:val="004776EC"/>
    <w:rsid w:val="0047798B"/>
    <w:rsid w:val="00477EDE"/>
    <w:rsid w:val="004813D4"/>
    <w:rsid w:val="004821A1"/>
    <w:rsid w:val="004823A3"/>
    <w:rsid w:val="004823DE"/>
    <w:rsid w:val="004824CF"/>
    <w:rsid w:val="00482A39"/>
    <w:rsid w:val="00482B78"/>
    <w:rsid w:val="00482DB7"/>
    <w:rsid w:val="00482DF7"/>
    <w:rsid w:val="004830B7"/>
    <w:rsid w:val="0048493F"/>
    <w:rsid w:val="00484D63"/>
    <w:rsid w:val="00485023"/>
    <w:rsid w:val="00485132"/>
    <w:rsid w:val="0048613A"/>
    <w:rsid w:val="004864B3"/>
    <w:rsid w:val="00486BF6"/>
    <w:rsid w:val="004875B9"/>
    <w:rsid w:val="004875D5"/>
    <w:rsid w:val="0049004B"/>
    <w:rsid w:val="00490054"/>
    <w:rsid w:val="00490093"/>
    <w:rsid w:val="00490FFE"/>
    <w:rsid w:val="004912CE"/>
    <w:rsid w:val="0049166E"/>
    <w:rsid w:val="00491A3E"/>
    <w:rsid w:val="00491D91"/>
    <w:rsid w:val="004921F3"/>
    <w:rsid w:val="004922E1"/>
    <w:rsid w:val="00492754"/>
    <w:rsid w:val="00492C28"/>
    <w:rsid w:val="00492D8F"/>
    <w:rsid w:val="00492DCE"/>
    <w:rsid w:val="00493355"/>
    <w:rsid w:val="00493D27"/>
    <w:rsid w:val="004943A4"/>
    <w:rsid w:val="004944DB"/>
    <w:rsid w:val="0049489D"/>
    <w:rsid w:val="00494916"/>
    <w:rsid w:val="004951BC"/>
    <w:rsid w:val="00495421"/>
    <w:rsid w:val="0049580C"/>
    <w:rsid w:val="0049598A"/>
    <w:rsid w:val="00495AC6"/>
    <w:rsid w:val="004960C3"/>
    <w:rsid w:val="004963EA"/>
    <w:rsid w:val="00496874"/>
    <w:rsid w:val="00496A58"/>
    <w:rsid w:val="00496BF5"/>
    <w:rsid w:val="00496CF9"/>
    <w:rsid w:val="00496E5A"/>
    <w:rsid w:val="0049768F"/>
    <w:rsid w:val="00497D74"/>
    <w:rsid w:val="00497EFB"/>
    <w:rsid w:val="004A00AF"/>
    <w:rsid w:val="004A04E5"/>
    <w:rsid w:val="004A0768"/>
    <w:rsid w:val="004A0EA4"/>
    <w:rsid w:val="004A1495"/>
    <w:rsid w:val="004A14BC"/>
    <w:rsid w:val="004A15B2"/>
    <w:rsid w:val="004A167D"/>
    <w:rsid w:val="004A17BE"/>
    <w:rsid w:val="004A1C78"/>
    <w:rsid w:val="004A2089"/>
    <w:rsid w:val="004A2105"/>
    <w:rsid w:val="004A212F"/>
    <w:rsid w:val="004A2165"/>
    <w:rsid w:val="004A2B4F"/>
    <w:rsid w:val="004A38A4"/>
    <w:rsid w:val="004A3E61"/>
    <w:rsid w:val="004A3F91"/>
    <w:rsid w:val="004A46FA"/>
    <w:rsid w:val="004A4993"/>
    <w:rsid w:val="004A4C41"/>
    <w:rsid w:val="004A4DCA"/>
    <w:rsid w:val="004A5084"/>
    <w:rsid w:val="004A5256"/>
    <w:rsid w:val="004A566E"/>
    <w:rsid w:val="004A5F74"/>
    <w:rsid w:val="004A6063"/>
    <w:rsid w:val="004A6212"/>
    <w:rsid w:val="004A67D7"/>
    <w:rsid w:val="004A6C0A"/>
    <w:rsid w:val="004A7373"/>
    <w:rsid w:val="004B0043"/>
    <w:rsid w:val="004B021D"/>
    <w:rsid w:val="004B04B7"/>
    <w:rsid w:val="004B0B54"/>
    <w:rsid w:val="004B0C65"/>
    <w:rsid w:val="004B1052"/>
    <w:rsid w:val="004B17B5"/>
    <w:rsid w:val="004B28F9"/>
    <w:rsid w:val="004B35AF"/>
    <w:rsid w:val="004B38CE"/>
    <w:rsid w:val="004B3E32"/>
    <w:rsid w:val="004B3F02"/>
    <w:rsid w:val="004B5366"/>
    <w:rsid w:val="004B5A1F"/>
    <w:rsid w:val="004B5F4A"/>
    <w:rsid w:val="004B604A"/>
    <w:rsid w:val="004B6A8C"/>
    <w:rsid w:val="004B6B14"/>
    <w:rsid w:val="004B7C5F"/>
    <w:rsid w:val="004C07BB"/>
    <w:rsid w:val="004C08E7"/>
    <w:rsid w:val="004C0FC8"/>
    <w:rsid w:val="004C1A65"/>
    <w:rsid w:val="004C1CE8"/>
    <w:rsid w:val="004C2526"/>
    <w:rsid w:val="004C28ED"/>
    <w:rsid w:val="004C3390"/>
    <w:rsid w:val="004C44E9"/>
    <w:rsid w:val="004C4E4F"/>
    <w:rsid w:val="004C5088"/>
    <w:rsid w:val="004C516F"/>
    <w:rsid w:val="004C5995"/>
    <w:rsid w:val="004C6198"/>
    <w:rsid w:val="004C650A"/>
    <w:rsid w:val="004C68A0"/>
    <w:rsid w:val="004C692A"/>
    <w:rsid w:val="004C717A"/>
    <w:rsid w:val="004C748A"/>
    <w:rsid w:val="004C7842"/>
    <w:rsid w:val="004C7B23"/>
    <w:rsid w:val="004C7CFE"/>
    <w:rsid w:val="004D035C"/>
    <w:rsid w:val="004D0EB9"/>
    <w:rsid w:val="004D1201"/>
    <w:rsid w:val="004D1313"/>
    <w:rsid w:val="004D17EA"/>
    <w:rsid w:val="004D1D82"/>
    <w:rsid w:val="004D1D85"/>
    <w:rsid w:val="004D2451"/>
    <w:rsid w:val="004D2D46"/>
    <w:rsid w:val="004D2E4E"/>
    <w:rsid w:val="004D2E50"/>
    <w:rsid w:val="004D3590"/>
    <w:rsid w:val="004D35BD"/>
    <w:rsid w:val="004D3A9D"/>
    <w:rsid w:val="004D4277"/>
    <w:rsid w:val="004D4C2B"/>
    <w:rsid w:val="004D4CB2"/>
    <w:rsid w:val="004D5837"/>
    <w:rsid w:val="004D5EDC"/>
    <w:rsid w:val="004D60F8"/>
    <w:rsid w:val="004D6153"/>
    <w:rsid w:val="004D6732"/>
    <w:rsid w:val="004D6AC4"/>
    <w:rsid w:val="004D7316"/>
    <w:rsid w:val="004D7771"/>
    <w:rsid w:val="004E02AB"/>
    <w:rsid w:val="004E08AB"/>
    <w:rsid w:val="004E09E9"/>
    <w:rsid w:val="004E0C01"/>
    <w:rsid w:val="004E20B2"/>
    <w:rsid w:val="004E248A"/>
    <w:rsid w:val="004E2497"/>
    <w:rsid w:val="004E27AF"/>
    <w:rsid w:val="004E2F87"/>
    <w:rsid w:val="004E3C56"/>
    <w:rsid w:val="004E42DA"/>
    <w:rsid w:val="004E4328"/>
    <w:rsid w:val="004E4662"/>
    <w:rsid w:val="004E47EC"/>
    <w:rsid w:val="004E4B84"/>
    <w:rsid w:val="004E514F"/>
    <w:rsid w:val="004E5441"/>
    <w:rsid w:val="004E6D0A"/>
    <w:rsid w:val="004E6D2A"/>
    <w:rsid w:val="004E6E06"/>
    <w:rsid w:val="004E6EF3"/>
    <w:rsid w:val="004E7038"/>
    <w:rsid w:val="004E737F"/>
    <w:rsid w:val="004E73FD"/>
    <w:rsid w:val="004E7782"/>
    <w:rsid w:val="004E7944"/>
    <w:rsid w:val="004E7D5B"/>
    <w:rsid w:val="004F01A3"/>
    <w:rsid w:val="004F03DE"/>
    <w:rsid w:val="004F0F16"/>
    <w:rsid w:val="004F1674"/>
    <w:rsid w:val="004F22DA"/>
    <w:rsid w:val="004F2512"/>
    <w:rsid w:val="004F2521"/>
    <w:rsid w:val="004F29CB"/>
    <w:rsid w:val="004F2AF9"/>
    <w:rsid w:val="004F2B86"/>
    <w:rsid w:val="004F2C30"/>
    <w:rsid w:val="004F2C6A"/>
    <w:rsid w:val="004F2D4C"/>
    <w:rsid w:val="004F315C"/>
    <w:rsid w:val="004F3A0F"/>
    <w:rsid w:val="004F40C9"/>
    <w:rsid w:val="004F420D"/>
    <w:rsid w:val="004F438C"/>
    <w:rsid w:val="004F442A"/>
    <w:rsid w:val="004F4640"/>
    <w:rsid w:val="004F5715"/>
    <w:rsid w:val="004F58F8"/>
    <w:rsid w:val="004F5E09"/>
    <w:rsid w:val="004F5E7A"/>
    <w:rsid w:val="004F61F4"/>
    <w:rsid w:val="004F6B1C"/>
    <w:rsid w:val="004F760D"/>
    <w:rsid w:val="0050002D"/>
    <w:rsid w:val="00500141"/>
    <w:rsid w:val="00500C5A"/>
    <w:rsid w:val="00500E33"/>
    <w:rsid w:val="005010E2"/>
    <w:rsid w:val="005012B3"/>
    <w:rsid w:val="00501ECF"/>
    <w:rsid w:val="00502165"/>
    <w:rsid w:val="00502432"/>
    <w:rsid w:val="005031DD"/>
    <w:rsid w:val="00503B58"/>
    <w:rsid w:val="00503FCD"/>
    <w:rsid w:val="005047C6"/>
    <w:rsid w:val="00504834"/>
    <w:rsid w:val="00504B4E"/>
    <w:rsid w:val="00504C7A"/>
    <w:rsid w:val="0050520C"/>
    <w:rsid w:val="00505489"/>
    <w:rsid w:val="00505AEE"/>
    <w:rsid w:val="00505C62"/>
    <w:rsid w:val="00505E50"/>
    <w:rsid w:val="005060D7"/>
    <w:rsid w:val="0050632E"/>
    <w:rsid w:val="0050671F"/>
    <w:rsid w:val="00506A1B"/>
    <w:rsid w:val="00506CD3"/>
    <w:rsid w:val="00506D07"/>
    <w:rsid w:val="005072F1"/>
    <w:rsid w:val="00507355"/>
    <w:rsid w:val="00507512"/>
    <w:rsid w:val="0050752D"/>
    <w:rsid w:val="00510F99"/>
    <w:rsid w:val="00511272"/>
    <w:rsid w:val="005112D9"/>
    <w:rsid w:val="0051132E"/>
    <w:rsid w:val="00511EF3"/>
    <w:rsid w:val="00512411"/>
    <w:rsid w:val="00512540"/>
    <w:rsid w:val="0051266A"/>
    <w:rsid w:val="00512B89"/>
    <w:rsid w:val="00512F20"/>
    <w:rsid w:val="005131A5"/>
    <w:rsid w:val="00513441"/>
    <w:rsid w:val="00513574"/>
    <w:rsid w:val="00513598"/>
    <w:rsid w:val="0051380C"/>
    <w:rsid w:val="005138FD"/>
    <w:rsid w:val="00513C84"/>
    <w:rsid w:val="00514507"/>
    <w:rsid w:val="00514597"/>
    <w:rsid w:val="005148C2"/>
    <w:rsid w:val="005153F5"/>
    <w:rsid w:val="00515D75"/>
    <w:rsid w:val="0051664D"/>
    <w:rsid w:val="0051670B"/>
    <w:rsid w:val="0051699C"/>
    <w:rsid w:val="00516F9D"/>
    <w:rsid w:val="005170BA"/>
    <w:rsid w:val="005176C9"/>
    <w:rsid w:val="00520711"/>
    <w:rsid w:val="00520DD2"/>
    <w:rsid w:val="00520E08"/>
    <w:rsid w:val="00521002"/>
    <w:rsid w:val="00521350"/>
    <w:rsid w:val="005213F7"/>
    <w:rsid w:val="005214EA"/>
    <w:rsid w:val="00522186"/>
    <w:rsid w:val="005221FE"/>
    <w:rsid w:val="00522CFD"/>
    <w:rsid w:val="0052466F"/>
    <w:rsid w:val="005251E1"/>
    <w:rsid w:val="00525830"/>
    <w:rsid w:val="00525849"/>
    <w:rsid w:val="00525C6E"/>
    <w:rsid w:val="00525DDA"/>
    <w:rsid w:val="00526208"/>
    <w:rsid w:val="00526381"/>
    <w:rsid w:val="0052640D"/>
    <w:rsid w:val="005268BA"/>
    <w:rsid w:val="005269E6"/>
    <w:rsid w:val="00526E71"/>
    <w:rsid w:val="00527844"/>
    <w:rsid w:val="00530379"/>
    <w:rsid w:val="00530AF6"/>
    <w:rsid w:val="00530B8E"/>
    <w:rsid w:val="00530BFA"/>
    <w:rsid w:val="00530EE7"/>
    <w:rsid w:val="0053112A"/>
    <w:rsid w:val="00531E27"/>
    <w:rsid w:val="0053205C"/>
    <w:rsid w:val="00532168"/>
    <w:rsid w:val="00532271"/>
    <w:rsid w:val="0053247C"/>
    <w:rsid w:val="0053364E"/>
    <w:rsid w:val="00533B6E"/>
    <w:rsid w:val="0053400C"/>
    <w:rsid w:val="005346A9"/>
    <w:rsid w:val="0053471B"/>
    <w:rsid w:val="00534A7E"/>
    <w:rsid w:val="00534D85"/>
    <w:rsid w:val="005351B9"/>
    <w:rsid w:val="005355D3"/>
    <w:rsid w:val="00535C84"/>
    <w:rsid w:val="00536011"/>
    <w:rsid w:val="0053705B"/>
    <w:rsid w:val="005370F1"/>
    <w:rsid w:val="00537A31"/>
    <w:rsid w:val="00537F9D"/>
    <w:rsid w:val="00540404"/>
    <w:rsid w:val="0054081E"/>
    <w:rsid w:val="00540B0F"/>
    <w:rsid w:val="00540D66"/>
    <w:rsid w:val="00540D7B"/>
    <w:rsid w:val="00540DAC"/>
    <w:rsid w:val="00542BD6"/>
    <w:rsid w:val="00542ED1"/>
    <w:rsid w:val="00543C89"/>
    <w:rsid w:val="00543E5B"/>
    <w:rsid w:val="0054498C"/>
    <w:rsid w:val="005451A6"/>
    <w:rsid w:val="0054558C"/>
    <w:rsid w:val="00545770"/>
    <w:rsid w:val="00545802"/>
    <w:rsid w:val="005461BC"/>
    <w:rsid w:val="005466D1"/>
    <w:rsid w:val="00546C59"/>
    <w:rsid w:val="00546D1F"/>
    <w:rsid w:val="00546F26"/>
    <w:rsid w:val="00546F58"/>
    <w:rsid w:val="00547376"/>
    <w:rsid w:val="00547606"/>
    <w:rsid w:val="0054794B"/>
    <w:rsid w:val="00547A90"/>
    <w:rsid w:val="00550072"/>
    <w:rsid w:val="005500C7"/>
    <w:rsid w:val="005501C9"/>
    <w:rsid w:val="00550B55"/>
    <w:rsid w:val="00550B79"/>
    <w:rsid w:val="00550FD5"/>
    <w:rsid w:val="00551446"/>
    <w:rsid w:val="00551506"/>
    <w:rsid w:val="0055150B"/>
    <w:rsid w:val="0055193B"/>
    <w:rsid w:val="005519A7"/>
    <w:rsid w:val="0055205F"/>
    <w:rsid w:val="00552672"/>
    <w:rsid w:val="0055315B"/>
    <w:rsid w:val="005532F9"/>
    <w:rsid w:val="00553CBB"/>
    <w:rsid w:val="005543B4"/>
    <w:rsid w:val="0055440B"/>
    <w:rsid w:val="00554CCF"/>
    <w:rsid w:val="00555595"/>
    <w:rsid w:val="005556EC"/>
    <w:rsid w:val="00555F40"/>
    <w:rsid w:val="00555FCE"/>
    <w:rsid w:val="0055680E"/>
    <w:rsid w:val="00556A77"/>
    <w:rsid w:val="0055708D"/>
    <w:rsid w:val="005572BA"/>
    <w:rsid w:val="00557A3A"/>
    <w:rsid w:val="00557A7D"/>
    <w:rsid w:val="00557C37"/>
    <w:rsid w:val="00557CFC"/>
    <w:rsid w:val="00557E1D"/>
    <w:rsid w:val="005606C3"/>
    <w:rsid w:val="005609A2"/>
    <w:rsid w:val="00560BD7"/>
    <w:rsid w:val="00561AE8"/>
    <w:rsid w:val="00561CA6"/>
    <w:rsid w:val="00562087"/>
    <w:rsid w:val="005624BD"/>
    <w:rsid w:val="00562E45"/>
    <w:rsid w:val="00562F8A"/>
    <w:rsid w:val="00563103"/>
    <w:rsid w:val="00563649"/>
    <w:rsid w:val="00563A02"/>
    <w:rsid w:val="00563F27"/>
    <w:rsid w:val="005642F3"/>
    <w:rsid w:val="00564300"/>
    <w:rsid w:val="00564565"/>
    <w:rsid w:val="0056462F"/>
    <w:rsid w:val="005647BE"/>
    <w:rsid w:val="00564A12"/>
    <w:rsid w:val="00565EE0"/>
    <w:rsid w:val="00565FD3"/>
    <w:rsid w:val="00566299"/>
    <w:rsid w:val="00566BF6"/>
    <w:rsid w:val="00566EE4"/>
    <w:rsid w:val="005673AF"/>
    <w:rsid w:val="00567695"/>
    <w:rsid w:val="0057127D"/>
    <w:rsid w:val="00571B4B"/>
    <w:rsid w:val="005722F6"/>
    <w:rsid w:val="005725F6"/>
    <w:rsid w:val="005727F7"/>
    <w:rsid w:val="00573A76"/>
    <w:rsid w:val="005742B6"/>
    <w:rsid w:val="00574453"/>
    <w:rsid w:val="005746E9"/>
    <w:rsid w:val="005749CC"/>
    <w:rsid w:val="00574BC0"/>
    <w:rsid w:val="00574DB8"/>
    <w:rsid w:val="00575000"/>
    <w:rsid w:val="005778AA"/>
    <w:rsid w:val="005802AF"/>
    <w:rsid w:val="00580308"/>
    <w:rsid w:val="00580DFA"/>
    <w:rsid w:val="00580E74"/>
    <w:rsid w:val="00582976"/>
    <w:rsid w:val="005829DD"/>
    <w:rsid w:val="0058385C"/>
    <w:rsid w:val="00583C85"/>
    <w:rsid w:val="00584CF8"/>
    <w:rsid w:val="00584E2D"/>
    <w:rsid w:val="005854FF"/>
    <w:rsid w:val="005856D6"/>
    <w:rsid w:val="005856FE"/>
    <w:rsid w:val="005867DF"/>
    <w:rsid w:val="00586817"/>
    <w:rsid w:val="00586A4E"/>
    <w:rsid w:val="00586D92"/>
    <w:rsid w:val="00586EB2"/>
    <w:rsid w:val="00586FB7"/>
    <w:rsid w:val="00586FD5"/>
    <w:rsid w:val="0058715E"/>
    <w:rsid w:val="00587244"/>
    <w:rsid w:val="00587260"/>
    <w:rsid w:val="00587507"/>
    <w:rsid w:val="00587FE0"/>
    <w:rsid w:val="005900C9"/>
    <w:rsid w:val="00590184"/>
    <w:rsid w:val="005904F0"/>
    <w:rsid w:val="00590FF6"/>
    <w:rsid w:val="00591226"/>
    <w:rsid w:val="00591475"/>
    <w:rsid w:val="00592686"/>
    <w:rsid w:val="00592B10"/>
    <w:rsid w:val="0059325A"/>
    <w:rsid w:val="00593755"/>
    <w:rsid w:val="00594294"/>
    <w:rsid w:val="00594479"/>
    <w:rsid w:val="00594B94"/>
    <w:rsid w:val="0059500F"/>
    <w:rsid w:val="00595745"/>
    <w:rsid w:val="00595CDA"/>
    <w:rsid w:val="00595D46"/>
    <w:rsid w:val="005964E0"/>
    <w:rsid w:val="00596A0B"/>
    <w:rsid w:val="00596AAA"/>
    <w:rsid w:val="00596D7F"/>
    <w:rsid w:val="00596E05"/>
    <w:rsid w:val="00596F85"/>
    <w:rsid w:val="005970FA"/>
    <w:rsid w:val="005A0117"/>
    <w:rsid w:val="005A0176"/>
    <w:rsid w:val="005A088E"/>
    <w:rsid w:val="005A1097"/>
    <w:rsid w:val="005A139C"/>
    <w:rsid w:val="005A174F"/>
    <w:rsid w:val="005A1C76"/>
    <w:rsid w:val="005A2298"/>
    <w:rsid w:val="005A28C1"/>
    <w:rsid w:val="005A2950"/>
    <w:rsid w:val="005A3309"/>
    <w:rsid w:val="005A3AEF"/>
    <w:rsid w:val="005A426F"/>
    <w:rsid w:val="005A42EA"/>
    <w:rsid w:val="005A4583"/>
    <w:rsid w:val="005A469F"/>
    <w:rsid w:val="005A5587"/>
    <w:rsid w:val="005A57F0"/>
    <w:rsid w:val="005A5EC9"/>
    <w:rsid w:val="005A6033"/>
    <w:rsid w:val="005A6A38"/>
    <w:rsid w:val="005A7001"/>
    <w:rsid w:val="005A72DB"/>
    <w:rsid w:val="005A72FC"/>
    <w:rsid w:val="005A7537"/>
    <w:rsid w:val="005A7937"/>
    <w:rsid w:val="005A7B85"/>
    <w:rsid w:val="005B0115"/>
    <w:rsid w:val="005B0388"/>
    <w:rsid w:val="005B066D"/>
    <w:rsid w:val="005B0C34"/>
    <w:rsid w:val="005B0D19"/>
    <w:rsid w:val="005B109A"/>
    <w:rsid w:val="005B197F"/>
    <w:rsid w:val="005B28C5"/>
    <w:rsid w:val="005B2B60"/>
    <w:rsid w:val="005B2DB6"/>
    <w:rsid w:val="005B367F"/>
    <w:rsid w:val="005B36EF"/>
    <w:rsid w:val="005B41E2"/>
    <w:rsid w:val="005B4219"/>
    <w:rsid w:val="005B4891"/>
    <w:rsid w:val="005B536B"/>
    <w:rsid w:val="005B53AF"/>
    <w:rsid w:val="005B55F4"/>
    <w:rsid w:val="005B5D1F"/>
    <w:rsid w:val="005B6E15"/>
    <w:rsid w:val="005B7567"/>
    <w:rsid w:val="005B75D1"/>
    <w:rsid w:val="005C04BB"/>
    <w:rsid w:val="005C0532"/>
    <w:rsid w:val="005C0948"/>
    <w:rsid w:val="005C0A3A"/>
    <w:rsid w:val="005C1618"/>
    <w:rsid w:val="005C1BBA"/>
    <w:rsid w:val="005C1FB0"/>
    <w:rsid w:val="005C2E4A"/>
    <w:rsid w:val="005C2FD5"/>
    <w:rsid w:val="005C30ED"/>
    <w:rsid w:val="005C31EB"/>
    <w:rsid w:val="005C399D"/>
    <w:rsid w:val="005C3CA7"/>
    <w:rsid w:val="005C3F5A"/>
    <w:rsid w:val="005C4EFD"/>
    <w:rsid w:val="005C50A8"/>
    <w:rsid w:val="005C525C"/>
    <w:rsid w:val="005C5378"/>
    <w:rsid w:val="005C5388"/>
    <w:rsid w:val="005C6431"/>
    <w:rsid w:val="005C64D0"/>
    <w:rsid w:val="005C6703"/>
    <w:rsid w:val="005C67DE"/>
    <w:rsid w:val="005C6AF6"/>
    <w:rsid w:val="005C72F0"/>
    <w:rsid w:val="005C7976"/>
    <w:rsid w:val="005D1063"/>
    <w:rsid w:val="005D15C0"/>
    <w:rsid w:val="005D161F"/>
    <w:rsid w:val="005D1ACD"/>
    <w:rsid w:val="005D22DB"/>
    <w:rsid w:val="005D2AB9"/>
    <w:rsid w:val="005D2DCB"/>
    <w:rsid w:val="005D2E4F"/>
    <w:rsid w:val="005D3097"/>
    <w:rsid w:val="005D30B3"/>
    <w:rsid w:val="005D34E2"/>
    <w:rsid w:val="005D38D3"/>
    <w:rsid w:val="005D3B15"/>
    <w:rsid w:val="005D4933"/>
    <w:rsid w:val="005D496E"/>
    <w:rsid w:val="005D4B0B"/>
    <w:rsid w:val="005D4CDC"/>
    <w:rsid w:val="005D56DA"/>
    <w:rsid w:val="005D5E97"/>
    <w:rsid w:val="005D5EDC"/>
    <w:rsid w:val="005D5F48"/>
    <w:rsid w:val="005D61A3"/>
    <w:rsid w:val="005D76F2"/>
    <w:rsid w:val="005D7C20"/>
    <w:rsid w:val="005E016E"/>
    <w:rsid w:val="005E03EA"/>
    <w:rsid w:val="005E04E9"/>
    <w:rsid w:val="005E0C1B"/>
    <w:rsid w:val="005E0DCB"/>
    <w:rsid w:val="005E17B4"/>
    <w:rsid w:val="005E19AF"/>
    <w:rsid w:val="005E208C"/>
    <w:rsid w:val="005E20C5"/>
    <w:rsid w:val="005E28DB"/>
    <w:rsid w:val="005E2EDE"/>
    <w:rsid w:val="005E4628"/>
    <w:rsid w:val="005E47FB"/>
    <w:rsid w:val="005E49A6"/>
    <w:rsid w:val="005E4A95"/>
    <w:rsid w:val="005E5108"/>
    <w:rsid w:val="005E5345"/>
    <w:rsid w:val="005E5618"/>
    <w:rsid w:val="005E590A"/>
    <w:rsid w:val="005E5E87"/>
    <w:rsid w:val="005E656A"/>
    <w:rsid w:val="005E6960"/>
    <w:rsid w:val="005E6D97"/>
    <w:rsid w:val="005E6DE3"/>
    <w:rsid w:val="005E6E51"/>
    <w:rsid w:val="005E75AB"/>
    <w:rsid w:val="005E7610"/>
    <w:rsid w:val="005E78F3"/>
    <w:rsid w:val="005E7D93"/>
    <w:rsid w:val="005E7EB8"/>
    <w:rsid w:val="005F00E5"/>
    <w:rsid w:val="005F011E"/>
    <w:rsid w:val="005F04B3"/>
    <w:rsid w:val="005F0801"/>
    <w:rsid w:val="005F0BE0"/>
    <w:rsid w:val="005F110E"/>
    <w:rsid w:val="005F149B"/>
    <w:rsid w:val="005F1577"/>
    <w:rsid w:val="005F184F"/>
    <w:rsid w:val="005F18D6"/>
    <w:rsid w:val="005F1FA5"/>
    <w:rsid w:val="005F24FE"/>
    <w:rsid w:val="005F2BA8"/>
    <w:rsid w:val="005F3582"/>
    <w:rsid w:val="005F3750"/>
    <w:rsid w:val="005F3A6D"/>
    <w:rsid w:val="005F3C19"/>
    <w:rsid w:val="005F3FFE"/>
    <w:rsid w:val="005F40BA"/>
    <w:rsid w:val="005F4434"/>
    <w:rsid w:val="005F4B1A"/>
    <w:rsid w:val="005F4E4C"/>
    <w:rsid w:val="005F501A"/>
    <w:rsid w:val="005F50DF"/>
    <w:rsid w:val="005F5318"/>
    <w:rsid w:val="005F5324"/>
    <w:rsid w:val="005F603A"/>
    <w:rsid w:val="005F77AB"/>
    <w:rsid w:val="005F7877"/>
    <w:rsid w:val="005F7C99"/>
    <w:rsid w:val="005F7E1A"/>
    <w:rsid w:val="005F7EB1"/>
    <w:rsid w:val="006003FF"/>
    <w:rsid w:val="0060083B"/>
    <w:rsid w:val="00600D34"/>
    <w:rsid w:val="00601089"/>
    <w:rsid w:val="00601171"/>
    <w:rsid w:val="00601651"/>
    <w:rsid w:val="00601925"/>
    <w:rsid w:val="00601B28"/>
    <w:rsid w:val="00601DC7"/>
    <w:rsid w:val="00602064"/>
    <w:rsid w:val="00602A5E"/>
    <w:rsid w:val="00602B21"/>
    <w:rsid w:val="00602C1D"/>
    <w:rsid w:val="00603024"/>
    <w:rsid w:val="00603342"/>
    <w:rsid w:val="006036DE"/>
    <w:rsid w:val="006037BB"/>
    <w:rsid w:val="0060408F"/>
    <w:rsid w:val="00604211"/>
    <w:rsid w:val="006042D8"/>
    <w:rsid w:val="0060448B"/>
    <w:rsid w:val="006045C1"/>
    <w:rsid w:val="00604C81"/>
    <w:rsid w:val="0060553C"/>
    <w:rsid w:val="00605996"/>
    <w:rsid w:val="006059DF"/>
    <w:rsid w:val="00605F3F"/>
    <w:rsid w:val="00606047"/>
    <w:rsid w:val="00606176"/>
    <w:rsid w:val="006061D6"/>
    <w:rsid w:val="006062B4"/>
    <w:rsid w:val="00606DD4"/>
    <w:rsid w:val="00606F87"/>
    <w:rsid w:val="00607011"/>
    <w:rsid w:val="0060731E"/>
    <w:rsid w:val="00607374"/>
    <w:rsid w:val="00607495"/>
    <w:rsid w:val="006075A4"/>
    <w:rsid w:val="00607F85"/>
    <w:rsid w:val="00607FE1"/>
    <w:rsid w:val="00610057"/>
    <w:rsid w:val="006102C2"/>
    <w:rsid w:val="0061079B"/>
    <w:rsid w:val="006108D0"/>
    <w:rsid w:val="00610A57"/>
    <w:rsid w:val="00610BD9"/>
    <w:rsid w:val="00611041"/>
    <w:rsid w:val="0061117F"/>
    <w:rsid w:val="00611196"/>
    <w:rsid w:val="006116E3"/>
    <w:rsid w:val="00611AFF"/>
    <w:rsid w:val="00612146"/>
    <w:rsid w:val="00612D6B"/>
    <w:rsid w:val="00612DE6"/>
    <w:rsid w:val="00612FC6"/>
    <w:rsid w:val="006130C0"/>
    <w:rsid w:val="006137C2"/>
    <w:rsid w:val="00613888"/>
    <w:rsid w:val="00613A81"/>
    <w:rsid w:val="00613C76"/>
    <w:rsid w:val="0061454D"/>
    <w:rsid w:val="00614BBB"/>
    <w:rsid w:val="00614C2C"/>
    <w:rsid w:val="00614E10"/>
    <w:rsid w:val="006150C0"/>
    <w:rsid w:val="00615EF4"/>
    <w:rsid w:val="00616785"/>
    <w:rsid w:val="00616FF1"/>
    <w:rsid w:val="00617B95"/>
    <w:rsid w:val="00620718"/>
    <w:rsid w:val="00620A8B"/>
    <w:rsid w:val="00620B4E"/>
    <w:rsid w:val="00620B76"/>
    <w:rsid w:val="00621402"/>
    <w:rsid w:val="00622512"/>
    <w:rsid w:val="006226C1"/>
    <w:rsid w:val="00622A43"/>
    <w:rsid w:val="0062318C"/>
    <w:rsid w:val="006237A2"/>
    <w:rsid w:val="0062386C"/>
    <w:rsid w:val="00623F8A"/>
    <w:rsid w:val="0062402E"/>
    <w:rsid w:val="00624125"/>
    <w:rsid w:val="0062427C"/>
    <w:rsid w:val="00624400"/>
    <w:rsid w:val="006244CA"/>
    <w:rsid w:val="006245D0"/>
    <w:rsid w:val="00624648"/>
    <w:rsid w:val="00624E51"/>
    <w:rsid w:val="0062534C"/>
    <w:rsid w:val="006258CF"/>
    <w:rsid w:val="00625A05"/>
    <w:rsid w:val="00625ACD"/>
    <w:rsid w:val="00625B0D"/>
    <w:rsid w:val="00625EA0"/>
    <w:rsid w:val="00626162"/>
    <w:rsid w:val="006278EF"/>
    <w:rsid w:val="00627A9E"/>
    <w:rsid w:val="00630852"/>
    <w:rsid w:val="006313A2"/>
    <w:rsid w:val="00631D5D"/>
    <w:rsid w:val="00631FEE"/>
    <w:rsid w:val="00632937"/>
    <w:rsid w:val="00633A95"/>
    <w:rsid w:val="00633C3C"/>
    <w:rsid w:val="00633C57"/>
    <w:rsid w:val="006342F0"/>
    <w:rsid w:val="00634719"/>
    <w:rsid w:val="006348F3"/>
    <w:rsid w:val="006353D2"/>
    <w:rsid w:val="00635923"/>
    <w:rsid w:val="00635B87"/>
    <w:rsid w:val="006362C6"/>
    <w:rsid w:val="006367B8"/>
    <w:rsid w:val="00636B09"/>
    <w:rsid w:val="00637236"/>
    <w:rsid w:val="0063759E"/>
    <w:rsid w:val="00637A81"/>
    <w:rsid w:val="006406BF"/>
    <w:rsid w:val="0064094A"/>
    <w:rsid w:val="00640B51"/>
    <w:rsid w:val="00640C34"/>
    <w:rsid w:val="00640E84"/>
    <w:rsid w:val="0064106B"/>
    <w:rsid w:val="0064134E"/>
    <w:rsid w:val="006419A1"/>
    <w:rsid w:val="00641DB9"/>
    <w:rsid w:val="00642493"/>
    <w:rsid w:val="00642985"/>
    <w:rsid w:val="00643078"/>
    <w:rsid w:val="00643641"/>
    <w:rsid w:val="006436F6"/>
    <w:rsid w:val="00643850"/>
    <w:rsid w:val="006438C4"/>
    <w:rsid w:val="00643A9E"/>
    <w:rsid w:val="00643BC4"/>
    <w:rsid w:val="00643FB4"/>
    <w:rsid w:val="0064558B"/>
    <w:rsid w:val="0064586F"/>
    <w:rsid w:val="00645E82"/>
    <w:rsid w:val="00646EF4"/>
    <w:rsid w:val="00647E2D"/>
    <w:rsid w:val="0065017D"/>
    <w:rsid w:val="006503DC"/>
    <w:rsid w:val="006503E8"/>
    <w:rsid w:val="0065040E"/>
    <w:rsid w:val="00650570"/>
    <w:rsid w:val="006505A1"/>
    <w:rsid w:val="006505CD"/>
    <w:rsid w:val="006507A6"/>
    <w:rsid w:val="00650B31"/>
    <w:rsid w:val="0065114F"/>
    <w:rsid w:val="006514BA"/>
    <w:rsid w:val="00651A4F"/>
    <w:rsid w:val="00651B2E"/>
    <w:rsid w:val="00652143"/>
    <w:rsid w:val="00652291"/>
    <w:rsid w:val="006525C1"/>
    <w:rsid w:val="006526BE"/>
    <w:rsid w:val="00652747"/>
    <w:rsid w:val="00653059"/>
    <w:rsid w:val="00653260"/>
    <w:rsid w:val="00653A6C"/>
    <w:rsid w:val="00653ED7"/>
    <w:rsid w:val="00654590"/>
    <w:rsid w:val="00654A4A"/>
    <w:rsid w:val="0065509F"/>
    <w:rsid w:val="0065545A"/>
    <w:rsid w:val="006560FD"/>
    <w:rsid w:val="00656DA1"/>
    <w:rsid w:val="006571E4"/>
    <w:rsid w:val="0065760C"/>
    <w:rsid w:val="0065765D"/>
    <w:rsid w:val="0066037C"/>
    <w:rsid w:val="006610EC"/>
    <w:rsid w:val="00661123"/>
    <w:rsid w:val="00661153"/>
    <w:rsid w:val="00661FCE"/>
    <w:rsid w:val="00662006"/>
    <w:rsid w:val="00662269"/>
    <w:rsid w:val="006625D0"/>
    <w:rsid w:val="006627B9"/>
    <w:rsid w:val="00662A6B"/>
    <w:rsid w:val="00662F7A"/>
    <w:rsid w:val="00663111"/>
    <w:rsid w:val="006631F8"/>
    <w:rsid w:val="00664867"/>
    <w:rsid w:val="006648C8"/>
    <w:rsid w:val="00664A6C"/>
    <w:rsid w:val="00664DAC"/>
    <w:rsid w:val="00664EC0"/>
    <w:rsid w:val="00665CDA"/>
    <w:rsid w:val="00665F85"/>
    <w:rsid w:val="00666184"/>
    <w:rsid w:val="006661CF"/>
    <w:rsid w:val="0066627C"/>
    <w:rsid w:val="006668F8"/>
    <w:rsid w:val="006669AB"/>
    <w:rsid w:val="00667A22"/>
    <w:rsid w:val="00667B12"/>
    <w:rsid w:val="00667B44"/>
    <w:rsid w:val="0067003E"/>
    <w:rsid w:val="006708B0"/>
    <w:rsid w:val="00670BFD"/>
    <w:rsid w:val="00670D49"/>
    <w:rsid w:val="00670DC6"/>
    <w:rsid w:val="00670ED6"/>
    <w:rsid w:val="00671ADF"/>
    <w:rsid w:val="00671E4C"/>
    <w:rsid w:val="0067299B"/>
    <w:rsid w:val="00673461"/>
    <w:rsid w:val="00674237"/>
    <w:rsid w:val="00674295"/>
    <w:rsid w:val="006743AB"/>
    <w:rsid w:val="006748A8"/>
    <w:rsid w:val="00674B4A"/>
    <w:rsid w:val="00674BB7"/>
    <w:rsid w:val="00674D90"/>
    <w:rsid w:val="00674DBA"/>
    <w:rsid w:val="00674FFD"/>
    <w:rsid w:val="00675059"/>
    <w:rsid w:val="006752CE"/>
    <w:rsid w:val="00676234"/>
    <w:rsid w:val="0067625D"/>
    <w:rsid w:val="00676410"/>
    <w:rsid w:val="00676D25"/>
    <w:rsid w:val="006770DB"/>
    <w:rsid w:val="0067725C"/>
    <w:rsid w:val="00677350"/>
    <w:rsid w:val="006774CC"/>
    <w:rsid w:val="006775AB"/>
    <w:rsid w:val="0068071B"/>
    <w:rsid w:val="00680905"/>
    <w:rsid w:val="00680979"/>
    <w:rsid w:val="006809DB"/>
    <w:rsid w:val="0068114E"/>
    <w:rsid w:val="0068139E"/>
    <w:rsid w:val="006818A8"/>
    <w:rsid w:val="00681927"/>
    <w:rsid w:val="00681A51"/>
    <w:rsid w:val="0068211F"/>
    <w:rsid w:val="00682141"/>
    <w:rsid w:val="00682424"/>
    <w:rsid w:val="00682469"/>
    <w:rsid w:val="006831BC"/>
    <w:rsid w:val="0068337B"/>
    <w:rsid w:val="00683490"/>
    <w:rsid w:val="0068355B"/>
    <w:rsid w:val="0068376D"/>
    <w:rsid w:val="006837CF"/>
    <w:rsid w:val="00683D97"/>
    <w:rsid w:val="00683F6B"/>
    <w:rsid w:val="00684BD7"/>
    <w:rsid w:val="00684C3A"/>
    <w:rsid w:val="00684F61"/>
    <w:rsid w:val="00684FCA"/>
    <w:rsid w:val="0068524B"/>
    <w:rsid w:val="0068582B"/>
    <w:rsid w:val="00685E4A"/>
    <w:rsid w:val="00686844"/>
    <w:rsid w:val="00686965"/>
    <w:rsid w:val="00686A56"/>
    <w:rsid w:val="00686B5C"/>
    <w:rsid w:val="00686F01"/>
    <w:rsid w:val="0068744F"/>
    <w:rsid w:val="006877BC"/>
    <w:rsid w:val="00687BC0"/>
    <w:rsid w:val="00690276"/>
    <w:rsid w:val="0069030C"/>
    <w:rsid w:val="00690677"/>
    <w:rsid w:val="00690B8A"/>
    <w:rsid w:val="00690BBA"/>
    <w:rsid w:val="006915C8"/>
    <w:rsid w:val="00691680"/>
    <w:rsid w:val="00691BBF"/>
    <w:rsid w:val="0069227B"/>
    <w:rsid w:val="0069268A"/>
    <w:rsid w:val="00692850"/>
    <w:rsid w:val="00692DC9"/>
    <w:rsid w:val="00692F2E"/>
    <w:rsid w:val="00693271"/>
    <w:rsid w:val="0069347D"/>
    <w:rsid w:val="006934FD"/>
    <w:rsid w:val="00693B5B"/>
    <w:rsid w:val="00693D0C"/>
    <w:rsid w:val="00693E5A"/>
    <w:rsid w:val="0069418C"/>
    <w:rsid w:val="00694A7A"/>
    <w:rsid w:val="00694FE9"/>
    <w:rsid w:val="00695271"/>
    <w:rsid w:val="0069544D"/>
    <w:rsid w:val="006955CF"/>
    <w:rsid w:val="00695D55"/>
    <w:rsid w:val="00696997"/>
    <w:rsid w:val="00697656"/>
    <w:rsid w:val="006977EC"/>
    <w:rsid w:val="00697B6F"/>
    <w:rsid w:val="006A02D6"/>
    <w:rsid w:val="006A0DB1"/>
    <w:rsid w:val="006A1AE9"/>
    <w:rsid w:val="006A1AFD"/>
    <w:rsid w:val="006A1E82"/>
    <w:rsid w:val="006A1FE8"/>
    <w:rsid w:val="006A22B6"/>
    <w:rsid w:val="006A2854"/>
    <w:rsid w:val="006A3AE6"/>
    <w:rsid w:val="006A4295"/>
    <w:rsid w:val="006A42C3"/>
    <w:rsid w:val="006A473A"/>
    <w:rsid w:val="006A489A"/>
    <w:rsid w:val="006A4C25"/>
    <w:rsid w:val="006A4EB7"/>
    <w:rsid w:val="006A4F51"/>
    <w:rsid w:val="006A5E30"/>
    <w:rsid w:val="006A60ED"/>
    <w:rsid w:val="006A6375"/>
    <w:rsid w:val="006A651F"/>
    <w:rsid w:val="006A65A5"/>
    <w:rsid w:val="006A65F0"/>
    <w:rsid w:val="006A6D0E"/>
    <w:rsid w:val="006A6DCF"/>
    <w:rsid w:val="006A6DD8"/>
    <w:rsid w:val="006A6EED"/>
    <w:rsid w:val="006A6EEF"/>
    <w:rsid w:val="006A7001"/>
    <w:rsid w:val="006A71CE"/>
    <w:rsid w:val="006A7284"/>
    <w:rsid w:val="006A758C"/>
    <w:rsid w:val="006A7805"/>
    <w:rsid w:val="006A7BB0"/>
    <w:rsid w:val="006A7E7D"/>
    <w:rsid w:val="006A7E95"/>
    <w:rsid w:val="006B03FD"/>
    <w:rsid w:val="006B0682"/>
    <w:rsid w:val="006B18AD"/>
    <w:rsid w:val="006B191A"/>
    <w:rsid w:val="006B1D18"/>
    <w:rsid w:val="006B2608"/>
    <w:rsid w:val="006B2718"/>
    <w:rsid w:val="006B29D1"/>
    <w:rsid w:val="006B30EF"/>
    <w:rsid w:val="006B3119"/>
    <w:rsid w:val="006B3126"/>
    <w:rsid w:val="006B3C1A"/>
    <w:rsid w:val="006B41FB"/>
    <w:rsid w:val="006B443D"/>
    <w:rsid w:val="006B447D"/>
    <w:rsid w:val="006B4493"/>
    <w:rsid w:val="006B460F"/>
    <w:rsid w:val="006B56DF"/>
    <w:rsid w:val="006B5C98"/>
    <w:rsid w:val="006B6297"/>
    <w:rsid w:val="006B6C95"/>
    <w:rsid w:val="006B7995"/>
    <w:rsid w:val="006B79AA"/>
    <w:rsid w:val="006B7D99"/>
    <w:rsid w:val="006C03A9"/>
    <w:rsid w:val="006C07A9"/>
    <w:rsid w:val="006C0C49"/>
    <w:rsid w:val="006C0D0F"/>
    <w:rsid w:val="006C0F46"/>
    <w:rsid w:val="006C1D3C"/>
    <w:rsid w:val="006C1EEC"/>
    <w:rsid w:val="006C319D"/>
    <w:rsid w:val="006C352C"/>
    <w:rsid w:val="006C3732"/>
    <w:rsid w:val="006C3A33"/>
    <w:rsid w:val="006C3FEA"/>
    <w:rsid w:val="006C4BC7"/>
    <w:rsid w:val="006C4D9B"/>
    <w:rsid w:val="006C4FEE"/>
    <w:rsid w:val="006C50C8"/>
    <w:rsid w:val="006C5A01"/>
    <w:rsid w:val="006C63EF"/>
    <w:rsid w:val="006C65E9"/>
    <w:rsid w:val="006C6666"/>
    <w:rsid w:val="006C69E7"/>
    <w:rsid w:val="006C6B8E"/>
    <w:rsid w:val="006D09FD"/>
    <w:rsid w:val="006D10AE"/>
    <w:rsid w:val="006D1414"/>
    <w:rsid w:val="006D159B"/>
    <w:rsid w:val="006D1BBB"/>
    <w:rsid w:val="006D1D6B"/>
    <w:rsid w:val="006D1E54"/>
    <w:rsid w:val="006D24DC"/>
    <w:rsid w:val="006D25C3"/>
    <w:rsid w:val="006D25E8"/>
    <w:rsid w:val="006D2765"/>
    <w:rsid w:val="006D29F2"/>
    <w:rsid w:val="006D2A2D"/>
    <w:rsid w:val="006D3674"/>
    <w:rsid w:val="006D3BBB"/>
    <w:rsid w:val="006D4290"/>
    <w:rsid w:val="006D4ACC"/>
    <w:rsid w:val="006D4B12"/>
    <w:rsid w:val="006D4B4A"/>
    <w:rsid w:val="006D4BE9"/>
    <w:rsid w:val="006D4CD6"/>
    <w:rsid w:val="006D4D5B"/>
    <w:rsid w:val="006D4DDF"/>
    <w:rsid w:val="006D5276"/>
    <w:rsid w:val="006D54B0"/>
    <w:rsid w:val="006D5A49"/>
    <w:rsid w:val="006D5E20"/>
    <w:rsid w:val="006D69D6"/>
    <w:rsid w:val="006D6F85"/>
    <w:rsid w:val="006D71F9"/>
    <w:rsid w:val="006D7620"/>
    <w:rsid w:val="006D76F8"/>
    <w:rsid w:val="006D7CA2"/>
    <w:rsid w:val="006D7FAC"/>
    <w:rsid w:val="006E025F"/>
    <w:rsid w:val="006E065B"/>
    <w:rsid w:val="006E09D3"/>
    <w:rsid w:val="006E1692"/>
    <w:rsid w:val="006E1828"/>
    <w:rsid w:val="006E1E6C"/>
    <w:rsid w:val="006E20CB"/>
    <w:rsid w:val="006E221B"/>
    <w:rsid w:val="006E24BB"/>
    <w:rsid w:val="006E2F02"/>
    <w:rsid w:val="006E351D"/>
    <w:rsid w:val="006E3966"/>
    <w:rsid w:val="006E39D2"/>
    <w:rsid w:val="006E39DC"/>
    <w:rsid w:val="006E42CE"/>
    <w:rsid w:val="006E4B37"/>
    <w:rsid w:val="006E533A"/>
    <w:rsid w:val="006E5505"/>
    <w:rsid w:val="006E5657"/>
    <w:rsid w:val="006E56CB"/>
    <w:rsid w:val="006E576A"/>
    <w:rsid w:val="006E59A4"/>
    <w:rsid w:val="006E5B6E"/>
    <w:rsid w:val="006E6052"/>
    <w:rsid w:val="006E6323"/>
    <w:rsid w:val="006E637A"/>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84"/>
    <w:rsid w:val="006F1FB6"/>
    <w:rsid w:val="006F226D"/>
    <w:rsid w:val="006F240A"/>
    <w:rsid w:val="006F27EF"/>
    <w:rsid w:val="006F2A5B"/>
    <w:rsid w:val="006F2D27"/>
    <w:rsid w:val="006F2FB3"/>
    <w:rsid w:val="006F3369"/>
    <w:rsid w:val="006F3B4E"/>
    <w:rsid w:val="006F3CE3"/>
    <w:rsid w:val="006F3D02"/>
    <w:rsid w:val="006F3D23"/>
    <w:rsid w:val="006F4E35"/>
    <w:rsid w:val="006F531B"/>
    <w:rsid w:val="006F5647"/>
    <w:rsid w:val="006F56B6"/>
    <w:rsid w:val="006F5AE6"/>
    <w:rsid w:val="006F5C09"/>
    <w:rsid w:val="006F5E33"/>
    <w:rsid w:val="006F62BC"/>
    <w:rsid w:val="006F670F"/>
    <w:rsid w:val="006F690A"/>
    <w:rsid w:val="006F70BD"/>
    <w:rsid w:val="0070023A"/>
    <w:rsid w:val="007008AF"/>
    <w:rsid w:val="00700E96"/>
    <w:rsid w:val="00700EE1"/>
    <w:rsid w:val="007023B5"/>
    <w:rsid w:val="00702493"/>
    <w:rsid w:val="007034D1"/>
    <w:rsid w:val="00703AB1"/>
    <w:rsid w:val="00703F40"/>
    <w:rsid w:val="00704310"/>
    <w:rsid w:val="007051D8"/>
    <w:rsid w:val="00705B01"/>
    <w:rsid w:val="0070678D"/>
    <w:rsid w:val="00706A77"/>
    <w:rsid w:val="007078A9"/>
    <w:rsid w:val="0071035D"/>
    <w:rsid w:val="007109A0"/>
    <w:rsid w:val="00710D88"/>
    <w:rsid w:val="00710F92"/>
    <w:rsid w:val="00711060"/>
    <w:rsid w:val="00711295"/>
    <w:rsid w:val="007115E8"/>
    <w:rsid w:val="00711670"/>
    <w:rsid w:val="00711DFA"/>
    <w:rsid w:val="00711F58"/>
    <w:rsid w:val="00712119"/>
    <w:rsid w:val="007122F9"/>
    <w:rsid w:val="00713074"/>
    <w:rsid w:val="00713170"/>
    <w:rsid w:val="00713210"/>
    <w:rsid w:val="007135AE"/>
    <w:rsid w:val="00713664"/>
    <w:rsid w:val="0071382F"/>
    <w:rsid w:val="00714652"/>
    <w:rsid w:val="00714A8A"/>
    <w:rsid w:val="00714B44"/>
    <w:rsid w:val="00714F3B"/>
    <w:rsid w:val="007157E0"/>
    <w:rsid w:val="00715816"/>
    <w:rsid w:val="007165C5"/>
    <w:rsid w:val="007166F7"/>
    <w:rsid w:val="00716AEF"/>
    <w:rsid w:val="00716B51"/>
    <w:rsid w:val="00717076"/>
    <w:rsid w:val="00717296"/>
    <w:rsid w:val="007172CB"/>
    <w:rsid w:val="00717638"/>
    <w:rsid w:val="00717746"/>
    <w:rsid w:val="00717CA8"/>
    <w:rsid w:val="00717FE7"/>
    <w:rsid w:val="0072026C"/>
    <w:rsid w:val="00720335"/>
    <w:rsid w:val="0072052A"/>
    <w:rsid w:val="007207B8"/>
    <w:rsid w:val="00720CF6"/>
    <w:rsid w:val="00720F5C"/>
    <w:rsid w:val="007214FE"/>
    <w:rsid w:val="0072163E"/>
    <w:rsid w:val="007216CC"/>
    <w:rsid w:val="00721A20"/>
    <w:rsid w:val="00721BE3"/>
    <w:rsid w:val="00721D30"/>
    <w:rsid w:val="00721FDF"/>
    <w:rsid w:val="007220C6"/>
    <w:rsid w:val="0072295E"/>
    <w:rsid w:val="00722B15"/>
    <w:rsid w:val="00723F3A"/>
    <w:rsid w:val="00724162"/>
    <w:rsid w:val="00724A27"/>
    <w:rsid w:val="00724F65"/>
    <w:rsid w:val="0072513A"/>
    <w:rsid w:val="00725370"/>
    <w:rsid w:val="007253B2"/>
    <w:rsid w:val="007253FF"/>
    <w:rsid w:val="0072668D"/>
    <w:rsid w:val="00726B79"/>
    <w:rsid w:val="00727038"/>
    <w:rsid w:val="00727328"/>
    <w:rsid w:val="00727370"/>
    <w:rsid w:val="00727551"/>
    <w:rsid w:val="007319AD"/>
    <w:rsid w:val="007320A9"/>
    <w:rsid w:val="007326A9"/>
    <w:rsid w:val="0073277B"/>
    <w:rsid w:val="00732A29"/>
    <w:rsid w:val="00732E51"/>
    <w:rsid w:val="00733957"/>
    <w:rsid w:val="007339F8"/>
    <w:rsid w:val="00733AA7"/>
    <w:rsid w:val="0073435D"/>
    <w:rsid w:val="00734536"/>
    <w:rsid w:val="007345B7"/>
    <w:rsid w:val="007347D0"/>
    <w:rsid w:val="00734A6F"/>
    <w:rsid w:val="00734BAD"/>
    <w:rsid w:val="00735329"/>
    <w:rsid w:val="00735D9E"/>
    <w:rsid w:val="00735DD9"/>
    <w:rsid w:val="00736707"/>
    <w:rsid w:val="007374D3"/>
    <w:rsid w:val="0073758A"/>
    <w:rsid w:val="007377CB"/>
    <w:rsid w:val="00737B8B"/>
    <w:rsid w:val="00737FFD"/>
    <w:rsid w:val="00740561"/>
    <w:rsid w:val="00740F87"/>
    <w:rsid w:val="0074109C"/>
    <w:rsid w:val="0074109D"/>
    <w:rsid w:val="0074157C"/>
    <w:rsid w:val="00742335"/>
    <w:rsid w:val="00742445"/>
    <w:rsid w:val="007424F2"/>
    <w:rsid w:val="00742842"/>
    <w:rsid w:val="007428F6"/>
    <w:rsid w:val="0074312B"/>
    <w:rsid w:val="0074319F"/>
    <w:rsid w:val="007431EB"/>
    <w:rsid w:val="00743714"/>
    <w:rsid w:val="007444CB"/>
    <w:rsid w:val="0074492D"/>
    <w:rsid w:val="00744A41"/>
    <w:rsid w:val="00744FD2"/>
    <w:rsid w:val="00745A2F"/>
    <w:rsid w:val="00745B0F"/>
    <w:rsid w:val="00745E38"/>
    <w:rsid w:val="00745E99"/>
    <w:rsid w:val="0074620D"/>
    <w:rsid w:val="00747171"/>
    <w:rsid w:val="00747215"/>
    <w:rsid w:val="00750270"/>
    <w:rsid w:val="00750740"/>
    <w:rsid w:val="00750E70"/>
    <w:rsid w:val="0075132B"/>
    <w:rsid w:val="00751808"/>
    <w:rsid w:val="00751B3E"/>
    <w:rsid w:val="007526AB"/>
    <w:rsid w:val="00753107"/>
    <w:rsid w:val="0075323B"/>
    <w:rsid w:val="00753376"/>
    <w:rsid w:val="00753909"/>
    <w:rsid w:val="00753FB9"/>
    <w:rsid w:val="007543B0"/>
    <w:rsid w:val="007547DC"/>
    <w:rsid w:val="007548E3"/>
    <w:rsid w:val="00754A5A"/>
    <w:rsid w:val="007561BC"/>
    <w:rsid w:val="007564F6"/>
    <w:rsid w:val="007565BF"/>
    <w:rsid w:val="007568A9"/>
    <w:rsid w:val="00756CB9"/>
    <w:rsid w:val="00756CCE"/>
    <w:rsid w:val="00756DEC"/>
    <w:rsid w:val="00757722"/>
    <w:rsid w:val="00757C7D"/>
    <w:rsid w:val="00761514"/>
    <w:rsid w:val="00761DB7"/>
    <w:rsid w:val="00761FBC"/>
    <w:rsid w:val="00761FE1"/>
    <w:rsid w:val="0076267A"/>
    <w:rsid w:val="007629F0"/>
    <w:rsid w:val="00762EBF"/>
    <w:rsid w:val="00763318"/>
    <w:rsid w:val="00763C22"/>
    <w:rsid w:val="00763CE7"/>
    <w:rsid w:val="00763D0E"/>
    <w:rsid w:val="007643DE"/>
    <w:rsid w:val="00764923"/>
    <w:rsid w:val="00764F16"/>
    <w:rsid w:val="007659E2"/>
    <w:rsid w:val="00765AE4"/>
    <w:rsid w:val="0076673D"/>
    <w:rsid w:val="007669EA"/>
    <w:rsid w:val="00766A7F"/>
    <w:rsid w:val="00766DB2"/>
    <w:rsid w:val="007673C3"/>
    <w:rsid w:val="00767696"/>
    <w:rsid w:val="00767793"/>
    <w:rsid w:val="00770127"/>
    <w:rsid w:val="007701DE"/>
    <w:rsid w:val="00770533"/>
    <w:rsid w:val="00770AA7"/>
    <w:rsid w:val="00770ABA"/>
    <w:rsid w:val="00770DE1"/>
    <w:rsid w:val="00771830"/>
    <w:rsid w:val="00771EC1"/>
    <w:rsid w:val="00772177"/>
    <w:rsid w:val="00772532"/>
    <w:rsid w:val="0077265F"/>
    <w:rsid w:val="0077328B"/>
    <w:rsid w:val="007732C9"/>
    <w:rsid w:val="00773D20"/>
    <w:rsid w:val="0077510D"/>
    <w:rsid w:val="0077576E"/>
    <w:rsid w:val="00775C65"/>
    <w:rsid w:val="00775FA9"/>
    <w:rsid w:val="0077639A"/>
    <w:rsid w:val="00776C7C"/>
    <w:rsid w:val="00776D55"/>
    <w:rsid w:val="00777BEE"/>
    <w:rsid w:val="00777D9E"/>
    <w:rsid w:val="007800AF"/>
    <w:rsid w:val="00780360"/>
    <w:rsid w:val="00780B83"/>
    <w:rsid w:val="00780DB1"/>
    <w:rsid w:val="0078100C"/>
    <w:rsid w:val="0078157F"/>
    <w:rsid w:val="00781779"/>
    <w:rsid w:val="0078185E"/>
    <w:rsid w:val="007818BA"/>
    <w:rsid w:val="007819B3"/>
    <w:rsid w:val="00781E9C"/>
    <w:rsid w:val="007825D2"/>
    <w:rsid w:val="00782799"/>
    <w:rsid w:val="00782D12"/>
    <w:rsid w:val="00782D44"/>
    <w:rsid w:val="007834FA"/>
    <w:rsid w:val="007837B0"/>
    <w:rsid w:val="00783827"/>
    <w:rsid w:val="00783BF7"/>
    <w:rsid w:val="0078438D"/>
    <w:rsid w:val="007846C0"/>
    <w:rsid w:val="007847CB"/>
    <w:rsid w:val="00784B94"/>
    <w:rsid w:val="00785208"/>
    <w:rsid w:val="007858FD"/>
    <w:rsid w:val="00785F7E"/>
    <w:rsid w:val="007863CB"/>
    <w:rsid w:val="00786F48"/>
    <w:rsid w:val="0078725D"/>
    <w:rsid w:val="0078772C"/>
    <w:rsid w:val="00787866"/>
    <w:rsid w:val="007878E4"/>
    <w:rsid w:val="00787953"/>
    <w:rsid w:val="007879E4"/>
    <w:rsid w:val="0079082B"/>
    <w:rsid w:val="0079090E"/>
    <w:rsid w:val="00790984"/>
    <w:rsid w:val="00791054"/>
    <w:rsid w:val="007911B8"/>
    <w:rsid w:val="00791CDC"/>
    <w:rsid w:val="00792076"/>
    <w:rsid w:val="00792289"/>
    <w:rsid w:val="0079228D"/>
    <w:rsid w:val="00792628"/>
    <w:rsid w:val="0079267C"/>
    <w:rsid w:val="007932B7"/>
    <w:rsid w:val="0079345F"/>
    <w:rsid w:val="00793613"/>
    <w:rsid w:val="007937F1"/>
    <w:rsid w:val="00793B65"/>
    <w:rsid w:val="00793CC0"/>
    <w:rsid w:val="007940AC"/>
    <w:rsid w:val="00794177"/>
    <w:rsid w:val="00794BB6"/>
    <w:rsid w:val="007955F3"/>
    <w:rsid w:val="007958ED"/>
    <w:rsid w:val="007960DD"/>
    <w:rsid w:val="007963BD"/>
    <w:rsid w:val="007966E6"/>
    <w:rsid w:val="00796983"/>
    <w:rsid w:val="0079723B"/>
    <w:rsid w:val="00797A64"/>
    <w:rsid w:val="007A0361"/>
    <w:rsid w:val="007A0505"/>
    <w:rsid w:val="007A0A90"/>
    <w:rsid w:val="007A1190"/>
    <w:rsid w:val="007A1924"/>
    <w:rsid w:val="007A2081"/>
    <w:rsid w:val="007A3268"/>
    <w:rsid w:val="007A384D"/>
    <w:rsid w:val="007A3BC8"/>
    <w:rsid w:val="007A3DCA"/>
    <w:rsid w:val="007A4155"/>
    <w:rsid w:val="007A4783"/>
    <w:rsid w:val="007A5191"/>
    <w:rsid w:val="007A647F"/>
    <w:rsid w:val="007A64D4"/>
    <w:rsid w:val="007A64E0"/>
    <w:rsid w:val="007A6A15"/>
    <w:rsid w:val="007A6BDA"/>
    <w:rsid w:val="007A6CBB"/>
    <w:rsid w:val="007A6ED6"/>
    <w:rsid w:val="007A756D"/>
    <w:rsid w:val="007A7AEE"/>
    <w:rsid w:val="007A7F33"/>
    <w:rsid w:val="007B03A0"/>
    <w:rsid w:val="007B0500"/>
    <w:rsid w:val="007B0BE5"/>
    <w:rsid w:val="007B111B"/>
    <w:rsid w:val="007B1441"/>
    <w:rsid w:val="007B17FD"/>
    <w:rsid w:val="007B1B4D"/>
    <w:rsid w:val="007B23D0"/>
    <w:rsid w:val="007B25E8"/>
    <w:rsid w:val="007B25FE"/>
    <w:rsid w:val="007B27E0"/>
    <w:rsid w:val="007B2E18"/>
    <w:rsid w:val="007B330D"/>
    <w:rsid w:val="007B374F"/>
    <w:rsid w:val="007B376C"/>
    <w:rsid w:val="007B3AE8"/>
    <w:rsid w:val="007B3B59"/>
    <w:rsid w:val="007B4418"/>
    <w:rsid w:val="007B4EA6"/>
    <w:rsid w:val="007B5168"/>
    <w:rsid w:val="007B5DAC"/>
    <w:rsid w:val="007B5F62"/>
    <w:rsid w:val="007B60E6"/>
    <w:rsid w:val="007B621D"/>
    <w:rsid w:val="007B625E"/>
    <w:rsid w:val="007B640C"/>
    <w:rsid w:val="007B654F"/>
    <w:rsid w:val="007B66B3"/>
    <w:rsid w:val="007B7077"/>
    <w:rsid w:val="007B718D"/>
    <w:rsid w:val="007B73FD"/>
    <w:rsid w:val="007C0FD5"/>
    <w:rsid w:val="007C1042"/>
    <w:rsid w:val="007C14B6"/>
    <w:rsid w:val="007C17D3"/>
    <w:rsid w:val="007C1B30"/>
    <w:rsid w:val="007C1B73"/>
    <w:rsid w:val="007C1EE8"/>
    <w:rsid w:val="007C20B1"/>
    <w:rsid w:val="007C2DB5"/>
    <w:rsid w:val="007C2E2A"/>
    <w:rsid w:val="007C3003"/>
    <w:rsid w:val="007C3244"/>
    <w:rsid w:val="007C385F"/>
    <w:rsid w:val="007C3F53"/>
    <w:rsid w:val="007C43A6"/>
    <w:rsid w:val="007C46E9"/>
    <w:rsid w:val="007C4924"/>
    <w:rsid w:val="007C4DB0"/>
    <w:rsid w:val="007C4E8C"/>
    <w:rsid w:val="007C511F"/>
    <w:rsid w:val="007C5201"/>
    <w:rsid w:val="007C574E"/>
    <w:rsid w:val="007C5923"/>
    <w:rsid w:val="007C59AB"/>
    <w:rsid w:val="007C59C5"/>
    <w:rsid w:val="007C5F20"/>
    <w:rsid w:val="007C64E9"/>
    <w:rsid w:val="007C65DE"/>
    <w:rsid w:val="007C6B60"/>
    <w:rsid w:val="007C6F85"/>
    <w:rsid w:val="007C703D"/>
    <w:rsid w:val="007C71DC"/>
    <w:rsid w:val="007C768A"/>
    <w:rsid w:val="007C7B99"/>
    <w:rsid w:val="007C7C17"/>
    <w:rsid w:val="007D0CF8"/>
    <w:rsid w:val="007D0F9A"/>
    <w:rsid w:val="007D16CC"/>
    <w:rsid w:val="007D2368"/>
    <w:rsid w:val="007D23B3"/>
    <w:rsid w:val="007D2E1E"/>
    <w:rsid w:val="007D357D"/>
    <w:rsid w:val="007D3AA0"/>
    <w:rsid w:val="007D3B71"/>
    <w:rsid w:val="007D3FE2"/>
    <w:rsid w:val="007D4359"/>
    <w:rsid w:val="007D4EC2"/>
    <w:rsid w:val="007D564D"/>
    <w:rsid w:val="007D5690"/>
    <w:rsid w:val="007D57B7"/>
    <w:rsid w:val="007D5930"/>
    <w:rsid w:val="007D5CB6"/>
    <w:rsid w:val="007D61D6"/>
    <w:rsid w:val="007D67EA"/>
    <w:rsid w:val="007D69FA"/>
    <w:rsid w:val="007D6BA9"/>
    <w:rsid w:val="007D75E9"/>
    <w:rsid w:val="007D7CC9"/>
    <w:rsid w:val="007E0536"/>
    <w:rsid w:val="007E07E3"/>
    <w:rsid w:val="007E11D8"/>
    <w:rsid w:val="007E1600"/>
    <w:rsid w:val="007E1B38"/>
    <w:rsid w:val="007E1E93"/>
    <w:rsid w:val="007E1FBF"/>
    <w:rsid w:val="007E2817"/>
    <w:rsid w:val="007E2F09"/>
    <w:rsid w:val="007E38C7"/>
    <w:rsid w:val="007E3A75"/>
    <w:rsid w:val="007E3F3E"/>
    <w:rsid w:val="007E4641"/>
    <w:rsid w:val="007E4778"/>
    <w:rsid w:val="007E5504"/>
    <w:rsid w:val="007E5A20"/>
    <w:rsid w:val="007E5D6C"/>
    <w:rsid w:val="007E5D72"/>
    <w:rsid w:val="007E60D8"/>
    <w:rsid w:val="007E6838"/>
    <w:rsid w:val="007E6F58"/>
    <w:rsid w:val="007E73F1"/>
    <w:rsid w:val="007E7B1E"/>
    <w:rsid w:val="007E7FA7"/>
    <w:rsid w:val="007F02B9"/>
    <w:rsid w:val="007F078E"/>
    <w:rsid w:val="007F07A1"/>
    <w:rsid w:val="007F0C0E"/>
    <w:rsid w:val="007F0CE1"/>
    <w:rsid w:val="007F1868"/>
    <w:rsid w:val="007F1ABA"/>
    <w:rsid w:val="007F23DB"/>
    <w:rsid w:val="007F282F"/>
    <w:rsid w:val="007F28B0"/>
    <w:rsid w:val="007F2A03"/>
    <w:rsid w:val="007F3517"/>
    <w:rsid w:val="007F3616"/>
    <w:rsid w:val="007F4847"/>
    <w:rsid w:val="007F4CD9"/>
    <w:rsid w:val="007F4D92"/>
    <w:rsid w:val="007F4ED7"/>
    <w:rsid w:val="007F5371"/>
    <w:rsid w:val="007F59AB"/>
    <w:rsid w:val="007F5C09"/>
    <w:rsid w:val="007F60F8"/>
    <w:rsid w:val="007F699F"/>
    <w:rsid w:val="007F6DE8"/>
    <w:rsid w:val="007F77B2"/>
    <w:rsid w:val="007F7883"/>
    <w:rsid w:val="007F7D0C"/>
    <w:rsid w:val="008003A7"/>
    <w:rsid w:val="00800499"/>
    <w:rsid w:val="00800FE2"/>
    <w:rsid w:val="008014ED"/>
    <w:rsid w:val="0080201A"/>
    <w:rsid w:val="008022C9"/>
    <w:rsid w:val="00802570"/>
    <w:rsid w:val="008027E2"/>
    <w:rsid w:val="008029DB"/>
    <w:rsid w:val="00802CA3"/>
    <w:rsid w:val="00803992"/>
    <w:rsid w:val="008041B6"/>
    <w:rsid w:val="008041F5"/>
    <w:rsid w:val="00805346"/>
    <w:rsid w:val="008055E7"/>
    <w:rsid w:val="008055F3"/>
    <w:rsid w:val="00805808"/>
    <w:rsid w:val="00805C75"/>
    <w:rsid w:val="008063D8"/>
    <w:rsid w:val="00806FFB"/>
    <w:rsid w:val="0080713F"/>
    <w:rsid w:val="008071C3"/>
    <w:rsid w:val="008072D7"/>
    <w:rsid w:val="00807647"/>
    <w:rsid w:val="00810603"/>
    <w:rsid w:val="00810D15"/>
    <w:rsid w:val="00810F1B"/>
    <w:rsid w:val="00811145"/>
    <w:rsid w:val="00811263"/>
    <w:rsid w:val="008112E2"/>
    <w:rsid w:val="00811742"/>
    <w:rsid w:val="008123AF"/>
    <w:rsid w:val="008126B4"/>
    <w:rsid w:val="00812B83"/>
    <w:rsid w:val="00812C2D"/>
    <w:rsid w:val="00813487"/>
    <w:rsid w:val="00813813"/>
    <w:rsid w:val="00813C03"/>
    <w:rsid w:val="00813FBF"/>
    <w:rsid w:val="008141D2"/>
    <w:rsid w:val="00814283"/>
    <w:rsid w:val="00814503"/>
    <w:rsid w:val="00814A09"/>
    <w:rsid w:val="00814E85"/>
    <w:rsid w:val="00814F25"/>
    <w:rsid w:val="0081569A"/>
    <w:rsid w:val="0081647F"/>
    <w:rsid w:val="00816C67"/>
    <w:rsid w:val="00817C6C"/>
    <w:rsid w:val="00820209"/>
    <w:rsid w:val="008203C4"/>
    <w:rsid w:val="00820434"/>
    <w:rsid w:val="008206FC"/>
    <w:rsid w:val="00820B67"/>
    <w:rsid w:val="00820C71"/>
    <w:rsid w:val="00820F35"/>
    <w:rsid w:val="00820FEC"/>
    <w:rsid w:val="008214D8"/>
    <w:rsid w:val="00821AE8"/>
    <w:rsid w:val="00821D5B"/>
    <w:rsid w:val="00821EEB"/>
    <w:rsid w:val="008229CF"/>
    <w:rsid w:val="00822FF3"/>
    <w:rsid w:val="00823046"/>
    <w:rsid w:val="008231CF"/>
    <w:rsid w:val="008231EA"/>
    <w:rsid w:val="00823443"/>
    <w:rsid w:val="0082393D"/>
    <w:rsid w:val="00823DE0"/>
    <w:rsid w:val="008245C4"/>
    <w:rsid w:val="00824BFC"/>
    <w:rsid w:val="00824FAC"/>
    <w:rsid w:val="00825FA0"/>
    <w:rsid w:val="00826501"/>
    <w:rsid w:val="00826550"/>
    <w:rsid w:val="00826CA6"/>
    <w:rsid w:val="00827A85"/>
    <w:rsid w:val="00827EEB"/>
    <w:rsid w:val="00830475"/>
    <w:rsid w:val="00830821"/>
    <w:rsid w:val="00830BC4"/>
    <w:rsid w:val="00830D92"/>
    <w:rsid w:val="008314F2"/>
    <w:rsid w:val="00831DF7"/>
    <w:rsid w:val="00831ED5"/>
    <w:rsid w:val="00832177"/>
    <w:rsid w:val="0083324D"/>
    <w:rsid w:val="00833AA0"/>
    <w:rsid w:val="00833AFA"/>
    <w:rsid w:val="00834160"/>
    <w:rsid w:val="00834929"/>
    <w:rsid w:val="008353D9"/>
    <w:rsid w:val="00835595"/>
    <w:rsid w:val="0083585E"/>
    <w:rsid w:val="0083606C"/>
    <w:rsid w:val="0083636A"/>
    <w:rsid w:val="0083688D"/>
    <w:rsid w:val="00837A8F"/>
    <w:rsid w:val="008401FA"/>
    <w:rsid w:val="00840FF9"/>
    <w:rsid w:val="0084143B"/>
    <w:rsid w:val="008414EB"/>
    <w:rsid w:val="00841733"/>
    <w:rsid w:val="008419DF"/>
    <w:rsid w:val="00842484"/>
    <w:rsid w:val="0084272C"/>
    <w:rsid w:val="008433D2"/>
    <w:rsid w:val="00843447"/>
    <w:rsid w:val="00843C0B"/>
    <w:rsid w:val="008440F5"/>
    <w:rsid w:val="00844354"/>
    <w:rsid w:val="00844434"/>
    <w:rsid w:val="0084487B"/>
    <w:rsid w:val="00844B46"/>
    <w:rsid w:val="00844BD4"/>
    <w:rsid w:val="00844CB4"/>
    <w:rsid w:val="00844D38"/>
    <w:rsid w:val="00844D85"/>
    <w:rsid w:val="00844DA6"/>
    <w:rsid w:val="00845282"/>
    <w:rsid w:val="0084563E"/>
    <w:rsid w:val="0084591F"/>
    <w:rsid w:val="00845B92"/>
    <w:rsid w:val="008460B0"/>
    <w:rsid w:val="00846164"/>
    <w:rsid w:val="008463E2"/>
    <w:rsid w:val="0084660B"/>
    <w:rsid w:val="008466C5"/>
    <w:rsid w:val="00846C55"/>
    <w:rsid w:val="008473CB"/>
    <w:rsid w:val="0084777B"/>
    <w:rsid w:val="00847A58"/>
    <w:rsid w:val="00847F30"/>
    <w:rsid w:val="00847F98"/>
    <w:rsid w:val="0085046A"/>
    <w:rsid w:val="00850993"/>
    <w:rsid w:val="008509D5"/>
    <w:rsid w:val="00850E71"/>
    <w:rsid w:val="008513E1"/>
    <w:rsid w:val="0085146E"/>
    <w:rsid w:val="00851B6E"/>
    <w:rsid w:val="00851F2A"/>
    <w:rsid w:val="0085246F"/>
    <w:rsid w:val="008524BE"/>
    <w:rsid w:val="00852505"/>
    <w:rsid w:val="00853008"/>
    <w:rsid w:val="0085306F"/>
    <w:rsid w:val="008530E9"/>
    <w:rsid w:val="008531A4"/>
    <w:rsid w:val="00853243"/>
    <w:rsid w:val="008538FA"/>
    <w:rsid w:val="00853BC2"/>
    <w:rsid w:val="00853C7E"/>
    <w:rsid w:val="00854278"/>
    <w:rsid w:val="008549E5"/>
    <w:rsid w:val="00854E88"/>
    <w:rsid w:val="00854F07"/>
    <w:rsid w:val="00854F54"/>
    <w:rsid w:val="00855B24"/>
    <w:rsid w:val="00855F7B"/>
    <w:rsid w:val="00856038"/>
    <w:rsid w:val="00856063"/>
    <w:rsid w:val="00856333"/>
    <w:rsid w:val="00856652"/>
    <w:rsid w:val="008566B2"/>
    <w:rsid w:val="00856CA2"/>
    <w:rsid w:val="00856D1A"/>
    <w:rsid w:val="00857172"/>
    <w:rsid w:val="00857585"/>
    <w:rsid w:val="008578FB"/>
    <w:rsid w:val="00860DE4"/>
    <w:rsid w:val="008613A2"/>
    <w:rsid w:val="0086147D"/>
    <w:rsid w:val="008619F0"/>
    <w:rsid w:val="008622D4"/>
    <w:rsid w:val="0086236A"/>
    <w:rsid w:val="00862A93"/>
    <w:rsid w:val="00862B94"/>
    <w:rsid w:val="00863175"/>
    <w:rsid w:val="00863F3B"/>
    <w:rsid w:val="00864A80"/>
    <w:rsid w:val="00864AE4"/>
    <w:rsid w:val="0086569A"/>
    <w:rsid w:val="00865A85"/>
    <w:rsid w:val="00866A01"/>
    <w:rsid w:val="008671C0"/>
    <w:rsid w:val="008671F9"/>
    <w:rsid w:val="00867A36"/>
    <w:rsid w:val="00867A8E"/>
    <w:rsid w:val="00867C26"/>
    <w:rsid w:val="00867C3F"/>
    <w:rsid w:val="00870002"/>
    <w:rsid w:val="008700CE"/>
    <w:rsid w:val="008702A8"/>
    <w:rsid w:val="0087035A"/>
    <w:rsid w:val="00870FD4"/>
    <w:rsid w:val="008719F9"/>
    <w:rsid w:val="00871C1E"/>
    <w:rsid w:val="00871D15"/>
    <w:rsid w:val="00871D17"/>
    <w:rsid w:val="00871E05"/>
    <w:rsid w:val="00872058"/>
    <w:rsid w:val="00872172"/>
    <w:rsid w:val="00872345"/>
    <w:rsid w:val="00872842"/>
    <w:rsid w:val="00872B3E"/>
    <w:rsid w:val="00872C75"/>
    <w:rsid w:val="00873456"/>
    <w:rsid w:val="0087347D"/>
    <w:rsid w:val="00873CA1"/>
    <w:rsid w:val="0087524E"/>
    <w:rsid w:val="0087556D"/>
    <w:rsid w:val="008756F2"/>
    <w:rsid w:val="00875CDC"/>
    <w:rsid w:val="00875DDF"/>
    <w:rsid w:val="00876025"/>
    <w:rsid w:val="00877372"/>
    <w:rsid w:val="00877660"/>
    <w:rsid w:val="0087773A"/>
    <w:rsid w:val="00877B0B"/>
    <w:rsid w:val="00880121"/>
    <w:rsid w:val="0088185C"/>
    <w:rsid w:val="0088192E"/>
    <w:rsid w:val="0088208B"/>
    <w:rsid w:val="0088214A"/>
    <w:rsid w:val="0088253A"/>
    <w:rsid w:val="008825AB"/>
    <w:rsid w:val="008825CD"/>
    <w:rsid w:val="00882CF6"/>
    <w:rsid w:val="00882DAD"/>
    <w:rsid w:val="00882E12"/>
    <w:rsid w:val="0088313D"/>
    <w:rsid w:val="008834A2"/>
    <w:rsid w:val="0088390A"/>
    <w:rsid w:val="00883F74"/>
    <w:rsid w:val="008843B9"/>
    <w:rsid w:val="008843F5"/>
    <w:rsid w:val="00884848"/>
    <w:rsid w:val="00884E5B"/>
    <w:rsid w:val="00884F32"/>
    <w:rsid w:val="00885263"/>
    <w:rsid w:val="0088625F"/>
    <w:rsid w:val="00886878"/>
    <w:rsid w:val="008868A8"/>
    <w:rsid w:val="008869B1"/>
    <w:rsid w:val="00886C15"/>
    <w:rsid w:val="00886EAF"/>
    <w:rsid w:val="008873A0"/>
    <w:rsid w:val="008902F2"/>
    <w:rsid w:val="00890BEB"/>
    <w:rsid w:val="00890D93"/>
    <w:rsid w:val="0089103C"/>
    <w:rsid w:val="008916FE"/>
    <w:rsid w:val="00891D35"/>
    <w:rsid w:val="0089266A"/>
    <w:rsid w:val="00892C4B"/>
    <w:rsid w:val="00892C7F"/>
    <w:rsid w:val="00892D0E"/>
    <w:rsid w:val="00892DA5"/>
    <w:rsid w:val="00892DEE"/>
    <w:rsid w:val="00892ECB"/>
    <w:rsid w:val="00892FA4"/>
    <w:rsid w:val="00893665"/>
    <w:rsid w:val="00893AAE"/>
    <w:rsid w:val="00894009"/>
    <w:rsid w:val="00894822"/>
    <w:rsid w:val="008949B1"/>
    <w:rsid w:val="00894B16"/>
    <w:rsid w:val="00895396"/>
    <w:rsid w:val="008954DE"/>
    <w:rsid w:val="00896995"/>
    <w:rsid w:val="00896DA2"/>
    <w:rsid w:val="00896E2B"/>
    <w:rsid w:val="00896F55"/>
    <w:rsid w:val="0089713E"/>
    <w:rsid w:val="008971A4"/>
    <w:rsid w:val="008972AA"/>
    <w:rsid w:val="008972FB"/>
    <w:rsid w:val="008A014D"/>
    <w:rsid w:val="008A07D1"/>
    <w:rsid w:val="008A08DA"/>
    <w:rsid w:val="008A0900"/>
    <w:rsid w:val="008A0CF0"/>
    <w:rsid w:val="008A10F3"/>
    <w:rsid w:val="008A1A2F"/>
    <w:rsid w:val="008A2270"/>
    <w:rsid w:val="008A27CD"/>
    <w:rsid w:val="008A28FA"/>
    <w:rsid w:val="008A2E81"/>
    <w:rsid w:val="008A3049"/>
    <w:rsid w:val="008A306A"/>
    <w:rsid w:val="008A306E"/>
    <w:rsid w:val="008A3F15"/>
    <w:rsid w:val="008A4171"/>
    <w:rsid w:val="008A46D6"/>
    <w:rsid w:val="008A4887"/>
    <w:rsid w:val="008A4A49"/>
    <w:rsid w:val="008A4D60"/>
    <w:rsid w:val="008A53EE"/>
    <w:rsid w:val="008A5AA9"/>
    <w:rsid w:val="008A5C0F"/>
    <w:rsid w:val="008A6703"/>
    <w:rsid w:val="008A67B2"/>
    <w:rsid w:val="008A6CF5"/>
    <w:rsid w:val="008A6FE4"/>
    <w:rsid w:val="008A714C"/>
    <w:rsid w:val="008A7373"/>
    <w:rsid w:val="008A7696"/>
    <w:rsid w:val="008A7AA1"/>
    <w:rsid w:val="008B00BA"/>
    <w:rsid w:val="008B012A"/>
    <w:rsid w:val="008B1036"/>
    <w:rsid w:val="008B10E4"/>
    <w:rsid w:val="008B1596"/>
    <w:rsid w:val="008B16F0"/>
    <w:rsid w:val="008B31A6"/>
    <w:rsid w:val="008B3ACF"/>
    <w:rsid w:val="008B4062"/>
    <w:rsid w:val="008B4FCA"/>
    <w:rsid w:val="008B506A"/>
    <w:rsid w:val="008B56D7"/>
    <w:rsid w:val="008B5977"/>
    <w:rsid w:val="008B6206"/>
    <w:rsid w:val="008B6218"/>
    <w:rsid w:val="008B6287"/>
    <w:rsid w:val="008B63EC"/>
    <w:rsid w:val="008B6E2F"/>
    <w:rsid w:val="008B7A43"/>
    <w:rsid w:val="008B7A9F"/>
    <w:rsid w:val="008C03FD"/>
    <w:rsid w:val="008C06A5"/>
    <w:rsid w:val="008C0807"/>
    <w:rsid w:val="008C09C4"/>
    <w:rsid w:val="008C0B7B"/>
    <w:rsid w:val="008C0D83"/>
    <w:rsid w:val="008C144D"/>
    <w:rsid w:val="008C1492"/>
    <w:rsid w:val="008C1598"/>
    <w:rsid w:val="008C165B"/>
    <w:rsid w:val="008C1C76"/>
    <w:rsid w:val="008C1F44"/>
    <w:rsid w:val="008C20D9"/>
    <w:rsid w:val="008C219C"/>
    <w:rsid w:val="008C22F1"/>
    <w:rsid w:val="008C2446"/>
    <w:rsid w:val="008C256E"/>
    <w:rsid w:val="008C2593"/>
    <w:rsid w:val="008C2875"/>
    <w:rsid w:val="008C2FCC"/>
    <w:rsid w:val="008C340A"/>
    <w:rsid w:val="008C3A4A"/>
    <w:rsid w:val="008C3AAF"/>
    <w:rsid w:val="008C4014"/>
    <w:rsid w:val="008C4392"/>
    <w:rsid w:val="008C476A"/>
    <w:rsid w:val="008C4857"/>
    <w:rsid w:val="008C507B"/>
    <w:rsid w:val="008C5C68"/>
    <w:rsid w:val="008C5CDB"/>
    <w:rsid w:val="008C5F0F"/>
    <w:rsid w:val="008C646F"/>
    <w:rsid w:val="008C65B6"/>
    <w:rsid w:val="008C6B6E"/>
    <w:rsid w:val="008C6C1C"/>
    <w:rsid w:val="008C73E8"/>
    <w:rsid w:val="008D016B"/>
    <w:rsid w:val="008D0258"/>
    <w:rsid w:val="008D08DC"/>
    <w:rsid w:val="008D0EE3"/>
    <w:rsid w:val="008D12D7"/>
    <w:rsid w:val="008D1D6A"/>
    <w:rsid w:val="008D2AC2"/>
    <w:rsid w:val="008D3C8E"/>
    <w:rsid w:val="008D41F1"/>
    <w:rsid w:val="008D429B"/>
    <w:rsid w:val="008D4349"/>
    <w:rsid w:val="008D4374"/>
    <w:rsid w:val="008D45B1"/>
    <w:rsid w:val="008D4689"/>
    <w:rsid w:val="008D48FF"/>
    <w:rsid w:val="008D4D22"/>
    <w:rsid w:val="008D50EA"/>
    <w:rsid w:val="008D53A4"/>
    <w:rsid w:val="008D61A7"/>
    <w:rsid w:val="008D61F2"/>
    <w:rsid w:val="008D64F1"/>
    <w:rsid w:val="008D6812"/>
    <w:rsid w:val="008D76CA"/>
    <w:rsid w:val="008E0007"/>
    <w:rsid w:val="008E0179"/>
    <w:rsid w:val="008E0374"/>
    <w:rsid w:val="008E130E"/>
    <w:rsid w:val="008E1426"/>
    <w:rsid w:val="008E145C"/>
    <w:rsid w:val="008E16B0"/>
    <w:rsid w:val="008E1AA7"/>
    <w:rsid w:val="008E1D5A"/>
    <w:rsid w:val="008E2D53"/>
    <w:rsid w:val="008E3E4B"/>
    <w:rsid w:val="008E43A6"/>
    <w:rsid w:val="008E45E7"/>
    <w:rsid w:val="008E4710"/>
    <w:rsid w:val="008E4923"/>
    <w:rsid w:val="008E4EF9"/>
    <w:rsid w:val="008E557B"/>
    <w:rsid w:val="008E5A0C"/>
    <w:rsid w:val="008E5C7E"/>
    <w:rsid w:val="008E6286"/>
    <w:rsid w:val="008E62F5"/>
    <w:rsid w:val="008E692A"/>
    <w:rsid w:val="008E693F"/>
    <w:rsid w:val="008E6DFC"/>
    <w:rsid w:val="008E6F6F"/>
    <w:rsid w:val="008E71F0"/>
    <w:rsid w:val="008E720C"/>
    <w:rsid w:val="008E7710"/>
    <w:rsid w:val="008E7A26"/>
    <w:rsid w:val="008F082F"/>
    <w:rsid w:val="008F0A1E"/>
    <w:rsid w:val="008F0FD3"/>
    <w:rsid w:val="008F104E"/>
    <w:rsid w:val="008F13D6"/>
    <w:rsid w:val="008F1E9C"/>
    <w:rsid w:val="008F2795"/>
    <w:rsid w:val="008F2DE7"/>
    <w:rsid w:val="008F2F6F"/>
    <w:rsid w:val="008F356B"/>
    <w:rsid w:val="008F35D0"/>
    <w:rsid w:val="008F3AB7"/>
    <w:rsid w:val="008F3D19"/>
    <w:rsid w:val="008F3D6C"/>
    <w:rsid w:val="008F4846"/>
    <w:rsid w:val="008F485A"/>
    <w:rsid w:val="008F4E06"/>
    <w:rsid w:val="008F55CC"/>
    <w:rsid w:val="008F58B6"/>
    <w:rsid w:val="008F660E"/>
    <w:rsid w:val="008F6791"/>
    <w:rsid w:val="008F6978"/>
    <w:rsid w:val="008F6980"/>
    <w:rsid w:val="008F7D12"/>
    <w:rsid w:val="008F7DB1"/>
    <w:rsid w:val="0090028B"/>
    <w:rsid w:val="009002E7"/>
    <w:rsid w:val="009003D0"/>
    <w:rsid w:val="00900461"/>
    <w:rsid w:val="00900D4D"/>
    <w:rsid w:val="009010DF"/>
    <w:rsid w:val="00901176"/>
    <w:rsid w:val="009012FC"/>
    <w:rsid w:val="0090131A"/>
    <w:rsid w:val="009015DD"/>
    <w:rsid w:val="00901D76"/>
    <w:rsid w:val="00902AD0"/>
    <w:rsid w:val="00902D59"/>
    <w:rsid w:val="009030EF"/>
    <w:rsid w:val="009032BC"/>
    <w:rsid w:val="00903483"/>
    <w:rsid w:val="0090380F"/>
    <w:rsid w:val="00903F34"/>
    <w:rsid w:val="00904255"/>
    <w:rsid w:val="009042F9"/>
    <w:rsid w:val="00904623"/>
    <w:rsid w:val="009046F5"/>
    <w:rsid w:val="00905449"/>
    <w:rsid w:val="009055C4"/>
    <w:rsid w:val="009056DA"/>
    <w:rsid w:val="009059F9"/>
    <w:rsid w:val="00905C0A"/>
    <w:rsid w:val="00906028"/>
    <w:rsid w:val="009063D4"/>
    <w:rsid w:val="00906B32"/>
    <w:rsid w:val="00906D6E"/>
    <w:rsid w:val="00906DFF"/>
    <w:rsid w:val="00906F6E"/>
    <w:rsid w:val="00907110"/>
    <w:rsid w:val="00907827"/>
    <w:rsid w:val="00911342"/>
    <w:rsid w:val="00911D3A"/>
    <w:rsid w:val="009122F8"/>
    <w:rsid w:val="009124CB"/>
    <w:rsid w:val="00912568"/>
    <w:rsid w:val="00912915"/>
    <w:rsid w:val="00912CAE"/>
    <w:rsid w:val="00912F1A"/>
    <w:rsid w:val="009132BB"/>
    <w:rsid w:val="00913870"/>
    <w:rsid w:val="00913A0B"/>
    <w:rsid w:val="0091416C"/>
    <w:rsid w:val="009142F6"/>
    <w:rsid w:val="00914F48"/>
    <w:rsid w:val="009151EE"/>
    <w:rsid w:val="009152CF"/>
    <w:rsid w:val="009154B5"/>
    <w:rsid w:val="00915520"/>
    <w:rsid w:val="009155DC"/>
    <w:rsid w:val="009155F7"/>
    <w:rsid w:val="00915EA2"/>
    <w:rsid w:val="00915F3D"/>
    <w:rsid w:val="00917281"/>
    <w:rsid w:val="0091784D"/>
    <w:rsid w:val="009178DF"/>
    <w:rsid w:val="00917AA0"/>
    <w:rsid w:val="00917BCC"/>
    <w:rsid w:val="009201BD"/>
    <w:rsid w:val="0092075A"/>
    <w:rsid w:val="00920AE6"/>
    <w:rsid w:val="00920B55"/>
    <w:rsid w:val="00921131"/>
    <w:rsid w:val="009213FB"/>
    <w:rsid w:val="00922615"/>
    <w:rsid w:val="00922B82"/>
    <w:rsid w:val="00922D8A"/>
    <w:rsid w:val="00922FDC"/>
    <w:rsid w:val="0092363C"/>
    <w:rsid w:val="009238F7"/>
    <w:rsid w:val="00923C63"/>
    <w:rsid w:val="00923E1F"/>
    <w:rsid w:val="00924605"/>
    <w:rsid w:val="009247F5"/>
    <w:rsid w:val="00924966"/>
    <w:rsid w:val="00924F81"/>
    <w:rsid w:val="0092505E"/>
    <w:rsid w:val="00925717"/>
    <w:rsid w:val="00925875"/>
    <w:rsid w:val="009258B0"/>
    <w:rsid w:val="009263C1"/>
    <w:rsid w:val="00926AB2"/>
    <w:rsid w:val="00926DD4"/>
    <w:rsid w:val="00927471"/>
    <w:rsid w:val="00927593"/>
    <w:rsid w:val="00927A95"/>
    <w:rsid w:val="00927C17"/>
    <w:rsid w:val="00927C43"/>
    <w:rsid w:val="00927C5C"/>
    <w:rsid w:val="00927CA6"/>
    <w:rsid w:val="00927CEF"/>
    <w:rsid w:val="00931648"/>
    <w:rsid w:val="00931854"/>
    <w:rsid w:val="00931CE0"/>
    <w:rsid w:val="0093226B"/>
    <w:rsid w:val="009324E2"/>
    <w:rsid w:val="0093262B"/>
    <w:rsid w:val="00932B80"/>
    <w:rsid w:val="00932CFD"/>
    <w:rsid w:val="00933589"/>
    <w:rsid w:val="0093394F"/>
    <w:rsid w:val="0093409F"/>
    <w:rsid w:val="009343E5"/>
    <w:rsid w:val="00934AA9"/>
    <w:rsid w:val="00935085"/>
    <w:rsid w:val="0093523F"/>
    <w:rsid w:val="009356BA"/>
    <w:rsid w:val="00935723"/>
    <w:rsid w:val="00935864"/>
    <w:rsid w:val="00936715"/>
    <w:rsid w:val="00936D0E"/>
    <w:rsid w:val="00937264"/>
    <w:rsid w:val="009373D3"/>
    <w:rsid w:val="009376F6"/>
    <w:rsid w:val="00940237"/>
    <w:rsid w:val="0094075F"/>
    <w:rsid w:val="009407FE"/>
    <w:rsid w:val="009408C8"/>
    <w:rsid w:val="00940D71"/>
    <w:rsid w:val="009410B7"/>
    <w:rsid w:val="009413D6"/>
    <w:rsid w:val="00941710"/>
    <w:rsid w:val="00941A2E"/>
    <w:rsid w:val="00941E3E"/>
    <w:rsid w:val="00942066"/>
    <w:rsid w:val="00942436"/>
    <w:rsid w:val="00942F78"/>
    <w:rsid w:val="00943263"/>
    <w:rsid w:val="00943358"/>
    <w:rsid w:val="0094344C"/>
    <w:rsid w:val="00943D7E"/>
    <w:rsid w:val="00944217"/>
    <w:rsid w:val="00945827"/>
    <w:rsid w:val="00945B1A"/>
    <w:rsid w:val="00945F98"/>
    <w:rsid w:val="00946A2C"/>
    <w:rsid w:val="00946F1E"/>
    <w:rsid w:val="00947716"/>
    <w:rsid w:val="009478F2"/>
    <w:rsid w:val="009479D1"/>
    <w:rsid w:val="00947BFD"/>
    <w:rsid w:val="00947D7E"/>
    <w:rsid w:val="00950019"/>
    <w:rsid w:val="009507C1"/>
    <w:rsid w:val="00950F35"/>
    <w:rsid w:val="0095154F"/>
    <w:rsid w:val="00951563"/>
    <w:rsid w:val="00951CD9"/>
    <w:rsid w:val="00951FA4"/>
    <w:rsid w:val="009522EE"/>
    <w:rsid w:val="00952623"/>
    <w:rsid w:val="00952AC8"/>
    <w:rsid w:val="00952B49"/>
    <w:rsid w:val="00952B8A"/>
    <w:rsid w:val="00952CA0"/>
    <w:rsid w:val="00952FFB"/>
    <w:rsid w:val="009535DE"/>
    <w:rsid w:val="0095361B"/>
    <w:rsid w:val="00953A5A"/>
    <w:rsid w:val="00953D70"/>
    <w:rsid w:val="00954726"/>
    <w:rsid w:val="00954740"/>
    <w:rsid w:val="009548F4"/>
    <w:rsid w:val="00954A61"/>
    <w:rsid w:val="00954DDD"/>
    <w:rsid w:val="00954FE0"/>
    <w:rsid w:val="00955B2E"/>
    <w:rsid w:val="00956110"/>
    <w:rsid w:val="00956F14"/>
    <w:rsid w:val="0095738D"/>
    <w:rsid w:val="00957603"/>
    <w:rsid w:val="009576F3"/>
    <w:rsid w:val="009577E3"/>
    <w:rsid w:val="009579A2"/>
    <w:rsid w:val="00957A1D"/>
    <w:rsid w:val="00957BC0"/>
    <w:rsid w:val="009600F7"/>
    <w:rsid w:val="00960369"/>
    <w:rsid w:val="009607A2"/>
    <w:rsid w:val="009610A9"/>
    <w:rsid w:val="00961671"/>
    <w:rsid w:val="0096176B"/>
    <w:rsid w:val="00961AC1"/>
    <w:rsid w:val="0096276A"/>
    <w:rsid w:val="00962BC9"/>
    <w:rsid w:val="00963F8F"/>
    <w:rsid w:val="00964013"/>
    <w:rsid w:val="00964263"/>
    <w:rsid w:val="0096487B"/>
    <w:rsid w:val="00964A07"/>
    <w:rsid w:val="00964F58"/>
    <w:rsid w:val="00965462"/>
    <w:rsid w:val="00965885"/>
    <w:rsid w:val="00965CD1"/>
    <w:rsid w:val="00966934"/>
    <w:rsid w:val="00966C39"/>
    <w:rsid w:val="0097029C"/>
    <w:rsid w:val="00970460"/>
    <w:rsid w:val="009705CC"/>
    <w:rsid w:val="009705F4"/>
    <w:rsid w:val="00970874"/>
    <w:rsid w:val="00970B08"/>
    <w:rsid w:val="009711FF"/>
    <w:rsid w:val="00971B48"/>
    <w:rsid w:val="00972583"/>
    <w:rsid w:val="00972963"/>
    <w:rsid w:val="00972ECE"/>
    <w:rsid w:val="0097326D"/>
    <w:rsid w:val="009734B3"/>
    <w:rsid w:val="00973500"/>
    <w:rsid w:val="009736FE"/>
    <w:rsid w:val="00973AC4"/>
    <w:rsid w:val="00973E29"/>
    <w:rsid w:val="0097488A"/>
    <w:rsid w:val="009757D1"/>
    <w:rsid w:val="00975968"/>
    <w:rsid w:val="00975EB9"/>
    <w:rsid w:val="00976A76"/>
    <w:rsid w:val="00976AB7"/>
    <w:rsid w:val="00976ABE"/>
    <w:rsid w:val="009777B0"/>
    <w:rsid w:val="00980381"/>
    <w:rsid w:val="00980754"/>
    <w:rsid w:val="009808FC"/>
    <w:rsid w:val="00980D7C"/>
    <w:rsid w:val="00980F74"/>
    <w:rsid w:val="00980FAC"/>
    <w:rsid w:val="00981035"/>
    <w:rsid w:val="0098133A"/>
    <w:rsid w:val="00981443"/>
    <w:rsid w:val="00981535"/>
    <w:rsid w:val="009825C8"/>
    <w:rsid w:val="00982B12"/>
    <w:rsid w:val="009832B9"/>
    <w:rsid w:val="009832E0"/>
    <w:rsid w:val="00983531"/>
    <w:rsid w:val="00983A38"/>
    <w:rsid w:val="0098409F"/>
    <w:rsid w:val="009840AE"/>
    <w:rsid w:val="0098437C"/>
    <w:rsid w:val="00984616"/>
    <w:rsid w:val="00984A55"/>
    <w:rsid w:val="00984BF1"/>
    <w:rsid w:val="0098527B"/>
    <w:rsid w:val="00985473"/>
    <w:rsid w:val="00985537"/>
    <w:rsid w:val="00985C01"/>
    <w:rsid w:val="00986130"/>
    <w:rsid w:val="00986438"/>
    <w:rsid w:val="00986885"/>
    <w:rsid w:val="00986B6C"/>
    <w:rsid w:val="00987663"/>
    <w:rsid w:val="00987A81"/>
    <w:rsid w:val="00987C5E"/>
    <w:rsid w:val="00987CB5"/>
    <w:rsid w:val="009903BA"/>
    <w:rsid w:val="009903D4"/>
    <w:rsid w:val="00990ADD"/>
    <w:rsid w:val="009911B1"/>
    <w:rsid w:val="00991698"/>
    <w:rsid w:val="009917DA"/>
    <w:rsid w:val="009917E7"/>
    <w:rsid w:val="00991AE2"/>
    <w:rsid w:val="00991C17"/>
    <w:rsid w:val="00991C34"/>
    <w:rsid w:val="00991E73"/>
    <w:rsid w:val="00991EC6"/>
    <w:rsid w:val="00991F66"/>
    <w:rsid w:val="0099274D"/>
    <w:rsid w:val="00992D1E"/>
    <w:rsid w:val="00992D66"/>
    <w:rsid w:val="00993405"/>
    <w:rsid w:val="009934CE"/>
    <w:rsid w:val="0099370D"/>
    <w:rsid w:val="00993E88"/>
    <w:rsid w:val="009946A1"/>
    <w:rsid w:val="009947D7"/>
    <w:rsid w:val="00994819"/>
    <w:rsid w:val="00994A54"/>
    <w:rsid w:val="00994C7B"/>
    <w:rsid w:val="00994D1A"/>
    <w:rsid w:val="0099509C"/>
    <w:rsid w:val="00995D8E"/>
    <w:rsid w:val="009965D6"/>
    <w:rsid w:val="009967D0"/>
    <w:rsid w:val="009969E4"/>
    <w:rsid w:val="009969FD"/>
    <w:rsid w:val="0099743F"/>
    <w:rsid w:val="00997EB2"/>
    <w:rsid w:val="009A036C"/>
    <w:rsid w:val="009A054C"/>
    <w:rsid w:val="009A06F5"/>
    <w:rsid w:val="009A0788"/>
    <w:rsid w:val="009A0E92"/>
    <w:rsid w:val="009A0EF5"/>
    <w:rsid w:val="009A0FF3"/>
    <w:rsid w:val="009A12D9"/>
    <w:rsid w:val="009A1417"/>
    <w:rsid w:val="009A17EC"/>
    <w:rsid w:val="009A1A4A"/>
    <w:rsid w:val="009A231F"/>
    <w:rsid w:val="009A236A"/>
    <w:rsid w:val="009A25D3"/>
    <w:rsid w:val="009A3345"/>
    <w:rsid w:val="009A3D83"/>
    <w:rsid w:val="009A3F02"/>
    <w:rsid w:val="009A4B99"/>
    <w:rsid w:val="009A555A"/>
    <w:rsid w:val="009A63AE"/>
    <w:rsid w:val="009A667A"/>
    <w:rsid w:val="009A6DB2"/>
    <w:rsid w:val="009A759F"/>
    <w:rsid w:val="009A7743"/>
    <w:rsid w:val="009A79BB"/>
    <w:rsid w:val="009A7C0F"/>
    <w:rsid w:val="009A7FD0"/>
    <w:rsid w:val="009B01D4"/>
    <w:rsid w:val="009B03DF"/>
    <w:rsid w:val="009B0675"/>
    <w:rsid w:val="009B069F"/>
    <w:rsid w:val="009B183F"/>
    <w:rsid w:val="009B1B2E"/>
    <w:rsid w:val="009B1E3A"/>
    <w:rsid w:val="009B1EAB"/>
    <w:rsid w:val="009B208B"/>
    <w:rsid w:val="009B2232"/>
    <w:rsid w:val="009B2307"/>
    <w:rsid w:val="009B2505"/>
    <w:rsid w:val="009B2A43"/>
    <w:rsid w:val="009B2D84"/>
    <w:rsid w:val="009B3BD3"/>
    <w:rsid w:val="009B3E2E"/>
    <w:rsid w:val="009B3FBB"/>
    <w:rsid w:val="009B4B4A"/>
    <w:rsid w:val="009B5BAE"/>
    <w:rsid w:val="009B636F"/>
    <w:rsid w:val="009B63FB"/>
    <w:rsid w:val="009B6AF0"/>
    <w:rsid w:val="009B6CE4"/>
    <w:rsid w:val="009B75F8"/>
    <w:rsid w:val="009B7EE8"/>
    <w:rsid w:val="009C0579"/>
    <w:rsid w:val="009C09F3"/>
    <w:rsid w:val="009C0CD2"/>
    <w:rsid w:val="009C0E43"/>
    <w:rsid w:val="009C10E9"/>
    <w:rsid w:val="009C128C"/>
    <w:rsid w:val="009C1604"/>
    <w:rsid w:val="009C1893"/>
    <w:rsid w:val="009C1E96"/>
    <w:rsid w:val="009C20A8"/>
    <w:rsid w:val="009C24C9"/>
    <w:rsid w:val="009C256E"/>
    <w:rsid w:val="009C292D"/>
    <w:rsid w:val="009C2E0C"/>
    <w:rsid w:val="009C3726"/>
    <w:rsid w:val="009C3903"/>
    <w:rsid w:val="009C4094"/>
    <w:rsid w:val="009C4770"/>
    <w:rsid w:val="009C4DE6"/>
    <w:rsid w:val="009C4F80"/>
    <w:rsid w:val="009C50F1"/>
    <w:rsid w:val="009C5398"/>
    <w:rsid w:val="009C55DE"/>
    <w:rsid w:val="009C5A51"/>
    <w:rsid w:val="009C5F0C"/>
    <w:rsid w:val="009C67C0"/>
    <w:rsid w:val="009C6C4B"/>
    <w:rsid w:val="009C788D"/>
    <w:rsid w:val="009C7D32"/>
    <w:rsid w:val="009D0B9E"/>
    <w:rsid w:val="009D0BD7"/>
    <w:rsid w:val="009D0C18"/>
    <w:rsid w:val="009D1035"/>
    <w:rsid w:val="009D1059"/>
    <w:rsid w:val="009D13D0"/>
    <w:rsid w:val="009D1B09"/>
    <w:rsid w:val="009D2068"/>
    <w:rsid w:val="009D2836"/>
    <w:rsid w:val="009D2DD7"/>
    <w:rsid w:val="009D363D"/>
    <w:rsid w:val="009D38C0"/>
    <w:rsid w:val="009D41CC"/>
    <w:rsid w:val="009D4D46"/>
    <w:rsid w:val="009D575B"/>
    <w:rsid w:val="009D5788"/>
    <w:rsid w:val="009D5A47"/>
    <w:rsid w:val="009D6113"/>
    <w:rsid w:val="009D6193"/>
    <w:rsid w:val="009D670C"/>
    <w:rsid w:val="009D6BC5"/>
    <w:rsid w:val="009D6D5D"/>
    <w:rsid w:val="009D6DA4"/>
    <w:rsid w:val="009D7158"/>
    <w:rsid w:val="009D7470"/>
    <w:rsid w:val="009D74D1"/>
    <w:rsid w:val="009D7861"/>
    <w:rsid w:val="009D7D33"/>
    <w:rsid w:val="009E01FC"/>
    <w:rsid w:val="009E0317"/>
    <w:rsid w:val="009E0419"/>
    <w:rsid w:val="009E0C8D"/>
    <w:rsid w:val="009E1999"/>
    <w:rsid w:val="009E1E79"/>
    <w:rsid w:val="009E1E81"/>
    <w:rsid w:val="009E237C"/>
    <w:rsid w:val="009E24E7"/>
    <w:rsid w:val="009E2F1C"/>
    <w:rsid w:val="009E305C"/>
    <w:rsid w:val="009E324D"/>
    <w:rsid w:val="009E39E2"/>
    <w:rsid w:val="009E3BFE"/>
    <w:rsid w:val="009E4478"/>
    <w:rsid w:val="009E459A"/>
    <w:rsid w:val="009E46BF"/>
    <w:rsid w:val="009E4DD4"/>
    <w:rsid w:val="009E4E3F"/>
    <w:rsid w:val="009E5B49"/>
    <w:rsid w:val="009E600C"/>
    <w:rsid w:val="009E6224"/>
    <w:rsid w:val="009E64B8"/>
    <w:rsid w:val="009E698B"/>
    <w:rsid w:val="009E69E8"/>
    <w:rsid w:val="009E6D4A"/>
    <w:rsid w:val="009E7B36"/>
    <w:rsid w:val="009E7C2F"/>
    <w:rsid w:val="009E7CC2"/>
    <w:rsid w:val="009F004F"/>
    <w:rsid w:val="009F044B"/>
    <w:rsid w:val="009F06AA"/>
    <w:rsid w:val="009F0BB6"/>
    <w:rsid w:val="009F0BED"/>
    <w:rsid w:val="009F0F0A"/>
    <w:rsid w:val="009F0F77"/>
    <w:rsid w:val="009F0FBE"/>
    <w:rsid w:val="009F1070"/>
    <w:rsid w:val="009F1547"/>
    <w:rsid w:val="009F169E"/>
    <w:rsid w:val="009F1A08"/>
    <w:rsid w:val="009F1A1B"/>
    <w:rsid w:val="009F1CB5"/>
    <w:rsid w:val="009F1CBF"/>
    <w:rsid w:val="009F1E07"/>
    <w:rsid w:val="009F2542"/>
    <w:rsid w:val="009F29E6"/>
    <w:rsid w:val="009F2BAF"/>
    <w:rsid w:val="009F2D6C"/>
    <w:rsid w:val="009F3350"/>
    <w:rsid w:val="009F3475"/>
    <w:rsid w:val="009F3836"/>
    <w:rsid w:val="009F3B7D"/>
    <w:rsid w:val="009F47E8"/>
    <w:rsid w:val="009F4ABA"/>
    <w:rsid w:val="009F50F4"/>
    <w:rsid w:val="009F5415"/>
    <w:rsid w:val="009F55FF"/>
    <w:rsid w:val="009F636C"/>
    <w:rsid w:val="009F6FEF"/>
    <w:rsid w:val="009F71BE"/>
    <w:rsid w:val="009F7257"/>
    <w:rsid w:val="009F76E3"/>
    <w:rsid w:val="009F7706"/>
    <w:rsid w:val="009F7AA4"/>
    <w:rsid w:val="00A00317"/>
    <w:rsid w:val="00A008C2"/>
    <w:rsid w:val="00A00963"/>
    <w:rsid w:val="00A01159"/>
    <w:rsid w:val="00A0167D"/>
    <w:rsid w:val="00A01913"/>
    <w:rsid w:val="00A01D0B"/>
    <w:rsid w:val="00A02078"/>
    <w:rsid w:val="00A02A9B"/>
    <w:rsid w:val="00A02BBE"/>
    <w:rsid w:val="00A02D14"/>
    <w:rsid w:val="00A03456"/>
    <w:rsid w:val="00A03C7A"/>
    <w:rsid w:val="00A042AB"/>
    <w:rsid w:val="00A0530B"/>
    <w:rsid w:val="00A053F6"/>
    <w:rsid w:val="00A05782"/>
    <w:rsid w:val="00A057DA"/>
    <w:rsid w:val="00A057FA"/>
    <w:rsid w:val="00A0598C"/>
    <w:rsid w:val="00A05C7D"/>
    <w:rsid w:val="00A063D6"/>
    <w:rsid w:val="00A066AE"/>
    <w:rsid w:val="00A06BEF"/>
    <w:rsid w:val="00A10DD9"/>
    <w:rsid w:val="00A1117F"/>
    <w:rsid w:val="00A11ACF"/>
    <w:rsid w:val="00A11D21"/>
    <w:rsid w:val="00A12565"/>
    <w:rsid w:val="00A12758"/>
    <w:rsid w:val="00A12C6B"/>
    <w:rsid w:val="00A12E41"/>
    <w:rsid w:val="00A12FE6"/>
    <w:rsid w:val="00A13151"/>
    <w:rsid w:val="00A13376"/>
    <w:rsid w:val="00A1345C"/>
    <w:rsid w:val="00A13525"/>
    <w:rsid w:val="00A13E8A"/>
    <w:rsid w:val="00A1407B"/>
    <w:rsid w:val="00A14117"/>
    <w:rsid w:val="00A145F3"/>
    <w:rsid w:val="00A14757"/>
    <w:rsid w:val="00A14828"/>
    <w:rsid w:val="00A149A2"/>
    <w:rsid w:val="00A149FA"/>
    <w:rsid w:val="00A14E09"/>
    <w:rsid w:val="00A15050"/>
    <w:rsid w:val="00A153A1"/>
    <w:rsid w:val="00A15719"/>
    <w:rsid w:val="00A158AE"/>
    <w:rsid w:val="00A15FB8"/>
    <w:rsid w:val="00A16587"/>
    <w:rsid w:val="00A166F7"/>
    <w:rsid w:val="00A17630"/>
    <w:rsid w:val="00A17DF0"/>
    <w:rsid w:val="00A2058C"/>
    <w:rsid w:val="00A20C1A"/>
    <w:rsid w:val="00A20D01"/>
    <w:rsid w:val="00A20F78"/>
    <w:rsid w:val="00A21383"/>
    <w:rsid w:val="00A218F1"/>
    <w:rsid w:val="00A21BA4"/>
    <w:rsid w:val="00A21D1D"/>
    <w:rsid w:val="00A22250"/>
    <w:rsid w:val="00A22380"/>
    <w:rsid w:val="00A2263C"/>
    <w:rsid w:val="00A2436A"/>
    <w:rsid w:val="00A24394"/>
    <w:rsid w:val="00A2448F"/>
    <w:rsid w:val="00A24F2A"/>
    <w:rsid w:val="00A258FB"/>
    <w:rsid w:val="00A25AB1"/>
    <w:rsid w:val="00A25BCD"/>
    <w:rsid w:val="00A26060"/>
    <w:rsid w:val="00A26560"/>
    <w:rsid w:val="00A269C9"/>
    <w:rsid w:val="00A27070"/>
    <w:rsid w:val="00A27271"/>
    <w:rsid w:val="00A273E8"/>
    <w:rsid w:val="00A2784E"/>
    <w:rsid w:val="00A27CED"/>
    <w:rsid w:val="00A27DEE"/>
    <w:rsid w:val="00A30C52"/>
    <w:rsid w:val="00A311E9"/>
    <w:rsid w:val="00A31563"/>
    <w:rsid w:val="00A315A8"/>
    <w:rsid w:val="00A31932"/>
    <w:rsid w:val="00A31B93"/>
    <w:rsid w:val="00A31F82"/>
    <w:rsid w:val="00A3202D"/>
    <w:rsid w:val="00A321B1"/>
    <w:rsid w:val="00A32217"/>
    <w:rsid w:val="00A32EB7"/>
    <w:rsid w:val="00A3376E"/>
    <w:rsid w:val="00A33BD6"/>
    <w:rsid w:val="00A34802"/>
    <w:rsid w:val="00A34C4D"/>
    <w:rsid w:val="00A34E06"/>
    <w:rsid w:val="00A34FFC"/>
    <w:rsid w:val="00A35910"/>
    <w:rsid w:val="00A35ADD"/>
    <w:rsid w:val="00A35B9D"/>
    <w:rsid w:val="00A35C46"/>
    <w:rsid w:val="00A35D32"/>
    <w:rsid w:val="00A36749"/>
    <w:rsid w:val="00A36BD6"/>
    <w:rsid w:val="00A36F9C"/>
    <w:rsid w:val="00A373F7"/>
    <w:rsid w:val="00A375EF"/>
    <w:rsid w:val="00A37711"/>
    <w:rsid w:val="00A377CD"/>
    <w:rsid w:val="00A37896"/>
    <w:rsid w:val="00A40643"/>
    <w:rsid w:val="00A407C8"/>
    <w:rsid w:val="00A40981"/>
    <w:rsid w:val="00A41757"/>
    <w:rsid w:val="00A423C4"/>
    <w:rsid w:val="00A4294B"/>
    <w:rsid w:val="00A42EA9"/>
    <w:rsid w:val="00A43195"/>
    <w:rsid w:val="00A4342E"/>
    <w:rsid w:val="00A440E1"/>
    <w:rsid w:val="00A444BE"/>
    <w:rsid w:val="00A444FC"/>
    <w:rsid w:val="00A4509B"/>
    <w:rsid w:val="00A457C2"/>
    <w:rsid w:val="00A45BB3"/>
    <w:rsid w:val="00A46CD5"/>
    <w:rsid w:val="00A46D7F"/>
    <w:rsid w:val="00A470A0"/>
    <w:rsid w:val="00A47356"/>
    <w:rsid w:val="00A475C5"/>
    <w:rsid w:val="00A47B68"/>
    <w:rsid w:val="00A51415"/>
    <w:rsid w:val="00A51751"/>
    <w:rsid w:val="00A517B6"/>
    <w:rsid w:val="00A517F5"/>
    <w:rsid w:val="00A519B0"/>
    <w:rsid w:val="00A5221B"/>
    <w:rsid w:val="00A525A0"/>
    <w:rsid w:val="00A526BD"/>
    <w:rsid w:val="00A528C2"/>
    <w:rsid w:val="00A52B18"/>
    <w:rsid w:val="00A53930"/>
    <w:rsid w:val="00A53A5D"/>
    <w:rsid w:val="00A53B8A"/>
    <w:rsid w:val="00A53BEB"/>
    <w:rsid w:val="00A5433A"/>
    <w:rsid w:val="00A54AFD"/>
    <w:rsid w:val="00A54E69"/>
    <w:rsid w:val="00A55857"/>
    <w:rsid w:val="00A5656E"/>
    <w:rsid w:val="00A567BB"/>
    <w:rsid w:val="00A56BFE"/>
    <w:rsid w:val="00A56F2F"/>
    <w:rsid w:val="00A576D3"/>
    <w:rsid w:val="00A603C7"/>
    <w:rsid w:val="00A60FC9"/>
    <w:rsid w:val="00A61080"/>
    <w:rsid w:val="00A61652"/>
    <w:rsid w:val="00A61833"/>
    <w:rsid w:val="00A61A32"/>
    <w:rsid w:val="00A61B06"/>
    <w:rsid w:val="00A61C8F"/>
    <w:rsid w:val="00A61F1A"/>
    <w:rsid w:val="00A61FF9"/>
    <w:rsid w:val="00A62113"/>
    <w:rsid w:val="00A62736"/>
    <w:rsid w:val="00A62B40"/>
    <w:rsid w:val="00A62BD7"/>
    <w:rsid w:val="00A62D1C"/>
    <w:rsid w:val="00A630BE"/>
    <w:rsid w:val="00A63230"/>
    <w:rsid w:val="00A63379"/>
    <w:rsid w:val="00A633EB"/>
    <w:rsid w:val="00A63774"/>
    <w:rsid w:val="00A6386A"/>
    <w:rsid w:val="00A64872"/>
    <w:rsid w:val="00A64AD7"/>
    <w:rsid w:val="00A65529"/>
    <w:rsid w:val="00A65900"/>
    <w:rsid w:val="00A65B15"/>
    <w:rsid w:val="00A65EE2"/>
    <w:rsid w:val="00A66321"/>
    <w:rsid w:val="00A6649C"/>
    <w:rsid w:val="00A66711"/>
    <w:rsid w:val="00A66796"/>
    <w:rsid w:val="00A66DCF"/>
    <w:rsid w:val="00A67357"/>
    <w:rsid w:val="00A674DE"/>
    <w:rsid w:val="00A6759C"/>
    <w:rsid w:val="00A6760C"/>
    <w:rsid w:val="00A67639"/>
    <w:rsid w:val="00A67923"/>
    <w:rsid w:val="00A70033"/>
    <w:rsid w:val="00A7015E"/>
    <w:rsid w:val="00A702ED"/>
    <w:rsid w:val="00A70932"/>
    <w:rsid w:val="00A711A4"/>
    <w:rsid w:val="00A71345"/>
    <w:rsid w:val="00A713ED"/>
    <w:rsid w:val="00A7148E"/>
    <w:rsid w:val="00A714B8"/>
    <w:rsid w:val="00A71906"/>
    <w:rsid w:val="00A71AD2"/>
    <w:rsid w:val="00A721A7"/>
    <w:rsid w:val="00A72227"/>
    <w:rsid w:val="00A723E0"/>
    <w:rsid w:val="00A72C4F"/>
    <w:rsid w:val="00A72C65"/>
    <w:rsid w:val="00A72CE7"/>
    <w:rsid w:val="00A73505"/>
    <w:rsid w:val="00A738C1"/>
    <w:rsid w:val="00A73A3B"/>
    <w:rsid w:val="00A73B02"/>
    <w:rsid w:val="00A73DA8"/>
    <w:rsid w:val="00A74256"/>
    <w:rsid w:val="00A74751"/>
    <w:rsid w:val="00A74901"/>
    <w:rsid w:val="00A75031"/>
    <w:rsid w:val="00A75580"/>
    <w:rsid w:val="00A75733"/>
    <w:rsid w:val="00A76308"/>
    <w:rsid w:val="00A768B4"/>
    <w:rsid w:val="00A76DE3"/>
    <w:rsid w:val="00A776C7"/>
    <w:rsid w:val="00A77717"/>
    <w:rsid w:val="00A7781A"/>
    <w:rsid w:val="00A77AC1"/>
    <w:rsid w:val="00A77C08"/>
    <w:rsid w:val="00A80ACB"/>
    <w:rsid w:val="00A81384"/>
    <w:rsid w:val="00A813FB"/>
    <w:rsid w:val="00A81492"/>
    <w:rsid w:val="00A81527"/>
    <w:rsid w:val="00A815B9"/>
    <w:rsid w:val="00A82058"/>
    <w:rsid w:val="00A82735"/>
    <w:rsid w:val="00A82BFD"/>
    <w:rsid w:val="00A82D90"/>
    <w:rsid w:val="00A82DE6"/>
    <w:rsid w:val="00A8365D"/>
    <w:rsid w:val="00A83BCA"/>
    <w:rsid w:val="00A841DD"/>
    <w:rsid w:val="00A84AE7"/>
    <w:rsid w:val="00A84B52"/>
    <w:rsid w:val="00A84DAF"/>
    <w:rsid w:val="00A84E8D"/>
    <w:rsid w:val="00A851E6"/>
    <w:rsid w:val="00A85E5C"/>
    <w:rsid w:val="00A86576"/>
    <w:rsid w:val="00A8668D"/>
    <w:rsid w:val="00A8669C"/>
    <w:rsid w:val="00A8672E"/>
    <w:rsid w:val="00A869B0"/>
    <w:rsid w:val="00A869B8"/>
    <w:rsid w:val="00A86C13"/>
    <w:rsid w:val="00A86FA6"/>
    <w:rsid w:val="00A8734C"/>
    <w:rsid w:val="00A876D7"/>
    <w:rsid w:val="00A87AC5"/>
    <w:rsid w:val="00A90420"/>
    <w:rsid w:val="00A9044B"/>
    <w:rsid w:val="00A91051"/>
    <w:rsid w:val="00A910CB"/>
    <w:rsid w:val="00A91BF0"/>
    <w:rsid w:val="00A91DC1"/>
    <w:rsid w:val="00A9289F"/>
    <w:rsid w:val="00A92908"/>
    <w:rsid w:val="00A929F4"/>
    <w:rsid w:val="00A929FD"/>
    <w:rsid w:val="00A92C1D"/>
    <w:rsid w:val="00A92DCC"/>
    <w:rsid w:val="00A93307"/>
    <w:rsid w:val="00A93633"/>
    <w:rsid w:val="00A943CC"/>
    <w:rsid w:val="00A9443C"/>
    <w:rsid w:val="00A9546A"/>
    <w:rsid w:val="00A95565"/>
    <w:rsid w:val="00A95B11"/>
    <w:rsid w:val="00A961D7"/>
    <w:rsid w:val="00A963A5"/>
    <w:rsid w:val="00A9696D"/>
    <w:rsid w:val="00A96A31"/>
    <w:rsid w:val="00A97082"/>
    <w:rsid w:val="00A97301"/>
    <w:rsid w:val="00A975CC"/>
    <w:rsid w:val="00A9774D"/>
    <w:rsid w:val="00A97A90"/>
    <w:rsid w:val="00A97BEE"/>
    <w:rsid w:val="00AA0175"/>
    <w:rsid w:val="00AA03A9"/>
    <w:rsid w:val="00AA0965"/>
    <w:rsid w:val="00AA0A36"/>
    <w:rsid w:val="00AA0B33"/>
    <w:rsid w:val="00AA0C77"/>
    <w:rsid w:val="00AA1D27"/>
    <w:rsid w:val="00AA204C"/>
    <w:rsid w:val="00AA2D57"/>
    <w:rsid w:val="00AA2E65"/>
    <w:rsid w:val="00AA3000"/>
    <w:rsid w:val="00AA3941"/>
    <w:rsid w:val="00AA3C70"/>
    <w:rsid w:val="00AA40F7"/>
    <w:rsid w:val="00AA433E"/>
    <w:rsid w:val="00AA43EB"/>
    <w:rsid w:val="00AA4482"/>
    <w:rsid w:val="00AA538E"/>
    <w:rsid w:val="00AA56D0"/>
    <w:rsid w:val="00AA588E"/>
    <w:rsid w:val="00AA5E4E"/>
    <w:rsid w:val="00AA5FDB"/>
    <w:rsid w:val="00AA610F"/>
    <w:rsid w:val="00AA6223"/>
    <w:rsid w:val="00AA6418"/>
    <w:rsid w:val="00AA652B"/>
    <w:rsid w:val="00AB008E"/>
    <w:rsid w:val="00AB01BE"/>
    <w:rsid w:val="00AB056E"/>
    <w:rsid w:val="00AB09DB"/>
    <w:rsid w:val="00AB0C9F"/>
    <w:rsid w:val="00AB0F63"/>
    <w:rsid w:val="00AB0F65"/>
    <w:rsid w:val="00AB143A"/>
    <w:rsid w:val="00AB155C"/>
    <w:rsid w:val="00AB1693"/>
    <w:rsid w:val="00AB20F2"/>
    <w:rsid w:val="00AB2940"/>
    <w:rsid w:val="00AB2C71"/>
    <w:rsid w:val="00AB2C82"/>
    <w:rsid w:val="00AB315C"/>
    <w:rsid w:val="00AB34F6"/>
    <w:rsid w:val="00AB3798"/>
    <w:rsid w:val="00AB3971"/>
    <w:rsid w:val="00AB3E3E"/>
    <w:rsid w:val="00AB433D"/>
    <w:rsid w:val="00AB45CA"/>
    <w:rsid w:val="00AB4745"/>
    <w:rsid w:val="00AB47A8"/>
    <w:rsid w:val="00AB54D2"/>
    <w:rsid w:val="00AB5BCE"/>
    <w:rsid w:val="00AB6064"/>
    <w:rsid w:val="00AB61C0"/>
    <w:rsid w:val="00AB62B4"/>
    <w:rsid w:val="00AB632A"/>
    <w:rsid w:val="00AB67DC"/>
    <w:rsid w:val="00AB67E1"/>
    <w:rsid w:val="00AB68F9"/>
    <w:rsid w:val="00AB717A"/>
    <w:rsid w:val="00AB71C6"/>
    <w:rsid w:val="00AB7C18"/>
    <w:rsid w:val="00AB7E96"/>
    <w:rsid w:val="00AC003B"/>
    <w:rsid w:val="00AC003C"/>
    <w:rsid w:val="00AC0103"/>
    <w:rsid w:val="00AC098B"/>
    <w:rsid w:val="00AC0A0A"/>
    <w:rsid w:val="00AC0A8E"/>
    <w:rsid w:val="00AC0F1E"/>
    <w:rsid w:val="00AC0F37"/>
    <w:rsid w:val="00AC1043"/>
    <w:rsid w:val="00AC11A7"/>
    <w:rsid w:val="00AC13E7"/>
    <w:rsid w:val="00AC1404"/>
    <w:rsid w:val="00AC14BD"/>
    <w:rsid w:val="00AC19FF"/>
    <w:rsid w:val="00AC2CDF"/>
    <w:rsid w:val="00AC2E8D"/>
    <w:rsid w:val="00AC316F"/>
    <w:rsid w:val="00AC31EA"/>
    <w:rsid w:val="00AC32B7"/>
    <w:rsid w:val="00AC32FB"/>
    <w:rsid w:val="00AC38BD"/>
    <w:rsid w:val="00AC3C71"/>
    <w:rsid w:val="00AC4881"/>
    <w:rsid w:val="00AC4A71"/>
    <w:rsid w:val="00AC4A91"/>
    <w:rsid w:val="00AC52F0"/>
    <w:rsid w:val="00AC54A8"/>
    <w:rsid w:val="00AC5BF4"/>
    <w:rsid w:val="00AC5F91"/>
    <w:rsid w:val="00AC68B3"/>
    <w:rsid w:val="00AC6E82"/>
    <w:rsid w:val="00AC7363"/>
    <w:rsid w:val="00AC73DC"/>
    <w:rsid w:val="00AC7B1B"/>
    <w:rsid w:val="00AC7F3A"/>
    <w:rsid w:val="00AD039F"/>
    <w:rsid w:val="00AD0464"/>
    <w:rsid w:val="00AD0559"/>
    <w:rsid w:val="00AD077D"/>
    <w:rsid w:val="00AD09FD"/>
    <w:rsid w:val="00AD0F88"/>
    <w:rsid w:val="00AD10DF"/>
    <w:rsid w:val="00AD1113"/>
    <w:rsid w:val="00AD11A5"/>
    <w:rsid w:val="00AD1EC4"/>
    <w:rsid w:val="00AD24F3"/>
    <w:rsid w:val="00AD2DDF"/>
    <w:rsid w:val="00AD3018"/>
    <w:rsid w:val="00AD37E0"/>
    <w:rsid w:val="00AD3847"/>
    <w:rsid w:val="00AD3902"/>
    <w:rsid w:val="00AD3C07"/>
    <w:rsid w:val="00AD3E47"/>
    <w:rsid w:val="00AD3E5D"/>
    <w:rsid w:val="00AD3F61"/>
    <w:rsid w:val="00AD4716"/>
    <w:rsid w:val="00AD49D1"/>
    <w:rsid w:val="00AD4D95"/>
    <w:rsid w:val="00AD4FEE"/>
    <w:rsid w:val="00AD523F"/>
    <w:rsid w:val="00AD5255"/>
    <w:rsid w:val="00AD57F8"/>
    <w:rsid w:val="00AD58A0"/>
    <w:rsid w:val="00AD5F26"/>
    <w:rsid w:val="00AD6010"/>
    <w:rsid w:val="00AD6132"/>
    <w:rsid w:val="00AD6258"/>
    <w:rsid w:val="00AD6D22"/>
    <w:rsid w:val="00AD6DFC"/>
    <w:rsid w:val="00AD770A"/>
    <w:rsid w:val="00AD7746"/>
    <w:rsid w:val="00AD77F9"/>
    <w:rsid w:val="00AE0075"/>
    <w:rsid w:val="00AE03CC"/>
    <w:rsid w:val="00AE0551"/>
    <w:rsid w:val="00AE05F8"/>
    <w:rsid w:val="00AE1264"/>
    <w:rsid w:val="00AE218D"/>
    <w:rsid w:val="00AE2212"/>
    <w:rsid w:val="00AE319E"/>
    <w:rsid w:val="00AE339E"/>
    <w:rsid w:val="00AE33FF"/>
    <w:rsid w:val="00AE36F9"/>
    <w:rsid w:val="00AE3881"/>
    <w:rsid w:val="00AE38D4"/>
    <w:rsid w:val="00AE3C2B"/>
    <w:rsid w:val="00AE4854"/>
    <w:rsid w:val="00AE499D"/>
    <w:rsid w:val="00AE4AE2"/>
    <w:rsid w:val="00AE4B14"/>
    <w:rsid w:val="00AE4E99"/>
    <w:rsid w:val="00AE4FF8"/>
    <w:rsid w:val="00AE5753"/>
    <w:rsid w:val="00AE5E94"/>
    <w:rsid w:val="00AE63F9"/>
    <w:rsid w:val="00AE64D5"/>
    <w:rsid w:val="00AE6794"/>
    <w:rsid w:val="00AE6856"/>
    <w:rsid w:val="00AE6D12"/>
    <w:rsid w:val="00AF026B"/>
    <w:rsid w:val="00AF05DB"/>
    <w:rsid w:val="00AF06D5"/>
    <w:rsid w:val="00AF09DD"/>
    <w:rsid w:val="00AF15B0"/>
    <w:rsid w:val="00AF246B"/>
    <w:rsid w:val="00AF2B88"/>
    <w:rsid w:val="00AF3C3E"/>
    <w:rsid w:val="00AF3F10"/>
    <w:rsid w:val="00AF4042"/>
    <w:rsid w:val="00AF40DE"/>
    <w:rsid w:val="00AF4817"/>
    <w:rsid w:val="00AF4830"/>
    <w:rsid w:val="00AF4BEE"/>
    <w:rsid w:val="00AF4C0C"/>
    <w:rsid w:val="00AF4E49"/>
    <w:rsid w:val="00AF56BE"/>
    <w:rsid w:val="00AF5B27"/>
    <w:rsid w:val="00AF5B2F"/>
    <w:rsid w:val="00AF6067"/>
    <w:rsid w:val="00AF61F1"/>
    <w:rsid w:val="00AF6557"/>
    <w:rsid w:val="00AF6637"/>
    <w:rsid w:val="00AF666D"/>
    <w:rsid w:val="00AF6F96"/>
    <w:rsid w:val="00AF7DB4"/>
    <w:rsid w:val="00B00827"/>
    <w:rsid w:val="00B009CC"/>
    <w:rsid w:val="00B00B92"/>
    <w:rsid w:val="00B00E0D"/>
    <w:rsid w:val="00B01192"/>
    <w:rsid w:val="00B016BB"/>
    <w:rsid w:val="00B01A94"/>
    <w:rsid w:val="00B01CEC"/>
    <w:rsid w:val="00B024CA"/>
    <w:rsid w:val="00B024F0"/>
    <w:rsid w:val="00B02655"/>
    <w:rsid w:val="00B028BC"/>
    <w:rsid w:val="00B029C9"/>
    <w:rsid w:val="00B02A2D"/>
    <w:rsid w:val="00B02B99"/>
    <w:rsid w:val="00B02CF8"/>
    <w:rsid w:val="00B02E72"/>
    <w:rsid w:val="00B0339B"/>
    <w:rsid w:val="00B04B53"/>
    <w:rsid w:val="00B04FA5"/>
    <w:rsid w:val="00B05094"/>
    <w:rsid w:val="00B05102"/>
    <w:rsid w:val="00B05227"/>
    <w:rsid w:val="00B05261"/>
    <w:rsid w:val="00B054DE"/>
    <w:rsid w:val="00B058C6"/>
    <w:rsid w:val="00B06130"/>
    <w:rsid w:val="00B06B4C"/>
    <w:rsid w:val="00B06CDC"/>
    <w:rsid w:val="00B06F57"/>
    <w:rsid w:val="00B0706B"/>
    <w:rsid w:val="00B07504"/>
    <w:rsid w:val="00B079F9"/>
    <w:rsid w:val="00B07BBB"/>
    <w:rsid w:val="00B10263"/>
    <w:rsid w:val="00B102DD"/>
    <w:rsid w:val="00B10376"/>
    <w:rsid w:val="00B105D3"/>
    <w:rsid w:val="00B109EA"/>
    <w:rsid w:val="00B10B3C"/>
    <w:rsid w:val="00B10D36"/>
    <w:rsid w:val="00B10FA7"/>
    <w:rsid w:val="00B11485"/>
    <w:rsid w:val="00B11A26"/>
    <w:rsid w:val="00B11C26"/>
    <w:rsid w:val="00B11DEE"/>
    <w:rsid w:val="00B12661"/>
    <w:rsid w:val="00B1269A"/>
    <w:rsid w:val="00B1276F"/>
    <w:rsid w:val="00B12D23"/>
    <w:rsid w:val="00B131B1"/>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179BA"/>
    <w:rsid w:val="00B17F59"/>
    <w:rsid w:val="00B2042B"/>
    <w:rsid w:val="00B2079A"/>
    <w:rsid w:val="00B2083E"/>
    <w:rsid w:val="00B20C58"/>
    <w:rsid w:val="00B20DF8"/>
    <w:rsid w:val="00B213F2"/>
    <w:rsid w:val="00B2153C"/>
    <w:rsid w:val="00B217D6"/>
    <w:rsid w:val="00B21CB5"/>
    <w:rsid w:val="00B236E2"/>
    <w:rsid w:val="00B23933"/>
    <w:rsid w:val="00B244BD"/>
    <w:rsid w:val="00B24787"/>
    <w:rsid w:val="00B2489D"/>
    <w:rsid w:val="00B24FAF"/>
    <w:rsid w:val="00B24FB0"/>
    <w:rsid w:val="00B25453"/>
    <w:rsid w:val="00B2572F"/>
    <w:rsid w:val="00B257DA"/>
    <w:rsid w:val="00B25C5E"/>
    <w:rsid w:val="00B25E56"/>
    <w:rsid w:val="00B25ED6"/>
    <w:rsid w:val="00B26968"/>
    <w:rsid w:val="00B26E48"/>
    <w:rsid w:val="00B273E5"/>
    <w:rsid w:val="00B274F7"/>
    <w:rsid w:val="00B27DA7"/>
    <w:rsid w:val="00B27E1D"/>
    <w:rsid w:val="00B3057E"/>
    <w:rsid w:val="00B30730"/>
    <w:rsid w:val="00B31B9C"/>
    <w:rsid w:val="00B31CD6"/>
    <w:rsid w:val="00B3202A"/>
    <w:rsid w:val="00B3239B"/>
    <w:rsid w:val="00B33618"/>
    <w:rsid w:val="00B33653"/>
    <w:rsid w:val="00B33AA8"/>
    <w:rsid w:val="00B33C57"/>
    <w:rsid w:val="00B34205"/>
    <w:rsid w:val="00B344DA"/>
    <w:rsid w:val="00B34753"/>
    <w:rsid w:val="00B347C2"/>
    <w:rsid w:val="00B34D6C"/>
    <w:rsid w:val="00B34DCA"/>
    <w:rsid w:val="00B35559"/>
    <w:rsid w:val="00B3559C"/>
    <w:rsid w:val="00B35D7E"/>
    <w:rsid w:val="00B363F2"/>
    <w:rsid w:val="00B36678"/>
    <w:rsid w:val="00B36A96"/>
    <w:rsid w:val="00B36B03"/>
    <w:rsid w:val="00B36BF8"/>
    <w:rsid w:val="00B3725B"/>
    <w:rsid w:val="00B37432"/>
    <w:rsid w:val="00B37824"/>
    <w:rsid w:val="00B40417"/>
    <w:rsid w:val="00B4041C"/>
    <w:rsid w:val="00B4068F"/>
    <w:rsid w:val="00B40E80"/>
    <w:rsid w:val="00B40E9F"/>
    <w:rsid w:val="00B4118A"/>
    <w:rsid w:val="00B4145D"/>
    <w:rsid w:val="00B41516"/>
    <w:rsid w:val="00B416C6"/>
    <w:rsid w:val="00B419CA"/>
    <w:rsid w:val="00B42C50"/>
    <w:rsid w:val="00B42E5C"/>
    <w:rsid w:val="00B4346F"/>
    <w:rsid w:val="00B43485"/>
    <w:rsid w:val="00B43C84"/>
    <w:rsid w:val="00B44658"/>
    <w:rsid w:val="00B44FDB"/>
    <w:rsid w:val="00B45080"/>
    <w:rsid w:val="00B45711"/>
    <w:rsid w:val="00B458C5"/>
    <w:rsid w:val="00B466DA"/>
    <w:rsid w:val="00B46905"/>
    <w:rsid w:val="00B4696B"/>
    <w:rsid w:val="00B46A92"/>
    <w:rsid w:val="00B47113"/>
    <w:rsid w:val="00B47CC6"/>
    <w:rsid w:val="00B505B6"/>
    <w:rsid w:val="00B50C79"/>
    <w:rsid w:val="00B51514"/>
    <w:rsid w:val="00B5200E"/>
    <w:rsid w:val="00B526F6"/>
    <w:rsid w:val="00B530B3"/>
    <w:rsid w:val="00B5333A"/>
    <w:rsid w:val="00B537FD"/>
    <w:rsid w:val="00B5384F"/>
    <w:rsid w:val="00B53C37"/>
    <w:rsid w:val="00B53CCF"/>
    <w:rsid w:val="00B54421"/>
    <w:rsid w:val="00B549FB"/>
    <w:rsid w:val="00B552E3"/>
    <w:rsid w:val="00B5544F"/>
    <w:rsid w:val="00B55553"/>
    <w:rsid w:val="00B55787"/>
    <w:rsid w:val="00B55C9A"/>
    <w:rsid w:val="00B55CFB"/>
    <w:rsid w:val="00B55E5D"/>
    <w:rsid w:val="00B564E7"/>
    <w:rsid w:val="00B56826"/>
    <w:rsid w:val="00B56DB3"/>
    <w:rsid w:val="00B56E71"/>
    <w:rsid w:val="00B56FF7"/>
    <w:rsid w:val="00B5766E"/>
    <w:rsid w:val="00B577A8"/>
    <w:rsid w:val="00B577EA"/>
    <w:rsid w:val="00B577FF"/>
    <w:rsid w:val="00B57D58"/>
    <w:rsid w:val="00B57FF7"/>
    <w:rsid w:val="00B606DC"/>
    <w:rsid w:val="00B6099B"/>
    <w:rsid w:val="00B60A36"/>
    <w:rsid w:val="00B60A8B"/>
    <w:rsid w:val="00B60B74"/>
    <w:rsid w:val="00B61155"/>
    <w:rsid w:val="00B61C3C"/>
    <w:rsid w:val="00B6285D"/>
    <w:rsid w:val="00B6293C"/>
    <w:rsid w:val="00B62AC2"/>
    <w:rsid w:val="00B63371"/>
    <w:rsid w:val="00B63385"/>
    <w:rsid w:val="00B63EB9"/>
    <w:rsid w:val="00B64407"/>
    <w:rsid w:val="00B6514E"/>
    <w:rsid w:val="00B65169"/>
    <w:rsid w:val="00B65409"/>
    <w:rsid w:val="00B654EB"/>
    <w:rsid w:val="00B65540"/>
    <w:rsid w:val="00B65F18"/>
    <w:rsid w:val="00B667B0"/>
    <w:rsid w:val="00B66867"/>
    <w:rsid w:val="00B66994"/>
    <w:rsid w:val="00B66EF5"/>
    <w:rsid w:val="00B6715A"/>
    <w:rsid w:val="00B67761"/>
    <w:rsid w:val="00B6785D"/>
    <w:rsid w:val="00B67A14"/>
    <w:rsid w:val="00B67BFA"/>
    <w:rsid w:val="00B67D62"/>
    <w:rsid w:val="00B703F6"/>
    <w:rsid w:val="00B704AA"/>
    <w:rsid w:val="00B70754"/>
    <w:rsid w:val="00B70757"/>
    <w:rsid w:val="00B7079D"/>
    <w:rsid w:val="00B707FE"/>
    <w:rsid w:val="00B70E7F"/>
    <w:rsid w:val="00B70EAE"/>
    <w:rsid w:val="00B710D8"/>
    <w:rsid w:val="00B71A1E"/>
    <w:rsid w:val="00B71AFB"/>
    <w:rsid w:val="00B71F3A"/>
    <w:rsid w:val="00B727ED"/>
    <w:rsid w:val="00B7292C"/>
    <w:rsid w:val="00B72C8B"/>
    <w:rsid w:val="00B73C97"/>
    <w:rsid w:val="00B76129"/>
    <w:rsid w:val="00B761DB"/>
    <w:rsid w:val="00B76340"/>
    <w:rsid w:val="00B763BC"/>
    <w:rsid w:val="00B769D7"/>
    <w:rsid w:val="00B76A88"/>
    <w:rsid w:val="00B76B19"/>
    <w:rsid w:val="00B809ED"/>
    <w:rsid w:val="00B80C43"/>
    <w:rsid w:val="00B80DF0"/>
    <w:rsid w:val="00B81141"/>
    <w:rsid w:val="00B815B2"/>
    <w:rsid w:val="00B81F24"/>
    <w:rsid w:val="00B821F8"/>
    <w:rsid w:val="00B82278"/>
    <w:rsid w:val="00B8264D"/>
    <w:rsid w:val="00B828F0"/>
    <w:rsid w:val="00B835A5"/>
    <w:rsid w:val="00B836F5"/>
    <w:rsid w:val="00B83811"/>
    <w:rsid w:val="00B83855"/>
    <w:rsid w:val="00B84CF8"/>
    <w:rsid w:val="00B85B4E"/>
    <w:rsid w:val="00B86126"/>
    <w:rsid w:val="00B865DB"/>
    <w:rsid w:val="00B867F4"/>
    <w:rsid w:val="00B868E2"/>
    <w:rsid w:val="00B8744D"/>
    <w:rsid w:val="00B874AE"/>
    <w:rsid w:val="00B87B6D"/>
    <w:rsid w:val="00B87E7C"/>
    <w:rsid w:val="00B87F76"/>
    <w:rsid w:val="00B900D5"/>
    <w:rsid w:val="00B908A3"/>
    <w:rsid w:val="00B90B39"/>
    <w:rsid w:val="00B90DEF"/>
    <w:rsid w:val="00B90DF3"/>
    <w:rsid w:val="00B912FB"/>
    <w:rsid w:val="00B9144F"/>
    <w:rsid w:val="00B91478"/>
    <w:rsid w:val="00B93FF5"/>
    <w:rsid w:val="00B94552"/>
    <w:rsid w:val="00B94624"/>
    <w:rsid w:val="00B94786"/>
    <w:rsid w:val="00B95029"/>
    <w:rsid w:val="00B95189"/>
    <w:rsid w:val="00B9551C"/>
    <w:rsid w:val="00B957A5"/>
    <w:rsid w:val="00B95A7E"/>
    <w:rsid w:val="00B9607E"/>
    <w:rsid w:val="00B9695E"/>
    <w:rsid w:val="00B970A6"/>
    <w:rsid w:val="00B970C7"/>
    <w:rsid w:val="00B9773F"/>
    <w:rsid w:val="00B97DE2"/>
    <w:rsid w:val="00BA0D64"/>
    <w:rsid w:val="00BA10EF"/>
    <w:rsid w:val="00BA1F69"/>
    <w:rsid w:val="00BA202C"/>
    <w:rsid w:val="00BA208A"/>
    <w:rsid w:val="00BA20B1"/>
    <w:rsid w:val="00BA258B"/>
    <w:rsid w:val="00BA2B9C"/>
    <w:rsid w:val="00BA3351"/>
    <w:rsid w:val="00BA44ED"/>
    <w:rsid w:val="00BA4B72"/>
    <w:rsid w:val="00BA5B53"/>
    <w:rsid w:val="00BA6349"/>
    <w:rsid w:val="00BA63B1"/>
    <w:rsid w:val="00BA641D"/>
    <w:rsid w:val="00BA6505"/>
    <w:rsid w:val="00BA66BA"/>
    <w:rsid w:val="00BA68A6"/>
    <w:rsid w:val="00BA6D05"/>
    <w:rsid w:val="00BA7136"/>
    <w:rsid w:val="00BA7631"/>
    <w:rsid w:val="00BA7715"/>
    <w:rsid w:val="00BA774F"/>
    <w:rsid w:val="00BA78B6"/>
    <w:rsid w:val="00BA79B5"/>
    <w:rsid w:val="00BA7DE9"/>
    <w:rsid w:val="00BB016A"/>
    <w:rsid w:val="00BB03B2"/>
    <w:rsid w:val="00BB0499"/>
    <w:rsid w:val="00BB05CE"/>
    <w:rsid w:val="00BB0840"/>
    <w:rsid w:val="00BB112D"/>
    <w:rsid w:val="00BB18AD"/>
    <w:rsid w:val="00BB20BA"/>
    <w:rsid w:val="00BB24DF"/>
    <w:rsid w:val="00BB26AD"/>
    <w:rsid w:val="00BB2930"/>
    <w:rsid w:val="00BB2EC7"/>
    <w:rsid w:val="00BB3D25"/>
    <w:rsid w:val="00BB3F38"/>
    <w:rsid w:val="00BB447D"/>
    <w:rsid w:val="00BB4692"/>
    <w:rsid w:val="00BB488D"/>
    <w:rsid w:val="00BB4C05"/>
    <w:rsid w:val="00BB4EF1"/>
    <w:rsid w:val="00BB5320"/>
    <w:rsid w:val="00BB53CD"/>
    <w:rsid w:val="00BB53F9"/>
    <w:rsid w:val="00BB5743"/>
    <w:rsid w:val="00BB5E6F"/>
    <w:rsid w:val="00BB5E96"/>
    <w:rsid w:val="00BB6D2B"/>
    <w:rsid w:val="00BB716E"/>
    <w:rsid w:val="00BB7613"/>
    <w:rsid w:val="00BB79BD"/>
    <w:rsid w:val="00BC0EA7"/>
    <w:rsid w:val="00BC10E6"/>
    <w:rsid w:val="00BC1220"/>
    <w:rsid w:val="00BC1250"/>
    <w:rsid w:val="00BC189D"/>
    <w:rsid w:val="00BC20B3"/>
    <w:rsid w:val="00BC2EA2"/>
    <w:rsid w:val="00BC3211"/>
    <w:rsid w:val="00BC3516"/>
    <w:rsid w:val="00BC364C"/>
    <w:rsid w:val="00BC491B"/>
    <w:rsid w:val="00BC55A3"/>
    <w:rsid w:val="00BC57D6"/>
    <w:rsid w:val="00BC59B3"/>
    <w:rsid w:val="00BC666B"/>
    <w:rsid w:val="00BC68EC"/>
    <w:rsid w:val="00BC6918"/>
    <w:rsid w:val="00BC6DC2"/>
    <w:rsid w:val="00BC7208"/>
    <w:rsid w:val="00BD0A76"/>
    <w:rsid w:val="00BD0B48"/>
    <w:rsid w:val="00BD0C97"/>
    <w:rsid w:val="00BD0CA7"/>
    <w:rsid w:val="00BD1052"/>
    <w:rsid w:val="00BD1425"/>
    <w:rsid w:val="00BD15FD"/>
    <w:rsid w:val="00BD1643"/>
    <w:rsid w:val="00BD1DF0"/>
    <w:rsid w:val="00BD1E24"/>
    <w:rsid w:val="00BD271D"/>
    <w:rsid w:val="00BD2761"/>
    <w:rsid w:val="00BD2A0A"/>
    <w:rsid w:val="00BD2DEA"/>
    <w:rsid w:val="00BD3609"/>
    <w:rsid w:val="00BD3653"/>
    <w:rsid w:val="00BD3DA7"/>
    <w:rsid w:val="00BD3EE6"/>
    <w:rsid w:val="00BD41FD"/>
    <w:rsid w:val="00BD462E"/>
    <w:rsid w:val="00BD4CE7"/>
    <w:rsid w:val="00BD5006"/>
    <w:rsid w:val="00BD55E2"/>
    <w:rsid w:val="00BD57F5"/>
    <w:rsid w:val="00BD59BD"/>
    <w:rsid w:val="00BD59C1"/>
    <w:rsid w:val="00BD5BEA"/>
    <w:rsid w:val="00BD5D0F"/>
    <w:rsid w:val="00BD674C"/>
    <w:rsid w:val="00BD6D8F"/>
    <w:rsid w:val="00BD7025"/>
    <w:rsid w:val="00BD7176"/>
    <w:rsid w:val="00BD75BA"/>
    <w:rsid w:val="00BD761A"/>
    <w:rsid w:val="00BD7863"/>
    <w:rsid w:val="00BD7A45"/>
    <w:rsid w:val="00BD7A71"/>
    <w:rsid w:val="00BD7C68"/>
    <w:rsid w:val="00BD7EDB"/>
    <w:rsid w:val="00BE034B"/>
    <w:rsid w:val="00BE061D"/>
    <w:rsid w:val="00BE08AA"/>
    <w:rsid w:val="00BE0CC9"/>
    <w:rsid w:val="00BE0EAD"/>
    <w:rsid w:val="00BE15B2"/>
    <w:rsid w:val="00BE1CBC"/>
    <w:rsid w:val="00BE1F49"/>
    <w:rsid w:val="00BE27F9"/>
    <w:rsid w:val="00BE291C"/>
    <w:rsid w:val="00BE29DC"/>
    <w:rsid w:val="00BE358D"/>
    <w:rsid w:val="00BE4254"/>
    <w:rsid w:val="00BE4F69"/>
    <w:rsid w:val="00BE50DB"/>
    <w:rsid w:val="00BE5132"/>
    <w:rsid w:val="00BE5158"/>
    <w:rsid w:val="00BE5393"/>
    <w:rsid w:val="00BE5C7D"/>
    <w:rsid w:val="00BE62E9"/>
    <w:rsid w:val="00BE6BD1"/>
    <w:rsid w:val="00BE70D7"/>
    <w:rsid w:val="00BE78C5"/>
    <w:rsid w:val="00BF1393"/>
    <w:rsid w:val="00BF1CFD"/>
    <w:rsid w:val="00BF1EA0"/>
    <w:rsid w:val="00BF2170"/>
    <w:rsid w:val="00BF254B"/>
    <w:rsid w:val="00BF383F"/>
    <w:rsid w:val="00BF393C"/>
    <w:rsid w:val="00BF3A71"/>
    <w:rsid w:val="00BF4341"/>
    <w:rsid w:val="00BF486D"/>
    <w:rsid w:val="00BF4A4D"/>
    <w:rsid w:val="00BF4B12"/>
    <w:rsid w:val="00BF60E7"/>
    <w:rsid w:val="00BF65EA"/>
    <w:rsid w:val="00BF6724"/>
    <w:rsid w:val="00BF697A"/>
    <w:rsid w:val="00BF6ADB"/>
    <w:rsid w:val="00BF6D5A"/>
    <w:rsid w:val="00BF6E2E"/>
    <w:rsid w:val="00BF78A0"/>
    <w:rsid w:val="00C01EB9"/>
    <w:rsid w:val="00C02DA5"/>
    <w:rsid w:val="00C02F96"/>
    <w:rsid w:val="00C0303B"/>
    <w:rsid w:val="00C030C4"/>
    <w:rsid w:val="00C03776"/>
    <w:rsid w:val="00C03E66"/>
    <w:rsid w:val="00C04138"/>
    <w:rsid w:val="00C04320"/>
    <w:rsid w:val="00C046A1"/>
    <w:rsid w:val="00C04845"/>
    <w:rsid w:val="00C04B9F"/>
    <w:rsid w:val="00C051EF"/>
    <w:rsid w:val="00C0523C"/>
    <w:rsid w:val="00C07129"/>
    <w:rsid w:val="00C074D9"/>
    <w:rsid w:val="00C0753E"/>
    <w:rsid w:val="00C077B4"/>
    <w:rsid w:val="00C078B4"/>
    <w:rsid w:val="00C07B11"/>
    <w:rsid w:val="00C07C10"/>
    <w:rsid w:val="00C1007B"/>
    <w:rsid w:val="00C10287"/>
    <w:rsid w:val="00C10A80"/>
    <w:rsid w:val="00C10A86"/>
    <w:rsid w:val="00C10F1C"/>
    <w:rsid w:val="00C11C8D"/>
    <w:rsid w:val="00C12078"/>
    <w:rsid w:val="00C120E9"/>
    <w:rsid w:val="00C12199"/>
    <w:rsid w:val="00C125FA"/>
    <w:rsid w:val="00C12BED"/>
    <w:rsid w:val="00C12C3F"/>
    <w:rsid w:val="00C13585"/>
    <w:rsid w:val="00C13821"/>
    <w:rsid w:val="00C13A14"/>
    <w:rsid w:val="00C13BBA"/>
    <w:rsid w:val="00C13E76"/>
    <w:rsid w:val="00C14051"/>
    <w:rsid w:val="00C144A1"/>
    <w:rsid w:val="00C14808"/>
    <w:rsid w:val="00C14908"/>
    <w:rsid w:val="00C14DC6"/>
    <w:rsid w:val="00C15070"/>
    <w:rsid w:val="00C15667"/>
    <w:rsid w:val="00C159C2"/>
    <w:rsid w:val="00C15C49"/>
    <w:rsid w:val="00C15F73"/>
    <w:rsid w:val="00C16889"/>
    <w:rsid w:val="00C2037B"/>
    <w:rsid w:val="00C2069C"/>
    <w:rsid w:val="00C20A4C"/>
    <w:rsid w:val="00C20CB3"/>
    <w:rsid w:val="00C20FC2"/>
    <w:rsid w:val="00C217CB"/>
    <w:rsid w:val="00C2181D"/>
    <w:rsid w:val="00C21A19"/>
    <w:rsid w:val="00C21F30"/>
    <w:rsid w:val="00C2205A"/>
    <w:rsid w:val="00C22935"/>
    <w:rsid w:val="00C22B0B"/>
    <w:rsid w:val="00C22FF7"/>
    <w:rsid w:val="00C23C7A"/>
    <w:rsid w:val="00C23DC9"/>
    <w:rsid w:val="00C23EDF"/>
    <w:rsid w:val="00C24D6C"/>
    <w:rsid w:val="00C25009"/>
    <w:rsid w:val="00C25670"/>
    <w:rsid w:val="00C25773"/>
    <w:rsid w:val="00C25F93"/>
    <w:rsid w:val="00C26760"/>
    <w:rsid w:val="00C26945"/>
    <w:rsid w:val="00C26B34"/>
    <w:rsid w:val="00C26C9C"/>
    <w:rsid w:val="00C26E5B"/>
    <w:rsid w:val="00C27064"/>
    <w:rsid w:val="00C27A10"/>
    <w:rsid w:val="00C27A2F"/>
    <w:rsid w:val="00C27AC0"/>
    <w:rsid w:val="00C27DBA"/>
    <w:rsid w:val="00C27F75"/>
    <w:rsid w:val="00C27F76"/>
    <w:rsid w:val="00C27F82"/>
    <w:rsid w:val="00C27F83"/>
    <w:rsid w:val="00C30193"/>
    <w:rsid w:val="00C3055E"/>
    <w:rsid w:val="00C30655"/>
    <w:rsid w:val="00C30DA4"/>
    <w:rsid w:val="00C3110C"/>
    <w:rsid w:val="00C313CB"/>
    <w:rsid w:val="00C31B4F"/>
    <w:rsid w:val="00C320EE"/>
    <w:rsid w:val="00C33221"/>
    <w:rsid w:val="00C3329F"/>
    <w:rsid w:val="00C334EC"/>
    <w:rsid w:val="00C33B79"/>
    <w:rsid w:val="00C33D7F"/>
    <w:rsid w:val="00C33E25"/>
    <w:rsid w:val="00C341E4"/>
    <w:rsid w:val="00C34334"/>
    <w:rsid w:val="00C34BA3"/>
    <w:rsid w:val="00C35470"/>
    <w:rsid w:val="00C35F65"/>
    <w:rsid w:val="00C36087"/>
    <w:rsid w:val="00C36513"/>
    <w:rsid w:val="00C365BE"/>
    <w:rsid w:val="00C36E65"/>
    <w:rsid w:val="00C3788C"/>
    <w:rsid w:val="00C400FB"/>
    <w:rsid w:val="00C40CF2"/>
    <w:rsid w:val="00C4111A"/>
    <w:rsid w:val="00C41124"/>
    <w:rsid w:val="00C41688"/>
    <w:rsid w:val="00C41954"/>
    <w:rsid w:val="00C41A87"/>
    <w:rsid w:val="00C427AF"/>
    <w:rsid w:val="00C427CE"/>
    <w:rsid w:val="00C4289D"/>
    <w:rsid w:val="00C4337B"/>
    <w:rsid w:val="00C43536"/>
    <w:rsid w:val="00C43A44"/>
    <w:rsid w:val="00C43B98"/>
    <w:rsid w:val="00C44046"/>
    <w:rsid w:val="00C44719"/>
    <w:rsid w:val="00C44A9B"/>
    <w:rsid w:val="00C44D76"/>
    <w:rsid w:val="00C4505B"/>
    <w:rsid w:val="00C455B8"/>
    <w:rsid w:val="00C4589D"/>
    <w:rsid w:val="00C45D83"/>
    <w:rsid w:val="00C461D2"/>
    <w:rsid w:val="00C46874"/>
    <w:rsid w:val="00C4690E"/>
    <w:rsid w:val="00C46EDD"/>
    <w:rsid w:val="00C471ED"/>
    <w:rsid w:val="00C47438"/>
    <w:rsid w:val="00C4779C"/>
    <w:rsid w:val="00C47B4D"/>
    <w:rsid w:val="00C47D00"/>
    <w:rsid w:val="00C47D5C"/>
    <w:rsid w:val="00C47F43"/>
    <w:rsid w:val="00C50108"/>
    <w:rsid w:val="00C50E40"/>
    <w:rsid w:val="00C5120C"/>
    <w:rsid w:val="00C51610"/>
    <w:rsid w:val="00C51BC8"/>
    <w:rsid w:val="00C51BFF"/>
    <w:rsid w:val="00C51E37"/>
    <w:rsid w:val="00C51F6A"/>
    <w:rsid w:val="00C5211B"/>
    <w:rsid w:val="00C5248F"/>
    <w:rsid w:val="00C529DD"/>
    <w:rsid w:val="00C52DCD"/>
    <w:rsid w:val="00C53422"/>
    <w:rsid w:val="00C537C4"/>
    <w:rsid w:val="00C53EA6"/>
    <w:rsid w:val="00C54757"/>
    <w:rsid w:val="00C54D1E"/>
    <w:rsid w:val="00C54DFD"/>
    <w:rsid w:val="00C557D1"/>
    <w:rsid w:val="00C55AC6"/>
    <w:rsid w:val="00C55B40"/>
    <w:rsid w:val="00C55CF3"/>
    <w:rsid w:val="00C560BC"/>
    <w:rsid w:val="00C56224"/>
    <w:rsid w:val="00C563B7"/>
    <w:rsid w:val="00C5692C"/>
    <w:rsid w:val="00C56FB5"/>
    <w:rsid w:val="00C57857"/>
    <w:rsid w:val="00C57AB0"/>
    <w:rsid w:val="00C57C7F"/>
    <w:rsid w:val="00C57D74"/>
    <w:rsid w:val="00C60128"/>
    <w:rsid w:val="00C60ED4"/>
    <w:rsid w:val="00C61FDC"/>
    <w:rsid w:val="00C6247C"/>
    <w:rsid w:val="00C62593"/>
    <w:rsid w:val="00C628FD"/>
    <w:rsid w:val="00C62919"/>
    <w:rsid w:val="00C63309"/>
    <w:rsid w:val="00C63F77"/>
    <w:rsid w:val="00C64110"/>
    <w:rsid w:val="00C64200"/>
    <w:rsid w:val="00C64F8B"/>
    <w:rsid w:val="00C6519C"/>
    <w:rsid w:val="00C6572C"/>
    <w:rsid w:val="00C659E3"/>
    <w:rsid w:val="00C65BB5"/>
    <w:rsid w:val="00C66DAE"/>
    <w:rsid w:val="00C66F88"/>
    <w:rsid w:val="00C6700A"/>
    <w:rsid w:val="00C6706B"/>
    <w:rsid w:val="00C674CB"/>
    <w:rsid w:val="00C6799A"/>
    <w:rsid w:val="00C67AC4"/>
    <w:rsid w:val="00C67CA4"/>
    <w:rsid w:val="00C708F7"/>
    <w:rsid w:val="00C70CFF"/>
    <w:rsid w:val="00C71531"/>
    <w:rsid w:val="00C7179B"/>
    <w:rsid w:val="00C7191A"/>
    <w:rsid w:val="00C71954"/>
    <w:rsid w:val="00C71A6A"/>
    <w:rsid w:val="00C71E7E"/>
    <w:rsid w:val="00C71F2A"/>
    <w:rsid w:val="00C724D8"/>
    <w:rsid w:val="00C72A86"/>
    <w:rsid w:val="00C74092"/>
    <w:rsid w:val="00C7417D"/>
    <w:rsid w:val="00C74286"/>
    <w:rsid w:val="00C74608"/>
    <w:rsid w:val="00C748BE"/>
    <w:rsid w:val="00C74A1C"/>
    <w:rsid w:val="00C75141"/>
    <w:rsid w:val="00C7528A"/>
    <w:rsid w:val="00C755BF"/>
    <w:rsid w:val="00C75655"/>
    <w:rsid w:val="00C75D4E"/>
    <w:rsid w:val="00C76026"/>
    <w:rsid w:val="00C761FB"/>
    <w:rsid w:val="00C7672B"/>
    <w:rsid w:val="00C7691A"/>
    <w:rsid w:val="00C76AF3"/>
    <w:rsid w:val="00C76BE0"/>
    <w:rsid w:val="00C76E2F"/>
    <w:rsid w:val="00C771F5"/>
    <w:rsid w:val="00C77501"/>
    <w:rsid w:val="00C77A1F"/>
    <w:rsid w:val="00C8021F"/>
    <w:rsid w:val="00C80CA5"/>
    <w:rsid w:val="00C819B7"/>
    <w:rsid w:val="00C81B25"/>
    <w:rsid w:val="00C81C5B"/>
    <w:rsid w:val="00C81DE1"/>
    <w:rsid w:val="00C82414"/>
    <w:rsid w:val="00C8255A"/>
    <w:rsid w:val="00C82562"/>
    <w:rsid w:val="00C8277C"/>
    <w:rsid w:val="00C82819"/>
    <w:rsid w:val="00C82D00"/>
    <w:rsid w:val="00C82FAF"/>
    <w:rsid w:val="00C83083"/>
    <w:rsid w:val="00C830DF"/>
    <w:rsid w:val="00C837C3"/>
    <w:rsid w:val="00C83EF4"/>
    <w:rsid w:val="00C84497"/>
    <w:rsid w:val="00C84768"/>
    <w:rsid w:val="00C854A6"/>
    <w:rsid w:val="00C85651"/>
    <w:rsid w:val="00C85F17"/>
    <w:rsid w:val="00C85F76"/>
    <w:rsid w:val="00C868F6"/>
    <w:rsid w:val="00C86953"/>
    <w:rsid w:val="00C869F3"/>
    <w:rsid w:val="00C86A40"/>
    <w:rsid w:val="00C86ACE"/>
    <w:rsid w:val="00C87F6C"/>
    <w:rsid w:val="00C9039E"/>
    <w:rsid w:val="00C90BCA"/>
    <w:rsid w:val="00C90D91"/>
    <w:rsid w:val="00C9137C"/>
    <w:rsid w:val="00C914E0"/>
    <w:rsid w:val="00C91644"/>
    <w:rsid w:val="00C916E9"/>
    <w:rsid w:val="00C917B7"/>
    <w:rsid w:val="00C91F44"/>
    <w:rsid w:val="00C91FE4"/>
    <w:rsid w:val="00C926EC"/>
    <w:rsid w:val="00C92A17"/>
    <w:rsid w:val="00C930D3"/>
    <w:rsid w:val="00C93556"/>
    <w:rsid w:val="00C9368B"/>
    <w:rsid w:val="00C93703"/>
    <w:rsid w:val="00C93F15"/>
    <w:rsid w:val="00C9506A"/>
    <w:rsid w:val="00C95590"/>
    <w:rsid w:val="00C95698"/>
    <w:rsid w:val="00C9663B"/>
    <w:rsid w:val="00C96D64"/>
    <w:rsid w:val="00C9712A"/>
    <w:rsid w:val="00C97F72"/>
    <w:rsid w:val="00CA1356"/>
    <w:rsid w:val="00CA157E"/>
    <w:rsid w:val="00CA2144"/>
    <w:rsid w:val="00CA267F"/>
    <w:rsid w:val="00CA269E"/>
    <w:rsid w:val="00CA2807"/>
    <w:rsid w:val="00CA2953"/>
    <w:rsid w:val="00CA2A39"/>
    <w:rsid w:val="00CA2A52"/>
    <w:rsid w:val="00CA2D50"/>
    <w:rsid w:val="00CA2E99"/>
    <w:rsid w:val="00CA3290"/>
    <w:rsid w:val="00CA348A"/>
    <w:rsid w:val="00CA34D2"/>
    <w:rsid w:val="00CA35C7"/>
    <w:rsid w:val="00CA3669"/>
    <w:rsid w:val="00CA382D"/>
    <w:rsid w:val="00CA435B"/>
    <w:rsid w:val="00CA435D"/>
    <w:rsid w:val="00CA43A5"/>
    <w:rsid w:val="00CA44FF"/>
    <w:rsid w:val="00CA4B46"/>
    <w:rsid w:val="00CA4EFA"/>
    <w:rsid w:val="00CA515E"/>
    <w:rsid w:val="00CA5591"/>
    <w:rsid w:val="00CA5AB3"/>
    <w:rsid w:val="00CA5FDE"/>
    <w:rsid w:val="00CA64B6"/>
    <w:rsid w:val="00CA6DB1"/>
    <w:rsid w:val="00CA7240"/>
    <w:rsid w:val="00CA7C0B"/>
    <w:rsid w:val="00CA7FE7"/>
    <w:rsid w:val="00CB0C94"/>
    <w:rsid w:val="00CB1041"/>
    <w:rsid w:val="00CB14EB"/>
    <w:rsid w:val="00CB15D2"/>
    <w:rsid w:val="00CB170A"/>
    <w:rsid w:val="00CB18EB"/>
    <w:rsid w:val="00CB18FC"/>
    <w:rsid w:val="00CB1DCF"/>
    <w:rsid w:val="00CB2039"/>
    <w:rsid w:val="00CB217B"/>
    <w:rsid w:val="00CB244C"/>
    <w:rsid w:val="00CB27E5"/>
    <w:rsid w:val="00CB28AA"/>
    <w:rsid w:val="00CB2EB9"/>
    <w:rsid w:val="00CB45B6"/>
    <w:rsid w:val="00CB4616"/>
    <w:rsid w:val="00CB4F30"/>
    <w:rsid w:val="00CB529C"/>
    <w:rsid w:val="00CB56AB"/>
    <w:rsid w:val="00CB57F8"/>
    <w:rsid w:val="00CB5C32"/>
    <w:rsid w:val="00CB5C5E"/>
    <w:rsid w:val="00CB65BF"/>
    <w:rsid w:val="00CB678B"/>
    <w:rsid w:val="00CB6B9A"/>
    <w:rsid w:val="00CB6C39"/>
    <w:rsid w:val="00CB6E2B"/>
    <w:rsid w:val="00CB6FF7"/>
    <w:rsid w:val="00CB70C2"/>
    <w:rsid w:val="00CB7302"/>
    <w:rsid w:val="00CB7371"/>
    <w:rsid w:val="00CB776F"/>
    <w:rsid w:val="00CB792D"/>
    <w:rsid w:val="00CB7B64"/>
    <w:rsid w:val="00CC05C7"/>
    <w:rsid w:val="00CC086F"/>
    <w:rsid w:val="00CC0C4B"/>
    <w:rsid w:val="00CC0CC3"/>
    <w:rsid w:val="00CC13CF"/>
    <w:rsid w:val="00CC1D86"/>
    <w:rsid w:val="00CC1E9F"/>
    <w:rsid w:val="00CC21F5"/>
    <w:rsid w:val="00CC28CE"/>
    <w:rsid w:val="00CC36A5"/>
    <w:rsid w:val="00CC396E"/>
    <w:rsid w:val="00CC3AB6"/>
    <w:rsid w:val="00CC4551"/>
    <w:rsid w:val="00CC45EC"/>
    <w:rsid w:val="00CC46A4"/>
    <w:rsid w:val="00CC5684"/>
    <w:rsid w:val="00CC5896"/>
    <w:rsid w:val="00CC5ADD"/>
    <w:rsid w:val="00CC5AFC"/>
    <w:rsid w:val="00CC5C86"/>
    <w:rsid w:val="00CC6417"/>
    <w:rsid w:val="00CC6453"/>
    <w:rsid w:val="00CC6F89"/>
    <w:rsid w:val="00CC7829"/>
    <w:rsid w:val="00CC7842"/>
    <w:rsid w:val="00CC7F6E"/>
    <w:rsid w:val="00CD045F"/>
    <w:rsid w:val="00CD0C56"/>
    <w:rsid w:val="00CD12FE"/>
    <w:rsid w:val="00CD163A"/>
    <w:rsid w:val="00CD17C6"/>
    <w:rsid w:val="00CD1EAB"/>
    <w:rsid w:val="00CD2B54"/>
    <w:rsid w:val="00CD2D39"/>
    <w:rsid w:val="00CD3927"/>
    <w:rsid w:val="00CD3A9D"/>
    <w:rsid w:val="00CD4158"/>
    <w:rsid w:val="00CD498E"/>
    <w:rsid w:val="00CD50AF"/>
    <w:rsid w:val="00CD538E"/>
    <w:rsid w:val="00CD5988"/>
    <w:rsid w:val="00CD5A0D"/>
    <w:rsid w:val="00CD6379"/>
    <w:rsid w:val="00CD699B"/>
    <w:rsid w:val="00CD6A2B"/>
    <w:rsid w:val="00CD6C9C"/>
    <w:rsid w:val="00CD7887"/>
    <w:rsid w:val="00CD7ECC"/>
    <w:rsid w:val="00CD7F9A"/>
    <w:rsid w:val="00CE00B9"/>
    <w:rsid w:val="00CE02FA"/>
    <w:rsid w:val="00CE042C"/>
    <w:rsid w:val="00CE0483"/>
    <w:rsid w:val="00CE0C35"/>
    <w:rsid w:val="00CE10F2"/>
    <w:rsid w:val="00CE2078"/>
    <w:rsid w:val="00CE20F3"/>
    <w:rsid w:val="00CE241A"/>
    <w:rsid w:val="00CE2717"/>
    <w:rsid w:val="00CE3603"/>
    <w:rsid w:val="00CE3810"/>
    <w:rsid w:val="00CE38A0"/>
    <w:rsid w:val="00CE3A1B"/>
    <w:rsid w:val="00CE3B64"/>
    <w:rsid w:val="00CE44B9"/>
    <w:rsid w:val="00CE49D1"/>
    <w:rsid w:val="00CE4F4D"/>
    <w:rsid w:val="00CE52B4"/>
    <w:rsid w:val="00CE59BB"/>
    <w:rsid w:val="00CE5A42"/>
    <w:rsid w:val="00CE5DCD"/>
    <w:rsid w:val="00CE6875"/>
    <w:rsid w:val="00CE693F"/>
    <w:rsid w:val="00CE6A22"/>
    <w:rsid w:val="00CE6E0B"/>
    <w:rsid w:val="00CE701C"/>
    <w:rsid w:val="00CE7262"/>
    <w:rsid w:val="00CE7599"/>
    <w:rsid w:val="00CE7B2A"/>
    <w:rsid w:val="00CF04EC"/>
    <w:rsid w:val="00CF0A6F"/>
    <w:rsid w:val="00CF0F99"/>
    <w:rsid w:val="00CF1528"/>
    <w:rsid w:val="00CF17FD"/>
    <w:rsid w:val="00CF1AA5"/>
    <w:rsid w:val="00CF2095"/>
    <w:rsid w:val="00CF2597"/>
    <w:rsid w:val="00CF28BA"/>
    <w:rsid w:val="00CF2A9C"/>
    <w:rsid w:val="00CF2C3A"/>
    <w:rsid w:val="00CF3046"/>
    <w:rsid w:val="00CF414A"/>
    <w:rsid w:val="00CF4552"/>
    <w:rsid w:val="00CF47E1"/>
    <w:rsid w:val="00CF4FF0"/>
    <w:rsid w:val="00CF57B0"/>
    <w:rsid w:val="00CF5B47"/>
    <w:rsid w:val="00CF5D3A"/>
    <w:rsid w:val="00CF607B"/>
    <w:rsid w:val="00CF6368"/>
    <w:rsid w:val="00CF66AA"/>
    <w:rsid w:val="00CF6869"/>
    <w:rsid w:val="00CF6AF0"/>
    <w:rsid w:val="00CF6D28"/>
    <w:rsid w:val="00CF797A"/>
    <w:rsid w:val="00CF7D2A"/>
    <w:rsid w:val="00D00B76"/>
    <w:rsid w:val="00D00C6D"/>
    <w:rsid w:val="00D0111A"/>
    <w:rsid w:val="00D013CF"/>
    <w:rsid w:val="00D01FBC"/>
    <w:rsid w:val="00D020B8"/>
    <w:rsid w:val="00D032BC"/>
    <w:rsid w:val="00D0356A"/>
    <w:rsid w:val="00D04FDD"/>
    <w:rsid w:val="00D0675D"/>
    <w:rsid w:val="00D076EF"/>
    <w:rsid w:val="00D07E12"/>
    <w:rsid w:val="00D1017C"/>
    <w:rsid w:val="00D104F9"/>
    <w:rsid w:val="00D10A33"/>
    <w:rsid w:val="00D10D62"/>
    <w:rsid w:val="00D10EEF"/>
    <w:rsid w:val="00D10F99"/>
    <w:rsid w:val="00D11050"/>
    <w:rsid w:val="00D11216"/>
    <w:rsid w:val="00D123E9"/>
    <w:rsid w:val="00D1270A"/>
    <w:rsid w:val="00D12A6E"/>
    <w:rsid w:val="00D12DD6"/>
    <w:rsid w:val="00D1385B"/>
    <w:rsid w:val="00D139E7"/>
    <w:rsid w:val="00D13A13"/>
    <w:rsid w:val="00D14323"/>
    <w:rsid w:val="00D1457A"/>
    <w:rsid w:val="00D14763"/>
    <w:rsid w:val="00D14E10"/>
    <w:rsid w:val="00D15088"/>
    <w:rsid w:val="00D1581D"/>
    <w:rsid w:val="00D15B6D"/>
    <w:rsid w:val="00D15C8A"/>
    <w:rsid w:val="00D15D9F"/>
    <w:rsid w:val="00D16008"/>
    <w:rsid w:val="00D16148"/>
    <w:rsid w:val="00D166D4"/>
    <w:rsid w:val="00D16AC3"/>
    <w:rsid w:val="00D1715F"/>
    <w:rsid w:val="00D20522"/>
    <w:rsid w:val="00D207DC"/>
    <w:rsid w:val="00D2099C"/>
    <w:rsid w:val="00D20D57"/>
    <w:rsid w:val="00D21856"/>
    <w:rsid w:val="00D22631"/>
    <w:rsid w:val="00D22C8B"/>
    <w:rsid w:val="00D232E0"/>
    <w:rsid w:val="00D244B9"/>
    <w:rsid w:val="00D24991"/>
    <w:rsid w:val="00D24B8F"/>
    <w:rsid w:val="00D25093"/>
    <w:rsid w:val="00D2555A"/>
    <w:rsid w:val="00D25B17"/>
    <w:rsid w:val="00D2656C"/>
    <w:rsid w:val="00D2714A"/>
    <w:rsid w:val="00D27F29"/>
    <w:rsid w:val="00D30254"/>
    <w:rsid w:val="00D3039D"/>
    <w:rsid w:val="00D30ED2"/>
    <w:rsid w:val="00D31641"/>
    <w:rsid w:val="00D31EAE"/>
    <w:rsid w:val="00D3204A"/>
    <w:rsid w:val="00D32572"/>
    <w:rsid w:val="00D32931"/>
    <w:rsid w:val="00D32A20"/>
    <w:rsid w:val="00D335CB"/>
    <w:rsid w:val="00D335E7"/>
    <w:rsid w:val="00D33768"/>
    <w:rsid w:val="00D337BC"/>
    <w:rsid w:val="00D338CA"/>
    <w:rsid w:val="00D33AF7"/>
    <w:rsid w:val="00D33B0F"/>
    <w:rsid w:val="00D33C5C"/>
    <w:rsid w:val="00D33D87"/>
    <w:rsid w:val="00D3420B"/>
    <w:rsid w:val="00D34244"/>
    <w:rsid w:val="00D3433C"/>
    <w:rsid w:val="00D34943"/>
    <w:rsid w:val="00D34C7A"/>
    <w:rsid w:val="00D34F4A"/>
    <w:rsid w:val="00D35077"/>
    <w:rsid w:val="00D350C2"/>
    <w:rsid w:val="00D353B7"/>
    <w:rsid w:val="00D35A6E"/>
    <w:rsid w:val="00D3618E"/>
    <w:rsid w:val="00D3631D"/>
    <w:rsid w:val="00D36B48"/>
    <w:rsid w:val="00D36F5E"/>
    <w:rsid w:val="00D37193"/>
    <w:rsid w:val="00D374CE"/>
    <w:rsid w:val="00D37B0B"/>
    <w:rsid w:val="00D37B2F"/>
    <w:rsid w:val="00D4004C"/>
    <w:rsid w:val="00D4007F"/>
    <w:rsid w:val="00D40612"/>
    <w:rsid w:val="00D408A8"/>
    <w:rsid w:val="00D40B57"/>
    <w:rsid w:val="00D40ECC"/>
    <w:rsid w:val="00D40FA8"/>
    <w:rsid w:val="00D41281"/>
    <w:rsid w:val="00D41458"/>
    <w:rsid w:val="00D415D6"/>
    <w:rsid w:val="00D41844"/>
    <w:rsid w:val="00D418FE"/>
    <w:rsid w:val="00D41A2E"/>
    <w:rsid w:val="00D41A48"/>
    <w:rsid w:val="00D41A9C"/>
    <w:rsid w:val="00D41F54"/>
    <w:rsid w:val="00D4230A"/>
    <w:rsid w:val="00D43570"/>
    <w:rsid w:val="00D438BF"/>
    <w:rsid w:val="00D43C3C"/>
    <w:rsid w:val="00D43DC1"/>
    <w:rsid w:val="00D4404F"/>
    <w:rsid w:val="00D44A7C"/>
    <w:rsid w:val="00D451D2"/>
    <w:rsid w:val="00D45204"/>
    <w:rsid w:val="00D45B05"/>
    <w:rsid w:val="00D45BCD"/>
    <w:rsid w:val="00D45DD3"/>
    <w:rsid w:val="00D4647A"/>
    <w:rsid w:val="00D46DAE"/>
    <w:rsid w:val="00D47717"/>
    <w:rsid w:val="00D5028B"/>
    <w:rsid w:val="00D5033F"/>
    <w:rsid w:val="00D504D7"/>
    <w:rsid w:val="00D50955"/>
    <w:rsid w:val="00D51346"/>
    <w:rsid w:val="00D51478"/>
    <w:rsid w:val="00D517C5"/>
    <w:rsid w:val="00D51C8F"/>
    <w:rsid w:val="00D51CB6"/>
    <w:rsid w:val="00D5204B"/>
    <w:rsid w:val="00D525BB"/>
    <w:rsid w:val="00D527DA"/>
    <w:rsid w:val="00D528B0"/>
    <w:rsid w:val="00D52D14"/>
    <w:rsid w:val="00D52E05"/>
    <w:rsid w:val="00D53460"/>
    <w:rsid w:val="00D53776"/>
    <w:rsid w:val="00D53EB7"/>
    <w:rsid w:val="00D54256"/>
    <w:rsid w:val="00D54479"/>
    <w:rsid w:val="00D5491A"/>
    <w:rsid w:val="00D54C10"/>
    <w:rsid w:val="00D55191"/>
    <w:rsid w:val="00D5567A"/>
    <w:rsid w:val="00D55ACD"/>
    <w:rsid w:val="00D55CD0"/>
    <w:rsid w:val="00D56D07"/>
    <w:rsid w:val="00D5705E"/>
    <w:rsid w:val="00D57106"/>
    <w:rsid w:val="00D57275"/>
    <w:rsid w:val="00D57302"/>
    <w:rsid w:val="00D57544"/>
    <w:rsid w:val="00D57973"/>
    <w:rsid w:val="00D60704"/>
    <w:rsid w:val="00D60758"/>
    <w:rsid w:val="00D60C12"/>
    <w:rsid w:val="00D60CE2"/>
    <w:rsid w:val="00D61285"/>
    <w:rsid w:val="00D612EC"/>
    <w:rsid w:val="00D6153E"/>
    <w:rsid w:val="00D61B65"/>
    <w:rsid w:val="00D61B6A"/>
    <w:rsid w:val="00D6219E"/>
    <w:rsid w:val="00D623C4"/>
    <w:rsid w:val="00D62932"/>
    <w:rsid w:val="00D62CE8"/>
    <w:rsid w:val="00D6334E"/>
    <w:rsid w:val="00D63452"/>
    <w:rsid w:val="00D6373F"/>
    <w:rsid w:val="00D63964"/>
    <w:rsid w:val="00D63C73"/>
    <w:rsid w:val="00D64417"/>
    <w:rsid w:val="00D659A8"/>
    <w:rsid w:val="00D65EB9"/>
    <w:rsid w:val="00D661BD"/>
    <w:rsid w:val="00D669D3"/>
    <w:rsid w:val="00D67A13"/>
    <w:rsid w:val="00D67A77"/>
    <w:rsid w:val="00D67A7E"/>
    <w:rsid w:val="00D67E77"/>
    <w:rsid w:val="00D67F40"/>
    <w:rsid w:val="00D70090"/>
    <w:rsid w:val="00D7040F"/>
    <w:rsid w:val="00D70501"/>
    <w:rsid w:val="00D705B2"/>
    <w:rsid w:val="00D7065C"/>
    <w:rsid w:val="00D716B1"/>
    <w:rsid w:val="00D722BD"/>
    <w:rsid w:val="00D722DF"/>
    <w:rsid w:val="00D72A2E"/>
    <w:rsid w:val="00D72F01"/>
    <w:rsid w:val="00D73123"/>
    <w:rsid w:val="00D7314B"/>
    <w:rsid w:val="00D733D6"/>
    <w:rsid w:val="00D73A11"/>
    <w:rsid w:val="00D73BDC"/>
    <w:rsid w:val="00D741FF"/>
    <w:rsid w:val="00D7587C"/>
    <w:rsid w:val="00D75B71"/>
    <w:rsid w:val="00D769B9"/>
    <w:rsid w:val="00D76C5D"/>
    <w:rsid w:val="00D77530"/>
    <w:rsid w:val="00D77699"/>
    <w:rsid w:val="00D7780F"/>
    <w:rsid w:val="00D77ACD"/>
    <w:rsid w:val="00D80577"/>
    <w:rsid w:val="00D80587"/>
    <w:rsid w:val="00D80635"/>
    <w:rsid w:val="00D80795"/>
    <w:rsid w:val="00D80A83"/>
    <w:rsid w:val="00D81A84"/>
    <w:rsid w:val="00D81C1D"/>
    <w:rsid w:val="00D81FE3"/>
    <w:rsid w:val="00D82B3C"/>
    <w:rsid w:val="00D82B81"/>
    <w:rsid w:val="00D82E05"/>
    <w:rsid w:val="00D82E97"/>
    <w:rsid w:val="00D83043"/>
    <w:rsid w:val="00D84675"/>
    <w:rsid w:val="00D84966"/>
    <w:rsid w:val="00D84D58"/>
    <w:rsid w:val="00D8526A"/>
    <w:rsid w:val="00D857AA"/>
    <w:rsid w:val="00D8617A"/>
    <w:rsid w:val="00D86252"/>
    <w:rsid w:val="00D865E6"/>
    <w:rsid w:val="00D866F8"/>
    <w:rsid w:val="00D86B05"/>
    <w:rsid w:val="00D86EF5"/>
    <w:rsid w:val="00D86FE2"/>
    <w:rsid w:val="00D8720D"/>
    <w:rsid w:val="00D87CC5"/>
    <w:rsid w:val="00D87DA9"/>
    <w:rsid w:val="00D910BE"/>
    <w:rsid w:val="00D917F3"/>
    <w:rsid w:val="00D91A48"/>
    <w:rsid w:val="00D92CA4"/>
    <w:rsid w:val="00D92E61"/>
    <w:rsid w:val="00D935BB"/>
    <w:rsid w:val="00D936DB"/>
    <w:rsid w:val="00D93C6B"/>
    <w:rsid w:val="00D93D91"/>
    <w:rsid w:val="00D94136"/>
    <w:rsid w:val="00D9480E"/>
    <w:rsid w:val="00D95091"/>
    <w:rsid w:val="00D954DF"/>
    <w:rsid w:val="00D955CA"/>
    <w:rsid w:val="00D95AF0"/>
    <w:rsid w:val="00D95CB0"/>
    <w:rsid w:val="00D966F5"/>
    <w:rsid w:val="00D96D38"/>
    <w:rsid w:val="00D96E1A"/>
    <w:rsid w:val="00D973B2"/>
    <w:rsid w:val="00D9779A"/>
    <w:rsid w:val="00D97968"/>
    <w:rsid w:val="00D97AA4"/>
    <w:rsid w:val="00D97B23"/>
    <w:rsid w:val="00D97BAA"/>
    <w:rsid w:val="00D97C1A"/>
    <w:rsid w:val="00DA0017"/>
    <w:rsid w:val="00DA01B6"/>
    <w:rsid w:val="00DA0435"/>
    <w:rsid w:val="00DA06A2"/>
    <w:rsid w:val="00DA0837"/>
    <w:rsid w:val="00DA0A4D"/>
    <w:rsid w:val="00DA0AA0"/>
    <w:rsid w:val="00DA0EF6"/>
    <w:rsid w:val="00DA13EF"/>
    <w:rsid w:val="00DA149D"/>
    <w:rsid w:val="00DA1872"/>
    <w:rsid w:val="00DA1902"/>
    <w:rsid w:val="00DA1AE9"/>
    <w:rsid w:val="00DA1B08"/>
    <w:rsid w:val="00DA24EB"/>
    <w:rsid w:val="00DA2E7B"/>
    <w:rsid w:val="00DA3358"/>
    <w:rsid w:val="00DA3621"/>
    <w:rsid w:val="00DA3AF3"/>
    <w:rsid w:val="00DA3B68"/>
    <w:rsid w:val="00DA468D"/>
    <w:rsid w:val="00DA495A"/>
    <w:rsid w:val="00DA4C31"/>
    <w:rsid w:val="00DA544F"/>
    <w:rsid w:val="00DA5455"/>
    <w:rsid w:val="00DA57F0"/>
    <w:rsid w:val="00DA5C2B"/>
    <w:rsid w:val="00DA5DCC"/>
    <w:rsid w:val="00DA604F"/>
    <w:rsid w:val="00DA65CD"/>
    <w:rsid w:val="00DA6C17"/>
    <w:rsid w:val="00DA6F07"/>
    <w:rsid w:val="00DA75AE"/>
    <w:rsid w:val="00DA79B6"/>
    <w:rsid w:val="00DA7A20"/>
    <w:rsid w:val="00DB045B"/>
    <w:rsid w:val="00DB0632"/>
    <w:rsid w:val="00DB0CF6"/>
    <w:rsid w:val="00DB1369"/>
    <w:rsid w:val="00DB154A"/>
    <w:rsid w:val="00DB1563"/>
    <w:rsid w:val="00DB165A"/>
    <w:rsid w:val="00DB169E"/>
    <w:rsid w:val="00DB18A0"/>
    <w:rsid w:val="00DB1B04"/>
    <w:rsid w:val="00DB2AC0"/>
    <w:rsid w:val="00DB2E03"/>
    <w:rsid w:val="00DB2F67"/>
    <w:rsid w:val="00DB3661"/>
    <w:rsid w:val="00DB39A0"/>
    <w:rsid w:val="00DB3B2A"/>
    <w:rsid w:val="00DB3E83"/>
    <w:rsid w:val="00DB422A"/>
    <w:rsid w:val="00DB4237"/>
    <w:rsid w:val="00DB438A"/>
    <w:rsid w:val="00DB4568"/>
    <w:rsid w:val="00DB4754"/>
    <w:rsid w:val="00DB4897"/>
    <w:rsid w:val="00DB4C27"/>
    <w:rsid w:val="00DB4F28"/>
    <w:rsid w:val="00DB5271"/>
    <w:rsid w:val="00DB57E5"/>
    <w:rsid w:val="00DB5EFB"/>
    <w:rsid w:val="00DB6758"/>
    <w:rsid w:val="00DB6E33"/>
    <w:rsid w:val="00DB6EF1"/>
    <w:rsid w:val="00DB6F95"/>
    <w:rsid w:val="00DB7560"/>
    <w:rsid w:val="00DB7732"/>
    <w:rsid w:val="00DC05E9"/>
    <w:rsid w:val="00DC0798"/>
    <w:rsid w:val="00DC0FB0"/>
    <w:rsid w:val="00DC100A"/>
    <w:rsid w:val="00DC1055"/>
    <w:rsid w:val="00DC1448"/>
    <w:rsid w:val="00DC15C1"/>
    <w:rsid w:val="00DC188E"/>
    <w:rsid w:val="00DC19BB"/>
    <w:rsid w:val="00DC1E49"/>
    <w:rsid w:val="00DC1E51"/>
    <w:rsid w:val="00DC20F3"/>
    <w:rsid w:val="00DC2172"/>
    <w:rsid w:val="00DC230F"/>
    <w:rsid w:val="00DC24FF"/>
    <w:rsid w:val="00DC2916"/>
    <w:rsid w:val="00DC39C0"/>
    <w:rsid w:val="00DC3A34"/>
    <w:rsid w:val="00DC3A8D"/>
    <w:rsid w:val="00DC45C9"/>
    <w:rsid w:val="00DC4834"/>
    <w:rsid w:val="00DC4D3A"/>
    <w:rsid w:val="00DC4F32"/>
    <w:rsid w:val="00DC6404"/>
    <w:rsid w:val="00DC6B92"/>
    <w:rsid w:val="00DC71CB"/>
    <w:rsid w:val="00DC72B1"/>
    <w:rsid w:val="00DC7B30"/>
    <w:rsid w:val="00DC7B44"/>
    <w:rsid w:val="00DD0248"/>
    <w:rsid w:val="00DD09C9"/>
    <w:rsid w:val="00DD0F88"/>
    <w:rsid w:val="00DD113B"/>
    <w:rsid w:val="00DD1715"/>
    <w:rsid w:val="00DD24BD"/>
    <w:rsid w:val="00DD256C"/>
    <w:rsid w:val="00DD2711"/>
    <w:rsid w:val="00DD2CC2"/>
    <w:rsid w:val="00DD332A"/>
    <w:rsid w:val="00DD3D8D"/>
    <w:rsid w:val="00DD3F27"/>
    <w:rsid w:val="00DD4237"/>
    <w:rsid w:val="00DD4463"/>
    <w:rsid w:val="00DD4818"/>
    <w:rsid w:val="00DD5343"/>
    <w:rsid w:val="00DD57B3"/>
    <w:rsid w:val="00DD5848"/>
    <w:rsid w:val="00DD5D3F"/>
    <w:rsid w:val="00DD613D"/>
    <w:rsid w:val="00DD64C5"/>
    <w:rsid w:val="00DD6F5E"/>
    <w:rsid w:val="00DD701A"/>
    <w:rsid w:val="00DD7ABC"/>
    <w:rsid w:val="00DD7FDF"/>
    <w:rsid w:val="00DE0776"/>
    <w:rsid w:val="00DE07D9"/>
    <w:rsid w:val="00DE07F7"/>
    <w:rsid w:val="00DE0A68"/>
    <w:rsid w:val="00DE0B09"/>
    <w:rsid w:val="00DE119B"/>
    <w:rsid w:val="00DE12A4"/>
    <w:rsid w:val="00DE1703"/>
    <w:rsid w:val="00DE22D4"/>
    <w:rsid w:val="00DE25AC"/>
    <w:rsid w:val="00DE28B4"/>
    <w:rsid w:val="00DE3132"/>
    <w:rsid w:val="00DE3277"/>
    <w:rsid w:val="00DE33D2"/>
    <w:rsid w:val="00DE34A8"/>
    <w:rsid w:val="00DE3616"/>
    <w:rsid w:val="00DE49C9"/>
    <w:rsid w:val="00DE52EC"/>
    <w:rsid w:val="00DE531D"/>
    <w:rsid w:val="00DE59CD"/>
    <w:rsid w:val="00DE6744"/>
    <w:rsid w:val="00DE7FAE"/>
    <w:rsid w:val="00DF01D7"/>
    <w:rsid w:val="00DF035A"/>
    <w:rsid w:val="00DF03CC"/>
    <w:rsid w:val="00DF07F4"/>
    <w:rsid w:val="00DF0806"/>
    <w:rsid w:val="00DF0B38"/>
    <w:rsid w:val="00DF0EE3"/>
    <w:rsid w:val="00DF0F0F"/>
    <w:rsid w:val="00DF102A"/>
    <w:rsid w:val="00DF147E"/>
    <w:rsid w:val="00DF15E3"/>
    <w:rsid w:val="00DF212C"/>
    <w:rsid w:val="00DF231F"/>
    <w:rsid w:val="00DF23B6"/>
    <w:rsid w:val="00DF252C"/>
    <w:rsid w:val="00DF26C7"/>
    <w:rsid w:val="00DF2791"/>
    <w:rsid w:val="00DF2A76"/>
    <w:rsid w:val="00DF2B56"/>
    <w:rsid w:val="00DF3514"/>
    <w:rsid w:val="00DF359B"/>
    <w:rsid w:val="00DF405B"/>
    <w:rsid w:val="00DF5355"/>
    <w:rsid w:val="00DF568D"/>
    <w:rsid w:val="00DF5CA2"/>
    <w:rsid w:val="00DF67D2"/>
    <w:rsid w:val="00DF6CAC"/>
    <w:rsid w:val="00DF7317"/>
    <w:rsid w:val="00DF7469"/>
    <w:rsid w:val="00DF7AA0"/>
    <w:rsid w:val="00E0055D"/>
    <w:rsid w:val="00E008B9"/>
    <w:rsid w:val="00E00C1D"/>
    <w:rsid w:val="00E00CCB"/>
    <w:rsid w:val="00E00EC5"/>
    <w:rsid w:val="00E0145C"/>
    <w:rsid w:val="00E0147F"/>
    <w:rsid w:val="00E01653"/>
    <w:rsid w:val="00E016AB"/>
    <w:rsid w:val="00E01C96"/>
    <w:rsid w:val="00E01C97"/>
    <w:rsid w:val="00E0227D"/>
    <w:rsid w:val="00E02940"/>
    <w:rsid w:val="00E0315C"/>
    <w:rsid w:val="00E03206"/>
    <w:rsid w:val="00E0368B"/>
    <w:rsid w:val="00E03E2C"/>
    <w:rsid w:val="00E03EB3"/>
    <w:rsid w:val="00E0427E"/>
    <w:rsid w:val="00E042C7"/>
    <w:rsid w:val="00E04421"/>
    <w:rsid w:val="00E04C73"/>
    <w:rsid w:val="00E055E3"/>
    <w:rsid w:val="00E06010"/>
    <w:rsid w:val="00E0607D"/>
    <w:rsid w:val="00E0651F"/>
    <w:rsid w:val="00E06B1B"/>
    <w:rsid w:val="00E06BB6"/>
    <w:rsid w:val="00E06CF3"/>
    <w:rsid w:val="00E073AC"/>
    <w:rsid w:val="00E0781A"/>
    <w:rsid w:val="00E10B66"/>
    <w:rsid w:val="00E10B7B"/>
    <w:rsid w:val="00E10D09"/>
    <w:rsid w:val="00E11058"/>
    <w:rsid w:val="00E11475"/>
    <w:rsid w:val="00E116C5"/>
    <w:rsid w:val="00E119E3"/>
    <w:rsid w:val="00E11B88"/>
    <w:rsid w:val="00E11F40"/>
    <w:rsid w:val="00E12A46"/>
    <w:rsid w:val="00E13165"/>
    <w:rsid w:val="00E134E0"/>
    <w:rsid w:val="00E13699"/>
    <w:rsid w:val="00E1383C"/>
    <w:rsid w:val="00E13E04"/>
    <w:rsid w:val="00E14881"/>
    <w:rsid w:val="00E1494A"/>
    <w:rsid w:val="00E149C5"/>
    <w:rsid w:val="00E14C69"/>
    <w:rsid w:val="00E16142"/>
    <w:rsid w:val="00E167D3"/>
    <w:rsid w:val="00E16D52"/>
    <w:rsid w:val="00E1745B"/>
    <w:rsid w:val="00E175A7"/>
    <w:rsid w:val="00E20168"/>
    <w:rsid w:val="00E203FA"/>
    <w:rsid w:val="00E20695"/>
    <w:rsid w:val="00E20740"/>
    <w:rsid w:val="00E207A3"/>
    <w:rsid w:val="00E20E92"/>
    <w:rsid w:val="00E21106"/>
    <w:rsid w:val="00E21A9B"/>
    <w:rsid w:val="00E21CE2"/>
    <w:rsid w:val="00E21FA5"/>
    <w:rsid w:val="00E22788"/>
    <w:rsid w:val="00E22A6A"/>
    <w:rsid w:val="00E22C01"/>
    <w:rsid w:val="00E23B80"/>
    <w:rsid w:val="00E2448F"/>
    <w:rsid w:val="00E245DA"/>
    <w:rsid w:val="00E24645"/>
    <w:rsid w:val="00E24817"/>
    <w:rsid w:val="00E24A2B"/>
    <w:rsid w:val="00E24D0D"/>
    <w:rsid w:val="00E24DF7"/>
    <w:rsid w:val="00E255C3"/>
    <w:rsid w:val="00E2627F"/>
    <w:rsid w:val="00E268FE"/>
    <w:rsid w:val="00E26BB0"/>
    <w:rsid w:val="00E27177"/>
    <w:rsid w:val="00E274B5"/>
    <w:rsid w:val="00E27DF6"/>
    <w:rsid w:val="00E3066D"/>
    <w:rsid w:val="00E31056"/>
    <w:rsid w:val="00E3157F"/>
    <w:rsid w:val="00E31A74"/>
    <w:rsid w:val="00E31B92"/>
    <w:rsid w:val="00E31BCB"/>
    <w:rsid w:val="00E3286C"/>
    <w:rsid w:val="00E32963"/>
    <w:rsid w:val="00E32D9B"/>
    <w:rsid w:val="00E32DF1"/>
    <w:rsid w:val="00E32E7D"/>
    <w:rsid w:val="00E336E7"/>
    <w:rsid w:val="00E337BC"/>
    <w:rsid w:val="00E34160"/>
    <w:rsid w:val="00E34D7C"/>
    <w:rsid w:val="00E34E11"/>
    <w:rsid w:val="00E350CD"/>
    <w:rsid w:val="00E36469"/>
    <w:rsid w:val="00E36B2E"/>
    <w:rsid w:val="00E36DD1"/>
    <w:rsid w:val="00E36DFD"/>
    <w:rsid w:val="00E36FC6"/>
    <w:rsid w:val="00E372A9"/>
    <w:rsid w:val="00E376F7"/>
    <w:rsid w:val="00E37A16"/>
    <w:rsid w:val="00E4001B"/>
    <w:rsid w:val="00E412A0"/>
    <w:rsid w:val="00E41737"/>
    <w:rsid w:val="00E4230B"/>
    <w:rsid w:val="00E42D7F"/>
    <w:rsid w:val="00E43094"/>
    <w:rsid w:val="00E435A7"/>
    <w:rsid w:val="00E437FA"/>
    <w:rsid w:val="00E4392B"/>
    <w:rsid w:val="00E43E14"/>
    <w:rsid w:val="00E44118"/>
    <w:rsid w:val="00E45240"/>
    <w:rsid w:val="00E45711"/>
    <w:rsid w:val="00E45A4C"/>
    <w:rsid w:val="00E461C0"/>
    <w:rsid w:val="00E46B7C"/>
    <w:rsid w:val="00E46B9D"/>
    <w:rsid w:val="00E46E9E"/>
    <w:rsid w:val="00E47262"/>
    <w:rsid w:val="00E477D3"/>
    <w:rsid w:val="00E500A8"/>
    <w:rsid w:val="00E50274"/>
    <w:rsid w:val="00E506CB"/>
    <w:rsid w:val="00E507F3"/>
    <w:rsid w:val="00E50B9E"/>
    <w:rsid w:val="00E50E3D"/>
    <w:rsid w:val="00E50F64"/>
    <w:rsid w:val="00E51E10"/>
    <w:rsid w:val="00E51FDE"/>
    <w:rsid w:val="00E52A16"/>
    <w:rsid w:val="00E52D5F"/>
    <w:rsid w:val="00E5333A"/>
    <w:rsid w:val="00E534B2"/>
    <w:rsid w:val="00E535E3"/>
    <w:rsid w:val="00E53CBB"/>
    <w:rsid w:val="00E54173"/>
    <w:rsid w:val="00E54730"/>
    <w:rsid w:val="00E55CD2"/>
    <w:rsid w:val="00E5659E"/>
    <w:rsid w:val="00E565C1"/>
    <w:rsid w:val="00E56B66"/>
    <w:rsid w:val="00E56EDF"/>
    <w:rsid w:val="00E57676"/>
    <w:rsid w:val="00E57807"/>
    <w:rsid w:val="00E5794C"/>
    <w:rsid w:val="00E579AF"/>
    <w:rsid w:val="00E57B5A"/>
    <w:rsid w:val="00E57CF3"/>
    <w:rsid w:val="00E602FD"/>
    <w:rsid w:val="00E6046D"/>
    <w:rsid w:val="00E60545"/>
    <w:rsid w:val="00E622CC"/>
    <w:rsid w:val="00E62523"/>
    <w:rsid w:val="00E631EB"/>
    <w:rsid w:val="00E63D14"/>
    <w:rsid w:val="00E64377"/>
    <w:rsid w:val="00E64563"/>
    <w:rsid w:val="00E6468A"/>
    <w:rsid w:val="00E64C81"/>
    <w:rsid w:val="00E64EB2"/>
    <w:rsid w:val="00E65035"/>
    <w:rsid w:val="00E65A5A"/>
    <w:rsid w:val="00E661B0"/>
    <w:rsid w:val="00E6643C"/>
    <w:rsid w:val="00E665AC"/>
    <w:rsid w:val="00E67B06"/>
    <w:rsid w:val="00E67C7F"/>
    <w:rsid w:val="00E67FF0"/>
    <w:rsid w:val="00E705B7"/>
    <w:rsid w:val="00E7086E"/>
    <w:rsid w:val="00E70A6F"/>
    <w:rsid w:val="00E70B13"/>
    <w:rsid w:val="00E70ECC"/>
    <w:rsid w:val="00E71109"/>
    <w:rsid w:val="00E7156C"/>
    <w:rsid w:val="00E7180E"/>
    <w:rsid w:val="00E71839"/>
    <w:rsid w:val="00E719CE"/>
    <w:rsid w:val="00E71A89"/>
    <w:rsid w:val="00E71AD9"/>
    <w:rsid w:val="00E71C09"/>
    <w:rsid w:val="00E71C3C"/>
    <w:rsid w:val="00E71C98"/>
    <w:rsid w:val="00E71DE5"/>
    <w:rsid w:val="00E71FC7"/>
    <w:rsid w:val="00E7208C"/>
    <w:rsid w:val="00E724E0"/>
    <w:rsid w:val="00E729D9"/>
    <w:rsid w:val="00E73745"/>
    <w:rsid w:val="00E73B25"/>
    <w:rsid w:val="00E73EAD"/>
    <w:rsid w:val="00E744A6"/>
    <w:rsid w:val="00E74CFD"/>
    <w:rsid w:val="00E754BA"/>
    <w:rsid w:val="00E757CF"/>
    <w:rsid w:val="00E7694D"/>
    <w:rsid w:val="00E770B5"/>
    <w:rsid w:val="00E77100"/>
    <w:rsid w:val="00E77197"/>
    <w:rsid w:val="00E771D0"/>
    <w:rsid w:val="00E77A3E"/>
    <w:rsid w:val="00E77ABB"/>
    <w:rsid w:val="00E77BDC"/>
    <w:rsid w:val="00E80176"/>
    <w:rsid w:val="00E805D1"/>
    <w:rsid w:val="00E80927"/>
    <w:rsid w:val="00E80AFC"/>
    <w:rsid w:val="00E8125A"/>
    <w:rsid w:val="00E815BB"/>
    <w:rsid w:val="00E81AE1"/>
    <w:rsid w:val="00E81B1A"/>
    <w:rsid w:val="00E82B43"/>
    <w:rsid w:val="00E82B77"/>
    <w:rsid w:val="00E82FD8"/>
    <w:rsid w:val="00E833E5"/>
    <w:rsid w:val="00E8459C"/>
    <w:rsid w:val="00E84F5C"/>
    <w:rsid w:val="00E84FB3"/>
    <w:rsid w:val="00E856FD"/>
    <w:rsid w:val="00E85F4A"/>
    <w:rsid w:val="00E86727"/>
    <w:rsid w:val="00E86A3E"/>
    <w:rsid w:val="00E86D40"/>
    <w:rsid w:val="00E86E52"/>
    <w:rsid w:val="00E86F68"/>
    <w:rsid w:val="00E87037"/>
    <w:rsid w:val="00E870BC"/>
    <w:rsid w:val="00E870F1"/>
    <w:rsid w:val="00E90092"/>
    <w:rsid w:val="00E9045C"/>
    <w:rsid w:val="00E9069A"/>
    <w:rsid w:val="00E90BAB"/>
    <w:rsid w:val="00E90ED5"/>
    <w:rsid w:val="00E924B4"/>
    <w:rsid w:val="00E92854"/>
    <w:rsid w:val="00E92BD2"/>
    <w:rsid w:val="00E932F4"/>
    <w:rsid w:val="00E93851"/>
    <w:rsid w:val="00E93C69"/>
    <w:rsid w:val="00E940E0"/>
    <w:rsid w:val="00E94373"/>
    <w:rsid w:val="00E945C3"/>
    <w:rsid w:val="00E9599F"/>
    <w:rsid w:val="00E95E22"/>
    <w:rsid w:val="00E96A24"/>
    <w:rsid w:val="00E96D70"/>
    <w:rsid w:val="00E9767C"/>
    <w:rsid w:val="00E97F43"/>
    <w:rsid w:val="00EA00E9"/>
    <w:rsid w:val="00EA0F03"/>
    <w:rsid w:val="00EA1D5F"/>
    <w:rsid w:val="00EA1EF9"/>
    <w:rsid w:val="00EA22F0"/>
    <w:rsid w:val="00EA2642"/>
    <w:rsid w:val="00EA2CA0"/>
    <w:rsid w:val="00EA2F09"/>
    <w:rsid w:val="00EA3031"/>
    <w:rsid w:val="00EA31C2"/>
    <w:rsid w:val="00EA38EC"/>
    <w:rsid w:val="00EA4A6F"/>
    <w:rsid w:val="00EA5760"/>
    <w:rsid w:val="00EA5B41"/>
    <w:rsid w:val="00EA5C13"/>
    <w:rsid w:val="00EA5D50"/>
    <w:rsid w:val="00EA600A"/>
    <w:rsid w:val="00EA60B4"/>
    <w:rsid w:val="00EA638B"/>
    <w:rsid w:val="00EA693A"/>
    <w:rsid w:val="00EA6BDE"/>
    <w:rsid w:val="00EA6E44"/>
    <w:rsid w:val="00EA7237"/>
    <w:rsid w:val="00EB055B"/>
    <w:rsid w:val="00EB070A"/>
    <w:rsid w:val="00EB0DC2"/>
    <w:rsid w:val="00EB0F83"/>
    <w:rsid w:val="00EB0F9A"/>
    <w:rsid w:val="00EB112A"/>
    <w:rsid w:val="00EB1B82"/>
    <w:rsid w:val="00EB1C86"/>
    <w:rsid w:val="00EB2A5A"/>
    <w:rsid w:val="00EB2B91"/>
    <w:rsid w:val="00EB2FE6"/>
    <w:rsid w:val="00EB3330"/>
    <w:rsid w:val="00EB37CB"/>
    <w:rsid w:val="00EB3902"/>
    <w:rsid w:val="00EB4040"/>
    <w:rsid w:val="00EB4605"/>
    <w:rsid w:val="00EB46AF"/>
    <w:rsid w:val="00EB47AB"/>
    <w:rsid w:val="00EB47FD"/>
    <w:rsid w:val="00EB4EDE"/>
    <w:rsid w:val="00EB51BA"/>
    <w:rsid w:val="00EB57D6"/>
    <w:rsid w:val="00EB5DD1"/>
    <w:rsid w:val="00EB5F34"/>
    <w:rsid w:val="00EB6050"/>
    <w:rsid w:val="00EB6570"/>
    <w:rsid w:val="00EB67F6"/>
    <w:rsid w:val="00EB73D7"/>
    <w:rsid w:val="00EB788A"/>
    <w:rsid w:val="00EB7999"/>
    <w:rsid w:val="00EB7AFB"/>
    <w:rsid w:val="00EC0A68"/>
    <w:rsid w:val="00EC1212"/>
    <w:rsid w:val="00EC13D6"/>
    <w:rsid w:val="00EC18EA"/>
    <w:rsid w:val="00EC1D3D"/>
    <w:rsid w:val="00EC1DF2"/>
    <w:rsid w:val="00EC2085"/>
    <w:rsid w:val="00EC2CBA"/>
    <w:rsid w:val="00EC3151"/>
    <w:rsid w:val="00EC3331"/>
    <w:rsid w:val="00EC4139"/>
    <w:rsid w:val="00EC45E0"/>
    <w:rsid w:val="00EC48E1"/>
    <w:rsid w:val="00EC49CE"/>
    <w:rsid w:val="00EC4A6B"/>
    <w:rsid w:val="00EC4D83"/>
    <w:rsid w:val="00EC518F"/>
    <w:rsid w:val="00EC52CC"/>
    <w:rsid w:val="00EC537B"/>
    <w:rsid w:val="00EC5B5B"/>
    <w:rsid w:val="00EC5BEA"/>
    <w:rsid w:val="00EC5E2A"/>
    <w:rsid w:val="00EC677E"/>
    <w:rsid w:val="00EC6E37"/>
    <w:rsid w:val="00EC6F31"/>
    <w:rsid w:val="00EC7071"/>
    <w:rsid w:val="00EC7B7E"/>
    <w:rsid w:val="00EC7E67"/>
    <w:rsid w:val="00ED03E8"/>
    <w:rsid w:val="00ED0585"/>
    <w:rsid w:val="00ED05BA"/>
    <w:rsid w:val="00ED0903"/>
    <w:rsid w:val="00ED0CCD"/>
    <w:rsid w:val="00ED10AF"/>
    <w:rsid w:val="00ED1435"/>
    <w:rsid w:val="00ED1AD3"/>
    <w:rsid w:val="00ED1D98"/>
    <w:rsid w:val="00ED1F5D"/>
    <w:rsid w:val="00ED2457"/>
    <w:rsid w:val="00ED3143"/>
    <w:rsid w:val="00ED389B"/>
    <w:rsid w:val="00ED3E97"/>
    <w:rsid w:val="00ED3F10"/>
    <w:rsid w:val="00ED496E"/>
    <w:rsid w:val="00ED4CE6"/>
    <w:rsid w:val="00ED5206"/>
    <w:rsid w:val="00ED5536"/>
    <w:rsid w:val="00ED56CF"/>
    <w:rsid w:val="00ED5B5C"/>
    <w:rsid w:val="00ED5DC1"/>
    <w:rsid w:val="00ED6787"/>
    <w:rsid w:val="00ED6958"/>
    <w:rsid w:val="00ED6B5A"/>
    <w:rsid w:val="00ED6C2B"/>
    <w:rsid w:val="00ED70BD"/>
    <w:rsid w:val="00ED757F"/>
    <w:rsid w:val="00ED7934"/>
    <w:rsid w:val="00ED7A88"/>
    <w:rsid w:val="00ED7D28"/>
    <w:rsid w:val="00EE0B3E"/>
    <w:rsid w:val="00EE0BAA"/>
    <w:rsid w:val="00EE1FD6"/>
    <w:rsid w:val="00EE2572"/>
    <w:rsid w:val="00EE3556"/>
    <w:rsid w:val="00EE37BB"/>
    <w:rsid w:val="00EE37C3"/>
    <w:rsid w:val="00EE433C"/>
    <w:rsid w:val="00EE4784"/>
    <w:rsid w:val="00EE499B"/>
    <w:rsid w:val="00EE4DC2"/>
    <w:rsid w:val="00EE4FEA"/>
    <w:rsid w:val="00EE5100"/>
    <w:rsid w:val="00EE5259"/>
    <w:rsid w:val="00EE5E03"/>
    <w:rsid w:val="00EE60E0"/>
    <w:rsid w:val="00EE64EA"/>
    <w:rsid w:val="00EE7C48"/>
    <w:rsid w:val="00EE7D69"/>
    <w:rsid w:val="00EF0098"/>
    <w:rsid w:val="00EF0EBC"/>
    <w:rsid w:val="00EF0F35"/>
    <w:rsid w:val="00EF1BEB"/>
    <w:rsid w:val="00EF259B"/>
    <w:rsid w:val="00EF2D2F"/>
    <w:rsid w:val="00EF3F1B"/>
    <w:rsid w:val="00EF4058"/>
    <w:rsid w:val="00EF4099"/>
    <w:rsid w:val="00EF40E0"/>
    <w:rsid w:val="00EF4919"/>
    <w:rsid w:val="00EF5634"/>
    <w:rsid w:val="00EF5E81"/>
    <w:rsid w:val="00EF6012"/>
    <w:rsid w:val="00EF618A"/>
    <w:rsid w:val="00EF6BDC"/>
    <w:rsid w:val="00EF6CCE"/>
    <w:rsid w:val="00EF7866"/>
    <w:rsid w:val="00F00129"/>
    <w:rsid w:val="00F00756"/>
    <w:rsid w:val="00F00757"/>
    <w:rsid w:val="00F017EF"/>
    <w:rsid w:val="00F0190F"/>
    <w:rsid w:val="00F0197A"/>
    <w:rsid w:val="00F01A8C"/>
    <w:rsid w:val="00F01C4C"/>
    <w:rsid w:val="00F02069"/>
    <w:rsid w:val="00F02786"/>
    <w:rsid w:val="00F041E3"/>
    <w:rsid w:val="00F042BC"/>
    <w:rsid w:val="00F0434F"/>
    <w:rsid w:val="00F047C3"/>
    <w:rsid w:val="00F04911"/>
    <w:rsid w:val="00F0501F"/>
    <w:rsid w:val="00F0515B"/>
    <w:rsid w:val="00F0548B"/>
    <w:rsid w:val="00F05D0A"/>
    <w:rsid w:val="00F05F44"/>
    <w:rsid w:val="00F0625B"/>
    <w:rsid w:val="00F063E9"/>
    <w:rsid w:val="00F0670F"/>
    <w:rsid w:val="00F06894"/>
    <w:rsid w:val="00F0692E"/>
    <w:rsid w:val="00F06E8B"/>
    <w:rsid w:val="00F06ED2"/>
    <w:rsid w:val="00F07B6E"/>
    <w:rsid w:val="00F07BE9"/>
    <w:rsid w:val="00F07D9C"/>
    <w:rsid w:val="00F07FA6"/>
    <w:rsid w:val="00F07FF2"/>
    <w:rsid w:val="00F10335"/>
    <w:rsid w:val="00F107A7"/>
    <w:rsid w:val="00F10DA2"/>
    <w:rsid w:val="00F1148B"/>
    <w:rsid w:val="00F11BB3"/>
    <w:rsid w:val="00F12DA2"/>
    <w:rsid w:val="00F12DFC"/>
    <w:rsid w:val="00F13036"/>
    <w:rsid w:val="00F130D3"/>
    <w:rsid w:val="00F1321A"/>
    <w:rsid w:val="00F1340F"/>
    <w:rsid w:val="00F13821"/>
    <w:rsid w:val="00F138C2"/>
    <w:rsid w:val="00F13B29"/>
    <w:rsid w:val="00F141A4"/>
    <w:rsid w:val="00F143B4"/>
    <w:rsid w:val="00F143D8"/>
    <w:rsid w:val="00F15A96"/>
    <w:rsid w:val="00F15E45"/>
    <w:rsid w:val="00F16434"/>
    <w:rsid w:val="00F171B6"/>
    <w:rsid w:val="00F1768E"/>
    <w:rsid w:val="00F20226"/>
    <w:rsid w:val="00F2026F"/>
    <w:rsid w:val="00F2045B"/>
    <w:rsid w:val="00F206C3"/>
    <w:rsid w:val="00F208BF"/>
    <w:rsid w:val="00F21040"/>
    <w:rsid w:val="00F21044"/>
    <w:rsid w:val="00F21269"/>
    <w:rsid w:val="00F2127D"/>
    <w:rsid w:val="00F215DE"/>
    <w:rsid w:val="00F2184C"/>
    <w:rsid w:val="00F21C3E"/>
    <w:rsid w:val="00F21D1A"/>
    <w:rsid w:val="00F22865"/>
    <w:rsid w:val="00F23537"/>
    <w:rsid w:val="00F23D2E"/>
    <w:rsid w:val="00F24605"/>
    <w:rsid w:val="00F24A24"/>
    <w:rsid w:val="00F24B2C"/>
    <w:rsid w:val="00F24D75"/>
    <w:rsid w:val="00F25267"/>
    <w:rsid w:val="00F255E7"/>
    <w:rsid w:val="00F25CD9"/>
    <w:rsid w:val="00F261E3"/>
    <w:rsid w:val="00F263E1"/>
    <w:rsid w:val="00F26ED4"/>
    <w:rsid w:val="00F26F16"/>
    <w:rsid w:val="00F272D0"/>
    <w:rsid w:val="00F27507"/>
    <w:rsid w:val="00F30382"/>
    <w:rsid w:val="00F306D5"/>
    <w:rsid w:val="00F30EA8"/>
    <w:rsid w:val="00F30EB3"/>
    <w:rsid w:val="00F30F36"/>
    <w:rsid w:val="00F310F2"/>
    <w:rsid w:val="00F31292"/>
    <w:rsid w:val="00F313BB"/>
    <w:rsid w:val="00F315FB"/>
    <w:rsid w:val="00F3221A"/>
    <w:rsid w:val="00F32AD1"/>
    <w:rsid w:val="00F32DE1"/>
    <w:rsid w:val="00F32E80"/>
    <w:rsid w:val="00F33897"/>
    <w:rsid w:val="00F33D57"/>
    <w:rsid w:val="00F33E16"/>
    <w:rsid w:val="00F34273"/>
    <w:rsid w:val="00F34B2F"/>
    <w:rsid w:val="00F34DE5"/>
    <w:rsid w:val="00F34F33"/>
    <w:rsid w:val="00F35DC9"/>
    <w:rsid w:val="00F35E03"/>
    <w:rsid w:val="00F366D8"/>
    <w:rsid w:val="00F369B6"/>
    <w:rsid w:val="00F36D1F"/>
    <w:rsid w:val="00F3733E"/>
    <w:rsid w:val="00F3769E"/>
    <w:rsid w:val="00F37897"/>
    <w:rsid w:val="00F37910"/>
    <w:rsid w:val="00F40017"/>
    <w:rsid w:val="00F40370"/>
    <w:rsid w:val="00F4040D"/>
    <w:rsid w:val="00F4053E"/>
    <w:rsid w:val="00F4062C"/>
    <w:rsid w:val="00F40F06"/>
    <w:rsid w:val="00F40FC3"/>
    <w:rsid w:val="00F41172"/>
    <w:rsid w:val="00F4136E"/>
    <w:rsid w:val="00F41929"/>
    <w:rsid w:val="00F41CE6"/>
    <w:rsid w:val="00F4232F"/>
    <w:rsid w:val="00F4262C"/>
    <w:rsid w:val="00F42669"/>
    <w:rsid w:val="00F42C0E"/>
    <w:rsid w:val="00F42D65"/>
    <w:rsid w:val="00F4374F"/>
    <w:rsid w:val="00F439E0"/>
    <w:rsid w:val="00F44A42"/>
    <w:rsid w:val="00F44B8E"/>
    <w:rsid w:val="00F451CA"/>
    <w:rsid w:val="00F453DA"/>
    <w:rsid w:val="00F456F9"/>
    <w:rsid w:val="00F46A6E"/>
    <w:rsid w:val="00F46AE4"/>
    <w:rsid w:val="00F47128"/>
    <w:rsid w:val="00F4720B"/>
    <w:rsid w:val="00F4749B"/>
    <w:rsid w:val="00F50598"/>
    <w:rsid w:val="00F50870"/>
    <w:rsid w:val="00F50B4B"/>
    <w:rsid w:val="00F511A1"/>
    <w:rsid w:val="00F5140F"/>
    <w:rsid w:val="00F514FB"/>
    <w:rsid w:val="00F5219A"/>
    <w:rsid w:val="00F52B73"/>
    <w:rsid w:val="00F52B7B"/>
    <w:rsid w:val="00F53C92"/>
    <w:rsid w:val="00F54832"/>
    <w:rsid w:val="00F5608D"/>
    <w:rsid w:val="00F5670C"/>
    <w:rsid w:val="00F56942"/>
    <w:rsid w:val="00F56B1B"/>
    <w:rsid w:val="00F56C0C"/>
    <w:rsid w:val="00F56CE9"/>
    <w:rsid w:val="00F56D53"/>
    <w:rsid w:val="00F56F70"/>
    <w:rsid w:val="00F56FB1"/>
    <w:rsid w:val="00F57D5B"/>
    <w:rsid w:val="00F60636"/>
    <w:rsid w:val="00F60F4E"/>
    <w:rsid w:val="00F61151"/>
    <w:rsid w:val="00F614BE"/>
    <w:rsid w:val="00F619D1"/>
    <w:rsid w:val="00F620A2"/>
    <w:rsid w:val="00F628E9"/>
    <w:rsid w:val="00F62E6E"/>
    <w:rsid w:val="00F62FCB"/>
    <w:rsid w:val="00F62FF9"/>
    <w:rsid w:val="00F63723"/>
    <w:rsid w:val="00F63779"/>
    <w:rsid w:val="00F63E5F"/>
    <w:rsid w:val="00F64223"/>
    <w:rsid w:val="00F64CFA"/>
    <w:rsid w:val="00F64E44"/>
    <w:rsid w:val="00F64ECE"/>
    <w:rsid w:val="00F65200"/>
    <w:rsid w:val="00F652DC"/>
    <w:rsid w:val="00F655A1"/>
    <w:rsid w:val="00F65C69"/>
    <w:rsid w:val="00F66DD9"/>
    <w:rsid w:val="00F670E4"/>
    <w:rsid w:val="00F6719C"/>
    <w:rsid w:val="00F67501"/>
    <w:rsid w:val="00F67B6E"/>
    <w:rsid w:val="00F67DAF"/>
    <w:rsid w:val="00F703E2"/>
    <w:rsid w:val="00F7087A"/>
    <w:rsid w:val="00F70B07"/>
    <w:rsid w:val="00F70BBD"/>
    <w:rsid w:val="00F71561"/>
    <w:rsid w:val="00F7174B"/>
    <w:rsid w:val="00F71BB8"/>
    <w:rsid w:val="00F71D1A"/>
    <w:rsid w:val="00F71D42"/>
    <w:rsid w:val="00F71E44"/>
    <w:rsid w:val="00F721B0"/>
    <w:rsid w:val="00F7260D"/>
    <w:rsid w:val="00F72953"/>
    <w:rsid w:val="00F72A85"/>
    <w:rsid w:val="00F72B0D"/>
    <w:rsid w:val="00F72CE9"/>
    <w:rsid w:val="00F73459"/>
    <w:rsid w:val="00F73B5B"/>
    <w:rsid w:val="00F73BBF"/>
    <w:rsid w:val="00F749AF"/>
    <w:rsid w:val="00F74D3B"/>
    <w:rsid w:val="00F75686"/>
    <w:rsid w:val="00F75EB9"/>
    <w:rsid w:val="00F76A4E"/>
    <w:rsid w:val="00F76E6E"/>
    <w:rsid w:val="00F77765"/>
    <w:rsid w:val="00F77907"/>
    <w:rsid w:val="00F77EC3"/>
    <w:rsid w:val="00F8049C"/>
    <w:rsid w:val="00F80806"/>
    <w:rsid w:val="00F816B4"/>
    <w:rsid w:val="00F81D98"/>
    <w:rsid w:val="00F823C6"/>
    <w:rsid w:val="00F828C3"/>
    <w:rsid w:val="00F82D53"/>
    <w:rsid w:val="00F82EB4"/>
    <w:rsid w:val="00F842C0"/>
    <w:rsid w:val="00F84E26"/>
    <w:rsid w:val="00F84E2D"/>
    <w:rsid w:val="00F84FB1"/>
    <w:rsid w:val="00F85141"/>
    <w:rsid w:val="00F853B8"/>
    <w:rsid w:val="00F85496"/>
    <w:rsid w:val="00F85BB3"/>
    <w:rsid w:val="00F85E98"/>
    <w:rsid w:val="00F86A35"/>
    <w:rsid w:val="00F86BC4"/>
    <w:rsid w:val="00F86F36"/>
    <w:rsid w:val="00F901BF"/>
    <w:rsid w:val="00F90F30"/>
    <w:rsid w:val="00F91036"/>
    <w:rsid w:val="00F91762"/>
    <w:rsid w:val="00F91943"/>
    <w:rsid w:val="00F91EDE"/>
    <w:rsid w:val="00F9242E"/>
    <w:rsid w:val="00F92562"/>
    <w:rsid w:val="00F92924"/>
    <w:rsid w:val="00F92A6F"/>
    <w:rsid w:val="00F93086"/>
    <w:rsid w:val="00F930B8"/>
    <w:rsid w:val="00F93675"/>
    <w:rsid w:val="00F9388B"/>
    <w:rsid w:val="00F93A21"/>
    <w:rsid w:val="00F94032"/>
    <w:rsid w:val="00F945ED"/>
    <w:rsid w:val="00F94824"/>
    <w:rsid w:val="00F94C4E"/>
    <w:rsid w:val="00F94D42"/>
    <w:rsid w:val="00F94FA2"/>
    <w:rsid w:val="00F951A5"/>
    <w:rsid w:val="00F9596E"/>
    <w:rsid w:val="00F95989"/>
    <w:rsid w:val="00F96798"/>
    <w:rsid w:val="00F96907"/>
    <w:rsid w:val="00F96919"/>
    <w:rsid w:val="00F97A96"/>
    <w:rsid w:val="00FA05EB"/>
    <w:rsid w:val="00FA0A7C"/>
    <w:rsid w:val="00FA10F4"/>
    <w:rsid w:val="00FA18D9"/>
    <w:rsid w:val="00FA19EB"/>
    <w:rsid w:val="00FA2F63"/>
    <w:rsid w:val="00FA320A"/>
    <w:rsid w:val="00FA3331"/>
    <w:rsid w:val="00FA3500"/>
    <w:rsid w:val="00FA3EC6"/>
    <w:rsid w:val="00FA3F05"/>
    <w:rsid w:val="00FA40C3"/>
    <w:rsid w:val="00FA46C9"/>
    <w:rsid w:val="00FA49B5"/>
    <w:rsid w:val="00FA511A"/>
    <w:rsid w:val="00FA57AA"/>
    <w:rsid w:val="00FA5833"/>
    <w:rsid w:val="00FA5B48"/>
    <w:rsid w:val="00FA5C88"/>
    <w:rsid w:val="00FA6372"/>
    <w:rsid w:val="00FA6845"/>
    <w:rsid w:val="00FA6C8A"/>
    <w:rsid w:val="00FA7188"/>
    <w:rsid w:val="00FA7554"/>
    <w:rsid w:val="00FA7C8B"/>
    <w:rsid w:val="00FB0249"/>
    <w:rsid w:val="00FB0836"/>
    <w:rsid w:val="00FB0AB9"/>
    <w:rsid w:val="00FB1096"/>
    <w:rsid w:val="00FB1257"/>
    <w:rsid w:val="00FB130D"/>
    <w:rsid w:val="00FB14BD"/>
    <w:rsid w:val="00FB2004"/>
    <w:rsid w:val="00FB21FA"/>
    <w:rsid w:val="00FB2BEC"/>
    <w:rsid w:val="00FB2D58"/>
    <w:rsid w:val="00FB2E08"/>
    <w:rsid w:val="00FB32EA"/>
    <w:rsid w:val="00FB3362"/>
    <w:rsid w:val="00FB35BA"/>
    <w:rsid w:val="00FB3CE5"/>
    <w:rsid w:val="00FB3E16"/>
    <w:rsid w:val="00FB3ED8"/>
    <w:rsid w:val="00FB407C"/>
    <w:rsid w:val="00FB42F7"/>
    <w:rsid w:val="00FB5337"/>
    <w:rsid w:val="00FB5502"/>
    <w:rsid w:val="00FB575C"/>
    <w:rsid w:val="00FB5971"/>
    <w:rsid w:val="00FB5D88"/>
    <w:rsid w:val="00FB5F1D"/>
    <w:rsid w:val="00FB6235"/>
    <w:rsid w:val="00FB6425"/>
    <w:rsid w:val="00FB6433"/>
    <w:rsid w:val="00FB6485"/>
    <w:rsid w:val="00FB7560"/>
    <w:rsid w:val="00FB77D5"/>
    <w:rsid w:val="00FB789B"/>
    <w:rsid w:val="00FB791F"/>
    <w:rsid w:val="00FB793A"/>
    <w:rsid w:val="00FC01F3"/>
    <w:rsid w:val="00FC0662"/>
    <w:rsid w:val="00FC08E1"/>
    <w:rsid w:val="00FC0B12"/>
    <w:rsid w:val="00FC0E31"/>
    <w:rsid w:val="00FC139C"/>
    <w:rsid w:val="00FC18A2"/>
    <w:rsid w:val="00FC1BBE"/>
    <w:rsid w:val="00FC1EDA"/>
    <w:rsid w:val="00FC265F"/>
    <w:rsid w:val="00FC2DFD"/>
    <w:rsid w:val="00FC2E91"/>
    <w:rsid w:val="00FC32C9"/>
    <w:rsid w:val="00FC32F4"/>
    <w:rsid w:val="00FC34B4"/>
    <w:rsid w:val="00FC429F"/>
    <w:rsid w:val="00FC42A6"/>
    <w:rsid w:val="00FC487E"/>
    <w:rsid w:val="00FC529E"/>
    <w:rsid w:val="00FC53A6"/>
    <w:rsid w:val="00FC5915"/>
    <w:rsid w:val="00FC5D6D"/>
    <w:rsid w:val="00FC5EED"/>
    <w:rsid w:val="00FC6209"/>
    <w:rsid w:val="00FC641E"/>
    <w:rsid w:val="00FC6C0F"/>
    <w:rsid w:val="00FC6D3C"/>
    <w:rsid w:val="00FC7931"/>
    <w:rsid w:val="00FC7A07"/>
    <w:rsid w:val="00FC7AB2"/>
    <w:rsid w:val="00FC7BDE"/>
    <w:rsid w:val="00FD0544"/>
    <w:rsid w:val="00FD07DD"/>
    <w:rsid w:val="00FD0B0F"/>
    <w:rsid w:val="00FD1ABB"/>
    <w:rsid w:val="00FD2233"/>
    <w:rsid w:val="00FD2786"/>
    <w:rsid w:val="00FD28E1"/>
    <w:rsid w:val="00FD28EA"/>
    <w:rsid w:val="00FD2BAB"/>
    <w:rsid w:val="00FD391A"/>
    <w:rsid w:val="00FD3D4F"/>
    <w:rsid w:val="00FD42A0"/>
    <w:rsid w:val="00FD466B"/>
    <w:rsid w:val="00FD4F74"/>
    <w:rsid w:val="00FD55AE"/>
    <w:rsid w:val="00FD57AC"/>
    <w:rsid w:val="00FD600F"/>
    <w:rsid w:val="00FD6657"/>
    <w:rsid w:val="00FD7187"/>
    <w:rsid w:val="00FD72D8"/>
    <w:rsid w:val="00FD76B9"/>
    <w:rsid w:val="00FE015F"/>
    <w:rsid w:val="00FE0276"/>
    <w:rsid w:val="00FE033E"/>
    <w:rsid w:val="00FE1190"/>
    <w:rsid w:val="00FE2EDE"/>
    <w:rsid w:val="00FE339F"/>
    <w:rsid w:val="00FE3522"/>
    <w:rsid w:val="00FE3546"/>
    <w:rsid w:val="00FE3B5F"/>
    <w:rsid w:val="00FE4043"/>
    <w:rsid w:val="00FE4D61"/>
    <w:rsid w:val="00FE4FB6"/>
    <w:rsid w:val="00FE5873"/>
    <w:rsid w:val="00FE59C2"/>
    <w:rsid w:val="00FE61B0"/>
    <w:rsid w:val="00FE6527"/>
    <w:rsid w:val="00FE6824"/>
    <w:rsid w:val="00FE6ADE"/>
    <w:rsid w:val="00FE6DB7"/>
    <w:rsid w:val="00FE6FB1"/>
    <w:rsid w:val="00FE733C"/>
    <w:rsid w:val="00FE77DD"/>
    <w:rsid w:val="00FE7F90"/>
    <w:rsid w:val="00FF02BC"/>
    <w:rsid w:val="00FF0330"/>
    <w:rsid w:val="00FF0584"/>
    <w:rsid w:val="00FF0CD1"/>
    <w:rsid w:val="00FF11E9"/>
    <w:rsid w:val="00FF166A"/>
    <w:rsid w:val="00FF1A54"/>
    <w:rsid w:val="00FF1FC4"/>
    <w:rsid w:val="00FF238F"/>
    <w:rsid w:val="00FF2F20"/>
    <w:rsid w:val="00FF40EF"/>
    <w:rsid w:val="00FF5F8B"/>
    <w:rsid w:val="00FF6396"/>
    <w:rsid w:val="00FF659E"/>
    <w:rsid w:val="00FF6B17"/>
    <w:rsid w:val="00FF6B55"/>
    <w:rsid w:val="00FF75F6"/>
    <w:rsid w:val="00FF7D34"/>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0BEBB"/>
  <w15:docId w15:val="{4470452F-0641-4888-8022-60B68D56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24E2"/>
    <w:pPr>
      <w:keepNext/>
      <w:widowControl/>
      <w:tabs>
        <w:tab w:val="left" w:pos="-720"/>
      </w:tabs>
      <w:suppressAutoHyphens/>
      <w:spacing w:line="360" w:lineRule="auto"/>
      <w:outlineLvl w:val="0"/>
    </w:pPr>
    <w:rPr>
      <w:b/>
      <w:sz w:val="26"/>
    </w:rPr>
  </w:style>
  <w:style w:type="paragraph" w:styleId="Heading2">
    <w:name w:val="heading 2"/>
    <w:basedOn w:val="Normal"/>
    <w:next w:val="Normal"/>
    <w:link w:val="Heading2Char"/>
    <w:uiPriority w:val="9"/>
    <w:unhideWhenUsed/>
    <w:qFormat/>
    <w:rsid w:val="00BB4C05"/>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BB4C05"/>
    <w:pPr>
      <w:keepNext/>
      <w:keepLines/>
      <w:spacing w:before="40"/>
      <w:outlineLvl w:val="2"/>
    </w:pPr>
    <w:rPr>
      <w:rFonts w:eastAsiaTheme="majorEastAsia"/>
      <w:b/>
      <w:sz w:val="26"/>
      <w:szCs w:val="26"/>
    </w:rPr>
  </w:style>
  <w:style w:type="paragraph" w:styleId="Heading4">
    <w:name w:val="heading 4"/>
    <w:basedOn w:val="Normal"/>
    <w:next w:val="Normal"/>
    <w:link w:val="Heading4Char"/>
    <w:uiPriority w:val="9"/>
    <w:unhideWhenUsed/>
    <w:qFormat/>
    <w:rsid w:val="00BB4C05"/>
    <w:pPr>
      <w:keepNext/>
      <w:widowControl/>
      <w:spacing w:line="360" w:lineRule="auto"/>
      <w:outlineLvl w:val="3"/>
    </w:pPr>
    <w:rPr>
      <w:b/>
      <w:sz w:val="26"/>
      <w:szCs w:val="26"/>
    </w:rPr>
  </w:style>
  <w:style w:type="paragraph" w:styleId="Heading5">
    <w:name w:val="heading 5"/>
    <w:basedOn w:val="Heading4"/>
    <w:next w:val="Normal"/>
    <w:link w:val="Heading5Char"/>
    <w:uiPriority w:val="9"/>
    <w:unhideWhenUsed/>
    <w:qFormat/>
    <w:rsid w:val="00592B10"/>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9324E2"/>
    <w:rPr>
      <w:rFonts w:ascii="Times New Roman" w:eastAsia="Times New Roman" w:hAnsi="Times New Roman" w:cs="Times New Roman"/>
      <w:b/>
      <w:sz w:val="26"/>
      <w:szCs w:val="20"/>
    </w:rPr>
  </w:style>
  <w:style w:type="character" w:styleId="Strong">
    <w:name w:val="Strong"/>
    <w:basedOn w:val="DefaultParagraphFont"/>
    <w:uiPriority w:val="22"/>
    <w:qFormat/>
    <w:rsid w:val="003F2A8B"/>
    <w:rPr>
      <w:b/>
      <w:bCs/>
    </w:rPr>
  </w:style>
  <w:style w:type="paragraph" w:customStyle="1" w:styleId="Default">
    <w:name w:val="Default"/>
    <w:rsid w:val="00970B0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7561BC"/>
    <w:pPr>
      <w:keepLines/>
      <w:tabs>
        <w:tab w:val="clear" w:pos="-720"/>
      </w:tabs>
      <w:suppressAutoHyphens w:val="0"/>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F7D2A"/>
    <w:pPr>
      <w:spacing w:after="100"/>
    </w:pPr>
    <w:rPr>
      <w:sz w:val="26"/>
    </w:rPr>
  </w:style>
  <w:style w:type="character" w:customStyle="1" w:styleId="Heading2Char">
    <w:name w:val="Heading 2 Char"/>
    <w:basedOn w:val="DefaultParagraphFont"/>
    <w:link w:val="Heading2"/>
    <w:uiPriority w:val="9"/>
    <w:rsid w:val="00BB4C05"/>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BB4C05"/>
    <w:rPr>
      <w:rFonts w:ascii="Times New Roman" w:eastAsiaTheme="majorEastAsia" w:hAnsi="Times New Roman" w:cs="Times New Roman"/>
      <w:b/>
      <w:sz w:val="26"/>
      <w:szCs w:val="26"/>
    </w:rPr>
  </w:style>
  <w:style w:type="character" w:customStyle="1" w:styleId="Heading4Char">
    <w:name w:val="Heading 4 Char"/>
    <w:basedOn w:val="DefaultParagraphFont"/>
    <w:link w:val="Heading4"/>
    <w:uiPriority w:val="9"/>
    <w:rsid w:val="00BB4C05"/>
    <w:rPr>
      <w:rFonts w:ascii="Times New Roman" w:eastAsia="Times New Roman" w:hAnsi="Times New Roman" w:cs="Times New Roman"/>
      <w:b/>
      <w:sz w:val="26"/>
      <w:szCs w:val="26"/>
    </w:rPr>
  </w:style>
  <w:style w:type="paragraph" w:styleId="TOC2">
    <w:name w:val="toc 2"/>
    <w:basedOn w:val="Normal"/>
    <w:next w:val="Normal"/>
    <w:autoRedefine/>
    <w:uiPriority w:val="39"/>
    <w:unhideWhenUsed/>
    <w:rsid w:val="00C159C2"/>
    <w:pPr>
      <w:spacing w:after="100"/>
      <w:ind w:left="200"/>
    </w:pPr>
    <w:rPr>
      <w:sz w:val="26"/>
    </w:rPr>
  </w:style>
  <w:style w:type="paragraph" w:styleId="TOC3">
    <w:name w:val="toc 3"/>
    <w:basedOn w:val="Normal"/>
    <w:next w:val="Normal"/>
    <w:autoRedefine/>
    <w:uiPriority w:val="39"/>
    <w:unhideWhenUsed/>
    <w:rsid w:val="00C159C2"/>
    <w:pPr>
      <w:spacing w:after="100"/>
      <w:ind w:left="400"/>
    </w:pPr>
    <w:rPr>
      <w:sz w:val="26"/>
    </w:rPr>
  </w:style>
  <w:style w:type="character" w:customStyle="1" w:styleId="Heading5Char">
    <w:name w:val="Heading 5 Char"/>
    <w:basedOn w:val="DefaultParagraphFont"/>
    <w:link w:val="Heading5"/>
    <w:uiPriority w:val="9"/>
    <w:rsid w:val="00592B10"/>
    <w:rPr>
      <w:rFonts w:ascii="Times New Roman" w:eastAsia="Times New Roman" w:hAnsi="Times New Roman" w:cs="Times New Roman"/>
      <w:b/>
      <w:sz w:val="26"/>
      <w:szCs w:val="26"/>
    </w:rPr>
  </w:style>
  <w:style w:type="paragraph" w:styleId="TOC4">
    <w:name w:val="toc 4"/>
    <w:basedOn w:val="Normal"/>
    <w:next w:val="Normal"/>
    <w:autoRedefine/>
    <w:uiPriority w:val="39"/>
    <w:unhideWhenUsed/>
    <w:rsid w:val="00C159C2"/>
    <w:pPr>
      <w:spacing w:after="100"/>
      <w:ind w:left="600"/>
    </w:pPr>
    <w:rPr>
      <w:sz w:val="24"/>
    </w:rPr>
  </w:style>
  <w:style w:type="paragraph" w:styleId="TOC5">
    <w:name w:val="toc 5"/>
    <w:basedOn w:val="Normal"/>
    <w:next w:val="Normal"/>
    <w:autoRedefine/>
    <w:uiPriority w:val="39"/>
    <w:unhideWhenUsed/>
    <w:rsid w:val="007911B8"/>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089156363">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ADAEF-6C37-4028-8EC7-FD28D3C1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11863</Words>
  <Characters>67621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3</cp:revision>
  <cp:lastPrinted>2018-04-26T15:30:00Z</cp:lastPrinted>
  <dcterms:created xsi:type="dcterms:W3CDTF">2018-04-26T15:30:00Z</dcterms:created>
  <dcterms:modified xsi:type="dcterms:W3CDTF">2018-04-26T16:55:00Z</dcterms:modified>
</cp:coreProperties>
</file>