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Pr="00B00A94" w:rsidRDefault="008E49EA" w:rsidP="008E49EA">
      <w:pPr>
        <w:jc w:val="center"/>
        <w:rPr>
          <w:b/>
          <w:sz w:val="24"/>
          <w:szCs w:val="24"/>
        </w:rPr>
      </w:pPr>
    </w:p>
    <w:p w:rsidR="008E49EA" w:rsidRDefault="008E49EA" w:rsidP="008E49EA">
      <w:pPr>
        <w:jc w:val="center"/>
        <w:rPr>
          <w:b/>
          <w:sz w:val="24"/>
        </w:rPr>
      </w:pPr>
    </w:p>
    <w:p w:rsidR="00BF5CD5" w:rsidRPr="00B00A94" w:rsidRDefault="00BF5CD5" w:rsidP="008E49EA">
      <w:pPr>
        <w:jc w:val="center"/>
        <w:rPr>
          <w:b/>
          <w:sz w:val="24"/>
        </w:rPr>
      </w:pPr>
    </w:p>
    <w:p w:rsidR="008E49EA" w:rsidRPr="00B00A94" w:rsidRDefault="00C84A2D" w:rsidP="008E49EA">
      <w:pPr>
        <w:rPr>
          <w:sz w:val="24"/>
          <w:szCs w:val="24"/>
        </w:rPr>
      </w:pPr>
      <w:proofErr w:type="spellStart"/>
      <w:r>
        <w:rPr>
          <w:sz w:val="24"/>
          <w:szCs w:val="24"/>
        </w:rPr>
        <w:t>Zakiya</w:t>
      </w:r>
      <w:proofErr w:type="spellEnd"/>
      <w:r>
        <w:rPr>
          <w:sz w:val="24"/>
          <w:szCs w:val="24"/>
        </w:rPr>
        <w:t xml:space="preserve"> Foster</w:t>
      </w:r>
      <w:r w:rsidR="008F6F12" w:rsidRPr="00B00A94">
        <w:rPr>
          <w:sz w:val="24"/>
          <w:szCs w:val="24"/>
        </w:rPr>
        <w:tab/>
      </w:r>
      <w:r w:rsidR="008F6F12" w:rsidRPr="00B00A94">
        <w:rPr>
          <w:sz w:val="24"/>
          <w:szCs w:val="24"/>
        </w:rPr>
        <w:tab/>
      </w:r>
      <w:r w:rsidR="008F6F12" w:rsidRPr="00B00A94">
        <w:rPr>
          <w:sz w:val="24"/>
          <w:szCs w:val="24"/>
        </w:rPr>
        <w:tab/>
      </w:r>
      <w:r w:rsidR="008E49EA" w:rsidRPr="00B00A94">
        <w:rPr>
          <w:sz w:val="24"/>
          <w:szCs w:val="24"/>
        </w:rPr>
        <w:tab/>
      </w:r>
      <w:r w:rsidR="008E49EA" w:rsidRPr="00B00A94">
        <w:rPr>
          <w:sz w:val="24"/>
          <w:szCs w:val="24"/>
        </w:rPr>
        <w:tab/>
      </w:r>
      <w:r>
        <w:rPr>
          <w:sz w:val="24"/>
          <w:szCs w:val="24"/>
        </w:rPr>
        <w:tab/>
      </w:r>
      <w:r w:rsidR="008E49EA" w:rsidRPr="00B00A94">
        <w:rPr>
          <w:sz w:val="24"/>
          <w:szCs w:val="24"/>
        </w:rPr>
        <w:t>:</w:t>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p>
    <w:p w:rsidR="008E49EA" w:rsidRPr="00B00A94" w:rsidRDefault="008E49EA" w:rsidP="008E49EA">
      <w:pPr>
        <w:rPr>
          <w:sz w:val="24"/>
          <w:szCs w:val="24"/>
        </w:rPr>
      </w:pPr>
      <w:r w:rsidRPr="00B00A94">
        <w:rPr>
          <w:sz w:val="24"/>
          <w:szCs w:val="24"/>
        </w:rPr>
        <w:tab/>
        <w:t>v.</w:t>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r w:rsidR="00E952AF" w:rsidRPr="00B00A94">
        <w:rPr>
          <w:sz w:val="24"/>
          <w:szCs w:val="24"/>
        </w:rPr>
        <w:tab/>
      </w:r>
      <w:r w:rsidR="00E952AF" w:rsidRPr="00B00A94">
        <w:rPr>
          <w:sz w:val="24"/>
          <w:szCs w:val="24"/>
        </w:rPr>
        <w:tab/>
      </w:r>
      <w:r w:rsidR="00C84A2D">
        <w:rPr>
          <w:sz w:val="24"/>
          <w:szCs w:val="24"/>
        </w:rPr>
        <w:t>C</w:t>
      </w:r>
      <w:r w:rsidR="00E952AF" w:rsidRPr="00B00A94">
        <w:rPr>
          <w:sz w:val="24"/>
          <w:szCs w:val="24"/>
        </w:rPr>
        <w:t>-201</w:t>
      </w:r>
      <w:r w:rsidR="00C84A2D">
        <w:rPr>
          <w:sz w:val="24"/>
          <w:szCs w:val="24"/>
        </w:rPr>
        <w:t>8-3001058</w:t>
      </w:r>
      <w:r w:rsidR="007A026C" w:rsidRPr="00B00A94">
        <w:rPr>
          <w:sz w:val="24"/>
          <w:szCs w:val="24"/>
        </w:rPr>
        <w:tab/>
      </w:r>
      <w:r w:rsidR="000557E0" w:rsidRPr="00B00A94">
        <w:rPr>
          <w:sz w:val="24"/>
          <w:szCs w:val="24"/>
        </w:rPr>
        <w:t xml:space="preserve"> </w:t>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p>
    <w:p w:rsidR="000557E0" w:rsidRPr="00B00A94" w:rsidRDefault="00C84A2D" w:rsidP="008E49EA">
      <w:pPr>
        <w:rPr>
          <w:sz w:val="24"/>
          <w:szCs w:val="24"/>
        </w:rPr>
      </w:pPr>
      <w:r>
        <w:rPr>
          <w:sz w:val="24"/>
          <w:szCs w:val="24"/>
        </w:rPr>
        <w:t>PPL Electric Utilities Corporation</w:t>
      </w:r>
      <w:r w:rsidR="007A026C" w:rsidRPr="00B00A94">
        <w:rPr>
          <w:sz w:val="24"/>
          <w:szCs w:val="24"/>
        </w:rPr>
        <w:tab/>
      </w:r>
      <w:r w:rsidR="007A026C" w:rsidRPr="00B00A94">
        <w:rPr>
          <w:sz w:val="24"/>
          <w:szCs w:val="24"/>
        </w:rPr>
        <w:tab/>
      </w:r>
      <w:r w:rsidR="004F11BF">
        <w:rPr>
          <w:sz w:val="24"/>
          <w:szCs w:val="24"/>
        </w:rPr>
        <w:tab/>
      </w:r>
      <w:r w:rsidR="000557E0" w:rsidRPr="00B00A94">
        <w:rPr>
          <w:sz w:val="24"/>
          <w:szCs w:val="24"/>
        </w:rPr>
        <w:t>:</w:t>
      </w:r>
    </w:p>
    <w:p w:rsidR="008E49EA" w:rsidRPr="00B00A94" w:rsidRDefault="008E49EA" w:rsidP="008E49EA">
      <w:pPr>
        <w:rPr>
          <w:sz w:val="24"/>
        </w:rPr>
      </w:pPr>
    </w:p>
    <w:p w:rsidR="008E49EA" w:rsidRDefault="008E49EA" w:rsidP="008E49EA">
      <w:pPr>
        <w:rPr>
          <w:sz w:val="24"/>
        </w:rPr>
      </w:pPr>
    </w:p>
    <w:p w:rsidR="00BF5CD5" w:rsidRPr="00B00A94" w:rsidRDefault="00BF5CD5" w:rsidP="008E49EA">
      <w:pPr>
        <w:rPr>
          <w:sz w:val="24"/>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ED1005">
        <w:rPr>
          <w:b/>
          <w:sz w:val="24"/>
          <w:szCs w:val="24"/>
        </w:rPr>
        <w:t>Thursday</w:t>
      </w:r>
      <w:r w:rsidR="009F5372">
        <w:rPr>
          <w:b/>
          <w:sz w:val="24"/>
          <w:szCs w:val="24"/>
        </w:rPr>
        <w:t xml:space="preserve">, </w:t>
      </w:r>
      <w:r w:rsidR="00ED1005">
        <w:rPr>
          <w:b/>
          <w:sz w:val="24"/>
          <w:szCs w:val="24"/>
        </w:rPr>
        <w:t>June 14, 2018</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933ADC" w:rsidRDefault="000557E0" w:rsidP="000557E0">
      <w:pPr>
        <w:spacing w:line="360" w:lineRule="auto"/>
        <w:rPr>
          <w:b/>
          <w:sz w:val="24"/>
          <w:szCs w:val="24"/>
          <w:u w:val="single"/>
        </w:rPr>
      </w:pPr>
      <w:r w:rsidRPr="00B00A94">
        <w:rPr>
          <w:sz w:val="24"/>
          <w:szCs w:val="24"/>
        </w:rPr>
        <w:tab/>
      </w:r>
      <w:r w:rsidRPr="00B00A94">
        <w:rPr>
          <w:sz w:val="24"/>
          <w:szCs w:val="24"/>
        </w:rPr>
        <w:tab/>
      </w:r>
      <w:r w:rsidRPr="00933ADC">
        <w:rPr>
          <w:b/>
          <w:sz w:val="24"/>
          <w:szCs w:val="24"/>
          <w:u w:val="single"/>
        </w:rPr>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BF5CD5" w:rsidRDefault="00BF5CD5" w:rsidP="000557E0">
      <w:pPr>
        <w:spacing w:line="360" w:lineRule="auto"/>
        <w:rPr>
          <w:sz w:val="24"/>
          <w:szCs w:val="24"/>
        </w:rPr>
        <w:sectPr w:rsidR="00BF5CD5">
          <w:footerReference w:type="default" r:id="rId7"/>
          <w:pgSz w:w="12240" w:h="15840"/>
          <w:pgMar w:top="1440" w:right="1440" w:bottom="1440" w:left="1440" w:header="720" w:footer="720" w:gutter="0"/>
          <w:cols w:space="720"/>
          <w:docGrid w:linePitch="360"/>
        </w:sect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r>
      <w:r w:rsidRPr="00180551">
        <w:rPr>
          <w:sz w:val="24"/>
          <w:szCs w:val="24"/>
        </w:rPr>
        <w:t>3</w:t>
      </w:r>
      <w:r w:rsidRPr="00B00A94">
        <w:rPr>
          <w:b/>
          <w:sz w:val="24"/>
          <w:szCs w:val="24"/>
        </w:rPr>
        <w:t>.</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B00A94">
        <w:rPr>
          <w:b/>
          <w:sz w:val="24"/>
          <w:szCs w:val="24"/>
        </w:rPr>
        <w:t>The requesting party must contact the other party to determine whether there is agreement to the change prior to contacting the presiding officer</w:t>
      </w:r>
      <w:r w:rsidRPr="00B00A94">
        <w:rPr>
          <w:sz w:val="24"/>
          <w:szCs w:val="24"/>
        </w:rPr>
        <w:t xml:space="preserve">.  Requests for changes of scheduled hearings must be sent to me with copies to all parties of record.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0557E0" w:rsidRPr="00B00A94" w:rsidRDefault="000557E0" w:rsidP="00BF5CD5">
      <w:pPr>
        <w:rPr>
          <w:sz w:val="24"/>
          <w:szCs w:val="24"/>
        </w:rPr>
      </w:pPr>
    </w:p>
    <w:p w:rsidR="00ED1005" w:rsidRPr="00BC3938" w:rsidRDefault="000557E0" w:rsidP="00ED1005">
      <w:pPr>
        <w:pStyle w:val="ParaTab1"/>
        <w:tabs>
          <w:tab w:val="clear" w:pos="-720"/>
        </w:tabs>
        <w:rPr>
          <w:rFonts w:ascii="Times New Roman" w:hAnsi="Times New Roman" w:cs="Times New Roman"/>
          <w:spacing w:val="-3"/>
        </w:rPr>
      </w:pPr>
      <w:r w:rsidRPr="00B00A94">
        <w:tab/>
      </w:r>
      <w:r w:rsidRPr="00B00A94">
        <w:tab/>
      </w:r>
      <w:r w:rsidR="00ED1005" w:rsidRPr="00BC3938">
        <w:rPr>
          <w:rFonts w:ascii="Times New Roman" w:hAnsi="Times New Roman" w:cs="Times New Roman"/>
          <w:spacing w:val="-3"/>
        </w:rPr>
        <w:t>David A. Salapa</w:t>
      </w:r>
    </w:p>
    <w:p w:rsidR="00ED1005" w:rsidRDefault="00ED1005" w:rsidP="00ED100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ED1005" w:rsidRPr="00BC3938" w:rsidRDefault="00ED1005" w:rsidP="00ED1005">
      <w:pPr>
        <w:pStyle w:val="ParaTab1"/>
        <w:tabs>
          <w:tab w:val="clear" w:pos="-720"/>
        </w:tabs>
        <w:rPr>
          <w:rFonts w:ascii="Times New Roman" w:hAnsi="Times New Roman" w:cs="Times New Roman"/>
          <w:spacing w:val="-3"/>
        </w:rPr>
      </w:pPr>
    </w:p>
    <w:p w:rsidR="00ED1005" w:rsidRPr="00BC3938" w:rsidRDefault="00ED1005" w:rsidP="00ED1005">
      <w:pPr>
        <w:rPr>
          <w:rFonts w:cs="Calibri"/>
          <w:bCs/>
          <w:sz w:val="22"/>
          <w:szCs w:val="22"/>
        </w:rPr>
      </w:pPr>
      <w:r w:rsidRPr="00BC3938">
        <w:rPr>
          <w:spacing w:val="-3"/>
        </w:rPr>
        <w:tab/>
      </w:r>
      <w:r w:rsidRPr="00BC3938">
        <w:rPr>
          <w:spacing w:val="-3"/>
        </w:rPr>
        <w:tab/>
      </w:r>
      <w:r w:rsidRPr="00BC3938">
        <w:rPr>
          <w:spacing w:val="-3"/>
        </w:rPr>
        <w:tab/>
      </w:r>
      <w:r w:rsidRPr="00BC3938">
        <w:rPr>
          <w:spacing w:val="-3"/>
        </w:rPr>
        <w:tab/>
      </w:r>
      <w:r w:rsidRPr="00BC3938">
        <w:rPr>
          <w:bCs/>
        </w:rPr>
        <w:t>Pennsylvania Public Utility Commission</w:t>
      </w:r>
    </w:p>
    <w:p w:rsidR="00ED1005" w:rsidRPr="00BC3938" w:rsidRDefault="00ED1005" w:rsidP="00ED1005">
      <w:pPr>
        <w:ind w:left="2160" w:firstLine="720"/>
        <w:rPr>
          <w:bCs/>
        </w:rPr>
      </w:pPr>
      <w:r w:rsidRPr="00BC3938">
        <w:rPr>
          <w:bCs/>
        </w:rPr>
        <w:t>Commonwealth Keystone Building</w:t>
      </w:r>
    </w:p>
    <w:p w:rsidR="00ED1005" w:rsidRPr="00BC3938" w:rsidRDefault="00ED1005" w:rsidP="00ED1005">
      <w:pPr>
        <w:ind w:left="2160" w:firstLine="720"/>
        <w:rPr>
          <w:bCs/>
        </w:rPr>
      </w:pPr>
      <w:r w:rsidRPr="00BC3938">
        <w:rPr>
          <w:bCs/>
        </w:rPr>
        <w:t>400 North Street</w:t>
      </w:r>
    </w:p>
    <w:p w:rsidR="00ED1005" w:rsidRPr="00BC3938" w:rsidRDefault="00ED1005" w:rsidP="00ED1005">
      <w:pPr>
        <w:ind w:left="2160" w:firstLine="720"/>
        <w:rPr>
          <w:bCs/>
        </w:rPr>
      </w:pPr>
      <w:r w:rsidRPr="00BC3938">
        <w:rPr>
          <w:bCs/>
        </w:rPr>
        <w:t>Harrisburg, Pennsylvania 17120</w:t>
      </w:r>
    </w:p>
    <w:p w:rsidR="00ED1005" w:rsidRDefault="00ED1005" w:rsidP="00ED1005">
      <w:pPr>
        <w:pStyle w:val="ParaTab1"/>
        <w:tabs>
          <w:tab w:val="clear" w:pos="-720"/>
        </w:tabs>
        <w:rPr>
          <w:rFonts w:ascii="Times New Roman" w:hAnsi="Times New Roman" w:cs="Times New Roman"/>
          <w:spacing w:val="-3"/>
        </w:rPr>
      </w:pPr>
    </w:p>
    <w:p w:rsidR="00ED1005" w:rsidRPr="00BC3938" w:rsidRDefault="00ED1005" w:rsidP="00ED100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w:t>
      </w:r>
      <w:r>
        <w:rPr>
          <w:rFonts w:ascii="Times New Roman" w:hAnsi="Times New Roman" w:cs="Times New Roman"/>
          <w:spacing w:val="-3"/>
        </w:rPr>
        <w:t>7</w:t>
      </w:r>
      <w:r w:rsidRPr="00BC3938">
        <w:rPr>
          <w:rFonts w:ascii="Times New Roman" w:hAnsi="Times New Roman" w:cs="Times New Roman"/>
          <w:spacing w:val="-3"/>
        </w:rPr>
        <w:t>-1399</w:t>
      </w:r>
    </w:p>
    <w:p w:rsidR="00ED1005" w:rsidRPr="00E8397B" w:rsidRDefault="00ED1005" w:rsidP="00ED100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0557E0" w:rsidRPr="00B00A94" w:rsidRDefault="000557E0" w:rsidP="00ED1005">
      <w:pPr>
        <w:rPr>
          <w:i/>
          <w:sz w:val="24"/>
          <w:szCs w:val="24"/>
        </w:rPr>
      </w:pPr>
    </w:p>
    <w:p w:rsidR="000557E0" w:rsidRDefault="00655EFB" w:rsidP="000557E0">
      <w:pPr>
        <w:spacing w:line="360" w:lineRule="auto"/>
        <w:rPr>
          <w:b/>
          <w:sz w:val="24"/>
          <w:szCs w:val="24"/>
          <w:u w:val="single"/>
        </w:rPr>
      </w:pPr>
      <w:r w:rsidRPr="00B00A94">
        <w:rPr>
          <w:i/>
          <w:sz w:val="24"/>
          <w:szCs w:val="24"/>
        </w:rPr>
        <w:tab/>
      </w:r>
      <w:r w:rsidRPr="00B00A94">
        <w:rPr>
          <w:i/>
          <w:sz w:val="24"/>
          <w:szCs w:val="24"/>
        </w:rPr>
        <w:tab/>
      </w:r>
      <w:r w:rsidR="000557E0" w:rsidRPr="00933ADC">
        <w:rPr>
          <w:b/>
          <w:sz w:val="24"/>
          <w:szCs w:val="24"/>
          <w:u w:val="single"/>
        </w:rPr>
        <w:t xml:space="preserve">Changes are granted only in rare situations where sufficient cause exists.  </w:t>
      </w:r>
    </w:p>
    <w:p w:rsidR="00ED1005" w:rsidRPr="00933ADC" w:rsidRDefault="00ED1005" w:rsidP="000557E0">
      <w:pPr>
        <w:spacing w:line="360" w:lineRule="auto"/>
        <w:rPr>
          <w:b/>
          <w:sz w:val="24"/>
          <w:szCs w:val="24"/>
          <w:u w:val="single"/>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Pursuant to 52 Pa Code § 1.24, parties must promptly report to the Commission and the other parties a change in address that occurs during the course of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31B8C" w:rsidRDefault="00655EFB" w:rsidP="00831B8C">
      <w:pPr>
        <w:tabs>
          <w:tab w:val="num" w:pos="0"/>
        </w:tabs>
        <w:spacing w:line="360" w:lineRule="auto"/>
        <w:rPr>
          <w:sz w:val="24"/>
          <w:szCs w:val="24"/>
        </w:rPr>
      </w:pPr>
      <w:r w:rsidRPr="00B00A94">
        <w:rPr>
          <w:sz w:val="24"/>
          <w:szCs w:val="24"/>
        </w:rPr>
        <w:tab/>
      </w:r>
      <w:r w:rsidRPr="00B00A94">
        <w:rPr>
          <w:sz w:val="24"/>
          <w:szCs w:val="24"/>
        </w:rPr>
        <w:tab/>
        <w:t>13.</w:t>
      </w:r>
      <w:r w:rsidR="008E49EA" w:rsidRPr="00B00A94">
        <w:rPr>
          <w:sz w:val="24"/>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w:t>
      </w:r>
      <w:r w:rsidR="008E49EA" w:rsidRPr="00B00A94">
        <w:rPr>
          <w:sz w:val="24"/>
          <w:szCs w:val="24"/>
        </w:rPr>
        <w:lastRenderedPageBreak/>
        <w:t>days’ notice to answer or object, and so you will have enough time to receive the subpoena and serve it.</w:t>
      </w:r>
    </w:p>
    <w:p w:rsidR="00831B8C" w:rsidRPr="00831B8C" w:rsidRDefault="00831B8C" w:rsidP="00831B8C">
      <w:pPr>
        <w:tabs>
          <w:tab w:val="num" w:pos="0"/>
        </w:tabs>
        <w:spacing w:line="360" w:lineRule="auto"/>
        <w:rPr>
          <w:sz w:val="24"/>
          <w:szCs w:val="24"/>
        </w:rPr>
      </w:pPr>
    </w:p>
    <w:p w:rsidR="00831B8C" w:rsidRPr="00831B8C" w:rsidRDefault="00831B8C" w:rsidP="00831B8C">
      <w:pPr>
        <w:tabs>
          <w:tab w:val="num" w:pos="0"/>
        </w:tabs>
        <w:spacing w:line="360" w:lineRule="auto"/>
        <w:rPr>
          <w:sz w:val="24"/>
        </w:rPr>
      </w:pPr>
      <w:r w:rsidRPr="00831B8C">
        <w:rPr>
          <w:sz w:val="24"/>
          <w:szCs w:val="24"/>
        </w:rPr>
        <w:tab/>
      </w:r>
      <w:r w:rsidRPr="00831B8C">
        <w:rPr>
          <w:sz w:val="24"/>
          <w:szCs w:val="24"/>
        </w:rPr>
        <w:tab/>
        <w:t>14.</w:t>
      </w:r>
      <w:r w:rsidRPr="00831B8C">
        <w:rPr>
          <w:sz w:val="24"/>
          <w:szCs w:val="24"/>
        </w:rPr>
        <w:tab/>
      </w:r>
      <w:r w:rsidRPr="00831B8C">
        <w:rPr>
          <w:sz w:val="24"/>
        </w:rPr>
        <w:t xml:space="preserve">At the hearing, the customer must be prepared to testify about the </w:t>
      </w:r>
      <w:r w:rsidRPr="00831B8C">
        <w:rPr>
          <w:sz w:val="24"/>
          <w:u w:val="single"/>
        </w:rPr>
        <w:t>total gross monthly income</w:t>
      </w:r>
      <w:r w:rsidRPr="00831B8C">
        <w:rPr>
          <w:sz w:val="24"/>
        </w:rPr>
        <w:t xml:space="preserve"> of the household.  A household includes all adults living at the service address and benefiting from the utility service.  The “total gross monthly household income” includes but is not limited to the following:</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(a)</w:t>
      </w:r>
      <w:r w:rsidRPr="00831B8C">
        <w:rPr>
          <w:sz w:val="24"/>
        </w:rPr>
        <w:tab/>
        <w:t>salaries, wages, tips or other compensations;</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(b)</w:t>
      </w:r>
      <w:r w:rsidRPr="00831B8C">
        <w:rPr>
          <w:sz w:val="24"/>
        </w:rPr>
        <w:tab/>
        <w:t>pension, retirement or social security benefits;</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(c)</w:t>
      </w:r>
      <w:r w:rsidRPr="00831B8C">
        <w:rPr>
          <w:sz w:val="24"/>
        </w:rPr>
        <w:tab/>
        <w:t xml:space="preserve">Supplemental Security Income (SSI);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(d)</w:t>
      </w:r>
      <w:r w:rsidRPr="00831B8C">
        <w:rPr>
          <w:rFonts w:ascii="Times New Roman" w:hAnsi="Times New Roman" w:cs="Times New Roman"/>
          <w:spacing w:val="-3"/>
        </w:rPr>
        <w:tab/>
        <w:t>unemployment compensation benefits;</w:t>
      </w:r>
      <w:r w:rsidRPr="00831B8C">
        <w:rPr>
          <w:rFonts w:ascii="Times New Roman" w:hAnsi="Times New Roman" w:cs="Times New Roman"/>
          <w:spacing w:val="-3"/>
        </w:rPr>
        <w:tab/>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(e)</w:t>
      </w:r>
      <w:r w:rsidRPr="00831B8C">
        <w:rPr>
          <w:rFonts w:ascii="Times New Roman" w:hAnsi="Times New Roman" w:cs="Times New Roman"/>
          <w:spacing w:val="-3"/>
        </w:rPr>
        <w:tab/>
        <w:t>workers’ compensation benefits;</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(f)</w:t>
      </w:r>
      <w:r w:rsidRPr="00831B8C">
        <w:rPr>
          <w:rFonts w:ascii="Times New Roman" w:hAnsi="Times New Roman" w:cs="Times New Roman"/>
          <w:spacing w:val="-3"/>
        </w:rPr>
        <w:tab/>
        <w:t>alimony;</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(g)</w:t>
      </w:r>
      <w:r w:rsidRPr="00831B8C">
        <w:rPr>
          <w:rFonts w:ascii="Times New Roman" w:hAnsi="Times New Roman" w:cs="Times New Roman"/>
          <w:spacing w:val="-3"/>
        </w:rPr>
        <w:tab/>
        <w:t>child support:</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(h)</w:t>
      </w:r>
      <w:r w:rsidRPr="00831B8C">
        <w:rPr>
          <w:rFonts w:ascii="Times New Roman" w:hAnsi="Times New Roman" w:cs="Times New Roman"/>
          <w:spacing w:val="-3"/>
        </w:rPr>
        <w:tab/>
        <w:t>public assistance; and</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w:t>
      </w:r>
      <w:proofErr w:type="spellStart"/>
      <w:r w:rsidRPr="00831B8C">
        <w:rPr>
          <w:rFonts w:ascii="Times New Roman" w:hAnsi="Times New Roman" w:cs="Times New Roman"/>
          <w:spacing w:val="-3"/>
        </w:rPr>
        <w:t>i</w:t>
      </w:r>
      <w:proofErr w:type="spellEnd"/>
      <w:r w:rsidRPr="00831B8C">
        <w:rPr>
          <w:rFonts w:ascii="Times New Roman" w:hAnsi="Times New Roman" w:cs="Times New Roman"/>
          <w:spacing w:val="-3"/>
        </w:rPr>
        <w:t>)</w:t>
      </w:r>
      <w:r w:rsidRPr="00831B8C">
        <w:rPr>
          <w:rFonts w:ascii="Times New Roman" w:hAnsi="Times New Roman" w:cs="Times New Roman"/>
          <w:spacing w:val="-3"/>
        </w:rPr>
        <w:tab/>
        <w:t>any other source(s) of income.</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p>
    <w:p w:rsidR="00831B8C" w:rsidRPr="00831B8C" w:rsidRDefault="00831B8C" w:rsidP="00831B8C">
      <w:pPr>
        <w:pStyle w:val="ParaTab1"/>
        <w:tabs>
          <w:tab w:val="num" w:pos="0"/>
          <w:tab w:val="left" w:pos="2160"/>
          <w:tab w:val="left" w:pos="2700"/>
        </w:tabs>
        <w:spacing w:line="360" w:lineRule="auto"/>
        <w:rPr>
          <w:rFonts w:ascii="Times New Roman" w:hAnsi="Times New Roman" w:cs="Times New Roman"/>
          <w:spacing w:val="-3"/>
        </w:rPr>
      </w:pPr>
      <w:r>
        <w:rPr>
          <w:rFonts w:ascii="Times New Roman" w:hAnsi="Times New Roman" w:cs="Times New Roman"/>
          <w:spacing w:val="-3"/>
        </w:rPr>
        <w:t>15</w:t>
      </w:r>
      <w:r w:rsidRPr="00831B8C">
        <w:rPr>
          <w:rFonts w:ascii="Times New Roman" w:hAnsi="Times New Roman" w:cs="Times New Roman"/>
          <w:spacing w:val="-3"/>
        </w:rPr>
        <w:t>.</w:t>
      </w:r>
      <w:r w:rsidRPr="00831B8C">
        <w:rPr>
          <w:rFonts w:ascii="Times New Roman" w:hAnsi="Times New Roman" w:cs="Times New Roman"/>
          <w:spacing w:val="-3"/>
        </w:rPr>
        <w:tab/>
        <w:t>The utility must prepare and submit the following documents at least five business days before the hearing:</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(a)</w:t>
      </w:r>
      <w:r w:rsidRPr="00831B8C">
        <w:rPr>
          <w:rFonts w:ascii="Times New Roman" w:hAnsi="Times New Roman" w:cs="Times New Roman"/>
          <w:spacing w:val="-3"/>
        </w:rPr>
        <w:tab/>
        <w:t xml:space="preserve">an account statement, showing the history of the account for a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 xml:space="preserve">minimum of 24 months or the entire history of the account,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whichever is less;</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(b)</w:t>
      </w:r>
      <w:r w:rsidRPr="00831B8C">
        <w:rPr>
          <w:rFonts w:ascii="Times New Roman" w:hAnsi="Times New Roman" w:cs="Times New Roman"/>
          <w:spacing w:val="-3"/>
        </w:rPr>
        <w:tab/>
        <w:t>a copy of the most recent BCS decision, if any;</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(c)</w:t>
      </w:r>
      <w:r w:rsidRPr="00831B8C">
        <w:rPr>
          <w:rFonts w:ascii="Times New Roman" w:hAnsi="Times New Roman" w:cs="Times New Roman"/>
          <w:spacing w:val="-3"/>
        </w:rPr>
        <w:tab/>
      </w:r>
      <w:proofErr w:type="gramStart"/>
      <w:r w:rsidRPr="00831B8C">
        <w:rPr>
          <w:rFonts w:ascii="Times New Roman" w:hAnsi="Times New Roman" w:cs="Times New Roman"/>
          <w:spacing w:val="-3"/>
        </w:rPr>
        <w:t>a brief summary</w:t>
      </w:r>
      <w:proofErr w:type="gramEnd"/>
      <w:r w:rsidRPr="00831B8C">
        <w:rPr>
          <w:rFonts w:ascii="Times New Roman" w:hAnsi="Times New Roman" w:cs="Times New Roman"/>
          <w:spacing w:val="-3"/>
        </w:rPr>
        <w:t xml:space="preserve"> of any payment arrangement(s) made between</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The utility and the customer.</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p>
    <w:p w:rsidR="008E49EA" w:rsidRPr="00B00A94" w:rsidRDefault="008E49EA" w:rsidP="008E49EA">
      <w:pPr>
        <w:spacing w:line="360" w:lineRule="auto"/>
        <w:rPr>
          <w:color w:val="FF0000"/>
          <w:sz w:val="24"/>
          <w:szCs w:val="24"/>
        </w:rPr>
      </w:pPr>
      <w:r w:rsidRPr="00B00A94">
        <w:rPr>
          <w:sz w:val="24"/>
          <w:szCs w:val="24"/>
        </w:rPr>
        <w:tab/>
      </w:r>
      <w:r w:rsidRPr="00B00A94">
        <w:rPr>
          <w:sz w:val="24"/>
          <w:szCs w:val="24"/>
        </w:rPr>
        <w:tab/>
      </w:r>
      <w:r w:rsidR="00831B8C">
        <w:rPr>
          <w:sz w:val="24"/>
          <w:szCs w:val="24"/>
        </w:rPr>
        <w:t>16</w:t>
      </w:r>
      <w:r w:rsidR="00655EFB" w:rsidRPr="00B00A94">
        <w:rPr>
          <w:sz w:val="24"/>
          <w:szCs w:val="24"/>
        </w:rPr>
        <w:t>.</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that a finding of a violation of a Commission Order, regulation or statute may result in the imposition of a civil penalty consistent with 66 Pa.C.S.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w:t>
      </w:r>
      <w:proofErr w:type="gramStart"/>
      <w:r w:rsidR="00993B46" w:rsidRPr="00B00A94">
        <w:rPr>
          <w:sz w:val="24"/>
          <w:szCs w:val="24"/>
        </w:rPr>
        <w:t>Pa.Cmwlth</w:t>
      </w:r>
      <w:proofErr w:type="gramEnd"/>
      <w:r w:rsidR="00993B46" w:rsidRPr="00B00A94">
        <w:rPr>
          <w:sz w:val="24"/>
          <w:szCs w:val="24"/>
        </w:rPr>
        <w:t>. 1993).</w:t>
      </w:r>
      <w:r w:rsidRPr="00B00A94">
        <w:rPr>
          <w:color w:val="FF0000"/>
          <w:sz w:val="24"/>
          <w:szCs w:val="24"/>
        </w:rPr>
        <w:tab/>
      </w:r>
      <w:r w:rsidRPr="00B00A94">
        <w:rPr>
          <w:color w:val="FF0000"/>
          <w:sz w:val="24"/>
          <w:szCs w:val="24"/>
        </w:rPr>
        <w:tab/>
      </w:r>
    </w:p>
    <w:p w:rsidR="00655EFB" w:rsidRDefault="00655EFB" w:rsidP="008E49EA">
      <w:pPr>
        <w:spacing w:line="360" w:lineRule="auto"/>
        <w:rPr>
          <w:sz w:val="24"/>
          <w:szCs w:val="24"/>
        </w:rPr>
      </w:pPr>
    </w:p>
    <w:p w:rsidR="00933ADC" w:rsidRPr="00B00A94" w:rsidRDefault="00933ADC" w:rsidP="008E49EA">
      <w:pPr>
        <w:spacing w:line="360" w:lineRule="auto"/>
        <w:rPr>
          <w:sz w:val="24"/>
          <w:szCs w:val="24"/>
        </w:rPr>
      </w:pPr>
    </w:p>
    <w:p w:rsidR="008E49EA" w:rsidRPr="00B00A94" w:rsidRDefault="008E49EA" w:rsidP="00933ADC">
      <w:pPr>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ED1005">
        <w:rPr>
          <w:sz w:val="24"/>
          <w:szCs w:val="24"/>
          <w:u w:val="single"/>
        </w:rPr>
        <w:t>May 2, 2018</w:t>
      </w:r>
      <w:r w:rsidRPr="00B00A94">
        <w:rPr>
          <w:sz w:val="24"/>
          <w:szCs w:val="24"/>
        </w:rPr>
        <w:tab/>
      </w:r>
      <w:r w:rsidRPr="00B00A94">
        <w:rPr>
          <w:sz w:val="24"/>
          <w:szCs w:val="24"/>
        </w:rPr>
        <w:tab/>
      </w:r>
      <w:r w:rsidRPr="00B00A94">
        <w:rPr>
          <w:sz w:val="24"/>
          <w:szCs w:val="24"/>
        </w:rPr>
        <w:tab/>
      </w:r>
      <w:r w:rsidR="005A3C9E" w:rsidRPr="00B00A94">
        <w:rPr>
          <w:sz w:val="24"/>
          <w:szCs w:val="24"/>
        </w:rPr>
        <w:tab/>
      </w:r>
      <w:r w:rsidR="00BF5CD5">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bookmarkStart w:id="0" w:name="_GoBack"/>
      <w:bookmarkEnd w:id="0"/>
    </w:p>
    <w:p w:rsidR="008E49EA" w:rsidRPr="00B00A94" w:rsidRDefault="008E49EA" w:rsidP="00933ADC">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8E49EA" w:rsidRDefault="008E49EA" w:rsidP="00B00A94">
      <w:pPr>
        <w:spacing w:line="360" w:lineRule="auto"/>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p>
    <w:p w:rsidR="00BF5CD5" w:rsidRDefault="00BF5CD5" w:rsidP="00B00A94">
      <w:pPr>
        <w:spacing w:line="360" w:lineRule="auto"/>
        <w:rPr>
          <w:sz w:val="24"/>
          <w:szCs w:val="24"/>
        </w:rPr>
        <w:sectPr w:rsidR="00BF5CD5" w:rsidSect="00BF5CD5">
          <w:footerReference w:type="default" r:id="rId8"/>
          <w:pgSz w:w="12240" w:h="15840"/>
          <w:pgMar w:top="1296" w:right="1440" w:bottom="1296" w:left="1440" w:header="720" w:footer="720" w:gutter="0"/>
          <w:cols w:space="720"/>
          <w:docGrid w:linePitch="360"/>
        </w:sectPr>
      </w:pPr>
    </w:p>
    <w:p w:rsidR="00BF5CD5" w:rsidRDefault="00BF5CD5" w:rsidP="00BF5CD5">
      <w:r>
        <w:rPr>
          <w:rFonts w:ascii="Microsoft Sans Serif" w:eastAsia="Microsoft Sans Serif" w:hAnsi="Microsoft Sans Serif" w:cs="Microsoft Sans Serif"/>
          <w:b/>
          <w:sz w:val="24"/>
          <w:u w:val="single"/>
        </w:rPr>
        <w:lastRenderedPageBreak/>
        <w:t>C-2018-3001058 - ZAKIYA FOSTER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ZAKIYA FOSTER</w:t>
      </w:r>
      <w:r>
        <w:rPr>
          <w:rFonts w:ascii="Microsoft Sans Serif" w:eastAsia="Microsoft Sans Serif" w:hAnsi="Microsoft Sans Serif" w:cs="Microsoft Sans Serif"/>
          <w:sz w:val="24"/>
        </w:rPr>
        <w:cr/>
        <w:t>2144 NORTH 4TH STREET APARTMENT 1</w:t>
      </w:r>
      <w:r>
        <w:rPr>
          <w:rFonts w:ascii="Microsoft Sans Serif" w:eastAsia="Microsoft Sans Serif" w:hAnsi="Microsoft Sans Serif" w:cs="Microsoft Sans Serif"/>
          <w:sz w:val="24"/>
        </w:rPr>
        <w:cr/>
        <w:t>HARRISBURG PA  17110</w:t>
      </w:r>
      <w:r>
        <w:rPr>
          <w:rFonts w:ascii="Microsoft Sans Serif" w:eastAsia="Microsoft Sans Serif" w:hAnsi="Microsoft Sans Serif" w:cs="Microsoft Sans Serif"/>
          <w:sz w:val="24"/>
        </w:rPr>
        <w:cr/>
      </w:r>
      <w:r w:rsidRPr="00765873">
        <w:rPr>
          <w:rFonts w:ascii="Microsoft Sans Serif" w:eastAsia="Microsoft Sans Serif" w:hAnsi="Microsoft Sans Serif" w:cs="Microsoft Sans Serif"/>
          <w:b/>
          <w:sz w:val="24"/>
        </w:rPr>
        <w:t>717</w:t>
      </w:r>
      <w:r>
        <w:rPr>
          <w:rFonts w:ascii="Microsoft Sans Serif" w:eastAsia="Microsoft Sans Serif" w:hAnsi="Microsoft Sans Serif" w:cs="Microsoft Sans Serif"/>
          <w:b/>
          <w:sz w:val="24"/>
        </w:rPr>
        <w:t>.</w:t>
      </w:r>
      <w:r w:rsidRPr="00765873">
        <w:rPr>
          <w:rFonts w:ascii="Microsoft Sans Serif" w:eastAsia="Microsoft Sans Serif" w:hAnsi="Microsoft Sans Serif" w:cs="Microsoft Sans Serif"/>
          <w:b/>
          <w:sz w:val="24"/>
        </w:rPr>
        <w:t>962</w:t>
      </w:r>
      <w:r>
        <w:rPr>
          <w:rFonts w:ascii="Microsoft Sans Serif" w:eastAsia="Microsoft Sans Serif" w:hAnsi="Microsoft Sans Serif" w:cs="Microsoft Sans Serif"/>
          <w:b/>
          <w:sz w:val="24"/>
        </w:rPr>
        <w:t>.</w:t>
      </w:r>
      <w:r w:rsidRPr="00765873">
        <w:rPr>
          <w:rFonts w:ascii="Microsoft Sans Serif" w:eastAsia="Microsoft Sans Serif" w:hAnsi="Microsoft Sans Serif" w:cs="Microsoft Sans Serif"/>
          <w:b/>
          <w:sz w:val="24"/>
        </w:rPr>
        <w:t>4671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765873">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rsidR="00BF5CD5" w:rsidRDefault="00BF5CD5" w:rsidP="00BF5CD5"/>
    <w:p w:rsidR="00BF5CD5" w:rsidRPr="00B00A94" w:rsidRDefault="00BF5CD5" w:rsidP="00B00A94">
      <w:pPr>
        <w:spacing w:line="360" w:lineRule="auto"/>
        <w:rPr>
          <w:sz w:val="24"/>
          <w:szCs w:val="24"/>
        </w:rPr>
      </w:pPr>
    </w:p>
    <w:sectPr w:rsidR="00BF5CD5" w:rsidRPr="00B00A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96E" w:rsidRDefault="00A9796E" w:rsidP="00AD704E">
      <w:r>
        <w:separator/>
      </w:r>
    </w:p>
  </w:endnote>
  <w:endnote w:type="continuationSeparator" w:id="0">
    <w:p w:rsidR="00A9796E" w:rsidRDefault="00A9796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4" w:rsidRPr="00BF5CD5" w:rsidRDefault="00B00A94">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975449"/>
      <w:docPartObj>
        <w:docPartGallery w:val="Page Numbers (Bottom of Page)"/>
        <w:docPartUnique/>
      </w:docPartObj>
    </w:sdtPr>
    <w:sdtEndPr>
      <w:rPr>
        <w:noProof/>
        <w:sz w:val="20"/>
        <w:szCs w:val="20"/>
      </w:rPr>
    </w:sdtEndPr>
    <w:sdtContent>
      <w:p w:rsidR="00BF5CD5" w:rsidRPr="00BF5CD5" w:rsidRDefault="00BF5CD5">
        <w:pPr>
          <w:pStyle w:val="Footer"/>
          <w:jc w:val="center"/>
          <w:rPr>
            <w:sz w:val="20"/>
            <w:szCs w:val="20"/>
          </w:rPr>
        </w:pPr>
        <w:r w:rsidRPr="00BF5CD5">
          <w:rPr>
            <w:sz w:val="20"/>
            <w:szCs w:val="20"/>
          </w:rPr>
          <w:fldChar w:fldCharType="begin"/>
        </w:r>
        <w:r w:rsidRPr="00BF5CD5">
          <w:rPr>
            <w:sz w:val="20"/>
            <w:szCs w:val="20"/>
          </w:rPr>
          <w:instrText xml:space="preserve"> PAGE   \* MERGEFORMAT </w:instrText>
        </w:r>
        <w:r w:rsidRPr="00BF5CD5">
          <w:rPr>
            <w:sz w:val="20"/>
            <w:szCs w:val="20"/>
          </w:rPr>
          <w:fldChar w:fldCharType="separate"/>
        </w:r>
        <w:r w:rsidRPr="00BF5CD5">
          <w:rPr>
            <w:noProof/>
            <w:sz w:val="20"/>
            <w:szCs w:val="20"/>
          </w:rPr>
          <w:t>4</w:t>
        </w:r>
        <w:r w:rsidRPr="00BF5CD5">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D5" w:rsidRPr="00BF5CD5" w:rsidRDefault="00BF5CD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96E" w:rsidRDefault="00A9796E" w:rsidP="00AD704E">
      <w:r>
        <w:separator/>
      </w:r>
    </w:p>
  </w:footnote>
  <w:footnote w:type="continuationSeparator" w:id="0">
    <w:p w:rsidR="00A9796E" w:rsidRDefault="00A9796E"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0551"/>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0DA0"/>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447E"/>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2263"/>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1B8C"/>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AD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372"/>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3A4"/>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796E"/>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CD5"/>
    <w:rsid w:val="00BF635B"/>
    <w:rsid w:val="00BF7D51"/>
    <w:rsid w:val="00C00699"/>
    <w:rsid w:val="00C01975"/>
    <w:rsid w:val="00C02723"/>
    <w:rsid w:val="00C027BD"/>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A2D"/>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1005"/>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23C3"/>
  <w15:docId w15:val="{A95EA98A-BF14-4846-9501-2F65FE2C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2016-10-26T19:15:00Z</cp:lastPrinted>
  <dcterms:created xsi:type="dcterms:W3CDTF">2018-05-02T14:37:00Z</dcterms:created>
  <dcterms:modified xsi:type="dcterms:W3CDTF">2018-05-02T14:37:00Z</dcterms:modified>
</cp:coreProperties>
</file>