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3429"/>
      </w:tblGrid>
      <w:tr w:rsidR="00AB4865" w:rsidRPr="00B82254" w14:paraId="5BEB232E" w14:textId="77777777" w:rsidTr="00273AF2">
        <w:tc>
          <w:tcPr>
            <w:tcW w:w="9360" w:type="dxa"/>
          </w:tcPr>
          <w:p w14:paraId="00B69B17" w14:textId="77777777" w:rsidR="00CF4EDB" w:rsidRPr="00CF4EDB" w:rsidRDefault="00CF4EDB" w:rsidP="00CF4EDB">
            <w:pPr>
              <w:widowControl/>
              <w:jc w:val="center"/>
              <w:rPr>
                <w:b/>
                <w:sz w:val="26"/>
                <w:szCs w:val="26"/>
              </w:rPr>
            </w:pPr>
            <w:r w:rsidRPr="00CF4EDB">
              <w:rPr>
                <w:b/>
                <w:sz w:val="26"/>
                <w:szCs w:val="26"/>
              </w:rPr>
              <w:t>PENNSYLVANIA</w:t>
            </w:r>
          </w:p>
          <w:p w14:paraId="78686C5C" w14:textId="77777777" w:rsidR="00CF4EDB" w:rsidRPr="00CF4EDB" w:rsidRDefault="00CF4EDB" w:rsidP="00CF4EDB">
            <w:pPr>
              <w:widowControl/>
              <w:jc w:val="center"/>
              <w:rPr>
                <w:b/>
                <w:sz w:val="26"/>
                <w:szCs w:val="26"/>
              </w:rPr>
            </w:pPr>
            <w:r w:rsidRPr="00CF4EDB">
              <w:rPr>
                <w:b/>
                <w:sz w:val="26"/>
                <w:szCs w:val="26"/>
              </w:rPr>
              <w:t>PUBLIC UTILITY COMMISSION</w:t>
            </w:r>
          </w:p>
          <w:p w14:paraId="0CA04367" w14:textId="54AF9B72" w:rsidR="00273AF2" w:rsidRPr="00737C9D" w:rsidRDefault="00CF4EDB" w:rsidP="00737C9D">
            <w:pPr>
              <w:widowControl/>
              <w:jc w:val="center"/>
              <w:rPr>
                <w:b/>
                <w:sz w:val="26"/>
                <w:szCs w:val="26"/>
              </w:rPr>
            </w:pPr>
            <w:r w:rsidRPr="00CF4EDB">
              <w:rPr>
                <w:b/>
                <w:sz w:val="26"/>
                <w:szCs w:val="26"/>
              </w:rPr>
              <w:t>Harrisburg, PA  17105-3265</w:t>
            </w:r>
            <w:bookmarkStart w:id="0" w:name="_GoBack"/>
            <w:bookmarkEnd w:id="0"/>
          </w:p>
          <w:p w14:paraId="29B80118" w14:textId="77777777" w:rsidR="00273AF2" w:rsidRPr="00B82254" w:rsidRDefault="00273AF2" w:rsidP="00273AF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1264"/>
              <w:gridCol w:w="3021"/>
            </w:tblGrid>
            <w:tr w:rsidR="00273AF2" w:rsidRPr="00B82254" w14:paraId="1916D50D" w14:textId="77777777" w:rsidTr="00EB1D99">
              <w:tc>
                <w:tcPr>
                  <w:tcW w:w="4962" w:type="dxa"/>
                </w:tcPr>
                <w:p w14:paraId="130EC4EC" w14:textId="77777777" w:rsidR="00273AF2" w:rsidRPr="00B82254" w:rsidRDefault="00273AF2" w:rsidP="00273AF2">
                  <w:pPr>
                    <w:widowControl/>
                    <w:rPr>
                      <w:sz w:val="26"/>
                      <w:szCs w:val="26"/>
                    </w:rPr>
                  </w:pPr>
                </w:p>
              </w:tc>
              <w:tc>
                <w:tcPr>
                  <w:tcW w:w="4398" w:type="dxa"/>
                  <w:gridSpan w:val="2"/>
                </w:tcPr>
                <w:p w14:paraId="38A544FC" w14:textId="77777777" w:rsidR="00273AF2" w:rsidRPr="00B82254" w:rsidRDefault="00273AF2" w:rsidP="00273AF2">
                  <w:pPr>
                    <w:widowControl/>
                    <w:ind w:left="-121"/>
                    <w:jc w:val="right"/>
                    <w:rPr>
                      <w:sz w:val="26"/>
                      <w:szCs w:val="26"/>
                    </w:rPr>
                  </w:pPr>
                  <w:r w:rsidRPr="00B82254">
                    <w:rPr>
                      <w:sz w:val="26"/>
                      <w:szCs w:val="26"/>
                    </w:rPr>
                    <w:t xml:space="preserve">Public Meeting held </w:t>
                  </w:r>
                  <w:r>
                    <w:rPr>
                      <w:sz w:val="26"/>
                      <w:szCs w:val="26"/>
                    </w:rPr>
                    <w:t>May 3</w:t>
                  </w:r>
                  <w:r w:rsidRPr="00B82254">
                    <w:rPr>
                      <w:sz w:val="26"/>
                      <w:szCs w:val="26"/>
                    </w:rPr>
                    <w:t>, 2018</w:t>
                  </w:r>
                </w:p>
                <w:p w14:paraId="37545AAE" w14:textId="77777777" w:rsidR="00273AF2" w:rsidRPr="00B82254" w:rsidRDefault="00273AF2" w:rsidP="00273AF2">
                  <w:pPr>
                    <w:widowControl/>
                    <w:jc w:val="right"/>
                    <w:rPr>
                      <w:sz w:val="26"/>
                      <w:szCs w:val="26"/>
                    </w:rPr>
                  </w:pPr>
                </w:p>
                <w:p w14:paraId="3A27849A" w14:textId="77777777" w:rsidR="00273AF2" w:rsidRPr="00B82254" w:rsidRDefault="00273AF2" w:rsidP="00273AF2">
                  <w:pPr>
                    <w:widowControl/>
                    <w:jc w:val="right"/>
                    <w:rPr>
                      <w:sz w:val="26"/>
                      <w:szCs w:val="26"/>
                    </w:rPr>
                  </w:pPr>
                </w:p>
              </w:tc>
            </w:tr>
            <w:tr w:rsidR="00273AF2" w:rsidRPr="00B82254" w14:paraId="4676577E" w14:textId="77777777" w:rsidTr="00EB1D99">
              <w:tc>
                <w:tcPr>
                  <w:tcW w:w="4962" w:type="dxa"/>
                </w:tcPr>
                <w:p w14:paraId="1BF803AE" w14:textId="77777777" w:rsidR="00273AF2" w:rsidRPr="00B82254" w:rsidRDefault="00273AF2" w:rsidP="00273AF2">
                  <w:pPr>
                    <w:widowControl/>
                    <w:rPr>
                      <w:sz w:val="26"/>
                      <w:szCs w:val="26"/>
                    </w:rPr>
                  </w:pPr>
                  <w:r w:rsidRPr="00B82254">
                    <w:rPr>
                      <w:sz w:val="26"/>
                      <w:szCs w:val="26"/>
                    </w:rPr>
                    <w:t>Commissioners Present:</w:t>
                  </w:r>
                </w:p>
                <w:p w14:paraId="14B1E748" w14:textId="77777777" w:rsidR="00273AF2" w:rsidRPr="00B82254" w:rsidRDefault="00273AF2" w:rsidP="00273AF2">
                  <w:pPr>
                    <w:widowControl/>
                    <w:rPr>
                      <w:sz w:val="26"/>
                      <w:szCs w:val="26"/>
                    </w:rPr>
                  </w:pPr>
                </w:p>
                <w:p w14:paraId="08026A0F" w14:textId="77777777" w:rsidR="00273AF2" w:rsidRPr="00B82254" w:rsidRDefault="00273AF2" w:rsidP="00273AF2">
                  <w:pPr>
                    <w:widowControl/>
                    <w:ind w:left="720"/>
                    <w:rPr>
                      <w:sz w:val="26"/>
                      <w:szCs w:val="26"/>
                    </w:rPr>
                  </w:pPr>
                  <w:r w:rsidRPr="00B82254">
                    <w:rPr>
                      <w:sz w:val="26"/>
                      <w:szCs w:val="26"/>
                    </w:rPr>
                    <w:t>Gladys M. Brown, Chairman</w:t>
                  </w:r>
                </w:p>
                <w:p w14:paraId="5FAB7E11" w14:textId="77777777" w:rsidR="00273AF2" w:rsidRPr="00B82254" w:rsidRDefault="00273AF2" w:rsidP="00273AF2">
                  <w:pPr>
                    <w:widowControl/>
                    <w:ind w:left="720"/>
                    <w:rPr>
                      <w:sz w:val="26"/>
                      <w:szCs w:val="26"/>
                    </w:rPr>
                  </w:pPr>
                  <w:r w:rsidRPr="00B82254">
                    <w:rPr>
                      <w:sz w:val="26"/>
                      <w:szCs w:val="26"/>
                    </w:rPr>
                    <w:t>Andrew G. Place, Vice Chairman</w:t>
                  </w:r>
                </w:p>
                <w:p w14:paraId="511029FE" w14:textId="77777777" w:rsidR="00273AF2" w:rsidRPr="00B82254" w:rsidRDefault="00273AF2" w:rsidP="00273AF2">
                  <w:pPr>
                    <w:widowControl/>
                    <w:ind w:left="720"/>
                    <w:rPr>
                      <w:sz w:val="26"/>
                      <w:szCs w:val="26"/>
                    </w:rPr>
                  </w:pPr>
                  <w:r w:rsidRPr="00B82254">
                    <w:rPr>
                      <w:sz w:val="26"/>
                      <w:szCs w:val="26"/>
                    </w:rPr>
                    <w:t>Norman J. Kennard</w:t>
                  </w:r>
                </w:p>
                <w:p w14:paraId="7427CA9D" w14:textId="77777777" w:rsidR="00273AF2" w:rsidRPr="00B82254" w:rsidRDefault="00273AF2" w:rsidP="00273AF2">
                  <w:pPr>
                    <w:widowControl/>
                    <w:ind w:left="720"/>
                    <w:rPr>
                      <w:sz w:val="26"/>
                      <w:szCs w:val="26"/>
                    </w:rPr>
                  </w:pPr>
                  <w:r w:rsidRPr="00B82254">
                    <w:rPr>
                      <w:sz w:val="26"/>
                      <w:szCs w:val="26"/>
                    </w:rPr>
                    <w:t>David W. Sweet</w:t>
                  </w:r>
                </w:p>
                <w:p w14:paraId="3594E4F8" w14:textId="77777777" w:rsidR="00273AF2" w:rsidRPr="00B82254" w:rsidRDefault="00273AF2" w:rsidP="00273AF2">
                  <w:pPr>
                    <w:widowControl/>
                    <w:tabs>
                      <w:tab w:val="left" w:pos="705"/>
                    </w:tabs>
                    <w:ind w:firstLine="720"/>
                    <w:rPr>
                      <w:sz w:val="26"/>
                      <w:szCs w:val="26"/>
                    </w:rPr>
                  </w:pPr>
                  <w:r w:rsidRPr="00B82254">
                    <w:rPr>
                      <w:sz w:val="26"/>
                      <w:szCs w:val="26"/>
                    </w:rPr>
                    <w:t>John F. Coleman, Jr.</w:t>
                  </w:r>
                </w:p>
                <w:p w14:paraId="2C20C25B" w14:textId="77777777" w:rsidR="00273AF2" w:rsidRPr="00B82254" w:rsidRDefault="00273AF2" w:rsidP="00273AF2">
                  <w:pPr>
                    <w:widowControl/>
                    <w:rPr>
                      <w:sz w:val="26"/>
                      <w:szCs w:val="26"/>
                    </w:rPr>
                  </w:pPr>
                </w:p>
                <w:p w14:paraId="7FCCE2BD" w14:textId="77777777" w:rsidR="00273AF2" w:rsidRPr="00B82254" w:rsidRDefault="00273AF2" w:rsidP="00273AF2">
                  <w:pPr>
                    <w:widowControl/>
                    <w:rPr>
                      <w:sz w:val="26"/>
                      <w:szCs w:val="26"/>
                    </w:rPr>
                  </w:pPr>
                </w:p>
              </w:tc>
              <w:tc>
                <w:tcPr>
                  <w:tcW w:w="4398" w:type="dxa"/>
                  <w:gridSpan w:val="2"/>
                </w:tcPr>
                <w:p w14:paraId="72236A03" w14:textId="77777777" w:rsidR="00273AF2" w:rsidRPr="00B82254" w:rsidRDefault="00273AF2" w:rsidP="00273AF2">
                  <w:pPr>
                    <w:widowControl/>
                    <w:jc w:val="right"/>
                    <w:rPr>
                      <w:sz w:val="26"/>
                      <w:szCs w:val="26"/>
                    </w:rPr>
                  </w:pPr>
                </w:p>
                <w:p w14:paraId="53A6F0F2" w14:textId="77777777" w:rsidR="00273AF2" w:rsidRPr="00B82254" w:rsidRDefault="00273AF2" w:rsidP="00273AF2">
                  <w:pPr>
                    <w:widowControl/>
                    <w:jc w:val="right"/>
                    <w:rPr>
                      <w:sz w:val="26"/>
                      <w:szCs w:val="26"/>
                    </w:rPr>
                  </w:pPr>
                </w:p>
              </w:tc>
            </w:tr>
            <w:tr w:rsidR="00273AF2" w:rsidRPr="00B82254" w14:paraId="599E84B9" w14:textId="77777777" w:rsidTr="00EB1D99">
              <w:tc>
                <w:tcPr>
                  <w:tcW w:w="6271" w:type="dxa"/>
                  <w:gridSpan w:val="2"/>
                </w:tcPr>
                <w:p w14:paraId="450765F9" w14:textId="77777777" w:rsidR="00273AF2" w:rsidRPr="00B82254" w:rsidRDefault="00273AF2" w:rsidP="00273AF2">
                  <w:pPr>
                    <w:widowControl/>
                    <w:rPr>
                      <w:spacing w:val="-3"/>
                      <w:sz w:val="26"/>
                      <w:szCs w:val="26"/>
                    </w:rPr>
                  </w:pPr>
                  <w:r w:rsidRPr="00B82254">
                    <w:rPr>
                      <w:spacing w:val="-3"/>
                      <w:sz w:val="26"/>
                      <w:szCs w:val="26"/>
                    </w:rPr>
                    <w:t>Tanya J. McCloskey, Acting Consumer Advocate</w:t>
                  </w:r>
                </w:p>
                <w:p w14:paraId="47DFDC32" w14:textId="77777777" w:rsidR="00273AF2" w:rsidRPr="00B82254" w:rsidRDefault="00273AF2" w:rsidP="00273AF2">
                  <w:pPr>
                    <w:widowControl/>
                    <w:rPr>
                      <w:spacing w:val="-3"/>
                      <w:sz w:val="26"/>
                      <w:szCs w:val="26"/>
                    </w:rPr>
                  </w:pPr>
                </w:p>
                <w:p w14:paraId="720F42BA" w14:textId="77777777" w:rsidR="00273AF2" w:rsidRPr="00B82254" w:rsidRDefault="00273AF2" w:rsidP="00273AF2">
                  <w:pPr>
                    <w:widowControl/>
                    <w:rPr>
                      <w:sz w:val="26"/>
                      <w:szCs w:val="26"/>
                    </w:rPr>
                  </w:pPr>
                  <w:r w:rsidRPr="00B82254">
                    <w:rPr>
                      <w:sz w:val="26"/>
                      <w:szCs w:val="26"/>
                    </w:rPr>
                    <w:t xml:space="preserve">          v.</w:t>
                  </w:r>
                </w:p>
                <w:p w14:paraId="4E7FCE3C" w14:textId="77777777" w:rsidR="00273AF2" w:rsidRPr="00B82254" w:rsidRDefault="00273AF2" w:rsidP="00273AF2">
                  <w:pPr>
                    <w:widowControl/>
                    <w:rPr>
                      <w:sz w:val="26"/>
                      <w:szCs w:val="26"/>
                    </w:rPr>
                  </w:pPr>
                </w:p>
                <w:p w14:paraId="1817A698" w14:textId="77777777" w:rsidR="00273AF2" w:rsidRPr="00B82254" w:rsidRDefault="00273AF2" w:rsidP="00273AF2">
                  <w:pPr>
                    <w:widowControl/>
                    <w:rPr>
                      <w:sz w:val="26"/>
                      <w:szCs w:val="26"/>
                    </w:rPr>
                  </w:pPr>
                  <w:r w:rsidRPr="00B82254">
                    <w:rPr>
                      <w:sz w:val="26"/>
                      <w:szCs w:val="26"/>
                    </w:rPr>
                    <w:t>Hidden Valley Utility Services, L.P. – Water</w:t>
                  </w:r>
                </w:p>
                <w:p w14:paraId="5E5EE40B" w14:textId="77777777" w:rsidR="00273AF2" w:rsidRPr="00B82254" w:rsidRDefault="00273AF2" w:rsidP="00273AF2">
                  <w:pPr>
                    <w:widowControl/>
                    <w:rPr>
                      <w:sz w:val="26"/>
                      <w:szCs w:val="26"/>
                    </w:rPr>
                  </w:pPr>
                </w:p>
              </w:tc>
              <w:tc>
                <w:tcPr>
                  <w:tcW w:w="3089" w:type="dxa"/>
                </w:tcPr>
                <w:p w14:paraId="795F5721" w14:textId="77777777" w:rsidR="00273AF2" w:rsidRPr="00B82254" w:rsidRDefault="00273AF2" w:rsidP="00273AF2">
                  <w:pPr>
                    <w:widowControl/>
                    <w:jc w:val="right"/>
                    <w:rPr>
                      <w:sz w:val="26"/>
                      <w:szCs w:val="26"/>
                    </w:rPr>
                  </w:pPr>
                  <w:r w:rsidRPr="00B82254">
                    <w:rPr>
                      <w:sz w:val="26"/>
                      <w:szCs w:val="26"/>
                    </w:rPr>
                    <w:t>C-2014-2447138</w:t>
                  </w:r>
                </w:p>
              </w:tc>
            </w:tr>
            <w:tr w:rsidR="00273AF2" w:rsidRPr="00B82254" w14:paraId="07D4B26E" w14:textId="77777777" w:rsidTr="00EB1D99">
              <w:tc>
                <w:tcPr>
                  <w:tcW w:w="6271" w:type="dxa"/>
                  <w:gridSpan w:val="2"/>
                </w:tcPr>
                <w:p w14:paraId="3156913D" w14:textId="77777777" w:rsidR="00273AF2" w:rsidRPr="00B82254" w:rsidRDefault="00273AF2" w:rsidP="00273AF2">
                  <w:pPr>
                    <w:widowControl/>
                    <w:rPr>
                      <w:sz w:val="26"/>
                      <w:szCs w:val="26"/>
                    </w:rPr>
                  </w:pPr>
                  <w:r w:rsidRPr="00B82254">
                    <w:rPr>
                      <w:spacing w:val="-3"/>
                      <w:sz w:val="26"/>
                      <w:szCs w:val="26"/>
                    </w:rPr>
                    <w:t xml:space="preserve">         and </w:t>
                  </w:r>
                </w:p>
              </w:tc>
              <w:tc>
                <w:tcPr>
                  <w:tcW w:w="3089" w:type="dxa"/>
                </w:tcPr>
                <w:p w14:paraId="610E9771" w14:textId="77777777" w:rsidR="00273AF2" w:rsidRPr="00B82254" w:rsidRDefault="00273AF2" w:rsidP="00273AF2">
                  <w:pPr>
                    <w:widowControl/>
                    <w:rPr>
                      <w:sz w:val="26"/>
                      <w:szCs w:val="26"/>
                    </w:rPr>
                  </w:pPr>
                </w:p>
              </w:tc>
            </w:tr>
            <w:tr w:rsidR="00273AF2" w:rsidRPr="00B82254" w14:paraId="6E07727C" w14:textId="77777777" w:rsidTr="00EB1D99">
              <w:trPr>
                <w:trHeight w:val="1440"/>
              </w:trPr>
              <w:tc>
                <w:tcPr>
                  <w:tcW w:w="6271" w:type="dxa"/>
                  <w:gridSpan w:val="2"/>
                </w:tcPr>
                <w:p w14:paraId="05CDDA6A" w14:textId="77777777" w:rsidR="00273AF2" w:rsidRPr="00B82254" w:rsidRDefault="00273AF2" w:rsidP="00273AF2">
                  <w:pPr>
                    <w:widowControl/>
                    <w:rPr>
                      <w:spacing w:val="-3"/>
                      <w:sz w:val="26"/>
                      <w:szCs w:val="26"/>
                    </w:rPr>
                  </w:pPr>
                </w:p>
                <w:p w14:paraId="4540CDAE" w14:textId="77777777" w:rsidR="00273AF2" w:rsidRPr="00B82254" w:rsidRDefault="00273AF2" w:rsidP="00273AF2">
                  <w:pPr>
                    <w:widowControl/>
                    <w:rPr>
                      <w:spacing w:val="-3"/>
                      <w:sz w:val="26"/>
                      <w:szCs w:val="26"/>
                    </w:rPr>
                  </w:pPr>
                  <w:r w:rsidRPr="00B82254">
                    <w:rPr>
                      <w:spacing w:val="-3"/>
                      <w:sz w:val="26"/>
                      <w:szCs w:val="26"/>
                    </w:rPr>
                    <w:t>Tanya J. McCloskey, Acting Consumer Advocate</w:t>
                  </w:r>
                </w:p>
                <w:p w14:paraId="621F5663" w14:textId="77777777" w:rsidR="00273AF2" w:rsidRPr="00B82254" w:rsidRDefault="00273AF2" w:rsidP="00273AF2">
                  <w:pPr>
                    <w:widowControl/>
                    <w:rPr>
                      <w:spacing w:val="-3"/>
                      <w:sz w:val="26"/>
                      <w:szCs w:val="26"/>
                    </w:rPr>
                  </w:pPr>
                </w:p>
                <w:p w14:paraId="67420D6C" w14:textId="77777777" w:rsidR="00273AF2" w:rsidRPr="00B82254" w:rsidRDefault="00273AF2" w:rsidP="00273AF2">
                  <w:pPr>
                    <w:widowControl/>
                    <w:rPr>
                      <w:spacing w:val="-3"/>
                      <w:sz w:val="26"/>
                      <w:szCs w:val="26"/>
                    </w:rPr>
                  </w:pPr>
                  <w:r w:rsidRPr="00B82254">
                    <w:rPr>
                      <w:spacing w:val="-3"/>
                      <w:sz w:val="26"/>
                      <w:szCs w:val="26"/>
                    </w:rPr>
                    <w:t xml:space="preserve">          v.</w:t>
                  </w:r>
                </w:p>
                <w:p w14:paraId="6C09D2EE" w14:textId="77777777" w:rsidR="00273AF2" w:rsidRPr="00B82254" w:rsidRDefault="00273AF2" w:rsidP="00273AF2">
                  <w:pPr>
                    <w:widowControl/>
                    <w:rPr>
                      <w:spacing w:val="-3"/>
                      <w:sz w:val="26"/>
                      <w:szCs w:val="26"/>
                    </w:rPr>
                  </w:pPr>
                </w:p>
                <w:p w14:paraId="4FEDE77A" w14:textId="77777777" w:rsidR="00273AF2" w:rsidRPr="00B82254" w:rsidRDefault="00273AF2" w:rsidP="00273AF2">
                  <w:pPr>
                    <w:widowControl/>
                    <w:rPr>
                      <w:sz w:val="26"/>
                      <w:szCs w:val="26"/>
                    </w:rPr>
                  </w:pPr>
                  <w:r w:rsidRPr="00B82254">
                    <w:rPr>
                      <w:sz w:val="26"/>
                      <w:szCs w:val="26"/>
                    </w:rPr>
                    <w:t>Hidden Valley Utility Services, L.P. – Wastewater</w:t>
                  </w:r>
                </w:p>
                <w:p w14:paraId="74D60643" w14:textId="77777777" w:rsidR="00273AF2" w:rsidRPr="00B82254" w:rsidRDefault="00273AF2" w:rsidP="00273AF2">
                  <w:pPr>
                    <w:widowControl/>
                    <w:rPr>
                      <w:sz w:val="26"/>
                      <w:szCs w:val="26"/>
                    </w:rPr>
                  </w:pPr>
                </w:p>
              </w:tc>
              <w:tc>
                <w:tcPr>
                  <w:tcW w:w="3089" w:type="dxa"/>
                </w:tcPr>
                <w:p w14:paraId="22329B8D" w14:textId="77777777" w:rsidR="00273AF2" w:rsidRDefault="00273AF2" w:rsidP="00273AF2">
                  <w:pPr>
                    <w:widowControl/>
                    <w:jc w:val="right"/>
                    <w:rPr>
                      <w:sz w:val="26"/>
                      <w:szCs w:val="26"/>
                    </w:rPr>
                  </w:pPr>
                </w:p>
                <w:p w14:paraId="16E51947" w14:textId="20126D0A" w:rsidR="00273AF2" w:rsidRPr="00B82254" w:rsidRDefault="00273AF2" w:rsidP="00273AF2">
                  <w:pPr>
                    <w:widowControl/>
                    <w:rPr>
                      <w:sz w:val="26"/>
                      <w:szCs w:val="26"/>
                    </w:rPr>
                  </w:pPr>
                  <w:r>
                    <w:rPr>
                      <w:sz w:val="26"/>
                      <w:szCs w:val="26"/>
                    </w:rPr>
                    <w:t xml:space="preserve">               </w:t>
                  </w:r>
                  <w:r w:rsidRPr="00B82254">
                    <w:rPr>
                      <w:sz w:val="26"/>
                      <w:szCs w:val="26"/>
                    </w:rPr>
                    <w:t>C-2014-2447169</w:t>
                  </w:r>
                </w:p>
              </w:tc>
            </w:tr>
          </w:tbl>
          <w:p w14:paraId="358B011B" w14:textId="2B6185B4" w:rsidR="00E64FC8" w:rsidRPr="00E91487" w:rsidRDefault="00E64FC8" w:rsidP="001E6ADF">
            <w:pPr>
              <w:widowControl/>
              <w:rPr>
                <w:b/>
                <w:sz w:val="26"/>
                <w:szCs w:val="26"/>
              </w:rPr>
            </w:pPr>
          </w:p>
        </w:tc>
        <w:tc>
          <w:tcPr>
            <w:tcW w:w="3429" w:type="dxa"/>
          </w:tcPr>
          <w:p w14:paraId="30B647BE" w14:textId="77777777" w:rsidR="00AB4865" w:rsidRPr="00B82254" w:rsidRDefault="00AB4865" w:rsidP="001E6ADF">
            <w:pPr>
              <w:widowControl/>
              <w:jc w:val="right"/>
              <w:rPr>
                <w:sz w:val="26"/>
                <w:szCs w:val="26"/>
              </w:rPr>
            </w:pPr>
          </w:p>
        </w:tc>
      </w:tr>
    </w:tbl>
    <w:p w14:paraId="58256F69" w14:textId="77777777" w:rsidR="00273AF2" w:rsidRDefault="00273AF2" w:rsidP="00AB4865">
      <w:pPr>
        <w:widowControl/>
        <w:jc w:val="center"/>
        <w:rPr>
          <w:b/>
          <w:bCs/>
          <w:sz w:val="24"/>
          <w:szCs w:val="24"/>
          <w:u w:val="single"/>
        </w:rPr>
      </w:pPr>
    </w:p>
    <w:p w14:paraId="203C0B72" w14:textId="408FE6A3" w:rsidR="00AB4865" w:rsidRPr="00AB4865" w:rsidRDefault="00AB4865" w:rsidP="00AB4865">
      <w:pPr>
        <w:widowControl/>
        <w:jc w:val="center"/>
        <w:rPr>
          <w:sz w:val="22"/>
          <w:szCs w:val="22"/>
        </w:rPr>
      </w:pPr>
      <w:r w:rsidRPr="00AB4865">
        <w:rPr>
          <w:b/>
          <w:bCs/>
          <w:sz w:val="24"/>
          <w:szCs w:val="24"/>
          <w:u w:val="single"/>
        </w:rPr>
        <w:t xml:space="preserve">ERRATA NOTICE </w:t>
      </w:r>
    </w:p>
    <w:p w14:paraId="3A8FE291" w14:textId="77777777" w:rsidR="00AB4865" w:rsidRDefault="00AB4865"/>
    <w:p w14:paraId="3CF39976" w14:textId="77777777" w:rsidR="00AB4865" w:rsidRDefault="00AB4865"/>
    <w:p w14:paraId="685313F7" w14:textId="62EDDB59" w:rsidR="00AB4865" w:rsidRPr="00AB4865" w:rsidRDefault="00AB4865" w:rsidP="00AB4865">
      <w:pPr>
        <w:widowControl/>
        <w:spacing w:line="360" w:lineRule="auto"/>
        <w:ind w:firstLine="1440"/>
        <w:jc w:val="both"/>
        <w:rPr>
          <w:sz w:val="26"/>
          <w:szCs w:val="26"/>
        </w:rPr>
      </w:pPr>
      <w:r w:rsidRPr="00AB4865">
        <w:rPr>
          <w:sz w:val="26"/>
          <w:szCs w:val="26"/>
        </w:rPr>
        <w:t xml:space="preserve">This is to advise all parties of record that </w:t>
      </w:r>
      <w:r w:rsidR="008A209F">
        <w:rPr>
          <w:sz w:val="26"/>
          <w:szCs w:val="26"/>
        </w:rPr>
        <w:t>the</w:t>
      </w:r>
      <w:r w:rsidRPr="000774CF">
        <w:rPr>
          <w:sz w:val="26"/>
          <w:szCs w:val="26"/>
        </w:rPr>
        <w:t xml:space="preserve"> Opinion and Order served </w:t>
      </w:r>
      <w:r w:rsidRPr="00AB4865">
        <w:rPr>
          <w:sz w:val="26"/>
          <w:szCs w:val="26"/>
        </w:rPr>
        <w:t xml:space="preserve">on </w:t>
      </w:r>
      <w:r w:rsidRPr="000774CF">
        <w:rPr>
          <w:sz w:val="26"/>
          <w:szCs w:val="26"/>
        </w:rPr>
        <w:t>May 3, 2018</w:t>
      </w:r>
      <w:r w:rsidRPr="00AB4865">
        <w:rPr>
          <w:sz w:val="26"/>
          <w:szCs w:val="26"/>
        </w:rPr>
        <w:t xml:space="preserve">, in the above-captioned proceeding, contains </w:t>
      </w:r>
      <w:r w:rsidR="000774CF">
        <w:rPr>
          <w:sz w:val="26"/>
          <w:szCs w:val="26"/>
        </w:rPr>
        <w:t>errors</w:t>
      </w:r>
      <w:r w:rsidRPr="00AB4865">
        <w:rPr>
          <w:sz w:val="26"/>
          <w:szCs w:val="26"/>
        </w:rPr>
        <w:t xml:space="preserve"> on Pages </w:t>
      </w:r>
      <w:r w:rsidRPr="000774CF">
        <w:rPr>
          <w:sz w:val="26"/>
          <w:szCs w:val="26"/>
        </w:rPr>
        <w:t>16, 18 and 24.</w:t>
      </w:r>
      <w:r w:rsidRPr="00AB4865">
        <w:rPr>
          <w:sz w:val="26"/>
          <w:szCs w:val="26"/>
        </w:rPr>
        <w:t xml:space="preserve"> </w:t>
      </w:r>
    </w:p>
    <w:p w14:paraId="5631CB3D" w14:textId="77777777" w:rsidR="00AB4865" w:rsidRDefault="00AB4865"/>
    <w:p w14:paraId="4F4EBB33" w14:textId="77777777" w:rsidR="00AB4865" w:rsidRDefault="00AB4865" w:rsidP="00AB4865">
      <w:pPr>
        <w:widowControl/>
        <w:spacing w:line="360" w:lineRule="auto"/>
        <w:rPr>
          <w:sz w:val="26"/>
          <w:szCs w:val="26"/>
        </w:rPr>
      </w:pPr>
      <w:r>
        <w:tab/>
      </w:r>
      <w:r>
        <w:tab/>
      </w:r>
      <w:r w:rsidRPr="00AB4865">
        <w:rPr>
          <w:sz w:val="26"/>
          <w:szCs w:val="26"/>
        </w:rPr>
        <w:t>The first paragraph on page 16</w:t>
      </w:r>
      <w:r>
        <w:rPr>
          <w:sz w:val="26"/>
          <w:szCs w:val="26"/>
        </w:rPr>
        <w:t xml:space="preserve"> reads as follows:</w:t>
      </w:r>
    </w:p>
    <w:p w14:paraId="1A707DC7" w14:textId="77777777" w:rsidR="00AB4865" w:rsidRDefault="00AB4865" w:rsidP="00AB4865">
      <w:pPr>
        <w:widowControl/>
        <w:spacing w:line="360" w:lineRule="auto"/>
      </w:pPr>
    </w:p>
    <w:p w14:paraId="6896047F" w14:textId="77777777" w:rsidR="00AB4865" w:rsidRDefault="00AB4865" w:rsidP="00AB4865">
      <w:pPr>
        <w:widowControl/>
        <w:ind w:left="720" w:firstLine="720"/>
        <w:rPr>
          <w:rFonts w:eastAsia="Calibri"/>
          <w:sz w:val="26"/>
          <w:szCs w:val="26"/>
        </w:rPr>
      </w:pPr>
      <w:r>
        <w:t xml:space="preserve"> </w:t>
      </w:r>
      <w:r>
        <w:rPr>
          <w:sz w:val="26"/>
          <w:szCs w:val="26"/>
        </w:rPr>
        <w:t>In its Petition,</w:t>
      </w:r>
      <w:r>
        <w:rPr>
          <w:rFonts w:eastAsia="Calibri"/>
          <w:sz w:val="26"/>
          <w:szCs w:val="26"/>
        </w:rPr>
        <w:t xml:space="preserve">  ….  Third, the Petitioner asserts that the Commission should reconsider the investigation requirement in Ordering Paragraph No. 20 by tasking TUS with any subsequent investigation rather than the OSA.</w:t>
      </w:r>
    </w:p>
    <w:p w14:paraId="5E3767BB" w14:textId="77777777" w:rsidR="00AB4865" w:rsidRDefault="00AB4865"/>
    <w:p w14:paraId="0E936AD8" w14:textId="77777777" w:rsidR="00AB4865" w:rsidRDefault="00AB4865" w:rsidP="000774CF">
      <w:pPr>
        <w:widowControl/>
        <w:spacing w:line="360" w:lineRule="auto"/>
        <w:ind w:left="720" w:firstLine="720"/>
        <w:rPr>
          <w:sz w:val="26"/>
          <w:szCs w:val="26"/>
        </w:rPr>
      </w:pPr>
      <w:r>
        <w:rPr>
          <w:sz w:val="26"/>
          <w:szCs w:val="26"/>
        </w:rPr>
        <w:t>The corrected language</w:t>
      </w:r>
      <w:r w:rsidR="000774CF">
        <w:rPr>
          <w:sz w:val="26"/>
          <w:szCs w:val="26"/>
        </w:rPr>
        <w:t xml:space="preserve"> on page 16</w:t>
      </w:r>
      <w:r>
        <w:rPr>
          <w:sz w:val="26"/>
          <w:szCs w:val="26"/>
        </w:rPr>
        <w:t xml:space="preserve"> should read</w:t>
      </w:r>
    </w:p>
    <w:p w14:paraId="0B21798B" w14:textId="77777777" w:rsidR="000774CF" w:rsidRDefault="00AB4865" w:rsidP="000774CF">
      <w:pPr>
        <w:widowControl/>
        <w:ind w:left="720" w:firstLine="720"/>
        <w:rPr>
          <w:rFonts w:eastAsia="Calibri"/>
          <w:sz w:val="26"/>
          <w:szCs w:val="26"/>
        </w:rPr>
      </w:pPr>
      <w:r>
        <w:rPr>
          <w:sz w:val="26"/>
          <w:szCs w:val="26"/>
        </w:rPr>
        <w:lastRenderedPageBreak/>
        <w:t>In its Petition,</w:t>
      </w:r>
      <w:r w:rsidR="00297F81">
        <w:rPr>
          <w:sz w:val="26"/>
          <w:szCs w:val="26"/>
        </w:rPr>
        <w:t>…</w:t>
      </w:r>
      <w:r>
        <w:rPr>
          <w:rFonts w:eastAsia="Calibri"/>
          <w:sz w:val="26"/>
          <w:szCs w:val="26"/>
        </w:rPr>
        <w:t xml:space="preserve">  Third, the Petitioner asserts that the Commission should reconsider the investigation requirement in Ordering Paragraph No. 20 by tasking TUS with any subsequent investigation rather than the </w:t>
      </w:r>
      <w:r w:rsidRPr="009A2989">
        <w:rPr>
          <w:rFonts w:eastAsia="Calibri"/>
          <w:sz w:val="26"/>
          <w:szCs w:val="26"/>
          <w:u w:val="single"/>
        </w:rPr>
        <w:t>OCA</w:t>
      </w:r>
      <w:r w:rsidR="000774CF">
        <w:rPr>
          <w:rFonts w:eastAsia="Calibri"/>
          <w:sz w:val="26"/>
          <w:szCs w:val="26"/>
        </w:rPr>
        <w:t>.</w:t>
      </w:r>
    </w:p>
    <w:p w14:paraId="1E407841" w14:textId="77777777" w:rsidR="000774CF" w:rsidRDefault="000774CF" w:rsidP="000774CF">
      <w:pPr>
        <w:widowControl/>
        <w:rPr>
          <w:rFonts w:eastAsia="Calibri"/>
          <w:sz w:val="26"/>
          <w:szCs w:val="26"/>
        </w:rPr>
      </w:pPr>
    </w:p>
    <w:p w14:paraId="2A521647" w14:textId="77777777" w:rsidR="000774CF" w:rsidRDefault="000774CF" w:rsidP="000774CF">
      <w:pPr>
        <w:widowControl/>
        <w:rPr>
          <w:rFonts w:eastAsia="Calibri"/>
          <w:sz w:val="26"/>
          <w:szCs w:val="26"/>
        </w:rPr>
      </w:pPr>
    </w:p>
    <w:p w14:paraId="2A2D7245" w14:textId="77777777" w:rsidR="000774CF" w:rsidRDefault="000774CF" w:rsidP="000774CF">
      <w:pPr>
        <w:widowControl/>
        <w:rPr>
          <w:rFonts w:eastAsia="Calibri"/>
          <w:sz w:val="26"/>
          <w:szCs w:val="26"/>
        </w:rPr>
      </w:pPr>
      <w:r>
        <w:rPr>
          <w:rFonts w:eastAsia="Calibri"/>
          <w:sz w:val="26"/>
          <w:szCs w:val="26"/>
        </w:rPr>
        <w:t>The second paragraph on page 18 reads as follows</w:t>
      </w:r>
    </w:p>
    <w:p w14:paraId="2C8577B1" w14:textId="77777777" w:rsidR="00AB4865" w:rsidRDefault="00AB4865"/>
    <w:p w14:paraId="174D84BD" w14:textId="77777777" w:rsidR="008E3408" w:rsidRDefault="000774CF" w:rsidP="000774CF">
      <w:pPr>
        <w:ind w:left="720" w:firstLine="720"/>
        <w:rPr>
          <w:sz w:val="26"/>
          <w:szCs w:val="26"/>
        </w:rPr>
      </w:pPr>
      <w:bookmarkStart w:id="1" w:name="_Hlk513121423"/>
      <w:r w:rsidRPr="000774CF">
        <w:rPr>
          <w:sz w:val="26"/>
          <w:szCs w:val="26"/>
        </w:rPr>
        <w:t xml:space="preserve">In its second opinion, … HVUS states that in August of 2016, the </w:t>
      </w:r>
    </w:p>
    <w:p w14:paraId="13EA0C6C" w14:textId="77777777" w:rsidR="000774CF" w:rsidRDefault="000774CF" w:rsidP="008E3408">
      <w:pPr>
        <w:ind w:firstLine="720"/>
        <w:rPr>
          <w:sz w:val="26"/>
          <w:szCs w:val="26"/>
        </w:rPr>
      </w:pPr>
      <w:r w:rsidRPr="000774CF">
        <w:rPr>
          <w:sz w:val="26"/>
          <w:szCs w:val="26"/>
        </w:rPr>
        <w:t>Company proved authorization to Penelec…</w:t>
      </w:r>
    </w:p>
    <w:bookmarkEnd w:id="1"/>
    <w:p w14:paraId="14EB42D6" w14:textId="77777777" w:rsidR="000774CF" w:rsidRDefault="000774CF" w:rsidP="000774CF">
      <w:pPr>
        <w:rPr>
          <w:sz w:val="26"/>
          <w:szCs w:val="26"/>
        </w:rPr>
      </w:pPr>
    </w:p>
    <w:p w14:paraId="206FB6AE" w14:textId="77777777" w:rsidR="000774CF" w:rsidRDefault="000774CF" w:rsidP="000774CF">
      <w:pPr>
        <w:rPr>
          <w:sz w:val="26"/>
          <w:szCs w:val="26"/>
        </w:rPr>
      </w:pPr>
    </w:p>
    <w:p w14:paraId="78BFE7C1" w14:textId="77777777" w:rsidR="000774CF" w:rsidRDefault="000774CF" w:rsidP="000774CF">
      <w:pPr>
        <w:widowControl/>
        <w:spacing w:line="360" w:lineRule="auto"/>
        <w:ind w:left="720" w:hanging="720"/>
        <w:rPr>
          <w:sz w:val="26"/>
          <w:szCs w:val="26"/>
        </w:rPr>
      </w:pPr>
      <w:bookmarkStart w:id="2" w:name="_Hlk513121977"/>
      <w:r>
        <w:rPr>
          <w:sz w:val="26"/>
          <w:szCs w:val="26"/>
        </w:rPr>
        <w:t>The corrected language on page 18 should read</w:t>
      </w:r>
      <w:r w:rsidR="008E3408">
        <w:rPr>
          <w:sz w:val="26"/>
          <w:szCs w:val="26"/>
        </w:rPr>
        <w:t>:</w:t>
      </w:r>
    </w:p>
    <w:bookmarkEnd w:id="2"/>
    <w:p w14:paraId="752AE04E" w14:textId="77777777" w:rsidR="008E3408" w:rsidRDefault="000774CF" w:rsidP="000774CF">
      <w:pPr>
        <w:ind w:left="720" w:firstLine="720"/>
        <w:rPr>
          <w:sz w:val="26"/>
          <w:szCs w:val="26"/>
        </w:rPr>
      </w:pPr>
      <w:r w:rsidRPr="000774CF">
        <w:rPr>
          <w:sz w:val="26"/>
          <w:szCs w:val="26"/>
        </w:rPr>
        <w:t xml:space="preserve">In its second opinion, … HVUS states that in August of 2016, the </w:t>
      </w:r>
    </w:p>
    <w:p w14:paraId="08EC00A8" w14:textId="77777777" w:rsidR="000774CF" w:rsidRDefault="000774CF" w:rsidP="008E3408">
      <w:pPr>
        <w:ind w:firstLine="720"/>
        <w:rPr>
          <w:sz w:val="26"/>
          <w:szCs w:val="26"/>
        </w:rPr>
      </w:pPr>
      <w:r w:rsidRPr="000774CF">
        <w:rPr>
          <w:sz w:val="26"/>
          <w:szCs w:val="26"/>
        </w:rPr>
        <w:t xml:space="preserve">Company </w:t>
      </w:r>
      <w:r w:rsidRPr="009A2989">
        <w:rPr>
          <w:sz w:val="26"/>
          <w:szCs w:val="26"/>
          <w:u w:val="single"/>
        </w:rPr>
        <w:t>provided</w:t>
      </w:r>
      <w:r w:rsidRPr="000774CF">
        <w:rPr>
          <w:sz w:val="26"/>
          <w:szCs w:val="26"/>
        </w:rPr>
        <w:t xml:space="preserve"> authorization to Penelec…</w:t>
      </w:r>
    </w:p>
    <w:p w14:paraId="60E1EB4C" w14:textId="77777777" w:rsidR="000774CF" w:rsidRDefault="000774CF" w:rsidP="000774CF">
      <w:pPr>
        <w:rPr>
          <w:sz w:val="26"/>
          <w:szCs w:val="26"/>
        </w:rPr>
      </w:pPr>
    </w:p>
    <w:p w14:paraId="560C9A46" w14:textId="77777777" w:rsidR="000774CF" w:rsidRDefault="000774CF" w:rsidP="000774CF">
      <w:pPr>
        <w:rPr>
          <w:sz w:val="26"/>
          <w:szCs w:val="26"/>
        </w:rPr>
      </w:pPr>
      <w:r>
        <w:rPr>
          <w:sz w:val="26"/>
          <w:szCs w:val="26"/>
        </w:rPr>
        <w:t xml:space="preserve">The first paragraph on page 24 reads as follows: </w:t>
      </w:r>
    </w:p>
    <w:p w14:paraId="3C875D33" w14:textId="77777777" w:rsidR="000774CF" w:rsidRDefault="000774CF" w:rsidP="000774CF">
      <w:pPr>
        <w:rPr>
          <w:sz w:val="26"/>
          <w:szCs w:val="26"/>
        </w:rPr>
      </w:pPr>
    </w:p>
    <w:p w14:paraId="300F4B57" w14:textId="77777777" w:rsidR="008E3408" w:rsidRDefault="000774CF" w:rsidP="00D00FFA">
      <w:pPr>
        <w:ind w:left="810" w:hanging="810"/>
        <w:rPr>
          <w:sz w:val="26"/>
          <w:szCs w:val="26"/>
        </w:rPr>
      </w:pPr>
      <w:r>
        <w:rPr>
          <w:sz w:val="26"/>
          <w:szCs w:val="26"/>
        </w:rPr>
        <w:tab/>
      </w:r>
      <w:r>
        <w:rPr>
          <w:sz w:val="26"/>
          <w:szCs w:val="26"/>
        </w:rPr>
        <w:tab/>
        <w:t>Regarding the third argument …Although the Company failed to raise</w:t>
      </w:r>
    </w:p>
    <w:p w14:paraId="55CA0BF7" w14:textId="77777777" w:rsidR="000774CF" w:rsidRDefault="008E3408" w:rsidP="008E3408">
      <w:pPr>
        <w:ind w:left="810" w:hanging="90"/>
        <w:rPr>
          <w:sz w:val="26"/>
          <w:szCs w:val="26"/>
        </w:rPr>
      </w:pPr>
      <w:r>
        <w:rPr>
          <w:sz w:val="26"/>
          <w:szCs w:val="26"/>
        </w:rPr>
        <w:t xml:space="preserve">  </w:t>
      </w:r>
      <w:r w:rsidR="000774CF">
        <w:rPr>
          <w:sz w:val="26"/>
          <w:szCs w:val="26"/>
        </w:rPr>
        <w:t>an objection about this provision during the Exception stage, it appears that the Commission overlooked the potential issue of giving a party litigant, such as OCA, an investigatory role after the submission of the final status report….</w:t>
      </w:r>
    </w:p>
    <w:p w14:paraId="4339E7E2" w14:textId="77777777" w:rsidR="008E3408" w:rsidRDefault="008E3408" w:rsidP="008E3408">
      <w:pPr>
        <w:rPr>
          <w:sz w:val="26"/>
          <w:szCs w:val="26"/>
        </w:rPr>
      </w:pPr>
    </w:p>
    <w:p w14:paraId="1F81AB2F" w14:textId="77777777" w:rsidR="008E3408" w:rsidRDefault="008E3408" w:rsidP="008E3408">
      <w:pPr>
        <w:widowControl/>
        <w:spacing w:line="360" w:lineRule="auto"/>
        <w:ind w:left="720" w:hanging="720"/>
        <w:rPr>
          <w:sz w:val="26"/>
          <w:szCs w:val="26"/>
        </w:rPr>
      </w:pPr>
      <w:r>
        <w:rPr>
          <w:sz w:val="26"/>
          <w:szCs w:val="26"/>
        </w:rPr>
        <w:t>The corrected language on page 24 should read:</w:t>
      </w:r>
    </w:p>
    <w:p w14:paraId="4C90FAFF" w14:textId="77777777" w:rsidR="008E3408" w:rsidRDefault="008E3408" w:rsidP="008E3408">
      <w:pPr>
        <w:ind w:left="810" w:firstLine="630"/>
        <w:rPr>
          <w:sz w:val="26"/>
          <w:szCs w:val="26"/>
        </w:rPr>
      </w:pPr>
      <w:r>
        <w:rPr>
          <w:sz w:val="26"/>
          <w:szCs w:val="26"/>
        </w:rPr>
        <w:t>Regarding the third argument …Although the Company failed to raise</w:t>
      </w:r>
    </w:p>
    <w:p w14:paraId="70F9E911" w14:textId="77777777" w:rsidR="008E3408" w:rsidRDefault="008E3408" w:rsidP="008E3408">
      <w:pPr>
        <w:ind w:left="810" w:hanging="90"/>
        <w:rPr>
          <w:sz w:val="26"/>
          <w:szCs w:val="26"/>
        </w:rPr>
      </w:pPr>
      <w:r>
        <w:rPr>
          <w:sz w:val="26"/>
          <w:szCs w:val="26"/>
        </w:rPr>
        <w:t xml:space="preserve">  an objection about this provision during the Exception stage, it appears that the Commission </w:t>
      </w:r>
      <w:r w:rsidRPr="009A2989">
        <w:rPr>
          <w:sz w:val="26"/>
          <w:szCs w:val="26"/>
          <w:u w:val="single"/>
        </w:rPr>
        <w:t>did not intend to give</w:t>
      </w:r>
      <w:r>
        <w:rPr>
          <w:sz w:val="26"/>
          <w:szCs w:val="26"/>
        </w:rPr>
        <w:t xml:space="preserve"> a party litigant, such as OCA, an investigatory role after the submission of the final status report….</w:t>
      </w:r>
    </w:p>
    <w:p w14:paraId="3E6F289D" w14:textId="77777777" w:rsidR="008E3408" w:rsidRDefault="008E3408" w:rsidP="008E3408">
      <w:pPr>
        <w:rPr>
          <w:sz w:val="26"/>
          <w:szCs w:val="26"/>
        </w:rPr>
      </w:pPr>
    </w:p>
    <w:p w14:paraId="4975D731" w14:textId="77777777" w:rsidR="008A209F" w:rsidRPr="008A209F" w:rsidRDefault="008A209F" w:rsidP="008A209F">
      <w:pPr>
        <w:widowControl/>
        <w:spacing w:line="360" w:lineRule="auto"/>
        <w:ind w:firstLine="1440"/>
        <w:jc w:val="both"/>
        <w:rPr>
          <w:sz w:val="26"/>
          <w:szCs w:val="26"/>
        </w:rPr>
      </w:pPr>
      <w:r w:rsidRPr="008A209F">
        <w:rPr>
          <w:sz w:val="26"/>
          <w:szCs w:val="26"/>
        </w:rPr>
        <w:t>The corrected pages of the Opinion and Order Recommended Decision are attached to this notice.  Please replace the incorrect pages in your copy of the decision.</w:t>
      </w:r>
    </w:p>
    <w:p w14:paraId="48CD4991" w14:textId="77777777" w:rsidR="008A209F" w:rsidRPr="008A209F" w:rsidRDefault="008A209F" w:rsidP="008A209F">
      <w:pPr>
        <w:widowControl/>
        <w:spacing w:line="360" w:lineRule="auto"/>
        <w:ind w:left="1440" w:right="1440" w:firstLine="720"/>
        <w:rPr>
          <w:sz w:val="24"/>
          <w:szCs w:val="24"/>
        </w:rPr>
      </w:pPr>
    </w:p>
    <w:p w14:paraId="068C268E" w14:textId="77777777" w:rsidR="008A209F" w:rsidRPr="008A209F" w:rsidRDefault="008A209F" w:rsidP="008A209F">
      <w:pPr>
        <w:widowControl/>
        <w:spacing w:line="360" w:lineRule="auto"/>
        <w:ind w:firstLine="1440"/>
        <w:jc w:val="both"/>
        <w:rPr>
          <w:sz w:val="26"/>
          <w:szCs w:val="26"/>
        </w:rPr>
      </w:pPr>
      <w:r w:rsidRPr="008A209F">
        <w:rPr>
          <w:sz w:val="26"/>
          <w:szCs w:val="26"/>
        </w:rPr>
        <w:t>The Opinion and Order on the PA PUC website will be corrected as indicated above.  Please accept our apologies for any inconvenience this may have caused you.  Thank you.</w:t>
      </w:r>
    </w:p>
    <w:p w14:paraId="49AFD81F" w14:textId="7D483BA3" w:rsidR="00201F69" w:rsidRDefault="00201F69">
      <w:pPr>
        <w:widowControl/>
        <w:spacing w:after="160" w:line="259" w:lineRule="auto"/>
        <w:rPr>
          <w:sz w:val="26"/>
          <w:szCs w:val="26"/>
        </w:rPr>
      </w:pPr>
      <w:r>
        <w:rPr>
          <w:sz w:val="26"/>
          <w:szCs w:val="26"/>
        </w:rPr>
        <w:br w:type="page"/>
      </w:r>
    </w:p>
    <w:p w14:paraId="1D017B52" w14:textId="15E0F464" w:rsidR="00201F69" w:rsidRPr="00201F69" w:rsidRDefault="00201F69" w:rsidP="00201F69">
      <w:pPr>
        <w:widowControl/>
        <w:spacing w:line="414" w:lineRule="exact"/>
        <w:ind w:left="72" w:right="72"/>
        <w:textAlignment w:val="baseline"/>
        <w:rPr>
          <w:color w:val="000000"/>
          <w:sz w:val="26"/>
          <w:szCs w:val="22"/>
        </w:rPr>
      </w:pPr>
      <w:r w:rsidRPr="00201F69">
        <w:rPr>
          <w:rFonts w:eastAsia="PMingLiU"/>
          <w:noProof/>
          <w:sz w:val="22"/>
          <w:szCs w:val="22"/>
        </w:rPr>
        <mc:AlternateContent>
          <mc:Choice Requires="wps">
            <w:drawing>
              <wp:anchor distT="0" distB="0" distL="0" distR="0" simplePos="0" relativeHeight="251659264" behindDoc="1" locked="0" layoutInCell="1" allowOverlap="1" wp14:anchorId="69293622" wp14:editId="48FFBC20">
                <wp:simplePos x="0" y="0"/>
                <wp:positionH relativeFrom="page">
                  <wp:posOffset>3774440</wp:posOffset>
                </wp:positionH>
                <wp:positionV relativeFrom="page">
                  <wp:posOffset>9426575</wp:posOffset>
                </wp:positionV>
                <wp:extent cx="262890" cy="189865"/>
                <wp:effectExtent l="2540" t="0" r="127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1C83" w14:textId="77777777" w:rsidR="00201F69" w:rsidRPr="00774B53" w:rsidRDefault="00201F69" w:rsidP="00201F69">
                            <w:pPr>
                              <w:spacing w:line="289" w:lineRule="exact"/>
                              <w:textAlignment w:val="baseline"/>
                              <w:rPr>
                                <w:color w:val="000000"/>
                                <w:spacing w:val="11"/>
                                <w:sz w:val="26"/>
                              </w:rPr>
                            </w:pPr>
                            <w:r w:rsidRPr="00774B53">
                              <w:rPr>
                                <w:color w:val="000000"/>
                                <w:spacing w:val="11"/>
                                <w:sz w:val="2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3622" id="_x0000_t202" coordsize="21600,21600" o:spt="202" path="m,l,21600r21600,l21600,xe">
                <v:stroke joinstyle="miter"/>
                <v:path gradientshapeok="t" o:connecttype="rect"/>
              </v:shapetype>
              <v:shape id="Text Box 3" o:spid="_x0000_s1026" type="#_x0000_t202" style="position:absolute;left:0;text-align:left;margin-left:297.2pt;margin-top:742.25pt;width:20.7pt;height:14.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n5qwIAAKg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" filled="f" stroked="f">
                <v:textbox inset="0,0,0,0">
                  <w:txbxContent>
                    <w:p w14:paraId="283D1C83" w14:textId="77777777" w:rsidR="00201F69" w:rsidRPr="00774B53" w:rsidRDefault="00201F69" w:rsidP="00201F69">
                      <w:pPr>
                        <w:spacing w:line="289" w:lineRule="exact"/>
                        <w:textAlignment w:val="baseline"/>
                        <w:rPr>
                          <w:color w:val="000000"/>
                          <w:spacing w:val="11"/>
                          <w:sz w:val="26"/>
                        </w:rPr>
                      </w:pPr>
                      <w:r w:rsidRPr="00774B53">
                        <w:rPr>
                          <w:color w:val="000000"/>
                          <w:spacing w:val="11"/>
                          <w:sz w:val="26"/>
                        </w:rPr>
                        <w:t>16</w:t>
                      </w:r>
                    </w:p>
                  </w:txbxContent>
                </v:textbox>
                <w10:wrap type="square" anchorx="page" anchory="page"/>
              </v:shape>
            </w:pict>
          </mc:Fallback>
        </mc:AlternateContent>
      </w:r>
      <w:r w:rsidRPr="00201F69">
        <w:rPr>
          <w:color w:val="000000"/>
          <w:sz w:val="26"/>
          <w:szCs w:val="22"/>
        </w:rPr>
        <w:t>procedural posture of this case. Instituting a Section 529 proceeding would, in part, require notice to the appropriate parties and the holding of an evidentiary hearing to consider statutory factors before the Commission can order a capable public utility to acquire HVUS. 66 Pa. C.S. §§ 529(c) and (h). Accordingly, we denied the Intervenors' Exception No. 2.</w:t>
      </w:r>
    </w:p>
    <w:p w14:paraId="5CE4B3FB" w14:textId="77777777" w:rsidR="00201F69" w:rsidRPr="00201F69" w:rsidRDefault="00201F69" w:rsidP="00201F69">
      <w:pPr>
        <w:widowControl/>
        <w:tabs>
          <w:tab w:val="left" w:pos="792"/>
        </w:tabs>
        <w:spacing w:before="698" w:line="301" w:lineRule="exact"/>
        <w:ind w:left="72"/>
        <w:textAlignment w:val="baseline"/>
        <w:rPr>
          <w:b/>
          <w:color w:val="000000"/>
          <w:sz w:val="26"/>
          <w:szCs w:val="22"/>
        </w:rPr>
      </w:pPr>
      <w:r w:rsidRPr="00201F69">
        <w:rPr>
          <w:b/>
          <w:color w:val="000000"/>
          <w:sz w:val="26"/>
          <w:szCs w:val="22"/>
        </w:rPr>
        <w:t>C.</w:t>
      </w:r>
      <w:r w:rsidRPr="00201F69">
        <w:rPr>
          <w:b/>
          <w:color w:val="000000"/>
          <w:sz w:val="26"/>
          <w:szCs w:val="22"/>
        </w:rPr>
        <w:tab/>
        <w:t>Petition and Answers</w:t>
      </w:r>
    </w:p>
    <w:p w14:paraId="4CD9910E" w14:textId="77777777" w:rsidR="00201F69" w:rsidRPr="00201F69" w:rsidRDefault="00201F69" w:rsidP="00201F69">
      <w:pPr>
        <w:widowControl/>
        <w:spacing w:before="447" w:line="447" w:lineRule="exact"/>
        <w:ind w:left="72" w:right="72" w:firstLine="1440"/>
        <w:textAlignment w:val="baseline"/>
        <w:rPr>
          <w:color w:val="000000"/>
          <w:sz w:val="26"/>
          <w:szCs w:val="22"/>
        </w:rPr>
      </w:pPr>
      <w:r w:rsidRPr="00201F69">
        <w:rPr>
          <w:color w:val="000000"/>
          <w:sz w:val="26"/>
          <w:szCs w:val="22"/>
        </w:rPr>
        <w:t xml:space="preserve">In its Petition, HVUS raises three objections to separate ordering paragraphs contained in our </w:t>
      </w:r>
      <w:r w:rsidRPr="00201F69">
        <w:rPr>
          <w:i/>
          <w:color w:val="000000"/>
          <w:sz w:val="26"/>
          <w:szCs w:val="22"/>
        </w:rPr>
        <w:t xml:space="preserve">January 2018 Order. </w:t>
      </w:r>
      <w:r w:rsidRPr="00201F69">
        <w:rPr>
          <w:color w:val="000000"/>
          <w:sz w:val="26"/>
          <w:szCs w:val="22"/>
        </w:rPr>
        <w:t>First, the Company believes that Ordering Paragraph No. 8, pertaining to the deadline for compliance with the engineer's report, is confusing and should be clarified. Second, HVUS argues that the requirement to submit an authorization to Penelec to release monthly bills and payment information, as set forth in Ordering Paragraph No. 15, should be eliminated. Third, the Petitioner asserts that the Commission should reconsider the investigation requirement in Ordering Paragraph No. 20 by tasking TUS with any subsequent investigation rather than the OCA.</w:t>
      </w:r>
    </w:p>
    <w:p w14:paraId="519E9D01" w14:textId="77777777" w:rsidR="00201F69" w:rsidRPr="00201F69" w:rsidRDefault="00201F69" w:rsidP="00201F69">
      <w:pPr>
        <w:widowControl/>
        <w:spacing w:before="443" w:line="448" w:lineRule="exact"/>
        <w:ind w:left="72" w:right="360" w:firstLine="1440"/>
        <w:textAlignment w:val="baseline"/>
        <w:rPr>
          <w:color w:val="000000"/>
          <w:spacing w:val="-1"/>
          <w:sz w:val="26"/>
          <w:szCs w:val="22"/>
        </w:rPr>
      </w:pPr>
      <w:r w:rsidRPr="00201F69">
        <w:rPr>
          <w:color w:val="000000"/>
          <w:spacing w:val="-1"/>
          <w:sz w:val="26"/>
          <w:szCs w:val="22"/>
        </w:rPr>
        <w:t>Regarding its first argument, the Company proffers that the deadline for compliance in Ordering Paragraph No. 8, as follows, is subject to two interpretations:</w:t>
      </w:r>
    </w:p>
    <w:p w14:paraId="4CF9FDD0" w14:textId="77777777" w:rsidR="00201F69" w:rsidRPr="00201F69" w:rsidRDefault="00201F69" w:rsidP="00201F69">
      <w:pPr>
        <w:widowControl/>
        <w:tabs>
          <w:tab w:val="left" w:pos="2232"/>
        </w:tabs>
        <w:spacing w:before="448" w:line="296" w:lineRule="exact"/>
        <w:ind w:left="1512"/>
        <w:textAlignment w:val="baseline"/>
        <w:rPr>
          <w:color w:val="000000"/>
          <w:sz w:val="26"/>
          <w:szCs w:val="22"/>
        </w:rPr>
      </w:pPr>
      <w:r w:rsidRPr="00201F69">
        <w:rPr>
          <w:color w:val="000000"/>
          <w:sz w:val="26"/>
          <w:szCs w:val="22"/>
        </w:rPr>
        <w:t>8.</w:t>
      </w:r>
      <w:r w:rsidRPr="00201F69">
        <w:rPr>
          <w:color w:val="000000"/>
          <w:sz w:val="26"/>
          <w:szCs w:val="22"/>
        </w:rPr>
        <w:tab/>
        <w:t>That Hidden Valley Utility Services, L.P., shall</w:t>
      </w:r>
    </w:p>
    <w:p w14:paraId="2D8AF539" w14:textId="77777777" w:rsidR="00201F69" w:rsidRPr="00201F69" w:rsidRDefault="00201F69" w:rsidP="00201F69">
      <w:pPr>
        <w:widowControl/>
        <w:spacing w:before="6" w:line="294" w:lineRule="exact"/>
        <w:ind w:left="1512" w:right="1512"/>
        <w:textAlignment w:val="baseline"/>
        <w:rPr>
          <w:color w:val="000000"/>
          <w:spacing w:val="-1"/>
          <w:sz w:val="26"/>
          <w:szCs w:val="22"/>
        </w:rPr>
      </w:pPr>
      <w:r w:rsidRPr="00201F69">
        <w:rPr>
          <w:color w:val="000000"/>
          <w:spacing w:val="-1"/>
          <w:sz w:val="26"/>
          <w:szCs w:val="22"/>
        </w:rPr>
        <w:t>comply with all recommendations from the engineer in order to correct any identified deficiencies including a remedy to</w:t>
      </w:r>
    </w:p>
    <w:p w14:paraId="46EE4B52" w14:textId="77777777" w:rsidR="00201F69" w:rsidRPr="00201F69" w:rsidRDefault="00201F69" w:rsidP="00201F69">
      <w:pPr>
        <w:widowControl/>
        <w:spacing w:before="4" w:line="297" w:lineRule="exact"/>
        <w:ind w:left="1512" w:right="1728"/>
        <w:textAlignment w:val="baseline"/>
        <w:rPr>
          <w:color w:val="000000"/>
          <w:sz w:val="26"/>
          <w:szCs w:val="22"/>
        </w:rPr>
      </w:pPr>
      <w:r w:rsidRPr="00201F69">
        <w:rPr>
          <w:color w:val="000000"/>
          <w:sz w:val="26"/>
          <w:szCs w:val="22"/>
        </w:rPr>
        <w:t>eliminate the rust or brown-colored water provided to customers in order to ensure that customers shall receive adequate service from the improved water facilities, and to</w:t>
      </w:r>
    </w:p>
    <w:p w14:paraId="3ECC6ACC" w14:textId="77777777" w:rsidR="00201F69" w:rsidRPr="00201F69" w:rsidRDefault="00201F69" w:rsidP="00201F69">
      <w:pPr>
        <w:widowControl/>
        <w:spacing w:before="2" w:line="297" w:lineRule="exact"/>
        <w:ind w:left="1512" w:right="2448"/>
        <w:textAlignment w:val="baseline"/>
        <w:rPr>
          <w:color w:val="000000"/>
          <w:sz w:val="26"/>
          <w:szCs w:val="22"/>
        </w:rPr>
      </w:pPr>
      <w:r w:rsidRPr="00201F69">
        <w:rPr>
          <w:color w:val="000000"/>
          <w:sz w:val="26"/>
          <w:szCs w:val="22"/>
        </w:rPr>
        <w:t>reassess the need, size and cost of treatment plant to permanently solve the problems caused by iron and manganese, within one (1) year from the date of the engineer's report.</w:t>
      </w:r>
    </w:p>
    <w:p w14:paraId="4329DE10" w14:textId="77777777" w:rsidR="00201F69" w:rsidRPr="00201F69" w:rsidRDefault="00201F69" w:rsidP="00201F69">
      <w:pPr>
        <w:widowControl/>
        <w:rPr>
          <w:rFonts w:eastAsia="PMingLiU"/>
          <w:sz w:val="22"/>
          <w:szCs w:val="22"/>
        </w:rPr>
        <w:sectPr w:rsidR="00201F69" w:rsidRPr="00201F69">
          <w:pgSz w:w="12240" w:h="15840"/>
          <w:pgMar w:top="1520" w:right="1462" w:bottom="599" w:left="1358" w:header="720" w:footer="720" w:gutter="0"/>
          <w:cols w:space="720"/>
        </w:sectPr>
      </w:pPr>
    </w:p>
    <w:p w14:paraId="3838F05E" w14:textId="2C27E263" w:rsidR="00201F69" w:rsidRPr="00201F69" w:rsidRDefault="00201F69" w:rsidP="00201F69">
      <w:pPr>
        <w:widowControl/>
        <w:tabs>
          <w:tab w:val="left" w:pos="720"/>
        </w:tabs>
        <w:spacing w:before="10" w:line="297" w:lineRule="exact"/>
        <w:ind w:left="720" w:firstLine="720"/>
        <w:textAlignment w:val="baseline"/>
        <w:rPr>
          <w:color w:val="000000"/>
          <w:spacing w:val="3"/>
          <w:sz w:val="25"/>
          <w:szCs w:val="22"/>
        </w:rPr>
      </w:pPr>
      <w:r w:rsidRPr="00201F69">
        <w:rPr>
          <w:rFonts w:eastAsia="PMingLiU"/>
          <w:noProof/>
          <w:sz w:val="22"/>
          <w:szCs w:val="22"/>
        </w:rPr>
        <mc:AlternateContent>
          <mc:Choice Requires="wps">
            <w:drawing>
              <wp:anchor distT="0" distB="0" distL="0" distR="0" simplePos="0" relativeHeight="251660288" behindDoc="1" locked="0" layoutInCell="1" allowOverlap="1" wp14:anchorId="6D0EA086" wp14:editId="0D1CFD23">
                <wp:simplePos x="0" y="0"/>
                <wp:positionH relativeFrom="page">
                  <wp:posOffset>3796030</wp:posOffset>
                </wp:positionH>
                <wp:positionV relativeFrom="page">
                  <wp:posOffset>9450705</wp:posOffset>
                </wp:positionV>
                <wp:extent cx="262890" cy="180340"/>
                <wp:effectExtent l="0" t="190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2424" w14:textId="77777777" w:rsidR="00201F69" w:rsidRDefault="00201F69" w:rsidP="00201F69">
                            <w:pPr>
                              <w:spacing w:line="280" w:lineRule="exact"/>
                              <w:textAlignment w:val="baseline"/>
                              <w:rPr>
                                <w:color w:val="000000"/>
                                <w:spacing w:val="10"/>
                                <w:sz w:val="25"/>
                              </w:rPr>
                            </w:pPr>
                            <w:r>
                              <w:rPr>
                                <w:color w:val="000000"/>
                                <w:spacing w:val="10"/>
                                <w:sz w:val="2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A086" id="Text Box 2" o:spid="_x0000_s1027" type="#_x0000_t202" style="position:absolute;left:0;text-align:left;margin-left:298.9pt;margin-top:744.15pt;width:20.7pt;height:1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AksAIAAK8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" filled="f" stroked="f">
                <v:textbox inset="0,0,0,0">
                  <w:txbxContent>
                    <w:p w14:paraId="60D32424" w14:textId="77777777" w:rsidR="00201F69" w:rsidRDefault="00201F69" w:rsidP="00201F69">
                      <w:pPr>
                        <w:spacing w:line="280" w:lineRule="exact"/>
                        <w:textAlignment w:val="baseline"/>
                        <w:rPr>
                          <w:color w:val="000000"/>
                          <w:spacing w:val="10"/>
                          <w:sz w:val="25"/>
                        </w:rPr>
                      </w:pPr>
                      <w:r>
                        <w:rPr>
                          <w:color w:val="000000"/>
                          <w:spacing w:val="10"/>
                          <w:sz w:val="25"/>
                        </w:rPr>
                        <w:t>18</w:t>
                      </w:r>
                    </w:p>
                  </w:txbxContent>
                </v:textbox>
                <w10:wrap type="square" anchorx="page" anchory="page"/>
              </v:shape>
            </w:pict>
          </mc:Fallback>
        </mc:AlternateContent>
      </w:r>
      <w:r w:rsidRPr="00201F69">
        <w:rPr>
          <w:color w:val="000000"/>
          <w:spacing w:val="3"/>
          <w:sz w:val="25"/>
          <w:szCs w:val="22"/>
        </w:rPr>
        <w:t>8.</w:t>
      </w:r>
      <w:r w:rsidRPr="00201F69">
        <w:rPr>
          <w:color w:val="000000"/>
          <w:spacing w:val="3"/>
          <w:sz w:val="25"/>
          <w:szCs w:val="22"/>
        </w:rPr>
        <w:tab/>
        <w:t xml:space="preserve">That </w:t>
      </w:r>
      <w:r w:rsidRPr="00201F69">
        <w:rPr>
          <w:b/>
          <w:color w:val="000000"/>
          <w:spacing w:val="3"/>
          <w:sz w:val="25"/>
          <w:szCs w:val="22"/>
          <w:u w:val="single"/>
        </w:rPr>
        <w:t xml:space="preserve"> within one (1) year from the date of the</w:t>
      </w:r>
    </w:p>
    <w:p w14:paraId="7B6A16D8" w14:textId="77777777" w:rsidR="00201F69" w:rsidRPr="00201F69" w:rsidRDefault="00201F69" w:rsidP="00201F69">
      <w:pPr>
        <w:widowControl/>
        <w:spacing w:line="297" w:lineRule="exact"/>
        <w:ind w:left="720" w:firstLine="720"/>
        <w:textAlignment w:val="baseline"/>
        <w:rPr>
          <w:color w:val="000000"/>
          <w:sz w:val="25"/>
          <w:szCs w:val="22"/>
        </w:rPr>
      </w:pPr>
      <w:r w:rsidRPr="00201F69">
        <w:rPr>
          <w:b/>
          <w:color w:val="000000"/>
          <w:sz w:val="25"/>
          <w:szCs w:val="22"/>
          <w:u w:val="single"/>
        </w:rPr>
        <w:t>engineer's report</w:t>
      </w:r>
      <w:r w:rsidRPr="00201F69">
        <w:rPr>
          <w:b/>
          <w:color w:val="000000"/>
          <w:sz w:val="25"/>
          <w:szCs w:val="22"/>
          <w:u w:val="single"/>
          <w:vertAlign w:val="subscript"/>
        </w:rPr>
        <w:t>s</w:t>
      </w:r>
      <w:r w:rsidRPr="00201F69">
        <w:rPr>
          <w:color w:val="000000"/>
          <w:sz w:val="25"/>
          <w:szCs w:val="22"/>
        </w:rPr>
        <w:t xml:space="preserve"> Hidden Valley Utility Services, L.P., shall</w:t>
      </w:r>
    </w:p>
    <w:p w14:paraId="2FFB4E5C" w14:textId="77777777" w:rsidR="00201F69" w:rsidRPr="00201F69" w:rsidRDefault="00201F69" w:rsidP="00201F69">
      <w:pPr>
        <w:widowControl/>
        <w:spacing w:line="297" w:lineRule="exact"/>
        <w:ind w:left="720" w:firstLine="720"/>
        <w:textAlignment w:val="baseline"/>
        <w:rPr>
          <w:color w:val="000000"/>
          <w:sz w:val="25"/>
          <w:szCs w:val="22"/>
        </w:rPr>
      </w:pPr>
      <w:r w:rsidRPr="00201F69">
        <w:rPr>
          <w:color w:val="000000"/>
          <w:sz w:val="25"/>
          <w:szCs w:val="22"/>
        </w:rPr>
        <w:t xml:space="preserve">comply with all recommendations from the engineer in order </w:t>
      </w:r>
    </w:p>
    <w:p w14:paraId="56F9FCDB" w14:textId="77777777" w:rsidR="00201F69" w:rsidRPr="00201F69" w:rsidRDefault="00201F69" w:rsidP="00201F69">
      <w:pPr>
        <w:widowControl/>
        <w:numPr>
          <w:ilvl w:val="0"/>
          <w:numId w:val="1"/>
        </w:numPr>
        <w:spacing w:line="297" w:lineRule="exact"/>
        <w:contextualSpacing/>
        <w:textAlignment w:val="baseline"/>
        <w:rPr>
          <w:b/>
          <w:color w:val="000000"/>
          <w:sz w:val="25"/>
          <w:szCs w:val="22"/>
          <w:u w:val="single"/>
        </w:rPr>
      </w:pPr>
      <w:r w:rsidRPr="00201F69">
        <w:rPr>
          <w:color w:val="000000"/>
          <w:sz w:val="25"/>
          <w:szCs w:val="22"/>
        </w:rPr>
        <w:t xml:space="preserve">to correct any identified deficiencies including a remedy </w:t>
      </w:r>
    </w:p>
    <w:p w14:paraId="4F664ACE" w14:textId="77777777" w:rsidR="00201F69" w:rsidRPr="00201F69" w:rsidRDefault="00201F69" w:rsidP="00201F69">
      <w:pPr>
        <w:widowControl/>
        <w:spacing w:line="297" w:lineRule="exact"/>
        <w:ind w:left="1440"/>
        <w:textAlignment w:val="baseline"/>
        <w:rPr>
          <w:color w:val="000000"/>
          <w:sz w:val="25"/>
          <w:szCs w:val="22"/>
        </w:rPr>
      </w:pPr>
      <w:r w:rsidRPr="00201F69">
        <w:rPr>
          <w:color w:val="000000"/>
          <w:sz w:val="25"/>
          <w:szCs w:val="22"/>
        </w:rPr>
        <w:t xml:space="preserve">to eliminate the rust or brown-colored water provided to </w:t>
      </w:r>
    </w:p>
    <w:p w14:paraId="2250943C" w14:textId="77777777" w:rsidR="00201F69" w:rsidRPr="00201F69" w:rsidRDefault="00201F69" w:rsidP="00201F69">
      <w:pPr>
        <w:widowControl/>
        <w:spacing w:line="297" w:lineRule="exact"/>
        <w:ind w:left="1440"/>
        <w:textAlignment w:val="baseline"/>
        <w:rPr>
          <w:color w:val="000000"/>
          <w:sz w:val="25"/>
          <w:szCs w:val="22"/>
        </w:rPr>
      </w:pPr>
      <w:r w:rsidRPr="00201F69">
        <w:rPr>
          <w:color w:val="000000"/>
          <w:sz w:val="25"/>
          <w:szCs w:val="22"/>
        </w:rPr>
        <w:t xml:space="preserve">customers in order to ensure that customers shall receive </w:t>
      </w:r>
    </w:p>
    <w:p w14:paraId="08537BA5" w14:textId="77777777" w:rsidR="00201F69" w:rsidRPr="00201F69" w:rsidRDefault="00201F69" w:rsidP="00201F69">
      <w:pPr>
        <w:widowControl/>
        <w:spacing w:line="297" w:lineRule="exact"/>
        <w:ind w:left="1440"/>
        <w:textAlignment w:val="baseline"/>
        <w:rPr>
          <w:color w:val="000000"/>
          <w:sz w:val="25"/>
          <w:szCs w:val="22"/>
        </w:rPr>
      </w:pPr>
      <w:r w:rsidRPr="00201F69">
        <w:rPr>
          <w:color w:val="000000"/>
          <w:sz w:val="25"/>
          <w:szCs w:val="22"/>
        </w:rPr>
        <w:t xml:space="preserve">adequate service from the improved water facilities, and </w:t>
      </w:r>
      <w:r w:rsidRPr="00201F69">
        <w:rPr>
          <w:b/>
          <w:color w:val="000000"/>
          <w:sz w:val="25"/>
          <w:szCs w:val="22"/>
          <w:u w:val="single"/>
        </w:rPr>
        <w:t>(2)</w:t>
      </w:r>
    </w:p>
    <w:p w14:paraId="05BB251D" w14:textId="77777777" w:rsidR="00201F69" w:rsidRPr="00201F69" w:rsidRDefault="00201F69" w:rsidP="00201F69">
      <w:pPr>
        <w:widowControl/>
        <w:spacing w:line="297" w:lineRule="exact"/>
        <w:ind w:left="1440"/>
        <w:textAlignment w:val="baseline"/>
        <w:rPr>
          <w:color w:val="000000"/>
          <w:sz w:val="25"/>
          <w:szCs w:val="22"/>
        </w:rPr>
      </w:pPr>
      <w:r w:rsidRPr="00201F69">
        <w:rPr>
          <w:color w:val="000000"/>
          <w:sz w:val="25"/>
          <w:szCs w:val="22"/>
        </w:rPr>
        <w:t xml:space="preserve">to reassess the need, size and cost of treatment plant to </w:t>
      </w:r>
    </w:p>
    <w:p w14:paraId="778B778A" w14:textId="77777777" w:rsidR="00201F69" w:rsidRPr="00201F69" w:rsidRDefault="00201F69" w:rsidP="00201F69">
      <w:pPr>
        <w:widowControl/>
        <w:spacing w:line="297" w:lineRule="exact"/>
        <w:ind w:left="1440"/>
        <w:textAlignment w:val="baseline"/>
        <w:rPr>
          <w:b/>
          <w:color w:val="000000"/>
          <w:sz w:val="25"/>
          <w:szCs w:val="22"/>
          <w:u w:val="single"/>
        </w:rPr>
      </w:pPr>
      <w:r w:rsidRPr="00201F69">
        <w:rPr>
          <w:color w:val="000000"/>
          <w:sz w:val="25"/>
          <w:szCs w:val="22"/>
        </w:rPr>
        <w:t>permanently solve the problems caused by iron and</w:t>
      </w:r>
    </w:p>
    <w:p w14:paraId="3C75D734" w14:textId="77777777" w:rsidR="00201F69" w:rsidRPr="00201F69" w:rsidRDefault="00201F69" w:rsidP="00201F69">
      <w:pPr>
        <w:widowControl/>
        <w:spacing w:before="2" w:line="250" w:lineRule="exact"/>
        <w:ind w:left="720" w:firstLine="720"/>
        <w:textAlignment w:val="baseline"/>
        <w:rPr>
          <w:b/>
          <w:strike/>
          <w:color w:val="000000"/>
          <w:spacing w:val="3"/>
          <w:sz w:val="25"/>
          <w:szCs w:val="22"/>
        </w:rPr>
      </w:pPr>
      <w:r w:rsidRPr="00201F69">
        <w:rPr>
          <w:color w:val="000000"/>
          <w:spacing w:val="3"/>
          <w:sz w:val="25"/>
          <w:szCs w:val="22"/>
        </w:rPr>
        <w:t xml:space="preserve">manganese, </w:t>
      </w:r>
      <w:r w:rsidRPr="00201F69">
        <w:rPr>
          <w:b/>
          <w:strike/>
          <w:color w:val="000000"/>
          <w:spacing w:val="3"/>
          <w:sz w:val="25"/>
          <w:szCs w:val="22"/>
        </w:rPr>
        <w:t>within one (1) year from the date of the</w:t>
      </w:r>
    </w:p>
    <w:p w14:paraId="0FCDB94A" w14:textId="77777777" w:rsidR="00201F69" w:rsidRPr="00201F69" w:rsidRDefault="00201F69" w:rsidP="00201F69">
      <w:pPr>
        <w:widowControl/>
        <w:spacing w:before="2" w:line="250" w:lineRule="exact"/>
        <w:ind w:left="720" w:firstLine="720"/>
        <w:textAlignment w:val="baseline"/>
        <w:rPr>
          <w:b/>
          <w:strike/>
          <w:color w:val="000000"/>
          <w:spacing w:val="3"/>
          <w:sz w:val="25"/>
          <w:szCs w:val="22"/>
        </w:rPr>
      </w:pPr>
      <w:r w:rsidRPr="00201F69">
        <w:rPr>
          <w:b/>
          <w:strike/>
          <w:color w:val="000000"/>
          <w:spacing w:val="3"/>
          <w:sz w:val="25"/>
          <w:szCs w:val="22"/>
        </w:rPr>
        <w:t>engineer’s report</w:t>
      </w:r>
      <w:r w:rsidRPr="00201F69">
        <w:rPr>
          <w:b/>
          <w:color w:val="000000"/>
          <w:spacing w:val="3"/>
          <w:sz w:val="25"/>
          <w:szCs w:val="22"/>
        </w:rPr>
        <w:t>.</w:t>
      </w:r>
      <w:r w:rsidRPr="00201F69">
        <w:rPr>
          <w:b/>
          <w:strike/>
          <w:color w:val="000000"/>
          <w:spacing w:val="3"/>
          <w:sz w:val="25"/>
          <w:szCs w:val="22"/>
        </w:rPr>
        <w:t xml:space="preserve"> </w:t>
      </w:r>
    </w:p>
    <w:p w14:paraId="624A05BA" w14:textId="77777777" w:rsidR="00201F69" w:rsidRPr="00201F69" w:rsidRDefault="00201F69" w:rsidP="00201F69">
      <w:pPr>
        <w:widowControl/>
        <w:spacing w:before="2" w:line="250" w:lineRule="exact"/>
        <w:ind w:left="720" w:firstLine="720"/>
        <w:textAlignment w:val="baseline"/>
        <w:rPr>
          <w:color w:val="000000"/>
          <w:spacing w:val="4"/>
          <w:sz w:val="25"/>
          <w:szCs w:val="22"/>
        </w:rPr>
      </w:pPr>
    </w:p>
    <w:p w14:paraId="4CCA931A" w14:textId="77777777" w:rsidR="00201F69" w:rsidRPr="00201F69" w:rsidRDefault="00201F69" w:rsidP="00201F69">
      <w:pPr>
        <w:widowControl/>
        <w:spacing w:before="2" w:line="250" w:lineRule="exact"/>
        <w:ind w:left="720" w:hanging="720"/>
        <w:textAlignment w:val="baseline"/>
        <w:rPr>
          <w:color w:val="000000"/>
          <w:spacing w:val="4"/>
          <w:sz w:val="25"/>
          <w:szCs w:val="22"/>
        </w:rPr>
      </w:pPr>
      <w:r w:rsidRPr="00201F69">
        <w:rPr>
          <w:color w:val="000000"/>
          <w:spacing w:val="4"/>
          <w:sz w:val="25"/>
          <w:szCs w:val="22"/>
        </w:rPr>
        <w:t>OCA Answer at 5.</w:t>
      </w:r>
    </w:p>
    <w:p w14:paraId="127A20D1" w14:textId="77777777" w:rsidR="00201F69" w:rsidRPr="00201F69" w:rsidRDefault="00201F69" w:rsidP="00201F69">
      <w:pPr>
        <w:widowControl/>
        <w:spacing w:before="437" w:line="451" w:lineRule="exact"/>
        <w:ind w:firstLine="1440"/>
        <w:textAlignment w:val="baseline"/>
        <w:rPr>
          <w:color w:val="000000"/>
          <w:sz w:val="25"/>
          <w:szCs w:val="22"/>
        </w:rPr>
      </w:pPr>
      <w:r w:rsidRPr="00201F69">
        <w:rPr>
          <w:color w:val="000000"/>
          <w:sz w:val="25"/>
          <w:szCs w:val="22"/>
        </w:rPr>
        <w:t>The Intervenors argue that the wording of Ordering Paragraph No. 8 is clear and not subject to an alternative interpretation. Accordingly, the Intervenors submit that no clarification is necessary. Intervenors Answer at 2.</w:t>
      </w:r>
    </w:p>
    <w:p w14:paraId="7249B9A1" w14:textId="77777777" w:rsidR="00201F69" w:rsidRPr="00201F69" w:rsidRDefault="00201F69" w:rsidP="00201F69">
      <w:pPr>
        <w:widowControl/>
        <w:spacing w:before="454" w:line="446" w:lineRule="exact"/>
        <w:ind w:right="144" w:firstLine="1440"/>
        <w:textAlignment w:val="baseline"/>
        <w:rPr>
          <w:color w:val="000000"/>
          <w:spacing w:val="4"/>
          <w:sz w:val="25"/>
          <w:szCs w:val="22"/>
        </w:rPr>
      </w:pPr>
      <w:r w:rsidRPr="00201F69">
        <w:rPr>
          <w:color w:val="000000"/>
          <w:spacing w:val="4"/>
          <w:sz w:val="25"/>
          <w:szCs w:val="22"/>
        </w:rPr>
        <w:t>In its second argument, HVUS contends that it should not be required to provide an authorization to Penelec to release monthly bills and payment information for monitoring. The Company argues that this issue was resolved in another proceeding and is now moot. HVUS submits that the OCA had filed an emergency petition on June 4, 2014, at Docket No. P-2014-2424858 (Emergency Petition), averring that late paid bills for electric service jeopardized the Company's ability to provide adequate service. According to the Company, the Parties settled the matter by agreement filed on September 26, 2014, with provisions mirroring Ordering Paragraph No. 15, which required continued monitoring by the OCA and an authorization to Penelec to provide billing information. HVUS states that in August of 2016, the Company provided authorization to Penelec to provide another year of billing information to the OCA. The Petitioner asserts that, based on the prior settlement agreement and the extended monitoring, the OCA opted to cease the Emergency Petition proceeding by filing a</w:t>
      </w:r>
    </w:p>
    <w:p w14:paraId="11634F2D" w14:textId="77777777" w:rsidR="00201F69" w:rsidRPr="00201F69" w:rsidRDefault="00201F69" w:rsidP="00201F69">
      <w:pPr>
        <w:widowControl/>
        <w:rPr>
          <w:rFonts w:eastAsia="PMingLiU"/>
          <w:sz w:val="22"/>
          <w:szCs w:val="22"/>
        </w:rPr>
        <w:sectPr w:rsidR="00201F69" w:rsidRPr="00201F69">
          <w:pgSz w:w="12240" w:h="15840"/>
          <w:pgMar w:top="1540" w:right="1367" w:bottom="561" w:left="1453" w:header="720" w:footer="720" w:gutter="0"/>
          <w:cols w:space="720"/>
        </w:sectPr>
      </w:pPr>
    </w:p>
    <w:p w14:paraId="29E1243A" w14:textId="64F5D44E" w:rsidR="00201F69" w:rsidRPr="00201F69" w:rsidRDefault="00201F69" w:rsidP="00201F69">
      <w:pPr>
        <w:widowControl/>
        <w:spacing w:before="2" w:line="446" w:lineRule="exact"/>
        <w:ind w:left="72"/>
        <w:textAlignment w:val="baseline"/>
        <w:rPr>
          <w:color w:val="000000"/>
          <w:spacing w:val="4"/>
          <w:sz w:val="25"/>
          <w:szCs w:val="22"/>
        </w:rPr>
      </w:pPr>
      <w:r w:rsidRPr="00201F69">
        <w:rPr>
          <w:rFonts w:eastAsia="PMingLiU"/>
          <w:noProof/>
          <w:sz w:val="22"/>
          <w:szCs w:val="22"/>
        </w:rPr>
        <mc:AlternateContent>
          <mc:Choice Requires="wps">
            <w:drawing>
              <wp:anchor distT="0" distB="0" distL="0" distR="0" simplePos="0" relativeHeight="251661312" behindDoc="1" locked="0" layoutInCell="1" allowOverlap="1" wp14:anchorId="65311D47" wp14:editId="2FB59A86">
                <wp:simplePos x="0" y="0"/>
                <wp:positionH relativeFrom="page">
                  <wp:posOffset>3759200</wp:posOffset>
                </wp:positionH>
                <wp:positionV relativeFrom="page">
                  <wp:posOffset>9410700</wp:posOffset>
                </wp:positionV>
                <wp:extent cx="287655" cy="180340"/>
                <wp:effectExtent l="0" t="0" r="127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8EB3" w14:textId="77777777" w:rsidR="00201F69" w:rsidRDefault="00201F69" w:rsidP="00201F69">
                            <w:pPr>
                              <w:spacing w:line="271" w:lineRule="exact"/>
                              <w:textAlignment w:val="baseline"/>
                              <w:rPr>
                                <w:color w:val="000000"/>
                                <w:spacing w:val="31"/>
                                <w:sz w:val="25"/>
                              </w:rPr>
                            </w:pPr>
                            <w:r w:rsidRPr="00774B53">
                              <w:rPr>
                                <w:color w:val="000000"/>
                                <w:spacing w:val="31"/>
                                <w:sz w:val="26"/>
                                <w:szCs w:val="26"/>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1D47" id="Text Box 1" o:spid="_x0000_s1028" type="#_x0000_t202" style="position:absolute;left:0;text-align:left;margin-left:296pt;margin-top:741pt;width:22.65pt;height:14.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SN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OI05aKNEDHTRaiwH5Jjt9pxJwuu/ATQ+wbTwNU9XdieKrQlxsasL3dCWl6GtKSojO3nTPro44&#10;yoDs+g+ihGfIQQsLNFSyNYCQDAToUKXHU2VMKAVsBtFiPpthVMCRH3nXo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" filled="f" stroked="f">
                <v:textbox inset="0,0,0,0">
                  <w:txbxContent>
                    <w:p w14:paraId="6C878EB3" w14:textId="77777777" w:rsidR="00201F69" w:rsidRDefault="00201F69" w:rsidP="00201F69">
                      <w:pPr>
                        <w:spacing w:line="271" w:lineRule="exact"/>
                        <w:textAlignment w:val="baseline"/>
                        <w:rPr>
                          <w:color w:val="000000"/>
                          <w:spacing w:val="31"/>
                          <w:sz w:val="25"/>
                        </w:rPr>
                      </w:pPr>
                      <w:r w:rsidRPr="00774B53">
                        <w:rPr>
                          <w:color w:val="000000"/>
                          <w:spacing w:val="31"/>
                          <w:sz w:val="26"/>
                          <w:szCs w:val="26"/>
                        </w:rPr>
                        <w:t>24</w:t>
                      </w:r>
                    </w:p>
                  </w:txbxContent>
                </v:textbox>
                <w10:wrap type="square" anchorx="page" anchory="page"/>
              </v:shape>
            </w:pict>
          </mc:Fallback>
        </mc:AlternateContent>
      </w:r>
      <w:r w:rsidRPr="00201F69">
        <w:rPr>
          <w:color w:val="000000"/>
          <w:spacing w:val="4"/>
          <w:sz w:val="25"/>
          <w:szCs w:val="22"/>
        </w:rPr>
        <w:t>eliminate the concerns of electric service termination and the potential health and safety danger of water and wastewater service disruption to the customers of HVUS. Indeed, the record evidence supported the monitoring provisions established in Ordering Paragraph No. 15. For example, Ashley E. Everette, in her surrebuttal testimony on behalf of the OCA, testified that: "HVUS's authorization for Penelec to provide payment information ends on June 10, 2016. Given the risk to health and safety that termination of electric service presents, HVUS should execute appropriate authorization forms which permit [Penelec] to continue providing monthly billing and payment information for all HVUS accounts . . . ." OCA Statement 1S at 10-11. Accordingly, we shall deny the Petition as to this issue.</w:t>
      </w:r>
    </w:p>
    <w:p w14:paraId="3D37855C" w14:textId="77777777" w:rsidR="00201F69" w:rsidRPr="00201F69" w:rsidRDefault="00201F69" w:rsidP="00201F69">
      <w:pPr>
        <w:widowControl/>
        <w:spacing w:before="461" w:line="446" w:lineRule="exact"/>
        <w:ind w:left="72" w:firstLine="1440"/>
        <w:textAlignment w:val="baseline"/>
        <w:rPr>
          <w:color w:val="000000"/>
          <w:spacing w:val="3"/>
          <w:sz w:val="25"/>
          <w:szCs w:val="22"/>
        </w:rPr>
      </w:pPr>
      <w:r w:rsidRPr="00201F69">
        <w:rPr>
          <w:color w:val="000000"/>
          <w:spacing w:val="3"/>
          <w:sz w:val="25"/>
          <w:szCs w:val="22"/>
        </w:rPr>
        <w:t xml:space="preserve">Regarding the third argument pertaining to an investigation following HVUS's final status report, we shall grant the Petition as to this issue. Although the Company failed to raise an objection about this provision during the Exception stage, it appears that the Commission </w:t>
      </w:r>
      <w:r w:rsidRPr="00484583">
        <w:rPr>
          <w:color w:val="000000"/>
          <w:spacing w:val="3"/>
          <w:sz w:val="25"/>
          <w:szCs w:val="22"/>
          <w:u w:val="single"/>
        </w:rPr>
        <w:t>did not intend to give</w:t>
      </w:r>
      <w:r w:rsidRPr="00201F69">
        <w:rPr>
          <w:color w:val="000000"/>
          <w:spacing w:val="3"/>
          <w:sz w:val="25"/>
          <w:szCs w:val="22"/>
        </w:rPr>
        <w:t xml:space="preserve"> a party litigant, such as the OCA, an investigatory role after the submission of the final status report. On review, we believe that upon filing of the final status report the examination of the repairs, modifications, and rehabilitative and maintenance procedures, as well as the water quality status, should rest with TUS. Moreover, we find that if TUS determines and reports that the remedial measures are inadequate or unreasonable, the matter should be referred to the Office of Administrative Law Judge for further evidentiary hearings. As such we shall revise the ordering to paragraph to delete the references to the OCA in Ordering Paragraph No. 20 pertaining to investigation and reporting.</w:t>
      </w:r>
    </w:p>
    <w:p w14:paraId="1603EE6B" w14:textId="77777777" w:rsidR="00201F69" w:rsidRPr="00201F69" w:rsidRDefault="00201F69" w:rsidP="00201F69">
      <w:pPr>
        <w:widowControl/>
        <w:spacing w:before="440" w:line="446" w:lineRule="exact"/>
        <w:ind w:left="72" w:right="144" w:firstLine="1440"/>
        <w:textAlignment w:val="baseline"/>
        <w:rPr>
          <w:color w:val="000000"/>
          <w:sz w:val="25"/>
          <w:szCs w:val="22"/>
        </w:rPr>
      </w:pPr>
      <w:r w:rsidRPr="00201F69">
        <w:rPr>
          <w:color w:val="000000"/>
          <w:sz w:val="25"/>
          <w:szCs w:val="22"/>
        </w:rPr>
        <w:t xml:space="preserve">Although the OCA does not object to TUS's investigatory role over the completed rehabilitative measures, the OCA requests clarification that it retains the right to conduct discovery and site visits. It is unclear what types of discovery the OCA is contemplating at this late stage of the proceeding. Given the extensive reporting obligations set forth in the </w:t>
      </w:r>
      <w:r w:rsidRPr="00201F69">
        <w:rPr>
          <w:i/>
          <w:color w:val="000000"/>
          <w:sz w:val="25"/>
          <w:szCs w:val="22"/>
        </w:rPr>
        <w:t xml:space="preserve">January 2018 Order, </w:t>
      </w:r>
      <w:r w:rsidRPr="00201F69">
        <w:rPr>
          <w:color w:val="000000"/>
          <w:sz w:val="25"/>
          <w:szCs w:val="22"/>
        </w:rPr>
        <w:t>we decline to add the clarifications</w:t>
      </w:r>
    </w:p>
    <w:sectPr w:rsidR="00201F69" w:rsidRPr="00201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0EB2D" w14:textId="77777777" w:rsidR="00F631F4" w:rsidRDefault="00F631F4" w:rsidP="00450824">
      <w:r>
        <w:separator/>
      </w:r>
    </w:p>
  </w:endnote>
  <w:endnote w:type="continuationSeparator" w:id="0">
    <w:p w14:paraId="724CE031" w14:textId="77777777" w:rsidR="00F631F4" w:rsidRDefault="00F631F4" w:rsidP="0045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4FC6" w14:textId="77777777" w:rsidR="00F631F4" w:rsidRDefault="00F631F4" w:rsidP="00450824">
      <w:r>
        <w:separator/>
      </w:r>
    </w:p>
  </w:footnote>
  <w:footnote w:type="continuationSeparator" w:id="0">
    <w:p w14:paraId="752EE509" w14:textId="77777777" w:rsidR="00F631F4" w:rsidRDefault="00F631F4" w:rsidP="0045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778EE"/>
    <w:multiLevelType w:val="hybridMultilevel"/>
    <w:tmpl w:val="CEB6C046"/>
    <w:lvl w:ilvl="0" w:tplc="E5DCE10A">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65"/>
    <w:rsid w:val="000774CF"/>
    <w:rsid w:val="00201F69"/>
    <w:rsid w:val="00273AF2"/>
    <w:rsid w:val="00297F81"/>
    <w:rsid w:val="00450824"/>
    <w:rsid w:val="00484583"/>
    <w:rsid w:val="006419F7"/>
    <w:rsid w:val="00675A10"/>
    <w:rsid w:val="00737C9D"/>
    <w:rsid w:val="007A5128"/>
    <w:rsid w:val="008A209F"/>
    <w:rsid w:val="008E3408"/>
    <w:rsid w:val="009A2989"/>
    <w:rsid w:val="00AB4865"/>
    <w:rsid w:val="00B06F3F"/>
    <w:rsid w:val="00CF4EDB"/>
    <w:rsid w:val="00D00FFA"/>
    <w:rsid w:val="00D5320E"/>
    <w:rsid w:val="00DD6A28"/>
    <w:rsid w:val="00E64FC8"/>
    <w:rsid w:val="00E91487"/>
    <w:rsid w:val="00F6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A07B3"/>
  <w15:chartTrackingRefBased/>
  <w15:docId w15:val="{9038714E-777A-40AD-8D3C-21C268BA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865"/>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37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C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Kimberly</dc:creator>
  <cp:keywords/>
  <dc:description/>
  <cp:lastModifiedBy>Reynolds, Doris</cp:lastModifiedBy>
  <cp:revision>2</cp:revision>
  <cp:lastPrinted>2018-05-04T19:00:00Z</cp:lastPrinted>
  <dcterms:created xsi:type="dcterms:W3CDTF">2018-05-04T19:01:00Z</dcterms:created>
  <dcterms:modified xsi:type="dcterms:W3CDTF">2018-05-04T19:01:00Z</dcterms:modified>
</cp:coreProperties>
</file>