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DB5" w:rsidRPr="002A5D4B" w:rsidRDefault="00957DB5" w:rsidP="00A237FC">
      <w:pPr>
        <w:spacing w:line="240" w:lineRule="auto"/>
        <w:ind w:firstLine="0"/>
        <w:rPr>
          <w:b/>
          <w:sz w:val="26"/>
          <w:szCs w:val="26"/>
        </w:rPr>
      </w:pPr>
      <w:r w:rsidRPr="002A5D4B">
        <w:rPr>
          <w:b/>
          <w:sz w:val="26"/>
          <w:szCs w:val="26"/>
        </w:rPr>
        <w:t>PENNSYLVANIA</w:t>
      </w:r>
    </w:p>
    <w:p w:rsidR="00957DB5" w:rsidRPr="002A5D4B" w:rsidRDefault="00957DB5" w:rsidP="00A237FC">
      <w:pPr>
        <w:spacing w:line="240" w:lineRule="auto"/>
        <w:ind w:firstLine="0"/>
        <w:rPr>
          <w:b/>
          <w:sz w:val="26"/>
          <w:szCs w:val="26"/>
        </w:rPr>
      </w:pPr>
      <w:r w:rsidRPr="002A5D4B">
        <w:rPr>
          <w:b/>
          <w:sz w:val="26"/>
          <w:szCs w:val="26"/>
        </w:rPr>
        <w:t>PUBLIC UTILITY COMMISSION</w:t>
      </w:r>
    </w:p>
    <w:p w:rsidR="00957DB5" w:rsidRDefault="00957DB5" w:rsidP="00A237FC">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957DB5" w:rsidRDefault="00957DB5" w:rsidP="00A237FC">
      <w:pPr>
        <w:spacing w:line="240" w:lineRule="auto"/>
        <w:ind w:firstLine="0"/>
        <w:jc w:val="left"/>
        <w:rPr>
          <w:sz w:val="26"/>
          <w:szCs w:val="26"/>
        </w:rPr>
      </w:pPr>
    </w:p>
    <w:p w:rsidR="00353E4E" w:rsidRDefault="00353E4E" w:rsidP="00A237FC">
      <w:pPr>
        <w:spacing w:line="240" w:lineRule="auto"/>
        <w:ind w:firstLine="0"/>
        <w:jc w:val="left"/>
        <w:rPr>
          <w:sz w:val="26"/>
          <w:szCs w:val="26"/>
        </w:rPr>
      </w:pPr>
    </w:p>
    <w:p w:rsidR="00353E4E" w:rsidRPr="00BA66A4" w:rsidRDefault="00353E4E" w:rsidP="00A237FC">
      <w:pPr>
        <w:spacing w:line="240" w:lineRule="auto"/>
        <w:ind w:firstLine="0"/>
        <w:jc w:val="left"/>
        <w:rPr>
          <w:sz w:val="26"/>
          <w:szCs w:val="26"/>
        </w:rPr>
      </w:pPr>
    </w:p>
    <w:p w:rsidR="00957DB5" w:rsidRPr="002A5D4B" w:rsidRDefault="00957DB5" w:rsidP="00A237FC">
      <w:pPr>
        <w:ind w:firstLine="0"/>
        <w:jc w:val="right"/>
        <w:rPr>
          <w:sz w:val="26"/>
          <w:szCs w:val="26"/>
        </w:rPr>
      </w:pPr>
      <w:r>
        <w:rPr>
          <w:sz w:val="26"/>
          <w:szCs w:val="26"/>
        </w:rPr>
        <w:t>P</w:t>
      </w:r>
      <w:r w:rsidRPr="002A5D4B">
        <w:rPr>
          <w:sz w:val="26"/>
          <w:szCs w:val="26"/>
        </w:rPr>
        <w:t xml:space="preserve">ublic Meeting held </w:t>
      </w:r>
      <w:r w:rsidR="00EF7A7D">
        <w:rPr>
          <w:sz w:val="26"/>
          <w:szCs w:val="26"/>
        </w:rPr>
        <w:t xml:space="preserve">May </w:t>
      </w:r>
      <w:r w:rsidR="00191232">
        <w:rPr>
          <w:sz w:val="26"/>
          <w:szCs w:val="26"/>
        </w:rPr>
        <w:t>17</w:t>
      </w:r>
      <w:r w:rsidR="00F225EC">
        <w:rPr>
          <w:sz w:val="26"/>
          <w:szCs w:val="26"/>
        </w:rPr>
        <w:t>,</w:t>
      </w:r>
      <w:r w:rsidRPr="00B01CA9">
        <w:rPr>
          <w:kern w:val="1"/>
          <w:sz w:val="26"/>
          <w:szCs w:val="26"/>
        </w:rPr>
        <w:t xml:space="preserve"> 20</w:t>
      </w:r>
      <w:r>
        <w:rPr>
          <w:kern w:val="1"/>
          <w:sz w:val="26"/>
          <w:szCs w:val="26"/>
        </w:rPr>
        <w:t>18</w:t>
      </w:r>
    </w:p>
    <w:p w:rsidR="00957DB5" w:rsidRDefault="00957DB5" w:rsidP="00A237FC">
      <w:pPr>
        <w:spacing w:line="240" w:lineRule="auto"/>
        <w:ind w:firstLine="0"/>
        <w:jc w:val="left"/>
        <w:rPr>
          <w:sz w:val="26"/>
          <w:szCs w:val="26"/>
        </w:rPr>
      </w:pPr>
    </w:p>
    <w:p w:rsidR="00353E4E" w:rsidRDefault="00353E4E" w:rsidP="00A237FC">
      <w:pPr>
        <w:spacing w:line="240" w:lineRule="auto"/>
        <w:ind w:firstLine="0"/>
        <w:jc w:val="left"/>
        <w:rPr>
          <w:sz w:val="26"/>
          <w:szCs w:val="26"/>
        </w:rPr>
      </w:pPr>
    </w:p>
    <w:p w:rsidR="00353E4E" w:rsidRPr="002A5D4B" w:rsidRDefault="00353E4E" w:rsidP="00A237FC">
      <w:pPr>
        <w:spacing w:line="240" w:lineRule="auto"/>
        <w:ind w:firstLine="0"/>
        <w:jc w:val="left"/>
        <w:rPr>
          <w:sz w:val="26"/>
          <w:szCs w:val="26"/>
        </w:rPr>
      </w:pPr>
    </w:p>
    <w:p w:rsidR="00957DB5" w:rsidRPr="002A5D4B" w:rsidRDefault="00957DB5" w:rsidP="00A237FC">
      <w:pPr>
        <w:spacing w:line="240" w:lineRule="auto"/>
        <w:ind w:firstLine="0"/>
        <w:jc w:val="left"/>
        <w:rPr>
          <w:sz w:val="26"/>
          <w:szCs w:val="26"/>
        </w:rPr>
      </w:pPr>
      <w:r w:rsidRPr="002A5D4B">
        <w:rPr>
          <w:sz w:val="26"/>
          <w:szCs w:val="26"/>
        </w:rPr>
        <w:t>Commissioners Present:</w:t>
      </w:r>
    </w:p>
    <w:p w:rsidR="00957DB5" w:rsidRPr="002A5D4B" w:rsidRDefault="00957DB5" w:rsidP="00A237FC">
      <w:pPr>
        <w:spacing w:line="240" w:lineRule="auto"/>
        <w:ind w:firstLine="0"/>
        <w:jc w:val="left"/>
        <w:rPr>
          <w:sz w:val="26"/>
          <w:szCs w:val="26"/>
        </w:rPr>
      </w:pPr>
    </w:p>
    <w:p w:rsidR="00957DB5" w:rsidRPr="002A5D4B" w:rsidRDefault="00957DB5" w:rsidP="001816EA">
      <w:pPr>
        <w:spacing w:line="240" w:lineRule="auto"/>
        <w:jc w:val="left"/>
        <w:rPr>
          <w:sz w:val="26"/>
          <w:szCs w:val="26"/>
        </w:rPr>
      </w:pPr>
      <w:r>
        <w:rPr>
          <w:sz w:val="26"/>
          <w:szCs w:val="26"/>
        </w:rPr>
        <w:t>Gladys M. Brown</w:t>
      </w:r>
      <w:r w:rsidRPr="002A5D4B">
        <w:rPr>
          <w:sz w:val="26"/>
          <w:szCs w:val="26"/>
        </w:rPr>
        <w:t>, Chairman</w:t>
      </w:r>
    </w:p>
    <w:p w:rsidR="00957DB5" w:rsidRDefault="00957DB5" w:rsidP="001816EA">
      <w:pPr>
        <w:spacing w:line="240" w:lineRule="auto"/>
        <w:jc w:val="left"/>
        <w:rPr>
          <w:sz w:val="26"/>
          <w:szCs w:val="26"/>
        </w:rPr>
      </w:pPr>
      <w:r>
        <w:rPr>
          <w:sz w:val="26"/>
          <w:szCs w:val="26"/>
        </w:rPr>
        <w:t>Andrew G. Place</w:t>
      </w:r>
      <w:r w:rsidRPr="002A5D4B">
        <w:rPr>
          <w:sz w:val="26"/>
          <w:szCs w:val="26"/>
        </w:rPr>
        <w:t>, Vice Chairman</w:t>
      </w:r>
    </w:p>
    <w:p w:rsidR="00957DB5" w:rsidRDefault="00957DB5" w:rsidP="001816EA">
      <w:pPr>
        <w:spacing w:line="240" w:lineRule="auto"/>
        <w:jc w:val="left"/>
        <w:rPr>
          <w:sz w:val="26"/>
          <w:szCs w:val="26"/>
        </w:rPr>
      </w:pPr>
      <w:r>
        <w:rPr>
          <w:sz w:val="26"/>
          <w:szCs w:val="26"/>
        </w:rPr>
        <w:t>Norman J. Kennard</w:t>
      </w:r>
    </w:p>
    <w:p w:rsidR="00957DB5" w:rsidRDefault="00957DB5" w:rsidP="00A237FC">
      <w:pPr>
        <w:spacing w:line="240" w:lineRule="auto"/>
        <w:jc w:val="left"/>
        <w:rPr>
          <w:sz w:val="26"/>
          <w:szCs w:val="26"/>
        </w:rPr>
      </w:pPr>
      <w:r>
        <w:rPr>
          <w:sz w:val="26"/>
          <w:szCs w:val="26"/>
        </w:rPr>
        <w:t>David W. Sweet</w:t>
      </w:r>
    </w:p>
    <w:p w:rsidR="00957DB5" w:rsidRPr="002A5D4B" w:rsidRDefault="00957DB5" w:rsidP="00A237FC">
      <w:pPr>
        <w:spacing w:line="240" w:lineRule="auto"/>
        <w:jc w:val="left"/>
        <w:rPr>
          <w:sz w:val="26"/>
          <w:szCs w:val="26"/>
        </w:rPr>
      </w:pPr>
      <w:r>
        <w:rPr>
          <w:sz w:val="26"/>
          <w:szCs w:val="26"/>
        </w:rPr>
        <w:t>John F. Coleman, Jr.</w:t>
      </w:r>
    </w:p>
    <w:p w:rsidR="00957DB5" w:rsidRPr="002A5D4B" w:rsidRDefault="00957DB5" w:rsidP="00A237FC">
      <w:pPr>
        <w:spacing w:line="240" w:lineRule="auto"/>
        <w:ind w:firstLine="0"/>
        <w:jc w:val="left"/>
        <w:rPr>
          <w:sz w:val="26"/>
          <w:szCs w:val="26"/>
        </w:rPr>
      </w:pPr>
    </w:p>
    <w:p w:rsidR="00957DB5" w:rsidRPr="007F73BF" w:rsidRDefault="00957DB5" w:rsidP="00353E4E">
      <w:pPr>
        <w:spacing w:line="240" w:lineRule="auto"/>
        <w:ind w:firstLine="0"/>
        <w:jc w:val="left"/>
        <w:rPr>
          <w:sz w:val="26"/>
          <w:szCs w:val="26"/>
        </w:rPr>
      </w:pPr>
    </w:p>
    <w:p w:rsidR="00957DB5" w:rsidRPr="007F73BF" w:rsidRDefault="00957DB5" w:rsidP="00353E4E">
      <w:pPr>
        <w:spacing w:line="240" w:lineRule="auto"/>
        <w:ind w:firstLine="0"/>
        <w:jc w:val="left"/>
        <w:rPr>
          <w:sz w:val="26"/>
          <w:szCs w:val="26"/>
        </w:rPr>
      </w:pPr>
    </w:p>
    <w:p w:rsidR="00957DB5" w:rsidRDefault="00957DB5" w:rsidP="00A237FC">
      <w:pPr>
        <w:tabs>
          <w:tab w:val="left" w:pos="-720"/>
          <w:tab w:val="left" w:pos="0"/>
        </w:tabs>
        <w:suppressAutoHyphens/>
        <w:spacing w:line="240" w:lineRule="auto"/>
        <w:ind w:firstLine="0"/>
        <w:jc w:val="left"/>
        <w:rPr>
          <w:sz w:val="26"/>
          <w:szCs w:val="26"/>
        </w:rPr>
      </w:pPr>
      <w:r>
        <w:rPr>
          <w:sz w:val="26"/>
          <w:szCs w:val="26"/>
        </w:rPr>
        <w:t>Ro</w:t>
      </w:r>
      <w:r w:rsidR="00EF7A7D">
        <w:rPr>
          <w:sz w:val="26"/>
          <w:szCs w:val="26"/>
        </w:rPr>
        <w:t>n Richards</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EF7A7D">
        <w:rPr>
          <w:sz w:val="26"/>
          <w:szCs w:val="26"/>
        </w:rPr>
        <w:t>C-2017-2616828</w:t>
      </w:r>
    </w:p>
    <w:p w:rsidR="00957DB5" w:rsidRDefault="00957DB5" w:rsidP="00A237FC">
      <w:pPr>
        <w:tabs>
          <w:tab w:val="left" w:pos="-720"/>
          <w:tab w:val="left" w:pos="0"/>
        </w:tabs>
        <w:suppressAutoHyphens/>
        <w:spacing w:line="240" w:lineRule="auto"/>
        <w:ind w:firstLine="0"/>
        <w:jc w:val="left"/>
        <w:rPr>
          <w:b/>
          <w:sz w:val="26"/>
          <w:szCs w:val="26"/>
        </w:rPr>
      </w:pPr>
    </w:p>
    <w:p w:rsidR="00957DB5" w:rsidRDefault="00957DB5" w:rsidP="00A237FC">
      <w:pPr>
        <w:tabs>
          <w:tab w:val="left" w:pos="-720"/>
          <w:tab w:val="left" w:pos="0"/>
        </w:tabs>
        <w:suppressAutoHyphens/>
        <w:spacing w:line="240" w:lineRule="auto"/>
        <w:ind w:firstLine="0"/>
        <w:jc w:val="left"/>
        <w:rPr>
          <w:sz w:val="26"/>
          <w:szCs w:val="26"/>
        </w:rPr>
      </w:pPr>
      <w:r>
        <w:rPr>
          <w:b/>
          <w:sz w:val="26"/>
          <w:szCs w:val="26"/>
        </w:rPr>
        <w:tab/>
        <w:t xml:space="preserve">     </w:t>
      </w:r>
      <w:r>
        <w:rPr>
          <w:sz w:val="26"/>
          <w:szCs w:val="26"/>
        </w:rPr>
        <w:t>v.</w:t>
      </w:r>
    </w:p>
    <w:p w:rsidR="00957DB5" w:rsidRDefault="00957DB5" w:rsidP="00A237FC">
      <w:pPr>
        <w:tabs>
          <w:tab w:val="left" w:pos="-720"/>
          <w:tab w:val="left" w:pos="0"/>
        </w:tabs>
        <w:suppressAutoHyphens/>
        <w:spacing w:line="240" w:lineRule="auto"/>
        <w:ind w:firstLine="0"/>
        <w:jc w:val="left"/>
        <w:rPr>
          <w:sz w:val="26"/>
          <w:szCs w:val="26"/>
        </w:rPr>
      </w:pPr>
    </w:p>
    <w:p w:rsidR="00957DB5" w:rsidRDefault="00EF7A7D" w:rsidP="00A237FC">
      <w:pPr>
        <w:tabs>
          <w:tab w:val="left" w:pos="-720"/>
          <w:tab w:val="left" w:pos="0"/>
        </w:tabs>
        <w:suppressAutoHyphens/>
        <w:spacing w:line="240" w:lineRule="auto"/>
        <w:ind w:firstLine="0"/>
        <w:jc w:val="left"/>
        <w:rPr>
          <w:sz w:val="26"/>
          <w:szCs w:val="26"/>
        </w:rPr>
      </w:pPr>
      <w:r>
        <w:rPr>
          <w:sz w:val="26"/>
          <w:szCs w:val="26"/>
        </w:rPr>
        <w:t>Duquesne Light</w:t>
      </w:r>
      <w:r w:rsidR="00957DB5">
        <w:rPr>
          <w:sz w:val="26"/>
          <w:szCs w:val="26"/>
        </w:rPr>
        <w:t xml:space="preserve"> Company</w:t>
      </w:r>
    </w:p>
    <w:p w:rsidR="00957DB5" w:rsidRPr="001E0694" w:rsidRDefault="00957DB5" w:rsidP="00A237FC">
      <w:pPr>
        <w:tabs>
          <w:tab w:val="left" w:pos="-720"/>
          <w:tab w:val="left" w:pos="0"/>
        </w:tabs>
        <w:suppressAutoHyphens/>
        <w:spacing w:line="240" w:lineRule="auto"/>
        <w:ind w:firstLine="0"/>
        <w:jc w:val="left"/>
        <w:rPr>
          <w:sz w:val="26"/>
          <w:szCs w:val="26"/>
        </w:rPr>
      </w:pPr>
    </w:p>
    <w:p w:rsidR="00957DB5" w:rsidRDefault="00957DB5" w:rsidP="00A237FC">
      <w:pPr>
        <w:tabs>
          <w:tab w:val="left" w:pos="-720"/>
        </w:tabs>
        <w:suppressAutoHyphens/>
        <w:ind w:firstLine="0"/>
        <w:jc w:val="left"/>
        <w:rPr>
          <w:sz w:val="26"/>
        </w:rPr>
      </w:pPr>
    </w:p>
    <w:p w:rsidR="00353E4E" w:rsidRDefault="00353E4E" w:rsidP="00A237FC">
      <w:pPr>
        <w:tabs>
          <w:tab w:val="left" w:pos="-720"/>
        </w:tabs>
        <w:suppressAutoHyphens/>
        <w:ind w:firstLine="0"/>
        <w:jc w:val="left"/>
        <w:rPr>
          <w:sz w:val="26"/>
        </w:rPr>
      </w:pPr>
    </w:p>
    <w:p w:rsidR="00957DB5" w:rsidRDefault="00957DB5" w:rsidP="00A237FC">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957DB5" w:rsidRDefault="00957DB5" w:rsidP="00A237FC">
      <w:pPr>
        <w:suppressAutoHyphens/>
        <w:ind w:firstLine="0"/>
        <w:rPr>
          <w:b/>
          <w:sz w:val="26"/>
          <w:szCs w:val="26"/>
        </w:rPr>
      </w:pPr>
    </w:p>
    <w:p w:rsidR="00957DB5" w:rsidRDefault="00957DB5" w:rsidP="00A237FC">
      <w:pPr>
        <w:tabs>
          <w:tab w:val="left" w:pos="-720"/>
        </w:tabs>
        <w:suppressAutoHyphens/>
        <w:ind w:firstLine="0"/>
        <w:jc w:val="left"/>
        <w:rPr>
          <w:sz w:val="26"/>
        </w:rPr>
      </w:pPr>
      <w:r w:rsidRPr="00624B80">
        <w:rPr>
          <w:b/>
          <w:sz w:val="26"/>
        </w:rPr>
        <w:t>BY THE COMMISSION:</w:t>
      </w:r>
    </w:p>
    <w:p w:rsidR="00957DB5" w:rsidRDefault="00957DB5" w:rsidP="00A237FC">
      <w:pPr>
        <w:ind w:firstLine="0"/>
        <w:jc w:val="left"/>
        <w:rPr>
          <w:sz w:val="26"/>
          <w:szCs w:val="26"/>
        </w:rPr>
      </w:pPr>
    </w:p>
    <w:p w:rsidR="00957DB5" w:rsidRDefault="00957DB5" w:rsidP="00A237FC">
      <w:pPr>
        <w:ind w:firstLine="1440"/>
        <w:jc w:val="left"/>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are the Exceptions of </w:t>
      </w:r>
      <w:r w:rsidR="00EF7A7D">
        <w:rPr>
          <w:sz w:val="26"/>
          <w:szCs w:val="26"/>
        </w:rPr>
        <w:t xml:space="preserve">Ron Richards </w:t>
      </w:r>
      <w:r>
        <w:rPr>
          <w:sz w:val="26"/>
          <w:szCs w:val="26"/>
        </w:rPr>
        <w:t>(</w:t>
      </w:r>
      <w:r w:rsidR="00EF7A7D">
        <w:rPr>
          <w:sz w:val="26"/>
          <w:szCs w:val="26"/>
        </w:rPr>
        <w:t>Complainant or Mr. Richards</w:t>
      </w:r>
      <w:r>
        <w:rPr>
          <w:sz w:val="26"/>
          <w:szCs w:val="26"/>
        </w:rPr>
        <w:t xml:space="preserve">) filed on </w:t>
      </w:r>
      <w:r w:rsidR="00EF7A7D">
        <w:rPr>
          <w:sz w:val="26"/>
          <w:szCs w:val="26"/>
        </w:rPr>
        <w:t>January 2</w:t>
      </w:r>
      <w:r w:rsidR="00F726BB">
        <w:rPr>
          <w:sz w:val="26"/>
          <w:szCs w:val="26"/>
        </w:rPr>
        <w:t>2</w:t>
      </w:r>
      <w:r w:rsidR="00EF7A7D">
        <w:rPr>
          <w:sz w:val="26"/>
          <w:szCs w:val="26"/>
        </w:rPr>
        <w:t>, 2018</w:t>
      </w:r>
      <w:r>
        <w:rPr>
          <w:sz w:val="26"/>
          <w:szCs w:val="26"/>
        </w:rPr>
        <w:t xml:space="preserve">, to the Initial Decision (I.D.) of Administrative Law Judge (ALJ) </w:t>
      </w:r>
      <w:r w:rsidR="00EF7A7D">
        <w:rPr>
          <w:sz w:val="26"/>
          <w:szCs w:val="26"/>
        </w:rPr>
        <w:t>Dennis F. Buckley</w:t>
      </w:r>
      <w:r>
        <w:rPr>
          <w:sz w:val="26"/>
          <w:szCs w:val="26"/>
        </w:rPr>
        <w:t xml:space="preserve">, issued on </w:t>
      </w:r>
      <w:r w:rsidR="00EF7A7D">
        <w:rPr>
          <w:sz w:val="26"/>
          <w:szCs w:val="26"/>
        </w:rPr>
        <w:t>January 11, 2018</w:t>
      </w:r>
      <w:r>
        <w:rPr>
          <w:sz w:val="26"/>
          <w:szCs w:val="26"/>
        </w:rPr>
        <w:t>, relative to the above-</w:t>
      </w:r>
      <w:r>
        <w:rPr>
          <w:sz w:val="26"/>
          <w:szCs w:val="26"/>
        </w:rPr>
        <w:lastRenderedPageBreak/>
        <w:t>captioned proceeding.</w:t>
      </w:r>
      <w:r w:rsidR="00ED0E46" w:rsidRPr="0035235B">
        <w:rPr>
          <w:rStyle w:val="FootnoteReference"/>
          <w:sz w:val="26"/>
          <w:szCs w:val="26"/>
        </w:rPr>
        <w:footnoteReference w:id="1"/>
      </w:r>
      <w:r w:rsidR="00ED0E46">
        <w:rPr>
          <w:sz w:val="26"/>
        </w:rPr>
        <w:t xml:space="preserve"> </w:t>
      </w:r>
      <w:r>
        <w:rPr>
          <w:sz w:val="26"/>
          <w:szCs w:val="26"/>
        </w:rPr>
        <w:t xml:space="preserve"> </w:t>
      </w:r>
      <w:r w:rsidR="00EF7A7D">
        <w:rPr>
          <w:sz w:val="26"/>
          <w:szCs w:val="26"/>
        </w:rPr>
        <w:t>Duquesne Light Company (D</w:t>
      </w:r>
      <w:r w:rsidR="00B005FF">
        <w:rPr>
          <w:sz w:val="26"/>
          <w:szCs w:val="26"/>
        </w:rPr>
        <w:t>LC</w:t>
      </w:r>
      <w:r w:rsidR="00EF7A7D">
        <w:rPr>
          <w:sz w:val="26"/>
          <w:szCs w:val="26"/>
        </w:rPr>
        <w:t xml:space="preserve"> or Respondent) filed </w:t>
      </w:r>
      <w:r>
        <w:rPr>
          <w:sz w:val="26"/>
          <w:szCs w:val="26"/>
        </w:rPr>
        <w:t xml:space="preserve">Replies to Exceptions </w:t>
      </w:r>
      <w:r w:rsidR="00EF7A7D">
        <w:rPr>
          <w:sz w:val="26"/>
          <w:szCs w:val="26"/>
        </w:rPr>
        <w:t>on February 12, 2018</w:t>
      </w:r>
      <w:r w:rsidR="00084A25">
        <w:rPr>
          <w:sz w:val="26"/>
          <w:szCs w:val="26"/>
        </w:rPr>
        <w:t>.</w:t>
      </w:r>
      <w:r>
        <w:rPr>
          <w:sz w:val="26"/>
          <w:szCs w:val="26"/>
        </w:rPr>
        <w:t xml:space="preserve"> </w:t>
      </w:r>
      <w:r w:rsidR="00736AC4">
        <w:rPr>
          <w:sz w:val="26"/>
          <w:szCs w:val="26"/>
        </w:rPr>
        <w:t xml:space="preserve"> </w:t>
      </w:r>
      <w:r>
        <w:rPr>
          <w:sz w:val="26"/>
          <w:szCs w:val="26"/>
        </w:rPr>
        <w:t xml:space="preserve">For the reasons stated below, we shall </w:t>
      </w:r>
      <w:r w:rsidR="00EF7A7D">
        <w:rPr>
          <w:sz w:val="26"/>
          <w:szCs w:val="26"/>
        </w:rPr>
        <w:t xml:space="preserve">deny </w:t>
      </w:r>
      <w:r w:rsidR="00863865">
        <w:rPr>
          <w:sz w:val="26"/>
          <w:szCs w:val="26"/>
        </w:rPr>
        <w:t xml:space="preserve">the </w:t>
      </w:r>
      <w:r w:rsidR="00EF7A7D">
        <w:rPr>
          <w:sz w:val="26"/>
          <w:szCs w:val="26"/>
        </w:rPr>
        <w:t xml:space="preserve">Complainant’s </w:t>
      </w:r>
      <w:r w:rsidR="00936338">
        <w:rPr>
          <w:sz w:val="26"/>
          <w:szCs w:val="26"/>
        </w:rPr>
        <w:t>Exceptions</w:t>
      </w:r>
      <w:r w:rsidR="00BF3298">
        <w:rPr>
          <w:sz w:val="26"/>
          <w:szCs w:val="26"/>
        </w:rPr>
        <w:t xml:space="preserve"> </w:t>
      </w:r>
      <w:r w:rsidR="00936338">
        <w:rPr>
          <w:sz w:val="26"/>
          <w:szCs w:val="26"/>
        </w:rPr>
        <w:t xml:space="preserve">and </w:t>
      </w:r>
      <w:r w:rsidR="00EF7A7D">
        <w:rPr>
          <w:sz w:val="26"/>
          <w:szCs w:val="26"/>
        </w:rPr>
        <w:t>adopt</w:t>
      </w:r>
      <w:r>
        <w:rPr>
          <w:sz w:val="26"/>
          <w:szCs w:val="26"/>
        </w:rPr>
        <w:t xml:space="preserve"> the ALJ’s Initial Decision</w:t>
      </w:r>
      <w:r w:rsidR="00BF3298">
        <w:rPr>
          <w:sz w:val="26"/>
          <w:szCs w:val="26"/>
        </w:rPr>
        <w:t>, consistent with the discussion in this Opinion and Order</w:t>
      </w:r>
      <w:r>
        <w:rPr>
          <w:sz w:val="26"/>
          <w:szCs w:val="26"/>
        </w:rPr>
        <w:t>.</w:t>
      </w:r>
    </w:p>
    <w:p w:rsidR="00362799" w:rsidRDefault="00362799" w:rsidP="00A237FC">
      <w:pPr>
        <w:ind w:firstLine="1440"/>
        <w:jc w:val="left"/>
        <w:rPr>
          <w:sz w:val="26"/>
          <w:szCs w:val="26"/>
        </w:rPr>
      </w:pPr>
    </w:p>
    <w:p w:rsidR="00957DB5" w:rsidRDefault="00957DB5" w:rsidP="00A342A1">
      <w:pPr>
        <w:pStyle w:val="ListParagraph"/>
        <w:keepNext/>
        <w:keepLines/>
        <w:ind w:left="0" w:firstLine="0"/>
        <w:rPr>
          <w:b/>
          <w:sz w:val="26"/>
          <w:szCs w:val="26"/>
        </w:rPr>
      </w:pPr>
      <w:r w:rsidRPr="00D46080">
        <w:rPr>
          <w:b/>
          <w:sz w:val="26"/>
          <w:szCs w:val="26"/>
        </w:rPr>
        <w:t>History of the Proceeding</w:t>
      </w:r>
    </w:p>
    <w:p w:rsidR="00362799" w:rsidRPr="00A342A1" w:rsidRDefault="00362799" w:rsidP="00362799">
      <w:pPr>
        <w:pStyle w:val="ListParagraph"/>
        <w:keepNext/>
        <w:keepLines/>
        <w:jc w:val="both"/>
        <w:rPr>
          <w:sz w:val="26"/>
          <w:szCs w:val="26"/>
        </w:rPr>
      </w:pPr>
    </w:p>
    <w:p w:rsidR="00362799" w:rsidRDefault="00362799" w:rsidP="00362799">
      <w:pPr>
        <w:pStyle w:val="ListParagraph"/>
        <w:ind w:left="0" w:firstLine="1440"/>
        <w:jc w:val="left"/>
        <w:rPr>
          <w:sz w:val="26"/>
          <w:szCs w:val="26"/>
        </w:rPr>
      </w:pPr>
      <w:r w:rsidRPr="00362799">
        <w:rPr>
          <w:sz w:val="26"/>
          <w:szCs w:val="26"/>
        </w:rPr>
        <w:t xml:space="preserve">On July 27, 2017, </w:t>
      </w:r>
      <w:r w:rsidR="00A91C47">
        <w:rPr>
          <w:sz w:val="26"/>
          <w:szCs w:val="26"/>
        </w:rPr>
        <w:t xml:space="preserve">the </w:t>
      </w:r>
      <w:r w:rsidRPr="00362799">
        <w:rPr>
          <w:sz w:val="26"/>
          <w:szCs w:val="26"/>
        </w:rPr>
        <w:t xml:space="preserve">Complainant filed a </w:t>
      </w:r>
      <w:r w:rsidR="00A91C47">
        <w:rPr>
          <w:sz w:val="26"/>
          <w:szCs w:val="26"/>
        </w:rPr>
        <w:t>F</w:t>
      </w:r>
      <w:r w:rsidRPr="00362799">
        <w:rPr>
          <w:sz w:val="26"/>
          <w:szCs w:val="26"/>
        </w:rPr>
        <w:t xml:space="preserve">ormal Complaint </w:t>
      </w:r>
      <w:r w:rsidR="00A91C47">
        <w:rPr>
          <w:sz w:val="26"/>
          <w:szCs w:val="26"/>
        </w:rPr>
        <w:t xml:space="preserve">(Complaint) </w:t>
      </w:r>
      <w:r w:rsidRPr="00362799">
        <w:rPr>
          <w:sz w:val="26"/>
          <w:szCs w:val="26"/>
        </w:rPr>
        <w:t>against D</w:t>
      </w:r>
      <w:r w:rsidR="00B005FF">
        <w:rPr>
          <w:sz w:val="26"/>
          <w:szCs w:val="26"/>
        </w:rPr>
        <w:t>LC</w:t>
      </w:r>
      <w:r w:rsidRPr="00362799">
        <w:rPr>
          <w:sz w:val="26"/>
          <w:szCs w:val="26"/>
        </w:rPr>
        <w:t xml:space="preserve"> alleging that D</w:t>
      </w:r>
      <w:r w:rsidR="00B005FF">
        <w:rPr>
          <w:sz w:val="26"/>
          <w:szCs w:val="26"/>
        </w:rPr>
        <w:t>LC</w:t>
      </w:r>
      <w:r w:rsidRPr="00362799">
        <w:rPr>
          <w:sz w:val="26"/>
          <w:szCs w:val="26"/>
        </w:rPr>
        <w:t xml:space="preserve"> mis-billed him by transferring charges incurred at a prior residence from an account not in his name. </w:t>
      </w:r>
      <w:r w:rsidR="000858FC">
        <w:rPr>
          <w:sz w:val="26"/>
          <w:szCs w:val="26"/>
        </w:rPr>
        <w:t xml:space="preserve"> </w:t>
      </w:r>
      <w:r w:rsidR="00A91C47">
        <w:rPr>
          <w:sz w:val="26"/>
          <w:szCs w:val="26"/>
        </w:rPr>
        <w:t>The Complainant also indicated that D</w:t>
      </w:r>
      <w:r w:rsidR="00B005FF">
        <w:rPr>
          <w:sz w:val="26"/>
          <w:szCs w:val="26"/>
        </w:rPr>
        <w:t>LC</w:t>
      </w:r>
      <w:r w:rsidR="00A91C47">
        <w:rPr>
          <w:sz w:val="26"/>
          <w:szCs w:val="26"/>
        </w:rPr>
        <w:t xml:space="preserve"> is threatening or has already shut off his electric service and that he would </w:t>
      </w:r>
      <w:r w:rsidR="00A902A3">
        <w:rPr>
          <w:sz w:val="26"/>
          <w:szCs w:val="26"/>
        </w:rPr>
        <w:t xml:space="preserve">like a payment arrangement.  Complaint at 2-3; </w:t>
      </w:r>
      <w:r w:rsidR="000858FC">
        <w:rPr>
          <w:sz w:val="26"/>
          <w:szCs w:val="26"/>
        </w:rPr>
        <w:t>I.D. at 1.</w:t>
      </w:r>
    </w:p>
    <w:p w:rsidR="00362799" w:rsidRPr="00362799" w:rsidRDefault="00362799" w:rsidP="00362799">
      <w:pPr>
        <w:pStyle w:val="ListParagraph"/>
        <w:ind w:left="0" w:firstLine="1440"/>
        <w:jc w:val="left"/>
        <w:rPr>
          <w:sz w:val="26"/>
          <w:szCs w:val="26"/>
        </w:rPr>
      </w:pPr>
    </w:p>
    <w:p w:rsidR="00362799" w:rsidRDefault="00362799" w:rsidP="00362799">
      <w:pPr>
        <w:pStyle w:val="ListParagraph"/>
        <w:ind w:left="0" w:firstLine="1440"/>
        <w:jc w:val="left"/>
        <w:rPr>
          <w:sz w:val="26"/>
          <w:szCs w:val="26"/>
        </w:rPr>
      </w:pPr>
      <w:r w:rsidRPr="00362799">
        <w:rPr>
          <w:sz w:val="26"/>
          <w:szCs w:val="26"/>
        </w:rPr>
        <w:t>On August 21, 2017, D</w:t>
      </w:r>
      <w:r w:rsidR="00B005FF">
        <w:rPr>
          <w:sz w:val="26"/>
          <w:szCs w:val="26"/>
        </w:rPr>
        <w:t>LC</w:t>
      </w:r>
      <w:r w:rsidRPr="00362799">
        <w:rPr>
          <w:sz w:val="26"/>
          <w:szCs w:val="26"/>
        </w:rPr>
        <w:t xml:space="preserve"> filed an Answer </w:t>
      </w:r>
      <w:r w:rsidR="00A902A3">
        <w:rPr>
          <w:sz w:val="26"/>
          <w:szCs w:val="26"/>
        </w:rPr>
        <w:t xml:space="preserve">(Answer) </w:t>
      </w:r>
      <w:r w:rsidRPr="00362799">
        <w:rPr>
          <w:sz w:val="26"/>
          <w:szCs w:val="26"/>
        </w:rPr>
        <w:t xml:space="preserve">in which it denied the allegations set forth in the Complaint and asserted that it properly transferred charges from an account in the name of </w:t>
      </w:r>
      <w:r w:rsidR="00A902A3">
        <w:rPr>
          <w:sz w:val="26"/>
          <w:szCs w:val="26"/>
        </w:rPr>
        <w:t xml:space="preserve">the </w:t>
      </w:r>
      <w:r w:rsidRPr="00362799">
        <w:rPr>
          <w:sz w:val="26"/>
          <w:szCs w:val="26"/>
        </w:rPr>
        <w:t xml:space="preserve">Complainant’s wife, incurred at a prior joint-residence, to the account in </w:t>
      </w:r>
      <w:r w:rsidR="00A902A3">
        <w:rPr>
          <w:sz w:val="26"/>
          <w:szCs w:val="26"/>
        </w:rPr>
        <w:t xml:space="preserve">the </w:t>
      </w:r>
      <w:r w:rsidRPr="00362799">
        <w:rPr>
          <w:sz w:val="26"/>
          <w:szCs w:val="26"/>
        </w:rPr>
        <w:t>husband’s name at the couples’ new residence.</w:t>
      </w:r>
      <w:r w:rsidR="000858FC">
        <w:rPr>
          <w:sz w:val="26"/>
          <w:szCs w:val="26"/>
        </w:rPr>
        <w:t xml:space="preserve">  </w:t>
      </w:r>
      <w:r w:rsidR="00A902A3">
        <w:rPr>
          <w:sz w:val="26"/>
          <w:szCs w:val="26"/>
        </w:rPr>
        <w:t>Answer at</w:t>
      </w:r>
      <w:r w:rsidR="003A409C">
        <w:rPr>
          <w:sz w:val="26"/>
          <w:szCs w:val="26"/>
        </w:rPr>
        <w:t> </w:t>
      </w:r>
      <w:r w:rsidR="00A902A3">
        <w:rPr>
          <w:sz w:val="26"/>
          <w:szCs w:val="26"/>
        </w:rPr>
        <w:t xml:space="preserve">1-3; </w:t>
      </w:r>
      <w:r w:rsidR="000858FC">
        <w:rPr>
          <w:sz w:val="26"/>
          <w:szCs w:val="26"/>
        </w:rPr>
        <w:t>I.D. at 1.</w:t>
      </w:r>
    </w:p>
    <w:p w:rsidR="00362799" w:rsidRDefault="00362799" w:rsidP="00362799">
      <w:pPr>
        <w:pStyle w:val="ListParagraph"/>
        <w:ind w:left="0" w:firstLine="1440"/>
        <w:jc w:val="left"/>
        <w:rPr>
          <w:sz w:val="26"/>
          <w:szCs w:val="26"/>
        </w:rPr>
      </w:pPr>
    </w:p>
    <w:p w:rsidR="00362799" w:rsidRPr="00362799" w:rsidRDefault="00362799" w:rsidP="006644CF">
      <w:pPr>
        <w:pStyle w:val="NoSpacing"/>
        <w:spacing w:line="360" w:lineRule="auto"/>
        <w:ind w:firstLine="1440"/>
        <w:rPr>
          <w:sz w:val="26"/>
          <w:szCs w:val="26"/>
        </w:rPr>
      </w:pPr>
      <w:r w:rsidRPr="00362799">
        <w:rPr>
          <w:sz w:val="26"/>
          <w:szCs w:val="26"/>
        </w:rPr>
        <w:t xml:space="preserve">On October 10, 2017, a telephonic hearing </w:t>
      </w:r>
      <w:r w:rsidR="00A902A3">
        <w:rPr>
          <w:sz w:val="26"/>
          <w:szCs w:val="26"/>
        </w:rPr>
        <w:t xml:space="preserve">was held in this matter.  </w:t>
      </w:r>
      <w:r w:rsidR="004341FC">
        <w:rPr>
          <w:sz w:val="26"/>
          <w:szCs w:val="26"/>
        </w:rPr>
        <w:t>D</w:t>
      </w:r>
      <w:r w:rsidR="00B005FF">
        <w:rPr>
          <w:sz w:val="26"/>
          <w:szCs w:val="26"/>
        </w:rPr>
        <w:t>LC</w:t>
      </w:r>
      <w:r w:rsidR="004341FC">
        <w:rPr>
          <w:sz w:val="26"/>
          <w:szCs w:val="26"/>
        </w:rPr>
        <w:t xml:space="preserve"> was represented by counsel.  </w:t>
      </w:r>
      <w:r w:rsidR="001534D6">
        <w:rPr>
          <w:sz w:val="26"/>
          <w:szCs w:val="26"/>
        </w:rPr>
        <w:t xml:space="preserve">The </w:t>
      </w:r>
      <w:r w:rsidRPr="00362799">
        <w:rPr>
          <w:sz w:val="26"/>
          <w:szCs w:val="26"/>
        </w:rPr>
        <w:t xml:space="preserve">Complainant was present and represented himself. </w:t>
      </w:r>
      <w:r w:rsidR="00E40B88">
        <w:rPr>
          <w:sz w:val="26"/>
          <w:szCs w:val="26"/>
        </w:rPr>
        <w:t xml:space="preserve"> </w:t>
      </w:r>
      <w:r w:rsidRPr="00362799">
        <w:rPr>
          <w:sz w:val="26"/>
          <w:szCs w:val="26"/>
        </w:rPr>
        <w:t>D</w:t>
      </w:r>
      <w:r w:rsidR="00B005FF">
        <w:rPr>
          <w:sz w:val="26"/>
          <w:szCs w:val="26"/>
        </w:rPr>
        <w:t>LC</w:t>
      </w:r>
      <w:r w:rsidRPr="00362799">
        <w:rPr>
          <w:sz w:val="26"/>
          <w:szCs w:val="26"/>
        </w:rPr>
        <w:t xml:space="preserve"> presented the testimony of one witness, a Regulatory Consumer Relations Specialist with D</w:t>
      </w:r>
      <w:r w:rsidR="00B005FF">
        <w:rPr>
          <w:sz w:val="26"/>
          <w:szCs w:val="26"/>
        </w:rPr>
        <w:t>LC</w:t>
      </w:r>
      <w:r w:rsidRPr="00362799">
        <w:rPr>
          <w:sz w:val="26"/>
          <w:szCs w:val="26"/>
        </w:rPr>
        <w:t xml:space="preserve">. </w:t>
      </w:r>
      <w:r w:rsidR="00E40B88">
        <w:rPr>
          <w:sz w:val="26"/>
          <w:szCs w:val="26"/>
        </w:rPr>
        <w:t xml:space="preserve"> </w:t>
      </w:r>
      <w:r w:rsidRPr="00362799">
        <w:rPr>
          <w:sz w:val="26"/>
          <w:szCs w:val="26"/>
        </w:rPr>
        <w:t>D</w:t>
      </w:r>
      <w:r w:rsidR="00B005FF">
        <w:rPr>
          <w:sz w:val="26"/>
          <w:szCs w:val="26"/>
        </w:rPr>
        <w:t>LC</w:t>
      </w:r>
      <w:r w:rsidRPr="00362799">
        <w:rPr>
          <w:sz w:val="26"/>
          <w:szCs w:val="26"/>
        </w:rPr>
        <w:t xml:space="preserve"> offered two exhibits </w:t>
      </w:r>
      <w:r w:rsidR="004341FC">
        <w:rPr>
          <w:sz w:val="26"/>
          <w:szCs w:val="26"/>
        </w:rPr>
        <w:t xml:space="preserve">which </w:t>
      </w:r>
      <w:r w:rsidRPr="00362799">
        <w:rPr>
          <w:sz w:val="26"/>
          <w:szCs w:val="26"/>
        </w:rPr>
        <w:t xml:space="preserve">were </w:t>
      </w:r>
      <w:r w:rsidR="001534D6">
        <w:rPr>
          <w:sz w:val="26"/>
          <w:szCs w:val="26"/>
        </w:rPr>
        <w:t>admitted</w:t>
      </w:r>
      <w:r w:rsidR="004341FC">
        <w:rPr>
          <w:sz w:val="26"/>
          <w:szCs w:val="26"/>
        </w:rPr>
        <w:t xml:space="preserve"> into the record.  </w:t>
      </w:r>
      <w:proofErr w:type="gramStart"/>
      <w:r w:rsidRPr="00362799">
        <w:rPr>
          <w:sz w:val="26"/>
          <w:szCs w:val="26"/>
        </w:rPr>
        <w:t>At the conclusion of</w:t>
      </w:r>
      <w:proofErr w:type="gramEnd"/>
      <w:r w:rsidRPr="00362799">
        <w:rPr>
          <w:sz w:val="26"/>
          <w:szCs w:val="26"/>
        </w:rPr>
        <w:t xml:space="preserve"> the hearing, D</w:t>
      </w:r>
      <w:r w:rsidR="00B005FF">
        <w:rPr>
          <w:sz w:val="26"/>
          <w:szCs w:val="26"/>
        </w:rPr>
        <w:t>LC</w:t>
      </w:r>
      <w:r w:rsidRPr="00362799">
        <w:rPr>
          <w:sz w:val="26"/>
          <w:szCs w:val="26"/>
        </w:rPr>
        <w:t xml:space="preserve"> moved for dismissal of the Complaint on the grounds that </w:t>
      </w:r>
      <w:r w:rsidR="001534D6">
        <w:rPr>
          <w:sz w:val="26"/>
          <w:szCs w:val="26"/>
        </w:rPr>
        <w:lastRenderedPageBreak/>
        <w:t xml:space="preserve">the </w:t>
      </w:r>
      <w:r w:rsidRPr="00362799">
        <w:rPr>
          <w:sz w:val="26"/>
          <w:szCs w:val="26"/>
        </w:rPr>
        <w:t xml:space="preserve">Complainant failed to meet his burden of proof. </w:t>
      </w:r>
      <w:r w:rsidR="000858FC">
        <w:rPr>
          <w:sz w:val="26"/>
          <w:szCs w:val="26"/>
        </w:rPr>
        <w:t xml:space="preserve"> I.D. at 2.</w:t>
      </w:r>
      <w:r w:rsidR="00FD37F1">
        <w:rPr>
          <w:sz w:val="26"/>
          <w:szCs w:val="26"/>
        </w:rPr>
        <w:t xml:space="preserve">  </w:t>
      </w:r>
      <w:r w:rsidRPr="00362799">
        <w:rPr>
          <w:sz w:val="26"/>
          <w:szCs w:val="26"/>
        </w:rPr>
        <w:t xml:space="preserve">The hearing concluded on October 10, 2017. </w:t>
      </w:r>
      <w:r w:rsidR="00E40B88">
        <w:rPr>
          <w:sz w:val="26"/>
          <w:szCs w:val="26"/>
        </w:rPr>
        <w:t xml:space="preserve"> </w:t>
      </w:r>
      <w:r w:rsidRPr="00362799">
        <w:rPr>
          <w:sz w:val="26"/>
          <w:szCs w:val="26"/>
        </w:rPr>
        <w:t>The record</w:t>
      </w:r>
      <w:r>
        <w:rPr>
          <w:sz w:val="26"/>
          <w:szCs w:val="26"/>
        </w:rPr>
        <w:t xml:space="preserve"> </w:t>
      </w:r>
      <w:r w:rsidRPr="00362799">
        <w:rPr>
          <w:sz w:val="26"/>
          <w:szCs w:val="26"/>
        </w:rPr>
        <w:t xml:space="preserve">closed on October 31, 2017, with the filing of the transcript of the hearing with the Secretary of the Commission. </w:t>
      </w:r>
      <w:r w:rsidR="00E40B88">
        <w:rPr>
          <w:sz w:val="26"/>
          <w:szCs w:val="26"/>
        </w:rPr>
        <w:t xml:space="preserve"> </w:t>
      </w:r>
      <w:r w:rsidRPr="00362799">
        <w:rPr>
          <w:sz w:val="26"/>
          <w:szCs w:val="26"/>
        </w:rPr>
        <w:t xml:space="preserve">The record in this proceeding consists of </w:t>
      </w:r>
      <w:r w:rsidR="00FD37F1">
        <w:rPr>
          <w:sz w:val="26"/>
          <w:szCs w:val="26"/>
        </w:rPr>
        <w:t>a</w:t>
      </w:r>
      <w:r w:rsidRPr="00362799">
        <w:rPr>
          <w:sz w:val="26"/>
          <w:szCs w:val="26"/>
        </w:rPr>
        <w:t xml:space="preserve"> </w:t>
      </w:r>
      <w:r w:rsidR="001534D6">
        <w:rPr>
          <w:sz w:val="26"/>
          <w:szCs w:val="26"/>
        </w:rPr>
        <w:t>thirty</w:t>
      </w:r>
      <w:r w:rsidRPr="00362799">
        <w:rPr>
          <w:sz w:val="26"/>
          <w:szCs w:val="26"/>
        </w:rPr>
        <w:t>-page transcript, and D</w:t>
      </w:r>
      <w:r w:rsidR="00B005FF">
        <w:rPr>
          <w:sz w:val="26"/>
          <w:szCs w:val="26"/>
        </w:rPr>
        <w:t>LC</w:t>
      </w:r>
      <w:r w:rsidRPr="00362799">
        <w:rPr>
          <w:sz w:val="26"/>
          <w:szCs w:val="26"/>
        </w:rPr>
        <w:t>’s Exhibits C and D.</w:t>
      </w:r>
      <w:r w:rsidR="000858FC">
        <w:rPr>
          <w:sz w:val="26"/>
          <w:szCs w:val="26"/>
        </w:rPr>
        <w:t xml:space="preserve"> </w:t>
      </w:r>
      <w:r w:rsidR="006644CF">
        <w:rPr>
          <w:sz w:val="26"/>
          <w:szCs w:val="26"/>
        </w:rPr>
        <w:t xml:space="preserve"> </w:t>
      </w:r>
      <w:r w:rsidR="000858FC">
        <w:rPr>
          <w:sz w:val="26"/>
          <w:szCs w:val="26"/>
        </w:rPr>
        <w:t>I.D. at 2.</w:t>
      </w:r>
    </w:p>
    <w:p w:rsidR="009D5BE5" w:rsidRDefault="009D5BE5" w:rsidP="00362799">
      <w:pPr>
        <w:pStyle w:val="NoSpacing"/>
        <w:spacing w:line="360" w:lineRule="auto"/>
        <w:ind w:firstLine="1440"/>
        <w:rPr>
          <w:sz w:val="26"/>
          <w:szCs w:val="26"/>
        </w:rPr>
      </w:pPr>
    </w:p>
    <w:p w:rsidR="003A2BD7" w:rsidRDefault="009D5BE5" w:rsidP="00362799">
      <w:pPr>
        <w:pStyle w:val="NoSpacing"/>
        <w:spacing w:line="360" w:lineRule="auto"/>
        <w:ind w:firstLine="1440"/>
        <w:rPr>
          <w:sz w:val="26"/>
          <w:szCs w:val="26"/>
        </w:rPr>
      </w:pPr>
      <w:r>
        <w:rPr>
          <w:sz w:val="26"/>
          <w:szCs w:val="26"/>
        </w:rPr>
        <w:t>In h</w:t>
      </w:r>
      <w:r w:rsidR="00362799">
        <w:rPr>
          <w:sz w:val="26"/>
          <w:szCs w:val="26"/>
        </w:rPr>
        <w:t>is</w:t>
      </w:r>
      <w:r>
        <w:rPr>
          <w:sz w:val="26"/>
          <w:szCs w:val="26"/>
        </w:rPr>
        <w:t xml:space="preserve"> Initial Decision, issued on </w:t>
      </w:r>
      <w:r w:rsidR="00362799">
        <w:rPr>
          <w:sz w:val="26"/>
          <w:szCs w:val="26"/>
        </w:rPr>
        <w:t>January 11, 2018</w:t>
      </w:r>
      <w:r>
        <w:rPr>
          <w:sz w:val="26"/>
          <w:szCs w:val="26"/>
        </w:rPr>
        <w:t xml:space="preserve">, ALJ </w:t>
      </w:r>
      <w:r w:rsidR="00362799">
        <w:rPr>
          <w:sz w:val="26"/>
          <w:szCs w:val="26"/>
        </w:rPr>
        <w:t>Buckley</w:t>
      </w:r>
      <w:r>
        <w:rPr>
          <w:sz w:val="26"/>
          <w:szCs w:val="26"/>
        </w:rPr>
        <w:t xml:space="preserve"> </w:t>
      </w:r>
      <w:r w:rsidR="00362799">
        <w:rPr>
          <w:sz w:val="26"/>
          <w:szCs w:val="26"/>
        </w:rPr>
        <w:t>dismissed</w:t>
      </w:r>
      <w:r>
        <w:rPr>
          <w:sz w:val="26"/>
          <w:szCs w:val="26"/>
        </w:rPr>
        <w:t xml:space="preserve"> the Complaint.  As previously noted, on </w:t>
      </w:r>
      <w:r w:rsidR="00362799">
        <w:rPr>
          <w:sz w:val="26"/>
          <w:szCs w:val="26"/>
        </w:rPr>
        <w:t>January 22, 2018</w:t>
      </w:r>
      <w:r>
        <w:rPr>
          <w:sz w:val="26"/>
          <w:szCs w:val="26"/>
        </w:rPr>
        <w:t>,</w:t>
      </w:r>
      <w:r w:rsidR="00362799">
        <w:rPr>
          <w:sz w:val="26"/>
          <w:szCs w:val="26"/>
        </w:rPr>
        <w:t xml:space="preserve"> the Complainant</w:t>
      </w:r>
      <w:r>
        <w:rPr>
          <w:sz w:val="26"/>
          <w:szCs w:val="26"/>
        </w:rPr>
        <w:t xml:space="preserve"> filed Exceptions.</w:t>
      </w:r>
      <w:r w:rsidR="00F70950">
        <w:rPr>
          <w:rStyle w:val="FootnoteReference"/>
          <w:sz w:val="26"/>
          <w:szCs w:val="26"/>
        </w:rPr>
        <w:footnoteReference w:id="2"/>
      </w:r>
      <w:r>
        <w:rPr>
          <w:sz w:val="26"/>
          <w:szCs w:val="26"/>
        </w:rPr>
        <w:t xml:space="preserve">  </w:t>
      </w:r>
      <w:r w:rsidR="00362799">
        <w:rPr>
          <w:sz w:val="26"/>
          <w:szCs w:val="26"/>
        </w:rPr>
        <w:t>D</w:t>
      </w:r>
      <w:r w:rsidR="00B005FF">
        <w:rPr>
          <w:sz w:val="26"/>
          <w:szCs w:val="26"/>
        </w:rPr>
        <w:t>LC</w:t>
      </w:r>
      <w:r w:rsidR="00362799">
        <w:rPr>
          <w:sz w:val="26"/>
          <w:szCs w:val="26"/>
        </w:rPr>
        <w:t xml:space="preserve"> filed Reply Exceptions on February 12, 2018</w:t>
      </w:r>
      <w:r w:rsidR="006F06C3">
        <w:rPr>
          <w:sz w:val="26"/>
          <w:szCs w:val="26"/>
        </w:rPr>
        <w:t>.</w:t>
      </w:r>
    </w:p>
    <w:p w:rsidR="00AB6299" w:rsidRDefault="00AB6299" w:rsidP="00A237FC">
      <w:pPr>
        <w:pStyle w:val="NoSpacing"/>
        <w:spacing w:line="360" w:lineRule="auto"/>
        <w:rPr>
          <w:sz w:val="26"/>
          <w:szCs w:val="26"/>
        </w:rPr>
      </w:pPr>
    </w:p>
    <w:p w:rsidR="00A42FB0" w:rsidRDefault="003A2BD7" w:rsidP="00F4696E">
      <w:pPr>
        <w:pStyle w:val="NoSpacing"/>
        <w:keepNext/>
        <w:keepLines/>
        <w:spacing w:line="360" w:lineRule="auto"/>
        <w:jc w:val="center"/>
        <w:rPr>
          <w:sz w:val="26"/>
          <w:szCs w:val="26"/>
        </w:rPr>
      </w:pPr>
      <w:r>
        <w:rPr>
          <w:b/>
          <w:sz w:val="26"/>
          <w:szCs w:val="26"/>
        </w:rPr>
        <w:t>Discussion</w:t>
      </w:r>
    </w:p>
    <w:p w:rsidR="003A2BD7" w:rsidRDefault="003A2BD7" w:rsidP="00F4696E">
      <w:pPr>
        <w:pStyle w:val="NoSpacing"/>
        <w:keepNext/>
        <w:keepLines/>
        <w:spacing w:line="360" w:lineRule="auto"/>
        <w:rPr>
          <w:sz w:val="26"/>
          <w:szCs w:val="26"/>
        </w:rPr>
      </w:pPr>
    </w:p>
    <w:p w:rsidR="003A2BD7" w:rsidRDefault="003A2BD7" w:rsidP="00F4696E">
      <w:pPr>
        <w:pStyle w:val="NoSpacing"/>
        <w:keepNext/>
        <w:keepLines/>
        <w:spacing w:line="360" w:lineRule="auto"/>
        <w:rPr>
          <w:sz w:val="26"/>
          <w:szCs w:val="26"/>
        </w:rPr>
      </w:pPr>
      <w:r>
        <w:rPr>
          <w:b/>
          <w:sz w:val="26"/>
          <w:szCs w:val="26"/>
        </w:rPr>
        <w:t>Legal Standards</w:t>
      </w:r>
    </w:p>
    <w:p w:rsidR="003A2BD7" w:rsidRDefault="003A2BD7" w:rsidP="00F4696E">
      <w:pPr>
        <w:pStyle w:val="NoSpacing"/>
        <w:keepNext/>
        <w:keepLines/>
        <w:spacing w:line="360" w:lineRule="auto"/>
        <w:rPr>
          <w:sz w:val="26"/>
          <w:szCs w:val="26"/>
        </w:rPr>
      </w:pPr>
    </w:p>
    <w:p w:rsidR="00F55AB6" w:rsidRPr="00D64605" w:rsidRDefault="00F55AB6" w:rsidP="00A237FC">
      <w:pPr>
        <w:ind w:firstLine="1440"/>
        <w:jc w:val="left"/>
        <w:rPr>
          <w:sz w:val="26"/>
          <w:szCs w:val="26"/>
        </w:rPr>
      </w:pPr>
      <w:r w:rsidRPr="00D64605">
        <w:rPr>
          <w:sz w:val="26"/>
          <w:szCs w:val="26"/>
        </w:rPr>
        <w:t>As the proponent of a rule or order, the Complainant in this proceeding bear</w:t>
      </w:r>
      <w:r>
        <w:rPr>
          <w:sz w:val="26"/>
          <w:szCs w:val="26"/>
        </w:rPr>
        <w:t>s</w:t>
      </w:r>
      <w:r w:rsidRPr="00D64605">
        <w:rPr>
          <w:sz w:val="26"/>
          <w:szCs w:val="26"/>
        </w:rPr>
        <w:t xml:space="preserve"> the burden of proof pursuant to Section 332(a) of the Public Utility Code (Code), 66</w:t>
      </w:r>
      <w:r w:rsidR="00CC57CC">
        <w:rPr>
          <w:sz w:val="26"/>
          <w:szCs w:val="26"/>
        </w:rPr>
        <w:t> </w:t>
      </w:r>
      <w:r w:rsidRPr="00D64605">
        <w:rPr>
          <w:sz w:val="26"/>
          <w:szCs w:val="26"/>
        </w:rPr>
        <w:t xml:space="preserve">Pa. C.S. § 332(a).  To establish a sufficient case and satisfy the burden of proof, the Complainant must show that the </w:t>
      </w:r>
      <w:r>
        <w:rPr>
          <w:sz w:val="26"/>
          <w:szCs w:val="26"/>
        </w:rPr>
        <w:t>r</w:t>
      </w:r>
      <w:r w:rsidRPr="00D64605">
        <w:rPr>
          <w:sz w:val="26"/>
          <w:szCs w:val="26"/>
        </w:rPr>
        <w:t xml:space="preserve">espondent </w:t>
      </w:r>
      <w:r>
        <w:rPr>
          <w:sz w:val="26"/>
          <w:szCs w:val="26"/>
        </w:rPr>
        <w:t xml:space="preserve">utility, </w:t>
      </w:r>
      <w:r w:rsidR="000858FC">
        <w:rPr>
          <w:sz w:val="26"/>
          <w:szCs w:val="26"/>
        </w:rPr>
        <w:t>D</w:t>
      </w:r>
      <w:r w:rsidR="00B005FF">
        <w:rPr>
          <w:sz w:val="26"/>
          <w:szCs w:val="26"/>
        </w:rPr>
        <w:t>LC</w:t>
      </w:r>
      <w:r>
        <w:rPr>
          <w:sz w:val="26"/>
          <w:szCs w:val="26"/>
        </w:rPr>
        <w:t xml:space="preserve">, </w:t>
      </w:r>
      <w:r w:rsidRPr="00D64605">
        <w:rPr>
          <w:sz w:val="26"/>
          <w:szCs w:val="26"/>
        </w:rPr>
        <w:t xml:space="preserve">is responsible or accountable for the problem described in the Complaint.  </w:t>
      </w:r>
      <w:r w:rsidRPr="00D64605">
        <w:rPr>
          <w:i/>
          <w:sz w:val="26"/>
          <w:szCs w:val="26"/>
        </w:rPr>
        <w:t>Patterson v. The Bell Telephone Company of Pennsylvania</w:t>
      </w:r>
      <w:r w:rsidRPr="00D64605">
        <w:rPr>
          <w:sz w:val="26"/>
          <w:szCs w:val="26"/>
        </w:rPr>
        <w:t xml:space="preserve">, 72 Pa. P.U.C. 196 (1990).  Such a showing must be by a preponderance of the evidence.  </w:t>
      </w:r>
      <w:r w:rsidRPr="00D64605">
        <w:rPr>
          <w:i/>
          <w:iCs/>
          <w:sz w:val="26"/>
          <w:szCs w:val="26"/>
        </w:rPr>
        <w:t>Samuel J. Lansberry, Inc. v. Pa. PUC</w:t>
      </w:r>
      <w:r w:rsidRPr="00D64605">
        <w:rPr>
          <w:sz w:val="26"/>
          <w:szCs w:val="26"/>
        </w:rPr>
        <w:t xml:space="preserve">, 578 A.2d 600 (Pa. Cmwlth. 1990), </w:t>
      </w:r>
      <w:r w:rsidRPr="00D64605">
        <w:rPr>
          <w:i/>
          <w:sz w:val="26"/>
          <w:szCs w:val="26"/>
        </w:rPr>
        <w:t>alloc. denied,</w:t>
      </w:r>
      <w:r w:rsidRPr="00D64605">
        <w:rPr>
          <w:sz w:val="26"/>
          <w:szCs w:val="26"/>
        </w:rPr>
        <w:t xml:space="preserve"> 529 Pa. 654, 602 A.2d 863 (1992).  That is, the Complainant</w:t>
      </w:r>
      <w:r>
        <w:rPr>
          <w:sz w:val="26"/>
          <w:szCs w:val="26"/>
        </w:rPr>
        <w:t>’s</w:t>
      </w:r>
      <w:r w:rsidRPr="00D64605">
        <w:rPr>
          <w:sz w:val="26"/>
          <w:szCs w:val="26"/>
        </w:rPr>
        <w:t xml:space="preserve"> evidence must be more convincing, by even the smallest amount, than that presented by the </w:t>
      </w:r>
      <w:r>
        <w:rPr>
          <w:sz w:val="26"/>
          <w:szCs w:val="26"/>
        </w:rPr>
        <w:t>r</w:t>
      </w:r>
      <w:r w:rsidRPr="00D64605">
        <w:rPr>
          <w:sz w:val="26"/>
          <w:szCs w:val="26"/>
        </w:rPr>
        <w:t xml:space="preserve">espondent.  </w:t>
      </w:r>
      <w:r w:rsidRPr="00D64605">
        <w:rPr>
          <w:i/>
          <w:sz w:val="26"/>
          <w:szCs w:val="26"/>
        </w:rPr>
        <w:t>Se-Ling Hosiery, Inc. v. Margulies</w:t>
      </w:r>
      <w:r w:rsidRPr="00D64605">
        <w:rPr>
          <w:sz w:val="26"/>
          <w:szCs w:val="26"/>
        </w:rPr>
        <w:t xml:space="preserve">, 364 Pa. 45, 70 A.2d 854 (1950).  Additionally, this Commission’s decision must be supported by substantial evidence in </w:t>
      </w:r>
      <w:r w:rsidRPr="00D64605">
        <w:rPr>
          <w:sz w:val="26"/>
          <w:szCs w:val="26"/>
        </w:rPr>
        <w:lastRenderedPageBreak/>
        <w:t xml:space="preserve">the record.  More is required than a mere trace of evidence or a suspicion of the existence of a fact sought to be established.  </w:t>
      </w:r>
      <w:r w:rsidRPr="00D64605">
        <w:rPr>
          <w:i/>
          <w:sz w:val="26"/>
          <w:szCs w:val="26"/>
        </w:rPr>
        <w:t xml:space="preserve">Norfolk &amp; Western Ry. Co. v. Pa. PUC, </w:t>
      </w:r>
      <w:r w:rsidRPr="00D64605">
        <w:rPr>
          <w:sz w:val="26"/>
          <w:szCs w:val="26"/>
        </w:rPr>
        <w:t>489 Pa. 109, 413 A.2d 1037 (1980).</w:t>
      </w:r>
    </w:p>
    <w:p w:rsidR="00F55AB6" w:rsidRPr="00D64605" w:rsidRDefault="00F55AB6" w:rsidP="00203B13">
      <w:pPr>
        <w:jc w:val="left"/>
        <w:rPr>
          <w:sz w:val="26"/>
          <w:szCs w:val="26"/>
        </w:rPr>
      </w:pPr>
    </w:p>
    <w:p w:rsidR="00F55AB6" w:rsidRDefault="00F55AB6" w:rsidP="00203B13">
      <w:pPr>
        <w:autoSpaceDE w:val="0"/>
        <w:autoSpaceDN w:val="0"/>
        <w:adjustRightInd w:val="0"/>
        <w:ind w:firstLine="1440"/>
        <w:jc w:val="left"/>
        <w:rPr>
          <w:sz w:val="26"/>
        </w:rPr>
      </w:pPr>
      <w:r>
        <w:rPr>
          <w:sz w:val="26"/>
        </w:rPr>
        <w:t>Upon the presentation by a c</w:t>
      </w:r>
      <w:r w:rsidRPr="00D64605">
        <w:rPr>
          <w:sz w:val="26"/>
        </w:rPr>
        <w:t>omplainant of evidence sufficient to initially satisfy the burden of proof, the burden of going forward with the evidence, sometimes called the burden of persuasion</w:t>
      </w:r>
      <w:r>
        <w:rPr>
          <w:sz w:val="26"/>
        </w:rPr>
        <w:t>, to rebut the evidence of the c</w:t>
      </w:r>
      <w:r w:rsidRPr="00D64605">
        <w:rPr>
          <w:sz w:val="26"/>
        </w:rPr>
        <w:t xml:space="preserve">omplainant </w:t>
      </w:r>
      <w:r>
        <w:rPr>
          <w:sz w:val="26"/>
        </w:rPr>
        <w:t>shifts to the r</w:t>
      </w:r>
      <w:r w:rsidRPr="00D64605">
        <w:rPr>
          <w:sz w:val="26"/>
        </w:rPr>
        <w:t>espondent.  If</w:t>
      </w:r>
      <w:r>
        <w:rPr>
          <w:sz w:val="26"/>
        </w:rPr>
        <w:t xml:space="preserve"> the evidence presented by the r</w:t>
      </w:r>
      <w:r w:rsidRPr="00D64605">
        <w:rPr>
          <w:sz w:val="26"/>
        </w:rPr>
        <w:t>espondent is of co-equal value or “weight,” the burden of proo</w:t>
      </w:r>
      <w:r>
        <w:rPr>
          <w:sz w:val="26"/>
        </w:rPr>
        <w:t>f has not been satisfied.  The c</w:t>
      </w:r>
      <w:r w:rsidRPr="00D64605">
        <w:rPr>
          <w:sz w:val="26"/>
        </w:rPr>
        <w:t>omplainant now has to provide some additional</w:t>
      </w:r>
      <w:r>
        <w:rPr>
          <w:sz w:val="26"/>
        </w:rPr>
        <w:t xml:space="preserve"> evidence to rebut that of the r</w:t>
      </w:r>
      <w:r w:rsidRPr="00D64605">
        <w:rPr>
          <w:sz w:val="26"/>
        </w:rPr>
        <w:t xml:space="preserve">espondent. </w:t>
      </w:r>
      <w:r w:rsidRPr="00D64605">
        <w:rPr>
          <w:iCs/>
          <w:sz w:val="26"/>
        </w:rPr>
        <w:t xml:space="preserve"> </w:t>
      </w:r>
      <w:hyperlink r:id="rId8" w:history="1">
        <w:r w:rsidRPr="00F55AB6">
          <w:rPr>
            <w:rStyle w:val="Hyperlink"/>
            <w:rFonts w:ascii="Times New (W1)" w:hAnsi="Times New (W1)"/>
            <w:i/>
            <w:iCs/>
            <w:color w:val="auto"/>
            <w:sz w:val="26"/>
            <w:u w:val="none"/>
          </w:rPr>
          <w:t>Burleson v. Pa. PUC,</w:t>
        </w:r>
        <w:r w:rsidRPr="00F55AB6">
          <w:rPr>
            <w:rStyle w:val="Hyperlink"/>
            <w:rFonts w:ascii="Times New (W1)" w:hAnsi="Times New (W1)"/>
            <w:iCs/>
            <w:color w:val="auto"/>
            <w:sz w:val="26"/>
            <w:u w:val="none"/>
          </w:rPr>
          <w:t xml:space="preserve"> 443 A.2d 1373 (Pa. Cmwlth. 1982), </w:t>
        </w:r>
        <w:r w:rsidRPr="00F55AB6">
          <w:rPr>
            <w:rStyle w:val="Hyperlink"/>
            <w:rFonts w:ascii="Times New (W1)" w:hAnsi="Times New (W1)"/>
            <w:i/>
            <w:iCs/>
            <w:color w:val="auto"/>
            <w:sz w:val="26"/>
            <w:u w:val="none"/>
          </w:rPr>
          <w:t>aff’d,</w:t>
        </w:r>
        <w:r w:rsidRPr="00F55AB6">
          <w:rPr>
            <w:rStyle w:val="Hyperlink"/>
            <w:rFonts w:ascii="Times New (W1)" w:hAnsi="Times New (W1)"/>
            <w:iCs/>
            <w:color w:val="auto"/>
            <w:sz w:val="26"/>
            <w:u w:val="none"/>
          </w:rPr>
          <w:t xml:space="preserve"> 501 Pa. 433, 461 A.2d 1234 (1983).</w:t>
        </w:r>
      </w:hyperlink>
      <w:r w:rsidRPr="00F55AB6">
        <w:rPr>
          <w:rStyle w:val="Hyperlink"/>
          <w:rFonts w:ascii="Times New (W1)" w:hAnsi="Times New (W1)"/>
          <w:iCs/>
          <w:color w:val="auto"/>
          <w:sz w:val="26"/>
          <w:u w:val="none"/>
        </w:rPr>
        <w:t xml:space="preserve">  </w:t>
      </w:r>
      <w:r w:rsidRPr="00D64605">
        <w:rPr>
          <w:sz w:val="26"/>
        </w:rPr>
        <w:t xml:space="preserve">While the burden of persuasion may </w:t>
      </w:r>
      <w:r w:rsidRPr="00F55AB6">
        <w:rPr>
          <w:rStyle w:val="term1"/>
          <w:b w:val="0"/>
          <w:sz w:val="26"/>
        </w:rPr>
        <w:t>shift</w:t>
      </w:r>
      <w:r w:rsidRPr="00F55AB6">
        <w:rPr>
          <w:sz w:val="26"/>
        </w:rPr>
        <w:t xml:space="preserve"> back and forth during a proceeding, the </w:t>
      </w:r>
      <w:r w:rsidRPr="00F55AB6">
        <w:rPr>
          <w:rStyle w:val="term1"/>
          <w:b w:val="0"/>
          <w:sz w:val="26"/>
        </w:rPr>
        <w:t>burden of proof</w:t>
      </w:r>
      <w:r w:rsidRPr="00F55AB6">
        <w:rPr>
          <w:sz w:val="26"/>
        </w:rPr>
        <w:t xml:space="preserve"> never </w:t>
      </w:r>
      <w:r w:rsidRPr="00F55AB6">
        <w:rPr>
          <w:rStyle w:val="term1"/>
          <w:b w:val="0"/>
          <w:sz w:val="26"/>
        </w:rPr>
        <w:t>shifts.  The burden of proof</w:t>
      </w:r>
      <w:r w:rsidRPr="00D64605">
        <w:rPr>
          <w:sz w:val="26"/>
        </w:rPr>
        <w:t xml:space="preserve"> always remains on the party seeking affirmative relief from the Commission.  </w:t>
      </w:r>
      <w:r w:rsidRPr="00D64605">
        <w:rPr>
          <w:i/>
          <w:sz w:val="26"/>
        </w:rPr>
        <w:t xml:space="preserve">Milkie v. Pa. PUC, </w:t>
      </w:r>
      <w:r w:rsidRPr="00D64605">
        <w:rPr>
          <w:sz w:val="26"/>
        </w:rPr>
        <w:t>768 A.2d 1217 (Pa. Cmwlth. 2001).</w:t>
      </w:r>
    </w:p>
    <w:p w:rsidR="00F55AB6" w:rsidRDefault="00F55AB6" w:rsidP="00203B13">
      <w:pPr>
        <w:pStyle w:val="NoSpacing"/>
        <w:spacing w:line="360" w:lineRule="auto"/>
        <w:rPr>
          <w:sz w:val="26"/>
          <w:szCs w:val="26"/>
        </w:rPr>
      </w:pPr>
    </w:p>
    <w:p w:rsidR="002B1018" w:rsidRDefault="002B1018" w:rsidP="00F4696E">
      <w:pPr>
        <w:pStyle w:val="NoSpacing"/>
        <w:keepNext/>
        <w:keepLines/>
        <w:spacing w:line="360" w:lineRule="auto"/>
        <w:rPr>
          <w:b/>
          <w:sz w:val="26"/>
          <w:szCs w:val="26"/>
        </w:rPr>
      </w:pPr>
      <w:r>
        <w:rPr>
          <w:b/>
          <w:sz w:val="26"/>
          <w:szCs w:val="26"/>
        </w:rPr>
        <w:t>ALJ’s Initial Decision</w:t>
      </w:r>
    </w:p>
    <w:p w:rsidR="002B1018" w:rsidRDefault="002B1018" w:rsidP="00F4696E">
      <w:pPr>
        <w:pStyle w:val="NoSpacing"/>
        <w:keepNext/>
        <w:keepLines/>
        <w:spacing w:line="360" w:lineRule="auto"/>
        <w:rPr>
          <w:b/>
          <w:sz w:val="26"/>
          <w:szCs w:val="26"/>
        </w:rPr>
      </w:pPr>
    </w:p>
    <w:p w:rsidR="002B1018" w:rsidRDefault="002B1018" w:rsidP="00203B13">
      <w:pPr>
        <w:autoSpaceDE w:val="0"/>
        <w:autoSpaceDN w:val="0"/>
        <w:adjustRightInd w:val="0"/>
        <w:ind w:firstLine="1440"/>
        <w:jc w:val="left"/>
        <w:rPr>
          <w:sz w:val="26"/>
          <w:szCs w:val="26"/>
        </w:rPr>
      </w:pPr>
      <w:r>
        <w:rPr>
          <w:sz w:val="26"/>
          <w:szCs w:val="26"/>
        </w:rPr>
        <w:t xml:space="preserve">In </w:t>
      </w:r>
      <w:r w:rsidR="00FB2F71">
        <w:rPr>
          <w:sz w:val="26"/>
          <w:szCs w:val="26"/>
        </w:rPr>
        <w:t>the</w:t>
      </w:r>
      <w:r>
        <w:rPr>
          <w:sz w:val="26"/>
          <w:szCs w:val="26"/>
        </w:rPr>
        <w:t xml:space="preserve"> Initial Decision, ALJ </w:t>
      </w:r>
      <w:r w:rsidR="000858FC">
        <w:rPr>
          <w:sz w:val="26"/>
          <w:szCs w:val="26"/>
        </w:rPr>
        <w:t xml:space="preserve">Buckley </w:t>
      </w:r>
      <w:r>
        <w:rPr>
          <w:sz w:val="26"/>
          <w:szCs w:val="26"/>
        </w:rPr>
        <w:t>made thirt</w:t>
      </w:r>
      <w:r w:rsidR="000858FC">
        <w:rPr>
          <w:sz w:val="26"/>
          <w:szCs w:val="26"/>
        </w:rPr>
        <w:t xml:space="preserve">een </w:t>
      </w:r>
      <w:r>
        <w:rPr>
          <w:sz w:val="26"/>
          <w:szCs w:val="26"/>
        </w:rPr>
        <w:t xml:space="preserve">Findings of Fact and reached </w:t>
      </w:r>
      <w:r w:rsidR="000858FC">
        <w:rPr>
          <w:sz w:val="26"/>
          <w:szCs w:val="26"/>
        </w:rPr>
        <w:t>seven</w:t>
      </w:r>
      <w:r w:rsidRPr="00D64605">
        <w:rPr>
          <w:sz w:val="26"/>
          <w:szCs w:val="26"/>
        </w:rPr>
        <w:t xml:space="preserve"> Conclus</w:t>
      </w:r>
      <w:r>
        <w:rPr>
          <w:sz w:val="26"/>
          <w:szCs w:val="26"/>
        </w:rPr>
        <w:t xml:space="preserve">ions of Law.  I.D. at </w:t>
      </w:r>
      <w:r w:rsidR="000858FC">
        <w:rPr>
          <w:sz w:val="26"/>
          <w:szCs w:val="26"/>
        </w:rPr>
        <w:t>2</w:t>
      </w:r>
      <w:r>
        <w:rPr>
          <w:sz w:val="26"/>
          <w:szCs w:val="26"/>
        </w:rPr>
        <w:t>-</w:t>
      </w:r>
      <w:r w:rsidR="000858FC">
        <w:rPr>
          <w:sz w:val="26"/>
          <w:szCs w:val="26"/>
        </w:rPr>
        <w:t>3</w:t>
      </w:r>
      <w:r>
        <w:rPr>
          <w:sz w:val="26"/>
          <w:szCs w:val="26"/>
        </w:rPr>
        <w:t xml:space="preserve">, </w:t>
      </w:r>
      <w:r w:rsidR="000858FC">
        <w:rPr>
          <w:sz w:val="26"/>
          <w:szCs w:val="26"/>
        </w:rPr>
        <w:t>7-8</w:t>
      </w:r>
      <w:r w:rsidRPr="00D64605">
        <w:rPr>
          <w:sz w:val="26"/>
          <w:szCs w:val="26"/>
        </w:rPr>
        <w:t>.  The Findings of Fact and Conclusions of Law are incorporated herein by reference and are adopted without comment unless they are either expressly or by necessary implication rejected or modified by this Opinion and Order.</w:t>
      </w:r>
    </w:p>
    <w:p w:rsidR="002B1018" w:rsidRDefault="002B1018" w:rsidP="00203B13">
      <w:pPr>
        <w:autoSpaceDE w:val="0"/>
        <w:autoSpaceDN w:val="0"/>
        <w:adjustRightInd w:val="0"/>
        <w:ind w:firstLine="1440"/>
        <w:jc w:val="left"/>
        <w:rPr>
          <w:sz w:val="26"/>
          <w:szCs w:val="26"/>
        </w:rPr>
      </w:pPr>
    </w:p>
    <w:p w:rsidR="0050090B" w:rsidRDefault="00C37DA0" w:rsidP="00635186">
      <w:pPr>
        <w:autoSpaceDE w:val="0"/>
        <w:autoSpaceDN w:val="0"/>
        <w:adjustRightInd w:val="0"/>
        <w:ind w:firstLine="1440"/>
        <w:jc w:val="left"/>
        <w:rPr>
          <w:sz w:val="26"/>
          <w:szCs w:val="26"/>
        </w:rPr>
      </w:pPr>
      <w:r>
        <w:rPr>
          <w:sz w:val="26"/>
          <w:szCs w:val="26"/>
        </w:rPr>
        <w:t xml:space="preserve">ALJ </w:t>
      </w:r>
      <w:r w:rsidR="0050090B">
        <w:rPr>
          <w:sz w:val="26"/>
          <w:szCs w:val="26"/>
        </w:rPr>
        <w:t xml:space="preserve">Buckley found that the Complainant failed to prove that he has been incorrectly billed.  The ALJ </w:t>
      </w:r>
      <w:r>
        <w:rPr>
          <w:sz w:val="26"/>
          <w:szCs w:val="26"/>
        </w:rPr>
        <w:t xml:space="preserve">explained that </w:t>
      </w:r>
      <w:r w:rsidR="0050090B">
        <w:rPr>
          <w:sz w:val="26"/>
          <w:szCs w:val="26"/>
        </w:rPr>
        <w:t>regarding transfer of accounts, 52 Pa. Code §</w:t>
      </w:r>
      <w:r w:rsidR="00635186">
        <w:rPr>
          <w:sz w:val="26"/>
          <w:szCs w:val="26"/>
        </w:rPr>
        <w:t> </w:t>
      </w:r>
      <w:r w:rsidR="0050090B">
        <w:rPr>
          <w:sz w:val="26"/>
          <w:szCs w:val="26"/>
        </w:rPr>
        <w:t>56.16(b) provides that “in the event of discontinuance or termination of service at a residence or dwelling in accordance with this chapter, a public utility may transfer an unpaid balance to a new residential service account of the same customer.”</w:t>
      </w:r>
      <w:r w:rsidR="00492CCD">
        <w:rPr>
          <w:sz w:val="26"/>
          <w:szCs w:val="26"/>
        </w:rPr>
        <w:t xml:space="preserve">  I.D. at 5.</w:t>
      </w:r>
    </w:p>
    <w:p w:rsidR="0050090B" w:rsidRDefault="0050090B" w:rsidP="00203B13">
      <w:pPr>
        <w:autoSpaceDE w:val="0"/>
        <w:autoSpaceDN w:val="0"/>
        <w:adjustRightInd w:val="0"/>
        <w:ind w:firstLine="1440"/>
        <w:jc w:val="left"/>
        <w:rPr>
          <w:sz w:val="26"/>
          <w:szCs w:val="26"/>
        </w:rPr>
      </w:pPr>
    </w:p>
    <w:p w:rsidR="007856D9" w:rsidRDefault="0050090B" w:rsidP="00635186">
      <w:pPr>
        <w:autoSpaceDE w:val="0"/>
        <w:autoSpaceDN w:val="0"/>
        <w:adjustRightInd w:val="0"/>
        <w:ind w:firstLine="1440"/>
        <w:jc w:val="left"/>
        <w:rPr>
          <w:sz w:val="26"/>
          <w:szCs w:val="26"/>
        </w:rPr>
      </w:pPr>
      <w:r>
        <w:rPr>
          <w:sz w:val="26"/>
          <w:szCs w:val="26"/>
        </w:rPr>
        <w:lastRenderedPageBreak/>
        <w:t>The ALJ further explained that the Complainant was a “customer” at the prior and current address</w:t>
      </w:r>
      <w:r w:rsidR="00820EED">
        <w:rPr>
          <w:sz w:val="26"/>
          <w:szCs w:val="26"/>
        </w:rPr>
        <w:t>,</w:t>
      </w:r>
      <w:r>
        <w:rPr>
          <w:sz w:val="26"/>
          <w:szCs w:val="26"/>
        </w:rPr>
        <w:t xml:space="preserve"> </w:t>
      </w:r>
      <w:r w:rsidR="007856D9">
        <w:rPr>
          <w:sz w:val="26"/>
          <w:szCs w:val="26"/>
        </w:rPr>
        <w:t>citing</w:t>
      </w:r>
      <w:r>
        <w:rPr>
          <w:sz w:val="26"/>
          <w:szCs w:val="26"/>
        </w:rPr>
        <w:t xml:space="preserve"> </w:t>
      </w:r>
      <w:r w:rsidR="00775D2F">
        <w:rPr>
          <w:sz w:val="26"/>
          <w:szCs w:val="26"/>
        </w:rPr>
        <w:t>Section 56.2 of our Regulations, 52 Pa. Code § 56.2 and Section 1403 of</w:t>
      </w:r>
      <w:r w:rsidR="00A75223">
        <w:rPr>
          <w:sz w:val="26"/>
          <w:szCs w:val="26"/>
        </w:rPr>
        <w:t xml:space="preserve"> </w:t>
      </w:r>
      <w:r>
        <w:rPr>
          <w:sz w:val="26"/>
          <w:szCs w:val="26"/>
        </w:rPr>
        <w:t>the Responsible Utility Customer Protection Act</w:t>
      </w:r>
      <w:r w:rsidR="00890DAB">
        <w:rPr>
          <w:sz w:val="26"/>
          <w:szCs w:val="26"/>
        </w:rPr>
        <w:t>, 66 Pa.</w:t>
      </w:r>
      <w:r w:rsidR="00820EED">
        <w:rPr>
          <w:sz w:val="26"/>
          <w:szCs w:val="26"/>
        </w:rPr>
        <w:t xml:space="preserve"> </w:t>
      </w:r>
      <w:r w:rsidR="00890DAB">
        <w:rPr>
          <w:sz w:val="26"/>
          <w:szCs w:val="26"/>
        </w:rPr>
        <w:t>C.S. § 1403</w:t>
      </w:r>
      <w:r w:rsidR="007856D9">
        <w:rPr>
          <w:sz w:val="26"/>
          <w:szCs w:val="26"/>
        </w:rPr>
        <w:t>.</w:t>
      </w:r>
      <w:r w:rsidR="00890DAB">
        <w:rPr>
          <w:sz w:val="26"/>
          <w:szCs w:val="26"/>
        </w:rPr>
        <w:t xml:space="preserve">  </w:t>
      </w:r>
      <w:r w:rsidR="007856D9">
        <w:rPr>
          <w:sz w:val="26"/>
          <w:szCs w:val="26"/>
        </w:rPr>
        <w:t xml:space="preserve">The ALJ reasoned that the Complainant was equally responsible for the bills accrued at the former address, where </w:t>
      </w:r>
      <w:r w:rsidR="00703E20">
        <w:rPr>
          <w:sz w:val="26"/>
          <w:szCs w:val="26"/>
        </w:rPr>
        <w:t xml:space="preserve">the </w:t>
      </w:r>
      <w:r w:rsidR="007856D9">
        <w:rPr>
          <w:sz w:val="26"/>
          <w:szCs w:val="26"/>
        </w:rPr>
        <w:t xml:space="preserve">Complainant lived with his wife.  </w:t>
      </w:r>
      <w:r w:rsidR="00492CCD">
        <w:rPr>
          <w:sz w:val="26"/>
          <w:szCs w:val="26"/>
        </w:rPr>
        <w:t>I.D. at 5.</w:t>
      </w:r>
    </w:p>
    <w:p w:rsidR="007856D9" w:rsidRDefault="007856D9" w:rsidP="00203B13">
      <w:pPr>
        <w:autoSpaceDE w:val="0"/>
        <w:autoSpaceDN w:val="0"/>
        <w:adjustRightInd w:val="0"/>
        <w:ind w:firstLine="1440"/>
        <w:jc w:val="left"/>
        <w:rPr>
          <w:sz w:val="26"/>
          <w:szCs w:val="26"/>
        </w:rPr>
      </w:pPr>
    </w:p>
    <w:p w:rsidR="007856D9" w:rsidRDefault="007856D9" w:rsidP="00203B13">
      <w:pPr>
        <w:autoSpaceDE w:val="0"/>
        <w:autoSpaceDN w:val="0"/>
        <w:adjustRightInd w:val="0"/>
        <w:ind w:firstLine="1440"/>
        <w:jc w:val="left"/>
        <w:rPr>
          <w:sz w:val="26"/>
          <w:szCs w:val="26"/>
        </w:rPr>
      </w:pPr>
      <w:r>
        <w:rPr>
          <w:sz w:val="26"/>
          <w:szCs w:val="26"/>
        </w:rPr>
        <w:t>Regarding the Complainant’s request for a Commission</w:t>
      </w:r>
      <w:r w:rsidR="007921E4">
        <w:rPr>
          <w:sz w:val="26"/>
          <w:szCs w:val="26"/>
        </w:rPr>
        <w:t>-</w:t>
      </w:r>
      <w:r>
        <w:rPr>
          <w:sz w:val="26"/>
          <w:szCs w:val="26"/>
        </w:rPr>
        <w:t xml:space="preserve">directed payment arrangement, the ALJ noted that the record demonstrates that the Complainant and his wife have defaulted on all four payment arrangements they had over a four-year period.  </w:t>
      </w:r>
      <w:r w:rsidR="00703E20">
        <w:rPr>
          <w:sz w:val="26"/>
          <w:szCs w:val="26"/>
        </w:rPr>
        <w:t>According to the ALJ, t</w:t>
      </w:r>
      <w:r w:rsidR="00492CCD">
        <w:rPr>
          <w:sz w:val="26"/>
          <w:szCs w:val="26"/>
        </w:rPr>
        <w:t xml:space="preserve">he Complainant defaulted on </w:t>
      </w:r>
      <w:r>
        <w:rPr>
          <w:sz w:val="26"/>
          <w:szCs w:val="26"/>
        </w:rPr>
        <w:t>both a Commission</w:t>
      </w:r>
      <w:r w:rsidR="00703E20">
        <w:rPr>
          <w:sz w:val="26"/>
          <w:szCs w:val="26"/>
        </w:rPr>
        <w:t>-issu</w:t>
      </w:r>
      <w:r>
        <w:rPr>
          <w:sz w:val="26"/>
          <w:szCs w:val="26"/>
        </w:rPr>
        <w:t>ed payment arrangement and a Company</w:t>
      </w:r>
      <w:r w:rsidR="00083B5C">
        <w:rPr>
          <w:sz w:val="26"/>
          <w:szCs w:val="26"/>
        </w:rPr>
        <w:t>-</w:t>
      </w:r>
      <w:r>
        <w:rPr>
          <w:sz w:val="26"/>
          <w:szCs w:val="26"/>
        </w:rPr>
        <w:t>authorized payment arrangement</w:t>
      </w:r>
      <w:r w:rsidR="00492CCD">
        <w:rPr>
          <w:sz w:val="26"/>
          <w:szCs w:val="26"/>
        </w:rPr>
        <w:t xml:space="preserve"> while the account was in </w:t>
      </w:r>
      <w:r w:rsidR="00944ED9">
        <w:rPr>
          <w:sz w:val="26"/>
          <w:szCs w:val="26"/>
        </w:rPr>
        <w:t xml:space="preserve">the </w:t>
      </w:r>
      <w:r w:rsidR="00492CCD">
        <w:rPr>
          <w:sz w:val="26"/>
          <w:szCs w:val="26"/>
        </w:rPr>
        <w:t xml:space="preserve">Complainant’s wife’s name.  </w:t>
      </w:r>
      <w:r w:rsidR="00944ED9">
        <w:rPr>
          <w:sz w:val="26"/>
          <w:szCs w:val="26"/>
        </w:rPr>
        <w:t xml:space="preserve">The </w:t>
      </w:r>
      <w:r w:rsidR="00703E20">
        <w:rPr>
          <w:sz w:val="26"/>
          <w:szCs w:val="26"/>
        </w:rPr>
        <w:t xml:space="preserve">ALJ stated that the </w:t>
      </w:r>
      <w:r>
        <w:rPr>
          <w:sz w:val="26"/>
          <w:szCs w:val="26"/>
        </w:rPr>
        <w:t>Complainant defaulted on the most recent Commission</w:t>
      </w:r>
      <w:r w:rsidR="00703E20">
        <w:rPr>
          <w:sz w:val="26"/>
          <w:szCs w:val="26"/>
        </w:rPr>
        <w:t>-issu</w:t>
      </w:r>
      <w:r>
        <w:rPr>
          <w:sz w:val="26"/>
          <w:szCs w:val="26"/>
        </w:rPr>
        <w:t>ed payment arrangement on July 15, 2015</w:t>
      </w:r>
      <w:r w:rsidR="00944ED9">
        <w:rPr>
          <w:sz w:val="26"/>
          <w:szCs w:val="26"/>
        </w:rPr>
        <w:t>,</w:t>
      </w:r>
      <w:r>
        <w:rPr>
          <w:sz w:val="26"/>
          <w:szCs w:val="26"/>
        </w:rPr>
        <w:t xml:space="preserve"> and the most recent Company payment arrangement on May 19, 2016.</w:t>
      </w:r>
      <w:r w:rsidR="00492CCD">
        <w:rPr>
          <w:sz w:val="26"/>
          <w:szCs w:val="26"/>
        </w:rPr>
        <w:t xml:space="preserve">  I.D. at 7.</w:t>
      </w:r>
    </w:p>
    <w:p w:rsidR="00786990" w:rsidRDefault="00786990" w:rsidP="00203B13">
      <w:pPr>
        <w:pStyle w:val="NoSpacing"/>
        <w:spacing w:line="360" w:lineRule="auto"/>
        <w:ind w:firstLine="1440"/>
        <w:rPr>
          <w:sz w:val="26"/>
          <w:szCs w:val="26"/>
        </w:rPr>
      </w:pPr>
    </w:p>
    <w:p w:rsidR="00161331" w:rsidRDefault="004A55FD" w:rsidP="005A2920">
      <w:pPr>
        <w:pStyle w:val="NoSpacing"/>
        <w:spacing w:line="360" w:lineRule="auto"/>
        <w:ind w:firstLine="1440"/>
        <w:rPr>
          <w:sz w:val="26"/>
          <w:szCs w:val="26"/>
        </w:rPr>
      </w:pPr>
      <w:r>
        <w:rPr>
          <w:sz w:val="26"/>
          <w:szCs w:val="26"/>
        </w:rPr>
        <w:t xml:space="preserve">In conclusion, the </w:t>
      </w:r>
      <w:r w:rsidR="00F70950">
        <w:rPr>
          <w:sz w:val="26"/>
          <w:szCs w:val="26"/>
        </w:rPr>
        <w:t>ALJ reasoned</w:t>
      </w:r>
      <w:r w:rsidR="00703E20">
        <w:rPr>
          <w:sz w:val="26"/>
          <w:szCs w:val="26"/>
        </w:rPr>
        <w:t xml:space="preserve"> </w:t>
      </w:r>
      <w:r>
        <w:rPr>
          <w:sz w:val="26"/>
          <w:szCs w:val="26"/>
        </w:rPr>
        <w:t xml:space="preserve">that </w:t>
      </w:r>
      <w:r w:rsidR="007856D9">
        <w:rPr>
          <w:sz w:val="26"/>
          <w:szCs w:val="26"/>
        </w:rPr>
        <w:t>a payment arrangement is a privilege not a right</w:t>
      </w:r>
      <w:r w:rsidR="00944ED9">
        <w:rPr>
          <w:sz w:val="26"/>
          <w:szCs w:val="26"/>
        </w:rPr>
        <w:t>.</w:t>
      </w:r>
      <w:r w:rsidR="00703E20">
        <w:rPr>
          <w:sz w:val="26"/>
          <w:szCs w:val="26"/>
        </w:rPr>
        <w:t xml:space="preserve">  </w:t>
      </w:r>
      <w:r w:rsidR="00824A50" w:rsidRPr="00F70950">
        <w:rPr>
          <w:i/>
          <w:sz w:val="26"/>
          <w:szCs w:val="26"/>
        </w:rPr>
        <w:t>Id</w:t>
      </w:r>
      <w:r w:rsidR="00824A50">
        <w:rPr>
          <w:sz w:val="26"/>
          <w:szCs w:val="26"/>
        </w:rPr>
        <w:t xml:space="preserve">., citing </w:t>
      </w:r>
      <w:r w:rsidR="00824A50" w:rsidRPr="004341FC">
        <w:rPr>
          <w:i/>
          <w:sz w:val="26"/>
          <w:szCs w:val="26"/>
        </w:rPr>
        <w:t>Mandell v. Duquesne Light Co.,</w:t>
      </w:r>
      <w:r w:rsidR="00824A50" w:rsidRPr="004341FC">
        <w:rPr>
          <w:sz w:val="26"/>
          <w:szCs w:val="26"/>
        </w:rPr>
        <w:t xml:space="preserve"> Docket No. C-20030234 (Order entered March 17, 2004).</w:t>
      </w:r>
      <w:r w:rsidR="00824A50">
        <w:rPr>
          <w:sz w:val="26"/>
          <w:szCs w:val="26"/>
        </w:rPr>
        <w:t xml:space="preserve">  </w:t>
      </w:r>
      <w:r w:rsidR="007856D9">
        <w:rPr>
          <w:sz w:val="26"/>
          <w:szCs w:val="26"/>
        </w:rPr>
        <w:t xml:space="preserve">The ALJ </w:t>
      </w:r>
      <w:r w:rsidR="00161331">
        <w:rPr>
          <w:sz w:val="26"/>
          <w:szCs w:val="26"/>
        </w:rPr>
        <w:t>denied the Complainant’s request for a third Commission</w:t>
      </w:r>
      <w:r w:rsidR="007921E4">
        <w:rPr>
          <w:sz w:val="26"/>
          <w:szCs w:val="26"/>
        </w:rPr>
        <w:t>-</w:t>
      </w:r>
      <w:r w:rsidR="00161331">
        <w:rPr>
          <w:sz w:val="26"/>
          <w:szCs w:val="26"/>
        </w:rPr>
        <w:t xml:space="preserve">directed payment arrangement because </w:t>
      </w:r>
      <w:r w:rsidR="00944ED9">
        <w:rPr>
          <w:sz w:val="26"/>
          <w:szCs w:val="26"/>
        </w:rPr>
        <w:t xml:space="preserve">the </w:t>
      </w:r>
      <w:r w:rsidR="00161331">
        <w:rPr>
          <w:sz w:val="26"/>
          <w:szCs w:val="26"/>
        </w:rPr>
        <w:t>Complainant and his wife have defaulted on two previous Commission</w:t>
      </w:r>
      <w:r w:rsidR="007921E4">
        <w:rPr>
          <w:sz w:val="26"/>
          <w:szCs w:val="26"/>
        </w:rPr>
        <w:t>-</w:t>
      </w:r>
      <w:r w:rsidR="00161331">
        <w:rPr>
          <w:sz w:val="26"/>
          <w:szCs w:val="26"/>
        </w:rPr>
        <w:t>directed payment arrangements and they have not met the change in income criterion required for another payment arrangement.  66 Pa.</w:t>
      </w:r>
      <w:r w:rsidR="00824A50">
        <w:rPr>
          <w:sz w:val="26"/>
          <w:szCs w:val="26"/>
        </w:rPr>
        <w:t xml:space="preserve"> </w:t>
      </w:r>
      <w:r w:rsidR="00161331">
        <w:rPr>
          <w:sz w:val="26"/>
          <w:szCs w:val="26"/>
        </w:rPr>
        <w:t>C.S. § 1405(d).  I.D. at 7.</w:t>
      </w:r>
    </w:p>
    <w:p w:rsidR="00024BB3" w:rsidRDefault="00024BB3" w:rsidP="00203B13">
      <w:pPr>
        <w:ind w:firstLine="1440"/>
        <w:jc w:val="left"/>
        <w:rPr>
          <w:sz w:val="26"/>
          <w:szCs w:val="26"/>
        </w:rPr>
      </w:pPr>
    </w:p>
    <w:p w:rsidR="00A85840" w:rsidRDefault="00024BB3" w:rsidP="00F4696E">
      <w:pPr>
        <w:keepNext/>
        <w:keepLines/>
        <w:ind w:firstLine="0"/>
        <w:jc w:val="left"/>
        <w:rPr>
          <w:b/>
          <w:sz w:val="26"/>
          <w:szCs w:val="26"/>
        </w:rPr>
      </w:pPr>
      <w:r>
        <w:rPr>
          <w:b/>
          <w:sz w:val="26"/>
          <w:szCs w:val="26"/>
        </w:rPr>
        <w:t>Exceptions</w:t>
      </w:r>
    </w:p>
    <w:p w:rsidR="00A85840" w:rsidRDefault="00A85840" w:rsidP="00F4696E">
      <w:pPr>
        <w:keepNext/>
        <w:keepLines/>
        <w:ind w:firstLine="0"/>
        <w:jc w:val="left"/>
        <w:rPr>
          <w:sz w:val="26"/>
          <w:szCs w:val="26"/>
        </w:rPr>
      </w:pPr>
    </w:p>
    <w:p w:rsidR="00860593" w:rsidRDefault="00944ED9" w:rsidP="004341FC">
      <w:pPr>
        <w:ind w:firstLine="1440"/>
        <w:jc w:val="left"/>
        <w:rPr>
          <w:rStyle w:val="Hyperlink"/>
          <w:color w:val="000000"/>
          <w:sz w:val="26"/>
          <w:szCs w:val="26"/>
          <w:u w:val="none"/>
        </w:rPr>
      </w:pPr>
      <w:r w:rsidRPr="00D64605">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F24572">
          <w:rPr>
            <w:rStyle w:val="Emphasis"/>
            <w:color w:val="000000"/>
            <w:sz w:val="26"/>
            <w:szCs w:val="26"/>
          </w:rPr>
          <w:t xml:space="preserve">Consolidated Rail Corp. v. Pa. </w:t>
        </w:r>
        <w:r w:rsidRPr="00F24572">
          <w:rPr>
            <w:rStyle w:val="Emphasis"/>
            <w:color w:val="000000"/>
            <w:sz w:val="26"/>
            <w:szCs w:val="26"/>
          </w:rPr>
          <w:lastRenderedPageBreak/>
          <w:t xml:space="preserve">PUC, </w:t>
        </w:r>
        <w:r w:rsidRPr="003B05A6">
          <w:rPr>
            <w:rStyle w:val="Hyperlink"/>
            <w:color w:val="000000"/>
            <w:sz w:val="26"/>
            <w:szCs w:val="26"/>
            <w:u w:val="none"/>
          </w:rPr>
          <w:t>625 A.2d 741 (Pa. Cmwlth.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10" w:history="1">
        <w:r w:rsidRPr="007F1186">
          <w:rPr>
            <w:rStyle w:val="Emphasis"/>
            <w:color w:val="000000"/>
            <w:sz w:val="26"/>
            <w:szCs w:val="26"/>
          </w:rPr>
          <w:t>University of Pennsylvania v. Pa. PUC</w:t>
        </w:r>
        <w:r w:rsidRPr="003B05A6">
          <w:rPr>
            <w:rStyle w:val="Hyperlink"/>
            <w:color w:val="000000"/>
            <w:sz w:val="26"/>
            <w:szCs w:val="26"/>
            <w:u w:val="none"/>
          </w:rPr>
          <w:t>, 485 A.2d 1217 (Pa. Cmwlth. 1984).</w:t>
        </w:r>
      </w:hyperlink>
      <w:r w:rsidR="00BD585B">
        <w:rPr>
          <w:rStyle w:val="Hyperlink"/>
          <w:color w:val="000000"/>
          <w:sz w:val="26"/>
          <w:szCs w:val="26"/>
          <w:u w:val="none"/>
        </w:rPr>
        <w:t xml:space="preserve">  We also note that we cannot consider most of the contents of the Exceptions because they are not part of the record before us.  </w:t>
      </w:r>
    </w:p>
    <w:p w:rsidR="00860593" w:rsidRDefault="00860593" w:rsidP="004341FC">
      <w:pPr>
        <w:ind w:firstLine="1440"/>
        <w:jc w:val="left"/>
        <w:rPr>
          <w:sz w:val="26"/>
          <w:szCs w:val="26"/>
        </w:rPr>
      </w:pPr>
    </w:p>
    <w:p w:rsidR="00531A9F" w:rsidRDefault="00A85840" w:rsidP="004341FC">
      <w:pPr>
        <w:ind w:firstLine="1440"/>
        <w:jc w:val="left"/>
        <w:rPr>
          <w:sz w:val="26"/>
          <w:szCs w:val="26"/>
        </w:rPr>
      </w:pPr>
      <w:r>
        <w:rPr>
          <w:sz w:val="26"/>
          <w:szCs w:val="26"/>
        </w:rPr>
        <w:t xml:space="preserve">In </w:t>
      </w:r>
      <w:r w:rsidR="004341FC">
        <w:rPr>
          <w:sz w:val="26"/>
          <w:szCs w:val="26"/>
        </w:rPr>
        <w:t>his Exceptions</w:t>
      </w:r>
      <w:r>
        <w:rPr>
          <w:sz w:val="26"/>
          <w:szCs w:val="26"/>
        </w:rPr>
        <w:t xml:space="preserve">, </w:t>
      </w:r>
      <w:r w:rsidR="00161331">
        <w:rPr>
          <w:sz w:val="26"/>
          <w:szCs w:val="26"/>
        </w:rPr>
        <w:t xml:space="preserve">Mr. Richards </w:t>
      </w:r>
      <w:r w:rsidR="004E2997">
        <w:rPr>
          <w:sz w:val="26"/>
          <w:szCs w:val="26"/>
        </w:rPr>
        <w:t>present</w:t>
      </w:r>
      <w:r w:rsidR="006D2A91">
        <w:rPr>
          <w:sz w:val="26"/>
          <w:szCs w:val="26"/>
        </w:rPr>
        <w:t>s</w:t>
      </w:r>
      <w:r w:rsidR="004E2997">
        <w:rPr>
          <w:sz w:val="26"/>
          <w:szCs w:val="26"/>
        </w:rPr>
        <w:t xml:space="preserve"> information </w:t>
      </w:r>
      <w:r w:rsidR="006D2A91">
        <w:rPr>
          <w:sz w:val="26"/>
          <w:szCs w:val="26"/>
        </w:rPr>
        <w:t xml:space="preserve">that had been </w:t>
      </w:r>
      <w:r w:rsidR="004E2997">
        <w:rPr>
          <w:sz w:val="26"/>
          <w:szCs w:val="26"/>
        </w:rPr>
        <w:t>discussed off the record with D</w:t>
      </w:r>
      <w:r w:rsidR="00B005FF">
        <w:rPr>
          <w:sz w:val="26"/>
          <w:szCs w:val="26"/>
        </w:rPr>
        <w:t>LC</w:t>
      </w:r>
      <w:r w:rsidR="004E2997">
        <w:rPr>
          <w:sz w:val="26"/>
          <w:szCs w:val="26"/>
        </w:rPr>
        <w:t xml:space="preserve"> prior to the </w:t>
      </w:r>
      <w:r w:rsidR="006D2A91">
        <w:rPr>
          <w:sz w:val="26"/>
          <w:szCs w:val="26"/>
        </w:rPr>
        <w:t xml:space="preserve">October 10, 2017 </w:t>
      </w:r>
      <w:r w:rsidR="004E2997">
        <w:rPr>
          <w:sz w:val="26"/>
          <w:szCs w:val="26"/>
        </w:rPr>
        <w:t xml:space="preserve">hearing.  Mr. Richards </w:t>
      </w:r>
      <w:r w:rsidR="006D2A91">
        <w:rPr>
          <w:sz w:val="26"/>
          <w:szCs w:val="26"/>
        </w:rPr>
        <w:t>avers</w:t>
      </w:r>
      <w:r w:rsidR="004E2997">
        <w:rPr>
          <w:sz w:val="26"/>
          <w:szCs w:val="26"/>
        </w:rPr>
        <w:t xml:space="preserve"> that </w:t>
      </w:r>
      <w:r w:rsidR="00507559">
        <w:rPr>
          <w:sz w:val="26"/>
          <w:szCs w:val="26"/>
        </w:rPr>
        <w:t xml:space="preserve">since </w:t>
      </w:r>
      <w:r w:rsidR="004E2997">
        <w:rPr>
          <w:sz w:val="26"/>
          <w:szCs w:val="26"/>
        </w:rPr>
        <w:t xml:space="preserve">he is now </w:t>
      </w:r>
      <w:r w:rsidR="00507559">
        <w:rPr>
          <w:sz w:val="26"/>
          <w:szCs w:val="26"/>
        </w:rPr>
        <w:t>a CAP customer</w:t>
      </w:r>
      <w:r w:rsidR="006D2A91">
        <w:rPr>
          <w:sz w:val="26"/>
          <w:szCs w:val="26"/>
        </w:rPr>
        <w:t xml:space="preserve"> (as of November 2017)</w:t>
      </w:r>
      <w:r w:rsidR="00507559">
        <w:rPr>
          <w:sz w:val="26"/>
          <w:szCs w:val="26"/>
        </w:rPr>
        <w:t>, it is his “position that D</w:t>
      </w:r>
      <w:r w:rsidR="00B005FF">
        <w:rPr>
          <w:sz w:val="26"/>
          <w:szCs w:val="26"/>
        </w:rPr>
        <w:t>LC</w:t>
      </w:r>
      <w:r w:rsidR="00507559">
        <w:rPr>
          <w:sz w:val="26"/>
          <w:szCs w:val="26"/>
        </w:rPr>
        <w:t xml:space="preserve"> and the Commission </w:t>
      </w:r>
      <w:r w:rsidR="0006245E">
        <w:rPr>
          <w:sz w:val="26"/>
          <w:szCs w:val="26"/>
        </w:rPr>
        <w:t>[are]</w:t>
      </w:r>
      <w:r w:rsidR="00507559">
        <w:rPr>
          <w:sz w:val="26"/>
          <w:szCs w:val="26"/>
        </w:rPr>
        <w:t xml:space="preserve"> required and obligated to accept this resolution</w:t>
      </w:r>
      <w:r w:rsidR="00083B5C">
        <w:rPr>
          <w:sz w:val="26"/>
          <w:szCs w:val="26"/>
        </w:rPr>
        <w:t xml:space="preserve"> . . .</w:t>
      </w:r>
      <w:r w:rsidR="00507559">
        <w:rPr>
          <w:sz w:val="26"/>
          <w:szCs w:val="26"/>
        </w:rPr>
        <w:t>”  Exc. at 1.</w:t>
      </w:r>
    </w:p>
    <w:p w:rsidR="00EC138C" w:rsidRDefault="00EC138C" w:rsidP="00507559">
      <w:pPr>
        <w:ind w:firstLine="0"/>
        <w:jc w:val="left"/>
        <w:rPr>
          <w:sz w:val="26"/>
          <w:szCs w:val="26"/>
        </w:rPr>
      </w:pPr>
    </w:p>
    <w:p w:rsidR="00EC138C" w:rsidRDefault="00EC138C" w:rsidP="00507559">
      <w:pPr>
        <w:ind w:firstLine="0"/>
        <w:jc w:val="left"/>
        <w:rPr>
          <w:sz w:val="26"/>
          <w:szCs w:val="26"/>
        </w:rPr>
      </w:pPr>
      <w:r>
        <w:rPr>
          <w:sz w:val="26"/>
          <w:szCs w:val="26"/>
        </w:rPr>
        <w:tab/>
      </w:r>
      <w:r>
        <w:rPr>
          <w:sz w:val="26"/>
          <w:szCs w:val="26"/>
        </w:rPr>
        <w:tab/>
      </w:r>
      <w:r w:rsidR="008465CD">
        <w:rPr>
          <w:sz w:val="26"/>
          <w:szCs w:val="26"/>
        </w:rPr>
        <w:t>Regarding the Complainant’s Exceptions, D</w:t>
      </w:r>
      <w:r w:rsidR="00B005FF">
        <w:rPr>
          <w:sz w:val="26"/>
          <w:szCs w:val="26"/>
        </w:rPr>
        <w:t>LC</w:t>
      </w:r>
      <w:r w:rsidR="008465CD">
        <w:rPr>
          <w:sz w:val="26"/>
          <w:szCs w:val="26"/>
        </w:rPr>
        <w:t xml:space="preserve"> states that the Exceptions must be denied for three reasons.  First, D</w:t>
      </w:r>
      <w:r w:rsidR="00B005FF">
        <w:rPr>
          <w:sz w:val="26"/>
          <w:szCs w:val="26"/>
        </w:rPr>
        <w:t>LC</w:t>
      </w:r>
      <w:r w:rsidR="008465CD">
        <w:rPr>
          <w:sz w:val="26"/>
          <w:szCs w:val="26"/>
        </w:rPr>
        <w:t xml:space="preserve"> notes that the Complainant has not identified any find</w:t>
      </w:r>
      <w:r w:rsidR="00944ED9">
        <w:rPr>
          <w:sz w:val="26"/>
          <w:szCs w:val="26"/>
        </w:rPr>
        <w:t>ings</w:t>
      </w:r>
      <w:r w:rsidR="008465CD">
        <w:rPr>
          <w:sz w:val="26"/>
          <w:szCs w:val="26"/>
        </w:rPr>
        <w:t xml:space="preserve"> of fact or conclusions of law from the Initial Decision that he contends are not supported by the record of law.  Secondly, D</w:t>
      </w:r>
      <w:r w:rsidR="00B005FF">
        <w:rPr>
          <w:sz w:val="26"/>
          <w:szCs w:val="26"/>
        </w:rPr>
        <w:t>LC</w:t>
      </w:r>
      <w:r w:rsidR="008465CD">
        <w:rPr>
          <w:sz w:val="26"/>
          <w:szCs w:val="26"/>
        </w:rPr>
        <w:t xml:space="preserve"> avers that the Exceptions are based on inadmissible settlement discussions and post-hearing evidence.  And finally, D</w:t>
      </w:r>
      <w:r w:rsidR="00B005FF">
        <w:rPr>
          <w:sz w:val="26"/>
          <w:szCs w:val="26"/>
        </w:rPr>
        <w:t>LC</w:t>
      </w:r>
      <w:r w:rsidR="008465CD">
        <w:rPr>
          <w:sz w:val="26"/>
          <w:szCs w:val="26"/>
        </w:rPr>
        <w:t xml:space="preserve"> contends that the Initial Decision is supported by substantial evidence and should be adopted.</w:t>
      </w:r>
      <w:r w:rsidR="00492CCD">
        <w:rPr>
          <w:sz w:val="26"/>
          <w:szCs w:val="26"/>
        </w:rPr>
        <w:t xml:space="preserve">  R. Exc. at 3.</w:t>
      </w:r>
    </w:p>
    <w:p w:rsidR="006D2A91" w:rsidRDefault="006D2A91" w:rsidP="00840610">
      <w:pPr>
        <w:ind w:firstLine="0"/>
        <w:jc w:val="left"/>
        <w:rPr>
          <w:b/>
          <w:sz w:val="26"/>
          <w:szCs w:val="26"/>
        </w:rPr>
      </w:pPr>
    </w:p>
    <w:p w:rsidR="00B62730" w:rsidRDefault="00B62730" w:rsidP="006536A2">
      <w:pPr>
        <w:keepNext/>
        <w:keepLines/>
        <w:ind w:firstLine="0"/>
        <w:jc w:val="left"/>
        <w:rPr>
          <w:b/>
          <w:sz w:val="26"/>
          <w:szCs w:val="26"/>
        </w:rPr>
      </w:pPr>
      <w:r>
        <w:rPr>
          <w:b/>
          <w:sz w:val="26"/>
          <w:szCs w:val="26"/>
        </w:rPr>
        <w:t>Disposition</w:t>
      </w:r>
    </w:p>
    <w:p w:rsidR="0071428A" w:rsidRDefault="0071428A" w:rsidP="006536A2">
      <w:pPr>
        <w:keepNext/>
        <w:keepLines/>
        <w:ind w:firstLine="0"/>
        <w:jc w:val="left"/>
        <w:rPr>
          <w:sz w:val="26"/>
          <w:szCs w:val="26"/>
        </w:rPr>
      </w:pPr>
    </w:p>
    <w:p w:rsidR="00A34962" w:rsidRDefault="00492CCD" w:rsidP="00300095">
      <w:pPr>
        <w:ind w:firstLine="0"/>
        <w:jc w:val="left"/>
        <w:rPr>
          <w:sz w:val="26"/>
          <w:szCs w:val="26"/>
        </w:rPr>
      </w:pPr>
      <w:r>
        <w:rPr>
          <w:sz w:val="26"/>
          <w:szCs w:val="26"/>
        </w:rPr>
        <w:tab/>
      </w:r>
      <w:r>
        <w:rPr>
          <w:sz w:val="26"/>
          <w:szCs w:val="26"/>
        </w:rPr>
        <w:tab/>
      </w:r>
      <w:r w:rsidR="0071428A">
        <w:rPr>
          <w:sz w:val="26"/>
          <w:szCs w:val="26"/>
        </w:rPr>
        <w:t>We agree with the ALJ</w:t>
      </w:r>
      <w:r w:rsidR="00C1486E">
        <w:rPr>
          <w:sz w:val="26"/>
          <w:szCs w:val="26"/>
        </w:rPr>
        <w:t xml:space="preserve">’s finding that </w:t>
      </w:r>
      <w:r w:rsidR="0071428A">
        <w:rPr>
          <w:sz w:val="26"/>
          <w:szCs w:val="26"/>
        </w:rPr>
        <w:t xml:space="preserve">Mr. Richards is a </w:t>
      </w:r>
      <w:r w:rsidR="00A34962">
        <w:rPr>
          <w:sz w:val="26"/>
          <w:szCs w:val="26"/>
        </w:rPr>
        <w:t>“</w:t>
      </w:r>
      <w:r w:rsidR="0071428A">
        <w:rPr>
          <w:sz w:val="26"/>
          <w:szCs w:val="26"/>
        </w:rPr>
        <w:t>customer</w:t>
      </w:r>
      <w:r w:rsidR="00A34962">
        <w:rPr>
          <w:sz w:val="26"/>
          <w:szCs w:val="26"/>
        </w:rPr>
        <w:t>”</w:t>
      </w:r>
      <w:r w:rsidR="0071428A">
        <w:rPr>
          <w:sz w:val="26"/>
          <w:szCs w:val="26"/>
        </w:rPr>
        <w:t xml:space="preserve"> </w:t>
      </w:r>
      <w:r w:rsidR="00A34962">
        <w:rPr>
          <w:sz w:val="26"/>
          <w:szCs w:val="26"/>
        </w:rPr>
        <w:t xml:space="preserve">at the prior and current address as defined in the Responsible Utility Customer Protections Act, 66 Pa. C.S. § 1403:  </w:t>
      </w:r>
    </w:p>
    <w:p w:rsidR="00A34962" w:rsidRDefault="00A34962" w:rsidP="00300095">
      <w:pPr>
        <w:ind w:firstLine="0"/>
        <w:jc w:val="left"/>
        <w:rPr>
          <w:sz w:val="26"/>
          <w:szCs w:val="26"/>
        </w:rPr>
      </w:pPr>
    </w:p>
    <w:p w:rsidR="00A34962" w:rsidRDefault="00A34962" w:rsidP="00BD585B">
      <w:pPr>
        <w:tabs>
          <w:tab w:val="left" w:pos="1440"/>
        </w:tabs>
        <w:spacing w:line="240" w:lineRule="auto"/>
        <w:ind w:left="1440" w:right="1440" w:firstLine="0"/>
        <w:jc w:val="left"/>
        <w:rPr>
          <w:sz w:val="26"/>
          <w:szCs w:val="26"/>
        </w:rPr>
      </w:pPr>
      <w:r>
        <w:rPr>
          <w:sz w:val="26"/>
          <w:szCs w:val="26"/>
        </w:rPr>
        <w:t xml:space="preserve">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w:t>
      </w:r>
      <w:r w:rsidRPr="00A34962">
        <w:rPr>
          <w:i/>
          <w:sz w:val="26"/>
          <w:szCs w:val="26"/>
        </w:rPr>
        <w:t xml:space="preserve">The term </w:t>
      </w:r>
      <w:r w:rsidRPr="00A34962">
        <w:rPr>
          <w:i/>
          <w:sz w:val="26"/>
          <w:szCs w:val="26"/>
        </w:rPr>
        <w:lastRenderedPageBreak/>
        <w:t>includes a person who, within 30 days after service termination or discontinuance of service, seeks to have service reconnected at the same location or transferred to another location within the service territory of the public utility.</w:t>
      </w:r>
      <w:r>
        <w:rPr>
          <w:sz w:val="26"/>
          <w:szCs w:val="26"/>
        </w:rPr>
        <w:t xml:space="preserve">  (emphasis added).</w:t>
      </w:r>
    </w:p>
    <w:p w:rsidR="008474B9" w:rsidRDefault="008474B9" w:rsidP="00BD585B">
      <w:pPr>
        <w:tabs>
          <w:tab w:val="left" w:pos="1440"/>
        </w:tabs>
        <w:spacing w:line="240" w:lineRule="auto"/>
        <w:ind w:left="1440" w:right="1440" w:firstLine="0"/>
        <w:jc w:val="left"/>
        <w:rPr>
          <w:sz w:val="26"/>
          <w:szCs w:val="26"/>
        </w:rPr>
      </w:pPr>
    </w:p>
    <w:p w:rsidR="008474B9" w:rsidRDefault="008474B9" w:rsidP="00BD585B">
      <w:pPr>
        <w:tabs>
          <w:tab w:val="left" w:pos="1440"/>
        </w:tabs>
        <w:spacing w:line="240" w:lineRule="auto"/>
        <w:ind w:left="1440" w:right="1440" w:firstLine="0"/>
        <w:jc w:val="left"/>
        <w:rPr>
          <w:sz w:val="26"/>
          <w:szCs w:val="26"/>
        </w:rPr>
      </w:pPr>
    </w:p>
    <w:p w:rsidR="00492CCD" w:rsidRDefault="00492CCD" w:rsidP="00492CCD">
      <w:pPr>
        <w:ind w:right="720" w:firstLine="0"/>
        <w:jc w:val="left"/>
        <w:rPr>
          <w:sz w:val="26"/>
          <w:szCs w:val="26"/>
        </w:rPr>
      </w:pPr>
      <w:r>
        <w:rPr>
          <w:sz w:val="26"/>
          <w:szCs w:val="26"/>
        </w:rPr>
        <w:t>I.D. at 5</w:t>
      </w:r>
      <w:r w:rsidR="00944ED9">
        <w:rPr>
          <w:sz w:val="26"/>
          <w:szCs w:val="26"/>
        </w:rPr>
        <w:t xml:space="preserve"> (citing 66 Pa. C.S. § 1403)</w:t>
      </w:r>
      <w:r>
        <w:rPr>
          <w:sz w:val="26"/>
          <w:szCs w:val="26"/>
        </w:rPr>
        <w:t xml:space="preserve">. </w:t>
      </w:r>
    </w:p>
    <w:p w:rsidR="00A34962" w:rsidRDefault="00A34962" w:rsidP="00300095">
      <w:pPr>
        <w:ind w:firstLine="0"/>
        <w:jc w:val="left"/>
        <w:rPr>
          <w:sz w:val="26"/>
          <w:szCs w:val="26"/>
        </w:rPr>
      </w:pPr>
    </w:p>
    <w:p w:rsidR="0071428A" w:rsidRDefault="007B2D46" w:rsidP="00300095">
      <w:pPr>
        <w:ind w:firstLine="0"/>
        <w:jc w:val="left"/>
        <w:rPr>
          <w:sz w:val="26"/>
          <w:szCs w:val="26"/>
        </w:rPr>
      </w:pPr>
      <w:r>
        <w:rPr>
          <w:sz w:val="26"/>
          <w:szCs w:val="26"/>
        </w:rPr>
        <w:tab/>
      </w:r>
      <w:r>
        <w:rPr>
          <w:sz w:val="26"/>
          <w:szCs w:val="26"/>
        </w:rPr>
        <w:tab/>
      </w:r>
      <w:r w:rsidR="00492CCD">
        <w:rPr>
          <w:sz w:val="26"/>
          <w:szCs w:val="26"/>
        </w:rPr>
        <w:t xml:space="preserve">We </w:t>
      </w:r>
      <w:r w:rsidR="00F93A27">
        <w:rPr>
          <w:sz w:val="26"/>
          <w:szCs w:val="26"/>
        </w:rPr>
        <w:t xml:space="preserve">find that, </w:t>
      </w:r>
      <w:r w:rsidR="00492CCD">
        <w:rPr>
          <w:sz w:val="26"/>
          <w:szCs w:val="26"/>
        </w:rPr>
        <w:t>a</w:t>
      </w:r>
      <w:r w:rsidR="00A34962">
        <w:rPr>
          <w:sz w:val="26"/>
          <w:szCs w:val="26"/>
        </w:rPr>
        <w:t xml:space="preserve">s a customer, the Complainant </w:t>
      </w:r>
      <w:r w:rsidR="0071428A">
        <w:rPr>
          <w:sz w:val="26"/>
          <w:szCs w:val="26"/>
        </w:rPr>
        <w:t xml:space="preserve">is responsible for the charges that were accrued when the account was in his wife’s name.  </w:t>
      </w:r>
      <w:r w:rsidR="00F93A27">
        <w:rPr>
          <w:sz w:val="26"/>
          <w:szCs w:val="26"/>
        </w:rPr>
        <w:t xml:space="preserve">The Complainant does not dispute the amount owed that was transferred to the new address and acknowledges that the charges accrued while </w:t>
      </w:r>
      <w:r w:rsidR="00944ED9">
        <w:rPr>
          <w:sz w:val="26"/>
          <w:szCs w:val="26"/>
        </w:rPr>
        <w:t xml:space="preserve">he </w:t>
      </w:r>
      <w:r w:rsidR="00F93A27">
        <w:rPr>
          <w:sz w:val="26"/>
          <w:szCs w:val="26"/>
        </w:rPr>
        <w:t xml:space="preserve">was living there.  Tr. at 14.  </w:t>
      </w:r>
      <w:r w:rsidR="00B55EBD">
        <w:rPr>
          <w:sz w:val="26"/>
          <w:szCs w:val="26"/>
        </w:rPr>
        <w:t>We agree with the ALJ that t</w:t>
      </w:r>
      <w:r w:rsidR="0071428A">
        <w:rPr>
          <w:sz w:val="26"/>
          <w:szCs w:val="26"/>
        </w:rPr>
        <w:t xml:space="preserve">he </w:t>
      </w:r>
      <w:r w:rsidR="005957EF">
        <w:rPr>
          <w:sz w:val="26"/>
          <w:szCs w:val="26"/>
        </w:rPr>
        <w:t>D</w:t>
      </w:r>
      <w:r w:rsidR="00B005FF">
        <w:rPr>
          <w:sz w:val="26"/>
          <w:szCs w:val="26"/>
        </w:rPr>
        <w:t>LC</w:t>
      </w:r>
      <w:r w:rsidR="005957EF">
        <w:rPr>
          <w:sz w:val="26"/>
          <w:szCs w:val="26"/>
        </w:rPr>
        <w:t xml:space="preserve"> appropriately transferred the </w:t>
      </w:r>
      <w:r w:rsidR="0071428A">
        <w:rPr>
          <w:sz w:val="26"/>
          <w:szCs w:val="26"/>
        </w:rPr>
        <w:t xml:space="preserve">account charges </w:t>
      </w:r>
      <w:r w:rsidR="005957EF">
        <w:rPr>
          <w:sz w:val="26"/>
          <w:szCs w:val="26"/>
        </w:rPr>
        <w:t xml:space="preserve">from the old address </w:t>
      </w:r>
      <w:r w:rsidR="00A34962">
        <w:rPr>
          <w:sz w:val="26"/>
          <w:szCs w:val="26"/>
        </w:rPr>
        <w:t>to the Complainant’s current address in accordance with 52 Pa. Code § 56.16(b).</w:t>
      </w:r>
      <w:r w:rsidR="00492CCD">
        <w:rPr>
          <w:sz w:val="26"/>
          <w:szCs w:val="26"/>
        </w:rPr>
        <w:t xml:space="preserve"> </w:t>
      </w:r>
      <w:r w:rsidR="00A34962">
        <w:rPr>
          <w:sz w:val="26"/>
          <w:szCs w:val="26"/>
        </w:rPr>
        <w:t xml:space="preserve"> </w:t>
      </w:r>
      <w:r w:rsidR="00492CCD">
        <w:rPr>
          <w:sz w:val="26"/>
          <w:szCs w:val="26"/>
        </w:rPr>
        <w:t>I.D. at 5.</w:t>
      </w:r>
    </w:p>
    <w:p w:rsidR="0071428A" w:rsidRDefault="0071428A" w:rsidP="00300095">
      <w:pPr>
        <w:ind w:firstLine="0"/>
        <w:jc w:val="left"/>
        <w:rPr>
          <w:sz w:val="26"/>
          <w:szCs w:val="26"/>
        </w:rPr>
      </w:pPr>
    </w:p>
    <w:p w:rsidR="00930D36" w:rsidRDefault="007B2D46" w:rsidP="00300095">
      <w:pPr>
        <w:ind w:firstLine="0"/>
        <w:jc w:val="left"/>
        <w:rPr>
          <w:sz w:val="26"/>
          <w:szCs w:val="26"/>
        </w:rPr>
      </w:pPr>
      <w:r>
        <w:rPr>
          <w:sz w:val="26"/>
          <w:szCs w:val="26"/>
        </w:rPr>
        <w:tab/>
      </w:r>
      <w:r>
        <w:rPr>
          <w:sz w:val="26"/>
          <w:szCs w:val="26"/>
        </w:rPr>
        <w:tab/>
      </w:r>
      <w:r w:rsidR="00F86B6E">
        <w:rPr>
          <w:sz w:val="26"/>
          <w:szCs w:val="26"/>
        </w:rPr>
        <w:t xml:space="preserve">We </w:t>
      </w:r>
      <w:r w:rsidR="00944ED9">
        <w:rPr>
          <w:sz w:val="26"/>
          <w:szCs w:val="26"/>
        </w:rPr>
        <w:t xml:space="preserve">also </w:t>
      </w:r>
      <w:r w:rsidR="00F86B6E">
        <w:rPr>
          <w:sz w:val="26"/>
          <w:szCs w:val="26"/>
        </w:rPr>
        <w:t xml:space="preserve">concur with the ALJ’s finding </w:t>
      </w:r>
      <w:r w:rsidR="00F93A27">
        <w:rPr>
          <w:sz w:val="26"/>
          <w:szCs w:val="26"/>
        </w:rPr>
        <w:t>t</w:t>
      </w:r>
      <w:r>
        <w:rPr>
          <w:sz w:val="26"/>
          <w:szCs w:val="26"/>
        </w:rPr>
        <w:t xml:space="preserve">hat </w:t>
      </w:r>
      <w:r w:rsidR="0071428A">
        <w:rPr>
          <w:sz w:val="26"/>
          <w:szCs w:val="26"/>
        </w:rPr>
        <w:t>the Complainant is not entitled to another payment arrangement</w:t>
      </w:r>
      <w:r w:rsidR="00F93A27">
        <w:rPr>
          <w:sz w:val="26"/>
          <w:szCs w:val="26"/>
        </w:rPr>
        <w:t xml:space="preserve"> as the </w:t>
      </w:r>
      <w:r>
        <w:rPr>
          <w:sz w:val="26"/>
          <w:szCs w:val="26"/>
        </w:rPr>
        <w:t>Complainant and his wife defaulted on two previous Commission</w:t>
      </w:r>
      <w:r w:rsidR="007921E4">
        <w:rPr>
          <w:sz w:val="26"/>
          <w:szCs w:val="26"/>
        </w:rPr>
        <w:t>-</w:t>
      </w:r>
      <w:r>
        <w:rPr>
          <w:sz w:val="26"/>
          <w:szCs w:val="26"/>
        </w:rPr>
        <w:t>directed payment arrangements and they have not met the change in income criterion required for issuance of another Commission</w:t>
      </w:r>
      <w:r w:rsidR="007921E4">
        <w:rPr>
          <w:sz w:val="26"/>
          <w:szCs w:val="26"/>
        </w:rPr>
        <w:t>-</w:t>
      </w:r>
      <w:r>
        <w:rPr>
          <w:sz w:val="26"/>
          <w:szCs w:val="26"/>
        </w:rPr>
        <w:t>directed payment arrangement.</w:t>
      </w:r>
      <w:r w:rsidR="00BD585B">
        <w:rPr>
          <w:rStyle w:val="FootnoteReference"/>
          <w:sz w:val="26"/>
          <w:szCs w:val="26"/>
        </w:rPr>
        <w:footnoteReference w:id="3"/>
      </w:r>
      <w:r>
        <w:rPr>
          <w:sz w:val="26"/>
          <w:szCs w:val="26"/>
        </w:rPr>
        <w:t xml:space="preserve">  </w:t>
      </w:r>
      <w:r w:rsidR="009F4E9A" w:rsidRPr="00135D05">
        <w:rPr>
          <w:i/>
          <w:sz w:val="26"/>
          <w:szCs w:val="26"/>
        </w:rPr>
        <w:t>See</w:t>
      </w:r>
      <w:r w:rsidR="009F4E9A">
        <w:rPr>
          <w:sz w:val="26"/>
          <w:szCs w:val="26"/>
        </w:rPr>
        <w:t xml:space="preserve"> </w:t>
      </w:r>
      <w:r>
        <w:rPr>
          <w:sz w:val="26"/>
          <w:szCs w:val="26"/>
        </w:rPr>
        <w:t xml:space="preserve">66 Pa. C.S. § 1405(d).  </w:t>
      </w:r>
      <w:r w:rsidR="00B90025">
        <w:rPr>
          <w:sz w:val="26"/>
          <w:szCs w:val="26"/>
        </w:rPr>
        <w:t xml:space="preserve">The ALJ </w:t>
      </w:r>
      <w:r w:rsidR="00930D36">
        <w:rPr>
          <w:sz w:val="26"/>
          <w:szCs w:val="26"/>
        </w:rPr>
        <w:t>noted that the Complainant had a change in income, but his income level was restored.  I.D. at 7 citing Tr. at 15-16.</w:t>
      </w:r>
    </w:p>
    <w:p w:rsidR="00930D36" w:rsidRDefault="00930D36" w:rsidP="00300095">
      <w:pPr>
        <w:ind w:firstLine="0"/>
        <w:jc w:val="left"/>
        <w:rPr>
          <w:sz w:val="26"/>
          <w:szCs w:val="26"/>
        </w:rPr>
      </w:pPr>
    </w:p>
    <w:p w:rsidR="006064E9" w:rsidRPr="00A83DA3" w:rsidRDefault="007B2D46" w:rsidP="00F86B6E">
      <w:pPr>
        <w:ind w:firstLine="0"/>
        <w:jc w:val="left"/>
        <w:rPr>
          <w:sz w:val="26"/>
          <w:szCs w:val="26"/>
        </w:rPr>
      </w:pPr>
      <w:r>
        <w:rPr>
          <w:sz w:val="26"/>
          <w:szCs w:val="26"/>
        </w:rPr>
        <w:tab/>
      </w:r>
      <w:r>
        <w:rPr>
          <w:sz w:val="26"/>
          <w:szCs w:val="26"/>
        </w:rPr>
        <w:tab/>
      </w:r>
      <w:r w:rsidR="00DE6363">
        <w:rPr>
          <w:sz w:val="26"/>
          <w:szCs w:val="26"/>
        </w:rPr>
        <w:t>Based on our review of the record</w:t>
      </w:r>
      <w:r w:rsidR="00EB652E">
        <w:rPr>
          <w:sz w:val="26"/>
          <w:szCs w:val="26"/>
        </w:rPr>
        <w:t xml:space="preserve"> and consistent with our discussion, above, </w:t>
      </w:r>
      <w:r w:rsidR="00B62730" w:rsidRPr="00B54B6B">
        <w:rPr>
          <w:sz w:val="26"/>
          <w:szCs w:val="26"/>
        </w:rPr>
        <w:t xml:space="preserve">we </w:t>
      </w:r>
      <w:r w:rsidR="005F22E6">
        <w:rPr>
          <w:sz w:val="26"/>
          <w:szCs w:val="26"/>
        </w:rPr>
        <w:t>disagree with the Complainant</w:t>
      </w:r>
      <w:r w:rsidR="00C30CC5">
        <w:rPr>
          <w:sz w:val="26"/>
          <w:szCs w:val="26"/>
        </w:rPr>
        <w:t xml:space="preserve">’s argument in his Exceptions that he is entitled </w:t>
      </w:r>
      <w:r w:rsidR="00C30CC5">
        <w:rPr>
          <w:sz w:val="26"/>
          <w:szCs w:val="26"/>
        </w:rPr>
        <w:lastRenderedPageBreak/>
        <w:t xml:space="preserve">to </w:t>
      </w:r>
      <w:r w:rsidR="00826FD4">
        <w:rPr>
          <w:sz w:val="26"/>
          <w:szCs w:val="26"/>
        </w:rPr>
        <w:t xml:space="preserve">a Commission-directed payment arrangement.  Accordingly, we </w:t>
      </w:r>
      <w:r w:rsidR="0061482D">
        <w:rPr>
          <w:sz w:val="26"/>
          <w:szCs w:val="26"/>
        </w:rPr>
        <w:t xml:space="preserve">shall </w:t>
      </w:r>
      <w:r w:rsidR="00C1486E">
        <w:rPr>
          <w:sz w:val="26"/>
          <w:szCs w:val="26"/>
        </w:rPr>
        <w:t>deny the Complainant</w:t>
      </w:r>
      <w:r w:rsidR="00B62730" w:rsidRPr="00B54B6B">
        <w:rPr>
          <w:sz w:val="26"/>
          <w:szCs w:val="26"/>
        </w:rPr>
        <w:t>’s Exceptions on this issue</w:t>
      </w:r>
      <w:r w:rsidR="0061482D">
        <w:rPr>
          <w:sz w:val="26"/>
          <w:szCs w:val="26"/>
        </w:rPr>
        <w:t>.</w:t>
      </w:r>
    </w:p>
    <w:p w:rsidR="00B62730" w:rsidRDefault="00B62730" w:rsidP="00043730">
      <w:pPr>
        <w:ind w:firstLine="0"/>
        <w:jc w:val="left"/>
        <w:rPr>
          <w:sz w:val="26"/>
          <w:szCs w:val="26"/>
        </w:rPr>
      </w:pPr>
    </w:p>
    <w:p w:rsidR="00B62730" w:rsidRDefault="00B62730" w:rsidP="002564B5">
      <w:pPr>
        <w:keepNext/>
        <w:ind w:firstLine="0"/>
        <w:rPr>
          <w:b/>
          <w:sz w:val="26"/>
          <w:szCs w:val="26"/>
        </w:rPr>
      </w:pPr>
      <w:r>
        <w:rPr>
          <w:b/>
          <w:sz w:val="26"/>
          <w:szCs w:val="26"/>
        </w:rPr>
        <w:t>Conclusion</w:t>
      </w:r>
    </w:p>
    <w:p w:rsidR="00B62730" w:rsidRDefault="00B62730" w:rsidP="002564B5">
      <w:pPr>
        <w:keepNext/>
        <w:ind w:firstLine="0"/>
        <w:jc w:val="left"/>
        <w:rPr>
          <w:b/>
          <w:sz w:val="26"/>
          <w:szCs w:val="26"/>
        </w:rPr>
      </w:pPr>
    </w:p>
    <w:p w:rsidR="00B62730" w:rsidRDefault="00B62730" w:rsidP="00EE3F49">
      <w:pPr>
        <w:autoSpaceDE w:val="0"/>
        <w:autoSpaceDN w:val="0"/>
        <w:adjustRightInd w:val="0"/>
        <w:ind w:firstLine="1440"/>
        <w:jc w:val="left"/>
        <w:rPr>
          <w:sz w:val="26"/>
          <w:szCs w:val="26"/>
        </w:rPr>
      </w:pPr>
      <w:r>
        <w:rPr>
          <w:sz w:val="26"/>
          <w:szCs w:val="26"/>
        </w:rPr>
        <w:t xml:space="preserve">Based on the foregoing discussion, we shall </w:t>
      </w:r>
      <w:r w:rsidR="000858FC">
        <w:rPr>
          <w:sz w:val="26"/>
          <w:szCs w:val="26"/>
        </w:rPr>
        <w:t>deny</w:t>
      </w:r>
      <w:r>
        <w:rPr>
          <w:sz w:val="26"/>
          <w:szCs w:val="26"/>
        </w:rPr>
        <w:t xml:space="preserve"> the Exceptions of </w:t>
      </w:r>
      <w:r w:rsidR="000858FC">
        <w:rPr>
          <w:sz w:val="26"/>
          <w:szCs w:val="26"/>
        </w:rPr>
        <w:t>the Complainant</w:t>
      </w:r>
      <w:r>
        <w:rPr>
          <w:sz w:val="26"/>
          <w:szCs w:val="26"/>
        </w:rPr>
        <w:t xml:space="preserve">, </w:t>
      </w:r>
      <w:r w:rsidR="009D7E98">
        <w:rPr>
          <w:sz w:val="26"/>
          <w:szCs w:val="26"/>
        </w:rPr>
        <w:t xml:space="preserve">consistent with the discussion in this Opinion and Order and </w:t>
      </w:r>
      <w:r w:rsidR="000858FC">
        <w:rPr>
          <w:sz w:val="26"/>
          <w:szCs w:val="26"/>
        </w:rPr>
        <w:t xml:space="preserve">adopt </w:t>
      </w:r>
      <w:r>
        <w:rPr>
          <w:sz w:val="26"/>
          <w:szCs w:val="26"/>
        </w:rPr>
        <w:t xml:space="preserve">the ALJ’s Initial Decision; </w:t>
      </w:r>
      <w:r>
        <w:rPr>
          <w:b/>
          <w:sz w:val="26"/>
          <w:szCs w:val="26"/>
        </w:rPr>
        <w:t>THEREFORE</w:t>
      </w:r>
      <w:r>
        <w:rPr>
          <w:sz w:val="26"/>
          <w:szCs w:val="26"/>
        </w:rPr>
        <w:t>,</w:t>
      </w:r>
    </w:p>
    <w:p w:rsidR="00B62730" w:rsidRDefault="00B62730" w:rsidP="00EE3F49">
      <w:pPr>
        <w:spacing w:after="200" w:line="276" w:lineRule="auto"/>
        <w:ind w:firstLine="0"/>
        <w:jc w:val="left"/>
        <w:rPr>
          <w:sz w:val="26"/>
          <w:szCs w:val="26"/>
        </w:rPr>
      </w:pPr>
    </w:p>
    <w:p w:rsidR="00B62730" w:rsidRDefault="00B62730" w:rsidP="00046403">
      <w:pPr>
        <w:keepNext/>
        <w:keepLines/>
        <w:jc w:val="left"/>
        <w:rPr>
          <w:b/>
          <w:sz w:val="26"/>
          <w:szCs w:val="26"/>
        </w:rPr>
      </w:pPr>
      <w:r>
        <w:rPr>
          <w:sz w:val="26"/>
          <w:szCs w:val="26"/>
        </w:rPr>
        <w:tab/>
      </w:r>
      <w:r w:rsidRPr="000D6043">
        <w:rPr>
          <w:b/>
          <w:sz w:val="26"/>
          <w:szCs w:val="26"/>
        </w:rPr>
        <w:t>IT IS ORDERED:</w:t>
      </w:r>
    </w:p>
    <w:p w:rsidR="00B62730" w:rsidRDefault="00B62730" w:rsidP="00046403">
      <w:pPr>
        <w:keepNext/>
        <w:keepLines/>
        <w:ind w:firstLine="0"/>
        <w:jc w:val="left"/>
        <w:rPr>
          <w:b/>
          <w:sz w:val="26"/>
          <w:szCs w:val="26"/>
        </w:rPr>
      </w:pPr>
    </w:p>
    <w:p w:rsidR="00B62730" w:rsidRDefault="00B62730" w:rsidP="00EE3F49">
      <w:pPr>
        <w:ind w:firstLine="0"/>
        <w:jc w:val="left"/>
        <w:rPr>
          <w:sz w:val="26"/>
          <w:szCs w:val="26"/>
        </w:rPr>
      </w:pPr>
      <w:r>
        <w:rPr>
          <w:b/>
          <w:sz w:val="26"/>
          <w:szCs w:val="26"/>
        </w:rPr>
        <w:tab/>
      </w:r>
      <w:r>
        <w:rPr>
          <w:b/>
          <w:sz w:val="26"/>
          <w:szCs w:val="26"/>
        </w:rPr>
        <w:tab/>
      </w:r>
      <w:r>
        <w:rPr>
          <w:sz w:val="26"/>
          <w:szCs w:val="26"/>
        </w:rPr>
        <w:t>1.</w:t>
      </w:r>
      <w:r>
        <w:rPr>
          <w:sz w:val="26"/>
          <w:szCs w:val="26"/>
        </w:rPr>
        <w:tab/>
        <w:t xml:space="preserve">That the Exceptions filed by </w:t>
      </w:r>
      <w:r w:rsidR="000858FC">
        <w:rPr>
          <w:sz w:val="26"/>
          <w:szCs w:val="26"/>
        </w:rPr>
        <w:t>Ron Richards o</w:t>
      </w:r>
      <w:r>
        <w:rPr>
          <w:sz w:val="26"/>
          <w:szCs w:val="26"/>
        </w:rPr>
        <w:t xml:space="preserve">n </w:t>
      </w:r>
      <w:r w:rsidR="000858FC">
        <w:rPr>
          <w:sz w:val="26"/>
          <w:szCs w:val="26"/>
        </w:rPr>
        <w:t>January 22, 2018</w:t>
      </w:r>
      <w:r>
        <w:rPr>
          <w:sz w:val="26"/>
          <w:szCs w:val="26"/>
        </w:rPr>
        <w:t xml:space="preserve">, to the Initial Decision of Administrative Law Judge </w:t>
      </w:r>
      <w:r w:rsidR="000858FC">
        <w:rPr>
          <w:sz w:val="26"/>
          <w:szCs w:val="26"/>
        </w:rPr>
        <w:t>Dennis J. Buckley</w:t>
      </w:r>
      <w:r>
        <w:rPr>
          <w:sz w:val="26"/>
          <w:szCs w:val="26"/>
        </w:rPr>
        <w:t xml:space="preserve">, issued on </w:t>
      </w:r>
      <w:r w:rsidR="000858FC">
        <w:rPr>
          <w:sz w:val="26"/>
          <w:szCs w:val="26"/>
        </w:rPr>
        <w:t>January</w:t>
      </w:r>
      <w:r w:rsidR="005D3BBE">
        <w:rPr>
          <w:sz w:val="26"/>
          <w:szCs w:val="26"/>
        </w:rPr>
        <w:t> </w:t>
      </w:r>
      <w:r w:rsidR="000858FC">
        <w:rPr>
          <w:sz w:val="26"/>
          <w:szCs w:val="26"/>
        </w:rPr>
        <w:t>11, 2018</w:t>
      </w:r>
      <w:r>
        <w:rPr>
          <w:sz w:val="26"/>
          <w:szCs w:val="26"/>
        </w:rPr>
        <w:t xml:space="preserve">, are </w:t>
      </w:r>
      <w:r w:rsidR="000858FC">
        <w:rPr>
          <w:sz w:val="26"/>
          <w:szCs w:val="26"/>
        </w:rPr>
        <w:t>denied</w:t>
      </w:r>
      <w:r>
        <w:rPr>
          <w:sz w:val="26"/>
          <w:szCs w:val="26"/>
        </w:rPr>
        <w:t>, consistent with this Opinion and Order.</w:t>
      </w:r>
    </w:p>
    <w:p w:rsidR="00B62730" w:rsidRDefault="00B62730" w:rsidP="0078269C">
      <w:pPr>
        <w:jc w:val="left"/>
        <w:rPr>
          <w:sz w:val="26"/>
          <w:szCs w:val="26"/>
        </w:rPr>
      </w:pPr>
    </w:p>
    <w:p w:rsidR="00B62730" w:rsidRDefault="00B62730" w:rsidP="0078269C">
      <w:pPr>
        <w:ind w:firstLine="1440"/>
        <w:jc w:val="left"/>
        <w:rPr>
          <w:sz w:val="26"/>
          <w:szCs w:val="26"/>
        </w:rPr>
      </w:pPr>
      <w:r>
        <w:rPr>
          <w:sz w:val="26"/>
          <w:szCs w:val="26"/>
        </w:rPr>
        <w:t>2.</w:t>
      </w:r>
      <w:r>
        <w:rPr>
          <w:sz w:val="26"/>
          <w:szCs w:val="26"/>
        </w:rPr>
        <w:tab/>
        <w:t xml:space="preserve">That the Initial Decision of Administrative Law Judge </w:t>
      </w:r>
      <w:r w:rsidR="00620777">
        <w:rPr>
          <w:sz w:val="26"/>
          <w:szCs w:val="26"/>
        </w:rPr>
        <w:t>Dennis</w:t>
      </w:r>
      <w:r w:rsidR="005D3BBE">
        <w:rPr>
          <w:sz w:val="26"/>
          <w:szCs w:val="26"/>
        </w:rPr>
        <w:t> </w:t>
      </w:r>
      <w:r w:rsidR="00620777">
        <w:rPr>
          <w:sz w:val="26"/>
          <w:szCs w:val="26"/>
        </w:rPr>
        <w:t>J.</w:t>
      </w:r>
      <w:r w:rsidR="005D3BBE">
        <w:rPr>
          <w:sz w:val="26"/>
          <w:szCs w:val="26"/>
        </w:rPr>
        <w:t> </w:t>
      </w:r>
      <w:r w:rsidR="00620777">
        <w:rPr>
          <w:sz w:val="26"/>
          <w:szCs w:val="26"/>
        </w:rPr>
        <w:t>Buckley</w:t>
      </w:r>
      <w:r>
        <w:rPr>
          <w:sz w:val="26"/>
          <w:szCs w:val="26"/>
        </w:rPr>
        <w:t xml:space="preserve">, issued on </w:t>
      </w:r>
      <w:r w:rsidR="000858FC">
        <w:rPr>
          <w:sz w:val="26"/>
          <w:szCs w:val="26"/>
        </w:rPr>
        <w:t>January 11, 2018</w:t>
      </w:r>
      <w:r>
        <w:rPr>
          <w:sz w:val="26"/>
          <w:szCs w:val="26"/>
        </w:rPr>
        <w:t xml:space="preserve">, is </w:t>
      </w:r>
      <w:r w:rsidR="000858FC">
        <w:rPr>
          <w:sz w:val="26"/>
          <w:szCs w:val="26"/>
        </w:rPr>
        <w:t>adopted</w:t>
      </w:r>
      <w:r>
        <w:rPr>
          <w:sz w:val="26"/>
          <w:szCs w:val="26"/>
        </w:rPr>
        <w:t>, consistent with this Opinion and Order.</w:t>
      </w:r>
    </w:p>
    <w:p w:rsidR="00B62730" w:rsidRDefault="00B62730" w:rsidP="0078269C">
      <w:pPr>
        <w:ind w:firstLine="1440"/>
        <w:jc w:val="left"/>
        <w:rPr>
          <w:sz w:val="26"/>
          <w:szCs w:val="26"/>
        </w:rPr>
      </w:pPr>
    </w:p>
    <w:p w:rsidR="009D7E98" w:rsidRPr="009D7E98" w:rsidRDefault="00B62730" w:rsidP="0078269C">
      <w:pPr>
        <w:ind w:firstLine="1440"/>
        <w:jc w:val="left"/>
        <w:rPr>
          <w:sz w:val="26"/>
          <w:szCs w:val="26"/>
        </w:rPr>
      </w:pPr>
      <w:r>
        <w:rPr>
          <w:sz w:val="26"/>
          <w:szCs w:val="26"/>
        </w:rPr>
        <w:t>3.</w:t>
      </w:r>
      <w:r>
        <w:rPr>
          <w:sz w:val="26"/>
          <w:szCs w:val="26"/>
        </w:rPr>
        <w:tab/>
        <w:t xml:space="preserve">That the Formal Complaint filed </w:t>
      </w:r>
      <w:r w:rsidR="00944ED9">
        <w:rPr>
          <w:sz w:val="26"/>
          <w:szCs w:val="26"/>
        </w:rPr>
        <w:t xml:space="preserve">by Ron Richards against Duquesne Light Company, </w:t>
      </w:r>
      <w:r>
        <w:rPr>
          <w:sz w:val="26"/>
          <w:szCs w:val="26"/>
        </w:rPr>
        <w:t xml:space="preserve">on </w:t>
      </w:r>
      <w:r w:rsidR="000858FC">
        <w:rPr>
          <w:sz w:val="26"/>
          <w:szCs w:val="26"/>
        </w:rPr>
        <w:t>July 27, 2017</w:t>
      </w:r>
      <w:r>
        <w:rPr>
          <w:sz w:val="26"/>
          <w:szCs w:val="26"/>
        </w:rPr>
        <w:t xml:space="preserve">, is </w:t>
      </w:r>
      <w:r w:rsidR="000858FC">
        <w:rPr>
          <w:sz w:val="26"/>
          <w:szCs w:val="26"/>
        </w:rPr>
        <w:t>dismissed, consistent with</w:t>
      </w:r>
      <w:r w:rsidR="009D7E98">
        <w:rPr>
          <w:sz w:val="26"/>
          <w:szCs w:val="26"/>
        </w:rPr>
        <w:t xml:space="preserve"> this Opinion and Order</w:t>
      </w:r>
      <w:r>
        <w:rPr>
          <w:sz w:val="26"/>
          <w:szCs w:val="26"/>
        </w:rPr>
        <w:t>.</w:t>
      </w:r>
    </w:p>
    <w:p w:rsidR="00B62730" w:rsidRDefault="00B62730" w:rsidP="0078269C">
      <w:pPr>
        <w:ind w:firstLine="1440"/>
        <w:jc w:val="left"/>
        <w:rPr>
          <w:sz w:val="26"/>
          <w:szCs w:val="26"/>
        </w:rPr>
      </w:pPr>
    </w:p>
    <w:p w:rsidR="00B62730" w:rsidRPr="00F466B0" w:rsidRDefault="000858FC" w:rsidP="0078269C">
      <w:pPr>
        <w:keepNext/>
        <w:keepLines/>
        <w:ind w:firstLine="1440"/>
        <w:jc w:val="left"/>
        <w:rPr>
          <w:sz w:val="26"/>
          <w:szCs w:val="26"/>
        </w:rPr>
      </w:pPr>
      <w:r>
        <w:rPr>
          <w:sz w:val="26"/>
          <w:szCs w:val="26"/>
        </w:rPr>
        <w:lastRenderedPageBreak/>
        <w:t>4</w:t>
      </w:r>
      <w:r w:rsidR="00B62730">
        <w:rPr>
          <w:sz w:val="26"/>
          <w:szCs w:val="26"/>
        </w:rPr>
        <w:t>.</w:t>
      </w:r>
      <w:r w:rsidR="00B62730">
        <w:rPr>
          <w:sz w:val="26"/>
          <w:szCs w:val="26"/>
        </w:rPr>
        <w:tab/>
        <w:t>That the proceeding at this docket be marked closed.</w:t>
      </w:r>
    </w:p>
    <w:p w:rsidR="00B62730" w:rsidRDefault="00B62730" w:rsidP="0078269C">
      <w:pPr>
        <w:keepNext/>
        <w:keepLines/>
        <w:jc w:val="left"/>
        <w:rPr>
          <w:sz w:val="26"/>
          <w:szCs w:val="26"/>
        </w:rPr>
      </w:pPr>
    </w:p>
    <w:p w:rsidR="00B62730" w:rsidRPr="000D6043" w:rsidRDefault="00835327" w:rsidP="0078269C">
      <w:pPr>
        <w:keepNext/>
        <w:keepLines/>
        <w:jc w:val="left"/>
        <w:rPr>
          <w:b/>
          <w:sz w:val="26"/>
          <w:szCs w:val="26"/>
        </w:rPr>
      </w:pPr>
      <w:r>
        <w:rPr>
          <w:noProof/>
        </w:rPr>
        <w:drawing>
          <wp:anchor distT="0" distB="0" distL="114300" distR="114300" simplePos="0" relativeHeight="251659264" behindDoc="1" locked="0" layoutInCell="1" allowOverlap="1" wp14:anchorId="540C81A9" wp14:editId="7ED70343">
            <wp:simplePos x="0" y="0"/>
            <wp:positionH relativeFrom="column">
              <wp:posOffset>3686175</wp:posOffset>
            </wp:positionH>
            <wp:positionV relativeFrom="paragraph">
              <wp:posOffset>95885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730" w:rsidRPr="000D6043">
        <w:rPr>
          <w:sz w:val="26"/>
          <w:szCs w:val="26"/>
        </w:rPr>
        <w:tab/>
      </w:r>
      <w:r w:rsidR="00B62730" w:rsidRPr="000D6043">
        <w:rPr>
          <w:sz w:val="26"/>
          <w:szCs w:val="26"/>
        </w:rPr>
        <w:tab/>
      </w:r>
      <w:r w:rsidR="00B62730" w:rsidRPr="000D6043">
        <w:rPr>
          <w:sz w:val="26"/>
          <w:szCs w:val="26"/>
        </w:rPr>
        <w:tab/>
      </w:r>
      <w:r w:rsidR="00B62730" w:rsidRPr="000D6043">
        <w:rPr>
          <w:sz w:val="26"/>
          <w:szCs w:val="26"/>
        </w:rPr>
        <w:tab/>
      </w:r>
      <w:r w:rsidR="00B62730" w:rsidRPr="000D6043">
        <w:rPr>
          <w:sz w:val="26"/>
          <w:szCs w:val="26"/>
        </w:rPr>
        <w:tab/>
      </w:r>
      <w:r w:rsidR="00B62730" w:rsidRPr="000D6043">
        <w:rPr>
          <w:sz w:val="26"/>
          <w:szCs w:val="26"/>
        </w:rPr>
        <w:tab/>
      </w:r>
      <w:r w:rsidR="00B62730" w:rsidRPr="000D6043">
        <w:rPr>
          <w:sz w:val="26"/>
          <w:szCs w:val="26"/>
        </w:rPr>
        <w:tab/>
      </w:r>
      <w:r w:rsidR="00B62730" w:rsidRPr="000D6043">
        <w:rPr>
          <w:b/>
          <w:sz w:val="26"/>
          <w:szCs w:val="26"/>
        </w:rPr>
        <w:t>BY THE COMMISSION,</w:t>
      </w:r>
    </w:p>
    <w:p w:rsidR="00B62730" w:rsidRDefault="00B62730" w:rsidP="0078269C">
      <w:pPr>
        <w:keepNext/>
        <w:keepLines/>
        <w:jc w:val="left"/>
        <w:rPr>
          <w:sz w:val="26"/>
          <w:szCs w:val="26"/>
        </w:rPr>
      </w:pPr>
    </w:p>
    <w:p w:rsidR="00875163" w:rsidRDefault="00875163" w:rsidP="0078269C">
      <w:pPr>
        <w:keepNext/>
        <w:keepLines/>
        <w:jc w:val="left"/>
        <w:rPr>
          <w:sz w:val="26"/>
          <w:szCs w:val="26"/>
        </w:rPr>
      </w:pPr>
    </w:p>
    <w:p w:rsidR="00B62730" w:rsidRPr="000D6043" w:rsidRDefault="00B62730" w:rsidP="0078269C">
      <w:pPr>
        <w:keepNext/>
        <w:keepLines/>
        <w:spacing w:line="240" w:lineRule="auto"/>
        <w:jc w:val="left"/>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rsidR="00B62730" w:rsidRDefault="00B62730" w:rsidP="0078269C">
      <w:pPr>
        <w:keepNext/>
        <w:keepLines/>
        <w:jc w:val="left"/>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5D3BBE" w:rsidRDefault="005D3BBE" w:rsidP="0078269C">
      <w:pPr>
        <w:keepNext/>
        <w:keepLines/>
        <w:jc w:val="left"/>
        <w:rPr>
          <w:sz w:val="26"/>
          <w:szCs w:val="26"/>
        </w:rPr>
      </w:pPr>
    </w:p>
    <w:p w:rsidR="00B62730" w:rsidRDefault="00B62730" w:rsidP="0078269C">
      <w:pPr>
        <w:keepNext/>
        <w:keepLines/>
        <w:tabs>
          <w:tab w:val="left" w:pos="-720"/>
        </w:tabs>
        <w:suppressAutoHyphens/>
        <w:ind w:firstLine="0"/>
        <w:jc w:val="left"/>
        <w:rPr>
          <w:sz w:val="26"/>
          <w:szCs w:val="26"/>
        </w:rPr>
      </w:pPr>
      <w:r w:rsidRPr="00AD292A">
        <w:rPr>
          <w:sz w:val="26"/>
          <w:szCs w:val="26"/>
        </w:rPr>
        <w:t>(SEAL)</w:t>
      </w:r>
    </w:p>
    <w:p w:rsidR="005D3BBE" w:rsidRDefault="005D3BBE" w:rsidP="0078269C">
      <w:pPr>
        <w:keepNext/>
        <w:keepLines/>
        <w:tabs>
          <w:tab w:val="left" w:pos="-720"/>
        </w:tabs>
        <w:suppressAutoHyphens/>
        <w:ind w:firstLine="0"/>
        <w:jc w:val="left"/>
        <w:rPr>
          <w:sz w:val="26"/>
          <w:szCs w:val="26"/>
        </w:rPr>
      </w:pPr>
    </w:p>
    <w:p w:rsidR="00B62730" w:rsidRDefault="00B62730" w:rsidP="0078269C">
      <w:pPr>
        <w:keepNext/>
        <w:keepLines/>
        <w:tabs>
          <w:tab w:val="left" w:pos="-720"/>
        </w:tabs>
        <w:suppressAutoHyphens/>
        <w:ind w:firstLine="0"/>
        <w:jc w:val="left"/>
        <w:rPr>
          <w:sz w:val="26"/>
          <w:szCs w:val="26"/>
        </w:rPr>
      </w:pPr>
      <w:r w:rsidRPr="00AD292A">
        <w:rPr>
          <w:sz w:val="26"/>
          <w:szCs w:val="26"/>
        </w:rPr>
        <w:t>ORDER ADOPTED:</w:t>
      </w:r>
      <w:r w:rsidRPr="001B2BFB">
        <w:rPr>
          <w:sz w:val="26"/>
          <w:szCs w:val="26"/>
        </w:rPr>
        <w:t xml:space="preserve"> </w:t>
      </w:r>
      <w:r>
        <w:rPr>
          <w:sz w:val="26"/>
          <w:szCs w:val="26"/>
        </w:rPr>
        <w:t xml:space="preserve"> </w:t>
      </w:r>
      <w:r w:rsidR="00944ED9">
        <w:rPr>
          <w:sz w:val="26"/>
          <w:szCs w:val="26"/>
        </w:rPr>
        <w:t xml:space="preserve">May </w:t>
      </w:r>
      <w:r w:rsidR="00191232">
        <w:rPr>
          <w:sz w:val="26"/>
          <w:szCs w:val="26"/>
        </w:rPr>
        <w:t>17</w:t>
      </w:r>
      <w:r>
        <w:rPr>
          <w:sz w:val="26"/>
          <w:szCs w:val="26"/>
        </w:rPr>
        <w:t>, 2018</w:t>
      </w:r>
    </w:p>
    <w:p w:rsidR="00B62730" w:rsidRPr="00A85840" w:rsidRDefault="00B62730" w:rsidP="0078269C">
      <w:pPr>
        <w:keepNext/>
        <w:keepLines/>
        <w:tabs>
          <w:tab w:val="left" w:pos="-720"/>
        </w:tabs>
        <w:suppressAutoHyphens/>
        <w:ind w:firstLine="0"/>
        <w:jc w:val="left"/>
        <w:rPr>
          <w:sz w:val="26"/>
          <w:szCs w:val="26"/>
        </w:rPr>
      </w:pPr>
      <w:r w:rsidRPr="00507493">
        <w:rPr>
          <w:sz w:val="26"/>
          <w:szCs w:val="26"/>
        </w:rPr>
        <w:t xml:space="preserve">ORDER ENTERED: </w:t>
      </w:r>
      <w:r>
        <w:rPr>
          <w:sz w:val="26"/>
          <w:szCs w:val="26"/>
        </w:rPr>
        <w:t xml:space="preserve"> </w:t>
      </w:r>
      <w:r w:rsidR="00835327">
        <w:rPr>
          <w:sz w:val="26"/>
          <w:szCs w:val="26"/>
        </w:rPr>
        <w:t>May 17, 2018</w:t>
      </w:r>
      <w:bookmarkStart w:id="0" w:name="_GoBack"/>
      <w:bookmarkEnd w:id="0"/>
    </w:p>
    <w:sectPr w:rsidR="00B62730" w:rsidRPr="00A85840" w:rsidSect="002B1018">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3CC" w:rsidRDefault="000323CC" w:rsidP="002B1018">
      <w:pPr>
        <w:spacing w:line="240" w:lineRule="auto"/>
      </w:pPr>
      <w:r>
        <w:separator/>
      </w:r>
    </w:p>
  </w:endnote>
  <w:endnote w:type="continuationSeparator" w:id="0">
    <w:p w:rsidR="000323CC" w:rsidRDefault="000323CC" w:rsidP="002B1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2810"/>
      <w:docPartObj>
        <w:docPartGallery w:val="Page Numbers (Bottom of Page)"/>
        <w:docPartUnique/>
      </w:docPartObj>
    </w:sdtPr>
    <w:sdtEndPr>
      <w:rPr>
        <w:noProof/>
      </w:rPr>
    </w:sdtEndPr>
    <w:sdtContent>
      <w:p w:rsidR="001C078F" w:rsidRDefault="001C078F">
        <w:pPr>
          <w:pStyle w:val="Footer"/>
        </w:pPr>
        <w:r>
          <w:fldChar w:fldCharType="begin"/>
        </w:r>
        <w:r>
          <w:instrText xml:space="preserve"> PAGE   \* MERGEFORMAT </w:instrText>
        </w:r>
        <w:r>
          <w:fldChar w:fldCharType="separate"/>
        </w:r>
        <w:r w:rsidR="00601534">
          <w:rPr>
            <w:noProof/>
          </w:rPr>
          <w:t>16</w:t>
        </w:r>
        <w:r>
          <w:rPr>
            <w:noProof/>
          </w:rPr>
          <w:fldChar w:fldCharType="end"/>
        </w:r>
      </w:p>
    </w:sdtContent>
  </w:sdt>
  <w:p w:rsidR="001C078F" w:rsidRDefault="001C0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3CC" w:rsidRDefault="000323CC" w:rsidP="00353E4E">
      <w:pPr>
        <w:spacing w:line="240" w:lineRule="auto"/>
        <w:ind w:firstLine="0"/>
        <w:jc w:val="left"/>
      </w:pPr>
      <w:r>
        <w:separator/>
      </w:r>
    </w:p>
  </w:footnote>
  <w:footnote w:type="continuationSeparator" w:id="0">
    <w:p w:rsidR="000323CC" w:rsidRDefault="000323CC" w:rsidP="002B1018">
      <w:pPr>
        <w:spacing w:line="240" w:lineRule="auto"/>
      </w:pPr>
      <w:r>
        <w:continuationSeparator/>
      </w:r>
    </w:p>
  </w:footnote>
  <w:footnote w:id="1">
    <w:p w:rsidR="00ED0E46" w:rsidRPr="0035235B" w:rsidRDefault="00ED0E46" w:rsidP="00ED0E46">
      <w:pPr>
        <w:pStyle w:val="FootnoteText"/>
        <w:keepNext/>
        <w:keepLines/>
        <w:ind w:firstLine="720"/>
        <w:rPr>
          <w:rFonts w:ascii="Times New Roman" w:hAnsi="Times New Roman"/>
          <w:sz w:val="26"/>
          <w:szCs w:val="26"/>
        </w:rPr>
      </w:pPr>
      <w:r w:rsidRPr="0035235B">
        <w:rPr>
          <w:rStyle w:val="FootnoteReference"/>
          <w:rFonts w:ascii="Times New Roman" w:hAnsi="Times New Roman"/>
          <w:sz w:val="26"/>
          <w:szCs w:val="26"/>
        </w:rPr>
        <w:footnoteRef/>
      </w:r>
      <w:r w:rsidRPr="0035235B">
        <w:rPr>
          <w:rFonts w:ascii="Times New Roman" w:hAnsi="Times New Roman"/>
          <w:sz w:val="26"/>
          <w:szCs w:val="26"/>
        </w:rPr>
        <w:tab/>
      </w:r>
      <w:r>
        <w:rPr>
          <w:rFonts w:ascii="Times New Roman" w:hAnsi="Times New Roman"/>
          <w:sz w:val="26"/>
          <w:szCs w:val="26"/>
        </w:rPr>
        <w:t>On January 22, 2018</w:t>
      </w:r>
      <w:r w:rsidRPr="0035235B">
        <w:rPr>
          <w:rFonts w:ascii="Times New Roman" w:hAnsi="Times New Roman"/>
          <w:sz w:val="26"/>
          <w:szCs w:val="26"/>
        </w:rPr>
        <w:t>, the Commission issued a Secretarial Letter to the Parties, stating that the Complainant’s timely filed Exceptions did not contain a certificate of service or other indication that the Complainant served the Respondent with the Exceptions.  Thus, the Secretary’s Bureau enclosed a copy of the Exceptions and notified the Respondent that any Replies to Ex</w:t>
      </w:r>
      <w:r>
        <w:rPr>
          <w:rFonts w:ascii="Times New Roman" w:hAnsi="Times New Roman"/>
          <w:sz w:val="26"/>
          <w:szCs w:val="26"/>
        </w:rPr>
        <w:t>ceptions were due by February 12, 2018</w:t>
      </w:r>
      <w:r w:rsidRPr="0035235B">
        <w:rPr>
          <w:rFonts w:ascii="Times New Roman" w:hAnsi="Times New Roman"/>
          <w:sz w:val="26"/>
          <w:szCs w:val="26"/>
        </w:rPr>
        <w:t xml:space="preserve">. </w:t>
      </w:r>
    </w:p>
  </w:footnote>
  <w:footnote w:id="2">
    <w:p w:rsidR="00F70950" w:rsidRPr="00135D05" w:rsidRDefault="00F70950">
      <w:pPr>
        <w:pStyle w:val="FootnoteText"/>
        <w:rPr>
          <w:rFonts w:ascii="Times New Roman" w:hAnsi="Times New Roman" w:cs="Times New Roman"/>
          <w:sz w:val="26"/>
          <w:szCs w:val="26"/>
        </w:rPr>
      </w:pPr>
      <w:r w:rsidRPr="00135D05">
        <w:rPr>
          <w:rFonts w:ascii="Times New Roman" w:hAnsi="Times New Roman" w:cs="Times New Roman"/>
          <w:sz w:val="26"/>
          <w:szCs w:val="26"/>
        </w:rPr>
        <w:tab/>
      </w:r>
      <w:r w:rsidRPr="00135D05">
        <w:rPr>
          <w:rStyle w:val="FootnoteReference"/>
          <w:rFonts w:ascii="Times New Roman" w:hAnsi="Times New Roman" w:cs="Times New Roman"/>
          <w:sz w:val="26"/>
          <w:szCs w:val="26"/>
        </w:rPr>
        <w:footnoteRef/>
      </w:r>
      <w:r w:rsidRPr="00135D05">
        <w:rPr>
          <w:rFonts w:ascii="Times New Roman" w:hAnsi="Times New Roman" w:cs="Times New Roman"/>
          <w:sz w:val="26"/>
          <w:szCs w:val="26"/>
        </w:rPr>
        <w:tab/>
        <w:t xml:space="preserve">We acknowledge that Mr. Richards’ Exceptions do not strictly conform to the requirements in 52 Pa. Code § 5.533, as they are not numbered and do not identify a finding of fact or conclusion of law to which </w:t>
      </w:r>
      <w:r w:rsidRPr="00F70950">
        <w:rPr>
          <w:rFonts w:ascii="Times New Roman" w:hAnsi="Times New Roman" w:cs="Times New Roman"/>
          <w:sz w:val="26"/>
          <w:szCs w:val="26"/>
        </w:rPr>
        <w:t>exception</w:t>
      </w:r>
      <w:r w:rsidRPr="00135D05">
        <w:rPr>
          <w:rFonts w:ascii="Times New Roman" w:hAnsi="Times New Roman" w:cs="Times New Roman"/>
          <w:sz w:val="26"/>
          <w:szCs w:val="26"/>
        </w:rPr>
        <w:t xml:space="preserve"> is taken.  Nevertheless, we shall consider the Exceptions in order to secure a just, speedy, and </w:t>
      </w:r>
      <w:r w:rsidRPr="00F70950">
        <w:rPr>
          <w:rFonts w:ascii="Times New Roman" w:hAnsi="Times New Roman" w:cs="Times New Roman"/>
          <w:sz w:val="26"/>
          <w:szCs w:val="26"/>
        </w:rPr>
        <w:t>inexpensive</w:t>
      </w:r>
      <w:r w:rsidRPr="00135D05">
        <w:rPr>
          <w:rFonts w:ascii="Times New Roman" w:hAnsi="Times New Roman" w:cs="Times New Roman"/>
          <w:sz w:val="26"/>
          <w:szCs w:val="26"/>
        </w:rPr>
        <w:t xml:space="preserve"> determination in this proceeding, </w:t>
      </w:r>
      <w:r w:rsidRPr="00F70950">
        <w:rPr>
          <w:rFonts w:ascii="Times New Roman" w:hAnsi="Times New Roman" w:cs="Times New Roman"/>
          <w:sz w:val="26"/>
          <w:szCs w:val="26"/>
        </w:rPr>
        <w:t>particularly</w:t>
      </w:r>
      <w:r w:rsidRPr="00135D05">
        <w:rPr>
          <w:rFonts w:ascii="Times New Roman" w:hAnsi="Times New Roman" w:cs="Times New Roman"/>
          <w:sz w:val="26"/>
          <w:szCs w:val="26"/>
        </w:rPr>
        <w:t xml:space="preserve"> as the Complainant is appearing pro se.  See 52 Pa. Code § 1.2(a),(d).</w:t>
      </w:r>
    </w:p>
  </w:footnote>
  <w:footnote w:id="3">
    <w:p w:rsidR="00BD585B" w:rsidRPr="00135D05" w:rsidRDefault="00135D05">
      <w:pPr>
        <w:pStyle w:val="FootnoteText"/>
        <w:rPr>
          <w:rFonts w:ascii="Times New Roman" w:hAnsi="Times New Roman" w:cs="Times New Roman"/>
          <w:sz w:val="26"/>
          <w:szCs w:val="26"/>
        </w:rPr>
      </w:pPr>
      <w:r>
        <w:tab/>
      </w:r>
      <w:r w:rsidR="00BD585B" w:rsidRPr="00135D05">
        <w:rPr>
          <w:rStyle w:val="FootnoteReference"/>
          <w:rFonts w:ascii="Times New Roman" w:hAnsi="Times New Roman" w:cs="Times New Roman"/>
          <w:sz w:val="26"/>
          <w:szCs w:val="26"/>
        </w:rPr>
        <w:footnoteRef/>
      </w:r>
      <w:r w:rsidR="00BD585B" w:rsidRPr="00135D05">
        <w:rPr>
          <w:rFonts w:ascii="Times New Roman" w:hAnsi="Times New Roman" w:cs="Times New Roman"/>
          <w:sz w:val="26"/>
          <w:szCs w:val="26"/>
        </w:rPr>
        <w:tab/>
        <w:t xml:space="preserve">“Change in income” is defined as “[a] decrease in household income of 20% or more if the customer’s household income level exceeds 200% of the Federal poverty level or a </w:t>
      </w:r>
      <w:r w:rsidRPr="00135D05">
        <w:rPr>
          <w:rFonts w:ascii="Times New Roman" w:hAnsi="Times New Roman" w:cs="Times New Roman"/>
          <w:sz w:val="26"/>
          <w:szCs w:val="26"/>
        </w:rPr>
        <w:t>decrease</w:t>
      </w:r>
      <w:r w:rsidR="00BD585B" w:rsidRPr="00135D05">
        <w:rPr>
          <w:rFonts w:ascii="Times New Roman" w:hAnsi="Times New Roman" w:cs="Times New Roman"/>
          <w:sz w:val="26"/>
          <w:szCs w:val="26"/>
        </w:rPr>
        <w:t xml:space="preserve"> in household income of 10% or more if the customer’s household income level is 200% or less of the Federal poverty level.”  66 Pa. C.S. </w:t>
      </w:r>
      <w:r w:rsidRPr="00135D05">
        <w:rPr>
          <w:rFonts w:ascii="Times New Roman" w:hAnsi="Times New Roman" w:cs="Times New Roman"/>
          <w:sz w:val="26"/>
          <w:szCs w:val="26"/>
        </w:rPr>
        <w:t xml:space="preserve">§ 1403.  “Household income” is defined as “[t]he combined gross income of all adults in a residential household who benefit from the public utility service.”  </w:t>
      </w:r>
      <w:r w:rsidRPr="00135D05">
        <w:rPr>
          <w:rFonts w:ascii="Times New Roman" w:hAnsi="Times New Roman" w:cs="Times New Roman"/>
          <w:i/>
          <w:sz w:val="26"/>
          <w:szCs w:val="26"/>
        </w:rPr>
        <w:t>Id.</w:t>
      </w:r>
      <w:r w:rsidRPr="00135D05">
        <w:rPr>
          <w:rFonts w:ascii="Times New Roman" w:hAnsi="Times New Roman" w:cs="Times New Roman"/>
          <w:sz w:val="26"/>
          <w:szCs w:val="26"/>
        </w:rPr>
        <w:t xml:space="preserve"> Section 1405(d) of the Code, 66 Pa. C.S. § 1405(d), limits the Commission’s ability to establish more than one payment arrangement for a customer absent a change in income.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610A4730"/>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9B82336"/>
    <w:multiLevelType w:val="hybridMultilevel"/>
    <w:tmpl w:val="BBFADDE0"/>
    <w:lvl w:ilvl="0" w:tplc="BF9A21FA">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B5"/>
    <w:rsid w:val="00003FB0"/>
    <w:rsid w:val="00006B30"/>
    <w:rsid w:val="000112D4"/>
    <w:rsid w:val="00014CC2"/>
    <w:rsid w:val="00024758"/>
    <w:rsid w:val="00024BB3"/>
    <w:rsid w:val="000323CC"/>
    <w:rsid w:val="000333CA"/>
    <w:rsid w:val="0004038A"/>
    <w:rsid w:val="00043730"/>
    <w:rsid w:val="00046403"/>
    <w:rsid w:val="000551C8"/>
    <w:rsid w:val="0005574E"/>
    <w:rsid w:val="0006245E"/>
    <w:rsid w:val="000636CA"/>
    <w:rsid w:val="0006724D"/>
    <w:rsid w:val="000822C8"/>
    <w:rsid w:val="00083B5C"/>
    <w:rsid w:val="000845CB"/>
    <w:rsid w:val="00084A25"/>
    <w:rsid w:val="000858FC"/>
    <w:rsid w:val="00096152"/>
    <w:rsid w:val="000A2E52"/>
    <w:rsid w:val="000B19D1"/>
    <w:rsid w:val="000B2434"/>
    <w:rsid w:val="000B79D6"/>
    <w:rsid w:val="000C089D"/>
    <w:rsid w:val="000C1EC2"/>
    <w:rsid w:val="000C2C01"/>
    <w:rsid w:val="000C3764"/>
    <w:rsid w:val="000E1364"/>
    <w:rsid w:val="0011188D"/>
    <w:rsid w:val="00135D05"/>
    <w:rsid w:val="0015070B"/>
    <w:rsid w:val="001534D6"/>
    <w:rsid w:val="001553EC"/>
    <w:rsid w:val="001562DF"/>
    <w:rsid w:val="00157B0B"/>
    <w:rsid w:val="00161331"/>
    <w:rsid w:val="00163CD7"/>
    <w:rsid w:val="001705C2"/>
    <w:rsid w:val="001816EA"/>
    <w:rsid w:val="001845DA"/>
    <w:rsid w:val="001846D5"/>
    <w:rsid w:val="00191232"/>
    <w:rsid w:val="001976C4"/>
    <w:rsid w:val="001B46E6"/>
    <w:rsid w:val="001C078F"/>
    <w:rsid w:val="001E7546"/>
    <w:rsid w:val="002036EB"/>
    <w:rsid w:val="00203B13"/>
    <w:rsid w:val="00216152"/>
    <w:rsid w:val="002172DE"/>
    <w:rsid w:val="00230D23"/>
    <w:rsid w:val="00233D24"/>
    <w:rsid w:val="0023664C"/>
    <w:rsid w:val="00244DD0"/>
    <w:rsid w:val="002564B5"/>
    <w:rsid w:val="00261F9D"/>
    <w:rsid w:val="00271AAA"/>
    <w:rsid w:val="0027363E"/>
    <w:rsid w:val="002A2426"/>
    <w:rsid w:val="002B1018"/>
    <w:rsid w:val="002B279B"/>
    <w:rsid w:val="002B45A5"/>
    <w:rsid w:val="002C00E8"/>
    <w:rsid w:val="002D1FBE"/>
    <w:rsid w:val="002D6E95"/>
    <w:rsid w:val="002F15BC"/>
    <w:rsid w:val="00300095"/>
    <w:rsid w:val="003049E5"/>
    <w:rsid w:val="00312EDE"/>
    <w:rsid w:val="0032278E"/>
    <w:rsid w:val="00331FE5"/>
    <w:rsid w:val="00334ECC"/>
    <w:rsid w:val="00351A5E"/>
    <w:rsid w:val="00353E4E"/>
    <w:rsid w:val="00355836"/>
    <w:rsid w:val="00356DA2"/>
    <w:rsid w:val="00360635"/>
    <w:rsid w:val="00362106"/>
    <w:rsid w:val="00362799"/>
    <w:rsid w:val="003660AD"/>
    <w:rsid w:val="00384859"/>
    <w:rsid w:val="003A211C"/>
    <w:rsid w:val="003A2BD7"/>
    <w:rsid w:val="003A409C"/>
    <w:rsid w:val="003A5EAB"/>
    <w:rsid w:val="003A63C6"/>
    <w:rsid w:val="003B05A6"/>
    <w:rsid w:val="003C390C"/>
    <w:rsid w:val="003C4671"/>
    <w:rsid w:val="003C6B01"/>
    <w:rsid w:val="003D0F56"/>
    <w:rsid w:val="003E069A"/>
    <w:rsid w:val="003E6BDB"/>
    <w:rsid w:val="003F2AD8"/>
    <w:rsid w:val="00402FB7"/>
    <w:rsid w:val="004122D0"/>
    <w:rsid w:val="00416973"/>
    <w:rsid w:val="004223AC"/>
    <w:rsid w:val="004223FF"/>
    <w:rsid w:val="004341FC"/>
    <w:rsid w:val="00460847"/>
    <w:rsid w:val="0047198F"/>
    <w:rsid w:val="00473919"/>
    <w:rsid w:val="00492CCD"/>
    <w:rsid w:val="0049370A"/>
    <w:rsid w:val="00494949"/>
    <w:rsid w:val="004971BC"/>
    <w:rsid w:val="004A27AC"/>
    <w:rsid w:val="004A39A2"/>
    <w:rsid w:val="004A55FD"/>
    <w:rsid w:val="004C3049"/>
    <w:rsid w:val="004C4C37"/>
    <w:rsid w:val="004C615D"/>
    <w:rsid w:val="004D032F"/>
    <w:rsid w:val="004E1441"/>
    <w:rsid w:val="004E2997"/>
    <w:rsid w:val="004E38A0"/>
    <w:rsid w:val="004E5DD6"/>
    <w:rsid w:val="004F0422"/>
    <w:rsid w:val="004F246F"/>
    <w:rsid w:val="0050090B"/>
    <w:rsid w:val="00507559"/>
    <w:rsid w:val="00511319"/>
    <w:rsid w:val="00514B20"/>
    <w:rsid w:val="005216A3"/>
    <w:rsid w:val="005241CB"/>
    <w:rsid w:val="005310A7"/>
    <w:rsid w:val="00531A9F"/>
    <w:rsid w:val="00552171"/>
    <w:rsid w:val="00552B9D"/>
    <w:rsid w:val="005675FC"/>
    <w:rsid w:val="00571480"/>
    <w:rsid w:val="00576F63"/>
    <w:rsid w:val="00577F61"/>
    <w:rsid w:val="005957EF"/>
    <w:rsid w:val="005A2920"/>
    <w:rsid w:val="005A6650"/>
    <w:rsid w:val="005A6AB8"/>
    <w:rsid w:val="005B10A5"/>
    <w:rsid w:val="005C44FB"/>
    <w:rsid w:val="005D3BBE"/>
    <w:rsid w:val="005D433F"/>
    <w:rsid w:val="005D47B7"/>
    <w:rsid w:val="005D6E58"/>
    <w:rsid w:val="005E66AB"/>
    <w:rsid w:val="005F22E6"/>
    <w:rsid w:val="005F7D18"/>
    <w:rsid w:val="00601534"/>
    <w:rsid w:val="006064E9"/>
    <w:rsid w:val="00607025"/>
    <w:rsid w:val="0061482D"/>
    <w:rsid w:val="00620777"/>
    <w:rsid w:val="0062760D"/>
    <w:rsid w:val="00635186"/>
    <w:rsid w:val="006357FC"/>
    <w:rsid w:val="0063717B"/>
    <w:rsid w:val="00644AEA"/>
    <w:rsid w:val="00653161"/>
    <w:rsid w:val="006536A2"/>
    <w:rsid w:val="006541B3"/>
    <w:rsid w:val="006644CF"/>
    <w:rsid w:val="00671BC2"/>
    <w:rsid w:val="00686F3F"/>
    <w:rsid w:val="00691247"/>
    <w:rsid w:val="006A7C81"/>
    <w:rsid w:val="006B2E3B"/>
    <w:rsid w:val="006B37CA"/>
    <w:rsid w:val="006C13BF"/>
    <w:rsid w:val="006C5932"/>
    <w:rsid w:val="006C6145"/>
    <w:rsid w:val="006D2A91"/>
    <w:rsid w:val="006D71E9"/>
    <w:rsid w:val="006F06C3"/>
    <w:rsid w:val="006F2655"/>
    <w:rsid w:val="007032B0"/>
    <w:rsid w:val="00703E20"/>
    <w:rsid w:val="007045CE"/>
    <w:rsid w:val="0071239F"/>
    <w:rsid w:val="0071428A"/>
    <w:rsid w:val="00717D30"/>
    <w:rsid w:val="00724F9D"/>
    <w:rsid w:val="0073027A"/>
    <w:rsid w:val="0073265E"/>
    <w:rsid w:val="00736AC4"/>
    <w:rsid w:val="00737A04"/>
    <w:rsid w:val="00754BD8"/>
    <w:rsid w:val="00775D2F"/>
    <w:rsid w:val="00780FB9"/>
    <w:rsid w:val="0078269C"/>
    <w:rsid w:val="0078407D"/>
    <w:rsid w:val="007856D9"/>
    <w:rsid w:val="00786990"/>
    <w:rsid w:val="007921E4"/>
    <w:rsid w:val="00795320"/>
    <w:rsid w:val="00797793"/>
    <w:rsid w:val="007A30FC"/>
    <w:rsid w:val="007A3ACB"/>
    <w:rsid w:val="007A43E8"/>
    <w:rsid w:val="007A4E28"/>
    <w:rsid w:val="007B2D46"/>
    <w:rsid w:val="007B4DF4"/>
    <w:rsid w:val="007B6F8E"/>
    <w:rsid w:val="007B7E29"/>
    <w:rsid w:val="007C5E2D"/>
    <w:rsid w:val="007D7583"/>
    <w:rsid w:val="007D7D58"/>
    <w:rsid w:val="00805AC9"/>
    <w:rsid w:val="00811207"/>
    <w:rsid w:val="00820EED"/>
    <w:rsid w:val="00824A50"/>
    <w:rsid w:val="00826FD4"/>
    <w:rsid w:val="00827047"/>
    <w:rsid w:val="00830FB9"/>
    <w:rsid w:val="00832D1A"/>
    <w:rsid w:val="00834967"/>
    <w:rsid w:val="00835327"/>
    <w:rsid w:val="00840610"/>
    <w:rsid w:val="008465CD"/>
    <w:rsid w:val="008474B9"/>
    <w:rsid w:val="00851FA9"/>
    <w:rsid w:val="00860593"/>
    <w:rsid w:val="00863865"/>
    <w:rsid w:val="00875163"/>
    <w:rsid w:val="00875939"/>
    <w:rsid w:val="00882685"/>
    <w:rsid w:val="00887B30"/>
    <w:rsid w:val="00890DAB"/>
    <w:rsid w:val="00894694"/>
    <w:rsid w:val="008951F5"/>
    <w:rsid w:val="00895939"/>
    <w:rsid w:val="008C18D2"/>
    <w:rsid w:val="008C4241"/>
    <w:rsid w:val="008D00EE"/>
    <w:rsid w:val="008D172A"/>
    <w:rsid w:val="008D5F8B"/>
    <w:rsid w:val="008E4E7C"/>
    <w:rsid w:val="008F0C31"/>
    <w:rsid w:val="008F366A"/>
    <w:rsid w:val="00915ADA"/>
    <w:rsid w:val="00925A09"/>
    <w:rsid w:val="00925AAD"/>
    <w:rsid w:val="00925DF3"/>
    <w:rsid w:val="00930D36"/>
    <w:rsid w:val="00936338"/>
    <w:rsid w:val="00936BD1"/>
    <w:rsid w:val="00943884"/>
    <w:rsid w:val="00944ED9"/>
    <w:rsid w:val="00945918"/>
    <w:rsid w:val="00950057"/>
    <w:rsid w:val="009500D0"/>
    <w:rsid w:val="0095742F"/>
    <w:rsid w:val="00957DB5"/>
    <w:rsid w:val="00980369"/>
    <w:rsid w:val="00982A95"/>
    <w:rsid w:val="00983A58"/>
    <w:rsid w:val="009A3EA5"/>
    <w:rsid w:val="009C070D"/>
    <w:rsid w:val="009C1DEC"/>
    <w:rsid w:val="009C239D"/>
    <w:rsid w:val="009C29CE"/>
    <w:rsid w:val="009D5BE5"/>
    <w:rsid w:val="009D7E98"/>
    <w:rsid w:val="009E6FE1"/>
    <w:rsid w:val="009F160E"/>
    <w:rsid w:val="009F4E9A"/>
    <w:rsid w:val="009F6A65"/>
    <w:rsid w:val="009F7C32"/>
    <w:rsid w:val="00A1320F"/>
    <w:rsid w:val="00A144FF"/>
    <w:rsid w:val="00A16692"/>
    <w:rsid w:val="00A237FC"/>
    <w:rsid w:val="00A342A1"/>
    <w:rsid w:val="00A34962"/>
    <w:rsid w:val="00A42FB0"/>
    <w:rsid w:val="00A4608A"/>
    <w:rsid w:val="00A467AF"/>
    <w:rsid w:val="00A55ADF"/>
    <w:rsid w:val="00A639C6"/>
    <w:rsid w:val="00A75223"/>
    <w:rsid w:val="00A778B6"/>
    <w:rsid w:val="00A77DD9"/>
    <w:rsid w:val="00A83DA3"/>
    <w:rsid w:val="00A85735"/>
    <w:rsid w:val="00A85840"/>
    <w:rsid w:val="00A902A3"/>
    <w:rsid w:val="00A91C47"/>
    <w:rsid w:val="00AA4C18"/>
    <w:rsid w:val="00AA702C"/>
    <w:rsid w:val="00AB6299"/>
    <w:rsid w:val="00AB63EA"/>
    <w:rsid w:val="00AB684C"/>
    <w:rsid w:val="00AC1488"/>
    <w:rsid w:val="00AC3690"/>
    <w:rsid w:val="00AC49B6"/>
    <w:rsid w:val="00AF46DF"/>
    <w:rsid w:val="00B005FF"/>
    <w:rsid w:val="00B028A5"/>
    <w:rsid w:val="00B17A1A"/>
    <w:rsid w:val="00B25A93"/>
    <w:rsid w:val="00B25D6B"/>
    <w:rsid w:val="00B41FC7"/>
    <w:rsid w:val="00B506A2"/>
    <w:rsid w:val="00B53C15"/>
    <w:rsid w:val="00B53C24"/>
    <w:rsid w:val="00B54B6B"/>
    <w:rsid w:val="00B55EBD"/>
    <w:rsid w:val="00B57AC0"/>
    <w:rsid w:val="00B62730"/>
    <w:rsid w:val="00B74076"/>
    <w:rsid w:val="00B77B35"/>
    <w:rsid w:val="00B8772F"/>
    <w:rsid w:val="00B90025"/>
    <w:rsid w:val="00B94CA0"/>
    <w:rsid w:val="00BB4D0A"/>
    <w:rsid w:val="00BB7BB6"/>
    <w:rsid w:val="00BC4DFE"/>
    <w:rsid w:val="00BD3F13"/>
    <w:rsid w:val="00BD585B"/>
    <w:rsid w:val="00BF2079"/>
    <w:rsid w:val="00BF3298"/>
    <w:rsid w:val="00BF4880"/>
    <w:rsid w:val="00BF627D"/>
    <w:rsid w:val="00C0217A"/>
    <w:rsid w:val="00C02307"/>
    <w:rsid w:val="00C036F6"/>
    <w:rsid w:val="00C10D02"/>
    <w:rsid w:val="00C110F6"/>
    <w:rsid w:val="00C12761"/>
    <w:rsid w:val="00C1486E"/>
    <w:rsid w:val="00C170FC"/>
    <w:rsid w:val="00C30CC5"/>
    <w:rsid w:val="00C37DA0"/>
    <w:rsid w:val="00C41609"/>
    <w:rsid w:val="00C436D7"/>
    <w:rsid w:val="00C4753F"/>
    <w:rsid w:val="00C526B3"/>
    <w:rsid w:val="00C63AF0"/>
    <w:rsid w:val="00C841B2"/>
    <w:rsid w:val="00C85136"/>
    <w:rsid w:val="00C90C2A"/>
    <w:rsid w:val="00C96C75"/>
    <w:rsid w:val="00C97A1D"/>
    <w:rsid w:val="00CB08A9"/>
    <w:rsid w:val="00CB35CF"/>
    <w:rsid w:val="00CC093D"/>
    <w:rsid w:val="00CC57CC"/>
    <w:rsid w:val="00CD3B03"/>
    <w:rsid w:val="00CD439E"/>
    <w:rsid w:val="00CD77F6"/>
    <w:rsid w:val="00CE5E7C"/>
    <w:rsid w:val="00CE6883"/>
    <w:rsid w:val="00CF5CC4"/>
    <w:rsid w:val="00D015FE"/>
    <w:rsid w:val="00D10B23"/>
    <w:rsid w:val="00D113E5"/>
    <w:rsid w:val="00D11D73"/>
    <w:rsid w:val="00D1757F"/>
    <w:rsid w:val="00D25E4D"/>
    <w:rsid w:val="00D329A3"/>
    <w:rsid w:val="00D35772"/>
    <w:rsid w:val="00D35863"/>
    <w:rsid w:val="00D455DD"/>
    <w:rsid w:val="00D522F5"/>
    <w:rsid w:val="00D54A9C"/>
    <w:rsid w:val="00D6450E"/>
    <w:rsid w:val="00D65352"/>
    <w:rsid w:val="00D7350B"/>
    <w:rsid w:val="00D77142"/>
    <w:rsid w:val="00D80748"/>
    <w:rsid w:val="00D85B59"/>
    <w:rsid w:val="00D93054"/>
    <w:rsid w:val="00D9658E"/>
    <w:rsid w:val="00D97BCB"/>
    <w:rsid w:val="00DA0E6E"/>
    <w:rsid w:val="00DA2625"/>
    <w:rsid w:val="00DA4077"/>
    <w:rsid w:val="00DA491E"/>
    <w:rsid w:val="00DB65B9"/>
    <w:rsid w:val="00DB7EBD"/>
    <w:rsid w:val="00DD6826"/>
    <w:rsid w:val="00DE352B"/>
    <w:rsid w:val="00DE6363"/>
    <w:rsid w:val="00DE68DB"/>
    <w:rsid w:val="00DF17C3"/>
    <w:rsid w:val="00DF32BD"/>
    <w:rsid w:val="00DF6FD7"/>
    <w:rsid w:val="00E3144A"/>
    <w:rsid w:val="00E40B88"/>
    <w:rsid w:val="00E605C5"/>
    <w:rsid w:val="00E65479"/>
    <w:rsid w:val="00E73647"/>
    <w:rsid w:val="00E75529"/>
    <w:rsid w:val="00E848BB"/>
    <w:rsid w:val="00E84E66"/>
    <w:rsid w:val="00E87128"/>
    <w:rsid w:val="00E97190"/>
    <w:rsid w:val="00EA49F7"/>
    <w:rsid w:val="00EA50BD"/>
    <w:rsid w:val="00EA777F"/>
    <w:rsid w:val="00EB652E"/>
    <w:rsid w:val="00EC138C"/>
    <w:rsid w:val="00EC2F7C"/>
    <w:rsid w:val="00ED0E46"/>
    <w:rsid w:val="00ED2C1D"/>
    <w:rsid w:val="00ED35F9"/>
    <w:rsid w:val="00EE3F49"/>
    <w:rsid w:val="00EE4DB0"/>
    <w:rsid w:val="00EE5A75"/>
    <w:rsid w:val="00EF2A92"/>
    <w:rsid w:val="00EF7A7D"/>
    <w:rsid w:val="00F01055"/>
    <w:rsid w:val="00F11B08"/>
    <w:rsid w:val="00F225EC"/>
    <w:rsid w:val="00F32814"/>
    <w:rsid w:val="00F4696E"/>
    <w:rsid w:val="00F5208C"/>
    <w:rsid w:val="00F53759"/>
    <w:rsid w:val="00F55AB6"/>
    <w:rsid w:val="00F628BE"/>
    <w:rsid w:val="00F62914"/>
    <w:rsid w:val="00F70950"/>
    <w:rsid w:val="00F726BB"/>
    <w:rsid w:val="00F825A7"/>
    <w:rsid w:val="00F86B6E"/>
    <w:rsid w:val="00F93A27"/>
    <w:rsid w:val="00F93BF7"/>
    <w:rsid w:val="00F954F2"/>
    <w:rsid w:val="00FB2F71"/>
    <w:rsid w:val="00FC4A6E"/>
    <w:rsid w:val="00FD37F1"/>
    <w:rsid w:val="00FD5F87"/>
    <w:rsid w:val="00FD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34B8C901"/>
  <w15:chartTrackingRefBased/>
  <w15:docId w15:val="{A6304929-8A16-4B47-9DFA-C4677356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DB5"/>
    <w:pPr>
      <w:spacing w:after="0" w:line="360" w:lineRule="auto"/>
      <w:ind w:firstLine="720"/>
      <w:jc w:val="center"/>
    </w:pPr>
    <w:rPr>
      <w:rFonts w:ascii="Times New Roman" w:eastAsia="Calibri" w:hAnsi="Times New Roman" w:cs="Times New Roman"/>
      <w:sz w:val="24"/>
      <w:szCs w:val="24"/>
    </w:rPr>
  </w:style>
  <w:style w:type="paragraph" w:styleId="Heading4">
    <w:name w:val="heading 4"/>
    <w:basedOn w:val="Normal"/>
    <w:link w:val="Heading4Char"/>
    <w:uiPriority w:val="9"/>
    <w:qFormat/>
    <w:rsid w:val="00C02307"/>
    <w:pPr>
      <w:spacing w:before="100" w:beforeAutospacing="1" w:after="100" w:afterAutospacing="1" w:line="240" w:lineRule="auto"/>
      <w:ind w:firstLine="0"/>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DB5"/>
    <w:pPr>
      <w:ind w:left="720"/>
      <w:contextualSpacing/>
    </w:pPr>
  </w:style>
  <w:style w:type="paragraph" w:styleId="NoSpacing">
    <w:name w:val="No Spacing"/>
    <w:uiPriority w:val="1"/>
    <w:qFormat/>
    <w:rsid w:val="00A42FB0"/>
    <w:pPr>
      <w:spacing w:after="0" w:line="240" w:lineRule="auto"/>
    </w:pPr>
    <w:rPr>
      <w:rFonts w:ascii="Times New Roman" w:eastAsia="Calibri" w:hAnsi="Times New Roman" w:cs="Times New Roman"/>
      <w:sz w:val="24"/>
      <w:szCs w:val="24"/>
    </w:rPr>
  </w:style>
  <w:style w:type="paragraph" w:customStyle="1" w:styleId="ParaTab1">
    <w:name w:val="ParaTab 1"/>
    <w:rsid w:val="00312ED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Default">
    <w:name w:val="Default"/>
    <w:rsid w:val="00F55AB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F55AB6"/>
    <w:rPr>
      <w:color w:val="0000FF"/>
      <w:u w:val="single"/>
    </w:rPr>
  </w:style>
  <w:style w:type="character" w:customStyle="1" w:styleId="term1">
    <w:name w:val="term1"/>
    <w:basedOn w:val="DefaultParagraphFont"/>
    <w:rsid w:val="00F55AB6"/>
    <w:rPr>
      <w:b/>
      <w:bCs/>
    </w:rPr>
  </w:style>
  <w:style w:type="character" w:styleId="Emphasis">
    <w:name w:val="Emphasis"/>
    <w:basedOn w:val="DefaultParagraphFont"/>
    <w:qFormat/>
    <w:rsid w:val="00F55AB6"/>
    <w:rPr>
      <w:i/>
      <w:iCs/>
    </w:rPr>
  </w:style>
  <w:style w:type="paragraph" w:styleId="Header">
    <w:name w:val="header"/>
    <w:basedOn w:val="Normal"/>
    <w:link w:val="HeaderChar"/>
    <w:uiPriority w:val="99"/>
    <w:unhideWhenUsed/>
    <w:rsid w:val="002B1018"/>
    <w:pPr>
      <w:tabs>
        <w:tab w:val="center" w:pos="4680"/>
        <w:tab w:val="right" w:pos="9360"/>
      </w:tabs>
      <w:spacing w:line="240" w:lineRule="auto"/>
    </w:pPr>
  </w:style>
  <w:style w:type="character" w:customStyle="1" w:styleId="HeaderChar">
    <w:name w:val="Header Char"/>
    <w:basedOn w:val="DefaultParagraphFont"/>
    <w:link w:val="Header"/>
    <w:uiPriority w:val="99"/>
    <w:rsid w:val="002B1018"/>
    <w:rPr>
      <w:rFonts w:ascii="Times New Roman" w:eastAsia="Calibri" w:hAnsi="Times New Roman" w:cs="Times New Roman"/>
      <w:sz w:val="24"/>
      <w:szCs w:val="24"/>
    </w:rPr>
  </w:style>
  <w:style w:type="paragraph" w:styleId="Footer">
    <w:name w:val="footer"/>
    <w:basedOn w:val="Normal"/>
    <w:link w:val="FooterChar"/>
    <w:uiPriority w:val="99"/>
    <w:unhideWhenUsed/>
    <w:rsid w:val="002B1018"/>
    <w:pPr>
      <w:tabs>
        <w:tab w:val="center" w:pos="4680"/>
        <w:tab w:val="right" w:pos="9360"/>
      </w:tabs>
      <w:spacing w:line="240" w:lineRule="auto"/>
    </w:pPr>
  </w:style>
  <w:style w:type="character" w:customStyle="1" w:styleId="FooterChar">
    <w:name w:val="Footer Char"/>
    <w:basedOn w:val="DefaultParagraphFont"/>
    <w:link w:val="Footer"/>
    <w:uiPriority w:val="99"/>
    <w:rsid w:val="002B1018"/>
    <w:rPr>
      <w:rFonts w:ascii="Times New Roman" w:eastAsia="Calibri" w:hAnsi="Times New Roman" w:cs="Times New Roman"/>
      <w:sz w:val="24"/>
      <w:szCs w:val="24"/>
    </w:rPr>
  </w:style>
  <w:style w:type="paragraph" w:styleId="FootnoteText">
    <w:name w:val="footnote text"/>
    <w:aliases w:val="Car,fn,ALTS FOOTNOTE,Footnote Text 2,Footnote text,FOOTNOTE,fn Char Char,fn Char,Footnote Text Char2,Footnote Text Char1 Char,Footnote Text Char Char Char,Footnote Text Char2 Char Char Char,Footnote Text Char Char1 Char Char Char"/>
    <w:basedOn w:val="Normal"/>
    <w:link w:val="FootnoteTextChar"/>
    <w:uiPriority w:val="99"/>
    <w:unhideWhenUsed/>
    <w:qFormat/>
    <w:rsid w:val="006C13BF"/>
    <w:pPr>
      <w:autoSpaceDE w:val="0"/>
      <w:autoSpaceDN w:val="0"/>
      <w:spacing w:line="240" w:lineRule="auto"/>
      <w:ind w:firstLine="0"/>
      <w:jc w:val="left"/>
    </w:pPr>
    <w:rPr>
      <w:rFonts w:ascii="CG Times" w:eastAsia="Times New Roman" w:hAnsi="CG Times" w:cs="CG Times"/>
      <w:sz w:val="20"/>
      <w:szCs w:val="20"/>
    </w:rPr>
  </w:style>
  <w:style w:type="character" w:customStyle="1" w:styleId="FootnoteTextChar">
    <w:name w:val="Footnote Text Char"/>
    <w:aliases w:val="Car Char,fn Char1,ALTS FOOTNOTE Char,Footnote Text 2 Char,Footnote text Char,FOOTNOTE Char,fn Char Char Char,fn Char Char1,Footnote Text Char2 Char,Footnote Text Char1 Char Char,Footnote Text Char Char Char Char"/>
    <w:basedOn w:val="DefaultParagraphFont"/>
    <w:link w:val="FootnoteText"/>
    <w:uiPriority w:val="99"/>
    <w:rsid w:val="006C13BF"/>
    <w:rPr>
      <w:rFonts w:ascii="CG Times" w:eastAsia="Times New Roman" w:hAnsi="CG Times" w:cs="CG Times"/>
      <w:sz w:val="20"/>
      <w:szCs w:val="20"/>
    </w:rPr>
  </w:style>
  <w:style w:type="character" w:styleId="FootnoteReference">
    <w:name w:val="footnote reference"/>
    <w:aliases w:val="o,fr"/>
    <w:uiPriority w:val="99"/>
    <w:unhideWhenUsed/>
    <w:rsid w:val="006C13BF"/>
    <w:rPr>
      <w:vertAlign w:val="superscript"/>
    </w:rPr>
  </w:style>
  <w:style w:type="character" w:customStyle="1" w:styleId="Heading4Char">
    <w:name w:val="Heading 4 Char"/>
    <w:basedOn w:val="DefaultParagraphFont"/>
    <w:link w:val="Heading4"/>
    <w:uiPriority w:val="9"/>
    <w:rsid w:val="00C02307"/>
    <w:rPr>
      <w:rFonts w:ascii="Times New Roman" w:eastAsia="Times New Roman" w:hAnsi="Times New Roman" w:cs="Times New Roman"/>
      <w:b/>
      <w:bCs/>
      <w:sz w:val="24"/>
      <w:szCs w:val="24"/>
    </w:rPr>
  </w:style>
  <w:style w:type="paragraph" w:styleId="NormalWeb">
    <w:name w:val="Normal (Web)"/>
    <w:basedOn w:val="Normal"/>
    <w:uiPriority w:val="99"/>
    <w:unhideWhenUsed/>
    <w:rsid w:val="00C02307"/>
    <w:pPr>
      <w:spacing w:before="100" w:beforeAutospacing="1" w:after="100" w:afterAutospacing="1" w:line="240" w:lineRule="auto"/>
      <w:ind w:firstLine="0"/>
      <w:jc w:val="left"/>
    </w:pPr>
    <w:rPr>
      <w:rFonts w:eastAsia="Times New Roman"/>
    </w:rPr>
  </w:style>
  <w:style w:type="character" w:styleId="CommentReference">
    <w:name w:val="annotation reference"/>
    <w:basedOn w:val="DefaultParagraphFont"/>
    <w:uiPriority w:val="99"/>
    <w:semiHidden/>
    <w:unhideWhenUsed/>
    <w:rsid w:val="009C29CE"/>
    <w:rPr>
      <w:sz w:val="16"/>
      <w:szCs w:val="16"/>
    </w:rPr>
  </w:style>
  <w:style w:type="paragraph" w:styleId="CommentText">
    <w:name w:val="annotation text"/>
    <w:basedOn w:val="Normal"/>
    <w:link w:val="CommentTextChar"/>
    <w:uiPriority w:val="99"/>
    <w:semiHidden/>
    <w:unhideWhenUsed/>
    <w:rsid w:val="009C29CE"/>
    <w:pPr>
      <w:spacing w:line="240" w:lineRule="auto"/>
    </w:pPr>
    <w:rPr>
      <w:sz w:val="20"/>
      <w:szCs w:val="20"/>
    </w:rPr>
  </w:style>
  <w:style w:type="character" w:customStyle="1" w:styleId="CommentTextChar">
    <w:name w:val="Comment Text Char"/>
    <w:basedOn w:val="DefaultParagraphFont"/>
    <w:link w:val="CommentText"/>
    <w:uiPriority w:val="99"/>
    <w:semiHidden/>
    <w:rsid w:val="009C29C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29CE"/>
    <w:rPr>
      <w:b/>
      <w:bCs/>
    </w:rPr>
  </w:style>
  <w:style w:type="character" w:customStyle="1" w:styleId="CommentSubjectChar">
    <w:name w:val="Comment Subject Char"/>
    <w:basedOn w:val="CommentTextChar"/>
    <w:link w:val="CommentSubject"/>
    <w:uiPriority w:val="99"/>
    <w:semiHidden/>
    <w:rsid w:val="009C29CE"/>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9C29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9C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43577">
      <w:bodyDiv w:val="1"/>
      <w:marLeft w:val="0"/>
      <w:marRight w:val="0"/>
      <w:marTop w:val="0"/>
      <w:marBottom w:val="0"/>
      <w:divBdr>
        <w:top w:val="none" w:sz="0" w:space="0" w:color="auto"/>
        <w:left w:val="none" w:sz="0" w:space="0" w:color="auto"/>
        <w:bottom w:val="none" w:sz="0" w:space="0" w:color="auto"/>
        <w:right w:val="none" w:sz="0" w:space="0" w:color="auto"/>
      </w:divBdr>
      <w:divsChild>
        <w:div w:id="747194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816122">
      <w:bodyDiv w:val="1"/>
      <w:marLeft w:val="0"/>
      <w:marRight w:val="0"/>
      <w:marTop w:val="0"/>
      <w:marBottom w:val="0"/>
      <w:divBdr>
        <w:top w:val="none" w:sz="0" w:space="0" w:color="auto"/>
        <w:left w:val="none" w:sz="0" w:space="0" w:color="auto"/>
        <w:bottom w:val="none" w:sz="0" w:space="0" w:color="auto"/>
        <w:right w:val="none" w:sz="0" w:space="0" w:color="auto"/>
      </w:divBdr>
      <w:divsChild>
        <w:div w:id="76753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13E59-5D68-44B0-BEB7-C38C0622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3</cp:revision>
  <cp:lastPrinted>2018-01-25T19:11:00Z</cp:lastPrinted>
  <dcterms:created xsi:type="dcterms:W3CDTF">2018-05-15T15:15:00Z</dcterms:created>
  <dcterms:modified xsi:type="dcterms:W3CDTF">2018-05-17T11:57:00Z</dcterms:modified>
</cp:coreProperties>
</file>